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ascii="Times New Roman" w:hAnsi="Times New Roman" w:eastAsia="方正小标宋简体" w:cs="Times New Roman"/>
          <w:color w:val="auto"/>
          <w:kern w:val="2"/>
          <w:sz w:val="72"/>
          <w:szCs w:val="72"/>
          <w:highlight w:val="none"/>
          <w:lang w:val="en-US" w:eastAsia="zh-CN" w:bidi="ar-SA"/>
        </w:rPr>
      </w:pPr>
    </w:p>
    <w:p>
      <w:pPr>
        <w:pStyle w:val="5"/>
        <w:rPr>
          <w:rFonts w:hint="eastAsia" w:ascii="Times New Roman" w:hAnsi="Times New Roman" w:eastAsia="方正小标宋简体" w:cs="Times New Roman"/>
          <w:color w:val="auto"/>
          <w:kern w:val="2"/>
          <w:sz w:val="72"/>
          <w:szCs w:val="72"/>
          <w:highlight w:val="none"/>
          <w:lang w:val="en-US" w:eastAsia="zh-CN" w:bidi="ar-SA"/>
        </w:rPr>
      </w:pPr>
    </w:p>
    <w:p>
      <w:pPr>
        <w:pStyle w:val="5"/>
        <w:rPr>
          <w:rFonts w:hint="eastAsia" w:ascii="Times New Roman" w:hAnsi="Times New Roman" w:eastAsia="方正小标宋简体" w:cs="Times New Roman"/>
          <w:color w:val="auto"/>
          <w:kern w:val="2"/>
          <w:sz w:val="72"/>
          <w:szCs w:val="72"/>
          <w:highlight w:val="none"/>
          <w:lang w:val="en-US" w:eastAsia="zh-CN" w:bidi="ar-SA"/>
        </w:rPr>
      </w:pPr>
    </w:p>
    <w:p>
      <w:pPr>
        <w:pStyle w:val="5"/>
        <w:spacing w:before="93"/>
        <w:rPr>
          <w:rFonts w:ascii="Times New Roman" w:eastAsia="方正小标宋简体"/>
          <w:kern w:val="2"/>
          <w:sz w:val="72"/>
          <w:szCs w:val="72"/>
        </w:rPr>
      </w:pPr>
    </w:p>
    <w:p>
      <w:pPr>
        <w:pStyle w:val="5"/>
        <w:spacing w:before="93"/>
        <w:jc w:val="center"/>
        <w:rPr>
          <w:rFonts w:ascii="Times New Roman" w:eastAsia="方正小标宋简体"/>
          <w:kern w:val="2"/>
          <w:sz w:val="72"/>
          <w:szCs w:val="72"/>
        </w:rPr>
      </w:pPr>
      <w:r>
        <w:rPr>
          <w:rFonts w:hint="eastAsia" w:ascii="Times New Roman" w:eastAsia="方正小标宋简体"/>
          <w:kern w:val="2"/>
          <w:sz w:val="72"/>
          <w:szCs w:val="72"/>
        </w:rPr>
        <w:t>2024年度</w:t>
      </w:r>
    </w:p>
    <w:p>
      <w:pPr>
        <w:pStyle w:val="5"/>
        <w:spacing w:before="93"/>
        <w:jc w:val="center"/>
        <w:rPr>
          <w:rFonts w:hint="eastAsia" w:ascii="Times New Roman" w:eastAsia="方正小标宋简体"/>
          <w:kern w:val="2"/>
          <w:sz w:val="72"/>
          <w:szCs w:val="72"/>
          <w:lang w:val="en-US" w:eastAsia="zh-CN"/>
        </w:rPr>
      </w:pPr>
      <w:r>
        <w:rPr>
          <w:rFonts w:hint="eastAsia" w:ascii="Times New Roman" w:eastAsia="方正小标宋简体"/>
          <w:kern w:val="2"/>
          <w:sz w:val="72"/>
          <w:szCs w:val="72"/>
        </w:rPr>
        <w:t>盐边县</w:t>
      </w:r>
      <w:r>
        <w:rPr>
          <w:rFonts w:hint="eastAsia" w:ascii="Times New Roman" w:eastAsia="方正小标宋简体"/>
          <w:kern w:val="2"/>
          <w:sz w:val="72"/>
          <w:szCs w:val="72"/>
          <w:lang w:eastAsia="zh-CN"/>
        </w:rPr>
        <w:t>渔门镇</w:t>
      </w:r>
      <w:r>
        <w:rPr>
          <w:rFonts w:hint="eastAsia" w:ascii="Times New Roman" w:eastAsia="方正小标宋简体"/>
          <w:kern w:val="2"/>
          <w:sz w:val="72"/>
          <w:szCs w:val="72"/>
          <w:lang w:val="en-US" w:eastAsia="zh-CN"/>
        </w:rPr>
        <w:t>初级</w:t>
      </w:r>
    </w:p>
    <w:p>
      <w:pPr>
        <w:pStyle w:val="5"/>
        <w:spacing w:before="93"/>
        <w:jc w:val="center"/>
        <w:rPr>
          <w:rFonts w:ascii="Times New Roman" w:eastAsia="方正小标宋简体"/>
          <w:kern w:val="2"/>
          <w:sz w:val="72"/>
          <w:szCs w:val="72"/>
        </w:rPr>
      </w:pPr>
      <w:r>
        <w:rPr>
          <w:rFonts w:hint="eastAsia" w:ascii="Times New Roman" w:eastAsia="方正小标宋简体"/>
          <w:kern w:val="2"/>
          <w:sz w:val="72"/>
          <w:szCs w:val="72"/>
          <w:lang w:val="en-US" w:eastAsia="zh-CN"/>
        </w:rPr>
        <w:t>中学校</w:t>
      </w:r>
      <w:r>
        <w:rPr>
          <w:rFonts w:hint="eastAsia" w:ascii="Times New Roman" w:eastAsia="方正小标宋简体"/>
          <w:kern w:val="2"/>
          <w:sz w:val="72"/>
          <w:szCs w:val="72"/>
        </w:rPr>
        <w:t>单位决算</w:t>
      </w:r>
    </w:p>
    <w:p>
      <w:pPr>
        <w:pStyle w:val="5"/>
        <w:spacing w:before="93"/>
        <w:jc w:val="center"/>
        <w:rPr>
          <w:rFonts w:ascii="Times New Roman" w:hAnsi="Times New Roman"/>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r>
        <w:rPr>
          <w:rFonts w:hint="eastAsia" w:ascii="Times New Roman" w:eastAsia="方正小标宋简体"/>
          <w:kern w:val="2"/>
          <w:sz w:val="72"/>
          <w:szCs w:val="72"/>
        </w:rPr>
        <w:t>公</w:t>
      </w:r>
    </w:p>
    <w:p>
      <w:pPr>
        <w:jc w:val="left"/>
      </w:pPr>
    </w:p>
    <w:sdt>
      <w:sdtPr>
        <w:rPr>
          <w:rFonts w:hint="default" w:ascii="Times New Roman" w:hAnsi="Times New Roman" w:eastAsia="宋体" w:cs="Times New Roman"/>
          <w:kern w:val="2"/>
          <w:sz w:val="48"/>
          <w:szCs w:val="48"/>
          <w:lang w:val="en-US" w:eastAsia="zh-CN" w:bidi="ar-SA"/>
        </w:rPr>
        <w:id w:val="147472569"/>
        <w:docPartObj>
          <w:docPartGallery w:val="Table of Contents"/>
          <w:docPartUnique/>
        </w:docPartObj>
      </w:sdtPr>
      <w:sdtEndPr>
        <w:rPr>
          <w:rFonts w:hint="default" w:ascii="黑体" w:hAnsi="黑体" w:eastAsia="黑体" w:cs="黑体"/>
          <w:kern w:val="2"/>
          <w:sz w:val="21"/>
          <w:szCs w:val="21"/>
          <w:lang w:val="en-US" w:eastAsia="zh-CN" w:bidi="ar-SA"/>
        </w:rPr>
      </w:sdtEndPr>
      <w:sdtContent>
        <w:p>
          <w:pPr>
            <w:widowControl/>
            <w:jc w:val="center"/>
            <w:rPr>
              <w:rFonts w:hint="default" w:ascii="Times New Roman" w:hAnsi="Times New Roman" w:eastAsia="宋体" w:cs="Times New Roman"/>
              <w:kern w:val="2"/>
              <w:sz w:val="48"/>
              <w:szCs w:val="48"/>
              <w:lang w:val="en-US" w:eastAsia="zh-CN" w:bidi="ar-SA"/>
            </w:rPr>
          </w:pPr>
          <w:bookmarkStart w:id="0" w:name="_Toc23237_WPSOffice_Type2"/>
          <w:bookmarkStart w:id="1" w:name="_Toc31274"/>
          <w:r>
            <w:rPr>
              <w:rFonts w:hint="default" w:ascii="Times New Roman" w:hAnsi="Times New Roman" w:eastAsia="宋体" w:cs="Times New Roman"/>
              <w:kern w:val="2"/>
              <w:sz w:val="48"/>
              <w:szCs w:val="48"/>
              <w:lang w:val="en-US" w:eastAsia="zh-CN" w:bidi="ar-SA"/>
            </w:rPr>
            <w:t>目录</w:t>
          </w:r>
        </w:p>
        <w:p>
          <w:pPr>
            <w:pStyle w:val="12"/>
            <w:jc w:val="center"/>
            <w:rPr>
              <w:rFonts w:hint="default" w:ascii="Times New Roman" w:hAnsi="Times New Roman" w:eastAsia="宋体" w:cs="Times New Roman"/>
              <w:kern w:val="2"/>
              <w:sz w:val="48"/>
              <w:szCs w:val="48"/>
              <w:lang w:val="en-US" w:eastAsia="zh-CN" w:bidi="ar-SA"/>
            </w:rPr>
          </w:pPr>
          <w:r>
            <w:rPr>
              <w:rFonts w:hint="eastAsia" w:ascii="Times New Roman" w:hAnsi="Times New Roman" w:eastAsia="仿宋_GB2312" w:cs="仿宋_GB2312"/>
            </w:rPr>
            <w:t>公开时间：2025年10月</w:t>
          </w:r>
          <w:r>
            <w:rPr>
              <w:rFonts w:hint="eastAsia" w:ascii="Times New Roman" w:hAnsi="Times New Roman" w:eastAsia="仿宋_GB2312" w:cs="仿宋_GB2312"/>
              <w:lang w:val="en-US" w:eastAsia="zh-CN"/>
            </w:rPr>
            <w:t>28</w:t>
          </w:r>
          <w:r>
            <w:rPr>
              <w:rFonts w:hint="eastAsia" w:ascii="Times New Roman" w:hAnsi="Times New Roman" w:eastAsia="仿宋_GB2312" w:cs="仿宋_GB2312"/>
            </w:rPr>
            <w:t>日</w:t>
          </w:r>
        </w:p>
        <w:p>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_Toc17535_WPSOffice_Level1 </w:instrText>
          </w:r>
          <w:r>
            <w:rPr>
              <w:rFonts w:hint="default" w:ascii="Times New Roman" w:hAnsi="Times New Roman" w:cs="Times New Roman"/>
            </w:rPr>
            <w:fldChar w:fldCharType="separate"/>
          </w:r>
          <w:sdt>
            <w:sdtPr>
              <w:rPr>
                <w:rFonts w:hint="default" w:ascii="Times New Roman" w:hAnsi="Times New Roman" w:cs="Times New Roman"/>
                <w:lang w:val="en-US" w:eastAsia="zh-CN"/>
              </w:rPr>
              <w:id w:val="147472569"/>
              <w:placeholder>
                <w:docPart w:val="{ae1f37c1-fde9-428d-97ad-c2f0f6754fe3}"/>
              </w:placeholder>
            </w:sdtPr>
            <w:sdtEndPr>
              <w:rPr>
                <w:rFonts w:hint="eastAsia" w:ascii="方正小标宋_GBK" w:hAnsi="方正小标宋_GBK" w:eastAsia="方正小标宋_GBK" w:cs="方正小标宋_GBK"/>
                <w:lang w:val="en-US" w:eastAsia="zh-CN"/>
              </w:rPr>
            </w:sdtEndPr>
            <w:sdtContent>
              <w:r>
                <w:rPr>
                  <w:rFonts w:hint="eastAsia" w:ascii="方正小标宋_GBK" w:hAnsi="方正小标宋_GBK" w:eastAsia="方正小标宋_GBK" w:cs="方正小标宋_GBK"/>
                </w:rPr>
                <w:t>第一部分  单位概况</w:t>
              </w:r>
            </w:sdtContent>
          </w:sdt>
          <w:r>
            <w:rPr>
              <w:rFonts w:hint="eastAsia" w:ascii="方正小标宋_GBK" w:hAnsi="方正小标宋_GBK" w:eastAsia="方正小标宋_GBK" w:cs="方正小标宋_GBK"/>
            </w:rPr>
            <w:tab/>
          </w:r>
          <w:bookmarkStart w:id="2" w:name="_Toc17535_WPSOffice_Level1Page"/>
          <w:r>
            <w:rPr>
              <w:rFonts w:hint="eastAsia" w:ascii="方正小标宋_GBK" w:hAnsi="方正小标宋_GBK" w:eastAsia="方正小标宋_GBK" w:cs="方正小标宋_GBK"/>
            </w:rPr>
            <w:t>2</w:t>
          </w:r>
          <w:bookmarkEnd w:id="2"/>
          <w:r>
            <w:rPr>
              <w:rFonts w:hint="default" w:ascii="Times New Roman" w:hAnsi="Times New Roman" w:cs="Times New Roman"/>
            </w:rPr>
            <w:fldChar w:fldCharType="end"/>
          </w:r>
        </w:p>
        <w:p>
          <w:pPr>
            <w:pStyle w:val="12"/>
            <w:tabs>
              <w:tab w:val="right" w:leader="dot" w:pos="8306"/>
              <w:tab w:val="clear" w:pos="8296"/>
            </w:tabs>
            <w:rPr>
              <w:rFonts w:hint="eastAsia" w:ascii="黑体" w:hAnsi="黑体" w:eastAsia="黑体" w:cs="黑体"/>
              <w:sz w:val="21"/>
              <w:szCs w:val="21"/>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_Toc23237_WPSOffice_Level2 </w:instrText>
          </w:r>
          <w:r>
            <w:rPr>
              <w:rFonts w:hint="eastAsia" w:ascii="黑体" w:hAnsi="黑体" w:eastAsia="黑体" w:cs="黑体"/>
              <w:sz w:val="21"/>
              <w:szCs w:val="21"/>
            </w:rPr>
            <w:fldChar w:fldCharType="separate"/>
          </w:r>
          <w:sdt>
            <w:sdtPr>
              <w:rPr>
                <w:rFonts w:hint="eastAsia" w:ascii="黑体" w:hAnsi="黑体" w:eastAsia="黑体" w:cs="黑体"/>
                <w:sz w:val="21"/>
                <w:szCs w:val="21"/>
                <w:lang w:val="en-US" w:eastAsia="zh-CN"/>
              </w:rPr>
              <w:id w:val="147472569"/>
              <w:placeholder>
                <w:docPart w:val="{d00c0a59-4fc0-4a3e-b7f2-f5b8dfde9c76}"/>
              </w:placeholder>
            </w:sdtPr>
            <w:sdtEndPr>
              <w:rPr>
                <w:rFonts w:hint="eastAsia" w:ascii="黑体" w:hAnsi="黑体" w:eastAsia="黑体" w:cs="黑体"/>
                <w:sz w:val="21"/>
                <w:szCs w:val="21"/>
                <w:lang w:val="en-US" w:eastAsia="zh-CN"/>
              </w:rPr>
            </w:sdtEndPr>
            <w:sdtContent>
              <w:r>
                <w:rPr>
                  <w:rFonts w:hint="eastAsia" w:ascii="黑体" w:hAnsi="黑体" w:eastAsia="黑体" w:cs="黑体"/>
                  <w:sz w:val="21"/>
                  <w:szCs w:val="21"/>
                </w:rPr>
                <w:t>一、主要职责</w:t>
              </w:r>
            </w:sdtContent>
          </w:sdt>
          <w:r>
            <w:rPr>
              <w:rFonts w:hint="eastAsia" w:ascii="黑体" w:hAnsi="黑体" w:eastAsia="黑体" w:cs="黑体"/>
              <w:sz w:val="21"/>
              <w:szCs w:val="21"/>
            </w:rPr>
            <w:tab/>
          </w:r>
          <w:bookmarkStart w:id="3" w:name="_Toc23237_WPSOffice_Level2Page"/>
          <w:r>
            <w:rPr>
              <w:rFonts w:hint="eastAsia" w:ascii="黑体" w:hAnsi="黑体" w:eastAsia="黑体" w:cs="黑体"/>
              <w:sz w:val="21"/>
              <w:szCs w:val="21"/>
            </w:rPr>
            <w:t>2</w:t>
          </w:r>
          <w:bookmarkEnd w:id="3"/>
          <w:r>
            <w:rPr>
              <w:rFonts w:hint="eastAsia" w:ascii="黑体" w:hAnsi="黑体" w:eastAsia="黑体" w:cs="黑体"/>
              <w:sz w:val="21"/>
              <w:szCs w:val="21"/>
            </w:rPr>
            <w:fldChar w:fldCharType="end"/>
          </w:r>
        </w:p>
        <w:p>
          <w:pPr>
            <w:pStyle w:val="12"/>
            <w:tabs>
              <w:tab w:val="right" w:leader="dot" w:pos="8306"/>
              <w:tab w:val="clear" w:pos="8296"/>
            </w:tabs>
            <w:rPr>
              <w:rFonts w:hint="default" w:ascii="Times New Roman" w:hAnsi="Times New Roman" w:cs="Times New Roman"/>
            </w:rPr>
          </w:pPr>
          <w:r>
            <w:rPr>
              <w:rFonts w:hint="eastAsia" w:ascii="黑体" w:hAnsi="黑体" w:eastAsia="黑体" w:cs="黑体"/>
              <w:sz w:val="21"/>
              <w:szCs w:val="21"/>
            </w:rPr>
            <w:fldChar w:fldCharType="begin"/>
          </w:r>
          <w:r>
            <w:rPr>
              <w:rFonts w:hint="eastAsia" w:ascii="黑体" w:hAnsi="黑体" w:eastAsia="黑体" w:cs="黑体"/>
              <w:sz w:val="21"/>
              <w:szCs w:val="21"/>
            </w:rPr>
            <w:instrText xml:space="preserve"> HYPERLINK \l _Toc4611_WPSOffice_Level2 </w:instrText>
          </w:r>
          <w:r>
            <w:rPr>
              <w:rFonts w:hint="eastAsia" w:ascii="黑体" w:hAnsi="黑体" w:eastAsia="黑体" w:cs="黑体"/>
              <w:sz w:val="21"/>
              <w:szCs w:val="21"/>
            </w:rPr>
            <w:fldChar w:fldCharType="separate"/>
          </w:r>
          <w:sdt>
            <w:sdtPr>
              <w:rPr>
                <w:rFonts w:hint="eastAsia" w:ascii="黑体" w:hAnsi="黑体" w:eastAsia="黑体" w:cs="黑体"/>
                <w:sz w:val="21"/>
                <w:szCs w:val="21"/>
                <w:lang w:val="en-US" w:eastAsia="zh-CN"/>
              </w:rPr>
              <w:id w:val="147472569"/>
              <w:placeholder>
                <w:docPart w:val="{0ee2df9c-8998-4b22-a909-9a9ddab95c87}"/>
              </w:placeholder>
            </w:sdtPr>
            <w:sdtEndPr>
              <w:rPr>
                <w:rFonts w:hint="eastAsia" w:ascii="黑体" w:hAnsi="黑体" w:eastAsia="黑体" w:cs="黑体"/>
                <w:sz w:val="21"/>
                <w:szCs w:val="21"/>
                <w:lang w:val="en-US" w:eastAsia="zh-CN"/>
              </w:rPr>
            </w:sdtEndPr>
            <w:sdtContent>
              <w:r>
                <w:rPr>
                  <w:rFonts w:hint="eastAsia" w:ascii="黑体" w:hAnsi="黑体" w:eastAsia="黑体" w:cs="黑体"/>
                  <w:sz w:val="21"/>
                  <w:szCs w:val="21"/>
                </w:rPr>
                <w:t>二、机构设置</w:t>
              </w:r>
            </w:sdtContent>
          </w:sdt>
          <w:r>
            <w:rPr>
              <w:rFonts w:hint="eastAsia" w:ascii="黑体" w:hAnsi="黑体" w:eastAsia="黑体" w:cs="黑体"/>
              <w:sz w:val="21"/>
              <w:szCs w:val="21"/>
            </w:rPr>
            <w:tab/>
          </w:r>
          <w:bookmarkStart w:id="4" w:name="_Toc4611_WPSOffice_Level2Page"/>
          <w:r>
            <w:rPr>
              <w:rFonts w:hint="eastAsia" w:ascii="黑体" w:hAnsi="黑体" w:eastAsia="黑体" w:cs="黑体"/>
              <w:sz w:val="21"/>
              <w:szCs w:val="21"/>
            </w:rPr>
            <w:t>3</w:t>
          </w:r>
          <w:bookmarkEnd w:id="4"/>
          <w:r>
            <w:rPr>
              <w:rFonts w:hint="eastAsia" w:ascii="黑体" w:hAnsi="黑体" w:eastAsia="黑体" w:cs="黑体"/>
              <w:sz w:val="21"/>
              <w:szCs w:val="21"/>
            </w:rPr>
            <w:fldChar w:fldCharType="end"/>
          </w:r>
        </w:p>
        <w:p>
          <w:pPr>
            <w:pStyle w:val="12"/>
            <w:tabs>
              <w:tab w:val="right" w:leader="dot" w:pos="8306"/>
              <w:tab w:val="clear" w:pos="8296"/>
            </w:tabs>
            <w:rPr>
              <w:rFonts w:hint="default" w:ascii="方正小标宋_GBK" w:hAnsi="方正小标宋_GBK" w:eastAsia="方正小标宋_GBK" w:cs="方正小标宋_GBK"/>
            </w:rPr>
          </w:pPr>
          <w:r>
            <w:rPr>
              <w:rFonts w:hint="default" w:ascii="方正小标宋_GBK" w:hAnsi="方正小标宋_GBK" w:eastAsia="方正小标宋_GBK" w:cs="方正小标宋_GBK"/>
            </w:rPr>
            <w:fldChar w:fldCharType="begin"/>
          </w:r>
          <w:r>
            <w:rPr>
              <w:rFonts w:hint="default" w:ascii="方正小标宋_GBK" w:hAnsi="方正小标宋_GBK" w:eastAsia="方正小标宋_GBK" w:cs="方正小标宋_GBK"/>
            </w:rPr>
            <w:instrText xml:space="preserve"> HYPERLINK \l _Toc23237_WPSOffice_Level1 </w:instrText>
          </w:r>
          <w:r>
            <w:rPr>
              <w:rFonts w:hint="default" w:ascii="方正小标宋_GBK" w:hAnsi="方正小标宋_GBK" w:eastAsia="方正小标宋_GBK" w:cs="方正小标宋_GBK"/>
            </w:rPr>
            <w:fldChar w:fldCharType="separate"/>
          </w:r>
          <w:sdt>
            <w:sdtPr>
              <w:rPr>
                <w:rFonts w:hint="default" w:ascii="方正小标宋_GBK" w:hAnsi="方正小标宋_GBK" w:eastAsia="方正小标宋_GBK" w:cs="方正小标宋_GBK"/>
                <w:lang w:val="en-US" w:eastAsia="zh-CN"/>
              </w:rPr>
              <w:id w:val="147472569"/>
              <w:placeholder>
                <w:docPart w:val="{c6845386-5eb1-45da-9e02-fc41d6eaf9e1}"/>
              </w:placeholder>
            </w:sdtPr>
            <w:sdtEndPr>
              <w:rPr>
                <w:rFonts w:hint="default" w:ascii="方正小标宋_GBK" w:hAnsi="方正小标宋_GBK" w:eastAsia="方正小标宋_GBK" w:cs="方正小标宋_GBK"/>
                <w:lang w:val="en-US" w:eastAsia="zh-CN"/>
              </w:rPr>
            </w:sdtEndPr>
            <w:sdtContent>
              <w:r>
                <w:rPr>
                  <w:rFonts w:hint="eastAsia" w:ascii="方正小标宋_GBK" w:hAnsi="方正小标宋_GBK" w:eastAsia="方正小标宋_GBK" w:cs="方正小标宋_GBK"/>
                </w:rPr>
                <w:t>第二部分  2024年度部门决算情况说明</w:t>
              </w:r>
            </w:sdtContent>
          </w:sdt>
          <w:r>
            <w:rPr>
              <w:rFonts w:hint="default" w:ascii="方正小标宋_GBK" w:hAnsi="方正小标宋_GBK" w:eastAsia="方正小标宋_GBK" w:cs="方正小标宋_GBK"/>
            </w:rPr>
            <w:tab/>
          </w:r>
          <w:bookmarkStart w:id="5" w:name="_Toc23237_WPSOffice_Level1Page"/>
          <w:r>
            <w:rPr>
              <w:rFonts w:hint="default" w:ascii="方正小标宋_GBK" w:hAnsi="方正小标宋_GBK" w:eastAsia="方正小标宋_GBK" w:cs="方正小标宋_GBK"/>
            </w:rPr>
            <w:t>4</w:t>
          </w:r>
          <w:bookmarkEnd w:id="5"/>
          <w:r>
            <w:rPr>
              <w:rFonts w:hint="default" w:ascii="方正小标宋_GBK" w:hAnsi="方正小标宋_GBK" w:eastAsia="方正小标宋_GBK" w:cs="方正小标宋_GBK"/>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_Toc24846_WPSOffice_Level2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a7f59ec1-4498-4e32-87e0-08b577d838cb}"/>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一、收入支出决算总体情况说明</w:t>
              </w:r>
            </w:sdtContent>
          </w:sdt>
          <w:r>
            <w:rPr>
              <w:rFonts w:hint="default" w:ascii="黑体" w:hAnsi="黑体" w:eastAsia="黑体" w:cs="黑体"/>
              <w:sz w:val="21"/>
              <w:szCs w:val="21"/>
            </w:rPr>
            <w:tab/>
          </w:r>
          <w:bookmarkStart w:id="6" w:name="_Toc24846_WPSOffice_Level2Page"/>
          <w:r>
            <w:rPr>
              <w:rFonts w:hint="default" w:ascii="黑体" w:hAnsi="黑体" w:eastAsia="黑体" w:cs="黑体"/>
              <w:sz w:val="21"/>
              <w:szCs w:val="21"/>
            </w:rPr>
            <w:t>4</w:t>
          </w:r>
          <w:bookmarkEnd w:id="6"/>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_Toc970_WPSOffice_Level2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d0fe8d3d-6269-410a-bdcb-1c805d55877c}"/>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二、收入决算情况说明</w:t>
              </w:r>
            </w:sdtContent>
          </w:sdt>
          <w:r>
            <w:rPr>
              <w:rFonts w:hint="default" w:ascii="黑体" w:hAnsi="黑体" w:eastAsia="黑体" w:cs="黑体"/>
              <w:sz w:val="21"/>
              <w:szCs w:val="21"/>
            </w:rPr>
            <w:tab/>
          </w:r>
          <w:bookmarkStart w:id="7" w:name="_Toc970_WPSOffice_Level2Page"/>
          <w:r>
            <w:rPr>
              <w:rFonts w:hint="default" w:ascii="黑体" w:hAnsi="黑体" w:eastAsia="黑体" w:cs="黑体"/>
              <w:sz w:val="21"/>
              <w:szCs w:val="21"/>
            </w:rPr>
            <w:t>4</w:t>
          </w:r>
          <w:bookmarkEnd w:id="7"/>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_Toc24940_WPSOffice_Level2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62ac78cb-76a9-452b-8c27-169a39d3b6e4}"/>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三、支出决算情况说明</w:t>
              </w:r>
            </w:sdtContent>
          </w:sdt>
          <w:r>
            <w:rPr>
              <w:rFonts w:hint="default" w:ascii="黑体" w:hAnsi="黑体" w:eastAsia="黑体" w:cs="黑体"/>
              <w:sz w:val="21"/>
              <w:szCs w:val="21"/>
            </w:rPr>
            <w:tab/>
          </w:r>
          <w:bookmarkStart w:id="8" w:name="_Toc24940_WPSOffice_Level2Page"/>
          <w:r>
            <w:rPr>
              <w:rFonts w:hint="default" w:ascii="黑体" w:hAnsi="黑体" w:eastAsia="黑体" w:cs="黑体"/>
              <w:sz w:val="21"/>
              <w:szCs w:val="21"/>
            </w:rPr>
            <w:t>5</w:t>
          </w:r>
          <w:bookmarkEnd w:id="8"/>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_Toc22200_WPSOffice_Level2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1361ab32-0a57-467c-8a5b-c14003983acb}"/>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四、财政拨款收入支出决算总体情况说明</w:t>
              </w:r>
            </w:sdtContent>
          </w:sdt>
          <w:r>
            <w:rPr>
              <w:rFonts w:hint="default" w:ascii="黑体" w:hAnsi="黑体" w:eastAsia="黑体" w:cs="黑体"/>
              <w:sz w:val="21"/>
              <w:szCs w:val="21"/>
            </w:rPr>
            <w:tab/>
          </w:r>
          <w:bookmarkStart w:id="9" w:name="_Toc22200_WPSOffice_Level2Page"/>
          <w:r>
            <w:rPr>
              <w:rFonts w:hint="default" w:ascii="黑体" w:hAnsi="黑体" w:eastAsia="黑体" w:cs="黑体"/>
              <w:sz w:val="21"/>
              <w:szCs w:val="21"/>
            </w:rPr>
            <w:t>6</w:t>
          </w:r>
          <w:bookmarkEnd w:id="9"/>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_Toc27946_WPSOffice_Level2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d6d695bb-35dd-48f8-96b9-6ad606fe78f1}"/>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五、一般公共预算财政拨款支出决算情况说明</w:t>
              </w:r>
            </w:sdtContent>
          </w:sdt>
          <w:r>
            <w:rPr>
              <w:rFonts w:hint="default" w:ascii="黑体" w:hAnsi="黑体" w:eastAsia="黑体" w:cs="黑体"/>
              <w:sz w:val="21"/>
              <w:szCs w:val="21"/>
            </w:rPr>
            <w:tab/>
          </w:r>
          <w:bookmarkStart w:id="10" w:name="_Toc27946_WPSOffice_Level2Page"/>
          <w:r>
            <w:rPr>
              <w:rFonts w:hint="default" w:ascii="黑体" w:hAnsi="黑体" w:eastAsia="黑体" w:cs="黑体"/>
              <w:sz w:val="21"/>
              <w:szCs w:val="21"/>
            </w:rPr>
            <w:t>7</w:t>
          </w:r>
          <w:bookmarkEnd w:id="10"/>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_Toc9218_WPSOffice_Level2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7e58dcac-c889-43a2-a71a-22b1a49ff803}"/>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六、一般公共预算财政拨款基本支出决算情况说明</w:t>
              </w:r>
            </w:sdtContent>
          </w:sdt>
          <w:r>
            <w:rPr>
              <w:rFonts w:hint="default" w:ascii="黑体" w:hAnsi="黑体" w:eastAsia="黑体" w:cs="黑体"/>
              <w:sz w:val="21"/>
              <w:szCs w:val="21"/>
            </w:rPr>
            <w:tab/>
          </w:r>
          <w:bookmarkStart w:id="11" w:name="_Toc9218_WPSOffice_Level2Page"/>
          <w:r>
            <w:rPr>
              <w:rFonts w:hint="default" w:ascii="黑体" w:hAnsi="黑体" w:eastAsia="黑体" w:cs="黑体"/>
              <w:sz w:val="21"/>
              <w:szCs w:val="21"/>
            </w:rPr>
            <w:t>10</w:t>
          </w:r>
          <w:bookmarkEnd w:id="11"/>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_Toc14686_WPSOffice_Level2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2c83650c-5748-4443-9f47-8e124a3be728}"/>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七、财政拨款“三公”经费支出决算情况说明</w:t>
              </w:r>
            </w:sdtContent>
          </w:sdt>
          <w:r>
            <w:rPr>
              <w:rFonts w:hint="default" w:ascii="黑体" w:hAnsi="黑体" w:eastAsia="黑体" w:cs="黑体"/>
              <w:sz w:val="21"/>
              <w:szCs w:val="21"/>
            </w:rPr>
            <w:tab/>
          </w:r>
          <w:bookmarkStart w:id="12" w:name="_Toc14686_WPSOffice_Level2Page"/>
          <w:r>
            <w:rPr>
              <w:rFonts w:hint="default" w:ascii="黑体" w:hAnsi="黑体" w:eastAsia="黑体" w:cs="黑体"/>
              <w:sz w:val="21"/>
              <w:szCs w:val="21"/>
            </w:rPr>
            <w:t>11</w:t>
          </w:r>
          <w:bookmarkEnd w:id="12"/>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_Toc4692_WPSOffice_Level2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96bc528a-439b-4b6b-8dcd-e38b352be81e}"/>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八、政府性基金预算支出决算情况说明</w:t>
              </w:r>
            </w:sdtContent>
          </w:sdt>
          <w:r>
            <w:rPr>
              <w:rFonts w:hint="default" w:ascii="黑体" w:hAnsi="黑体" w:eastAsia="黑体" w:cs="黑体"/>
              <w:sz w:val="21"/>
              <w:szCs w:val="21"/>
            </w:rPr>
            <w:tab/>
          </w:r>
          <w:bookmarkStart w:id="13" w:name="_Toc4692_WPSOffice_Level2Page"/>
          <w:r>
            <w:rPr>
              <w:rFonts w:hint="default" w:ascii="黑体" w:hAnsi="黑体" w:eastAsia="黑体" w:cs="黑体"/>
              <w:sz w:val="21"/>
              <w:szCs w:val="21"/>
            </w:rPr>
            <w:t>12</w:t>
          </w:r>
          <w:bookmarkEnd w:id="13"/>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_Toc10306_WPSOffice_Level2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c3f51219-9c4a-4b5f-9c0a-43471b7b48e6}"/>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九、国有资本经营预算支出决算情况说明</w:t>
              </w:r>
            </w:sdtContent>
          </w:sdt>
          <w:r>
            <w:rPr>
              <w:rFonts w:hint="default" w:ascii="黑体" w:hAnsi="黑体" w:eastAsia="黑体" w:cs="黑体"/>
              <w:sz w:val="21"/>
              <w:szCs w:val="21"/>
            </w:rPr>
            <w:tab/>
          </w:r>
          <w:bookmarkStart w:id="14" w:name="_Toc10306_WPSOffice_Level2Page"/>
          <w:r>
            <w:rPr>
              <w:rFonts w:hint="default" w:ascii="黑体" w:hAnsi="黑体" w:eastAsia="黑体" w:cs="黑体"/>
              <w:sz w:val="21"/>
              <w:szCs w:val="21"/>
            </w:rPr>
            <w:t>12</w:t>
          </w:r>
          <w:bookmarkEnd w:id="14"/>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_Toc53_WPSOffice_Level2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0a0f2d1b-4ec8-4612-98ab-d4c58a4a65cb}"/>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十、其他重要事项的情况说明</w:t>
              </w:r>
            </w:sdtContent>
          </w:sdt>
          <w:r>
            <w:rPr>
              <w:rFonts w:hint="default" w:ascii="黑体" w:hAnsi="黑体" w:eastAsia="黑体" w:cs="黑体"/>
              <w:sz w:val="21"/>
              <w:szCs w:val="21"/>
            </w:rPr>
            <w:tab/>
          </w:r>
          <w:bookmarkStart w:id="15" w:name="_Toc53_WPSOffice_Level2Page"/>
          <w:r>
            <w:rPr>
              <w:rFonts w:hint="default" w:ascii="黑体" w:hAnsi="黑体" w:eastAsia="黑体" w:cs="黑体"/>
              <w:sz w:val="21"/>
              <w:szCs w:val="21"/>
            </w:rPr>
            <w:t>12</w:t>
          </w:r>
          <w:bookmarkEnd w:id="15"/>
          <w:r>
            <w:rPr>
              <w:rFonts w:hint="default" w:ascii="黑体" w:hAnsi="黑体" w:eastAsia="黑体" w:cs="黑体"/>
              <w:sz w:val="21"/>
              <w:szCs w:val="21"/>
            </w:rPr>
            <w:fldChar w:fldCharType="end"/>
          </w:r>
        </w:p>
        <w:p>
          <w:pPr>
            <w:pStyle w:val="12"/>
            <w:tabs>
              <w:tab w:val="right" w:leader="dot" w:pos="8306"/>
              <w:tab w:val="clear" w:pos="8296"/>
            </w:tabs>
            <w:rPr>
              <w:rFonts w:hint="default" w:ascii="方正小标宋_GBK" w:hAnsi="方正小标宋_GBK" w:eastAsia="方正小标宋_GBK" w:cs="方正小标宋_GBK"/>
            </w:rPr>
          </w:pPr>
          <w:r>
            <w:rPr>
              <w:rFonts w:hint="default" w:ascii="方正小标宋_GBK" w:hAnsi="方正小标宋_GBK" w:eastAsia="方正小标宋_GBK" w:cs="方正小标宋_GBK"/>
            </w:rPr>
            <w:fldChar w:fldCharType="begin"/>
          </w:r>
          <w:r>
            <w:rPr>
              <w:rFonts w:hint="default" w:ascii="方正小标宋_GBK" w:hAnsi="方正小标宋_GBK" w:eastAsia="方正小标宋_GBK" w:cs="方正小标宋_GBK"/>
            </w:rPr>
            <w:instrText xml:space="preserve"> HYPERLINK \l _Toc4611_WPSOffice_Level1 </w:instrText>
          </w:r>
          <w:r>
            <w:rPr>
              <w:rFonts w:hint="default" w:ascii="方正小标宋_GBK" w:hAnsi="方正小标宋_GBK" w:eastAsia="方正小标宋_GBK" w:cs="方正小标宋_GBK"/>
            </w:rPr>
            <w:fldChar w:fldCharType="separate"/>
          </w:r>
          <w:sdt>
            <w:sdtPr>
              <w:rPr>
                <w:rFonts w:hint="default" w:ascii="方正小标宋_GBK" w:hAnsi="方正小标宋_GBK" w:eastAsia="方正小标宋_GBK" w:cs="方正小标宋_GBK"/>
                <w:lang w:val="en-US" w:eastAsia="zh-CN"/>
              </w:rPr>
              <w:id w:val="147472569"/>
              <w:placeholder>
                <w:docPart w:val="{ac105150-b0b9-42a9-a388-dc88b95a3d84}"/>
              </w:placeholder>
            </w:sdtPr>
            <w:sdtEndPr>
              <w:rPr>
                <w:rFonts w:hint="default" w:ascii="方正小标宋_GBK" w:hAnsi="方正小标宋_GBK" w:eastAsia="方正小标宋_GBK" w:cs="方正小标宋_GBK"/>
                <w:lang w:val="en-US" w:eastAsia="zh-CN"/>
              </w:rPr>
            </w:sdtEndPr>
            <w:sdtContent>
              <w:r>
                <w:rPr>
                  <w:rFonts w:hint="eastAsia" w:ascii="方正小标宋_GBK" w:hAnsi="方正小标宋_GBK" w:eastAsia="方正小标宋_GBK" w:cs="方正小标宋_GBK"/>
                </w:rPr>
                <w:t>第三部分  名词解释</w:t>
              </w:r>
            </w:sdtContent>
          </w:sdt>
          <w:r>
            <w:rPr>
              <w:rFonts w:hint="default" w:ascii="方正小标宋_GBK" w:hAnsi="方正小标宋_GBK" w:eastAsia="方正小标宋_GBK" w:cs="方正小标宋_GBK"/>
            </w:rPr>
            <w:tab/>
          </w:r>
          <w:bookmarkStart w:id="16" w:name="_Toc4611_WPSOffice_Level1Page"/>
          <w:r>
            <w:rPr>
              <w:rFonts w:hint="default" w:ascii="方正小标宋_GBK" w:hAnsi="方正小标宋_GBK" w:eastAsia="方正小标宋_GBK" w:cs="方正小标宋_GBK"/>
            </w:rPr>
            <w:t>15</w:t>
          </w:r>
          <w:bookmarkEnd w:id="16"/>
          <w:r>
            <w:rPr>
              <w:rFonts w:hint="default" w:ascii="方正小标宋_GBK" w:hAnsi="方正小标宋_GBK" w:eastAsia="方正小标宋_GBK" w:cs="方正小标宋_GBK"/>
            </w:rPr>
            <w:fldChar w:fldCharType="end"/>
          </w:r>
        </w:p>
        <w:p>
          <w:pPr>
            <w:pStyle w:val="12"/>
            <w:tabs>
              <w:tab w:val="right" w:leader="dot" w:pos="8306"/>
              <w:tab w:val="clear" w:pos="8296"/>
            </w:tabs>
            <w:rPr>
              <w:rFonts w:hint="default" w:ascii="方正小标宋_GBK" w:hAnsi="方正小标宋_GBK" w:eastAsia="方正小标宋_GBK" w:cs="方正小标宋_GBK"/>
            </w:rPr>
          </w:pPr>
          <w:r>
            <w:rPr>
              <w:rFonts w:hint="default" w:ascii="方正小标宋_GBK" w:hAnsi="方正小标宋_GBK" w:eastAsia="方正小标宋_GBK" w:cs="方正小标宋_GBK"/>
            </w:rPr>
            <w:fldChar w:fldCharType="begin"/>
          </w:r>
          <w:r>
            <w:rPr>
              <w:rFonts w:hint="default" w:ascii="方正小标宋_GBK" w:hAnsi="方正小标宋_GBK" w:eastAsia="方正小标宋_GBK" w:cs="方正小标宋_GBK"/>
            </w:rPr>
            <w:instrText xml:space="preserve"> HYPERLINK \l _Toc24846_WPSOffice_Level1 </w:instrText>
          </w:r>
          <w:r>
            <w:rPr>
              <w:rFonts w:hint="default" w:ascii="方正小标宋_GBK" w:hAnsi="方正小标宋_GBK" w:eastAsia="方正小标宋_GBK" w:cs="方正小标宋_GBK"/>
            </w:rPr>
            <w:fldChar w:fldCharType="separate"/>
          </w:r>
          <w:sdt>
            <w:sdtPr>
              <w:rPr>
                <w:rFonts w:hint="default" w:ascii="方正小标宋_GBK" w:hAnsi="方正小标宋_GBK" w:eastAsia="方正小标宋_GBK" w:cs="方正小标宋_GBK"/>
                <w:lang w:val="en-US" w:eastAsia="zh-CN"/>
              </w:rPr>
              <w:id w:val="147472569"/>
              <w:placeholder>
                <w:docPart w:val="{1e29cedf-1112-46b1-9ee2-aebd99397e68}"/>
              </w:placeholder>
            </w:sdtPr>
            <w:sdtEndPr>
              <w:rPr>
                <w:rFonts w:hint="default" w:ascii="方正小标宋_GBK" w:hAnsi="方正小标宋_GBK" w:eastAsia="方正小标宋_GBK" w:cs="方正小标宋_GBK"/>
                <w:lang w:val="en-US" w:eastAsia="zh-CN"/>
              </w:rPr>
            </w:sdtEndPr>
            <w:sdtContent>
              <w:r>
                <w:rPr>
                  <w:rFonts w:hint="eastAsia" w:ascii="方正小标宋_GBK" w:hAnsi="方正小标宋_GBK" w:eastAsia="方正小标宋_GBK" w:cs="方正小标宋_GBK"/>
                </w:rPr>
                <w:t>第四部分  附件</w:t>
              </w:r>
            </w:sdtContent>
          </w:sdt>
          <w:r>
            <w:rPr>
              <w:rFonts w:hint="default" w:ascii="方正小标宋_GBK" w:hAnsi="方正小标宋_GBK" w:eastAsia="方正小标宋_GBK" w:cs="方正小标宋_GBK"/>
            </w:rPr>
            <w:tab/>
          </w:r>
          <w:bookmarkStart w:id="17" w:name="_Toc24846_WPSOffice_Level1Page"/>
          <w:r>
            <w:rPr>
              <w:rFonts w:hint="default" w:ascii="方正小标宋_GBK" w:hAnsi="方正小标宋_GBK" w:eastAsia="方正小标宋_GBK" w:cs="方正小标宋_GBK"/>
            </w:rPr>
            <w:t>18</w:t>
          </w:r>
          <w:bookmarkEnd w:id="17"/>
          <w:r>
            <w:rPr>
              <w:rFonts w:hint="default" w:ascii="方正小标宋_GBK" w:hAnsi="方正小标宋_GBK" w:eastAsia="方正小标宋_GBK" w:cs="方正小标宋_GBK"/>
            </w:rPr>
            <w:fldChar w:fldCharType="end"/>
          </w:r>
        </w:p>
        <w:p>
          <w:pPr>
            <w:pStyle w:val="12"/>
            <w:tabs>
              <w:tab w:val="right" w:leader="dot" w:pos="8306"/>
              <w:tab w:val="clear" w:pos="8296"/>
            </w:tabs>
            <w:rPr>
              <w:rFonts w:hint="default" w:ascii="Times New Roman" w:hAnsi="Times New Roman" w:cs="Times New Roman"/>
            </w:rPr>
          </w:pPr>
          <w:r>
            <w:rPr>
              <w:rFonts w:hint="default" w:ascii="方正小标宋_GBK" w:hAnsi="方正小标宋_GBK" w:eastAsia="方正小标宋_GBK" w:cs="方正小标宋_GBK"/>
            </w:rPr>
            <w:fldChar w:fldCharType="begin"/>
          </w:r>
          <w:r>
            <w:rPr>
              <w:rFonts w:hint="default" w:ascii="方正小标宋_GBK" w:hAnsi="方正小标宋_GBK" w:eastAsia="方正小标宋_GBK" w:cs="方正小标宋_GBK"/>
            </w:rPr>
            <w:instrText xml:space="preserve"> HYPERLINK \l _Toc970_WPSOffice_Level1 </w:instrText>
          </w:r>
          <w:r>
            <w:rPr>
              <w:rFonts w:hint="default" w:ascii="方正小标宋_GBK" w:hAnsi="方正小标宋_GBK" w:eastAsia="方正小标宋_GBK" w:cs="方正小标宋_GBK"/>
            </w:rPr>
            <w:fldChar w:fldCharType="separate"/>
          </w:r>
          <w:sdt>
            <w:sdtPr>
              <w:rPr>
                <w:rFonts w:hint="default" w:ascii="方正小标宋_GBK" w:hAnsi="方正小标宋_GBK" w:eastAsia="方正小标宋_GBK" w:cs="方正小标宋_GBK"/>
                <w:lang w:val="en-US" w:eastAsia="zh-CN"/>
              </w:rPr>
              <w:id w:val="147472569"/>
              <w:placeholder>
                <w:docPart w:val="{514882b8-aec9-4213-8cb1-d49af48c1951}"/>
              </w:placeholder>
            </w:sdtPr>
            <w:sdtEndPr>
              <w:rPr>
                <w:rFonts w:hint="default" w:ascii="方正小标宋_GBK" w:hAnsi="方正小标宋_GBK" w:eastAsia="方正小标宋_GBK" w:cs="方正小标宋_GBK"/>
                <w:lang w:val="en-US" w:eastAsia="zh-CN"/>
              </w:rPr>
            </w:sdtEndPr>
            <w:sdtContent>
              <w:r>
                <w:rPr>
                  <w:rFonts w:hint="eastAsia" w:ascii="方正小标宋_GBK" w:hAnsi="方正小标宋_GBK" w:eastAsia="方正小标宋_GBK" w:cs="方正小标宋_GBK"/>
                </w:rPr>
                <w:t>第五部分 附表</w:t>
              </w:r>
            </w:sdtContent>
          </w:sdt>
          <w:r>
            <w:rPr>
              <w:rFonts w:hint="default" w:ascii="方正小标宋_GBK" w:hAnsi="方正小标宋_GBK" w:eastAsia="方正小标宋_GBK" w:cs="方正小标宋_GBK"/>
            </w:rPr>
            <w:tab/>
          </w:r>
          <w:bookmarkStart w:id="18" w:name="_Toc970_WPSOffice_Level1Page"/>
          <w:r>
            <w:rPr>
              <w:rFonts w:hint="default" w:ascii="方正小标宋_GBK" w:hAnsi="方正小标宋_GBK" w:eastAsia="方正小标宋_GBK" w:cs="方正小标宋_GBK"/>
            </w:rPr>
            <w:t>19</w:t>
          </w:r>
          <w:bookmarkEnd w:id="18"/>
          <w:r>
            <w:rPr>
              <w:rFonts w:hint="default" w:ascii="方正小标宋_GBK" w:hAnsi="方正小标宋_GBK" w:eastAsia="方正小标宋_GBK" w:cs="方正小标宋_GBK"/>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_Toc30318_WPSOffice_Level2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18dbd6a2-4792-4b2a-b695-84acd74c89da}"/>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一、收入支出决算总表</w:t>
              </w:r>
            </w:sdtContent>
          </w:sdt>
          <w:r>
            <w:rPr>
              <w:rFonts w:hint="default" w:ascii="黑体" w:hAnsi="黑体" w:eastAsia="黑体" w:cs="黑体"/>
              <w:sz w:val="21"/>
              <w:szCs w:val="21"/>
            </w:rPr>
            <w:tab/>
          </w:r>
          <w:bookmarkStart w:id="19" w:name="_Toc30318_WPSOffice_Level2Page"/>
          <w:r>
            <w:rPr>
              <w:rFonts w:hint="default" w:ascii="黑体" w:hAnsi="黑体" w:eastAsia="黑体" w:cs="黑体"/>
              <w:sz w:val="21"/>
              <w:szCs w:val="21"/>
            </w:rPr>
            <w:t>19</w:t>
          </w:r>
          <w:bookmarkEnd w:id="19"/>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_Toc29924_WPSOffice_Level2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88f0a57a-f9d6-430b-9735-e02a132d5f97}"/>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二、收入决算表</w:t>
              </w:r>
            </w:sdtContent>
          </w:sdt>
          <w:r>
            <w:rPr>
              <w:rFonts w:hint="default" w:ascii="黑体" w:hAnsi="黑体" w:eastAsia="黑体" w:cs="黑体"/>
              <w:sz w:val="21"/>
              <w:szCs w:val="21"/>
            </w:rPr>
            <w:tab/>
          </w:r>
          <w:bookmarkStart w:id="20" w:name="_Toc29924_WPSOffice_Level2Page"/>
          <w:r>
            <w:rPr>
              <w:rFonts w:hint="default" w:ascii="黑体" w:hAnsi="黑体" w:eastAsia="黑体" w:cs="黑体"/>
              <w:sz w:val="21"/>
              <w:szCs w:val="21"/>
            </w:rPr>
            <w:t>19</w:t>
          </w:r>
          <w:bookmarkEnd w:id="20"/>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_Toc19141_WPSOffice_Level2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0c6237a2-2f9e-42c1-a26e-f7754bf5d920}"/>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三、支出决算表</w:t>
              </w:r>
            </w:sdtContent>
          </w:sdt>
          <w:r>
            <w:rPr>
              <w:rFonts w:hint="default" w:ascii="黑体" w:hAnsi="黑体" w:eastAsia="黑体" w:cs="黑体"/>
              <w:sz w:val="21"/>
              <w:szCs w:val="21"/>
            </w:rPr>
            <w:tab/>
          </w:r>
          <w:bookmarkStart w:id="21" w:name="_Toc19141_WPSOffice_Level2Page"/>
          <w:r>
            <w:rPr>
              <w:rFonts w:hint="default" w:ascii="黑体" w:hAnsi="黑体" w:eastAsia="黑体" w:cs="黑体"/>
              <w:sz w:val="21"/>
              <w:szCs w:val="21"/>
            </w:rPr>
            <w:t>19</w:t>
          </w:r>
          <w:bookmarkEnd w:id="21"/>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_Toc13250_WPSOffice_Level2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12d34e11-1eef-4929-b089-6acbe02168b0}"/>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四、财政拨款收入支出决算总表</w:t>
              </w:r>
            </w:sdtContent>
          </w:sdt>
          <w:r>
            <w:rPr>
              <w:rFonts w:hint="default" w:ascii="黑体" w:hAnsi="黑体" w:eastAsia="黑体" w:cs="黑体"/>
              <w:sz w:val="21"/>
              <w:szCs w:val="21"/>
            </w:rPr>
            <w:tab/>
          </w:r>
          <w:bookmarkStart w:id="22" w:name="_Toc13250_WPSOffice_Level2Page"/>
          <w:r>
            <w:rPr>
              <w:rFonts w:hint="default" w:ascii="黑体" w:hAnsi="黑体" w:eastAsia="黑体" w:cs="黑体"/>
              <w:sz w:val="21"/>
              <w:szCs w:val="21"/>
            </w:rPr>
            <w:t>19</w:t>
          </w:r>
          <w:bookmarkEnd w:id="22"/>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_Toc23959_WPSOffice_Level2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8fb5281b-5ab9-4e6d-a0c6-28a4c1fe37cf}"/>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五、财政拨款支出决算明细表</w:t>
              </w:r>
            </w:sdtContent>
          </w:sdt>
          <w:r>
            <w:rPr>
              <w:rFonts w:hint="default" w:ascii="黑体" w:hAnsi="黑体" w:eastAsia="黑体" w:cs="黑体"/>
              <w:sz w:val="21"/>
              <w:szCs w:val="21"/>
            </w:rPr>
            <w:tab/>
          </w:r>
          <w:bookmarkStart w:id="23" w:name="_Toc23959_WPSOffice_Level2Page"/>
          <w:r>
            <w:rPr>
              <w:rFonts w:hint="default" w:ascii="黑体" w:hAnsi="黑体" w:eastAsia="黑体" w:cs="黑体"/>
              <w:sz w:val="21"/>
              <w:szCs w:val="21"/>
            </w:rPr>
            <w:t>19</w:t>
          </w:r>
          <w:bookmarkEnd w:id="23"/>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_Toc933_WPSOffice_Level2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dabe40e5-c8ee-4292-b0be-8b8febec5d81}"/>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六、一般公共预算财政拨款支出决算表</w:t>
              </w:r>
            </w:sdtContent>
          </w:sdt>
          <w:r>
            <w:rPr>
              <w:rFonts w:hint="default" w:ascii="黑体" w:hAnsi="黑体" w:eastAsia="黑体" w:cs="黑体"/>
              <w:sz w:val="21"/>
              <w:szCs w:val="21"/>
            </w:rPr>
            <w:tab/>
          </w:r>
          <w:bookmarkStart w:id="24" w:name="_Toc933_WPSOffice_Level2Page"/>
          <w:r>
            <w:rPr>
              <w:rFonts w:hint="default" w:ascii="黑体" w:hAnsi="黑体" w:eastAsia="黑体" w:cs="黑体"/>
              <w:sz w:val="21"/>
              <w:szCs w:val="21"/>
            </w:rPr>
            <w:t>19</w:t>
          </w:r>
          <w:bookmarkEnd w:id="24"/>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_Toc28934_WPSOffice_Level2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7fb0eb79-c39c-46ce-ba6b-4064db739771}"/>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七、一般公共预算财政拨款支出决算明细表</w:t>
              </w:r>
            </w:sdtContent>
          </w:sdt>
          <w:r>
            <w:rPr>
              <w:rFonts w:hint="default" w:ascii="黑体" w:hAnsi="黑体" w:eastAsia="黑体" w:cs="黑体"/>
              <w:sz w:val="21"/>
              <w:szCs w:val="21"/>
            </w:rPr>
            <w:tab/>
          </w:r>
          <w:bookmarkStart w:id="25" w:name="_Toc28934_WPSOffice_Level2Page"/>
          <w:r>
            <w:rPr>
              <w:rFonts w:hint="default" w:ascii="黑体" w:hAnsi="黑体" w:eastAsia="黑体" w:cs="黑体"/>
              <w:sz w:val="21"/>
              <w:szCs w:val="21"/>
            </w:rPr>
            <w:t>19</w:t>
          </w:r>
          <w:bookmarkEnd w:id="25"/>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_Toc27576_WPSOffice_Level2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3ff69ae7-473d-4ace-91a9-8125279c5ded}"/>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八、一般公共预算财政拨款基本支出决算表</w:t>
              </w:r>
            </w:sdtContent>
          </w:sdt>
          <w:r>
            <w:rPr>
              <w:rFonts w:hint="default" w:ascii="黑体" w:hAnsi="黑体" w:eastAsia="黑体" w:cs="黑体"/>
              <w:sz w:val="21"/>
              <w:szCs w:val="21"/>
            </w:rPr>
            <w:tab/>
          </w:r>
          <w:bookmarkStart w:id="26" w:name="_Toc27576_WPSOffice_Level2Page"/>
          <w:r>
            <w:rPr>
              <w:rFonts w:hint="default" w:ascii="黑体" w:hAnsi="黑体" w:eastAsia="黑体" w:cs="黑体"/>
              <w:sz w:val="21"/>
              <w:szCs w:val="21"/>
            </w:rPr>
            <w:t>19</w:t>
          </w:r>
          <w:bookmarkEnd w:id="26"/>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_Toc20184_WPSOffice_Level2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6bea4a9e-f494-47c7-86a4-29b0d6add909}"/>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九、一般公共预算财政拨款项目支出决算表</w:t>
              </w:r>
            </w:sdtContent>
          </w:sdt>
          <w:r>
            <w:rPr>
              <w:rFonts w:hint="default" w:ascii="黑体" w:hAnsi="黑体" w:eastAsia="黑体" w:cs="黑体"/>
              <w:sz w:val="21"/>
              <w:szCs w:val="21"/>
            </w:rPr>
            <w:tab/>
          </w:r>
          <w:bookmarkStart w:id="27" w:name="_Toc20184_WPSOffice_Level2Page"/>
          <w:r>
            <w:rPr>
              <w:rFonts w:hint="default" w:ascii="黑体" w:hAnsi="黑体" w:eastAsia="黑体" w:cs="黑体"/>
              <w:sz w:val="21"/>
              <w:szCs w:val="21"/>
            </w:rPr>
            <w:t>19</w:t>
          </w:r>
          <w:bookmarkEnd w:id="27"/>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_Toc6339_WPSOffice_Level2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1ea53825-bb5f-4d93-ae94-149b3a5c433b}"/>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十、政府性基金预算财政拨款收入支出决算表</w:t>
              </w:r>
            </w:sdtContent>
          </w:sdt>
          <w:r>
            <w:rPr>
              <w:rFonts w:hint="default" w:ascii="黑体" w:hAnsi="黑体" w:eastAsia="黑体" w:cs="黑体"/>
              <w:sz w:val="21"/>
              <w:szCs w:val="21"/>
            </w:rPr>
            <w:tab/>
          </w:r>
          <w:bookmarkStart w:id="28" w:name="_Toc6339_WPSOffice_Level2Page"/>
          <w:r>
            <w:rPr>
              <w:rFonts w:hint="default" w:ascii="黑体" w:hAnsi="黑体" w:eastAsia="黑体" w:cs="黑体"/>
              <w:sz w:val="21"/>
              <w:szCs w:val="21"/>
            </w:rPr>
            <w:t>19</w:t>
          </w:r>
          <w:bookmarkEnd w:id="28"/>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_Toc23116_WPSOffice_Level2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98e3a7a2-123d-4891-aab7-617446e4ad73}"/>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十一、国有资本经营预算财政拨款收入支出决算表</w:t>
              </w:r>
            </w:sdtContent>
          </w:sdt>
          <w:r>
            <w:rPr>
              <w:rFonts w:hint="default" w:ascii="黑体" w:hAnsi="黑体" w:eastAsia="黑体" w:cs="黑体"/>
              <w:sz w:val="21"/>
              <w:szCs w:val="21"/>
            </w:rPr>
            <w:tab/>
          </w:r>
          <w:bookmarkStart w:id="29" w:name="_Toc23116_WPSOffice_Level2Page"/>
          <w:r>
            <w:rPr>
              <w:rFonts w:hint="default" w:ascii="黑体" w:hAnsi="黑体" w:eastAsia="黑体" w:cs="黑体"/>
              <w:sz w:val="21"/>
              <w:szCs w:val="21"/>
            </w:rPr>
            <w:t>19</w:t>
          </w:r>
          <w:bookmarkEnd w:id="29"/>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_Toc3139_WPSOffice_Level2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ce241d5f-1ce1-4228-9421-7ea233246592}"/>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十二、国有资本经营预算财政拨款支出决算表</w:t>
              </w:r>
            </w:sdtContent>
          </w:sdt>
          <w:r>
            <w:rPr>
              <w:rFonts w:hint="default" w:ascii="黑体" w:hAnsi="黑体" w:eastAsia="黑体" w:cs="黑体"/>
              <w:sz w:val="21"/>
              <w:szCs w:val="21"/>
            </w:rPr>
            <w:tab/>
          </w:r>
          <w:bookmarkStart w:id="30" w:name="_Toc3139_WPSOffice_Level2Page"/>
          <w:r>
            <w:rPr>
              <w:rFonts w:hint="default" w:ascii="黑体" w:hAnsi="黑体" w:eastAsia="黑体" w:cs="黑体"/>
              <w:sz w:val="21"/>
              <w:szCs w:val="21"/>
            </w:rPr>
            <w:t>19</w:t>
          </w:r>
          <w:bookmarkEnd w:id="30"/>
          <w:r>
            <w:rPr>
              <w:rFonts w:hint="default" w:ascii="黑体" w:hAnsi="黑体" w:eastAsia="黑体" w:cs="黑体"/>
              <w:sz w:val="21"/>
              <w:szCs w:val="21"/>
            </w:rPr>
            <w:fldChar w:fldCharType="end"/>
          </w:r>
        </w:p>
        <w:p>
          <w:pPr>
            <w:pStyle w:val="12"/>
            <w:tabs>
              <w:tab w:val="right" w:leader="dot" w:pos="8306"/>
              <w:tab w:val="clear" w:pos="8296"/>
            </w:tabs>
            <w:rPr>
              <w:rFonts w:hint="default" w:ascii="黑体" w:hAnsi="黑体" w:eastAsia="黑体" w:cs="黑体"/>
              <w:sz w:val="21"/>
              <w:szCs w:val="21"/>
            </w:rPr>
          </w:pPr>
          <w:r>
            <w:rPr>
              <w:rFonts w:hint="default" w:ascii="黑体" w:hAnsi="黑体" w:eastAsia="黑体" w:cs="黑体"/>
              <w:sz w:val="21"/>
              <w:szCs w:val="21"/>
            </w:rPr>
            <w:fldChar w:fldCharType="begin"/>
          </w:r>
          <w:r>
            <w:rPr>
              <w:rFonts w:hint="default" w:ascii="黑体" w:hAnsi="黑体" w:eastAsia="黑体" w:cs="黑体"/>
              <w:sz w:val="21"/>
              <w:szCs w:val="21"/>
            </w:rPr>
            <w:instrText xml:space="preserve"> HYPERLINK \l _Toc21852_WPSOffice_Level2 </w:instrText>
          </w:r>
          <w:r>
            <w:rPr>
              <w:rFonts w:hint="default" w:ascii="黑体" w:hAnsi="黑体" w:eastAsia="黑体" w:cs="黑体"/>
              <w:sz w:val="21"/>
              <w:szCs w:val="21"/>
            </w:rPr>
            <w:fldChar w:fldCharType="separate"/>
          </w:r>
          <w:sdt>
            <w:sdtPr>
              <w:rPr>
                <w:rFonts w:hint="default" w:ascii="黑体" w:hAnsi="黑体" w:eastAsia="黑体" w:cs="黑体"/>
                <w:sz w:val="21"/>
                <w:szCs w:val="21"/>
                <w:lang w:val="en-US" w:eastAsia="zh-CN"/>
              </w:rPr>
              <w:id w:val="147472569"/>
              <w:placeholder>
                <w:docPart w:val="{752c296b-d14e-406e-9ea7-3c9004f8703c}"/>
              </w:placeholder>
            </w:sdtPr>
            <w:sdtEndPr>
              <w:rPr>
                <w:rFonts w:hint="default" w:ascii="黑体" w:hAnsi="黑体" w:eastAsia="黑体" w:cs="黑体"/>
                <w:sz w:val="21"/>
                <w:szCs w:val="21"/>
                <w:lang w:val="en-US" w:eastAsia="zh-CN"/>
              </w:rPr>
            </w:sdtEndPr>
            <w:sdtContent>
              <w:r>
                <w:rPr>
                  <w:rFonts w:hint="eastAsia" w:ascii="黑体" w:hAnsi="黑体" w:eastAsia="黑体" w:cs="黑体"/>
                  <w:sz w:val="21"/>
                  <w:szCs w:val="21"/>
                </w:rPr>
                <w:t>十三、财政拨款“三公”经费支出决算表</w:t>
              </w:r>
            </w:sdtContent>
          </w:sdt>
          <w:r>
            <w:rPr>
              <w:rFonts w:hint="default" w:ascii="黑体" w:hAnsi="黑体" w:eastAsia="黑体" w:cs="黑体"/>
              <w:sz w:val="21"/>
              <w:szCs w:val="21"/>
            </w:rPr>
            <w:tab/>
          </w:r>
          <w:bookmarkStart w:id="31" w:name="_Toc21852_WPSOffice_Level2Page"/>
          <w:r>
            <w:rPr>
              <w:rFonts w:hint="default" w:ascii="黑体" w:hAnsi="黑体" w:eastAsia="黑体" w:cs="黑体"/>
              <w:sz w:val="21"/>
              <w:szCs w:val="21"/>
            </w:rPr>
            <w:t>19</w:t>
          </w:r>
          <w:bookmarkEnd w:id="31"/>
          <w:r>
            <w:rPr>
              <w:rFonts w:hint="default" w:ascii="黑体" w:hAnsi="黑体" w:eastAsia="黑体" w:cs="黑体"/>
              <w:sz w:val="21"/>
              <w:szCs w:val="21"/>
            </w:rPr>
            <w:fldChar w:fldCharType="end"/>
          </w:r>
          <w:bookmarkEnd w:id="0"/>
        </w:p>
      </w:sdtContent>
    </w:sdt>
    <w:p>
      <w:pPr>
        <w:pStyle w:val="2"/>
        <w:tabs>
          <w:tab w:val="center" w:pos="4213"/>
          <w:tab w:val="right" w:pos="8306"/>
        </w:tabs>
        <w:jc w:val="center"/>
        <w:rPr>
          <w:rStyle w:val="28"/>
          <w:rFonts w:hint="eastAsia" w:eastAsia="方正小标宋简体" w:cs="方正小标宋简体"/>
          <w:b/>
          <w:bCs w:val="0"/>
          <w:lang w:eastAsia="zh-CN"/>
        </w:rPr>
      </w:pPr>
      <w:bookmarkStart w:id="32" w:name="_Toc9447"/>
      <w:bookmarkStart w:id="33" w:name="_Toc17535_WPSOffice_Level1"/>
      <w:r>
        <w:rPr>
          <w:rFonts w:hint="eastAsia" w:ascii="Times New Roman" w:hAnsi="Times New Roman" w:eastAsia="方正小标宋简体" w:cs="Times New Roman"/>
          <w:b w:val="0"/>
        </w:rPr>
        <w:t>第一部分  单位概况</w:t>
      </w:r>
      <w:bookmarkEnd w:id="1"/>
      <w:bookmarkEnd w:id="32"/>
      <w:bookmarkEnd w:id="33"/>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default" w:ascii="Times New Roman" w:hAnsi="Times New Roman" w:eastAsia="黑体" w:cs="Times New Roman"/>
          <w:color w:val="auto"/>
          <w:sz w:val="32"/>
          <w:szCs w:val="32"/>
          <w:highlight w:val="none"/>
          <w:lang w:val="en-US" w:eastAsia="zh-CN"/>
        </w:rPr>
      </w:pPr>
      <w:bookmarkStart w:id="34" w:name="_Toc24623"/>
      <w:bookmarkStart w:id="35" w:name="_Toc25246"/>
      <w:bookmarkStart w:id="36" w:name="_Toc23237_WPSOffice_Level2"/>
      <w:r>
        <w:rPr>
          <w:rFonts w:hint="eastAsia" w:eastAsia="黑体" w:cs="Times New Roman"/>
          <w:color w:val="auto"/>
          <w:sz w:val="32"/>
          <w:szCs w:val="32"/>
          <w:highlight w:val="none"/>
          <w:lang w:val="en-US" w:eastAsia="zh-CN"/>
        </w:rPr>
        <w:t>一、</w:t>
      </w:r>
      <w:r>
        <w:rPr>
          <w:rFonts w:hint="eastAsia" w:ascii="Times New Roman" w:hAnsi="Times New Roman" w:eastAsia="黑体" w:cs="Times New Roman"/>
          <w:color w:val="auto"/>
          <w:sz w:val="32"/>
          <w:szCs w:val="32"/>
          <w:highlight w:val="none"/>
          <w:lang w:val="en-US" w:eastAsia="zh-CN"/>
        </w:rPr>
        <w:t>主要职责</w:t>
      </w:r>
      <w:bookmarkEnd w:id="34"/>
      <w:bookmarkEnd w:id="35"/>
      <w:bookmarkEnd w:id="36"/>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方正仿宋_GBK" w:cs="Times New Roman"/>
          <w:color w:val="000000"/>
          <w:kern w:val="2"/>
          <w:sz w:val="32"/>
          <w:szCs w:val="32"/>
          <w:lang w:val="en-US" w:eastAsia="zh-CN" w:bidi="ar-SA"/>
        </w:rPr>
      </w:pPr>
      <w:bookmarkStart w:id="37" w:name="_Toc31865"/>
      <w:bookmarkStart w:id="38" w:name="_Toc15044"/>
      <w:bookmarkStart w:id="39" w:name="_Toc20541"/>
      <w:r>
        <w:rPr>
          <w:rFonts w:hint="eastAsia" w:ascii="Times New Roman" w:hAnsi="Times New Roman" w:eastAsia="方正仿宋_GBK" w:cs="Times New Roman"/>
          <w:color w:val="000000"/>
          <w:kern w:val="2"/>
          <w:sz w:val="32"/>
          <w:szCs w:val="32"/>
          <w:lang w:val="en-US" w:eastAsia="zh-CN" w:bidi="ar-SA"/>
        </w:rPr>
        <w:t>1.</w:t>
      </w:r>
      <w:r>
        <w:rPr>
          <w:rFonts w:hint="default" w:ascii="Times New Roman" w:hAnsi="Times New Roman" w:eastAsia="方正仿宋_GBK" w:cs="Times New Roman"/>
          <w:color w:val="000000"/>
          <w:kern w:val="2"/>
          <w:sz w:val="32"/>
          <w:szCs w:val="32"/>
          <w:lang w:val="en-US" w:eastAsia="zh-CN" w:bidi="ar-SA"/>
        </w:rPr>
        <w:t>贯彻执行党和国家的教育方针、政策</w:t>
      </w:r>
      <w:r>
        <w:rPr>
          <w:rFonts w:hint="eastAsia" w:ascii="Times New Roman" w:hAnsi="Times New Roman" w:eastAsia="方正仿宋_GBK" w:cs="Times New Roman"/>
          <w:color w:val="000000"/>
          <w:kern w:val="2"/>
          <w:sz w:val="32"/>
          <w:szCs w:val="32"/>
          <w:lang w:val="en-US" w:eastAsia="zh-CN" w:bidi="ar-SA"/>
        </w:rPr>
        <w:t>以及相关</w:t>
      </w:r>
      <w:r>
        <w:rPr>
          <w:rFonts w:hint="default" w:ascii="Times New Roman" w:hAnsi="Times New Roman" w:eastAsia="方正仿宋_GBK" w:cs="Times New Roman"/>
          <w:color w:val="000000"/>
          <w:kern w:val="2"/>
          <w:sz w:val="32"/>
          <w:szCs w:val="32"/>
          <w:lang w:val="en-US" w:eastAsia="zh-CN" w:bidi="ar-SA"/>
        </w:rPr>
        <w:t>法规，</w:t>
      </w:r>
      <w:r>
        <w:rPr>
          <w:rFonts w:hint="eastAsia" w:ascii="Times New Roman" w:hAnsi="Times New Roman" w:eastAsia="方正仿宋_GBK" w:cs="Times New Roman"/>
          <w:color w:val="000000"/>
          <w:kern w:val="2"/>
          <w:sz w:val="32"/>
          <w:szCs w:val="32"/>
          <w:lang w:val="en-US" w:eastAsia="zh-CN" w:bidi="ar-SA"/>
        </w:rPr>
        <w:t>扎实推进</w:t>
      </w:r>
      <w:r>
        <w:rPr>
          <w:rFonts w:hint="default" w:ascii="Times New Roman" w:hAnsi="Times New Roman" w:eastAsia="方正仿宋_GBK" w:cs="Times New Roman"/>
          <w:color w:val="000000"/>
          <w:kern w:val="2"/>
          <w:sz w:val="32"/>
          <w:szCs w:val="32"/>
          <w:lang w:val="en-US" w:eastAsia="zh-CN" w:bidi="ar-SA"/>
        </w:rPr>
        <w:t>初中义务教育</w:t>
      </w:r>
      <w:r>
        <w:rPr>
          <w:rFonts w:hint="eastAsia" w:ascii="Times New Roman" w:hAnsi="Times New Roman" w:eastAsia="方正仿宋_GBK" w:cs="Times New Roman"/>
          <w:color w:val="000000"/>
          <w:kern w:val="2"/>
          <w:sz w:val="32"/>
          <w:szCs w:val="32"/>
          <w:lang w:val="en-US" w:eastAsia="zh-CN" w:bidi="ar-SA"/>
        </w:rPr>
        <w:t>工作</w:t>
      </w:r>
      <w:r>
        <w:rPr>
          <w:rFonts w:hint="default" w:ascii="Times New Roman" w:hAnsi="Times New Roman" w:eastAsia="方正仿宋_GBK" w:cs="Times New Roman"/>
          <w:color w:val="000000"/>
          <w:kern w:val="2"/>
          <w:sz w:val="32"/>
          <w:szCs w:val="32"/>
          <w:lang w:val="en-US" w:eastAsia="zh-CN" w:bidi="ar-SA"/>
        </w:rPr>
        <w:t>，</w:t>
      </w:r>
      <w:r>
        <w:rPr>
          <w:rFonts w:hint="eastAsia" w:ascii="Times New Roman" w:hAnsi="Times New Roman" w:eastAsia="方正仿宋_GBK" w:cs="Times New Roman"/>
          <w:color w:val="000000"/>
          <w:kern w:val="2"/>
          <w:sz w:val="32"/>
          <w:szCs w:val="32"/>
          <w:lang w:val="en-US" w:eastAsia="zh-CN" w:bidi="ar-SA"/>
        </w:rPr>
        <w:t>为盐边</w:t>
      </w:r>
      <w:r>
        <w:rPr>
          <w:rFonts w:hint="default" w:ascii="Times New Roman" w:hAnsi="Times New Roman" w:eastAsia="方正仿宋_GBK" w:cs="Times New Roman"/>
          <w:color w:val="000000"/>
          <w:kern w:val="2"/>
          <w:sz w:val="32"/>
          <w:szCs w:val="32"/>
          <w:lang w:val="en-US" w:eastAsia="zh-CN" w:bidi="ar-SA"/>
        </w:rPr>
        <w:t>基础教育</w:t>
      </w:r>
      <w:r>
        <w:rPr>
          <w:rFonts w:hint="eastAsia" w:ascii="Times New Roman" w:hAnsi="Times New Roman" w:eastAsia="方正仿宋_GBK" w:cs="Times New Roman"/>
          <w:color w:val="000000"/>
          <w:kern w:val="2"/>
          <w:sz w:val="32"/>
          <w:szCs w:val="32"/>
          <w:lang w:val="en-US" w:eastAsia="zh-CN" w:bidi="ar-SA"/>
        </w:rPr>
        <w:t>事业的持续、健康发展提供有力支撑；</w:t>
      </w:r>
      <w:bookmarkEnd w:id="37"/>
      <w:bookmarkEnd w:id="38"/>
      <w:bookmarkEnd w:id="39"/>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方正仿宋_GBK" w:cs="Times New Roman"/>
          <w:color w:val="000000"/>
          <w:kern w:val="2"/>
          <w:sz w:val="32"/>
          <w:szCs w:val="32"/>
          <w:lang w:val="en-US" w:eastAsia="zh-CN" w:bidi="ar-SA"/>
        </w:rPr>
      </w:pPr>
      <w:bookmarkStart w:id="40" w:name="_Toc15128"/>
      <w:bookmarkStart w:id="41" w:name="_Toc3982"/>
      <w:bookmarkStart w:id="42" w:name="_Toc3137"/>
      <w:r>
        <w:rPr>
          <w:rFonts w:hint="eastAsia" w:ascii="Times New Roman" w:hAnsi="Times New Roman" w:eastAsia="方正仿宋_GBK" w:cs="Times New Roman"/>
          <w:color w:val="000000"/>
          <w:kern w:val="2"/>
          <w:sz w:val="32"/>
          <w:szCs w:val="32"/>
          <w:lang w:val="en-US" w:eastAsia="zh-CN" w:bidi="ar-SA"/>
        </w:rPr>
        <w:t>2.严格依照县委、县政府以及县教体局的工作部署与发展规划，有效开展</w:t>
      </w:r>
      <w:r>
        <w:rPr>
          <w:rFonts w:hint="default" w:ascii="Times New Roman" w:hAnsi="Times New Roman" w:eastAsia="方正仿宋_GBK" w:cs="Times New Roman"/>
          <w:color w:val="000000"/>
          <w:kern w:val="2"/>
          <w:sz w:val="32"/>
          <w:szCs w:val="32"/>
          <w:lang w:val="en-US" w:eastAsia="zh-CN" w:bidi="ar-SA"/>
        </w:rPr>
        <w:t>初中学历教育，</w:t>
      </w:r>
      <w:r>
        <w:rPr>
          <w:rFonts w:hint="eastAsia" w:ascii="Times New Roman" w:hAnsi="Times New Roman" w:eastAsia="方正仿宋_GBK" w:cs="Times New Roman"/>
          <w:color w:val="000000"/>
          <w:kern w:val="2"/>
          <w:sz w:val="32"/>
          <w:szCs w:val="32"/>
          <w:lang w:val="en-US" w:eastAsia="zh-CN" w:bidi="ar-SA"/>
        </w:rPr>
        <w:t>组织实施各类</w:t>
      </w:r>
      <w:r>
        <w:rPr>
          <w:rFonts w:hint="default" w:ascii="Times New Roman" w:hAnsi="Times New Roman" w:eastAsia="方正仿宋_GBK" w:cs="Times New Roman"/>
          <w:color w:val="000000"/>
          <w:kern w:val="2"/>
          <w:sz w:val="32"/>
          <w:szCs w:val="32"/>
          <w:lang w:val="en-US" w:eastAsia="zh-CN" w:bidi="ar-SA"/>
        </w:rPr>
        <w:t>教育教学活动</w:t>
      </w:r>
      <w:r>
        <w:rPr>
          <w:rFonts w:hint="eastAsia" w:ascii="Times New Roman" w:hAnsi="Times New Roman" w:eastAsia="方正仿宋_GBK" w:cs="Times New Roman"/>
          <w:color w:val="000000"/>
          <w:kern w:val="2"/>
          <w:sz w:val="32"/>
          <w:szCs w:val="32"/>
          <w:lang w:val="en-US" w:eastAsia="zh-CN" w:bidi="ar-SA"/>
        </w:rPr>
        <w:t>，保障教育教学质量；</w:t>
      </w:r>
      <w:bookmarkEnd w:id="40"/>
      <w:bookmarkEnd w:id="41"/>
      <w:bookmarkEnd w:id="42"/>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default" w:ascii="Times New Roman" w:hAnsi="Times New Roman" w:eastAsia="方正仿宋_GBK" w:cs="Times New Roman"/>
          <w:color w:val="000000"/>
          <w:kern w:val="2"/>
          <w:sz w:val="32"/>
          <w:szCs w:val="32"/>
          <w:lang w:val="en-US" w:eastAsia="zh-CN" w:bidi="ar-SA"/>
        </w:rPr>
      </w:pPr>
      <w:bookmarkStart w:id="43" w:name="_Toc20667"/>
      <w:bookmarkStart w:id="44" w:name="_Toc22961"/>
      <w:bookmarkStart w:id="45" w:name="_Toc2838"/>
      <w:r>
        <w:rPr>
          <w:rFonts w:hint="eastAsia" w:ascii="Times New Roman" w:hAnsi="Times New Roman" w:eastAsia="方正仿宋_GBK" w:cs="Times New Roman"/>
          <w:color w:val="000000"/>
          <w:kern w:val="2"/>
          <w:sz w:val="32"/>
          <w:szCs w:val="32"/>
          <w:lang w:val="en-US" w:eastAsia="zh-CN" w:bidi="ar-SA"/>
        </w:rPr>
        <w:t>3.负责学校师资队伍建设，提升教师专业素养，加强学校管理，营造良好的教育教学环境</w:t>
      </w:r>
      <w:r>
        <w:rPr>
          <w:rFonts w:hint="default" w:ascii="Times New Roman" w:hAnsi="Times New Roman" w:eastAsia="方正仿宋_GBK" w:cs="Times New Roman"/>
          <w:color w:val="000000"/>
          <w:kern w:val="2"/>
          <w:sz w:val="32"/>
          <w:szCs w:val="32"/>
          <w:lang w:val="en-US" w:eastAsia="zh-CN" w:bidi="ar-SA"/>
        </w:rPr>
        <w:t>。</w:t>
      </w:r>
      <w:bookmarkEnd w:id="43"/>
      <w:bookmarkEnd w:id="44"/>
      <w:bookmarkEnd w:id="45"/>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黑体" w:cs="Times New Roman"/>
          <w:color w:val="auto"/>
          <w:sz w:val="32"/>
          <w:szCs w:val="32"/>
          <w:highlight w:val="none"/>
          <w:lang w:val="en-US" w:eastAsia="zh-CN"/>
        </w:rPr>
      </w:pPr>
      <w:bookmarkStart w:id="46" w:name="_Toc16260"/>
      <w:bookmarkStart w:id="47" w:name="_Toc9786"/>
      <w:bookmarkStart w:id="48" w:name="_Toc4611_WPSOffice_Level2"/>
      <w:r>
        <w:rPr>
          <w:rFonts w:hint="eastAsia" w:eastAsia="黑体" w:cs="Times New Roman"/>
          <w:color w:val="auto"/>
          <w:sz w:val="32"/>
          <w:szCs w:val="32"/>
          <w:highlight w:val="none"/>
          <w:lang w:val="en-US" w:eastAsia="zh-CN"/>
        </w:rPr>
        <w:t>二、</w:t>
      </w:r>
      <w:r>
        <w:rPr>
          <w:rFonts w:hint="eastAsia" w:ascii="Times New Roman" w:hAnsi="Times New Roman" w:eastAsia="黑体" w:cs="Times New Roman"/>
          <w:color w:val="auto"/>
          <w:sz w:val="32"/>
          <w:szCs w:val="32"/>
          <w:highlight w:val="none"/>
          <w:lang w:val="en-US" w:eastAsia="zh-CN"/>
        </w:rPr>
        <w:t>机构设置</w:t>
      </w:r>
      <w:bookmarkEnd w:id="46"/>
      <w:bookmarkEnd w:id="47"/>
      <w:bookmarkEnd w:id="48"/>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default" w:ascii="Times New Roman" w:hAnsi="Times New Roman" w:eastAsia="方正仿宋_GBK" w:cs="Times New Roman"/>
          <w:color w:val="auto"/>
          <w:sz w:val="32"/>
          <w:szCs w:val="32"/>
          <w:highlight w:val="none"/>
          <w:lang w:val="en-US" w:eastAsia="zh-CN"/>
        </w:rPr>
      </w:pPr>
      <w:bookmarkStart w:id="49" w:name="_Toc26472"/>
      <w:bookmarkStart w:id="50" w:name="_Toc5611"/>
      <w:bookmarkStart w:id="51" w:name="_Toc24732"/>
      <w:r>
        <w:rPr>
          <w:rFonts w:hint="default" w:ascii="Times New Roman" w:hAnsi="Times New Roman" w:eastAsia="方正仿宋_GBK" w:cs="Times New Roman"/>
          <w:color w:val="auto"/>
          <w:sz w:val="32"/>
          <w:szCs w:val="32"/>
          <w:highlight w:val="none"/>
          <w:lang w:val="en-US" w:eastAsia="zh-CN"/>
        </w:rPr>
        <w:t>盐边县渔门镇初级中学校是盐边县教育和体育局下属的二级预算单位。学校内部设置：办公室、教务室、总务室、德育室、法治办公室、教科室、学校工会等机构。</w:t>
      </w:r>
      <w:bookmarkEnd w:id="49"/>
      <w:bookmarkEnd w:id="50"/>
      <w:bookmarkEnd w:id="51"/>
    </w:p>
    <w:p>
      <w:pPr>
        <w:keepNext/>
        <w:keepLines/>
        <w:widowControl w:val="0"/>
        <w:spacing w:before="340" w:after="330" w:line="578" w:lineRule="auto"/>
        <w:jc w:val="center"/>
        <w:outlineLvl w:val="9"/>
        <w:rPr>
          <w:rFonts w:hint="eastAsia" w:ascii="Times New Roman" w:hAnsi="Times New Roman" w:eastAsia="方正小标宋简体" w:cs="方正小标宋简体"/>
          <w:b w:val="0"/>
          <w:bCs/>
          <w:color w:val="auto"/>
          <w:kern w:val="44"/>
          <w:sz w:val="44"/>
          <w:szCs w:val="44"/>
          <w:highlight w:val="none"/>
          <w:lang w:val="en-US" w:eastAsia="zh-CN" w:bidi="ar-SA"/>
        </w:rPr>
      </w:pPr>
    </w:p>
    <w:p>
      <w:pPr>
        <w:keepNext/>
        <w:keepLines/>
        <w:widowControl w:val="0"/>
        <w:spacing w:before="340" w:after="330" w:line="578" w:lineRule="auto"/>
        <w:jc w:val="center"/>
        <w:outlineLvl w:val="9"/>
        <w:rPr>
          <w:rFonts w:hint="eastAsia" w:ascii="Times New Roman" w:hAnsi="Times New Roman" w:eastAsia="方正小标宋简体" w:cs="方正小标宋简体"/>
          <w:b w:val="0"/>
          <w:bCs/>
          <w:color w:val="auto"/>
          <w:kern w:val="44"/>
          <w:sz w:val="44"/>
          <w:szCs w:val="44"/>
          <w:highlight w:val="none"/>
          <w:lang w:val="en-US" w:eastAsia="zh-CN" w:bidi="ar-SA"/>
        </w:rPr>
      </w:pPr>
    </w:p>
    <w:p>
      <w:pPr>
        <w:rPr>
          <w:rFonts w:hint="eastAsia" w:ascii="Times New Roman" w:hAnsi="Times New Roman" w:eastAsia="方正小标宋简体" w:cs="方正小标宋简体"/>
          <w:b w:val="0"/>
          <w:color w:val="auto"/>
          <w:highlight w:val="none"/>
        </w:rPr>
      </w:pPr>
    </w:p>
    <w:p>
      <w:pPr>
        <w:rPr>
          <w:rFonts w:hint="eastAsia" w:ascii="Times New Roman" w:hAnsi="Times New Roman" w:eastAsia="方正小标宋简体" w:cs="方正小标宋简体"/>
          <w:b w:val="0"/>
          <w:color w:val="auto"/>
          <w:highlight w:val="none"/>
        </w:rPr>
      </w:pPr>
    </w:p>
    <w:p>
      <w:pPr>
        <w:keepNext w:val="0"/>
        <w:keepLines w:val="0"/>
        <w:pageBreakBefore w:val="0"/>
        <w:widowControl/>
        <w:kinsoku/>
        <w:wordWrap/>
        <w:overflowPunct/>
        <w:topLinePunct w:val="0"/>
        <w:bidi w:val="0"/>
        <w:spacing w:line="240" w:lineRule="auto"/>
        <w:jc w:val="center"/>
        <w:textAlignment w:val="auto"/>
        <w:rPr>
          <w:rFonts w:hint="eastAsia" w:ascii="Times New Roman" w:hAnsi="Times New Roman" w:eastAsia="方正小标宋简体" w:cs="Times New Roman"/>
          <w:b w:val="0"/>
          <w:bCs/>
          <w:kern w:val="44"/>
          <w:sz w:val="44"/>
          <w:szCs w:val="44"/>
          <w:lang w:val="en-US" w:eastAsia="zh-CN" w:bidi="ar-SA"/>
        </w:rPr>
      </w:pPr>
      <w:bookmarkStart w:id="52" w:name="_Toc25415"/>
      <w:bookmarkStart w:id="53" w:name="_Toc23237_WPSOffice_Level1"/>
    </w:p>
    <w:p>
      <w:pPr>
        <w:keepNext w:val="0"/>
        <w:keepLines w:val="0"/>
        <w:pageBreakBefore w:val="0"/>
        <w:widowControl/>
        <w:kinsoku/>
        <w:wordWrap/>
        <w:overflowPunct/>
        <w:topLinePunct w:val="0"/>
        <w:bidi w:val="0"/>
        <w:spacing w:line="240" w:lineRule="auto"/>
        <w:jc w:val="center"/>
        <w:textAlignment w:val="auto"/>
        <w:rPr>
          <w:rFonts w:hint="eastAsia" w:ascii="Times New Roman" w:hAnsi="Times New Roman" w:eastAsia="方正小标宋简体" w:cs="Times New Roman"/>
          <w:b w:val="0"/>
          <w:bCs/>
          <w:kern w:val="44"/>
          <w:sz w:val="44"/>
          <w:szCs w:val="44"/>
          <w:lang w:val="en-US" w:eastAsia="zh-CN" w:bidi="ar-SA"/>
        </w:rPr>
      </w:pPr>
    </w:p>
    <w:p>
      <w:pPr>
        <w:keepNext w:val="0"/>
        <w:keepLines w:val="0"/>
        <w:pageBreakBefore w:val="0"/>
        <w:widowControl/>
        <w:kinsoku/>
        <w:wordWrap/>
        <w:overflowPunct/>
        <w:topLinePunct w:val="0"/>
        <w:bidi w:val="0"/>
        <w:spacing w:line="240" w:lineRule="auto"/>
        <w:jc w:val="center"/>
        <w:textAlignment w:val="auto"/>
        <w:rPr>
          <w:rFonts w:hint="eastAsia" w:ascii="Times New Roman" w:hAnsi="Times New Roman" w:eastAsia="方正小标宋简体" w:cs="Times New Roman"/>
          <w:b w:val="0"/>
          <w:bCs/>
          <w:kern w:val="44"/>
          <w:sz w:val="44"/>
          <w:szCs w:val="44"/>
          <w:lang w:val="en-US" w:eastAsia="zh-CN" w:bidi="ar-SA"/>
        </w:rPr>
      </w:pPr>
      <w:r>
        <w:rPr>
          <w:rFonts w:hint="eastAsia" w:ascii="Times New Roman" w:hAnsi="Times New Roman" w:eastAsia="方正小标宋简体" w:cs="Times New Roman"/>
          <w:b w:val="0"/>
          <w:bCs/>
          <w:kern w:val="44"/>
          <w:sz w:val="44"/>
          <w:szCs w:val="44"/>
          <w:lang w:val="en-US" w:eastAsia="zh-CN" w:bidi="ar-SA"/>
        </w:rPr>
        <w:t>第二部分  2024年度部门决算情况说明</w:t>
      </w:r>
      <w:bookmarkEnd w:id="52"/>
      <w:bookmarkEnd w:id="53"/>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黑体" w:cs="Times New Roman"/>
          <w:color w:val="auto"/>
          <w:sz w:val="32"/>
          <w:szCs w:val="32"/>
          <w:highlight w:val="none"/>
          <w:lang w:eastAsia="zh-CN"/>
        </w:rPr>
      </w:pPr>
      <w:bookmarkStart w:id="54" w:name="_Toc15377205"/>
      <w:bookmarkStart w:id="55" w:name="_Toc15396603"/>
      <w:bookmarkStart w:id="56" w:name="_Toc4329"/>
      <w:bookmarkStart w:id="57" w:name="_Toc4156"/>
      <w:bookmarkStart w:id="58" w:name="_Toc24846_WPSOffice_Level2"/>
      <w:r>
        <w:rPr>
          <w:rFonts w:hint="eastAsia" w:ascii="Times New Roman" w:hAnsi="Times New Roman" w:eastAsia="黑体" w:cs="Times New Roman"/>
          <w:color w:val="auto"/>
          <w:sz w:val="32"/>
          <w:szCs w:val="32"/>
          <w:highlight w:val="none"/>
          <w:lang w:eastAsia="zh-CN"/>
        </w:rPr>
        <w:t>一、收入支出决算总体情况说明</w:t>
      </w:r>
      <w:bookmarkEnd w:id="54"/>
      <w:bookmarkEnd w:id="55"/>
      <w:bookmarkEnd w:id="56"/>
      <w:bookmarkEnd w:id="57"/>
      <w:bookmarkEnd w:id="58"/>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方正仿宋_GBK" w:cs="Times New Roman"/>
          <w:color w:val="auto"/>
          <w:sz w:val="32"/>
          <w:szCs w:val="32"/>
          <w:highlight w:val="none"/>
          <w:lang w:eastAsia="zh-CN"/>
        </w:rPr>
      </w:pPr>
      <w:bookmarkStart w:id="59" w:name="_Toc31204"/>
      <w:bookmarkStart w:id="60" w:name="_Toc9237"/>
      <w:r>
        <w:rPr>
          <w:rFonts w:hint="eastAsia" w:ascii="Times New Roman" w:hAnsi="Times New Roman" w:eastAsia="方正仿宋_GBK" w:cs="Times New Roman"/>
          <w:color w:val="auto"/>
          <w:sz w:val="32"/>
          <w:szCs w:val="32"/>
          <w:highlight w:val="none"/>
          <w:lang w:eastAsia="zh-CN"/>
        </w:rPr>
        <w:t>2024年度收入、支出总计均为3505.14万元。与202</w:t>
      </w:r>
      <w:r>
        <w:rPr>
          <w:rFonts w:hint="eastAsia" w:ascii="Times New Roman" w:hAnsi="Times New Roman" w:eastAsia="方正仿宋_GBK" w:cs="Times New Roman"/>
          <w:color w:val="auto"/>
          <w:sz w:val="32"/>
          <w:szCs w:val="32"/>
          <w:highlight w:val="none"/>
          <w:lang w:val="en-US" w:eastAsia="zh-CN"/>
        </w:rPr>
        <w:t>3</w:t>
      </w:r>
      <w:r>
        <w:rPr>
          <w:rFonts w:hint="eastAsia" w:ascii="Times New Roman" w:hAnsi="Times New Roman" w:eastAsia="方正仿宋_GBK" w:cs="Times New Roman"/>
          <w:color w:val="auto"/>
          <w:sz w:val="32"/>
          <w:szCs w:val="32"/>
          <w:highlight w:val="none"/>
          <w:lang w:eastAsia="zh-CN"/>
        </w:rPr>
        <w:t>年度相比（</w:t>
      </w:r>
      <w:r>
        <w:rPr>
          <w:rFonts w:hint="eastAsia" w:ascii="Times New Roman" w:hAnsi="Times New Roman" w:eastAsia="方正仿宋_GBK" w:cs="Times New Roman"/>
          <w:color w:val="auto"/>
          <w:sz w:val="32"/>
          <w:szCs w:val="32"/>
          <w:highlight w:val="none"/>
          <w:lang w:val="en-US" w:eastAsia="zh-CN"/>
        </w:rPr>
        <w:t>2023年度4221.15万元</w:t>
      </w:r>
      <w:r>
        <w:rPr>
          <w:rFonts w:hint="eastAsia" w:ascii="Times New Roman" w:hAnsi="Times New Roman" w:eastAsia="方正仿宋_GBK" w:cs="Times New Roman"/>
          <w:color w:val="auto"/>
          <w:sz w:val="32"/>
          <w:szCs w:val="32"/>
          <w:highlight w:val="none"/>
          <w:lang w:eastAsia="zh-CN"/>
        </w:rPr>
        <w:t>），收入、支出总计各减少716.01万元，下降</w:t>
      </w:r>
      <w:r>
        <w:rPr>
          <w:rFonts w:hint="eastAsia" w:ascii="Times New Roman" w:hAnsi="Times New Roman" w:eastAsia="方正仿宋_GBK" w:cs="Times New Roman"/>
          <w:color w:val="auto"/>
          <w:sz w:val="32"/>
          <w:szCs w:val="32"/>
          <w:highlight w:val="none"/>
          <w:lang w:val="en-US" w:eastAsia="zh-CN"/>
        </w:rPr>
        <w:t>16.96</w:t>
      </w:r>
      <w:r>
        <w:rPr>
          <w:rFonts w:hint="eastAsia" w:ascii="Times New Roman" w:hAnsi="Times New Roman" w:eastAsia="方正仿宋_GBK" w:cs="Times New Roman"/>
          <w:color w:val="auto"/>
          <w:sz w:val="32"/>
          <w:szCs w:val="32"/>
          <w:highlight w:val="none"/>
          <w:lang w:eastAsia="zh-CN"/>
        </w:rPr>
        <w:t>%。主要变动原因是</w:t>
      </w:r>
      <w:r>
        <w:rPr>
          <w:rFonts w:hint="eastAsia" w:ascii="Times New Roman" w:hAnsi="Times New Roman" w:eastAsia="方正仿宋_GBK" w:cs="Times New Roman"/>
          <w:color w:val="auto"/>
          <w:sz w:val="32"/>
          <w:szCs w:val="32"/>
          <w:highlight w:val="none"/>
          <w:lang w:val="en-US" w:eastAsia="zh-CN"/>
        </w:rPr>
        <w:t>本年度</w:t>
      </w:r>
      <w:r>
        <w:rPr>
          <w:rFonts w:hint="eastAsia" w:ascii="Times New Roman" w:hAnsi="Times New Roman" w:eastAsia="方正仿宋_GBK" w:cs="Times New Roman"/>
          <w:color w:val="auto"/>
          <w:sz w:val="32"/>
          <w:szCs w:val="32"/>
          <w:highlight w:val="none"/>
          <w:lang w:eastAsia="zh-CN"/>
        </w:rPr>
        <w:t>调出</w:t>
      </w:r>
      <w:r>
        <w:rPr>
          <w:rFonts w:hint="eastAsia" w:ascii="Times New Roman" w:hAnsi="Times New Roman" w:eastAsia="方正仿宋_GBK" w:cs="Times New Roman"/>
          <w:color w:val="auto"/>
          <w:sz w:val="32"/>
          <w:szCs w:val="32"/>
          <w:highlight w:val="none"/>
          <w:lang w:val="en-US" w:eastAsia="zh-CN"/>
        </w:rPr>
        <w:t>人员</w:t>
      </w:r>
      <w:r>
        <w:rPr>
          <w:rFonts w:hint="eastAsia" w:ascii="Times New Roman" w:hAnsi="Times New Roman" w:eastAsia="方正仿宋_GBK" w:cs="Times New Roman"/>
          <w:color w:val="auto"/>
          <w:sz w:val="32"/>
          <w:szCs w:val="32"/>
          <w:highlight w:val="none"/>
          <w:lang w:eastAsia="zh-CN"/>
        </w:rPr>
        <w:t>36人，调入</w:t>
      </w:r>
      <w:r>
        <w:rPr>
          <w:rFonts w:hint="eastAsia" w:ascii="Times New Roman" w:hAnsi="Times New Roman" w:eastAsia="方正仿宋_GBK" w:cs="Times New Roman"/>
          <w:color w:val="auto"/>
          <w:sz w:val="32"/>
          <w:szCs w:val="32"/>
          <w:highlight w:val="none"/>
          <w:lang w:val="en-US" w:eastAsia="zh-CN"/>
        </w:rPr>
        <w:t>人员</w:t>
      </w:r>
      <w:r>
        <w:rPr>
          <w:rFonts w:hint="eastAsia" w:ascii="Times New Roman" w:hAnsi="Times New Roman" w:eastAsia="方正仿宋_GBK" w:cs="Times New Roman"/>
          <w:color w:val="auto"/>
          <w:sz w:val="32"/>
          <w:szCs w:val="32"/>
          <w:highlight w:val="none"/>
          <w:lang w:eastAsia="zh-CN"/>
        </w:rPr>
        <w:t>25人，退休</w:t>
      </w:r>
      <w:r>
        <w:rPr>
          <w:rFonts w:hint="eastAsia" w:ascii="Times New Roman" w:hAnsi="Times New Roman" w:eastAsia="方正仿宋_GBK" w:cs="Times New Roman"/>
          <w:color w:val="auto"/>
          <w:sz w:val="32"/>
          <w:szCs w:val="32"/>
          <w:highlight w:val="none"/>
          <w:lang w:val="en-US" w:eastAsia="zh-CN"/>
        </w:rPr>
        <w:t>人员</w:t>
      </w:r>
      <w:r>
        <w:rPr>
          <w:rFonts w:hint="eastAsia" w:ascii="Times New Roman" w:hAnsi="Times New Roman" w:eastAsia="方正仿宋_GBK" w:cs="Times New Roman"/>
          <w:color w:val="auto"/>
          <w:sz w:val="32"/>
          <w:szCs w:val="32"/>
          <w:highlight w:val="none"/>
          <w:lang w:eastAsia="zh-CN"/>
        </w:rPr>
        <w:t>2人，新招</w:t>
      </w:r>
      <w:r>
        <w:rPr>
          <w:rFonts w:hint="eastAsia" w:ascii="Times New Roman" w:hAnsi="Times New Roman" w:eastAsia="方正仿宋_GBK" w:cs="Times New Roman"/>
          <w:color w:val="auto"/>
          <w:sz w:val="32"/>
          <w:szCs w:val="32"/>
          <w:highlight w:val="none"/>
          <w:lang w:val="en-US" w:eastAsia="zh-CN"/>
        </w:rPr>
        <w:t>人员</w:t>
      </w:r>
      <w:r>
        <w:rPr>
          <w:rFonts w:hint="eastAsia" w:ascii="Times New Roman" w:hAnsi="Times New Roman" w:eastAsia="方正仿宋_GBK" w:cs="Times New Roman"/>
          <w:color w:val="auto"/>
          <w:sz w:val="32"/>
          <w:szCs w:val="32"/>
          <w:highlight w:val="none"/>
          <w:lang w:eastAsia="zh-CN"/>
        </w:rPr>
        <w:t>5人，2023年度</w:t>
      </w:r>
      <w:r>
        <w:rPr>
          <w:rFonts w:hint="default" w:ascii="Times New Roman" w:hAnsi="Times New Roman" w:eastAsia="方正仿宋_GBK" w:cs="Times New Roman"/>
          <w:color w:val="auto"/>
          <w:sz w:val="32"/>
          <w:szCs w:val="32"/>
          <w:highlight w:val="none"/>
          <w:lang w:val="en-US" w:eastAsia="zh-CN"/>
        </w:rPr>
        <w:t>学校阶梯教室维修改造工程、学生宿舍维修改造工程等</w:t>
      </w:r>
      <w:r>
        <w:rPr>
          <w:rFonts w:hint="eastAsia" w:ascii="Times New Roman" w:hAnsi="Times New Roman" w:eastAsia="方正仿宋_GBK" w:cs="Times New Roman"/>
          <w:color w:val="auto"/>
          <w:sz w:val="32"/>
          <w:szCs w:val="32"/>
          <w:highlight w:val="none"/>
          <w:lang w:eastAsia="zh-CN"/>
        </w:rPr>
        <w:t>项目已全部完工，本年</w:t>
      </w:r>
      <w:r>
        <w:rPr>
          <w:rFonts w:hint="eastAsia" w:ascii="Times New Roman" w:hAnsi="Times New Roman" w:eastAsia="方正仿宋_GBK" w:cs="Times New Roman"/>
          <w:color w:val="auto"/>
          <w:sz w:val="32"/>
          <w:szCs w:val="32"/>
          <w:highlight w:val="none"/>
          <w:lang w:val="en-US" w:eastAsia="zh-CN"/>
        </w:rPr>
        <w:t>度</w:t>
      </w:r>
      <w:r>
        <w:rPr>
          <w:rFonts w:hint="eastAsia" w:ascii="Times New Roman" w:hAnsi="Times New Roman" w:eastAsia="方正仿宋_GBK" w:cs="Times New Roman"/>
          <w:color w:val="auto"/>
          <w:sz w:val="32"/>
          <w:szCs w:val="32"/>
          <w:highlight w:val="none"/>
          <w:lang w:eastAsia="zh-CN"/>
        </w:rPr>
        <w:t>原高中楼维修改造工程项目</w:t>
      </w:r>
      <w:r>
        <w:rPr>
          <w:rFonts w:hint="eastAsia" w:ascii="Times New Roman" w:hAnsi="Times New Roman" w:eastAsia="方正仿宋_GBK" w:cs="Times New Roman"/>
          <w:color w:val="auto"/>
          <w:sz w:val="32"/>
          <w:szCs w:val="32"/>
          <w:highlight w:val="none"/>
          <w:lang w:val="en-US" w:eastAsia="zh-CN"/>
        </w:rPr>
        <w:t>2023年11月施工，2024年3月完工，致</w:t>
      </w:r>
      <w:r>
        <w:rPr>
          <w:rFonts w:hint="eastAsia" w:ascii="Times New Roman" w:hAnsi="Times New Roman" w:eastAsia="方正仿宋_GBK" w:cs="Times New Roman"/>
          <w:color w:val="auto"/>
          <w:sz w:val="32"/>
          <w:szCs w:val="32"/>
          <w:highlight w:val="none"/>
          <w:lang w:eastAsia="zh-CN"/>
        </w:rPr>
        <w:t>工程项目资金减少。</w:t>
      </w:r>
      <w:bookmarkEnd w:id="59"/>
      <w:bookmarkEnd w:id="60"/>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r>
        <w:rPr>
          <w:rFonts w:hint="eastAsia" w:ascii="Times New Roman" w:hAnsi="Times New Roman" w:eastAsia="仿宋_GB2312" w:cs="Times New Roman"/>
          <w:color w:val="auto"/>
          <w:kern w:val="2"/>
          <w:sz w:val="24"/>
          <w:szCs w:val="24"/>
          <w:highlight w:val="none"/>
          <w:lang w:val="en-US" w:eastAsia="zh-CN" w:bidi="ar-SA"/>
        </w:rPr>
        <w:t>（图1：收入、支出决算总计变动情况图）（柱状图）</w:t>
      </w:r>
    </w:p>
    <w:p>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ascii="Times New Roman" w:hAnsi="Times New Roman" w:eastAsia="黑体"/>
          <w:color w:val="auto"/>
          <w:sz w:val="32"/>
          <w:szCs w:val="32"/>
          <w:highlight w:val="none"/>
          <w:lang w:eastAsia="zh-CN"/>
        </w:rPr>
      </w:pPr>
      <w:r>
        <w:drawing>
          <wp:inline distT="0" distB="0" distL="114300" distR="114300">
            <wp:extent cx="4959985" cy="3484880"/>
            <wp:effectExtent l="4445" t="4445" r="7620" b="1587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bookmarkStart w:id="61" w:name="_Toc25266"/>
      <w:bookmarkStart w:id="62" w:name="_Toc15396604"/>
      <w:bookmarkStart w:id="63" w:name="_Toc15377206"/>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黑体" w:cs="Times New Roman"/>
          <w:color w:val="auto"/>
          <w:sz w:val="32"/>
          <w:szCs w:val="32"/>
          <w:highlight w:val="none"/>
          <w:lang w:eastAsia="zh-CN"/>
        </w:rPr>
      </w:pPr>
      <w:bookmarkStart w:id="64" w:name="_Toc826"/>
      <w:bookmarkStart w:id="65" w:name="_Toc970_WPSOffice_Level2"/>
      <w:r>
        <w:rPr>
          <w:rFonts w:hint="eastAsia" w:ascii="Times New Roman" w:hAnsi="Times New Roman" w:eastAsia="黑体" w:cs="Times New Roman"/>
          <w:color w:val="auto"/>
          <w:sz w:val="32"/>
          <w:szCs w:val="32"/>
          <w:highlight w:val="none"/>
          <w:lang w:eastAsia="zh-CN"/>
        </w:rPr>
        <w:t>二、收入决算情况说明</w:t>
      </w:r>
      <w:bookmarkEnd w:id="61"/>
      <w:bookmarkEnd w:id="62"/>
      <w:bookmarkEnd w:id="63"/>
      <w:bookmarkEnd w:id="64"/>
      <w:bookmarkEnd w:id="65"/>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eastAsia" w:ascii="Times New Roman" w:hAnsi="Times New Roman" w:eastAsia="方正仿宋_GBK" w:cs="Times New Roman"/>
          <w:color w:val="auto"/>
          <w:sz w:val="32"/>
          <w:szCs w:val="32"/>
          <w:highlight w:val="none"/>
          <w:lang w:val="en-US" w:eastAsia="zh-CN"/>
        </w:rPr>
      </w:pPr>
      <w:bookmarkStart w:id="66" w:name="_Toc1197"/>
      <w:bookmarkStart w:id="67" w:name="_Toc16310"/>
      <w:r>
        <w:rPr>
          <w:rFonts w:hint="eastAsia" w:ascii="Times New Roman" w:hAnsi="Times New Roman" w:eastAsia="方正仿宋_GBK" w:cs="Times New Roman"/>
          <w:color w:val="auto"/>
          <w:sz w:val="32"/>
          <w:szCs w:val="32"/>
          <w:highlight w:val="none"/>
          <w:lang w:val="en-US" w:eastAsia="zh-CN"/>
        </w:rPr>
        <w:t>2024年度本年收入合计3505.14万元，其中：一般公共预算财政拨款收入3505.14万元，占100%；政府性基金预算财政拨款收入0万元，占0%；国有资本经营预算财政拨款收入0万元，占0%；上级补助收入0万元，占0%；事业收入0万元，占0%；经营收入0万元，占0%；附属单位上缴收入0万元，占0%；其他收入0万元，占0%。</w:t>
      </w:r>
      <w:bookmarkEnd w:id="66"/>
      <w:bookmarkEnd w:id="67"/>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r>
        <w:rPr>
          <w:rFonts w:hint="eastAsia" w:ascii="Times New Roman" w:hAnsi="Times New Roman" w:eastAsia="仿宋_GB2312" w:cs="Times New Roman"/>
          <w:color w:val="auto"/>
          <w:kern w:val="2"/>
          <w:sz w:val="24"/>
          <w:szCs w:val="24"/>
          <w:highlight w:val="none"/>
          <w:lang w:val="en-US" w:eastAsia="zh-CN" w:bidi="ar-SA"/>
        </w:rPr>
        <w:t>（图2：收入决算结构图）（饼状图）</w:t>
      </w:r>
    </w:p>
    <w:p>
      <w:pPr>
        <w:ind w:firstLine="525" w:firstLineChars="250"/>
        <w:jc w:val="center"/>
      </w:pPr>
    </w:p>
    <w:p>
      <w:pPr>
        <w:jc w:val="center"/>
        <w:rPr>
          <w:rFonts w:hint="eastAsia" w:ascii="Times New Roman" w:hAnsi="Times New Roman" w:eastAsia="仿宋_GB2312" w:cs="仿宋_GB2312"/>
          <w:color w:val="auto"/>
          <w:sz w:val="32"/>
          <w:szCs w:val="32"/>
          <w:highlight w:val="none"/>
          <w:lang w:eastAsia="zh-CN"/>
        </w:rPr>
      </w:pPr>
      <w:r>
        <w:drawing>
          <wp:inline distT="0" distB="0" distL="114300" distR="114300">
            <wp:extent cx="5127625" cy="2962275"/>
            <wp:effectExtent l="4445" t="4445" r="11430" b="508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黑体" w:cs="Times New Roman"/>
          <w:color w:val="auto"/>
          <w:sz w:val="32"/>
          <w:szCs w:val="32"/>
          <w:highlight w:val="none"/>
          <w:lang w:eastAsia="zh-CN"/>
        </w:rPr>
      </w:pPr>
      <w:bookmarkStart w:id="68" w:name="_Toc11513"/>
      <w:bookmarkStart w:id="69" w:name="_Toc5851"/>
      <w:bookmarkStart w:id="70" w:name="_Toc15396605"/>
      <w:bookmarkStart w:id="71" w:name="_Toc15377207"/>
      <w:bookmarkStart w:id="72" w:name="_Toc24940_WPSOffice_Level2"/>
      <w:r>
        <w:rPr>
          <w:rFonts w:hint="eastAsia" w:ascii="Times New Roman" w:hAnsi="Times New Roman" w:eastAsia="黑体" w:cs="Times New Roman"/>
          <w:color w:val="auto"/>
          <w:sz w:val="32"/>
          <w:szCs w:val="32"/>
          <w:highlight w:val="none"/>
          <w:lang w:eastAsia="zh-CN"/>
        </w:rPr>
        <w:t>三、支出决算情况说明</w:t>
      </w:r>
      <w:bookmarkEnd w:id="68"/>
      <w:bookmarkEnd w:id="69"/>
      <w:bookmarkEnd w:id="70"/>
      <w:bookmarkEnd w:id="71"/>
      <w:bookmarkEnd w:id="72"/>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eastAsia" w:ascii="Times New Roman" w:hAnsi="Times New Roman" w:eastAsia="方正仿宋_GBK" w:cs="Times New Roman"/>
          <w:color w:val="auto"/>
          <w:sz w:val="32"/>
          <w:szCs w:val="32"/>
          <w:highlight w:val="none"/>
          <w:lang w:eastAsia="zh-CN"/>
        </w:rPr>
      </w:pPr>
      <w:bookmarkStart w:id="73" w:name="_Toc812"/>
      <w:r>
        <w:rPr>
          <w:rFonts w:hint="eastAsia" w:ascii="Times New Roman" w:hAnsi="Times New Roman" w:eastAsia="方正仿宋_GBK" w:cs="Times New Roman"/>
          <w:color w:val="auto"/>
          <w:sz w:val="32"/>
          <w:szCs w:val="32"/>
          <w:highlight w:val="none"/>
          <w:lang w:eastAsia="zh-CN"/>
        </w:rPr>
        <w:t>2024年度本年支出合计3505.14万元，其中：基本支出3286.05万元，占93.7</w:t>
      </w:r>
      <w:r>
        <w:rPr>
          <w:rFonts w:hint="eastAsia" w:ascii="Times New Roman" w:hAnsi="Times New Roman" w:eastAsia="方正仿宋_GBK" w:cs="Times New Roman"/>
          <w:color w:val="auto"/>
          <w:sz w:val="32"/>
          <w:szCs w:val="32"/>
          <w:highlight w:val="none"/>
          <w:lang w:val="en-US" w:eastAsia="zh-CN"/>
        </w:rPr>
        <w:t>5</w:t>
      </w:r>
      <w:r>
        <w:rPr>
          <w:rFonts w:hint="eastAsia" w:ascii="Times New Roman" w:hAnsi="Times New Roman" w:eastAsia="方正仿宋_GBK" w:cs="Times New Roman"/>
          <w:color w:val="auto"/>
          <w:sz w:val="32"/>
          <w:szCs w:val="32"/>
          <w:highlight w:val="none"/>
          <w:lang w:eastAsia="zh-CN"/>
        </w:rPr>
        <w:t>%；项目支出219.09万元，占6.25%；上缴上级支出0万元，占0%；经营支出0万元，占0%；对附属单位补助支出0万元，占0%。</w:t>
      </w:r>
      <w:bookmarkEnd w:id="73"/>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r>
        <w:rPr>
          <w:rFonts w:hint="eastAsia" w:ascii="Times New Roman" w:hAnsi="Times New Roman" w:eastAsia="仿宋_GB2312" w:cs="Times New Roman"/>
          <w:color w:val="auto"/>
          <w:kern w:val="2"/>
          <w:sz w:val="24"/>
          <w:szCs w:val="24"/>
          <w:highlight w:val="none"/>
          <w:lang w:val="en-US" w:eastAsia="zh-CN" w:bidi="ar-SA"/>
        </w:rPr>
        <w:t>（图3：支出决算结构图）（饼状图）</w:t>
      </w:r>
    </w:p>
    <w:p>
      <w:pPr>
        <w:jc w:val="center"/>
      </w:pPr>
    </w:p>
    <w:p>
      <w:pPr>
        <w:jc w:val="center"/>
      </w:pPr>
    </w:p>
    <w:p>
      <w:pPr>
        <w:jc w:val="center"/>
      </w:pPr>
    </w:p>
    <w:p>
      <w:pPr>
        <w:jc w:val="center"/>
        <w:rPr>
          <w:rFonts w:hint="eastAsia" w:ascii="Times New Roman" w:hAnsi="Times New Roman" w:eastAsia="黑体"/>
          <w:color w:val="auto"/>
          <w:sz w:val="32"/>
          <w:szCs w:val="32"/>
          <w:highlight w:val="none"/>
        </w:rPr>
      </w:pPr>
      <w:r>
        <w:drawing>
          <wp:inline distT="0" distB="0" distL="114300" distR="114300">
            <wp:extent cx="5096510" cy="3166745"/>
            <wp:effectExtent l="4445" t="4445" r="23495" b="1016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bookmarkStart w:id="74" w:name="_Toc24628"/>
      <w:bookmarkStart w:id="75" w:name="_Toc15377208"/>
      <w:bookmarkStart w:id="76" w:name="_Toc15396606"/>
    </w:p>
    <w:p>
      <w:pPr>
        <w:keepNext w:val="0"/>
        <w:keepLines w:val="0"/>
        <w:pageBreakBefore w:val="0"/>
        <w:kinsoku/>
        <w:wordWrap/>
        <w:overflowPunct/>
        <w:topLinePunct w:val="0"/>
        <w:bidi w:val="0"/>
        <w:spacing w:line="240" w:lineRule="auto"/>
        <w:ind w:firstLine="640" w:firstLineChars="200"/>
        <w:textAlignment w:val="auto"/>
        <w:outlineLvl w:val="1"/>
        <w:rPr>
          <w:rFonts w:hint="default" w:ascii="Times New Roman" w:hAnsi="Times New Roman" w:eastAsia="黑体" w:cs="Times New Roman"/>
          <w:color w:val="auto"/>
          <w:sz w:val="32"/>
          <w:szCs w:val="32"/>
          <w:highlight w:val="none"/>
        </w:rPr>
      </w:pPr>
      <w:bookmarkStart w:id="77" w:name="_Toc25176"/>
      <w:bookmarkStart w:id="78" w:name="_Toc22200_WPSOffice_Level2"/>
      <w:r>
        <w:rPr>
          <w:rFonts w:hint="eastAsia" w:ascii="Times New Roman" w:hAnsi="Times New Roman" w:eastAsia="黑体" w:cs="Times New Roman"/>
          <w:color w:val="auto"/>
          <w:sz w:val="32"/>
          <w:szCs w:val="32"/>
          <w:highlight w:val="none"/>
        </w:rPr>
        <w:t>四、财政拨款收入支出决算总体情况说明</w:t>
      </w:r>
      <w:bookmarkEnd w:id="74"/>
      <w:bookmarkEnd w:id="75"/>
      <w:bookmarkEnd w:id="76"/>
      <w:bookmarkEnd w:id="77"/>
      <w:bookmarkEnd w:id="78"/>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方正仿宋_GBK" w:cs="Times New Roman"/>
          <w:color w:val="auto"/>
          <w:sz w:val="32"/>
          <w:szCs w:val="32"/>
          <w:highlight w:val="none"/>
          <w:lang w:val="en-US" w:eastAsia="zh-CN"/>
        </w:rPr>
        <w:t>2024年度财政拨款收入、支出总计均为3505.14万元。与2023年度相比（2023年度4221.15万元），财政拨款收入总计、支出总计各减少716.01万元，下降16.96%。主要变动原因是本年度调出人员36人，调入人员25人，退休人员2人，新招人员5人，2023年度</w:t>
      </w:r>
      <w:r>
        <w:rPr>
          <w:rFonts w:hint="default" w:ascii="Times New Roman" w:hAnsi="Times New Roman" w:eastAsia="方正仿宋_GBK" w:cs="Times New Roman"/>
          <w:color w:val="auto"/>
          <w:sz w:val="32"/>
          <w:szCs w:val="32"/>
          <w:highlight w:val="none"/>
          <w:lang w:val="en-US" w:eastAsia="zh-CN"/>
        </w:rPr>
        <w:t>学校阶梯教室维修改造工程、学生宿舍维修改造工程等</w:t>
      </w:r>
      <w:r>
        <w:rPr>
          <w:rFonts w:hint="eastAsia" w:ascii="Times New Roman" w:hAnsi="Times New Roman" w:eastAsia="方正仿宋_GBK" w:cs="Times New Roman"/>
          <w:color w:val="auto"/>
          <w:sz w:val="32"/>
          <w:szCs w:val="32"/>
          <w:highlight w:val="none"/>
          <w:lang w:val="en-US" w:eastAsia="zh-CN"/>
        </w:rPr>
        <w:t>项目已全部完工，本年度原高中楼维修改造工程项目2023年11月施工，2024年3月完工，致工程项目资金减少</w:t>
      </w:r>
      <w:r>
        <w:rPr>
          <w:rFonts w:hint="eastAsia" w:eastAsia="方正仿宋_GBK" w:cs="Times New Roman"/>
          <w:color w:val="auto"/>
          <w:sz w:val="32"/>
          <w:szCs w:val="32"/>
          <w:highlight w:val="none"/>
          <w:lang w:val="en-US" w:eastAsia="zh-CN"/>
        </w:rPr>
        <w:t>。</w:t>
      </w: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Times New Roman"/>
          <w:color w:val="auto"/>
          <w:kern w:val="2"/>
          <w:sz w:val="24"/>
          <w:szCs w:val="24"/>
          <w:highlight w:val="none"/>
          <w:lang w:val="en-US" w:eastAsia="zh-CN" w:bidi="ar-SA"/>
        </w:rPr>
        <w:t>（图4：财政拨款收、支决算总计变动情况）（柱状图）</w:t>
      </w:r>
    </w:p>
    <w:p>
      <w:pPr>
        <w:spacing w:line="600" w:lineRule="exact"/>
        <w:ind w:firstLine="640"/>
        <w:jc w:val="center"/>
        <w:rPr>
          <w:rFonts w:hint="eastAsia" w:ascii="Times New Roman" w:hAnsi="Times New Roman" w:eastAsia="仿宋_GB2312" w:cs="仿宋_GB2312"/>
          <w:color w:val="auto"/>
          <w:kern w:val="2"/>
          <w:sz w:val="32"/>
          <w:szCs w:val="32"/>
          <w:highlight w:val="none"/>
          <w:lang w:val="en-US" w:eastAsia="zh-CN" w:bidi="ar-SA"/>
        </w:rPr>
      </w:pPr>
      <w:r>
        <w:drawing>
          <wp:anchor distT="0" distB="0" distL="114300" distR="114300" simplePos="0" relativeHeight="251660288" behindDoc="0" locked="0" layoutInCell="1" allowOverlap="1">
            <wp:simplePos x="0" y="0"/>
            <wp:positionH relativeFrom="column">
              <wp:posOffset>698500</wp:posOffset>
            </wp:positionH>
            <wp:positionV relativeFrom="paragraph">
              <wp:posOffset>80645</wp:posOffset>
            </wp:positionV>
            <wp:extent cx="4161790" cy="3079750"/>
            <wp:effectExtent l="4445" t="4445" r="5715" b="20955"/>
            <wp:wrapNone/>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spacing w:line="600" w:lineRule="exact"/>
        <w:ind w:firstLine="640"/>
        <w:jc w:val="center"/>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jc w:val="center"/>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jc w:val="center"/>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jc w:val="both"/>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firstLineChars="200"/>
        <w:outlineLvl w:val="0"/>
        <w:rPr>
          <w:rFonts w:hint="eastAsia" w:ascii="Times New Roman" w:hAnsi="Times New Roman" w:eastAsia="黑体"/>
          <w:color w:val="auto"/>
          <w:sz w:val="32"/>
          <w:szCs w:val="32"/>
          <w:highlight w:val="none"/>
        </w:rPr>
      </w:pPr>
      <w:bookmarkStart w:id="79" w:name="_Toc15396607"/>
      <w:bookmarkStart w:id="80" w:name="_Toc23933"/>
      <w:bookmarkStart w:id="81" w:name="_Toc15377209"/>
    </w:p>
    <w:p>
      <w:pPr>
        <w:spacing w:line="600" w:lineRule="exact"/>
        <w:ind w:firstLine="640" w:firstLineChars="200"/>
        <w:outlineLvl w:val="0"/>
        <w:rPr>
          <w:rFonts w:hint="eastAsia" w:ascii="Times New Roman" w:hAnsi="Times New Roman" w:eastAsia="黑体"/>
          <w:color w:val="auto"/>
          <w:sz w:val="32"/>
          <w:szCs w:val="32"/>
          <w:highlight w:val="none"/>
        </w:rPr>
      </w:pPr>
    </w:p>
    <w:p>
      <w:pPr>
        <w:spacing w:line="600" w:lineRule="exact"/>
        <w:outlineLvl w:val="0"/>
        <w:rPr>
          <w:rFonts w:hint="eastAsia" w:ascii="Times New Roman" w:hAnsi="Times New Roman" w:eastAsia="黑体"/>
          <w:color w:val="auto"/>
          <w:sz w:val="32"/>
          <w:szCs w:val="32"/>
          <w:highlight w:val="none"/>
        </w:rPr>
      </w:pPr>
    </w:p>
    <w:p>
      <w:pPr>
        <w:spacing w:line="600" w:lineRule="exact"/>
        <w:outlineLvl w:val="0"/>
        <w:rPr>
          <w:rFonts w:hint="eastAsia" w:ascii="Times New Roman" w:hAnsi="Times New Roman" w:eastAsia="黑体"/>
          <w:color w:val="auto"/>
          <w:sz w:val="32"/>
          <w:szCs w:val="32"/>
          <w:highlight w:val="none"/>
        </w:rPr>
      </w:pPr>
    </w:p>
    <w:p>
      <w:pPr>
        <w:keepNext w:val="0"/>
        <w:keepLines w:val="0"/>
        <w:pageBreakBefore w:val="0"/>
        <w:kinsoku/>
        <w:wordWrap/>
        <w:overflowPunct/>
        <w:topLinePunct w:val="0"/>
        <w:bidi w:val="0"/>
        <w:spacing w:line="240" w:lineRule="auto"/>
        <w:ind w:firstLine="640" w:firstLineChars="200"/>
        <w:textAlignment w:val="auto"/>
        <w:outlineLvl w:val="1"/>
        <w:rPr>
          <w:rFonts w:hint="default" w:ascii="Times New Roman" w:hAnsi="Times New Roman" w:eastAsia="黑体" w:cs="Times New Roman"/>
          <w:color w:val="auto"/>
          <w:sz w:val="32"/>
          <w:szCs w:val="32"/>
          <w:highlight w:val="none"/>
        </w:rPr>
      </w:pPr>
      <w:bookmarkStart w:id="82" w:name="_Toc29291"/>
      <w:bookmarkStart w:id="83" w:name="_Toc27946_WPSOffice_Level2"/>
      <w:r>
        <w:rPr>
          <w:rFonts w:hint="eastAsia" w:ascii="Times New Roman" w:hAnsi="Times New Roman" w:eastAsia="黑体" w:cs="Times New Roman"/>
          <w:color w:val="auto"/>
          <w:sz w:val="32"/>
          <w:szCs w:val="32"/>
          <w:highlight w:val="none"/>
        </w:rPr>
        <w:t>五、一般公共预算财政拨款支出决算情况说明</w:t>
      </w:r>
      <w:bookmarkEnd w:id="79"/>
      <w:bookmarkEnd w:id="80"/>
      <w:bookmarkEnd w:id="81"/>
      <w:bookmarkEnd w:id="82"/>
      <w:bookmarkEnd w:id="83"/>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84" w:name="_Toc15377210"/>
      <w:bookmarkStart w:id="85" w:name="_Toc10170"/>
      <w:bookmarkStart w:id="86" w:name="_Toc29865"/>
      <w:bookmarkStart w:id="87" w:name="_Toc2495"/>
      <w:r>
        <w:rPr>
          <w:rFonts w:hint="eastAsia" w:ascii="Times New Roman" w:hAnsi="Times New Roman" w:eastAsia="楷体_GB2312" w:cs="Times New Roman"/>
          <w:b/>
          <w:color w:val="auto"/>
          <w:sz w:val="32"/>
          <w:szCs w:val="32"/>
          <w:highlight w:val="none"/>
        </w:rPr>
        <w:t>（一）一般公共预算财政拨款支出决算总体情况</w:t>
      </w:r>
      <w:bookmarkEnd w:id="84"/>
      <w:bookmarkEnd w:id="85"/>
      <w:bookmarkEnd w:id="86"/>
      <w:bookmarkEnd w:id="87"/>
    </w:p>
    <w:p>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eastAsia" w:ascii="Times New Roman" w:hAnsi="Times New Roman" w:eastAsia="方正仿宋_GBK" w:cs="Times New Roman"/>
          <w:color w:val="auto"/>
          <w:kern w:val="2"/>
          <w:sz w:val="32"/>
          <w:szCs w:val="32"/>
          <w:highlight w:val="none"/>
          <w:lang w:val="en-US" w:eastAsia="zh-CN" w:bidi="ar-SA"/>
        </w:rPr>
      </w:pPr>
      <w:bookmarkStart w:id="88" w:name="_Toc11166"/>
      <w:r>
        <w:rPr>
          <w:rFonts w:hint="eastAsia" w:ascii="Times New Roman" w:hAnsi="Times New Roman" w:eastAsia="方正仿宋_GBK" w:cs="Times New Roman"/>
          <w:color w:val="auto"/>
          <w:kern w:val="2"/>
          <w:sz w:val="32"/>
          <w:szCs w:val="32"/>
          <w:highlight w:val="none"/>
          <w:lang w:val="en-US" w:eastAsia="zh-CN" w:bidi="ar-SA"/>
        </w:rPr>
        <w:t>2024年度一般公共预算财政拨款支出3505.14万元，占本年支出合计的100%。与2023年度相比（2023年度4221.15万元），一般公共预算财政拨款支出减少716.01万元，下降16.96%。主要变动原因是本年度调出人员36人，调入人员25人，退休人员2人，新招人员5人，2023年度项目已全部完工，本年度无新增工程项目。</w:t>
      </w:r>
      <w:bookmarkEnd w:id="88"/>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r>
        <w:rPr>
          <w:rFonts w:hint="eastAsia" w:ascii="Times New Roman" w:hAnsi="Times New Roman" w:eastAsia="仿宋_GB2312" w:cs="Times New Roman"/>
          <w:color w:val="auto"/>
          <w:kern w:val="2"/>
          <w:sz w:val="24"/>
          <w:szCs w:val="24"/>
          <w:highlight w:val="none"/>
          <w:lang w:val="en-US" w:eastAsia="zh-CN" w:bidi="ar-SA"/>
        </w:rPr>
        <w:t>（图5：一般公共预算财政拨款支出决算变动情况）（柱状图）</w:t>
      </w:r>
    </w:p>
    <w:p>
      <w:pPr>
        <w:pStyle w:val="19"/>
        <w:jc w:val="center"/>
        <w:outlineLvl w:val="9"/>
        <w:rPr>
          <w:rFonts w:hint="eastAsia" w:ascii="Times New Roman" w:hAnsi="Times New Roman" w:eastAsia="仿宋_GB2312" w:cs="仿宋_GB2312"/>
          <w:color w:val="auto"/>
          <w:kern w:val="2"/>
          <w:sz w:val="32"/>
          <w:szCs w:val="32"/>
          <w:highlight w:val="none"/>
          <w:lang w:val="en-US" w:eastAsia="zh-CN" w:bidi="ar-SA"/>
        </w:rPr>
      </w:pPr>
      <w:r>
        <w:drawing>
          <wp:inline distT="0" distB="0" distL="114300" distR="114300">
            <wp:extent cx="4630420" cy="2976245"/>
            <wp:effectExtent l="4445" t="5080" r="13335" b="9525"/>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89" w:name="_Toc27762"/>
      <w:bookmarkStart w:id="90" w:name="_Toc15377211"/>
      <w:bookmarkStart w:id="91" w:name="_Toc30014"/>
      <w:bookmarkStart w:id="92" w:name="_Toc17897"/>
      <w:r>
        <w:rPr>
          <w:rFonts w:hint="eastAsia" w:ascii="Times New Roman" w:hAnsi="Times New Roman" w:eastAsia="楷体_GB2312" w:cs="Times New Roman"/>
          <w:b/>
          <w:color w:val="auto"/>
          <w:sz w:val="32"/>
          <w:szCs w:val="32"/>
          <w:highlight w:val="none"/>
        </w:rPr>
        <w:t>（二）一般公共预算财政拨款支出决算结构情况</w:t>
      </w:r>
      <w:bookmarkEnd w:id="89"/>
      <w:bookmarkEnd w:id="90"/>
      <w:bookmarkEnd w:id="91"/>
      <w:bookmarkEnd w:id="92"/>
    </w:p>
    <w:p>
      <w:pPr>
        <w:keepNext w:val="0"/>
        <w:keepLines w:val="0"/>
        <w:pageBreakBefore w:val="0"/>
        <w:kinsoku/>
        <w:wordWrap/>
        <w:overflowPunct/>
        <w:topLinePunct w:val="0"/>
        <w:bidi w:val="0"/>
        <w:spacing w:line="240" w:lineRule="auto"/>
        <w:ind w:firstLine="640"/>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2024年度一般公共预算财政拨款支出3505.14万元，主要用于以下方面：教育支出2645.75万元，占75.48%；社会保障和就业支出369.35万元，占10.54%；卫生健康支出251.14万元，占7.16%；住房保障支出238.9万元，占6.82%。</w:t>
      </w: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p>
    <w:p>
      <w:pPr>
        <w:keepNext w:val="0"/>
        <w:keepLines w:val="0"/>
        <w:pageBreakBefore w:val="0"/>
        <w:kinsoku/>
        <w:wordWrap/>
        <w:overflowPunct/>
        <w:topLinePunct w:val="0"/>
        <w:bidi w:val="0"/>
        <w:spacing w:line="240" w:lineRule="auto"/>
        <w:ind w:firstLine="640"/>
        <w:jc w:val="center"/>
        <w:textAlignment w:val="auto"/>
        <w:rPr>
          <w:rFonts w:hint="eastAsia" w:ascii="Times New Roman" w:hAnsi="Times New Roman" w:eastAsia="仿宋_GB2312" w:cs="Times New Roman"/>
          <w:color w:val="auto"/>
          <w:kern w:val="2"/>
          <w:sz w:val="24"/>
          <w:szCs w:val="24"/>
          <w:highlight w:val="none"/>
          <w:lang w:val="en-US" w:eastAsia="zh-CN" w:bidi="ar-SA"/>
        </w:rPr>
      </w:pPr>
      <w:r>
        <w:rPr>
          <w:rFonts w:hint="eastAsia" w:ascii="Times New Roman" w:hAnsi="Times New Roman" w:eastAsia="仿宋_GB2312" w:cs="Times New Roman"/>
          <w:color w:val="auto"/>
          <w:kern w:val="2"/>
          <w:sz w:val="24"/>
          <w:szCs w:val="24"/>
          <w:highlight w:val="none"/>
          <w:lang w:val="en-US" w:eastAsia="zh-CN" w:bidi="ar-SA"/>
        </w:rPr>
        <w:t>（图6：一般公共预算财政拨款支出决算结构）（饼状图）</w:t>
      </w:r>
    </w:p>
    <w:p>
      <w:pPr>
        <w:pStyle w:val="19"/>
        <w:jc w:val="center"/>
        <w:outlineLvl w:val="9"/>
        <w:rPr>
          <w:rFonts w:hint="eastAsia" w:ascii="Times New Roman" w:hAnsi="Times New Roman" w:eastAsia="楷体_GB2312" w:cs="楷体_GB2312"/>
          <w:b/>
          <w:color w:val="auto"/>
          <w:sz w:val="32"/>
          <w:szCs w:val="32"/>
          <w:highlight w:val="none"/>
        </w:rPr>
      </w:pPr>
      <w:r>
        <w:drawing>
          <wp:inline distT="0" distB="0" distL="114300" distR="114300">
            <wp:extent cx="4372610" cy="2524125"/>
            <wp:effectExtent l="4445" t="4445" r="23495" b="508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bookmarkStart w:id="93" w:name="_Toc15377212"/>
      <w:bookmarkStart w:id="94" w:name="_Toc23764"/>
      <w:bookmarkStart w:id="95" w:name="_Toc17368"/>
      <w:bookmarkStart w:id="96" w:name="_Toc27635"/>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r>
        <w:rPr>
          <w:rFonts w:hint="eastAsia" w:ascii="Times New Roman" w:hAnsi="Times New Roman" w:eastAsia="楷体_GB2312" w:cs="Times New Roman"/>
          <w:b/>
          <w:color w:val="auto"/>
          <w:sz w:val="32"/>
          <w:szCs w:val="32"/>
          <w:highlight w:val="none"/>
        </w:rPr>
        <w:t>（三）一般公共预算财政拨款支出决算具体情况</w:t>
      </w:r>
      <w:bookmarkEnd w:id="93"/>
      <w:bookmarkEnd w:id="94"/>
      <w:bookmarkEnd w:id="95"/>
      <w:bookmarkEnd w:id="96"/>
    </w:p>
    <w:p>
      <w:pPr>
        <w:keepNext w:val="0"/>
        <w:keepLines w:val="0"/>
        <w:pageBreakBefore w:val="0"/>
        <w:kinsoku/>
        <w:wordWrap/>
        <w:overflowPunct/>
        <w:topLinePunct w:val="0"/>
        <w:bidi w:val="0"/>
        <w:spacing w:line="240" w:lineRule="auto"/>
        <w:ind w:firstLine="640"/>
        <w:textAlignment w:val="auto"/>
        <w:rPr>
          <w:rFonts w:hint="eastAsia" w:ascii="Times New Roman" w:hAnsi="Times New Roman" w:eastAsia="方正仿宋_GBK" w:cs="Times New Roman"/>
          <w:color w:val="auto"/>
          <w:kern w:val="2"/>
          <w:sz w:val="32"/>
          <w:szCs w:val="32"/>
          <w:highlight w:val="none"/>
          <w:lang w:val="en-US" w:eastAsia="zh-CN" w:bidi="ar-SA"/>
        </w:rPr>
      </w:pPr>
      <w:bookmarkStart w:id="97" w:name="_Toc15377444"/>
      <w:bookmarkStart w:id="98" w:name="_Toc15377213"/>
      <w:bookmarkStart w:id="99" w:name="_Toc15378460"/>
      <w:r>
        <w:rPr>
          <w:rFonts w:hint="eastAsia" w:ascii="Times New Roman" w:hAnsi="Times New Roman" w:eastAsia="方正仿宋_GBK" w:cs="Times New Roman"/>
          <w:color w:val="auto"/>
          <w:kern w:val="2"/>
          <w:sz w:val="32"/>
          <w:szCs w:val="32"/>
          <w:highlight w:val="none"/>
          <w:lang w:val="en-US" w:eastAsia="zh-CN" w:bidi="ar-SA"/>
        </w:rPr>
        <w:t>2024年度一般公共预算财政拨款支出决算数为3505.14万元，完成预算100%。其中：</w:t>
      </w:r>
      <w:bookmarkEnd w:id="97"/>
      <w:bookmarkEnd w:id="98"/>
      <w:bookmarkEnd w:id="99"/>
    </w:p>
    <w:p>
      <w:pPr>
        <w:keepNext w:val="0"/>
        <w:keepLines w:val="0"/>
        <w:pageBreakBefore w:val="0"/>
        <w:kinsoku/>
        <w:wordWrap/>
        <w:overflowPunct/>
        <w:topLinePunct w:val="0"/>
        <w:bidi w:val="0"/>
        <w:spacing w:line="240" w:lineRule="auto"/>
        <w:ind w:firstLine="64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1.教育支出（类）:支出决算数为2645.75万元，其中：教育支出（类）普通教育（款）初中教育（项）:支出决算为2430.39万元，完成预算100%；教育支出（类）教育费附加安排的支出（款）农村中小学校舍建设（项）:支出决算为215.36万元，完成预算100%。</w:t>
      </w:r>
    </w:p>
    <w:p>
      <w:pPr>
        <w:keepNext w:val="0"/>
        <w:keepLines w:val="0"/>
        <w:pageBreakBefore w:val="0"/>
        <w:kinsoku/>
        <w:wordWrap/>
        <w:overflowPunct/>
        <w:topLinePunct w:val="0"/>
        <w:bidi w:val="0"/>
        <w:spacing w:line="240" w:lineRule="auto"/>
        <w:ind w:firstLine="64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社会保障和就业支出（类）支出决算数为:369.35万元，其中：社会保障和就业支出（类）行政事业单位养老支出（款）事业单位离退休（项）：支出决算为47.04万元，完成预算100%；社会保障和就业支出（类）行政事业单位养老支出（款）机关事业单位基本养老保险缴费支出（项）:支出决算为291.92万元，完成预算100%；社会保障和就业支出（类）行政事业单位养老支出（款）机关事业单位职业年金缴费支出（项）:支出决算为30.39万元，完成预算100%。</w:t>
      </w:r>
    </w:p>
    <w:p>
      <w:pPr>
        <w:keepNext w:val="0"/>
        <w:keepLines w:val="0"/>
        <w:pageBreakBefore w:val="0"/>
        <w:kinsoku/>
        <w:wordWrap/>
        <w:overflowPunct/>
        <w:topLinePunct w:val="0"/>
        <w:bidi w:val="0"/>
        <w:spacing w:line="240" w:lineRule="auto"/>
        <w:ind w:firstLine="64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3.卫生健康支出（类）支出决算数为：251.44万元，其中：卫生健康支出（类）行政事业单位医疗（款）事业单位医疗（项）：支出决算为153.99万元，完成预算100%；卫生健康支出（类）行政事业单位医疗（款）其他行政事业单位医疗支出（项）:支出决算为97.15万元，完成预算100%。</w:t>
      </w:r>
    </w:p>
    <w:p>
      <w:pPr>
        <w:keepNext w:val="0"/>
        <w:keepLines w:val="0"/>
        <w:pageBreakBefore w:val="0"/>
        <w:kinsoku/>
        <w:wordWrap/>
        <w:overflowPunct/>
        <w:topLinePunct w:val="0"/>
        <w:bidi w:val="0"/>
        <w:spacing w:line="240" w:lineRule="auto"/>
        <w:ind w:firstLine="64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4.住房保障支出（类）住房改革支出（款）住房公积金（项）:支出决算为238.90万元，完成预算100%。</w:t>
      </w:r>
    </w:p>
    <w:p>
      <w:pPr>
        <w:tabs>
          <w:tab w:val="right" w:pos="8306"/>
        </w:tabs>
        <w:spacing w:line="600" w:lineRule="exact"/>
        <w:ind w:firstLine="640" w:firstLineChars="0"/>
        <w:outlineLvl w:val="0"/>
        <w:rPr>
          <w:rStyle w:val="29"/>
          <w:rFonts w:ascii="Times New Roman" w:hAnsi="Times New Roman"/>
          <w:color w:val="auto"/>
          <w:highlight w:val="none"/>
        </w:rPr>
      </w:pPr>
      <w:bookmarkStart w:id="100" w:name="_Toc15396608"/>
      <w:bookmarkStart w:id="101" w:name="_Toc15377214"/>
      <w:bookmarkStart w:id="102" w:name="_Toc11570"/>
      <w:bookmarkStart w:id="103" w:name="_Toc9218_WPSOffice_Level2"/>
      <w:bookmarkStart w:id="104" w:name="_Toc31008"/>
      <w:r>
        <w:rPr>
          <w:rFonts w:hint="eastAsia" w:ascii="Times New Roman" w:hAnsi="Times New Roman" w:eastAsia="黑体" w:cs="Times New Roman"/>
          <w:color w:val="auto"/>
          <w:sz w:val="32"/>
          <w:szCs w:val="32"/>
          <w:highlight w:val="none"/>
        </w:rPr>
        <w:t>六、一般公共预算财政拨款基本支出决算情况说明</w:t>
      </w:r>
      <w:bookmarkEnd w:id="100"/>
      <w:bookmarkEnd w:id="101"/>
      <w:bookmarkEnd w:id="102"/>
      <w:bookmarkEnd w:id="103"/>
      <w:bookmarkEnd w:id="104"/>
      <w:r>
        <w:rPr>
          <w:rStyle w:val="29"/>
          <w:rFonts w:ascii="Times New Roman" w:hAnsi="Times New Roman" w:eastAsia="黑体"/>
          <w:b w:val="0"/>
          <w:color w:val="auto"/>
          <w:highlight w:val="none"/>
        </w:rPr>
        <w:tab/>
      </w:r>
    </w:p>
    <w:p>
      <w:pPr>
        <w:keepNext w:val="0"/>
        <w:keepLines w:val="0"/>
        <w:pageBreakBefore w:val="0"/>
        <w:kinsoku/>
        <w:wordWrap/>
        <w:overflowPunct/>
        <w:topLinePunct w:val="0"/>
        <w:bidi w:val="0"/>
        <w:spacing w:line="240" w:lineRule="auto"/>
        <w:ind w:firstLine="640"/>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2024年度一般公共预算财政拨款基本支出3286.05万元，其中：</w:t>
      </w:r>
    </w:p>
    <w:p>
      <w:pPr>
        <w:keepNext w:val="0"/>
        <w:keepLines w:val="0"/>
        <w:pageBreakBefore w:val="0"/>
        <w:kinsoku/>
        <w:wordWrap/>
        <w:overflowPunct/>
        <w:topLinePunct w:val="0"/>
        <w:bidi w:val="0"/>
        <w:spacing w:line="240" w:lineRule="auto"/>
        <w:ind w:firstLine="640"/>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人员经费3029.37万元，主要包括：基本工资、津贴补贴、绩效工资、机关事业单位基本养老保险缴费、职业年金缴费、职工基本医疗保险缴费、医疗费、其他社会保障缴费、其他工资福利支出、住房公积金、生活补助、医疗费补助、奖励金。</w:t>
      </w:r>
      <w:r>
        <w:rPr>
          <w:rFonts w:hint="eastAsia" w:ascii="Times New Roman" w:hAnsi="Times New Roman" w:eastAsia="方正仿宋_GBK" w:cs="Times New Roman"/>
          <w:color w:val="auto"/>
          <w:kern w:val="2"/>
          <w:sz w:val="32"/>
          <w:szCs w:val="32"/>
          <w:highlight w:val="none"/>
          <w:lang w:val="en-US" w:eastAsia="zh-CN" w:bidi="ar-SA"/>
        </w:rPr>
        <w:br w:type="textWrapping"/>
      </w:r>
      <w:r>
        <w:rPr>
          <w:rFonts w:hint="eastAsia" w:ascii="Times New Roman" w:hAnsi="Times New Roman" w:eastAsia="方正仿宋_GBK" w:cs="Times New Roman"/>
          <w:color w:val="auto"/>
          <w:kern w:val="2"/>
          <w:sz w:val="32"/>
          <w:szCs w:val="32"/>
          <w:highlight w:val="none"/>
          <w:lang w:val="en-US" w:eastAsia="zh-CN" w:bidi="ar-SA"/>
        </w:rPr>
        <w:t>　　公用经费256.68万元，主要包括：办公费、印刷费、水费、电费、邮电费、物业管理费、差旅费、维修（护）费、租赁费、培训费、劳务费、委托业务费、工会经费、福利费、其他交通费、其他商品和服务支出、办公设备购置、专用设备购置、信息网络及软件购置更新。</w:t>
      </w:r>
    </w:p>
    <w:p>
      <w:pPr>
        <w:keepNext w:val="0"/>
        <w:keepLines w:val="0"/>
        <w:pageBreakBefore w:val="0"/>
        <w:kinsoku/>
        <w:wordWrap/>
        <w:overflowPunct/>
        <w:topLinePunct w:val="0"/>
        <w:bidi w:val="0"/>
        <w:spacing w:line="240" w:lineRule="auto"/>
        <w:ind w:firstLine="640"/>
        <w:textAlignment w:val="auto"/>
        <w:outlineLvl w:val="1"/>
        <w:rPr>
          <w:rFonts w:hint="default" w:ascii="Times New Roman" w:hAnsi="Times New Roman" w:eastAsia="黑体" w:cs="Times New Roman"/>
          <w:color w:val="auto"/>
          <w:sz w:val="32"/>
          <w:szCs w:val="32"/>
          <w:highlight w:val="none"/>
        </w:rPr>
      </w:pPr>
      <w:bookmarkStart w:id="105" w:name="_Toc15377215"/>
      <w:bookmarkStart w:id="106" w:name="_Toc14686_WPSOffice_Level2"/>
      <w:bookmarkStart w:id="107" w:name="_Toc15396609"/>
      <w:bookmarkStart w:id="108" w:name="_Toc9375"/>
      <w:bookmarkStart w:id="109" w:name="_Toc8814"/>
      <w:r>
        <w:rPr>
          <w:rFonts w:hint="eastAsia" w:ascii="Times New Roman" w:hAnsi="Times New Roman" w:eastAsia="黑体" w:cs="Times New Roman"/>
          <w:color w:val="auto"/>
          <w:sz w:val="32"/>
          <w:szCs w:val="32"/>
          <w:highlight w:val="none"/>
        </w:rPr>
        <w:t>七、财政拨款“三公”经费支出决算情况说明</w:t>
      </w:r>
      <w:bookmarkEnd w:id="105"/>
      <w:bookmarkEnd w:id="106"/>
      <w:bookmarkEnd w:id="107"/>
      <w:bookmarkEnd w:id="108"/>
      <w:bookmarkEnd w:id="109"/>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110" w:name="_Toc1811"/>
      <w:bookmarkStart w:id="111" w:name="_Toc24835"/>
      <w:bookmarkStart w:id="112" w:name="_Toc4564"/>
      <w:bookmarkStart w:id="113" w:name="_Toc15377216"/>
      <w:r>
        <w:rPr>
          <w:rFonts w:hint="eastAsia" w:ascii="Times New Roman" w:hAnsi="Times New Roman" w:eastAsia="楷体_GB2312" w:cs="Times New Roman"/>
          <w:b/>
          <w:color w:val="auto"/>
          <w:sz w:val="32"/>
          <w:szCs w:val="32"/>
          <w:highlight w:val="none"/>
        </w:rPr>
        <w:t>（一）“三公”经费财政拨款支出决算总体情况说明</w:t>
      </w:r>
      <w:bookmarkEnd w:id="110"/>
      <w:bookmarkEnd w:id="111"/>
      <w:bookmarkEnd w:id="112"/>
      <w:bookmarkEnd w:id="113"/>
    </w:p>
    <w:p>
      <w:pPr>
        <w:keepNext w:val="0"/>
        <w:keepLines w:val="0"/>
        <w:pageBreakBefore w:val="0"/>
        <w:kinsoku/>
        <w:wordWrap/>
        <w:overflowPunct/>
        <w:topLinePunct w:val="0"/>
        <w:bidi w:val="0"/>
        <w:spacing w:line="240" w:lineRule="auto"/>
        <w:ind w:firstLine="640"/>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2024年度“三公”经费财政拨款支出决算为0万元，完成预算0%。与2023年决算数持平。</w:t>
      </w:r>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114" w:name="_Toc28760"/>
      <w:bookmarkStart w:id="115" w:name="_Toc24138"/>
      <w:bookmarkStart w:id="116" w:name="_Toc17219"/>
      <w:bookmarkStart w:id="117" w:name="_Toc15377217"/>
      <w:r>
        <w:rPr>
          <w:rFonts w:hint="eastAsia" w:ascii="Times New Roman" w:hAnsi="Times New Roman" w:eastAsia="楷体_GB2312" w:cs="Times New Roman"/>
          <w:b/>
          <w:color w:val="auto"/>
          <w:sz w:val="32"/>
          <w:szCs w:val="32"/>
          <w:highlight w:val="none"/>
        </w:rPr>
        <w:t>（二）“三公”经费财政拨款支出决算具体情况说明</w:t>
      </w:r>
      <w:bookmarkEnd w:id="114"/>
      <w:bookmarkEnd w:id="115"/>
      <w:bookmarkEnd w:id="116"/>
      <w:bookmarkEnd w:id="117"/>
    </w:p>
    <w:p>
      <w:pPr>
        <w:keepNext w:val="0"/>
        <w:keepLines w:val="0"/>
        <w:pageBreakBefore w:val="0"/>
        <w:kinsoku/>
        <w:wordWrap/>
        <w:overflowPunct/>
        <w:topLinePunct w:val="0"/>
        <w:bidi w:val="0"/>
        <w:spacing w:line="240" w:lineRule="auto"/>
        <w:ind w:firstLine="640"/>
        <w:textAlignment w:val="auto"/>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2024年度“三公”经费财政拨款支出决算中，因公出国（境）费支出决算0万元，占0%；公务用车购置及运行维护费支出决算0万元，占0%；公务接待费支出决算0万元，占0%。具体情况如下：</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仿宋_GB2312" w:cs="Times New Roman"/>
          <w:b/>
          <w:bCs/>
          <w:color w:val="auto"/>
          <w:kern w:val="2"/>
          <w:sz w:val="32"/>
          <w:szCs w:val="32"/>
          <w:highlight w:val="none"/>
          <w:lang w:val="en-US" w:eastAsia="zh-CN" w:bidi="ar-SA"/>
        </w:rPr>
        <w:t>1.因公出国（境）经费支出0万元，完成预算0%。</w:t>
      </w:r>
      <w:r>
        <w:rPr>
          <w:rFonts w:hint="eastAsia" w:ascii="Times New Roman" w:hAnsi="Times New Roman" w:eastAsia="方正仿宋_GBK" w:cs="Times New Roman"/>
          <w:color w:val="auto"/>
          <w:kern w:val="2"/>
          <w:sz w:val="32"/>
          <w:szCs w:val="32"/>
          <w:highlight w:val="none"/>
          <w:lang w:val="en-US" w:eastAsia="zh-CN" w:bidi="ar-SA"/>
        </w:rPr>
        <w:t>全年安排因公出国（境）团组0次，出国（境）0人。因公出国（境）支出决算与2023年决算数持平。</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仿宋_GB2312" w:cs="Times New Roman"/>
          <w:b/>
          <w:bCs/>
          <w:color w:val="auto"/>
          <w:kern w:val="2"/>
          <w:sz w:val="32"/>
          <w:szCs w:val="32"/>
          <w:highlight w:val="none"/>
          <w:lang w:val="en-US" w:eastAsia="zh-CN" w:bidi="ar-SA"/>
        </w:rPr>
        <w:t>2.公务用车购置及运行维护费支出0万元，完成预算0%。</w:t>
      </w:r>
      <w:r>
        <w:rPr>
          <w:rFonts w:hint="eastAsia" w:ascii="Times New Roman" w:hAnsi="Times New Roman" w:eastAsia="方正仿宋_GBK" w:cs="Times New Roman"/>
          <w:color w:val="auto"/>
          <w:kern w:val="2"/>
          <w:sz w:val="32"/>
          <w:szCs w:val="32"/>
          <w:highlight w:val="none"/>
          <w:lang w:val="en-US" w:eastAsia="zh-CN" w:bidi="ar-SA"/>
        </w:rPr>
        <w:t>公务用车购置及运行维护费支出决算与2023年决算数持平。</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其中：公务用车购置支出0万元。全年按规定更新购置公务用车0辆，其中：轿车0辆、金额0万元，越野车0辆、金额0万元，载客汽车0辆、金额0万元。截至2024年12月31日，单位共有公务用车0辆，其中：轿车0辆、越野车0辆、载客汽车0辆。</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公务用车运行维护费支出0万元。</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仿宋_GB2312" w:cs="Times New Roman"/>
          <w:b/>
          <w:bCs/>
          <w:color w:val="auto"/>
          <w:kern w:val="2"/>
          <w:sz w:val="32"/>
          <w:szCs w:val="32"/>
          <w:highlight w:val="none"/>
          <w:lang w:val="en-US" w:eastAsia="zh-CN" w:bidi="ar-SA"/>
        </w:rPr>
        <w:t>3.公务接待费支出0万元，完成预算0%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方正仿宋_GBK" w:cs="Times New Roman"/>
          <w:color w:val="auto"/>
          <w:kern w:val="2"/>
          <w:sz w:val="32"/>
          <w:szCs w:val="32"/>
          <w:highlight w:val="none"/>
          <w:lang w:val="en-US" w:eastAsia="zh-CN" w:bidi="ar-SA"/>
        </w:rPr>
        <w:t>公务接待费支出决算与2023年决算数持平。其中：</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国内公务接待支出0万元，国内公务接待0批次，0人次（不包括陪同人员），共计支出0万元。</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外事接待支出0万元，外事接待0批次，0人次（不包括陪同人员），共计支出0万元。</w:t>
      </w:r>
    </w:p>
    <w:p>
      <w:pPr>
        <w:keepNext w:val="0"/>
        <w:keepLines w:val="0"/>
        <w:pageBreakBefore w:val="0"/>
        <w:kinsoku/>
        <w:wordWrap/>
        <w:overflowPunct/>
        <w:topLinePunct w:val="0"/>
        <w:bidi w:val="0"/>
        <w:spacing w:line="240" w:lineRule="auto"/>
        <w:ind w:firstLine="640"/>
        <w:textAlignment w:val="auto"/>
        <w:outlineLvl w:val="1"/>
        <w:rPr>
          <w:rFonts w:hint="default" w:ascii="Times New Roman" w:hAnsi="Times New Roman" w:eastAsia="黑体" w:cs="Times New Roman"/>
          <w:color w:val="auto"/>
          <w:sz w:val="32"/>
          <w:szCs w:val="32"/>
          <w:highlight w:val="none"/>
        </w:rPr>
      </w:pPr>
      <w:bookmarkStart w:id="118" w:name="_Toc15377218"/>
      <w:bookmarkStart w:id="119" w:name="_Toc19921"/>
      <w:bookmarkStart w:id="120" w:name="_Toc15396610"/>
      <w:bookmarkStart w:id="121" w:name="_Toc32461"/>
      <w:bookmarkStart w:id="122" w:name="_Toc4692_WPSOffice_Level2"/>
      <w:r>
        <w:rPr>
          <w:rFonts w:hint="eastAsia" w:ascii="Times New Roman" w:hAnsi="Times New Roman" w:eastAsia="黑体" w:cs="Times New Roman"/>
          <w:color w:val="auto"/>
          <w:sz w:val="32"/>
          <w:szCs w:val="32"/>
          <w:highlight w:val="none"/>
        </w:rPr>
        <w:t>八、政府性基金预算支出决算情况说明</w:t>
      </w:r>
      <w:bookmarkEnd w:id="118"/>
      <w:bookmarkEnd w:id="119"/>
      <w:bookmarkEnd w:id="120"/>
      <w:bookmarkEnd w:id="121"/>
      <w:bookmarkEnd w:id="122"/>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2024年度政府性基金预算财政拨款支出0万元，占本年支出合计的0%。与2023年决算数持平。</w:t>
      </w:r>
    </w:p>
    <w:p>
      <w:pPr>
        <w:keepNext w:val="0"/>
        <w:keepLines w:val="0"/>
        <w:pageBreakBefore w:val="0"/>
        <w:kinsoku/>
        <w:wordWrap/>
        <w:overflowPunct/>
        <w:topLinePunct w:val="0"/>
        <w:bidi w:val="0"/>
        <w:spacing w:line="240" w:lineRule="auto"/>
        <w:ind w:firstLine="640"/>
        <w:textAlignment w:val="auto"/>
        <w:outlineLvl w:val="1"/>
        <w:rPr>
          <w:rFonts w:hint="eastAsia" w:ascii="Times New Roman" w:hAnsi="Times New Roman" w:eastAsia="黑体" w:cs="Times New Roman"/>
          <w:color w:val="auto"/>
          <w:sz w:val="32"/>
          <w:szCs w:val="32"/>
          <w:highlight w:val="none"/>
        </w:rPr>
      </w:pPr>
      <w:bookmarkStart w:id="123" w:name="_Toc10306_WPSOffice_Level2"/>
      <w:bookmarkStart w:id="124" w:name="_Toc15377219"/>
      <w:bookmarkStart w:id="125" w:name="_Toc15396611"/>
      <w:bookmarkStart w:id="126" w:name="_Toc20497"/>
      <w:bookmarkStart w:id="127" w:name="_Toc16880"/>
      <w:r>
        <w:rPr>
          <w:rFonts w:hint="eastAsia" w:ascii="Times New Roman" w:hAnsi="Times New Roman" w:eastAsia="黑体" w:cs="Times New Roman"/>
          <w:color w:val="auto"/>
          <w:sz w:val="32"/>
          <w:szCs w:val="32"/>
          <w:highlight w:val="none"/>
          <w:lang w:eastAsia="zh-CN"/>
        </w:rPr>
        <w:t>九、</w:t>
      </w:r>
      <w:r>
        <w:rPr>
          <w:rFonts w:hint="eastAsia" w:ascii="Times New Roman" w:hAnsi="Times New Roman" w:eastAsia="黑体" w:cs="Times New Roman"/>
          <w:color w:val="auto"/>
          <w:sz w:val="32"/>
          <w:szCs w:val="32"/>
          <w:highlight w:val="none"/>
        </w:rPr>
        <w:t>国有资本经营预算支出决算情况说明</w:t>
      </w:r>
      <w:bookmarkEnd w:id="123"/>
      <w:bookmarkEnd w:id="124"/>
      <w:bookmarkEnd w:id="125"/>
      <w:bookmarkEnd w:id="126"/>
      <w:bookmarkEnd w:id="127"/>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2024年度国有资本经营预算财政拨款支出0万元，占本年支出合计的0%。与2023年决算数持平。</w:t>
      </w:r>
    </w:p>
    <w:p>
      <w:pPr>
        <w:keepNext w:val="0"/>
        <w:keepLines w:val="0"/>
        <w:pageBreakBefore w:val="0"/>
        <w:kinsoku/>
        <w:wordWrap/>
        <w:overflowPunct/>
        <w:topLinePunct w:val="0"/>
        <w:bidi w:val="0"/>
        <w:spacing w:line="240" w:lineRule="auto"/>
        <w:ind w:firstLine="640"/>
        <w:textAlignment w:val="auto"/>
        <w:outlineLvl w:val="1"/>
        <w:rPr>
          <w:rStyle w:val="29"/>
          <w:rFonts w:hint="eastAsia" w:ascii="Times New Roman" w:hAnsi="Times New Roman" w:eastAsia="黑体"/>
          <w:b w:val="0"/>
          <w:color w:val="auto"/>
          <w:highlight w:val="none"/>
        </w:rPr>
      </w:pPr>
      <w:bookmarkStart w:id="128" w:name="_Toc32301"/>
      <w:bookmarkStart w:id="129" w:name="_Toc6480"/>
      <w:bookmarkStart w:id="130" w:name="_Toc15396612"/>
      <w:bookmarkStart w:id="131" w:name="_Toc15377221"/>
      <w:bookmarkStart w:id="132" w:name="_Toc53_WPSOffice_Level2"/>
      <w:r>
        <w:rPr>
          <w:rStyle w:val="29"/>
          <w:rFonts w:hint="eastAsia" w:ascii="Times New Roman" w:hAnsi="Times New Roman" w:eastAsia="黑体"/>
          <w:b w:val="0"/>
          <w:color w:val="auto"/>
          <w:highlight w:val="none"/>
          <w:lang w:eastAsia="zh-CN"/>
        </w:rPr>
        <w:t>十、</w:t>
      </w:r>
      <w:r>
        <w:rPr>
          <w:rStyle w:val="29"/>
          <w:rFonts w:hint="eastAsia" w:ascii="Times New Roman" w:hAnsi="Times New Roman" w:eastAsia="黑体"/>
          <w:b w:val="0"/>
          <w:color w:val="auto"/>
          <w:highlight w:val="none"/>
        </w:rPr>
        <w:t>其他重要事项的情况说明</w:t>
      </w:r>
      <w:bookmarkEnd w:id="128"/>
      <w:bookmarkEnd w:id="129"/>
      <w:bookmarkEnd w:id="130"/>
      <w:bookmarkEnd w:id="131"/>
      <w:bookmarkEnd w:id="132"/>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133" w:name="_Toc15377222"/>
      <w:bookmarkStart w:id="134" w:name="_Toc4404"/>
      <w:bookmarkStart w:id="135" w:name="_Toc20927"/>
      <w:bookmarkStart w:id="136" w:name="_Toc9061"/>
      <w:r>
        <w:rPr>
          <w:rFonts w:hint="eastAsia" w:ascii="Times New Roman" w:hAnsi="Times New Roman" w:eastAsia="楷体_GB2312" w:cs="Times New Roman"/>
          <w:b/>
          <w:color w:val="auto"/>
          <w:sz w:val="32"/>
          <w:szCs w:val="32"/>
          <w:highlight w:val="none"/>
        </w:rPr>
        <w:t>（一）机关运行经费支出情况</w:t>
      </w:r>
      <w:bookmarkEnd w:id="133"/>
      <w:bookmarkEnd w:id="134"/>
      <w:bookmarkEnd w:id="135"/>
      <w:bookmarkEnd w:id="136"/>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2024年度，盐边县渔门镇初级中学校机关运行经费支出0万元，与2023年决算数持平。</w:t>
      </w:r>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137" w:name="_Toc11505"/>
      <w:bookmarkStart w:id="138" w:name="_Toc15377223"/>
      <w:bookmarkStart w:id="139" w:name="_Toc28443"/>
      <w:bookmarkStart w:id="140" w:name="_Toc11115"/>
      <w:r>
        <w:rPr>
          <w:rFonts w:hint="eastAsia" w:ascii="Times New Roman" w:hAnsi="Times New Roman" w:eastAsia="楷体_GB2312" w:cs="Times New Roman"/>
          <w:b/>
          <w:color w:val="auto"/>
          <w:sz w:val="32"/>
          <w:szCs w:val="32"/>
          <w:highlight w:val="none"/>
        </w:rPr>
        <w:t>（二）政府采购支出情况</w:t>
      </w:r>
      <w:bookmarkEnd w:id="137"/>
      <w:bookmarkEnd w:id="138"/>
      <w:bookmarkEnd w:id="139"/>
      <w:bookmarkEnd w:id="140"/>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2024年度，盐边县渔门镇初级中学校政府采购支出总额187.79万元，其中：政府采购货物支出0万元、政府采购工程支出187.79万元、政府采购服务支出0万元。政府采购工程支付主要是盐边县渔门镇初级中学校原高中楼维修改造项目工程款支付80%资金。授予中小企业合同金额187.79万元，占政府采购支出总额的100%，其中：授予小微企业合同金额187.79万元，占政府采购支出总额的100%。</w:t>
      </w:r>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141" w:name="_Toc15377224"/>
      <w:bookmarkStart w:id="142" w:name="_Toc610"/>
      <w:bookmarkStart w:id="143" w:name="_Toc24483"/>
      <w:bookmarkStart w:id="144" w:name="_Toc25179"/>
      <w:r>
        <w:rPr>
          <w:rFonts w:hint="eastAsia" w:ascii="Times New Roman" w:hAnsi="Times New Roman" w:eastAsia="楷体_GB2312" w:cs="Times New Roman"/>
          <w:b/>
          <w:color w:val="auto"/>
          <w:sz w:val="32"/>
          <w:szCs w:val="32"/>
          <w:highlight w:val="none"/>
        </w:rPr>
        <w:t>（三）国有资产占有使用情况</w:t>
      </w:r>
      <w:bookmarkEnd w:id="141"/>
      <w:bookmarkEnd w:id="142"/>
      <w:bookmarkEnd w:id="143"/>
      <w:bookmarkEnd w:id="144"/>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截至2024年12月31日，盐边县渔门镇初级中学校共有车辆0辆，其中：主要负责人用车0辆、机要通信用车0辆、应急保障用车0辆、其他用车0辆，单价100万元（含）以上设备（不含车辆）1台（套）。</w:t>
      </w:r>
    </w:p>
    <w:p>
      <w:pPr>
        <w:keepNext w:val="0"/>
        <w:keepLines w:val="0"/>
        <w:pageBreakBefore w:val="0"/>
        <w:kinsoku/>
        <w:wordWrap/>
        <w:overflowPunct/>
        <w:topLinePunct w:val="0"/>
        <w:bidi w:val="0"/>
        <w:spacing w:line="240" w:lineRule="auto"/>
        <w:ind w:firstLine="643" w:firstLineChars="200"/>
        <w:textAlignment w:val="auto"/>
        <w:outlineLvl w:val="2"/>
        <w:rPr>
          <w:rFonts w:hint="eastAsia" w:ascii="Times New Roman" w:hAnsi="Times New Roman" w:eastAsia="楷体_GB2312" w:cs="Times New Roman"/>
          <w:b/>
          <w:color w:val="auto"/>
          <w:sz w:val="32"/>
          <w:szCs w:val="32"/>
          <w:highlight w:val="none"/>
        </w:rPr>
      </w:pPr>
      <w:bookmarkStart w:id="145" w:name="_Toc16593"/>
      <w:bookmarkStart w:id="146" w:name="_Toc29349"/>
      <w:bookmarkStart w:id="147" w:name="_Toc9000"/>
      <w:r>
        <w:rPr>
          <w:rFonts w:hint="eastAsia" w:ascii="Times New Roman" w:hAnsi="Times New Roman" w:eastAsia="楷体_GB2312" w:cs="Times New Roman"/>
          <w:b/>
          <w:color w:val="auto"/>
          <w:sz w:val="32"/>
          <w:szCs w:val="32"/>
          <w:highlight w:val="none"/>
        </w:rPr>
        <w:t>（四）预算绩效管理情况</w:t>
      </w:r>
      <w:bookmarkEnd w:id="145"/>
      <w:bookmarkEnd w:id="146"/>
      <w:bookmarkEnd w:id="147"/>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根据预算绩效管理要求，</w:t>
      </w:r>
      <w:r>
        <w:rPr>
          <w:rFonts w:hint="default" w:ascii="Times New Roman" w:hAnsi="Times New Roman" w:eastAsia="方正仿宋_GBK" w:cs="Times New Roman"/>
          <w:color w:val="auto"/>
          <w:kern w:val="2"/>
          <w:sz w:val="32"/>
          <w:szCs w:val="32"/>
          <w:highlight w:val="none"/>
          <w:lang w:val="en-US" w:eastAsia="zh-CN" w:bidi="ar-SA"/>
        </w:rPr>
        <w:t>本单位</w:t>
      </w:r>
      <w:r>
        <w:rPr>
          <w:rFonts w:hint="eastAsia" w:ascii="Times New Roman" w:hAnsi="Times New Roman" w:eastAsia="方正仿宋_GBK" w:cs="Times New Roman"/>
          <w:color w:val="auto"/>
          <w:kern w:val="2"/>
          <w:sz w:val="32"/>
          <w:szCs w:val="32"/>
          <w:highlight w:val="none"/>
          <w:lang w:val="en-US" w:eastAsia="zh-CN" w:bidi="ar-SA"/>
        </w:rPr>
        <w:t>在2024年度预算编制阶段，组织对4个项目开展了预算事前绩效评估，对4个项目编制了绩效目标，预算执行过程中，对4个项目开展绩效监控。</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盐边县渔门镇初级中学校原高中教学楼维修改造项目”专项预算项目绩效自评得分为100分。绩效自评综述该项目的实施进一步完善学校基础设施及使用功能，切实做好渔门镇中心学校高年级和渔门镇初级中学小升初顺利衔接工作，减少生源流失，满足教育高质量发展的要求。该项目2023年11月动工，2024年3月完工，项目施工科学、合规、质量高效，资金专款专用，</w:t>
      </w:r>
      <w:r>
        <w:rPr>
          <w:rFonts w:hint="default" w:ascii="Times New Roman" w:hAnsi="Times New Roman" w:eastAsia="方正仿宋_GBK" w:cs="Times New Roman"/>
          <w:color w:val="auto"/>
          <w:kern w:val="2"/>
          <w:sz w:val="32"/>
          <w:szCs w:val="32"/>
          <w:highlight w:val="none"/>
          <w:lang w:val="en-US" w:eastAsia="zh-CN" w:bidi="ar-SA"/>
        </w:rPr>
        <w:t>绩效自评表详见第四部分附件</w:t>
      </w:r>
      <w:r>
        <w:rPr>
          <w:rFonts w:hint="eastAsia" w:ascii="Times New Roman" w:hAnsi="Times New Roman" w:eastAsia="方正仿宋_GBK" w:cs="Times New Roman"/>
          <w:color w:val="auto"/>
          <w:kern w:val="2"/>
          <w:sz w:val="32"/>
          <w:szCs w:val="32"/>
          <w:highlight w:val="none"/>
          <w:lang w:val="en-US" w:eastAsia="zh-CN" w:bidi="ar-SA"/>
        </w:rPr>
        <w:t>。</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盐边县渔门镇初级中学校篮球场地改造项目”专项预算项目绩效自评得分为100分。绩效自评综述项目2023年度完成施工达到各项指标，按时交付。工程质量优良，满意度高，为学校教学消除安全隐患，改善运动环境质量，提高安全系数，使用时间长久，同时提高办学条件。2023年已结束并结清工程款，本年度主要支付审计费和设计费，</w:t>
      </w:r>
      <w:r>
        <w:rPr>
          <w:rFonts w:hint="default" w:ascii="Times New Roman" w:hAnsi="Times New Roman" w:eastAsia="方正仿宋_GBK" w:cs="Times New Roman"/>
          <w:color w:val="auto"/>
          <w:kern w:val="2"/>
          <w:sz w:val="32"/>
          <w:szCs w:val="32"/>
          <w:highlight w:val="none"/>
          <w:lang w:val="en-US" w:eastAsia="zh-CN" w:bidi="ar-SA"/>
        </w:rPr>
        <w:t>绩效自评表详见第四部分附件</w:t>
      </w:r>
      <w:r>
        <w:rPr>
          <w:rFonts w:hint="eastAsia" w:ascii="Times New Roman" w:hAnsi="Times New Roman" w:eastAsia="方正仿宋_GBK" w:cs="Times New Roman"/>
          <w:color w:val="auto"/>
          <w:kern w:val="2"/>
          <w:sz w:val="32"/>
          <w:szCs w:val="32"/>
          <w:highlight w:val="none"/>
          <w:lang w:val="en-US" w:eastAsia="zh-CN" w:bidi="ar-SA"/>
        </w:rPr>
        <w:t>。</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盐边县渔门镇初级中学校阶梯教室维修改造工程”专项预算项目绩效自评得分为100分。绩效自评综述阶梯教室改造项目2023年度已完成阶梯教室顶棚更换及室内装修，更换会议桌椅、安装会议系统，打造可容纳北部地区大型会议的会议室，并结清项目工程款，本年度主要按合同支付造价审计费、退质保金，</w:t>
      </w:r>
      <w:r>
        <w:rPr>
          <w:rFonts w:hint="default" w:ascii="Times New Roman" w:hAnsi="Times New Roman" w:eastAsia="方正仿宋_GBK" w:cs="Times New Roman"/>
          <w:color w:val="auto"/>
          <w:kern w:val="2"/>
          <w:sz w:val="32"/>
          <w:szCs w:val="32"/>
          <w:highlight w:val="none"/>
          <w:lang w:val="en-US" w:eastAsia="zh-CN" w:bidi="ar-SA"/>
        </w:rPr>
        <w:t>绩效自评表详见第四部分附件</w:t>
      </w:r>
      <w:r>
        <w:rPr>
          <w:rFonts w:hint="eastAsia" w:ascii="Times New Roman" w:hAnsi="Times New Roman" w:eastAsia="方正仿宋_GBK" w:cs="Times New Roman"/>
          <w:color w:val="auto"/>
          <w:kern w:val="2"/>
          <w:sz w:val="32"/>
          <w:szCs w:val="32"/>
          <w:highlight w:val="none"/>
          <w:lang w:val="en-US" w:eastAsia="zh-CN" w:bidi="ar-SA"/>
        </w:rPr>
        <w:t>。</w:t>
      </w:r>
    </w:p>
    <w:p>
      <w:pPr>
        <w:spacing w:line="600" w:lineRule="exact"/>
        <w:ind w:firstLine="640"/>
        <w:rPr>
          <w:rFonts w:hint="eastAsia"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color w:val="auto"/>
          <w:kern w:val="2"/>
          <w:sz w:val="32"/>
          <w:szCs w:val="32"/>
          <w:highlight w:val="none"/>
          <w:lang w:val="en-US" w:eastAsia="zh-CN" w:bidi="ar-SA"/>
        </w:rPr>
        <w:t>4.盐边县渔门镇初级中学校学生宿舍维修改造工程”专项预算项目绩效自评得分为100分。绩效自评综述学生宿舍维修改造工程项目2023年度已完成施工，按时交付，并付部分工程款。工程质量优良，满意度高，为学校教学消除安全隐患，改善运动环境质量，提高安全系数，使用时间长久，同时提高办学条件。2024年度支付后期工程款、监理费、审计费、设计费等本年度结清工程款和其他费用，</w:t>
      </w:r>
      <w:r>
        <w:rPr>
          <w:rFonts w:hint="default" w:ascii="Times New Roman" w:hAnsi="Times New Roman" w:eastAsia="方正仿宋_GBK" w:cs="Times New Roman"/>
          <w:color w:val="auto"/>
          <w:kern w:val="2"/>
          <w:sz w:val="32"/>
          <w:szCs w:val="32"/>
          <w:highlight w:val="none"/>
          <w:lang w:val="en-US" w:eastAsia="zh-CN" w:bidi="ar-SA"/>
        </w:rPr>
        <w:t>绩效自评表详见第四部分附件</w:t>
      </w:r>
      <w:r>
        <w:rPr>
          <w:rFonts w:hint="eastAsia" w:ascii="Times New Roman" w:hAnsi="Times New Roman" w:eastAsia="方正仿宋_GBK" w:cs="Times New Roman"/>
          <w:color w:val="auto"/>
          <w:kern w:val="2"/>
          <w:sz w:val="32"/>
          <w:szCs w:val="32"/>
          <w:highlight w:val="none"/>
          <w:lang w:val="en-US" w:eastAsia="zh-CN" w:bidi="ar-SA"/>
        </w:rPr>
        <w:t>。</w:t>
      </w:r>
    </w:p>
    <w:p>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148" w:name="_Toc19805"/>
      <w:bookmarkStart w:id="149" w:name="_Toc15377225"/>
      <w:bookmarkStart w:id="150" w:name="_Toc15396613"/>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numPr>
          <w:ilvl w:val="0"/>
          <w:numId w:val="0"/>
        </w:numPr>
        <w:spacing w:line="600" w:lineRule="exact"/>
        <w:jc w:val="both"/>
        <w:outlineLvl w:val="0"/>
        <w:rPr>
          <w:rFonts w:hint="eastAsia" w:ascii="Times New Roman" w:hAnsi="Times New Roman" w:eastAsia="黑体"/>
          <w:color w:val="auto"/>
          <w:sz w:val="44"/>
          <w:szCs w:val="44"/>
          <w:highlight w:val="none"/>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p>
    <w:p>
      <w:pPr>
        <w:keepNext w:val="0"/>
        <w:keepLines w:val="0"/>
        <w:pageBreakBefore w:val="0"/>
        <w:numPr>
          <w:ilvl w:val="0"/>
          <w:numId w:val="0"/>
        </w:numPr>
        <w:kinsoku/>
        <w:wordWrap/>
        <w:overflowPunct/>
        <w:topLinePunct w:val="0"/>
        <w:bidi w:val="0"/>
        <w:spacing w:line="240" w:lineRule="auto"/>
        <w:jc w:val="center"/>
        <w:textAlignment w:val="auto"/>
        <w:outlineLvl w:val="0"/>
        <w:rPr>
          <w:rFonts w:hint="eastAsia" w:ascii="Times New Roman" w:hAnsi="Times New Roman" w:eastAsia="黑体" w:cs="Times New Roman"/>
          <w:color w:val="auto"/>
          <w:sz w:val="44"/>
          <w:szCs w:val="44"/>
          <w:highlight w:val="none"/>
        </w:rPr>
      </w:pPr>
      <w:bookmarkStart w:id="151" w:name="_Toc4611_WPSOffice_Level1"/>
      <w:bookmarkStart w:id="152" w:name="_Toc12579"/>
      <w:r>
        <w:rPr>
          <w:rFonts w:hint="eastAsia" w:ascii="Times New Roman" w:hAnsi="Times New Roman" w:eastAsia="黑体" w:cs="Times New Roman"/>
          <w:color w:val="auto"/>
          <w:sz w:val="44"/>
          <w:szCs w:val="44"/>
          <w:highlight w:val="none"/>
        </w:rPr>
        <w:t>第</w:t>
      </w:r>
      <w:r>
        <w:rPr>
          <w:rFonts w:hint="eastAsia" w:ascii="Times New Roman" w:hAnsi="Times New Roman" w:eastAsia="黑体" w:cs="Times New Roman"/>
          <w:color w:val="auto"/>
          <w:sz w:val="44"/>
          <w:szCs w:val="44"/>
          <w:highlight w:val="none"/>
          <w:lang w:eastAsia="zh-CN"/>
        </w:rPr>
        <w:t>三</w:t>
      </w:r>
      <w:r>
        <w:rPr>
          <w:rFonts w:hint="eastAsia" w:ascii="Times New Roman" w:hAnsi="Times New Roman" w:eastAsia="黑体" w:cs="Times New Roman"/>
          <w:color w:val="auto"/>
          <w:sz w:val="44"/>
          <w:szCs w:val="44"/>
          <w:highlight w:val="none"/>
        </w:rPr>
        <w:t>部分</w:t>
      </w:r>
      <w:r>
        <w:rPr>
          <w:rFonts w:hint="eastAsia" w:ascii="Times New Roman" w:hAnsi="Times New Roman" w:eastAsia="黑体" w:cs="Times New Roman"/>
          <w:color w:val="auto"/>
          <w:sz w:val="44"/>
          <w:szCs w:val="44"/>
          <w:highlight w:val="none"/>
          <w:lang w:val="en-US" w:eastAsia="zh-CN"/>
        </w:rPr>
        <w:t xml:space="preserve">  </w:t>
      </w:r>
      <w:r>
        <w:rPr>
          <w:rFonts w:hint="eastAsia" w:ascii="Times New Roman" w:hAnsi="Times New Roman" w:eastAsia="黑体" w:cs="Times New Roman"/>
          <w:color w:val="auto"/>
          <w:sz w:val="44"/>
          <w:szCs w:val="44"/>
          <w:highlight w:val="none"/>
        </w:rPr>
        <w:t>名词解释</w:t>
      </w:r>
      <w:bookmarkEnd w:id="148"/>
      <w:bookmarkEnd w:id="149"/>
      <w:bookmarkEnd w:id="150"/>
      <w:bookmarkEnd w:id="151"/>
      <w:bookmarkEnd w:id="152"/>
    </w:p>
    <w:p>
      <w:pPr>
        <w:spacing w:line="600" w:lineRule="exact"/>
        <w:jc w:val="left"/>
        <w:rPr>
          <w:rFonts w:ascii="Times New Roman" w:hAnsi="Times New Roman"/>
          <w:b/>
          <w:color w:val="auto"/>
          <w:sz w:val="44"/>
          <w:szCs w:val="44"/>
          <w:highlight w:val="none"/>
        </w:rPr>
      </w:pP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bookmarkStart w:id="153" w:name="_Toc15396614"/>
      <w:bookmarkStart w:id="154" w:name="_Toc15377226"/>
      <w:r>
        <w:rPr>
          <w:rFonts w:hint="eastAsia" w:ascii="Times New Roman" w:hAnsi="Times New Roman" w:eastAsia="方正仿宋_GBK" w:cs="Times New Roman"/>
          <w:color w:val="auto"/>
          <w:sz w:val="32"/>
          <w:szCs w:val="32"/>
        </w:rPr>
        <w:t>1.财政拨款收入：指单位从同级财政部门取得的财政预算资金。</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2.事业收入：指事业单位开展专业业务活动及辅助活动取得的收入。</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3.经营收入：指事业单位在专业业务活动及其辅助活动之外开展非独立核算经营活动取得的收入。</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4.其他收入：指单位取得的除上述收入以外的各项收入。</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5.使用非财政拨款结余：指事业单位使用以前年度积累的非财政拨款结余弥补当年收支差额的金额。</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6.年初结转和结余：指以前年度尚未完成、结转到本年按有关规定继续使用的资金。</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7.结余分配：指事业单位按照会计制度规定缴纳的所得税、提取的专用结余以及转入非财政拨款结余的金额等。</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8.年末结转和结余：指单位按有关规定结转到下年或以后年度继续使用的资金。</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rPr>
        <w:t>9.</w:t>
      </w:r>
      <w:r>
        <w:rPr>
          <w:rFonts w:hint="eastAsia" w:ascii="Times New Roman" w:hAnsi="Times New Roman" w:eastAsia="方正仿宋_GBK" w:cs="Times New Roman"/>
          <w:color w:val="auto"/>
          <w:sz w:val="32"/>
          <w:szCs w:val="32"/>
          <w:lang w:val="zh-CN"/>
        </w:rPr>
        <w:t>教育支出（类）普通教育（款）初中教育（项）：反映各部门举办的初中教育支出。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rPr>
        <w:t>10.教育支出（类）教育费附加安排的支出（款）</w:t>
      </w:r>
      <w:r>
        <w:rPr>
          <w:rFonts w:hint="eastAsia" w:ascii="Times New Roman" w:hAnsi="Times New Roman" w:eastAsia="方正仿宋_GBK" w:cs="Times New Roman"/>
          <w:color w:val="auto"/>
          <w:sz w:val="32"/>
          <w:szCs w:val="32"/>
          <w:lang w:val="en-US" w:eastAsia="zh-CN"/>
        </w:rPr>
        <w:t>农村中小学校舍建设</w:t>
      </w:r>
      <w:r>
        <w:rPr>
          <w:rFonts w:hint="eastAsia" w:ascii="Times New Roman" w:hAnsi="Times New Roman" w:eastAsia="方正仿宋_GBK" w:cs="Times New Roman"/>
          <w:color w:val="auto"/>
          <w:sz w:val="32"/>
          <w:szCs w:val="32"/>
          <w:lang w:val="zh-CN"/>
        </w:rPr>
        <w:t>（项）：反映教育费附加安排</w:t>
      </w:r>
      <w:r>
        <w:rPr>
          <w:rFonts w:hint="eastAsia" w:ascii="Times New Roman" w:hAnsi="Times New Roman" w:eastAsia="方正仿宋_GBK" w:cs="Times New Roman"/>
          <w:color w:val="auto"/>
          <w:sz w:val="32"/>
          <w:szCs w:val="32"/>
          <w:lang w:val="en-US" w:eastAsia="zh-CN"/>
        </w:rPr>
        <w:t>用于农村中小学校舍新建、改建、修缮和维护的支出。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11.社会保障和就业支出（类）</w:t>
      </w:r>
      <w:r>
        <w:rPr>
          <w:rFonts w:hint="eastAsia" w:ascii="Times New Roman" w:hAnsi="Times New Roman" w:eastAsia="方正仿宋_GBK" w:cs="Times New Roman"/>
          <w:color w:val="auto"/>
          <w:sz w:val="32"/>
          <w:szCs w:val="32"/>
        </w:rPr>
        <w:t>行政事业单位养老支出</w:t>
      </w:r>
      <w:r>
        <w:rPr>
          <w:rFonts w:hint="eastAsia" w:ascii="Times New Roman" w:hAnsi="Times New Roman" w:eastAsia="方正仿宋_GBK" w:cs="Times New Roman"/>
          <w:color w:val="auto"/>
          <w:sz w:val="32"/>
          <w:szCs w:val="32"/>
          <w:lang w:val="zh-CN"/>
        </w:rPr>
        <w:t>（款）事业单位离退休费（项）：反映事业单位开支的离退休经费。</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12.社会保障和就业支出（类）</w:t>
      </w:r>
      <w:r>
        <w:rPr>
          <w:rFonts w:hint="eastAsia" w:ascii="Times New Roman" w:hAnsi="Times New Roman" w:eastAsia="方正仿宋_GBK" w:cs="Times New Roman"/>
          <w:color w:val="auto"/>
          <w:sz w:val="32"/>
          <w:szCs w:val="32"/>
        </w:rPr>
        <w:t>行政事业单位养老支出</w:t>
      </w:r>
      <w:r>
        <w:rPr>
          <w:rFonts w:hint="eastAsia" w:ascii="Times New Roman" w:hAnsi="Times New Roman" w:eastAsia="方正仿宋_GBK" w:cs="Times New Roman"/>
          <w:color w:val="auto"/>
          <w:sz w:val="32"/>
          <w:szCs w:val="32"/>
          <w:lang w:val="zh-CN"/>
        </w:rPr>
        <w:t>（款）机关事业单位</w:t>
      </w:r>
      <w:r>
        <w:rPr>
          <w:rFonts w:hint="eastAsia" w:ascii="Times New Roman" w:hAnsi="Times New Roman" w:eastAsia="方正仿宋_GBK" w:cs="Times New Roman"/>
          <w:color w:val="auto"/>
          <w:sz w:val="32"/>
          <w:szCs w:val="32"/>
          <w:lang w:val="en-US" w:eastAsia="zh-CN"/>
        </w:rPr>
        <w:t>基本</w:t>
      </w:r>
      <w:r>
        <w:rPr>
          <w:rFonts w:hint="eastAsia" w:ascii="Times New Roman" w:hAnsi="Times New Roman" w:eastAsia="方正仿宋_GBK" w:cs="Times New Roman"/>
          <w:color w:val="auto"/>
          <w:sz w:val="32"/>
          <w:szCs w:val="32"/>
          <w:lang w:val="zh-CN"/>
        </w:rPr>
        <w:t>养老保险缴费支出（项）：反映机关事业单位实施养老保险制度由单位缴纳的基本养老保险费支出。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13.社会保障和就业支出（类）行政事业单位养老支出（款）机关事业单位职业年金缴费支出（项）:反映机关事业单位实施养老保险制度由单位实际缴纳的职业年金支出。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14. 社会保障和就业支出（类）抚恤（款）死亡抚恤（项）:</w:t>
      </w:r>
      <w:r>
        <w:rPr>
          <w:rFonts w:hint="eastAsia" w:ascii="Times New Roman" w:hAnsi="Times New Roman" w:eastAsia="方正仿宋_GBK" w:cs="Times New Roman"/>
          <w:color w:val="auto"/>
          <w:sz w:val="32"/>
          <w:szCs w:val="32"/>
          <w:lang w:val="zh-CN"/>
        </w:rPr>
        <w:t>反映按规定用于烈士和牺牲、病故人员家属的一次性和定期抚恤金、丧葬补助费以及烈士褒扬金。</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15.卫生健康支出（类）</w:t>
      </w:r>
      <w:r>
        <w:rPr>
          <w:rFonts w:hint="eastAsia" w:ascii="Times New Roman" w:hAnsi="Times New Roman" w:eastAsia="方正仿宋_GBK" w:cs="Times New Roman"/>
          <w:color w:val="auto"/>
          <w:sz w:val="32"/>
          <w:szCs w:val="32"/>
        </w:rPr>
        <w:t>行政事业单位医疗</w:t>
      </w:r>
      <w:r>
        <w:rPr>
          <w:rFonts w:hint="eastAsia" w:ascii="Times New Roman" w:hAnsi="Times New Roman" w:eastAsia="方正仿宋_GBK" w:cs="Times New Roman"/>
          <w:color w:val="auto"/>
          <w:sz w:val="32"/>
          <w:szCs w:val="32"/>
          <w:lang w:val="zh-CN"/>
        </w:rPr>
        <w:t>（款）</w:t>
      </w:r>
      <w:r>
        <w:rPr>
          <w:rFonts w:hint="eastAsia" w:ascii="Times New Roman" w:hAnsi="Times New Roman" w:eastAsia="方正仿宋_GBK" w:cs="Times New Roman"/>
          <w:color w:val="auto"/>
          <w:sz w:val="32"/>
          <w:szCs w:val="32"/>
        </w:rPr>
        <w:t>事业单位医疗</w:t>
      </w:r>
      <w:r>
        <w:rPr>
          <w:rFonts w:hint="eastAsia" w:ascii="Times New Roman" w:hAnsi="Times New Roman" w:eastAsia="方正仿宋_GBK" w:cs="Times New Roman"/>
          <w:color w:val="auto"/>
          <w:sz w:val="32"/>
          <w:szCs w:val="32"/>
          <w:lang w:val="zh-CN"/>
        </w:rPr>
        <w:t>（项）：反映财政部门安排的事业单位基本医疗保险缴费经费，未参加医疗保险的事业单位的公费医疗经费，按国家规定享受离休人员待遇的医疗经费。</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16.卫生健康支出（类）</w:t>
      </w:r>
      <w:r>
        <w:rPr>
          <w:rFonts w:hint="eastAsia" w:ascii="Times New Roman" w:hAnsi="Times New Roman" w:eastAsia="方正仿宋_GBK" w:cs="Times New Roman"/>
          <w:color w:val="auto"/>
          <w:sz w:val="32"/>
          <w:szCs w:val="32"/>
        </w:rPr>
        <w:t>行政事业单位医疗</w:t>
      </w:r>
      <w:r>
        <w:rPr>
          <w:rFonts w:hint="eastAsia" w:ascii="Times New Roman" w:hAnsi="Times New Roman" w:eastAsia="方正仿宋_GBK" w:cs="Times New Roman"/>
          <w:color w:val="auto"/>
          <w:sz w:val="32"/>
          <w:szCs w:val="32"/>
          <w:lang w:val="zh-CN"/>
        </w:rPr>
        <w:t>（款）其他行政事业单位医疗支出（项）：反映除上述项目以外的其他用于行政事业单位医疗方面的支出。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17. 住房保障（类）住房改革支出（款）住房公积金（项）：反映行政事业单位按人力资源和社会保障部、财政部规定的基本工资和津贴补贴以及规定比列为职工缴纳的住房公积金。</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18.基本支出：指为保障机构正常运转、完成日常工作任务而发生的人员支出和公用支出。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19.项目支出：指在基本支出之外为完成特定行政任务和事业发展目标所发生的支出。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zh-CN"/>
        </w:rPr>
        <w:t>20.经营支出：指事业单位在专业业务活动及其辅助活动之外开展非独立核算经营活动发生的支出。</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21.“三公”经费：指单位用财政拨款安排的因公出国（境）费、公务用车购置及运行维护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桥过路费、保险费、安全奖励费用等支出；公务接待费反映单位按规定开支的各类公务接待（含外宾接待）费用。</w:t>
      </w:r>
    </w:p>
    <w:p>
      <w:pPr>
        <w:pStyle w:val="26"/>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22. 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left="0" w:leftChars="0" w:firstLine="883" w:firstLineChars="200"/>
        <w:jc w:val="center"/>
        <w:outlineLvl w:val="0"/>
        <w:rPr>
          <w:rStyle w:val="28"/>
          <w:rFonts w:eastAsia="黑体"/>
          <w:b w:val="0"/>
          <w:color w:val="auto"/>
        </w:rPr>
      </w:pPr>
      <w:r>
        <w:rPr>
          <w:rFonts w:ascii="宋体"/>
          <w:b/>
          <w:sz w:val="44"/>
          <w:szCs w:val="44"/>
        </w:rPr>
        <w:br w:type="page"/>
      </w:r>
      <w:bookmarkEnd w:id="153"/>
      <w:bookmarkStart w:id="155" w:name="_Toc11009"/>
      <w:bookmarkStart w:id="156" w:name="_Toc20204"/>
      <w:bookmarkStart w:id="157" w:name="_Toc24846_WPSOffice_Level1"/>
      <w:bookmarkStart w:id="158" w:name="_Toc15396618"/>
      <w:r>
        <w:rPr>
          <w:rStyle w:val="28"/>
          <w:rFonts w:hint="eastAsia" w:ascii="Times New Roman" w:hAnsi="Times New Roman" w:eastAsia="黑体" w:cs="Times New Roman"/>
          <w:b w:val="0"/>
          <w:color w:val="auto"/>
          <w:highlight w:val="none"/>
        </w:rPr>
        <w:t>第四部分  附件</w:t>
      </w:r>
      <w:bookmarkEnd w:id="155"/>
      <w:bookmarkEnd w:id="156"/>
      <w:bookmarkEnd w:id="157"/>
    </w:p>
    <w:p>
      <w:pPr>
        <w:spacing w:line="572" w:lineRule="exact"/>
        <w:jc w:val="left"/>
        <w:outlineLvl w:val="9"/>
        <w:rPr>
          <w:rFonts w:eastAsia="黑体" w:cs="黑体"/>
          <w:color w:val="auto"/>
          <w:sz w:val="32"/>
          <w:szCs w:val="32"/>
        </w:rPr>
      </w:pPr>
    </w:p>
    <w:p>
      <w:pPr>
        <w:pageBreakBefore w:val="0"/>
        <w:widowControl w:val="0"/>
        <w:kinsoku/>
        <w:wordWrap/>
        <w:overflowPunct/>
        <w:topLinePunct w:val="0"/>
        <w:bidi w:val="0"/>
        <w:snapToGrid/>
        <w:spacing w:line="560" w:lineRule="exact"/>
        <w:jc w:val="center"/>
        <w:textAlignment w:val="auto"/>
        <w:outlineLvl w:val="1"/>
        <w:rPr>
          <w:rFonts w:hint="eastAsia" w:ascii="Times New Roman" w:hAnsi="Times New Roman" w:eastAsia="仿宋_GB2312" w:cs="Times New Roman"/>
          <w:sz w:val="32"/>
          <w:szCs w:val="32"/>
          <w:lang w:eastAsia="zh-CN"/>
        </w:rPr>
      </w:pPr>
      <w:bookmarkStart w:id="159" w:name="_Toc30359_WPSOffice_Level2"/>
      <w:bookmarkStart w:id="160" w:name="_Toc17913"/>
      <w:bookmarkStart w:id="203" w:name="_GoBack"/>
      <w:r>
        <w:rPr>
          <w:rFonts w:hint="eastAsia" w:ascii="Times New Roman" w:hAnsi="Times New Roman" w:eastAsia="仿宋_GB2312" w:cs="Times New Roman"/>
          <w:sz w:val="32"/>
          <w:szCs w:val="32"/>
        </w:rPr>
        <w:t>部门预算项目支出绩效评价表（2024年度）</w:t>
      </w:r>
      <w:bookmarkEnd w:id="159"/>
      <w:bookmarkEnd w:id="203"/>
    </w:p>
    <w:bookmarkEnd w:id="160"/>
    <w:p>
      <w:pPr>
        <w:pStyle w:val="7"/>
        <w:spacing w:line="560" w:lineRule="exact"/>
        <w:ind w:left="0" w:leftChars="0" w:firstLine="640"/>
        <w:rPr>
          <w:rFonts w:ascii="Times New Roman" w:eastAsia="仿宋_GB2312" w:cs="仿宋_GB2312"/>
          <w:color w:val="auto"/>
          <w:kern w:val="0"/>
          <w:sz w:val="32"/>
        </w:rPr>
      </w:pPr>
    </w:p>
    <w:p>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widowControl/>
        <w:jc w:val="center"/>
        <w:rPr>
          <w:rFonts w:hint="eastAsia" w:ascii="Times New Roman" w:hAnsi="Times New Roman" w:eastAsia="黑体"/>
          <w:color w:val="auto"/>
          <w:sz w:val="44"/>
          <w:szCs w:val="44"/>
          <w:highlight w:val="none"/>
        </w:rPr>
      </w:pPr>
    </w:p>
    <w:p>
      <w:pPr>
        <w:keepNext w:val="0"/>
        <w:keepLines w:val="0"/>
        <w:pageBreakBefore w:val="0"/>
        <w:widowControl/>
        <w:kinsoku/>
        <w:wordWrap/>
        <w:overflowPunct/>
        <w:topLinePunct w:val="0"/>
        <w:bidi w:val="0"/>
        <w:spacing w:line="240" w:lineRule="auto"/>
        <w:jc w:val="center"/>
        <w:textAlignment w:val="auto"/>
        <w:rPr>
          <w:rStyle w:val="28"/>
          <w:rFonts w:hint="eastAsia" w:ascii="Times New Roman" w:hAnsi="Times New Roman" w:eastAsia="黑体" w:cs="Times New Roman"/>
          <w:b w:val="0"/>
          <w:color w:val="auto"/>
          <w:highlight w:val="none"/>
        </w:rPr>
      </w:pPr>
      <w:bookmarkStart w:id="161" w:name="_Toc27558"/>
      <w:bookmarkStart w:id="162" w:name="_Toc970_WPSOffice_Level1"/>
      <w:bookmarkStart w:id="163" w:name="_Toc12039"/>
      <w:r>
        <w:rPr>
          <w:rStyle w:val="28"/>
          <w:rFonts w:hint="eastAsia" w:ascii="Times New Roman" w:hAnsi="Times New Roman" w:eastAsia="黑体" w:cs="Times New Roman"/>
          <w:b w:val="0"/>
          <w:color w:val="auto"/>
          <w:highlight w:val="none"/>
        </w:rPr>
        <w:t>第五部分 附表</w:t>
      </w:r>
      <w:bookmarkEnd w:id="154"/>
      <w:bookmarkEnd w:id="158"/>
      <w:bookmarkEnd w:id="161"/>
      <w:bookmarkEnd w:id="162"/>
      <w:bookmarkStart w:id="164" w:name="_Toc15396619"/>
    </w:p>
    <w:bookmarkEnd w:id="163"/>
    <w:p>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65" w:name="_Toc2798"/>
      <w:bookmarkStart w:id="166" w:name="_Toc30318_WPSOffice_Level2"/>
      <w:r>
        <w:rPr>
          <w:rStyle w:val="29"/>
          <w:rFonts w:hint="eastAsia" w:ascii="Times New Roman" w:hAnsi="Times New Roman" w:eastAsia="黑体" w:cs="Times New Roman"/>
          <w:b w:val="0"/>
          <w:color w:val="auto"/>
          <w:highlight w:val="none"/>
          <w:lang w:eastAsia="zh-CN"/>
        </w:rPr>
        <w:t>一、收入支出决算总表</w:t>
      </w:r>
      <w:bookmarkEnd w:id="164"/>
      <w:bookmarkEnd w:id="165"/>
      <w:bookmarkEnd w:id="166"/>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67" w:name="_Toc29924_WPSOffice_Level2"/>
      <w:bookmarkStart w:id="168" w:name="_Toc15396620"/>
      <w:bookmarkStart w:id="169" w:name="_Toc27891"/>
      <w:r>
        <w:rPr>
          <w:rStyle w:val="29"/>
          <w:rFonts w:hint="eastAsia" w:ascii="Times New Roman" w:hAnsi="Times New Roman" w:eastAsia="黑体" w:cs="Times New Roman"/>
          <w:b w:val="0"/>
          <w:color w:val="auto"/>
          <w:highlight w:val="none"/>
          <w:lang w:eastAsia="zh-CN"/>
        </w:rPr>
        <w:t>二、收入决算表</w:t>
      </w:r>
      <w:bookmarkEnd w:id="167"/>
      <w:bookmarkEnd w:id="168"/>
      <w:bookmarkEnd w:id="169"/>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70" w:name="_Toc29927"/>
      <w:bookmarkStart w:id="171" w:name="_Toc15396621"/>
      <w:bookmarkStart w:id="172" w:name="_Toc19141_WPSOffice_Level2"/>
      <w:r>
        <w:rPr>
          <w:rStyle w:val="29"/>
          <w:rFonts w:hint="eastAsia" w:ascii="Times New Roman" w:hAnsi="Times New Roman" w:eastAsia="黑体" w:cs="Times New Roman"/>
          <w:b w:val="0"/>
          <w:color w:val="auto"/>
          <w:highlight w:val="none"/>
          <w:lang w:eastAsia="zh-CN"/>
        </w:rPr>
        <w:t>三、支出决算表</w:t>
      </w:r>
      <w:bookmarkEnd w:id="170"/>
      <w:bookmarkEnd w:id="171"/>
      <w:bookmarkEnd w:id="172"/>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73" w:name="_Toc13250_WPSOffice_Level2"/>
      <w:bookmarkStart w:id="174" w:name="_Toc15396622"/>
      <w:bookmarkStart w:id="175" w:name="_Toc25972"/>
      <w:r>
        <w:rPr>
          <w:rStyle w:val="29"/>
          <w:rFonts w:hint="eastAsia" w:ascii="Times New Roman" w:hAnsi="Times New Roman" w:eastAsia="黑体" w:cs="Times New Roman"/>
          <w:b w:val="0"/>
          <w:color w:val="auto"/>
          <w:highlight w:val="none"/>
          <w:lang w:eastAsia="zh-CN"/>
        </w:rPr>
        <w:t>四、财政拨款收入支出决算总表</w:t>
      </w:r>
      <w:bookmarkEnd w:id="173"/>
      <w:bookmarkEnd w:id="174"/>
      <w:bookmarkEnd w:id="175"/>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76" w:name="_Toc829"/>
      <w:bookmarkStart w:id="177" w:name="_Toc15396623"/>
      <w:bookmarkStart w:id="178" w:name="_Toc23959_WPSOffice_Level2"/>
      <w:r>
        <w:rPr>
          <w:rStyle w:val="29"/>
          <w:rFonts w:hint="eastAsia" w:ascii="Times New Roman" w:hAnsi="Times New Roman" w:eastAsia="黑体" w:cs="Times New Roman"/>
          <w:b w:val="0"/>
          <w:color w:val="auto"/>
          <w:highlight w:val="none"/>
          <w:lang w:eastAsia="zh-CN"/>
        </w:rPr>
        <w:t>五、财政拨款支出决算明细表</w:t>
      </w:r>
      <w:bookmarkEnd w:id="176"/>
      <w:bookmarkEnd w:id="177"/>
      <w:bookmarkEnd w:id="178"/>
      <w:bookmarkStart w:id="179" w:name="_Toc15396624"/>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80" w:name="_Toc385"/>
      <w:bookmarkStart w:id="181" w:name="_Toc933_WPSOffice_Level2"/>
      <w:r>
        <w:rPr>
          <w:rStyle w:val="29"/>
          <w:rFonts w:hint="eastAsia" w:ascii="Times New Roman" w:hAnsi="Times New Roman" w:eastAsia="黑体" w:cs="Times New Roman"/>
          <w:b w:val="0"/>
          <w:color w:val="auto"/>
          <w:highlight w:val="none"/>
          <w:lang w:eastAsia="zh-CN"/>
        </w:rPr>
        <w:t>六、一般公共预算财政拨款支出决算表</w:t>
      </w:r>
      <w:bookmarkEnd w:id="179"/>
      <w:bookmarkEnd w:id="180"/>
      <w:bookmarkEnd w:id="181"/>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82" w:name="_Toc19981"/>
      <w:bookmarkStart w:id="183" w:name="_Toc15396625"/>
      <w:bookmarkStart w:id="184" w:name="_Toc28934_WPSOffice_Level2"/>
      <w:r>
        <w:rPr>
          <w:rStyle w:val="29"/>
          <w:rFonts w:hint="eastAsia" w:ascii="Times New Roman" w:hAnsi="Times New Roman" w:eastAsia="黑体" w:cs="Times New Roman"/>
          <w:b w:val="0"/>
          <w:color w:val="auto"/>
          <w:highlight w:val="none"/>
          <w:lang w:eastAsia="zh-CN"/>
        </w:rPr>
        <w:t>七、一般公共预算财政拨款支出决算明细表</w:t>
      </w:r>
      <w:bookmarkEnd w:id="182"/>
      <w:bookmarkEnd w:id="183"/>
      <w:bookmarkEnd w:id="184"/>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85" w:name="_Toc15396626"/>
      <w:bookmarkStart w:id="186" w:name="_Toc26579"/>
      <w:bookmarkStart w:id="187" w:name="_Toc27576_WPSOffice_Level2"/>
      <w:r>
        <w:rPr>
          <w:rStyle w:val="29"/>
          <w:rFonts w:hint="eastAsia" w:ascii="Times New Roman" w:hAnsi="Times New Roman" w:eastAsia="黑体" w:cs="Times New Roman"/>
          <w:b w:val="0"/>
          <w:color w:val="auto"/>
          <w:highlight w:val="none"/>
          <w:lang w:eastAsia="zh-CN"/>
        </w:rPr>
        <w:t>八、一般公共预算财政拨款基本支出决算表</w:t>
      </w:r>
      <w:bookmarkEnd w:id="185"/>
      <w:bookmarkEnd w:id="186"/>
      <w:bookmarkEnd w:id="187"/>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88" w:name="_Toc15396627"/>
      <w:bookmarkStart w:id="189" w:name="_Toc20184_WPSOffice_Level2"/>
      <w:bookmarkStart w:id="190" w:name="_Toc23533"/>
      <w:r>
        <w:rPr>
          <w:rStyle w:val="29"/>
          <w:rFonts w:hint="eastAsia" w:ascii="Times New Roman" w:hAnsi="Times New Roman" w:eastAsia="黑体" w:cs="Times New Roman"/>
          <w:b w:val="0"/>
          <w:color w:val="auto"/>
          <w:highlight w:val="none"/>
          <w:lang w:eastAsia="zh-CN"/>
        </w:rPr>
        <w:t>九、一般公共预算财政拨款项目支出决算表</w:t>
      </w:r>
      <w:bookmarkEnd w:id="188"/>
      <w:bookmarkEnd w:id="189"/>
      <w:bookmarkEnd w:id="190"/>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91" w:name="_Toc15396628"/>
      <w:bookmarkStart w:id="192" w:name="_Toc15438"/>
      <w:bookmarkStart w:id="193" w:name="_Toc6339_WPSOffice_Level2"/>
      <w:r>
        <w:rPr>
          <w:rStyle w:val="29"/>
          <w:rFonts w:hint="eastAsia" w:ascii="Times New Roman" w:hAnsi="Times New Roman" w:eastAsia="黑体" w:cs="Times New Roman"/>
          <w:b w:val="0"/>
          <w:color w:val="auto"/>
          <w:highlight w:val="none"/>
          <w:lang w:eastAsia="zh-CN"/>
        </w:rPr>
        <w:t>十、</w:t>
      </w:r>
      <w:bookmarkEnd w:id="191"/>
      <w:r>
        <w:rPr>
          <w:rStyle w:val="29"/>
          <w:rFonts w:hint="eastAsia" w:ascii="Times New Roman" w:hAnsi="Times New Roman" w:eastAsia="黑体" w:cs="Times New Roman"/>
          <w:b w:val="0"/>
          <w:color w:val="auto"/>
          <w:highlight w:val="none"/>
          <w:lang w:eastAsia="zh-CN"/>
        </w:rPr>
        <w:t>政府性基金预算财政拨款收入支出决算表</w:t>
      </w:r>
      <w:bookmarkEnd w:id="192"/>
      <w:bookmarkEnd w:id="193"/>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94" w:name="_Toc15396629"/>
      <w:bookmarkStart w:id="195" w:name="_Toc23116_WPSOffice_Level2"/>
      <w:bookmarkStart w:id="196" w:name="_Toc8785"/>
      <w:r>
        <w:rPr>
          <w:rStyle w:val="29"/>
          <w:rFonts w:hint="eastAsia" w:ascii="Times New Roman" w:hAnsi="Times New Roman" w:eastAsia="黑体" w:cs="Times New Roman"/>
          <w:b w:val="0"/>
          <w:color w:val="auto"/>
          <w:highlight w:val="none"/>
          <w:lang w:eastAsia="zh-CN"/>
        </w:rPr>
        <w:t>十一、</w:t>
      </w:r>
      <w:bookmarkEnd w:id="194"/>
      <w:r>
        <w:rPr>
          <w:rStyle w:val="29"/>
          <w:rFonts w:hint="eastAsia" w:ascii="Times New Roman" w:hAnsi="Times New Roman" w:eastAsia="黑体" w:cs="Times New Roman"/>
          <w:b w:val="0"/>
          <w:color w:val="auto"/>
          <w:highlight w:val="none"/>
          <w:lang w:eastAsia="zh-CN"/>
        </w:rPr>
        <w:t>国有资本经营预算财政拨款收入支出决算表</w:t>
      </w:r>
      <w:bookmarkEnd w:id="195"/>
      <w:bookmarkEnd w:id="196"/>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197" w:name="_Toc15396630"/>
      <w:bookmarkStart w:id="198" w:name="_Toc25411"/>
      <w:bookmarkStart w:id="199" w:name="_Toc3139_WPSOffice_Level2"/>
      <w:r>
        <w:rPr>
          <w:rStyle w:val="29"/>
          <w:rFonts w:hint="eastAsia" w:ascii="Times New Roman" w:hAnsi="Times New Roman" w:eastAsia="黑体" w:cs="Times New Roman"/>
          <w:b w:val="0"/>
          <w:color w:val="auto"/>
          <w:highlight w:val="none"/>
          <w:lang w:eastAsia="zh-CN"/>
        </w:rPr>
        <w:t>十二、</w:t>
      </w:r>
      <w:bookmarkEnd w:id="197"/>
      <w:r>
        <w:rPr>
          <w:rStyle w:val="29"/>
          <w:rFonts w:hint="eastAsia" w:ascii="Times New Roman" w:hAnsi="Times New Roman" w:eastAsia="黑体" w:cs="Times New Roman"/>
          <w:b w:val="0"/>
          <w:color w:val="auto"/>
          <w:highlight w:val="none"/>
          <w:lang w:eastAsia="zh-CN"/>
        </w:rPr>
        <w:t>国有资本经营预算财政拨款支出决算表</w:t>
      </w:r>
      <w:bookmarkEnd w:id="198"/>
      <w:bookmarkEnd w:id="199"/>
    </w:p>
    <w:p>
      <w:pPr>
        <w:keepNext w:val="0"/>
        <w:keepLines w:val="0"/>
        <w:pageBreakBefore w:val="0"/>
        <w:numPr>
          <w:ilvl w:val="0"/>
          <w:numId w:val="0"/>
        </w:numPr>
        <w:kinsoku/>
        <w:wordWrap/>
        <w:overflowPunct/>
        <w:topLinePunct w:val="0"/>
        <w:bidi w:val="0"/>
        <w:spacing w:line="240" w:lineRule="auto"/>
        <w:ind w:left="630" w:leftChars="0"/>
        <w:textAlignment w:val="auto"/>
        <w:outlineLvl w:val="1"/>
        <w:rPr>
          <w:rStyle w:val="29"/>
          <w:rFonts w:hint="eastAsia" w:ascii="Times New Roman" w:hAnsi="Times New Roman" w:eastAsia="黑体" w:cs="Times New Roman"/>
          <w:b w:val="0"/>
          <w:color w:val="auto"/>
          <w:highlight w:val="none"/>
          <w:lang w:eastAsia="zh-CN"/>
        </w:rPr>
      </w:pPr>
      <w:bookmarkStart w:id="200" w:name="_Toc15396631"/>
      <w:bookmarkStart w:id="201" w:name="_Toc21852_WPSOffice_Level2"/>
      <w:bookmarkStart w:id="202" w:name="_Toc28208"/>
      <w:r>
        <w:rPr>
          <w:rStyle w:val="29"/>
          <w:rFonts w:hint="eastAsia" w:ascii="Times New Roman" w:hAnsi="Times New Roman" w:eastAsia="黑体" w:cs="Times New Roman"/>
          <w:b w:val="0"/>
          <w:color w:val="auto"/>
          <w:highlight w:val="none"/>
          <w:lang w:eastAsia="zh-CN"/>
        </w:rPr>
        <w:t>十三、</w:t>
      </w:r>
      <w:bookmarkEnd w:id="200"/>
      <w:r>
        <w:rPr>
          <w:rStyle w:val="29"/>
          <w:rFonts w:hint="eastAsia" w:ascii="Times New Roman" w:hAnsi="Times New Roman" w:eastAsia="黑体" w:cs="Times New Roman"/>
          <w:b w:val="0"/>
          <w:color w:val="auto"/>
          <w:highlight w:val="none"/>
          <w:lang w:eastAsia="zh-CN"/>
        </w:rPr>
        <w:t>财政拨款“三公”经费支出决算表</w:t>
      </w:r>
      <w:bookmarkEnd w:id="201"/>
      <w:bookmarkEnd w:id="202"/>
    </w:p>
    <w:p>
      <w:pPr>
        <w:rPr>
          <w:rFonts w:hint="eastAsia" w:ascii="Times New Roman" w:hAnsi="Times New Roman"/>
          <w:lang w:eastAsia="zh-CN"/>
        </w:rPr>
      </w:pPr>
    </w:p>
    <w:p>
      <w:pPr>
        <w:widowControl/>
        <w:jc w:val="center"/>
        <w:outlineLvl w:val="9"/>
        <w:rPr>
          <w:rFonts w:hint="eastAsia" w:ascii="Times New Roman" w:hAnsi="Times New Roman"/>
          <w:lang w:eastAsia="zh-CN"/>
        </w:rPr>
      </w:pPr>
    </w:p>
    <w:sectPr>
      <w:footerReference r:id="rId8" w:type="first"/>
      <w:headerReference r:id="rId6" w:type="default"/>
      <w:footerReference r:id="rId7"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9DC8F717-0799-4076-9DB7-22DD8FD6A6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D317135-1A2B-4BAA-9F71-B48D9B313505}"/>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DB65FB2C-0222-4756-899E-D733E405EE23}"/>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embedRegular r:id="rId4" w:fontKey="{0A8EFAA4-6F75-4FF6-92C4-FEBD7669859D}"/>
  </w:font>
  <w:font w:name="方正小标宋_GBK">
    <w:panose1 w:val="03000509000000000000"/>
    <w:charset w:val="86"/>
    <w:family w:val="auto"/>
    <w:pitch w:val="default"/>
    <w:sig w:usb0="00000001" w:usb1="080E0000" w:usb2="00000000" w:usb3="00000000" w:csb0="00040000" w:csb1="00000000"/>
    <w:embedRegular r:id="rId5" w:fontKey="{4E4F916D-07CB-4319-91EC-5C85897BABC4}"/>
  </w:font>
  <w:font w:name="方正仿宋_GBK">
    <w:panose1 w:val="03000509000000000000"/>
    <w:charset w:val="86"/>
    <w:family w:val="auto"/>
    <w:pitch w:val="default"/>
    <w:sig w:usb0="00000001" w:usb1="080E0000" w:usb2="00000000" w:usb3="00000000" w:csb0="00040000" w:csb1="00000000"/>
    <w:embedRegular r:id="rId6" w:fontKey="{E4D60019-E0B8-42F7-B2A3-B722CD46182B}"/>
  </w:font>
  <w:font w:name="楷体_GB2312">
    <w:panose1 w:val="02010609030101010101"/>
    <w:charset w:val="86"/>
    <w:family w:val="auto"/>
    <w:pitch w:val="default"/>
    <w:sig w:usb0="00000001" w:usb1="080E0000" w:usb2="00000000" w:usb3="00000000" w:csb0="00040000" w:csb1="00000000"/>
    <w:embedRegular r:id="rId7" w:fontKey="{7BBC2FDB-DA92-48B9-B409-B53CE90B666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- 1 -</w:t>
                    </w:r>
                    <w:r>
                      <w:fldChar w:fldCharType="end"/>
                    </w:r>
                  </w:p>
                </w:txbxContent>
              </v:textbox>
            </v:shape>
          </w:pict>
        </mc:Fallback>
      </mc:AlternateConten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mc:Fallback>
      </mc:AlternateContent>
    </w: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FC3"/>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2BAB"/>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1B8A"/>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1695955"/>
    <w:rsid w:val="019127B6"/>
    <w:rsid w:val="01C30FFB"/>
    <w:rsid w:val="01E618F8"/>
    <w:rsid w:val="02FEBE30"/>
    <w:rsid w:val="04916F1E"/>
    <w:rsid w:val="061E35DE"/>
    <w:rsid w:val="066E0107"/>
    <w:rsid w:val="0781507A"/>
    <w:rsid w:val="07996F6E"/>
    <w:rsid w:val="07DFD8BA"/>
    <w:rsid w:val="086C649D"/>
    <w:rsid w:val="09867E8F"/>
    <w:rsid w:val="0A2032A3"/>
    <w:rsid w:val="0CA8290A"/>
    <w:rsid w:val="0D35B1ED"/>
    <w:rsid w:val="0E254B6B"/>
    <w:rsid w:val="0E3E3CC5"/>
    <w:rsid w:val="0F582B65"/>
    <w:rsid w:val="0F98263C"/>
    <w:rsid w:val="0FF705D0"/>
    <w:rsid w:val="101860EC"/>
    <w:rsid w:val="101D5107"/>
    <w:rsid w:val="101F47CC"/>
    <w:rsid w:val="108B0D18"/>
    <w:rsid w:val="10C055FF"/>
    <w:rsid w:val="11694EBD"/>
    <w:rsid w:val="11772AA4"/>
    <w:rsid w:val="118107EC"/>
    <w:rsid w:val="120576A5"/>
    <w:rsid w:val="12E24EE2"/>
    <w:rsid w:val="13D50BC4"/>
    <w:rsid w:val="14382F65"/>
    <w:rsid w:val="14461AA6"/>
    <w:rsid w:val="14522949"/>
    <w:rsid w:val="14B17F78"/>
    <w:rsid w:val="14C33176"/>
    <w:rsid w:val="15916DD0"/>
    <w:rsid w:val="15F555B1"/>
    <w:rsid w:val="164B465B"/>
    <w:rsid w:val="165E0673"/>
    <w:rsid w:val="16B831D5"/>
    <w:rsid w:val="16BB723D"/>
    <w:rsid w:val="16EB0762"/>
    <w:rsid w:val="17E50567"/>
    <w:rsid w:val="186504BB"/>
    <w:rsid w:val="197D7D98"/>
    <w:rsid w:val="19A445FC"/>
    <w:rsid w:val="1A8353A9"/>
    <w:rsid w:val="1AC217DA"/>
    <w:rsid w:val="1BE8440E"/>
    <w:rsid w:val="1D061E52"/>
    <w:rsid w:val="1D155CEE"/>
    <w:rsid w:val="1D1638FE"/>
    <w:rsid w:val="1E214A6A"/>
    <w:rsid w:val="1E312DEB"/>
    <w:rsid w:val="1E740ACF"/>
    <w:rsid w:val="1EEB522C"/>
    <w:rsid w:val="1F737547"/>
    <w:rsid w:val="1FAA740D"/>
    <w:rsid w:val="1FF35744"/>
    <w:rsid w:val="1FF6BC77"/>
    <w:rsid w:val="20A774A8"/>
    <w:rsid w:val="2186353C"/>
    <w:rsid w:val="222A0391"/>
    <w:rsid w:val="23860B96"/>
    <w:rsid w:val="240371BF"/>
    <w:rsid w:val="244F3473"/>
    <w:rsid w:val="24C97D99"/>
    <w:rsid w:val="25A718F0"/>
    <w:rsid w:val="25BB59F6"/>
    <w:rsid w:val="260F557C"/>
    <w:rsid w:val="26970054"/>
    <w:rsid w:val="27FC2EC5"/>
    <w:rsid w:val="281408E2"/>
    <w:rsid w:val="29FD04D3"/>
    <w:rsid w:val="2BFF7BC6"/>
    <w:rsid w:val="2C8A61B5"/>
    <w:rsid w:val="2D031F0A"/>
    <w:rsid w:val="2DF04E50"/>
    <w:rsid w:val="2E232138"/>
    <w:rsid w:val="2E586DFA"/>
    <w:rsid w:val="2EF67B05"/>
    <w:rsid w:val="2F040D46"/>
    <w:rsid w:val="2F6B035B"/>
    <w:rsid w:val="2FAE5751"/>
    <w:rsid w:val="2FB1A395"/>
    <w:rsid w:val="2FD9A7D8"/>
    <w:rsid w:val="2FDBF714"/>
    <w:rsid w:val="30147CC8"/>
    <w:rsid w:val="30AB6865"/>
    <w:rsid w:val="319F7F4E"/>
    <w:rsid w:val="32BD1EF1"/>
    <w:rsid w:val="32F742BF"/>
    <w:rsid w:val="3304709D"/>
    <w:rsid w:val="33A773CB"/>
    <w:rsid w:val="349D6851"/>
    <w:rsid w:val="35D60DE2"/>
    <w:rsid w:val="36AA5135"/>
    <w:rsid w:val="36BE0DA7"/>
    <w:rsid w:val="37254CB8"/>
    <w:rsid w:val="376B6AA6"/>
    <w:rsid w:val="376D39B2"/>
    <w:rsid w:val="37E16F03"/>
    <w:rsid w:val="37F53A3B"/>
    <w:rsid w:val="389845E7"/>
    <w:rsid w:val="389B6C89"/>
    <w:rsid w:val="38C369F1"/>
    <w:rsid w:val="38D469F0"/>
    <w:rsid w:val="39627CCD"/>
    <w:rsid w:val="397BAF1F"/>
    <w:rsid w:val="3A880176"/>
    <w:rsid w:val="3AB79AF3"/>
    <w:rsid w:val="3AE834C0"/>
    <w:rsid w:val="3B286FE0"/>
    <w:rsid w:val="3B5D4EDB"/>
    <w:rsid w:val="3B7EF35A"/>
    <w:rsid w:val="3B9603ED"/>
    <w:rsid w:val="3B9FDB6C"/>
    <w:rsid w:val="3BF5BC2F"/>
    <w:rsid w:val="3CEBA265"/>
    <w:rsid w:val="3D98207C"/>
    <w:rsid w:val="3DEE7CF3"/>
    <w:rsid w:val="3E740A63"/>
    <w:rsid w:val="3E78745D"/>
    <w:rsid w:val="3EE17838"/>
    <w:rsid w:val="3F55381A"/>
    <w:rsid w:val="3F7F7599"/>
    <w:rsid w:val="3FF4CAE0"/>
    <w:rsid w:val="3FF7B227"/>
    <w:rsid w:val="4278084D"/>
    <w:rsid w:val="433F136A"/>
    <w:rsid w:val="435D6CE3"/>
    <w:rsid w:val="43C33D49"/>
    <w:rsid w:val="44332C7D"/>
    <w:rsid w:val="449C5880"/>
    <w:rsid w:val="44E268DA"/>
    <w:rsid w:val="450D13D7"/>
    <w:rsid w:val="45506656"/>
    <w:rsid w:val="458A2306"/>
    <w:rsid w:val="465B196D"/>
    <w:rsid w:val="47D62E94"/>
    <w:rsid w:val="48674DD4"/>
    <w:rsid w:val="486A6C7A"/>
    <w:rsid w:val="49190D0E"/>
    <w:rsid w:val="4A627F82"/>
    <w:rsid w:val="4AC05487"/>
    <w:rsid w:val="4AE56B2F"/>
    <w:rsid w:val="4B0E749A"/>
    <w:rsid w:val="4B2477C4"/>
    <w:rsid w:val="4B4F25DA"/>
    <w:rsid w:val="4BE068DB"/>
    <w:rsid w:val="4D577224"/>
    <w:rsid w:val="4DBF18E4"/>
    <w:rsid w:val="4DBF1CEB"/>
    <w:rsid w:val="4DF0007C"/>
    <w:rsid w:val="4E3A10AC"/>
    <w:rsid w:val="4EAB630A"/>
    <w:rsid w:val="4ECE2238"/>
    <w:rsid w:val="4F833267"/>
    <w:rsid w:val="4FE9BD67"/>
    <w:rsid w:val="4FFB052F"/>
    <w:rsid w:val="537E6D0A"/>
    <w:rsid w:val="53F74C96"/>
    <w:rsid w:val="54091C4C"/>
    <w:rsid w:val="541D74A6"/>
    <w:rsid w:val="55170BA8"/>
    <w:rsid w:val="553218C9"/>
    <w:rsid w:val="564B654C"/>
    <w:rsid w:val="567E1AA5"/>
    <w:rsid w:val="56E47B74"/>
    <w:rsid w:val="57175D52"/>
    <w:rsid w:val="57BD3DD4"/>
    <w:rsid w:val="5AF92295"/>
    <w:rsid w:val="5B20132D"/>
    <w:rsid w:val="5B250254"/>
    <w:rsid w:val="5BDD79E6"/>
    <w:rsid w:val="5BF561CA"/>
    <w:rsid w:val="5BFF5DFC"/>
    <w:rsid w:val="5CD71FC4"/>
    <w:rsid w:val="5D1F11B5"/>
    <w:rsid w:val="5D695134"/>
    <w:rsid w:val="5DA1635C"/>
    <w:rsid w:val="5DAE1B18"/>
    <w:rsid w:val="5DE7D9E5"/>
    <w:rsid w:val="5E59557E"/>
    <w:rsid w:val="5ECEC941"/>
    <w:rsid w:val="5FBF9FF3"/>
    <w:rsid w:val="5FCD4E2C"/>
    <w:rsid w:val="5FE5356E"/>
    <w:rsid w:val="5FEF394A"/>
    <w:rsid w:val="5FF67715"/>
    <w:rsid w:val="611A2DA3"/>
    <w:rsid w:val="627562FB"/>
    <w:rsid w:val="62BF3928"/>
    <w:rsid w:val="62CC631F"/>
    <w:rsid w:val="63B3701E"/>
    <w:rsid w:val="647F5392"/>
    <w:rsid w:val="65870B77"/>
    <w:rsid w:val="65E66580"/>
    <w:rsid w:val="664B1D71"/>
    <w:rsid w:val="664B4E8E"/>
    <w:rsid w:val="66553E17"/>
    <w:rsid w:val="67277B67"/>
    <w:rsid w:val="67AA3209"/>
    <w:rsid w:val="68E85E7D"/>
    <w:rsid w:val="690967FD"/>
    <w:rsid w:val="69173E83"/>
    <w:rsid w:val="698D0931"/>
    <w:rsid w:val="6A5A4B58"/>
    <w:rsid w:val="6A7FE5F3"/>
    <w:rsid w:val="6B053271"/>
    <w:rsid w:val="6BAB14F6"/>
    <w:rsid w:val="6BDD78B3"/>
    <w:rsid w:val="6C414DE0"/>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1C8684B"/>
    <w:rsid w:val="72077373"/>
    <w:rsid w:val="72233669"/>
    <w:rsid w:val="72734D90"/>
    <w:rsid w:val="73160E6D"/>
    <w:rsid w:val="7332FE48"/>
    <w:rsid w:val="73AB61DA"/>
    <w:rsid w:val="73AD73D5"/>
    <w:rsid w:val="73B6EB34"/>
    <w:rsid w:val="73FA497D"/>
    <w:rsid w:val="744731E5"/>
    <w:rsid w:val="74BBD01D"/>
    <w:rsid w:val="74ED5379"/>
    <w:rsid w:val="756E2E36"/>
    <w:rsid w:val="75DEEEC2"/>
    <w:rsid w:val="75E32345"/>
    <w:rsid w:val="76E3355F"/>
    <w:rsid w:val="76FF5125"/>
    <w:rsid w:val="77192301"/>
    <w:rsid w:val="77521091"/>
    <w:rsid w:val="776F6FFA"/>
    <w:rsid w:val="778769C8"/>
    <w:rsid w:val="77A75DCA"/>
    <w:rsid w:val="77A879D5"/>
    <w:rsid w:val="77DC22F5"/>
    <w:rsid w:val="783E271A"/>
    <w:rsid w:val="78616DE9"/>
    <w:rsid w:val="788039DC"/>
    <w:rsid w:val="78E875D7"/>
    <w:rsid w:val="79086DAD"/>
    <w:rsid w:val="797E4401"/>
    <w:rsid w:val="79CC49FF"/>
    <w:rsid w:val="79D7FD79"/>
    <w:rsid w:val="79EE5BA4"/>
    <w:rsid w:val="7A894339"/>
    <w:rsid w:val="7AD284E8"/>
    <w:rsid w:val="7AFF7572"/>
    <w:rsid w:val="7B6C7DFB"/>
    <w:rsid w:val="7BBFBED0"/>
    <w:rsid w:val="7BC3E394"/>
    <w:rsid w:val="7C1B767B"/>
    <w:rsid w:val="7C1F3737"/>
    <w:rsid w:val="7CBFC87B"/>
    <w:rsid w:val="7CFE0F48"/>
    <w:rsid w:val="7D272ABC"/>
    <w:rsid w:val="7D7EC23E"/>
    <w:rsid w:val="7E0155BF"/>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line="240" w:lineRule="auto"/>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eastAsia="宋体"/>
      <w:color w:val="000000"/>
      <w:kern w:val="0"/>
      <w:sz w:val="28"/>
      <w:szCs w:val="21"/>
      <w:lang w:val="zh-CN" w:eastAsia="zh-CN"/>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 w:type="paragraph" w:customStyle="1" w:styleId="36">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glossaryDocument" Target="glossary/document.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PC\Desktop\&#22270;&#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PC\Desktop\&#22270;&#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PC\Desktop\&#22270;&#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PC\Desktop\&#22270;&#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PC\Desktop\&#22270;&#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PC\Desktop\&#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spc="0" baseline="0">
                <a:solidFill>
                  <a:schemeClr val="tx1">
                    <a:lumMod val="65000"/>
                    <a:lumOff val="35000"/>
                  </a:schemeClr>
                </a:solidFill>
                <a:latin typeface="+mn-lt"/>
                <a:ea typeface="+mn-ea"/>
                <a:cs typeface="+mn-cs"/>
              </a:defRPr>
            </a:pPr>
            <a:r>
              <a:rPr sz="1000"/>
              <a:t>收入、支出决算总计变动情况图（单位：万元）</a:t>
            </a:r>
            <a:endParaRPr sz="1000"/>
          </a:p>
        </c:rich>
      </c:tx>
      <c:layout/>
      <c:overlay val="0"/>
      <c:spPr>
        <a:noFill/>
        <a:ln>
          <a:noFill/>
        </a:ln>
        <a:effectLst/>
      </c:spPr>
    </c:title>
    <c:autoTitleDeleted val="0"/>
    <c:plotArea>
      <c:layout/>
      <c:barChart>
        <c:barDir val="col"/>
        <c:grouping val="clustered"/>
        <c:varyColors val="0"/>
        <c:ser>
          <c:idx val="0"/>
          <c:order val="0"/>
          <c:tx>
            <c:strRef>
              <c:f>[图表.xlsx]Sheet1!$B$19</c:f>
              <c:strCache>
                <c:ptCount val="1"/>
                <c:pt idx="0">
                  <c:v>2023年</c:v>
                </c:pt>
              </c:strCache>
            </c:strRef>
          </c:tx>
          <c:spPr>
            <a:solidFill>
              <a:schemeClr val="accent1"/>
            </a:solidFill>
            <a:ln>
              <a:noFill/>
            </a:ln>
            <a:effectLst/>
          </c:spPr>
          <c:invertIfNegative val="0"/>
          <c:dLbls>
            <c:dLbl>
              <c:idx val="0"/>
              <c:layout>
                <c:manualLayout>
                  <c:x val="0.00261734426801605"/>
                  <c:y val="0.04"/>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0.241668120746816"/>
                      <c:h val="0.111555555555556"/>
                    </c:manualLayout>
                  </c15:layout>
                </c:ext>
              </c:extLst>
            </c:dLbl>
            <c:dLbl>
              <c:idx val="1"/>
              <c:layout/>
              <c:dLblPos val="outEnd"/>
              <c:showLegendKey val="0"/>
              <c:showVal val="1"/>
              <c:showCatName val="0"/>
              <c:showSerName val="0"/>
              <c:showPercent val="0"/>
              <c:showBubbleSize val="0"/>
              <c:extLst>
                <c:ext xmlns:c15="http://schemas.microsoft.com/office/drawing/2012/chart" uri="{CE6537A1-D6FC-4f65-9D91-7224C49458BB}">
                  <c15:layout>
                    <c:manualLayout>
                      <c:w val="0.243761996161228"/>
                      <c:h val="0.069333333333333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[图表.xlsx]Sheet1!$C$18:$D$18</c:f>
              <c:strCache>
                <c:ptCount val="2"/>
                <c:pt idx="0">
                  <c:v>收入</c:v>
                </c:pt>
                <c:pt idx="1">
                  <c:v>支出</c:v>
                </c:pt>
              </c:strCache>
            </c:strRef>
          </c:cat>
          <c:val>
            <c:numRef>
              <c:f>[图表.xlsx]Sheet1!$C$19:$D$19</c:f>
              <c:numCache>
                <c:formatCode>General</c:formatCode>
                <c:ptCount val="2"/>
                <c:pt idx="0">
                  <c:v>4221.15</c:v>
                </c:pt>
                <c:pt idx="1">
                  <c:v>4221.15</c:v>
                </c:pt>
              </c:numCache>
            </c:numRef>
          </c:val>
        </c:ser>
        <c:ser>
          <c:idx val="1"/>
          <c:order val="1"/>
          <c:tx>
            <c:strRef>
              <c:f>[图表.xlsx]Sheet1!$B$20</c:f>
              <c:strCache>
                <c:ptCount val="1"/>
                <c:pt idx="0">
                  <c:v>2024年</c:v>
                </c:pt>
              </c:strCache>
            </c:strRef>
          </c:tx>
          <c:spPr>
            <a:solidFill>
              <a:schemeClr val="accent2"/>
            </a:solidFill>
            <a:ln>
              <a:noFill/>
            </a:ln>
            <a:effectLst/>
          </c:spPr>
          <c:invertIfNegative val="0"/>
          <c:dLbls>
            <c:dLbl>
              <c:idx val="0"/>
              <c:layout>
                <c:manualLayout>
                  <c:x val="0.0157040656080963"/>
                  <c:y val="0.0533333333333333"/>
                </c:manualLayout>
              </c:layout>
              <c:numFmt formatCode="#,##0.00_);\(#,##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15:layout>
                    <c:manualLayout>
                      <c:w val="0.216192636538126"/>
                      <c:h val="0.117111111111111"/>
                    </c:manualLayout>
                  </c15:layout>
                </c:ext>
              </c:extLst>
            </c:dLbl>
            <c:dLbl>
              <c:idx val="1"/>
              <c:layout>
                <c:manualLayout>
                  <c:x val="0.0104693770720642"/>
                  <c:y val="0.0466666666666667"/>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0.21514569883092"/>
                      <c:h val="0.105333333333333"/>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[图表.xlsx]Sheet1!$C$18:$D$18</c:f>
              <c:strCache>
                <c:ptCount val="2"/>
                <c:pt idx="0">
                  <c:v>收入</c:v>
                </c:pt>
                <c:pt idx="1">
                  <c:v>支出</c:v>
                </c:pt>
              </c:strCache>
            </c:strRef>
          </c:cat>
          <c:val>
            <c:numRef>
              <c:f>[图表.xlsx]Sheet1!$C$20:$D$20</c:f>
              <c:numCache>
                <c:formatCode>General</c:formatCode>
                <c:ptCount val="2"/>
                <c:pt idx="0">
                  <c:v>3505.14</c:v>
                </c:pt>
                <c:pt idx="1">
                  <c:v>3505.14</c:v>
                </c:pt>
              </c:numCache>
            </c:numRef>
          </c:val>
        </c:ser>
        <c:dLbls>
          <c:showLegendKey val="0"/>
          <c:showVal val="1"/>
          <c:showCatName val="0"/>
          <c:showSerName val="0"/>
          <c:showPercent val="0"/>
          <c:showBubbleSize val="0"/>
        </c:dLbls>
        <c:gapWidth val="219"/>
        <c:overlap val="-27"/>
        <c:axId val="283535560"/>
        <c:axId val="976689542"/>
      </c:barChart>
      <c:catAx>
        <c:axId val="28353556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6689542"/>
        <c:crosses val="autoZero"/>
        <c:auto val="1"/>
        <c:lblAlgn val="ctr"/>
        <c:lblOffset val="100"/>
        <c:noMultiLvlLbl val="0"/>
      </c:catAx>
      <c:valAx>
        <c:axId val="97668954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353556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000" b="0" i="0" u="none" strike="noStrike" kern="1200" spc="0" baseline="0">
                <a:solidFill>
                  <a:schemeClr val="tx1">
                    <a:lumMod val="65000"/>
                    <a:lumOff val="35000"/>
                  </a:schemeClr>
                </a:solidFill>
                <a:latin typeface="+mn-lt"/>
                <a:ea typeface="+mn-ea"/>
                <a:cs typeface="+mn-cs"/>
              </a:defRPr>
            </a:pPr>
            <a:r>
              <a:rPr sz="1000"/>
              <a:t>收入决算结构图（单位：万元）</a:t>
            </a:r>
            <a:endParaRPr sz="1000"/>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[图表.xlsx]Sheet1!$B$25:$B$26</c:f>
              <c:strCache>
                <c:ptCount val="2"/>
                <c:pt idx="0">
                  <c:v>一般公共预算财政拨款收入</c:v>
                </c:pt>
              </c:strCache>
            </c:strRef>
          </c:cat>
          <c:val>
            <c:numRef>
              <c:f>[图表.xlsx]Sheet1!$C$25:$C$26</c:f>
              <c:numCache>
                <c:formatCode>General</c:formatCode>
                <c:ptCount val="2"/>
                <c:pt idx="0">
                  <c:v>3505.14</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b"/>
      <c:legendEntry>
        <c:idx val="1"/>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cap="none" spc="20" baseline="0">
                <a:solidFill>
                  <a:schemeClr val="tx1">
                    <a:lumMod val="50000"/>
                    <a:lumOff val="50000"/>
                  </a:schemeClr>
                </a:solidFill>
                <a:latin typeface="+mn-lt"/>
                <a:ea typeface="+mn-ea"/>
                <a:cs typeface="+mn-cs"/>
              </a:defRPr>
            </a:pPr>
            <a:r>
              <a:t>支出决算结构图（单位：万元）</a:t>
            </a:r>
          </a:p>
        </c:rich>
      </c:tx>
      <c:layout>
        <c:manualLayout>
          <c:xMode val="edge"/>
          <c:yMode val="edge"/>
          <c:x val="0.304027777777778"/>
          <c:y val="0.0138888888888889"/>
        </c:manualLayout>
      </c:layout>
      <c:overlay val="0"/>
      <c:spPr>
        <a:noFill/>
        <a:ln>
          <a:noFill/>
        </a:ln>
        <a:effectLst/>
      </c:spPr>
    </c:title>
    <c:autoTitleDeleted val="0"/>
    <c:plotArea>
      <c:layout/>
      <c:pieChart>
        <c:varyColors val="1"/>
        <c:ser>
          <c:idx val="0"/>
          <c:order val="0"/>
          <c:spPr/>
          <c:explosion val="0"/>
          <c:dPt>
            <c:idx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dPt>
          <c:dPt>
            <c:idx val="1"/>
            <c:bubble3D val="0"/>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65000"/>
                        <a:lumOff val="35000"/>
                      </a:schemeClr>
                    </a:solidFill>
                    <a:latin typeface="+mn-lt"/>
                    <a:ea typeface="+mn-ea"/>
                    <a:cs typeface="+mn-cs"/>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[图表.xlsx]Sheet1!$B$44:$B$45</c:f>
              <c:strCache>
                <c:ptCount val="2"/>
                <c:pt idx="0">
                  <c:v>基本支出</c:v>
                </c:pt>
                <c:pt idx="1">
                  <c:v>项目支出</c:v>
                </c:pt>
              </c:strCache>
            </c:strRef>
          </c:cat>
          <c:val>
            <c:numRef>
              <c:f>[图表.xlsx]Sheet1!$C$44:$C$45</c:f>
              <c:numCache>
                <c:formatCode>General</c:formatCode>
                <c:ptCount val="2"/>
                <c:pt idx="0">
                  <c:v>3286.05</c:v>
                </c:pt>
                <c:pt idx="1">
                  <c:v>219.09</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spc="0" baseline="0">
                <a:solidFill>
                  <a:schemeClr val="tx1">
                    <a:lumMod val="65000"/>
                    <a:lumOff val="35000"/>
                  </a:schemeClr>
                </a:solidFill>
                <a:latin typeface="+mn-lt"/>
                <a:ea typeface="+mn-ea"/>
                <a:cs typeface="+mn-cs"/>
              </a:defRPr>
            </a:pPr>
            <a:r>
              <a:rPr sz="1200"/>
              <a:t>财政拨款收、支决算总计变动情况（单位：万元）</a:t>
            </a:r>
            <a:endParaRPr sz="1200"/>
          </a:p>
        </c:rich>
      </c:tx>
      <c:layout/>
      <c:overlay val="0"/>
      <c:spPr>
        <a:noFill/>
        <a:ln>
          <a:noFill/>
        </a:ln>
        <a:effectLst/>
      </c:spPr>
    </c:title>
    <c:autoTitleDeleted val="0"/>
    <c:plotArea>
      <c:layout>
        <c:manualLayout>
          <c:layoutTarget val="inner"/>
          <c:xMode val="edge"/>
          <c:yMode val="edge"/>
          <c:x val="0.0930119011290815"/>
          <c:y val="0.147216494845361"/>
          <c:w val="0.870369240158682"/>
          <c:h val="0.71360824742268"/>
        </c:manualLayout>
      </c:layout>
      <c:barChart>
        <c:barDir val="col"/>
        <c:grouping val="clustered"/>
        <c:varyColors val="0"/>
        <c:ser>
          <c:idx val="0"/>
          <c:order val="0"/>
          <c:tx>
            <c:strRef>
              <c:f>[图表.xlsx]Sheet1!$B$3</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[图表.xlsx]Sheet1!$C$2:$D$2</c:f>
              <c:strCache>
                <c:ptCount val="2"/>
                <c:pt idx="0">
                  <c:v>财政拨款收、支决算总计变动情况（单位：万元）</c:v>
                </c:pt>
              </c:strCache>
            </c:strRef>
          </c:cat>
          <c:val>
            <c:numRef>
              <c:f>[图表.xlsx]Sheet1!$C$3:$D$3</c:f>
              <c:numCache>
                <c:formatCode>General</c:formatCode>
                <c:ptCount val="2"/>
                <c:pt idx="0">
                  <c:v>4221.15</c:v>
                </c:pt>
                <c:pt idx="1">
                  <c:v>4221.15</c:v>
                </c:pt>
              </c:numCache>
            </c:numRef>
          </c:val>
        </c:ser>
        <c:ser>
          <c:idx val="1"/>
          <c:order val="1"/>
          <c:tx>
            <c:strRef>
              <c:f>[图表.xlsx]Sheet1!$B$4</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[图表.xlsx]Sheet1!$C$2:$D$2</c:f>
              <c:strCache>
                <c:ptCount val="2"/>
                <c:pt idx="0">
                  <c:v>财政拨款收、支决算总计变动情况（单位：万元）</c:v>
                </c:pt>
              </c:strCache>
            </c:strRef>
          </c:cat>
          <c:val>
            <c:numRef>
              <c:f>[图表.xlsx]Sheet1!$C$4:$D$4</c:f>
              <c:numCache>
                <c:formatCode>General</c:formatCode>
                <c:ptCount val="2"/>
                <c:pt idx="0">
                  <c:v>3505.14</c:v>
                </c:pt>
                <c:pt idx="1">
                  <c:v>3505.14</c:v>
                </c:pt>
              </c:numCache>
            </c:numRef>
          </c:val>
        </c:ser>
        <c:dLbls>
          <c:showLegendKey val="0"/>
          <c:showVal val="1"/>
          <c:showCatName val="0"/>
          <c:showSerName val="0"/>
          <c:showPercent val="0"/>
          <c:showBubbleSize val="0"/>
        </c:dLbls>
        <c:gapWidth val="219"/>
        <c:overlap val="-27"/>
        <c:axId val="811510952"/>
        <c:axId val="935866826"/>
      </c:barChart>
      <c:catAx>
        <c:axId val="811510952"/>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5866826"/>
        <c:crosses val="autoZero"/>
        <c:auto val="1"/>
        <c:lblAlgn val="ctr"/>
        <c:lblOffset val="100"/>
        <c:noMultiLvlLbl val="0"/>
      </c:catAx>
      <c:valAx>
        <c:axId val="93586682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151095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overlay val="0"/>
      <c:spPr>
        <a:noFill/>
        <a:ln>
          <a:noFill/>
        </a:ln>
        <a:effectLst/>
      </c:spPr>
    </c:title>
    <c:autoTitleDeleted val="0"/>
    <c:plotArea>
      <c:layout/>
      <c:barChart>
        <c:barDir val="col"/>
        <c:grouping val="stacked"/>
        <c:varyColors val="0"/>
        <c:ser>
          <c:idx val="0"/>
          <c:order val="0"/>
          <c:tx>
            <c:strRef>
              <c:f>[图表.xlsx]Sheet1!$C$68</c:f>
              <c:strCache>
                <c:ptCount val="1"/>
                <c:pt idx="0">
                  <c:v>一般公共预算财政拨款支出决算变动情况（单位：万元）</c:v>
                </c:pt>
              </c:strCache>
            </c:strRef>
          </c:tx>
          <c:spPr>
            <a:solidFill>
              <a:schemeClr val="accent1"/>
            </a:solidFill>
            <a:ln>
              <a:noFill/>
            </a:ln>
            <a:effectLst/>
          </c:spPr>
          <c:invertIfNegative val="0"/>
          <c:dLbls>
            <c:dLbl>
              <c:idx val="0"/>
              <c:layout>
                <c:manualLayout>
                  <c:x val="0.0143286320183116"/>
                  <c:y val="-0.35552588070711"/>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16666666666665"/>
                  <c:y val="-0.30101954300733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[图表.xlsx]Sheet1!$B$69:$B$70</c:f>
              <c:strCache>
                <c:ptCount val="2"/>
                <c:pt idx="0">
                  <c:v>2023年</c:v>
                </c:pt>
                <c:pt idx="1">
                  <c:v>2024年</c:v>
                </c:pt>
              </c:strCache>
            </c:strRef>
          </c:cat>
          <c:val>
            <c:numRef>
              <c:f>[图表.xlsx]Sheet1!$C$69:$C$70</c:f>
              <c:numCache>
                <c:formatCode>General</c:formatCode>
                <c:ptCount val="2"/>
                <c:pt idx="0">
                  <c:v>4221.15</c:v>
                </c:pt>
                <c:pt idx="1">
                  <c:v>3505.14</c:v>
                </c:pt>
              </c:numCache>
            </c:numRef>
          </c:val>
        </c:ser>
        <c:dLbls>
          <c:showLegendKey val="0"/>
          <c:showVal val="1"/>
          <c:showCatName val="0"/>
          <c:showSerName val="0"/>
          <c:showPercent val="0"/>
          <c:showBubbleSize val="0"/>
        </c:dLbls>
        <c:gapWidth val="150"/>
        <c:overlap val="100"/>
        <c:axId val="556116136"/>
        <c:axId val="986431536"/>
      </c:barChart>
      <c:catAx>
        <c:axId val="55611613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6431536"/>
        <c:crosses val="autoZero"/>
        <c:auto val="1"/>
        <c:lblAlgn val="ctr"/>
        <c:lblOffset val="100"/>
        <c:noMultiLvlLbl val="0"/>
      </c:catAx>
      <c:valAx>
        <c:axId val="9864315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6116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000"/>
              <a:t>一般公共预算财政拨款支出决算结构（单位：万元）</a:t>
            </a:r>
            <a:endParaRPr sz="1000"/>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2"/>
              <c:layout>
                <c:manualLayout>
                  <c:x val="-0.00939429839624547"/>
                  <c:y val="0.0293405482620078"/>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[图表.xlsx]Sheet1!$B$168:$B$171</c:f>
              <c:strCache>
                <c:ptCount val="4"/>
                <c:pt idx="0">
                  <c:v>教育支出</c:v>
                </c:pt>
                <c:pt idx="1">
                  <c:v>社会保障和就业支出</c:v>
                </c:pt>
                <c:pt idx="2">
                  <c:v>卫生健康支出</c:v>
                </c:pt>
                <c:pt idx="3">
                  <c:v>住房保障支出</c:v>
                </c:pt>
              </c:strCache>
            </c:strRef>
          </c:cat>
          <c:val>
            <c:numRef>
              <c:f>[图表.xlsx]Sheet1!$C$168:$C$171</c:f>
              <c:numCache>
                <c:formatCode>General</c:formatCode>
                <c:ptCount val="4"/>
                <c:pt idx="0">
                  <c:v>2645.75</c:v>
                </c:pt>
                <c:pt idx="1">
                  <c:v>369.35</c:v>
                </c:pt>
                <c:pt idx="2">
                  <c:v>251.14</c:v>
                </c:pt>
                <c:pt idx="3">
                  <c:v>238.9</c:v>
                </c:pt>
              </c:numCache>
            </c:numRef>
          </c:val>
        </c:ser>
        <c:dLbls>
          <c:showLegendKey val="1"/>
          <c:showVal val="1"/>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e1f37c1-fde9-428d-97ad-c2f0f6754fe3}"/>
        <w:style w:val=""/>
        <w:category>
          <w:name w:val="常规"/>
          <w:gallery w:val="placeholder"/>
        </w:category>
        <w:types>
          <w:type w:val="bbPlcHdr"/>
        </w:types>
        <w:behaviors>
          <w:behavior w:val="content"/>
        </w:behaviors>
        <w:description w:val=""/>
        <w:guid w:val="{ae1f37c1-fde9-428d-97ad-c2f0f6754fe3}"/>
      </w:docPartPr>
      <w:docPartBody>
        <w:p>
          <w:r>
            <w:rPr>
              <w:color w:val="808080"/>
            </w:rPr>
            <w:t>单击此处输入文字。</w:t>
          </w:r>
        </w:p>
      </w:docPartBody>
    </w:docPart>
    <w:docPart>
      <w:docPartPr>
        <w:name w:val="{d00c0a59-4fc0-4a3e-b7f2-f5b8dfde9c76}"/>
        <w:style w:val=""/>
        <w:category>
          <w:name w:val="常规"/>
          <w:gallery w:val="placeholder"/>
        </w:category>
        <w:types>
          <w:type w:val="bbPlcHdr"/>
        </w:types>
        <w:behaviors>
          <w:behavior w:val="content"/>
        </w:behaviors>
        <w:description w:val=""/>
        <w:guid w:val="{d00c0a59-4fc0-4a3e-b7f2-f5b8dfde9c76}"/>
      </w:docPartPr>
      <w:docPartBody>
        <w:p>
          <w:r>
            <w:rPr>
              <w:color w:val="808080"/>
            </w:rPr>
            <w:t>单击此处输入文字。</w:t>
          </w:r>
        </w:p>
      </w:docPartBody>
    </w:docPart>
    <w:docPart>
      <w:docPartPr>
        <w:name w:val="{0ee2df9c-8998-4b22-a909-9a9ddab95c87}"/>
        <w:style w:val=""/>
        <w:category>
          <w:name w:val="常规"/>
          <w:gallery w:val="placeholder"/>
        </w:category>
        <w:types>
          <w:type w:val="bbPlcHdr"/>
        </w:types>
        <w:behaviors>
          <w:behavior w:val="content"/>
        </w:behaviors>
        <w:description w:val=""/>
        <w:guid w:val="{0ee2df9c-8998-4b22-a909-9a9ddab95c87}"/>
      </w:docPartPr>
      <w:docPartBody>
        <w:p>
          <w:r>
            <w:rPr>
              <w:color w:val="808080"/>
            </w:rPr>
            <w:t>单击此处输入文字。</w:t>
          </w:r>
        </w:p>
      </w:docPartBody>
    </w:docPart>
    <w:docPart>
      <w:docPartPr>
        <w:name w:val="{c6845386-5eb1-45da-9e02-fc41d6eaf9e1}"/>
        <w:style w:val=""/>
        <w:category>
          <w:name w:val="常规"/>
          <w:gallery w:val="placeholder"/>
        </w:category>
        <w:types>
          <w:type w:val="bbPlcHdr"/>
        </w:types>
        <w:behaviors>
          <w:behavior w:val="content"/>
        </w:behaviors>
        <w:description w:val=""/>
        <w:guid w:val="{c6845386-5eb1-45da-9e02-fc41d6eaf9e1}"/>
      </w:docPartPr>
      <w:docPartBody>
        <w:p>
          <w:r>
            <w:rPr>
              <w:color w:val="808080"/>
            </w:rPr>
            <w:t>单击此处输入文字。</w:t>
          </w:r>
        </w:p>
      </w:docPartBody>
    </w:docPart>
    <w:docPart>
      <w:docPartPr>
        <w:name w:val="{a7f59ec1-4498-4e32-87e0-08b577d838cb}"/>
        <w:style w:val=""/>
        <w:category>
          <w:name w:val="常规"/>
          <w:gallery w:val="placeholder"/>
        </w:category>
        <w:types>
          <w:type w:val="bbPlcHdr"/>
        </w:types>
        <w:behaviors>
          <w:behavior w:val="content"/>
        </w:behaviors>
        <w:description w:val=""/>
        <w:guid w:val="{a7f59ec1-4498-4e32-87e0-08b577d838cb}"/>
      </w:docPartPr>
      <w:docPartBody>
        <w:p>
          <w:r>
            <w:rPr>
              <w:color w:val="808080"/>
            </w:rPr>
            <w:t>单击此处输入文字。</w:t>
          </w:r>
        </w:p>
      </w:docPartBody>
    </w:docPart>
    <w:docPart>
      <w:docPartPr>
        <w:name w:val="{d0fe8d3d-6269-410a-bdcb-1c805d55877c}"/>
        <w:style w:val=""/>
        <w:category>
          <w:name w:val="常规"/>
          <w:gallery w:val="placeholder"/>
        </w:category>
        <w:types>
          <w:type w:val="bbPlcHdr"/>
        </w:types>
        <w:behaviors>
          <w:behavior w:val="content"/>
        </w:behaviors>
        <w:description w:val=""/>
        <w:guid w:val="{d0fe8d3d-6269-410a-bdcb-1c805d55877c}"/>
      </w:docPartPr>
      <w:docPartBody>
        <w:p>
          <w:r>
            <w:rPr>
              <w:color w:val="808080"/>
            </w:rPr>
            <w:t>单击此处输入文字。</w:t>
          </w:r>
        </w:p>
      </w:docPartBody>
    </w:docPart>
    <w:docPart>
      <w:docPartPr>
        <w:name w:val="{62ac78cb-76a9-452b-8c27-169a39d3b6e4}"/>
        <w:style w:val=""/>
        <w:category>
          <w:name w:val="常规"/>
          <w:gallery w:val="placeholder"/>
        </w:category>
        <w:types>
          <w:type w:val="bbPlcHdr"/>
        </w:types>
        <w:behaviors>
          <w:behavior w:val="content"/>
        </w:behaviors>
        <w:description w:val=""/>
        <w:guid w:val="{62ac78cb-76a9-452b-8c27-169a39d3b6e4}"/>
      </w:docPartPr>
      <w:docPartBody>
        <w:p>
          <w:r>
            <w:rPr>
              <w:color w:val="808080"/>
            </w:rPr>
            <w:t>单击此处输入文字。</w:t>
          </w:r>
        </w:p>
      </w:docPartBody>
    </w:docPart>
    <w:docPart>
      <w:docPartPr>
        <w:name w:val="{1361ab32-0a57-467c-8a5b-c14003983acb}"/>
        <w:style w:val=""/>
        <w:category>
          <w:name w:val="常规"/>
          <w:gallery w:val="placeholder"/>
        </w:category>
        <w:types>
          <w:type w:val="bbPlcHdr"/>
        </w:types>
        <w:behaviors>
          <w:behavior w:val="content"/>
        </w:behaviors>
        <w:description w:val=""/>
        <w:guid w:val="{1361ab32-0a57-467c-8a5b-c14003983acb}"/>
      </w:docPartPr>
      <w:docPartBody>
        <w:p>
          <w:r>
            <w:rPr>
              <w:color w:val="808080"/>
            </w:rPr>
            <w:t>单击此处输入文字。</w:t>
          </w:r>
        </w:p>
      </w:docPartBody>
    </w:docPart>
    <w:docPart>
      <w:docPartPr>
        <w:name w:val="{d6d695bb-35dd-48f8-96b9-6ad606fe78f1}"/>
        <w:style w:val=""/>
        <w:category>
          <w:name w:val="常规"/>
          <w:gallery w:val="placeholder"/>
        </w:category>
        <w:types>
          <w:type w:val="bbPlcHdr"/>
        </w:types>
        <w:behaviors>
          <w:behavior w:val="content"/>
        </w:behaviors>
        <w:description w:val=""/>
        <w:guid w:val="{d6d695bb-35dd-48f8-96b9-6ad606fe78f1}"/>
      </w:docPartPr>
      <w:docPartBody>
        <w:p>
          <w:r>
            <w:rPr>
              <w:color w:val="808080"/>
            </w:rPr>
            <w:t>单击此处输入文字。</w:t>
          </w:r>
        </w:p>
      </w:docPartBody>
    </w:docPart>
    <w:docPart>
      <w:docPartPr>
        <w:name w:val="{7e58dcac-c889-43a2-a71a-22b1a49ff803}"/>
        <w:style w:val=""/>
        <w:category>
          <w:name w:val="常规"/>
          <w:gallery w:val="placeholder"/>
        </w:category>
        <w:types>
          <w:type w:val="bbPlcHdr"/>
        </w:types>
        <w:behaviors>
          <w:behavior w:val="content"/>
        </w:behaviors>
        <w:description w:val=""/>
        <w:guid w:val="{7e58dcac-c889-43a2-a71a-22b1a49ff803}"/>
      </w:docPartPr>
      <w:docPartBody>
        <w:p>
          <w:r>
            <w:rPr>
              <w:color w:val="808080"/>
            </w:rPr>
            <w:t>单击此处输入文字。</w:t>
          </w:r>
        </w:p>
      </w:docPartBody>
    </w:docPart>
    <w:docPart>
      <w:docPartPr>
        <w:name w:val="{2c83650c-5748-4443-9f47-8e124a3be728}"/>
        <w:style w:val=""/>
        <w:category>
          <w:name w:val="常规"/>
          <w:gallery w:val="placeholder"/>
        </w:category>
        <w:types>
          <w:type w:val="bbPlcHdr"/>
        </w:types>
        <w:behaviors>
          <w:behavior w:val="content"/>
        </w:behaviors>
        <w:description w:val=""/>
        <w:guid w:val="{2c83650c-5748-4443-9f47-8e124a3be728}"/>
      </w:docPartPr>
      <w:docPartBody>
        <w:p>
          <w:r>
            <w:rPr>
              <w:color w:val="808080"/>
            </w:rPr>
            <w:t>单击此处输入文字。</w:t>
          </w:r>
        </w:p>
      </w:docPartBody>
    </w:docPart>
    <w:docPart>
      <w:docPartPr>
        <w:name w:val="{96bc528a-439b-4b6b-8dcd-e38b352be81e}"/>
        <w:style w:val=""/>
        <w:category>
          <w:name w:val="常规"/>
          <w:gallery w:val="placeholder"/>
        </w:category>
        <w:types>
          <w:type w:val="bbPlcHdr"/>
        </w:types>
        <w:behaviors>
          <w:behavior w:val="content"/>
        </w:behaviors>
        <w:description w:val=""/>
        <w:guid w:val="{96bc528a-439b-4b6b-8dcd-e38b352be81e}"/>
      </w:docPartPr>
      <w:docPartBody>
        <w:p>
          <w:r>
            <w:rPr>
              <w:color w:val="808080"/>
            </w:rPr>
            <w:t>单击此处输入文字。</w:t>
          </w:r>
        </w:p>
      </w:docPartBody>
    </w:docPart>
    <w:docPart>
      <w:docPartPr>
        <w:name w:val="{c3f51219-9c4a-4b5f-9c0a-43471b7b48e6}"/>
        <w:style w:val=""/>
        <w:category>
          <w:name w:val="常规"/>
          <w:gallery w:val="placeholder"/>
        </w:category>
        <w:types>
          <w:type w:val="bbPlcHdr"/>
        </w:types>
        <w:behaviors>
          <w:behavior w:val="content"/>
        </w:behaviors>
        <w:description w:val=""/>
        <w:guid w:val="{c3f51219-9c4a-4b5f-9c0a-43471b7b48e6}"/>
      </w:docPartPr>
      <w:docPartBody>
        <w:p>
          <w:r>
            <w:rPr>
              <w:color w:val="808080"/>
            </w:rPr>
            <w:t>单击此处输入文字。</w:t>
          </w:r>
        </w:p>
      </w:docPartBody>
    </w:docPart>
    <w:docPart>
      <w:docPartPr>
        <w:name w:val="{0a0f2d1b-4ec8-4612-98ab-d4c58a4a65cb}"/>
        <w:style w:val=""/>
        <w:category>
          <w:name w:val="常规"/>
          <w:gallery w:val="placeholder"/>
        </w:category>
        <w:types>
          <w:type w:val="bbPlcHdr"/>
        </w:types>
        <w:behaviors>
          <w:behavior w:val="content"/>
        </w:behaviors>
        <w:description w:val=""/>
        <w:guid w:val="{0a0f2d1b-4ec8-4612-98ab-d4c58a4a65cb}"/>
      </w:docPartPr>
      <w:docPartBody>
        <w:p>
          <w:r>
            <w:rPr>
              <w:color w:val="808080"/>
            </w:rPr>
            <w:t>单击此处输入文字。</w:t>
          </w:r>
        </w:p>
      </w:docPartBody>
    </w:docPart>
    <w:docPart>
      <w:docPartPr>
        <w:name w:val="{ac105150-b0b9-42a9-a388-dc88b95a3d84}"/>
        <w:style w:val=""/>
        <w:category>
          <w:name w:val="常规"/>
          <w:gallery w:val="placeholder"/>
        </w:category>
        <w:types>
          <w:type w:val="bbPlcHdr"/>
        </w:types>
        <w:behaviors>
          <w:behavior w:val="content"/>
        </w:behaviors>
        <w:description w:val=""/>
        <w:guid w:val="{ac105150-b0b9-42a9-a388-dc88b95a3d84}"/>
      </w:docPartPr>
      <w:docPartBody>
        <w:p>
          <w:r>
            <w:rPr>
              <w:color w:val="808080"/>
            </w:rPr>
            <w:t>单击此处输入文字。</w:t>
          </w:r>
        </w:p>
      </w:docPartBody>
    </w:docPart>
    <w:docPart>
      <w:docPartPr>
        <w:name w:val="{1e29cedf-1112-46b1-9ee2-aebd99397e68}"/>
        <w:style w:val=""/>
        <w:category>
          <w:name w:val="常规"/>
          <w:gallery w:val="placeholder"/>
        </w:category>
        <w:types>
          <w:type w:val="bbPlcHdr"/>
        </w:types>
        <w:behaviors>
          <w:behavior w:val="content"/>
        </w:behaviors>
        <w:description w:val=""/>
        <w:guid w:val="{1e29cedf-1112-46b1-9ee2-aebd99397e68}"/>
      </w:docPartPr>
      <w:docPartBody>
        <w:p>
          <w:r>
            <w:rPr>
              <w:color w:val="808080"/>
            </w:rPr>
            <w:t>单击此处输入文字。</w:t>
          </w:r>
        </w:p>
      </w:docPartBody>
    </w:docPart>
    <w:docPart>
      <w:docPartPr>
        <w:name w:val="{514882b8-aec9-4213-8cb1-d49af48c1951}"/>
        <w:style w:val=""/>
        <w:category>
          <w:name w:val="常规"/>
          <w:gallery w:val="placeholder"/>
        </w:category>
        <w:types>
          <w:type w:val="bbPlcHdr"/>
        </w:types>
        <w:behaviors>
          <w:behavior w:val="content"/>
        </w:behaviors>
        <w:description w:val=""/>
        <w:guid w:val="{514882b8-aec9-4213-8cb1-d49af48c1951}"/>
      </w:docPartPr>
      <w:docPartBody>
        <w:p>
          <w:r>
            <w:rPr>
              <w:color w:val="808080"/>
            </w:rPr>
            <w:t>单击此处输入文字。</w:t>
          </w:r>
        </w:p>
      </w:docPartBody>
    </w:docPart>
    <w:docPart>
      <w:docPartPr>
        <w:name w:val="{18dbd6a2-4792-4b2a-b695-84acd74c89da}"/>
        <w:style w:val=""/>
        <w:category>
          <w:name w:val="常规"/>
          <w:gallery w:val="placeholder"/>
        </w:category>
        <w:types>
          <w:type w:val="bbPlcHdr"/>
        </w:types>
        <w:behaviors>
          <w:behavior w:val="content"/>
        </w:behaviors>
        <w:description w:val=""/>
        <w:guid w:val="{18dbd6a2-4792-4b2a-b695-84acd74c89da}"/>
      </w:docPartPr>
      <w:docPartBody>
        <w:p>
          <w:r>
            <w:rPr>
              <w:color w:val="808080"/>
            </w:rPr>
            <w:t>单击此处输入文字。</w:t>
          </w:r>
        </w:p>
      </w:docPartBody>
    </w:docPart>
    <w:docPart>
      <w:docPartPr>
        <w:name w:val="{88f0a57a-f9d6-430b-9735-e02a132d5f97}"/>
        <w:style w:val=""/>
        <w:category>
          <w:name w:val="常规"/>
          <w:gallery w:val="placeholder"/>
        </w:category>
        <w:types>
          <w:type w:val="bbPlcHdr"/>
        </w:types>
        <w:behaviors>
          <w:behavior w:val="content"/>
        </w:behaviors>
        <w:description w:val=""/>
        <w:guid w:val="{88f0a57a-f9d6-430b-9735-e02a132d5f97}"/>
      </w:docPartPr>
      <w:docPartBody>
        <w:p>
          <w:r>
            <w:rPr>
              <w:color w:val="808080"/>
            </w:rPr>
            <w:t>单击此处输入文字。</w:t>
          </w:r>
        </w:p>
      </w:docPartBody>
    </w:docPart>
    <w:docPart>
      <w:docPartPr>
        <w:name w:val="{0c6237a2-2f9e-42c1-a26e-f7754bf5d920}"/>
        <w:style w:val=""/>
        <w:category>
          <w:name w:val="常规"/>
          <w:gallery w:val="placeholder"/>
        </w:category>
        <w:types>
          <w:type w:val="bbPlcHdr"/>
        </w:types>
        <w:behaviors>
          <w:behavior w:val="content"/>
        </w:behaviors>
        <w:description w:val=""/>
        <w:guid w:val="{0c6237a2-2f9e-42c1-a26e-f7754bf5d920}"/>
      </w:docPartPr>
      <w:docPartBody>
        <w:p>
          <w:r>
            <w:rPr>
              <w:color w:val="808080"/>
            </w:rPr>
            <w:t>单击此处输入文字。</w:t>
          </w:r>
        </w:p>
      </w:docPartBody>
    </w:docPart>
    <w:docPart>
      <w:docPartPr>
        <w:name w:val="{12d34e11-1eef-4929-b089-6acbe02168b0}"/>
        <w:style w:val=""/>
        <w:category>
          <w:name w:val="常规"/>
          <w:gallery w:val="placeholder"/>
        </w:category>
        <w:types>
          <w:type w:val="bbPlcHdr"/>
        </w:types>
        <w:behaviors>
          <w:behavior w:val="content"/>
        </w:behaviors>
        <w:description w:val=""/>
        <w:guid w:val="{12d34e11-1eef-4929-b089-6acbe02168b0}"/>
      </w:docPartPr>
      <w:docPartBody>
        <w:p>
          <w:r>
            <w:rPr>
              <w:color w:val="808080"/>
            </w:rPr>
            <w:t>单击此处输入文字。</w:t>
          </w:r>
        </w:p>
      </w:docPartBody>
    </w:docPart>
    <w:docPart>
      <w:docPartPr>
        <w:name w:val="{8fb5281b-5ab9-4e6d-a0c6-28a4c1fe37cf}"/>
        <w:style w:val=""/>
        <w:category>
          <w:name w:val="常规"/>
          <w:gallery w:val="placeholder"/>
        </w:category>
        <w:types>
          <w:type w:val="bbPlcHdr"/>
        </w:types>
        <w:behaviors>
          <w:behavior w:val="content"/>
        </w:behaviors>
        <w:description w:val=""/>
        <w:guid w:val="{8fb5281b-5ab9-4e6d-a0c6-28a4c1fe37cf}"/>
      </w:docPartPr>
      <w:docPartBody>
        <w:p>
          <w:r>
            <w:rPr>
              <w:color w:val="808080"/>
            </w:rPr>
            <w:t>单击此处输入文字。</w:t>
          </w:r>
        </w:p>
      </w:docPartBody>
    </w:docPart>
    <w:docPart>
      <w:docPartPr>
        <w:name w:val="{dabe40e5-c8ee-4292-b0be-8b8febec5d81}"/>
        <w:style w:val=""/>
        <w:category>
          <w:name w:val="常规"/>
          <w:gallery w:val="placeholder"/>
        </w:category>
        <w:types>
          <w:type w:val="bbPlcHdr"/>
        </w:types>
        <w:behaviors>
          <w:behavior w:val="content"/>
        </w:behaviors>
        <w:description w:val=""/>
        <w:guid w:val="{dabe40e5-c8ee-4292-b0be-8b8febec5d81}"/>
      </w:docPartPr>
      <w:docPartBody>
        <w:p>
          <w:r>
            <w:rPr>
              <w:color w:val="808080"/>
            </w:rPr>
            <w:t>单击此处输入文字。</w:t>
          </w:r>
        </w:p>
      </w:docPartBody>
    </w:docPart>
    <w:docPart>
      <w:docPartPr>
        <w:name w:val="{7fb0eb79-c39c-46ce-ba6b-4064db739771}"/>
        <w:style w:val=""/>
        <w:category>
          <w:name w:val="常规"/>
          <w:gallery w:val="placeholder"/>
        </w:category>
        <w:types>
          <w:type w:val="bbPlcHdr"/>
        </w:types>
        <w:behaviors>
          <w:behavior w:val="content"/>
        </w:behaviors>
        <w:description w:val=""/>
        <w:guid w:val="{7fb0eb79-c39c-46ce-ba6b-4064db739771}"/>
      </w:docPartPr>
      <w:docPartBody>
        <w:p>
          <w:r>
            <w:rPr>
              <w:color w:val="808080"/>
            </w:rPr>
            <w:t>单击此处输入文字。</w:t>
          </w:r>
        </w:p>
      </w:docPartBody>
    </w:docPart>
    <w:docPart>
      <w:docPartPr>
        <w:name w:val="{3ff69ae7-473d-4ace-91a9-8125279c5ded}"/>
        <w:style w:val=""/>
        <w:category>
          <w:name w:val="常规"/>
          <w:gallery w:val="placeholder"/>
        </w:category>
        <w:types>
          <w:type w:val="bbPlcHdr"/>
        </w:types>
        <w:behaviors>
          <w:behavior w:val="content"/>
        </w:behaviors>
        <w:description w:val=""/>
        <w:guid w:val="{3ff69ae7-473d-4ace-91a9-8125279c5ded}"/>
      </w:docPartPr>
      <w:docPartBody>
        <w:p>
          <w:r>
            <w:rPr>
              <w:color w:val="808080"/>
            </w:rPr>
            <w:t>单击此处输入文字。</w:t>
          </w:r>
        </w:p>
      </w:docPartBody>
    </w:docPart>
    <w:docPart>
      <w:docPartPr>
        <w:name w:val="{6bea4a9e-f494-47c7-86a4-29b0d6add909}"/>
        <w:style w:val=""/>
        <w:category>
          <w:name w:val="常规"/>
          <w:gallery w:val="placeholder"/>
        </w:category>
        <w:types>
          <w:type w:val="bbPlcHdr"/>
        </w:types>
        <w:behaviors>
          <w:behavior w:val="content"/>
        </w:behaviors>
        <w:description w:val=""/>
        <w:guid w:val="{6bea4a9e-f494-47c7-86a4-29b0d6add909}"/>
      </w:docPartPr>
      <w:docPartBody>
        <w:p>
          <w:r>
            <w:rPr>
              <w:color w:val="808080"/>
            </w:rPr>
            <w:t>单击此处输入文字。</w:t>
          </w:r>
        </w:p>
      </w:docPartBody>
    </w:docPart>
    <w:docPart>
      <w:docPartPr>
        <w:name w:val="{1ea53825-bb5f-4d93-ae94-149b3a5c433b}"/>
        <w:style w:val=""/>
        <w:category>
          <w:name w:val="常规"/>
          <w:gallery w:val="placeholder"/>
        </w:category>
        <w:types>
          <w:type w:val="bbPlcHdr"/>
        </w:types>
        <w:behaviors>
          <w:behavior w:val="content"/>
        </w:behaviors>
        <w:description w:val=""/>
        <w:guid w:val="{1ea53825-bb5f-4d93-ae94-149b3a5c433b}"/>
      </w:docPartPr>
      <w:docPartBody>
        <w:p>
          <w:r>
            <w:rPr>
              <w:color w:val="808080"/>
            </w:rPr>
            <w:t>单击此处输入文字。</w:t>
          </w:r>
        </w:p>
      </w:docPartBody>
    </w:docPart>
    <w:docPart>
      <w:docPartPr>
        <w:name w:val="{98e3a7a2-123d-4891-aab7-617446e4ad73}"/>
        <w:style w:val=""/>
        <w:category>
          <w:name w:val="常规"/>
          <w:gallery w:val="placeholder"/>
        </w:category>
        <w:types>
          <w:type w:val="bbPlcHdr"/>
        </w:types>
        <w:behaviors>
          <w:behavior w:val="content"/>
        </w:behaviors>
        <w:description w:val=""/>
        <w:guid w:val="{98e3a7a2-123d-4891-aab7-617446e4ad73}"/>
      </w:docPartPr>
      <w:docPartBody>
        <w:p>
          <w:r>
            <w:rPr>
              <w:color w:val="808080"/>
            </w:rPr>
            <w:t>单击此处输入文字。</w:t>
          </w:r>
        </w:p>
      </w:docPartBody>
    </w:docPart>
    <w:docPart>
      <w:docPartPr>
        <w:name w:val="{ce241d5f-1ce1-4228-9421-7ea233246592}"/>
        <w:style w:val=""/>
        <w:category>
          <w:name w:val="常规"/>
          <w:gallery w:val="placeholder"/>
        </w:category>
        <w:types>
          <w:type w:val="bbPlcHdr"/>
        </w:types>
        <w:behaviors>
          <w:behavior w:val="content"/>
        </w:behaviors>
        <w:description w:val=""/>
        <w:guid w:val="{ce241d5f-1ce1-4228-9421-7ea233246592}"/>
      </w:docPartPr>
      <w:docPartBody>
        <w:p>
          <w:r>
            <w:rPr>
              <w:color w:val="808080"/>
            </w:rPr>
            <w:t>单击此处输入文字。</w:t>
          </w:r>
        </w:p>
      </w:docPartBody>
    </w:docPart>
    <w:docPart>
      <w:docPartPr>
        <w:name w:val="{752c296b-d14e-406e-9ea7-3c9004f8703c}"/>
        <w:style w:val=""/>
        <w:category>
          <w:name w:val="常规"/>
          <w:gallery w:val="placeholder"/>
        </w:category>
        <w:types>
          <w:type w:val="bbPlcHdr"/>
        </w:types>
        <w:behaviors>
          <w:behavior w:val="content"/>
        </w:behaviors>
        <w:description w:val=""/>
        <w:guid w:val="{752c296b-d14e-406e-9ea7-3c9004f8703c}"/>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5938</Words>
  <Characters>7017</Characters>
  <Lines>61</Lines>
  <Paragraphs>17</Paragraphs>
  <TotalTime>4</TotalTime>
  <ScaleCrop>false</ScaleCrop>
  <LinksUpToDate>false</LinksUpToDate>
  <CharactersWithSpaces>7094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池鱼</cp:lastModifiedBy>
  <cp:lastPrinted>2025-08-06T17:34:00Z</cp:lastPrinted>
  <dcterms:modified xsi:type="dcterms:W3CDTF">2025-10-28T02:01:06Z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04787F2533EB45DC91BCDE4AB213247F</vt:lpwstr>
  </property>
  <property fmtid="{D5CDD505-2E9C-101B-9397-08002B2CF9AE}" pid="4" name="KSOTemplateDocerSaveRecord">
    <vt:lpwstr>eyJoZGlkIjoiYzNkYjI4YjVjYjY2Y2U3OGJhYTMxNzQ3OTYyOWNhZGMiLCJ1c2VySWQiOiI0Mjc2NzQ2OTMifQ==</vt:lpwstr>
  </property>
</Properties>
</file>