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5A21A34">
      <w:pPr>
        <w:pStyle w:val="2"/>
        <w:rPr>
          <w:rFonts w:hint="default" w:ascii="Times New Roman" w:hAnsi="Times New Roman" w:eastAsia="方正小标宋简体" w:cs="Times New Roman"/>
          <w:color w:val="auto"/>
          <w:kern w:val="2"/>
          <w:sz w:val="72"/>
          <w:szCs w:val="72"/>
          <w:highlight w:val="none"/>
          <w:lang w:val="en-US" w:eastAsia="zh-CN" w:bidi="ar-SA"/>
        </w:rPr>
      </w:pPr>
      <w:bookmarkStart w:id="0" w:name="_Toc15306267"/>
      <w:bookmarkStart w:id="1" w:name="_Toc15396597"/>
      <w:bookmarkStart w:id="2" w:name="_Toc15377193"/>
      <w:bookmarkStart w:id="3" w:name="_Toc15396475"/>
      <w:bookmarkStart w:id="4" w:name="_Toc15378441"/>
      <w:bookmarkStart w:id="5" w:name="_Toc15377425"/>
      <w:bookmarkStart w:id="6" w:name="_Toc15377196"/>
      <w:bookmarkStart w:id="7" w:name="_Toc15396599"/>
    </w:p>
    <w:p w14:paraId="5D162DB3">
      <w:pPr>
        <w:pStyle w:val="2"/>
        <w:rPr>
          <w:rFonts w:hint="default" w:ascii="Times New Roman" w:hAnsi="Times New Roman" w:eastAsia="方正小标宋简体" w:cs="Times New Roman"/>
          <w:color w:val="auto"/>
          <w:kern w:val="2"/>
          <w:sz w:val="72"/>
          <w:szCs w:val="72"/>
          <w:highlight w:val="none"/>
          <w:lang w:val="en-US" w:eastAsia="zh-CN" w:bidi="ar-SA"/>
        </w:rPr>
      </w:pPr>
    </w:p>
    <w:p w14:paraId="6CA5A93B">
      <w:pPr>
        <w:pStyle w:val="2"/>
        <w:rPr>
          <w:rFonts w:hint="default" w:ascii="Times New Roman" w:hAnsi="Times New Roman" w:eastAsia="方正小标宋简体" w:cs="Times New Roman"/>
          <w:color w:val="auto"/>
          <w:kern w:val="2"/>
          <w:sz w:val="72"/>
          <w:szCs w:val="72"/>
          <w:highlight w:val="none"/>
          <w:lang w:val="en-US" w:eastAsia="zh-CN" w:bidi="ar-SA"/>
        </w:rPr>
      </w:pPr>
    </w:p>
    <w:p w14:paraId="468C4D9B">
      <w:pPr>
        <w:pStyle w:val="2"/>
        <w:spacing w:before="93"/>
        <w:rPr>
          <w:rFonts w:hint="default" w:ascii="Times New Roman" w:hAnsi="Times New Roman" w:eastAsia="方正小标宋简体" w:cs="Times New Roman"/>
          <w:kern w:val="2"/>
          <w:sz w:val="72"/>
          <w:szCs w:val="72"/>
        </w:rPr>
      </w:pPr>
    </w:p>
    <w:p w14:paraId="0EE9B329">
      <w:pPr>
        <w:pStyle w:val="2"/>
        <w:spacing w:before="93"/>
        <w:jc w:val="center"/>
        <w:rPr>
          <w:rFonts w:hint="default" w:ascii="Times New Roman" w:hAnsi="Times New Roman" w:eastAsia="方正小标宋简体" w:cs="Times New Roman"/>
          <w:kern w:val="2"/>
          <w:sz w:val="72"/>
          <w:szCs w:val="72"/>
        </w:rPr>
      </w:pPr>
      <w:r>
        <w:rPr>
          <w:rFonts w:hint="default" w:ascii="Times New Roman" w:hAnsi="Times New Roman" w:eastAsia="方正小标宋简体" w:cs="Times New Roman"/>
          <w:kern w:val="2"/>
          <w:sz w:val="72"/>
          <w:szCs w:val="72"/>
        </w:rPr>
        <w:t>2024年度</w:t>
      </w:r>
    </w:p>
    <w:p w14:paraId="629C644B">
      <w:pPr>
        <w:pStyle w:val="2"/>
        <w:spacing w:before="93"/>
        <w:jc w:val="center"/>
        <w:rPr>
          <w:rFonts w:hint="default" w:ascii="Times New Roman" w:hAnsi="Times New Roman" w:eastAsia="方正小标宋简体" w:cs="Times New Roman"/>
          <w:kern w:val="2"/>
          <w:sz w:val="72"/>
          <w:szCs w:val="72"/>
          <w:lang w:val="en-US" w:eastAsia="zh-CN"/>
        </w:rPr>
      </w:pPr>
      <w:r>
        <w:rPr>
          <w:rFonts w:hint="default" w:ascii="Times New Roman" w:hAnsi="Times New Roman" w:eastAsia="方正小标宋简体" w:cs="Times New Roman"/>
          <w:kern w:val="2"/>
          <w:sz w:val="72"/>
          <w:szCs w:val="72"/>
        </w:rPr>
        <w:t>盐边县</w:t>
      </w:r>
      <w:r>
        <w:rPr>
          <w:rFonts w:hint="default" w:ascii="Times New Roman" w:hAnsi="Times New Roman" w:eastAsia="方正小标宋简体" w:cs="Times New Roman"/>
          <w:kern w:val="2"/>
          <w:sz w:val="72"/>
          <w:szCs w:val="72"/>
          <w:lang w:val="en-US" w:eastAsia="zh-CN"/>
        </w:rPr>
        <w:t>幼儿园</w:t>
      </w:r>
    </w:p>
    <w:p w14:paraId="4AFACFE3">
      <w:pPr>
        <w:pStyle w:val="2"/>
        <w:spacing w:before="93"/>
        <w:jc w:val="center"/>
        <w:rPr>
          <w:rFonts w:hint="default" w:ascii="Times New Roman" w:hAnsi="Times New Roman" w:eastAsia="方正小标宋简体" w:cs="Times New Roman"/>
          <w:kern w:val="2"/>
          <w:sz w:val="72"/>
          <w:szCs w:val="72"/>
        </w:rPr>
      </w:pPr>
      <w:r>
        <w:rPr>
          <w:rFonts w:hint="default" w:ascii="Times New Roman" w:hAnsi="Times New Roman" w:eastAsia="方正小标宋简体" w:cs="Times New Roman"/>
          <w:kern w:val="2"/>
          <w:sz w:val="72"/>
          <w:szCs w:val="72"/>
        </w:rPr>
        <w:t>单位决算公开</w:t>
      </w:r>
    </w:p>
    <w:p w14:paraId="41A1C3EC">
      <w:pPr>
        <w:pStyle w:val="19"/>
        <w:rPr>
          <w:rFonts w:hint="default" w:ascii="Times New Roman" w:hAnsi="Times New Roman" w:cs="Times New Roman"/>
        </w:rPr>
        <w:sectPr>
          <w:headerReference r:id="rId3" w:type="default"/>
          <w:footerReference r:id="rId4" w:type="default"/>
          <w:pgSz w:w="11906" w:h="16838"/>
          <w:pgMar w:top="1440" w:right="1800" w:bottom="1440" w:left="1800" w:header="851" w:footer="992" w:gutter="0"/>
          <w:pgNumType w:fmt="numberInDash" w:start="1"/>
          <w:cols w:space="425" w:num="1"/>
          <w:titlePg/>
          <w:docGrid w:type="lines" w:linePitch="312" w:charSpace="0"/>
        </w:sectPr>
      </w:pPr>
    </w:p>
    <w:sdt>
      <w:sdtPr>
        <w:rPr>
          <w:rFonts w:ascii="宋体" w:hAnsi="宋体" w:eastAsia="宋体" w:cs="Times New Roman"/>
          <w:kern w:val="2"/>
          <w:sz w:val="21"/>
          <w:szCs w:val="24"/>
          <w:lang w:val="en-US" w:eastAsia="zh-CN" w:bidi="ar-SA"/>
        </w:rPr>
        <w:id w:val="147454667"/>
        <w15:color w:val="DBDBDB"/>
        <w:docPartObj>
          <w:docPartGallery w:val="Table of Contents"/>
          <w:docPartUnique/>
        </w:docPartObj>
      </w:sdtPr>
      <w:sdtEndPr>
        <w:rPr>
          <w:rFonts w:hint="default" w:ascii="Times New Roman" w:hAnsi="Times New Roman" w:eastAsia="方正小标宋简体" w:cs="Times New Roman"/>
          <w:b/>
          <w:bCs/>
          <w:kern w:val="44"/>
          <w:sz w:val="44"/>
          <w:szCs w:val="44"/>
          <w:lang w:val="en-US" w:eastAsia="zh-CN" w:bidi="ar-SA"/>
        </w:rPr>
      </w:sdtEndPr>
      <w:sdtContent>
        <w:p w14:paraId="1A70534F">
          <w:pPr>
            <w:widowControl/>
            <w:jc w:val="center"/>
            <w:rPr>
              <w:rFonts w:hint="default" w:ascii="Times New Roman" w:hAnsi="Times New Roman" w:eastAsia="黑体" w:cs="Times New Roman"/>
              <w:sz w:val="28"/>
              <w:szCs w:val="28"/>
            </w:rPr>
          </w:pPr>
          <w:bookmarkStart w:id="103" w:name="_GoBack"/>
          <w:bookmarkEnd w:id="103"/>
          <w:r>
            <w:rPr>
              <w:rFonts w:hint="default" w:ascii="Times New Roman" w:hAnsi="Times New Roman" w:eastAsia="黑体" w:cs="Times New Roman"/>
              <w:sz w:val="48"/>
              <w:szCs w:val="48"/>
            </w:rPr>
            <w:t>目</w:t>
          </w:r>
          <w:r>
            <w:rPr>
              <w:rFonts w:hint="eastAsia" w:ascii="Times New Roman" w:hAnsi="Times New Roman" w:eastAsia="黑体" w:cs="Times New Roman"/>
              <w:sz w:val="48"/>
              <w:szCs w:val="48"/>
              <w:lang w:val="en-US" w:eastAsia="zh-CN"/>
            </w:rPr>
            <w:t xml:space="preserve"> </w:t>
          </w:r>
          <w:r>
            <w:rPr>
              <w:rFonts w:hint="default" w:ascii="Times New Roman" w:hAnsi="Times New Roman" w:eastAsia="黑体" w:cs="Times New Roman"/>
              <w:sz w:val="48"/>
              <w:szCs w:val="48"/>
            </w:rPr>
            <w:t>录</w:t>
          </w:r>
        </w:p>
        <w:p w14:paraId="62A763AF">
          <w:pPr>
            <w:pStyle w:val="12"/>
          </w:pPr>
          <w:r>
            <w:rPr>
              <w:rFonts w:hint="default" w:ascii="Times New Roman" w:hAnsi="Times New Roman" w:eastAsia="仿宋_GB2312" w:cs="Times New Roman"/>
            </w:rPr>
            <w:t>公开时间：2025年10月</w:t>
          </w:r>
          <w:r>
            <w:rPr>
              <w:rFonts w:hint="default" w:ascii="Times New Roman" w:hAnsi="Times New Roman" w:eastAsia="仿宋_GB2312" w:cs="Times New Roman"/>
              <w:lang w:val="en-US" w:eastAsia="zh-CN"/>
            </w:rPr>
            <w:t>28</w:t>
          </w:r>
          <w:r>
            <w:rPr>
              <w:rFonts w:hint="default" w:ascii="Times New Roman" w:hAnsi="Times New Roman" w:eastAsia="仿宋_GB2312" w:cs="Times New Roman"/>
            </w:rPr>
            <w:t>日</w:t>
          </w:r>
        </w:p>
        <w:p w14:paraId="3A3499AD">
          <w:pPr>
            <w:pStyle w:val="12"/>
            <w:tabs>
              <w:tab w:val="right" w:leader="dot" w:pos="8306"/>
              <w:tab w:val="clear" w:pos="8296"/>
            </w:tabs>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val="0"/>
              <w:sz w:val="32"/>
              <w:szCs w:val="32"/>
            </w:rPr>
            <w:fldChar w:fldCharType="begin"/>
          </w:r>
          <w:r>
            <w:rPr>
              <w:rFonts w:hint="eastAsia" w:ascii="方正仿宋_GBK" w:hAnsi="方正仿宋_GBK" w:eastAsia="方正仿宋_GBK" w:cs="方正仿宋_GBK"/>
              <w:b w:val="0"/>
              <w:sz w:val="32"/>
              <w:szCs w:val="32"/>
            </w:rPr>
            <w:instrText xml:space="preserve">TOC \o "1-2" \h \u </w:instrText>
          </w:r>
          <w:r>
            <w:rPr>
              <w:rFonts w:hint="eastAsia" w:ascii="方正仿宋_GBK" w:hAnsi="方正仿宋_GBK" w:eastAsia="方正仿宋_GBK" w:cs="方正仿宋_GBK"/>
              <w:b w:val="0"/>
              <w:sz w:val="32"/>
              <w:szCs w:val="32"/>
            </w:rPr>
            <w:fldChar w:fldCharType="separate"/>
          </w:r>
          <w:r>
            <w:rPr>
              <w:rFonts w:hint="eastAsia" w:ascii="方正仿宋_GBK" w:hAnsi="方正仿宋_GBK" w:eastAsia="方正仿宋_GBK" w:cs="方正仿宋_GBK"/>
              <w:sz w:val="32"/>
              <w:szCs w:val="32"/>
            </w:rPr>
            <w:fldChar w:fldCharType="begin"/>
          </w:r>
          <w:r>
            <w:rPr>
              <w:rFonts w:hint="eastAsia" w:ascii="方正仿宋_GBK" w:hAnsi="方正仿宋_GBK" w:eastAsia="方正仿宋_GBK" w:cs="方正仿宋_GBK"/>
              <w:sz w:val="32"/>
              <w:szCs w:val="32"/>
            </w:rPr>
            <w:instrText xml:space="preserve"> HYPERLINK \l _Toc15463 </w:instrText>
          </w:r>
          <w:r>
            <w:rPr>
              <w:rFonts w:hint="eastAsia" w:ascii="方正仿宋_GBK" w:hAnsi="方正仿宋_GBK" w:eastAsia="方正仿宋_GBK" w:cs="方正仿宋_GBK"/>
              <w:sz w:val="32"/>
              <w:szCs w:val="32"/>
            </w:rPr>
            <w:fldChar w:fldCharType="separate"/>
          </w:r>
          <w:r>
            <w:rPr>
              <w:rFonts w:hint="eastAsia" w:ascii="方正仿宋_GBK" w:hAnsi="方正仿宋_GBK" w:eastAsia="方正仿宋_GBK" w:cs="方正仿宋_GBK"/>
              <w:sz w:val="32"/>
              <w:szCs w:val="32"/>
            </w:rPr>
            <w:t>第一部分  单位概况</w:t>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fldChar w:fldCharType="begin"/>
          </w:r>
          <w:r>
            <w:rPr>
              <w:rFonts w:hint="eastAsia" w:ascii="方正仿宋_GBK" w:hAnsi="方正仿宋_GBK" w:eastAsia="方正仿宋_GBK" w:cs="方正仿宋_GBK"/>
              <w:sz w:val="32"/>
              <w:szCs w:val="32"/>
            </w:rPr>
            <w:instrText xml:space="preserve"> PAGEREF _Toc15463 \h </w:instrText>
          </w:r>
          <w:r>
            <w:rPr>
              <w:rFonts w:hint="eastAsia" w:ascii="方正仿宋_GBK" w:hAnsi="方正仿宋_GBK" w:eastAsia="方正仿宋_GBK" w:cs="方正仿宋_GBK"/>
              <w:sz w:val="32"/>
              <w:szCs w:val="32"/>
            </w:rPr>
            <w:fldChar w:fldCharType="separate"/>
          </w:r>
          <w:r>
            <w:rPr>
              <w:rFonts w:hint="eastAsia" w:ascii="方正仿宋_GBK" w:hAnsi="方正仿宋_GBK" w:eastAsia="方正仿宋_GBK" w:cs="方正仿宋_GBK"/>
              <w:sz w:val="32"/>
              <w:szCs w:val="32"/>
            </w:rPr>
            <w:t>1</w:t>
          </w:r>
          <w:r>
            <w:rPr>
              <w:rFonts w:hint="eastAsia" w:ascii="方正仿宋_GBK" w:hAnsi="方正仿宋_GBK" w:eastAsia="方正仿宋_GBK" w:cs="方正仿宋_GBK"/>
              <w:sz w:val="32"/>
              <w:szCs w:val="32"/>
            </w:rPr>
            <w:fldChar w:fldCharType="end"/>
          </w:r>
          <w:r>
            <w:rPr>
              <w:rFonts w:hint="eastAsia" w:ascii="方正仿宋_GBK" w:hAnsi="方正仿宋_GBK" w:eastAsia="方正仿宋_GBK" w:cs="方正仿宋_GBK"/>
              <w:sz w:val="32"/>
              <w:szCs w:val="32"/>
            </w:rPr>
            <w:fldChar w:fldCharType="end"/>
          </w:r>
        </w:p>
        <w:p w14:paraId="697426AF">
          <w:pPr>
            <w:pStyle w:val="14"/>
            <w:tabs>
              <w:tab w:val="right" w:leader="dot" w:pos="8306"/>
              <w:tab w:val="clear" w:pos="8296"/>
            </w:tabs>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fldChar w:fldCharType="begin"/>
          </w:r>
          <w:r>
            <w:rPr>
              <w:rFonts w:hint="eastAsia" w:ascii="方正仿宋_GBK" w:hAnsi="方正仿宋_GBK" w:eastAsia="方正仿宋_GBK" w:cs="方正仿宋_GBK"/>
              <w:sz w:val="32"/>
              <w:szCs w:val="32"/>
            </w:rPr>
            <w:instrText xml:space="preserve"> HYPERLINK \l _Toc29788 </w:instrText>
          </w:r>
          <w:r>
            <w:rPr>
              <w:rFonts w:hint="eastAsia" w:ascii="方正仿宋_GBK" w:hAnsi="方正仿宋_GBK" w:eastAsia="方正仿宋_GBK" w:cs="方正仿宋_GBK"/>
              <w:sz w:val="32"/>
              <w:szCs w:val="32"/>
            </w:rPr>
            <w:fldChar w:fldCharType="separate"/>
          </w:r>
          <w:r>
            <w:rPr>
              <w:rFonts w:hint="eastAsia" w:ascii="方正仿宋_GBK" w:hAnsi="方正仿宋_GBK" w:eastAsia="方正仿宋_GBK" w:cs="方正仿宋_GBK"/>
              <w:bCs/>
              <w:kern w:val="2"/>
              <w:sz w:val="32"/>
              <w:szCs w:val="32"/>
              <w:lang w:val="en-US" w:eastAsia="zh-CN" w:bidi="ar-SA"/>
            </w:rPr>
            <w:t>一、</w:t>
          </w:r>
          <w:r>
            <w:rPr>
              <w:rFonts w:hint="eastAsia" w:ascii="方正仿宋_GBK" w:hAnsi="方正仿宋_GBK" w:eastAsia="方正仿宋_GBK" w:cs="方正仿宋_GBK"/>
              <w:bCs/>
              <w:sz w:val="32"/>
              <w:szCs w:val="32"/>
            </w:rPr>
            <w:t>主要职责</w:t>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fldChar w:fldCharType="begin"/>
          </w:r>
          <w:r>
            <w:rPr>
              <w:rFonts w:hint="eastAsia" w:ascii="方正仿宋_GBK" w:hAnsi="方正仿宋_GBK" w:eastAsia="方正仿宋_GBK" w:cs="方正仿宋_GBK"/>
              <w:sz w:val="32"/>
              <w:szCs w:val="32"/>
            </w:rPr>
            <w:instrText xml:space="preserve"> PAGEREF _Toc29788 \h </w:instrText>
          </w:r>
          <w:r>
            <w:rPr>
              <w:rFonts w:hint="eastAsia" w:ascii="方正仿宋_GBK" w:hAnsi="方正仿宋_GBK" w:eastAsia="方正仿宋_GBK" w:cs="方正仿宋_GBK"/>
              <w:sz w:val="32"/>
              <w:szCs w:val="32"/>
            </w:rPr>
            <w:fldChar w:fldCharType="separate"/>
          </w:r>
          <w:r>
            <w:rPr>
              <w:rFonts w:hint="eastAsia" w:ascii="方正仿宋_GBK" w:hAnsi="方正仿宋_GBK" w:eastAsia="方正仿宋_GBK" w:cs="方正仿宋_GBK"/>
              <w:sz w:val="32"/>
              <w:szCs w:val="32"/>
            </w:rPr>
            <w:t>1</w:t>
          </w:r>
          <w:r>
            <w:rPr>
              <w:rFonts w:hint="eastAsia" w:ascii="方正仿宋_GBK" w:hAnsi="方正仿宋_GBK" w:eastAsia="方正仿宋_GBK" w:cs="方正仿宋_GBK"/>
              <w:sz w:val="32"/>
              <w:szCs w:val="32"/>
            </w:rPr>
            <w:fldChar w:fldCharType="end"/>
          </w:r>
          <w:r>
            <w:rPr>
              <w:rFonts w:hint="eastAsia" w:ascii="方正仿宋_GBK" w:hAnsi="方正仿宋_GBK" w:eastAsia="方正仿宋_GBK" w:cs="方正仿宋_GBK"/>
              <w:sz w:val="32"/>
              <w:szCs w:val="32"/>
            </w:rPr>
            <w:fldChar w:fldCharType="end"/>
          </w:r>
        </w:p>
        <w:p w14:paraId="77DAEB09">
          <w:pPr>
            <w:pStyle w:val="14"/>
            <w:tabs>
              <w:tab w:val="right" w:leader="dot" w:pos="8306"/>
              <w:tab w:val="clear" w:pos="8296"/>
            </w:tabs>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fldChar w:fldCharType="begin"/>
          </w:r>
          <w:r>
            <w:rPr>
              <w:rFonts w:hint="eastAsia" w:ascii="方正仿宋_GBK" w:hAnsi="方正仿宋_GBK" w:eastAsia="方正仿宋_GBK" w:cs="方正仿宋_GBK"/>
              <w:sz w:val="32"/>
              <w:szCs w:val="32"/>
            </w:rPr>
            <w:instrText xml:space="preserve"> HYPERLINK \l _Toc31377 </w:instrText>
          </w:r>
          <w:r>
            <w:rPr>
              <w:rFonts w:hint="eastAsia" w:ascii="方正仿宋_GBK" w:hAnsi="方正仿宋_GBK" w:eastAsia="方正仿宋_GBK" w:cs="方正仿宋_GBK"/>
              <w:sz w:val="32"/>
              <w:szCs w:val="32"/>
            </w:rPr>
            <w:fldChar w:fldCharType="separate"/>
          </w:r>
          <w:r>
            <w:rPr>
              <w:rFonts w:hint="eastAsia" w:ascii="方正仿宋_GBK" w:hAnsi="方正仿宋_GBK" w:eastAsia="方正仿宋_GBK" w:cs="方正仿宋_GBK"/>
              <w:bCs/>
              <w:kern w:val="2"/>
              <w:sz w:val="32"/>
              <w:szCs w:val="32"/>
              <w:lang w:val="en-US" w:eastAsia="zh-CN" w:bidi="ar-SA"/>
            </w:rPr>
            <w:t>二、</w:t>
          </w:r>
          <w:r>
            <w:rPr>
              <w:rFonts w:hint="eastAsia" w:ascii="方正仿宋_GBK" w:hAnsi="方正仿宋_GBK" w:eastAsia="方正仿宋_GBK" w:cs="方正仿宋_GBK"/>
              <w:bCs/>
              <w:sz w:val="32"/>
              <w:szCs w:val="32"/>
            </w:rPr>
            <w:t>机构设置</w:t>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fldChar w:fldCharType="begin"/>
          </w:r>
          <w:r>
            <w:rPr>
              <w:rFonts w:hint="eastAsia" w:ascii="方正仿宋_GBK" w:hAnsi="方正仿宋_GBK" w:eastAsia="方正仿宋_GBK" w:cs="方正仿宋_GBK"/>
              <w:sz w:val="32"/>
              <w:szCs w:val="32"/>
            </w:rPr>
            <w:instrText xml:space="preserve"> PAGEREF _Toc31377 \h </w:instrText>
          </w:r>
          <w:r>
            <w:rPr>
              <w:rFonts w:hint="eastAsia" w:ascii="方正仿宋_GBK" w:hAnsi="方正仿宋_GBK" w:eastAsia="方正仿宋_GBK" w:cs="方正仿宋_GBK"/>
              <w:sz w:val="32"/>
              <w:szCs w:val="32"/>
            </w:rPr>
            <w:fldChar w:fldCharType="separate"/>
          </w:r>
          <w:r>
            <w:rPr>
              <w:rFonts w:hint="eastAsia" w:ascii="方正仿宋_GBK" w:hAnsi="方正仿宋_GBK" w:eastAsia="方正仿宋_GBK" w:cs="方正仿宋_GBK"/>
              <w:sz w:val="32"/>
              <w:szCs w:val="32"/>
            </w:rPr>
            <w:t>1</w:t>
          </w:r>
          <w:r>
            <w:rPr>
              <w:rFonts w:hint="eastAsia" w:ascii="方正仿宋_GBK" w:hAnsi="方正仿宋_GBK" w:eastAsia="方正仿宋_GBK" w:cs="方正仿宋_GBK"/>
              <w:sz w:val="32"/>
              <w:szCs w:val="32"/>
            </w:rPr>
            <w:fldChar w:fldCharType="end"/>
          </w:r>
          <w:r>
            <w:rPr>
              <w:rFonts w:hint="eastAsia" w:ascii="方正仿宋_GBK" w:hAnsi="方正仿宋_GBK" w:eastAsia="方正仿宋_GBK" w:cs="方正仿宋_GBK"/>
              <w:sz w:val="32"/>
              <w:szCs w:val="32"/>
            </w:rPr>
            <w:fldChar w:fldCharType="end"/>
          </w:r>
        </w:p>
        <w:p w14:paraId="104675EF">
          <w:pPr>
            <w:pStyle w:val="12"/>
            <w:tabs>
              <w:tab w:val="right" w:leader="dot" w:pos="8306"/>
              <w:tab w:val="clear" w:pos="8296"/>
            </w:tabs>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fldChar w:fldCharType="begin"/>
          </w:r>
          <w:r>
            <w:rPr>
              <w:rFonts w:hint="eastAsia" w:ascii="方正仿宋_GBK" w:hAnsi="方正仿宋_GBK" w:eastAsia="方正仿宋_GBK" w:cs="方正仿宋_GBK"/>
              <w:sz w:val="32"/>
              <w:szCs w:val="32"/>
            </w:rPr>
            <w:instrText xml:space="preserve"> HYPERLINK \l _Toc2242 </w:instrText>
          </w:r>
          <w:r>
            <w:rPr>
              <w:rFonts w:hint="eastAsia" w:ascii="方正仿宋_GBK" w:hAnsi="方正仿宋_GBK" w:eastAsia="方正仿宋_GBK" w:cs="方正仿宋_GBK"/>
              <w:sz w:val="32"/>
              <w:szCs w:val="32"/>
            </w:rPr>
            <w:fldChar w:fldCharType="separate"/>
          </w:r>
          <w:r>
            <w:rPr>
              <w:rFonts w:hint="eastAsia" w:ascii="方正仿宋_GBK" w:hAnsi="方正仿宋_GBK" w:eastAsia="方正仿宋_GBK" w:cs="方正仿宋_GBK"/>
              <w:sz w:val="32"/>
              <w:szCs w:val="32"/>
            </w:rPr>
            <w:t>第二部分</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rPr>
            <w:t xml:space="preserve"> </w:t>
          </w:r>
          <w:r>
            <w:rPr>
              <w:rFonts w:hint="eastAsia" w:ascii="方正仿宋_GBK" w:hAnsi="方正仿宋_GBK" w:eastAsia="方正仿宋_GBK" w:cs="方正仿宋_GBK"/>
              <w:sz w:val="32"/>
              <w:szCs w:val="32"/>
              <w:lang w:val="en-US" w:eastAsia="zh-CN"/>
            </w:rPr>
            <w:t>2024年度</w:t>
          </w:r>
          <w:r>
            <w:rPr>
              <w:rFonts w:hint="eastAsia" w:ascii="方正仿宋_GBK" w:hAnsi="方正仿宋_GBK" w:eastAsia="方正仿宋_GBK" w:cs="方正仿宋_GBK"/>
              <w:sz w:val="32"/>
              <w:szCs w:val="32"/>
            </w:rPr>
            <w:t>部门决算情况说明</w:t>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fldChar w:fldCharType="begin"/>
          </w:r>
          <w:r>
            <w:rPr>
              <w:rFonts w:hint="eastAsia" w:ascii="方正仿宋_GBK" w:hAnsi="方正仿宋_GBK" w:eastAsia="方正仿宋_GBK" w:cs="方正仿宋_GBK"/>
              <w:sz w:val="32"/>
              <w:szCs w:val="32"/>
            </w:rPr>
            <w:instrText xml:space="preserve"> PAGEREF _Toc2242 \h </w:instrText>
          </w:r>
          <w:r>
            <w:rPr>
              <w:rFonts w:hint="eastAsia" w:ascii="方正仿宋_GBK" w:hAnsi="方正仿宋_GBK" w:eastAsia="方正仿宋_GBK" w:cs="方正仿宋_GBK"/>
              <w:sz w:val="32"/>
              <w:szCs w:val="32"/>
            </w:rPr>
            <w:fldChar w:fldCharType="separate"/>
          </w:r>
          <w:r>
            <w:rPr>
              <w:rFonts w:hint="eastAsia" w:ascii="方正仿宋_GBK" w:hAnsi="方正仿宋_GBK" w:eastAsia="方正仿宋_GBK" w:cs="方正仿宋_GBK"/>
              <w:sz w:val="32"/>
              <w:szCs w:val="32"/>
            </w:rPr>
            <w:t>2</w:t>
          </w:r>
          <w:r>
            <w:rPr>
              <w:rFonts w:hint="eastAsia" w:ascii="方正仿宋_GBK" w:hAnsi="方正仿宋_GBK" w:eastAsia="方正仿宋_GBK" w:cs="方正仿宋_GBK"/>
              <w:sz w:val="32"/>
              <w:szCs w:val="32"/>
            </w:rPr>
            <w:fldChar w:fldCharType="end"/>
          </w:r>
          <w:r>
            <w:rPr>
              <w:rFonts w:hint="eastAsia" w:ascii="方正仿宋_GBK" w:hAnsi="方正仿宋_GBK" w:eastAsia="方正仿宋_GBK" w:cs="方正仿宋_GBK"/>
              <w:sz w:val="32"/>
              <w:szCs w:val="32"/>
            </w:rPr>
            <w:fldChar w:fldCharType="end"/>
          </w:r>
        </w:p>
        <w:p w14:paraId="05FAC039">
          <w:pPr>
            <w:pStyle w:val="14"/>
            <w:tabs>
              <w:tab w:val="right" w:leader="dot" w:pos="8306"/>
              <w:tab w:val="clear" w:pos="8296"/>
            </w:tabs>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fldChar w:fldCharType="begin"/>
          </w:r>
          <w:r>
            <w:rPr>
              <w:rFonts w:hint="eastAsia" w:ascii="方正仿宋_GBK" w:hAnsi="方正仿宋_GBK" w:eastAsia="方正仿宋_GBK" w:cs="方正仿宋_GBK"/>
              <w:sz w:val="32"/>
              <w:szCs w:val="32"/>
            </w:rPr>
            <w:instrText xml:space="preserve"> HYPERLINK \l _Toc23167 </w:instrText>
          </w:r>
          <w:r>
            <w:rPr>
              <w:rFonts w:hint="eastAsia" w:ascii="方正仿宋_GBK" w:hAnsi="方正仿宋_GBK" w:eastAsia="方正仿宋_GBK" w:cs="方正仿宋_GBK"/>
              <w:sz w:val="32"/>
              <w:szCs w:val="32"/>
            </w:rPr>
            <w:fldChar w:fldCharType="separate"/>
          </w:r>
          <w:r>
            <w:rPr>
              <w:rFonts w:hint="eastAsia" w:ascii="方正仿宋_GBK" w:hAnsi="方正仿宋_GBK" w:eastAsia="方正仿宋_GBK" w:cs="方正仿宋_GBK"/>
              <w:bCs/>
              <w:sz w:val="32"/>
              <w:szCs w:val="32"/>
              <w:lang w:eastAsia="zh-CN"/>
            </w:rPr>
            <w:t>一、</w:t>
          </w:r>
          <w:r>
            <w:rPr>
              <w:rFonts w:hint="eastAsia" w:ascii="方正仿宋_GBK" w:hAnsi="方正仿宋_GBK" w:eastAsia="方正仿宋_GBK" w:cs="方正仿宋_GBK"/>
              <w:bCs/>
              <w:sz w:val="32"/>
              <w:szCs w:val="32"/>
            </w:rPr>
            <w:t>收入支出决算总体情况说明</w:t>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fldChar w:fldCharType="begin"/>
          </w:r>
          <w:r>
            <w:rPr>
              <w:rFonts w:hint="eastAsia" w:ascii="方正仿宋_GBK" w:hAnsi="方正仿宋_GBK" w:eastAsia="方正仿宋_GBK" w:cs="方正仿宋_GBK"/>
              <w:sz w:val="32"/>
              <w:szCs w:val="32"/>
            </w:rPr>
            <w:instrText xml:space="preserve"> PAGEREF _Toc23167 \h </w:instrText>
          </w:r>
          <w:r>
            <w:rPr>
              <w:rFonts w:hint="eastAsia" w:ascii="方正仿宋_GBK" w:hAnsi="方正仿宋_GBK" w:eastAsia="方正仿宋_GBK" w:cs="方正仿宋_GBK"/>
              <w:sz w:val="32"/>
              <w:szCs w:val="32"/>
            </w:rPr>
            <w:fldChar w:fldCharType="separate"/>
          </w:r>
          <w:r>
            <w:rPr>
              <w:rFonts w:hint="eastAsia" w:ascii="方正仿宋_GBK" w:hAnsi="方正仿宋_GBK" w:eastAsia="方正仿宋_GBK" w:cs="方正仿宋_GBK"/>
              <w:sz w:val="32"/>
              <w:szCs w:val="32"/>
            </w:rPr>
            <w:t>2</w:t>
          </w:r>
          <w:r>
            <w:rPr>
              <w:rFonts w:hint="eastAsia" w:ascii="方正仿宋_GBK" w:hAnsi="方正仿宋_GBK" w:eastAsia="方正仿宋_GBK" w:cs="方正仿宋_GBK"/>
              <w:sz w:val="32"/>
              <w:szCs w:val="32"/>
            </w:rPr>
            <w:fldChar w:fldCharType="end"/>
          </w:r>
          <w:r>
            <w:rPr>
              <w:rFonts w:hint="eastAsia" w:ascii="方正仿宋_GBK" w:hAnsi="方正仿宋_GBK" w:eastAsia="方正仿宋_GBK" w:cs="方正仿宋_GBK"/>
              <w:sz w:val="32"/>
              <w:szCs w:val="32"/>
            </w:rPr>
            <w:fldChar w:fldCharType="end"/>
          </w:r>
        </w:p>
        <w:p w14:paraId="4F7A93E7">
          <w:pPr>
            <w:pStyle w:val="14"/>
            <w:tabs>
              <w:tab w:val="right" w:leader="dot" w:pos="8306"/>
              <w:tab w:val="clear" w:pos="8296"/>
            </w:tabs>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fldChar w:fldCharType="begin"/>
          </w:r>
          <w:r>
            <w:rPr>
              <w:rFonts w:hint="eastAsia" w:ascii="方正仿宋_GBK" w:hAnsi="方正仿宋_GBK" w:eastAsia="方正仿宋_GBK" w:cs="方正仿宋_GBK"/>
              <w:sz w:val="32"/>
              <w:szCs w:val="32"/>
            </w:rPr>
            <w:instrText xml:space="preserve"> HYPERLINK \l _Toc21733 </w:instrText>
          </w:r>
          <w:r>
            <w:rPr>
              <w:rFonts w:hint="eastAsia" w:ascii="方正仿宋_GBK" w:hAnsi="方正仿宋_GBK" w:eastAsia="方正仿宋_GBK" w:cs="方正仿宋_GBK"/>
              <w:sz w:val="32"/>
              <w:szCs w:val="32"/>
            </w:rPr>
            <w:fldChar w:fldCharType="separate"/>
          </w:r>
          <w:r>
            <w:rPr>
              <w:rFonts w:hint="eastAsia" w:ascii="方正仿宋_GBK" w:hAnsi="方正仿宋_GBK" w:eastAsia="方正仿宋_GBK" w:cs="方正仿宋_GBK"/>
              <w:bCs/>
              <w:sz w:val="32"/>
              <w:szCs w:val="32"/>
              <w:lang w:eastAsia="zh-CN"/>
            </w:rPr>
            <w:t>二、收入决算情况说明</w:t>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fldChar w:fldCharType="begin"/>
          </w:r>
          <w:r>
            <w:rPr>
              <w:rFonts w:hint="eastAsia" w:ascii="方正仿宋_GBK" w:hAnsi="方正仿宋_GBK" w:eastAsia="方正仿宋_GBK" w:cs="方正仿宋_GBK"/>
              <w:sz w:val="32"/>
              <w:szCs w:val="32"/>
            </w:rPr>
            <w:instrText xml:space="preserve"> PAGEREF _Toc21733 \h </w:instrText>
          </w:r>
          <w:r>
            <w:rPr>
              <w:rFonts w:hint="eastAsia" w:ascii="方正仿宋_GBK" w:hAnsi="方正仿宋_GBK" w:eastAsia="方正仿宋_GBK" w:cs="方正仿宋_GBK"/>
              <w:sz w:val="32"/>
              <w:szCs w:val="32"/>
            </w:rPr>
            <w:fldChar w:fldCharType="separate"/>
          </w:r>
          <w:r>
            <w:rPr>
              <w:rFonts w:hint="eastAsia" w:ascii="方正仿宋_GBK" w:hAnsi="方正仿宋_GBK" w:eastAsia="方正仿宋_GBK" w:cs="方正仿宋_GBK"/>
              <w:sz w:val="32"/>
              <w:szCs w:val="32"/>
            </w:rPr>
            <w:t>2</w:t>
          </w:r>
          <w:r>
            <w:rPr>
              <w:rFonts w:hint="eastAsia" w:ascii="方正仿宋_GBK" w:hAnsi="方正仿宋_GBK" w:eastAsia="方正仿宋_GBK" w:cs="方正仿宋_GBK"/>
              <w:sz w:val="32"/>
              <w:szCs w:val="32"/>
            </w:rPr>
            <w:fldChar w:fldCharType="end"/>
          </w:r>
          <w:r>
            <w:rPr>
              <w:rFonts w:hint="eastAsia" w:ascii="方正仿宋_GBK" w:hAnsi="方正仿宋_GBK" w:eastAsia="方正仿宋_GBK" w:cs="方正仿宋_GBK"/>
              <w:sz w:val="32"/>
              <w:szCs w:val="32"/>
            </w:rPr>
            <w:fldChar w:fldCharType="end"/>
          </w:r>
        </w:p>
        <w:p w14:paraId="503AEC06">
          <w:pPr>
            <w:pStyle w:val="14"/>
            <w:tabs>
              <w:tab w:val="right" w:leader="dot" w:pos="8306"/>
              <w:tab w:val="clear" w:pos="8296"/>
            </w:tabs>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fldChar w:fldCharType="begin"/>
          </w:r>
          <w:r>
            <w:rPr>
              <w:rFonts w:hint="eastAsia" w:ascii="方正仿宋_GBK" w:hAnsi="方正仿宋_GBK" w:eastAsia="方正仿宋_GBK" w:cs="方正仿宋_GBK"/>
              <w:sz w:val="32"/>
              <w:szCs w:val="32"/>
            </w:rPr>
            <w:instrText xml:space="preserve"> HYPERLINK \l _Toc16676 </w:instrText>
          </w:r>
          <w:r>
            <w:rPr>
              <w:rFonts w:hint="eastAsia" w:ascii="方正仿宋_GBK" w:hAnsi="方正仿宋_GBK" w:eastAsia="方正仿宋_GBK" w:cs="方正仿宋_GBK"/>
              <w:sz w:val="32"/>
              <w:szCs w:val="32"/>
            </w:rPr>
            <w:fldChar w:fldCharType="separate"/>
          </w:r>
          <w:r>
            <w:rPr>
              <w:rFonts w:hint="eastAsia" w:ascii="方正仿宋_GBK" w:hAnsi="方正仿宋_GBK" w:eastAsia="方正仿宋_GBK" w:cs="方正仿宋_GBK"/>
              <w:bCs/>
              <w:sz w:val="32"/>
              <w:szCs w:val="32"/>
              <w:lang w:eastAsia="zh-CN"/>
            </w:rPr>
            <w:t>三、支出决算情况说明</w:t>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fldChar w:fldCharType="begin"/>
          </w:r>
          <w:r>
            <w:rPr>
              <w:rFonts w:hint="eastAsia" w:ascii="方正仿宋_GBK" w:hAnsi="方正仿宋_GBK" w:eastAsia="方正仿宋_GBK" w:cs="方正仿宋_GBK"/>
              <w:sz w:val="32"/>
              <w:szCs w:val="32"/>
            </w:rPr>
            <w:instrText xml:space="preserve"> PAGEREF _Toc16676 \h </w:instrText>
          </w:r>
          <w:r>
            <w:rPr>
              <w:rFonts w:hint="eastAsia" w:ascii="方正仿宋_GBK" w:hAnsi="方正仿宋_GBK" w:eastAsia="方正仿宋_GBK" w:cs="方正仿宋_GBK"/>
              <w:sz w:val="32"/>
              <w:szCs w:val="32"/>
            </w:rPr>
            <w:fldChar w:fldCharType="separate"/>
          </w:r>
          <w:r>
            <w:rPr>
              <w:rFonts w:hint="eastAsia" w:ascii="方正仿宋_GBK" w:hAnsi="方正仿宋_GBK" w:eastAsia="方正仿宋_GBK" w:cs="方正仿宋_GBK"/>
              <w:sz w:val="32"/>
              <w:szCs w:val="32"/>
            </w:rPr>
            <w:t>3</w:t>
          </w:r>
          <w:r>
            <w:rPr>
              <w:rFonts w:hint="eastAsia" w:ascii="方正仿宋_GBK" w:hAnsi="方正仿宋_GBK" w:eastAsia="方正仿宋_GBK" w:cs="方正仿宋_GBK"/>
              <w:sz w:val="32"/>
              <w:szCs w:val="32"/>
            </w:rPr>
            <w:fldChar w:fldCharType="end"/>
          </w:r>
          <w:r>
            <w:rPr>
              <w:rFonts w:hint="eastAsia" w:ascii="方正仿宋_GBK" w:hAnsi="方正仿宋_GBK" w:eastAsia="方正仿宋_GBK" w:cs="方正仿宋_GBK"/>
              <w:sz w:val="32"/>
              <w:szCs w:val="32"/>
            </w:rPr>
            <w:fldChar w:fldCharType="end"/>
          </w:r>
        </w:p>
        <w:p w14:paraId="088DE03E">
          <w:pPr>
            <w:pStyle w:val="14"/>
            <w:tabs>
              <w:tab w:val="right" w:leader="dot" w:pos="8306"/>
              <w:tab w:val="clear" w:pos="8296"/>
            </w:tabs>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fldChar w:fldCharType="begin"/>
          </w:r>
          <w:r>
            <w:rPr>
              <w:rFonts w:hint="eastAsia" w:ascii="方正仿宋_GBK" w:hAnsi="方正仿宋_GBK" w:eastAsia="方正仿宋_GBK" w:cs="方正仿宋_GBK"/>
              <w:sz w:val="32"/>
              <w:szCs w:val="32"/>
            </w:rPr>
            <w:instrText xml:space="preserve"> HYPERLINK \l _Toc29078 </w:instrText>
          </w:r>
          <w:r>
            <w:rPr>
              <w:rFonts w:hint="eastAsia" w:ascii="方正仿宋_GBK" w:hAnsi="方正仿宋_GBK" w:eastAsia="方正仿宋_GBK" w:cs="方正仿宋_GBK"/>
              <w:sz w:val="32"/>
              <w:szCs w:val="32"/>
            </w:rPr>
            <w:fldChar w:fldCharType="separate"/>
          </w:r>
          <w:r>
            <w:rPr>
              <w:rFonts w:hint="eastAsia" w:ascii="方正仿宋_GBK" w:hAnsi="方正仿宋_GBK" w:eastAsia="方正仿宋_GBK" w:cs="方正仿宋_GBK"/>
              <w:bCs/>
              <w:sz w:val="32"/>
              <w:szCs w:val="32"/>
              <w:lang w:eastAsia="zh-CN"/>
            </w:rPr>
            <w:t>四、财政拨款收入支出决算总体情况说明</w:t>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fldChar w:fldCharType="begin"/>
          </w:r>
          <w:r>
            <w:rPr>
              <w:rFonts w:hint="eastAsia" w:ascii="方正仿宋_GBK" w:hAnsi="方正仿宋_GBK" w:eastAsia="方正仿宋_GBK" w:cs="方正仿宋_GBK"/>
              <w:sz w:val="32"/>
              <w:szCs w:val="32"/>
            </w:rPr>
            <w:instrText xml:space="preserve"> PAGEREF _Toc29078 \h </w:instrText>
          </w:r>
          <w:r>
            <w:rPr>
              <w:rFonts w:hint="eastAsia" w:ascii="方正仿宋_GBK" w:hAnsi="方正仿宋_GBK" w:eastAsia="方正仿宋_GBK" w:cs="方正仿宋_GBK"/>
              <w:sz w:val="32"/>
              <w:szCs w:val="32"/>
            </w:rPr>
            <w:fldChar w:fldCharType="separate"/>
          </w:r>
          <w:r>
            <w:rPr>
              <w:rFonts w:hint="eastAsia" w:ascii="方正仿宋_GBK" w:hAnsi="方正仿宋_GBK" w:eastAsia="方正仿宋_GBK" w:cs="方正仿宋_GBK"/>
              <w:sz w:val="32"/>
              <w:szCs w:val="32"/>
            </w:rPr>
            <w:t>4</w:t>
          </w:r>
          <w:r>
            <w:rPr>
              <w:rFonts w:hint="eastAsia" w:ascii="方正仿宋_GBK" w:hAnsi="方正仿宋_GBK" w:eastAsia="方正仿宋_GBK" w:cs="方正仿宋_GBK"/>
              <w:sz w:val="32"/>
              <w:szCs w:val="32"/>
            </w:rPr>
            <w:fldChar w:fldCharType="end"/>
          </w:r>
          <w:r>
            <w:rPr>
              <w:rFonts w:hint="eastAsia" w:ascii="方正仿宋_GBK" w:hAnsi="方正仿宋_GBK" w:eastAsia="方正仿宋_GBK" w:cs="方正仿宋_GBK"/>
              <w:sz w:val="32"/>
              <w:szCs w:val="32"/>
            </w:rPr>
            <w:fldChar w:fldCharType="end"/>
          </w:r>
        </w:p>
        <w:p w14:paraId="4E65B62F">
          <w:pPr>
            <w:pStyle w:val="14"/>
            <w:tabs>
              <w:tab w:val="right" w:leader="dot" w:pos="8306"/>
              <w:tab w:val="clear" w:pos="8296"/>
            </w:tabs>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fldChar w:fldCharType="begin"/>
          </w:r>
          <w:r>
            <w:rPr>
              <w:rFonts w:hint="eastAsia" w:ascii="方正仿宋_GBK" w:hAnsi="方正仿宋_GBK" w:eastAsia="方正仿宋_GBK" w:cs="方正仿宋_GBK"/>
              <w:sz w:val="32"/>
              <w:szCs w:val="32"/>
            </w:rPr>
            <w:instrText xml:space="preserve"> HYPERLINK \l _Toc5494 </w:instrText>
          </w:r>
          <w:r>
            <w:rPr>
              <w:rFonts w:hint="eastAsia" w:ascii="方正仿宋_GBK" w:hAnsi="方正仿宋_GBK" w:eastAsia="方正仿宋_GBK" w:cs="方正仿宋_GBK"/>
              <w:sz w:val="32"/>
              <w:szCs w:val="32"/>
            </w:rPr>
            <w:fldChar w:fldCharType="separate"/>
          </w:r>
          <w:r>
            <w:rPr>
              <w:rFonts w:hint="eastAsia" w:ascii="方正仿宋_GBK" w:hAnsi="方正仿宋_GBK" w:eastAsia="方正仿宋_GBK" w:cs="方正仿宋_GBK"/>
              <w:bCs/>
              <w:sz w:val="32"/>
              <w:szCs w:val="32"/>
              <w:lang w:eastAsia="zh-CN"/>
            </w:rPr>
            <w:t>五、一般公共预算财政拨款支出决算情况说明</w:t>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fldChar w:fldCharType="begin"/>
          </w:r>
          <w:r>
            <w:rPr>
              <w:rFonts w:hint="eastAsia" w:ascii="方正仿宋_GBK" w:hAnsi="方正仿宋_GBK" w:eastAsia="方正仿宋_GBK" w:cs="方正仿宋_GBK"/>
              <w:sz w:val="32"/>
              <w:szCs w:val="32"/>
            </w:rPr>
            <w:instrText xml:space="preserve"> PAGEREF _Toc5494 \h </w:instrText>
          </w:r>
          <w:r>
            <w:rPr>
              <w:rFonts w:hint="eastAsia" w:ascii="方正仿宋_GBK" w:hAnsi="方正仿宋_GBK" w:eastAsia="方正仿宋_GBK" w:cs="方正仿宋_GBK"/>
              <w:sz w:val="32"/>
              <w:szCs w:val="32"/>
            </w:rPr>
            <w:fldChar w:fldCharType="separate"/>
          </w:r>
          <w:r>
            <w:rPr>
              <w:rFonts w:hint="eastAsia" w:ascii="方正仿宋_GBK" w:hAnsi="方正仿宋_GBK" w:eastAsia="方正仿宋_GBK" w:cs="方正仿宋_GBK"/>
              <w:sz w:val="32"/>
              <w:szCs w:val="32"/>
            </w:rPr>
            <w:t>5</w:t>
          </w:r>
          <w:r>
            <w:rPr>
              <w:rFonts w:hint="eastAsia" w:ascii="方正仿宋_GBK" w:hAnsi="方正仿宋_GBK" w:eastAsia="方正仿宋_GBK" w:cs="方正仿宋_GBK"/>
              <w:sz w:val="32"/>
              <w:szCs w:val="32"/>
            </w:rPr>
            <w:fldChar w:fldCharType="end"/>
          </w:r>
          <w:r>
            <w:rPr>
              <w:rFonts w:hint="eastAsia" w:ascii="方正仿宋_GBK" w:hAnsi="方正仿宋_GBK" w:eastAsia="方正仿宋_GBK" w:cs="方正仿宋_GBK"/>
              <w:sz w:val="32"/>
              <w:szCs w:val="32"/>
            </w:rPr>
            <w:fldChar w:fldCharType="end"/>
          </w:r>
        </w:p>
        <w:p w14:paraId="6712F0B1">
          <w:pPr>
            <w:pStyle w:val="14"/>
            <w:tabs>
              <w:tab w:val="right" w:leader="dot" w:pos="8306"/>
              <w:tab w:val="clear" w:pos="8296"/>
            </w:tabs>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fldChar w:fldCharType="begin"/>
          </w:r>
          <w:r>
            <w:rPr>
              <w:rFonts w:hint="eastAsia" w:ascii="方正仿宋_GBK" w:hAnsi="方正仿宋_GBK" w:eastAsia="方正仿宋_GBK" w:cs="方正仿宋_GBK"/>
              <w:sz w:val="32"/>
              <w:szCs w:val="32"/>
            </w:rPr>
            <w:instrText xml:space="preserve"> HYPERLINK \l _Toc15103 </w:instrText>
          </w:r>
          <w:r>
            <w:rPr>
              <w:rFonts w:hint="eastAsia" w:ascii="方正仿宋_GBK" w:hAnsi="方正仿宋_GBK" w:eastAsia="方正仿宋_GBK" w:cs="方正仿宋_GBK"/>
              <w:sz w:val="32"/>
              <w:szCs w:val="32"/>
            </w:rPr>
            <w:fldChar w:fldCharType="separate"/>
          </w:r>
          <w:r>
            <w:rPr>
              <w:rFonts w:hint="eastAsia" w:ascii="方正仿宋_GBK" w:hAnsi="方正仿宋_GBK" w:eastAsia="方正仿宋_GBK" w:cs="方正仿宋_GBK"/>
              <w:bCs/>
              <w:sz w:val="32"/>
              <w:szCs w:val="32"/>
              <w:lang w:eastAsia="zh-CN"/>
            </w:rPr>
            <w:t>六、一般公共预算财政拨款基本支出决算情况说明</w:t>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fldChar w:fldCharType="begin"/>
          </w:r>
          <w:r>
            <w:rPr>
              <w:rFonts w:hint="eastAsia" w:ascii="方正仿宋_GBK" w:hAnsi="方正仿宋_GBK" w:eastAsia="方正仿宋_GBK" w:cs="方正仿宋_GBK"/>
              <w:sz w:val="32"/>
              <w:szCs w:val="32"/>
            </w:rPr>
            <w:instrText xml:space="preserve"> PAGEREF _Toc15103 \h </w:instrText>
          </w:r>
          <w:r>
            <w:rPr>
              <w:rFonts w:hint="eastAsia" w:ascii="方正仿宋_GBK" w:hAnsi="方正仿宋_GBK" w:eastAsia="方正仿宋_GBK" w:cs="方正仿宋_GBK"/>
              <w:sz w:val="32"/>
              <w:szCs w:val="32"/>
            </w:rPr>
            <w:fldChar w:fldCharType="separate"/>
          </w:r>
          <w:r>
            <w:rPr>
              <w:rFonts w:hint="eastAsia" w:ascii="方正仿宋_GBK" w:hAnsi="方正仿宋_GBK" w:eastAsia="方正仿宋_GBK" w:cs="方正仿宋_GBK"/>
              <w:sz w:val="32"/>
              <w:szCs w:val="32"/>
            </w:rPr>
            <w:t>7</w:t>
          </w:r>
          <w:r>
            <w:rPr>
              <w:rFonts w:hint="eastAsia" w:ascii="方正仿宋_GBK" w:hAnsi="方正仿宋_GBK" w:eastAsia="方正仿宋_GBK" w:cs="方正仿宋_GBK"/>
              <w:sz w:val="32"/>
              <w:szCs w:val="32"/>
            </w:rPr>
            <w:fldChar w:fldCharType="end"/>
          </w:r>
          <w:r>
            <w:rPr>
              <w:rFonts w:hint="eastAsia" w:ascii="方正仿宋_GBK" w:hAnsi="方正仿宋_GBK" w:eastAsia="方正仿宋_GBK" w:cs="方正仿宋_GBK"/>
              <w:sz w:val="32"/>
              <w:szCs w:val="32"/>
            </w:rPr>
            <w:fldChar w:fldCharType="end"/>
          </w:r>
        </w:p>
        <w:p w14:paraId="79FB8AB3">
          <w:pPr>
            <w:pStyle w:val="14"/>
            <w:tabs>
              <w:tab w:val="right" w:leader="dot" w:pos="8306"/>
              <w:tab w:val="clear" w:pos="8296"/>
            </w:tabs>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fldChar w:fldCharType="begin"/>
          </w:r>
          <w:r>
            <w:rPr>
              <w:rFonts w:hint="eastAsia" w:ascii="方正仿宋_GBK" w:hAnsi="方正仿宋_GBK" w:eastAsia="方正仿宋_GBK" w:cs="方正仿宋_GBK"/>
              <w:sz w:val="32"/>
              <w:szCs w:val="32"/>
            </w:rPr>
            <w:instrText xml:space="preserve"> HYPERLINK \l _Toc14766 </w:instrText>
          </w:r>
          <w:r>
            <w:rPr>
              <w:rFonts w:hint="eastAsia" w:ascii="方正仿宋_GBK" w:hAnsi="方正仿宋_GBK" w:eastAsia="方正仿宋_GBK" w:cs="方正仿宋_GBK"/>
              <w:sz w:val="32"/>
              <w:szCs w:val="32"/>
            </w:rPr>
            <w:fldChar w:fldCharType="separate"/>
          </w:r>
          <w:r>
            <w:rPr>
              <w:rFonts w:hint="eastAsia" w:ascii="方正仿宋_GBK" w:hAnsi="方正仿宋_GBK" w:eastAsia="方正仿宋_GBK" w:cs="方正仿宋_GBK"/>
              <w:bCs/>
              <w:sz w:val="32"/>
              <w:szCs w:val="32"/>
              <w:lang w:eastAsia="zh-CN"/>
            </w:rPr>
            <w:t>七、财政拨款“三公”经费支出决算情况说明</w:t>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fldChar w:fldCharType="begin"/>
          </w:r>
          <w:r>
            <w:rPr>
              <w:rFonts w:hint="eastAsia" w:ascii="方正仿宋_GBK" w:hAnsi="方正仿宋_GBK" w:eastAsia="方正仿宋_GBK" w:cs="方正仿宋_GBK"/>
              <w:sz w:val="32"/>
              <w:szCs w:val="32"/>
            </w:rPr>
            <w:instrText xml:space="preserve"> PAGEREF _Toc14766 \h </w:instrText>
          </w:r>
          <w:r>
            <w:rPr>
              <w:rFonts w:hint="eastAsia" w:ascii="方正仿宋_GBK" w:hAnsi="方正仿宋_GBK" w:eastAsia="方正仿宋_GBK" w:cs="方正仿宋_GBK"/>
              <w:sz w:val="32"/>
              <w:szCs w:val="32"/>
            </w:rPr>
            <w:fldChar w:fldCharType="separate"/>
          </w:r>
          <w:r>
            <w:rPr>
              <w:rFonts w:hint="eastAsia" w:ascii="方正仿宋_GBK" w:hAnsi="方正仿宋_GBK" w:eastAsia="方正仿宋_GBK" w:cs="方正仿宋_GBK"/>
              <w:sz w:val="32"/>
              <w:szCs w:val="32"/>
            </w:rPr>
            <w:t>8</w:t>
          </w:r>
          <w:r>
            <w:rPr>
              <w:rFonts w:hint="eastAsia" w:ascii="方正仿宋_GBK" w:hAnsi="方正仿宋_GBK" w:eastAsia="方正仿宋_GBK" w:cs="方正仿宋_GBK"/>
              <w:sz w:val="32"/>
              <w:szCs w:val="32"/>
            </w:rPr>
            <w:fldChar w:fldCharType="end"/>
          </w:r>
          <w:r>
            <w:rPr>
              <w:rFonts w:hint="eastAsia" w:ascii="方正仿宋_GBK" w:hAnsi="方正仿宋_GBK" w:eastAsia="方正仿宋_GBK" w:cs="方正仿宋_GBK"/>
              <w:sz w:val="32"/>
              <w:szCs w:val="32"/>
            </w:rPr>
            <w:fldChar w:fldCharType="end"/>
          </w:r>
        </w:p>
        <w:p w14:paraId="212775CD">
          <w:pPr>
            <w:pStyle w:val="14"/>
            <w:tabs>
              <w:tab w:val="right" w:leader="dot" w:pos="8306"/>
              <w:tab w:val="clear" w:pos="8296"/>
            </w:tabs>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fldChar w:fldCharType="begin"/>
          </w:r>
          <w:r>
            <w:rPr>
              <w:rFonts w:hint="eastAsia" w:ascii="方正仿宋_GBK" w:hAnsi="方正仿宋_GBK" w:eastAsia="方正仿宋_GBK" w:cs="方正仿宋_GBK"/>
              <w:sz w:val="32"/>
              <w:szCs w:val="32"/>
            </w:rPr>
            <w:instrText xml:space="preserve"> HYPERLINK \l _Toc10951 </w:instrText>
          </w:r>
          <w:r>
            <w:rPr>
              <w:rFonts w:hint="eastAsia" w:ascii="方正仿宋_GBK" w:hAnsi="方正仿宋_GBK" w:eastAsia="方正仿宋_GBK" w:cs="方正仿宋_GBK"/>
              <w:sz w:val="32"/>
              <w:szCs w:val="32"/>
            </w:rPr>
            <w:fldChar w:fldCharType="separate"/>
          </w:r>
          <w:r>
            <w:rPr>
              <w:rFonts w:hint="eastAsia" w:ascii="方正仿宋_GBK" w:hAnsi="方正仿宋_GBK" w:eastAsia="方正仿宋_GBK" w:cs="方正仿宋_GBK"/>
              <w:bCs/>
              <w:sz w:val="32"/>
              <w:szCs w:val="32"/>
              <w:lang w:eastAsia="zh-CN"/>
            </w:rPr>
            <w:t>八、政府性基金预算支出决算情况说明</w:t>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fldChar w:fldCharType="begin"/>
          </w:r>
          <w:r>
            <w:rPr>
              <w:rFonts w:hint="eastAsia" w:ascii="方正仿宋_GBK" w:hAnsi="方正仿宋_GBK" w:eastAsia="方正仿宋_GBK" w:cs="方正仿宋_GBK"/>
              <w:sz w:val="32"/>
              <w:szCs w:val="32"/>
            </w:rPr>
            <w:instrText xml:space="preserve"> PAGEREF _Toc10951 \h </w:instrText>
          </w:r>
          <w:r>
            <w:rPr>
              <w:rFonts w:hint="eastAsia" w:ascii="方正仿宋_GBK" w:hAnsi="方正仿宋_GBK" w:eastAsia="方正仿宋_GBK" w:cs="方正仿宋_GBK"/>
              <w:sz w:val="32"/>
              <w:szCs w:val="32"/>
            </w:rPr>
            <w:fldChar w:fldCharType="separate"/>
          </w:r>
          <w:r>
            <w:rPr>
              <w:rFonts w:hint="eastAsia" w:ascii="方正仿宋_GBK" w:hAnsi="方正仿宋_GBK" w:eastAsia="方正仿宋_GBK" w:cs="方正仿宋_GBK"/>
              <w:sz w:val="32"/>
              <w:szCs w:val="32"/>
            </w:rPr>
            <w:t>9</w:t>
          </w:r>
          <w:r>
            <w:rPr>
              <w:rFonts w:hint="eastAsia" w:ascii="方正仿宋_GBK" w:hAnsi="方正仿宋_GBK" w:eastAsia="方正仿宋_GBK" w:cs="方正仿宋_GBK"/>
              <w:sz w:val="32"/>
              <w:szCs w:val="32"/>
            </w:rPr>
            <w:fldChar w:fldCharType="end"/>
          </w:r>
          <w:r>
            <w:rPr>
              <w:rFonts w:hint="eastAsia" w:ascii="方正仿宋_GBK" w:hAnsi="方正仿宋_GBK" w:eastAsia="方正仿宋_GBK" w:cs="方正仿宋_GBK"/>
              <w:sz w:val="32"/>
              <w:szCs w:val="32"/>
            </w:rPr>
            <w:fldChar w:fldCharType="end"/>
          </w:r>
        </w:p>
        <w:p w14:paraId="0F69DE97">
          <w:pPr>
            <w:pStyle w:val="14"/>
            <w:tabs>
              <w:tab w:val="right" w:leader="dot" w:pos="8306"/>
              <w:tab w:val="clear" w:pos="8296"/>
            </w:tabs>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fldChar w:fldCharType="begin"/>
          </w:r>
          <w:r>
            <w:rPr>
              <w:rFonts w:hint="eastAsia" w:ascii="方正仿宋_GBK" w:hAnsi="方正仿宋_GBK" w:eastAsia="方正仿宋_GBK" w:cs="方正仿宋_GBK"/>
              <w:sz w:val="32"/>
              <w:szCs w:val="32"/>
            </w:rPr>
            <w:instrText xml:space="preserve"> HYPERLINK \l _Toc22269 </w:instrText>
          </w:r>
          <w:r>
            <w:rPr>
              <w:rFonts w:hint="eastAsia" w:ascii="方正仿宋_GBK" w:hAnsi="方正仿宋_GBK" w:eastAsia="方正仿宋_GBK" w:cs="方正仿宋_GBK"/>
              <w:sz w:val="32"/>
              <w:szCs w:val="32"/>
            </w:rPr>
            <w:fldChar w:fldCharType="separate"/>
          </w:r>
          <w:r>
            <w:rPr>
              <w:rFonts w:hint="eastAsia" w:ascii="方正仿宋_GBK" w:hAnsi="方正仿宋_GBK" w:eastAsia="方正仿宋_GBK" w:cs="方正仿宋_GBK"/>
              <w:bCs/>
              <w:sz w:val="32"/>
              <w:szCs w:val="32"/>
              <w:lang w:eastAsia="zh-CN"/>
            </w:rPr>
            <w:t>九、国有资本经营预算支出决算情况说明</w:t>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fldChar w:fldCharType="begin"/>
          </w:r>
          <w:r>
            <w:rPr>
              <w:rFonts w:hint="eastAsia" w:ascii="方正仿宋_GBK" w:hAnsi="方正仿宋_GBK" w:eastAsia="方正仿宋_GBK" w:cs="方正仿宋_GBK"/>
              <w:sz w:val="32"/>
              <w:szCs w:val="32"/>
            </w:rPr>
            <w:instrText xml:space="preserve"> PAGEREF _Toc22269 \h </w:instrText>
          </w:r>
          <w:r>
            <w:rPr>
              <w:rFonts w:hint="eastAsia" w:ascii="方正仿宋_GBK" w:hAnsi="方正仿宋_GBK" w:eastAsia="方正仿宋_GBK" w:cs="方正仿宋_GBK"/>
              <w:sz w:val="32"/>
              <w:szCs w:val="32"/>
            </w:rPr>
            <w:fldChar w:fldCharType="separate"/>
          </w:r>
          <w:r>
            <w:rPr>
              <w:rFonts w:hint="eastAsia" w:ascii="方正仿宋_GBK" w:hAnsi="方正仿宋_GBK" w:eastAsia="方正仿宋_GBK" w:cs="方正仿宋_GBK"/>
              <w:sz w:val="32"/>
              <w:szCs w:val="32"/>
            </w:rPr>
            <w:t>9</w:t>
          </w:r>
          <w:r>
            <w:rPr>
              <w:rFonts w:hint="eastAsia" w:ascii="方正仿宋_GBK" w:hAnsi="方正仿宋_GBK" w:eastAsia="方正仿宋_GBK" w:cs="方正仿宋_GBK"/>
              <w:sz w:val="32"/>
              <w:szCs w:val="32"/>
            </w:rPr>
            <w:fldChar w:fldCharType="end"/>
          </w:r>
          <w:r>
            <w:rPr>
              <w:rFonts w:hint="eastAsia" w:ascii="方正仿宋_GBK" w:hAnsi="方正仿宋_GBK" w:eastAsia="方正仿宋_GBK" w:cs="方正仿宋_GBK"/>
              <w:sz w:val="32"/>
              <w:szCs w:val="32"/>
            </w:rPr>
            <w:fldChar w:fldCharType="end"/>
          </w:r>
        </w:p>
        <w:p w14:paraId="729D53C4">
          <w:pPr>
            <w:pStyle w:val="14"/>
            <w:tabs>
              <w:tab w:val="right" w:leader="dot" w:pos="8306"/>
              <w:tab w:val="clear" w:pos="8296"/>
            </w:tabs>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fldChar w:fldCharType="begin"/>
          </w:r>
          <w:r>
            <w:rPr>
              <w:rFonts w:hint="eastAsia" w:ascii="方正仿宋_GBK" w:hAnsi="方正仿宋_GBK" w:eastAsia="方正仿宋_GBK" w:cs="方正仿宋_GBK"/>
              <w:sz w:val="32"/>
              <w:szCs w:val="32"/>
            </w:rPr>
            <w:instrText xml:space="preserve"> HYPERLINK \l _Toc16136 </w:instrText>
          </w:r>
          <w:r>
            <w:rPr>
              <w:rFonts w:hint="eastAsia" w:ascii="方正仿宋_GBK" w:hAnsi="方正仿宋_GBK" w:eastAsia="方正仿宋_GBK" w:cs="方正仿宋_GBK"/>
              <w:sz w:val="32"/>
              <w:szCs w:val="32"/>
            </w:rPr>
            <w:fldChar w:fldCharType="separate"/>
          </w:r>
          <w:r>
            <w:rPr>
              <w:rFonts w:hint="eastAsia" w:ascii="方正仿宋_GBK" w:hAnsi="方正仿宋_GBK" w:eastAsia="方正仿宋_GBK" w:cs="方正仿宋_GBK"/>
              <w:bCs/>
              <w:sz w:val="32"/>
              <w:szCs w:val="32"/>
              <w:lang w:eastAsia="zh-CN"/>
            </w:rPr>
            <w:t>十、其他重要事项的情况说明</w:t>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fldChar w:fldCharType="begin"/>
          </w:r>
          <w:r>
            <w:rPr>
              <w:rFonts w:hint="eastAsia" w:ascii="方正仿宋_GBK" w:hAnsi="方正仿宋_GBK" w:eastAsia="方正仿宋_GBK" w:cs="方正仿宋_GBK"/>
              <w:sz w:val="32"/>
              <w:szCs w:val="32"/>
            </w:rPr>
            <w:instrText xml:space="preserve"> PAGEREF _Toc16136 \h </w:instrText>
          </w:r>
          <w:r>
            <w:rPr>
              <w:rFonts w:hint="eastAsia" w:ascii="方正仿宋_GBK" w:hAnsi="方正仿宋_GBK" w:eastAsia="方正仿宋_GBK" w:cs="方正仿宋_GBK"/>
              <w:sz w:val="32"/>
              <w:szCs w:val="32"/>
            </w:rPr>
            <w:fldChar w:fldCharType="separate"/>
          </w:r>
          <w:r>
            <w:rPr>
              <w:rFonts w:hint="eastAsia" w:ascii="方正仿宋_GBK" w:hAnsi="方正仿宋_GBK" w:eastAsia="方正仿宋_GBK" w:cs="方正仿宋_GBK"/>
              <w:sz w:val="32"/>
              <w:szCs w:val="32"/>
            </w:rPr>
            <w:t>10</w:t>
          </w:r>
          <w:r>
            <w:rPr>
              <w:rFonts w:hint="eastAsia" w:ascii="方正仿宋_GBK" w:hAnsi="方正仿宋_GBK" w:eastAsia="方正仿宋_GBK" w:cs="方正仿宋_GBK"/>
              <w:sz w:val="32"/>
              <w:szCs w:val="32"/>
            </w:rPr>
            <w:fldChar w:fldCharType="end"/>
          </w:r>
          <w:r>
            <w:rPr>
              <w:rFonts w:hint="eastAsia" w:ascii="方正仿宋_GBK" w:hAnsi="方正仿宋_GBK" w:eastAsia="方正仿宋_GBK" w:cs="方正仿宋_GBK"/>
              <w:sz w:val="32"/>
              <w:szCs w:val="32"/>
            </w:rPr>
            <w:fldChar w:fldCharType="end"/>
          </w:r>
        </w:p>
        <w:p w14:paraId="14575601">
          <w:pPr>
            <w:pStyle w:val="12"/>
            <w:tabs>
              <w:tab w:val="right" w:leader="dot" w:pos="8306"/>
              <w:tab w:val="clear" w:pos="8296"/>
            </w:tabs>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fldChar w:fldCharType="begin"/>
          </w:r>
          <w:r>
            <w:rPr>
              <w:rFonts w:hint="eastAsia" w:ascii="方正仿宋_GBK" w:hAnsi="方正仿宋_GBK" w:eastAsia="方正仿宋_GBK" w:cs="方正仿宋_GBK"/>
              <w:sz w:val="32"/>
              <w:szCs w:val="32"/>
            </w:rPr>
            <w:instrText xml:space="preserve"> HYPERLINK \l _Toc16210 </w:instrText>
          </w:r>
          <w:r>
            <w:rPr>
              <w:rFonts w:hint="eastAsia" w:ascii="方正仿宋_GBK" w:hAnsi="方正仿宋_GBK" w:eastAsia="方正仿宋_GBK" w:cs="方正仿宋_GBK"/>
              <w:sz w:val="32"/>
              <w:szCs w:val="32"/>
            </w:rPr>
            <w:fldChar w:fldCharType="separate"/>
          </w:r>
          <w:r>
            <w:rPr>
              <w:rFonts w:hint="eastAsia" w:ascii="方正仿宋_GBK" w:hAnsi="方正仿宋_GBK" w:eastAsia="方正仿宋_GBK" w:cs="方正仿宋_GBK"/>
              <w:sz w:val="32"/>
              <w:szCs w:val="32"/>
              <w:lang w:val="zh-CN"/>
            </w:rPr>
            <w:t>第三部分 名词解释</w:t>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fldChar w:fldCharType="begin"/>
          </w:r>
          <w:r>
            <w:rPr>
              <w:rFonts w:hint="eastAsia" w:ascii="方正仿宋_GBK" w:hAnsi="方正仿宋_GBK" w:eastAsia="方正仿宋_GBK" w:cs="方正仿宋_GBK"/>
              <w:sz w:val="32"/>
              <w:szCs w:val="32"/>
            </w:rPr>
            <w:instrText xml:space="preserve"> PAGEREF _Toc16210 \h </w:instrText>
          </w:r>
          <w:r>
            <w:rPr>
              <w:rFonts w:hint="eastAsia" w:ascii="方正仿宋_GBK" w:hAnsi="方正仿宋_GBK" w:eastAsia="方正仿宋_GBK" w:cs="方正仿宋_GBK"/>
              <w:sz w:val="32"/>
              <w:szCs w:val="32"/>
            </w:rPr>
            <w:fldChar w:fldCharType="separate"/>
          </w:r>
          <w:r>
            <w:rPr>
              <w:rFonts w:hint="eastAsia" w:ascii="方正仿宋_GBK" w:hAnsi="方正仿宋_GBK" w:eastAsia="方正仿宋_GBK" w:cs="方正仿宋_GBK"/>
              <w:sz w:val="32"/>
              <w:szCs w:val="32"/>
            </w:rPr>
            <w:t>12</w:t>
          </w:r>
          <w:r>
            <w:rPr>
              <w:rFonts w:hint="eastAsia" w:ascii="方正仿宋_GBK" w:hAnsi="方正仿宋_GBK" w:eastAsia="方正仿宋_GBK" w:cs="方正仿宋_GBK"/>
              <w:sz w:val="32"/>
              <w:szCs w:val="32"/>
            </w:rPr>
            <w:fldChar w:fldCharType="end"/>
          </w:r>
          <w:r>
            <w:rPr>
              <w:rFonts w:hint="eastAsia" w:ascii="方正仿宋_GBK" w:hAnsi="方正仿宋_GBK" w:eastAsia="方正仿宋_GBK" w:cs="方正仿宋_GBK"/>
              <w:sz w:val="32"/>
              <w:szCs w:val="32"/>
            </w:rPr>
            <w:fldChar w:fldCharType="end"/>
          </w:r>
        </w:p>
        <w:p w14:paraId="22801534">
          <w:pPr>
            <w:pStyle w:val="12"/>
            <w:tabs>
              <w:tab w:val="right" w:leader="dot" w:pos="8306"/>
              <w:tab w:val="clear" w:pos="8296"/>
            </w:tabs>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fldChar w:fldCharType="begin"/>
          </w:r>
          <w:r>
            <w:rPr>
              <w:rFonts w:hint="eastAsia" w:ascii="方正仿宋_GBK" w:hAnsi="方正仿宋_GBK" w:eastAsia="方正仿宋_GBK" w:cs="方正仿宋_GBK"/>
              <w:sz w:val="32"/>
              <w:szCs w:val="32"/>
            </w:rPr>
            <w:instrText xml:space="preserve"> HYPERLINK \l _Toc23014 </w:instrText>
          </w:r>
          <w:r>
            <w:rPr>
              <w:rFonts w:hint="eastAsia" w:ascii="方正仿宋_GBK" w:hAnsi="方正仿宋_GBK" w:eastAsia="方正仿宋_GBK" w:cs="方正仿宋_GBK"/>
              <w:sz w:val="32"/>
              <w:szCs w:val="32"/>
            </w:rPr>
            <w:fldChar w:fldCharType="separate"/>
          </w:r>
          <w:r>
            <w:rPr>
              <w:rFonts w:hint="eastAsia" w:ascii="方正仿宋_GBK" w:hAnsi="方正仿宋_GBK" w:eastAsia="方正仿宋_GBK" w:cs="方正仿宋_GBK"/>
              <w:sz w:val="32"/>
              <w:szCs w:val="32"/>
            </w:rPr>
            <w:t>第四部分 附件</w:t>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fldChar w:fldCharType="begin"/>
          </w:r>
          <w:r>
            <w:rPr>
              <w:rFonts w:hint="eastAsia" w:ascii="方正仿宋_GBK" w:hAnsi="方正仿宋_GBK" w:eastAsia="方正仿宋_GBK" w:cs="方正仿宋_GBK"/>
              <w:sz w:val="32"/>
              <w:szCs w:val="32"/>
            </w:rPr>
            <w:instrText xml:space="preserve"> PAGEREF _Toc23014 \h </w:instrText>
          </w:r>
          <w:r>
            <w:rPr>
              <w:rFonts w:hint="eastAsia" w:ascii="方正仿宋_GBK" w:hAnsi="方正仿宋_GBK" w:eastAsia="方正仿宋_GBK" w:cs="方正仿宋_GBK"/>
              <w:sz w:val="32"/>
              <w:szCs w:val="32"/>
            </w:rPr>
            <w:fldChar w:fldCharType="separate"/>
          </w:r>
          <w:r>
            <w:rPr>
              <w:rFonts w:hint="eastAsia" w:ascii="方正仿宋_GBK" w:hAnsi="方正仿宋_GBK" w:eastAsia="方正仿宋_GBK" w:cs="方正仿宋_GBK"/>
              <w:sz w:val="32"/>
              <w:szCs w:val="32"/>
            </w:rPr>
            <w:t>15</w:t>
          </w:r>
          <w:r>
            <w:rPr>
              <w:rFonts w:hint="eastAsia" w:ascii="方正仿宋_GBK" w:hAnsi="方正仿宋_GBK" w:eastAsia="方正仿宋_GBK" w:cs="方正仿宋_GBK"/>
              <w:sz w:val="32"/>
              <w:szCs w:val="32"/>
            </w:rPr>
            <w:fldChar w:fldCharType="end"/>
          </w:r>
          <w:r>
            <w:rPr>
              <w:rFonts w:hint="eastAsia" w:ascii="方正仿宋_GBK" w:hAnsi="方正仿宋_GBK" w:eastAsia="方正仿宋_GBK" w:cs="方正仿宋_GBK"/>
              <w:sz w:val="32"/>
              <w:szCs w:val="32"/>
            </w:rPr>
            <w:fldChar w:fldCharType="end"/>
          </w:r>
        </w:p>
        <w:p w14:paraId="0F767531">
          <w:pPr>
            <w:pStyle w:val="12"/>
            <w:tabs>
              <w:tab w:val="right" w:leader="dot" w:pos="8306"/>
              <w:tab w:val="clear" w:pos="8296"/>
            </w:tabs>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fldChar w:fldCharType="begin"/>
          </w:r>
          <w:r>
            <w:rPr>
              <w:rFonts w:hint="eastAsia" w:ascii="方正仿宋_GBK" w:hAnsi="方正仿宋_GBK" w:eastAsia="方正仿宋_GBK" w:cs="方正仿宋_GBK"/>
              <w:sz w:val="32"/>
              <w:szCs w:val="32"/>
            </w:rPr>
            <w:instrText xml:space="preserve"> HYPERLINK \l _Toc17833 </w:instrText>
          </w:r>
          <w:r>
            <w:rPr>
              <w:rFonts w:hint="eastAsia" w:ascii="方正仿宋_GBK" w:hAnsi="方正仿宋_GBK" w:eastAsia="方正仿宋_GBK" w:cs="方正仿宋_GBK"/>
              <w:sz w:val="32"/>
              <w:szCs w:val="32"/>
            </w:rPr>
            <w:fldChar w:fldCharType="separate"/>
          </w:r>
          <w:r>
            <w:rPr>
              <w:rFonts w:hint="eastAsia" w:ascii="方正仿宋_GBK" w:hAnsi="方正仿宋_GBK" w:eastAsia="方正仿宋_GBK" w:cs="方正仿宋_GBK"/>
              <w:sz w:val="32"/>
              <w:szCs w:val="32"/>
            </w:rPr>
            <w:t>第五部分 附表</w:t>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fldChar w:fldCharType="begin"/>
          </w:r>
          <w:r>
            <w:rPr>
              <w:rFonts w:hint="eastAsia" w:ascii="方正仿宋_GBK" w:hAnsi="方正仿宋_GBK" w:eastAsia="方正仿宋_GBK" w:cs="方正仿宋_GBK"/>
              <w:sz w:val="32"/>
              <w:szCs w:val="32"/>
            </w:rPr>
            <w:instrText xml:space="preserve"> PAGEREF _Toc17833 \h </w:instrText>
          </w:r>
          <w:r>
            <w:rPr>
              <w:rFonts w:hint="eastAsia" w:ascii="方正仿宋_GBK" w:hAnsi="方正仿宋_GBK" w:eastAsia="方正仿宋_GBK" w:cs="方正仿宋_GBK"/>
              <w:sz w:val="32"/>
              <w:szCs w:val="32"/>
            </w:rPr>
            <w:fldChar w:fldCharType="separate"/>
          </w:r>
          <w:r>
            <w:rPr>
              <w:rFonts w:hint="eastAsia" w:ascii="方正仿宋_GBK" w:hAnsi="方正仿宋_GBK" w:eastAsia="方正仿宋_GBK" w:cs="方正仿宋_GBK"/>
              <w:sz w:val="32"/>
              <w:szCs w:val="32"/>
            </w:rPr>
            <w:t>16</w:t>
          </w:r>
          <w:r>
            <w:rPr>
              <w:rFonts w:hint="eastAsia" w:ascii="方正仿宋_GBK" w:hAnsi="方正仿宋_GBK" w:eastAsia="方正仿宋_GBK" w:cs="方正仿宋_GBK"/>
              <w:sz w:val="32"/>
              <w:szCs w:val="32"/>
            </w:rPr>
            <w:fldChar w:fldCharType="end"/>
          </w:r>
          <w:r>
            <w:rPr>
              <w:rFonts w:hint="eastAsia" w:ascii="方正仿宋_GBK" w:hAnsi="方正仿宋_GBK" w:eastAsia="方正仿宋_GBK" w:cs="方正仿宋_GBK"/>
              <w:sz w:val="32"/>
              <w:szCs w:val="32"/>
            </w:rPr>
            <w:fldChar w:fldCharType="end"/>
          </w:r>
        </w:p>
        <w:p w14:paraId="3E175D4D">
          <w:pPr>
            <w:pStyle w:val="14"/>
            <w:tabs>
              <w:tab w:val="right" w:leader="dot" w:pos="8306"/>
              <w:tab w:val="clear" w:pos="8296"/>
            </w:tabs>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fldChar w:fldCharType="begin"/>
          </w:r>
          <w:r>
            <w:rPr>
              <w:rFonts w:hint="eastAsia" w:ascii="方正仿宋_GBK" w:hAnsi="方正仿宋_GBK" w:eastAsia="方正仿宋_GBK" w:cs="方正仿宋_GBK"/>
              <w:sz w:val="32"/>
              <w:szCs w:val="32"/>
            </w:rPr>
            <w:instrText xml:space="preserve"> HYPERLINK \l _Toc20740 </w:instrText>
          </w:r>
          <w:r>
            <w:rPr>
              <w:rFonts w:hint="eastAsia" w:ascii="方正仿宋_GBK" w:hAnsi="方正仿宋_GBK" w:eastAsia="方正仿宋_GBK" w:cs="方正仿宋_GBK"/>
              <w:sz w:val="32"/>
              <w:szCs w:val="32"/>
            </w:rPr>
            <w:fldChar w:fldCharType="separate"/>
          </w:r>
          <w:r>
            <w:rPr>
              <w:rFonts w:hint="eastAsia" w:ascii="方正仿宋_GBK" w:hAnsi="方正仿宋_GBK" w:eastAsia="方正仿宋_GBK" w:cs="方正仿宋_GBK"/>
              <w:bCs/>
              <w:kern w:val="2"/>
              <w:sz w:val="32"/>
              <w:szCs w:val="32"/>
              <w:lang w:val="en-US" w:eastAsia="zh-CN" w:bidi="ar-SA"/>
            </w:rPr>
            <w:t>一、收入支出决算总表</w:t>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fldChar w:fldCharType="begin"/>
          </w:r>
          <w:r>
            <w:rPr>
              <w:rFonts w:hint="eastAsia" w:ascii="方正仿宋_GBK" w:hAnsi="方正仿宋_GBK" w:eastAsia="方正仿宋_GBK" w:cs="方正仿宋_GBK"/>
              <w:sz w:val="32"/>
              <w:szCs w:val="32"/>
            </w:rPr>
            <w:instrText xml:space="preserve"> PAGEREF _Toc20740 \h </w:instrText>
          </w:r>
          <w:r>
            <w:rPr>
              <w:rFonts w:hint="eastAsia" w:ascii="方正仿宋_GBK" w:hAnsi="方正仿宋_GBK" w:eastAsia="方正仿宋_GBK" w:cs="方正仿宋_GBK"/>
              <w:sz w:val="32"/>
              <w:szCs w:val="32"/>
            </w:rPr>
            <w:fldChar w:fldCharType="separate"/>
          </w:r>
          <w:r>
            <w:rPr>
              <w:rFonts w:hint="eastAsia" w:ascii="方正仿宋_GBK" w:hAnsi="方正仿宋_GBK" w:eastAsia="方正仿宋_GBK" w:cs="方正仿宋_GBK"/>
              <w:sz w:val="32"/>
              <w:szCs w:val="32"/>
            </w:rPr>
            <w:t>16</w:t>
          </w:r>
          <w:r>
            <w:rPr>
              <w:rFonts w:hint="eastAsia" w:ascii="方正仿宋_GBK" w:hAnsi="方正仿宋_GBK" w:eastAsia="方正仿宋_GBK" w:cs="方正仿宋_GBK"/>
              <w:sz w:val="32"/>
              <w:szCs w:val="32"/>
            </w:rPr>
            <w:fldChar w:fldCharType="end"/>
          </w:r>
          <w:r>
            <w:rPr>
              <w:rFonts w:hint="eastAsia" w:ascii="方正仿宋_GBK" w:hAnsi="方正仿宋_GBK" w:eastAsia="方正仿宋_GBK" w:cs="方正仿宋_GBK"/>
              <w:sz w:val="32"/>
              <w:szCs w:val="32"/>
            </w:rPr>
            <w:fldChar w:fldCharType="end"/>
          </w:r>
        </w:p>
        <w:p w14:paraId="66633D89">
          <w:pPr>
            <w:pStyle w:val="14"/>
            <w:tabs>
              <w:tab w:val="right" w:leader="dot" w:pos="8306"/>
              <w:tab w:val="clear" w:pos="8296"/>
            </w:tabs>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fldChar w:fldCharType="begin"/>
          </w:r>
          <w:r>
            <w:rPr>
              <w:rFonts w:hint="eastAsia" w:ascii="方正仿宋_GBK" w:hAnsi="方正仿宋_GBK" w:eastAsia="方正仿宋_GBK" w:cs="方正仿宋_GBK"/>
              <w:sz w:val="32"/>
              <w:szCs w:val="32"/>
            </w:rPr>
            <w:instrText xml:space="preserve"> HYPERLINK \l _Toc19794 </w:instrText>
          </w:r>
          <w:r>
            <w:rPr>
              <w:rFonts w:hint="eastAsia" w:ascii="方正仿宋_GBK" w:hAnsi="方正仿宋_GBK" w:eastAsia="方正仿宋_GBK" w:cs="方正仿宋_GBK"/>
              <w:sz w:val="32"/>
              <w:szCs w:val="32"/>
            </w:rPr>
            <w:fldChar w:fldCharType="separate"/>
          </w:r>
          <w:r>
            <w:rPr>
              <w:rFonts w:hint="eastAsia" w:ascii="方正仿宋_GBK" w:hAnsi="方正仿宋_GBK" w:eastAsia="方正仿宋_GBK" w:cs="方正仿宋_GBK"/>
              <w:bCs/>
              <w:kern w:val="2"/>
              <w:sz w:val="32"/>
              <w:szCs w:val="32"/>
              <w:lang w:val="en-US" w:eastAsia="zh-CN" w:bidi="ar-SA"/>
            </w:rPr>
            <w:t>二、收入决算表</w:t>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fldChar w:fldCharType="begin"/>
          </w:r>
          <w:r>
            <w:rPr>
              <w:rFonts w:hint="eastAsia" w:ascii="方正仿宋_GBK" w:hAnsi="方正仿宋_GBK" w:eastAsia="方正仿宋_GBK" w:cs="方正仿宋_GBK"/>
              <w:sz w:val="32"/>
              <w:szCs w:val="32"/>
            </w:rPr>
            <w:instrText xml:space="preserve"> PAGEREF _Toc19794 \h </w:instrText>
          </w:r>
          <w:r>
            <w:rPr>
              <w:rFonts w:hint="eastAsia" w:ascii="方正仿宋_GBK" w:hAnsi="方正仿宋_GBK" w:eastAsia="方正仿宋_GBK" w:cs="方正仿宋_GBK"/>
              <w:sz w:val="32"/>
              <w:szCs w:val="32"/>
            </w:rPr>
            <w:fldChar w:fldCharType="separate"/>
          </w:r>
          <w:r>
            <w:rPr>
              <w:rFonts w:hint="eastAsia" w:ascii="方正仿宋_GBK" w:hAnsi="方正仿宋_GBK" w:eastAsia="方正仿宋_GBK" w:cs="方正仿宋_GBK"/>
              <w:sz w:val="32"/>
              <w:szCs w:val="32"/>
            </w:rPr>
            <w:t>16</w:t>
          </w:r>
          <w:r>
            <w:rPr>
              <w:rFonts w:hint="eastAsia" w:ascii="方正仿宋_GBK" w:hAnsi="方正仿宋_GBK" w:eastAsia="方正仿宋_GBK" w:cs="方正仿宋_GBK"/>
              <w:sz w:val="32"/>
              <w:szCs w:val="32"/>
            </w:rPr>
            <w:fldChar w:fldCharType="end"/>
          </w:r>
          <w:r>
            <w:rPr>
              <w:rFonts w:hint="eastAsia" w:ascii="方正仿宋_GBK" w:hAnsi="方正仿宋_GBK" w:eastAsia="方正仿宋_GBK" w:cs="方正仿宋_GBK"/>
              <w:sz w:val="32"/>
              <w:szCs w:val="32"/>
            </w:rPr>
            <w:fldChar w:fldCharType="end"/>
          </w:r>
        </w:p>
        <w:p w14:paraId="1A301294">
          <w:pPr>
            <w:pStyle w:val="14"/>
            <w:tabs>
              <w:tab w:val="right" w:leader="dot" w:pos="8306"/>
              <w:tab w:val="clear" w:pos="8296"/>
            </w:tabs>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fldChar w:fldCharType="begin"/>
          </w:r>
          <w:r>
            <w:rPr>
              <w:rFonts w:hint="eastAsia" w:ascii="方正仿宋_GBK" w:hAnsi="方正仿宋_GBK" w:eastAsia="方正仿宋_GBK" w:cs="方正仿宋_GBK"/>
              <w:sz w:val="32"/>
              <w:szCs w:val="32"/>
            </w:rPr>
            <w:instrText xml:space="preserve"> HYPERLINK \l _Toc2619 </w:instrText>
          </w:r>
          <w:r>
            <w:rPr>
              <w:rFonts w:hint="eastAsia" w:ascii="方正仿宋_GBK" w:hAnsi="方正仿宋_GBK" w:eastAsia="方正仿宋_GBK" w:cs="方正仿宋_GBK"/>
              <w:sz w:val="32"/>
              <w:szCs w:val="32"/>
            </w:rPr>
            <w:fldChar w:fldCharType="separate"/>
          </w:r>
          <w:r>
            <w:rPr>
              <w:rFonts w:hint="eastAsia" w:ascii="方正仿宋_GBK" w:hAnsi="方正仿宋_GBK" w:eastAsia="方正仿宋_GBK" w:cs="方正仿宋_GBK"/>
              <w:bCs/>
              <w:kern w:val="2"/>
              <w:sz w:val="32"/>
              <w:szCs w:val="32"/>
              <w:lang w:val="en-US" w:eastAsia="zh-CN" w:bidi="ar-SA"/>
            </w:rPr>
            <w:t>三、支出决算表</w:t>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fldChar w:fldCharType="begin"/>
          </w:r>
          <w:r>
            <w:rPr>
              <w:rFonts w:hint="eastAsia" w:ascii="方正仿宋_GBK" w:hAnsi="方正仿宋_GBK" w:eastAsia="方正仿宋_GBK" w:cs="方正仿宋_GBK"/>
              <w:sz w:val="32"/>
              <w:szCs w:val="32"/>
            </w:rPr>
            <w:instrText xml:space="preserve"> PAGEREF _Toc2619 \h </w:instrText>
          </w:r>
          <w:r>
            <w:rPr>
              <w:rFonts w:hint="eastAsia" w:ascii="方正仿宋_GBK" w:hAnsi="方正仿宋_GBK" w:eastAsia="方正仿宋_GBK" w:cs="方正仿宋_GBK"/>
              <w:sz w:val="32"/>
              <w:szCs w:val="32"/>
            </w:rPr>
            <w:fldChar w:fldCharType="separate"/>
          </w:r>
          <w:r>
            <w:rPr>
              <w:rFonts w:hint="eastAsia" w:ascii="方正仿宋_GBK" w:hAnsi="方正仿宋_GBK" w:eastAsia="方正仿宋_GBK" w:cs="方正仿宋_GBK"/>
              <w:sz w:val="32"/>
              <w:szCs w:val="32"/>
            </w:rPr>
            <w:t>16</w:t>
          </w:r>
          <w:r>
            <w:rPr>
              <w:rFonts w:hint="eastAsia" w:ascii="方正仿宋_GBK" w:hAnsi="方正仿宋_GBK" w:eastAsia="方正仿宋_GBK" w:cs="方正仿宋_GBK"/>
              <w:sz w:val="32"/>
              <w:szCs w:val="32"/>
            </w:rPr>
            <w:fldChar w:fldCharType="end"/>
          </w:r>
          <w:r>
            <w:rPr>
              <w:rFonts w:hint="eastAsia" w:ascii="方正仿宋_GBK" w:hAnsi="方正仿宋_GBK" w:eastAsia="方正仿宋_GBK" w:cs="方正仿宋_GBK"/>
              <w:sz w:val="32"/>
              <w:szCs w:val="32"/>
            </w:rPr>
            <w:fldChar w:fldCharType="end"/>
          </w:r>
        </w:p>
        <w:p w14:paraId="0D18836B">
          <w:pPr>
            <w:pStyle w:val="14"/>
            <w:tabs>
              <w:tab w:val="right" w:leader="dot" w:pos="8306"/>
              <w:tab w:val="clear" w:pos="8296"/>
            </w:tabs>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fldChar w:fldCharType="begin"/>
          </w:r>
          <w:r>
            <w:rPr>
              <w:rFonts w:hint="eastAsia" w:ascii="方正仿宋_GBK" w:hAnsi="方正仿宋_GBK" w:eastAsia="方正仿宋_GBK" w:cs="方正仿宋_GBK"/>
              <w:sz w:val="32"/>
              <w:szCs w:val="32"/>
            </w:rPr>
            <w:instrText xml:space="preserve"> HYPERLINK \l _Toc22322 </w:instrText>
          </w:r>
          <w:r>
            <w:rPr>
              <w:rFonts w:hint="eastAsia" w:ascii="方正仿宋_GBK" w:hAnsi="方正仿宋_GBK" w:eastAsia="方正仿宋_GBK" w:cs="方正仿宋_GBK"/>
              <w:sz w:val="32"/>
              <w:szCs w:val="32"/>
            </w:rPr>
            <w:fldChar w:fldCharType="separate"/>
          </w:r>
          <w:r>
            <w:rPr>
              <w:rFonts w:hint="eastAsia" w:ascii="方正仿宋_GBK" w:hAnsi="方正仿宋_GBK" w:eastAsia="方正仿宋_GBK" w:cs="方正仿宋_GBK"/>
              <w:bCs/>
              <w:kern w:val="2"/>
              <w:sz w:val="32"/>
              <w:szCs w:val="32"/>
              <w:lang w:val="en-US" w:eastAsia="zh-CN" w:bidi="ar-SA"/>
            </w:rPr>
            <w:t>四、财政拨款收入支出决算总表</w:t>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fldChar w:fldCharType="begin"/>
          </w:r>
          <w:r>
            <w:rPr>
              <w:rFonts w:hint="eastAsia" w:ascii="方正仿宋_GBK" w:hAnsi="方正仿宋_GBK" w:eastAsia="方正仿宋_GBK" w:cs="方正仿宋_GBK"/>
              <w:sz w:val="32"/>
              <w:szCs w:val="32"/>
            </w:rPr>
            <w:instrText xml:space="preserve"> PAGEREF _Toc22322 \h </w:instrText>
          </w:r>
          <w:r>
            <w:rPr>
              <w:rFonts w:hint="eastAsia" w:ascii="方正仿宋_GBK" w:hAnsi="方正仿宋_GBK" w:eastAsia="方正仿宋_GBK" w:cs="方正仿宋_GBK"/>
              <w:sz w:val="32"/>
              <w:szCs w:val="32"/>
            </w:rPr>
            <w:fldChar w:fldCharType="separate"/>
          </w:r>
          <w:r>
            <w:rPr>
              <w:rFonts w:hint="eastAsia" w:ascii="方正仿宋_GBK" w:hAnsi="方正仿宋_GBK" w:eastAsia="方正仿宋_GBK" w:cs="方正仿宋_GBK"/>
              <w:sz w:val="32"/>
              <w:szCs w:val="32"/>
            </w:rPr>
            <w:t>16</w:t>
          </w:r>
          <w:r>
            <w:rPr>
              <w:rFonts w:hint="eastAsia" w:ascii="方正仿宋_GBK" w:hAnsi="方正仿宋_GBK" w:eastAsia="方正仿宋_GBK" w:cs="方正仿宋_GBK"/>
              <w:sz w:val="32"/>
              <w:szCs w:val="32"/>
            </w:rPr>
            <w:fldChar w:fldCharType="end"/>
          </w:r>
          <w:r>
            <w:rPr>
              <w:rFonts w:hint="eastAsia" w:ascii="方正仿宋_GBK" w:hAnsi="方正仿宋_GBK" w:eastAsia="方正仿宋_GBK" w:cs="方正仿宋_GBK"/>
              <w:sz w:val="32"/>
              <w:szCs w:val="32"/>
            </w:rPr>
            <w:fldChar w:fldCharType="end"/>
          </w:r>
        </w:p>
        <w:p w14:paraId="5BE17C65">
          <w:pPr>
            <w:pStyle w:val="14"/>
            <w:tabs>
              <w:tab w:val="right" w:leader="dot" w:pos="8306"/>
              <w:tab w:val="clear" w:pos="8296"/>
            </w:tabs>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fldChar w:fldCharType="begin"/>
          </w:r>
          <w:r>
            <w:rPr>
              <w:rFonts w:hint="eastAsia" w:ascii="方正仿宋_GBK" w:hAnsi="方正仿宋_GBK" w:eastAsia="方正仿宋_GBK" w:cs="方正仿宋_GBK"/>
              <w:sz w:val="32"/>
              <w:szCs w:val="32"/>
            </w:rPr>
            <w:instrText xml:space="preserve"> HYPERLINK \l _Toc22951 </w:instrText>
          </w:r>
          <w:r>
            <w:rPr>
              <w:rFonts w:hint="eastAsia" w:ascii="方正仿宋_GBK" w:hAnsi="方正仿宋_GBK" w:eastAsia="方正仿宋_GBK" w:cs="方正仿宋_GBK"/>
              <w:sz w:val="32"/>
              <w:szCs w:val="32"/>
            </w:rPr>
            <w:fldChar w:fldCharType="separate"/>
          </w:r>
          <w:r>
            <w:rPr>
              <w:rFonts w:hint="eastAsia" w:ascii="方正仿宋_GBK" w:hAnsi="方正仿宋_GBK" w:eastAsia="方正仿宋_GBK" w:cs="方正仿宋_GBK"/>
              <w:bCs/>
              <w:kern w:val="2"/>
              <w:sz w:val="32"/>
              <w:szCs w:val="32"/>
              <w:lang w:val="en-US" w:eastAsia="zh-CN" w:bidi="ar-SA"/>
            </w:rPr>
            <w:t>五、财政拨款支出决算明细表</w:t>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fldChar w:fldCharType="begin"/>
          </w:r>
          <w:r>
            <w:rPr>
              <w:rFonts w:hint="eastAsia" w:ascii="方正仿宋_GBK" w:hAnsi="方正仿宋_GBK" w:eastAsia="方正仿宋_GBK" w:cs="方正仿宋_GBK"/>
              <w:sz w:val="32"/>
              <w:szCs w:val="32"/>
            </w:rPr>
            <w:instrText xml:space="preserve"> PAGEREF _Toc22951 \h </w:instrText>
          </w:r>
          <w:r>
            <w:rPr>
              <w:rFonts w:hint="eastAsia" w:ascii="方正仿宋_GBK" w:hAnsi="方正仿宋_GBK" w:eastAsia="方正仿宋_GBK" w:cs="方正仿宋_GBK"/>
              <w:sz w:val="32"/>
              <w:szCs w:val="32"/>
            </w:rPr>
            <w:fldChar w:fldCharType="separate"/>
          </w:r>
          <w:r>
            <w:rPr>
              <w:rFonts w:hint="eastAsia" w:ascii="方正仿宋_GBK" w:hAnsi="方正仿宋_GBK" w:eastAsia="方正仿宋_GBK" w:cs="方正仿宋_GBK"/>
              <w:sz w:val="32"/>
              <w:szCs w:val="32"/>
            </w:rPr>
            <w:t>16</w:t>
          </w:r>
          <w:r>
            <w:rPr>
              <w:rFonts w:hint="eastAsia" w:ascii="方正仿宋_GBK" w:hAnsi="方正仿宋_GBK" w:eastAsia="方正仿宋_GBK" w:cs="方正仿宋_GBK"/>
              <w:sz w:val="32"/>
              <w:szCs w:val="32"/>
            </w:rPr>
            <w:fldChar w:fldCharType="end"/>
          </w:r>
          <w:r>
            <w:rPr>
              <w:rFonts w:hint="eastAsia" w:ascii="方正仿宋_GBK" w:hAnsi="方正仿宋_GBK" w:eastAsia="方正仿宋_GBK" w:cs="方正仿宋_GBK"/>
              <w:sz w:val="32"/>
              <w:szCs w:val="32"/>
            </w:rPr>
            <w:fldChar w:fldCharType="end"/>
          </w:r>
        </w:p>
        <w:p w14:paraId="03DF0F26">
          <w:pPr>
            <w:pStyle w:val="14"/>
            <w:tabs>
              <w:tab w:val="right" w:leader="dot" w:pos="8306"/>
              <w:tab w:val="clear" w:pos="8296"/>
            </w:tabs>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fldChar w:fldCharType="begin"/>
          </w:r>
          <w:r>
            <w:rPr>
              <w:rFonts w:hint="eastAsia" w:ascii="方正仿宋_GBK" w:hAnsi="方正仿宋_GBK" w:eastAsia="方正仿宋_GBK" w:cs="方正仿宋_GBK"/>
              <w:sz w:val="32"/>
              <w:szCs w:val="32"/>
            </w:rPr>
            <w:instrText xml:space="preserve"> HYPERLINK \l _Toc30958 </w:instrText>
          </w:r>
          <w:r>
            <w:rPr>
              <w:rFonts w:hint="eastAsia" w:ascii="方正仿宋_GBK" w:hAnsi="方正仿宋_GBK" w:eastAsia="方正仿宋_GBK" w:cs="方正仿宋_GBK"/>
              <w:sz w:val="32"/>
              <w:szCs w:val="32"/>
            </w:rPr>
            <w:fldChar w:fldCharType="separate"/>
          </w:r>
          <w:r>
            <w:rPr>
              <w:rFonts w:hint="eastAsia" w:ascii="方正仿宋_GBK" w:hAnsi="方正仿宋_GBK" w:eastAsia="方正仿宋_GBK" w:cs="方正仿宋_GBK"/>
              <w:bCs/>
              <w:kern w:val="2"/>
              <w:sz w:val="32"/>
              <w:szCs w:val="32"/>
              <w:lang w:val="en-US" w:eastAsia="zh-CN" w:bidi="ar-SA"/>
            </w:rPr>
            <w:t>六、一般公共预算财政拨款支出决算表</w:t>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fldChar w:fldCharType="begin"/>
          </w:r>
          <w:r>
            <w:rPr>
              <w:rFonts w:hint="eastAsia" w:ascii="方正仿宋_GBK" w:hAnsi="方正仿宋_GBK" w:eastAsia="方正仿宋_GBK" w:cs="方正仿宋_GBK"/>
              <w:sz w:val="32"/>
              <w:szCs w:val="32"/>
            </w:rPr>
            <w:instrText xml:space="preserve"> PAGEREF _Toc30958 \h </w:instrText>
          </w:r>
          <w:r>
            <w:rPr>
              <w:rFonts w:hint="eastAsia" w:ascii="方正仿宋_GBK" w:hAnsi="方正仿宋_GBK" w:eastAsia="方正仿宋_GBK" w:cs="方正仿宋_GBK"/>
              <w:sz w:val="32"/>
              <w:szCs w:val="32"/>
            </w:rPr>
            <w:fldChar w:fldCharType="separate"/>
          </w:r>
          <w:r>
            <w:rPr>
              <w:rFonts w:hint="eastAsia" w:ascii="方正仿宋_GBK" w:hAnsi="方正仿宋_GBK" w:eastAsia="方正仿宋_GBK" w:cs="方正仿宋_GBK"/>
              <w:sz w:val="32"/>
              <w:szCs w:val="32"/>
            </w:rPr>
            <w:t>16</w:t>
          </w:r>
          <w:r>
            <w:rPr>
              <w:rFonts w:hint="eastAsia" w:ascii="方正仿宋_GBK" w:hAnsi="方正仿宋_GBK" w:eastAsia="方正仿宋_GBK" w:cs="方正仿宋_GBK"/>
              <w:sz w:val="32"/>
              <w:szCs w:val="32"/>
            </w:rPr>
            <w:fldChar w:fldCharType="end"/>
          </w:r>
          <w:r>
            <w:rPr>
              <w:rFonts w:hint="eastAsia" w:ascii="方正仿宋_GBK" w:hAnsi="方正仿宋_GBK" w:eastAsia="方正仿宋_GBK" w:cs="方正仿宋_GBK"/>
              <w:sz w:val="32"/>
              <w:szCs w:val="32"/>
            </w:rPr>
            <w:fldChar w:fldCharType="end"/>
          </w:r>
        </w:p>
        <w:p w14:paraId="581DB840">
          <w:pPr>
            <w:pStyle w:val="14"/>
            <w:tabs>
              <w:tab w:val="right" w:leader="dot" w:pos="8306"/>
              <w:tab w:val="clear" w:pos="8296"/>
            </w:tabs>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fldChar w:fldCharType="begin"/>
          </w:r>
          <w:r>
            <w:rPr>
              <w:rFonts w:hint="eastAsia" w:ascii="方正仿宋_GBK" w:hAnsi="方正仿宋_GBK" w:eastAsia="方正仿宋_GBK" w:cs="方正仿宋_GBK"/>
              <w:sz w:val="32"/>
              <w:szCs w:val="32"/>
            </w:rPr>
            <w:instrText xml:space="preserve"> HYPERLINK \l _Toc16152 </w:instrText>
          </w:r>
          <w:r>
            <w:rPr>
              <w:rFonts w:hint="eastAsia" w:ascii="方正仿宋_GBK" w:hAnsi="方正仿宋_GBK" w:eastAsia="方正仿宋_GBK" w:cs="方正仿宋_GBK"/>
              <w:sz w:val="32"/>
              <w:szCs w:val="32"/>
            </w:rPr>
            <w:fldChar w:fldCharType="separate"/>
          </w:r>
          <w:r>
            <w:rPr>
              <w:rFonts w:hint="eastAsia" w:ascii="方正仿宋_GBK" w:hAnsi="方正仿宋_GBK" w:eastAsia="方正仿宋_GBK" w:cs="方正仿宋_GBK"/>
              <w:bCs/>
              <w:kern w:val="2"/>
              <w:sz w:val="32"/>
              <w:szCs w:val="32"/>
              <w:lang w:val="en-US" w:eastAsia="zh-CN" w:bidi="ar-SA"/>
            </w:rPr>
            <w:t>七、一般公共预算财政拨款支出决算明细表</w:t>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fldChar w:fldCharType="begin"/>
          </w:r>
          <w:r>
            <w:rPr>
              <w:rFonts w:hint="eastAsia" w:ascii="方正仿宋_GBK" w:hAnsi="方正仿宋_GBK" w:eastAsia="方正仿宋_GBK" w:cs="方正仿宋_GBK"/>
              <w:sz w:val="32"/>
              <w:szCs w:val="32"/>
            </w:rPr>
            <w:instrText xml:space="preserve"> PAGEREF _Toc16152 \h </w:instrText>
          </w:r>
          <w:r>
            <w:rPr>
              <w:rFonts w:hint="eastAsia" w:ascii="方正仿宋_GBK" w:hAnsi="方正仿宋_GBK" w:eastAsia="方正仿宋_GBK" w:cs="方正仿宋_GBK"/>
              <w:sz w:val="32"/>
              <w:szCs w:val="32"/>
            </w:rPr>
            <w:fldChar w:fldCharType="separate"/>
          </w:r>
          <w:r>
            <w:rPr>
              <w:rFonts w:hint="eastAsia" w:ascii="方正仿宋_GBK" w:hAnsi="方正仿宋_GBK" w:eastAsia="方正仿宋_GBK" w:cs="方正仿宋_GBK"/>
              <w:sz w:val="32"/>
              <w:szCs w:val="32"/>
            </w:rPr>
            <w:t>16</w:t>
          </w:r>
          <w:r>
            <w:rPr>
              <w:rFonts w:hint="eastAsia" w:ascii="方正仿宋_GBK" w:hAnsi="方正仿宋_GBK" w:eastAsia="方正仿宋_GBK" w:cs="方正仿宋_GBK"/>
              <w:sz w:val="32"/>
              <w:szCs w:val="32"/>
            </w:rPr>
            <w:fldChar w:fldCharType="end"/>
          </w:r>
          <w:r>
            <w:rPr>
              <w:rFonts w:hint="eastAsia" w:ascii="方正仿宋_GBK" w:hAnsi="方正仿宋_GBK" w:eastAsia="方正仿宋_GBK" w:cs="方正仿宋_GBK"/>
              <w:sz w:val="32"/>
              <w:szCs w:val="32"/>
            </w:rPr>
            <w:fldChar w:fldCharType="end"/>
          </w:r>
        </w:p>
        <w:p w14:paraId="27105760">
          <w:pPr>
            <w:pStyle w:val="14"/>
            <w:tabs>
              <w:tab w:val="right" w:leader="dot" w:pos="8306"/>
              <w:tab w:val="clear" w:pos="8296"/>
            </w:tabs>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fldChar w:fldCharType="begin"/>
          </w:r>
          <w:r>
            <w:rPr>
              <w:rFonts w:hint="eastAsia" w:ascii="方正仿宋_GBK" w:hAnsi="方正仿宋_GBK" w:eastAsia="方正仿宋_GBK" w:cs="方正仿宋_GBK"/>
              <w:sz w:val="32"/>
              <w:szCs w:val="32"/>
            </w:rPr>
            <w:instrText xml:space="preserve"> HYPERLINK \l _Toc30922 </w:instrText>
          </w:r>
          <w:r>
            <w:rPr>
              <w:rFonts w:hint="eastAsia" w:ascii="方正仿宋_GBK" w:hAnsi="方正仿宋_GBK" w:eastAsia="方正仿宋_GBK" w:cs="方正仿宋_GBK"/>
              <w:sz w:val="32"/>
              <w:szCs w:val="32"/>
            </w:rPr>
            <w:fldChar w:fldCharType="separate"/>
          </w:r>
          <w:r>
            <w:rPr>
              <w:rFonts w:hint="eastAsia" w:ascii="方正仿宋_GBK" w:hAnsi="方正仿宋_GBK" w:eastAsia="方正仿宋_GBK" w:cs="方正仿宋_GBK"/>
              <w:bCs/>
              <w:kern w:val="2"/>
              <w:sz w:val="32"/>
              <w:szCs w:val="32"/>
              <w:lang w:val="en-US" w:eastAsia="zh-CN" w:bidi="ar-SA"/>
            </w:rPr>
            <w:t>八、一般公共预算财政拨款基本支出决算表</w:t>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fldChar w:fldCharType="begin"/>
          </w:r>
          <w:r>
            <w:rPr>
              <w:rFonts w:hint="eastAsia" w:ascii="方正仿宋_GBK" w:hAnsi="方正仿宋_GBK" w:eastAsia="方正仿宋_GBK" w:cs="方正仿宋_GBK"/>
              <w:sz w:val="32"/>
              <w:szCs w:val="32"/>
            </w:rPr>
            <w:instrText xml:space="preserve"> PAGEREF _Toc30922 \h </w:instrText>
          </w:r>
          <w:r>
            <w:rPr>
              <w:rFonts w:hint="eastAsia" w:ascii="方正仿宋_GBK" w:hAnsi="方正仿宋_GBK" w:eastAsia="方正仿宋_GBK" w:cs="方正仿宋_GBK"/>
              <w:sz w:val="32"/>
              <w:szCs w:val="32"/>
            </w:rPr>
            <w:fldChar w:fldCharType="separate"/>
          </w:r>
          <w:r>
            <w:rPr>
              <w:rFonts w:hint="eastAsia" w:ascii="方正仿宋_GBK" w:hAnsi="方正仿宋_GBK" w:eastAsia="方正仿宋_GBK" w:cs="方正仿宋_GBK"/>
              <w:sz w:val="32"/>
              <w:szCs w:val="32"/>
            </w:rPr>
            <w:t>16</w:t>
          </w:r>
          <w:r>
            <w:rPr>
              <w:rFonts w:hint="eastAsia" w:ascii="方正仿宋_GBK" w:hAnsi="方正仿宋_GBK" w:eastAsia="方正仿宋_GBK" w:cs="方正仿宋_GBK"/>
              <w:sz w:val="32"/>
              <w:szCs w:val="32"/>
            </w:rPr>
            <w:fldChar w:fldCharType="end"/>
          </w:r>
          <w:r>
            <w:rPr>
              <w:rFonts w:hint="eastAsia" w:ascii="方正仿宋_GBK" w:hAnsi="方正仿宋_GBK" w:eastAsia="方正仿宋_GBK" w:cs="方正仿宋_GBK"/>
              <w:sz w:val="32"/>
              <w:szCs w:val="32"/>
            </w:rPr>
            <w:fldChar w:fldCharType="end"/>
          </w:r>
        </w:p>
        <w:p w14:paraId="4D7474A6">
          <w:pPr>
            <w:pStyle w:val="14"/>
            <w:tabs>
              <w:tab w:val="right" w:leader="dot" w:pos="8306"/>
              <w:tab w:val="clear" w:pos="8296"/>
            </w:tabs>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fldChar w:fldCharType="begin"/>
          </w:r>
          <w:r>
            <w:rPr>
              <w:rFonts w:hint="eastAsia" w:ascii="方正仿宋_GBK" w:hAnsi="方正仿宋_GBK" w:eastAsia="方正仿宋_GBK" w:cs="方正仿宋_GBK"/>
              <w:sz w:val="32"/>
              <w:szCs w:val="32"/>
            </w:rPr>
            <w:instrText xml:space="preserve"> HYPERLINK \l _Toc32406 </w:instrText>
          </w:r>
          <w:r>
            <w:rPr>
              <w:rFonts w:hint="eastAsia" w:ascii="方正仿宋_GBK" w:hAnsi="方正仿宋_GBK" w:eastAsia="方正仿宋_GBK" w:cs="方正仿宋_GBK"/>
              <w:sz w:val="32"/>
              <w:szCs w:val="32"/>
            </w:rPr>
            <w:fldChar w:fldCharType="separate"/>
          </w:r>
          <w:r>
            <w:rPr>
              <w:rFonts w:hint="eastAsia" w:ascii="方正仿宋_GBK" w:hAnsi="方正仿宋_GBK" w:eastAsia="方正仿宋_GBK" w:cs="方正仿宋_GBK"/>
              <w:bCs/>
              <w:kern w:val="2"/>
              <w:sz w:val="32"/>
              <w:szCs w:val="32"/>
              <w:lang w:val="en-US" w:eastAsia="zh-CN" w:bidi="ar-SA"/>
            </w:rPr>
            <w:t>九、一般公共预算财政拨款项目支出决算表</w:t>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fldChar w:fldCharType="begin"/>
          </w:r>
          <w:r>
            <w:rPr>
              <w:rFonts w:hint="eastAsia" w:ascii="方正仿宋_GBK" w:hAnsi="方正仿宋_GBK" w:eastAsia="方正仿宋_GBK" w:cs="方正仿宋_GBK"/>
              <w:sz w:val="32"/>
              <w:szCs w:val="32"/>
            </w:rPr>
            <w:instrText xml:space="preserve"> PAGEREF _Toc32406 \h </w:instrText>
          </w:r>
          <w:r>
            <w:rPr>
              <w:rFonts w:hint="eastAsia" w:ascii="方正仿宋_GBK" w:hAnsi="方正仿宋_GBK" w:eastAsia="方正仿宋_GBK" w:cs="方正仿宋_GBK"/>
              <w:sz w:val="32"/>
              <w:szCs w:val="32"/>
            </w:rPr>
            <w:fldChar w:fldCharType="separate"/>
          </w:r>
          <w:r>
            <w:rPr>
              <w:rFonts w:hint="eastAsia" w:ascii="方正仿宋_GBK" w:hAnsi="方正仿宋_GBK" w:eastAsia="方正仿宋_GBK" w:cs="方正仿宋_GBK"/>
              <w:sz w:val="32"/>
              <w:szCs w:val="32"/>
            </w:rPr>
            <w:t>16</w:t>
          </w:r>
          <w:r>
            <w:rPr>
              <w:rFonts w:hint="eastAsia" w:ascii="方正仿宋_GBK" w:hAnsi="方正仿宋_GBK" w:eastAsia="方正仿宋_GBK" w:cs="方正仿宋_GBK"/>
              <w:sz w:val="32"/>
              <w:szCs w:val="32"/>
            </w:rPr>
            <w:fldChar w:fldCharType="end"/>
          </w:r>
          <w:r>
            <w:rPr>
              <w:rFonts w:hint="eastAsia" w:ascii="方正仿宋_GBK" w:hAnsi="方正仿宋_GBK" w:eastAsia="方正仿宋_GBK" w:cs="方正仿宋_GBK"/>
              <w:sz w:val="32"/>
              <w:szCs w:val="32"/>
            </w:rPr>
            <w:fldChar w:fldCharType="end"/>
          </w:r>
        </w:p>
        <w:p w14:paraId="4D85547C">
          <w:pPr>
            <w:pStyle w:val="14"/>
            <w:tabs>
              <w:tab w:val="right" w:leader="dot" w:pos="8306"/>
              <w:tab w:val="clear" w:pos="8296"/>
            </w:tabs>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fldChar w:fldCharType="begin"/>
          </w:r>
          <w:r>
            <w:rPr>
              <w:rFonts w:hint="eastAsia" w:ascii="方正仿宋_GBK" w:hAnsi="方正仿宋_GBK" w:eastAsia="方正仿宋_GBK" w:cs="方正仿宋_GBK"/>
              <w:sz w:val="32"/>
              <w:szCs w:val="32"/>
            </w:rPr>
            <w:instrText xml:space="preserve"> HYPERLINK \l _Toc3641 </w:instrText>
          </w:r>
          <w:r>
            <w:rPr>
              <w:rFonts w:hint="eastAsia" w:ascii="方正仿宋_GBK" w:hAnsi="方正仿宋_GBK" w:eastAsia="方正仿宋_GBK" w:cs="方正仿宋_GBK"/>
              <w:sz w:val="32"/>
              <w:szCs w:val="32"/>
            </w:rPr>
            <w:fldChar w:fldCharType="separate"/>
          </w:r>
          <w:r>
            <w:rPr>
              <w:rFonts w:hint="eastAsia" w:ascii="方正仿宋_GBK" w:hAnsi="方正仿宋_GBK" w:eastAsia="方正仿宋_GBK" w:cs="方正仿宋_GBK"/>
              <w:bCs/>
              <w:kern w:val="2"/>
              <w:sz w:val="32"/>
              <w:szCs w:val="32"/>
              <w:lang w:val="en-US" w:eastAsia="zh-CN" w:bidi="ar-SA"/>
            </w:rPr>
            <w:t>十、政府性基金预算财政拨款收入支出决算表</w:t>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fldChar w:fldCharType="begin"/>
          </w:r>
          <w:r>
            <w:rPr>
              <w:rFonts w:hint="eastAsia" w:ascii="方正仿宋_GBK" w:hAnsi="方正仿宋_GBK" w:eastAsia="方正仿宋_GBK" w:cs="方正仿宋_GBK"/>
              <w:sz w:val="32"/>
              <w:szCs w:val="32"/>
            </w:rPr>
            <w:instrText xml:space="preserve"> PAGEREF _Toc3641 \h </w:instrText>
          </w:r>
          <w:r>
            <w:rPr>
              <w:rFonts w:hint="eastAsia" w:ascii="方正仿宋_GBK" w:hAnsi="方正仿宋_GBK" w:eastAsia="方正仿宋_GBK" w:cs="方正仿宋_GBK"/>
              <w:sz w:val="32"/>
              <w:szCs w:val="32"/>
            </w:rPr>
            <w:fldChar w:fldCharType="separate"/>
          </w:r>
          <w:r>
            <w:rPr>
              <w:rFonts w:hint="eastAsia" w:ascii="方正仿宋_GBK" w:hAnsi="方正仿宋_GBK" w:eastAsia="方正仿宋_GBK" w:cs="方正仿宋_GBK"/>
              <w:sz w:val="32"/>
              <w:szCs w:val="32"/>
            </w:rPr>
            <w:t>16</w:t>
          </w:r>
          <w:r>
            <w:rPr>
              <w:rFonts w:hint="eastAsia" w:ascii="方正仿宋_GBK" w:hAnsi="方正仿宋_GBK" w:eastAsia="方正仿宋_GBK" w:cs="方正仿宋_GBK"/>
              <w:sz w:val="32"/>
              <w:szCs w:val="32"/>
            </w:rPr>
            <w:fldChar w:fldCharType="end"/>
          </w:r>
          <w:r>
            <w:rPr>
              <w:rFonts w:hint="eastAsia" w:ascii="方正仿宋_GBK" w:hAnsi="方正仿宋_GBK" w:eastAsia="方正仿宋_GBK" w:cs="方正仿宋_GBK"/>
              <w:sz w:val="32"/>
              <w:szCs w:val="32"/>
            </w:rPr>
            <w:fldChar w:fldCharType="end"/>
          </w:r>
        </w:p>
        <w:p w14:paraId="0F747977">
          <w:pPr>
            <w:pStyle w:val="14"/>
            <w:tabs>
              <w:tab w:val="right" w:leader="dot" w:pos="8306"/>
              <w:tab w:val="clear" w:pos="8296"/>
            </w:tabs>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fldChar w:fldCharType="begin"/>
          </w:r>
          <w:r>
            <w:rPr>
              <w:rFonts w:hint="eastAsia" w:ascii="方正仿宋_GBK" w:hAnsi="方正仿宋_GBK" w:eastAsia="方正仿宋_GBK" w:cs="方正仿宋_GBK"/>
              <w:sz w:val="32"/>
              <w:szCs w:val="32"/>
            </w:rPr>
            <w:instrText xml:space="preserve"> HYPERLINK \l _Toc3880 </w:instrText>
          </w:r>
          <w:r>
            <w:rPr>
              <w:rFonts w:hint="eastAsia" w:ascii="方正仿宋_GBK" w:hAnsi="方正仿宋_GBK" w:eastAsia="方正仿宋_GBK" w:cs="方正仿宋_GBK"/>
              <w:sz w:val="32"/>
              <w:szCs w:val="32"/>
            </w:rPr>
            <w:fldChar w:fldCharType="separate"/>
          </w:r>
          <w:r>
            <w:rPr>
              <w:rFonts w:hint="eastAsia" w:ascii="方正仿宋_GBK" w:hAnsi="方正仿宋_GBK" w:eastAsia="方正仿宋_GBK" w:cs="方正仿宋_GBK"/>
              <w:bCs/>
              <w:kern w:val="2"/>
              <w:sz w:val="32"/>
              <w:szCs w:val="32"/>
              <w:lang w:val="en-US" w:eastAsia="zh-CN" w:bidi="ar-SA"/>
            </w:rPr>
            <w:t>十一、国有资本经营预算财政拨款收入支出决算表</w:t>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fldChar w:fldCharType="begin"/>
          </w:r>
          <w:r>
            <w:rPr>
              <w:rFonts w:hint="eastAsia" w:ascii="方正仿宋_GBK" w:hAnsi="方正仿宋_GBK" w:eastAsia="方正仿宋_GBK" w:cs="方正仿宋_GBK"/>
              <w:sz w:val="32"/>
              <w:szCs w:val="32"/>
            </w:rPr>
            <w:instrText xml:space="preserve"> PAGEREF _Toc3880 \h </w:instrText>
          </w:r>
          <w:r>
            <w:rPr>
              <w:rFonts w:hint="eastAsia" w:ascii="方正仿宋_GBK" w:hAnsi="方正仿宋_GBK" w:eastAsia="方正仿宋_GBK" w:cs="方正仿宋_GBK"/>
              <w:sz w:val="32"/>
              <w:szCs w:val="32"/>
            </w:rPr>
            <w:fldChar w:fldCharType="separate"/>
          </w:r>
          <w:r>
            <w:rPr>
              <w:rFonts w:hint="eastAsia" w:ascii="方正仿宋_GBK" w:hAnsi="方正仿宋_GBK" w:eastAsia="方正仿宋_GBK" w:cs="方正仿宋_GBK"/>
              <w:sz w:val="32"/>
              <w:szCs w:val="32"/>
            </w:rPr>
            <w:t>16</w:t>
          </w:r>
          <w:r>
            <w:rPr>
              <w:rFonts w:hint="eastAsia" w:ascii="方正仿宋_GBK" w:hAnsi="方正仿宋_GBK" w:eastAsia="方正仿宋_GBK" w:cs="方正仿宋_GBK"/>
              <w:sz w:val="32"/>
              <w:szCs w:val="32"/>
            </w:rPr>
            <w:fldChar w:fldCharType="end"/>
          </w:r>
          <w:r>
            <w:rPr>
              <w:rFonts w:hint="eastAsia" w:ascii="方正仿宋_GBK" w:hAnsi="方正仿宋_GBK" w:eastAsia="方正仿宋_GBK" w:cs="方正仿宋_GBK"/>
              <w:sz w:val="32"/>
              <w:szCs w:val="32"/>
            </w:rPr>
            <w:fldChar w:fldCharType="end"/>
          </w:r>
        </w:p>
        <w:p w14:paraId="1C7919CE">
          <w:pPr>
            <w:pStyle w:val="14"/>
            <w:tabs>
              <w:tab w:val="right" w:leader="dot" w:pos="8306"/>
              <w:tab w:val="clear" w:pos="8296"/>
            </w:tabs>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fldChar w:fldCharType="begin"/>
          </w:r>
          <w:r>
            <w:rPr>
              <w:rFonts w:hint="eastAsia" w:ascii="方正仿宋_GBK" w:hAnsi="方正仿宋_GBK" w:eastAsia="方正仿宋_GBK" w:cs="方正仿宋_GBK"/>
              <w:sz w:val="32"/>
              <w:szCs w:val="32"/>
            </w:rPr>
            <w:instrText xml:space="preserve"> HYPERLINK \l _Toc1028 </w:instrText>
          </w:r>
          <w:r>
            <w:rPr>
              <w:rFonts w:hint="eastAsia" w:ascii="方正仿宋_GBK" w:hAnsi="方正仿宋_GBK" w:eastAsia="方正仿宋_GBK" w:cs="方正仿宋_GBK"/>
              <w:sz w:val="32"/>
              <w:szCs w:val="32"/>
            </w:rPr>
            <w:fldChar w:fldCharType="separate"/>
          </w:r>
          <w:r>
            <w:rPr>
              <w:rFonts w:hint="eastAsia" w:ascii="方正仿宋_GBK" w:hAnsi="方正仿宋_GBK" w:eastAsia="方正仿宋_GBK" w:cs="方正仿宋_GBK"/>
              <w:bCs/>
              <w:kern w:val="2"/>
              <w:sz w:val="32"/>
              <w:szCs w:val="32"/>
              <w:lang w:val="en-US" w:eastAsia="zh-CN" w:bidi="ar-SA"/>
            </w:rPr>
            <w:t>十二、国有资本经营预算财政拨款支出决算表</w:t>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fldChar w:fldCharType="begin"/>
          </w:r>
          <w:r>
            <w:rPr>
              <w:rFonts w:hint="eastAsia" w:ascii="方正仿宋_GBK" w:hAnsi="方正仿宋_GBK" w:eastAsia="方正仿宋_GBK" w:cs="方正仿宋_GBK"/>
              <w:sz w:val="32"/>
              <w:szCs w:val="32"/>
            </w:rPr>
            <w:instrText xml:space="preserve"> PAGEREF _Toc1028 \h </w:instrText>
          </w:r>
          <w:r>
            <w:rPr>
              <w:rFonts w:hint="eastAsia" w:ascii="方正仿宋_GBK" w:hAnsi="方正仿宋_GBK" w:eastAsia="方正仿宋_GBK" w:cs="方正仿宋_GBK"/>
              <w:sz w:val="32"/>
              <w:szCs w:val="32"/>
            </w:rPr>
            <w:fldChar w:fldCharType="separate"/>
          </w:r>
          <w:r>
            <w:rPr>
              <w:rFonts w:hint="eastAsia" w:ascii="方正仿宋_GBK" w:hAnsi="方正仿宋_GBK" w:eastAsia="方正仿宋_GBK" w:cs="方正仿宋_GBK"/>
              <w:sz w:val="32"/>
              <w:szCs w:val="32"/>
            </w:rPr>
            <w:t>16</w:t>
          </w:r>
          <w:r>
            <w:rPr>
              <w:rFonts w:hint="eastAsia" w:ascii="方正仿宋_GBK" w:hAnsi="方正仿宋_GBK" w:eastAsia="方正仿宋_GBK" w:cs="方正仿宋_GBK"/>
              <w:sz w:val="32"/>
              <w:szCs w:val="32"/>
            </w:rPr>
            <w:fldChar w:fldCharType="end"/>
          </w:r>
          <w:r>
            <w:rPr>
              <w:rFonts w:hint="eastAsia" w:ascii="方正仿宋_GBK" w:hAnsi="方正仿宋_GBK" w:eastAsia="方正仿宋_GBK" w:cs="方正仿宋_GBK"/>
              <w:sz w:val="32"/>
              <w:szCs w:val="32"/>
            </w:rPr>
            <w:fldChar w:fldCharType="end"/>
          </w:r>
        </w:p>
        <w:p w14:paraId="6E8B8023">
          <w:pPr>
            <w:pStyle w:val="14"/>
            <w:tabs>
              <w:tab w:val="right" w:leader="dot" w:pos="8306"/>
              <w:tab w:val="clear" w:pos="8296"/>
            </w:tabs>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fldChar w:fldCharType="begin"/>
          </w:r>
          <w:r>
            <w:rPr>
              <w:rFonts w:hint="eastAsia" w:ascii="方正仿宋_GBK" w:hAnsi="方正仿宋_GBK" w:eastAsia="方正仿宋_GBK" w:cs="方正仿宋_GBK"/>
              <w:sz w:val="32"/>
              <w:szCs w:val="32"/>
            </w:rPr>
            <w:instrText xml:space="preserve"> HYPERLINK \l _Toc26857 </w:instrText>
          </w:r>
          <w:r>
            <w:rPr>
              <w:rFonts w:hint="eastAsia" w:ascii="方正仿宋_GBK" w:hAnsi="方正仿宋_GBK" w:eastAsia="方正仿宋_GBK" w:cs="方正仿宋_GBK"/>
              <w:sz w:val="32"/>
              <w:szCs w:val="32"/>
            </w:rPr>
            <w:fldChar w:fldCharType="separate"/>
          </w:r>
          <w:r>
            <w:rPr>
              <w:rFonts w:hint="eastAsia" w:ascii="方正仿宋_GBK" w:hAnsi="方正仿宋_GBK" w:eastAsia="方正仿宋_GBK" w:cs="方正仿宋_GBK"/>
              <w:bCs/>
              <w:kern w:val="2"/>
              <w:sz w:val="32"/>
              <w:szCs w:val="32"/>
              <w:lang w:val="en-US" w:eastAsia="zh-CN" w:bidi="ar-SA"/>
            </w:rPr>
            <w:t>十三、财政拨款“三公”经费支出决算表</w:t>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fldChar w:fldCharType="begin"/>
          </w:r>
          <w:r>
            <w:rPr>
              <w:rFonts w:hint="eastAsia" w:ascii="方正仿宋_GBK" w:hAnsi="方正仿宋_GBK" w:eastAsia="方正仿宋_GBK" w:cs="方正仿宋_GBK"/>
              <w:sz w:val="32"/>
              <w:szCs w:val="32"/>
            </w:rPr>
            <w:instrText xml:space="preserve"> PAGEREF _Toc26857 \h </w:instrText>
          </w:r>
          <w:r>
            <w:rPr>
              <w:rFonts w:hint="eastAsia" w:ascii="方正仿宋_GBK" w:hAnsi="方正仿宋_GBK" w:eastAsia="方正仿宋_GBK" w:cs="方正仿宋_GBK"/>
              <w:sz w:val="32"/>
              <w:szCs w:val="32"/>
            </w:rPr>
            <w:fldChar w:fldCharType="separate"/>
          </w:r>
          <w:r>
            <w:rPr>
              <w:rFonts w:hint="eastAsia" w:ascii="方正仿宋_GBK" w:hAnsi="方正仿宋_GBK" w:eastAsia="方正仿宋_GBK" w:cs="方正仿宋_GBK"/>
              <w:sz w:val="32"/>
              <w:szCs w:val="32"/>
            </w:rPr>
            <w:t>16</w:t>
          </w:r>
          <w:r>
            <w:rPr>
              <w:rFonts w:hint="eastAsia" w:ascii="方正仿宋_GBK" w:hAnsi="方正仿宋_GBK" w:eastAsia="方正仿宋_GBK" w:cs="方正仿宋_GBK"/>
              <w:sz w:val="32"/>
              <w:szCs w:val="32"/>
            </w:rPr>
            <w:fldChar w:fldCharType="end"/>
          </w:r>
          <w:r>
            <w:rPr>
              <w:rFonts w:hint="eastAsia" w:ascii="方正仿宋_GBK" w:hAnsi="方正仿宋_GBK" w:eastAsia="方正仿宋_GBK" w:cs="方正仿宋_GBK"/>
              <w:sz w:val="32"/>
              <w:szCs w:val="32"/>
            </w:rPr>
            <w:fldChar w:fldCharType="end"/>
          </w:r>
        </w:p>
        <w:p w14:paraId="5A187FDB">
          <w:pPr>
            <w:pStyle w:val="3"/>
            <w:jc w:val="center"/>
            <w:rPr>
              <w:rFonts w:hint="default" w:ascii="Times New Roman" w:hAnsi="Times New Roman" w:eastAsia="方正小标宋简体" w:cs="Times New Roman"/>
              <w:b/>
              <w:bCs/>
              <w:kern w:val="44"/>
              <w:sz w:val="44"/>
              <w:szCs w:val="44"/>
              <w:lang w:val="en-US" w:eastAsia="zh-CN" w:bidi="ar-SA"/>
            </w:rPr>
          </w:pPr>
          <w:r>
            <w:rPr>
              <w:rFonts w:hint="eastAsia" w:ascii="方正仿宋_GBK" w:hAnsi="方正仿宋_GBK" w:eastAsia="方正仿宋_GBK" w:cs="方正仿宋_GBK"/>
              <w:sz w:val="32"/>
              <w:szCs w:val="32"/>
            </w:rPr>
            <w:fldChar w:fldCharType="end"/>
          </w:r>
        </w:p>
      </w:sdtContent>
    </w:sdt>
    <w:p w14:paraId="70332AEB">
      <w:pPr>
        <w:rPr>
          <w:rFonts w:hint="default"/>
        </w:rPr>
        <w:sectPr>
          <w:footerReference r:id="rId7" w:type="first"/>
          <w:headerReference r:id="rId5" w:type="default"/>
          <w:footerReference r:id="rId6" w:type="default"/>
          <w:pgSz w:w="11906" w:h="16838"/>
          <w:pgMar w:top="1440" w:right="1800" w:bottom="1440" w:left="1800" w:header="851" w:footer="992" w:gutter="0"/>
          <w:pgNumType w:fmt="numberInDash" w:start="1"/>
          <w:cols w:space="425" w:num="1"/>
          <w:titlePg/>
          <w:docGrid w:type="lines" w:linePitch="312" w:charSpace="0"/>
        </w:sectPr>
      </w:pPr>
    </w:p>
    <w:p w14:paraId="0C6DCEE2">
      <w:pPr>
        <w:pStyle w:val="3"/>
        <w:spacing w:line="240" w:lineRule="auto"/>
        <w:jc w:val="center"/>
        <w:rPr>
          <w:rFonts w:hint="default" w:ascii="Times New Roman" w:hAnsi="Times New Roman" w:eastAsia="方正小标宋_GBK" w:cs="Times New Roman"/>
          <w:b w:val="0"/>
          <w:sz w:val="44"/>
          <w:szCs w:val="44"/>
        </w:rPr>
      </w:pPr>
      <w:bookmarkStart w:id="8" w:name="_Toc15463"/>
      <w:r>
        <w:rPr>
          <w:rFonts w:hint="default" w:ascii="Times New Roman" w:hAnsi="Times New Roman" w:eastAsia="方正小标宋_GBK" w:cs="Times New Roman"/>
          <w:b w:val="0"/>
          <w:sz w:val="44"/>
          <w:szCs w:val="44"/>
        </w:rPr>
        <w:t>第一部分  单位概况</w:t>
      </w:r>
      <w:bookmarkEnd w:id="8"/>
    </w:p>
    <w:p w14:paraId="254B01BB">
      <w:pPr>
        <w:pStyle w:val="4"/>
        <w:keepNext/>
        <w:keepLines/>
        <w:pageBreakBefore w:val="0"/>
        <w:widowControl w:val="0"/>
        <w:numPr>
          <w:ilvl w:val="0"/>
          <w:numId w:val="0"/>
        </w:numPr>
        <w:kinsoku/>
        <w:wordWrap/>
        <w:overflowPunct/>
        <w:topLinePunct w:val="0"/>
        <w:autoSpaceDE/>
        <w:autoSpaceDN/>
        <w:bidi w:val="0"/>
        <w:adjustRightInd/>
        <w:snapToGrid/>
        <w:spacing w:line="240" w:lineRule="auto"/>
        <w:textAlignment w:val="auto"/>
        <w:rPr>
          <w:rFonts w:hint="default" w:ascii="Times New Roman" w:hAnsi="Times New Roman" w:eastAsia="方正黑体_GBK" w:cs="Times New Roman"/>
          <w:b w:val="0"/>
          <w:bCs/>
        </w:rPr>
      </w:pPr>
      <w:bookmarkStart w:id="9" w:name="_Toc29788"/>
      <w:r>
        <w:rPr>
          <w:rFonts w:hint="default" w:ascii="Times New Roman" w:hAnsi="Times New Roman" w:eastAsia="方正黑体_GBK" w:cs="Times New Roman"/>
          <w:b w:val="0"/>
          <w:bCs/>
          <w:kern w:val="2"/>
          <w:sz w:val="32"/>
          <w:szCs w:val="32"/>
          <w:lang w:val="en-US" w:eastAsia="zh-CN" w:bidi="ar-SA"/>
        </w:rPr>
        <w:t>一、</w:t>
      </w:r>
      <w:r>
        <w:rPr>
          <w:rFonts w:hint="default" w:ascii="Times New Roman" w:hAnsi="Times New Roman" w:eastAsia="方正黑体_GBK" w:cs="Times New Roman"/>
          <w:b w:val="0"/>
          <w:bCs/>
        </w:rPr>
        <w:t>主要职责</w:t>
      </w:r>
      <w:bookmarkEnd w:id="9"/>
    </w:p>
    <w:p w14:paraId="7ABFBBEE">
      <w:pPr>
        <w:pStyle w:val="4"/>
        <w:keepNext/>
        <w:keepLines/>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cs="Times New Roman"/>
        </w:rPr>
      </w:pPr>
      <w:bookmarkStart w:id="10" w:name="_Toc29723"/>
      <w:bookmarkStart w:id="11" w:name="_Toc29332"/>
      <w:r>
        <w:rPr>
          <w:rFonts w:hint="default" w:ascii="Times New Roman" w:hAnsi="Times New Roman" w:eastAsia="方正仿宋_GBK" w:cs="Times New Roman"/>
          <w:b w:val="0"/>
          <w:bCs w:val="0"/>
        </w:rPr>
        <w:t>认真贯彻执行党和国家的有关法律法规，方针，政策，依法办园，坚持正确的办园方向;落实《3-6岁儿童学习与发展指南》的精神，遵循“正确的爱培养良好习惯，快乐游戏激发多元潜能”的办园理念;立足“幼儿乐学、家长乐道、教师乐教”的办园宗旨;以“玩中学、学中乐、乐中长”的教学理念。遵循幼儿身心发展的规律，以一日生活皆教育，提升保教质量，促进幼儿全面和谐发展。</w:t>
      </w:r>
      <w:bookmarkEnd w:id="10"/>
      <w:bookmarkEnd w:id="11"/>
    </w:p>
    <w:p w14:paraId="5E4B9BBB">
      <w:pPr>
        <w:pStyle w:val="4"/>
        <w:keepNext/>
        <w:keepLines/>
        <w:pageBreakBefore w:val="0"/>
        <w:widowControl w:val="0"/>
        <w:numPr>
          <w:ilvl w:val="0"/>
          <w:numId w:val="0"/>
        </w:numPr>
        <w:kinsoku/>
        <w:wordWrap/>
        <w:overflowPunct/>
        <w:topLinePunct w:val="0"/>
        <w:autoSpaceDE/>
        <w:autoSpaceDN/>
        <w:bidi w:val="0"/>
        <w:adjustRightInd/>
        <w:snapToGrid/>
        <w:spacing w:line="240" w:lineRule="auto"/>
        <w:textAlignment w:val="auto"/>
        <w:rPr>
          <w:rFonts w:hint="default" w:ascii="Times New Roman" w:hAnsi="Times New Roman" w:cs="Times New Roman"/>
        </w:rPr>
      </w:pPr>
      <w:bookmarkStart w:id="12" w:name="_Toc31377"/>
      <w:r>
        <w:rPr>
          <w:rFonts w:hint="default" w:ascii="Times New Roman" w:hAnsi="Times New Roman" w:cs="Times New Roman" w:eastAsiaTheme="majorEastAsia"/>
          <w:b/>
          <w:bCs/>
          <w:kern w:val="2"/>
          <w:sz w:val="32"/>
          <w:szCs w:val="32"/>
          <w:lang w:val="en-US" w:eastAsia="zh-CN" w:bidi="ar-SA"/>
        </w:rPr>
        <w:t>二、</w:t>
      </w:r>
      <w:r>
        <w:rPr>
          <w:rFonts w:hint="default" w:ascii="Times New Roman" w:hAnsi="Times New Roman" w:eastAsia="方正黑体_GBK" w:cs="Times New Roman"/>
          <w:b w:val="0"/>
          <w:bCs/>
        </w:rPr>
        <w:t>机构设置</w:t>
      </w:r>
      <w:bookmarkEnd w:id="12"/>
    </w:p>
    <w:p w14:paraId="17624016">
      <w:pPr>
        <w:pStyle w:val="4"/>
        <w:keepNext/>
        <w:keepLines/>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方正仿宋_GBK" w:cs="Times New Roman"/>
          <w:b w:val="0"/>
          <w:bCs w:val="0"/>
        </w:rPr>
      </w:pPr>
      <w:bookmarkStart w:id="13" w:name="_Toc15319"/>
      <w:r>
        <w:rPr>
          <w:rFonts w:hint="default" w:ascii="Times New Roman" w:hAnsi="Times New Roman" w:eastAsia="方正仿宋_GBK" w:cs="Times New Roman"/>
          <w:b w:val="0"/>
          <w:bCs w:val="0"/>
          <w:lang w:val="en-US" w:eastAsia="zh-CN"/>
        </w:rPr>
        <w:t>盐边县幼儿园</w:t>
      </w:r>
      <w:r>
        <w:rPr>
          <w:rFonts w:hint="default" w:ascii="Times New Roman" w:hAnsi="Times New Roman" w:eastAsia="方正仿宋_GBK" w:cs="Times New Roman"/>
          <w:b w:val="0"/>
          <w:bCs w:val="0"/>
        </w:rPr>
        <w:t>202</w:t>
      </w:r>
      <w:r>
        <w:rPr>
          <w:rFonts w:hint="default" w:ascii="Times New Roman" w:hAnsi="Times New Roman" w:eastAsia="方正仿宋_GBK" w:cs="Times New Roman"/>
          <w:b w:val="0"/>
          <w:bCs w:val="0"/>
          <w:lang w:val="en-US" w:eastAsia="zh-CN"/>
        </w:rPr>
        <w:t>4</w:t>
      </w:r>
      <w:r>
        <w:rPr>
          <w:rFonts w:hint="default" w:ascii="Times New Roman" w:hAnsi="Times New Roman" w:eastAsia="方正仿宋_GBK" w:cs="Times New Roman"/>
          <w:b w:val="0"/>
          <w:bCs w:val="0"/>
        </w:rPr>
        <w:t>年设大中小教学班12个，在园幼儿</w:t>
      </w:r>
      <w:r>
        <w:rPr>
          <w:rFonts w:hint="default" w:ascii="Times New Roman" w:hAnsi="Times New Roman" w:eastAsia="方正仿宋_GBK" w:cs="Times New Roman"/>
          <w:b w:val="0"/>
          <w:bCs w:val="0"/>
          <w:lang w:val="en-US" w:eastAsia="zh-CN"/>
        </w:rPr>
        <w:t>384</w:t>
      </w:r>
      <w:r>
        <w:rPr>
          <w:rFonts w:hint="default" w:ascii="Times New Roman" w:hAnsi="Times New Roman" w:eastAsia="方正仿宋_GBK" w:cs="Times New Roman"/>
          <w:b w:val="0"/>
          <w:bCs w:val="0"/>
        </w:rPr>
        <w:t>人，</w:t>
      </w:r>
      <w:r>
        <w:rPr>
          <w:rFonts w:hint="default" w:ascii="Times New Roman" w:hAnsi="Times New Roman" w:eastAsia="方正仿宋_GBK" w:cs="Times New Roman"/>
          <w:b w:val="0"/>
          <w:bCs w:val="0"/>
          <w:lang w:val="en-US" w:eastAsia="zh-CN"/>
        </w:rPr>
        <w:t>202</w:t>
      </w:r>
      <w:r>
        <w:rPr>
          <w:rFonts w:hint="default" w:ascii="Times New Roman" w:hAnsi="Times New Roman" w:eastAsia="方正仿宋_GBK" w:cs="Times New Roman"/>
          <w:b w:val="0"/>
          <w:bCs w:val="0"/>
          <w:lang w:val="en-US" w:eastAsia="zh-CN"/>
        </w:rPr>
        <w:t>4</w:t>
      </w:r>
      <w:r>
        <w:rPr>
          <w:rFonts w:hint="default" w:ascii="Times New Roman" w:hAnsi="Times New Roman" w:eastAsia="方正仿宋_GBK" w:cs="Times New Roman"/>
          <w:b w:val="0"/>
          <w:bCs w:val="0"/>
          <w:lang w:val="en-US" w:eastAsia="zh-CN"/>
        </w:rPr>
        <w:t>年末</w:t>
      </w:r>
      <w:r>
        <w:rPr>
          <w:rFonts w:hint="default" w:ascii="Times New Roman" w:hAnsi="Times New Roman" w:eastAsia="方正仿宋_GBK" w:cs="Times New Roman"/>
          <w:b w:val="0"/>
          <w:bCs w:val="0"/>
        </w:rPr>
        <w:t>在编教职工2</w:t>
      </w:r>
      <w:r>
        <w:rPr>
          <w:rFonts w:hint="default" w:ascii="Times New Roman" w:hAnsi="Times New Roman" w:eastAsia="方正仿宋_GBK" w:cs="Times New Roman"/>
          <w:b w:val="0"/>
          <w:bCs w:val="0"/>
          <w:lang w:val="en-US" w:eastAsia="zh-CN"/>
        </w:rPr>
        <w:t>8</w:t>
      </w:r>
      <w:r>
        <w:rPr>
          <w:rFonts w:hint="default" w:ascii="Times New Roman" w:hAnsi="Times New Roman" w:eastAsia="方正仿宋_GBK" w:cs="Times New Roman"/>
          <w:b w:val="0"/>
          <w:bCs w:val="0"/>
        </w:rPr>
        <w:t>人，学历达标率100%。有高级教师职称</w:t>
      </w:r>
      <w:r>
        <w:rPr>
          <w:rFonts w:hint="default" w:ascii="Times New Roman" w:hAnsi="Times New Roman" w:eastAsia="方正仿宋_GBK" w:cs="Times New Roman"/>
          <w:b w:val="0"/>
          <w:bCs w:val="0"/>
          <w:lang w:val="en-US" w:eastAsia="zh-CN"/>
        </w:rPr>
        <w:t>5</w:t>
      </w:r>
      <w:r>
        <w:rPr>
          <w:rFonts w:hint="default" w:ascii="Times New Roman" w:hAnsi="Times New Roman" w:eastAsia="方正仿宋_GBK" w:cs="Times New Roman"/>
          <w:b w:val="0"/>
          <w:bCs w:val="0"/>
        </w:rPr>
        <w:t>人， 中级职称1</w:t>
      </w:r>
      <w:r>
        <w:rPr>
          <w:rFonts w:hint="default" w:ascii="Times New Roman" w:hAnsi="Times New Roman" w:eastAsia="方正仿宋_GBK" w:cs="Times New Roman"/>
          <w:b w:val="0"/>
          <w:bCs w:val="0"/>
          <w:lang w:val="en-US" w:eastAsia="zh-CN"/>
        </w:rPr>
        <w:t>1</w:t>
      </w:r>
      <w:r>
        <w:rPr>
          <w:rFonts w:hint="default" w:ascii="Times New Roman" w:hAnsi="Times New Roman" w:eastAsia="方正仿宋_GBK" w:cs="Times New Roman"/>
          <w:b w:val="0"/>
          <w:bCs w:val="0"/>
        </w:rPr>
        <w:t>人，初级职称</w:t>
      </w:r>
      <w:r>
        <w:rPr>
          <w:rFonts w:hint="default" w:ascii="Times New Roman" w:hAnsi="Times New Roman" w:eastAsia="方正仿宋_GBK" w:cs="Times New Roman"/>
          <w:b w:val="0"/>
          <w:bCs w:val="0"/>
          <w:lang w:val="en-US" w:eastAsia="zh-CN"/>
        </w:rPr>
        <w:t>1</w:t>
      </w:r>
      <w:r>
        <w:rPr>
          <w:rFonts w:hint="default" w:ascii="Times New Roman" w:hAnsi="Times New Roman" w:eastAsia="方正仿宋_GBK" w:cs="Times New Roman"/>
          <w:b w:val="0"/>
          <w:bCs w:val="0"/>
          <w:lang w:val="en-US" w:eastAsia="zh-CN"/>
        </w:rPr>
        <w:t>1</w:t>
      </w:r>
      <w:r>
        <w:rPr>
          <w:rFonts w:hint="default" w:ascii="Times New Roman" w:hAnsi="Times New Roman" w:eastAsia="方正仿宋_GBK" w:cs="Times New Roman"/>
          <w:b w:val="0"/>
          <w:bCs w:val="0"/>
        </w:rPr>
        <w:t>人，技术工1人，市县级骨干教师学科带头人</w:t>
      </w:r>
      <w:r>
        <w:rPr>
          <w:rFonts w:hint="default" w:ascii="Times New Roman" w:hAnsi="Times New Roman" w:eastAsia="方正仿宋_GBK" w:cs="Times New Roman"/>
          <w:b w:val="0"/>
          <w:bCs w:val="0"/>
          <w:lang w:val="en-US" w:eastAsia="zh-CN"/>
        </w:rPr>
        <w:t>共</w:t>
      </w:r>
      <w:r>
        <w:rPr>
          <w:rFonts w:hint="default" w:ascii="Times New Roman" w:hAnsi="Times New Roman" w:eastAsia="方正仿宋_GBK" w:cs="Times New Roman"/>
          <w:b w:val="0"/>
          <w:bCs w:val="0"/>
        </w:rPr>
        <w:t>6名。</w:t>
      </w:r>
      <w:bookmarkEnd w:id="13"/>
    </w:p>
    <w:p w14:paraId="5F48E0CF">
      <w:pPr>
        <w:numPr>
          <w:ilvl w:val="0"/>
          <w:numId w:val="0"/>
        </w:numPr>
        <w:spacing w:line="240" w:lineRule="auto"/>
        <w:ind w:leftChars="0"/>
        <w:rPr>
          <w:rFonts w:hint="default" w:ascii="Times New Roman" w:hAnsi="Times New Roman" w:cs="Times New Roman"/>
        </w:rPr>
      </w:pPr>
    </w:p>
    <w:bookmarkEnd w:id="0"/>
    <w:bookmarkEnd w:id="1"/>
    <w:bookmarkEnd w:id="2"/>
    <w:bookmarkEnd w:id="3"/>
    <w:bookmarkEnd w:id="4"/>
    <w:bookmarkEnd w:id="5"/>
    <w:p w14:paraId="7C0B8247">
      <w:pPr>
        <w:pStyle w:val="3"/>
        <w:spacing w:line="240" w:lineRule="auto"/>
        <w:jc w:val="center"/>
        <w:rPr>
          <w:rFonts w:hint="default" w:ascii="Times New Roman" w:hAnsi="Times New Roman" w:eastAsia="方正小标宋简体" w:cs="Times New Roman"/>
          <w:b w:val="0"/>
          <w:color w:val="auto"/>
          <w:highlight w:val="none"/>
        </w:rPr>
      </w:pPr>
    </w:p>
    <w:p w14:paraId="5F9766FC">
      <w:pPr>
        <w:spacing w:line="240" w:lineRule="auto"/>
        <w:rPr>
          <w:rFonts w:hint="default" w:ascii="Times New Roman" w:hAnsi="Times New Roman" w:eastAsia="方正小标宋简体" w:cs="Times New Roman"/>
          <w:b w:val="0"/>
          <w:color w:val="auto"/>
          <w:highlight w:val="none"/>
        </w:rPr>
      </w:pPr>
    </w:p>
    <w:bookmarkEnd w:id="6"/>
    <w:bookmarkEnd w:id="7"/>
    <w:p w14:paraId="5E84DF0A">
      <w:pPr>
        <w:pStyle w:val="3"/>
        <w:spacing w:line="240" w:lineRule="auto"/>
        <w:jc w:val="center"/>
        <w:rPr>
          <w:rFonts w:hint="default" w:ascii="Times New Roman" w:hAnsi="Times New Roman" w:cs="Times New Roman"/>
          <w:color w:val="auto"/>
          <w:highlight w:val="none"/>
        </w:rPr>
      </w:pPr>
      <w:bookmarkStart w:id="14" w:name="_Toc15396602"/>
      <w:bookmarkStart w:id="15" w:name="_Toc15377204"/>
      <w:bookmarkStart w:id="16" w:name="_Toc2242"/>
      <w:r>
        <w:rPr>
          <w:rFonts w:hint="default" w:ascii="Times New Roman" w:hAnsi="Times New Roman" w:eastAsia="方正小标宋_GBK" w:cs="Times New Roman"/>
          <w:b w:val="0"/>
          <w:sz w:val="44"/>
          <w:szCs w:val="44"/>
        </w:rPr>
        <w:t>第二部分</w:t>
      </w:r>
      <w:r>
        <w:rPr>
          <w:rFonts w:hint="default" w:ascii="Times New Roman" w:hAnsi="Times New Roman" w:eastAsia="方正小标宋_GBK" w:cs="Times New Roman"/>
          <w:b w:val="0"/>
          <w:sz w:val="44"/>
          <w:szCs w:val="44"/>
          <w:lang w:val="en-US" w:eastAsia="zh-CN"/>
        </w:rPr>
        <w:t xml:space="preserve"> </w:t>
      </w:r>
      <w:r>
        <w:rPr>
          <w:rFonts w:hint="default" w:ascii="Times New Roman" w:hAnsi="Times New Roman" w:eastAsia="方正小标宋_GBK" w:cs="Times New Roman"/>
          <w:b w:val="0"/>
          <w:sz w:val="44"/>
          <w:szCs w:val="44"/>
        </w:rPr>
        <w:t xml:space="preserve"> </w:t>
      </w:r>
      <w:r>
        <w:rPr>
          <w:rFonts w:hint="default" w:ascii="Times New Roman" w:hAnsi="Times New Roman" w:eastAsia="方正小标宋_GBK" w:cs="Times New Roman"/>
          <w:b w:val="0"/>
          <w:sz w:val="44"/>
          <w:szCs w:val="44"/>
          <w:lang w:val="en-US" w:eastAsia="zh-CN"/>
        </w:rPr>
        <w:t>2024年度</w:t>
      </w:r>
      <w:r>
        <w:rPr>
          <w:rFonts w:hint="default" w:ascii="Times New Roman" w:hAnsi="Times New Roman" w:eastAsia="方正小标宋_GBK" w:cs="Times New Roman"/>
          <w:b w:val="0"/>
          <w:sz w:val="44"/>
          <w:szCs w:val="44"/>
        </w:rPr>
        <w:t>部门决算情况说明</w:t>
      </w:r>
      <w:bookmarkEnd w:id="14"/>
      <w:bookmarkEnd w:id="15"/>
      <w:bookmarkEnd w:id="16"/>
    </w:p>
    <w:p w14:paraId="25DA8114">
      <w:pPr>
        <w:pStyle w:val="4"/>
        <w:keepNext/>
        <w:keepLines/>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方正黑体_GBK" w:cs="Times New Roman"/>
          <w:b w:val="0"/>
          <w:bCs/>
        </w:rPr>
      </w:pPr>
      <w:bookmarkStart w:id="17" w:name="_Toc15396603"/>
      <w:bookmarkStart w:id="18" w:name="_Toc15377205"/>
      <w:bookmarkStart w:id="19" w:name="_Toc23167"/>
      <w:r>
        <w:rPr>
          <w:rFonts w:hint="default" w:ascii="Times New Roman" w:hAnsi="Times New Roman" w:eastAsia="方正黑体_GBK" w:cs="Times New Roman"/>
          <w:b w:val="0"/>
          <w:bCs/>
          <w:lang w:eastAsia="zh-CN"/>
        </w:rPr>
        <w:t>一、</w:t>
      </w:r>
      <w:r>
        <w:rPr>
          <w:rFonts w:hint="default" w:ascii="Times New Roman" w:hAnsi="Times New Roman" w:eastAsia="方正黑体_GBK" w:cs="Times New Roman"/>
          <w:b w:val="0"/>
          <w:bCs/>
        </w:rPr>
        <w:t>收入支出决算总体情况说明</w:t>
      </w:r>
      <w:bookmarkEnd w:id="17"/>
      <w:bookmarkEnd w:id="18"/>
      <w:bookmarkEnd w:id="19"/>
    </w:p>
    <w:p w14:paraId="2B5623B8">
      <w:pPr>
        <w:pStyle w:val="27"/>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outlineLvl w:val="1"/>
        <w:rPr>
          <w:rFonts w:hint="default" w:ascii="Times New Roman" w:hAnsi="Times New Roman" w:eastAsia="方正仿宋_GBK" w:cs="Times New Roman"/>
          <w:color w:val="auto"/>
          <w:sz w:val="32"/>
          <w:szCs w:val="32"/>
          <w:highlight w:val="none"/>
          <w:lang w:eastAsia="zh-CN"/>
        </w:rPr>
      </w:pPr>
      <w:bookmarkStart w:id="20" w:name="_Toc15289"/>
      <w:r>
        <w:rPr>
          <w:rFonts w:hint="default" w:ascii="Times New Roman" w:hAnsi="Times New Roman" w:eastAsia="方正仿宋_GBK" w:cs="Times New Roman"/>
          <w:color w:val="auto"/>
          <w:sz w:val="32"/>
          <w:szCs w:val="32"/>
          <w:highlight w:val="none"/>
          <w:lang w:eastAsia="zh-CN"/>
        </w:rPr>
        <w:t>2024年度收入</w:t>
      </w:r>
      <w:r>
        <w:rPr>
          <w:rFonts w:hint="default" w:ascii="Times New Roman" w:hAnsi="Times New Roman" w:eastAsia="方正仿宋_GBK" w:cs="Times New Roman"/>
          <w:color w:val="auto"/>
          <w:sz w:val="32"/>
          <w:szCs w:val="32"/>
          <w:highlight w:val="none"/>
        </w:rPr>
        <w:t>、</w:t>
      </w:r>
      <w:r>
        <w:rPr>
          <w:rFonts w:hint="default" w:ascii="Times New Roman" w:hAnsi="Times New Roman" w:eastAsia="方正仿宋_GBK" w:cs="Times New Roman"/>
          <w:color w:val="auto"/>
          <w:sz w:val="32"/>
          <w:szCs w:val="32"/>
          <w:highlight w:val="none"/>
          <w:lang w:eastAsia="zh-CN"/>
        </w:rPr>
        <w:t>支出</w:t>
      </w:r>
      <w:r>
        <w:rPr>
          <w:rFonts w:hint="default" w:ascii="Times New Roman" w:hAnsi="Times New Roman" w:eastAsia="方正仿宋_GBK" w:cs="Times New Roman"/>
          <w:color w:val="auto"/>
          <w:sz w:val="32"/>
          <w:szCs w:val="32"/>
          <w:highlight w:val="none"/>
        </w:rPr>
        <w:t>总计</w:t>
      </w:r>
      <w:r>
        <w:rPr>
          <w:rFonts w:hint="default" w:ascii="Times New Roman" w:hAnsi="Times New Roman" w:eastAsia="方正仿宋_GBK" w:cs="Times New Roman"/>
          <w:color w:val="auto"/>
          <w:sz w:val="32"/>
          <w:szCs w:val="32"/>
          <w:highlight w:val="none"/>
          <w:lang w:eastAsia="zh-CN"/>
        </w:rPr>
        <w:t>均为</w:t>
      </w:r>
      <w:r>
        <w:rPr>
          <w:rFonts w:hint="default" w:ascii="Times New Roman" w:hAnsi="Times New Roman" w:eastAsia="方正仿宋_GBK" w:cs="Times New Roman"/>
          <w:sz w:val="32"/>
          <w:szCs w:val="32"/>
        </w:rPr>
        <w:t>772.97</w:t>
      </w:r>
      <w:r>
        <w:rPr>
          <w:rFonts w:hint="default" w:ascii="Times New Roman" w:hAnsi="Times New Roman" w:eastAsia="方正仿宋_GBK" w:cs="Times New Roman"/>
          <w:color w:val="auto"/>
          <w:sz w:val="32"/>
          <w:szCs w:val="32"/>
          <w:highlight w:val="none"/>
        </w:rPr>
        <w:t>万元。与</w:t>
      </w:r>
      <w:r>
        <w:rPr>
          <w:rFonts w:hint="default" w:ascii="Times New Roman" w:hAnsi="Times New Roman" w:eastAsia="方正仿宋_GBK" w:cs="Times New Roman"/>
          <w:color w:val="auto"/>
          <w:sz w:val="32"/>
          <w:szCs w:val="32"/>
          <w:highlight w:val="none"/>
          <w:lang w:eastAsia="zh-CN"/>
        </w:rPr>
        <w:t>202</w:t>
      </w:r>
      <w:r>
        <w:rPr>
          <w:rFonts w:hint="default" w:ascii="Times New Roman" w:hAnsi="Times New Roman" w:eastAsia="方正仿宋_GBK" w:cs="Times New Roman"/>
          <w:color w:val="auto"/>
          <w:sz w:val="32"/>
          <w:szCs w:val="32"/>
          <w:highlight w:val="none"/>
          <w:lang w:val="en-US" w:eastAsia="zh-CN"/>
        </w:rPr>
        <w:t>3</w:t>
      </w:r>
      <w:r>
        <w:rPr>
          <w:rFonts w:hint="default" w:ascii="Times New Roman" w:hAnsi="Times New Roman" w:eastAsia="方正仿宋_GBK" w:cs="Times New Roman"/>
          <w:color w:val="auto"/>
          <w:sz w:val="32"/>
          <w:szCs w:val="32"/>
          <w:highlight w:val="none"/>
        </w:rPr>
        <w:t>年</w:t>
      </w:r>
      <w:r>
        <w:rPr>
          <w:rFonts w:hint="default" w:ascii="Times New Roman" w:hAnsi="Times New Roman" w:eastAsia="方正仿宋_GBK" w:cs="Times New Roman"/>
          <w:color w:val="auto"/>
          <w:sz w:val="32"/>
          <w:szCs w:val="32"/>
          <w:highlight w:val="none"/>
          <w:lang w:eastAsia="zh-CN"/>
        </w:rPr>
        <w:t>度</w:t>
      </w:r>
      <w:r>
        <w:rPr>
          <w:rFonts w:hint="default" w:ascii="Times New Roman" w:hAnsi="Times New Roman" w:eastAsia="方正仿宋_GBK" w:cs="Times New Roman"/>
          <w:color w:val="auto"/>
          <w:sz w:val="32"/>
          <w:szCs w:val="32"/>
          <w:highlight w:val="none"/>
        </w:rPr>
        <w:t>相比</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lang w:val="en-US" w:eastAsia="zh-CN"/>
        </w:rPr>
        <w:t>2023年度823.76万元</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w:t>
      </w:r>
      <w:r>
        <w:rPr>
          <w:rFonts w:hint="default" w:ascii="Times New Roman" w:hAnsi="Times New Roman" w:eastAsia="方正仿宋_GBK" w:cs="Times New Roman"/>
          <w:color w:val="auto"/>
          <w:sz w:val="32"/>
          <w:szCs w:val="32"/>
          <w:highlight w:val="none"/>
          <w:lang w:eastAsia="zh-CN"/>
        </w:rPr>
        <w:t>收入</w:t>
      </w:r>
      <w:r>
        <w:rPr>
          <w:rFonts w:hint="default" w:ascii="Times New Roman" w:hAnsi="Times New Roman" w:eastAsia="方正仿宋_GBK" w:cs="Times New Roman"/>
          <w:color w:val="auto"/>
          <w:sz w:val="32"/>
          <w:szCs w:val="32"/>
          <w:highlight w:val="none"/>
        </w:rPr>
        <w:t>、</w:t>
      </w:r>
      <w:r>
        <w:rPr>
          <w:rFonts w:hint="default" w:ascii="Times New Roman" w:hAnsi="Times New Roman" w:eastAsia="方正仿宋_GBK" w:cs="Times New Roman"/>
          <w:color w:val="auto"/>
          <w:sz w:val="32"/>
          <w:szCs w:val="32"/>
          <w:highlight w:val="none"/>
          <w:lang w:eastAsia="zh-CN"/>
        </w:rPr>
        <w:t>支出</w:t>
      </w:r>
      <w:r>
        <w:rPr>
          <w:rFonts w:hint="default" w:ascii="Times New Roman" w:hAnsi="Times New Roman" w:eastAsia="方正仿宋_GBK" w:cs="Times New Roman"/>
          <w:color w:val="auto"/>
          <w:sz w:val="32"/>
          <w:szCs w:val="32"/>
          <w:highlight w:val="none"/>
        </w:rPr>
        <w:t>总计各减少50.79万元，下降</w:t>
      </w:r>
      <w:r>
        <w:rPr>
          <w:rFonts w:hint="default" w:ascii="Times New Roman" w:hAnsi="Times New Roman" w:eastAsia="方正仿宋_GBK" w:cs="Times New Roman"/>
          <w:color w:val="auto"/>
          <w:sz w:val="32"/>
          <w:szCs w:val="32"/>
          <w:highlight w:val="none"/>
          <w:lang w:val="en-US" w:eastAsia="zh-CN"/>
        </w:rPr>
        <w:t>6.17</w:t>
      </w:r>
      <w:r>
        <w:rPr>
          <w:rFonts w:hint="default" w:ascii="Times New Roman" w:hAnsi="Times New Roman" w:eastAsia="方正仿宋_GBK" w:cs="Times New Roman"/>
          <w:color w:val="auto"/>
          <w:sz w:val="32"/>
          <w:szCs w:val="32"/>
          <w:highlight w:val="none"/>
        </w:rPr>
        <w:t>%。主要变动原因是</w:t>
      </w:r>
      <w:r>
        <w:rPr>
          <w:rFonts w:hint="default" w:ascii="Times New Roman" w:hAnsi="Times New Roman" w:eastAsia="方正仿宋_GBK" w:cs="Times New Roman"/>
          <w:color w:val="auto"/>
          <w:sz w:val="32"/>
          <w:szCs w:val="32"/>
          <w:highlight w:val="none"/>
          <w:lang w:val="en-US" w:eastAsia="zh-CN"/>
        </w:rPr>
        <w:t>本年度</w:t>
      </w:r>
      <w:r>
        <w:rPr>
          <w:rFonts w:hint="default" w:ascii="Times New Roman" w:hAnsi="Times New Roman" w:eastAsia="方正仿宋_GBK" w:cs="Times New Roman"/>
          <w:color w:val="auto"/>
          <w:sz w:val="32"/>
          <w:szCs w:val="32"/>
          <w:highlight w:val="none"/>
        </w:rPr>
        <w:t>退休3人，新招2人，调离1人及本年无新增工程项目</w:t>
      </w:r>
      <w:r>
        <w:rPr>
          <w:rFonts w:hint="default" w:ascii="Times New Roman" w:hAnsi="Times New Roman" w:eastAsia="方正仿宋_GBK" w:cs="Times New Roman"/>
          <w:color w:val="auto"/>
          <w:sz w:val="32"/>
          <w:szCs w:val="32"/>
          <w:highlight w:val="none"/>
          <w:lang w:eastAsia="zh-CN"/>
        </w:rPr>
        <w:t>。</w:t>
      </w:r>
      <w:bookmarkEnd w:id="20"/>
    </w:p>
    <w:p w14:paraId="3836AEC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（图1：</w:t>
      </w:r>
      <w:r>
        <w:rPr>
          <w:rFonts w:hint="default" w:ascii="Times New Roman" w:hAnsi="Times New Roman" w:eastAsia="方正仿宋_GBK" w:cs="Times New Roman"/>
          <w:color w:val="auto"/>
          <w:sz w:val="32"/>
          <w:szCs w:val="32"/>
          <w:highlight w:val="none"/>
          <w:lang w:eastAsia="zh-CN"/>
        </w:rPr>
        <w:t>收入</w:t>
      </w:r>
      <w:r>
        <w:rPr>
          <w:rFonts w:hint="default" w:ascii="Times New Roman" w:hAnsi="Times New Roman" w:eastAsia="方正仿宋_GBK" w:cs="Times New Roman"/>
          <w:color w:val="auto"/>
          <w:sz w:val="32"/>
          <w:szCs w:val="32"/>
          <w:highlight w:val="none"/>
        </w:rPr>
        <w:t>、</w:t>
      </w:r>
      <w:r>
        <w:rPr>
          <w:rFonts w:hint="default" w:ascii="Times New Roman" w:hAnsi="Times New Roman" w:eastAsia="方正仿宋_GBK" w:cs="Times New Roman"/>
          <w:color w:val="auto"/>
          <w:sz w:val="32"/>
          <w:szCs w:val="32"/>
          <w:highlight w:val="none"/>
          <w:lang w:eastAsia="zh-CN"/>
        </w:rPr>
        <w:t>支出</w:t>
      </w:r>
      <w:r>
        <w:rPr>
          <w:rFonts w:hint="default" w:ascii="Times New Roman" w:hAnsi="Times New Roman" w:eastAsia="方正仿宋_GBK" w:cs="Times New Roman"/>
          <w:color w:val="auto"/>
          <w:sz w:val="32"/>
          <w:szCs w:val="32"/>
          <w:highlight w:val="none"/>
        </w:rPr>
        <w:t>决算总计变动情况图）</w:t>
      </w:r>
    </w:p>
    <w:p w14:paraId="1CB7A548">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cs="Times New Roman"/>
        </w:rPr>
        <w:drawing>
          <wp:inline distT="0" distB="0" distL="114300" distR="114300">
            <wp:extent cx="5290820" cy="4267835"/>
            <wp:effectExtent l="5080" t="4445" r="19050" b="13970"/>
            <wp:docPr id="3"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52597528">
      <w:pPr>
        <w:pStyle w:val="4"/>
        <w:keepNext/>
        <w:keepLines/>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方正黑体_GBK" w:cs="Times New Roman"/>
          <w:b w:val="0"/>
          <w:bCs/>
          <w:lang w:eastAsia="zh-CN"/>
        </w:rPr>
      </w:pPr>
      <w:bookmarkStart w:id="21" w:name="_Toc15377206"/>
      <w:bookmarkStart w:id="22" w:name="_Toc15396604"/>
      <w:bookmarkStart w:id="23" w:name="_Toc21733"/>
      <w:r>
        <w:rPr>
          <w:rFonts w:hint="default" w:ascii="Times New Roman" w:hAnsi="Times New Roman" w:eastAsia="方正黑体_GBK" w:cs="Times New Roman"/>
          <w:b w:val="0"/>
          <w:bCs/>
          <w:lang w:eastAsia="zh-CN"/>
        </w:rPr>
        <w:t>二、收入决算情况说明</w:t>
      </w:r>
      <w:bookmarkEnd w:id="21"/>
      <w:bookmarkEnd w:id="22"/>
      <w:bookmarkEnd w:id="23"/>
    </w:p>
    <w:p w14:paraId="75213BBF">
      <w:pPr>
        <w:pStyle w:val="27"/>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outlineLvl w:val="1"/>
        <w:rPr>
          <w:rFonts w:hint="default" w:ascii="Times New Roman" w:hAnsi="Times New Roman" w:eastAsia="方正仿宋_GBK" w:cs="Times New Roman"/>
          <w:b/>
          <w:bCs/>
          <w:color w:val="auto"/>
          <w:sz w:val="32"/>
          <w:szCs w:val="32"/>
          <w:highlight w:val="none"/>
          <w:lang w:eastAsia="zh-CN"/>
        </w:rPr>
      </w:pPr>
      <w:bookmarkStart w:id="24" w:name="_Toc21062"/>
      <w:r>
        <w:rPr>
          <w:rFonts w:hint="default" w:ascii="Times New Roman" w:hAnsi="Times New Roman" w:eastAsia="方正仿宋_GBK" w:cs="Times New Roman"/>
          <w:color w:val="auto"/>
          <w:sz w:val="32"/>
          <w:szCs w:val="32"/>
          <w:highlight w:val="none"/>
          <w:lang w:eastAsia="zh-CN"/>
        </w:rPr>
        <w:t>2024年度本年收入合计</w:t>
      </w:r>
      <w:r>
        <w:rPr>
          <w:rFonts w:hint="default" w:ascii="Times New Roman" w:hAnsi="Times New Roman" w:eastAsia="方正仿宋_GBK" w:cs="Times New Roman"/>
          <w:sz w:val="32"/>
          <w:szCs w:val="32"/>
        </w:rPr>
        <w:t>772.97万元，其中：一般公共预算财政拨款收入772.97</w:t>
      </w:r>
      <w:r>
        <w:rPr>
          <w:rFonts w:hint="default" w:ascii="Times New Roman" w:hAnsi="Times New Roman" w:eastAsia="方正仿宋_GBK" w:cs="Times New Roman"/>
          <w:color w:val="auto"/>
          <w:sz w:val="32"/>
          <w:szCs w:val="32"/>
          <w:highlight w:val="none"/>
          <w:lang w:eastAsia="zh-CN"/>
        </w:rPr>
        <w:t>万元，占</w:t>
      </w:r>
      <w:r>
        <w:rPr>
          <w:rFonts w:hint="default" w:ascii="Times New Roman" w:hAnsi="Times New Roman" w:eastAsia="方正仿宋_GBK" w:cs="Times New Roman"/>
          <w:sz w:val="32"/>
          <w:szCs w:val="32"/>
        </w:rPr>
        <w:t>100</w:t>
      </w:r>
      <w:r>
        <w:rPr>
          <w:rFonts w:hint="default" w:ascii="Times New Roman" w:hAnsi="Times New Roman" w:eastAsia="方正仿宋_GBK" w:cs="Times New Roman"/>
          <w:color w:val="auto"/>
          <w:sz w:val="32"/>
          <w:szCs w:val="32"/>
          <w:highlight w:val="none"/>
          <w:lang w:eastAsia="zh-CN"/>
        </w:rPr>
        <w:t>%；政府性基金预算财政拨款收入</w:t>
      </w:r>
      <w:r>
        <w:rPr>
          <w:rFonts w:hint="default" w:ascii="Times New Roman" w:hAnsi="Times New Roman" w:eastAsia="方正仿宋_GBK" w:cs="Times New Roman"/>
          <w:sz w:val="32"/>
          <w:szCs w:val="32"/>
        </w:rPr>
        <w:t>0</w:t>
      </w:r>
      <w:r>
        <w:rPr>
          <w:rFonts w:hint="default" w:ascii="Times New Roman" w:hAnsi="Times New Roman" w:eastAsia="方正仿宋_GBK" w:cs="Times New Roman"/>
          <w:color w:val="auto"/>
          <w:sz w:val="32"/>
          <w:szCs w:val="32"/>
          <w:highlight w:val="none"/>
          <w:lang w:eastAsia="zh-CN"/>
        </w:rPr>
        <w:t>万元，占</w:t>
      </w:r>
      <w:r>
        <w:rPr>
          <w:rFonts w:hint="default" w:ascii="Times New Roman" w:hAnsi="Times New Roman" w:eastAsia="方正仿宋_GBK" w:cs="Times New Roman"/>
          <w:sz w:val="32"/>
          <w:szCs w:val="32"/>
        </w:rPr>
        <w:t>0</w:t>
      </w:r>
      <w:r>
        <w:rPr>
          <w:rFonts w:hint="default" w:ascii="Times New Roman" w:hAnsi="Times New Roman" w:eastAsia="方正仿宋_GBK" w:cs="Times New Roman"/>
          <w:color w:val="auto"/>
          <w:sz w:val="32"/>
          <w:szCs w:val="32"/>
          <w:highlight w:val="none"/>
          <w:lang w:eastAsia="zh-CN"/>
        </w:rPr>
        <w:t>%；国有资本经营预算财政拨款收入</w:t>
      </w:r>
      <w:r>
        <w:rPr>
          <w:rFonts w:hint="default" w:ascii="Times New Roman" w:hAnsi="Times New Roman" w:eastAsia="方正仿宋_GBK" w:cs="Times New Roman"/>
          <w:sz w:val="32"/>
          <w:szCs w:val="32"/>
        </w:rPr>
        <w:t>0</w:t>
      </w:r>
      <w:r>
        <w:rPr>
          <w:rFonts w:hint="default" w:ascii="Times New Roman" w:hAnsi="Times New Roman" w:eastAsia="方正仿宋_GBK" w:cs="Times New Roman"/>
          <w:color w:val="auto"/>
          <w:sz w:val="32"/>
          <w:szCs w:val="32"/>
          <w:highlight w:val="none"/>
          <w:lang w:eastAsia="zh-CN"/>
        </w:rPr>
        <w:t>万元，占</w:t>
      </w:r>
      <w:r>
        <w:rPr>
          <w:rFonts w:hint="default" w:ascii="Times New Roman" w:hAnsi="Times New Roman" w:eastAsia="方正仿宋_GBK" w:cs="Times New Roman"/>
          <w:sz w:val="32"/>
          <w:szCs w:val="32"/>
        </w:rPr>
        <w:t>0</w:t>
      </w:r>
      <w:r>
        <w:rPr>
          <w:rFonts w:hint="default" w:ascii="Times New Roman" w:hAnsi="Times New Roman" w:eastAsia="方正仿宋_GBK" w:cs="Times New Roman"/>
          <w:color w:val="auto"/>
          <w:sz w:val="32"/>
          <w:szCs w:val="32"/>
          <w:highlight w:val="none"/>
          <w:lang w:eastAsia="zh-CN"/>
        </w:rPr>
        <w:t>%；上级补助收入</w:t>
      </w:r>
      <w:r>
        <w:rPr>
          <w:rFonts w:hint="default" w:ascii="Times New Roman" w:hAnsi="Times New Roman" w:eastAsia="方正仿宋_GBK" w:cs="Times New Roman"/>
          <w:sz w:val="32"/>
          <w:szCs w:val="32"/>
        </w:rPr>
        <w:t>0</w:t>
      </w:r>
      <w:r>
        <w:rPr>
          <w:rFonts w:hint="default" w:ascii="Times New Roman" w:hAnsi="Times New Roman" w:eastAsia="方正仿宋_GBK" w:cs="Times New Roman"/>
          <w:color w:val="auto"/>
          <w:sz w:val="32"/>
          <w:szCs w:val="32"/>
          <w:highlight w:val="none"/>
          <w:lang w:eastAsia="zh-CN"/>
        </w:rPr>
        <w:t>万元，占</w:t>
      </w:r>
      <w:r>
        <w:rPr>
          <w:rFonts w:hint="default" w:ascii="Times New Roman" w:hAnsi="Times New Roman" w:eastAsia="方正仿宋_GBK" w:cs="Times New Roman"/>
          <w:sz w:val="32"/>
          <w:szCs w:val="32"/>
        </w:rPr>
        <w:t>0</w:t>
      </w:r>
      <w:r>
        <w:rPr>
          <w:rFonts w:hint="default" w:ascii="Times New Roman" w:hAnsi="Times New Roman" w:eastAsia="方正仿宋_GBK" w:cs="Times New Roman"/>
          <w:color w:val="auto"/>
          <w:sz w:val="32"/>
          <w:szCs w:val="32"/>
          <w:highlight w:val="none"/>
          <w:lang w:eastAsia="zh-CN"/>
        </w:rPr>
        <w:t>%；事业收入</w:t>
      </w:r>
      <w:r>
        <w:rPr>
          <w:rFonts w:hint="default" w:ascii="Times New Roman" w:hAnsi="Times New Roman" w:eastAsia="方正仿宋_GBK" w:cs="Times New Roman"/>
          <w:sz w:val="32"/>
          <w:szCs w:val="32"/>
        </w:rPr>
        <w:t>0</w:t>
      </w:r>
      <w:r>
        <w:rPr>
          <w:rFonts w:hint="default" w:ascii="Times New Roman" w:hAnsi="Times New Roman" w:eastAsia="方正仿宋_GBK" w:cs="Times New Roman"/>
          <w:color w:val="auto"/>
          <w:sz w:val="32"/>
          <w:szCs w:val="32"/>
          <w:highlight w:val="none"/>
          <w:lang w:eastAsia="zh-CN"/>
        </w:rPr>
        <w:t>万元，占</w:t>
      </w:r>
      <w:r>
        <w:rPr>
          <w:rFonts w:hint="default" w:ascii="Times New Roman" w:hAnsi="Times New Roman" w:eastAsia="方正仿宋_GBK" w:cs="Times New Roman"/>
          <w:sz w:val="32"/>
          <w:szCs w:val="32"/>
        </w:rPr>
        <w:t>0</w:t>
      </w:r>
      <w:r>
        <w:rPr>
          <w:rFonts w:hint="default" w:ascii="Times New Roman" w:hAnsi="Times New Roman" w:eastAsia="方正仿宋_GBK" w:cs="Times New Roman"/>
          <w:color w:val="auto"/>
          <w:sz w:val="32"/>
          <w:szCs w:val="32"/>
          <w:highlight w:val="none"/>
          <w:lang w:eastAsia="zh-CN"/>
        </w:rPr>
        <w:t>%；经营收入</w:t>
      </w:r>
      <w:r>
        <w:rPr>
          <w:rFonts w:hint="default" w:ascii="Times New Roman" w:hAnsi="Times New Roman" w:eastAsia="方正仿宋_GBK" w:cs="Times New Roman"/>
          <w:sz w:val="32"/>
          <w:szCs w:val="32"/>
        </w:rPr>
        <w:t>0</w:t>
      </w:r>
      <w:r>
        <w:rPr>
          <w:rFonts w:hint="default" w:ascii="Times New Roman" w:hAnsi="Times New Roman" w:eastAsia="方正仿宋_GBK" w:cs="Times New Roman"/>
          <w:color w:val="auto"/>
          <w:sz w:val="32"/>
          <w:szCs w:val="32"/>
          <w:highlight w:val="none"/>
          <w:lang w:eastAsia="zh-CN"/>
        </w:rPr>
        <w:t>万元，占</w:t>
      </w:r>
      <w:r>
        <w:rPr>
          <w:rFonts w:hint="default" w:ascii="Times New Roman" w:hAnsi="Times New Roman" w:eastAsia="方正仿宋_GBK" w:cs="Times New Roman"/>
          <w:sz w:val="32"/>
          <w:szCs w:val="32"/>
        </w:rPr>
        <w:t>0</w:t>
      </w:r>
      <w:r>
        <w:rPr>
          <w:rFonts w:hint="default" w:ascii="Times New Roman" w:hAnsi="Times New Roman" w:eastAsia="方正仿宋_GBK" w:cs="Times New Roman"/>
          <w:color w:val="auto"/>
          <w:sz w:val="32"/>
          <w:szCs w:val="32"/>
          <w:highlight w:val="none"/>
          <w:lang w:eastAsia="zh-CN"/>
        </w:rPr>
        <w:t>%；附属单位上缴收入</w:t>
      </w:r>
      <w:r>
        <w:rPr>
          <w:rFonts w:hint="default" w:ascii="Times New Roman" w:hAnsi="Times New Roman" w:eastAsia="方正仿宋_GBK" w:cs="Times New Roman"/>
          <w:sz w:val="32"/>
          <w:szCs w:val="32"/>
        </w:rPr>
        <w:t>0</w:t>
      </w:r>
      <w:r>
        <w:rPr>
          <w:rFonts w:hint="default" w:ascii="Times New Roman" w:hAnsi="Times New Roman" w:eastAsia="方正仿宋_GBK" w:cs="Times New Roman"/>
          <w:color w:val="auto"/>
          <w:sz w:val="32"/>
          <w:szCs w:val="32"/>
          <w:highlight w:val="none"/>
          <w:lang w:eastAsia="zh-CN"/>
        </w:rPr>
        <w:t>万元，占</w:t>
      </w:r>
      <w:r>
        <w:rPr>
          <w:rFonts w:hint="default" w:ascii="Times New Roman" w:hAnsi="Times New Roman" w:eastAsia="方正仿宋_GBK" w:cs="Times New Roman"/>
          <w:sz w:val="32"/>
          <w:szCs w:val="32"/>
        </w:rPr>
        <w:t>0</w:t>
      </w:r>
      <w:r>
        <w:rPr>
          <w:rFonts w:hint="default" w:ascii="Times New Roman" w:hAnsi="Times New Roman" w:eastAsia="方正仿宋_GBK" w:cs="Times New Roman"/>
          <w:color w:val="auto"/>
          <w:sz w:val="32"/>
          <w:szCs w:val="32"/>
          <w:highlight w:val="none"/>
          <w:lang w:eastAsia="zh-CN"/>
        </w:rPr>
        <w:t>%；其他收入</w:t>
      </w:r>
      <w:r>
        <w:rPr>
          <w:rFonts w:hint="default" w:ascii="Times New Roman" w:hAnsi="Times New Roman" w:eastAsia="方正仿宋_GBK" w:cs="Times New Roman"/>
          <w:sz w:val="32"/>
          <w:szCs w:val="32"/>
        </w:rPr>
        <w:t>0</w:t>
      </w:r>
      <w:r>
        <w:rPr>
          <w:rFonts w:hint="default" w:ascii="Times New Roman" w:hAnsi="Times New Roman" w:eastAsia="方正仿宋_GBK" w:cs="Times New Roman"/>
          <w:color w:val="auto"/>
          <w:sz w:val="32"/>
          <w:szCs w:val="32"/>
          <w:highlight w:val="none"/>
          <w:lang w:eastAsia="zh-CN"/>
        </w:rPr>
        <w:t>万元，占</w:t>
      </w:r>
      <w:r>
        <w:rPr>
          <w:rFonts w:hint="default" w:ascii="Times New Roman" w:hAnsi="Times New Roman" w:eastAsia="方正仿宋_GBK" w:cs="Times New Roman"/>
          <w:sz w:val="32"/>
          <w:szCs w:val="32"/>
        </w:rPr>
        <w:t>0</w:t>
      </w:r>
      <w:r>
        <w:rPr>
          <w:rFonts w:hint="default" w:ascii="Times New Roman" w:hAnsi="Times New Roman" w:eastAsia="方正仿宋_GBK" w:cs="Times New Roman"/>
          <w:color w:val="auto"/>
          <w:sz w:val="32"/>
          <w:szCs w:val="32"/>
          <w:highlight w:val="none"/>
          <w:lang w:eastAsia="zh-CN"/>
        </w:rPr>
        <w:t>%。</w:t>
      </w:r>
      <w:bookmarkEnd w:id="24"/>
    </w:p>
    <w:p w14:paraId="248CB210">
      <w:pPr>
        <w:spacing w:line="240" w:lineRule="auto"/>
        <w:jc w:val="center"/>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lang w:eastAsia="zh-CN"/>
        </w:rPr>
        <w:t>图2：收入决算结构图）</w:t>
      </w:r>
    </w:p>
    <w:p w14:paraId="17710738">
      <w:pPr>
        <w:spacing w:line="240" w:lineRule="auto"/>
        <w:jc w:val="both"/>
        <w:rPr>
          <w:rFonts w:hint="default" w:ascii="Times New Roman" w:hAnsi="Times New Roman" w:eastAsia="仿宋_GB2312" w:cs="Times New Roman"/>
          <w:color w:val="auto"/>
          <w:sz w:val="32"/>
          <w:szCs w:val="32"/>
          <w:highlight w:val="none"/>
          <w:lang w:eastAsia="zh-CN"/>
        </w:rPr>
      </w:pPr>
      <w:r>
        <w:rPr>
          <w:rFonts w:hint="default" w:ascii="Times New Roman" w:hAnsi="Times New Roman" w:cs="Times New Roman"/>
        </w:rPr>
        <w:drawing>
          <wp:inline distT="0" distB="0" distL="114300" distR="114300">
            <wp:extent cx="5293995" cy="4105910"/>
            <wp:effectExtent l="4445" t="4445" r="16510" b="23495"/>
            <wp:docPr id="5"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442EC677">
      <w:pPr>
        <w:pStyle w:val="4"/>
        <w:keepNext/>
        <w:keepLines/>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方正黑体_GBK" w:cs="Times New Roman"/>
          <w:b w:val="0"/>
          <w:bCs/>
          <w:lang w:eastAsia="zh-CN"/>
        </w:rPr>
      </w:pPr>
      <w:bookmarkStart w:id="25" w:name="_Toc15377207"/>
      <w:bookmarkStart w:id="26" w:name="_Toc15396605"/>
      <w:bookmarkStart w:id="27" w:name="_Toc16676"/>
      <w:r>
        <w:rPr>
          <w:rFonts w:hint="default" w:ascii="Times New Roman" w:hAnsi="Times New Roman" w:eastAsia="方正黑体_GBK" w:cs="Times New Roman"/>
          <w:b w:val="0"/>
          <w:bCs/>
          <w:lang w:eastAsia="zh-CN"/>
        </w:rPr>
        <w:t>三、支出决算情况说明</w:t>
      </w:r>
      <w:bookmarkEnd w:id="25"/>
      <w:bookmarkEnd w:id="26"/>
      <w:bookmarkEnd w:id="27"/>
    </w:p>
    <w:p w14:paraId="3111CC79">
      <w:pPr>
        <w:pStyle w:val="27"/>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outlineLvl w:val="1"/>
        <w:rPr>
          <w:rFonts w:hint="default" w:ascii="Times New Roman" w:hAnsi="Times New Roman" w:eastAsia="方正仿宋_GBK" w:cs="Times New Roman"/>
          <w:color w:val="auto"/>
          <w:sz w:val="32"/>
          <w:szCs w:val="32"/>
          <w:highlight w:val="none"/>
          <w:lang w:eastAsia="zh-CN"/>
        </w:rPr>
      </w:pPr>
      <w:bookmarkStart w:id="28" w:name="_Toc14966"/>
      <w:r>
        <w:rPr>
          <w:rFonts w:hint="default" w:ascii="Times New Roman" w:hAnsi="Times New Roman" w:eastAsia="方正仿宋_GBK" w:cs="Times New Roman"/>
          <w:color w:val="auto"/>
          <w:sz w:val="32"/>
          <w:szCs w:val="32"/>
          <w:highlight w:val="none"/>
          <w:lang w:eastAsia="zh-CN"/>
        </w:rPr>
        <w:t>2024年度本年支出合计</w:t>
      </w:r>
      <w:r>
        <w:rPr>
          <w:rFonts w:hint="default" w:ascii="Times New Roman" w:hAnsi="Times New Roman" w:eastAsia="方正仿宋_GBK" w:cs="Times New Roman"/>
          <w:sz w:val="32"/>
          <w:szCs w:val="32"/>
        </w:rPr>
        <w:t>772.97</w:t>
      </w:r>
      <w:r>
        <w:rPr>
          <w:rFonts w:hint="default" w:ascii="Times New Roman" w:hAnsi="Times New Roman" w:eastAsia="方正仿宋_GBK" w:cs="Times New Roman"/>
          <w:color w:val="auto"/>
          <w:sz w:val="32"/>
          <w:szCs w:val="32"/>
          <w:highlight w:val="none"/>
          <w:lang w:eastAsia="zh-CN"/>
        </w:rPr>
        <w:t>万元，其中：基本支出</w:t>
      </w:r>
      <w:r>
        <w:rPr>
          <w:rFonts w:hint="default" w:ascii="Times New Roman" w:hAnsi="Times New Roman" w:eastAsia="方正仿宋_GBK" w:cs="Times New Roman"/>
          <w:sz w:val="32"/>
          <w:szCs w:val="32"/>
        </w:rPr>
        <w:t>577.52</w:t>
      </w:r>
      <w:r>
        <w:rPr>
          <w:rFonts w:hint="default" w:ascii="Times New Roman" w:hAnsi="Times New Roman" w:eastAsia="方正仿宋_GBK" w:cs="Times New Roman"/>
          <w:color w:val="auto"/>
          <w:sz w:val="32"/>
          <w:szCs w:val="32"/>
          <w:highlight w:val="none"/>
          <w:lang w:eastAsia="zh-CN"/>
        </w:rPr>
        <w:t>万元，占</w:t>
      </w:r>
      <w:r>
        <w:rPr>
          <w:rFonts w:hint="default" w:ascii="Times New Roman" w:hAnsi="Times New Roman" w:eastAsia="方正仿宋_GBK" w:cs="Times New Roman"/>
          <w:sz w:val="32"/>
          <w:szCs w:val="32"/>
        </w:rPr>
        <w:t>74.71</w:t>
      </w:r>
      <w:r>
        <w:rPr>
          <w:rFonts w:hint="default" w:ascii="Times New Roman" w:hAnsi="Times New Roman" w:eastAsia="方正仿宋_GBK" w:cs="Times New Roman"/>
          <w:color w:val="auto"/>
          <w:sz w:val="32"/>
          <w:szCs w:val="32"/>
          <w:highlight w:val="none"/>
          <w:lang w:eastAsia="zh-CN"/>
        </w:rPr>
        <w:t>%；项目支出</w:t>
      </w:r>
      <w:r>
        <w:rPr>
          <w:rFonts w:hint="default" w:ascii="Times New Roman" w:hAnsi="Times New Roman" w:eastAsia="方正仿宋_GBK" w:cs="Times New Roman"/>
          <w:sz w:val="32"/>
          <w:szCs w:val="32"/>
        </w:rPr>
        <w:t>195.45</w:t>
      </w:r>
      <w:r>
        <w:rPr>
          <w:rFonts w:hint="default" w:ascii="Times New Roman" w:hAnsi="Times New Roman" w:eastAsia="方正仿宋_GBK" w:cs="Times New Roman"/>
          <w:color w:val="auto"/>
          <w:sz w:val="32"/>
          <w:szCs w:val="32"/>
          <w:highlight w:val="none"/>
          <w:lang w:eastAsia="zh-CN"/>
        </w:rPr>
        <w:t>万元，占</w:t>
      </w:r>
      <w:r>
        <w:rPr>
          <w:rFonts w:hint="default" w:ascii="Times New Roman" w:hAnsi="Times New Roman" w:eastAsia="方正仿宋_GBK" w:cs="Times New Roman"/>
          <w:sz w:val="32"/>
          <w:szCs w:val="32"/>
        </w:rPr>
        <w:t>25.2</w:t>
      </w:r>
      <w:r>
        <w:rPr>
          <w:rFonts w:hint="default" w:ascii="Times New Roman" w:hAnsi="Times New Roman" w:eastAsia="方正仿宋_GBK" w:cs="Times New Roman"/>
          <w:sz w:val="32"/>
          <w:szCs w:val="32"/>
          <w:lang w:val="en-US" w:eastAsia="zh-CN"/>
        </w:rPr>
        <w:t>9</w:t>
      </w:r>
      <w:r>
        <w:rPr>
          <w:rFonts w:hint="default" w:ascii="Times New Roman" w:hAnsi="Times New Roman" w:eastAsia="方正仿宋_GBK" w:cs="Times New Roman"/>
          <w:color w:val="auto"/>
          <w:sz w:val="32"/>
          <w:szCs w:val="32"/>
          <w:highlight w:val="none"/>
          <w:lang w:eastAsia="zh-CN"/>
        </w:rPr>
        <w:t>%；上缴上级支出</w:t>
      </w:r>
      <w:r>
        <w:rPr>
          <w:rFonts w:hint="default" w:ascii="Times New Roman" w:hAnsi="Times New Roman" w:eastAsia="方正仿宋_GBK" w:cs="Times New Roman"/>
          <w:sz w:val="32"/>
          <w:szCs w:val="32"/>
        </w:rPr>
        <w:t>0</w:t>
      </w:r>
      <w:r>
        <w:rPr>
          <w:rFonts w:hint="default" w:ascii="Times New Roman" w:hAnsi="Times New Roman" w:eastAsia="方正仿宋_GBK" w:cs="Times New Roman"/>
          <w:color w:val="auto"/>
          <w:sz w:val="32"/>
          <w:szCs w:val="32"/>
          <w:highlight w:val="none"/>
          <w:lang w:eastAsia="zh-CN"/>
        </w:rPr>
        <w:t>万元，占</w:t>
      </w:r>
      <w:r>
        <w:rPr>
          <w:rFonts w:hint="default" w:ascii="Times New Roman" w:hAnsi="Times New Roman" w:eastAsia="方正仿宋_GBK" w:cs="Times New Roman"/>
          <w:sz w:val="32"/>
          <w:szCs w:val="32"/>
        </w:rPr>
        <w:t>0</w:t>
      </w:r>
      <w:r>
        <w:rPr>
          <w:rFonts w:hint="default" w:ascii="Times New Roman" w:hAnsi="Times New Roman" w:eastAsia="方正仿宋_GBK" w:cs="Times New Roman"/>
          <w:color w:val="auto"/>
          <w:sz w:val="32"/>
          <w:szCs w:val="32"/>
          <w:highlight w:val="none"/>
          <w:lang w:eastAsia="zh-CN"/>
        </w:rPr>
        <w:t>%；经营支出</w:t>
      </w:r>
      <w:r>
        <w:rPr>
          <w:rFonts w:hint="default" w:ascii="Times New Roman" w:hAnsi="Times New Roman" w:eastAsia="方正仿宋_GBK" w:cs="Times New Roman"/>
          <w:sz w:val="32"/>
          <w:szCs w:val="32"/>
        </w:rPr>
        <w:t>0</w:t>
      </w:r>
      <w:r>
        <w:rPr>
          <w:rFonts w:hint="default" w:ascii="Times New Roman" w:hAnsi="Times New Roman" w:eastAsia="方正仿宋_GBK" w:cs="Times New Roman"/>
          <w:color w:val="auto"/>
          <w:sz w:val="32"/>
          <w:szCs w:val="32"/>
          <w:highlight w:val="none"/>
          <w:lang w:eastAsia="zh-CN"/>
        </w:rPr>
        <w:t>万元，占</w:t>
      </w:r>
      <w:r>
        <w:rPr>
          <w:rFonts w:hint="default" w:ascii="Times New Roman" w:hAnsi="Times New Roman" w:eastAsia="方正仿宋_GBK" w:cs="Times New Roman"/>
          <w:sz w:val="32"/>
          <w:szCs w:val="32"/>
        </w:rPr>
        <w:t>0</w:t>
      </w:r>
      <w:r>
        <w:rPr>
          <w:rFonts w:hint="default" w:ascii="Times New Roman" w:hAnsi="Times New Roman" w:eastAsia="方正仿宋_GBK" w:cs="Times New Roman"/>
          <w:color w:val="auto"/>
          <w:sz w:val="32"/>
          <w:szCs w:val="32"/>
          <w:highlight w:val="none"/>
          <w:lang w:eastAsia="zh-CN"/>
        </w:rPr>
        <w:t>%；对附属单位补助支出</w:t>
      </w:r>
      <w:r>
        <w:rPr>
          <w:rFonts w:hint="default" w:ascii="Times New Roman" w:hAnsi="Times New Roman" w:eastAsia="方正仿宋_GBK" w:cs="Times New Roman"/>
          <w:sz w:val="32"/>
          <w:szCs w:val="32"/>
        </w:rPr>
        <w:t>0</w:t>
      </w:r>
      <w:r>
        <w:rPr>
          <w:rFonts w:hint="default" w:ascii="Times New Roman" w:hAnsi="Times New Roman" w:eastAsia="方正仿宋_GBK" w:cs="Times New Roman"/>
          <w:color w:val="auto"/>
          <w:sz w:val="32"/>
          <w:szCs w:val="32"/>
          <w:highlight w:val="none"/>
          <w:lang w:eastAsia="zh-CN"/>
        </w:rPr>
        <w:t>万元，占</w:t>
      </w:r>
      <w:r>
        <w:rPr>
          <w:rFonts w:hint="default" w:ascii="Times New Roman" w:hAnsi="Times New Roman" w:eastAsia="方正仿宋_GBK" w:cs="Times New Roman"/>
          <w:sz w:val="32"/>
          <w:szCs w:val="32"/>
        </w:rPr>
        <w:t>0%</w:t>
      </w:r>
      <w:r>
        <w:rPr>
          <w:rFonts w:hint="default" w:ascii="Times New Roman" w:hAnsi="Times New Roman" w:eastAsia="方正仿宋_GBK" w:cs="Times New Roman"/>
          <w:color w:val="auto"/>
          <w:sz w:val="32"/>
          <w:szCs w:val="32"/>
          <w:highlight w:val="none"/>
          <w:lang w:eastAsia="zh-CN"/>
        </w:rPr>
        <w:t>。</w:t>
      </w:r>
      <w:bookmarkEnd w:id="28"/>
    </w:p>
    <w:p w14:paraId="5F2C44A8">
      <w:pPr>
        <w:pStyle w:val="27"/>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1"/>
        <w:rPr>
          <w:rFonts w:hint="default" w:ascii="Times New Roman" w:hAnsi="Times New Roman" w:eastAsia="方正仿宋_GBK" w:cs="Times New Roman"/>
          <w:color w:val="auto"/>
          <w:sz w:val="32"/>
          <w:szCs w:val="32"/>
          <w:highlight w:val="none"/>
          <w:lang w:eastAsia="zh-CN"/>
        </w:rPr>
      </w:pPr>
      <w:bookmarkStart w:id="29" w:name="_Toc19443"/>
      <w:r>
        <w:rPr>
          <w:rFonts w:hint="default" w:ascii="Times New Roman" w:hAnsi="Times New Roman" w:eastAsia="方正仿宋_GBK" w:cs="Times New Roman"/>
          <w:color w:val="auto"/>
          <w:sz w:val="32"/>
          <w:szCs w:val="32"/>
          <w:highlight w:val="none"/>
          <w:lang w:eastAsia="zh-CN"/>
        </w:rPr>
        <w:t>（图3：支出决算结构图）</w:t>
      </w:r>
      <w:bookmarkEnd w:id="29"/>
    </w:p>
    <w:p w14:paraId="00816E54">
      <w:pPr>
        <w:spacing w:line="240" w:lineRule="auto"/>
        <w:jc w:val="center"/>
        <w:rPr>
          <w:rFonts w:hint="default" w:ascii="Times New Roman" w:hAnsi="Times New Roman" w:eastAsia="仿宋_GB2312" w:cs="Times New Roman"/>
          <w:color w:val="auto"/>
          <w:sz w:val="32"/>
          <w:szCs w:val="32"/>
          <w:highlight w:val="none"/>
          <w:lang w:eastAsia="zh-CN"/>
        </w:rPr>
      </w:pPr>
      <w:r>
        <w:rPr>
          <w:rFonts w:hint="default" w:ascii="Times New Roman" w:hAnsi="Times New Roman" w:cs="Times New Roman"/>
        </w:rPr>
        <w:drawing>
          <wp:inline distT="0" distB="0" distL="114300" distR="114300">
            <wp:extent cx="3646170" cy="2506345"/>
            <wp:effectExtent l="4445" t="4445" r="6985" b="22860"/>
            <wp:docPr id="6"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16C3AE99">
      <w:pPr>
        <w:pStyle w:val="4"/>
        <w:keepNext/>
        <w:keepLines/>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方正黑体_GBK" w:cs="Times New Roman"/>
          <w:b w:val="0"/>
          <w:bCs/>
          <w:lang w:eastAsia="zh-CN"/>
        </w:rPr>
      </w:pPr>
      <w:bookmarkStart w:id="30" w:name="_Toc15396606"/>
      <w:bookmarkStart w:id="31" w:name="_Toc15377208"/>
      <w:bookmarkStart w:id="32" w:name="_Toc29078"/>
      <w:r>
        <w:rPr>
          <w:rFonts w:hint="default" w:ascii="Times New Roman" w:hAnsi="Times New Roman" w:eastAsia="方正黑体_GBK" w:cs="Times New Roman"/>
          <w:b w:val="0"/>
          <w:bCs/>
          <w:lang w:eastAsia="zh-CN"/>
        </w:rPr>
        <w:t>四、财政拨款收入支出决算总体情况说明</w:t>
      </w:r>
      <w:bookmarkEnd w:id="30"/>
      <w:bookmarkEnd w:id="31"/>
      <w:bookmarkEnd w:id="32"/>
    </w:p>
    <w:p w14:paraId="01056836">
      <w:pPr>
        <w:pStyle w:val="27"/>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outlineLvl w:val="1"/>
        <w:rPr>
          <w:rFonts w:hint="default" w:ascii="Times New Roman" w:hAnsi="Times New Roman" w:eastAsia="仿宋_GB2312" w:cs="Times New Roman"/>
          <w:color w:val="auto"/>
          <w:kern w:val="2"/>
          <w:sz w:val="32"/>
          <w:szCs w:val="32"/>
          <w:highlight w:val="none"/>
          <w:lang w:val="en-US" w:eastAsia="zh-CN" w:bidi="ar-SA"/>
        </w:rPr>
      </w:pPr>
      <w:bookmarkStart w:id="33" w:name="_Toc15117"/>
      <w:r>
        <w:rPr>
          <w:rFonts w:hint="default" w:ascii="Times New Roman" w:hAnsi="Times New Roman" w:eastAsia="方正仿宋_GBK" w:cs="Times New Roman"/>
          <w:color w:val="auto"/>
          <w:sz w:val="32"/>
          <w:szCs w:val="32"/>
          <w:highlight w:val="none"/>
          <w:lang w:val="en-US" w:eastAsia="zh-CN"/>
        </w:rPr>
        <w:t>2024年度财政拨款收入、支出总计均为</w:t>
      </w:r>
      <w:r>
        <w:rPr>
          <w:rFonts w:hint="default" w:ascii="Times New Roman" w:hAnsi="Times New Roman" w:eastAsia="方正仿宋_GBK" w:cs="Times New Roman"/>
          <w:color w:val="auto"/>
          <w:sz w:val="32"/>
          <w:szCs w:val="32"/>
          <w:highlight w:val="none"/>
          <w:lang w:eastAsia="zh-CN"/>
        </w:rPr>
        <w:t>772.97</w:t>
      </w:r>
      <w:r>
        <w:rPr>
          <w:rFonts w:hint="default" w:ascii="Times New Roman" w:hAnsi="Times New Roman" w:eastAsia="方正仿宋_GBK" w:cs="Times New Roman"/>
          <w:color w:val="auto"/>
          <w:sz w:val="32"/>
          <w:szCs w:val="32"/>
          <w:highlight w:val="none"/>
          <w:lang w:val="en-US" w:eastAsia="zh-CN"/>
        </w:rPr>
        <w:t>万元。与2023年度相比（2023年度823.76万元），财政拨款收入总计、支出总计各减少50.79万元，下降6.17%。</w:t>
      </w:r>
      <w:r>
        <w:rPr>
          <w:rFonts w:hint="default" w:ascii="Times New Roman" w:hAnsi="Times New Roman" w:eastAsia="方正仿宋_GBK" w:cs="Times New Roman"/>
          <w:color w:val="auto"/>
          <w:sz w:val="32"/>
          <w:szCs w:val="32"/>
          <w:highlight w:val="none"/>
          <w:lang w:eastAsia="zh-CN"/>
        </w:rPr>
        <w:t>主要变动原因是</w:t>
      </w:r>
      <w:r>
        <w:rPr>
          <w:rFonts w:hint="default" w:ascii="Times New Roman" w:hAnsi="Times New Roman" w:eastAsia="方正仿宋_GBK" w:cs="Times New Roman"/>
          <w:color w:val="auto"/>
          <w:sz w:val="32"/>
          <w:szCs w:val="32"/>
          <w:highlight w:val="none"/>
          <w:lang w:val="en-US" w:eastAsia="zh-CN"/>
        </w:rPr>
        <w:t>本年度</w:t>
      </w:r>
      <w:r>
        <w:rPr>
          <w:rFonts w:hint="default" w:ascii="Times New Roman" w:hAnsi="Times New Roman" w:eastAsia="方正仿宋_GBK" w:cs="Times New Roman"/>
          <w:color w:val="auto"/>
          <w:sz w:val="32"/>
          <w:szCs w:val="32"/>
          <w:highlight w:val="none"/>
          <w:lang w:eastAsia="zh-CN"/>
        </w:rPr>
        <w:t>退休3人，新招2人，调离1人及本年无新增工程项目。</w:t>
      </w:r>
      <w:bookmarkEnd w:id="33"/>
    </w:p>
    <w:p w14:paraId="130BB090">
      <w:pPr>
        <w:spacing w:line="240" w:lineRule="auto"/>
        <w:jc w:val="center"/>
        <w:rPr>
          <w:rFonts w:hint="default" w:ascii="Times New Roman" w:hAnsi="Times New Roman" w:eastAsia="仿宋_GB2312" w:cs="Times New Roman"/>
          <w:color w:val="auto"/>
          <w:kern w:val="2"/>
          <w:sz w:val="32"/>
          <w:szCs w:val="32"/>
          <w:highlight w:val="none"/>
          <w:lang w:val="en-US" w:eastAsia="zh-CN" w:bidi="ar-SA"/>
        </w:rPr>
      </w:pPr>
      <w:r>
        <w:rPr>
          <w:rFonts w:hint="default" w:ascii="Times New Roman" w:hAnsi="Times New Roman" w:eastAsia="仿宋_GB2312" w:cs="Times New Roman"/>
          <w:color w:val="auto"/>
          <w:kern w:val="2"/>
          <w:sz w:val="32"/>
          <w:szCs w:val="32"/>
          <w:highlight w:val="none"/>
          <w:lang w:val="en-US" w:eastAsia="zh-CN" w:bidi="ar-SA"/>
        </w:rPr>
        <w:t>（图4：财政拨款收、支决算总计变动情况）</w:t>
      </w:r>
      <w:r>
        <w:rPr>
          <w:rFonts w:hint="default" w:ascii="Times New Roman" w:hAnsi="Times New Roman" w:cs="Times New Roman"/>
        </w:rPr>
        <w:drawing>
          <wp:inline distT="0" distB="0" distL="114300" distR="114300">
            <wp:extent cx="5031105" cy="2581275"/>
            <wp:effectExtent l="4445" t="4445" r="12700" b="5080"/>
            <wp:docPr id="9" name="图表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2C4BD700">
      <w:pPr>
        <w:pStyle w:val="4"/>
        <w:keepNext/>
        <w:keepLines/>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方正黑体_GBK" w:cs="Times New Roman"/>
          <w:b w:val="0"/>
          <w:bCs/>
          <w:lang w:eastAsia="zh-CN"/>
        </w:rPr>
      </w:pPr>
      <w:bookmarkStart w:id="34" w:name="_Toc15396607"/>
      <w:bookmarkStart w:id="35" w:name="_Toc15377209"/>
      <w:bookmarkStart w:id="36" w:name="_Toc5494"/>
      <w:r>
        <w:rPr>
          <w:rFonts w:hint="default" w:ascii="Times New Roman" w:hAnsi="Times New Roman" w:eastAsia="方正黑体_GBK" w:cs="Times New Roman"/>
          <w:b w:val="0"/>
          <w:bCs/>
          <w:lang w:eastAsia="zh-CN"/>
        </w:rPr>
        <w:t>五、一般公共预算财政拨款支出决算情况说明</w:t>
      </w:r>
      <w:bookmarkEnd w:id="34"/>
      <w:bookmarkEnd w:id="35"/>
      <w:bookmarkEnd w:id="36"/>
    </w:p>
    <w:p w14:paraId="298DDD6F">
      <w:pPr>
        <w:spacing w:line="240" w:lineRule="auto"/>
        <w:ind w:firstLine="643" w:firstLineChars="200"/>
        <w:outlineLvl w:val="2"/>
        <w:rPr>
          <w:rFonts w:hint="default" w:ascii="Times New Roman" w:hAnsi="Times New Roman" w:eastAsia="楷体_GB2312" w:cs="Times New Roman"/>
          <w:b/>
          <w:color w:val="auto"/>
          <w:sz w:val="32"/>
          <w:szCs w:val="32"/>
          <w:highlight w:val="none"/>
        </w:rPr>
      </w:pPr>
      <w:bookmarkStart w:id="37" w:name="_Toc15377210"/>
      <w:r>
        <w:rPr>
          <w:rFonts w:hint="default" w:ascii="Times New Roman" w:hAnsi="Times New Roman" w:eastAsia="方正楷体_GBK" w:cs="Times New Roman"/>
          <w:b/>
          <w:color w:val="auto"/>
          <w:sz w:val="32"/>
          <w:szCs w:val="32"/>
          <w:highlight w:val="none"/>
        </w:rPr>
        <w:t>（一）一般公共预算财政拨款支出决算总体情况</w:t>
      </w:r>
      <w:bookmarkEnd w:id="37"/>
    </w:p>
    <w:p w14:paraId="5F10E5F0">
      <w:pPr>
        <w:pStyle w:val="27"/>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outlineLvl w:val="1"/>
        <w:rPr>
          <w:rFonts w:hint="default" w:ascii="Times New Roman" w:hAnsi="Times New Roman" w:eastAsia="仿宋_GB2312" w:cs="Times New Roman"/>
          <w:color w:val="auto"/>
          <w:kern w:val="2"/>
          <w:sz w:val="32"/>
          <w:szCs w:val="32"/>
          <w:highlight w:val="none"/>
          <w:lang w:val="en-US" w:eastAsia="zh-CN" w:bidi="ar-SA"/>
        </w:rPr>
      </w:pPr>
      <w:bookmarkStart w:id="38" w:name="_Toc28673"/>
      <w:r>
        <w:rPr>
          <w:rFonts w:hint="default" w:ascii="Times New Roman" w:hAnsi="Times New Roman" w:eastAsia="方正仿宋_GBK" w:cs="Times New Roman"/>
          <w:color w:val="auto"/>
          <w:sz w:val="32"/>
          <w:szCs w:val="32"/>
          <w:highlight w:val="none"/>
          <w:lang w:val="en-US" w:eastAsia="zh-CN"/>
        </w:rPr>
        <w:t>2024年度一般公共预算财政拨款支出772.97万元，占本年支出合计的100%。与2023年度相比（2023年度823.76万元），一般公共预算财政拨款支出减少50.79万元，下降6.17%。主要变动原因是本年度退休3人，新招2人，调离1人及本年无新增工程项目。</w:t>
      </w:r>
      <w:bookmarkEnd w:id="38"/>
    </w:p>
    <w:p w14:paraId="677293BD">
      <w:pPr>
        <w:pStyle w:val="27"/>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outlineLvl w:val="1"/>
        <w:rPr>
          <w:rFonts w:hint="default" w:ascii="Times New Roman" w:hAnsi="Times New Roman" w:eastAsia="仿宋_GB2312" w:cs="Times New Roman"/>
          <w:color w:val="auto"/>
          <w:kern w:val="2"/>
          <w:sz w:val="32"/>
          <w:szCs w:val="32"/>
          <w:highlight w:val="none"/>
          <w:lang w:val="en-US" w:eastAsia="zh-CN" w:bidi="ar-SA"/>
        </w:rPr>
      </w:pPr>
      <w:bookmarkStart w:id="39" w:name="_Toc14460"/>
      <w:r>
        <w:rPr>
          <w:rFonts w:hint="default" w:ascii="Times New Roman" w:hAnsi="Times New Roman" w:eastAsia="方正仿宋_GBK" w:cs="Times New Roman"/>
          <w:color w:val="auto"/>
          <w:sz w:val="32"/>
          <w:szCs w:val="32"/>
          <w:highlight w:val="none"/>
          <w:lang w:val="en-US" w:eastAsia="zh-CN"/>
        </w:rPr>
        <w:t>（图5：一般公共预算财政拨款支出决算变动情况）</w:t>
      </w:r>
      <w:bookmarkEnd w:id="39"/>
    </w:p>
    <w:p w14:paraId="4D7DC267">
      <w:pPr>
        <w:pStyle w:val="19"/>
        <w:spacing w:line="240" w:lineRule="auto"/>
        <w:jc w:val="both"/>
        <w:rPr>
          <w:rFonts w:hint="default" w:ascii="Times New Roman" w:hAnsi="Times New Roman" w:eastAsia="楷体_GB2312" w:cs="Times New Roman"/>
          <w:b/>
          <w:color w:val="auto"/>
          <w:sz w:val="32"/>
          <w:szCs w:val="32"/>
          <w:highlight w:val="none"/>
        </w:rPr>
      </w:pPr>
      <w:r>
        <w:rPr>
          <w:rFonts w:hint="default" w:ascii="Times New Roman" w:hAnsi="Times New Roman" w:cs="Times New Roman"/>
        </w:rPr>
        <w:drawing>
          <wp:inline distT="0" distB="0" distL="114300" distR="114300">
            <wp:extent cx="5290185" cy="3904615"/>
            <wp:effectExtent l="5080" t="4445" r="19685" b="15240"/>
            <wp:docPr id="10"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bookmarkStart w:id="40" w:name="_Toc15377211"/>
    </w:p>
    <w:p w14:paraId="29E388B8">
      <w:pPr>
        <w:spacing w:line="240" w:lineRule="auto"/>
        <w:ind w:firstLine="643" w:firstLineChars="200"/>
        <w:outlineLvl w:val="2"/>
        <w:rPr>
          <w:rFonts w:hint="default" w:ascii="Times New Roman" w:hAnsi="Times New Roman" w:eastAsia="方正楷体_GBK" w:cs="Times New Roman"/>
          <w:b/>
          <w:color w:val="auto"/>
          <w:sz w:val="32"/>
          <w:szCs w:val="32"/>
          <w:highlight w:val="none"/>
        </w:rPr>
      </w:pPr>
      <w:r>
        <w:rPr>
          <w:rFonts w:hint="default" w:ascii="Times New Roman" w:hAnsi="Times New Roman" w:eastAsia="方正楷体_GBK" w:cs="Times New Roman"/>
          <w:b/>
          <w:color w:val="auto"/>
          <w:sz w:val="32"/>
          <w:szCs w:val="32"/>
          <w:highlight w:val="none"/>
        </w:rPr>
        <w:t>（二）一般公共预算财政拨款支出决算结构情况</w:t>
      </w:r>
      <w:bookmarkEnd w:id="40"/>
    </w:p>
    <w:p w14:paraId="7B6B048B">
      <w:pPr>
        <w:pStyle w:val="27"/>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outlineLvl w:val="1"/>
        <w:rPr>
          <w:rFonts w:hint="default" w:ascii="Times New Roman" w:hAnsi="Times New Roman" w:eastAsia="仿宋_GB2312" w:cs="Times New Roman"/>
          <w:color w:val="auto"/>
          <w:kern w:val="2"/>
          <w:sz w:val="32"/>
          <w:szCs w:val="32"/>
          <w:highlight w:val="none"/>
          <w:lang w:val="en-US" w:eastAsia="zh-CN" w:bidi="ar-SA"/>
        </w:rPr>
      </w:pPr>
      <w:bookmarkStart w:id="41" w:name="_Toc22119"/>
      <w:r>
        <w:rPr>
          <w:rFonts w:hint="default" w:ascii="Times New Roman" w:hAnsi="Times New Roman" w:eastAsia="方正仿宋_GBK" w:cs="Times New Roman"/>
          <w:color w:val="auto"/>
          <w:sz w:val="32"/>
          <w:szCs w:val="32"/>
          <w:highlight w:val="none"/>
          <w:lang w:val="en-US" w:eastAsia="zh-CN"/>
        </w:rPr>
        <w:t>2024年度一般公共预算财政拨款支出772.97万元，主要用于以下方面：教育支出556.43万元，占71.99%；社会保障和就业支出18.13万元，占18.13%；卫生健康支出40.04万元，占5.18%；住房保障支出36.33万元，占4.7%。</w:t>
      </w:r>
      <w:bookmarkEnd w:id="41"/>
    </w:p>
    <w:p w14:paraId="1C02ED74">
      <w:pPr>
        <w:spacing w:line="240" w:lineRule="auto"/>
        <w:ind w:firstLine="640"/>
        <w:rPr>
          <w:rFonts w:hint="default" w:ascii="Times New Roman" w:hAnsi="Times New Roman" w:eastAsia="仿宋_GB2312" w:cs="Times New Roman"/>
          <w:color w:val="auto"/>
          <w:kern w:val="2"/>
          <w:sz w:val="32"/>
          <w:szCs w:val="32"/>
          <w:highlight w:val="none"/>
          <w:lang w:val="en-US" w:eastAsia="zh-CN" w:bidi="ar-SA"/>
        </w:rPr>
      </w:pPr>
      <w:r>
        <w:rPr>
          <w:rFonts w:hint="default" w:ascii="Times New Roman" w:hAnsi="Times New Roman" w:eastAsia="方正仿宋_GBK" w:cs="Times New Roman"/>
          <w:color w:val="auto"/>
          <w:kern w:val="2"/>
          <w:sz w:val="32"/>
          <w:szCs w:val="32"/>
          <w:highlight w:val="none"/>
          <w:lang w:val="en-US" w:eastAsia="zh-CN" w:bidi="ar-SA"/>
        </w:rPr>
        <w:t>（图6：一般公共预算财政拨款支出决算结构）</w:t>
      </w:r>
    </w:p>
    <w:p w14:paraId="460973D8">
      <w:pPr>
        <w:pStyle w:val="19"/>
        <w:spacing w:line="240" w:lineRule="auto"/>
        <w:jc w:val="both"/>
        <w:rPr>
          <w:rFonts w:hint="default" w:ascii="Times New Roman" w:hAnsi="Times New Roman" w:eastAsia="仿宋_GB2312" w:cs="Times New Roman"/>
          <w:color w:val="auto"/>
          <w:kern w:val="2"/>
          <w:sz w:val="32"/>
          <w:szCs w:val="32"/>
          <w:highlight w:val="none"/>
          <w:lang w:val="en-US" w:eastAsia="zh-CN" w:bidi="ar-SA"/>
        </w:rPr>
      </w:pPr>
      <w:r>
        <w:rPr>
          <w:rFonts w:hint="default" w:ascii="Times New Roman" w:hAnsi="Times New Roman" w:cs="Times New Roman"/>
        </w:rPr>
        <w:drawing>
          <wp:inline distT="0" distB="0" distL="114300" distR="114300">
            <wp:extent cx="5313045" cy="4185920"/>
            <wp:effectExtent l="4445" t="4445" r="16510" b="19685"/>
            <wp:docPr id="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05B4763D">
      <w:pPr>
        <w:spacing w:line="240" w:lineRule="auto"/>
        <w:ind w:firstLine="643" w:firstLineChars="200"/>
        <w:outlineLvl w:val="2"/>
        <w:rPr>
          <w:rFonts w:hint="default" w:ascii="Times New Roman" w:hAnsi="Times New Roman" w:eastAsia="方正楷体_GBK" w:cs="Times New Roman"/>
          <w:b/>
          <w:color w:val="auto"/>
          <w:sz w:val="32"/>
          <w:szCs w:val="32"/>
          <w:highlight w:val="none"/>
        </w:rPr>
      </w:pPr>
      <w:bookmarkStart w:id="42" w:name="_Toc15377212"/>
      <w:r>
        <w:rPr>
          <w:rFonts w:hint="default" w:ascii="Times New Roman" w:hAnsi="Times New Roman" w:eastAsia="方正楷体_GBK" w:cs="Times New Roman"/>
          <w:b/>
          <w:color w:val="auto"/>
          <w:sz w:val="32"/>
          <w:szCs w:val="32"/>
          <w:highlight w:val="none"/>
        </w:rPr>
        <w:t>（三）一般公共预算财政拨款支出决算具体情况</w:t>
      </w:r>
      <w:bookmarkEnd w:id="42"/>
    </w:p>
    <w:p w14:paraId="10F8C963">
      <w:pPr>
        <w:pStyle w:val="27"/>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outlineLvl w:val="1"/>
        <w:rPr>
          <w:rFonts w:hint="default" w:ascii="Times New Roman" w:hAnsi="Times New Roman" w:eastAsia="方正仿宋_GBK" w:cs="Times New Roman"/>
          <w:color w:val="auto"/>
          <w:sz w:val="32"/>
          <w:szCs w:val="32"/>
          <w:highlight w:val="none"/>
          <w:lang w:val="en-US" w:eastAsia="zh-CN"/>
        </w:rPr>
      </w:pPr>
      <w:bookmarkStart w:id="43" w:name="_Toc15377213"/>
      <w:bookmarkStart w:id="44" w:name="_Toc15377444"/>
      <w:bookmarkStart w:id="45" w:name="_Toc15378460"/>
      <w:bookmarkStart w:id="46" w:name="_Toc22403"/>
      <w:r>
        <w:rPr>
          <w:rFonts w:hint="default" w:ascii="Times New Roman" w:hAnsi="Times New Roman" w:eastAsia="方正仿宋_GBK" w:cs="Times New Roman"/>
          <w:color w:val="auto"/>
          <w:sz w:val="32"/>
          <w:szCs w:val="32"/>
          <w:highlight w:val="none"/>
          <w:lang w:val="en-US" w:eastAsia="zh-CN"/>
        </w:rPr>
        <w:t>2024年度一般公共预算财政拨款支出决算数为772.97，万元完成预算100%。其中：</w:t>
      </w:r>
      <w:bookmarkEnd w:id="43"/>
      <w:bookmarkEnd w:id="44"/>
      <w:bookmarkEnd w:id="45"/>
      <w:bookmarkEnd w:id="46"/>
    </w:p>
    <w:p w14:paraId="478454E7">
      <w:pPr>
        <w:pStyle w:val="27"/>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outlineLvl w:val="1"/>
        <w:rPr>
          <w:rFonts w:hint="default" w:ascii="Times New Roman" w:hAnsi="Times New Roman" w:eastAsia="方正仿宋_GBK" w:cs="Times New Roman"/>
          <w:color w:val="auto"/>
          <w:sz w:val="32"/>
          <w:szCs w:val="32"/>
          <w:highlight w:val="none"/>
          <w:lang w:val="en-US" w:eastAsia="zh-CN"/>
        </w:rPr>
      </w:pPr>
      <w:bookmarkStart w:id="47" w:name="_Toc16582"/>
      <w:r>
        <w:rPr>
          <w:rFonts w:hint="default" w:ascii="Times New Roman" w:hAnsi="Times New Roman" w:eastAsia="方正仿宋_GBK" w:cs="Times New Roman"/>
          <w:color w:val="auto"/>
          <w:sz w:val="32"/>
          <w:szCs w:val="32"/>
          <w:highlight w:val="none"/>
          <w:lang w:val="en-US" w:eastAsia="zh-CN"/>
        </w:rPr>
        <w:t>1.教育支出（类）:支出决算数为556.43万元，其中：教育支出（类）普通教育（款）学前教育（项）:支出决算为542.45万元，完成预算100%；教育支出（类）教育费附加安排的支出（款）农村中小学教学设施 （项）:支出决算为13.98万元，完成预算100%。</w:t>
      </w:r>
      <w:bookmarkEnd w:id="47"/>
    </w:p>
    <w:p w14:paraId="0097C940">
      <w:pPr>
        <w:pStyle w:val="27"/>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outlineLvl w:val="1"/>
        <w:rPr>
          <w:rFonts w:hint="default" w:ascii="Times New Roman" w:hAnsi="Times New Roman" w:eastAsia="方正仿宋_GBK" w:cs="Times New Roman"/>
          <w:color w:val="auto"/>
          <w:sz w:val="32"/>
          <w:szCs w:val="32"/>
          <w:highlight w:val="none"/>
          <w:lang w:val="en-US" w:eastAsia="zh-CN"/>
        </w:rPr>
      </w:pPr>
      <w:bookmarkStart w:id="48" w:name="_Toc1959"/>
      <w:r>
        <w:rPr>
          <w:rFonts w:hint="default" w:ascii="Times New Roman" w:hAnsi="Times New Roman" w:eastAsia="方正仿宋_GBK" w:cs="Times New Roman"/>
          <w:color w:val="auto"/>
          <w:sz w:val="32"/>
          <w:szCs w:val="32"/>
          <w:highlight w:val="none"/>
          <w:lang w:val="en-US" w:eastAsia="zh-CN"/>
        </w:rPr>
        <w:t>2.社会保障和就业支出（类）支出决算数为:140.17万元，其中：社会保障和就业支出（类）行政事业单位养老支出（款）事业单位离退休（项）支出决算为49.04万元，完成预算100%，社会保障和就业支出（类）行政事业单位养老支出（款）机关事业单位基本养老保险缴费支出（项）:支出决算为48.8万元，完成预算100%。社会保障和就业支出（类）行政事业单位养老支出（款）机关事业单位职业年金缴费支出（项）:支出决算为42.33万元，完成预算100%。</w:t>
      </w:r>
      <w:bookmarkEnd w:id="48"/>
    </w:p>
    <w:p w14:paraId="20014ACD">
      <w:pPr>
        <w:pStyle w:val="27"/>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outlineLvl w:val="1"/>
        <w:rPr>
          <w:rFonts w:hint="default" w:ascii="Times New Roman" w:hAnsi="Times New Roman" w:eastAsia="方正仿宋_GBK" w:cs="Times New Roman"/>
          <w:color w:val="auto"/>
          <w:sz w:val="32"/>
          <w:szCs w:val="32"/>
          <w:highlight w:val="none"/>
          <w:lang w:val="en-US" w:eastAsia="zh-CN"/>
        </w:rPr>
      </w:pPr>
      <w:bookmarkStart w:id="49" w:name="_Toc4534"/>
      <w:r>
        <w:rPr>
          <w:rFonts w:hint="default" w:ascii="Times New Roman" w:hAnsi="Times New Roman" w:eastAsia="方正仿宋_GBK" w:cs="Times New Roman"/>
          <w:color w:val="auto"/>
          <w:sz w:val="32"/>
          <w:szCs w:val="32"/>
          <w:highlight w:val="none"/>
          <w:lang w:val="en-US" w:eastAsia="zh-CN"/>
        </w:rPr>
        <w:t>3.卫生健康支出（类）支出决算数为：40.04万元，其中： 卫生健康支出（类）行政事业单位医疗（款）事业单位医疗（项）：支出决算为23.83万元，完成预算100%；卫生健康支出（类）行政事业单位医疗（款）其他行政事业单位医疗支出（项）:支出决算为16.21万元，完成预算100%。</w:t>
      </w:r>
      <w:bookmarkEnd w:id="49"/>
    </w:p>
    <w:p w14:paraId="049246CD">
      <w:pPr>
        <w:pStyle w:val="27"/>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outlineLvl w:val="1"/>
        <w:rPr>
          <w:rFonts w:hint="default" w:ascii="Times New Roman" w:hAnsi="Times New Roman" w:eastAsia="方正仿宋_GBK" w:cs="Times New Roman"/>
          <w:color w:val="auto"/>
          <w:sz w:val="32"/>
          <w:szCs w:val="32"/>
          <w:highlight w:val="none"/>
          <w:lang w:val="en-US" w:eastAsia="zh-CN"/>
        </w:rPr>
      </w:pPr>
      <w:bookmarkStart w:id="50" w:name="_Toc25443"/>
      <w:r>
        <w:rPr>
          <w:rFonts w:hint="default" w:ascii="Times New Roman" w:hAnsi="Times New Roman" w:eastAsia="方正仿宋_GBK" w:cs="Times New Roman"/>
          <w:color w:val="auto"/>
          <w:sz w:val="32"/>
          <w:szCs w:val="32"/>
          <w:highlight w:val="none"/>
          <w:lang w:val="en-US" w:eastAsia="zh-CN"/>
        </w:rPr>
        <w:t>4. 住房保障支出（类）住房改革支出（款）住房公积金（项）:支出决算为36.33万元，完成预算100%。</w:t>
      </w:r>
      <w:bookmarkEnd w:id="50"/>
    </w:p>
    <w:p w14:paraId="3E8B4891">
      <w:pPr>
        <w:pStyle w:val="4"/>
        <w:keepNext/>
        <w:keepLines/>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Style w:val="29"/>
          <w:rFonts w:hint="default" w:ascii="Times New Roman" w:hAnsi="Times New Roman" w:cs="Times New Roman"/>
          <w:b/>
          <w:bCs/>
          <w:color w:val="auto"/>
          <w:highlight w:val="none"/>
        </w:rPr>
      </w:pPr>
      <w:bookmarkStart w:id="51" w:name="_Toc15396608"/>
      <w:bookmarkStart w:id="52" w:name="_Toc15377214"/>
      <w:bookmarkStart w:id="53" w:name="_Toc15103"/>
      <w:r>
        <w:rPr>
          <w:rFonts w:hint="default" w:ascii="Times New Roman" w:hAnsi="Times New Roman" w:eastAsia="方正黑体_GBK" w:cs="Times New Roman"/>
          <w:b w:val="0"/>
          <w:bCs/>
          <w:lang w:eastAsia="zh-CN"/>
        </w:rPr>
        <w:t>六、一般公共预算财政拨款基本支出决算情况说明</w:t>
      </w:r>
      <w:bookmarkEnd w:id="51"/>
      <w:bookmarkEnd w:id="52"/>
      <w:bookmarkEnd w:id="53"/>
      <w:r>
        <w:rPr>
          <w:rFonts w:hint="default" w:ascii="Times New Roman" w:hAnsi="Times New Roman" w:eastAsia="方正黑体_GBK" w:cs="Times New Roman"/>
          <w:b w:val="0"/>
          <w:bCs/>
          <w:lang w:eastAsia="zh-CN"/>
        </w:rPr>
        <w:tab/>
      </w:r>
    </w:p>
    <w:p w14:paraId="7A8CA8EC">
      <w:pPr>
        <w:spacing w:line="240" w:lineRule="auto"/>
        <w:ind w:firstLine="640"/>
        <w:rPr>
          <w:rFonts w:hint="default" w:ascii="Times New Roman" w:hAnsi="Times New Roman" w:eastAsia="方正仿宋_GBK" w:cs="Times New Roman"/>
          <w:color w:val="auto"/>
          <w:kern w:val="2"/>
          <w:sz w:val="32"/>
          <w:szCs w:val="32"/>
          <w:highlight w:val="none"/>
          <w:lang w:val="en-US" w:eastAsia="zh-CN" w:bidi="ar-SA"/>
        </w:rPr>
      </w:pPr>
      <w:r>
        <w:rPr>
          <w:rFonts w:hint="default" w:ascii="Times New Roman" w:hAnsi="Times New Roman" w:eastAsia="方正仿宋_GBK" w:cs="Times New Roman"/>
          <w:color w:val="auto"/>
          <w:kern w:val="2"/>
          <w:sz w:val="32"/>
          <w:szCs w:val="32"/>
          <w:highlight w:val="none"/>
          <w:lang w:val="en-US" w:eastAsia="zh-CN" w:bidi="ar-SA"/>
        </w:rPr>
        <w:t>2024年度一般公共预算财政拨款基本支出</w:t>
      </w:r>
      <w:r>
        <w:rPr>
          <w:rFonts w:hint="default" w:ascii="Times New Roman" w:hAnsi="Times New Roman" w:eastAsia="方正仿宋_GBK" w:cs="Times New Roman"/>
          <w:sz w:val="32"/>
          <w:szCs w:val="32"/>
        </w:rPr>
        <w:t>577.52</w:t>
      </w:r>
      <w:r>
        <w:rPr>
          <w:rFonts w:hint="default" w:ascii="Times New Roman" w:hAnsi="Times New Roman" w:eastAsia="方正仿宋_GBK" w:cs="Times New Roman"/>
          <w:color w:val="auto"/>
          <w:kern w:val="2"/>
          <w:sz w:val="32"/>
          <w:szCs w:val="32"/>
          <w:highlight w:val="none"/>
          <w:lang w:val="en-US" w:eastAsia="zh-CN" w:bidi="ar-SA"/>
        </w:rPr>
        <w:t>万元，其中：</w:t>
      </w:r>
    </w:p>
    <w:p w14:paraId="19D80205">
      <w:pPr>
        <w:spacing w:line="240" w:lineRule="auto"/>
        <w:ind w:firstLine="640"/>
        <w:rPr>
          <w:rFonts w:hint="default" w:ascii="Times New Roman" w:hAnsi="Times New Roman" w:eastAsia="方正仿宋_GBK" w:cs="Times New Roman"/>
          <w:color w:val="auto"/>
          <w:kern w:val="2"/>
          <w:sz w:val="32"/>
          <w:szCs w:val="32"/>
          <w:highlight w:val="none"/>
          <w:lang w:val="en-US" w:eastAsia="zh-CN" w:bidi="ar-SA"/>
        </w:rPr>
      </w:pPr>
      <w:r>
        <w:rPr>
          <w:rFonts w:hint="default" w:ascii="Times New Roman" w:hAnsi="Times New Roman" w:eastAsia="方正仿宋_GBK" w:cs="Times New Roman"/>
          <w:color w:val="auto"/>
          <w:kern w:val="2"/>
          <w:sz w:val="32"/>
          <w:szCs w:val="32"/>
          <w:highlight w:val="none"/>
          <w:lang w:val="en-US" w:eastAsia="zh-CN" w:bidi="ar-SA"/>
        </w:rPr>
        <w:t>人员经费</w:t>
      </w:r>
      <w:r>
        <w:rPr>
          <w:rFonts w:hint="default" w:ascii="Times New Roman" w:hAnsi="Times New Roman" w:eastAsia="方正仿宋_GBK" w:cs="Times New Roman"/>
          <w:sz w:val="32"/>
          <w:szCs w:val="32"/>
        </w:rPr>
        <w:t>540.99</w:t>
      </w:r>
      <w:r>
        <w:rPr>
          <w:rFonts w:hint="default" w:ascii="Times New Roman" w:hAnsi="Times New Roman" w:eastAsia="方正仿宋_GBK" w:cs="Times New Roman"/>
          <w:color w:val="auto"/>
          <w:kern w:val="2"/>
          <w:sz w:val="32"/>
          <w:szCs w:val="32"/>
          <w:highlight w:val="none"/>
          <w:lang w:val="en-US" w:eastAsia="zh-CN" w:bidi="ar-SA"/>
        </w:rPr>
        <w:t>万元，主要包括：基本工资、津贴补贴、绩效工资、机关事业单位基本养老保险缴费、职业年金缴费、职工基本医疗保险缴费、其他社会保障缴费、医疗费、其他工资福利支出、住房公积金、生活补助、医疗费补助、奖励金、助学金。</w:t>
      </w:r>
      <w:r>
        <w:rPr>
          <w:rFonts w:hint="default" w:ascii="Times New Roman" w:hAnsi="Times New Roman" w:eastAsia="方正仿宋_GBK" w:cs="Times New Roman"/>
          <w:color w:val="auto"/>
          <w:kern w:val="2"/>
          <w:sz w:val="32"/>
          <w:szCs w:val="32"/>
          <w:highlight w:val="none"/>
          <w:lang w:val="en-US" w:eastAsia="zh-CN" w:bidi="ar-SA"/>
        </w:rPr>
        <w:br w:type="textWrapping"/>
      </w:r>
      <w:r>
        <w:rPr>
          <w:rFonts w:hint="default" w:ascii="Times New Roman" w:hAnsi="Times New Roman" w:eastAsia="方正仿宋_GBK" w:cs="Times New Roman"/>
          <w:color w:val="auto"/>
          <w:kern w:val="2"/>
          <w:sz w:val="32"/>
          <w:szCs w:val="32"/>
          <w:highlight w:val="none"/>
          <w:lang w:val="en-US" w:eastAsia="zh-CN" w:bidi="ar-SA"/>
        </w:rPr>
        <w:t>　　公用经费</w:t>
      </w:r>
      <w:r>
        <w:rPr>
          <w:rFonts w:hint="default" w:ascii="Times New Roman" w:hAnsi="Times New Roman" w:eastAsia="方正仿宋_GBK" w:cs="Times New Roman"/>
          <w:sz w:val="32"/>
          <w:szCs w:val="32"/>
        </w:rPr>
        <w:t>36.53</w:t>
      </w:r>
      <w:r>
        <w:rPr>
          <w:rFonts w:hint="default" w:ascii="Times New Roman" w:hAnsi="Times New Roman" w:eastAsia="方正仿宋_GBK" w:cs="Times New Roman"/>
          <w:color w:val="auto"/>
          <w:kern w:val="2"/>
          <w:sz w:val="32"/>
          <w:szCs w:val="32"/>
          <w:highlight w:val="none"/>
          <w:lang w:val="en-US" w:eastAsia="zh-CN" w:bidi="ar-SA"/>
        </w:rPr>
        <w:t>万元，主要包括：办公费、印刷费、咨水费、电费、邮电费、物业管理费、差旅费、维修（护）费、租赁费、培训费、专用材料费、劳务费、工会经费、福利费、其他商品和服务支出、办公设备购置、专用设备购置。</w:t>
      </w:r>
    </w:p>
    <w:p w14:paraId="47C6A0CD">
      <w:pPr>
        <w:pStyle w:val="4"/>
        <w:keepNext/>
        <w:keepLines/>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方正黑体_GBK" w:cs="Times New Roman"/>
          <w:b w:val="0"/>
          <w:bCs/>
          <w:lang w:eastAsia="zh-CN"/>
        </w:rPr>
      </w:pPr>
      <w:bookmarkStart w:id="54" w:name="_Toc15396609"/>
      <w:bookmarkStart w:id="55" w:name="_Toc15377215"/>
      <w:bookmarkStart w:id="56" w:name="_Toc14766"/>
      <w:r>
        <w:rPr>
          <w:rFonts w:hint="default" w:ascii="Times New Roman" w:hAnsi="Times New Roman" w:eastAsia="方正黑体_GBK" w:cs="Times New Roman"/>
          <w:b w:val="0"/>
          <w:bCs/>
          <w:lang w:eastAsia="zh-CN"/>
        </w:rPr>
        <w:t>七、财政拨款“三公”经费支出决算情况说明</w:t>
      </w:r>
      <w:bookmarkEnd w:id="54"/>
      <w:bookmarkEnd w:id="55"/>
      <w:bookmarkEnd w:id="56"/>
    </w:p>
    <w:p w14:paraId="1FC5D70B">
      <w:pPr>
        <w:spacing w:line="240" w:lineRule="auto"/>
        <w:ind w:firstLine="643" w:firstLineChars="200"/>
        <w:outlineLvl w:val="2"/>
        <w:rPr>
          <w:rFonts w:hint="default" w:ascii="Times New Roman" w:hAnsi="Times New Roman" w:eastAsia="方正楷体_GBK" w:cs="Times New Roman"/>
          <w:b/>
          <w:color w:val="auto"/>
          <w:sz w:val="32"/>
          <w:szCs w:val="32"/>
          <w:highlight w:val="none"/>
        </w:rPr>
      </w:pPr>
      <w:bookmarkStart w:id="57" w:name="_Toc15377216"/>
      <w:r>
        <w:rPr>
          <w:rFonts w:hint="default" w:ascii="Times New Roman" w:hAnsi="Times New Roman" w:eastAsia="方正楷体_GBK" w:cs="Times New Roman"/>
          <w:b/>
          <w:color w:val="auto"/>
          <w:sz w:val="32"/>
          <w:szCs w:val="32"/>
          <w:highlight w:val="none"/>
        </w:rPr>
        <w:t>（一）“三公”经费财政拨款支出决算总体情况说明</w:t>
      </w:r>
      <w:bookmarkEnd w:id="57"/>
    </w:p>
    <w:p w14:paraId="4058B496">
      <w:pPr>
        <w:spacing w:line="240" w:lineRule="auto"/>
        <w:ind w:firstLine="640"/>
        <w:rPr>
          <w:rFonts w:hint="default" w:ascii="Times New Roman" w:hAnsi="Times New Roman" w:eastAsia="方正仿宋_GBK" w:cs="Times New Roman"/>
          <w:color w:val="auto"/>
          <w:kern w:val="2"/>
          <w:sz w:val="32"/>
          <w:szCs w:val="32"/>
          <w:highlight w:val="none"/>
          <w:lang w:val="en-US" w:eastAsia="zh-CN" w:bidi="ar-SA"/>
        </w:rPr>
      </w:pPr>
      <w:r>
        <w:rPr>
          <w:rFonts w:hint="default" w:ascii="Times New Roman" w:hAnsi="Times New Roman" w:eastAsia="方正仿宋_GBK" w:cs="Times New Roman"/>
          <w:color w:val="auto"/>
          <w:kern w:val="2"/>
          <w:sz w:val="32"/>
          <w:szCs w:val="32"/>
          <w:highlight w:val="none"/>
          <w:lang w:val="en-US" w:eastAsia="zh-CN" w:bidi="ar-SA"/>
        </w:rPr>
        <w:t>2024年度“三公”经费财政拨款支出决算为0万元，完成预算0%，与2023年决算数持平。</w:t>
      </w:r>
    </w:p>
    <w:p w14:paraId="07103C09">
      <w:pPr>
        <w:spacing w:line="240" w:lineRule="auto"/>
        <w:ind w:firstLine="643" w:firstLineChars="200"/>
        <w:outlineLvl w:val="2"/>
        <w:rPr>
          <w:rFonts w:hint="default" w:ascii="Times New Roman" w:hAnsi="Times New Roman" w:eastAsia="方正楷体_GBK" w:cs="Times New Roman"/>
          <w:b/>
          <w:color w:val="auto"/>
          <w:sz w:val="32"/>
          <w:szCs w:val="32"/>
          <w:highlight w:val="none"/>
        </w:rPr>
      </w:pPr>
      <w:bookmarkStart w:id="58" w:name="_Toc15377217"/>
      <w:r>
        <w:rPr>
          <w:rFonts w:hint="default" w:ascii="Times New Roman" w:hAnsi="Times New Roman" w:eastAsia="方正楷体_GBK" w:cs="Times New Roman"/>
          <w:b/>
          <w:color w:val="auto"/>
          <w:sz w:val="32"/>
          <w:szCs w:val="32"/>
          <w:highlight w:val="none"/>
        </w:rPr>
        <w:t>（二）“三公”经费财政拨款支出决算具体情况说明</w:t>
      </w:r>
      <w:bookmarkEnd w:id="58"/>
    </w:p>
    <w:p w14:paraId="1C093E03">
      <w:pPr>
        <w:spacing w:line="240" w:lineRule="auto"/>
        <w:ind w:firstLine="640"/>
        <w:rPr>
          <w:rFonts w:hint="default" w:ascii="Times New Roman" w:hAnsi="Times New Roman" w:eastAsia="方正仿宋_GBK" w:cs="Times New Roman"/>
          <w:color w:val="auto"/>
          <w:kern w:val="2"/>
          <w:sz w:val="32"/>
          <w:szCs w:val="32"/>
          <w:highlight w:val="none"/>
          <w:lang w:val="en-US" w:eastAsia="zh-CN" w:bidi="ar-SA"/>
        </w:rPr>
      </w:pPr>
      <w:r>
        <w:rPr>
          <w:rFonts w:hint="default" w:ascii="Times New Roman" w:hAnsi="Times New Roman" w:eastAsia="方正仿宋_GBK" w:cs="Times New Roman"/>
          <w:color w:val="auto"/>
          <w:kern w:val="2"/>
          <w:sz w:val="32"/>
          <w:szCs w:val="32"/>
          <w:highlight w:val="none"/>
          <w:lang w:val="en-US" w:eastAsia="zh-CN" w:bidi="ar-SA"/>
        </w:rPr>
        <w:t>2024年度“三公”经费财政拨款支出决算中，因公出国（境）费支出决算0万元，占0%；公务用车购置及运行维护费支出决算0万元，占0%；公务接待费支出决算0万元，占0%。具体情况如下：</w:t>
      </w:r>
    </w:p>
    <w:p w14:paraId="3D12B9B6">
      <w:pPr>
        <w:spacing w:line="240" w:lineRule="auto"/>
        <w:ind w:firstLine="640"/>
        <w:rPr>
          <w:rFonts w:hint="default" w:ascii="Times New Roman" w:hAnsi="Times New Roman" w:eastAsia="方正仿宋_GBK" w:cs="Times New Roman"/>
          <w:color w:val="auto"/>
          <w:kern w:val="2"/>
          <w:sz w:val="32"/>
          <w:szCs w:val="32"/>
          <w:highlight w:val="none"/>
          <w:lang w:val="en-US" w:eastAsia="zh-CN" w:bidi="ar-SA"/>
        </w:rPr>
      </w:pPr>
      <w:r>
        <w:rPr>
          <w:rFonts w:hint="default" w:ascii="Times New Roman" w:hAnsi="Times New Roman" w:eastAsia="方正仿宋_GBK" w:cs="Times New Roman"/>
          <w:color w:val="auto"/>
          <w:kern w:val="2"/>
          <w:sz w:val="32"/>
          <w:szCs w:val="32"/>
          <w:highlight w:val="none"/>
          <w:lang w:val="en-US" w:eastAsia="zh-CN" w:bidi="ar-SA"/>
        </w:rPr>
        <w:t>1.因公出国（境）经费支出0万元，完成预算0%。全年安排因公出国（境）团组0次，出国（境）0人。因公出国（境）支出决算与2023年决算数持平。</w:t>
      </w:r>
    </w:p>
    <w:p w14:paraId="4A72C2D6">
      <w:pPr>
        <w:spacing w:line="240" w:lineRule="auto"/>
        <w:ind w:firstLine="640"/>
        <w:rPr>
          <w:rFonts w:hint="default" w:ascii="Times New Roman" w:hAnsi="Times New Roman" w:eastAsia="方正仿宋_GBK" w:cs="Times New Roman"/>
          <w:color w:val="auto"/>
          <w:kern w:val="2"/>
          <w:sz w:val="32"/>
          <w:szCs w:val="32"/>
          <w:highlight w:val="none"/>
          <w:lang w:val="en-US" w:eastAsia="zh-CN" w:bidi="ar-SA"/>
        </w:rPr>
      </w:pPr>
      <w:r>
        <w:rPr>
          <w:rFonts w:hint="default" w:ascii="Times New Roman" w:hAnsi="Times New Roman" w:eastAsia="方正仿宋_GBK" w:cs="Times New Roman"/>
          <w:color w:val="auto"/>
          <w:kern w:val="2"/>
          <w:sz w:val="32"/>
          <w:szCs w:val="32"/>
          <w:highlight w:val="none"/>
          <w:lang w:val="en-US" w:eastAsia="zh-CN" w:bidi="ar-SA"/>
        </w:rPr>
        <w:t>2.公务用车购置及运行维护费支出0万元，完成预算0%。公务用车购置及运行维护费支出决算与2023年决算数持平。</w:t>
      </w:r>
    </w:p>
    <w:p w14:paraId="6853C853">
      <w:pPr>
        <w:spacing w:line="240" w:lineRule="auto"/>
        <w:ind w:firstLine="640"/>
        <w:rPr>
          <w:rFonts w:hint="default" w:ascii="Times New Roman" w:hAnsi="Times New Roman" w:eastAsia="方正仿宋_GBK" w:cs="Times New Roman"/>
          <w:color w:val="auto"/>
          <w:kern w:val="2"/>
          <w:sz w:val="32"/>
          <w:szCs w:val="32"/>
          <w:highlight w:val="none"/>
          <w:lang w:val="en-US" w:eastAsia="zh-CN" w:bidi="ar-SA"/>
        </w:rPr>
      </w:pPr>
      <w:r>
        <w:rPr>
          <w:rFonts w:hint="default" w:ascii="Times New Roman" w:hAnsi="Times New Roman" w:eastAsia="方正仿宋_GBK" w:cs="Times New Roman"/>
          <w:color w:val="auto"/>
          <w:kern w:val="2"/>
          <w:sz w:val="32"/>
          <w:szCs w:val="32"/>
          <w:highlight w:val="none"/>
          <w:lang w:val="en-US" w:eastAsia="zh-CN" w:bidi="ar-SA"/>
        </w:rPr>
        <w:t>其中：公务用车购置支出0万元。全年按规定更新购置公务用车0辆，其中：轿车0辆、金额0万元，越野车0辆、金额0万元，载客汽车0辆、金额0万元。截至2024年12月31日，单位共有公务用车0辆，其中：轿车0辆、越野车0辆、载客汽车0辆。</w:t>
      </w:r>
    </w:p>
    <w:p w14:paraId="3A2C783A">
      <w:pPr>
        <w:spacing w:line="240" w:lineRule="auto"/>
        <w:ind w:firstLine="640"/>
        <w:rPr>
          <w:rFonts w:hint="default" w:ascii="Times New Roman" w:hAnsi="Times New Roman" w:eastAsia="方正仿宋_GBK" w:cs="Times New Roman"/>
          <w:color w:val="auto"/>
          <w:kern w:val="2"/>
          <w:sz w:val="32"/>
          <w:szCs w:val="32"/>
          <w:highlight w:val="none"/>
          <w:lang w:val="en-US" w:eastAsia="zh-CN" w:bidi="ar-SA"/>
        </w:rPr>
      </w:pPr>
      <w:r>
        <w:rPr>
          <w:rFonts w:hint="default" w:ascii="Times New Roman" w:hAnsi="Times New Roman" w:eastAsia="方正仿宋_GBK" w:cs="Times New Roman"/>
          <w:color w:val="auto"/>
          <w:kern w:val="2"/>
          <w:sz w:val="32"/>
          <w:szCs w:val="32"/>
          <w:highlight w:val="none"/>
          <w:lang w:val="en-US" w:eastAsia="zh-CN" w:bidi="ar-SA"/>
        </w:rPr>
        <w:t>公务用车运行维护费支出0万元。</w:t>
      </w:r>
    </w:p>
    <w:p w14:paraId="03ED8017">
      <w:pPr>
        <w:spacing w:line="240" w:lineRule="auto"/>
        <w:ind w:firstLine="640"/>
        <w:rPr>
          <w:rFonts w:hint="default" w:ascii="Times New Roman" w:hAnsi="Times New Roman" w:eastAsia="方正仿宋_GBK" w:cs="Times New Roman"/>
          <w:color w:val="auto"/>
          <w:kern w:val="2"/>
          <w:sz w:val="32"/>
          <w:szCs w:val="32"/>
          <w:highlight w:val="none"/>
          <w:lang w:val="en-US" w:eastAsia="zh-CN" w:bidi="ar-SA"/>
        </w:rPr>
      </w:pPr>
      <w:r>
        <w:rPr>
          <w:rFonts w:hint="default" w:ascii="Times New Roman" w:hAnsi="Times New Roman" w:eastAsia="方正仿宋_GBK" w:cs="Times New Roman"/>
          <w:color w:val="auto"/>
          <w:kern w:val="2"/>
          <w:sz w:val="32"/>
          <w:szCs w:val="32"/>
          <w:highlight w:val="none"/>
          <w:lang w:val="en-US" w:eastAsia="zh-CN" w:bidi="ar-SA"/>
        </w:rPr>
        <w:t>3.公务接待费支出0万元，完成预算0%。公务接待费支出决算与2023年决算数持平。其中：</w:t>
      </w:r>
    </w:p>
    <w:p w14:paraId="5ADE4A94">
      <w:pPr>
        <w:spacing w:line="240" w:lineRule="auto"/>
        <w:ind w:firstLine="640"/>
        <w:rPr>
          <w:rFonts w:hint="default" w:ascii="Times New Roman" w:hAnsi="Times New Roman" w:eastAsia="方正仿宋_GBK" w:cs="Times New Roman"/>
          <w:color w:val="auto"/>
          <w:kern w:val="2"/>
          <w:sz w:val="32"/>
          <w:szCs w:val="32"/>
          <w:highlight w:val="none"/>
          <w:lang w:val="en-US" w:eastAsia="zh-CN" w:bidi="ar-SA"/>
        </w:rPr>
      </w:pPr>
      <w:r>
        <w:rPr>
          <w:rFonts w:hint="default" w:ascii="Times New Roman" w:hAnsi="Times New Roman" w:eastAsia="方正仿宋_GBK" w:cs="Times New Roman"/>
          <w:color w:val="auto"/>
          <w:kern w:val="2"/>
          <w:sz w:val="32"/>
          <w:szCs w:val="32"/>
          <w:highlight w:val="none"/>
          <w:lang w:val="en-US" w:eastAsia="zh-CN" w:bidi="ar-SA"/>
        </w:rPr>
        <w:t>国内公务接待支出0万元，国内公务接待0批次，0人次（不包括陪同人员），共计支出0万元。</w:t>
      </w:r>
    </w:p>
    <w:p w14:paraId="2E5C0F07">
      <w:pPr>
        <w:spacing w:line="240" w:lineRule="auto"/>
        <w:ind w:firstLine="640"/>
        <w:rPr>
          <w:rFonts w:hint="default" w:ascii="Times New Roman" w:hAnsi="Times New Roman" w:eastAsia="仿宋_GB2312" w:cs="Times New Roman"/>
          <w:color w:val="auto"/>
          <w:kern w:val="2"/>
          <w:sz w:val="32"/>
          <w:szCs w:val="32"/>
          <w:highlight w:val="none"/>
          <w:lang w:val="en-US" w:eastAsia="zh-CN" w:bidi="ar-SA"/>
        </w:rPr>
      </w:pPr>
      <w:r>
        <w:rPr>
          <w:rFonts w:hint="default" w:ascii="Times New Roman" w:hAnsi="Times New Roman" w:eastAsia="方正仿宋_GBK" w:cs="Times New Roman"/>
          <w:color w:val="auto"/>
          <w:kern w:val="2"/>
          <w:sz w:val="32"/>
          <w:szCs w:val="32"/>
          <w:highlight w:val="none"/>
          <w:lang w:val="en-US" w:eastAsia="zh-CN" w:bidi="ar-SA"/>
        </w:rPr>
        <w:t>外事接待支出0万元。外事接待0批次，0人次（不包括陪同人员），共计支出0万元。</w:t>
      </w:r>
      <w:bookmarkStart w:id="59" w:name="_Toc15377218"/>
      <w:bookmarkStart w:id="60" w:name="_Toc15396610"/>
    </w:p>
    <w:p w14:paraId="005DFCA1">
      <w:pPr>
        <w:pStyle w:val="4"/>
        <w:keepNext/>
        <w:keepLines/>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方正黑体_GBK" w:cs="Times New Roman"/>
          <w:b w:val="0"/>
          <w:bCs/>
          <w:lang w:eastAsia="zh-CN"/>
        </w:rPr>
      </w:pPr>
      <w:bookmarkStart w:id="61" w:name="_Toc10951"/>
      <w:r>
        <w:rPr>
          <w:rFonts w:hint="default" w:ascii="Times New Roman" w:hAnsi="Times New Roman" w:eastAsia="方正黑体_GBK" w:cs="Times New Roman"/>
          <w:b w:val="0"/>
          <w:bCs/>
          <w:lang w:eastAsia="zh-CN"/>
        </w:rPr>
        <w:t>八、政府性基金预算支出决算情况说明</w:t>
      </w:r>
      <w:bookmarkEnd w:id="59"/>
      <w:bookmarkEnd w:id="60"/>
      <w:bookmarkEnd w:id="61"/>
    </w:p>
    <w:p w14:paraId="56559D9C">
      <w:pPr>
        <w:spacing w:line="240" w:lineRule="auto"/>
        <w:ind w:firstLine="640"/>
        <w:rPr>
          <w:rFonts w:hint="default" w:ascii="Times New Roman" w:hAnsi="Times New Roman" w:eastAsia="方正仿宋_GBK" w:cs="Times New Roman"/>
          <w:color w:val="auto"/>
          <w:kern w:val="2"/>
          <w:sz w:val="32"/>
          <w:szCs w:val="32"/>
          <w:highlight w:val="none"/>
          <w:lang w:val="en-US" w:eastAsia="zh-CN" w:bidi="ar-SA"/>
        </w:rPr>
      </w:pPr>
      <w:r>
        <w:rPr>
          <w:rFonts w:hint="default" w:ascii="Times New Roman" w:hAnsi="Times New Roman" w:eastAsia="方正仿宋_GBK" w:cs="Times New Roman"/>
          <w:color w:val="auto"/>
          <w:kern w:val="2"/>
          <w:sz w:val="32"/>
          <w:szCs w:val="32"/>
          <w:highlight w:val="none"/>
          <w:lang w:val="en-US" w:eastAsia="zh-CN" w:bidi="ar-SA"/>
        </w:rPr>
        <w:t>2024年度政府性基金预算财政拨款支出0万元，占本年支出合计的0%。与2023年度相比，政府性基金预算财政拨款支出与2023年决算数持平。</w:t>
      </w:r>
    </w:p>
    <w:p w14:paraId="7553C396">
      <w:pPr>
        <w:pStyle w:val="4"/>
        <w:keepNext/>
        <w:keepLines/>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方正黑体_GBK" w:cs="Times New Roman"/>
          <w:b w:val="0"/>
          <w:bCs/>
          <w:lang w:eastAsia="zh-CN"/>
        </w:rPr>
      </w:pPr>
      <w:bookmarkStart w:id="62" w:name="_Toc15377219"/>
      <w:bookmarkStart w:id="63" w:name="_Toc15396611"/>
      <w:bookmarkStart w:id="64" w:name="_Toc22269"/>
      <w:r>
        <w:rPr>
          <w:rFonts w:hint="default" w:ascii="Times New Roman" w:hAnsi="Times New Roman" w:eastAsia="方正黑体_GBK" w:cs="Times New Roman"/>
          <w:b w:val="0"/>
          <w:bCs/>
          <w:lang w:eastAsia="zh-CN"/>
        </w:rPr>
        <w:t>九、国有资本经营预算支出决算情况说明</w:t>
      </w:r>
      <w:bookmarkEnd w:id="62"/>
      <w:bookmarkEnd w:id="63"/>
      <w:bookmarkEnd w:id="64"/>
    </w:p>
    <w:p w14:paraId="5A816FAC">
      <w:pPr>
        <w:spacing w:line="240" w:lineRule="auto"/>
        <w:ind w:firstLine="640"/>
        <w:rPr>
          <w:rFonts w:hint="default" w:ascii="Times New Roman" w:hAnsi="Times New Roman" w:eastAsia="方正仿宋_GBK" w:cs="Times New Roman"/>
          <w:color w:val="auto"/>
          <w:kern w:val="2"/>
          <w:sz w:val="32"/>
          <w:szCs w:val="32"/>
          <w:highlight w:val="none"/>
          <w:lang w:val="en-US" w:eastAsia="zh-CN" w:bidi="ar-SA"/>
        </w:rPr>
      </w:pPr>
      <w:r>
        <w:rPr>
          <w:rFonts w:hint="default" w:ascii="Times New Roman" w:hAnsi="Times New Roman" w:eastAsia="方正仿宋_GBK" w:cs="Times New Roman"/>
          <w:color w:val="auto"/>
          <w:kern w:val="2"/>
          <w:sz w:val="32"/>
          <w:szCs w:val="32"/>
          <w:highlight w:val="none"/>
          <w:lang w:val="en-US" w:eastAsia="zh-CN" w:bidi="ar-SA"/>
        </w:rPr>
        <w:t>2024年度国有资本经营预算财政拨款支出0万元，占本年支出合计的0%。与2023年决算数持平。</w:t>
      </w:r>
    </w:p>
    <w:p w14:paraId="2037CB8C">
      <w:pPr>
        <w:pStyle w:val="4"/>
        <w:keepNext/>
        <w:keepLines/>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方正黑体_GBK" w:cs="Times New Roman"/>
          <w:b w:val="0"/>
          <w:bCs/>
          <w:lang w:eastAsia="zh-CN"/>
        </w:rPr>
      </w:pPr>
      <w:bookmarkStart w:id="65" w:name="_Toc15396612"/>
      <w:bookmarkStart w:id="66" w:name="_Toc15377221"/>
      <w:bookmarkStart w:id="67" w:name="_Toc16136"/>
      <w:r>
        <w:rPr>
          <w:rFonts w:hint="default" w:ascii="Times New Roman" w:hAnsi="Times New Roman" w:eastAsia="方正黑体_GBK" w:cs="Times New Roman"/>
          <w:b w:val="0"/>
          <w:bCs/>
          <w:lang w:eastAsia="zh-CN"/>
        </w:rPr>
        <w:t>十、其他重要事项的情况说明</w:t>
      </w:r>
      <w:bookmarkEnd w:id="65"/>
      <w:bookmarkEnd w:id="66"/>
      <w:bookmarkEnd w:id="67"/>
    </w:p>
    <w:p w14:paraId="355D257B">
      <w:pPr>
        <w:spacing w:line="240" w:lineRule="auto"/>
        <w:ind w:firstLine="643" w:firstLineChars="200"/>
        <w:outlineLvl w:val="2"/>
        <w:rPr>
          <w:rFonts w:hint="default" w:ascii="Times New Roman" w:hAnsi="Times New Roman" w:eastAsia="楷体_GB2312" w:cs="Times New Roman"/>
          <w:b/>
          <w:color w:val="auto"/>
          <w:sz w:val="32"/>
          <w:szCs w:val="32"/>
          <w:highlight w:val="none"/>
        </w:rPr>
      </w:pPr>
      <w:bookmarkStart w:id="68" w:name="_Toc15377222"/>
      <w:r>
        <w:rPr>
          <w:rFonts w:hint="default" w:ascii="Times New Roman" w:hAnsi="Times New Roman" w:eastAsia="楷体_GB2312" w:cs="Times New Roman"/>
          <w:b/>
          <w:color w:val="auto"/>
          <w:sz w:val="32"/>
          <w:szCs w:val="32"/>
          <w:highlight w:val="none"/>
        </w:rPr>
        <w:t>（一）机关运行经费支出情况</w:t>
      </w:r>
      <w:bookmarkEnd w:id="68"/>
    </w:p>
    <w:p w14:paraId="424DAAEC">
      <w:pPr>
        <w:spacing w:line="240" w:lineRule="auto"/>
        <w:ind w:firstLine="640"/>
        <w:rPr>
          <w:rFonts w:hint="default" w:ascii="Times New Roman" w:hAnsi="Times New Roman" w:eastAsia="方正仿宋_GBK" w:cs="Times New Roman"/>
          <w:color w:val="auto"/>
          <w:kern w:val="2"/>
          <w:sz w:val="32"/>
          <w:szCs w:val="32"/>
          <w:highlight w:val="none"/>
          <w:lang w:val="en-US" w:eastAsia="zh-CN" w:bidi="ar-SA"/>
        </w:rPr>
      </w:pPr>
      <w:r>
        <w:rPr>
          <w:rFonts w:hint="default" w:ascii="Times New Roman" w:hAnsi="Times New Roman" w:eastAsia="方正仿宋_GBK" w:cs="Times New Roman"/>
          <w:color w:val="auto"/>
          <w:kern w:val="2"/>
          <w:sz w:val="32"/>
          <w:szCs w:val="32"/>
          <w:highlight w:val="none"/>
          <w:lang w:val="en-US" w:eastAsia="zh-CN" w:bidi="ar-SA"/>
        </w:rPr>
        <w:t>2024年度，盐边县幼儿园机关运行经费支出0万元，与2023年度决算数持平。</w:t>
      </w:r>
    </w:p>
    <w:p w14:paraId="1E545D5F">
      <w:pPr>
        <w:spacing w:line="240" w:lineRule="auto"/>
        <w:ind w:firstLine="643" w:firstLineChars="200"/>
        <w:outlineLvl w:val="2"/>
        <w:rPr>
          <w:rFonts w:hint="default" w:ascii="Times New Roman" w:hAnsi="Times New Roman" w:eastAsia="楷体_GB2312" w:cs="Times New Roman"/>
          <w:b/>
          <w:color w:val="auto"/>
          <w:sz w:val="32"/>
          <w:szCs w:val="32"/>
          <w:highlight w:val="none"/>
        </w:rPr>
      </w:pPr>
      <w:bookmarkStart w:id="69" w:name="_Toc15377223"/>
      <w:r>
        <w:rPr>
          <w:rFonts w:hint="default" w:ascii="Times New Roman" w:hAnsi="Times New Roman" w:eastAsia="楷体_GB2312" w:cs="Times New Roman"/>
          <w:b/>
          <w:color w:val="auto"/>
          <w:sz w:val="32"/>
          <w:szCs w:val="32"/>
          <w:highlight w:val="none"/>
        </w:rPr>
        <w:t>（二）政府采购支出情况</w:t>
      </w:r>
      <w:bookmarkEnd w:id="69"/>
    </w:p>
    <w:p w14:paraId="271F9F10">
      <w:pPr>
        <w:spacing w:line="240" w:lineRule="auto"/>
        <w:ind w:firstLine="640"/>
        <w:rPr>
          <w:rFonts w:hint="default" w:ascii="Times New Roman" w:hAnsi="Times New Roman" w:eastAsia="方正仿宋_GBK" w:cs="Times New Roman"/>
          <w:color w:val="auto"/>
          <w:kern w:val="2"/>
          <w:sz w:val="32"/>
          <w:szCs w:val="32"/>
          <w:highlight w:val="none"/>
          <w:lang w:val="en-US" w:eastAsia="zh-CN" w:bidi="ar-SA"/>
        </w:rPr>
      </w:pPr>
      <w:r>
        <w:rPr>
          <w:rFonts w:hint="default" w:ascii="Times New Roman" w:hAnsi="Times New Roman" w:eastAsia="方正仿宋_GBK" w:cs="Times New Roman"/>
          <w:color w:val="auto"/>
          <w:kern w:val="2"/>
          <w:sz w:val="32"/>
          <w:szCs w:val="32"/>
          <w:highlight w:val="none"/>
          <w:lang w:val="en-US" w:eastAsia="zh-CN" w:bidi="ar-SA"/>
        </w:rPr>
        <w:t>2024年度，盐边县幼儿园政府采购支出总额0万元，其中：政府采购货物支出0万元、政府采购工程支出0万元、政府采购服务支出0万元。授予中小企业合同金额0万元，占政府采购支出总额的0%，其中：授予小微企业合同金额0万元，占政府采购支出总额的0%。</w:t>
      </w:r>
    </w:p>
    <w:p w14:paraId="2CBF99B3">
      <w:pPr>
        <w:spacing w:line="240" w:lineRule="auto"/>
        <w:ind w:firstLine="643" w:firstLineChars="200"/>
        <w:outlineLvl w:val="2"/>
        <w:rPr>
          <w:rFonts w:hint="default" w:ascii="Times New Roman" w:hAnsi="Times New Roman" w:eastAsia="楷体_GB2312" w:cs="Times New Roman"/>
          <w:b/>
          <w:color w:val="auto"/>
          <w:sz w:val="32"/>
          <w:szCs w:val="32"/>
          <w:highlight w:val="none"/>
        </w:rPr>
      </w:pPr>
      <w:bookmarkStart w:id="70" w:name="_Toc15377224"/>
      <w:r>
        <w:rPr>
          <w:rFonts w:hint="default" w:ascii="Times New Roman" w:hAnsi="Times New Roman" w:eastAsia="楷体_GB2312" w:cs="Times New Roman"/>
          <w:b/>
          <w:color w:val="auto"/>
          <w:sz w:val="32"/>
          <w:szCs w:val="32"/>
          <w:highlight w:val="none"/>
        </w:rPr>
        <w:t>（三）国有资产占有使用情况</w:t>
      </w:r>
      <w:bookmarkEnd w:id="70"/>
    </w:p>
    <w:p w14:paraId="7CEC9E90">
      <w:pPr>
        <w:spacing w:line="240" w:lineRule="auto"/>
        <w:ind w:firstLine="640"/>
        <w:rPr>
          <w:rFonts w:hint="default" w:ascii="Times New Roman" w:hAnsi="Times New Roman" w:eastAsia="方正仿宋_GBK" w:cs="Times New Roman"/>
          <w:color w:val="auto"/>
          <w:kern w:val="2"/>
          <w:sz w:val="32"/>
          <w:szCs w:val="32"/>
          <w:highlight w:val="none"/>
          <w:lang w:val="en-US" w:eastAsia="zh-CN" w:bidi="ar-SA"/>
        </w:rPr>
      </w:pPr>
      <w:r>
        <w:rPr>
          <w:rFonts w:hint="default" w:ascii="Times New Roman" w:hAnsi="Times New Roman" w:eastAsia="方正仿宋_GBK" w:cs="Times New Roman"/>
          <w:color w:val="auto"/>
          <w:kern w:val="2"/>
          <w:sz w:val="32"/>
          <w:szCs w:val="32"/>
          <w:highlight w:val="none"/>
          <w:lang w:val="en-US" w:eastAsia="zh-CN" w:bidi="ar-SA"/>
        </w:rPr>
        <w:t>截至2024年12月31日，盐边县幼儿园共有车辆0辆，其中：主要负责人用车0辆、机要通信用车0辆、应急保障用车0辆、其他用车0辆。单价100万元（含）以上设备（不含车辆）0台（套）。</w:t>
      </w:r>
    </w:p>
    <w:p w14:paraId="67ACD176">
      <w:pPr>
        <w:spacing w:line="240" w:lineRule="auto"/>
        <w:ind w:firstLine="643" w:firstLineChars="200"/>
        <w:outlineLvl w:val="2"/>
        <w:rPr>
          <w:rFonts w:hint="default" w:ascii="Times New Roman" w:hAnsi="Times New Roman" w:eastAsia="楷体_GB2312" w:cs="Times New Roman"/>
          <w:b/>
          <w:color w:val="auto"/>
          <w:sz w:val="32"/>
          <w:szCs w:val="32"/>
          <w:highlight w:val="none"/>
        </w:rPr>
      </w:pPr>
      <w:r>
        <w:rPr>
          <w:rFonts w:hint="default" w:ascii="Times New Roman" w:hAnsi="Times New Roman" w:eastAsia="楷体_GB2312" w:cs="Times New Roman"/>
          <w:b/>
          <w:color w:val="auto"/>
          <w:sz w:val="32"/>
          <w:szCs w:val="32"/>
          <w:highlight w:val="none"/>
        </w:rPr>
        <w:t>（四）预算绩效管理情况</w:t>
      </w:r>
    </w:p>
    <w:p w14:paraId="73976D65">
      <w:pPr>
        <w:spacing w:line="240" w:lineRule="auto"/>
        <w:ind w:firstLine="640"/>
        <w:rPr>
          <w:rFonts w:hint="default" w:ascii="Times New Roman" w:hAnsi="Times New Roman" w:eastAsia="方正仿宋_GBK" w:cs="Times New Roman"/>
          <w:color w:val="auto"/>
          <w:kern w:val="2"/>
          <w:sz w:val="32"/>
          <w:szCs w:val="32"/>
          <w:highlight w:val="none"/>
          <w:lang w:val="en-US" w:eastAsia="zh-CN" w:bidi="ar-SA"/>
        </w:rPr>
      </w:pPr>
      <w:r>
        <w:rPr>
          <w:rFonts w:hint="default" w:ascii="Times New Roman" w:hAnsi="Times New Roman" w:eastAsia="方正仿宋_GBK" w:cs="Times New Roman"/>
          <w:color w:val="auto"/>
          <w:kern w:val="2"/>
          <w:sz w:val="32"/>
          <w:szCs w:val="32"/>
          <w:highlight w:val="none"/>
          <w:lang w:val="en-US" w:eastAsia="zh-CN" w:bidi="ar-SA"/>
        </w:rPr>
        <w:t>根据预算绩效管理要求，盐边县幼儿园在2024年度预算编制阶段，组织对幼儿园维修维护及教学用品及设备购置，幼儿园创建设备采购及环境提升，幼儿园保教费减免，盐边县幼儿园校舍维修改造4个项目开展了预算事前绩效评估，对4个项目编制了绩效目标，预算执行过程中，选取4个项目开展绩效监控。</w:t>
      </w:r>
      <w:r>
        <w:rPr>
          <w:rFonts w:hint="default" w:ascii="Times New Roman" w:hAnsi="Times New Roman" w:eastAsia="方正仿宋_GBK" w:cs="Times New Roman"/>
          <w:color w:val="auto"/>
          <w:kern w:val="2"/>
          <w:sz w:val="32"/>
          <w:szCs w:val="32"/>
          <w:highlight w:val="none"/>
          <w:lang w:val="en-US" w:eastAsia="zh-CN" w:bidi="ar-SA"/>
        </w:rPr>
        <w:t>组织对5个项目开展绩效自评，绩效自评表详见第四部分附件。</w:t>
      </w:r>
    </w:p>
    <w:p w14:paraId="1648806F">
      <w:pPr>
        <w:spacing w:line="240" w:lineRule="auto"/>
        <w:rPr>
          <w:rFonts w:hint="default" w:ascii="Times New Roman" w:hAnsi="Times New Roman" w:eastAsia="仿宋_GB2312" w:cs="Times New Roman"/>
          <w:color w:val="auto"/>
          <w:kern w:val="2"/>
          <w:sz w:val="32"/>
          <w:szCs w:val="32"/>
          <w:highlight w:val="none"/>
          <w:lang w:val="en-US" w:eastAsia="zh-CN" w:bidi="ar-SA"/>
        </w:rPr>
      </w:pPr>
    </w:p>
    <w:p w14:paraId="7FC05418">
      <w:pPr>
        <w:pStyle w:val="19"/>
        <w:rPr>
          <w:rFonts w:hint="default" w:ascii="Times New Roman" w:hAnsi="Times New Roman" w:eastAsia="黑体" w:cs="Times New Roman"/>
          <w:color w:val="000000"/>
          <w:kern w:val="2"/>
          <w:sz w:val="44"/>
          <w:lang w:val="zh-CN"/>
        </w:rPr>
      </w:pPr>
    </w:p>
    <w:p w14:paraId="43FD5BE1">
      <w:pPr>
        <w:rPr>
          <w:rFonts w:hint="default" w:ascii="Times New Roman" w:hAnsi="Times New Roman" w:eastAsia="黑体" w:cs="Times New Roman"/>
          <w:color w:val="000000"/>
          <w:kern w:val="2"/>
          <w:sz w:val="44"/>
          <w:lang w:val="zh-CN"/>
        </w:rPr>
      </w:pPr>
    </w:p>
    <w:p w14:paraId="4C0B8381">
      <w:pPr>
        <w:rPr>
          <w:rFonts w:hint="default" w:ascii="Times New Roman" w:hAnsi="Times New Roman" w:eastAsia="黑体" w:cs="Times New Roman"/>
          <w:color w:val="000000"/>
          <w:kern w:val="2"/>
          <w:sz w:val="44"/>
          <w:lang w:val="zh-CN"/>
        </w:rPr>
      </w:pPr>
      <w:r>
        <w:rPr>
          <w:rFonts w:hint="default" w:ascii="Times New Roman" w:hAnsi="Times New Roman" w:eastAsia="黑体" w:cs="Times New Roman"/>
          <w:color w:val="000000"/>
          <w:kern w:val="2"/>
          <w:sz w:val="44"/>
          <w:lang w:val="zh-CN"/>
        </w:rPr>
        <w:br w:type="page"/>
      </w:r>
    </w:p>
    <w:p w14:paraId="74B8CB83">
      <w:pPr>
        <w:pStyle w:val="3"/>
        <w:spacing w:line="240" w:lineRule="auto"/>
        <w:jc w:val="center"/>
        <w:rPr>
          <w:rFonts w:hint="default" w:ascii="Times New Roman" w:hAnsi="Times New Roman" w:eastAsia="方正小标宋_GBK" w:cs="Times New Roman"/>
          <w:b w:val="0"/>
          <w:sz w:val="44"/>
          <w:szCs w:val="44"/>
          <w:lang w:val="zh-CN"/>
        </w:rPr>
      </w:pPr>
      <w:bookmarkStart w:id="71" w:name="_Toc16210"/>
      <w:r>
        <w:rPr>
          <w:rFonts w:hint="default" w:ascii="Times New Roman" w:hAnsi="Times New Roman" w:eastAsia="方正小标宋_GBK" w:cs="Times New Roman"/>
          <w:b w:val="0"/>
          <w:sz w:val="44"/>
          <w:szCs w:val="44"/>
          <w:lang w:val="zh-CN"/>
        </w:rPr>
        <w:t>第三部分 名词解释</w:t>
      </w:r>
      <w:bookmarkEnd w:id="71"/>
    </w:p>
    <w:p w14:paraId="31BF08FC">
      <w:pPr>
        <w:pStyle w:val="26"/>
        <w:spacing w:beforeLines="0" w:afterLines="0" w:line="240" w:lineRule="auto"/>
        <w:ind w:firstLine="640" w:firstLineChars="200"/>
        <w:rPr>
          <w:rFonts w:hint="default" w:ascii="Times New Roman" w:hAnsi="Times New Roman" w:eastAsia="方正仿宋_GBK" w:cs="Times New Roman"/>
          <w:color w:val="auto"/>
          <w:sz w:val="32"/>
        </w:rPr>
      </w:pPr>
      <w:bookmarkStart w:id="72" w:name="_Toc15396618"/>
      <w:bookmarkStart w:id="73" w:name="_Toc15377226"/>
      <w:r>
        <w:rPr>
          <w:rFonts w:hint="default" w:ascii="Times New Roman" w:hAnsi="Times New Roman" w:eastAsia="方正仿宋_GBK" w:cs="Times New Roman"/>
          <w:color w:val="auto"/>
          <w:sz w:val="32"/>
        </w:rPr>
        <w:t>1.财政拨款收入：指单位从同级财政部门取得的财政预算资金。</w:t>
      </w:r>
    </w:p>
    <w:p w14:paraId="731E8864">
      <w:pPr>
        <w:pStyle w:val="26"/>
        <w:spacing w:beforeLines="0" w:afterLines="0" w:line="240" w:lineRule="auto"/>
        <w:ind w:firstLine="640" w:firstLineChars="200"/>
        <w:rPr>
          <w:rFonts w:hint="default" w:ascii="Times New Roman" w:hAnsi="Times New Roman" w:eastAsia="方正仿宋_GBK" w:cs="Times New Roman"/>
          <w:color w:val="auto"/>
          <w:sz w:val="32"/>
        </w:rPr>
      </w:pPr>
      <w:r>
        <w:rPr>
          <w:rFonts w:hint="default" w:ascii="Times New Roman" w:hAnsi="Times New Roman" w:eastAsia="方正仿宋_GBK" w:cs="Times New Roman"/>
          <w:color w:val="auto"/>
          <w:sz w:val="32"/>
        </w:rPr>
        <w:t>2.事业收入：指事业单位开展专业业务活动及辅助活动取得的收入。</w:t>
      </w:r>
    </w:p>
    <w:p w14:paraId="2B6D11A0">
      <w:pPr>
        <w:pStyle w:val="26"/>
        <w:spacing w:beforeLines="0" w:afterLines="0" w:line="240" w:lineRule="auto"/>
        <w:ind w:firstLine="640" w:firstLineChars="200"/>
        <w:rPr>
          <w:rFonts w:hint="default" w:ascii="Times New Roman" w:hAnsi="Times New Roman" w:eastAsia="方正仿宋_GBK" w:cs="Times New Roman"/>
          <w:color w:val="auto"/>
          <w:sz w:val="32"/>
        </w:rPr>
      </w:pPr>
      <w:r>
        <w:rPr>
          <w:rFonts w:hint="default" w:ascii="Times New Roman" w:hAnsi="Times New Roman" w:eastAsia="方正仿宋_GBK" w:cs="Times New Roman"/>
          <w:color w:val="auto"/>
          <w:sz w:val="32"/>
        </w:rPr>
        <w:t>3.经营收入：指事业单位在专业业务活动及其辅助活动之外开展非独立核算经营活动取得的收入。</w:t>
      </w:r>
    </w:p>
    <w:p w14:paraId="6A91AC3A">
      <w:pPr>
        <w:pStyle w:val="26"/>
        <w:spacing w:beforeLines="0" w:afterLines="0" w:line="240" w:lineRule="auto"/>
        <w:ind w:firstLine="640" w:firstLineChars="200"/>
        <w:rPr>
          <w:rFonts w:hint="default" w:ascii="Times New Roman" w:hAnsi="Times New Roman" w:eastAsia="方正仿宋_GBK" w:cs="Times New Roman"/>
          <w:color w:val="auto"/>
          <w:sz w:val="32"/>
        </w:rPr>
      </w:pPr>
      <w:r>
        <w:rPr>
          <w:rFonts w:hint="default" w:ascii="Times New Roman" w:hAnsi="Times New Roman" w:eastAsia="方正仿宋_GBK" w:cs="Times New Roman"/>
          <w:color w:val="auto"/>
          <w:sz w:val="32"/>
        </w:rPr>
        <w:t>4.其他收入：指单位取得的除上述收入以外的各项收入。</w:t>
      </w:r>
    </w:p>
    <w:p w14:paraId="02F902F4">
      <w:pPr>
        <w:pStyle w:val="26"/>
        <w:spacing w:beforeLines="0" w:afterLines="0" w:line="240" w:lineRule="auto"/>
        <w:ind w:firstLine="640" w:firstLineChars="200"/>
        <w:rPr>
          <w:rFonts w:hint="default" w:ascii="Times New Roman" w:hAnsi="Times New Roman" w:eastAsia="方正仿宋_GBK" w:cs="Times New Roman"/>
          <w:color w:val="auto"/>
          <w:sz w:val="32"/>
        </w:rPr>
      </w:pPr>
      <w:r>
        <w:rPr>
          <w:rFonts w:hint="default" w:ascii="Times New Roman" w:hAnsi="Times New Roman" w:eastAsia="方正仿宋_GBK" w:cs="Times New Roman"/>
          <w:color w:val="auto"/>
          <w:sz w:val="32"/>
        </w:rPr>
        <w:t>5.使用非财政拨款结余：指事业单位使用以前年度积累的非财政拨款结余弥补当年收支差额的金额。</w:t>
      </w:r>
    </w:p>
    <w:p w14:paraId="26AAF0F6">
      <w:pPr>
        <w:pStyle w:val="26"/>
        <w:spacing w:beforeLines="0" w:afterLines="0" w:line="240" w:lineRule="auto"/>
        <w:ind w:firstLine="640" w:firstLineChars="200"/>
        <w:rPr>
          <w:rFonts w:hint="default" w:ascii="Times New Roman" w:hAnsi="Times New Roman" w:eastAsia="方正仿宋_GBK" w:cs="Times New Roman"/>
          <w:color w:val="auto"/>
          <w:sz w:val="32"/>
        </w:rPr>
      </w:pPr>
      <w:r>
        <w:rPr>
          <w:rFonts w:hint="default" w:ascii="Times New Roman" w:hAnsi="Times New Roman" w:eastAsia="方正仿宋_GBK" w:cs="Times New Roman"/>
          <w:color w:val="auto"/>
          <w:sz w:val="32"/>
        </w:rPr>
        <w:t>6.年初结转和结余：指以前年度尚未完成、结转到本年按有关规定继续使用的资金。</w:t>
      </w:r>
    </w:p>
    <w:p w14:paraId="79EEB0FC">
      <w:pPr>
        <w:pStyle w:val="26"/>
        <w:spacing w:beforeLines="0" w:afterLines="0" w:line="240" w:lineRule="auto"/>
        <w:ind w:firstLine="640" w:firstLineChars="200"/>
        <w:rPr>
          <w:rFonts w:hint="default" w:ascii="Times New Roman" w:hAnsi="Times New Roman" w:eastAsia="方正仿宋_GBK" w:cs="Times New Roman"/>
          <w:color w:val="auto"/>
          <w:sz w:val="32"/>
        </w:rPr>
      </w:pPr>
      <w:r>
        <w:rPr>
          <w:rFonts w:hint="default" w:ascii="Times New Roman" w:hAnsi="Times New Roman" w:eastAsia="方正仿宋_GBK" w:cs="Times New Roman"/>
          <w:color w:val="auto"/>
          <w:sz w:val="32"/>
        </w:rPr>
        <w:t>7.结余分配：指事业单位按照会计制度规定缴纳的所得税、提取的专用结余以及转入非财政拨款结余的金额等。</w:t>
      </w:r>
    </w:p>
    <w:p w14:paraId="3FD8447C">
      <w:pPr>
        <w:pStyle w:val="26"/>
        <w:spacing w:beforeLines="0" w:afterLines="0" w:line="240" w:lineRule="auto"/>
        <w:ind w:firstLine="640" w:firstLineChars="200"/>
        <w:rPr>
          <w:rFonts w:hint="default" w:ascii="Times New Roman" w:hAnsi="Times New Roman" w:eastAsia="方正仿宋_GBK" w:cs="Times New Roman"/>
          <w:color w:val="auto"/>
          <w:sz w:val="32"/>
        </w:rPr>
      </w:pPr>
      <w:r>
        <w:rPr>
          <w:rFonts w:hint="default" w:ascii="Times New Roman" w:hAnsi="Times New Roman" w:eastAsia="方正仿宋_GBK" w:cs="Times New Roman"/>
          <w:color w:val="auto"/>
          <w:sz w:val="32"/>
        </w:rPr>
        <w:t>8.年末结转和结余：指单位按有关规定结转到下年或以后年度继续使用的资金。</w:t>
      </w:r>
    </w:p>
    <w:p w14:paraId="09974697">
      <w:pPr>
        <w:spacing w:beforeLines="0" w:afterLines="0" w:line="240" w:lineRule="auto"/>
        <w:ind w:firstLine="627" w:firstLineChars="196"/>
        <w:rPr>
          <w:rFonts w:hint="default" w:ascii="Times New Roman" w:hAnsi="Times New Roman" w:eastAsia="方正仿宋_GBK" w:cs="Times New Roman"/>
          <w:color w:val="000000"/>
          <w:sz w:val="32"/>
          <w:lang w:val="zh-CN"/>
        </w:rPr>
      </w:pPr>
      <w:r>
        <w:rPr>
          <w:rFonts w:hint="default" w:ascii="Times New Roman" w:hAnsi="Times New Roman" w:eastAsia="方正仿宋_GBK" w:cs="Times New Roman"/>
          <w:sz w:val="32"/>
        </w:rPr>
        <w:t>9.</w:t>
      </w:r>
      <w:r>
        <w:rPr>
          <w:rFonts w:hint="default" w:ascii="Times New Roman" w:hAnsi="Times New Roman" w:eastAsia="方正仿宋_GBK" w:cs="Times New Roman"/>
          <w:color w:val="000000"/>
          <w:sz w:val="32"/>
          <w:lang w:val="zh-CN"/>
        </w:rPr>
        <w:t xml:space="preserve"> </w:t>
      </w:r>
      <w:r>
        <w:rPr>
          <w:rStyle w:val="17"/>
          <w:rFonts w:hint="default" w:ascii="Times New Roman" w:hAnsi="Times New Roman" w:eastAsia="方正仿宋_GBK" w:cs="Times New Roman"/>
          <w:b w:val="0"/>
          <w:sz w:val="32"/>
        </w:rPr>
        <w:t>教育支出（类）普通教育（款）学前教育</w:t>
      </w:r>
      <w:r>
        <w:rPr>
          <w:rFonts w:hint="default" w:ascii="Times New Roman" w:hAnsi="Times New Roman" w:eastAsia="方正仿宋_GBK" w:cs="Times New Roman"/>
          <w:color w:val="000000"/>
          <w:sz w:val="32"/>
          <w:lang w:val="zh-CN"/>
        </w:rPr>
        <w:t>（项）：反映各部门举办的学前教育支出。</w:t>
      </w:r>
    </w:p>
    <w:p w14:paraId="41517A21">
      <w:pPr>
        <w:spacing w:beforeLines="0" w:afterLines="0" w:line="240" w:lineRule="auto"/>
        <w:ind w:firstLine="627" w:firstLineChars="196"/>
        <w:rPr>
          <w:rStyle w:val="17"/>
          <w:rFonts w:hint="default" w:ascii="Times New Roman" w:hAnsi="Times New Roman" w:eastAsia="方正仿宋_GBK" w:cs="Times New Roman"/>
          <w:b w:val="0"/>
          <w:sz w:val="32"/>
          <w:lang w:val="en-US" w:eastAsia="zh-CN"/>
        </w:rPr>
      </w:pPr>
      <w:r>
        <w:rPr>
          <w:rFonts w:hint="default" w:ascii="Times New Roman" w:hAnsi="Times New Roman" w:eastAsia="方正仿宋_GBK" w:cs="Times New Roman"/>
          <w:color w:val="000000"/>
          <w:sz w:val="32"/>
          <w:lang w:val="zh-CN"/>
        </w:rPr>
        <w:t>10.</w:t>
      </w:r>
      <w:r>
        <w:rPr>
          <w:rStyle w:val="17"/>
          <w:rFonts w:hint="default" w:ascii="Times New Roman" w:hAnsi="Times New Roman" w:eastAsia="方正仿宋_GBK" w:cs="Times New Roman"/>
          <w:b w:val="0"/>
          <w:sz w:val="32"/>
        </w:rPr>
        <w:t>教育支出（类）教育费附</w:t>
      </w:r>
      <w:r>
        <w:rPr>
          <w:rFonts w:hint="default" w:ascii="Times New Roman" w:hAnsi="Times New Roman" w:eastAsia="方正仿宋_GBK" w:cs="Times New Roman"/>
          <w:color w:val="000000"/>
          <w:sz w:val="32"/>
          <w:lang w:val="zh-CN"/>
        </w:rPr>
        <w:t>加安排的支出（款）农村中小学教学设施（项）：反映教育费附加安排</w:t>
      </w:r>
      <w:r>
        <w:rPr>
          <w:rFonts w:hint="default" w:ascii="Times New Roman" w:hAnsi="Times New Roman" w:eastAsia="方正仿宋_GBK" w:cs="Times New Roman"/>
          <w:color w:val="000000"/>
          <w:sz w:val="32"/>
          <w:lang w:val="en-US" w:eastAsia="zh-CN"/>
        </w:rPr>
        <w:t>用于改善农村中小学教学设施和办学条件的支出。</w:t>
      </w:r>
    </w:p>
    <w:p w14:paraId="68D5BFEC">
      <w:pPr>
        <w:spacing w:beforeLines="0" w:afterLines="0" w:line="240" w:lineRule="auto"/>
        <w:ind w:firstLine="627" w:firstLineChars="196"/>
        <w:rPr>
          <w:rFonts w:hint="default" w:ascii="Times New Roman" w:hAnsi="Times New Roman" w:eastAsia="方正仿宋_GBK" w:cs="Times New Roman"/>
          <w:lang w:val="zh-CN"/>
        </w:rPr>
      </w:pPr>
      <w:r>
        <w:rPr>
          <w:rStyle w:val="17"/>
          <w:rFonts w:hint="default" w:ascii="Times New Roman" w:hAnsi="Times New Roman" w:eastAsia="方正仿宋_GBK" w:cs="Times New Roman"/>
          <w:b w:val="0"/>
          <w:sz w:val="32"/>
          <w:lang w:val="en-US" w:eastAsia="zh-CN"/>
        </w:rPr>
        <w:t>11</w:t>
      </w:r>
      <w:r>
        <w:rPr>
          <w:rFonts w:hint="default" w:ascii="Times New Roman" w:hAnsi="Times New Roman" w:eastAsia="方正仿宋_GBK" w:cs="Times New Roman"/>
          <w:b w:val="0"/>
          <w:bCs/>
          <w:color w:val="000000"/>
          <w:sz w:val="32"/>
          <w:lang w:val="en-US" w:eastAsia="zh-CN"/>
        </w:rPr>
        <w:t>.</w:t>
      </w:r>
      <w:r>
        <w:rPr>
          <w:rStyle w:val="17"/>
          <w:rFonts w:hint="default" w:ascii="Times New Roman" w:hAnsi="Times New Roman" w:eastAsia="方正仿宋_GBK" w:cs="Times New Roman"/>
          <w:b w:val="0"/>
          <w:sz w:val="32"/>
        </w:rPr>
        <w:t>教育支出（类）教育费附加安排的支出（款）其他教育费附加安排的支出</w:t>
      </w:r>
      <w:r>
        <w:rPr>
          <w:rFonts w:hint="default" w:ascii="Times New Roman" w:hAnsi="Times New Roman" w:eastAsia="方正仿宋_GBK" w:cs="Times New Roman"/>
          <w:color w:val="000000"/>
          <w:sz w:val="32"/>
          <w:lang w:val="zh-CN"/>
        </w:rPr>
        <w:t>（项）：反映</w:t>
      </w:r>
      <w:r>
        <w:rPr>
          <w:rFonts w:hint="default" w:ascii="Times New Roman" w:hAnsi="Times New Roman" w:eastAsia="方正仿宋_GBK" w:cs="Times New Roman"/>
          <w:color w:val="000000"/>
          <w:sz w:val="32"/>
          <w:lang w:val="en-US" w:eastAsia="zh-CN"/>
        </w:rPr>
        <w:t>除上述项目以外的教育附加支出。</w:t>
      </w:r>
    </w:p>
    <w:p w14:paraId="3A836BB5">
      <w:pPr>
        <w:spacing w:beforeLines="0" w:afterLines="0" w:line="240" w:lineRule="auto"/>
        <w:ind w:firstLine="627" w:firstLineChars="196"/>
        <w:rPr>
          <w:rFonts w:hint="default" w:ascii="Times New Roman" w:hAnsi="Times New Roman" w:eastAsia="方正仿宋_GBK" w:cs="Times New Roman"/>
          <w:color w:val="000000"/>
          <w:sz w:val="32"/>
          <w:lang w:val="zh-CN"/>
        </w:rPr>
      </w:pPr>
      <w:r>
        <w:rPr>
          <w:rFonts w:hint="default" w:ascii="Times New Roman" w:hAnsi="Times New Roman" w:eastAsia="方正仿宋_GBK" w:cs="Times New Roman"/>
          <w:color w:val="000000"/>
          <w:sz w:val="32"/>
          <w:lang w:val="zh-CN"/>
        </w:rPr>
        <w:t>1</w:t>
      </w:r>
      <w:r>
        <w:rPr>
          <w:rFonts w:hint="default" w:ascii="Times New Roman" w:hAnsi="Times New Roman" w:eastAsia="方正仿宋_GBK" w:cs="Times New Roman"/>
          <w:color w:val="000000"/>
          <w:sz w:val="32"/>
          <w:lang w:val="en-US" w:eastAsia="zh-CN"/>
        </w:rPr>
        <w:t>2</w:t>
      </w:r>
      <w:r>
        <w:rPr>
          <w:rFonts w:hint="default" w:ascii="Times New Roman" w:hAnsi="Times New Roman" w:eastAsia="方正仿宋_GBK" w:cs="Times New Roman"/>
          <w:color w:val="000000"/>
          <w:sz w:val="32"/>
          <w:lang w:val="zh-CN"/>
        </w:rPr>
        <w:t>.社会保障和就业（类）</w:t>
      </w:r>
      <w:r>
        <w:rPr>
          <w:rStyle w:val="17"/>
          <w:rFonts w:hint="default" w:ascii="Times New Roman" w:hAnsi="Times New Roman" w:eastAsia="方正仿宋_GBK" w:cs="Times New Roman"/>
          <w:b w:val="0"/>
          <w:sz w:val="32"/>
        </w:rPr>
        <w:t>行政事业单位养老支出</w:t>
      </w:r>
      <w:r>
        <w:rPr>
          <w:rFonts w:hint="default" w:ascii="Times New Roman" w:hAnsi="Times New Roman" w:eastAsia="方正仿宋_GBK" w:cs="Times New Roman"/>
          <w:color w:val="000000"/>
          <w:sz w:val="32"/>
          <w:lang w:val="zh-CN"/>
        </w:rPr>
        <w:t>（款）事业单位离退休费（项）：反映事业单位开支的离退休经费。</w:t>
      </w:r>
    </w:p>
    <w:p w14:paraId="6072E893">
      <w:pPr>
        <w:tabs>
          <w:tab w:val="left" w:pos="315"/>
        </w:tabs>
        <w:spacing w:beforeLines="0" w:afterLines="0" w:line="240" w:lineRule="auto"/>
        <w:ind w:firstLine="627" w:firstLineChars="196"/>
        <w:rPr>
          <w:rFonts w:hint="default" w:ascii="Times New Roman" w:hAnsi="Times New Roman" w:eastAsia="方正仿宋_GBK" w:cs="Times New Roman"/>
          <w:color w:val="000000"/>
          <w:sz w:val="32"/>
          <w:lang w:val="zh-CN"/>
        </w:rPr>
      </w:pPr>
      <w:r>
        <w:rPr>
          <w:rFonts w:hint="default" w:ascii="Times New Roman" w:hAnsi="Times New Roman" w:eastAsia="方正仿宋_GBK" w:cs="Times New Roman"/>
          <w:color w:val="000000"/>
          <w:sz w:val="32"/>
          <w:lang w:val="zh-CN"/>
        </w:rPr>
        <w:t>1</w:t>
      </w:r>
      <w:r>
        <w:rPr>
          <w:rFonts w:hint="default" w:ascii="Times New Roman" w:hAnsi="Times New Roman" w:eastAsia="方正仿宋_GBK" w:cs="Times New Roman"/>
          <w:color w:val="000000"/>
          <w:sz w:val="32"/>
          <w:lang w:val="en-US" w:eastAsia="zh-CN"/>
        </w:rPr>
        <w:t>3</w:t>
      </w:r>
      <w:r>
        <w:rPr>
          <w:rFonts w:hint="default" w:ascii="Times New Roman" w:hAnsi="Times New Roman" w:eastAsia="方正仿宋_GBK" w:cs="Times New Roman"/>
          <w:color w:val="000000"/>
          <w:sz w:val="32"/>
          <w:lang w:val="zh-CN"/>
        </w:rPr>
        <w:t>.社会保障和就业（类）</w:t>
      </w:r>
      <w:r>
        <w:rPr>
          <w:rStyle w:val="17"/>
          <w:rFonts w:hint="default" w:ascii="Times New Roman" w:hAnsi="Times New Roman" w:eastAsia="方正仿宋_GBK" w:cs="Times New Roman"/>
          <w:b w:val="0"/>
          <w:sz w:val="32"/>
        </w:rPr>
        <w:t>行政事业单位养老支出</w:t>
      </w:r>
      <w:r>
        <w:rPr>
          <w:rFonts w:hint="default" w:ascii="Times New Roman" w:hAnsi="Times New Roman" w:eastAsia="方正仿宋_GBK" w:cs="Times New Roman"/>
          <w:color w:val="000000"/>
          <w:sz w:val="32"/>
          <w:lang w:val="zh-CN"/>
        </w:rPr>
        <w:t>（款）机关事业单位</w:t>
      </w:r>
      <w:r>
        <w:rPr>
          <w:rFonts w:hint="default" w:ascii="Times New Roman" w:hAnsi="Times New Roman" w:eastAsia="方正仿宋_GBK" w:cs="Times New Roman"/>
          <w:color w:val="000000"/>
          <w:sz w:val="32"/>
          <w:lang w:val="en-US" w:eastAsia="zh-CN"/>
        </w:rPr>
        <w:t>基本</w:t>
      </w:r>
      <w:r>
        <w:rPr>
          <w:rFonts w:hint="default" w:ascii="Times New Roman" w:hAnsi="Times New Roman" w:eastAsia="方正仿宋_GBK" w:cs="Times New Roman"/>
          <w:color w:val="000000"/>
          <w:sz w:val="32"/>
          <w:lang w:val="zh-CN"/>
        </w:rPr>
        <w:t>养老保险缴费支出（项）：反映机关事业单位实施养老保险制度由单位缴纳的基本养老保险费支出。</w:t>
      </w:r>
    </w:p>
    <w:p w14:paraId="4457F2E3">
      <w:pPr>
        <w:spacing w:beforeLines="0" w:afterLines="0" w:line="240" w:lineRule="auto"/>
        <w:ind w:firstLine="707" w:firstLineChars="221"/>
        <w:rPr>
          <w:rStyle w:val="17"/>
          <w:rFonts w:hint="default" w:ascii="Times New Roman" w:hAnsi="Times New Roman" w:eastAsia="方正仿宋_GBK" w:cs="Times New Roman"/>
          <w:b w:val="0"/>
          <w:sz w:val="32"/>
        </w:rPr>
      </w:pPr>
      <w:r>
        <w:rPr>
          <w:rStyle w:val="17"/>
          <w:rFonts w:hint="default" w:ascii="Times New Roman" w:hAnsi="Times New Roman" w:eastAsia="方正仿宋_GBK" w:cs="Times New Roman"/>
          <w:b w:val="0"/>
          <w:sz w:val="32"/>
        </w:rPr>
        <w:t>1</w:t>
      </w:r>
      <w:r>
        <w:rPr>
          <w:rStyle w:val="17"/>
          <w:rFonts w:hint="default" w:ascii="Times New Roman" w:hAnsi="Times New Roman" w:eastAsia="方正仿宋_GBK" w:cs="Times New Roman"/>
          <w:b w:val="0"/>
          <w:sz w:val="32"/>
          <w:lang w:val="en-US" w:eastAsia="zh-CN"/>
        </w:rPr>
        <w:t>4</w:t>
      </w:r>
      <w:r>
        <w:rPr>
          <w:rStyle w:val="17"/>
          <w:rFonts w:hint="default" w:ascii="Times New Roman" w:hAnsi="Times New Roman" w:eastAsia="方正仿宋_GBK" w:cs="Times New Roman"/>
          <w:b w:val="0"/>
          <w:sz w:val="32"/>
        </w:rPr>
        <w:t>.社会保障和就业（类）行政事业单位养老支出（款）机关事业单位职业年金缴费支出（项）:反映机关事业单位实施养老保险制度由单位实际缴纳的职业年金支出。</w:t>
      </w:r>
    </w:p>
    <w:p w14:paraId="4BEB44EB">
      <w:pPr>
        <w:spacing w:beforeLines="0" w:afterLines="0" w:line="240" w:lineRule="auto"/>
        <w:ind w:firstLine="627" w:firstLineChars="196"/>
        <w:rPr>
          <w:rFonts w:hint="default" w:ascii="Times New Roman" w:hAnsi="Times New Roman" w:eastAsia="方正仿宋_GBK" w:cs="Times New Roman"/>
          <w:color w:val="000000"/>
          <w:sz w:val="32"/>
          <w:lang w:val="zh-CN"/>
        </w:rPr>
      </w:pPr>
      <w:r>
        <w:rPr>
          <w:rFonts w:hint="default" w:ascii="Times New Roman" w:hAnsi="Times New Roman" w:eastAsia="方正仿宋_GBK" w:cs="Times New Roman"/>
          <w:color w:val="000000"/>
          <w:sz w:val="32"/>
          <w:lang w:val="zh-CN"/>
        </w:rPr>
        <w:t>1</w:t>
      </w:r>
      <w:r>
        <w:rPr>
          <w:rFonts w:hint="default" w:ascii="Times New Roman" w:hAnsi="Times New Roman" w:eastAsia="方正仿宋_GBK" w:cs="Times New Roman"/>
          <w:color w:val="000000"/>
          <w:sz w:val="32"/>
          <w:lang w:val="en-US" w:eastAsia="zh-CN"/>
        </w:rPr>
        <w:t>5</w:t>
      </w:r>
      <w:r>
        <w:rPr>
          <w:rFonts w:hint="default" w:ascii="Times New Roman" w:hAnsi="Times New Roman" w:eastAsia="方正仿宋_GBK" w:cs="Times New Roman"/>
          <w:color w:val="000000"/>
          <w:sz w:val="32"/>
          <w:lang w:val="zh-CN"/>
        </w:rPr>
        <w:t>.卫生健康（类）</w:t>
      </w:r>
      <w:r>
        <w:rPr>
          <w:rStyle w:val="17"/>
          <w:rFonts w:hint="default" w:ascii="Times New Roman" w:hAnsi="Times New Roman" w:eastAsia="方正仿宋_GBK" w:cs="Times New Roman"/>
          <w:b w:val="0"/>
          <w:sz w:val="32"/>
        </w:rPr>
        <w:t>行政事业单位医疗</w:t>
      </w:r>
      <w:r>
        <w:rPr>
          <w:rFonts w:hint="default" w:ascii="Times New Roman" w:hAnsi="Times New Roman" w:eastAsia="方正仿宋_GBK" w:cs="Times New Roman"/>
          <w:color w:val="000000"/>
          <w:sz w:val="32"/>
          <w:lang w:val="zh-CN"/>
        </w:rPr>
        <w:t>（款）</w:t>
      </w:r>
      <w:r>
        <w:rPr>
          <w:rStyle w:val="17"/>
          <w:rFonts w:hint="default" w:ascii="Times New Roman" w:hAnsi="Times New Roman" w:eastAsia="方正仿宋_GBK" w:cs="Times New Roman"/>
          <w:b w:val="0"/>
          <w:sz w:val="32"/>
        </w:rPr>
        <w:t>事业单位医疗</w:t>
      </w:r>
      <w:r>
        <w:rPr>
          <w:rFonts w:hint="default" w:ascii="Times New Roman" w:hAnsi="Times New Roman" w:eastAsia="方正仿宋_GBK" w:cs="Times New Roman"/>
          <w:color w:val="000000"/>
          <w:sz w:val="32"/>
          <w:lang w:val="zh-CN"/>
        </w:rPr>
        <w:t>（项）：反映财政部门安排的事业单位基本医疗保险缴费经费，未参加医疗保险的事业单位的公费医疗经费，按国家规定享受离休人员待遇的医疗经费。</w:t>
      </w:r>
    </w:p>
    <w:p w14:paraId="6787C0CD">
      <w:pPr>
        <w:spacing w:beforeLines="0" w:afterLines="0" w:line="240" w:lineRule="auto"/>
        <w:ind w:firstLine="627" w:firstLineChars="196"/>
        <w:rPr>
          <w:rFonts w:hint="default" w:ascii="Times New Roman" w:hAnsi="Times New Roman" w:eastAsia="方正仿宋_GBK" w:cs="Times New Roman"/>
          <w:color w:val="000000"/>
          <w:sz w:val="32"/>
          <w:lang w:val="zh-CN"/>
        </w:rPr>
      </w:pPr>
      <w:r>
        <w:rPr>
          <w:rFonts w:hint="default" w:ascii="Times New Roman" w:hAnsi="Times New Roman" w:eastAsia="方正仿宋_GBK" w:cs="Times New Roman"/>
          <w:color w:val="000000"/>
          <w:sz w:val="32"/>
          <w:lang w:val="zh-CN"/>
        </w:rPr>
        <w:t>1</w:t>
      </w:r>
      <w:r>
        <w:rPr>
          <w:rFonts w:hint="default" w:ascii="Times New Roman" w:hAnsi="Times New Roman" w:eastAsia="方正仿宋_GBK" w:cs="Times New Roman"/>
          <w:color w:val="000000"/>
          <w:sz w:val="32"/>
          <w:lang w:val="en-US" w:eastAsia="zh-CN"/>
        </w:rPr>
        <w:t>6</w:t>
      </w:r>
      <w:r>
        <w:rPr>
          <w:rFonts w:hint="default" w:ascii="Times New Roman" w:hAnsi="Times New Roman" w:eastAsia="方正仿宋_GBK" w:cs="Times New Roman"/>
          <w:color w:val="000000"/>
          <w:sz w:val="32"/>
          <w:lang w:val="zh-CN"/>
        </w:rPr>
        <w:t>.卫生健康（类）</w:t>
      </w:r>
      <w:r>
        <w:rPr>
          <w:rStyle w:val="17"/>
          <w:rFonts w:hint="default" w:ascii="Times New Roman" w:hAnsi="Times New Roman" w:eastAsia="方正仿宋_GBK" w:cs="Times New Roman"/>
          <w:b w:val="0"/>
          <w:sz w:val="32"/>
        </w:rPr>
        <w:t>行政事业单位医疗</w:t>
      </w:r>
      <w:r>
        <w:rPr>
          <w:rFonts w:hint="default" w:ascii="Times New Roman" w:hAnsi="Times New Roman" w:eastAsia="方正仿宋_GBK" w:cs="Times New Roman"/>
          <w:color w:val="000000"/>
          <w:sz w:val="32"/>
          <w:lang w:val="zh-CN"/>
        </w:rPr>
        <w:t>（款）其他行政事业单位医疗支出（项）：反映除上述项目以外的其他用于行政事业单位医疗方面的支出。</w:t>
      </w:r>
    </w:p>
    <w:p w14:paraId="442A1E6E">
      <w:pPr>
        <w:spacing w:beforeLines="0" w:afterLines="0" w:line="240" w:lineRule="auto"/>
        <w:ind w:firstLine="627" w:firstLineChars="196"/>
        <w:rPr>
          <w:rFonts w:hint="default" w:ascii="Times New Roman" w:hAnsi="Times New Roman" w:eastAsia="方正仿宋_GBK" w:cs="Times New Roman"/>
          <w:color w:val="000000"/>
          <w:sz w:val="32"/>
          <w:lang w:val="zh-CN"/>
        </w:rPr>
      </w:pPr>
      <w:r>
        <w:rPr>
          <w:rFonts w:hint="default" w:ascii="Times New Roman" w:hAnsi="Times New Roman" w:eastAsia="方正仿宋_GBK" w:cs="Times New Roman"/>
          <w:color w:val="000000"/>
          <w:sz w:val="32"/>
          <w:lang w:val="zh-CN"/>
        </w:rPr>
        <w:t>1</w:t>
      </w:r>
      <w:r>
        <w:rPr>
          <w:rFonts w:hint="default" w:ascii="Times New Roman" w:hAnsi="Times New Roman" w:eastAsia="方正仿宋_GBK" w:cs="Times New Roman"/>
          <w:color w:val="000000"/>
          <w:sz w:val="32"/>
          <w:lang w:val="en-US" w:eastAsia="zh-CN"/>
        </w:rPr>
        <w:t>7</w:t>
      </w:r>
      <w:r>
        <w:rPr>
          <w:rFonts w:hint="default" w:ascii="Times New Roman" w:hAnsi="Times New Roman" w:eastAsia="方正仿宋_GBK" w:cs="Times New Roman"/>
          <w:color w:val="000000"/>
          <w:sz w:val="32"/>
          <w:lang w:val="zh-CN"/>
        </w:rPr>
        <w:t>. 住房保障（类）住房改革支出（款）住房公积金（项）：</w:t>
      </w:r>
      <w:r>
        <w:rPr>
          <w:rFonts w:hint="default" w:ascii="Times New Roman" w:hAnsi="Times New Roman" w:eastAsia="方正仿宋_GBK" w:cs="Times New Roman"/>
          <w:color w:val="000000"/>
          <w:sz w:val="32"/>
          <w:szCs w:val="32"/>
          <w:lang w:val="zh-CN"/>
        </w:rPr>
        <w:t>反映行政事业单位按人力资源和社会保障部、财政部规定的基本工资和津贴补贴以及规定比列为职工缴纳的住房公积金。</w:t>
      </w:r>
    </w:p>
    <w:p w14:paraId="53FF5264">
      <w:pPr>
        <w:spacing w:beforeLines="0" w:afterLines="0" w:line="240" w:lineRule="auto"/>
        <w:ind w:firstLine="627" w:firstLineChars="196"/>
        <w:rPr>
          <w:rFonts w:hint="default" w:ascii="Times New Roman" w:hAnsi="Times New Roman" w:eastAsia="方正仿宋_GBK" w:cs="Times New Roman"/>
          <w:color w:val="000000"/>
          <w:sz w:val="32"/>
          <w:lang w:val="zh-CN"/>
        </w:rPr>
      </w:pPr>
      <w:r>
        <w:rPr>
          <w:rFonts w:hint="default" w:ascii="Times New Roman" w:hAnsi="Times New Roman" w:eastAsia="方正仿宋_GBK" w:cs="Times New Roman"/>
          <w:color w:val="000000"/>
          <w:sz w:val="32"/>
          <w:lang w:val="zh-CN"/>
        </w:rPr>
        <w:t>1</w:t>
      </w:r>
      <w:r>
        <w:rPr>
          <w:rFonts w:hint="default" w:ascii="Times New Roman" w:hAnsi="Times New Roman" w:eastAsia="方正仿宋_GBK" w:cs="Times New Roman"/>
          <w:color w:val="000000"/>
          <w:sz w:val="32"/>
          <w:lang w:val="en-US" w:eastAsia="zh-CN"/>
        </w:rPr>
        <w:t>8</w:t>
      </w:r>
      <w:r>
        <w:rPr>
          <w:rFonts w:hint="default" w:ascii="Times New Roman" w:hAnsi="Times New Roman" w:eastAsia="方正仿宋_GBK" w:cs="Times New Roman"/>
          <w:color w:val="000000"/>
          <w:sz w:val="32"/>
          <w:lang w:val="zh-CN"/>
        </w:rPr>
        <w:t>.基本支出：指为保障机构正常运转、完成日常工作任务而发生的人员支出和公用支出。</w:t>
      </w:r>
    </w:p>
    <w:p w14:paraId="25718F2B">
      <w:pPr>
        <w:spacing w:beforeLines="0" w:afterLines="0" w:line="240" w:lineRule="auto"/>
        <w:ind w:firstLine="627" w:firstLineChars="196"/>
        <w:rPr>
          <w:rFonts w:hint="default" w:ascii="Times New Roman" w:hAnsi="Times New Roman" w:eastAsia="方正仿宋_GBK" w:cs="Times New Roman"/>
          <w:color w:val="000000"/>
          <w:sz w:val="32"/>
          <w:lang w:val="zh-CN"/>
        </w:rPr>
      </w:pPr>
      <w:r>
        <w:rPr>
          <w:rFonts w:hint="default" w:ascii="Times New Roman" w:hAnsi="Times New Roman" w:eastAsia="方正仿宋_GBK" w:cs="Times New Roman"/>
          <w:color w:val="000000"/>
          <w:sz w:val="32"/>
          <w:lang w:val="zh-CN"/>
        </w:rPr>
        <w:t>1</w:t>
      </w:r>
      <w:r>
        <w:rPr>
          <w:rFonts w:hint="default" w:ascii="Times New Roman" w:hAnsi="Times New Roman" w:eastAsia="方正仿宋_GBK" w:cs="Times New Roman"/>
          <w:color w:val="000000"/>
          <w:sz w:val="32"/>
          <w:lang w:val="en-US" w:eastAsia="zh-CN"/>
        </w:rPr>
        <w:t>9</w:t>
      </w:r>
      <w:r>
        <w:rPr>
          <w:rFonts w:hint="default" w:ascii="Times New Roman" w:hAnsi="Times New Roman" w:eastAsia="方正仿宋_GBK" w:cs="Times New Roman"/>
          <w:color w:val="000000"/>
          <w:sz w:val="32"/>
          <w:lang w:val="zh-CN"/>
        </w:rPr>
        <w:t>.项目支出：指在基本支出之外为完成特定行政任务和事业发展目标所发生的支出。</w:t>
      </w:r>
    </w:p>
    <w:p w14:paraId="3689DF6A">
      <w:pPr>
        <w:spacing w:beforeLines="0" w:afterLines="0" w:line="240" w:lineRule="auto"/>
        <w:ind w:firstLine="627" w:firstLineChars="196"/>
        <w:rPr>
          <w:rFonts w:hint="default" w:ascii="Times New Roman" w:hAnsi="Times New Roman" w:eastAsia="方正仿宋_GBK" w:cs="Times New Roman"/>
          <w:color w:val="000000"/>
          <w:sz w:val="32"/>
          <w:lang w:val="zh-CN"/>
        </w:rPr>
      </w:pPr>
      <w:r>
        <w:rPr>
          <w:rFonts w:hint="default" w:ascii="Times New Roman" w:hAnsi="Times New Roman" w:eastAsia="方正仿宋_GBK" w:cs="Times New Roman"/>
          <w:color w:val="000000"/>
          <w:sz w:val="32"/>
          <w:lang w:val="en-US" w:eastAsia="zh-CN"/>
        </w:rPr>
        <w:t>20</w:t>
      </w:r>
      <w:r>
        <w:rPr>
          <w:rFonts w:hint="default" w:ascii="Times New Roman" w:hAnsi="Times New Roman" w:eastAsia="方正仿宋_GBK" w:cs="Times New Roman"/>
          <w:color w:val="000000"/>
          <w:sz w:val="32"/>
          <w:lang w:val="zh-CN"/>
        </w:rPr>
        <w:t>.经营支出：指事业单位在专业业务活动及其辅助活动之外开展非独立核算经营活动发生的支出。</w:t>
      </w:r>
    </w:p>
    <w:p w14:paraId="3EBF2104">
      <w:pPr>
        <w:pStyle w:val="26"/>
        <w:spacing w:beforeLines="0" w:afterLines="0" w:line="240" w:lineRule="auto"/>
        <w:ind w:firstLine="640" w:firstLineChars="200"/>
        <w:rPr>
          <w:rFonts w:hint="default" w:ascii="Times New Roman" w:hAnsi="Times New Roman" w:eastAsia="方正仿宋_GBK" w:cs="Times New Roman"/>
          <w:color w:val="auto"/>
          <w:sz w:val="32"/>
        </w:rPr>
      </w:pPr>
      <w:r>
        <w:rPr>
          <w:rFonts w:hint="default" w:ascii="Times New Roman" w:hAnsi="Times New Roman" w:eastAsia="方正仿宋_GBK" w:cs="Times New Roman"/>
          <w:color w:val="auto"/>
          <w:sz w:val="32"/>
        </w:rPr>
        <w:t>2</w:t>
      </w:r>
      <w:r>
        <w:rPr>
          <w:rFonts w:hint="default" w:ascii="Times New Roman" w:hAnsi="Times New Roman" w:eastAsia="方正仿宋_GBK" w:cs="Times New Roman"/>
          <w:color w:val="auto"/>
          <w:sz w:val="32"/>
          <w:lang w:val="en-US" w:eastAsia="zh-CN"/>
        </w:rPr>
        <w:t>1</w:t>
      </w:r>
      <w:r>
        <w:rPr>
          <w:rFonts w:hint="default" w:ascii="Times New Roman" w:hAnsi="Times New Roman" w:eastAsia="方正仿宋_GBK" w:cs="Times New Roman"/>
          <w:color w:val="auto"/>
          <w:sz w:val="32"/>
        </w:rPr>
        <w:t>.“</w:t>
      </w:r>
      <w:r>
        <w:rPr>
          <w:rFonts w:hint="default" w:ascii="Times New Roman" w:hAnsi="Times New Roman" w:eastAsia="方正仿宋_GBK" w:cs="Times New Roman"/>
          <w:sz w:val="32"/>
        </w:rPr>
        <w:t>三公”经费：指单位用财政拨款安排的因公出国（境）费、公务用车购置及运行维护费和公务接待费。其中，因公出国（境）费反映单位公务出国（境）的国际旅费、国外城市间交通费、住宿费、伙食费、培训费、公杂费等支出；公务用车购置反映单位公务用车购置支出（含车辆购置税、牌照费）；公务用车运行维护费反映单位按规定保留的公务用车燃料费、维修费、过桥过路费、保险费、安全奖励费用等支出；公务接待费反映单位按规定开支的各类公务接待（含外宾接待）费用。</w:t>
      </w:r>
    </w:p>
    <w:p w14:paraId="2A747EEB">
      <w:pPr>
        <w:spacing w:beforeLines="0" w:afterLines="0" w:line="240" w:lineRule="auto"/>
        <w:ind w:firstLine="640"/>
        <w:rPr>
          <w:rFonts w:hint="default" w:ascii="Times New Roman" w:hAnsi="Times New Roman" w:eastAsia="方正仿宋_GBK" w:cs="Times New Roman"/>
          <w:color w:val="000000"/>
          <w:sz w:val="32"/>
        </w:rPr>
      </w:pPr>
      <w:r>
        <w:rPr>
          <w:rFonts w:hint="default" w:ascii="Times New Roman" w:hAnsi="Times New Roman" w:eastAsia="方正仿宋_GBK" w:cs="Times New Roman"/>
          <w:color w:val="000000"/>
          <w:sz w:val="32"/>
        </w:rPr>
        <w:t>2</w:t>
      </w:r>
      <w:r>
        <w:rPr>
          <w:rFonts w:hint="default" w:ascii="Times New Roman" w:hAnsi="Times New Roman" w:eastAsia="方正仿宋_GBK" w:cs="Times New Roman"/>
          <w:color w:val="000000"/>
          <w:sz w:val="32"/>
          <w:lang w:val="en-US" w:eastAsia="zh-CN"/>
        </w:rPr>
        <w:t>2</w:t>
      </w:r>
      <w:r>
        <w:rPr>
          <w:rFonts w:hint="default" w:ascii="Times New Roman" w:hAnsi="Times New Roman" w:eastAsia="方正仿宋_GBK" w:cs="Times New Roman"/>
          <w:color w:val="000000"/>
          <w:sz w:val="32"/>
        </w:rPr>
        <w:t>.机关运行经费：</w:t>
      </w:r>
      <w:r>
        <w:rPr>
          <w:rFonts w:hint="default" w:ascii="Times New Roman" w:hAnsi="Times New Roman" w:eastAsia="方正仿宋_GBK" w:cs="Times New Roman"/>
          <w:sz w:val="32"/>
        </w:rPr>
        <w:t>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14:paraId="5336B6BE">
      <w:pPr>
        <w:spacing w:line="240" w:lineRule="auto"/>
        <w:jc w:val="center"/>
        <w:outlineLvl w:val="0"/>
        <w:rPr>
          <w:rFonts w:hint="default" w:ascii="Times New Roman" w:hAnsi="Times New Roman" w:eastAsia="黑体" w:cs="Times New Roman"/>
          <w:sz w:val="44"/>
          <w:szCs w:val="44"/>
        </w:rPr>
      </w:pPr>
    </w:p>
    <w:p w14:paraId="63E0C9DF">
      <w:pPr>
        <w:rPr>
          <w:rFonts w:hint="default" w:ascii="Times New Roman" w:hAnsi="Times New Roman" w:eastAsia="黑体" w:cs="Times New Roman"/>
          <w:color w:val="auto"/>
          <w:sz w:val="44"/>
          <w:szCs w:val="44"/>
        </w:rPr>
      </w:pPr>
      <w:r>
        <w:rPr>
          <w:rFonts w:hint="default" w:ascii="Times New Roman" w:hAnsi="Times New Roman" w:eastAsia="黑体" w:cs="Times New Roman"/>
          <w:color w:val="auto"/>
          <w:sz w:val="44"/>
          <w:szCs w:val="44"/>
        </w:rPr>
        <w:br w:type="page"/>
      </w:r>
    </w:p>
    <w:p w14:paraId="54C4A36D">
      <w:pPr>
        <w:pStyle w:val="3"/>
        <w:spacing w:line="240" w:lineRule="auto"/>
        <w:jc w:val="center"/>
        <w:rPr>
          <w:rFonts w:hint="default" w:ascii="Times New Roman" w:hAnsi="Times New Roman" w:eastAsia="方正小标宋_GBK" w:cs="Times New Roman"/>
          <w:b w:val="0"/>
          <w:sz w:val="44"/>
          <w:szCs w:val="44"/>
        </w:rPr>
      </w:pPr>
      <w:bookmarkStart w:id="74" w:name="_Toc23014"/>
      <w:r>
        <w:rPr>
          <w:rFonts w:hint="default" w:ascii="Times New Roman" w:hAnsi="Times New Roman" w:eastAsia="方正小标宋_GBK" w:cs="Times New Roman"/>
          <w:b w:val="0"/>
          <w:sz w:val="44"/>
          <w:szCs w:val="44"/>
        </w:rPr>
        <w:t>第四部分 附件</w:t>
      </w:r>
      <w:bookmarkEnd w:id="74"/>
    </w:p>
    <w:p w14:paraId="3324BDE6">
      <w:pPr>
        <w:spacing w:line="240" w:lineRule="auto"/>
        <w:jc w:val="left"/>
        <w:outlineLvl w:val="0"/>
        <w:rPr>
          <w:rFonts w:hint="default" w:ascii="Times New Roman" w:hAnsi="Times New Roman" w:eastAsia="仿宋_GB2312" w:cs="Times New Roman"/>
          <w:color w:val="auto"/>
          <w:sz w:val="32"/>
          <w:szCs w:val="32"/>
        </w:rPr>
      </w:pPr>
    </w:p>
    <w:p w14:paraId="48A8D44B">
      <w:pPr>
        <w:spacing w:line="240" w:lineRule="auto"/>
        <w:jc w:val="center"/>
        <w:outlineLvl w:val="0"/>
        <w:rPr>
          <w:rFonts w:hint="default" w:ascii="Times New Roman" w:hAnsi="Times New Roman" w:eastAsia="黑体" w:cs="Times New Roman"/>
          <w:color w:val="0000FF"/>
          <w:sz w:val="44"/>
          <w:szCs w:val="44"/>
        </w:rPr>
      </w:pPr>
      <w:bookmarkStart w:id="75" w:name="_Toc10686"/>
      <w:r>
        <w:rPr>
          <w:rFonts w:hint="default" w:ascii="Times New Roman" w:hAnsi="Times New Roman" w:cs="Times New Roman"/>
          <w:color w:val="auto"/>
          <w:sz w:val="32"/>
          <w:szCs w:val="32"/>
        </w:rPr>
        <w:t>部门预算项目支出绩效自评表（202</w:t>
      </w:r>
      <w:r>
        <w:rPr>
          <w:rFonts w:hint="default" w:ascii="Times New Roman" w:hAnsi="Times New Roman" w:cs="Times New Roman"/>
          <w:color w:val="auto"/>
          <w:sz w:val="32"/>
          <w:szCs w:val="32"/>
          <w:lang w:val="en-US" w:eastAsia="zh-CN"/>
        </w:rPr>
        <w:t>4</w:t>
      </w:r>
      <w:r>
        <w:rPr>
          <w:rFonts w:hint="default" w:ascii="Times New Roman" w:hAnsi="Times New Roman" w:cs="Times New Roman"/>
          <w:color w:val="auto"/>
          <w:sz w:val="32"/>
          <w:szCs w:val="32"/>
        </w:rPr>
        <w:t>年度</w:t>
      </w:r>
      <w:r>
        <w:rPr>
          <w:rFonts w:hint="default" w:ascii="Times New Roman" w:hAnsi="Times New Roman" w:cs="Times New Roman"/>
          <w:color w:val="0000FF"/>
          <w:sz w:val="32"/>
          <w:szCs w:val="32"/>
        </w:rPr>
        <w:t>）</w:t>
      </w:r>
      <w:bookmarkEnd w:id="75"/>
    </w:p>
    <w:p w14:paraId="43AD46C8">
      <w:pPr>
        <w:pStyle w:val="7"/>
        <w:spacing w:line="240" w:lineRule="auto"/>
        <w:ind w:left="0" w:leftChars="0" w:firstLine="640"/>
        <w:rPr>
          <w:rFonts w:hint="default" w:ascii="Times New Roman" w:hAnsi="Times New Roman" w:cs="Times New Roman"/>
          <w:color w:val="0000FF"/>
          <w:sz w:val="32"/>
        </w:rPr>
      </w:pPr>
    </w:p>
    <w:p w14:paraId="05380248">
      <w:pPr>
        <w:pStyle w:val="7"/>
        <w:spacing w:line="240" w:lineRule="auto"/>
        <w:ind w:left="0" w:leftChars="0" w:firstLine="640"/>
        <w:rPr>
          <w:rFonts w:hint="default" w:ascii="Times New Roman" w:hAnsi="Times New Roman" w:eastAsia="仿宋_GB2312" w:cs="Times New Roman"/>
          <w:sz w:val="32"/>
        </w:rPr>
      </w:pPr>
    </w:p>
    <w:p w14:paraId="3B0E4413">
      <w:pPr>
        <w:pStyle w:val="7"/>
        <w:spacing w:line="240" w:lineRule="auto"/>
        <w:ind w:left="0" w:leftChars="0" w:firstLine="640"/>
        <w:rPr>
          <w:rFonts w:hint="default" w:ascii="Times New Roman" w:hAnsi="Times New Roman" w:eastAsia="仿宋_GB2312" w:cs="Times New Roman"/>
          <w:sz w:val="32"/>
        </w:rPr>
      </w:pPr>
    </w:p>
    <w:p w14:paraId="77C0E29F">
      <w:pPr>
        <w:pStyle w:val="7"/>
        <w:spacing w:line="240" w:lineRule="auto"/>
        <w:ind w:left="0" w:leftChars="0" w:firstLine="640"/>
        <w:rPr>
          <w:rFonts w:hint="default" w:ascii="Times New Roman" w:hAnsi="Times New Roman" w:eastAsia="仿宋_GB2312" w:cs="Times New Roman"/>
          <w:sz w:val="32"/>
        </w:rPr>
      </w:pPr>
    </w:p>
    <w:p w14:paraId="726393A9">
      <w:pPr>
        <w:pStyle w:val="7"/>
        <w:spacing w:line="240" w:lineRule="auto"/>
        <w:ind w:left="0" w:leftChars="0" w:firstLine="640"/>
        <w:rPr>
          <w:rFonts w:hint="default" w:ascii="Times New Roman" w:hAnsi="Times New Roman" w:eastAsia="仿宋_GB2312" w:cs="Times New Roman"/>
          <w:sz w:val="32"/>
        </w:rPr>
      </w:pPr>
    </w:p>
    <w:p w14:paraId="53D919CE">
      <w:pPr>
        <w:pStyle w:val="7"/>
        <w:spacing w:line="240" w:lineRule="auto"/>
        <w:ind w:left="0" w:leftChars="0" w:firstLine="640"/>
        <w:rPr>
          <w:rFonts w:hint="default" w:ascii="Times New Roman" w:hAnsi="Times New Roman" w:eastAsia="仿宋_GB2312" w:cs="Times New Roman"/>
          <w:sz w:val="32"/>
        </w:rPr>
      </w:pPr>
    </w:p>
    <w:p w14:paraId="62DD22BD">
      <w:pPr>
        <w:pStyle w:val="7"/>
        <w:spacing w:line="240" w:lineRule="auto"/>
        <w:ind w:left="0" w:leftChars="0" w:firstLine="640"/>
        <w:rPr>
          <w:rFonts w:hint="default" w:ascii="Times New Roman" w:hAnsi="Times New Roman" w:eastAsia="仿宋_GB2312" w:cs="Times New Roman"/>
          <w:sz w:val="32"/>
        </w:rPr>
      </w:pPr>
    </w:p>
    <w:p w14:paraId="3EBA71E4">
      <w:pPr>
        <w:pStyle w:val="7"/>
        <w:spacing w:line="240" w:lineRule="auto"/>
        <w:ind w:left="0" w:leftChars="0" w:firstLine="640"/>
        <w:rPr>
          <w:rFonts w:hint="default" w:ascii="Times New Roman" w:hAnsi="Times New Roman" w:eastAsia="仿宋_GB2312" w:cs="Times New Roman"/>
          <w:sz w:val="32"/>
        </w:rPr>
      </w:pPr>
    </w:p>
    <w:p w14:paraId="0D34D475">
      <w:pPr>
        <w:pStyle w:val="7"/>
        <w:spacing w:line="240" w:lineRule="auto"/>
        <w:ind w:left="0" w:leftChars="0" w:firstLine="640"/>
        <w:rPr>
          <w:rFonts w:hint="default" w:ascii="Times New Roman" w:hAnsi="Times New Roman" w:eastAsia="仿宋_GB2312" w:cs="Times New Roman"/>
          <w:sz w:val="32"/>
        </w:rPr>
      </w:pPr>
    </w:p>
    <w:p w14:paraId="51A68877">
      <w:pPr>
        <w:pStyle w:val="7"/>
        <w:spacing w:line="240" w:lineRule="auto"/>
        <w:ind w:left="0" w:leftChars="0" w:firstLine="640"/>
        <w:rPr>
          <w:rFonts w:hint="default" w:ascii="Times New Roman" w:hAnsi="Times New Roman" w:eastAsia="仿宋_GB2312" w:cs="Times New Roman"/>
          <w:sz w:val="32"/>
        </w:rPr>
      </w:pPr>
    </w:p>
    <w:p w14:paraId="6282F9CC">
      <w:pPr>
        <w:pStyle w:val="7"/>
        <w:spacing w:line="240" w:lineRule="auto"/>
        <w:ind w:left="0" w:leftChars="0" w:firstLine="640"/>
        <w:rPr>
          <w:rFonts w:hint="default" w:ascii="Times New Roman" w:hAnsi="Times New Roman" w:eastAsia="仿宋_GB2312" w:cs="Times New Roman"/>
          <w:sz w:val="32"/>
        </w:rPr>
      </w:pPr>
    </w:p>
    <w:p w14:paraId="258E8C8E">
      <w:pPr>
        <w:pStyle w:val="7"/>
        <w:spacing w:line="240" w:lineRule="auto"/>
        <w:ind w:left="0" w:leftChars="0" w:firstLine="640"/>
        <w:rPr>
          <w:rFonts w:hint="default" w:ascii="Times New Roman" w:hAnsi="Times New Roman" w:eastAsia="仿宋_GB2312" w:cs="Times New Roman"/>
          <w:sz w:val="32"/>
        </w:rPr>
      </w:pPr>
    </w:p>
    <w:p w14:paraId="0F5CE792">
      <w:pPr>
        <w:pStyle w:val="7"/>
        <w:spacing w:line="240" w:lineRule="auto"/>
        <w:ind w:left="0" w:leftChars="0" w:firstLine="640"/>
        <w:rPr>
          <w:rFonts w:hint="default" w:ascii="Times New Roman" w:hAnsi="Times New Roman" w:eastAsia="仿宋_GB2312" w:cs="Times New Roman"/>
          <w:sz w:val="32"/>
          <w:lang w:val="zh-CN"/>
        </w:rPr>
      </w:pPr>
    </w:p>
    <w:p w14:paraId="75EB7F4A">
      <w:pPr>
        <w:pStyle w:val="2"/>
        <w:spacing w:before="93" w:line="240" w:lineRule="auto"/>
        <w:rPr>
          <w:rFonts w:hint="default" w:ascii="Times New Roman" w:hAnsi="Times New Roman" w:cs="Times New Roman"/>
          <w:sz w:val="32"/>
          <w:szCs w:val="32"/>
        </w:rPr>
      </w:pPr>
    </w:p>
    <w:p w14:paraId="31E992F9">
      <w:pPr>
        <w:widowControl/>
        <w:spacing w:line="240" w:lineRule="auto"/>
        <w:jc w:val="center"/>
        <w:rPr>
          <w:rFonts w:hint="default" w:ascii="Times New Roman" w:hAnsi="Times New Roman" w:eastAsia="黑体" w:cs="Times New Roman"/>
          <w:color w:val="auto"/>
          <w:sz w:val="44"/>
          <w:szCs w:val="44"/>
          <w:highlight w:val="none"/>
        </w:rPr>
      </w:pPr>
    </w:p>
    <w:p w14:paraId="00F8012B">
      <w:pPr>
        <w:rPr>
          <w:rFonts w:hint="default" w:ascii="Times New Roman" w:hAnsi="Times New Roman" w:eastAsia="方正小标宋_GBK" w:cs="Times New Roman"/>
          <w:b w:val="0"/>
          <w:sz w:val="44"/>
          <w:szCs w:val="44"/>
        </w:rPr>
      </w:pPr>
      <w:r>
        <w:rPr>
          <w:rFonts w:hint="default" w:ascii="Times New Roman" w:hAnsi="Times New Roman" w:eastAsia="方正小标宋_GBK" w:cs="Times New Roman"/>
          <w:b w:val="0"/>
          <w:sz w:val="44"/>
          <w:szCs w:val="44"/>
        </w:rPr>
        <w:br w:type="page"/>
      </w:r>
    </w:p>
    <w:p w14:paraId="00BB7AE9">
      <w:pPr>
        <w:pStyle w:val="3"/>
        <w:spacing w:line="240" w:lineRule="auto"/>
        <w:jc w:val="center"/>
        <w:rPr>
          <w:rFonts w:hint="default" w:ascii="Times New Roman" w:hAnsi="Times New Roman" w:eastAsia="方正小标宋_GBK" w:cs="Times New Roman"/>
          <w:b w:val="0"/>
          <w:sz w:val="44"/>
          <w:szCs w:val="44"/>
        </w:rPr>
      </w:pPr>
      <w:bookmarkStart w:id="76" w:name="_Toc17833"/>
      <w:r>
        <w:rPr>
          <w:rFonts w:hint="default" w:ascii="Times New Roman" w:hAnsi="Times New Roman" w:eastAsia="方正小标宋_GBK" w:cs="Times New Roman"/>
          <w:b w:val="0"/>
          <w:sz w:val="44"/>
          <w:szCs w:val="44"/>
        </w:rPr>
        <w:t>第五部分 附表</w:t>
      </w:r>
      <w:bookmarkEnd w:id="72"/>
      <w:bookmarkEnd w:id="73"/>
      <w:bookmarkEnd w:id="76"/>
      <w:bookmarkStart w:id="77" w:name="_Toc15396619"/>
    </w:p>
    <w:p w14:paraId="0919D909">
      <w:pPr>
        <w:pStyle w:val="14"/>
        <w:keepNext w:val="0"/>
        <w:keepLines w:val="0"/>
        <w:pageBreakBefore w:val="0"/>
        <w:kinsoku/>
        <w:wordWrap/>
        <w:overflowPunct/>
        <w:topLinePunct w:val="0"/>
        <w:autoSpaceDE/>
        <w:autoSpaceDN/>
        <w:bidi w:val="0"/>
        <w:adjustRightInd w:val="0"/>
        <w:snapToGrid w:val="0"/>
        <w:spacing w:line="240" w:lineRule="auto"/>
        <w:jc w:val="left"/>
        <w:textAlignment w:val="auto"/>
        <w:rPr>
          <w:rFonts w:hint="default" w:ascii="Times New Roman" w:hAnsi="Times New Roman" w:eastAsia="仿宋_GB2312" w:cs="Times New Roman"/>
          <w:color w:val="auto"/>
          <w:sz w:val="32"/>
          <w:szCs w:val="32"/>
          <w:highlight w:val="none"/>
        </w:rPr>
      </w:pPr>
    </w:p>
    <w:p w14:paraId="608C4107">
      <w:pPr>
        <w:tabs>
          <w:tab w:val="right" w:pos="8306"/>
        </w:tabs>
        <w:spacing w:line="240" w:lineRule="auto"/>
        <w:ind w:firstLine="640"/>
        <w:outlineLvl w:val="1"/>
        <w:rPr>
          <w:rFonts w:hint="default" w:ascii="Times New Roman" w:hAnsi="Times New Roman" w:eastAsia="方正黑体_GBK" w:cs="Times New Roman"/>
          <w:b w:val="0"/>
          <w:bCs/>
          <w:kern w:val="2"/>
          <w:sz w:val="32"/>
          <w:szCs w:val="32"/>
          <w:lang w:val="en-US" w:eastAsia="zh-CN" w:bidi="ar-SA"/>
        </w:rPr>
      </w:pPr>
      <w:bookmarkStart w:id="78" w:name="_Toc20740"/>
      <w:r>
        <w:rPr>
          <w:rFonts w:hint="default" w:ascii="Times New Roman" w:hAnsi="Times New Roman" w:eastAsia="方正黑体_GBK" w:cs="Times New Roman"/>
          <w:b w:val="0"/>
          <w:bCs/>
          <w:kern w:val="2"/>
          <w:sz w:val="32"/>
          <w:szCs w:val="32"/>
          <w:lang w:val="en-US" w:eastAsia="zh-CN" w:bidi="ar-SA"/>
        </w:rPr>
        <w:t>一、收入支出决算总表</w:t>
      </w:r>
      <w:bookmarkEnd w:id="77"/>
      <w:bookmarkEnd w:id="78"/>
    </w:p>
    <w:p w14:paraId="6ACC404D">
      <w:pPr>
        <w:tabs>
          <w:tab w:val="right" w:pos="8306"/>
        </w:tabs>
        <w:spacing w:line="240" w:lineRule="auto"/>
        <w:ind w:firstLine="640"/>
        <w:outlineLvl w:val="1"/>
        <w:rPr>
          <w:rFonts w:hint="default" w:ascii="Times New Roman" w:hAnsi="Times New Roman" w:eastAsia="方正黑体_GBK" w:cs="Times New Roman"/>
          <w:b w:val="0"/>
          <w:bCs/>
          <w:kern w:val="2"/>
          <w:sz w:val="32"/>
          <w:szCs w:val="32"/>
          <w:lang w:val="en-US" w:eastAsia="zh-CN" w:bidi="ar-SA"/>
        </w:rPr>
      </w:pPr>
      <w:bookmarkStart w:id="79" w:name="_Toc15396620"/>
      <w:bookmarkStart w:id="80" w:name="_Toc19794"/>
      <w:r>
        <w:rPr>
          <w:rFonts w:hint="default" w:ascii="Times New Roman" w:hAnsi="Times New Roman" w:eastAsia="方正黑体_GBK" w:cs="Times New Roman"/>
          <w:b w:val="0"/>
          <w:bCs/>
          <w:kern w:val="2"/>
          <w:sz w:val="32"/>
          <w:szCs w:val="32"/>
          <w:lang w:val="en-US" w:eastAsia="zh-CN" w:bidi="ar-SA"/>
        </w:rPr>
        <w:t>二、收入决算表</w:t>
      </w:r>
      <w:bookmarkEnd w:id="79"/>
      <w:bookmarkEnd w:id="80"/>
    </w:p>
    <w:p w14:paraId="4B9F0ED3">
      <w:pPr>
        <w:tabs>
          <w:tab w:val="right" w:pos="8306"/>
        </w:tabs>
        <w:spacing w:line="240" w:lineRule="auto"/>
        <w:ind w:firstLine="640"/>
        <w:outlineLvl w:val="1"/>
        <w:rPr>
          <w:rFonts w:hint="default" w:ascii="Times New Roman" w:hAnsi="Times New Roman" w:eastAsia="方正黑体_GBK" w:cs="Times New Roman"/>
          <w:b w:val="0"/>
          <w:bCs/>
          <w:kern w:val="2"/>
          <w:sz w:val="32"/>
          <w:szCs w:val="32"/>
          <w:lang w:val="en-US" w:eastAsia="zh-CN" w:bidi="ar-SA"/>
        </w:rPr>
      </w:pPr>
      <w:bookmarkStart w:id="81" w:name="_Toc15396621"/>
      <w:bookmarkStart w:id="82" w:name="_Toc2619"/>
      <w:r>
        <w:rPr>
          <w:rFonts w:hint="default" w:ascii="Times New Roman" w:hAnsi="Times New Roman" w:eastAsia="方正黑体_GBK" w:cs="Times New Roman"/>
          <w:b w:val="0"/>
          <w:bCs/>
          <w:kern w:val="2"/>
          <w:sz w:val="32"/>
          <w:szCs w:val="32"/>
          <w:lang w:val="en-US" w:eastAsia="zh-CN" w:bidi="ar-SA"/>
        </w:rPr>
        <w:t>三、支出决算表</w:t>
      </w:r>
      <w:bookmarkEnd w:id="81"/>
      <w:bookmarkEnd w:id="82"/>
    </w:p>
    <w:p w14:paraId="620859AA">
      <w:pPr>
        <w:tabs>
          <w:tab w:val="right" w:pos="8306"/>
        </w:tabs>
        <w:spacing w:line="240" w:lineRule="auto"/>
        <w:ind w:firstLine="640"/>
        <w:outlineLvl w:val="1"/>
        <w:rPr>
          <w:rFonts w:hint="default" w:ascii="Times New Roman" w:hAnsi="Times New Roman" w:eastAsia="方正黑体_GBK" w:cs="Times New Roman"/>
          <w:b w:val="0"/>
          <w:bCs/>
          <w:kern w:val="2"/>
          <w:sz w:val="32"/>
          <w:szCs w:val="32"/>
          <w:lang w:val="en-US" w:eastAsia="zh-CN" w:bidi="ar-SA"/>
        </w:rPr>
      </w:pPr>
      <w:bookmarkStart w:id="83" w:name="_Toc15396622"/>
      <w:bookmarkStart w:id="84" w:name="_Toc22322"/>
      <w:r>
        <w:rPr>
          <w:rFonts w:hint="default" w:ascii="Times New Roman" w:hAnsi="Times New Roman" w:eastAsia="方正黑体_GBK" w:cs="Times New Roman"/>
          <w:b w:val="0"/>
          <w:bCs/>
          <w:kern w:val="2"/>
          <w:sz w:val="32"/>
          <w:szCs w:val="32"/>
          <w:lang w:val="en-US" w:eastAsia="zh-CN" w:bidi="ar-SA"/>
        </w:rPr>
        <w:t>四、财政拨款收入支出决算总表</w:t>
      </w:r>
      <w:bookmarkEnd w:id="83"/>
      <w:bookmarkEnd w:id="84"/>
    </w:p>
    <w:p w14:paraId="64BC4455">
      <w:pPr>
        <w:tabs>
          <w:tab w:val="right" w:pos="8306"/>
        </w:tabs>
        <w:spacing w:line="240" w:lineRule="auto"/>
        <w:ind w:firstLine="640"/>
        <w:outlineLvl w:val="1"/>
        <w:rPr>
          <w:rFonts w:hint="default" w:ascii="Times New Roman" w:hAnsi="Times New Roman" w:eastAsia="方正黑体_GBK" w:cs="Times New Roman"/>
          <w:b w:val="0"/>
          <w:bCs/>
          <w:kern w:val="2"/>
          <w:sz w:val="32"/>
          <w:szCs w:val="32"/>
          <w:lang w:val="en-US" w:eastAsia="zh-CN" w:bidi="ar-SA"/>
        </w:rPr>
      </w:pPr>
      <w:bookmarkStart w:id="85" w:name="_Toc15396623"/>
      <w:bookmarkStart w:id="86" w:name="_Toc22951"/>
      <w:r>
        <w:rPr>
          <w:rFonts w:hint="default" w:ascii="Times New Roman" w:hAnsi="Times New Roman" w:eastAsia="方正黑体_GBK" w:cs="Times New Roman"/>
          <w:b w:val="0"/>
          <w:bCs/>
          <w:kern w:val="2"/>
          <w:sz w:val="32"/>
          <w:szCs w:val="32"/>
          <w:lang w:val="en-US" w:eastAsia="zh-CN" w:bidi="ar-SA"/>
        </w:rPr>
        <w:t>五、财政拨款支出决算明细表</w:t>
      </w:r>
      <w:bookmarkEnd w:id="85"/>
      <w:bookmarkEnd w:id="86"/>
      <w:bookmarkStart w:id="87" w:name="_Toc15396624"/>
    </w:p>
    <w:p w14:paraId="0F357B58">
      <w:pPr>
        <w:tabs>
          <w:tab w:val="right" w:pos="8306"/>
        </w:tabs>
        <w:spacing w:line="240" w:lineRule="auto"/>
        <w:ind w:firstLine="640"/>
        <w:outlineLvl w:val="1"/>
        <w:rPr>
          <w:rFonts w:hint="default" w:ascii="Times New Roman" w:hAnsi="Times New Roman" w:eastAsia="方正黑体_GBK" w:cs="Times New Roman"/>
          <w:b w:val="0"/>
          <w:bCs/>
          <w:kern w:val="2"/>
          <w:sz w:val="32"/>
          <w:szCs w:val="32"/>
          <w:lang w:val="en-US" w:eastAsia="zh-CN" w:bidi="ar-SA"/>
        </w:rPr>
      </w:pPr>
      <w:bookmarkStart w:id="88" w:name="_Toc30958"/>
      <w:r>
        <w:rPr>
          <w:rFonts w:hint="default" w:ascii="Times New Roman" w:hAnsi="Times New Roman" w:eastAsia="方正黑体_GBK" w:cs="Times New Roman"/>
          <w:b w:val="0"/>
          <w:bCs/>
          <w:kern w:val="2"/>
          <w:sz w:val="32"/>
          <w:szCs w:val="32"/>
          <w:lang w:val="en-US" w:eastAsia="zh-CN" w:bidi="ar-SA"/>
        </w:rPr>
        <w:t>六、一般公共预算财政拨款支出决算表</w:t>
      </w:r>
      <w:bookmarkEnd w:id="87"/>
      <w:bookmarkEnd w:id="88"/>
    </w:p>
    <w:p w14:paraId="32903F25">
      <w:pPr>
        <w:tabs>
          <w:tab w:val="right" w:pos="8306"/>
        </w:tabs>
        <w:spacing w:line="240" w:lineRule="auto"/>
        <w:ind w:firstLine="640"/>
        <w:outlineLvl w:val="1"/>
        <w:rPr>
          <w:rFonts w:hint="default" w:ascii="Times New Roman" w:hAnsi="Times New Roman" w:eastAsia="方正黑体_GBK" w:cs="Times New Roman"/>
          <w:b w:val="0"/>
          <w:bCs/>
          <w:kern w:val="2"/>
          <w:sz w:val="32"/>
          <w:szCs w:val="32"/>
          <w:lang w:val="en-US" w:eastAsia="zh-CN" w:bidi="ar-SA"/>
        </w:rPr>
      </w:pPr>
      <w:bookmarkStart w:id="89" w:name="_Toc15396625"/>
      <w:bookmarkStart w:id="90" w:name="_Toc16152"/>
      <w:r>
        <w:rPr>
          <w:rFonts w:hint="default" w:ascii="Times New Roman" w:hAnsi="Times New Roman" w:eastAsia="方正黑体_GBK" w:cs="Times New Roman"/>
          <w:b w:val="0"/>
          <w:bCs/>
          <w:kern w:val="2"/>
          <w:sz w:val="32"/>
          <w:szCs w:val="32"/>
          <w:lang w:val="en-US" w:eastAsia="zh-CN" w:bidi="ar-SA"/>
        </w:rPr>
        <w:t>七、一般公共预算财政拨款支出决算明细表</w:t>
      </w:r>
      <w:bookmarkEnd w:id="89"/>
      <w:bookmarkEnd w:id="90"/>
    </w:p>
    <w:p w14:paraId="0F4D8F11">
      <w:pPr>
        <w:tabs>
          <w:tab w:val="right" w:pos="8306"/>
        </w:tabs>
        <w:spacing w:line="240" w:lineRule="auto"/>
        <w:ind w:firstLine="640"/>
        <w:outlineLvl w:val="1"/>
        <w:rPr>
          <w:rFonts w:hint="default" w:ascii="Times New Roman" w:hAnsi="Times New Roman" w:eastAsia="方正黑体_GBK" w:cs="Times New Roman"/>
          <w:b w:val="0"/>
          <w:bCs/>
          <w:kern w:val="2"/>
          <w:sz w:val="32"/>
          <w:szCs w:val="32"/>
          <w:lang w:val="en-US" w:eastAsia="zh-CN" w:bidi="ar-SA"/>
        </w:rPr>
      </w:pPr>
      <w:bookmarkStart w:id="91" w:name="_Toc15396626"/>
      <w:bookmarkStart w:id="92" w:name="_Toc30922"/>
      <w:r>
        <w:rPr>
          <w:rFonts w:hint="default" w:ascii="Times New Roman" w:hAnsi="Times New Roman" w:eastAsia="方正黑体_GBK" w:cs="Times New Roman"/>
          <w:b w:val="0"/>
          <w:bCs/>
          <w:kern w:val="2"/>
          <w:sz w:val="32"/>
          <w:szCs w:val="32"/>
          <w:lang w:val="en-US" w:eastAsia="zh-CN" w:bidi="ar-SA"/>
        </w:rPr>
        <w:t>八、一般公共预算财政拨款基本支出决算表</w:t>
      </w:r>
      <w:bookmarkEnd w:id="91"/>
      <w:bookmarkEnd w:id="92"/>
    </w:p>
    <w:p w14:paraId="4DFD56C7">
      <w:pPr>
        <w:tabs>
          <w:tab w:val="right" w:pos="8306"/>
        </w:tabs>
        <w:spacing w:line="240" w:lineRule="auto"/>
        <w:ind w:firstLine="640"/>
        <w:outlineLvl w:val="1"/>
        <w:rPr>
          <w:rFonts w:hint="default" w:ascii="Times New Roman" w:hAnsi="Times New Roman" w:eastAsia="方正黑体_GBK" w:cs="Times New Roman"/>
          <w:b w:val="0"/>
          <w:bCs/>
          <w:kern w:val="2"/>
          <w:sz w:val="32"/>
          <w:szCs w:val="32"/>
          <w:lang w:val="en-US" w:eastAsia="zh-CN" w:bidi="ar-SA"/>
        </w:rPr>
      </w:pPr>
      <w:bookmarkStart w:id="93" w:name="_Toc15396627"/>
      <w:bookmarkStart w:id="94" w:name="_Toc32406"/>
      <w:r>
        <w:rPr>
          <w:rFonts w:hint="default" w:ascii="Times New Roman" w:hAnsi="Times New Roman" w:eastAsia="方正黑体_GBK" w:cs="Times New Roman"/>
          <w:b w:val="0"/>
          <w:bCs/>
          <w:kern w:val="2"/>
          <w:sz w:val="32"/>
          <w:szCs w:val="32"/>
          <w:lang w:val="en-US" w:eastAsia="zh-CN" w:bidi="ar-SA"/>
        </w:rPr>
        <w:t>九、一般公共预算财政拨款项目支出决算表</w:t>
      </w:r>
      <w:bookmarkEnd w:id="93"/>
      <w:bookmarkEnd w:id="94"/>
    </w:p>
    <w:p w14:paraId="1C649E36">
      <w:pPr>
        <w:tabs>
          <w:tab w:val="right" w:pos="8306"/>
        </w:tabs>
        <w:spacing w:line="240" w:lineRule="auto"/>
        <w:ind w:firstLine="640"/>
        <w:outlineLvl w:val="1"/>
        <w:rPr>
          <w:rFonts w:hint="default" w:ascii="Times New Roman" w:hAnsi="Times New Roman" w:eastAsia="方正黑体_GBK" w:cs="Times New Roman"/>
          <w:b w:val="0"/>
          <w:bCs/>
          <w:kern w:val="2"/>
          <w:sz w:val="32"/>
          <w:szCs w:val="32"/>
          <w:lang w:val="en-US" w:eastAsia="zh-CN" w:bidi="ar-SA"/>
        </w:rPr>
      </w:pPr>
      <w:bookmarkStart w:id="95" w:name="_Toc15396628"/>
      <w:bookmarkStart w:id="96" w:name="_Toc3641"/>
      <w:r>
        <w:rPr>
          <w:rFonts w:hint="default" w:ascii="Times New Roman" w:hAnsi="Times New Roman" w:eastAsia="方正黑体_GBK" w:cs="Times New Roman"/>
          <w:b w:val="0"/>
          <w:bCs/>
          <w:kern w:val="2"/>
          <w:sz w:val="32"/>
          <w:szCs w:val="32"/>
          <w:lang w:val="en-US" w:eastAsia="zh-CN" w:bidi="ar-SA"/>
        </w:rPr>
        <w:t>十、</w:t>
      </w:r>
      <w:bookmarkEnd w:id="95"/>
      <w:r>
        <w:rPr>
          <w:rFonts w:hint="default" w:ascii="Times New Roman" w:hAnsi="Times New Roman" w:eastAsia="方正黑体_GBK" w:cs="Times New Roman"/>
          <w:b w:val="0"/>
          <w:bCs/>
          <w:kern w:val="2"/>
          <w:sz w:val="32"/>
          <w:szCs w:val="32"/>
          <w:lang w:val="en-US" w:eastAsia="zh-CN" w:bidi="ar-SA"/>
        </w:rPr>
        <w:t>政府性基金预算财政拨款收入支出决算表</w:t>
      </w:r>
      <w:bookmarkEnd w:id="96"/>
    </w:p>
    <w:p w14:paraId="3B709956">
      <w:pPr>
        <w:tabs>
          <w:tab w:val="right" w:pos="8306"/>
        </w:tabs>
        <w:spacing w:line="240" w:lineRule="auto"/>
        <w:ind w:firstLine="640"/>
        <w:outlineLvl w:val="1"/>
        <w:rPr>
          <w:rFonts w:hint="default" w:ascii="Times New Roman" w:hAnsi="Times New Roman" w:eastAsia="方正黑体_GBK" w:cs="Times New Roman"/>
          <w:b w:val="0"/>
          <w:bCs/>
          <w:kern w:val="2"/>
          <w:sz w:val="32"/>
          <w:szCs w:val="32"/>
          <w:lang w:val="en-US" w:eastAsia="zh-CN" w:bidi="ar-SA"/>
        </w:rPr>
      </w:pPr>
      <w:bookmarkStart w:id="97" w:name="_Toc15396629"/>
      <w:bookmarkStart w:id="98" w:name="_Toc3880"/>
      <w:r>
        <w:rPr>
          <w:rFonts w:hint="default" w:ascii="Times New Roman" w:hAnsi="Times New Roman" w:eastAsia="方正黑体_GBK" w:cs="Times New Roman"/>
          <w:b w:val="0"/>
          <w:bCs/>
          <w:kern w:val="2"/>
          <w:sz w:val="32"/>
          <w:szCs w:val="32"/>
          <w:lang w:val="en-US" w:eastAsia="zh-CN" w:bidi="ar-SA"/>
        </w:rPr>
        <w:t>十一、</w:t>
      </w:r>
      <w:bookmarkEnd w:id="97"/>
      <w:r>
        <w:rPr>
          <w:rFonts w:hint="default" w:ascii="Times New Roman" w:hAnsi="Times New Roman" w:eastAsia="方正黑体_GBK" w:cs="Times New Roman"/>
          <w:b w:val="0"/>
          <w:bCs/>
          <w:kern w:val="2"/>
          <w:sz w:val="32"/>
          <w:szCs w:val="32"/>
          <w:lang w:val="en-US" w:eastAsia="zh-CN" w:bidi="ar-SA"/>
        </w:rPr>
        <w:t>国有资本经营预算财政拨款收入支出决算表</w:t>
      </w:r>
      <w:bookmarkEnd w:id="98"/>
    </w:p>
    <w:p w14:paraId="31170E51">
      <w:pPr>
        <w:tabs>
          <w:tab w:val="right" w:pos="8306"/>
        </w:tabs>
        <w:spacing w:line="240" w:lineRule="auto"/>
        <w:ind w:firstLine="640"/>
        <w:outlineLvl w:val="1"/>
        <w:rPr>
          <w:rFonts w:hint="default" w:ascii="Times New Roman" w:hAnsi="Times New Roman" w:eastAsia="方正黑体_GBK" w:cs="Times New Roman"/>
          <w:b w:val="0"/>
          <w:bCs/>
          <w:kern w:val="2"/>
          <w:sz w:val="32"/>
          <w:szCs w:val="32"/>
          <w:lang w:val="en-US" w:eastAsia="zh-CN" w:bidi="ar-SA"/>
        </w:rPr>
      </w:pPr>
      <w:bookmarkStart w:id="99" w:name="_Toc15396630"/>
      <w:bookmarkStart w:id="100" w:name="_Toc1028"/>
      <w:r>
        <w:rPr>
          <w:rFonts w:hint="default" w:ascii="Times New Roman" w:hAnsi="Times New Roman" w:eastAsia="方正黑体_GBK" w:cs="Times New Roman"/>
          <w:b w:val="0"/>
          <w:bCs/>
          <w:kern w:val="2"/>
          <w:sz w:val="32"/>
          <w:szCs w:val="32"/>
          <w:lang w:val="en-US" w:eastAsia="zh-CN" w:bidi="ar-SA"/>
        </w:rPr>
        <w:t>十二、</w:t>
      </w:r>
      <w:bookmarkEnd w:id="99"/>
      <w:r>
        <w:rPr>
          <w:rFonts w:hint="default" w:ascii="Times New Roman" w:hAnsi="Times New Roman" w:eastAsia="方正黑体_GBK" w:cs="Times New Roman"/>
          <w:b w:val="0"/>
          <w:bCs/>
          <w:kern w:val="2"/>
          <w:sz w:val="32"/>
          <w:szCs w:val="32"/>
          <w:lang w:val="en-US" w:eastAsia="zh-CN" w:bidi="ar-SA"/>
        </w:rPr>
        <w:t>国有资本经营预算财政拨款支出决算表</w:t>
      </w:r>
      <w:bookmarkEnd w:id="100"/>
    </w:p>
    <w:p w14:paraId="0FF74490">
      <w:pPr>
        <w:tabs>
          <w:tab w:val="right" w:pos="8306"/>
        </w:tabs>
        <w:spacing w:line="240" w:lineRule="auto"/>
        <w:ind w:firstLine="640"/>
        <w:outlineLvl w:val="1"/>
        <w:rPr>
          <w:rFonts w:hint="default" w:ascii="Times New Roman" w:hAnsi="Times New Roman" w:eastAsia="方正黑体_GBK" w:cs="Times New Roman"/>
          <w:b w:val="0"/>
          <w:bCs/>
          <w:kern w:val="2"/>
          <w:sz w:val="32"/>
          <w:szCs w:val="32"/>
          <w:lang w:val="en-US" w:eastAsia="zh-CN" w:bidi="ar-SA"/>
        </w:rPr>
      </w:pPr>
      <w:bookmarkStart w:id="101" w:name="_Toc15396631"/>
      <w:bookmarkStart w:id="102" w:name="_Toc26857"/>
      <w:r>
        <w:rPr>
          <w:rFonts w:hint="default" w:ascii="Times New Roman" w:hAnsi="Times New Roman" w:eastAsia="方正黑体_GBK" w:cs="Times New Roman"/>
          <w:b w:val="0"/>
          <w:bCs/>
          <w:kern w:val="2"/>
          <w:sz w:val="32"/>
          <w:szCs w:val="32"/>
          <w:lang w:val="en-US" w:eastAsia="zh-CN" w:bidi="ar-SA"/>
        </w:rPr>
        <w:t>十三、</w:t>
      </w:r>
      <w:bookmarkEnd w:id="101"/>
      <w:r>
        <w:rPr>
          <w:rFonts w:hint="default" w:ascii="Times New Roman" w:hAnsi="Times New Roman" w:eastAsia="方正黑体_GBK" w:cs="Times New Roman"/>
          <w:b w:val="0"/>
          <w:bCs/>
          <w:kern w:val="2"/>
          <w:sz w:val="32"/>
          <w:szCs w:val="32"/>
          <w:lang w:val="en-US" w:eastAsia="zh-CN" w:bidi="ar-SA"/>
        </w:rPr>
        <w:t>财政拨款“三公”经费支出决算表</w:t>
      </w:r>
      <w:bookmarkEnd w:id="102"/>
    </w:p>
    <w:p w14:paraId="482E7EA7">
      <w:pPr>
        <w:spacing w:line="240" w:lineRule="auto"/>
        <w:rPr>
          <w:rFonts w:hint="default" w:ascii="Times New Roman" w:hAnsi="Times New Roman" w:cs="Times New Roman"/>
          <w:lang w:eastAsia="zh-CN"/>
        </w:rPr>
      </w:pPr>
    </w:p>
    <w:sectPr>
      <w:footerReference r:id="rId9" w:type="first"/>
      <w:footerReference r:id="rId8"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0AFF" w:usb1="00007843" w:usb2="00000001" w:usb3="00000000" w:csb0="400001BF" w:csb1="DFF7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0AFF" w:usb1="00007843" w:usb2="00000001" w:usb3="00000000" w:csb0="400001BF" w:csb1="DFF7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
    <w:altName w:val="Segoe Print"/>
    <w:panose1 w:val="00000000000000000000"/>
    <w:charset w:val="00"/>
    <w:family w:val="roman"/>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16048B">
    <w:pPr>
      <w:pStyle w:val="10"/>
      <w:jc w:val="center"/>
    </w:pPr>
  </w:p>
  <w:p w14:paraId="1FFE79F5">
    <w:pPr>
      <w:pStyle w:val="1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D5AF94">
    <w:pPr>
      <w:pStyle w:val="10"/>
      <w:jc w:val="center"/>
    </w:pPr>
  </w:p>
  <w:p w14:paraId="09D20F0E">
    <w:pPr>
      <w:pStyle w:val="1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E23725">
    <w:pPr>
      <w:pStyle w:val="1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BAA545">
    <w:pPr>
      <w:pStyle w:val="10"/>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7B8B892">
                          <w:pPr>
                            <w:pStyle w:val="10"/>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- 2 -</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7B8B892">
                    <w:pPr>
                      <w:pStyle w:val="10"/>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- 2 -</w:t>
                    </w:r>
                    <w:r>
                      <w:rPr>
                        <w:rFonts w:hint="eastAsia"/>
                        <w:lang w:eastAsia="zh-CN"/>
                      </w:rPr>
                      <w:fldChar w:fldCharType="end"/>
                    </w:r>
                  </w:p>
                </w:txbxContent>
              </v:textbox>
            </v:shape>
          </w:pict>
        </mc:Fallback>
      </mc:AlternateContent>
    </w:r>
  </w:p>
  <w:p w14:paraId="1AE446CF">
    <w:pPr>
      <w:pStyle w:val="1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A5814E">
    <w:pPr>
      <w:pStyle w:val="10"/>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7A2790A">
                          <w:pPr>
                            <w:pStyle w:val="10"/>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- 1 -</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47A2790A">
                    <w:pPr>
                      <w:pStyle w:val="10"/>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- 1 -</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64E291">
    <w:pPr>
      <w:pStyle w:val="11"/>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AB2664">
    <w:pPr>
      <w:pStyle w:val="11"/>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8"/>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361C"/>
    <w:rsid w:val="000222C6"/>
    <w:rsid w:val="0002549F"/>
    <w:rsid w:val="000468DB"/>
    <w:rsid w:val="0006487A"/>
    <w:rsid w:val="00065F8F"/>
    <w:rsid w:val="00070A43"/>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6613"/>
    <w:rsid w:val="000E7119"/>
    <w:rsid w:val="00114E9B"/>
    <w:rsid w:val="00142216"/>
    <w:rsid w:val="00144D6A"/>
    <w:rsid w:val="0014729F"/>
    <w:rsid w:val="00157BAB"/>
    <w:rsid w:val="001654D1"/>
    <w:rsid w:val="00174518"/>
    <w:rsid w:val="0018106D"/>
    <w:rsid w:val="001877A7"/>
    <w:rsid w:val="00191536"/>
    <w:rsid w:val="00196687"/>
    <w:rsid w:val="001C0962"/>
    <w:rsid w:val="001D7531"/>
    <w:rsid w:val="001E737D"/>
    <w:rsid w:val="001F0592"/>
    <w:rsid w:val="001F7506"/>
    <w:rsid w:val="002006CD"/>
    <w:rsid w:val="00202B36"/>
    <w:rsid w:val="00204B7A"/>
    <w:rsid w:val="00204CDE"/>
    <w:rsid w:val="0021101A"/>
    <w:rsid w:val="00220536"/>
    <w:rsid w:val="00235629"/>
    <w:rsid w:val="00260C38"/>
    <w:rsid w:val="002616C0"/>
    <w:rsid w:val="00265372"/>
    <w:rsid w:val="002662AA"/>
    <w:rsid w:val="00280496"/>
    <w:rsid w:val="00294DC9"/>
    <w:rsid w:val="00295495"/>
    <w:rsid w:val="002A31DE"/>
    <w:rsid w:val="002B2613"/>
    <w:rsid w:val="002D6D05"/>
    <w:rsid w:val="002F1818"/>
    <w:rsid w:val="002F567B"/>
    <w:rsid w:val="003216A9"/>
    <w:rsid w:val="00335A74"/>
    <w:rsid w:val="0036561B"/>
    <w:rsid w:val="0037013F"/>
    <w:rsid w:val="00380C92"/>
    <w:rsid w:val="003A484F"/>
    <w:rsid w:val="003A4883"/>
    <w:rsid w:val="003B0BE0"/>
    <w:rsid w:val="003B0C1B"/>
    <w:rsid w:val="003B688C"/>
    <w:rsid w:val="003C0291"/>
    <w:rsid w:val="003C39AE"/>
    <w:rsid w:val="003C7B60"/>
    <w:rsid w:val="003D0C0F"/>
    <w:rsid w:val="003D1FB2"/>
    <w:rsid w:val="003D66DA"/>
    <w:rsid w:val="003E1310"/>
    <w:rsid w:val="003E6F55"/>
    <w:rsid w:val="00406254"/>
    <w:rsid w:val="004223DE"/>
    <w:rsid w:val="00434489"/>
    <w:rsid w:val="00437085"/>
    <w:rsid w:val="00443880"/>
    <w:rsid w:val="004464F4"/>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664BB"/>
    <w:rsid w:val="00566FFA"/>
    <w:rsid w:val="0057481D"/>
    <w:rsid w:val="0058486E"/>
    <w:rsid w:val="00585B33"/>
    <w:rsid w:val="0059014D"/>
    <w:rsid w:val="005B5C64"/>
    <w:rsid w:val="005C5337"/>
    <w:rsid w:val="005C6BD0"/>
    <w:rsid w:val="005D1C8B"/>
    <w:rsid w:val="005D468D"/>
    <w:rsid w:val="005D5CED"/>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6343B"/>
    <w:rsid w:val="00664777"/>
    <w:rsid w:val="006748A4"/>
    <w:rsid w:val="00681A31"/>
    <w:rsid w:val="00683E73"/>
    <w:rsid w:val="006A3141"/>
    <w:rsid w:val="006A5E34"/>
    <w:rsid w:val="006B2422"/>
    <w:rsid w:val="006B2B9A"/>
    <w:rsid w:val="006C1937"/>
    <w:rsid w:val="006F020C"/>
    <w:rsid w:val="007127B7"/>
    <w:rsid w:val="0071798E"/>
    <w:rsid w:val="007416B6"/>
    <w:rsid w:val="00746F48"/>
    <w:rsid w:val="0075404D"/>
    <w:rsid w:val="0076182A"/>
    <w:rsid w:val="00767B7E"/>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348"/>
    <w:rsid w:val="008253BB"/>
    <w:rsid w:val="0083706E"/>
    <w:rsid w:val="008408F6"/>
    <w:rsid w:val="008423A5"/>
    <w:rsid w:val="00850625"/>
    <w:rsid w:val="00853718"/>
    <w:rsid w:val="00855221"/>
    <w:rsid w:val="00860645"/>
    <w:rsid w:val="00871F71"/>
    <w:rsid w:val="00872FD8"/>
    <w:rsid w:val="00885AF4"/>
    <w:rsid w:val="008939CD"/>
    <w:rsid w:val="008B768C"/>
    <w:rsid w:val="008C4DB1"/>
    <w:rsid w:val="008C4EAF"/>
    <w:rsid w:val="008C5176"/>
    <w:rsid w:val="008C7FD0"/>
    <w:rsid w:val="008E1DE7"/>
    <w:rsid w:val="008E707C"/>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6DF2"/>
    <w:rsid w:val="00A56E6E"/>
    <w:rsid w:val="00A67AB5"/>
    <w:rsid w:val="00A733B2"/>
    <w:rsid w:val="00A741C2"/>
    <w:rsid w:val="00A91760"/>
    <w:rsid w:val="00A93B00"/>
    <w:rsid w:val="00A93C21"/>
    <w:rsid w:val="00AB64C9"/>
    <w:rsid w:val="00AC3C6A"/>
    <w:rsid w:val="00AD5620"/>
    <w:rsid w:val="00AD656B"/>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77EA6"/>
    <w:rsid w:val="00B81598"/>
    <w:rsid w:val="00B841F1"/>
    <w:rsid w:val="00B944D6"/>
    <w:rsid w:val="00BB4DF0"/>
    <w:rsid w:val="00BC289F"/>
    <w:rsid w:val="00BC2D50"/>
    <w:rsid w:val="00BC5361"/>
    <w:rsid w:val="00BC5460"/>
    <w:rsid w:val="00BC6B50"/>
    <w:rsid w:val="00BD0E25"/>
    <w:rsid w:val="00BF5BD6"/>
    <w:rsid w:val="00C03E31"/>
    <w:rsid w:val="00C33E72"/>
    <w:rsid w:val="00C354B2"/>
    <w:rsid w:val="00C35554"/>
    <w:rsid w:val="00C42709"/>
    <w:rsid w:val="00C533CC"/>
    <w:rsid w:val="00C5751C"/>
    <w:rsid w:val="00C61BFC"/>
    <w:rsid w:val="00C62B85"/>
    <w:rsid w:val="00C65438"/>
    <w:rsid w:val="00C87FD8"/>
    <w:rsid w:val="00C91381"/>
    <w:rsid w:val="00C91CBB"/>
    <w:rsid w:val="00CB4E70"/>
    <w:rsid w:val="00CC09B6"/>
    <w:rsid w:val="00CC666F"/>
    <w:rsid w:val="00CD1E3F"/>
    <w:rsid w:val="00CE44F6"/>
    <w:rsid w:val="00CE49DA"/>
    <w:rsid w:val="00CE7B61"/>
    <w:rsid w:val="00D00095"/>
    <w:rsid w:val="00D114F0"/>
    <w:rsid w:val="00D20620"/>
    <w:rsid w:val="00D254F7"/>
    <w:rsid w:val="00D26091"/>
    <w:rsid w:val="00D2685C"/>
    <w:rsid w:val="00D34E7C"/>
    <w:rsid w:val="00D35489"/>
    <w:rsid w:val="00D36AFE"/>
    <w:rsid w:val="00D51276"/>
    <w:rsid w:val="00D7035F"/>
    <w:rsid w:val="00DA634F"/>
    <w:rsid w:val="00DA65AC"/>
    <w:rsid w:val="00DB1913"/>
    <w:rsid w:val="00DC410D"/>
    <w:rsid w:val="00DC5A81"/>
    <w:rsid w:val="00DC68CA"/>
    <w:rsid w:val="00DC7CBA"/>
    <w:rsid w:val="00DD73B7"/>
    <w:rsid w:val="00DF28BC"/>
    <w:rsid w:val="00DF34B9"/>
    <w:rsid w:val="00E01053"/>
    <w:rsid w:val="00E07ACF"/>
    <w:rsid w:val="00E331A1"/>
    <w:rsid w:val="00E33202"/>
    <w:rsid w:val="00E336A9"/>
    <w:rsid w:val="00E472B1"/>
    <w:rsid w:val="00E50624"/>
    <w:rsid w:val="00E54633"/>
    <w:rsid w:val="00E568DF"/>
    <w:rsid w:val="00E64269"/>
    <w:rsid w:val="00E82267"/>
    <w:rsid w:val="00E853CE"/>
    <w:rsid w:val="00E867B6"/>
    <w:rsid w:val="00EA010F"/>
    <w:rsid w:val="00ED1B63"/>
    <w:rsid w:val="00ED3C1F"/>
    <w:rsid w:val="00ED4085"/>
    <w:rsid w:val="00ED420E"/>
    <w:rsid w:val="00ED6FBE"/>
    <w:rsid w:val="00EE2F57"/>
    <w:rsid w:val="00EF4C34"/>
    <w:rsid w:val="00EF77C6"/>
    <w:rsid w:val="00F05438"/>
    <w:rsid w:val="00F11A98"/>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D3CC1"/>
    <w:rsid w:val="00FF1E02"/>
    <w:rsid w:val="00FF30B4"/>
    <w:rsid w:val="012A5EC2"/>
    <w:rsid w:val="015975B8"/>
    <w:rsid w:val="02FEBE30"/>
    <w:rsid w:val="04916F1E"/>
    <w:rsid w:val="0558454A"/>
    <w:rsid w:val="061E35DE"/>
    <w:rsid w:val="066E0107"/>
    <w:rsid w:val="07996F6E"/>
    <w:rsid w:val="07DFD8BA"/>
    <w:rsid w:val="088A7250"/>
    <w:rsid w:val="09867E8F"/>
    <w:rsid w:val="0A2032A3"/>
    <w:rsid w:val="0A663D38"/>
    <w:rsid w:val="0AFD411D"/>
    <w:rsid w:val="0B0B356F"/>
    <w:rsid w:val="0CA8290A"/>
    <w:rsid w:val="0D35B1ED"/>
    <w:rsid w:val="0E254B6B"/>
    <w:rsid w:val="0E390D48"/>
    <w:rsid w:val="0F98263C"/>
    <w:rsid w:val="101860EC"/>
    <w:rsid w:val="101F47CC"/>
    <w:rsid w:val="10C055FF"/>
    <w:rsid w:val="11694EBD"/>
    <w:rsid w:val="11772AA4"/>
    <w:rsid w:val="118107EC"/>
    <w:rsid w:val="12E24EE2"/>
    <w:rsid w:val="13810BC4"/>
    <w:rsid w:val="13D50BC4"/>
    <w:rsid w:val="14B17F78"/>
    <w:rsid w:val="14D34A96"/>
    <w:rsid w:val="155D7676"/>
    <w:rsid w:val="165E0673"/>
    <w:rsid w:val="16B831D5"/>
    <w:rsid w:val="16BB723D"/>
    <w:rsid w:val="17E50567"/>
    <w:rsid w:val="186504BB"/>
    <w:rsid w:val="190D5C53"/>
    <w:rsid w:val="19A445FC"/>
    <w:rsid w:val="1A996CB8"/>
    <w:rsid w:val="1BE6765D"/>
    <w:rsid w:val="1BE8440E"/>
    <w:rsid w:val="1C7B5D7E"/>
    <w:rsid w:val="1D155CEE"/>
    <w:rsid w:val="1D1638FE"/>
    <w:rsid w:val="1E312DEB"/>
    <w:rsid w:val="1E740ACF"/>
    <w:rsid w:val="1FF35744"/>
    <w:rsid w:val="1FF6BC77"/>
    <w:rsid w:val="2186353C"/>
    <w:rsid w:val="23860B96"/>
    <w:rsid w:val="23E643D1"/>
    <w:rsid w:val="240371BF"/>
    <w:rsid w:val="244F3473"/>
    <w:rsid w:val="24C97D99"/>
    <w:rsid w:val="254C693A"/>
    <w:rsid w:val="25652BD4"/>
    <w:rsid w:val="25A718F0"/>
    <w:rsid w:val="25BB59F6"/>
    <w:rsid w:val="260F557C"/>
    <w:rsid w:val="26970054"/>
    <w:rsid w:val="26ED7131"/>
    <w:rsid w:val="281408E2"/>
    <w:rsid w:val="294F2651"/>
    <w:rsid w:val="29E24751"/>
    <w:rsid w:val="29FD04D3"/>
    <w:rsid w:val="2AFB484E"/>
    <w:rsid w:val="2BFF7BC6"/>
    <w:rsid w:val="2C8A61B5"/>
    <w:rsid w:val="2DF04E50"/>
    <w:rsid w:val="2E1F2BD3"/>
    <w:rsid w:val="2E586DFA"/>
    <w:rsid w:val="2F040D46"/>
    <w:rsid w:val="2F6B035B"/>
    <w:rsid w:val="2FAE5751"/>
    <w:rsid w:val="2FB1A395"/>
    <w:rsid w:val="2FD9A7D8"/>
    <w:rsid w:val="2FDBF714"/>
    <w:rsid w:val="30AB6865"/>
    <w:rsid w:val="319F7F4E"/>
    <w:rsid w:val="32BD1EF1"/>
    <w:rsid w:val="3304709D"/>
    <w:rsid w:val="33A773CB"/>
    <w:rsid w:val="349D6851"/>
    <w:rsid w:val="36AA5135"/>
    <w:rsid w:val="36BE0DA7"/>
    <w:rsid w:val="376B6AA6"/>
    <w:rsid w:val="376D39B2"/>
    <w:rsid w:val="37D55562"/>
    <w:rsid w:val="37E16F03"/>
    <w:rsid w:val="37F53A3B"/>
    <w:rsid w:val="389B6C89"/>
    <w:rsid w:val="38D469F0"/>
    <w:rsid w:val="39627CCD"/>
    <w:rsid w:val="397BAF1F"/>
    <w:rsid w:val="399729A2"/>
    <w:rsid w:val="3AB79AF3"/>
    <w:rsid w:val="3AB90493"/>
    <w:rsid w:val="3AE834C0"/>
    <w:rsid w:val="3AED6C95"/>
    <w:rsid w:val="3B7EF35A"/>
    <w:rsid w:val="3B9FDB6C"/>
    <w:rsid w:val="3BF5BC2F"/>
    <w:rsid w:val="3CEBA265"/>
    <w:rsid w:val="3D98207C"/>
    <w:rsid w:val="3DEE7CF3"/>
    <w:rsid w:val="3E43215B"/>
    <w:rsid w:val="3E740A63"/>
    <w:rsid w:val="3E78745D"/>
    <w:rsid w:val="3E7F23CB"/>
    <w:rsid w:val="3EE17838"/>
    <w:rsid w:val="3F55381A"/>
    <w:rsid w:val="3F7F7599"/>
    <w:rsid w:val="3FF4CAE0"/>
    <w:rsid w:val="3FF7B227"/>
    <w:rsid w:val="43AE692C"/>
    <w:rsid w:val="44E268DA"/>
    <w:rsid w:val="450D13D7"/>
    <w:rsid w:val="45506656"/>
    <w:rsid w:val="47C52BF0"/>
    <w:rsid w:val="486A6C7A"/>
    <w:rsid w:val="4A627F82"/>
    <w:rsid w:val="4AAD003E"/>
    <w:rsid w:val="4B0E749A"/>
    <w:rsid w:val="4B2477C4"/>
    <w:rsid w:val="4B4F25DA"/>
    <w:rsid w:val="4BE068DB"/>
    <w:rsid w:val="4D577224"/>
    <w:rsid w:val="4DBF1CEB"/>
    <w:rsid w:val="4DF0007C"/>
    <w:rsid w:val="4EAB630A"/>
    <w:rsid w:val="4ECE2238"/>
    <w:rsid w:val="4F415F4F"/>
    <w:rsid w:val="4F833267"/>
    <w:rsid w:val="4FE9BD67"/>
    <w:rsid w:val="4FFB052F"/>
    <w:rsid w:val="537E6D0A"/>
    <w:rsid w:val="53F74C96"/>
    <w:rsid w:val="55170BA8"/>
    <w:rsid w:val="553218C9"/>
    <w:rsid w:val="561B6A6C"/>
    <w:rsid w:val="56207005"/>
    <w:rsid w:val="567E1AA5"/>
    <w:rsid w:val="56E47B74"/>
    <w:rsid w:val="57175D52"/>
    <w:rsid w:val="57BD3DD4"/>
    <w:rsid w:val="5AF92295"/>
    <w:rsid w:val="5B250254"/>
    <w:rsid w:val="5BDD79E6"/>
    <w:rsid w:val="5BF561CA"/>
    <w:rsid w:val="5BFF5DFC"/>
    <w:rsid w:val="5CD71FC4"/>
    <w:rsid w:val="5D1F11B5"/>
    <w:rsid w:val="5D695134"/>
    <w:rsid w:val="5DAE1B18"/>
    <w:rsid w:val="5DE7D9E5"/>
    <w:rsid w:val="5ECEC941"/>
    <w:rsid w:val="5FBF9FF3"/>
    <w:rsid w:val="5FCD4E2C"/>
    <w:rsid w:val="5FEF394A"/>
    <w:rsid w:val="5FF67715"/>
    <w:rsid w:val="62BF3928"/>
    <w:rsid w:val="63B3701E"/>
    <w:rsid w:val="647F5392"/>
    <w:rsid w:val="65E66580"/>
    <w:rsid w:val="66457482"/>
    <w:rsid w:val="664B1D71"/>
    <w:rsid w:val="664B4E8E"/>
    <w:rsid w:val="67277B67"/>
    <w:rsid w:val="67AA3209"/>
    <w:rsid w:val="67DE4157"/>
    <w:rsid w:val="698D0931"/>
    <w:rsid w:val="6A7FE5F3"/>
    <w:rsid w:val="6B053271"/>
    <w:rsid w:val="6BDD78B3"/>
    <w:rsid w:val="6C4A05C8"/>
    <w:rsid w:val="6C8742B8"/>
    <w:rsid w:val="6DBF5E93"/>
    <w:rsid w:val="6DFF077E"/>
    <w:rsid w:val="6E714EF0"/>
    <w:rsid w:val="6E7E3605"/>
    <w:rsid w:val="6E7FDCC7"/>
    <w:rsid w:val="6EB91323"/>
    <w:rsid w:val="6ED6A62E"/>
    <w:rsid w:val="6EE00B15"/>
    <w:rsid w:val="6F6FB3EB"/>
    <w:rsid w:val="6F8731EA"/>
    <w:rsid w:val="6FCE6052"/>
    <w:rsid w:val="6FD57C00"/>
    <w:rsid w:val="6FEFFFD8"/>
    <w:rsid w:val="6FF5CC65"/>
    <w:rsid w:val="6FFB47EC"/>
    <w:rsid w:val="6FFF034A"/>
    <w:rsid w:val="70484440"/>
    <w:rsid w:val="712A28F1"/>
    <w:rsid w:val="715C0E4B"/>
    <w:rsid w:val="71992E7C"/>
    <w:rsid w:val="72233669"/>
    <w:rsid w:val="72734D90"/>
    <w:rsid w:val="73160E6D"/>
    <w:rsid w:val="7332FE48"/>
    <w:rsid w:val="73A42A7F"/>
    <w:rsid w:val="73AB61DA"/>
    <w:rsid w:val="73AD73D5"/>
    <w:rsid w:val="73B6EB34"/>
    <w:rsid w:val="73FA497D"/>
    <w:rsid w:val="744731E5"/>
    <w:rsid w:val="74BBD01D"/>
    <w:rsid w:val="74ED5379"/>
    <w:rsid w:val="75C961B3"/>
    <w:rsid w:val="75DC07DB"/>
    <w:rsid w:val="75DEEEC2"/>
    <w:rsid w:val="75E32345"/>
    <w:rsid w:val="76E3355F"/>
    <w:rsid w:val="76FF5125"/>
    <w:rsid w:val="776F6FFA"/>
    <w:rsid w:val="778769C8"/>
    <w:rsid w:val="77A75DCA"/>
    <w:rsid w:val="77DC22F5"/>
    <w:rsid w:val="783E271A"/>
    <w:rsid w:val="78616DE9"/>
    <w:rsid w:val="78E875D7"/>
    <w:rsid w:val="79086DAD"/>
    <w:rsid w:val="79D7FD79"/>
    <w:rsid w:val="79EE5BA4"/>
    <w:rsid w:val="7A894339"/>
    <w:rsid w:val="7AD284E8"/>
    <w:rsid w:val="7AFF7572"/>
    <w:rsid w:val="7B6C7DFB"/>
    <w:rsid w:val="7BBFBED0"/>
    <w:rsid w:val="7BC3E394"/>
    <w:rsid w:val="7C1F3737"/>
    <w:rsid w:val="7CBFC87B"/>
    <w:rsid w:val="7CFE0F48"/>
    <w:rsid w:val="7D272ABC"/>
    <w:rsid w:val="7D7EC23E"/>
    <w:rsid w:val="7E8ADEBF"/>
    <w:rsid w:val="7ECE15F5"/>
    <w:rsid w:val="7EEF11D3"/>
    <w:rsid w:val="7EFE4840"/>
    <w:rsid w:val="7F0971A6"/>
    <w:rsid w:val="7F1D62E7"/>
    <w:rsid w:val="7F3F679B"/>
    <w:rsid w:val="7F4FC4EF"/>
    <w:rsid w:val="7F5E4D54"/>
    <w:rsid w:val="7F6E0135"/>
    <w:rsid w:val="7F79F205"/>
    <w:rsid w:val="7FA30C79"/>
    <w:rsid w:val="7FA79C44"/>
    <w:rsid w:val="7FAF8ABF"/>
    <w:rsid w:val="7FB7269E"/>
    <w:rsid w:val="7FC96657"/>
    <w:rsid w:val="7FDA9588"/>
    <w:rsid w:val="7FDF220F"/>
    <w:rsid w:val="7FEDC5F7"/>
    <w:rsid w:val="7FEDD9DE"/>
    <w:rsid w:val="7FF5890D"/>
    <w:rsid w:val="7FF93490"/>
    <w:rsid w:val="99FF2014"/>
    <w:rsid w:val="A6DD0D7F"/>
    <w:rsid w:val="ACFF4FBB"/>
    <w:rsid w:val="ADC6F725"/>
    <w:rsid w:val="B7CF06AB"/>
    <w:rsid w:val="B7CFA926"/>
    <w:rsid w:val="B7F8786B"/>
    <w:rsid w:val="BABB6AA1"/>
    <w:rsid w:val="BB2F4199"/>
    <w:rsid w:val="BCFFB442"/>
    <w:rsid w:val="BD079C78"/>
    <w:rsid w:val="BD733540"/>
    <w:rsid w:val="BF3735D5"/>
    <w:rsid w:val="BF7F09AC"/>
    <w:rsid w:val="BFD475C3"/>
    <w:rsid w:val="BFDE5EA6"/>
    <w:rsid w:val="CF6FC6F3"/>
    <w:rsid w:val="CFD3D3D7"/>
    <w:rsid w:val="CFDF1009"/>
    <w:rsid w:val="D7D7B16A"/>
    <w:rsid w:val="D8D6DB89"/>
    <w:rsid w:val="DB6F4CAB"/>
    <w:rsid w:val="DB777682"/>
    <w:rsid w:val="DD1FB521"/>
    <w:rsid w:val="DEFBFEAE"/>
    <w:rsid w:val="DF1F3B80"/>
    <w:rsid w:val="DF6F9789"/>
    <w:rsid w:val="DFE9BE81"/>
    <w:rsid w:val="DFFFA9E8"/>
    <w:rsid w:val="E5F4E9DC"/>
    <w:rsid w:val="E70FE695"/>
    <w:rsid w:val="EB2E368B"/>
    <w:rsid w:val="ECFED1BC"/>
    <w:rsid w:val="ED1D69BB"/>
    <w:rsid w:val="ED7FD312"/>
    <w:rsid w:val="EF2E1AC6"/>
    <w:rsid w:val="EF53993F"/>
    <w:rsid w:val="EF6FD633"/>
    <w:rsid w:val="EFBFB2F4"/>
    <w:rsid w:val="EFBFFA21"/>
    <w:rsid w:val="F2BEBCB8"/>
    <w:rsid w:val="F36FB518"/>
    <w:rsid w:val="F3DE1A04"/>
    <w:rsid w:val="F3F722E5"/>
    <w:rsid w:val="F4FBCD07"/>
    <w:rsid w:val="FA5F1E70"/>
    <w:rsid w:val="FA5FDB97"/>
    <w:rsid w:val="FB7F486A"/>
    <w:rsid w:val="FBFF5B2E"/>
    <w:rsid w:val="FD7FFE2B"/>
    <w:rsid w:val="FDEE196B"/>
    <w:rsid w:val="FDFE6575"/>
    <w:rsid w:val="FEDFDDC2"/>
    <w:rsid w:val="FEED32F6"/>
    <w:rsid w:val="FEF781DD"/>
    <w:rsid w:val="FF3F7E3F"/>
    <w:rsid w:val="FFBA12D7"/>
    <w:rsid w:val="FFCBD314"/>
    <w:rsid w:val="FFDFF91C"/>
    <w:rsid w:val="FFDFFAEE"/>
    <w:rsid w:val="FFEF6777"/>
    <w:rsid w:val="FFF9B57B"/>
    <w:rsid w:val="FFFD61D9"/>
    <w:rsid w:val="FFFD8F59"/>
    <w:rsid w:val="FFFF2BB1"/>
    <w:rsid w:val="FFFFB04D"/>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35"/>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9"/>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2"/>
    <w:unhideWhenUsed/>
    <w:qFormat/>
    <w:uiPriority w:val="9"/>
    <w:pPr>
      <w:keepNext/>
      <w:keepLines/>
      <w:spacing w:before="260" w:after="260" w:line="416" w:lineRule="auto"/>
      <w:outlineLvl w:val="2"/>
    </w:pPr>
    <w:rPr>
      <w:b/>
      <w:bCs/>
      <w:sz w:val="32"/>
      <w:szCs w:val="32"/>
    </w:rPr>
  </w:style>
  <w:style w:type="character" w:default="1" w:styleId="16">
    <w:name w:val="Default Paragraph Font"/>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25"/>
    <w:qFormat/>
    <w:uiPriority w:val="99"/>
    <w:pPr>
      <w:spacing w:beforeLines="30"/>
    </w:pPr>
    <w:rPr>
      <w:rFonts w:ascii="仿宋_GB2312" w:eastAsia="仿宋_GB2312"/>
      <w:kern w:val="0"/>
      <w:sz w:val="30"/>
    </w:rPr>
  </w:style>
  <w:style w:type="paragraph" w:styleId="6">
    <w:name w:val="Body Text Indent"/>
    <w:basedOn w:val="1"/>
    <w:next w:val="7"/>
    <w:qFormat/>
    <w:uiPriority w:val="0"/>
    <w:pPr>
      <w:spacing w:after="120"/>
      <w:ind w:leftChars="200"/>
    </w:pPr>
    <w:rPr>
      <w:rFonts w:ascii="仿宋_GB2312"/>
      <w:szCs w:val="32"/>
    </w:rPr>
  </w:style>
  <w:style w:type="paragraph" w:styleId="7">
    <w:name w:val="Body Text First Indent 2"/>
    <w:basedOn w:val="6"/>
    <w:unhideWhenUsed/>
    <w:qFormat/>
    <w:uiPriority w:val="99"/>
    <w:pPr>
      <w:ind w:firstLine="420" w:firstLineChars="200"/>
    </w:pPr>
  </w:style>
  <w:style w:type="paragraph" w:styleId="8">
    <w:name w:val="toc 3"/>
    <w:basedOn w:val="1"/>
    <w:next w:val="1"/>
    <w:unhideWhenUsed/>
    <w:qFormat/>
    <w:uiPriority w:val="39"/>
    <w:pPr>
      <w:tabs>
        <w:tab w:val="right" w:leader="dot" w:pos="8296"/>
      </w:tabs>
      <w:ind w:left="840" w:leftChars="400"/>
    </w:pPr>
  </w:style>
  <w:style w:type="paragraph" w:styleId="9">
    <w:name w:val="Balloon Text"/>
    <w:basedOn w:val="1"/>
    <w:link w:val="31"/>
    <w:semiHidden/>
    <w:unhideWhenUsed/>
    <w:qFormat/>
    <w:uiPriority w:val="99"/>
    <w:rPr>
      <w:sz w:val="18"/>
      <w:szCs w:val="18"/>
    </w:rPr>
  </w:style>
  <w:style w:type="paragraph" w:styleId="10">
    <w:name w:val="footer"/>
    <w:basedOn w:val="1"/>
    <w:link w:val="23"/>
    <w:qFormat/>
    <w:uiPriority w:val="99"/>
    <w:pPr>
      <w:tabs>
        <w:tab w:val="center" w:pos="4153"/>
        <w:tab w:val="right" w:pos="8306"/>
      </w:tabs>
      <w:snapToGrid w:val="0"/>
      <w:jc w:val="left"/>
    </w:pPr>
    <w:rPr>
      <w:rFonts w:ascii="Calibri" w:hAnsi="Calibri"/>
      <w:kern w:val="0"/>
      <w:sz w:val="18"/>
      <w:szCs w:val="18"/>
    </w:rPr>
  </w:style>
  <w:style w:type="paragraph" w:styleId="11">
    <w:name w:val="header"/>
    <w:basedOn w:val="1"/>
    <w:link w:val="21"/>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2">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3">
    <w:name w:val="footnote text"/>
    <w:basedOn w:val="1"/>
    <w:next w:val="7"/>
    <w:semiHidden/>
    <w:qFormat/>
    <w:uiPriority w:val="0"/>
    <w:pPr>
      <w:snapToGrid w:val="0"/>
      <w:jc w:val="left"/>
    </w:pPr>
    <w:rPr>
      <w:sz w:val="18"/>
      <w:szCs w:val="18"/>
    </w:rPr>
  </w:style>
  <w:style w:type="paragraph" w:styleId="14">
    <w:name w:val="toc 2"/>
    <w:basedOn w:val="1"/>
    <w:next w:val="1"/>
    <w:unhideWhenUsed/>
    <w:qFormat/>
    <w:uiPriority w:val="39"/>
    <w:pPr>
      <w:tabs>
        <w:tab w:val="right" w:leader="dot" w:pos="8296"/>
      </w:tabs>
      <w:ind w:left="420" w:leftChars="200"/>
    </w:pPr>
  </w:style>
  <w:style w:type="character" w:styleId="17">
    <w:name w:val="Strong"/>
    <w:basedOn w:val="16"/>
    <w:qFormat/>
    <w:uiPriority w:val="99"/>
    <w:rPr>
      <w:b/>
    </w:rPr>
  </w:style>
  <w:style w:type="character" w:styleId="18">
    <w:name w:val="Hyperlink"/>
    <w:basedOn w:val="16"/>
    <w:unhideWhenUsed/>
    <w:qFormat/>
    <w:uiPriority w:val="99"/>
    <w:rPr>
      <w:color w:val="0000FF" w:themeColor="hyperlink"/>
      <w:u w:val="single"/>
      <w14:textFill>
        <w14:solidFill>
          <w14:schemeClr w14:val="hlink"/>
        </w14:solidFill>
      </w14:textFill>
    </w:rPr>
  </w:style>
  <w:style w:type="paragraph" w:customStyle="1" w:styleId="19">
    <w:name w:val="标题 5（有编号）（绿盟科技）"/>
    <w:next w:val="1"/>
    <w:qFormat/>
    <w:uiPriority w:val="99"/>
    <w:pPr>
      <w:keepNext/>
      <w:keepLines/>
      <w:widowControl w:val="0"/>
      <w:spacing w:before="280" w:after="156" w:line="377" w:lineRule="auto"/>
      <w:jc w:val="left"/>
      <w:outlineLvl w:val="4"/>
    </w:pPr>
    <w:rPr>
      <w:rFonts w:ascii="Arial" w:hAnsi="Arial" w:eastAsia="黑体" w:cs="Times New Roman"/>
      <w:b/>
      <w:kern w:val="2"/>
      <w:sz w:val="24"/>
      <w:szCs w:val="28"/>
      <w:lang w:val="en-US" w:eastAsia="zh-CN" w:bidi="ar-SA"/>
    </w:rPr>
  </w:style>
  <w:style w:type="character" w:customStyle="1" w:styleId="20">
    <w:name w:val="Header Char"/>
    <w:basedOn w:val="16"/>
    <w:semiHidden/>
    <w:qFormat/>
    <w:uiPriority w:val="99"/>
    <w:rPr>
      <w:rFonts w:ascii="Times New Roman" w:hAnsi="Times New Roman"/>
      <w:sz w:val="18"/>
      <w:szCs w:val="18"/>
    </w:rPr>
  </w:style>
  <w:style w:type="character" w:customStyle="1" w:styleId="21">
    <w:name w:val="页眉 Char"/>
    <w:link w:val="11"/>
    <w:semiHidden/>
    <w:qFormat/>
    <w:locked/>
    <w:uiPriority w:val="99"/>
    <w:rPr>
      <w:sz w:val="18"/>
    </w:rPr>
  </w:style>
  <w:style w:type="character" w:customStyle="1" w:styleId="22">
    <w:name w:val="Footer Char"/>
    <w:basedOn w:val="16"/>
    <w:semiHidden/>
    <w:qFormat/>
    <w:uiPriority w:val="99"/>
    <w:rPr>
      <w:rFonts w:ascii="Times New Roman" w:hAnsi="Times New Roman"/>
      <w:sz w:val="18"/>
      <w:szCs w:val="18"/>
    </w:rPr>
  </w:style>
  <w:style w:type="character" w:customStyle="1" w:styleId="23">
    <w:name w:val="页脚 Char"/>
    <w:link w:val="10"/>
    <w:qFormat/>
    <w:locked/>
    <w:uiPriority w:val="99"/>
    <w:rPr>
      <w:sz w:val="18"/>
    </w:rPr>
  </w:style>
  <w:style w:type="character" w:customStyle="1" w:styleId="24">
    <w:name w:val="Body Text Char"/>
    <w:basedOn w:val="16"/>
    <w:semiHidden/>
    <w:qFormat/>
    <w:uiPriority w:val="99"/>
    <w:rPr>
      <w:rFonts w:ascii="Times New Roman" w:hAnsi="Times New Roman"/>
      <w:szCs w:val="24"/>
    </w:rPr>
  </w:style>
  <w:style w:type="character" w:customStyle="1" w:styleId="25">
    <w:name w:val="正文文本 Char"/>
    <w:link w:val="2"/>
    <w:qFormat/>
    <w:locked/>
    <w:uiPriority w:val="99"/>
    <w:rPr>
      <w:rFonts w:ascii="仿宋_GB2312" w:hAnsi="Times New Roman" w:eastAsia="仿宋_GB2312"/>
      <w:sz w:val="24"/>
    </w:rPr>
  </w:style>
  <w:style w:type="paragraph" w:customStyle="1" w:styleId="26">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7">
    <w:name w:val="List Paragraph"/>
    <w:basedOn w:val="1"/>
    <w:qFormat/>
    <w:uiPriority w:val="34"/>
    <w:pPr>
      <w:ind w:firstLine="420" w:firstLineChars="200"/>
    </w:pPr>
  </w:style>
  <w:style w:type="character" w:customStyle="1" w:styleId="28">
    <w:name w:val="标题 1 Char"/>
    <w:basedOn w:val="16"/>
    <w:link w:val="3"/>
    <w:qFormat/>
    <w:uiPriority w:val="9"/>
    <w:rPr>
      <w:rFonts w:ascii="Times New Roman" w:hAnsi="Times New Roman"/>
      <w:b/>
      <w:bCs/>
      <w:kern w:val="44"/>
      <w:sz w:val="44"/>
      <w:szCs w:val="44"/>
    </w:rPr>
  </w:style>
  <w:style w:type="character" w:customStyle="1" w:styleId="29">
    <w:name w:val="标题 2 Char"/>
    <w:basedOn w:val="16"/>
    <w:link w:val="4"/>
    <w:qFormat/>
    <w:uiPriority w:val="9"/>
    <w:rPr>
      <w:rFonts w:asciiTheme="majorHAnsi" w:hAnsiTheme="majorHAnsi" w:eastAsiaTheme="majorEastAsia" w:cstheme="majorBidi"/>
      <w:b/>
      <w:bCs/>
      <w:kern w:val="2"/>
      <w:sz w:val="32"/>
      <w:szCs w:val="32"/>
    </w:rPr>
  </w:style>
  <w:style w:type="paragraph" w:customStyle="1" w:styleId="30">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1">
    <w:name w:val="批注框文本 Char"/>
    <w:basedOn w:val="16"/>
    <w:link w:val="9"/>
    <w:semiHidden/>
    <w:qFormat/>
    <w:uiPriority w:val="99"/>
    <w:rPr>
      <w:rFonts w:ascii="Times New Roman" w:hAnsi="Times New Roman"/>
      <w:kern w:val="2"/>
      <w:sz w:val="18"/>
      <w:szCs w:val="18"/>
    </w:rPr>
  </w:style>
  <w:style w:type="character" w:customStyle="1" w:styleId="32">
    <w:name w:val="标题 3 Char"/>
    <w:basedOn w:val="16"/>
    <w:link w:val="5"/>
    <w:qFormat/>
    <w:uiPriority w:val="9"/>
    <w:rPr>
      <w:rFonts w:ascii="Times New Roman" w:hAnsi="Times New Roman"/>
      <w:b/>
      <w:bCs/>
      <w:kern w:val="2"/>
      <w:sz w:val="32"/>
      <w:szCs w:val="32"/>
    </w:rPr>
  </w:style>
  <w:style w:type="paragraph" w:customStyle="1" w:styleId="33">
    <w:name w:val="TOC Heading"/>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34">
    <w:name w:val="四号正文"/>
    <w:basedOn w:val="1"/>
    <w:qFormat/>
    <w:uiPriority w:val="0"/>
    <w:pPr>
      <w:spacing w:line="360" w:lineRule="auto"/>
    </w:pPr>
    <w:rPr>
      <w:rFonts w:ascii="??" w:hAnsi="??" w:eastAsia="宋体"/>
      <w:color w:val="000000"/>
      <w:kern w:val="0"/>
      <w:sz w:val="28"/>
      <w:szCs w:val="21"/>
      <w:lang w:val="zh-CN" w:eastAsia="zh-CN"/>
    </w:rPr>
  </w:style>
  <w:style w:type="character" w:customStyle="1" w:styleId="35">
    <w:name w:val="标题 1 字符"/>
    <w:basedOn w:val="16"/>
    <w:link w:val="3"/>
    <w:qFormat/>
    <w:uiPriority w:val="9"/>
    <w:rPr>
      <w:rFonts w:ascii="Times New Roman" w:hAnsi="Times New Roman"/>
      <w:b/>
      <w:bCs/>
      <w:kern w:val="44"/>
      <w:sz w:val="44"/>
      <w:szCs w:val="44"/>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ustomXml" Target="../customXml/item1.xml"/><Relationship Id="rId16" Type="http://schemas.openxmlformats.org/officeDocument/2006/relationships/chart" Target="charts/chart6.xml"/><Relationship Id="rId15" Type="http://schemas.openxmlformats.org/officeDocument/2006/relationships/chart" Target="charts/chart5.xml"/><Relationship Id="rId14" Type="http://schemas.openxmlformats.org/officeDocument/2006/relationships/chart" Target="charts/chart4.xml"/><Relationship Id="rId13" Type="http://schemas.openxmlformats.org/officeDocument/2006/relationships/chart" Target="charts/chart3.xml"/><Relationship Id="rId12" Type="http://schemas.openxmlformats.org/officeDocument/2006/relationships/chart" Target="charts/chart2.xml"/><Relationship Id="rId11" Type="http://schemas.openxmlformats.org/officeDocument/2006/relationships/chart" Target="charts/chart1.xml"/><Relationship Id="rId10" Type="http://schemas.openxmlformats.org/officeDocument/2006/relationships/theme" Target="theme/theme1.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C:\Users\PC\Desktop\&#22270;&#34920;.xlsx"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oleObject" Target="file:///C:\Users\PC\Desktop\&#22270;&#34920;.xlsx" TargetMode="External"/></Relationships>
</file>

<file path=word/charts/_rels/chart3.xml.rels><?xml version="1.0" encoding="UTF-8" standalone="yes"?>
<Relationships xmlns="http://schemas.openxmlformats.org/package/2006/relationships"><Relationship Id="rId3" Type="http://schemas.microsoft.com/office/2011/relationships/chartColorStyle" Target="colors6.xml"/><Relationship Id="rId2" Type="http://schemas.microsoft.com/office/2011/relationships/chartStyle" Target="style6.xml"/><Relationship Id="rId1" Type="http://schemas.openxmlformats.org/officeDocument/2006/relationships/oleObject" Target="file:///C:\Users\PC\Desktop\&#22270;&#34920;.xlsx" TargetMode="External"/></Relationships>
</file>

<file path=word/charts/_rels/chart4.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C:\Users\PC\Desktop\&#22270;&#34920;.xlsx" TargetMode="External"/></Relationships>
</file>

<file path=word/charts/_rels/chart5.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oleObject" Target="file:///C:\Users\PC\Desktop\&#22270;&#34920;.xlsx" TargetMode="External"/></Relationships>
</file>

<file path=word/charts/_rels/chart6.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file:///C:\Users\PC\Desktop\&#22270;&#34920;.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680" b="0" i="0" u="none" strike="noStrike" kern="1200" spc="0" baseline="0">
                <a:solidFill>
                  <a:schemeClr val="tx1">
                    <a:lumMod val="65000"/>
                    <a:lumOff val="35000"/>
                  </a:schemeClr>
                </a:solidFill>
                <a:latin typeface="+mn-lt"/>
                <a:ea typeface="+mn-ea"/>
                <a:cs typeface="+mn-cs"/>
              </a:defRPr>
            </a:pPr>
            <a:r>
              <a:rPr sz="1680"/>
              <a:t>收入、支出决算总计变动情况图（单位：万元）</a:t>
            </a:r>
            <a:endParaRPr sz="1680"/>
          </a:p>
        </c:rich>
      </c:tx>
      <c:layout/>
      <c:overlay val="0"/>
      <c:spPr>
        <a:noFill/>
        <a:ln>
          <a:noFill/>
        </a:ln>
        <a:effectLst/>
      </c:spPr>
    </c:title>
    <c:autoTitleDeleted val="0"/>
    <c:plotArea>
      <c:layout/>
      <c:barChart>
        <c:barDir val="col"/>
        <c:grouping val="clustered"/>
        <c:varyColors val="0"/>
        <c:ser>
          <c:idx val="0"/>
          <c:order val="0"/>
          <c:tx>
            <c:strRef>
              <c:f>[图表.xlsx]Sheet1!$B$19</c:f>
              <c:strCache>
                <c:ptCount val="1"/>
                <c:pt idx="0">
                  <c:v>2023年</c:v>
                </c:pt>
              </c:strCache>
            </c:strRef>
          </c:tx>
          <c:spPr>
            <a:solidFill>
              <a:schemeClr val="accent1"/>
            </a:solidFill>
            <a:ln>
              <a:noFill/>
            </a:ln>
            <a:effectLst/>
          </c:spPr>
          <c:invertIfNegative val="0"/>
          <c:dLbls>
            <c:dLbl>
              <c:idx val="0"/>
              <c:layout>
                <c:manualLayout>
                  <c:x val="0.00261734426801605"/>
                  <c:y val="0.04"/>
                </c:manualLayout>
              </c:layout>
              <c:dLblPos val="outEnd"/>
              <c:showLegendKey val="0"/>
              <c:showVal val="1"/>
              <c:showCatName val="0"/>
              <c:showSerName val="0"/>
              <c:showPercent val="0"/>
              <c:showBubbleSize val="0"/>
              <c:extLst>
                <c:ext xmlns:c15="http://schemas.microsoft.com/office/drawing/2012/chart" uri="{CE6537A1-D6FC-4f65-9D91-7224C49458BB}">
                  <c15:layout>
                    <c:manualLayout>
                      <c:w val="0.241668120746816"/>
                      <c:h val="0.111555555555556"/>
                    </c:manualLayout>
                  </c15:layout>
                </c:ext>
              </c:extLst>
            </c:dLbl>
            <c:dLbl>
              <c:idx val="1"/>
              <c:layout/>
              <c:dLblPos val="outEnd"/>
              <c:showLegendKey val="0"/>
              <c:showVal val="1"/>
              <c:showCatName val="0"/>
              <c:showSerName val="0"/>
              <c:showPercent val="0"/>
              <c:showBubbleSize val="0"/>
              <c:extLst>
                <c:ext xmlns:c15="http://schemas.microsoft.com/office/drawing/2012/chart" uri="{CE6537A1-D6FC-4f65-9D91-7224C49458BB}">
                  <c15:layout>
                    <c:manualLayout>
                      <c:w val="0.243761996161228"/>
                      <c:h val="0.0693333333333333"/>
                    </c:manualLayout>
                  </c15:layout>
                </c:ext>
              </c:extLst>
            </c:dLbl>
            <c:spPr>
              <a:noFill/>
              <a:ln>
                <a:noFill/>
              </a:ln>
              <a:effectLst/>
            </c:spPr>
            <c:txPr>
              <a:bodyPr rot="0" spcFirstLastPara="0" vertOverflow="ellipsis" vert="horz" wrap="square" lIns="38100" tIns="19050" rIns="38100" bIns="19050" anchor="ctr" anchorCtr="1"/>
              <a:lstStyle/>
              <a:p>
                <a:pPr>
                  <a:defRPr lang="zh-CN" sz="14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[图表.xlsx]Sheet1!$C$18:$D$18</c:f>
              <c:strCache>
                <c:ptCount val="2"/>
                <c:pt idx="0">
                  <c:v>收入</c:v>
                </c:pt>
                <c:pt idx="1">
                  <c:v>支出</c:v>
                </c:pt>
              </c:strCache>
            </c:strRef>
          </c:cat>
          <c:val>
            <c:numRef>
              <c:f>[图表.xlsx]Sheet1!$C$19:$D$19</c:f>
              <c:numCache>
                <c:formatCode>General</c:formatCode>
                <c:ptCount val="2"/>
                <c:pt idx="0">
                  <c:v>823.76</c:v>
                </c:pt>
                <c:pt idx="1">
                  <c:v>823.76</c:v>
                </c:pt>
              </c:numCache>
            </c:numRef>
          </c:val>
        </c:ser>
        <c:ser>
          <c:idx val="1"/>
          <c:order val="1"/>
          <c:tx>
            <c:strRef>
              <c:f>[图表.xlsx]Sheet1!$B$20</c:f>
              <c:strCache>
                <c:ptCount val="1"/>
                <c:pt idx="0">
                  <c:v>2024年</c:v>
                </c:pt>
              </c:strCache>
            </c:strRef>
          </c:tx>
          <c:spPr>
            <a:solidFill>
              <a:schemeClr val="accent2"/>
            </a:solidFill>
            <a:ln>
              <a:noFill/>
            </a:ln>
            <a:effectLst/>
          </c:spPr>
          <c:invertIfNegative val="0"/>
          <c:dLbls>
            <c:dLbl>
              <c:idx val="0"/>
              <c:layout>
                <c:manualLayout>
                  <c:x val="0.0157040656080963"/>
                  <c:y val="0.0533333333333333"/>
                </c:manualLayout>
              </c:layout>
              <c:numFmt formatCode="#,##0.00_);\(#,##0.00\)" sourceLinked="0"/>
              <c:spPr>
                <a:noFill/>
                <a:ln>
                  <a:noFill/>
                </a:ln>
                <a:effectLst/>
              </c:spPr>
              <c:txPr>
                <a:bodyPr rot="0" spcFirstLastPara="0" vertOverflow="ellipsis" vert="horz" wrap="square" lIns="38100" tIns="19050" rIns="38100" bIns="19050" anchor="ctr" anchorCtr="1"/>
                <a:lstStyle/>
                <a:p>
                  <a:pPr>
                    <a:defRPr lang="zh-CN" sz="14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extLst>
                <c:ext xmlns:c15="http://schemas.microsoft.com/office/drawing/2012/chart" uri="{CE6537A1-D6FC-4f65-9D91-7224C49458BB}">
                  <c15:layout>
                    <c:manualLayout>
                      <c:w val="0.216192636538126"/>
                      <c:h val="0.117111111111111"/>
                    </c:manualLayout>
                  </c15:layout>
                </c:ext>
              </c:extLst>
            </c:dLbl>
            <c:dLbl>
              <c:idx val="1"/>
              <c:layout>
                <c:manualLayout>
                  <c:x val="0.0104693770720642"/>
                  <c:y val="0.0466666666666667"/>
                </c:manualLayout>
              </c:layout>
              <c:dLblPos val="outEnd"/>
              <c:showLegendKey val="0"/>
              <c:showVal val="1"/>
              <c:showCatName val="0"/>
              <c:showSerName val="0"/>
              <c:showPercent val="0"/>
              <c:showBubbleSize val="0"/>
              <c:extLst>
                <c:ext xmlns:c15="http://schemas.microsoft.com/office/drawing/2012/chart" uri="{CE6537A1-D6FC-4f65-9D91-7224C49458BB}">
                  <c15:layout>
                    <c:manualLayout>
                      <c:w val="0.21514569883092"/>
                      <c:h val="0.105333333333333"/>
                    </c:manualLayout>
                  </c15:layout>
                </c:ext>
              </c:extLst>
            </c:dLbl>
            <c:spPr>
              <a:noFill/>
              <a:ln>
                <a:noFill/>
              </a:ln>
              <a:effectLst/>
            </c:spPr>
            <c:txPr>
              <a:bodyPr rot="0" spcFirstLastPara="0" vertOverflow="ellipsis" vert="horz" wrap="square" lIns="38100" tIns="19050" rIns="38100" bIns="19050" anchor="ctr" anchorCtr="1"/>
              <a:lstStyle/>
              <a:p>
                <a:pPr>
                  <a:defRPr lang="zh-CN" sz="14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[图表.xlsx]Sheet1!$C$18:$D$18</c:f>
              <c:strCache>
                <c:ptCount val="2"/>
                <c:pt idx="0">
                  <c:v>收入</c:v>
                </c:pt>
                <c:pt idx="1">
                  <c:v>支出</c:v>
                </c:pt>
              </c:strCache>
            </c:strRef>
          </c:cat>
          <c:val>
            <c:numRef>
              <c:f>[图表.xlsx]Sheet1!$C$20:$D$20</c:f>
              <c:numCache>
                <c:formatCode>General</c:formatCode>
                <c:ptCount val="2"/>
                <c:pt idx="0">
                  <c:v>772.97</c:v>
                </c:pt>
                <c:pt idx="1">
                  <c:v>772.97</c:v>
                </c:pt>
              </c:numCache>
            </c:numRef>
          </c:val>
        </c:ser>
        <c:dLbls>
          <c:showLegendKey val="0"/>
          <c:showVal val="1"/>
          <c:showCatName val="0"/>
          <c:showSerName val="0"/>
          <c:showPercent val="0"/>
          <c:showBubbleSize val="0"/>
        </c:dLbls>
        <c:gapWidth val="219"/>
        <c:overlap val="-27"/>
        <c:axId val="283535560"/>
        <c:axId val="976689542"/>
      </c:barChart>
      <c:catAx>
        <c:axId val="283535560"/>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1400" b="0" i="0" u="none" strike="noStrike" kern="1200" baseline="0">
                <a:solidFill>
                  <a:schemeClr val="tx1">
                    <a:lumMod val="65000"/>
                    <a:lumOff val="35000"/>
                  </a:schemeClr>
                </a:solidFill>
                <a:latin typeface="+mn-lt"/>
                <a:ea typeface="+mn-ea"/>
                <a:cs typeface="+mn-cs"/>
              </a:defRPr>
            </a:pPr>
          </a:p>
        </c:txPr>
        <c:crossAx val="976689542"/>
        <c:crosses val="autoZero"/>
        <c:auto val="1"/>
        <c:lblAlgn val="ctr"/>
        <c:lblOffset val="100"/>
        <c:noMultiLvlLbl val="0"/>
      </c:catAx>
      <c:valAx>
        <c:axId val="976689542"/>
        <c:scaling>
          <c:orientation val="minMax"/>
        </c:scaling>
        <c:delete val="0"/>
        <c:axPos val="l"/>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1400" b="0" i="0" u="none" strike="noStrike" kern="1200" baseline="0">
                <a:solidFill>
                  <a:schemeClr val="tx1">
                    <a:lumMod val="65000"/>
                    <a:lumOff val="35000"/>
                  </a:schemeClr>
                </a:solidFill>
                <a:latin typeface="+mn-lt"/>
                <a:ea typeface="+mn-ea"/>
                <a:cs typeface="+mn-cs"/>
              </a:defRPr>
            </a:pPr>
          </a:p>
        </c:txPr>
        <c:crossAx val="283535560"/>
        <c:crosses val="autoZero"/>
        <c:crossBetween val="between"/>
      </c:valAx>
      <c:spPr>
        <a:noFill/>
        <a:ln>
          <a:noFill/>
        </a:ln>
        <a:effectLst/>
      </c:spPr>
    </c:plotArea>
    <c:legend>
      <c:legendPos val="b"/>
      <c:legendEntry>
        <c:idx val="0"/>
        <c:txPr>
          <a:bodyPr rot="0" spcFirstLastPara="0" vertOverflow="ellipsis" vert="horz" wrap="square" anchor="ctr" anchorCtr="1"/>
          <a:lstStyle/>
          <a:p>
            <a:pPr>
              <a:defRPr lang="zh-CN" sz="1400" b="0" i="0" u="none" strike="noStrike" kern="1200" baseline="0">
                <a:solidFill>
                  <a:schemeClr val="tx1">
                    <a:lumMod val="65000"/>
                    <a:lumOff val="35000"/>
                  </a:schemeClr>
                </a:solidFill>
                <a:latin typeface="+mn-lt"/>
                <a:ea typeface="+mn-ea"/>
                <a:cs typeface="+mn-cs"/>
              </a:defRPr>
            </a:pPr>
          </a:p>
        </c:txPr>
      </c:legendEntry>
      <c:legendEntry>
        <c:idx val="1"/>
        <c:txPr>
          <a:bodyPr rot="0" spcFirstLastPara="0" vertOverflow="ellipsis" vert="horz" wrap="square" anchor="ctr" anchorCtr="1"/>
          <a:lstStyle/>
          <a:p>
            <a:pPr>
              <a:defRPr lang="zh-CN" sz="1400" b="0" i="0" u="none" strike="noStrike" kern="1200" baseline="0">
                <a:solidFill>
                  <a:schemeClr val="tx1">
                    <a:lumMod val="65000"/>
                    <a:lumOff val="35000"/>
                  </a:schemeClr>
                </a:solidFill>
                <a:latin typeface="+mn-lt"/>
                <a:ea typeface="+mn-ea"/>
                <a:cs typeface="+mn-cs"/>
              </a:defRPr>
            </a:pPr>
          </a:p>
        </c:txPr>
      </c:legendEntry>
      <c:layout/>
      <c:overlay val="0"/>
      <c:spPr>
        <a:noFill/>
        <a:ln>
          <a:noFill/>
        </a:ln>
        <a:effectLst/>
      </c:spPr>
      <c:txPr>
        <a:bodyPr rot="0" spcFirstLastPara="0" vertOverflow="ellipsis" vert="horz" wrap="square" anchor="ctr" anchorCtr="1"/>
        <a:lstStyle/>
        <a:p>
          <a:pPr>
            <a:defRPr lang="zh-CN" sz="14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5d16753f-c6d9-4cae-b75f-1610586aeb0a}"/>
      </c:ext>
    </c:extLst>
  </c:chart>
  <c:spPr>
    <a:solidFill>
      <a:schemeClr val="bg1"/>
    </a:solidFill>
    <a:ln w="9525" cap="flat" cmpd="sng" algn="ctr">
      <a:solidFill>
        <a:schemeClr val="tx1">
          <a:lumMod val="15000"/>
          <a:lumOff val="85000"/>
        </a:schemeClr>
      </a:solidFill>
      <a:round/>
    </a:ln>
    <a:effectLst/>
  </c:spPr>
  <c:txPr>
    <a:bodyPr/>
    <a:lstStyle/>
    <a:p>
      <a:pPr>
        <a:defRPr lang="zh-CN" sz="1400"/>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40" b="0" i="0" u="none" strike="noStrike" kern="1200" spc="0" baseline="0">
                <a:solidFill>
                  <a:schemeClr val="tx1">
                    <a:lumMod val="65000"/>
                    <a:lumOff val="35000"/>
                  </a:schemeClr>
                </a:solidFill>
                <a:latin typeface="+mn-lt"/>
                <a:ea typeface="+mn-ea"/>
                <a:cs typeface="+mn-cs"/>
              </a:defRPr>
            </a:pPr>
            <a:r>
              <a:rPr sz="1440"/>
              <a:t>收入决算结构图（单位：万元）</a:t>
            </a:r>
            <a:endParaRPr sz="1440"/>
          </a:p>
        </c:rich>
      </c:tx>
      <c:layout/>
      <c:overlay val="0"/>
      <c:spPr>
        <a:noFill/>
        <a:ln>
          <a:noFill/>
        </a:ln>
        <a:effectLst/>
      </c:spPr>
    </c:title>
    <c:autoTitleDeleted val="0"/>
    <c:plotArea>
      <c:layout/>
      <c:pieChart>
        <c:varyColors val="1"/>
        <c:ser>
          <c:idx val="0"/>
          <c:order val="0"/>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Lbls>
            <c:spPr>
              <a:noFill/>
              <a:ln>
                <a:noFill/>
              </a:ln>
              <a:effectLst/>
            </c:spPr>
            <c:txPr>
              <a:bodyPr rot="0" spcFirstLastPara="0" vertOverflow="ellipsis" vert="horz" wrap="square" lIns="38100" tIns="19050" rIns="38100" bIns="19050" anchor="ctr" anchorCtr="1"/>
              <a:lstStyle/>
              <a:p>
                <a:pPr>
                  <a:defRPr lang="zh-CN" sz="1200" b="0" i="0" u="none" strike="noStrike" kern="1200" baseline="0">
                    <a:solidFill>
                      <a:schemeClr val="tx1">
                        <a:lumMod val="75000"/>
                        <a:lumOff val="25000"/>
                      </a:schemeClr>
                    </a:solidFill>
                    <a:latin typeface="+mn-lt"/>
                    <a:ea typeface="+mn-ea"/>
                    <a:cs typeface="+mn-cs"/>
                  </a:defRPr>
                </a:pPr>
              </a:p>
            </c:txPr>
            <c:dLblPos val="inEnd"/>
            <c:showLegendKey val="0"/>
            <c:showVal val="1"/>
            <c:showCatName val="0"/>
            <c:showSerName val="0"/>
            <c:showPercent val="1"/>
            <c:showBubbleSize val="0"/>
            <c:separator>
</c:separator>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[图表.xlsx]Sheet1!$B$25:$B$26</c:f>
              <c:strCache>
                <c:ptCount val="2"/>
                <c:pt idx="0">
                  <c:v>一般公共预算财政拨款收入</c:v>
                </c:pt>
              </c:strCache>
            </c:strRef>
          </c:cat>
          <c:val>
            <c:numRef>
              <c:f>[图表.xlsx]Sheet1!$C$25:$C$26</c:f>
              <c:numCache>
                <c:formatCode>General</c:formatCode>
                <c:ptCount val="2"/>
                <c:pt idx="0">
                  <c:v>772.97</c:v>
                </c:pt>
              </c:numCache>
            </c:numRef>
          </c:val>
        </c:ser>
        <c:dLbls>
          <c:showLegendKey val="0"/>
          <c:showVal val="1"/>
          <c:showCatName val="0"/>
          <c:showSerName val="0"/>
          <c:showPercent val="1"/>
          <c:showBubbleSize val="0"/>
          <c:showLeaderLines val="1"/>
        </c:dLbls>
        <c:firstSliceAng val="0"/>
      </c:pieChart>
      <c:spPr>
        <a:noFill/>
        <a:ln>
          <a:noFill/>
        </a:ln>
        <a:effectLst/>
      </c:spPr>
    </c:plotArea>
    <c:legend>
      <c:legendPos val="b"/>
      <c:legendEntry>
        <c:idx val="0"/>
        <c:txPr>
          <a:bodyPr rot="0" spcFirstLastPara="0" vertOverflow="ellipsis" vert="horz" wrap="square" anchor="ctr" anchorCtr="1"/>
          <a:lstStyle/>
          <a:p>
            <a:pPr>
              <a:defRPr lang="zh-CN" sz="1200" b="0" i="0" u="none" strike="noStrike" kern="1200" baseline="0">
                <a:solidFill>
                  <a:schemeClr val="tx1">
                    <a:lumMod val="65000"/>
                    <a:lumOff val="35000"/>
                  </a:schemeClr>
                </a:solidFill>
                <a:latin typeface="+mn-lt"/>
                <a:ea typeface="+mn-ea"/>
                <a:cs typeface="+mn-cs"/>
              </a:defRPr>
            </a:pPr>
          </a:p>
        </c:txPr>
      </c:legendEntry>
      <c:legendEntry>
        <c:idx val="1"/>
        <c:txPr>
          <a:bodyPr rot="0" spcFirstLastPara="0" vertOverflow="ellipsis" vert="horz" wrap="square" anchor="ctr" anchorCtr="1"/>
          <a:lstStyle/>
          <a:p>
            <a:pPr>
              <a:defRPr lang="zh-CN" sz="1200" b="0" i="0" u="none" strike="noStrike" kern="1200" baseline="0">
                <a:solidFill>
                  <a:schemeClr val="tx1">
                    <a:lumMod val="65000"/>
                    <a:lumOff val="35000"/>
                  </a:schemeClr>
                </a:solidFill>
                <a:latin typeface="+mn-lt"/>
                <a:ea typeface="+mn-ea"/>
                <a:cs typeface="+mn-cs"/>
              </a:defRPr>
            </a:pPr>
          </a:p>
        </c:txPr>
      </c:legendEntry>
      <c:layout/>
      <c:overlay val="0"/>
      <c:spPr>
        <a:noFill/>
        <a:ln>
          <a:noFill/>
        </a:ln>
        <a:effectLst/>
      </c:spPr>
      <c:txPr>
        <a:bodyPr rot="0" spcFirstLastPara="0" vertOverflow="ellipsis" vert="horz" wrap="square" anchor="ctr" anchorCtr="1"/>
        <a:lstStyle/>
        <a:p>
          <a:pPr>
            <a:defRPr lang="zh-CN" sz="12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8f29baaa-24ac-4c87-90a0-b6db99159321}"/>
      </c:ext>
    </c:extLst>
  </c:chart>
  <c:spPr>
    <a:solidFill>
      <a:schemeClr val="bg1"/>
    </a:solidFill>
    <a:ln w="9525" cap="flat" cmpd="sng" algn="ctr">
      <a:solidFill>
        <a:schemeClr val="tx1">
          <a:lumMod val="15000"/>
          <a:lumOff val="85000"/>
        </a:schemeClr>
      </a:solidFill>
      <a:round/>
    </a:ln>
    <a:effectLst/>
  </c:spPr>
  <c:txPr>
    <a:bodyPr/>
    <a:lstStyle/>
    <a:p>
      <a:pPr>
        <a:defRPr lang="zh-CN" sz="1200"/>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40" b="0" i="0" u="none" strike="noStrike" kern="1200" cap="none" spc="20" baseline="0">
                <a:solidFill>
                  <a:schemeClr val="tx1">
                    <a:lumMod val="50000"/>
                    <a:lumOff val="50000"/>
                  </a:schemeClr>
                </a:solidFill>
                <a:latin typeface="+mn-lt"/>
                <a:ea typeface="+mn-ea"/>
                <a:cs typeface="+mn-cs"/>
              </a:defRPr>
            </a:pPr>
            <a:r>
              <a:rPr sz="1440"/>
              <a:t>支出决算结构图（单位：万元）</a:t>
            </a:r>
            <a:endParaRPr sz="1440"/>
          </a:p>
        </c:rich>
      </c:tx>
      <c:layout>
        <c:manualLayout>
          <c:xMode val="edge"/>
          <c:yMode val="edge"/>
          <c:x val="0.304027777777778"/>
          <c:y val="0.0138888888888889"/>
        </c:manualLayout>
      </c:layout>
      <c:overlay val="0"/>
      <c:spPr>
        <a:noFill/>
        <a:ln>
          <a:noFill/>
        </a:ln>
        <a:effectLst/>
      </c:spPr>
    </c:title>
    <c:autoTitleDeleted val="0"/>
    <c:plotArea>
      <c:layout/>
      <c:pieChart>
        <c:varyColors val="1"/>
        <c:ser>
          <c:idx val="0"/>
          <c:order val="0"/>
          <c:spPr/>
          <c:explosion val="0"/>
          <c:dPt>
            <c:idx val="0"/>
            <c:bubble3D val="0"/>
            <c:spPr>
              <a:gradFill rotWithShape="1">
                <a:gsLst>
                  <a:gs pos="0">
                    <a:schemeClr val="accent1">
                      <a:lumMod val="110000"/>
                      <a:satMod val="105000"/>
                      <a:tint val="67000"/>
                    </a:schemeClr>
                  </a:gs>
                  <a:gs pos="50000">
                    <a:schemeClr val="accent1">
                      <a:lumMod val="105000"/>
                      <a:satMod val="103000"/>
                      <a:tint val="73000"/>
                    </a:schemeClr>
                  </a:gs>
                  <a:gs pos="100000">
                    <a:schemeClr val="accent1">
                      <a:lumMod val="105000"/>
                      <a:satMod val="109000"/>
                      <a:tint val="81000"/>
                    </a:schemeClr>
                  </a:gs>
                </a:gsLst>
                <a:lin ang="5400000" scaled="0"/>
              </a:gradFill>
              <a:ln w="9525" cap="flat" cmpd="sng" algn="ctr">
                <a:solidFill>
                  <a:schemeClr val="accent1">
                    <a:shade val="95000"/>
                  </a:schemeClr>
                </a:solidFill>
                <a:round/>
              </a:ln>
              <a:effectLst/>
            </c:spPr>
          </c:dPt>
          <c:dPt>
            <c:idx val="1"/>
            <c:bubble3D val="0"/>
            <c:spPr>
              <a:gradFill rotWithShape="1">
                <a:gsLst>
                  <a:gs pos="0">
                    <a:schemeClr val="accent2">
                      <a:lumMod val="110000"/>
                      <a:satMod val="105000"/>
                      <a:tint val="67000"/>
                    </a:schemeClr>
                  </a:gs>
                  <a:gs pos="50000">
                    <a:schemeClr val="accent2">
                      <a:lumMod val="105000"/>
                      <a:satMod val="103000"/>
                      <a:tint val="73000"/>
                    </a:schemeClr>
                  </a:gs>
                  <a:gs pos="100000">
                    <a:schemeClr val="accent2">
                      <a:lumMod val="105000"/>
                      <a:satMod val="109000"/>
                      <a:tint val="81000"/>
                    </a:schemeClr>
                  </a:gs>
                </a:gsLst>
                <a:lin ang="5400000" scaled="0"/>
              </a:gradFill>
              <a:ln w="9525" cap="flat" cmpd="sng" algn="ctr">
                <a:solidFill>
                  <a:schemeClr val="accent2">
                    <a:shade val="95000"/>
                  </a:schemeClr>
                </a:solidFill>
                <a:round/>
              </a:ln>
              <a:effectLst/>
            </c:spPr>
          </c:dPt>
          <c:dLbls>
            <c:numFmt formatCode="0.00%" sourceLinked="0"/>
            <c:spPr>
              <a:noFill/>
              <a:ln>
                <a:noFill/>
              </a:ln>
              <a:effectLst/>
            </c:spPr>
            <c:txPr>
              <a:bodyPr rot="0" spcFirstLastPara="0" vertOverflow="ellipsis" vert="horz" wrap="square" lIns="38100" tIns="19050" rIns="38100" bIns="19050" anchor="ctr" anchorCtr="1"/>
              <a:lstStyle/>
              <a:p>
                <a:pPr>
                  <a:defRPr lang="zh-CN" sz="1200" b="0" i="0" u="none" strike="noStrike" kern="1200" baseline="0">
                    <a:solidFill>
                      <a:schemeClr val="tx1">
                        <a:lumMod val="65000"/>
                        <a:lumOff val="35000"/>
                      </a:schemeClr>
                    </a:solidFill>
                    <a:latin typeface="+mn-lt"/>
                    <a:ea typeface="+mn-ea"/>
                    <a:cs typeface="+mn-cs"/>
                  </a:defRPr>
                </a:pPr>
              </a:p>
            </c:txPr>
            <c:dLblPos val="bestFit"/>
            <c:showLegendKey val="1"/>
            <c:showVal val="1"/>
            <c:showCatName val="0"/>
            <c:showSerName val="0"/>
            <c:showPercent val="1"/>
            <c:showBubbleSize val="0"/>
            <c:showLeaderLines val="1"/>
            <c:extLst>
              <c:ext xmlns:c15="http://schemas.microsoft.com/office/drawing/2012/chart" uri="{CE6537A1-D6FC-4f65-9D91-7224C49458BB}">
                <c15:layout/>
                <c15:showLeaderLines val="1"/>
                <c15:leaderLines>
                  <c:spPr>
                    <a:ln w="9525">
                      <a:solidFill>
                        <a:schemeClr val="tx1">
                          <a:lumMod val="35000"/>
                          <a:lumOff val="65000"/>
                        </a:schemeClr>
                      </a:solidFill>
                    </a:ln>
                    <a:effectLst/>
                  </c:spPr>
                </c15:leaderLines>
              </c:ext>
            </c:extLst>
          </c:dLbls>
          <c:cat>
            <c:strRef>
              <c:f>[图表.xlsx]Sheet1!$B$44:$B$45</c:f>
              <c:strCache>
                <c:ptCount val="2"/>
                <c:pt idx="0">
                  <c:v>基本支出</c:v>
                </c:pt>
                <c:pt idx="1">
                  <c:v>项目支出</c:v>
                </c:pt>
              </c:strCache>
            </c:strRef>
          </c:cat>
          <c:val>
            <c:numRef>
              <c:f>[图表.xlsx]Sheet1!$C$44:$C$45</c:f>
              <c:numCache>
                <c:formatCode>General</c:formatCode>
                <c:ptCount val="2"/>
                <c:pt idx="0">
                  <c:v>577.52</c:v>
                </c:pt>
                <c:pt idx="1">
                  <c:v>195.45</c:v>
                </c:pt>
              </c:numCache>
            </c:numRef>
          </c:val>
        </c:ser>
        <c:dLbls>
          <c:showLegendKey val="0"/>
          <c:showVal val="1"/>
          <c:showCatName val="1"/>
          <c:showSerName val="0"/>
          <c:showPercent val="1"/>
          <c:showBubbleSize val="0"/>
          <c:showLeaderLines val="1"/>
        </c:dLbls>
        <c:firstSliceAng val="0"/>
      </c:pieChart>
      <c:spPr>
        <a:noFill/>
        <a:ln>
          <a:noFill/>
        </a:ln>
        <a:effectLst/>
      </c:spPr>
    </c:plotArea>
    <c:legend>
      <c:legendPos val="b"/>
      <c:legendEntry>
        <c:idx val="0"/>
        <c:txPr>
          <a:bodyPr rot="0" spcFirstLastPara="0" vertOverflow="ellipsis" vert="horz" wrap="square" anchor="ctr" anchorCtr="1"/>
          <a:lstStyle/>
          <a:p>
            <a:pPr>
              <a:defRPr lang="zh-CN" sz="1200" b="0" i="0" u="none" strike="noStrike" kern="1200" baseline="0">
                <a:solidFill>
                  <a:schemeClr val="tx1">
                    <a:lumMod val="50000"/>
                    <a:lumOff val="50000"/>
                  </a:schemeClr>
                </a:solidFill>
                <a:latin typeface="+mn-lt"/>
                <a:ea typeface="+mn-ea"/>
                <a:cs typeface="+mn-cs"/>
              </a:defRPr>
            </a:pPr>
          </a:p>
        </c:txPr>
      </c:legendEntry>
      <c:legendEntry>
        <c:idx val="1"/>
        <c:txPr>
          <a:bodyPr rot="0" spcFirstLastPara="0" vertOverflow="ellipsis" vert="horz" wrap="square" anchor="ctr" anchorCtr="1"/>
          <a:lstStyle/>
          <a:p>
            <a:pPr>
              <a:defRPr lang="zh-CN" sz="1200" b="0" i="0" u="none" strike="noStrike" kern="1200" baseline="0">
                <a:solidFill>
                  <a:schemeClr val="tx1">
                    <a:lumMod val="50000"/>
                    <a:lumOff val="50000"/>
                  </a:schemeClr>
                </a:solidFill>
                <a:latin typeface="+mn-lt"/>
                <a:ea typeface="+mn-ea"/>
                <a:cs typeface="+mn-cs"/>
              </a:defRPr>
            </a:pPr>
          </a:p>
        </c:txPr>
      </c:legendEntry>
      <c:layout/>
      <c:overlay val="0"/>
      <c:spPr>
        <a:noFill/>
        <a:ln>
          <a:noFill/>
        </a:ln>
        <a:effectLst/>
      </c:spPr>
      <c:txPr>
        <a:bodyPr rot="0" spcFirstLastPara="0" vertOverflow="ellipsis" vert="horz" wrap="square" anchor="ctr" anchorCtr="1"/>
        <a:lstStyle/>
        <a:p>
          <a:pPr>
            <a:defRPr lang="zh-CN" sz="1200" b="0" i="0" u="none" strike="noStrike" kern="1200" baseline="0">
              <a:solidFill>
                <a:schemeClr val="tx1">
                  <a:lumMod val="50000"/>
                  <a:lumOff val="50000"/>
                </a:schemeClr>
              </a:solidFill>
              <a:latin typeface="+mn-lt"/>
              <a:ea typeface="+mn-ea"/>
              <a:cs typeface="+mn-cs"/>
            </a:defRPr>
          </a:pPr>
        </a:p>
      </c:txPr>
    </c:legend>
    <c:plotVisOnly val="1"/>
    <c:dispBlanksAs val="gap"/>
    <c:showDLblsOverMax val="0"/>
    <c:extLst>
      <c:ext uri="{0b15fc19-7d7d-44ad-8c2d-2c3a37ce22c3}">
        <chartProps xmlns="https://web.wps.cn/et/2018/main" chartId="{c97abf4a-6605-40d6-835b-4f3b78cc9dd0}"/>
      </c:ext>
    </c:extLst>
  </c:chart>
  <c:spPr>
    <a:solidFill>
      <a:schemeClr val="bg1"/>
    </a:solidFill>
    <a:ln w="9525" cap="flat" cmpd="sng" algn="ctr">
      <a:solidFill>
        <a:schemeClr val="tx1">
          <a:lumMod val="15000"/>
          <a:lumOff val="85000"/>
        </a:schemeClr>
      </a:solidFill>
      <a:round/>
    </a:ln>
    <a:effectLst/>
  </c:spPr>
  <c:txPr>
    <a:bodyPr/>
    <a:lstStyle/>
    <a:p>
      <a:pPr>
        <a:defRPr lang="zh-CN" sz="1200"/>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40" b="0" i="0" u="none" strike="noStrike" kern="1200" spc="0" baseline="0">
                <a:solidFill>
                  <a:schemeClr val="tx1">
                    <a:lumMod val="65000"/>
                    <a:lumOff val="35000"/>
                  </a:schemeClr>
                </a:solidFill>
                <a:latin typeface="+mn-lt"/>
                <a:ea typeface="+mn-ea"/>
                <a:cs typeface="+mn-cs"/>
              </a:defRPr>
            </a:pPr>
            <a:r>
              <a:rPr sz="1440"/>
              <a:t>财政拨款收、支决算总计变动情况（单位：万元）</a:t>
            </a:r>
            <a:endParaRPr sz="1440"/>
          </a:p>
        </c:rich>
      </c:tx>
      <c:layout>
        <c:manualLayout>
          <c:xMode val="edge"/>
          <c:yMode val="edge"/>
          <c:x val="0.0369723043828986"/>
          <c:y val="0.018055899084838"/>
        </c:manualLayout>
      </c:layout>
      <c:overlay val="0"/>
      <c:spPr>
        <a:noFill/>
        <a:ln>
          <a:noFill/>
        </a:ln>
        <a:effectLst/>
      </c:spPr>
    </c:title>
    <c:autoTitleDeleted val="0"/>
    <c:plotArea>
      <c:layout/>
      <c:barChart>
        <c:barDir val="col"/>
        <c:grouping val="clustered"/>
        <c:varyColors val="0"/>
        <c:ser>
          <c:idx val="0"/>
          <c:order val="0"/>
          <c:tx>
            <c:strRef>
              <c:f>[图表.xlsx]Sheet1!$B$3</c:f>
              <c:strCache>
                <c:ptCount val="1"/>
                <c:pt idx="0">
                  <c:v>2023年</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2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[图表.xlsx]Sheet1!$C$2:$D$2</c:f>
              <c:strCache>
                <c:ptCount val="2"/>
                <c:pt idx="0">
                  <c:v>财政拨款收、支决算总计变动情况（单位：万元）</c:v>
                </c:pt>
              </c:strCache>
            </c:strRef>
          </c:cat>
          <c:val>
            <c:numRef>
              <c:f>[图表.xlsx]Sheet1!$C$3:$D$3</c:f>
              <c:numCache>
                <c:formatCode>General</c:formatCode>
                <c:ptCount val="2"/>
                <c:pt idx="0">
                  <c:v>823.76</c:v>
                </c:pt>
                <c:pt idx="1">
                  <c:v>823.76</c:v>
                </c:pt>
              </c:numCache>
            </c:numRef>
          </c:val>
        </c:ser>
        <c:ser>
          <c:idx val="1"/>
          <c:order val="1"/>
          <c:tx>
            <c:strRef>
              <c:f>[图表.xlsx]Sheet1!$B$4</c:f>
              <c:strCache>
                <c:ptCount val="1"/>
                <c:pt idx="0">
                  <c:v>2024年</c:v>
                </c:pt>
              </c:strCache>
            </c:strRef>
          </c:tx>
          <c:spPr>
            <a:solidFill>
              <a:schemeClr val="accent2"/>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2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[图表.xlsx]Sheet1!$C$2:$D$2</c:f>
              <c:strCache>
                <c:ptCount val="2"/>
                <c:pt idx="0">
                  <c:v>财政拨款收、支决算总计变动情况（单位：万元）</c:v>
                </c:pt>
              </c:strCache>
            </c:strRef>
          </c:cat>
          <c:val>
            <c:numRef>
              <c:f>[图表.xlsx]Sheet1!$C$4:$D$4</c:f>
              <c:numCache>
                <c:formatCode>General</c:formatCode>
                <c:ptCount val="2"/>
                <c:pt idx="0">
                  <c:v>772.97</c:v>
                </c:pt>
                <c:pt idx="1">
                  <c:v>772.97</c:v>
                </c:pt>
              </c:numCache>
            </c:numRef>
          </c:val>
        </c:ser>
        <c:dLbls>
          <c:showLegendKey val="0"/>
          <c:showVal val="1"/>
          <c:showCatName val="0"/>
          <c:showSerName val="0"/>
          <c:showPercent val="0"/>
          <c:showBubbleSize val="0"/>
        </c:dLbls>
        <c:gapWidth val="219"/>
        <c:overlap val="-27"/>
        <c:axId val="811510952"/>
        <c:axId val="935866826"/>
      </c:barChart>
      <c:catAx>
        <c:axId val="811510952"/>
        <c:scaling>
          <c:orientation val="minMax"/>
        </c:scaling>
        <c:delete val="1"/>
        <c:axPos val="b"/>
        <c:majorTickMark val="none"/>
        <c:minorTickMark val="none"/>
        <c:tickLblPos val="nextTo"/>
        <c:txPr>
          <a:bodyPr rot="-60000000" spcFirstLastPara="0" vertOverflow="ellipsis" vert="horz" wrap="square" anchor="ctr" anchorCtr="1"/>
          <a:lstStyle/>
          <a:p>
            <a:pPr>
              <a:defRPr lang="zh-CN" sz="1200" b="0" i="0" u="none" strike="noStrike" kern="1200" baseline="0">
                <a:solidFill>
                  <a:schemeClr val="tx1">
                    <a:lumMod val="65000"/>
                    <a:lumOff val="35000"/>
                  </a:schemeClr>
                </a:solidFill>
                <a:latin typeface="+mn-lt"/>
                <a:ea typeface="+mn-ea"/>
                <a:cs typeface="+mn-cs"/>
              </a:defRPr>
            </a:pPr>
          </a:p>
        </c:txPr>
        <c:crossAx val="935866826"/>
        <c:crosses val="autoZero"/>
        <c:auto val="1"/>
        <c:lblAlgn val="ctr"/>
        <c:lblOffset val="100"/>
        <c:noMultiLvlLbl val="0"/>
      </c:catAx>
      <c:valAx>
        <c:axId val="935866826"/>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1200" b="0" i="0" u="none" strike="noStrike" kern="1200" baseline="0">
                <a:solidFill>
                  <a:schemeClr val="tx1">
                    <a:lumMod val="65000"/>
                    <a:lumOff val="35000"/>
                  </a:schemeClr>
                </a:solidFill>
                <a:latin typeface="+mn-lt"/>
                <a:ea typeface="+mn-ea"/>
                <a:cs typeface="+mn-cs"/>
              </a:defRPr>
            </a:pPr>
          </a:p>
        </c:txPr>
        <c:crossAx val="811510952"/>
        <c:crosses val="autoZero"/>
        <c:crossBetween val="between"/>
      </c:valAx>
      <c:spPr>
        <a:noFill/>
        <a:ln>
          <a:noFill/>
        </a:ln>
        <a:effectLst/>
      </c:spPr>
    </c:plotArea>
    <c:legend>
      <c:legendPos val="b"/>
      <c:legendEntry>
        <c:idx val="0"/>
        <c:txPr>
          <a:bodyPr rot="0" spcFirstLastPara="0" vertOverflow="ellipsis" vert="horz" wrap="square" anchor="ctr" anchorCtr="1"/>
          <a:lstStyle/>
          <a:p>
            <a:pPr>
              <a:defRPr lang="zh-CN" sz="1200" b="0" i="0" u="none" strike="noStrike" kern="1200" baseline="0">
                <a:solidFill>
                  <a:schemeClr val="tx1">
                    <a:lumMod val="65000"/>
                    <a:lumOff val="35000"/>
                  </a:schemeClr>
                </a:solidFill>
                <a:latin typeface="+mn-lt"/>
                <a:ea typeface="+mn-ea"/>
                <a:cs typeface="+mn-cs"/>
              </a:defRPr>
            </a:pPr>
          </a:p>
        </c:txPr>
      </c:legendEntry>
      <c:legendEntry>
        <c:idx val="1"/>
        <c:txPr>
          <a:bodyPr rot="0" spcFirstLastPara="0" vertOverflow="ellipsis" vert="horz" wrap="square" anchor="ctr" anchorCtr="1"/>
          <a:lstStyle/>
          <a:p>
            <a:pPr>
              <a:defRPr lang="zh-CN" sz="1200" b="0" i="0" u="none" strike="noStrike" kern="1200" baseline="0">
                <a:solidFill>
                  <a:schemeClr val="tx1">
                    <a:lumMod val="65000"/>
                    <a:lumOff val="35000"/>
                  </a:schemeClr>
                </a:solidFill>
                <a:latin typeface="+mn-lt"/>
                <a:ea typeface="+mn-ea"/>
                <a:cs typeface="+mn-cs"/>
              </a:defRPr>
            </a:pPr>
          </a:p>
        </c:txPr>
      </c:legendEntry>
      <c:layout/>
      <c:overlay val="0"/>
      <c:spPr>
        <a:noFill/>
        <a:ln>
          <a:noFill/>
        </a:ln>
        <a:effectLst/>
      </c:spPr>
      <c:txPr>
        <a:bodyPr rot="0" spcFirstLastPara="0" vertOverflow="ellipsis" vert="horz" wrap="square" anchor="ctr" anchorCtr="1"/>
        <a:lstStyle/>
        <a:p>
          <a:pPr>
            <a:defRPr lang="zh-CN" sz="12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e559f332-530a-40a7-88f8-19481c76cd49}"/>
      </c:ext>
    </c:extLst>
  </c:chart>
  <c:spPr>
    <a:solidFill>
      <a:schemeClr val="bg1"/>
    </a:solidFill>
    <a:ln w="9525" cap="flat" cmpd="sng" algn="ctr">
      <a:solidFill>
        <a:schemeClr val="tx1">
          <a:lumMod val="15000"/>
          <a:lumOff val="85000"/>
        </a:schemeClr>
      </a:solidFill>
      <a:round/>
    </a:ln>
    <a:effectLst/>
  </c:spPr>
  <c:txPr>
    <a:bodyPr/>
    <a:lstStyle/>
    <a:p>
      <a:pPr>
        <a:defRPr lang="zh-CN" sz="1200"/>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一般公共预算财政拨款支出决算变动情况</a:t>
            </a:r>
          </a:p>
          <a:p>
            <a:pPr defTabSz="914400">
              <a:defRPr lang="zh-CN" sz="1400" b="0" i="0" u="none" strike="noStrike" kern="1200" spc="0" baseline="0">
                <a:solidFill>
                  <a:schemeClr val="tx1">
                    <a:lumMod val="65000"/>
                    <a:lumOff val="35000"/>
                  </a:schemeClr>
                </a:solidFill>
                <a:latin typeface="+mn-lt"/>
                <a:ea typeface="+mn-ea"/>
                <a:cs typeface="+mn-cs"/>
              </a:defRPr>
            </a:pPr>
            <a:r>
              <a:t>（单位：万元）</a:t>
            </a:r>
          </a:p>
        </c:rich>
      </c:tx>
      <c:layout/>
      <c:overlay val="0"/>
      <c:spPr>
        <a:noFill/>
        <a:ln>
          <a:noFill/>
        </a:ln>
        <a:effectLst/>
      </c:spPr>
    </c:title>
    <c:autoTitleDeleted val="0"/>
    <c:plotArea>
      <c:layout/>
      <c:barChart>
        <c:barDir val="col"/>
        <c:grouping val="stacked"/>
        <c:varyColors val="0"/>
        <c:ser>
          <c:idx val="0"/>
          <c:order val="0"/>
          <c:tx>
            <c:strRef>
              <c:f>[图表.xlsx]Sheet1!$C$68</c:f>
              <c:strCache>
                <c:ptCount val="1"/>
                <c:pt idx="0">
                  <c:v>一般公共预算财政拨款支出决算总体情况（单位：万元）</c:v>
                </c:pt>
              </c:strCache>
            </c:strRef>
          </c:tx>
          <c:spPr>
            <a:solidFill>
              <a:schemeClr val="accent1"/>
            </a:solidFill>
            <a:ln>
              <a:noFill/>
            </a:ln>
            <a:effectLst/>
          </c:spPr>
          <c:invertIfNegative val="0"/>
          <c:dLbls>
            <c:dLbl>
              <c:idx val="0"/>
              <c:layout>
                <c:manualLayout>
                  <c:x val="0.0082696580045779"/>
                  <c:y val="-0.364969261737664"/>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0416666666666665"/>
                  <c:y val="-0.15791215566799"/>
                </c:manualLayout>
              </c:layout>
              <c:dLblPos val="ctr"/>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[图表.xlsx]Sheet1!$B$69:$B$70</c:f>
              <c:strCache>
                <c:ptCount val="2"/>
                <c:pt idx="0">
                  <c:v>2023年</c:v>
                </c:pt>
                <c:pt idx="1">
                  <c:v>2024年</c:v>
                </c:pt>
              </c:strCache>
            </c:strRef>
          </c:cat>
          <c:val>
            <c:numRef>
              <c:f>[图表.xlsx]Sheet1!$C$69:$C$70</c:f>
              <c:numCache>
                <c:formatCode>General</c:formatCode>
                <c:ptCount val="2"/>
                <c:pt idx="0">
                  <c:v>823.76</c:v>
                </c:pt>
                <c:pt idx="1">
                  <c:v>772.97</c:v>
                </c:pt>
              </c:numCache>
            </c:numRef>
          </c:val>
        </c:ser>
        <c:dLbls>
          <c:showLegendKey val="0"/>
          <c:showVal val="1"/>
          <c:showCatName val="0"/>
          <c:showSerName val="0"/>
          <c:showPercent val="0"/>
          <c:showBubbleSize val="0"/>
        </c:dLbls>
        <c:gapWidth val="150"/>
        <c:overlap val="100"/>
        <c:axId val="556116136"/>
        <c:axId val="986431536"/>
      </c:barChart>
      <c:catAx>
        <c:axId val="556116136"/>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986431536"/>
        <c:crosses val="autoZero"/>
        <c:auto val="1"/>
        <c:lblAlgn val="ctr"/>
        <c:lblOffset val="100"/>
        <c:noMultiLvlLbl val="0"/>
      </c:catAx>
      <c:valAx>
        <c:axId val="986431536"/>
        <c:scaling>
          <c:orientation val="minMax"/>
        </c:scaling>
        <c:delete val="0"/>
        <c:axPos val="l"/>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556116136"/>
        <c:crosses val="autoZero"/>
        <c:crossBetween val="between"/>
      </c:valAx>
      <c:spPr>
        <a:noFill/>
        <a:ln>
          <a:noFill/>
        </a:ln>
        <a:effectLst/>
      </c:spPr>
    </c:plotArea>
    <c:plotVisOnly val="1"/>
    <c:dispBlanksAs val="gap"/>
    <c:showDLblsOverMax val="0"/>
    <c:extLst>
      <c:ext uri="{0b15fc19-7d7d-44ad-8c2d-2c3a37ce22c3}">
        <chartProps xmlns="https://web.wps.cn/et/2018/main" chartId="{2d52b5f1-928b-4d3f-9e36-3dc5b4be6343}"/>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40" b="0" i="0" u="none" strike="noStrike" kern="1200" spc="0" baseline="0">
                <a:solidFill>
                  <a:schemeClr val="tx1">
                    <a:lumMod val="65000"/>
                    <a:lumOff val="35000"/>
                  </a:schemeClr>
                </a:solidFill>
                <a:latin typeface="+mn-lt"/>
                <a:ea typeface="+mn-ea"/>
                <a:cs typeface="+mn-cs"/>
              </a:defRPr>
            </a:pPr>
            <a:r>
              <a:rPr sz="1440"/>
              <a:t>一般公共预算财政拨款支出决算结构（单位：万元）</a:t>
            </a:r>
            <a:endParaRPr sz="1440"/>
          </a:p>
        </c:rich>
      </c:tx>
      <c:layout/>
      <c:overlay val="0"/>
      <c:spPr>
        <a:noFill/>
        <a:ln>
          <a:noFill/>
        </a:ln>
        <a:effectLst/>
      </c:spPr>
    </c:title>
    <c:autoTitleDeleted val="0"/>
    <c:plotArea>
      <c:layout/>
      <c:pieChart>
        <c:varyColors val="1"/>
        <c:ser>
          <c:idx val="0"/>
          <c:order val="0"/>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Pt>
            <c:idx val="3"/>
            <c:bubble3D val="0"/>
            <c:spPr>
              <a:solidFill>
                <a:schemeClr val="accent4"/>
              </a:solidFill>
              <a:ln w="19050">
                <a:solidFill>
                  <a:schemeClr val="lt1"/>
                </a:solidFill>
              </a:ln>
              <a:effectLst/>
            </c:spPr>
          </c:dPt>
          <c:dLbls>
            <c:dLbl>
              <c:idx val="2"/>
              <c:layout>
                <c:manualLayout>
                  <c:x val="-0.00939429839624547"/>
                  <c:y val="0.0293405482620078"/>
                </c:manualLayout>
              </c:layout>
              <c:dLblPos val="bestFit"/>
              <c:showLegendKey val="1"/>
              <c:showVal val="1"/>
              <c:showCatName val="0"/>
              <c:showSerName val="0"/>
              <c:showPercent val="1"/>
              <c:showBubbleSize val="0"/>
              <c:extLst>
                <c:ext xmlns:c15="http://schemas.microsoft.com/office/drawing/2012/chart" uri="{CE6537A1-D6FC-4f65-9D91-7224C49458BB}">
                  <c15:layout/>
                </c:ext>
              </c:extLst>
            </c:dLbl>
            <c:numFmt formatCode="0.00%" sourceLinked="0"/>
            <c:spPr>
              <a:noFill/>
              <a:ln>
                <a:noFill/>
              </a:ln>
              <a:effectLst/>
            </c:spPr>
            <c:txPr>
              <a:bodyPr rot="0" spcFirstLastPara="0" vertOverflow="ellipsis" vert="horz" wrap="square" lIns="38100" tIns="19050" rIns="38100" bIns="19050" anchor="ctr" anchorCtr="1"/>
              <a:lstStyle/>
              <a:p>
                <a:pPr>
                  <a:defRPr lang="zh-CN" sz="1200" b="0" i="0" u="none" strike="noStrike" kern="1200" baseline="0">
                    <a:solidFill>
                      <a:schemeClr val="tx1">
                        <a:lumMod val="75000"/>
                        <a:lumOff val="25000"/>
                      </a:schemeClr>
                    </a:solidFill>
                    <a:latin typeface="+mn-lt"/>
                    <a:ea typeface="+mn-ea"/>
                    <a:cs typeface="+mn-cs"/>
                  </a:defRPr>
                </a:pPr>
              </a:p>
            </c:txPr>
            <c:dLblPos val="bestFit"/>
            <c:showLegendKey val="1"/>
            <c:showVal val="1"/>
            <c:showCatName val="0"/>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[图表.xlsx]Sheet1!$B$168:$B$171</c:f>
              <c:strCache>
                <c:ptCount val="4"/>
                <c:pt idx="0">
                  <c:v>教育支出</c:v>
                </c:pt>
                <c:pt idx="1">
                  <c:v>社会保障和就业支出</c:v>
                </c:pt>
                <c:pt idx="2">
                  <c:v>卫生健康支出</c:v>
                </c:pt>
                <c:pt idx="3">
                  <c:v>住房保障支出</c:v>
                </c:pt>
              </c:strCache>
            </c:strRef>
          </c:cat>
          <c:val>
            <c:numRef>
              <c:f>[图表.xlsx]Sheet1!$C$168:$C$171</c:f>
              <c:numCache>
                <c:formatCode>General</c:formatCode>
                <c:ptCount val="4"/>
                <c:pt idx="0">
                  <c:v>556.43</c:v>
                </c:pt>
                <c:pt idx="1">
                  <c:v>140.17</c:v>
                </c:pt>
                <c:pt idx="2">
                  <c:v>40.04</c:v>
                </c:pt>
                <c:pt idx="3">
                  <c:v>36.33</c:v>
                </c:pt>
              </c:numCache>
            </c:numRef>
          </c:val>
        </c:ser>
        <c:dLbls>
          <c:showLegendKey val="1"/>
          <c:showVal val="1"/>
          <c:showCatName val="0"/>
          <c:showSerName val="0"/>
          <c:showPercent val="1"/>
          <c:showBubbleSize val="0"/>
          <c:showLeaderLines val="1"/>
        </c:dLbls>
        <c:firstSliceAng val="0"/>
      </c:pieChart>
      <c:spPr>
        <a:noFill/>
        <a:ln>
          <a:noFill/>
        </a:ln>
        <a:effectLst/>
      </c:spPr>
    </c:plotArea>
    <c:legend>
      <c:legendPos val="b"/>
      <c:legendEntry>
        <c:idx val="0"/>
        <c:txPr>
          <a:bodyPr rot="0" spcFirstLastPara="0" vertOverflow="ellipsis" vert="horz" wrap="square" anchor="ctr" anchorCtr="1"/>
          <a:lstStyle/>
          <a:p>
            <a:pPr>
              <a:defRPr lang="zh-CN" sz="1200" b="0" i="0" u="none" strike="noStrike" kern="1200" baseline="0">
                <a:solidFill>
                  <a:schemeClr val="tx1">
                    <a:lumMod val="65000"/>
                    <a:lumOff val="35000"/>
                  </a:schemeClr>
                </a:solidFill>
                <a:latin typeface="+mn-lt"/>
                <a:ea typeface="+mn-ea"/>
                <a:cs typeface="+mn-cs"/>
              </a:defRPr>
            </a:pPr>
          </a:p>
        </c:txPr>
      </c:legendEntry>
      <c:legendEntry>
        <c:idx val="1"/>
        <c:txPr>
          <a:bodyPr rot="0" spcFirstLastPara="0" vertOverflow="ellipsis" vert="horz" wrap="square" anchor="ctr" anchorCtr="1"/>
          <a:lstStyle/>
          <a:p>
            <a:pPr>
              <a:defRPr lang="zh-CN" sz="1200" b="0" i="0" u="none" strike="noStrike" kern="1200" baseline="0">
                <a:solidFill>
                  <a:schemeClr val="tx1">
                    <a:lumMod val="65000"/>
                    <a:lumOff val="35000"/>
                  </a:schemeClr>
                </a:solidFill>
                <a:latin typeface="+mn-lt"/>
                <a:ea typeface="+mn-ea"/>
                <a:cs typeface="+mn-cs"/>
              </a:defRPr>
            </a:pPr>
          </a:p>
        </c:txPr>
      </c:legendEntry>
      <c:legendEntry>
        <c:idx val="2"/>
        <c:txPr>
          <a:bodyPr rot="0" spcFirstLastPara="0" vertOverflow="ellipsis" vert="horz" wrap="square" anchor="ctr" anchorCtr="1"/>
          <a:lstStyle/>
          <a:p>
            <a:pPr>
              <a:defRPr lang="zh-CN" sz="1200" b="0" i="0" u="none" strike="noStrike" kern="1200" baseline="0">
                <a:solidFill>
                  <a:schemeClr val="tx1">
                    <a:lumMod val="65000"/>
                    <a:lumOff val="35000"/>
                  </a:schemeClr>
                </a:solidFill>
                <a:latin typeface="+mn-lt"/>
                <a:ea typeface="+mn-ea"/>
                <a:cs typeface="+mn-cs"/>
              </a:defRPr>
            </a:pPr>
          </a:p>
        </c:txPr>
      </c:legendEntry>
      <c:legendEntry>
        <c:idx val="3"/>
        <c:txPr>
          <a:bodyPr rot="0" spcFirstLastPara="0" vertOverflow="ellipsis" vert="horz" wrap="square" anchor="ctr" anchorCtr="1"/>
          <a:lstStyle/>
          <a:p>
            <a:pPr>
              <a:defRPr lang="zh-CN" sz="1200" b="0" i="0" u="none" strike="noStrike" kern="1200" baseline="0">
                <a:solidFill>
                  <a:schemeClr val="tx1">
                    <a:lumMod val="65000"/>
                    <a:lumOff val="35000"/>
                  </a:schemeClr>
                </a:solidFill>
                <a:latin typeface="+mn-lt"/>
                <a:ea typeface="+mn-ea"/>
                <a:cs typeface="+mn-cs"/>
              </a:defRPr>
            </a:pPr>
          </a:p>
        </c:txPr>
      </c:legendEntry>
      <c:layout/>
      <c:overlay val="0"/>
      <c:spPr>
        <a:noFill/>
        <a:ln>
          <a:noFill/>
        </a:ln>
        <a:effectLst/>
      </c:spPr>
      <c:txPr>
        <a:bodyPr rot="0" spcFirstLastPara="0" vertOverflow="ellipsis" vert="horz" wrap="square" anchor="ctr" anchorCtr="1"/>
        <a:lstStyle/>
        <a:p>
          <a:pPr>
            <a:defRPr lang="zh-CN" sz="12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55203064-adfd-43e6-bcd8-9ecbc5e6b798}"/>
      </c:ext>
    </c:extLst>
  </c:chart>
  <c:spPr>
    <a:solidFill>
      <a:schemeClr val="bg1"/>
    </a:solidFill>
    <a:ln w="9525" cap="flat" cmpd="sng" algn="ctr">
      <a:solidFill>
        <a:schemeClr val="tx1">
          <a:lumMod val="15000"/>
          <a:lumOff val="85000"/>
        </a:schemeClr>
      </a:solidFill>
      <a:round/>
    </a:ln>
    <a:effectLst/>
  </c:spPr>
  <c:txPr>
    <a:bodyPr/>
    <a:lstStyle/>
    <a:p>
      <a:pPr>
        <a:defRPr lang="zh-CN" sz="1200"/>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54">
  <cs:axisTitle>
    <cs:lnRef idx="0"/>
    <cs:fillRef idx="0"/>
    <cs:effectRef idx="0"/>
    <cs:fontRef idx="minor">
      <a:schemeClr val="tx1">
        <a:lumMod val="50000"/>
        <a:lumOff val="50000"/>
      </a:schemeClr>
    </cs:fontRef>
    <cs:defRPr sz="900" kern="1200" cap="all"/>
  </cs:axisTitle>
  <cs:categoryAxis>
    <cs:lnRef idx="0"/>
    <cs:fillRef idx="0"/>
    <cs:effectRef idx="0"/>
    <cs:fontRef idx="minor">
      <a:schemeClr val="tx1">
        <a:lumMod val="50000"/>
        <a:lumOff val="50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65000"/>
        <a:lumOff val="3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styleClr val="auto"/>
    </cs:lnRef>
    <cs:fillRef idx="2">
      <cs:styleClr val="auto"/>
    </cs:fillRef>
    <cs:effectRef idx="1"/>
    <cs:fontRef idx="minor">
      <a:schemeClr val="dk1"/>
    </cs:fontRef>
    <cs:spPr>
      <a:ln w="9525" cap="flat" cmpd="sng" algn="ctr">
        <a:solidFill>
          <a:schemeClr val="phClr">
            <a:shade val="95000"/>
          </a:schemeClr>
        </a:solidFill>
        <a:round/>
      </a:ln>
    </cs:spPr>
  </cs:dataPoint>
  <cs:dataPoint3D>
    <cs:lnRef idx="0"/>
    <cs:fillRef idx="2">
      <cs:styleClr val="auto"/>
    </cs:fillRef>
    <cs:effectRef idx="1"/>
    <cs:fontRef idx="minor">
      <a:schemeClr val="dk1"/>
    </cs:fontRef>
  </cs:dataPoint3D>
  <cs:dataPointLine>
    <cs:lnRef idx="0">
      <cs:styleClr val="auto"/>
    </cs:lnRef>
    <cs:fillRef idx="2">
      <cs:styleClr val="auto"/>
    </cs:fillRef>
    <cs:effectRef idx="1"/>
    <cs:fontRef idx="minor">
      <a:schemeClr val="dk1"/>
    </cs:fontRef>
    <cs:spPr>
      <a:ln w="15875" cap="rnd">
        <a:solidFill>
          <a:schemeClr val="phClr"/>
        </a:solidFill>
        <a:round/>
      </a:ln>
    </cs:spPr>
  </cs:dataPointLine>
  <cs:dataPointMarker>
    <cs:lnRef idx="0">
      <cs:styleClr val="auto"/>
    </cs:lnRef>
    <cs:fillRef idx="2">
      <cs:styleClr val="auto"/>
    </cs:fillRef>
    <cs:effectRef idx="1"/>
    <cs:fontRef idx="minor">
      <a:schemeClr val="dk1"/>
    </cs:fontRef>
    <cs:spPr>
      <a:ln w="9525" cap="flat" cmpd="sng" algn="ctr">
        <a:solidFill>
          <a:schemeClr val="phClr">
            <a:shade val="95000"/>
          </a:schemeClr>
        </a:solidFill>
        <a:round/>
      </a:ln>
    </cs:spPr>
  </cs:dataPointMarker>
  <cs:dataPointMarkerLayout symbol="circle" size="4"/>
  <cs:dataPointWireframe>
    <cs:lnRef idx="0">
      <cs:styleClr val="auto"/>
    </cs:lnRef>
    <cs:fillRef idx="2"/>
    <cs:effectRef idx="0"/>
    <cs:fontRef idx="minor">
      <a:schemeClr val="dk1"/>
    </cs:fontRef>
    <cs:spPr>
      <a:ln w="9525" cap="rnd">
        <a:solidFill>
          <a:schemeClr val="phClr"/>
        </a:solidFill>
        <a:round/>
      </a:ln>
    </cs:spPr>
  </cs:dataPointWireframe>
  <cs:dataTable>
    <cs:lnRef idx="0"/>
    <cs:fillRef idx="0"/>
    <cs:effectRef idx="0"/>
    <cs:fontRef idx="minor">
      <a:schemeClr val="tx1">
        <a:lumMod val="50000"/>
        <a:lumOff val="50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35000"/>
            <a:lumOff val="65000"/>
          </a:schemeClr>
        </a:solidFill>
        <a:prstDash val="dash"/>
      </a:ln>
    </cs:spPr>
  </cs:dropLine>
  <cs:errorBar>
    <cs:lnRef idx="0"/>
    <cs:fillRef idx="0"/>
    <cs:effectRef idx="0"/>
    <cs:fontRef idx="minor">
      <a:schemeClr val="dk1"/>
    </cs:fontRef>
    <cs:spPr>
      <a:ln w="9525">
        <a:solidFill>
          <a:schemeClr val="tx1">
            <a:lumMod val="50000"/>
            <a:lumOff val="50000"/>
          </a:schemeClr>
        </a:solidFill>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tx1">
            <a:lumMod val="15000"/>
            <a:lumOff val="85000"/>
          </a:schemeClr>
        </a:solidFill>
        <a:round/>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50000"/>
            <a:lumOff val="50000"/>
          </a:schemeClr>
        </a:solidFill>
        <a:prstDash val="dash"/>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50000"/>
        <a:lumOff val="50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50000"/>
        <a:lumOff val="50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dk1"/>
    </cs:fontRef>
    <cs:spPr>
      <a:ln w="9525">
        <a:solidFill>
          <a:schemeClr val="tx1">
            <a:lumMod val="35000"/>
            <a:lumOff val="65000"/>
          </a:schemeClr>
        </a:solidFill>
        <a:prstDash val="dash"/>
      </a:ln>
    </cs:spPr>
  </cs:seriesLine>
  <cs:title>
    <cs:lnRef idx="0"/>
    <cs:fillRef idx="0"/>
    <cs:effectRef idx="0"/>
    <cs:fontRef idx="minor">
      <a:schemeClr val="tx1">
        <a:lumMod val="50000"/>
        <a:lumOff val="50000"/>
      </a:schemeClr>
    </cs:fontRef>
    <cs:defRPr sz="1400" kern="1200" cap="none" spc="20" baseline="0"/>
  </cs:title>
  <cs:trendline>
    <cs:lnRef idx="0">
      <cs:styleClr val="auto"/>
    </cs:lnRef>
    <cs:fillRef idx="2"/>
    <cs:effectRef idx="0"/>
    <cs:fontRef idx="minor">
      <a:schemeClr val="dk1"/>
    </cs:fontRef>
    <cs:spPr>
      <a:ln w="9525" cap="rnd">
        <a:solidFill>
          <a:schemeClr val="phClr"/>
        </a:solidFill>
      </a:ln>
    </cs:spPr>
  </cs:trendline>
  <cs:trendlineLabel>
    <cs:lnRef idx="0"/>
    <cs:fillRef idx="0"/>
    <cs:effectRef idx="0"/>
    <cs:fontRef idx="minor">
      <a:schemeClr val="tx1">
        <a:lumMod val="50000"/>
        <a:lumOff val="50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50000"/>
        <a:lumOff val="50000"/>
      </a:schemeClr>
    </cs:fontRef>
    <cs:defRPr sz="900" kern="1200"/>
  </cs:valueAxis>
  <cs:wall>
    <cs:lnRef idx="0"/>
    <cs:fillRef idx="0"/>
    <cs:effectRef idx="0"/>
    <cs:fontRef idx="minor">
      <a:schemeClr val="dk1"/>
    </cs:fontRef>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四川省财政厅</Company>
  <Pages>19</Pages>
  <Words>5094</Words>
  <Characters>5517</Characters>
  <Lines>61</Lines>
  <Paragraphs>17</Paragraphs>
  <TotalTime>2</TotalTime>
  <ScaleCrop>false</ScaleCrop>
  <LinksUpToDate>false</LinksUpToDate>
  <CharactersWithSpaces>5538</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2020-08-09T09:49:00Z</dcterms:created>
  <dc:creator>曹颖</dc:creator>
  <cp:lastModifiedBy>阿淇</cp:lastModifiedBy>
  <cp:lastPrinted>2025-08-06T17:34:00Z</cp:lastPrinted>
  <dcterms:modified xsi:type="dcterms:W3CDTF">2025-10-28T03:14:35Z</dcterms:modified>
  <dc:title>四川省***</dc:title>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04787F2533EB45DC91BCDE4AB213247F</vt:lpwstr>
  </property>
  <property fmtid="{D5CDD505-2E9C-101B-9397-08002B2CF9AE}" pid="4" name="KSOTemplateDocerSaveRecord">
    <vt:lpwstr>eyJoZGlkIjoiOGI1MTY4OTk2MzU4ZjdhYmQwMDg0OWY0ZTk2N2ZkOTAiLCJ1c2VySWQiOiI2NjE3NzA3MDEifQ==</vt:lpwstr>
  </property>
</Properties>
</file>