
<file path=[Content_Types].xml><?xml version="1.0" encoding="utf-8"?>
<Types xmlns="http://schemas.openxmlformats.org/package/2006/content-types">
  <Default Extension="xlsx" ContentType="application/vnd.openxmlformats-officedocument.spreadsheetml.shee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colors7.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charts/style7.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49C7E7">
      <w:pPr>
        <w:pStyle w:val="8"/>
        <w:spacing w:before="93"/>
        <w:rPr>
          <w:rFonts w:hint="default" w:ascii="Times New Roman" w:hAnsi="Times New Roman" w:eastAsia="方正小标宋简体" w:cs="Times New Roman"/>
          <w:kern w:val="2"/>
          <w:sz w:val="72"/>
          <w:szCs w:val="72"/>
        </w:rPr>
      </w:pPr>
      <w:bookmarkStart w:id="0" w:name="_Toc15378441"/>
      <w:bookmarkStart w:id="1" w:name="_Toc15396475"/>
      <w:bookmarkStart w:id="2" w:name="_Toc15396597"/>
      <w:bookmarkStart w:id="3" w:name="_Toc15377425"/>
      <w:bookmarkStart w:id="4" w:name="_Toc15377193"/>
      <w:bookmarkStart w:id="5" w:name="_Toc15306267"/>
    </w:p>
    <w:p w14:paraId="7BEAFDF1">
      <w:pPr>
        <w:pStyle w:val="8"/>
        <w:spacing w:before="93"/>
        <w:rPr>
          <w:rFonts w:hint="default" w:ascii="Times New Roman" w:hAnsi="Times New Roman" w:eastAsia="方正小标宋简体" w:cs="Times New Roman"/>
          <w:kern w:val="2"/>
          <w:sz w:val="72"/>
          <w:szCs w:val="72"/>
        </w:rPr>
      </w:pPr>
    </w:p>
    <w:p w14:paraId="298C5497">
      <w:pPr>
        <w:pStyle w:val="8"/>
        <w:spacing w:before="93"/>
        <w:rPr>
          <w:rFonts w:hint="default" w:ascii="Times New Roman" w:hAnsi="Times New Roman" w:eastAsia="方正小标宋简体" w:cs="Times New Roman"/>
          <w:kern w:val="2"/>
          <w:sz w:val="72"/>
          <w:szCs w:val="72"/>
        </w:rPr>
      </w:pPr>
    </w:p>
    <w:p w14:paraId="0CBCB99D">
      <w:pPr>
        <w:suppressAutoHyphens/>
        <w:adjustRightInd w:val="0"/>
        <w:snapToGrid w:val="0"/>
        <w:spacing w:line="360" w:lineRule="auto"/>
        <w:jc w:val="center"/>
        <w:outlineLvl w:val="0"/>
        <w:rPr>
          <w:rFonts w:hint="default" w:ascii="Times New Roman" w:hAnsi="Times New Roman" w:eastAsia="方正小标宋简体" w:cs="Times New Roman"/>
          <w:sz w:val="56"/>
          <w:szCs w:val="56"/>
        </w:rPr>
      </w:pPr>
      <w:r>
        <w:rPr>
          <w:rFonts w:hint="default" w:ascii="Times New Roman" w:hAnsi="Times New Roman" w:eastAsia="方正小标宋简体" w:cs="Times New Roman"/>
          <w:sz w:val="56"/>
          <w:szCs w:val="56"/>
        </w:rPr>
        <w:t>2024年度</w:t>
      </w:r>
    </w:p>
    <w:p w14:paraId="5D31E8CB">
      <w:pPr>
        <w:suppressAutoHyphens/>
        <w:adjustRightInd w:val="0"/>
        <w:snapToGrid w:val="0"/>
        <w:spacing w:line="360" w:lineRule="auto"/>
        <w:jc w:val="center"/>
        <w:outlineLvl w:val="0"/>
        <w:rPr>
          <w:rFonts w:hint="default" w:ascii="Times New Roman" w:hAnsi="Times New Roman" w:eastAsia="方正小标宋简体" w:cs="Times New Roman"/>
          <w:sz w:val="56"/>
          <w:szCs w:val="56"/>
          <w:lang w:eastAsia="zh-CN"/>
        </w:rPr>
      </w:pPr>
      <w:r>
        <w:rPr>
          <w:rFonts w:hint="default" w:ascii="Times New Roman" w:hAnsi="Times New Roman" w:eastAsia="方正小标宋简体" w:cs="Times New Roman"/>
          <w:sz w:val="56"/>
          <w:szCs w:val="56"/>
        </w:rPr>
        <w:t>盐边县</w:t>
      </w:r>
      <w:r>
        <w:rPr>
          <w:rFonts w:hint="default" w:ascii="Times New Roman" w:hAnsi="Times New Roman" w:eastAsia="方正小标宋简体" w:cs="Times New Roman"/>
          <w:sz w:val="56"/>
          <w:szCs w:val="56"/>
          <w:lang w:val="en-US" w:eastAsia="zh-CN"/>
        </w:rPr>
        <w:t>教育和体育</w:t>
      </w:r>
      <w:r>
        <w:rPr>
          <w:rFonts w:hint="default" w:ascii="Times New Roman" w:hAnsi="Times New Roman" w:eastAsia="方正小标宋简体" w:cs="Times New Roman"/>
          <w:sz w:val="56"/>
          <w:szCs w:val="56"/>
        </w:rPr>
        <w:t>局</w:t>
      </w:r>
      <w:r>
        <w:rPr>
          <w:rFonts w:hint="default" w:ascii="Times New Roman" w:hAnsi="Times New Roman" w:eastAsia="方正小标宋简体" w:cs="Times New Roman"/>
          <w:sz w:val="56"/>
          <w:szCs w:val="56"/>
          <w:lang w:eastAsia="zh-CN"/>
        </w:rPr>
        <w:t>（</w:t>
      </w:r>
      <w:r>
        <w:rPr>
          <w:rFonts w:hint="default" w:ascii="Times New Roman" w:hAnsi="Times New Roman" w:eastAsia="方正小标宋简体" w:cs="Times New Roman"/>
          <w:sz w:val="56"/>
          <w:szCs w:val="56"/>
        </w:rPr>
        <w:t>部门</w:t>
      </w:r>
      <w:r>
        <w:rPr>
          <w:rFonts w:hint="default" w:ascii="Times New Roman" w:hAnsi="Times New Roman" w:eastAsia="方正小标宋简体" w:cs="Times New Roman"/>
          <w:sz w:val="56"/>
          <w:szCs w:val="56"/>
          <w:lang w:eastAsia="zh-CN"/>
        </w:rPr>
        <w:t>）</w:t>
      </w:r>
    </w:p>
    <w:p w14:paraId="584C91BF">
      <w:pPr>
        <w:suppressAutoHyphens/>
        <w:adjustRightInd w:val="0"/>
        <w:snapToGrid w:val="0"/>
        <w:spacing w:line="360" w:lineRule="auto"/>
        <w:jc w:val="center"/>
        <w:outlineLvl w:val="0"/>
        <w:rPr>
          <w:rFonts w:hint="default" w:ascii="Times New Roman" w:hAnsi="Times New Roman" w:eastAsia="方正小标宋简体" w:cs="Times New Roman"/>
          <w:sz w:val="56"/>
          <w:szCs w:val="56"/>
        </w:rPr>
        <w:sectPr>
          <w:headerReference r:id="rId3" w:type="default"/>
          <w:footerReference r:id="rId4" w:type="default"/>
          <w:pgSz w:w="11906" w:h="16838"/>
          <w:pgMar w:top="1440" w:right="1800" w:bottom="1440" w:left="1800" w:header="851" w:footer="992" w:gutter="0"/>
          <w:pgNumType w:fmt="numberInDash" w:start="1"/>
          <w:cols w:space="425" w:num="1"/>
          <w:titlePg/>
          <w:docGrid w:type="lines" w:linePitch="312" w:charSpace="0"/>
        </w:sectPr>
      </w:pPr>
      <w:r>
        <w:rPr>
          <w:rFonts w:hint="default" w:ascii="Times New Roman" w:hAnsi="Times New Roman" w:eastAsia="方正小标宋简体" w:cs="Times New Roman"/>
          <w:sz w:val="56"/>
          <w:szCs w:val="56"/>
        </w:rPr>
        <w:t>决算公开</w:t>
      </w:r>
    </w:p>
    <w:bookmarkEnd w:id="0"/>
    <w:bookmarkEnd w:id="1"/>
    <w:bookmarkEnd w:id="2"/>
    <w:bookmarkEnd w:id="3"/>
    <w:bookmarkEnd w:id="4"/>
    <w:bookmarkEnd w:id="5"/>
    <w:sdt>
      <w:sdtPr>
        <w:rPr>
          <w:rFonts w:hint="default" w:ascii="Times New Roman" w:hAnsi="Times New Roman" w:eastAsia="黑体" w:cs="Times New Roman"/>
          <w:sz w:val="48"/>
          <w:szCs w:val="48"/>
          <w:lang w:val="en-US" w:eastAsia="zh-CN"/>
        </w:rPr>
        <w:id w:val="147480982"/>
        <w15:color w:val="DBDBDB"/>
        <w:docPartObj>
          <w:docPartGallery w:val="Table of Contents"/>
          <w:docPartUnique/>
        </w:docPartObj>
      </w:sdtPr>
      <w:sdtEndPr>
        <w:rPr>
          <w:rFonts w:hint="default" w:ascii="Times New Roman" w:hAnsi="Times New Roman" w:eastAsia="仿宋_GB2312" w:cs="Times New Roman"/>
          <w:kern w:val="0"/>
          <w:sz w:val="30"/>
          <w:szCs w:val="24"/>
          <w:lang w:val="en-US" w:eastAsia="zh-CN" w:bidi="ar-SA"/>
        </w:rPr>
      </w:sdtEndPr>
      <w:sdtContent>
        <w:p w14:paraId="4F207DB2">
          <w:pPr>
            <w:spacing w:before="0" w:beforeLines="0" w:after="0" w:afterLines="0" w:line="240" w:lineRule="auto"/>
            <w:ind w:left="0" w:leftChars="0" w:right="0" w:rightChars="0" w:firstLine="0" w:firstLineChars="0"/>
            <w:jc w:val="center"/>
            <w:rPr>
              <w:rFonts w:hint="default" w:ascii="Times New Roman" w:hAnsi="Times New Roman" w:eastAsia="黑体" w:cs="Times New Roman"/>
              <w:sz w:val="48"/>
              <w:szCs w:val="48"/>
            </w:rPr>
          </w:pPr>
          <w:r>
            <w:rPr>
              <w:rFonts w:hint="default" w:ascii="Times New Roman" w:hAnsi="Times New Roman" w:eastAsia="黑体" w:cs="Times New Roman"/>
              <w:sz w:val="48"/>
              <w:szCs w:val="48"/>
            </w:rPr>
            <w:t>目</w:t>
          </w:r>
          <w:r>
            <w:rPr>
              <w:rFonts w:hint="default" w:ascii="Times New Roman" w:hAnsi="Times New Roman" w:eastAsia="黑体" w:cs="Times New Roman"/>
              <w:sz w:val="48"/>
              <w:szCs w:val="48"/>
              <w:lang w:val="en-US" w:eastAsia="zh-CN"/>
            </w:rPr>
            <w:t xml:space="preserve"> </w:t>
          </w:r>
          <w:r>
            <w:rPr>
              <w:rFonts w:hint="default" w:ascii="Times New Roman" w:hAnsi="Times New Roman" w:eastAsia="黑体" w:cs="Times New Roman"/>
              <w:sz w:val="48"/>
              <w:szCs w:val="48"/>
            </w:rPr>
            <w:t>录</w:t>
          </w:r>
        </w:p>
        <w:p w14:paraId="72E00877">
          <w:pPr>
            <w:pStyle w:val="13"/>
            <w:rPr>
              <w:rFonts w:hint="default" w:ascii="Times New Roman" w:hAnsi="Times New Roman" w:cs="Times New Roman"/>
            </w:rPr>
          </w:pPr>
          <w:r>
            <w:rPr>
              <w:rFonts w:hint="default" w:ascii="Times New Roman" w:hAnsi="Times New Roman" w:eastAsia="仿宋_GB2312" w:cs="Times New Roman"/>
            </w:rPr>
            <w:t>公开时间：2025年10月</w:t>
          </w:r>
          <w:r>
            <w:rPr>
              <w:rFonts w:hint="default" w:ascii="Times New Roman" w:hAnsi="Times New Roman" w:eastAsia="仿宋_GB2312" w:cs="Times New Roman"/>
              <w:lang w:val="en-US" w:eastAsia="zh-CN"/>
            </w:rPr>
            <w:t>28</w:t>
          </w:r>
          <w:r>
            <w:rPr>
              <w:rFonts w:hint="default" w:ascii="Times New Roman" w:hAnsi="Times New Roman" w:eastAsia="仿宋_GB2312" w:cs="Times New Roman"/>
            </w:rPr>
            <w:t>日</w:t>
          </w:r>
        </w:p>
        <w:p w14:paraId="664A4921">
          <w:pPr>
            <w:pStyle w:val="13"/>
            <w:tabs>
              <w:tab w:val="right" w:leader="dot" w:pos="8306"/>
              <w:tab w:val="clear" w:pos="8296"/>
            </w:tabs>
            <w:rPr>
              <w:rFonts w:hint="default" w:ascii="Times New Roman" w:hAnsi="Times New Roman" w:eastAsia="方正仿宋_GBK" w:cs="Times New Roman"/>
              <w:sz w:val="28"/>
              <w:szCs w:val="28"/>
            </w:rPr>
          </w:pPr>
          <w:r>
            <w:rPr>
              <w:rFonts w:hint="default" w:ascii="Times New Roman" w:hAnsi="Times New Roman" w:cs="Times New Roman"/>
            </w:rPr>
            <w:fldChar w:fldCharType="begin"/>
          </w:r>
          <w:r>
            <w:rPr>
              <w:rFonts w:hint="default" w:ascii="Times New Roman" w:hAnsi="Times New Roman" w:cs="Times New Roman"/>
            </w:rPr>
            <w:instrText xml:space="preserve">TOC \o "1-2" \h \u </w:instrText>
          </w:r>
          <w:r>
            <w:rPr>
              <w:rFonts w:hint="default" w:ascii="Times New Roman" w:hAnsi="Times New Roman" w:cs="Times New Roman"/>
            </w:rPr>
            <w:fldChar w:fldCharType="separate"/>
          </w:r>
          <w:r>
            <w:rPr>
              <w:rFonts w:hint="default" w:ascii="Times New Roman" w:hAnsi="Times New Roman" w:eastAsia="方正仿宋_GBK" w:cs="Times New Roman"/>
              <w:sz w:val="28"/>
              <w:szCs w:val="28"/>
            </w:rPr>
            <w:fldChar w:fldCharType="begin"/>
          </w:r>
          <w:r>
            <w:rPr>
              <w:rFonts w:hint="default" w:ascii="Times New Roman" w:hAnsi="Times New Roman" w:eastAsia="方正仿宋_GBK" w:cs="Times New Roman"/>
              <w:sz w:val="28"/>
              <w:szCs w:val="28"/>
            </w:rPr>
            <w:instrText xml:space="preserve"> HYPERLINK \l _Toc11601 </w:instrText>
          </w:r>
          <w:r>
            <w:rPr>
              <w:rFonts w:hint="default" w:ascii="Times New Roman" w:hAnsi="Times New Roman" w:eastAsia="方正仿宋_GBK" w:cs="Times New Roman"/>
              <w:sz w:val="28"/>
              <w:szCs w:val="28"/>
            </w:rPr>
            <w:fldChar w:fldCharType="separate"/>
          </w:r>
          <w:r>
            <w:rPr>
              <w:rFonts w:hint="default" w:ascii="Times New Roman" w:hAnsi="Times New Roman" w:eastAsia="方正仿宋_GBK" w:cs="Times New Roman"/>
              <w:bCs w:val="0"/>
              <w:sz w:val="28"/>
              <w:szCs w:val="28"/>
            </w:rPr>
            <w:t>第一部分  部门概况</w:t>
          </w:r>
          <w:r>
            <w:rPr>
              <w:rFonts w:hint="default" w:ascii="Times New Roman" w:hAnsi="Times New Roman" w:eastAsia="方正仿宋_GBK" w:cs="Times New Roman"/>
              <w:sz w:val="28"/>
              <w:szCs w:val="28"/>
            </w:rPr>
            <w:tab/>
          </w:r>
          <w:r>
            <w:rPr>
              <w:rFonts w:hint="default" w:ascii="Times New Roman" w:hAnsi="Times New Roman" w:eastAsia="方正仿宋_GBK" w:cs="Times New Roman"/>
              <w:sz w:val="28"/>
              <w:szCs w:val="28"/>
            </w:rPr>
            <w:fldChar w:fldCharType="begin"/>
          </w:r>
          <w:r>
            <w:rPr>
              <w:rFonts w:hint="default" w:ascii="Times New Roman" w:hAnsi="Times New Roman" w:eastAsia="方正仿宋_GBK" w:cs="Times New Roman"/>
              <w:sz w:val="28"/>
              <w:szCs w:val="28"/>
            </w:rPr>
            <w:instrText xml:space="preserve"> PAGEREF _Toc11601 \h </w:instrText>
          </w:r>
          <w:r>
            <w:rPr>
              <w:rFonts w:hint="default" w:ascii="Times New Roman" w:hAnsi="Times New Roman" w:eastAsia="方正仿宋_GBK" w:cs="Times New Roman"/>
              <w:sz w:val="28"/>
              <w:szCs w:val="28"/>
            </w:rPr>
            <w:fldChar w:fldCharType="separate"/>
          </w:r>
          <w:r>
            <w:rPr>
              <w:rFonts w:hint="default" w:ascii="Times New Roman" w:hAnsi="Times New Roman" w:eastAsia="方正仿宋_GBK" w:cs="Times New Roman"/>
              <w:sz w:val="28"/>
              <w:szCs w:val="28"/>
            </w:rPr>
            <w:t>- 2 -</w:t>
          </w:r>
          <w:r>
            <w:rPr>
              <w:rFonts w:hint="default" w:ascii="Times New Roman" w:hAnsi="Times New Roman" w:eastAsia="方正仿宋_GBK" w:cs="Times New Roman"/>
              <w:sz w:val="28"/>
              <w:szCs w:val="28"/>
            </w:rPr>
            <w:fldChar w:fldCharType="end"/>
          </w:r>
          <w:r>
            <w:rPr>
              <w:rFonts w:hint="default" w:ascii="Times New Roman" w:hAnsi="Times New Roman" w:eastAsia="方正仿宋_GBK" w:cs="Times New Roman"/>
              <w:sz w:val="28"/>
              <w:szCs w:val="28"/>
            </w:rPr>
            <w:fldChar w:fldCharType="end"/>
          </w:r>
        </w:p>
        <w:p w14:paraId="798CA8B4">
          <w:pPr>
            <w:pStyle w:val="14"/>
            <w:tabs>
              <w:tab w:val="right" w:leader="dot" w:pos="8306"/>
              <w:tab w:val="clear" w:pos="8296"/>
            </w:tabs>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fldChar w:fldCharType="begin"/>
          </w:r>
          <w:r>
            <w:rPr>
              <w:rFonts w:hint="default" w:ascii="Times New Roman" w:hAnsi="Times New Roman" w:eastAsia="方正仿宋_GBK" w:cs="Times New Roman"/>
              <w:sz w:val="28"/>
              <w:szCs w:val="28"/>
            </w:rPr>
            <w:instrText xml:space="preserve"> HYPERLINK \l _Toc12213 </w:instrText>
          </w:r>
          <w:r>
            <w:rPr>
              <w:rFonts w:hint="default" w:ascii="Times New Roman" w:hAnsi="Times New Roman" w:eastAsia="方正仿宋_GBK" w:cs="Times New Roman"/>
              <w:sz w:val="28"/>
              <w:szCs w:val="28"/>
            </w:rPr>
            <w:fldChar w:fldCharType="separate"/>
          </w:r>
          <w:r>
            <w:rPr>
              <w:rFonts w:hint="default" w:ascii="Times New Roman" w:hAnsi="Times New Roman" w:eastAsia="方正仿宋_GBK" w:cs="Times New Roman"/>
              <w:bCs/>
              <w:sz w:val="28"/>
              <w:szCs w:val="28"/>
            </w:rPr>
            <w:t>一、 部门职责</w:t>
          </w:r>
          <w:r>
            <w:rPr>
              <w:rFonts w:hint="default" w:ascii="Times New Roman" w:hAnsi="Times New Roman" w:eastAsia="方正仿宋_GBK" w:cs="Times New Roman"/>
              <w:sz w:val="28"/>
              <w:szCs w:val="28"/>
            </w:rPr>
            <w:tab/>
          </w:r>
          <w:r>
            <w:rPr>
              <w:rFonts w:hint="default" w:ascii="Times New Roman" w:hAnsi="Times New Roman" w:eastAsia="方正仿宋_GBK" w:cs="Times New Roman"/>
              <w:sz w:val="28"/>
              <w:szCs w:val="28"/>
            </w:rPr>
            <w:fldChar w:fldCharType="begin"/>
          </w:r>
          <w:r>
            <w:rPr>
              <w:rFonts w:hint="default" w:ascii="Times New Roman" w:hAnsi="Times New Roman" w:eastAsia="方正仿宋_GBK" w:cs="Times New Roman"/>
              <w:sz w:val="28"/>
              <w:szCs w:val="28"/>
            </w:rPr>
            <w:instrText xml:space="preserve"> PAGEREF _Toc12213 \h </w:instrText>
          </w:r>
          <w:r>
            <w:rPr>
              <w:rFonts w:hint="default" w:ascii="Times New Roman" w:hAnsi="Times New Roman" w:eastAsia="方正仿宋_GBK" w:cs="Times New Roman"/>
              <w:sz w:val="28"/>
              <w:szCs w:val="28"/>
            </w:rPr>
            <w:fldChar w:fldCharType="separate"/>
          </w:r>
          <w:r>
            <w:rPr>
              <w:rFonts w:hint="default" w:ascii="Times New Roman" w:hAnsi="Times New Roman" w:eastAsia="方正仿宋_GBK" w:cs="Times New Roman"/>
              <w:sz w:val="28"/>
              <w:szCs w:val="28"/>
            </w:rPr>
            <w:t>- 2 -</w:t>
          </w:r>
          <w:r>
            <w:rPr>
              <w:rFonts w:hint="default" w:ascii="Times New Roman" w:hAnsi="Times New Roman" w:eastAsia="方正仿宋_GBK" w:cs="Times New Roman"/>
              <w:sz w:val="28"/>
              <w:szCs w:val="28"/>
            </w:rPr>
            <w:fldChar w:fldCharType="end"/>
          </w:r>
          <w:r>
            <w:rPr>
              <w:rFonts w:hint="default" w:ascii="Times New Roman" w:hAnsi="Times New Roman" w:eastAsia="方正仿宋_GBK" w:cs="Times New Roman"/>
              <w:sz w:val="28"/>
              <w:szCs w:val="28"/>
            </w:rPr>
            <w:fldChar w:fldCharType="end"/>
          </w:r>
        </w:p>
        <w:p w14:paraId="219A53CC">
          <w:pPr>
            <w:pStyle w:val="14"/>
            <w:tabs>
              <w:tab w:val="right" w:leader="dot" w:pos="8306"/>
              <w:tab w:val="clear" w:pos="8296"/>
            </w:tabs>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fldChar w:fldCharType="begin"/>
          </w:r>
          <w:r>
            <w:rPr>
              <w:rFonts w:hint="default" w:ascii="Times New Roman" w:hAnsi="Times New Roman" w:eastAsia="方正仿宋_GBK" w:cs="Times New Roman"/>
              <w:sz w:val="28"/>
              <w:szCs w:val="28"/>
            </w:rPr>
            <w:instrText xml:space="preserve"> HYPERLINK \l _Toc8236 </w:instrText>
          </w:r>
          <w:r>
            <w:rPr>
              <w:rFonts w:hint="default" w:ascii="Times New Roman" w:hAnsi="Times New Roman" w:eastAsia="方正仿宋_GBK" w:cs="Times New Roman"/>
              <w:sz w:val="28"/>
              <w:szCs w:val="28"/>
            </w:rPr>
            <w:fldChar w:fldCharType="separate"/>
          </w:r>
          <w:r>
            <w:rPr>
              <w:rFonts w:hint="default" w:ascii="Times New Roman" w:hAnsi="Times New Roman" w:eastAsia="方正仿宋_GBK" w:cs="Times New Roman"/>
              <w:bCs/>
              <w:sz w:val="28"/>
              <w:szCs w:val="28"/>
            </w:rPr>
            <w:t>二、 机构设置</w:t>
          </w:r>
          <w:r>
            <w:rPr>
              <w:rFonts w:hint="default" w:ascii="Times New Roman" w:hAnsi="Times New Roman" w:eastAsia="方正仿宋_GBK" w:cs="Times New Roman"/>
              <w:sz w:val="28"/>
              <w:szCs w:val="28"/>
            </w:rPr>
            <w:tab/>
          </w:r>
          <w:r>
            <w:rPr>
              <w:rFonts w:hint="default" w:ascii="Times New Roman" w:hAnsi="Times New Roman" w:eastAsia="方正仿宋_GBK" w:cs="Times New Roman"/>
              <w:sz w:val="28"/>
              <w:szCs w:val="28"/>
            </w:rPr>
            <w:fldChar w:fldCharType="begin"/>
          </w:r>
          <w:r>
            <w:rPr>
              <w:rFonts w:hint="default" w:ascii="Times New Roman" w:hAnsi="Times New Roman" w:eastAsia="方正仿宋_GBK" w:cs="Times New Roman"/>
              <w:sz w:val="28"/>
              <w:szCs w:val="28"/>
            </w:rPr>
            <w:instrText xml:space="preserve"> PAGEREF _Toc8236 \h </w:instrText>
          </w:r>
          <w:r>
            <w:rPr>
              <w:rFonts w:hint="default" w:ascii="Times New Roman" w:hAnsi="Times New Roman" w:eastAsia="方正仿宋_GBK" w:cs="Times New Roman"/>
              <w:sz w:val="28"/>
              <w:szCs w:val="28"/>
            </w:rPr>
            <w:fldChar w:fldCharType="separate"/>
          </w:r>
          <w:r>
            <w:rPr>
              <w:rFonts w:hint="default" w:ascii="Times New Roman" w:hAnsi="Times New Roman" w:eastAsia="方正仿宋_GBK" w:cs="Times New Roman"/>
              <w:sz w:val="28"/>
              <w:szCs w:val="28"/>
            </w:rPr>
            <w:t>- 5 -</w:t>
          </w:r>
          <w:r>
            <w:rPr>
              <w:rFonts w:hint="default" w:ascii="Times New Roman" w:hAnsi="Times New Roman" w:eastAsia="方正仿宋_GBK" w:cs="Times New Roman"/>
              <w:sz w:val="28"/>
              <w:szCs w:val="28"/>
            </w:rPr>
            <w:fldChar w:fldCharType="end"/>
          </w:r>
          <w:r>
            <w:rPr>
              <w:rFonts w:hint="default" w:ascii="Times New Roman" w:hAnsi="Times New Roman" w:eastAsia="方正仿宋_GBK" w:cs="Times New Roman"/>
              <w:sz w:val="28"/>
              <w:szCs w:val="28"/>
            </w:rPr>
            <w:fldChar w:fldCharType="end"/>
          </w:r>
        </w:p>
        <w:p w14:paraId="51ABC833">
          <w:pPr>
            <w:pStyle w:val="13"/>
            <w:tabs>
              <w:tab w:val="right" w:leader="dot" w:pos="8306"/>
              <w:tab w:val="clear" w:pos="8296"/>
            </w:tabs>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fldChar w:fldCharType="begin"/>
          </w:r>
          <w:r>
            <w:rPr>
              <w:rFonts w:hint="default" w:ascii="Times New Roman" w:hAnsi="Times New Roman" w:eastAsia="方正仿宋_GBK" w:cs="Times New Roman"/>
              <w:sz w:val="28"/>
              <w:szCs w:val="28"/>
            </w:rPr>
            <w:instrText xml:space="preserve"> HYPERLINK \l _Toc29970 </w:instrText>
          </w:r>
          <w:r>
            <w:rPr>
              <w:rFonts w:hint="default" w:ascii="Times New Roman" w:hAnsi="Times New Roman" w:eastAsia="方正仿宋_GBK" w:cs="Times New Roman"/>
              <w:sz w:val="28"/>
              <w:szCs w:val="28"/>
            </w:rPr>
            <w:fldChar w:fldCharType="separate"/>
          </w:r>
          <w:r>
            <w:rPr>
              <w:rFonts w:hint="default" w:ascii="Times New Roman" w:hAnsi="Times New Roman" w:eastAsia="方正仿宋_GBK" w:cs="Times New Roman"/>
              <w:bCs w:val="0"/>
              <w:sz w:val="28"/>
              <w:szCs w:val="28"/>
            </w:rPr>
            <w:t>第二部分  2024年度部门决算情况说明</w:t>
          </w:r>
          <w:r>
            <w:rPr>
              <w:rFonts w:hint="default" w:ascii="Times New Roman" w:hAnsi="Times New Roman" w:eastAsia="方正仿宋_GBK" w:cs="Times New Roman"/>
              <w:sz w:val="28"/>
              <w:szCs w:val="28"/>
            </w:rPr>
            <w:tab/>
          </w:r>
          <w:r>
            <w:rPr>
              <w:rFonts w:hint="default" w:ascii="Times New Roman" w:hAnsi="Times New Roman" w:eastAsia="方正仿宋_GBK" w:cs="Times New Roman"/>
              <w:sz w:val="28"/>
              <w:szCs w:val="28"/>
            </w:rPr>
            <w:fldChar w:fldCharType="begin"/>
          </w:r>
          <w:r>
            <w:rPr>
              <w:rFonts w:hint="default" w:ascii="Times New Roman" w:hAnsi="Times New Roman" w:eastAsia="方正仿宋_GBK" w:cs="Times New Roman"/>
              <w:sz w:val="28"/>
              <w:szCs w:val="28"/>
            </w:rPr>
            <w:instrText xml:space="preserve"> PAGEREF _Toc29970 \h </w:instrText>
          </w:r>
          <w:r>
            <w:rPr>
              <w:rFonts w:hint="default" w:ascii="Times New Roman" w:hAnsi="Times New Roman" w:eastAsia="方正仿宋_GBK" w:cs="Times New Roman"/>
              <w:sz w:val="28"/>
              <w:szCs w:val="28"/>
            </w:rPr>
            <w:fldChar w:fldCharType="separate"/>
          </w:r>
          <w:r>
            <w:rPr>
              <w:rFonts w:hint="default" w:ascii="Times New Roman" w:hAnsi="Times New Roman" w:eastAsia="方正仿宋_GBK" w:cs="Times New Roman"/>
              <w:sz w:val="28"/>
              <w:szCs w:val="28"/>
            </w:rPr>
            <w:t>- 6 -</w:t>
          </w:r>
          <w:r>
            <w:rPr>
              <w:rFonts w:hint="default" w:ascii="Times New Roman" w:hAnsi="Times New Roman" w:eastAsia="方正仿宋_GBK" w:cs="Times New Roman"/>
              <w:sz w:val="28"/>
              <w:szCs w:val="28"/>
            </w:rPr>
            <w:fldChar w:fldCharType="end"/>
          </w:r>
          <w:r>
            <w:rPr>
              <w:rFonts w:hint="default" w:ascii="Times New Roman" w:hAnsi="Times New Roman" w:eastAsia="方正仿宋_GBK" w:cs="Times New Roman"/>
              <w:sz w:val="28"/>
              <w:szCs w:val="28"/>
            </w:rPr>
            <w:fldChar w:fldCharType="end"/>
          </w:r>
        </w:p>
        <w:p w14:paraId="6C546537">
          <w:pPr>
            <w:pStyle w:val="14"/>
            <w:tabs>
              <w:tab w:val="right" w:leader="dot" w:pos="8306"/>
              <w:tab w:val="clear" w:pos="8296"/>
            </w:tabs>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fldChar w:fldCharType="begin"/>
          </w:r>
          <w:r>
            <w:rPr>
              <w:rFonts w:hint="default" w:ascii="Times New Roman" w:hAnsi="Times New Roman" w:eastAsia="方正仿宋_GBK" w:cs="Times New Roman"/>
              <w:sz w:val="28"/>
              <w:szCs w:val="28"/>
            </w:rPr>
            <w:instrText xml:space="preserve"> HYPERLINK \l _Toc7149 </w:instrText>
          </w:r>
          <w:r>
            <w:rPr>
              <w:rFonts w:hint="default" w:ascii="Times New Roman" w:hAnsi="Times New Roman" w:eastAsia="方正仿宋_GBK" w:cs="Times New Roman"/>
              <w:sz w:val="28"/>
              <w:szCs w:val="28"/>
            </w:rPr>
            <w:fldChar w:fldCharType="separate"/>
          </w:r>
          <w:r>
            <w:rPr>
              <w:rFonts w:hint="default" w:ascii="Times New Roman" w:hAnsi="Times New Roman" w:eastAsia="方正仿宋_GBK" w:cs="Times New Roman"/>
              <w:sz w:val="28"/>
              <w:szCs w:val="28"/>
            </w:rPr>
            <w:t>一、收入支出决算总体情况说明</w:t>
          </w:r>
          <w:r>
            <w:rPr>
              <w:rFonts w:hint="default" w:ascii="Times New Roman" w:hAnsi="Times New Roman" w:eastAsia="方正仿宋_GBK" w:cs="Times New Roman"/>
              <w:sz w:val="28"/>
              <w:szCs w:val="28"/>
            </w:rPr>
            <w:tab/>
          </w:r>
          <w:r>
            <w:rPr>
              <w:rFonts w:hint="default" w:ascii="Times New Roman" w:hAnsi="Times New Roman" w:eastAsia="方正仿宋_GBK" w:cs="Times New Roman"/>
              <w:sz w:val="28"/>
              <w:szCs w:val="28"/>
            </w:rPr>
            <w:fldChar w:fldCharType="begin"/>
          </w:r>
          <w:r>
            <w:rPr>
              <w:rFonts w:hint="default" w:ascii="Times New Roman" w:hAnsi="Times New Roman" w:eastAsia="方正仿宋_GBK" w:cs="Times New Roman"/>
              <w:sz w:val="28"/>
              <w:szCs w:val="28"/>
            </w:rPr>
            <w:instrText xml:space="preserve"> PAGEREF _Toc7149 \h </w:instrText>
          </w:r>
          <w:r>
            <w:rPr>
              <w:rFonts w:hint="default" w:ascii="Times New Roman" w:hAnsi="Times New Roman" w:eastAsia="方正仿宋_GBK" w:cs="Times New Roman"/>
              <w:sz w:val="28"/>
              <w:szCs w:val="28"/>
            </w:rPr>
            <w:fldChar w:fldCharType="separate"/>
          </w:r>
          <w:r>
            <w:rPr>
              <w:rFonts w:hint="default" w:ascii="Times New Roman" w:hAnsi="Times New Roman" w:eastAsia="方正仿宋_GBK" w:cs="Times New Roman"/>
              <w:sz w:val="28"/>
              <w:szCs w:val="28"/>
            </w:rPr>
            <w:t>- 6 -</w:t>
          </w:r>
          <w:r>
            <w:rPr>
              <w:rFonts w:hint="default" w:ascii="Times New Roman" w:hAnsi="Times New Roman" w:eastAsia="方正仿宋_GBK" w:cs="Times New Roman"/>
              <w:sz w:val="28"/>
              <w:szCs w:val="28"/>
            </w:rPr>
            <w:fldChar w:fldCharType="end"/>
          </w:r>
          <w:r>
            <w:rPr>
              <w:rFonts w:hint="default" w:ascii="Times New Roman" w:hAnsi="Times New Roman" w:eastAsia="方正仿宋_GBK" w:cs="Times New Roman"/>
              <w:sz w:val="28"/>
              <w:szCs w:val="28"/>
            </w:rPr>
            <w:fldChar w:fldCharType="end"/>
          </w:r>
        </w:p>
        <w:p w14:paraId="5F9C4F3E">
          <w:pPr>
            <w:pStyle w:val="14"/>
            <w:tabs>
              <w:tab w:val="right" w:leader="dot" w:pos="8306"/>
              <w:tab w:val="clear" w:pos="8296"/>
            </w:tabs>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fldChar w:fldCharType="begin"/>
          </w:r>
          <w:r>
            <w:rPr>
              <w:rFonts w:hint="default" w:ascii="Times New Roman" w:hAnsi="Times New Roman" w:eastAsia="方正仿宋_GBK" w:cs="Times New Roman"/>
              <w:sz w:val="28"/>
              <w:szCs w:val="28"/>
            </w:rPr>
            <w:instrText xml:space="preserve"> HYPERLINK \l _Toc20736 </w:instrText>
          </w:r>
          <w:r>
            <w:rPr>
              <w:rFonts w:hint="default" w:ascii="Times New Roman" w:hAnsi="Times New Roman" w:eastAsia="方正仿宋_GBK" w:cs="Times New Roman"/>
              <w:sz w:val="28"/>
              <w:szCs w:val="28"/>
            </w:rPr>
            <w:fldChar w:fldCharType="separate"/>
          </w:r>
          <w:r>
            <w:rPr>
              <w:rFonts w:hint="default" w:ascii="Times New Roman" w:hAnsi="Times New Roman" w:eastAsia="方正仿宋_GBK" w:cs="Times New Roman"/>
              <w:sz w:val="28"/>
              <w:szCs w:val="28"/>
            </w:rPr>
            <w:t>二、收入决算情况说明</w:t>
          </w:r>
          <w:r>
            <w:rPr>
              <w:rFonts w:hint="default" w:ascii="Times New Roman" w:hAnsi="Times New Roman" w:eastAsia="方正仿宋_GBK" w:cs="Times New Roman"/>
              <w:sz w:val="28"/>
              <w:szCs w:val="28"/>
            </w:rPr>
            <w:tab/>
          </w:r>
          <w:r>
            <w:rPr>
              <w:rFonts w:hint="default" w:ascii="Times New Roman" w:hAnsi="Times New Roman" w:eastAsia="方正仿宋_GBK" w:cs="Times New Roman"/>
              <w:sz w:val="28"/>
              <w:szCs w:val="28"/>
            </w:rPr>
            <w:fldChar w:fldCharType="begin"/>
          </w:r>
          <w:r>
            <w:rPr>
              <w:rFonts w:hint="default" w:ascii="Times New Roman" w:hAnsi="Times New Roman" w:eastAsia="方正仿宋_GBK" w:cs="Times New Roman"/>
              <w:sz w:val="28"/>
              <w:szCs w:val="28"/>
            </w:rPr>
            <w:instrText xml:space="preserve"> PAGEREF _Toc20736 \h </w:instrText>
          </w:r>
          <w:r>
            <w:rPr>
              <w:rFonts w:hint="default" w:ascii="Times New Roman" w:hAnsi="Times New Roman" w:eastAsia="方正仿宋_GBK" w:cs="Times New Roman"/>
              <w:sz w:val="28"/>
              <w:szCs w:val="28"/>
            </w:rPr>
            <w:fldChar w:fldCharType="separate"/>
          </w:r>
          <w:r>
            <w:rPr>
              <w:rFonts w:hint="default" w:ascii="Times New Roman" w:hAnsi="Times New Roman" w:eastAsia="方正仿宋_GBK" w:cs="Times New Roman"/>
              <w:sz w:val="28"/>
              <w:szCs w:val="28"/>
            </w:rPr>
            <w:t>- 7 -</w:t>
          </w:r>
          <w:r>
            <w:rPr>
              <w:rFonts w:hint="default" w:ascii="Times New Roman" w:hAnsi="Times New Roman" w:eastAsia="方正仿宋_GBK" w:cs="Times New Roman"/>
              <w:sz w:val="28"/>
              <w:szCs w:val="28"/>
            </w:rPr>
            <w:fldChar w:fldCharType="end"/>
          </w:r>
          <w:r>
            <w:rPr>
              <w:rFonts w:hint="default" w:ascii="Times New Roman" w:hAnsi="Times New Roman" w:eastAsia="方正仿宋_GBK" w:cs="Times New Roman"/>
              <w:sz w:val="28"/>
              <w:szCs w:val="28"/>
            </w:rPr>
            <w:fldChar w:fldCharType="end"/>
          </w:r>
        </w:p>
        <w:p w14:paraId="499D216F">
          <w:pPr>
            <w:pStyle w:val="14"/>
            <w:tabs>
              <w:tab w:val="right" w:leader="dot" w:pos="8306"/>
              <w:tab w:val="clear" w:pos="8296"/>
            </w:tabs>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fldChar w:fldCharType="begin"/>
          </w:r>
          <w:r>
            <w:rPr>
              <w:rFonts w:hint="default" w:ascii="Times New Roman" w:hAnsi="Times New Roman" w:eastAsia="方正仿宋_GBK" w:cs="Times New Roman"/>
              <w:sz w:val="28"/>
              <w:szCs w:val="28"/>
            </w:rPr>
            <w:instrText xml:space="preserve"> HYPERLINK \l _Toc30278 </w:instrText>
          </w:r>
          <w:r>
            <w:rPr>
              <w:rFonts w:hint="default" w:ascii="Times New Roman" w:hAnsi="Times New Roman" w:eastAsia="方正仿宋_GBK" w:cs="Times New Roman"/>
              <w:sz w:val="28"/>
              <w:szCs w:val="28"/>
            </w:rPr>
            <w:fldChar w:fldCharType="separate"/>
          </w:r>
          <w:r>
            <w:rPr>
              <w:rFonts w:hint="default" w:ascii="Times New Roman" w:hAnsi="Times New Roman" w:eastAsia="方正仿宋_GBK" w:cs="Times New Roman"/>
              <w:sz w:val="28"/>
              <w:szCs w:val="28"/>
            </w:rPr>
            <w:t>三、支出决算情况说明</w:t>
          </w:r>
          <w:r>
            <w:rPr>
              <w:rFonts w:hint="default" w:ascii="Times New Roman" w:hAnsi="Times New Roman" w:eastAsia="方正仿宋_GBK" w:cs="Times New Roman"/>
              <w:sz w:val="28"/>
              <w:szCs w:val="28"/>
            </w:rPr>
            <w:tab/>
          </w:r>
          <w:r>
            <w:rPr>
              <w:rFonts w:hint="default" w:ascii="Times New Roman" w:hAnsi="Times New Roman" w:eastAsia="方正仿宋_GBK" w:cs="Times New Roman"/>
              <w:sz w:val="28"/>
              <w:szCs w:val="28"/>
            </w:rPr>
            <w:fldChar w:fldCharType="begin"/>
          </w:r>
          <w:r>
            <w:rPr>
              <w:rFonts w:hint="default" w:ascii="Times New Roman" w:hAnsi="Times New Roman" w:eastAsia="方正仿宋_GBK" w:cs="Times New Roman"/>
              <w:sz w:val="28"/>
              <w:szCs w:val="28"/>
            </w:rPr>
            <w:instrText xml:space="preserve"> PAGEREF _Toc30278 \h </w:instrText>
          </w:r>
          <w:r>
            <w:rPr>
              <w:rFonts w:hint="default" w:ascii="Times New Roman" w:hAnsi="Times New Roman" w:eastAsia="方正仿宋_GBK" w:cs="Times New Roman"/>
              <w:sz w:val="28"/>
              <w:szCs w:val="28"/>
            </w:rPr>
            <w:fldChar w:fldCharType="separate"/>
          </w:r>
          <w:r>
            <w:rPr>
              <w:rFonts w:hint="default" w:ascii="Times New Roman" w:hAnsi="Times New Roman" w:eastAsia="方正仿宋_GBK" w:cs="Times New Roman"/>
              <w:sz w:val="28"/>
              <w:szCs w:val="28"/>
            </w:rPr>
            <w:t>- 7 -</w:t>
          </w:r>
          <w:r>
            <w:rPr>
              <w:rFonts w:hint="default" w:ascii="Times New Roman" w:hAnsi="Times New Roman" w:eastAsia="方正仿宋_GBK" w:cs="Times New Roman"/>
              <w:sz w:val="28"/>
              <w:szCs w:val="28"/>
            </w:rPr>
            <w:fldChar w:fldCharType="end"/>
          </w:r>
          <w:r>
            <w:rPr>
              <w:rFonts w:hint="default" w:ascii="Times New Roman" w:hAnsi="Times New Roman" w:eastAsia="方正仿宋_GBK" w:cs="Times New Roman"/>
              <w:sz w:val="28"/>
              <w:szCs w:val="28"/>
            </w:rPr>
            <w:fldChar w:fldCharType="end"/>
          </w:r>
        </w:p>
        <w:p w14:paraId="26C29739">
          <w:pPr>
            <w:pStyle w:val="14"/>
            <w:tabs>
              <w:tab w:val="right" w:leader="dot" w:pos="8306"/>
              <w:tab w:val="clear" w:pos="8296"/>
            </w:tabs>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fldChar w:fldCharType="begin"/>
          </w:r>
          <w:r>
            <w:rPr>
              <w:rFonts w:hint="default" w:ascii="Times New Roman" w:hAnsi="Times New Roman" w:eastAsia="方正仿宋_GBK" w:cs="Times New Roman"/>
              <w:sz w:val="28"/>
              <w:szCs w:val="28"/>
            </w:rPr>
            <w:instrText xml:space="preserve"> HYPERLINK \l _Toc21310 </w:instrText>
          </w:r>
          <w:r>
            <w:rPr>
              <w:rFonts w:hint="default" w:ascii="Times New Roman" w:hAnsi="Times New Roman" w:eastAsia="方正仿宋_GBK" w:cs="Times New Roman"/>
              <w:sz w:val="28"/>
              <w:szCs w:val="28"/>
            </w:rPr>
            <w:fldChar w:fldCharType="separate"/>
          </w:r>
          <w:r>
            <w:rPr>
              <w:rFonts w:hint="default" w:ascii="Times New Roman" w:hAnsi="Times New Roman" w:eastAsia="方正仿宋_GBK" w:cs="Times New Roman"/>
              <w:sz w:val="28"/>
              <w:szCs w:val="28"/>
            </w:rPr>
            <w:t>四、财政拨款收入支出决算总体情况说明</w:t>
          </w:r>
          <w:r>
            <w:rPr>
              <w:rFonts w:hint="default" w:ascii="Times New Roman" w:hAnsi="Times New Roman" w:eastAsia="方正仿宋_GBK" w:cs="Times New Roman"/>
              <w:sz w:val="28"/>
              <w:szCs w:val="28"/>
            </w:rPr>
            <w:tab/>
          </w:r>
          <w:r>
            <w:rPr>
              <w:rFonts w:hint="default" w:ascii="Times New Roman" w:hAnsi="Times New Roman" w:eastAsia="方正仿宋_GBK" w:cs="Times New Roman"/>
              <w:sz w:val="28"/>
              <w:szCs w:val="28"/>
            </w:rPr>
            <w:fldChar w:fldCharType="begin"/>
          </w:r>
          <w:r>
            <w:rPr>
              <w:rFonts w:hint="default" w:ascii="Times New Roman" w:hAnsi="Times New Roman" w:eastAsia="方正仿宋_GBK" w:cs="Times New Roman"/>
              <w:sz w:val="28"/>
              <w:szCs w:val="28"/>
            </w:rPr>
            <w:instrText xml:space="preserve"> PAGEREF _Toc21310 \h </w:instrText>
          </w:r>
          <w:r>
            <w:rPr>
              <w:rFonts w:hint="default" w:ascii="Times New Roman" w:hAnsi="Times New Roman" w:eastAsia="方正仿宋_GBK" w:cs="Times New Roman"/>
              <w:sz w:val="28"/>
              <w:szCs w:val="28"/>
            </w:rPr>
            <w:fldChar w:fldCharType="separate"/>
          </w:r>
          <w:r>
            <w:rPr>
              <w:rFonts w:hint="default" w:ascii="Times New Roman" w:hAnsi="Times New Roman" w:eastAsia="方正仿宋_GBK" w:cs="Times New Roman"/>
              <w:sz w:val="28"/>
              <w:szCs w:val="28"/>
            </w:rPr>
            <w:t>- 8 -</w:t>
          </w:r>
          <w:r>
            <w:rPr>
              <w:rFonts w:hint="default" w:ascii="Times New Roman" w:hAnsi="Times New Roman" w:eastAsia="方正仿宋_GBK" w:cs="Times New Roman"/>
              <w:sz w:val="28"/>
              <w:szCs w:val="28"/>
            </w:rPr>
            <w:fldChar w:fldCharType="end"/>
          </w:r>
          <w:r>
            <w:rPr>
              <w:rFonts w:hint="default" w:ascii="Times New Roman" w:hAnsi="Times New Roman" w:eastAsia="方正仿宋_GBK" w:cs="Times New Roman"/>
              <w:sz w:val="28"/>
              <w:szCs w:val="28"/>
            </w:rPr>
            <w:fldChar w:fldCharType="end"/>
          </w:r>
        </w:p>
        <w:p w14:paraId="0BE94570">
          <w:pPr>
            <w:pStyle w:val="14"/>
            <w:tabs>
              <w:tab w:val="right" w:leader="dot" w:pos="8306"/>
              <w:tab w:val="clear" w:pos="8296"/>
            </w:tabs>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fldChar w:fldCharType="begin"/>
          </w:r>
          <w:r>
            <w:rPr>
              <w:rFonts w:hint="default" w:ascii="Times New Roman" w:hAnsi="Times New Roman" w:eastAsia="方正仿宋_GBK" w:cs="Times New Roman"/>
              <w:sz w:val="28"/>
              <w:szCs w:val="28"/>
            </w:rPr>
            <w:instrText xml:space="preserve"> HYPERLINK \l _Toc5102 </w:instrText>
          </w:r>
          <w:r>
            <w:rPr>
              <w:rFonts w:hint="default" w:ascii="Times New Roman" w:hAnsi="Times New Roman" w:eastAsia="方正仿宋_GBK" w:cs="Times New Roman"/>
              <w:sz w:val="28"/>
              <w:szCs w:val="28"/>
            </w:rPr>
            <w:fldChar w:fldCharType="separate"/>
          </w:r>
          <w:r>
            <w:rPr>
              <w:rFonts w:hint="default" w:ascii="Times New Roman" w:hAnsi="Times New Roman" w:eastAsia="方正仿宋_GBK" w:cs="Times New Roman"/>
              <w:sz w:val="28"/>
              <w:szCs w:val="28"/>
            </w:rPr>
            <w:t>五、一般公共预算财政拨款支出决算情况说明</w:t>
          </w:r>
          <w:r>
            <w:rPr>
              <w:rFonts w:hint="default" w:ascii="Times New Roman" w:hAnsi="Times New Roman" w:eastAsia="方正仿宋_GBK" w:cs="Times New Roman"/>
              <w:sz w:val="28"/>
              <w:szCs w:val="28"/>
            </w:rPr>
            <w:tab/>
          </w:r>
          <w:r>
            <w:rPr>
              <w:rFonts w:hint="default" w:ascii="Times New Roman" w:hAnsi="Times New Roman" w:eastAsia="方正仿宋_GBK" w:cs="Times New Roman"/>
              <w:sz w:val="28"/>
              <w:szCs w:val="28"/>
            </w:rPr>
            <w:fldChar w:fldCharType="begin"/>
          </w:r>
          <w:r>
            <w:rPr>
              <w:rFonts w:hint="default" w:ascii="Times New Roman" w:hAnsi="Times New Roman" w:eastAsia="方正仿宋_GBK" w:cs="Times New Roman"/>
              <w:sz w:val="28"/>
              <w:szCs w:val="28"/>
            </w:rPr>
            <w:instrText xml:space="preserve"> PAGEREF _Toc5102 \h </w:instrText>
          </w:r>
          <w:r>
            <w:rPr>
              <w:rFonts w:hint="default" w:ascii="Times New Roman" w:hAnsi="Times New Roman" w:eastAsia="方正仿宋_GBK" w:cs="Times New Roman"/>
              <w:sz w:val="28"/>
              <w:szCs w:val="28"/>
            </w:rPr>
            <w:fldChar w:fldCharType="separate"/>
          </w:r>
          <w:r>
            <w:rPr>
              <w:rFonts w:hint="default" w:ascii="Times New Roman" w:hAnsi="Times New Roman" w:eastAsia="方正仿宋_GBK" w:cs="Times New Roman"/>
              <w:sz w:val="28"/>
              <w:szCs w:val="28"/>
            </w:rPr>
            <w:t>- 9 -</w:t>
          </w:r>
          <w:r>
            <w:rPr>
              <w:rFonts w:hint="default" w:ascii="Times New Roman" w:hAnsi="Times New Roman" w:eastAsia="方正仿宋_GBK" w:cs="Times New Roman"/>
              <w:sz w:val="28"/>
              <w:szCs w:val="28"/>
            </w:rPr>
            <w:fldChar w:fldCharType="end"/>
          </w:r>
          <w:r>
            <w:rPr>
              <w:rFonts w:hint="default" w:ascii="Times New Roman" w:hAnsi="Times New Roman" w:eastAsia="方正仿宋_GBK" w:cs="Times New Roman"/>
              <w:sz w:val="28"/>
              <w:szCs w:val="28"/>
            </w:rPr>
            <w:fldChar w:fldCharType="end"/>
          </w:r>
        </w:p>
        <w:p w14:paraId="6A966DAA">
          <w:pPr>
            <w:pStyle w:val="14"/>
            <w:tabs>
              <w:tab w:val="right" w:leader="dot" w:pos="8306"/>
              <w:tab w:val="clear" w:pos="8296"/>
            </w:tabs>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fldChar w:fldCharType="begin"/>
          </w:r>
          <w:r>
            <w:rPr>
              <w:rFonts w:hint="default" w:ascii="Times New Roman" w:hAnsi="Times New Roman" w:eastAsia="方正仿宋_GBK" w:cs="Times New Roman"/>
              <w:sz w:val="28"/>
              <w:szCs w:val="28"/>
            </w:rPr>
            <w:instrText xml:space="preserve"> HYPERLINK \l _Toc16298 </w:instrText>
          </w:r>
          <w:r>
            <w:rPr>
              <w:rFonts w:hint="default" w:ascii="Times New Roman" w:hAnsi="Times New Roman" w:eastAsia="方正仿宋_GBK" w:cs="Times New Roman"/>
              <w:sz w:val="28"/>
              <w:szCs w:val="28"/>
            </w:rPr>
            <w:fldChar w:fldCharType="separate"/>
          </w:r>
          <w:r>
            <w:rPr>
              <w:rFonts w:hint="default" w:ascii="Times New Roman" w:hAnsi="Times New Roman" w:eastAsia="方正仿宋_GBK" w:cs="Times New Roman"/>
              <w:sz w:val="28"/>
              <w:szCs w:val="28"/>
            </w:rPr>
            <w:t>八、政府性基金预算支出决算情况说明</w:t>
          </w:r>
          <w:r>
            <w:rPr>
              <w:rFonts w:hint="default" w:ascii="Times New Roman" w:hAnsi="Times New Roman" w:eastAsia="方正仿宋_GBK" w:cs="Times New Roman"/>
              <w:sz w:val="28"/>
              <w:szCs w:val="28"/>
            </w:rPr>
            <w:tab/>
          </w:r>
          <w:r>
            <w:rPr>
              <w:rFonts w:hint="default" w:ascii="Times New Roman" w:hAnsi="Times New Roman" w:eastAsia="方正仿宋_GBK" w:cs="Times New Roman"/>
              <w:sz w:val="28"/>
              <w:szCs w:val="28"/>
            </w:rPr>
            <w:fldChar w:fldCharType="begin"/>
          </w:r>
          <w:r>
            <w:rPr>
              <w:rFonts w:hint="default" w:ascii="Times New Roman" w:hAnsi="Times New Roman" w:eastAsia="方正仿宋_GBK" w:cs="Times New Roman"/>
              <w:sz w:val="28"/>
              <w:szCs w:val="28"/>
            </w:rPr>
            <w:instrText xml:space="preserve"> PAGEREF _Toc16298 \h </w:instrText>
          </w:r>
          <w:r>
            <w:rPr>
              <w:rFonts w:hint="default" w:ascii="Times New Roman" w:hAnsi="Times New Roman" w:eastAsia="方正仿宋_GBK" w:cs="Times New Roman"/>
              <w:sz w:val="28"/>
              <w:szCs w:val="28"/>
            </w:rPr>
            <w:fldChar w:fldCharType="separate"/>
          </w:r>
          <w:r>
            <w:rPr>
              <w:rFonts w:hint="default" w:ascii="Times New Roman" w:hAnsi="Times New Roman" w:eastAsia="方正仿宋_GBK" w:cs="Times New Roman"/>
              <w:sz w:val="28"/>
              <w:szCs w:val="28"/>
            </w:rPr>
            <w:t>- 17 -</w:t>
          </w:r>
          <w:r>
            <w:rPr>
              <w:rFonts w:hint="default" w:ascii="Times New Roman" w:hAnsi="Times New Roman" w:eastAsia="方正仿宋_GBK" w:cs="Times New Roman"/>
              <w:sz w:val="28"/>
              <w:szCs w:val="28"/>
            </w:rPr>
            <w:fldChar w:fldCharType="end"/>
          </w:r>
          <w:r>
            <w:rPr>
              <w:rFonts w:hint="default" w:ascii="Times New Roman" w:hAnsi="Times New Roman" w:eastAsia="方正仿宋_GBK" w:cs="Times New Roman"/>
              <w:sz w:val="28"/>
              <w:szCs w:val="28"/>
            </w:rPr>
            <w:fldChar w:fldCharType="end"/>
          </w:r>
        </w:p>
        <w:p w14:paraId="585FC6A3">
          <w:pPr>
            <w:pStyle w:val="14"/>
            <w:tabs>
              <w:tab w:val="right" w:leader="dot" w:pos="8306"/>
              <w:tab w:val="clear" w:pos="8296"/>
            </w:tabs>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fldChar w:fldCharType="begin"/>
          </w:r>
          <w:r>
            <w:rPr>
              <w:rFonts w:hint="default" w:ascii="Times New Roman" w:hAnsi="Times New Roman" w:eastAsia="方正仿宋_GBK" w:cs="Times New Roman"/>
              <w:sz w:val="28"/>
              <w:szCs w:val="28"/>
            </w:rPr>
            <w:instrText xml:space="preserve"> HYPERLINK \l _Toc18365 </w:instrText>
          </w:r>
          <w:r>
            <w:rPr>
              <w:rFonts w:hint="default" w:ascii="Times New Roman" w:hAnsi="Times New Roman" w:eastAsia="方正仿宋_GBK" w:cs="Times New Roman"/>
              <w:sz w:val="28"/>
              <w:szCs w:val="28"/>
            </w:rPr>
            <w:fldChar w:fldCharType="separate"/>
          </w:r>
          <w:r>
            <w:rPr>
              <w:rFonts w:hint="default" w:ascii="Times New Roman" w:hAnsi="Times New Roman" w:eastAsia="方正仿宋_GBK" w:cs="Times New Roman"/>
              <w:sz w:val="28"/>
              <w:szCs w:val="28"/>
            </w:rPr>
            <w:t>九、国有资本经营预算支出决算情况说明</w:t>
          </w:r>
          <w:r>
            <w:rPr>
              <w:rFonts w:hint="default" w:ascii="Times New Roman" w:hAnsi="Times New Roman" w:eastAsia="方正仿宋_GBK" w:cs="Times New Roman"/>
              <w:sz w:val="28"/>
              <w:szCs w:val="28"/>
            </w:rPr>
            <w:tab/>
          </w:r>
          <w:r>
            <w:rPr>
              <w:rFonts w:hint="default" w:ascii="Times New Roman" w:hAnsi="Times New Roman" w:eastAsia="方正仿宋_GBK" w:cs="Times New Roman"/>
              <w:sz w:val="28"/>
              <w:szCs w:val="28"/>
            </w:rPr>
            <w:fldChar w:fldCharType="begin"/>
          </w:r>
          <w:r>
            <w:rPr>
              <w:rFonts w:hint="default" w:ascii="Times New Roman" w:hAnsi="Times New Roman" w:eastAsia="方正仿宋_GBK" w:cs="Times New Roman"/>
              <w:sz w:val="28"/>
              <w:szCs w:val="28"/>
            </w:rPr>
            <w:instrText xml:space="preserve"> PAGEREF _Toc18365 \h </w:instrText>
          </w:r>
          <w:r>
            <w:rPr>
              <w:rFonts w:hint="default" w:ascii="Times New Roman" w:hAnsi="Times New Roman" w:eastAsia="方正仿宋_GBK" w:cs="Times New Roman"/>
              <w:sz w:val="28"/>
              <w:szCs w:val="28"/>
            </w:rPr>
            <w:fldChar w:fldCharType="separate"/>
          </w:r>
          <w:r>
            <w:rPr>
              <w:rFonts w:hint="default" w:ascii="Times New Roman" w:hAnsi="Times New Roman" w:eastAsia="方正仿宋_GBK" w:cs="Times New Roman"/>
              <w:sz w:val="28"/>
              <w:szCs w:val="28"/>
            </w:rPr>
            <w:t>- 17 -</w:t>
          </w:r>
          <w:r>
            <w:rPr>
              <w:rFonts w:hint="default" w:ascii="Times New Roman" w:hAnsi="Times New Roman" w:eastAsia="方正仿宋_GBK" w:cs="Times New Roman"/>
              <w:sz w:val="28"/>
              <w:szCs w:val="28"/>
            </w:rPr>
            <w:fldChar w:fldCharType="end"/>
          </w:r>
          <w:r>
            <w:rPr>
              <w:rFonts w:hint="default" w:ascii="Times New Roman" w:hAnsi="Times New Roman" w:eastAsia="方正仿宋_GBK" w:cs="Times New Roman"/>
              <w:sz w:val="28"/>
              <w:szCs w:val="28"/>
            </w:rPr>
            <w:fldChar w:fldCharType="end"/>
          </w:r>
        </w:p>
        <w:p w14:paraId="0B40E2B2">
          <w:pPr>
            <w:pStyle w:val="14"/>
            <w:tabs>
              <w:tab w:val="right" w:leader="dot" w:pos="8306"/>
              <w:tab w:val="clear" w:pos="8296"/>
            </w:tabs>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fldChar w:fldCharType="begin"/>
          </w:r>
          <w:r>
            <w:rPr>
              <w:rFonts w:hint="default" w:ascii="Times New Roman" w:hAnsi="Times New Roman" w:eastAsia="方正仿宋_GBK" w:cs="Times New Roman"/>
              <w:sz w:val="28"/>
              <w:szCs w:val="28"/>
            </w:rPr>
            <w:instrText xml:space="preserve"> HYPERLINK \l _Toc20382 </w:instrText>
          </w:r>
          <w:r>
            <w:rPr>
              <w:rFonts w:hint="default" w:ascii="Times New Roman" w:hAnsi="Times New Roman" w:eastAsia="方正仿宋_GBK" w:cs="Times New Roman"/>
              <w:sz w:val="28"/>
              <w:szCs w:val="28"/>
            </w:rPr>
            <w:fldChar w:fldCharType="separate"/>
          </w:r>
          <w:r>
            <w:rPr>
              <w:rFonts w:hint="default" w:ascii="Times New Roman" w:hAnsi="Times New Roman" w:eastAsia="方正仿宋_GBK" w:cs="Times New Roman"/>
              <w:sz w:val="28"/>
              <w:szCs w:val="28"/>
            </w:rPr>
            <w:t>十、其他重要事项的情况说明</w:t>
          </w:r>
          <w:r>
            <w:rPr>
              <w:rFonts w:hint="default" w:ascii="Times New Roman" w:hAnsi="Times New Roman" w:eastAsia="方正仿宋_GBK" w:cs="Times New Roman"/>
              <w:sz w:val="28"/>
              <w:szCs w:val="28"/>
            </w:rPr>
            <w:tab/>
          </w:r>
          <w:r>
            <w:rPr>
              <w:rFonts w:hint="default" w:ascii="Times New Roman" w:hAnsi="Times New Roman" w:eastAsia="方正仿宋_GBK" w:cs="Times New Roman"/>
              <w:sz w:val="28"/>
              <w:szCs w:val="28"/>
            </w:rPr>
            <w:fldChar w:fldCharType="begin"/>
          </w:r>
          <w:r>
            <w:rPr>
              <w:rFonts w:hint="default" w:ascii="Times New Roman" w:hAnsi="Times New Roman" w:eastAsia="方正仿宋_GBK" w:cs="Times New Roman"/>
              <w:sz w:val="28"/>
              <w:szCs w:val="28"/>
            </w:rPr>
            <w:instrText xml:space="preserve"> PAGEREF _Toc20382 \h </w:instrText>
          </w:r>
          <w:r>
            <w:rPr>
              <w:rFonts w:hint="default" w:ascii="Times New Roman" w:hAnsi="Times New Roman" w:eastAsia="方正仿宋_GBK" w:cs="Times New Roman"/>
              <w:sz w:val="28"/>
              <w:szCs w:val="28"/>
            </w:rPr>
            <w:fldChar w:fldCharType="separate"/>
          </w:r>
          <w:r>
            <w:rPr>
              <w:rFonts w:hint="default" w:ascii="Times New Roman" w:hAnsi="Times New Roman" w:eastAsia="方正仿宋_GBK" w:cs="Times New Roman"/>
              <w:sz w:val="28"/>
              <w:szCs w:val="28"/>
            </w:rPr>
            <w:t>- 17 -</w:t>
          </w:r>
          <w:r>
            <w:rPr>
              <w:rFonts w:hint="default" w:ascii="Times New Roman" w:hAnsi="Times New Roman" w:eastAsia="方正仿宋_GBK" w:cs="Times New Roman"/>
              <w:sz w:val="28"/>
              <w:szCs w:val="28"/>
            </w:rPr>
            <w:fldChar w:fldCharType="end"/>
          </w:r>
          <w:r>
            <w:rPr>
              <w:rFonts w:hint="default" w:ascii="Times New Roman" w:hAnsi="Times New Roman" w:eastAsia="方正仿宋_GBK" w:cs="Times New Roman"/>
              <w:sz w:val="28"/>
              <w:szCs w:val="28"/>
            </w:rPr>
            <w:fldChar w:fldCharType="end"/>
          </w:r>
        </w:p>
        <w:p w14:paraId="6AB1A434">
          <w:pPr>
            <w:pStyle w:val="13"/>
            <w:tabs>
              <w:tab w:val="right" w:leader="dot" w:pos="8306"/>
              <w:tab w:val="clear" w:pos="8296"/>
            </w:tabs>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fldChar w:fldCharType="begin"/>
          </w:r>
          <w:r>
            <w:rPr>
              <w:rFonts w:hint="default" w:ascii="Times New Roman" w:hAnsi="Times New Roman" w:eastAsia="方正仿宋_GBK" w:cs="Times New Roman"/>
              <w:sz w:val="28"/>
              <w:szCs w:val="28"/>
            </w:rPr>
            <w:instrText xml:space="preserve"> HYPERLINK \l _Toc20961 </w:instrText>
          </w:r>
          <w:r>
            <w:rPr>
              <w:rFonts w:hint="default" w:ascii="Times New Roman" w:hAnsi="Times New Roman" w:eastAsia="方正仿宋_GBK" w:cs="Times New Roman"/>
              <w:sz w:val="28"/>
              <w:szCs w:val="28"/>
            </w:rPr>
            <w:fldChar w:fldCharType="separate"/>
          </w:r>
          <w:r>
            <w:rPr>
              <w:rFonts w:hint="default" w:ascii="Times New Roman" w:hAnsi="Times New Roman" w:eastAsia="方正仿宋_GBK" w:cs="Times New Roman"/>
              <w:bCs w:val="0"/>
              <w:sz w:val="28"/>
              <w:szCs w:val="28"/>
            </w:rPr>
            <w:t>第三部分  名词解释</w:t>
          </w:r>
          <w:r>
            <w:rPr>
              <w:rFonts w:hint="default" w:ascii="Times New Roman" w:hAnsi="Times New Roman" w:eastAsia="方正仿宋_GBK" w:cs="Times New Roman"/>
              <w:sz w:val="28"/>
              <w:szCs w:val="28"/>
            </w:rPr>
            <w:tab/>
          </w:r>
          <w:r>
            <w:rPr>
              <w:rFonts w:hint="default" w:ascii="Times New Roman" w:hAnsi="Times New Roman" w:eastAsia="方正仿宋_GBK" w:cs="Times New Roman"/>
              <w:sz w:val="28"/>
              <w:szCs w:val="28"/>
            </w:rPr>
            <w:fldChar w:fldCharType="begin"/>
          </w:r>
          <w:r>
            <w:rPr>
              <w:rFonts w:hint="default" w:ascii="Times New Roman" w:hAnsi="Times New Roman" w:eastAsia="方正仿宋_GBK" w:cs="Times New Roman"/>
              <w:sz w:val="28"/>
              <w:szCs w:val="28"/>
            </w:rPr>
            <w:instrText xml:space="preserve"> PAGEREF _Toc20382 \h </w:instrText>
          </w:r>
          <w:r>
            <w:rPr>
              <w:rFonts w:hint="default" w:ascii="Times New Roman" w:hAnsi="Times New Roman" w:eastAsia="方正仿宋_GBK" w:cs="Times New Roman"/>
              <w:sz w:val="28"/>
              <w:szCs w:val="28"/>
            </w:rPr>
            <w:fldChar w:fldCharType="separate"/>
          </w:r>
          <w:r>
            <w:rPr>
              <w:rFonts w:hint="default" w:ascii="Times New Roman" w:hAnsi="Times New Roman" w:eastAsia="方正仿宋_GBK" w:cs="Times New Roman"/>
              <w:sz w:val="28"/>
              <w:szCs w:val="28"/>
            </w:rPr>
            <w:t xml:space="preserve">- </w:t>
          </w:r>
          <w:r>
            <w:rPr>
              <w:rFonts w:hint="eastAsia" w:ascii="Times New Roman" w:hAnsi="Times New Roman" w:eastAsia="方正仿宋_GBK" w:cs="Times New Roman"/>
              <w:sz w:val="28"/>
              <w:szCs w:val="28"/>
              <w:lang w:val="en-US" w:eastAsia="zh-CN"/>
            </w:rPr>
            <w:t>20</w:t>
          </w:r>
          <w:r>
            <w:rPr>
              <w:rFonts w:hint="default" w:ascii="Times New Roman" w:hAnsi="Times New Roman" w:eastAsia="方正仿宋_GBK" w:cs="Times New Roman"/>
              <w:sz w:val="28"/>
              <w:szCs w:val="28"/>
            </w:rPr>
            <w:t xml:space="preserve"> -</w:t>
          </w:r>
          <w:r>
            <w:rPr>
              <w:rFonts w:hint="default" w:ascii="Times New Roman" w:hAnsi="Times New Roman" w:eastAsia="方正仿宋_GBK" w:cs="Times New Roman"/>
              <w:sz w:val="28"/>
              <w:szCs w:val="28"/>
            </w:rPr>
            <w:fldChar w:fldCharType="end"/>
          </w:r>
          <w:r>
            <w:rPr>
              <w:rFonts w:hint="default" w:ascii="Times New Roman" w:hAnsi="Times New Roman" w:eastAsia="方正仿宋_GBK" w:cs="Times New Roman"/>
              <w:sz w:val="28"/>
              <w:szCs w:val="28"/>
            </w:rPr>
            <w:fldChar w:fldCharType="end"/>
          </w:r>
        </w:p>
        <w:p w14:paraId="62BCA471">
          <w:pPr>
            <w:pStyle w:val="13"/>
            <w:tabs>
              <w:tab w:val="right" w:leader="dot" w:pos="8306"/>
              <w:tab w:val="clear" w:pos="8296"/>
            </w:tabs>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fldChar w:fldCharType="begin"/>
          </w:r>
          <w:r>
            <w:rPr>
              <w:rFonts w:hint="default" w:ascii="Times New Roman" w:hAnsi="Times New Roman" w:eastAsia="方正仿宋_GBK" w:cs="Times New Roman"/>
              <w:sz w:val="28"/>
              <w:szCs w:val="28"/>
            </w:rPr>
            <w:instrText xml:space="preserve"> HYPERLINK \l _Toc20181 </w:instrText>
          </w:r>
          <w:r>
            <w:rPr>
              <w:rFonts w:hint="default" w:ascii="Times New Roman" w:hAnsi="Times New Roman" w:eastAsia="方正仿宋_GBK" w:cs="Times New Roman"/>
              <w:sz w:val="28"/>
              <w:szCs w:val="28"/>
            </w:rPr>
            <w:fldChar w:fldCharType="separate"/>
          </w:r>
          <w:r>
            <w:rPr>
              <w:rFonts w:hint="default" w:ascii="Times New Roman" w:hAnsi="Times New Roman" w:eastAsia="方正仿宋_GBK" w:cs="Times New Roman"/>
              <w:sz w:val="28"/>
              <w:szCs w:val="28"/>
            </w:rPr>
            <w:t>附件1</w:t>
          </w:r>
          <w:r>
            <w:rPr>
              <w:rFonts w:hint="default" w:ascii="Times New Roman" w:hAnsi="Times New Roman" w:eastAsia="方正仿宋_GBK" w:cs="Times New Roman"/>
              <w:sz w:val="28"/>
              <w:szCs w:val="28"/>
            </w:rPr>
            <w:tab/>
          </w:r>
          <w:r>
            <w:rPr>
              <w:rFonts w:hint="default" w:ascii="Times New Roman" w:hAnsi="Times New Roman" w:eastAsia="方正仿宋_GBK" w:cs="Times New Roman"/>
              <w:sz w:val="28"/>
              <w:szCs w:val="28"/>
            </w:rPr>
            <w:fldChar w:fldCharType="begin"/>
          </w:r>
          <w:r>
            <w:rPr>
              <w:rFonts w:hint="default" w:ascii="Times New Roman" w:hAnsi="Times New Roman" w:eastAsia="方正仿宋_GBK" w:cs="Times New Roman"/>
              <w:sz w:val="28"/>
              <w:szCs w:val="28"/>
            </w:rPr>
            <w:instrText xml:space="preserve"> PAGEREF _Toc20181 \h </w:instrText>
          </w:r>
          <w:r>
            <w:rPr>
              <w:rFonts w:hint="default" w:ascii="Times New Roman" w:hAnsi="Times New Roman" w:eastAsia="方正仿宋_GBK" w:cs="Times New Roman"/>
              <w:sz w:val="28"/>
              <w:szCs w:val="28"/>
            </w:rPr>
            <w:fldChar w:fldCharType="separate"/>
          </w:r>
          <w:r>
            <w:rPr>
              <w:rFonts w:hint="default" w:ascii="Times New Roman" w:hAnsi="Times New Roman" w:eastAsia="方正仿宋_GBK" w:cs="Times New Roman"/>
              <w:sz w:val="28"/>
              <w:szCs w:val="28"/>
            </w:rPr>
            <w:t>- 27 -</w:t>
          </w:r>
          <w:r>
            <w:rPr>
              <w:rFonts w:hint="default" w:ascii="Times New Roman" w:hAnsi="Times New Roman" w:eastAsia="方正仿宋_GBK" w:cs="Times New Roman"/>
              <w:sz w:val="28"/>
              <w:szCs w:val="28"/>
            </w:rPr>
            <w:fldChar w:fldCharType="end"/>
          </w:r>
          <w:r>
            <w:rPr>
              <w:rFonts w:hint="default" w:ascii="Times New Roman" w:hAnsi="Times New Roman" w:eastAsia="方正仿宋_GBK" w:cs="Times New Roman"/>
              <w:sz w:val="28"/>
              <w:szCs w:val="28"/>
            </w:rPr>
            <w:fldChar w:fldCharType="end"/>
          </w:r>
        </w:p>
        <w:p w14:paraId="331C826B">
          <w:pPr>
            <w:pStyle w:val="13"/>
            <w:tabs>
              <w:tab w:val="right" w:leader="dot" w:pos="8306"/>
              <w:tab w:val="clear" w:pos="8296"/>
            </w:tabs>
            <w:rPr>
              <w:rFonts w:hint="default" w:ascii="Times New Roman" w:hAnsi="Times New Roman" w:eastAsia="方正仿宋_GBK" w:cs="Times New Roman"/>
              <w:sz w:val="28"/>
              <w:szCs w:val="28"/>
            </w:rPr>
          </w:pPr>
          <w:r>
            <w:rPr>
              <w:rFonts w:hint="default" w:ascii="Times New Roman" w:hAnsi="Times New Roman" w:eastAsia="方正仿宋_GBK" w:cs="Times New Roman"/>
              <w:sz w:val="28"/>
              <w:szCs w:val="28"/>
            </w:rPr>
            <w:fldChar w:fldCharType="begin"/>
          </w:r>
          <w:r>
            <w:rPr>
              <w:rFonts w:hint="default" w:ascii="Times New Roman" w:hAnsi="Times New Roman" w:eastAsia="方正仿宋_GBK" w:cs="Times New Roman"/>
              <w:sz w:val="28"/>
              <w:szCs w:val="28"/>
            </w:rPr>
            <w:instrText xml:space="preserve"> HYPERLINK \l _Toc6251 </w:instrText>
          </w:r>
          <w:r>
            <w:rPr>
              <w:rFonts w:hint="default" w:ascii="Times New Roman" w:hAnsi="Times New Roman" w:eastAsia="方正仿宋_GBK" w:cs="Times New Roman"/>
              <w:sz w:val="28"/>
              <w:szCs w:val="28"/>
            </w:rPr>
            <w:fldChar w:fldCharType="separate"/>
          </w:r>
          <w:r>
            <w:rPr>
              <w:rFonts w:hint="default" w:ascii="Times New Roman" w:hAnsi="Times New Roman" w:eastAsia="方正仿宋_GBK" w:cs="Times New Roman"/>
              <w:bCs w:val="0"/>
              <w:sz w:val="28"/>
              <w:szCs w:val="28"/>
            </w:rPr>
            <w:t>部门预算绩效评价报告范本</w:t>
          </w:r>
          <w:r>
            <w:rPr>
              <w:rFonts w:hint="default" w:ascii="Times New Roman" w:hAnsi="Times New Roman" w:eastAsia="方正仿宋_GBK" w:cs="Times New Roman"/>
              <w:sz w:val="28"/>
              <w:szCs w:val="28"/>
            </w:rPr>
            <w:tab/>
          </w:r>
          <w:r>
            <w:rPr>
              <w:rFonts w:hint="default" w:ascii="Times New Roman" w:hAnsi="Times New Roman" w:eastAsia="方正仿宋_GBK" w:cs="Times New Roman"/>
              <w:sz w:val="28"/>
              <w:szCs w:val="28"/>
            </w:rPr>
            <w:fldChar w:fldCharType="begin"/>
          </w:r>
          <w:r>
            <w:rPr>
              <w:rFonts w:hint="default" w:ascii="Times New Roman" w:hAnsi="Times New Roman" w:eastAsia="方正仿宋_GBK" w:cs="Times New Roman"/>
              <w:sz w:val="28"/>
              <w:szCs w:val="28"/>
            </w:rPr>
            <w:instrText xml:space="preserve"> PAGEREF _Toc6251 \h </w:instrText>
          </w:r>
          <w:r>
            <w:rPr>
              <w:rFonts w:hint="default" w:ascii="Times New Roman" w:hAnsi="Times New Roman" w:eastAsia="方正仿宋_GBK" w:cs="Times New Roman"/>
              <w:sz w:val="28"/>
              <w:szCs w:val="28"/>
            </w:rPr>
            <w:fldChar w:fldCharType="separate"/>
          </w:r>
          <w:r>
            <w:rPr>
              <w:rFonts w:hint="default" w:ascii="Times New Roman" w:hAnsi="Times New Roman" w:eastAsia="方正仿宋_GBK" w:cs="Times New Roman"/>
              <w:sz w:val="28"/>
              <w:szCs w:val="28"/>
            </w:rPr>
            <w:t>- 27 -</w:t>
          </w:r>
          <w:r>
            <w:rPr>
              <w:rFonts w:hint="default" w:ascii="Times New Roman" w:hAnsi="Times New Roman" w:eastAsia="方正仿宋_GBK" w:cs="Times New Roman"/>
              <w:sz w:val="28"/>
              <w:szCs w:val="28"/>
            </w:rPr>
            <w:fldChar w:fldCharType="end"/>
          </w:r>
          <w:r>
            <w:rPr>
              <w:rFonts w:hint="default" w:ascii="Times New Roman" w:hAnsi="Times New Roman" w:eastAsia="方正仿宋_GBK" w:cs="Times New Roman"/>
              <w:sz w:val="28"/>
              <w:szCs w:val="28"/>
            </w:rPr>
            <w:fldChar w:fldCharType="end"/>
          </w:r>
        </w:p>
        <w:p w14:paraId="69018393">
          <w:pPr>
            <w:pStyle w:val="14"/>
            <w:tabs>
              <w:tab w:val="right" w:leader="dot" w:pos="8306"/>
              <w:tab w:val="clear" w:pos="8296"/>
            </w:tabs>
            <w:rPr>
              <w:rFonts w:hint="default" w:ascii="Times New Roman" w:hAnsi="Times New Roman" w:cs="Times New Roman"/>
            </w:rPr>
          </w:pPr>
          <w:r>
            <w:rPr>
              <w:rFonts w:hint="default" w:ascii="Times New Roman" w:hAnsi="Times New Roman" w:eastAsia="方正仿宋_GBK" w:cs="Times New Roman"/>
              <w:sz w:val="28"/>
              <w:szCs w:val="28"/>
            </w:rPr>
            <w:fldChar w:fldCharType="begin"/>
          </w:r>
          <w:r>
            <w:rPr>
              <w:rFonts w:hint="default" w:ascii="Times New Roman" w:hAnsi="Times New Roman" w:eastAsia="方正仿宋_GBK" w:cs="Times New Roman"/>
              <w:sz w:val="28"/>
              <w:szCs w:val="28"/>
            </w:rPr>
            <w:instrText xml:space="preserve"> HYPERLINK \l _Toc22338 </w:instrText>
          </w:r>
          <w:r>
            <w:rPr>
              <w:rFonts w:hint="default" w:ascii="Times New Roman" w:hAnsi="Times New Roman" w:eastAsia="方正仿宋_GBK" w:cs="Times New Roman"/>
              <w:sz w:val="28"/>
              <w:szCs w:val="28"/>
            </w:rPr>
            <w:fldChar w:fldCharType="separate"/>
          </w:r>
          <w:r>
            <w:rPr>
              <w:rFonts w:hint="default" w:ascii="Times New Roman" w:hAnsi="Times New Roman" w:eastAsia="方正仿宋_GBK" w:cs="Times New Roman"/>
              <w:sz w:val="28"/>
              <w:szCs w:val="28"/>
              <w:lang w:val="zh-CN"/>
            </w:rPr>
            <w:t>一、部门（单位）基本情况</w:t>
          </w:r>
          <w:r>
            <w:rPr>
              <w:rFonts w:hint="default" w:ascii="Times New Roman" w:hAnsi="Times New Roman" w:eastAsia="方正仿宋_GBK" w:cs="Times New Roman"/>
              <w:sz w:val="28"/>
              <w:szCs w:val="28"/>
            </w:rPr>
            <w:tab/>
          </w:r>
          <w:r>
            <w:rPr>
              <w:rFonts w:hint="default" w:ascii="Times New Roman" w:hAnsi="Times New Roman" w:eastAsia="方正仿宋_GBK" w:cs="Times New Roman"/>
              <w:sz w:val="28"/>
              <w:szCs w:val="28"/>
            </w:rPr>
            <w:fldChar w:fldCharType="begin"/>
          </w:r>
          <w:r>
            <w:rPr>
              <w:rFonts w:hint="default" w:ascii="Times New Roman" w:hAnsi="Times New Roman" w:eastAsia="方正仿宋_GBK" w:cs="Times New Roman"/>
              <w:sz w:val="28"/>
              <w:szCs w:val="28"/>
            </w:rPr>
            <w:instrText xml:space="preserve"> PAGEREF _Toc22338 \h </w:instrText>
          </w:r>
          <w:r>
            <w:rPr>
              <w:rFonts w:hint="default" w:ascii="Times New Roman" w:hAnsi="Times New Roman" w:eastAsia="方正仿宋_GBK" w:cs="Times New Roman"/>
              <w:sz w:val="28"/>
              <w:szCs w:val="28"/>
            </w:rPr>
            <w:fldChar w:fldCharType="separate"/>
          </w:r>
          <w:r>
            <w:rPr>
              <w:rFonts w:hint="default" w:ascii="Times New Roman" w:hAnsi="Times New Roman" w:eastAsia="方正仿宋_GBK" w:cs="Times New Roman"/>
              <w:sz w:val="28"/>
              <w:szCs w:val="28"/>
            </w:rPr>
            <w:t>- 27 -</w:t>
          </w:r>
          <w:r>
            <w:rPr>
              <w:rFonts w:hint="default" w:ascii="Times New Roman" w:hAnsi="Times New Roman" w:eastAsia="方正仿宋_GBK" w:cs="Times New Roman"/>
              <w:sz w:val="28"/>
              <w:szCs w:val="28"/>
            </w:rPr>
            <w:fldChar w:fldCharType="end"/>
          </w:r>
          <w:r>
            <w:rPr>
              <w:rFonts w:hint="default" w:ascii="Times New Roman" w:hAnsi="Times New Roman" w:eastAsia="方正仿宋_GBK" w:cs="Times New Roman"/>
              <w:sz w:val="28"/>
              <w:szCs w:val="28"/>
            </w:rPr>
            <w:fldChar w:fldCharType="end"/>
          </w:r>
        </w:p>
        <w:p w14:paraId="097DD335">
          <w:pPr>
            <w:pStyle w:val="8"/>
            <w:rPr>
              <w:rFonts w:hint="default" w:ascii="Times New Roman" w:hAnsi="Times New Roman" w:eastAsia="仿宋_GB2312" w:cs="Times New Roman"/>
              <w:kern w:val="0"/>
              <w:sz w:val="30"/>
              <w:szCs w:val="24"/>
              <w:lang w:val="en-US" w:eastAsia="zh-CN" w:bidi="ar-SA"/>
            </w:rPr>
          </w:pPr>
          <w:r>
            <w:rPr>
              <w:rFonts w:hint="default" w:ascii="Times New Roman" w:hAnsi="Times New Roman" w:cs="Times New Roman"/>
            </w:rPr>
            <w:fldChar w:fldCharType="end"/>
          </w:r>
        </w:p>
      </w:sdtContent>
    </w:sdt>
    <w:p w14:paraId="23C7EB36">
      <w:pPr>
        <w:pStyle w:val="8"/>
        <w:rPr>
          <w:rFonts w:hint="default" w:ascii="Times New Roman" w:hAnsi="Times New Roman" w:eastAsia="仿宋_GB2312" w:cs="Times New Roman"/>
          <w:kern w:val="0"/>
          <w:sz w:val="30"/>
          <w:szCs w:val="24"/>
          <w:lang w:val="en-US" w:eastAsia="zh-CN" w:bidi="ar-SA"/>
        </w:rPr>
      </w:pPr>
    </w:p>
    <w:p w14:paraId="6E4DA83A">
      <w:pPr>
        <w:rPr>
          <w:rFonts w:hint="default" w:ascii="Times New Roman" w:hAnsi="Times New Roman" w:cs="Times New Roman"/>
        </w:rPr>
      </w:pPr>
      <w:r>
        <w:rPr>
          <w:rFonts w:hint="default" w:ascii="Times New Roman" w:hAnsi="Times New Roman" w:cs="Times New Roman"/>
        </w:rPr>
        <w:br w:type="page"/>
      </w:r>
      <w:bookmarkStart w:id="97" w:name="_GoBack"/>
      <w:bookmarkEnd w:id="97"/>
    </w:p>
    <w:p w14:paraId="71DB3BDC">
      <w:pPr>
        <w:pStyle w:val="5"/>
        <w:keepNext/>
        <w:keepLines/>
        <w:pageBreakBefore w:val="0"/>
        <w:widowControl w:val="0"/>
        <w:kinsoku/>
        <w:wordWrap/>
        <w:overflowPunct/>
        <w:topLinePunct w:val="0"/>
        <w:autoSpaceDE/>
        <w:autoSpaceDN/>
        <w:bidi w:val="0"/>
        <w:adjustRightInd/>
        <w:snapToGrid/>
        <w:spacing w:line="0" w:lineRule="atLeast"/>
        <w:jc w:val="center"/>
        <w:textAlignment w:val="auto"/>
        <w:rPr>
          <w:rFonts w:hint="default" w:ascii="Times New Roman" w:hAnsi="Times New Roman" w:eastAsia="方正小标宋_GBK" w:cs="Times New Roman"/>
          <w:b/>
          <w:bCs w:val="0"/>
        </w:rPr>
      </w:pPr>
      <w:bookmarkStart w:id="6" w:name="_Toc15396599"/>
      <w:bookmarkStart w:id="7" w:name="_Toc11601"/>
      <w:bookmarkStart w:id="8" w:name="_Toc15377196"/>
      <w:r>
        <w:rPr>
          <w:rFonts w:hint="default" w:ascii="Times New Roman" w:hAnsi="Times New Roman" w:eastAsia="方正小标宋_GBK" w:cs="Times New Roman"/>
          <w:b/>
          <w:bCs w:val="0"/>
        </w:rPr>
        <w:t>第一部分  部门概况</w:t>
      </w:r>
      <w:bookmarkEnd w:id="6"/>
      <w:bookmarkEnd w:id="7"/>
      <w:bookmarkEnd w:id="8"/>
    </w:p>
    <w:p w14:paraId="6B079D85">
      <w:pPr>
        <w:pStyle w:val="6"/>
        <w:keepNext/>
        <w:keepLines/>
        <w:pageBreakBefore w:val="0"/>
        <w:widowControl w:val="0"/>
        <w:numPr>
          <w:ilvl w:val="0"/>
          <w:numId w:val="0"/>
        </w:numPr>
        <w:kinsoku/>
        <w:wordWrap/>
        <w:overflowPunct/>
        <w:topLinePunct w:val="0"/>
        <w:autoSpaceDE/>
        <w:autoSpaceDN/>
        <w:bidi w:val="0"/>
        <w:adjustRightInd/>
        <w:snapToGrid/>
        <w:spacing w:line="416" w:lineRule="auto"/>
        <w:ind w:left="0" w:leftChars="0" w:firstLine="640" w:firstLineChars="200"/>
        <w:textAlignment w:val="auto"/>
        <w:rPr>
          <w:rFonts w:hint="default" w:ascii="Times New Roman" w:hAnsi="Times New Roman" w:eastAsia="方正黑体_GBK" w:cs="Times New Roman"/>
          <w:b w:val="0"/>
          <w:bCs/>
          <w:lang w:val="en-US" w:eastAsia="zh-CN"/>
        </w:rPr>
      </w:pPr>
      <w:bookmarkStart w:id="9" w:name="_Toc12213"/>
      <w:r>
        <w:rPr>
          <w:rFonts w:hint="default" w:ascii="Times New Roman" w:hAnsi="Times New Roman" w:eastAsia="方正黑体_GBK" w:cs="Times New Roman"/>
          <w:b w:val="0"/>
          <w:bCs/>
          <w:lang w:val="en-US" w:eastAsia="zh-CN"/>
        </w:rPr>
        <w:t>一、</w:t>
      </w:r>
      <w:r>
        <w:rPr>
          <w:rFonts w:hint="default" w:ascii="Times New Roman" w:hAnsi="Times New Roman" w:eastAsia="方正黑体_GBK" w:cs="Times New Roman"/>
          <w:b w:val="0"/>
          <w:bCs/>
          <w:lang w:val="en-US" w:eastAsia="zh-CN"/>
        </w:rPr>
        <w:t>部门职责</w:t>
      </w:r>
      <w:bookmarkEnd w:id="9"/>
    </w:p>
    <w:p w14:paraId="19433D80">
      <w:pPr>
        <w:pStyle w:val="27"/>
        <w:pageBreakBefore w:val="0"/>
        <w:widowControl w:val="0"/>
        <w:numPr>
          <w:ilvl w:val="0"/>
          <w:numId w:val="1"/>
        </w:numPr>
        <w:kinsoku/>
        <w:wordWrap/>
        <w:overflowPunct/>
        <w:topLinePunct w:val="0"/>
        <w:autoSpaceDE/>
        <w:autoSpaceDN/>
        <w:bidi w:val="0"/>
        <w:adjustRightInd/>
        <w:snapToGrid/>
        <w:spacing w:line="240" w:lineRule="auto"/>
        <w:ind w:left="0" w:leftChars="0" w:firstLine="567" w:firstLineChars="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贯彻执行国家和省有关教育体育工作的方针、政策和法律、法规，研究制定有关贯彻意见并组织实施。 </w:t>
      </w:r>
    </w:p>
    <w:p w14:paraId="15981F7F">
      <w:pPr>
        <w:pStyle w:val="27"/>
        <w:pageBreakBefore w:val="0"/>
        <w:widowControl w:val="0"/>
        <w:numPr>
          <w:ilvl w:val="0"/>
          <w:numId w:val="1"/>
        </w:numPr>
        <w:kinsoku/>
        <w:wordWrap/>
        <w:overflowPunct/>
        <w:topLinePunct w:val="0"/>
        <w:autoSpaceDE/>
        <w:autoSpaceDN/>
        <w:bidi w:val="0"/>
        <w:adjustRightInd/>
        <w:snapToGrid/>
        <w:spacing w:line="240" w:lineRule="auto"/>
        <w:ind w:left="0" w:leftChars="0" w:firstLine="567" w:firstLineChars="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拟订全县教育事业发展规划，组织实施教育体制改革；负责各类教育的统筹规划和协调管理；指导各类学校的教育教学改革；负责中小学布局结构调整；负责全县多元化体育服务体系建设，推进体育公共服务和体育体制改革；负责全县教育体育系统基本信息的统计、分析、发布工作；负责组织全县教育体育信息化建设工作。 </w:t>
      </w:r>
    </w:p>
    <w:p w14:paraId="1C91406D">
      <w:pPr>
        <w:pStyle w:val="27"/>
        <w:pageBreakBefore w:val="0"/>
        <w:widowControl w:val="0"/>
        <w:numPr>
          <w:ilvl w:val="0"/>
          <w:numId w:val="1"/>
        </w:numPr>
        <w:kinsoku/>
        <w:wordWrap/>
        <w:overflowPunct/>
        <w:topLinePunct w:val="0"/>
        <w:autoSpaceDE/>
        <w:autoSpaceDN/>
        <w:bidi w:val="0"/>
        <w:adjustRightInd/>
        <w:snapToGrid/>
        <w:spacing w:line="240" w:lineRule="auto"/>
        <w:ind w:left="0" w:leftChars="0" w:firstLine="567" w:firstLineChars="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负责义务教育的统筹管理，推进全县义务教育均衡发展和促进教育公平。指导普通高中教育、学前教育和特殊教育工作。推进基础教育教学改革，全面实施素质教育。 </w:t>
      </w:r>
    </w:p>
    <w:p w14:paraId="6747349C">
      <w:pPr>
        <w:pStyle w:val="27"/>
        <w:pageBreakBefore w:val="0"/>
        <w:widowControl w:val="0"/>
        <w:numPr>
          <w:ilvl w:val="0"/>
          <w:numId w:val="1"/>
        </w:numPr>
        <w:kinsoku/>
        <w:wordWrap/>
        <w:overflowPunct/>
        <w:topLinePunct w:val="0"/>
        <w:autoSpaceDE/>
        <w:autoSpaceDN/>
        <w:bidi w:val="0"/>
        <w:adjustRightInd/>
        <w:snapToGrid/>
        <w:spacing w:line="240" w:lineRule="auto"/>
        <w:ind w:left="0" w:leftChars="0" w:firstLine="567" w:firstLineChars="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推进基础教育、职业教育和成人教育学校开展思想政治、 德育、体育卫生与艺术教育、国防教育、心理健康教育、安全和稳定工作。 </w:t>
      </w:r>
    </w:p>
    <w:p w14:paraId="053C19A1">
      <w:pPr>
        <w:pStyle w:val="27"/>
        <w:pageBreakBefore w:val="0"/>
        <w:widowControl w:val="0"/>
        <w:numPr>
          <w:ilvl w:val="0"/>
          <w:numId w:val="1"/>
        </w:numPr>
        <w:kinsoku/>
        <w:wordWrap/>
        <w:overflowPunct/>
        <w:topLinePunct w:val="0"/>
        <w:autoSpaceDE/>
        <w:autoSpaceDN/>
        <w:bidi w:val="0"/>
        <w:adjustRightInd/>
        <w:snapToGrid/>
        <w:spacing w:line="240" w:lineRule="auto"/>
        <w:ind w:left="0" w:leftChars="0" w:firstLine="567" w:firstLineChars="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负责职业教育发展与改革，组织实施民族地区免费中等职业教育工作，完成省下达的藏（彝）区学生“9+3” 免费职业教育任务。</w:t>
      </w:r>
    </w:p>
    <w:p w14:paraId="7E9237F8">
      <w:pPr>
        <w:pStyle w:val="27"/>
        <w:pageBreakBefore w:val="0"/>
        <w:widowControl w:val="0"/>
        <w:numPr>
          <w:ilvl w:val="0"/>
          <w:numId w:val="1"/>
        </w:numPr>
        <w:kinsoku/>
        <w:wordWrap/>
        <w:overflowPunct/>
        <w:topLinePunct w:val="0"/>
        <w:autoSpaceDE/>
        <w:autoSpaceDN/>
        <w:bidi w:val="0"/>
        <w:adjustRightInd/>
        <w:snapToGrid/>
        <w:spacing w:line="240" w:lineRule="auto"/>
        <w:ind w:left="0" w:leftChars="0" w:firstLine="567" w:firstLineChars="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负责管理全县成人教育和广播电视教育及扫除青壮年文盲工作，促进协调发展。 </w:t>
      </w:r>
    </w:p>
    <w:p w14:paraId="5BD61CEB">
      <w:pPr>
        <w:pStyle w:val="27"/>
        <w:pageBreakBefore w:val="0"/>
        <w:widowControl w:val="0"/>
        <w:numPr>
          <w:ilvl w:val="0"/>
          <w:numId w:val="1"/>
        </w:numPr>
        <w:kinsoku/>
        <w:wordWrap/>
        <w:overflowPunct/>
        <w:topLinePunct w:val="0"/>
        <w:autoSpaceDE/>
        <w:autoSpaceDN/>
        <w:bidi w:val="0"/>
        <w:adjustRightInd/>
        <w:snapToGrid/>
        <w:spacing w:line="240" w:lineRule="auto"/>
        <w:ind w:left="0" w:leftChars="0" w:firstLine="567" w:firstLineChars="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负责全县教育督导工作。负责承担基础教育、职业教育和广播电视教育以及扫除青壮年文盲工作的督导检查和评估验收工作，开展基础教育发展水平和质量监测工作。 </w:t>
      </w:r>
    </w:p>
    <w:p w14:paraId="47E5AAFD">
      <w:pPr>
        <w:pStyle w:val="27"/>
        <w:pageBreakBefore w:val="0"/>
        <w:widowControl w:val="0"/>
        <w:numPr>
          <w:ilvl w:val="0"/>
          <w:numId w:val="1"/>
        </w:numPr>
        <w:kinsoku/>
        <w:wordWrap/>
        <w:overflowPunct/>
        <w:topLinePunct w:val="0"/>
        <w:autoSpaceDE/>
        <w:autoSpaceDN/>
        <w:bidi w:val="0"/>
        <w:adjustRightInd/>
        <w:snapToGrid/>
        <w:spacing w:line="240" w:lineRule="auto"/>
        <w:ind w:left="0" w:leftChars="0" w:firstLine="567" w:firstLineChars="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会同有关部门制定教育体育经费筹措、教育基建投资的办法，协助有关部门做好教育体育经费的筹集、拨付工作；负责本部门教育体育经费的统筹管理；协调本级财政贯彻执行教育财政、生均经费和教师工资与学生公用经费拨款；负责国（境）外教育援助、教育贷款和教育合作项目的执行；承办普通高校生源地信用助学贷款工作，完善贫困学生资助管理体系；承担对少数民族地区的教育援助工作。 </w:t>
      </w:r>
    </w:p>
    <w:p w14:paraId="684F4DEB">
      <w:pPr>
        <w:pStyle w:val="27"/>
        <w:pageBreakBefore w:val="0"/>
        <w:widowControl w:val="0"/>
        <w:numPr>
          <w:ilvl w:val="0"/>
          <w:numId w:val="1"/>
        </w:numPr>
        <w:kinsoku/>
        <w:wordWrap/>
        <w:overflowPunct/>
        <w:topLinePunct w:val="0"/>
        <w:autoSpaceDE/>
        <w:autoSpaceDN/>
        <w:bidi w:val="0"/>
        <w:adjustRightInd/>
        <w:snapToGrid/>
        <w:spacing w:line="240" w:lineRule="auto"/>
        <w:ind w:left="0" w:leftChars="0" w:firstLine="567" w:firstLineChars="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规范民办教育办学秩序，促进民办教育事业健康发展。 </w:t>
      </w:r>
    </w:p>
    <w:p w14:paraId="7F0C7D98">
      <w:pPr>
        <w:pStyle w:val="27"/>
        <w:pageBreakBefore w:val="0"/>
        <w:widowControl w:val="0"/>
        <w:numPr>
          <w:ilvl w:val="0"/>
          <w:numId w:val="1"/>
        </w:numPr>
        <w:kinsoku/>
        <w:wordWrap/>
        <w:overflowPunct/>
        <w:topLinePunct w:val="0"/>
        <w:autoSpaceDE/>
        <w:autoSpaceDN/>
        <w:bidi w:val="0"/>
        <w:adjustRightInd/>
        <w:snapToGrid/>
        <w:spacing w:line="240" w:lineRule="auto"/>
        <w:ind w:left="0" w:leftChars="0" w:firstLine="567" w:firstLineChars="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负责全县中小学教师和教育行政干部队伍建设工作；推进学校内部管理体制改革。 </w:t>
      </w:r>
    </w:p>
    <w:p w14:paraId="103196BD">
      <w:pPr>
        <w:pStyle w:val="27"/>
        <w:pageBreakBefore w:val="0"/>
        <w:widowControl w:val="0"/>
        <w:numPr>
          <w:ilvl w:val="0"/>
          <w:numId w:val="1"/>
        </w:numPr>
        <w:kinsoku/>
        <w:wordWrap/>
        <w:overflowPunct/>
        <w:topLinePunct w:val="0"/>
        <w:autoSpaceDE/>
        <w:autoSpaceDN/>
        <w:bidi w:val="0"/>
        <w:adjustRightInd/>
        <w:snapToGrid/>
        <w:spacing w:line="240" w:lineRule="auto"/>
        <w:ind w:left="0" w:leftChars="0" w:firstLine="567" w:firstLineChars="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贯彻执行国家语言文字的方针政策，拟订语言文字工作中长期规划和工作计划，负责普通话推广和普通话师资培训工作，承办语言文字工作委员会的具体工作。 </w:t>
      </w:r>
    </w:p>
    <w:p w14:paraId="62E9790B">
      <w:pPr>
        <w:pStyle w:val="27"/>
        <w:pageBreakBefore w:val="0"/>
        <w:widowControl w:val="0"/>
        <w:numPr>
          <w:ilvl w:val="0"/>
          <w:numId w:val="1"/>
        </w:numPr>
        <w:kinsoku/>
        <w:wordWrap/>
        <w:overflowPunct/>
        <w:topLinePunct w:val="0"/>
        <w:autoSpaceDE/>
        <w:autoSpaceDN/>
        <w:bidi w:val="0"/>
        <w:adjustRightInd/>
        <w:snapToGrid/>
        <w:spacing w:line="240" w:lineRule="auto"/>
        <w:ind w:left="0" w:leftChars="0" w:firstLine="567" w:firstLineChars="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负责并指导教育基础设施建设，完善中小学校校舍维修改造长效机制；负责并指导学校现代信息技术教育和推进现代教育信息化建设，进一步改善学校办学条件；负责推进农村薄弱学校建设；加强项目建设管理，推动校舍档案和信息系统建设，促进校舍安全管理的规范化、信息化。 </w:t>
      </w:r>
    </w:p>
    <w:p w14:paraId="2BE5953F">
      <w:pPr>
        <w:pStyle w:val="27"/>
        <w:pageBreakBefore w:val="0"/>
        <w:widowControl w:val="0"/>
        <w:numPr>
          <w:ilvl w:val="0"/>
          <w:numId w:val="1"/>
        </w:numPr>
        <w:kinsoku/>
        <w:wordWrap/>
        <w:overflowPunct/>
        <w:topLinePunct w:val="0"/>
        <w:autoSpaceDE/>
        <w:autoSpaceDN/>
        <w:bidi w:val="0"/>
        <w:adjustRightInd/>
        <w:snapToGrid/>
        <w:spacing w:line="240" w:lineRule="auto"/>
        <w:ind w:left="0" w:leftChars="0" w:firstLine="567" w:firstLineChars="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负责全县教育系统对外交流与合作，承办全县中小学校出国留学人员和基础教育系统来我县外籍教师、专家及留学人员的有关管理工作。 </w:t>
      </w:r>
    </w:p>
    <w:p w14:paraId="73451453">
      <w:pPr>
        <w:pStyle w:val="27"/>
        <w:pageBreakBefore w:val="0"/>
        <w:widowControl w:val="0"/>
        <w:numPr>
          <w:ilvl w:val="0"/>
          <w:numId w:val="1"/>
        </w:numPr>
        <w:kinsoku/>
        <w:wordWrap/>
        <w:overflowPunct/>
        <w:topLinePunct w:val="0"/>
        <w:autoSpaceDE/>
        <w:autoSpaceDN/>
        <w:bidi w:val="0"/>
        <w:adjustRightInd/>
        <w:snapToGrid/>
        <w:spacing w:line="240" w:lineRule="auto"/>
        <w:ind w:left="0" w:leftChars="0" w:firstLine="567" w:firstLineChars="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负责大中专招生和自学考试工作。制定中小学校招生计划并组织实施，会同中等职业学校做好本县中职招生工作。 </w:t>
      </w:r>
    </w:p>
    <w:p w14:paraId="029CC522">
      <w:pPr>
        <w:pStyle w:val="27"/>
        <w:pageBreakBefore w:val="0"/>
        <w:widowControl w:val="0"/>
        <w:numPr>
          <w:ilvl w:val="0"/>
          <w:numId w:val="1"/>
        </w:numPr>
        <w:kinsoku/>
        <w:wordWrap/>
        <w:overflowPunct/>
        <w:topLinePunct w:val="0"/>
        <w:autoSpaceDE/>
        <w:autoSpaceDN/>
        <w:bidi w:val="0"/>
        <w:adjustRightInd/>
        <w:snapToGrid/>
        <w:spacing w:line="240" w:lineRule="auto"/>
        <w:ind w:left="0" w:leftChars="0" w:firstLine="567" w:firstLineChars="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统筹规划全县群众体育发展。负责推行全民健身计划，监督实施国家体育锻炼标准，承担全县国民体质监测和社会体育指导工作队伍制度建设；指导公共体育设施的建设，负责对公共体育设施的管理。 </w:t>
      </w:r>
    </w:p>
    <w:p w14:paraId="0899E30C">
      <w:pPr>
        <w:pStyle w:val="27"/>
        <w:pageBreakBefore w:val="0"/>
        <w:widowControl w:val="0"/>
        <w:numPr>
          <w:ilvl w:val="0"/>
          <w:numId w:val="1"/>
        </w:numPr>
        <w:kinsoku/>
        <w:wordWrap/>
        <w:overflowPunct/>
        <w:topLinePunct w:val="0"/>
        <w:autoSpaceDE/>
        <w:autoSpaceDN/>
        <w:bidi w:val="0"/>
        <w:adjustRightInd/>
        <w:snapToGrid/>
        <w:spacing w:line="240" w:lineRule="auto"/>
        <w:ind w:left="0" w:leftChars="0" w:firstLine="567" w:firstLineChars="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统筹规划全县竞技体育发展。指导体育训练、体育竞赛和运动员队伍建设；组织和统筹参加省级以上综合运动会，负责组织协调县级综合性运动会的竞赛工作，协调运动员社会保障工作。</w:t>
      </w:r>
    </w:p>
    <w:p w14:paraId="59C3BC52">
      <w:pPr>
        <w:pStyle w:val="27"/>
        <w:pageBreakBefore w:val="0"/>
        <w:widowControl w:val="0"/>
        <w:numPr>
          <w:ilvl w:val="0"/>
          <w:numId w:val="1"/>
        </w:numPr>
        <w:kinsoku/>
        <w:wordWrap/>
        <w:overflowPunct/>
        <w:topLinePunct w:val="0"/>
        <w:autoSpaceDE/>
        <w:autoSpaceDN/>
        <w:bidi w:val="0"/>
        <w:adjustRightInd/>
        <w:snapToGrid/>
        <w:spacing w:line="240" w:lineRule="auto"/>
        <w:ind w:left="0" w:leftChars="0" w:firstLine="567" w:firstLineChars="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统筹规划全县青少年体育发展。指导和管理学校体育工作；制定全县学校体育、青少年业余训练的规划和工作意见，并负责组织实施、督促和检查。 </w:t>
      </w:r>
    </w:p>
    <w:p w14:paraId="7641699B">
      <w:pPr>
        <w:pStyle w:val="27"/>
        <w:pageBreakBefore w:val="0"/>
        <w:widowControl w:val="0"/>
        <w:numPr>
          <w:ilvl w:val="0"/>
          <w:numId w:val="1"/>
        </w:numPr>
        <w:kinsoku/>
        <w:wordWrap/>
        <w:overflowPunct/>
        <w:topLinePunct w:val="0"/>
        <w:autoSpaceDE/>
        <w:autoSpaceDN/>
        <w:bidi w:val="0"/>
        <w:adjustRightInd/>
        <w:snapToGrid/>
        <w:spacing w:line="240" w:lineRule="auto"/>
        <w:ind w:left="0" w:leftChars="0" w:firstLine="567" w:firstLineChars="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指导全县学校后勤改革和体育产业发展，负责全县学校后勤和体育产业管理；拟定全县体育产业发展政策、措施，规范体育服务管理，推动体育标准化建设；协助管理全县体育彩票市场。</w:t>
      </w:r>
    </w:p>
    <w:p w14:paraId="57D6F924">
      <w:pPr>
        <w:pStyle w:val="27"/>
        <w:pageBreakBefore w:val="0"/>
        <w:widowControl w:val="0"/>
        <w:numPr>
          <w:ilvl w:val="0"/>
          <w:numId w:val="1"/>
        </w:numPr>
        <w:kinsoku/>
        <w:wordWrap/>
        <w:overflowPunct/>
        <w:topLinePunct w:val="0"/>
        <w:autoSpaceDE/>
        <w:autoSpaceDN/>
        <w:bidi w:val="0"/>
        <w:adjustRightInd/>
        <w:snapToGrid/>
        <w:spacing w:line="240" w:lineRule="auto"/>
        <w:ind w:left="0" w:leftChars="0" w:firstLine="567" w:firstLineChars="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负责教育体育科研、技术攻关及成果推广工作；负责组织、监督全县体育运动中的反兴奋剂工作。 </w:t>
      </w:r>
    </w:p>
    <w:p w14:paraId="3224E8CD">
      <w:pPr>
        <w:pStyle w:val="27"/>
        <w:pageBreakBefore w:val="0"/>
        <w:widowControl w:val="0"/>
        <w:numPr>
          <w:ilvl w:val="0"/>
          <w:numId w:val="1"/>
        </w:numPr>
        <w:kinsoku/>
        <w:wordWrap/>
        <w:overflowPunct/>
        <w:topLinePunct w:val="0"/>
        <w:autoSpaceDE/>
        <w:autoSpaceDN/>
        <w:bidi w:val="0"/>
        <w:adjustRightInd/>
        <w:snapToGrid/>
        <w:spacing w:line="240" w:lineRule="auto"/>
        <w:ind w:left="0" w:leftChars="0" w:firstLine="567" w:firstLineChars="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负责指导、检查、督促全县学校安全管理工作。 </w:t>
      </w:r>
    </w:p>
    <w:p w14:paraId="4B96B424">
      <w:pPr>
        <w:pStyle w:val="27"/>
        <w:pageBreakBefore w:val="0"/>
        <w:widowControl w:val="0"/>
        <w:numPr>
          <w:ilvl w:val="0"/>
          <w:numId w:val="1"/>
        </w:numPr>
        <w:kinsoku/>
        <w:wordWrap/>
        <w:overflowPunct/>
        <w:topLinePunct w:val="0"/>
        <w:autoSpaceDE/>
        <w:autoSpaceDN/>
        <w:bidi w:val="0"/>
        <w:adjustRightInd/>
        <w:snapToGrid/>
        <w:spacing w:line="240" w:lineRule="auto"/>
        <w:ind w:left="0" w:leftChars="0" w:firstLine="567" w:firstLineChars="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负责职责范围内的安全生产和职业教育、生态环境保护、审批服务便民化等工作。 </w:t>
      </w:r>
    </w:p>
    <w:p w14:paraId="2743A164">
      <w:pPr>
        <w:pStyle w:val="27"/>
        <w:pageBreakBefore w:val="0"/>
        <w:widowControl w:val="0"/>
        <w:numPr>
          <w:ilvl w:val="0"/>
          <w:numId w:val="1"/>
        </w:numPr>
        <w:kinsoku/>
        <w:wordWrap/>
        <w:overflowPunct/>
        <w:topLinePunct w:val="0"/>
        <w:autoSpaceDE/>
        <w:autoSpaceDN/>
        <w:bidi w:val="0"/>
        <w:adjustRightInd/>
        <w:snapToGrid/>
        <w:spacing w:line="240" w:lineRule="auto"/>
        <w:ind w:left="0" w:leftChars="0" w:firstLine="567" w:firstLineChars="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 xml:space="preserve">承担县政府公布的有关行政审批事项。 </w:t>
      </w:r>
    </w:p>
    <w:p w14:paraId="0664413E">
      <w:pPr>
        <w:pStyle w:val="27"/>
        <w:pageBreakBefore w:val="0"/>
        <w:widowControl w:val="0"/>
        <w:numPr>
          <w:ilvl w:val="0"/>
          <w:numId w:val="1"/>
        </w:numPr>
        <w:kinsoku/>
        <w:wordWrap/>
        <w:overflowPunct/>
        <w:topLinePunct w:val="0"/>
        <w:autoSpaceDE/>
        <w:autoSpaceDN/>
        <w:bidi w:val="0"/>
        <w:adjustRightInd/>
        <w:snapToGrid/>
        <w:spacing w:line="240" w:lineRule="auto"/>
        <w:ind w:left="0" w:leftChars="0" w:firstLine="567" w:firstLineChars="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承办县政府交办的其他事项</w:t>
      </w:r>
      <w:r>
        <w:rPr>
          <w:rFonts w:hint="default" w:ascii="Times New Roman" w:hAnsi="Times New Roman" w:eastAsia="方正仿宋_GBK" w:cs="Times New Roman"/>
          <w:sz w:val="32"/>
          <w:szCs w:val="32"/>
          <w:lang w:eastAsia="zh-CN"/>
        </w:rPr>
        <w:t>。</w:t>
      </w:r>
    </w:p>
    <w:p w14:paraId="779099BB">
      <w:pPr>
        <w:pStyle w:val="6"/>
        <w:keepNext/>
        <w:keepLines/>
        <w:pageBreakBefore w:val="0"/>
        <w:widowControl w:val="0"/>
        <w:numPr>
          <w:ilvl w:val="0"/>
          <w:numId w:val="0"/>
        </w:numPr>
        <w:kinsoku/>
        <w:wordWrap/>
        <w:overflowPunct/>
        <w:topLinePunct w:val="0"/>
        <w:autoSpaceDE/>
        <w:autoSpaceDN/>
        <w:bidi w:val="0"/>
        <w:adjustRightInd/>
        <w:snapToGrid/>
        <w:spacing w:line="416" w:lineRule="auto"/>
        <w:ind w:left="0" w:leftChars="0" w:firstLine="640" w:firstLineChars="200"/>
        <w:textAlignment w:val="auto"/>
        <w:rPr>
          <w:rFonts w:hint="default" w:ascii="Times New Roman" w:hAnsi="Times New Roman" w:eastAsia="方正黑体_GBK" w:cs="Times New Roman"/>
          <w:b w:val="0"/>
          <w:bCs/>
        </w:rPr>
      </w:pPr>
      <w:bookmarkStart w:id="10" w:name="_Toc15377200"/>
      <w:bookmarkStart w:id="11" w:name="_Toc8236"/>
      <w:bookmarkStart w:id="12" w:name="_Toc15396601"/>
      <w:r>
        <w:rPr>
          <w:rFonts w:hint="default" w:ascii="Times New Roman" w:hAnsi="Times New Roman" w:eastAsia="方正黑体_GBK" w:cs="Times New Roman"/>
          <w:b w:val="0"/>
          <w:bCs/>
          <w:lang w:val="en-US" w:eastAsia="zh-CN"/>
        </w:rPr>
        <w:t>二、</w:t>
      </w:r>
      <w:r>
        <w:rPr>
          <w:rFonts w:hint="default" w:ascii="Times New Roman" w:hAnsi="Times New Roman" w:eastAsia="方正黑体_GBK" w:cs="Times New Roman"/>
          <w:b w:val="0"/>
          <w:bCs/>
        </w:rPr>
        <w:t>机构设置</w:t>
      </w:r>
      <w:bookmarkEnd w:id="10"/>
      <w:bookmarkEnd w:id="11"/>
      <w:bookmarkEnd w:id="12"/>
    </w:p>
    <w:p w14:paraId="768D44A8">
      <w:pPr>
        <w:pStyle w:val="27"/>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盐边县教育和体育局</w:t>
      </w:r>
      <w:r>
        <w:rPr>
          <w:rFonts w:hint="default" w:ascii="Times New Roman" w:hAnsi="Times New Roman" w:eastAsia="方正仿宋_GBK" w:cs="Times New Roman"/>
          <w:sz w:val="32"/>
          <w:szCs w:val="32"/>
        </w:rPr>
        <w:t>下属二级预算单位</w:t>
      </w:r>
      <w:r>
        <w:rPr>
          <w:rFonts w:hint="default" w:ascii="Times New Roman" w:hAnsi="Times New Roman" w:eastAsia="方正仿宋_GBK" w:cs="Times New Roman"/>
          <w:sz w:val="32"/>
          <w:szCs w:val="32"/>
          <w:lang w:val="en-US" w:eastAsia="zh-CN"/>
        </w:rPr>
        <w:t>21</w:t>
      </w:r>
      <w:r>
        <w:rPr>
          <w:rFonts w:hint="default" w:ascii="Times New Roman" w:hAnsi="Times New Roman" w:eastAsia="方正仿宋_GBK" w:cs="Times New Roman"/>
          <w:sz w:val="32"/>
          <w:szCs w:val="32"/>
        </w:rPr>
        <w:t>个，其中行政单位</w:t>
      </w: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个，参照公务员法管理的事业单位</w:t>
      </w:r>
      <w:r>
        <w:rPr>
          <w:rFonts w:hint="default" w:ascii="Times New Roman" w:hAnsi="Times New Roman" w:eastAsia="方正仿宋_GBK" w:cs="Times New Roman"/>
          <w:sz w:val="32"/>
          <w:szCs w:val="32"/>
          <w:lang w:val="en-US" w:eastAsia="zh-CN"/>
        </w:rPr>
        <w:t>0</w:t>
      </w:r>
      <w:r>
        <w:rPr>
          <w:rFonts w:hint="default" w:ascii="Times New Roman" w:hAnsi="Times New Roman" w:eastAsia="方正仿宋_GBK" w:cs="Times New Roman"/>
          <w:sz w:val="32"/>
          <w:szCs w:val="32"/>
        </w:rPr>
        <w:t>个，其他事业单位</w:t>
      </w:r>
      <w:r>
        <w:rPr>
          <w:rFonts w:hint="default" w:ascii="Times New Roman" w:hAnsi="Times New Roman" w:eastAsia="方正仿宋_GBK" w:cs="Times New Roman"/>
          <w:sz w:val="32"/>
          <w:szCs w:val="32"/>
          <w:lang w:val="en-US" w:eastAsia="zh-CN"/>
        </w:rPr>
        <w:t>20</w:t>
      </w:r>
      <w:r>
        <w:rPr>
          <w:rFonts w:hint="default" w:ascii="Times New Roman" w:hAnsi="Times New Roman" w:eastAsia="方正仿宋_GBK" w:cs="Times New Roman"/>
          <w:sz w:val="32"/>
          <w:szCs w:val="32"/>
        </w:rPr>
        <w:t>个。</w:t>
      </w:r>
    </w:p>
    <w:p w14:paraId="58BC3D16">
      <w:pPr>
        <w:pStyle w:val="27"/>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rPr>
        <w:t>纳入</w:t>
      </w:r>
      <w:r>
        <w:rPr>
          <w:rFonts w:hint="default" w:ascii="Times New Roman" w:hAnsi="Times New Roman" w:eastAsia="方正仿宋_GBK" w:cs="Times New Roman"/>
          <w:sz w:val="32"/>
          <w:szCs w:val="32"/>
          <w:lang w:val="en-US" w:eastAsia="zh-CN"/>
        </w:rPr>
        <w:t>盐边县教育和体育局</w:t>
      </w:r>
      <w:r>
        <w:rPr>
          <w:rFonts w:hint="default" w:ascii="Times New Roman" w:hAnsi="Times New Roman" w:eastAsia="方正仿宋_GBK" w:cs="Times New Roman"/>
          <w:sz w:val="32"/>
          <w:szCs w:val="32"/>
        </w:rPr>
        <w:t>2024年度部门决算编制范围的二级预算单位包括：</w:t>
      </w:r>
      <w:bookmarkStart w:id="13" w:name="_Toc117868862"/>
      <w:bookmarkStart w:id="14" w:name="_Toc15377201"/>
      <w:bookmarkStart w:id="15" w:name="_Toc15378448"/>
      <w:bookmarkStart w:id="16" w:name="_Toc15377432"/>
      <w:bookmarkStart w:id="17" w:name="_Toc15306275"/>
      <w:r>
        <w:rPr>
          <w:rFonts w:hint="default" w:ascii="Times New Roman" w:hAnsi="Times New Roman" w:eastAsia="方正仿宋_GBK" w:cs="Times New Roman"/>
          <w:sz w:val="32"/>
          <w:szCs w:val="32"/>
          <w:lang w:val="en-US" w:eastAsia="zh-CN"/>
        </w:rPr>
        <w:t>盐边县教育和体育局</w:t>
      </w:r>
      <w:bookmarkEnd w:id="13"/>
      <w:r>
        <w:rPr>
          <w:rFonts w:hint="default" w:ascii="Times New Roman" w:hAnsi="Times New Roman" w:eastAsia="方正仿宋_GBK" w:cs="Times New Roman"/>
          <w:sz w:val="32"/>
          <w:szCs w:val="32"/>
          <w:lang w:val="en-US" w:eastAsia="zh-CN"/>
        </w:rPr>
        <w:t>、</w:t>
      </w:r>
      <w:bookmarkStart w:id="18" w:name="_Toc117868863"/>
      <w:r>
        <w:rPr>
          <w:rFonts w:hint="default" w:ascii="Times New Roman" w:hAnsi="Times New Roman" w:eastAsia="方正仿宋_GBK" w:cs="Times New Roman"/>
          <w:sz w:val="32"/>
          <w:szCs w:val="32"/>
          <w:lang w:val="en-US" w:eastAsia="zh-CN"/>
        </w:rPr>
        <w:t>盐边县红格镇初级中学校</w:t>
      </w:r>
      <w:bookmarkEnd w:id="18"/>
      <w:bookmarkStart w:id="19" w:name="_Toc117868864"/>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盐边县温泉彝族乡中心学校</w:t>
      </w:r>
      <w:bookmarkEnd w:id="19"/>
      <w:bookmarkStart w:id="20" w:name="_Toc117868865"/>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盐边县红果彝族乡中心学校</w:t>
      </w:r>
      <w:bookmarkEnd w:id="20"/>
      <w:bookmarkStart w:id="21" w:name="_Toc117868866"/>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盐边县桐子林镇中心学校</w:t>
      </w:r>
      <w:bookmarkEnd w:id="21"/>
      <w:bookmarkStart w:id="22" w:name="_Toc117868867"/>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盐边县新九镇中心学校</w:t>
      </w:r>
      <w:bookmarkEnd w:id="22"/>
      <w:bookmarkStart w:id="23" w:name="_Toc117868868"/>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盐边县红格镇中心学校</w:t>
      </w:r>
      <w:bookmarkEnd w:id="23"/>
      <w:bookmarkStart w:id="24" w:name="_Toc117868869"/>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盐边县格萨拉彝族乡中心学校</w:t>
      </w:r>
      <w:bookmarkEnd w:id="24"/>
      <w:bookmarkStart w:id="25" w:name="_Toc117868870"/>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盐边县永兴镇初级中学校</w:t>
      </w:r>
      <w:bookmarkEnd w:id="25"/>
      <w:bookmarkStart w:id="26" w:name="_Toc117868871"/>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盐边县国胜乡中心学校</w:t>
      </w:r>
      <w:bookmarkEnd w:id="26"/>
      <w:bookmarkStart w:id="27" w:name="_Toc117868872"/>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盐边县共和乡中心学校</w:t>
      </w:r>
      <w:bookmarkEnd w:id="27"/>
      <w:bookmarkStart w:id="28" w:name="_Toc117868873"/>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盐边县渔门镇初级中学校</w:t>
      </w:r>
      <w:bookmarkEnd w:id="28"/>
      <w:bookmarkStart w:id="29" w:name="_Toc117868875"/>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盐边县惠民镇中心学校</w:t>
      </w:r>
      <w:bookmarkEnd w:id="29"/>
      <w:bookmarkStart w:id="30" w:name="_Toc117868876"/>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盐边县永兴镇中心学校</w:t>
      </w:r>
      <w:bookmarkEnd w:id="30"/>
      <w:bookmarkStart w:id="31" w:name="_Toc117868877"/>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盐边县渔门镇中心学校</w:t>
      </w:r>
      <w:bookmarkEnd w:id="31"/>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盐边县中学校</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盐边县职业中学校</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盐边县第一初级中学校</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盐边县民族中学校</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盐边县县城第一小学校</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en-US" w:eastAsia="zh-CN"/>
        </w:rPr>
        <w:t>盐边县幼儿园</w:t>
      </w:r>
      <w:r>
        <w:rPr>
          <w:rFonts w:hint="default" w:ascii="Times New Roman" w:hAnsi="Times New Roman" w:eastAsia="方正仿宋_GBK" w:cs="Times New Roman"/>
          <w:sz w:val="32"/>
          <w:szCs w:val="32"/>
          <w:lang w:val="en-US" w:eastAsia="zh-CN"/>
        </w:rPr>
        <w:t>。</w:t>
      </w:r>
    </w:p>
    <w:bookmarkEnd w:id="14"/>
    <w:bookmarkEnd w:id="15"/>
    <w:bookmarkEnd w:id="16"/>
    <w:bookmarkEnd w:id="17"/>
    <w:p w14:paraId="4CF3157C">
      <w:pPr>
        <w:pageBreakBefore w:val="0"/>
        <w:kinsoku/>
        <w:wordWrap/>
        <w:overflowPunct/>
        <w:topLinePunct w:val="0"/>
        <w:bidi w:val="0"/>
        <w:spacing w:line="240" w:lineRule="auto"/>
        <w:textAlignment w:val="auto"/>
        <w:rPr>
          <w:rFonts w:hint="default" w:ascii="Times New Roman" w:hAnsi="Times New Roman" w:eastAsia="仿宋" w:cs="Times New Roman"/>
          <w:sz w:val="32"/>
          <w:szCs w:val="32"/>
        </w:rPr>
      </w:pPr>
      <w:r>
        <w:rPr>
          <w:rFonts w:hint="default" w:ascii="Times New Roman" w:hAnsi="Times New Roman" w:eastAsia="仿宋" w:cs="Times New Roman"/>
          <w:sz w:val="32"/>
          <w:szCs w:val="32"/>
        </w:rPr>
        <w:br w:type="page"/>
      </w:r>
    </w:p>
    <w:p w14:paraId="03DF7CE0">
      <w:pPr>
        <w:pStyle w:val="5"/>
        <w:keepNext/>
        <w:keepLines/>
        <w:pageBreakBefore w:val="0"/>
        <w:widowControl w:val="0"/>
        <w:kinsoku/>
        <w:wordWrap/>
        <w:overflowPunct/>
        <w:topLinePunct w:val="0"/>
        <w:autoSpaceDE/>
        <w:autoSpaceDN/>
        <w:bidi w:val="0"/>
        <w:adjustRightInd/>
        <w:snapToGrid/>
        <w:spacing w:line="0" w:lineRule="atLeast"/>
        <w:jc w:val="center"/>
        <w:textAlignment w:val="auto"/>
        <w:rPr>
          <w:rFonts w:hint="default" w:ascii="Times New Roman" w:hAnsi="Times New Roman" w:eastAsia="方正小标宋_GBK" w:cs="Times New Roman"/>
          <w:b/>
          <w:bCs w:val="0"/>
        </w:rPr>
      </w:pPr>
      <w:bookmarkStart w:id="32" w:name="_Toc15396602"/>
      <w:bookmarkStart w:id="33" w:name="_Toc29970"/>
      <w:bookmarkStart w:id="34" w:name="_Toc15377204"/>
      <w:r>
        <w:rPr>
          <w:rFonts w:hint="default" w:ascii="Times New Roman" w:hAnsi="Times New Roman" w:eastAsia="方正小标宋_GBK" w:cs="Times New Roman"/>
          <w:b/>
          <w:bCs w:val="0"/>
        </w:rPr>
        <w:t>第二部分  2024年度部门决算情况说明</w:t>
      </w:r>
      <w:bookmarkEnd w:id="32"/>
      <w:bookmarkEnd w:id="33"/>
      <w:bookmarkEnd w:id="34"/>
    </w:p>
    <w:p w14:paraId="7504E0EF">
      <w:pPr>
        <w:pStyle w:val="6"/>
        <w:keepNext/>
        <w:keepLines/>
        <w:pageBreakBefore w:val="0"/>
        <w:widowControl w:val="0"/>
        <w:numPr>
          <w:ilvl w:val="0"/>
          <w:numId w:val="0"/>
        </w:numPr>
        <w:kinsoku/>
        <w:wordWrap/>
        <w:overflowPunct/>
        <w:topLinePunct w:val="0"/>
        <w:autoSpaceDE/>
        <w:autoSpaceDN/>
        <w:bidi w:val="0"/>
        <w:adjustRightInd/>
        <w:snapToGrid/>
        <w:spacing w:line="416" w:lineRule="auto"/>
        <w:ind w:left="0" w:leftChars="0" w:firstLine="640" w:firstLineChars="200"/>
        <w:textAlignment w:val="auto"/>
        <w:rPr>
          <w:rFonts w:hint="default" w:ascii="Times New Roman" w:hAnsi="Times New Roman" w:eastAsia="方正黑体_GBK" w:cs="Times New Roman"/>
          <w:b w:val="0"/>
          <w:bCs/>
        </w:rPr>
      </w:pPr>
      <w:bookmarkStart w:id="35" w:name="_Toc15377205"/>
      <w:bookmarkStart w:id="36" w:name="_Toc7149"/>
      <w:bookmarkStart w:id="37" w:name="_Toc15396603"/>
      <w:r>
        <w:rPr>
          <w:rFonts w:hint="default" w:ascii="Times New Roman" w:hAnsi="Times New Roman" w:eastAsia="方正黑体_GBK" w:cs="Times New Roman"/>
          <w:b w:val="0"/>
          <w:bCs/>
        </w:rPr>
        <w:t>一、收入支出决算总体情况说明</w:t>
      </w:r>
      <w:bookmarkEnd w:id="35"/>
      <w:bookmarkEnd w:id="36"/>
      <w:bookmarkEnd w:id="37"/>
    </w:p>
    <w:p w14:paraId="713CC0D8">
      <w:pPr>
        <w:pStyle w:val="8"/>
        <w:keepNext w:val="0"/>
        <w:keepLines w:val="0"/>
        <w:pageBreakBefore w:val="0"/>
        <w:widowControl w:val="0"/>
        <w:kinsoku/>
        <w:wordWrap/>
        <w:overflowPunct/>
        <w:topLinePunct w:val="0"/>
        <w:autoSpaceDE/>
        <w:autoSpaceDN/>
        <w:bidi w:val="0"/>
        <w:adjustRightInd/>
        <w:snapToGrid/>
        <w:spacing w:before="30" w:line="240" w:lineRule="auto"/>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方正仿宋_GBK" w:cs="Times New Roman"/>
          <w:sz w:val="32"/>
        </w:rPr>
        <w:t>2024年度收入</w:t>
      </w:r>
      <w:r>
        <w:rPr>
          <w:rFonts w:hint="default" w:ascii="Times New Roman" w:hAnsi="Times New Roman" w:eastAsia="方正仿宋_GBK" w:cs="Times New Roman"/>
          <w:sz w:val="32"/>
          <w:lang w:val="en-US" w:eastAsia="zh-CN"/>
        </w:rPr>
        <w:t>总计为50879.82万元</w:t>
      </w:r>
      <w:r>
        <w:rPr>
          <w:rFonts w:hint="default" w:ascii="Times New Roman" w:hAnsi="Times New Roman" w:eastAsia="方正仿宋_GBK" w:cs="Times New Roman"/>
          <w:sz w:val="32"/>
        </w:rPr>
        <w:t>、支出总计为</w:t>
      </w:r>
      <w:r>
        <w:rPr>
          <w:rFonts w:hint="default" w:ascii="Times New Roman" w:hAnsi="Times New Roman" w:eastAsia="方正仿宋_GBK" w:cs="Times New Roman"/>
          <w:sz w:val="32"/>
          <w:lang w:val="en-US" w:eastAsia="zh-CN"/>
        </w:rPr>
        <w:t>50826.98</w:t>
      </w:r>
      <w:r>
        <w:rPr>
          <w:rFonts w:hint="default" w:ascii="Times New Roman" w:hAnsi="Times New Roman" w:eastAsia="方正仿宋_GBK" w:cs="Times New Roman"/>
          <w:sz w:val="32"/>
        </w:rPr>
        <w:t>万元。与2023年度相比，收入</w:t>
      </w:r>
      <w:r>
        <w:rPr>
          <w:rFonts w:hint="default" w:ascii="Times New Roman" w:hAnsi="Times New Roman" w:eastAsia="方正仿宋_GBK" w:cs="Times New Roman"/>
          <w:sz w:val="32"/>
          <w:lang w:val="en-US" w:eastAsia="zh-CN"/>
        </w:rPr>
        <w:t>总计增加12573.13万元，增长32.82%</w:t>
      </w:r>
      <w:r>
        <w:rPr>
          <w:rFonts w:hint="default" w:ascii="Times New Roman" w:hAnsi="Times New Roman" w:eastAsia="方正仿宋_GBK" w:cs="Times New Roman"/>
          <w:sz w:val="32"/>
        </w:rPr>
        <w:t>、支出</w:t>
      </w:r>
      <w:r>
        <w:rPr>
          <w:rFonts w:hint="default" w:ascii="Times New Roman" w:hAnsi="Times New Roman" w:eastAsia="方正仿宋_GBK" w:cs="Times New Roman"/>
          <w:sz w:val="32"/>
          <w:lang w:val="en-US" w:eastAsia="zh-CN"/>
        </w:rPr>
        <w:t>总计增加12520.29</w:t>
      </w:r>
      <w:r>
        <w:rPr>
          <w:rFonts w:hint="default" w:ascii="Times New Roman" w:hAnsi="Times New Roman" w:eastAsia="方正仿宋_GBK" w:cs="Times New Roman"/>
          <w:sz w:val="32"/>
        </w:rPr>
        <w:t>万元，增长</w:t>
      </w:r>
      <w:r>
        <w:rPr>
          <w:rFonts w:hint="default" w:ascii="Times New Roman" w:hAnsi="Times New Roman" w:eastAsia="方正仿宋_GBK" w:cs="Times New Roman"/>
          <w:sz w:val="32"/>
          <w:lang w:val="en-US" w:eastAsia="zh-CN"/>
        </w:rPr>
        <w:t>32.68</w:t>
      </w:r>
      <w:r>
        <w:rPr>
          <w:rFonts w:hint="default" w:ascii="Times New Roman" w:hAnsi="Times New Roman" w:eastAsia="方正仿宋_GBK" w:cs="Times New Roman"/>
          <w:sz w:val="32"/>
        </w:rPr>
        <w:t>%。主要变动原因是</w:t>
      </w:r>
      <w:r>
        <w:rPr>
          <w:rFonts w:hint="default" w:ascii="Times New Roman" w:hAnsi="Times New Roman" w:eastAsia="方正仿宋_GBK" w:cs="Times New Roman"/>
          <w:sz w:val="32"/>
          <w:lang w:val="en-US" w:eastAsia="zh-CN"/>
        </w:rPr>
        <w:t>填报口径发生变化，较2023年多4个学校。</w:t>
      </w:r>
    </w:p>
    <w:p w14:paraId="31FDAA29">
      <w:pPr>
        <w:pStyle w:val="27"/>
        <w:keepNext w:val="0"/>
        <w:keepLines w:val="0"/>
        <w:pageBreakBefore w:val="0"/>
        <w:widowControl w:val="0"/>
        <w:kinsoku/>
        <w:wordWrap/>
        <w:overflowPunct/>
        <w:topLinePunct w:val="0"/>
        <w:autoSpaceDE/>
        <w:autoSpaceDN/>
        <w:bidi w:val="0"/>
        <w:adjustRightInd/>
        <w:snapToGrid/>
        <w:spacing w:line="240" w:lineRule="auto"/>
        <w:ind w:firstLine="640"/>
        <w:textAlignment w:val="auto"/>
        <w:outlineLvl w:val="1"/>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drawing>
          <wp:anchor distT="0" distB="0" distL="114300" distR="114300" simplePos="0" relativeHeight="251659264" behindDoc="0" locked="0" layoutInCell="1" allowOverlap="1">
            <wp:simplePos x="0" y="0"/>
            <wp:positionH relativeFrom="column">
              <wp:posOffset>157480</wp:posOffset>
            </wp:positionH>
            <wp:positionV relativeFrom="paragraph">
              <wp:posOffset>37465</wp:posOffset>
            </wp:positionV>
            <wp:extent cx="5229860" cy="5232400"/>
            <wp:effectExtent l="4445" t="4445" r="23495" b="20955"/>
            <wp:wrapNone/>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anchor>
        </w:drawing>
      </w:r>
    </w:p>
    <w:p w14:paraId="2D365EB1">
      <w:pPr>
        <w:pStyle w:val="27"/>
        <w:keepNext w:val="0"/>
        <w:keepLines w:val="0"/>
        <w:pageBreakBefore w:val="0"/>
        <w:widowControl w:val="0"/>
        <w:kinsoku/>
        <w:wordWrap/>
        <w:overflowPunct/>
        <w:topLinePunct w:val="0"/>
        <w:autoSpaceDE/>
        <w:autoSpaceDN/>
        <w:bidi w:val="0"/>
        <w:adjustRightInd/>
        <w:snapToGrid/>
        <w:spacing w:line="240" w:lineRule="auto"/>
        <w:ind w:firstLine="640"/>
        <w:textAlignment w:val="auto"/>
        <w:outlineLvl w:val="1"/>
        <w:rPr>
          <w:rFonts w:hint="default" w:ascii="Times New Roman" w:hAnsi="Times New Roman" w:eastAsia="仿宋_GB2312" w:cs="Times New Roman"/>
          <w:sz w:val="32"/>
          <w:szCs w:val="32"/>
        </w:rPr>
      </w:pPr>
    </w:p>
    <w:p w14:paraId="65D1C2A5">
      <w:pPr>
        <w:pStyle w:val="27"/>
        <w:keepNext w:val="0"/>
        <w:keepLines w:val="0"/>
        <w:pageBreakBefore w:val="0"/>
        <w:widowControl w:val="0"/>
        <w:kinsoku/>
        <w:wordWrap/>
        <w:overflowPunct/>
        <w:topLinePunct w:val="0"/>
        <w:autoSpaceDE/>
        <w:autoSpaceDN/>
        <w:bidi w:val="0"/>
        <w:adjustRightInd/>
        <w:snapToGrid/>
        <w:spacing w:line="240" w:lineRule="auto"/>
        <w:ind w:firstLine="640"/>
        <w:textAlignment w:val="auto"/>
        <w:outlineLvl w:val="1"/>
        <w:rPr>
          <w:rFonts w:hint="default" w:ascii="Times New Roman" w:hAnsi="Times New Roman" w:eastAsia="仿宋_GB2312" w:cs="Times New Roman"/>
          <w:sz w:val="32"/>
          <w:szCs w:val="32"/>
        </w:rPr>
      </w:pPr>
    </w:p>
    <w:p w14:paraId="23285AFA">
      <w:pPr>
        <w:pStyle w:val="27"/>
        <w:keepNext w:val="0"/>
        <w:keepLines w:val="0"/>
        <w:pageBreakBefore w:val="0"/>
        <w:widowControl w:val="0"/>
        <w:kinsoku/>
        <w:wordWrap/>
        <w:overflowPunct/>
        <w:topLinePunct w:val="0"/>
        <w:autoSpaceDE/>
        <w:autoSpaceDN/>
        <w:bidi w:val="0"/>
        <w:adjustRightInd/>
        <w:snapToGrid/>
        <w:spacing w:line="240" w:lineRule="auto"/>
        <w:ind w:firstLine="640"/>
        <w:textAlignment w:val="auto"/>
        <w:outlineLvl w:val="1"/>
        <w:rPr>
          <w:rFonts w:hint="default" w:ascii="Times New Roman" w:hAnsi="Times New Roman" w:eastAsia="仿宋_GB2312" w:cs="Times New Roman"/>
          <w:sz w:val="32"/>
          <w:szCs w:val="32"/>
        </w:rPr>
      </w:pPr>
    </w:p>
    <w:p w14:paraId="55AA3874">
      <w:pPr>
        <w:pStyle w:val="27"/>
        <w:keepNext w:val="0"/>
        <w:keepLines w:val="0"/>
        <w:pageBreakBefore w:val="0"/>
        <w:widowControl w:val="0"/>
        <w:kinsoku/>
        <w:wordWrap/>
        <w:overflowPunct/>
        <w:topLinePunct w:val="0"/>
        <w:autoSpaceDE/>
        <w:autoSpaceDN/>
        <w:bidi w:val="0"/>
        <w:adjustRightInd/>
        <w:snapToGrid/>
        <w:spacing w:line="240" w:lineRule="auto"/>
        <w:ind w:firstLine="640"/>
        <w:textAlignment w:val="auto"/>
        <w:outlineLvl w:val="1"/>
        <w:rPr>
          <w:rFonts w:hint="default" w:ascii="Times New Roman" w:hAnsi="Times New Roman" w:eastAsia="仿宋_GB2312" w:cs="Times New Roman"/>
          <w:sz w:val="32"/>
          <w:szCs w:val="32"/>
        </w:rPr>
      </w:pPr>
    </w:p>
    <w:p w14:paraId="22439864">
      <w:pPr>
        <w:pStyle w:val="27"/>
        <w:keepNext w:val="0"/>
        <w:keepLines w:val="0"/>
        <w:pageBreakBefore w:val="0"/>
        <w:widowControl w:val="0"/>
        <w:kinsoku/>
        <w:wordWrap/>
        <w:overflowPunct/>
        <w:topLinePunct w:val="0"/>
        <w:autoSpaceDE/>
        <w:autoSpaceDN/>
        <w:bidi w:val="0"/>
        <w:adjustRightInd/>
        <w:snapToGrid/>
        <w:spacing w:line="240" w:lineRule="auto"/>
        <w:ind w:firstLine="640"/>
        <w:textAlignment w:val="auto"/>
        <w:outlineLvl w:val="1"/>
        <w:rPr>
          <w:rFonts w:hint="default" w:ascii="Times New Roman" w:hAnsi="Times New Roman" w:eastAsia="仿宋_GB2312" w:cs="Times New Roman"/>
          <w:sz w:val="32"/>
          <w:szCs w:val="32"/>
        </w:rPr>
      </w:pPr>
    </w:p>
    <w:p w14:paraId="77155A4E">
      <w:pPr>
        <w:pStyle w:val="27"/>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textAlignment w:val="auto"/>
        <w:outlineLvl w:val="1"/>
        <w:rPr>
          <w:rFonts w:hint="default" w:ascii="Times New Roman" w:hAnsi="Times New Roman" w:eastAsia="仿宋_GB2312" w:cs="Times New Roman"/>
          <w:sz w:val="32"/>
          <w:szCs w:val="32"/>
        </w:rPr>
      </w:pPr>
    </w:p>
    <w:p w14:paraId="7A6FA131">
      <w:pPr>
        <w:pStyle w:val="27"/>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outlineLvl w:val="1"/>
        <w:rPr>
          <w:rFonts w:hint="default" w:ascii="Times New Roman" w:hAnsi="Times New Roman" w:eastAsia="仿宋_GB2312" w:cs="Times New Roman"/>
          <w:sz w:val="21"/>
          <w:szCs w:val="21"/>
        </w:rPr>
      </w:pPr>
      <w:bookmarkStart w:id="38" w:name="_Toc17120"/>
    </w:p>
    <w:p w14:paraId="682DE8DE">
      <w:pPr>
        <w:pStyle w:val="27"/>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both"/>
        <w:textAlignment w:val="auto"/>
        <w:outlineLvl w:val="1"/>
        <w:rPr>
          <w:rFonts w:hint="default" w:ascii="Times New Roman" w:hAnsi="Times New Roman" w:eastAsia="仿宋_GB2312" w:cs="Times New Roman"/>
          <w:sz w:val="30"/>
          <w:szCs w:val="30"/>
        </w:rPr>
      </w:pPr>
    </w:p>
    <w:p w14:paraId="55737B2C">
      <w:pPr>
        <w:pStyle w:val="27"/>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outlineLvl w:val="1"/>
        <w:rPr>
          <w:rFonts w:hint="default" w:ascii="Times New Roman" w:hAnsi="Times New Roman" w:eastAsia="方正仿宋_GBK" w:cs="Times New Roman"/>
          <w:sz w:val="30"/>
          <w:szCs w:val="30"/>
        </w:rPr>
      </w:pPr>
    </w:p>
    <w:p w14:paraId="21DC0338">
      <w:pPr>
        <w:pStyle w:val="27"/>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outlineLvl w:val="1"/>
        <w:rPr>
          <w:rFonts w:hint="default" w:ascii="Times New Roman" w:hAnsi="Times New Roman" w:eastAsia="方正仿宋_GBK" w:cs="Times New Roman"/>
          <w:sz w:val="30"/>
          <w:szCs w:val="30"/>
        </w:rPr>
      </w:pPr>
    </w:p>
    <w:p w14:paraId="3C61317D">
      <w:pPr>
        <w:pStyle w:val="27"/>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outlineLvl w:val="1"/>
        <w:rPr>
          <w:rFonts w:hint="default" w:ascii="Times New Roman" w:hAnsi="Times New Roman" w:eastAsia="方正仿宋_GBK" w:cs="Times New Roman"/>
          <w:sz w:val="30"/>
          <w:szCs w:val="30"/>
        </w:rPr>
      </w:pPr>
    </w:p>
    <w:p w14:paraId="2A75E463">
      <w:pPr>
        <w:pStyle w:val="27"/>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outlineLvl w:val="1"/>
        <w:rPr>
          <w:rFonts w:hint="default" w:ascii="Times New Roman" w:hAnsi="Times New Roman" w:eastAsia="方正仿宋_GBK" w:cs="Times New Roman"/>
          <w:sz w:val="30"/>
          <w:szCs w:val="30"/>
        </w:rPr>
      </w:pPr>
    </w:p>
    <w:p w14:paraId="44B81364">
      <w:pPr>
        <w:pStyle w:val="27"/>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outlineLvl w:val="1"/>
        <w:rPr>
          <w:rFonts w:hint="default" w:ascii="Times New Roman" w:hAnsi="Times New Roman" w:eastAsia="方正仿宋_GBK" w:cs="Times New Roman"/>
          <w:sz w:val="30"/>
          <w:szCs w:val="30"/>
        </w:rPr>
      </w:pPr>
    </w:p>
    <w:p w14:paraId="0D5F50F4">
      <w:pPr>
        <w:pStyle w:val="27"/>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outlineLvl w:val="1"/>
        <w:rPr>
          <w:rFonts w:hint="default" w:ascii="Times New Roman" w:hAnsi="Times New Roman" w:eastAsia="方正仿宋_GBK" w:cs="Times New Roman"/>
          <w:sz w:val="30"/>
          <w:szCs w:val="30"/>
        </w:rPr>
      </w:pPr>
      <w:r>
        <w:rPr>
          <w:rFonts w:hint="default" w:ascii="Times New Roman" w:hAnsi="Times New Roman" w:eastAsia="方正仿宋_GBK" w:cs="Times New Roman"/>
          <w:sz w:val="30"/>
          <w:szCs w:val="30"/>
        </w:rPr>
        <w:t>（图1：收入、支出决算总计变动情况图）</w:t>
      </w:r>
      <w:bookmarkEnd w:id="38"/>
    </w:p>
    <w:p w14:paraId="06456397">
      <w:pPr>
        <w:pStyle w:val="6"/>
        <w:keepNext/>
        <w:keepLines/>
        <w:pageBreakBefore w:val="0"/>
        <w:widowControl w:val="0"/>
        <w:numPr>
          <w:ilvl w:val="0"/>
          <w:numId w:val="0"/>
        </w:numPr>
        <w:kinsoku/>
        <w:wordWrap/>
        <w:overflowPunct/>
        <w:topLinePunct w:val="0"/>
        <w:autoSpaceDE/>
        <w:autoSpaceDN/>
        <w:bidi w:val="0"/>
        <w:adjustRightInd/>
        <w:snapToGrid/>
        <w:spacing w:line="416" w:lineRule="auto"/>
        <w:ind w:left="0" w:leftChars="0" w:firstLine="640" w:firstLineChars="200"/>
        <w:textAlignment w:val="auto"/>
        <w:rPr>
          <w:rFonts w:hint="default" w:ascii="Times New Roman" w:hAnsi="Times New Roman" w:eastAsia="方正黑体_GBK" w:cs="Times New Roman"/>
          <w:b w:val="0"/>
          <w:bCs/>
        </w:rPr>
      </w:pPr>
      <w:bookmarkStart w:id="39" w:name="_Toc15396604"/>
      <w:bookmarkStart w:id="40" w:name="_Toc20736"/>
      <w:bookmarkStart w:id="41" w:name="_Toc15377206"/>
      <w:r>
        <w:rPr>
          <w:rFonts w:hint="default" w:ascii="Times New Roman" w:hAnsi="Times New Roman" w:eastAsia="方正黑体_GBK" w:cs="Times New Roman"/>
          <w:b w:val="0"/>
          <w:bCs/>
        </w:rPr>
        <w:t>二、收入决算情况说明</w:t>
      </w:r>
      <w:bookmarkEnd w:id="39"/>
      <w:bookmarkEnd w:id="40"/>
      <w:bookmarkEnd w:id="41"/>
    </w:p>
    <w:p w14:paraId="47B34200">
      <w:pPr>
        <w:pStyle w:val="8"/>
        <w:keepNext w:val="0"/>
        <w:keepLines w:val="0"/>
        <w:pageBreakBefore w:val="0"/>
        <w:widowControl w:val="0"/>
        <w:kinsoku/>
        <w:wordWrap/>
        <w:overflowPunct/>
        <w:topLinePunct w:val="0"/>
        <w:autoSpaceDE/>
        <w:autoSpaceDN/>
        <w:bidi w:val="0"/>
        <w:adjustRightInd/>
        <w:snapToGrid/>
        <w:spacing w:before="30" w:line="240" w:lineRule="auto"/>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2024年度本年收入合计</w:t>
      </w:r>
      <w:r>
        <w:rPr>
          <w:rFonts w:hint="default" w:ascii="Times New Roman" w:hAnsi="Times New Roman" w:eastAsia="方正仿宋_GBK" w:cs="Times New Roman"/>
          <w:sz w:val="32"/>
          <w:szCs w:val="32"/>
          <w:lang w:val="en-US" w:eastAsia="zh-CN"/>
        </w:rPr>
        <w:t>50879.82</w:t>
      </w:r>
      <w:r>
        <w:rPr>
          <w:rFonts w:hint="default" w:ascii="Times New Roman" w:hAnsi="Times New Roman" w:eastAsia="方正仿宋_GBK" w:cs="Times New Roman"/>
          <w:sz w:val="32"/>
          <w:szCs w:val="32"/>
        </w:rPr>
        <w:t>万元，其中：一般公共预算财政拨款收入</w:t>
      </w:r>
      <w:r>
        <w:rPr>
          <w:rFonts w:hint="default" w:ascii="Times New Roman" w:hAnsi="Times New Roman" w:eastAsia="方正仿宋_GBK" w:cs="Times New Roman"/>
          <w:sz w:val="32"/>
          <w:szCs w:val="32"/>
          <w:lang w:val="en-US" w:eastAsia="zh-CN"/>
        </w:rPr>
        <w:t>47389.13</w:t>
      </w:r>
      <w:r>
        <w:rPr>
          <w:rFonts w:hint="default" w:ascii="Times New Roman" w:hAnsi="Times New Roman" w:eastAsia="方正仿宋_GBK" w:cs="Times New Roman"/>
          <w:sz w:val="32"/>
          <w:szCs w:val="32"/>
        </w:rPr>
        <w:t>万元，占</w:t>
      </w:r>
      <w:r>
        <w:rPr>
          <w:rFonts w:hint="default" w:ascii="Times New Roman" w:hAnsi="Times New Roman" w:eastAsia="方正仿宋_GBK" w:cs="Times New Roman"/>
          <w:sz w:val="32"/>
          <w:szCs w:val="32"/>
          <w:lang w:val="en-US" w:eastAsia="zh-CN"/>
        </w:rPr>
        <w:t>93.14</w:t>
      </w:r>
      <w:r>
        <w:rPr>
          <w:rFonts w:hint="default" w:ascii="Times New Roman" w:hAnsi="Times New Roman" w:eastAsia="方正仿宋_GBK" w:cs="Times New Roman"/>
          <w:sz w:val="32"/>
          <w:szCs w:val="32"/>
        </w:rPr>
        <w:t>%；政府性基金预算财政拨款收入</w:t>
      </w:r>
      <w:r>
        <w:rPr>
          <w:rFonts w:hint="default" w:ascii="Times New Roman" w:hAnsi="Times New Roman" w:eastAsia="方正仿宋_GBK" w:cs="Times New Roman"/>
          <w:sz w:val="32"/>
          <w:szCs w:val="32"/>
          <w:lang w:val="en-US" w:eastAsia="zh-CN"/>
        </w:rPr>
        <w:t>1911.19</w:t>
      </w:r>
      <w:r>
        <w:rPr>
          <w:rFonts w:hint="default" w:ascii="Times New Roman" w:hAnsi="Times New Roman" w:eastAsia="方正仿宋_GBK" w:cs="Times New Roman"/>
          <w:sz w:val="32"/>
          <w:szCs w:val="32"/>
        </w:rPr>
        <w:t>万元，占</w:t>
      </w:r>
      <w:r>
        <w:rPr>
          <w:rFonts w:hint="default" w:ascii="Times New Roman" w:hAnsi="Times New Roman" w:eastAsia="方正仿宋_GBK" w:cs="Times New Roman"/>
          <w:sz w:val="32"/>
          <w:szCs w:val="32"/>
          <w:lang w:val="en-US" w:eastAsia="zh-CN"/>
        </w:rPr>
        <w:t>3.76</w:t>
      </w:r>
      <w:r>
        <w:rPr>
          <w:rFonts w:hint="default" w:ascii="Times New Roman" w:hAnsi="Times New Roman" w:eastAsia="方正仿宋_GBK" w:cs="Times New Roman"/>
          <w:sz w:val="32"/>
          <w:szCs w:val="32"/>
        </w:rPr>
        <w:t>%；国有资本经营预算财政拨款收入</w:t>
      </w:r>
      <w:r>
        <w:rPr>
          <w:rFonts w:hint="default" w:ascii="Times New Roman" w:hAnsi="Times New Roman" w:eastAsia="方正仿宋_GBK" w:cs="Times New Roman"/>
          <w:sz w:val="32"/>
          <w:szCs w:val="32"/>
          <w:lang w:val="en-US" w:eastAsia="zh-CN"/>
        </w:rPr>
        <w:t>0</w:t>
      </w:r>
      <w:r>
        <w:rPr>
          <w:rFonts w:hint="default" w:ascii="Times New Roman" w:hAnsi="Times New Roman" w:eastAsia="方正仿宋_GBK" w:cs="Times New Roman"/>
          <w:sz w:val="32"/>
          <w:szCs w:val="32"/>
        </w:rPr>
        <w:t>万元，占</w:t>
      </w:r>
      <w:r>
        <w:rPr>
          <w:rFonts w:hint="default" w:ascii="Times New Roman" w:hAnsi="Times New Roman" w:eastAsia="方正仿宋_GBK" w:cs="Times New Roman"/>
          <w:sz w:val="32"/>
          <w:szCs w:val="32"/>
          <w:lang w:val="en-US" w:eastAsia="zh-CN"/>
        </w:rPr>
        <w:t>0</w:t>
      </w:r>
      <w:r>
        <w:rPr>
          <w:rFonts w:hint="default" w:ascii="Times New Roman" w:hAnsi="Times New Roman" w:eastAsia="方正仿宋_GBK" w:cs="Times New Roman"/>
          <w:sz w:val="32"/>
          <w:szCs w:val="32"/>
        </w:rPr>
        <w:t>%；上级补助收入</w:t>
      </w:r>
      <w:r>
        <w:rPr>
          <w:rFonts w:hint="default" w:ascii="Times New Roman" w:hAnsi="Times New Roman" w:eastAsia="方正仿宋_GBK" w:cs="Times New Roman"/>
          <w:sz w:val="32"/>
          <w:szCs w:val="32"/>
          <w:lang w:val="en-US" w:eastAsia="zh-CN"/>
        </w:rPr>
        <w:t>0</w:t>
      </w:r>
      <w:r>
        <w:rPr>
          <w:rFonts w:hint="default" w:ascii="Times New Roman" w:hAnsi="Times New Roman" w:eastAsia="方正仿宋_GBK" w:cs="Times New Roman"/>
          <w:sz w:val="32"/>
          <w:szCs w:val="32"/>
        </w:rPr>
        <w:t>万元，占</w:t>
      </w:r>
      <w:r>
        <w:rPr>
          <w:rFonts w:hint="default" w:ascii="Times New Roman" w:hAnsi="Times New Roman" w:eastAsia="方正仿宋_GBK" w:cs="Times New Roman"/>
          <w:sz w:val="32"/>
          <w:szCs w:val="32"/>
          <w:lang w:val="en-US" w:eastAsia="zh-CN"/>
        </w:rPr>
        <w:t>0</w:t>
      </w:r>
      <w:r>
        <w:rPr>
          <w:rFonts w:hint="default" w:ascii="Times New Roman" w:hAnsi="Times New Roman" w:eastAsia="方正仿宋_GBK" w:cs="Times New Roman"/>
          <w:sz w:val="32"/>
          <w:szCs w:val="32"/>
        </w:rPr>
        <w:t>%；事业收入</w:t>
      </w:r>
      <w:r>
        <w:rPr>
          <w:rFonts w:hint="default" w:ascii="Times New Roman" w:hAnsi="Times New Roman" w:eastAsia="方正仿宋_GBK" w:cs="Times New Roman"/>
          <w:sz w:val="32"/>
          <w:szCs w:val="32"/>
          <w:lang w:val="en-US" w:eastAsia="zh-CN"/>
        </w:rPr>
        <w:t>1517.98</w:t>
      </w:r>
      <w:r>
        <w:rPr>
          <w:rFonts w:hint="default" w:ascii="Times New Roman" w:hAnsi="Times New Roman" w:eastAsia="方正仿宋_GBK" w:cs="Times New Roman"/>
          <w:sz w:val="32"/>
          <w:szCs w:val="32"/>
        </w:rPr>
        <w:t>万元，占</w:t>
      </w:r>
      <w:r>
        <w:rPr>
          <w:rFonts w:hint="default" w:ascii="Times New Roman" w:hAnsi="Times New Roman" w:eastAsia="方正仿宋_GBK" w:cs="Times New Roman"/>
          <w:sz w:val="32"/>
          <w:szCs w:val="32"/>
          <w:lang w:val="en-US" w:eastAsia="zh-CN"/>
        </w:rPr>
        <w:t>2.98</w:t>
      </w:r>
      <w:r>
        <w:rPr>
          <w:rFonts w:hint="default" w:ascii="Times New Roman" w:hAnsi="Times New Roman" w:eastAsia="方正仿宋_GBK" w:cs="Times New Roman"/>
          <w:sz w:val="32"/>
          <w:szCs w:val="32"/>
        </w:rPr>
        <w:t>%；经营收入</w:t>
      </w:r>
      <w:r>
        <w:rPr>
          <w:rFonts w:hint="default" w:ascii="Times New Roman" w:hAnsi="Times New Roman" w:eastAsia="方正仿宋_GBK" w:cs="Times New Roman"/>
          <w:sz w:val="32"/>
          <w:szCs w:val="32"/>
          <w:lang w:val="en-US" w:eastAsia="zh-CN"/>
        </w:rPr>
        <w:t>0</w:t>
      </w:r>
      <w:r>
        <w:rPr>
          <w:rFonts w:hint="default" w:ascii="Times New Roman" w:hAnsi="Times New Roman" w:eastAsia="方正仿宋_GBK" w:cs="Times New Roman"/>
          <w:sz w:val="32"/>
          <w:szCs w:val="32"/>
        </w:rPr>
        <w:t>万元，占</w:t>
      </w:r>
      <w:r>
        <w:rPr>
          <w:rFonts w:hint="default" w:ascii="Times New Roman" w:hAnsi="Times New Roman" w:eastAsia="方正仿宋_GBK" w:cs="Times New Roman"/>
          <w:sz w:val="32"/>
          <w:szCs w:val="32"/>
          <w:lang w:val="en-US" w:eastAsia="zh-CN"/>
        </w:rPr>
        <w:t>0</w:t>
      </w:r>
      <w:r>
        <w:rPr>
          <w:rFonts w:hint="default" w:ascii="Times New Roman" w:hAnsi="Times New Roman" w:eastAsia="方正仿宋_GBK" w:cs="Times New Roman"/>
          <w:sz w:val="32"/>
          <w:szCs w:val="32"/>
        </w:rPr>
        <w:t>%；附属单位上缴收入</w:t>
      </w:r>
      <w:r>
        <w:rPr>
          <w:rFonts w:hint="default" w:ascii="Times New Roman" w:hAnsi="Times New Roman" w:eastAsia="方正仿宋_GBK" w:cs="Times New Roman"/>
          <w:sz w:val="32"/>
          <w:szCs w:val="32"/>
          <w:lang w:val="en-US" w:eastAsia="zh-CN"/>
        </w:rPr>
        <w:t>0</w:t>
      </w:r>
      <w:r>
        <w:rPr>
          <w:rFonts w:hint="default" w:ascii="Times New Roman" w:hAnsi="Times New Roman" w:eastAsia="方正仿宋_GBK" w:cs="Times New Roman"/>
          <w:sz w:val="32"/>
          <w:szCs w:val="32"/>
        </w:rPr>
        <w:t>万元，占</w:t>
      </w:r>
      <w:r>
        <w:rPr>
          <w:rFonts w:hint="default" w:ascii="Times New Roman" w:hAnsi="Times New Roman" w:eastAsia="方正仿宋_GBK" w:cs="Times New Roman"/>
          <w:sz w:val="32"/>
          <w:szCs w:val="32"/>
          <w:lang w:val="en-US" w:eastAsia="zh-CN"/>
        </w:rPr>
        <w:t>0</w:t>
      </w:r>
      <w:r>
        <w:rPr>
          <w:rFonts w:hint="default" w:ascii="Times New Roman" w:hAnsi="Times New Roman" w:eastAsia="方正仿宋_GBK" w:cs="Times New Roman"/>
          <w:sz w:val="32"/>
          <w:szCs w:val="32"/>
        </w:rPr>
        <w:t>%；其他收入</w:t>
      </w:r>
      <w:r>
        <w:rPr>
          <w:rFonts w:hint="default" w:ascii="Times New Roman" w:hAnsi="Times New Roman" w:eastAsia="方正仿宋_GBK" w:cs="Times New Roman"/>
          <w:sz w:val="32"/>
          <w:szCs w:val="32"/>
          <w:lang w:val="en-US" w:eastAsia="zh-CN"/>
        </w:rPr>
        <w:t>61.51</w:t>
      </w:r>
      <w:r>
        <w:rPr>
          <w:rFonts w:hint="default" w:ascii="Times New Roman" w:hAnsi="Times New Roman" w:eastAsia="方正仿宋_GBK" w:cs="Times New Roman"/>
          <w:sz w:val="32"/>
          <w:szCs w:val="32"/>
        </w:rPr>
        <w:t>万元，占</w:t>
      </w:r>
      <w:r>
        <w:rPr>
          <w:rFonts w:hint="default" w:ascii="Times New Roman" w:hAnsi="Times New Roman" w:eastAsia="方正仿宋_GBK" w:cs="Times New Roman"/>
          <w:sz w:val="32"/>
          <w:szCs w:val="32"/>
          <w:lang w:val="en-US" w:eastAsia="zh-CN"/>
        </w:rPr>
        <w:t>0.12</w:t>
      </w:r>
      <w:r>
        <w:rPr>
          <w:rFonts w:hint="default" w:ascii="Times New Roman" w:hAnsi="Times New Roman" w:eastAsia="方正仿宋_GBK" w:cs="Times New Roman"/>
          <w:sz w:val="32"/>
          <w:szCs w:val="32"/>
        </w:rPr>
        <w:t>%。</w:t>
      </w:r>
    </w:p>
    <w:p w14:paraId="133F2AEB">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24"/>
          <w:szCs w:val="24"/>
        </w:rPr>
      </w:pPr>
      <w:r>
        <w:rPr>
          <w:rFonts w:hint="default" w:ascii="Times New Roman" w:hAnsi="Times New Roman" w:eastAsia="仿宋_GB2312" w:cs="Times New Roman"/>
          <w:sz w:val="32"/>
          <w:szCs w:val="32"/>
          <w:lang w:eastAsia="zh-CN"/>
        </w:rPr>
        <w:drawing>
          <wp:inline distT="0" distB="0" distL="114300" distR="114300">
            <wp:extent cx="4882515" cy="3950335"/>
            <wp:effectExtent l="4445" t="4445" r="8890" b="7620"/>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060C2D97">
      <w:pPr>
        <w:pStyle w:val="27"/>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auto"/>
        <w:outlineLvl w:val="1"/>
        <w:rPr>
          <w:rFonts w:hint="default" w:ascii="Times New Roman" w:hAnsi="Times New Roman" w:eastAsia="方正仿宋_GBK" w:cs="Times New Roman"/>
          <w:sz w:val="30"/>
          <w:szCs w:val="30"/>
        </w:rPr>
      </w:pPr>
      <w:r>
        <w:rPr>
          <w:rFonts w:hint="default" w:ascii="Times New Roman" w:hAnsi="Times New Roman" w:eastAsia="方正仿宋_GBK" w:cs="Times New Roman"/>
          <w:sz w:val="30"/>
          <w:szCs w:val="30"/>
        </w:rPr>
        <w:t>（图2：收入决算结构图）</w:t>
      </w:r>
    </w:p>
    <w:p w14:paraId="0732AEAE">
      <w:pPr>
        <w:pStyle w:val="6"/>
        <w:keepNext/>
        <w:keepLines/>
        <w:pageBreakBefore w:val="0"/>
        <w:widowControl w:val="0"/>
        <w:numPr>
          <w:ilvl w:val="0"/>
          <w:numId w:val="0"/>
        </w:numPr>
        <w:kinsoku/>
        <w:wordWrap/>
        <w:overflowPunct/>
        <w:topLinePunct w:val="0"/>
        <w:autoSpaceDE/>
        <w:autoSpaceDN/>
        <w:bidi w:val="0"/>
        <w:adjustRightInd/>
        <w:snapToGrid/>
        <w:spacing w:line="416" w:lineRule="auto"/>
        <w:ind w:left="0" w:leftChars="0" w:firstLine="640" w:firstLineChars="200"/>
        <w:textAlignment w:val="auto"/>
        <w:rPr>
          <w:rFonts w:hint="default" w:ascii="Times New Roman" w:hAnsi="Times New Roman" w:eastAsia="方正黑体_GBK" w:cs="Times New Roman"/>
          <w:b w:val="0"/>
          <w:bCs/>
        </w:rPr>
      </w:pPr>
      <w:bookmarkStart w:id="42" w:name="_Toc15377207"/>
      <w:bookmarkStart w:id="43" w:name="_Toc30278"/>
      <w:bookmarkStart w:id="44" w:name="_Toc15396605"/>
      <w:r>
        <w:rPr>
          <w:rFonts w:hint="default" w:ascii="Times New Roman" w:hAnsi="Times New Roman" w:eastAsia="方正黑体_GBK" w:cs="Times New Roman"/>
          <w:b w:val="0"/>
          <w:bCs/>
        </w:rPr>
        <w:t>三、支出决算情况说明</w:t>
      </w:r>
      <w:bookmarkEnd w:id="42"/>
      <w:bookmarkEnd w:id="43"/>
      <w:bookmarkEnd w:id="44"/>
    </w:p>
    <w:p w14:paraId="2D54E9D7">
      <w:pPr>
        <w:pStyle w:val="8"/>
        <w:keepNext w:val="0"/>
        <w:keepLines w:val="0"/>
        <w:pageBreakBefore w:val="0"/>
        <w:widowControl w:val="0"/>
        <w:kinsoku/>
        <w:wordWrap/>
        <w:overflowPunct/>
        <w:topLinePunct w:val="0"/>
        <w:autoSpaceDE/>
        <w:autoSpaceDN/>
        <w:bidi w:val="0"/>
        <w:adjustRightInd/>
        <w:snapToGrid/>
        <w:spacing w:before="30" w:line="240" w:lineRule="auto"/>
        <w:ind w:firstLine="640" w:firstLineChars="200"/>
        <w:textAlignment w:val="auto"/>
        <w:rPr>
          <w:rFonts w:hint="default" w:ascii="Times New Roman" w:hAnsi="Times New Roman" w:eastAsia="方正仿宋_GBK" w:cs="Times New Roman"/>
          <w:sz w:val="32"/>
          <w:lang w:val="en-US" w:eastAsia="zh-CN"/>
        </w:rPr>
      </w:pPr>
      <w:bookmarkStart w:id="45" w:name="_Toc9517"/>
      <w:r>
        <w:rPr>
          <w:rFonts w:hint="default" w:ascii="Times New Roman" w:hAnsi="Times New Roman" w:eastAsia="方正仿宋_GBK" w:cs="Times New Roman"/>
          <w:sz w:val="32"/>
          <w:lang w:val="en-US" w:eastAsia="zh-CN"/>
        </w:rPr>
        <w:t>2024年度本年支出合计50826.98万元，其中：基本支出35664.64万元，占70.17%；项目支出15162.34万元，占29.83%；上缴上级支出0万元，占0%；经营支出0万元，占0%；对附属单位补助支出0万元，占0%。</w:t>
      </w:r>
      <w:bookmarkEnd w:id="45"/>
    </w:p>
    <w:p w14:paraId="2BA27143">
      <w:pPr>
        <w:pStyle w:val="8"/>
        <w:keepNext w:val="0"/>
        <w:keepLines w:val="0"/>
        <w:pageBreakBefore w:val="0"/>
        <w:widowControl w:val="0"/>
        <w:kinsoku/>
        <w:wordWrap/>
        <w:overflowPunct/>
        <w:topLinePunct w:val="0"/>
        <w:autoSpaceDE/>
        <w:autoSpaceDN/>
        <w:bidi w:val="0"/>
        <w:adjustRightInd/>
        <w:snapToGrid/>
        <w:spacing w:before="30" w:line="240" w:lineRule="auto"/>
        <w:ind w:firstLine="640" w:firstLineChars="200"/>
        <w:textAlignment w:val="auto"/>
        <w:rPr>
          <w:rFonts w:hint="default" w:ascii="Times New Roman" w:hAnsi="Times New Roman" w:eastAsia="方正仿宋_GBK" w:cs="Times New Roman"/>
          <w:sz w:val="32"/>
          <w:lang w:val="en-US" w:eastAsia="zh-CN"/>
        </w:rPr>
      </w:pPr>
      <w:r>
        <w:rPr>
          <w:rFonts w:hint="default" w:ascii="Times New Roman" w:hAnsi="Times New Roman" w:eastAsia="方正仿宋_GBK" w:cs="Times New Roman"/>
          <w:sz w:val="32"/>
          <w:lang w:val="en-US" w:eastAsia="zh-CN"/>
        </w:rPr>
        <w:drawing>
          <wp:anchor distT="0" distB="0" distL="114300" distR="114300" simplePos="0" relativeHeight="251660288" behindDoc="0" locked="0" layoutInCell="1" allowOverlap="1">
            <wp:simplePos x="0" y="0"/>
            <wp:positionH relativeFrom="column">
              <wp:posOffset>76835</wp:posOffset>
            </wp:positionH>
            <wp:positionV relativeFrom="paragraph">
              <wp:posOffset>26035</wp:posOffset>
            </wp:positionV>
            <wp:extent cx="5267960" cy="4490085"/>
            <wp:effectExtent l="4445" t="4445" r="23495" b="20320"/>
            <wp:wrapNone/>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anchor>
        </w:drawing>
      </w:r>
    </w:p>
    <w:p w14:paraId="21EB0D73">
      <w:pPr>
        <w:pStyle w:val="8"/>
        <w:keepNext w:val="0"/>
        <w:keepLines w:val="0"/>
        <w:pageBreakBefore w:val="0"/>
        <w:widowControl w:val="0"/>
        <w:kinsoku/>
        <w:wordWrap/>
        <w:overflowPunct/>
        <w:topLinePunct w:val="0"/>
        <w:autoSpaceDE/>
        <w:autoSpaceDN/>
        <w:bidi w:val="0"/>
        <w:adjustRightInd/>
        <w:snapToGrid/>
        <w:spacing w:before="30" w:line="240" w:lineRule="auto"/>
        <w:ind w:firstLine="640" w:firstLineChars="200"/>
        <w:textAlignment w:val="auto"/>
        <w:rPr>
          <w:rFonts w:hint="default" w:ascii="Times New Roman" w:hAnsi="Times New Roman" w:eastAsia="方正仿宋_GBK" w:cs="Times New Roman"/>
          <w:sz w:val="32"/>
          <w:lang w:val="en-US" w:eastAsia="zh-CN"/>
        </w:rPr>
      </w:pPr>
    </w:p>
    <w:p w14:paraId="2F34F43D">
      <w:pPr>
        <w:pStyle w:val="27"/>
        <w:keepNext w:val="0"/>
        <w:keepLines w:val="0"/>
        <w:pageBreakBefore w:val="0"/>
        <w:widowControl w:val="0"/>
        <w:kinsoku/>
        <w:wordWrap/>
        <w:overflowPunct/>
        <w:topLinePunct w:val="0"/>
        <w:autoSpaceDE/>
        <w:autoSpaceDN/>
        <w:bidi w:val="0"/>
        <w:adjustRightInd/>
        <w:snapToGrid/>
        <w:spacing w:line="240" w:lineRule="auto"/>
        <w:ind w:firstLine="640"/>
        <w:jc w:val="left"/>
        <w:textAlignment w:val="auto"/>
        <w:outlineLvl w:val="1"/>
        <w:rPr>
          <w:rFonts w:hint="default" w:ascii="Times New Roman" w:hAnsi="Times New Roman" w:eastAsia="仿宋_GB2312" w:cs="Times New Roman"/>
          <w:b/>
          <w:bCs/>
          <w:sz w:val="32"/>
          <w:szCs w:val="32"/>
        </w:rPr>
      </w:pPr>
    </w:p>
    <w:p w14:paraId="51036158">
      <w:pPr>
        <w:pStyle w:val="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rPr>
      </w:pPr>
    </w:p>
    <w:p w14:paraId="55227266">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30"/>
          <w:szCs w:val="30"/>
        </w:rPr>
      </w:pPr>
    </w:p>
    <w:p w14:paraId="117BD44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30"/>
          <w:szCs w:val="30"/>
        </w:rPr>
      </w:pPr>
    </w:p>
    <w:p w14:paraId="11F91741">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30"/>
          <w:szCs w:val="30"/>
        </w:rPr>
      </w:pPr>
    </w:p>
    <w:p w14:paraId="08F51B89">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30"/>
          <w:szCs w:val="30"/>
        </w:rPr>
      </w:pPr>
    </w:p>
    <w:p w14:paraId="61DD1C0B">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仿宋_GB2312" w:cs="Times New Roman"/>
          <w:sz w:val="30"/>
          <w:szCs w:val="30"/>
        </w:rPr>
      </w:pPr>
    </w:p>
    <w:p w14:paraId="13F05EB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方正仿宋_GBK" w:cs="Times New Roman"/>
          <w:sz w:val="30"/>
          <w:szCs w:val="30"/>
        </w:rPr>
      </w:pPr>
    </w:p>
    <w:p w14:paraId="29FE70AC">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方正仿宋_GBK" w:cs="Times New Roman"/>
          <w:sz w:val="30"/>
          <w:szCs w:val="30"/>
        </w:rPr>
      </w:pPr>
    </w:p>
    <w:p w14:paraId="67EB311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方正黑体_GBK" w:cs="Times New Roman"/>
          <w:b w:val="0"/>
          <w:bCs/>
        </w:rPr>
      </w:pPr>
      <w:r>
        <w:rPr>
          <w:rFonts w:hint="default" w:ascii="Times New Roman" w:hAnsi="Times New Roman" w:eastAsia="方正仿宋_GBK" w:cs="Times New Roman"/>
          <w:sz w:val="30"/>
          <w:szCs w:val="30"/>
        </w:rPr>
        <w:t>（图3：支出决算结构图）</w:t>
      </w:r>
      <w:bookmarkStart w:id="46" w:name="_Toc15396606"/>
      <w:bookmarkStart w:id="47" w:name="_Toc21310"/>
      <w:bookmarkStart w:id="48" w:name="_Toc15377208"/>
    </w:p>
    <w:p w14:paraId="2C5736F5">
      <w:pPr>
        <w:pStyle w:val="6"/>
        <w:keepNext/>
        <w:keepLines/>
        <w:pageBreakBefore w:val="0"/>
        <w:widowControl w:val="0"/>
        <w:numPr>
          <w:ilvl w:val="0"/>
          <w:numId w:val="0"/>
        </w:numPr>
        <w:kinsoku/>
        <w:wordWrap/>
        <w:overflowPunct/>
        <w:topLinePunct w:val="0"/>
        <w:autoSpaceDE/>
        <w:autoSpaceDN/>
        <w:bidi w:val="0"/>
        <w:adjustRightInd/>
        <w:snapToGrid/>
        <w:spacing w:line="416" w:lineRule="auto"/>
        <w:ind w:left="0" w:leftChars="0" w:firstLine="640" w:firstLineChars="200"/>
        <w:textAlignment w:val="auto"/>
        <w:rPr>
          <w:rFonts w:hint="default" w:ascii="Times New Roman" w:hAnsi="Times New Roman" w:eastAsia="方正黑体_GBK" w:cs="Times New Roman"/>
          <w:b w:val="0"/>
          <w:bCs/>
        </w:rPr>
      </w:pPr>
      <w:r>
        <w:rPr>
          <w:rFonts w:hint="default" w:ascii="Times New Roman" w:hAnsi="Times New Roman" w:eastAsia="方正黑体_GBK" w:cs="Times New Roman"/>
          <w:b w:val="0"/>
          <w:bCs/>
        </w:rPr>
        <w:t>四、财政拨款收入支出决算总体情况说明</w:t>
      </w:r>
      <w:bookmarkEnd w:id="46"/>
      <w:bookmarkEnd w:id="47"/>
      <w:bookmarkEnd w:id="48"/>
    </w:p>
    <w:p w14:paraId="12CE6483">
      <w:pPr>
        <w:keepNext w:val="0"/>
        <w:keepLines w:val="0"/>
        <w:pageBreakBefore w:val="0"/>
        <w:widowControl w:val="0"/>
        <w:kinsoku/>
        <w:wordWrap/>
        <w:overflowPunct/>
        <w:topLinePunct w:val="0"/>
        <w:autoSpaceDE/>
        <w:autoSpaceDN/>
        <w:bidi w:val="0"/>
        <w:adjustRightInd/>
        <w:snapToGrid/>
        <w:spacing w:line="240" w:lineRule="auto"/>
        <w:ind w:firstLine="640"/>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2024年度财政拨款收入、支出总计均为49300.33万元。与2023年度相比，财政拨款收入总计、支出总计各增加10993.64万元，增长28.70%。主要变动原因是填报口径发生变化，较2023年多4个学校。</w:t>
      </w:r>
    </w:p>
    <w:p w14:paraId="31055CC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方正仿宋_GBK" w:cs="Times New Roman"/>
          <w:sz w:val="30"/>
          <w:szCs w:val="30"/>
        </w:rPr>
      </w:pPr>
      <w:r>
        <w:rPr>
          <w:rFonts w:hint="default" w:ascii="Times New Roman" w:hAnsi="Times New Roman" w:eastAsia="方正仿宋_GBK" w:cs="Times New Roman"/>
          <w:kern w:val="0"/>
          <w:sz w:val="32"/>
          <w:szCs w:val="24"/>
          <w:lang w:val="en-US" w:eastAsia="zh-CN" w:bidi="ar-SA"/>
        </w:rPr>
        <w:drawing>
          <wp:anchor distT="0" distB="0" distL="114300" distR="114300" simplePos="0" relativeHeight="251661312" behindDoc="0" locked="0" layoutInCell="1" allowOverlap="1">
            <wp:simplePos x="0" y="0"/>
            <wp:positionH relativeFrom="column">
              <wp:posOffset>57785</wp:posOffset>
            </wp:positionH>
            <wp:positionV relativeFrom="paragraph">
              <wp:posOffset>162560</wp:posOffset>
            </wp:positionV>
            <wp:extent cx="5216525" cy="4857115"/>
            <wp:effectExtent l="4445" t="4445" r="17780" b="15240"/>
            <wp:wrapSquare wrapText="bothSides"/>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anchor>
        </w:drawing>
      </w:r>
      <w:r>
        <w:rPr>
          <w:rFonts w:hint="default" w:ascii="Times New Roman" w:hAnsi="Times New Roman" w:eastAsia="方正仿宋_GBK" w:cs="Times New Roman"/>
          <w:sz w:val="30"/>
          <w:szCs w:val="30"/>
        </w:rPr>
        <w:t>（图4：财政拨款收、支决算总计变动情况）</w:t>
      </w:r>
    </w:p>
    <w:p w14:paraId="0ED4B464">
      <w:pPr>
        <w:pStyle w:val="6"/>
        <w:keepNext/>
        <w:keepLines/>
        <w:pageBreakBefore w:val="0"/>
        <w:widowControl w:val="0"/>
        <w:numPr>
          <w:ilvl w:val="0"/>
          <w:numId w:val="0"/>
        </w:numPr>
        <w:kinsoku/>
        <w:wordWrap/>
        <w:overflowPunct/>
        <w:topLinePunct w:val="0"/>
        <w:autoSpaceDE/>
        <w:autoSpaceDN/>
        <w:bidi w:val="0"/>
        <w:adjustRightInd/>
        <w:snapToGrid/>
        <w:spacing w:line="416" w:lineRule="auto"/>
        <w:ind w:left="0" w:leftChars="0" w:firstLine="640" w:firstLineChars="200"/>
        <w:textAlignment w:val="auto"/>
        <w:rPr>
          <w:rFonts w:hint="default" w:ascii="Times New Roman" w:hAnsi="Times New Roman" w:eastAsia="方正黑体_GBK" w:cs="Times New Roman"/>
          <w:b w:val="0"/>
          <w:bCs/>
        </w:rPr>
      </w:pPr>
      <w:bookmarkStart w:id="49" w:name="_Toc15377209"/>
      <w:bookmarkStart w:id="50" w:name="_Toc15396607"/>
      <w:bookmarkStart w:id="51" w:name="_Toc5102"/>
      <w:r>
        <w:rPr>
          <w:rFonts w:hint="default" w:ascii="Times New Roman" w:hAnsi="Times New Roman" w:eastAsia="方正黑体_GBK" w:cs="Times New Roman"/>
          <w:b w:val="0"/>
          <w:bCs/>
        </w:rPr>
        <w:t>五、一般公共预算财政拨款支出决算情况说明</w:t>
      </w:r>
      <w:bookmarkEnd w:id="49"/>
      <w:bookmarkEnd w:id="50"/>
      <w:bookmarkEnd w:id="51"/>
    </w:p>
    <w:p w14:paraId="398365EF">
      <w:pPr>
        <w:keepNext w:val="0"/>
        <w:keepLines w:val="0"/>
        <w:pageBreakBefore w:val="0"/>
        <w:kinsoku/>
        <w:wordWrap/>
        <w:overflowPunct/>
        <w:topLinePunct w:val="0"/>
        <w:autoSpaceDE/>
        <w:autoSpaceDN/>
        <w:bidi w:val="0"/>
        <w:spacing w:line="240" w:lineRule="auto"/>
        <w:ind w:firstLine="643" w:firstLineChars="200"/>
        <w:textAlignment w:val="auto"/>
        <w:outlineLvl w:val="2"/>
        <w:rPr>
          <w:rFonts w:hint="default" w:ascii="Times New Roman" w:hAnsi="Times New Roman" w:eastAsia="方正楷体_GBK" w:cs="Times New Roman"/>
          <w:b/>
          <w:bCs w:val="0"/>
          <w:sz w:val="32"/>
          <w:szCs w:val="32"/>
        </w:rPr>
      </w:pPr>
      <w:bookmarkStart w:id="52" w:name="_Toc15377210"/>
      <w:r>
        <w:rPr>
          <w:rFonts w:hint="default" w:ascii="Times New Roman" w:hAnsi="Times New Roman" w:eastAsia="方正楷体_GBK" w:cs="Times New Roman"/>
          <w:b/>
          <w:bCs w:val="0"/>
          <w:sz w:val="32"/>
          <w:szCs w:val="32"/>
        </w:rPr>
        <w:t>（一）一般公共预算财政拨款支出决算总体情况</w:t>
      </w:r>
      <w:bookmarkEnd w:id="52"/>
    </w:p>
    <w:p w14:paraId="32993AB3">
      <w:pPr>
        <w:keepNext w:val="0"/>
        <w:keepLines w:val="0"/>
        <w:pageBreakBefore w:val="0"/>
        <w:widowControl w:val="0"/>
        <w:kinsoku/>
        <w:wordWrap/>
        <w:overflowPunct/>
        <w:topLinePunct w:val="0"/>
        <w:autoSpaceDE/>
        <w:autoSpaceDN/>
        <w:bidi w:val="0"/>
        <w:adjustRightInd/>
        <w:snapToGrid/>
        <w:spacing w:line="240" w:lineRule="auto"/>
        <w:ind w:firstLine="640"/>
        <w:textAlignment w:val="auto"/>
        <w:rPr>
          <w:rFonts w:hint="default" w:ascii="Times New Roman" w:hAnsi="Times New Roman" w:eastAsia="方正仿宋_GBK" w:cs="Times New Roman"/>
          <w:kern w:val="0"/>
          <w:sz w:val="32"/>
          <w:szCs w:val="24"/>
          <w:lang w:val="en-US" w:eastAsia="zh-CN" w:bidi="ar-SA"/>
        </w:rPr>
      </w:pPr>
      <w:r>
        <w:rPr>
          <w:rFonts w:hint="default" w:ascii="Times New Roman" w:hAnsi="Times New Roman" w:eastAsia="方正仿宋_GBK" w:cs="Times New Roman"/>
          <w:kern w:val="0"/>
          <w:sz w:val="32"/>
          <w:szCs w:val="24"/>
          <w:lang w:val="en-US" w:eastAsia="zh-CN" w:bidi="ar-SA"/>
        </w:rPr>
        <w:t>2024年度一般公共预算财政拨款支出47389.13万元，占本年支出合计的96.12%。与2023年度相比，一般公共预算财政拨款支出增加9161.04万元，增长23.96%。主要变动原因是填报口径发生变化，较2023年多4个学校。</w:t>
      </w:r>
    </w:p>
    <w:p w14:paraId="1D638263">
      <w:pPr>
        <w:pStyle w:val="2"/>
        <w:rPr>
          <w:rFonts w:hint="default" w:ascii="Times New Roman" w:hAnsi="Times New Roman" w:eastAsia="方正仿宋_GBK" w:cs="Times New Roman"/>
          <w:kern w:val="0"/>
          <w:sz w:val="32"/>
          <w:szCs w:val="24"/>
          <w:lang w:val="en-US" w:eastAsia="zh-CN" w:bidi="ar-SA"/>
        </w:rPr>
      </w:pPr>
    </w:p>
    <w:p w14:paraId="41D57FC5">
      <w:pPr>
        <w:pStyle w:val="3"/>
        <w:ind w:left="0" w:leftChars="0" w:firstLine="0" w:firstLineChars="0"/>
        <w:rPr>
          <w:rFonts w:hint="default" w:ascii="Times New Roman" w:hAnsi="Times New Roman" w:eastAsia="方正仿宋_GBK" w:cs="Times New Roman"/>
          <w:kern w:val="0"/>
          <w:sz w:val="32"/>
          <w:szCs w:val="24"/>
          <w:lang w:val="en-US" w:eastAsia="zh-CN" w:bidi="ar-SA"/>
        </w:rPr>
      </w:pPr>
    </w:p>
    <w:p w14:paraId="4052CCA9">
      <w:pPr>
        <w:keepNext w:val="0"/>
        <w:keepLines w:val="0"/>
        <w:pageBreakBefore w:val="0"/>
        <w:widowControl w:val="0"/>
        <w:kinsoku/>
        <w:wordWrap/>
        <w:overflowPunct/>
        <w:topLinePunct w:val="0"/>
        <w:autoSpaceDE/>
        <w:autoSpaceDN/>
        <w:bidi w:val="0"/>
        <w:adjustRightInd/>
        <w:snapToGrid/>
        <w:spacing w:line="240" w:lineRule="auto"/>
        <w:ind w:firstLine="64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lang w:eastAsia="zh-CN"/>
        </w:rPr>
        <w:drawing>
          <wp:anchor distT="0" distB="0" distL="114300" distR="114300" simplePos="0" relativeHeight="251662336" behindDoc="0" locked="0" layoutInCell="1" allowOverlap="1">
            <wp:simplePos x="0" y="0"/>
            <wp:positionH relativeFrom="column">
              <wp:posOffset>86360</wp:posOffset>
            </wp:positionH>
            <wp:positionV relativeFrom="paragraph">
              <wp:posOffset>17145</wp:posOffset>
            </wp:positionV>
            <wp:extent cx="5133340" cy="3787140"/>
            <wp:effectExtent l="4445" t="4445" r="5715" b="18415"/>
            <wp:wrapNone/>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anchor>
        </w:drawing>
      </w:r>
    </w:p>
    <w:p w14:paraId="5E3195B5">
      <w:pPr>
        <w:keepNext w:val="0"/>
        <w:keepLines w:val="0"/>
        <w:pageBreakBefore w:val="0"/>
        <w:widowControl w:val="0"/>
        <w:kinsoku/>
        <w:wordWrap/>
        <w:overflowPunct/>
        <w:topLinePunct w:val="0"/>
        <w:autoSpaceDE/>
        <w:autoSpaceDN/>
        <w:bidi w:val="0"/>
        <w:adjustRightInd/>
        <w:snapToGrid/>
        <w:spacing w:line="240" w:lineRule="auto"/>
        <w:ind w:firstLine="640"/>
        <w:textAlignment w:val="auto"/>
        <w:rPr>
          <w:rFonts w:hint="default" w:ascii="Times New Roman" w:hAnsi="Times New Roman" w:eastAsia="仿宋_GB2312" w:cs="Times New Roman"/>
          <w:sz w:val="32"/>
          <w:szCs w:val="32"/>
        </w:rPr>
      </w:pPr>
    </w:p>
    <w:p w14:paraId="059225E2">
      <w:pPr>
        <w:keepNext w:val="0"/>
        <w:keepLines w:val="0"/>
        <w:pageBreakBefore w:val="0"/>
        <w:widowControl w:val="0"/>
        <w:kinsoku/>
        <w:wordWrap/>
        <w:overflowPunct/>
        <w:topLinePunct w:val="0"/>
        <w:autoSpaceDE/>
        <w:autoSpaceDN/>
        <w:bidi w:val="0"/>
        <w:adjustRightInd/>
        <w:snapToGrid/>
        <w:spacing w:line="240" w:lineRule="auto"/>
        <w:ind w:firstLine="640"/>
        <w:textAlignment w:val="auto"/>
        <w:rPr>
          <w:rFonts w:hint="default" w:ascii="Times New Roman" w:hAnsi="Times New Roman" w:eastAsia="仿宋_GB2312" w:cs="Times New Roman"/>
          <w:sz w:val="32"/>
          <w:szCs w:val="32"/>
        </w:rPr>
      </w:pPr>
    </w:p>
    <w:p w14:paraId="764BE4B6">
      <w:pPr>
        <w:keepNext w:val="0"/>
        <w:keepLines w:val="0"/>
        <w:pageBreakBefore w:val="0"/>
        <w:widowControl w:val="0"/>
        <w:kinsoku/>
        <w:wordWrap/>
        <w:overflowPunct/>
        <w:topLinePunct w:val="0"/>
        <w:autoSpaceDE/>
        <w:autoSpaceDN/>
        <w:bidi w:val="0"/>
        <w:adjustRightInd/>
        <w:snapToGrid/>
        <w:spacing w:line="240" w:lineRule="auto"/>
        <w:ind w:firstLine="640"/>
        <w:textAlignment w:val="auto"/>
        <w:rPr>
          <w:rFonts w:hint="default" w:ascii="Times New Roman" w:hAnsi="Times New Roman" w:eastAsia="仿宋_GB2312" w:cs="Times New Roman"/>
          <w:sz w:val="32"/>
          <w:szCs w:val="32"/>
        </w:rPr>
      </w:pPr>
    </w:p>
    <w:p w14:paraId="671F5077">
      <w:pPr>
        <w:keepNext w:val="0"/>
        <w:keepLines w:val="0"/>
        <w:pageBreakBefore w:val="0"/>
        <w:widowControl w:val="0"/>
        <w:kinsoku/>
        <w:wordWrap/>
        <w:overflowPunct/>
        <w:topLinePunct w:val="0"/>
        <w:autoSpaceDE/>
        <w:autoSpaceDN/>
        <w:bidi w:val="0"/>
        <w:adjustRightInd/>
        <w:snapToGrid/>
        <w:spacing w:line="240" w:lineRule="auto"/>
        <w:ind w:firstLine="640"/>
        <w:textAlignment w:val="auto"/>
        <w:rPr>
          <w:rFonts w:hint="default" w:ascii="Times New Roman" w:hAnsi="Times New Roman" w:eastAsia="仿宋_GB2312" w:cs="Times New Roman"/>
          <w:sz w:val="32"/>
          <w:szCs w:val="32"/>
        </w:rPr>
      </w:pPr>
    </w:p>
    <w:p w14:paraId="7281B581">
      <w:pPr>
        <w:keepNext w:val="0"/>
        <w:keepLines w:val="0"/>
        <w:pageBreakBefore w:val="0"/>
        <w:widowControl w:val="0"/>
        <w:kinsoku/>
        <w:wordWrap/>
        <w:overflowPunct/>
        <w:topLinePunct w:val="0"/>
        <w:autoSpaceDE/>
        <w:autoSpaceDN/>
        <w:bidi w:val="0"/>
        <w:adjustRightInd/>
        <w:snapToGrid/>
        <w:spacing w:line="240" w:lineRule="auto"/>
        <w:ind w:firstLine="640"/>
        <w:textAlignment w:val="auto"/>
        <w:rPr>
          <w:rFonts w:hint="default" w:ascii="Times New Roman" w:hAnsi="Times New Roman" w:eastAsia="仿宋_GB2312" w:cs="Times New Roman"/>
          <w:sz w:val="32"/>
          <w:szCs w:val="32"/>
          <w:lang w:eastAsia="zh-CN"/>
        </w:rPr>
      </w:pPr>
    </w:p>
    <w:p w14:paraId="244F7140">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仿宋_GB2312" w:cs="Times New Roman"/>
          <w:sz w:val="32"/>
          <w:szCs w:val="32"/>
        </w:rPr>
      </w:pPr>
    </w:p>
    <w:p w14:paraId="6ED7CE6A">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仿宋_GB2312" w:cs="Times New Roman"/>
          <w:sz w:val="30"/>
          <w:szCs w:val="30"/>
        </w:rPr>
      </w:pPr>
    </w:p>
    <w:p w14:paraId="214E2C3E">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仿宋_GB2312" w:cs="Times New Roman"/>
          <w:sz w:val="30"/>
          <w:szCs w:val="30"/>
        </w:rPr>
      </w:pPr>
    </w:p>
    <w:p w14:paraId="1740B292">
      <w:pPr>
        <w:pStyle w:val="2"/>
        <w:rPr>
          <w:rFonts w:hint="default" w:ascii="Times New Roman" w:hAnsi="Times New Roman" w:eastAsia="仿宋_GB2312" w:cs="Times New Roman"/>
          <w:sz w:val="30"/>
          <w:szCs w:val="30"/>
        </w:rPr>
      </w:pPr>
    </w:p>
    <w:p w14:paraId="4E1B8512">
      <w:pPr>
        <w:pStyle w:val="3"/>
        <w:rPr>
          <w:rFonts w:hint="default" w:ascii="Times New Roman" w:hAnsi="Times New Roman" w:cs="Times New Roman"/>
        </w:rPr>
      </w:pPr>
    </w:p>
    <w:p w14:paraId="087D6910">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方正仿宋_GBK" w:cs="Times New Roman"/>
          <w:sz w:val="30"/>
          <w:szCs w:val="30"/>
        </w:rPr>
      </w:pPr>
      <w:r>
        <w:rPr>
          <w:rFonts w:hint="default" w:ascii="Times New Roman" w:hAnsi="Times New Roman" w:eastAsia="方正仿宋_GBK" w:cs="Times New Roman"/>
          <w:sz w:val="30"/>
          <w:szCs w:val="30"/>
        </w:rPr>
        <w:t>（图5：一般公共预算财政拨款支出决算变动情况）</w:t>
      </w:r>
    </w:p>
    <w:p w14:paraId="3FB7B41C">
      <w:pPr>
        <w:keepNext w:val="0"/>
        <w:keepLines w:val="0"/>
        <w:pageBreakBefore w:val="0"/>
        <w:kinsoku/>
        <w:wordWrap/>
        <w:overflowPunct/>
        <w:topLinePunct w:val="0"/>
        <w:autoSpaceDE/>
        <w:autoSpaceDN/>
        <w:bidi w:val="0"/>
        <w:spacing w:line="240" w:lineRule="auto"/>
        <w:ind w:firstLine="643" w:firstLineChars="200"/>
        <w:textAlignment w:val="auto"/>
        <w:outlineLvl w:val="2"/>
        <w:rPr>
          <w:rFonts w:hint="default" w:ascii="Times New Roman" w:hAnsi="Times New Roman" w:eastAsia="方正楷体_GBK" w:cs="Times New Roman"/>
          <w:b/>
          <w:bCs w:val="0"/>
          <w:sz w:val="32"/>
          <w:szCs w:val="32"/>
        </w:rPr>
      </w:pPr>
      <w:bookmarkStart w:id="53" w:name="_Toc15377211"/>
      <w:r>
        <w:rPr>
          <w:rFonts w:hint="default" w:ascii="Times New Roman" w:hAnsi="Times New Roman" w:eastAsia="方正楷体_GBK" w:cs="Times New Roman"/>
          <w:b/>
          <w:bCs w:val="0"/>
          <w:sz w:val="32"/>
          <w:szCs w:val="32"/>
        </w:rPr>
        <w:t>（二）一般公共预算财政拨款支出决算结构情况</w:t>
      </w:r>
      <w:bookmarkEnd w:id="53"/>
    </w:p>
    <w:p w14:paraId="08896CA6">
      <w:pPr>
        <w:keepNext w:val="0"/>
        <w:keepLines w:val="0"/>
        <w:pageBreakBefore w:val="0"/>
        <w:widowControl w:val="0"/>
        <w:kinsoku/>
        <w:wordWrap/>
        <w:overflowPunct/>
        <w:topLinePunct w:val="0"/>
        <w:autoSpaceDE/>
        <w:autoSpaceDN/>
        <w:bidi w:val="0"/>
        <w:adjustRightInd/>
        <w:snapToGrid/>
        <w:spacing w:line="240" w:lineRule="auto"/>
        <w:ind w:firstLine="640"/>
        <w:textAlignment w:val="auto"/>
        <w:rPr>
          <w:rFonts w:hint="default" w:ascii="Times New Roman" w:hAnsi="Times New Roman" w:eastAsia="方正仿宋_GBK" w:cs="Times New Roman"/>
          <w:kern w:val="0"/>
          <w:sz w:val="32"/>
          <w:szCs w:val="24"/>
          <w:lang w:val="en-US" w:eastAsia="zh-CN" w:bidi="ar-SA"/>
        </w:rPr>
      </w:pPr>
      <w:r>
        <w:rPr>
          <w:rFonts w:hint="default" w:ascii="Times New Roman" w:hAnsi="Times New Roman" w:eastAsia="方正仿宋_GBK" w:cs="Times New Roman"/>
          <w:kern w:val="0"/>
          <w:sz w:val="32"/>
          <w:szCs w:val="24"/>
          <w:lang w:val="en-US" w:eastAsia="zh-CN" w:bidi="ar-SA"/>
        </w:rPr>
        <w:t>2024年度一般公共预算财政拨款支出47389.13万元，主要用于以下方面：一般公共服务支出72.06万元，占0.15%；教育支出36531.44万元，占77.09%；文化旅游体育与传媒支出401.79万元，占0.85%；社会保障和就业支出5349.98万元，占11.29%；卫生健康支出2595.11万元，占5.47%；住房保障支出2438.74万元，占5.15%。</w:t>
      </w:r>
    </w:p>
    <w:p w14:paraId="32A83DA4">
      <w:pPr>
        <w:pStyle w:val="2"/>
        <w:rPr>
          <w:rFonts w:hint="default" w:ascii="Times New Roman" w:hAnsi="Times New Roman" w:eastAsia="方正仿宋_GBK" w:cs="Times New Roman"/>
          <w:kern w:val="0"/>
          <w:sz w:val="32"/>
          <w:szCs w:val="24"/>
          <w:lang w:val="en-US" w:eastAsia="zh-CN" w:bidi="ar-SA"/>
        </w:rPr>
      </w:pPr>
    </w:p>
    <w:p w14:paraId="2F7913D4">
      <w:pPr>
        <w:pStyle w:val="3"/>
        <w:rPr>
          <w:rFonts w:hint="default" w:ascii="Times New Roman" w:hAnsi="Times New Roman" w:eastAsia="方正仿宋_GBK" w:cs="Times New Roman"/>
          <w:kern w:val="0"/>
          <w:sz w:val="32"/>
          <w:szCs w:val="24"/>
          <w:lang w:val="en-US" w:eastAsia="zh-CN" w:bidi="ar-SA"/>
        </w:rPr>
      </w:pPr>
    </w:p>
    <w:p w14:paraId="1818432D">
      <w:pPr>
        <w:pStyle w:val="3"/>
        <w:rPr>
          <w:rFonts w:hint="default" w:ascii="Times New Roman" w:hAnsi="Times New Roman" w:eastAsia="方正仿宋_GBK" w:cs="Times New Roman"/>
          <w:kern w:val="0"/>
          <w:sz w:val="32"/>
          <w:szCs w:val="24"/>
          <w:lang w:val="en-US" w:eastAsia="zh-CN" w:bidi="ar-SA"/>
        </w:rPr>
      </w:pPr>
    </w:p>
    <w:p w14:paraId="4F0175E7">
      <w:pPr>
        <w:pStyle w:val="3"/>
        <w:ind w:left="0" w:leftChars="0" w:firstLine="0" w:firstLineChars="0"/>
        <w:rPr>
          <w:rFonts w:hint="default" w:ascii="Times New Roman" w:hAnsi="Times New Roman" w:eastAsia="方正仿宋_GBK" w:cs="Times New Roman"/>
          <w:kern w:val="0"/>
          <w:sz w:val="32"/>
          <w:szCs w:val="24"/>
          <w:lang w:val="en-US" w:eastAsia="zh-CN" w:bidi="ar-SA"/>
        </w:rPr>
      </w:pPr>
    </w:p>
    <w:p w14:paraId="39DF9FE1">
      <w:pPr>
        <w:pStyle w:val="3"/>
        <w:ind w:left="0" w:leftChars="0" w:firstLine="0" w:firstLineChars="0"/>
        <w:rPr>
          <w:rFonts w:hint="default" w:ascii="Times New Roman" w:hAnsi="Times New Roman" w:eastAsia="方正仿宋_GBK" w:cs="Times New Roman"/>
          <w:kern w:val="0"/>
          <w:sz w:val="32"/>
          <w:szCs w:val="24"/>
          <w:lang w:val="en-US" w:eastAsia="zh-CN" w:bidi="ar-SA"/>
        </w:rPr>
      </w:pPr>
      <w:r>
        <w:rPr>
          <w:rFonts w:hint="default" w:ascii="Times New Roman" w:hAnsi="Times New Roman" w:eastAsia="仿宋_GB2312" w:cs="Times New Roman"/>
          <w:sz w:val="32"/>
          <w:szCs w:val="32"/>
          <w:lang w:eastAsia="zh-CN"/>
        </w:rPr>
        <w:drawing>
          <wp:anchor distT="0" distB="0" distL="114300" distR="114300" simplePos="0" relativeHeight="251663360" behindDoc="0" locked="0" layoutInCell="1" allowOverlap="1">
            <wp:simplePos x="0" y="0"/>
            <wp:positionH relativeFrom="column">
              <wp:posOffset>-8255</wp:posOffset>
            </wp:positionH>
            <wp:positionV relativeFrom="paragraph">
              <wp:posOffset>142240</wp:posOffset>
            </wp:positionV>
            <wp:extent cx="5227955" cy="4055745"/>
            <wp:effectExtent l="4445" t="4445" r="6350" b="16510"/>
            <wp:wrapNone/>
            <wp:docPr id="8"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anchor>
        </w:drawing>
      </w:r>
    </w:p>
    <w:p w14:paraId="0B2F4156">
      <w:pPr>
        <w:pStyle w:val="3"/>
        <w:rPr>
          <w:rFonts w:hint="default" w:ascii="Times New Roman" w:hAnsi="Times New Roman" w:eastAsia="方正仿宋_GBK" w:cs="Times New Roman"/>
          <w:kern w:val="0"/>
          <w:sz w:val="32"/>
          <w:szCs w:val="24"/>
          <w:lang w:val="en-US" w:eastAsia="zh-CN" w:bidi="ar-SA"/>
        </w:rPr>
      </w:pPr>
    </w:p>
    <w:p w14:paraId="4292A57F">
      <w:pPr>
        <w:pStyle w:val="8"/>
        <w:pageBreakBefore w:val="0"/>
        <w:kinsoku/>
        <w:wordWrap/>
        <w:overflowPunct/>
        <w:topLinePunct w:val="0"/>
        <w:bidi w:val="0"/>
        <w:spacing w:line="240" w:lineRule="auto"/>
        <w:textAlignment w:val="auto"/>
        <w:rPr>
          <w:rFonts w:hint="default" w:ascii="Times New Roman" w:hAnsi="Times New Roman" w:eastAsia="方正仿宋_GBK" w:cs="Times New Roman"/>
          <w:kern w:val="0"/>
          <w:sz w:val="32"/>
          <w:szCs w:val="24"/>
          <w:lang w:val="en-US" w:eastAsia="zh-CN" w:bidi="ar-SA"/>
        </w:rPr>
      </w:pPr>
    </w:p>
    <w:p w14:paraId="6127ECDB">
      <w:pPr>
        <w:pStyle w:val="8"/>
        <w:pageBreakBefore w:val="0"/>
        <w:kinsoku/>
        <w:wordWrap/>
        <w:overflowPunct/>
        <w:topLinePunct w:val="0"/>
        <w:bidi w:val="0"/>
        <w:spacing w:line="240" w:lineRule="auto"/>
        <w:textAlignment w:val="auto"/>
        <w:rPr>
          <w:rFonts w:hint="default" w:ascii="Times New Roman" w:hAnsi="Times New Roman" w:eastAsia="方正仿宋_GBK" w:cs="Times New Roman"/>
          <w:kern w:val="0"/>
          <w:sz w:val="32"/>
          <w:szCs w:val="24"/>
          <w:lang w:val="en-US" w:eastAsia="zh-CN" w:bidi="ar-SA"/>
        </w:rPr>
      </w:pPr>
    </w:p>
    <w:p w14:paraId="5F3F8E7B">
      <w:pPr>
        <w:pStyle w:val="8"/>
        <w:pageBreakBefore w:val="0"/>
        <w:kinsoku/>
        <w:wordWrap/>
        <w:overflowPunct/>
        <w:topLinePunct w:val="0"/>
        <w:bidi w:val="0"/>
        <w:spacing w:line="240" w:lineRule="auto"/>
        <w:textAlignment w:val="auto"/>
        <w:rPr>
          <w:rFonts w:hint="default" w:ascii="Times New Roman" w:hAnsi="Times New Roman" w:eastAsia="方正仿宋_GBK" w:cs="Times New Roman"/>
          <w:kern w:val="0"/>
          <w:sz w:val="32"/>
          <w:szCs w:val="24"/>
          <w:lang w:val="en-US" w:eastAsia="zh-CN" w:bidi="ar-SA"/>
        </w:rPr>
      </w:pPr>
    </w:p>
    <w:p w14:paraId="6D8221AC">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仿宋_GB2312" w:cs="Times New Roman"/>
          <w:sz w:val="30"/>
          <w:szCs w:val="30"/>
        </w:rPr>
      </w:pPr>
    </w:p>
    <w:p w14:paraId="7EE4D1C4">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30"/>
          <w:szCs w:val="30"/>
        </w:rPr>
      </w:pPr>
    </w:p>
    <w:p w14:paraId="4317F065">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30"/>
          <w:szCs w:val="30"/>
        </w:rPr>
      </w:pPr>
    </w:p>
    <w:p w14:paraId="4EC132AD">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30"/>
          <w:szCs w:val="30"/>
        </w:rPr>
      </w:pPr>
    </w:p>
    <w:p w14:paraId="2EC2B6EF">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_GB2312" w:cs="Times New Roman"/>
          <w:sz w:val="30"/>
          <w:szCs w:val="30"/>
        </w:rPr>
      </w:pPr>
    </w:p>
    <w:p w14:paraId="45F97ECC">
      <w:pPr>
        <w:keepNext w:val="0"/>
        <w:keepLines w:val="0"/>
        <w:pageBreakBefore w:val="0"/>
        <w:kinsoku/>
        <w:wordWrap/>
        <w:overflowPunct/>
        <w:topLinePunct w:val="0"/>
        <w:autoSpaceDE/>
        <w:autoSpaceDN/>
        <w:bidi w:val="0"/>
        <w:spacing w:line="240" w:lineRule="auto"/>
        <w:jc w:val="center"/>
        <w:textAlignment w:val="auto"/>
        <w:outlineLvl w:val="2"/>
        <w:rPr>
          <w:rFonts w:hint="default" w:ascii="Times New Roman" w:hAnsi="Times New Roman" w:eastAsia="方正仿宋_GBK" w:cs="Times New Roman"/>
          <w:sz w:val="30"/>
          <w:szCs w:val="30"/>
        </w:rPr>
      </w:pPr>
      <w:r>
        <w:rPr>
          <w:rFonts w:hint="default" w:ascii="Times New Roman" w:hAnsi="Times New Roman" w:eastAsia="方正仿宋_GBK" w:cs="Times New Roman"/>
          <w:b w:val="0"/>
          <w:bCs/>
          <w:sz w:val="32"/>
          <w:szCs w:val="32"/>
        </w:rPr>
        <w:t>（图6：一般公共预算财政拨款支出决算结构）</w:t>
      </w:r>
    </w:p>
    <w:p w14:paraId="7309156C">
      <w:pPr>
        <w:keepNext w:val="0"/>
        <w:keepLines w:val="0"/>
        <w:pageBreakBefore w:val="0"/>
        <w:kinsoku/>
        <w:wordWrap/>
        <w:overflowPunct/>
        <w:topLinePunct w:val="0"/>
        <w:autoSpaceDE/>
        <w:autoSpaceDN/>
        <w:bidi w:val="0"/>
        <w:spacing w:line="240" w:lineRule="auto"/>
        <w:ind w:firstLine="643" w:firstLineChars="200"/>
        <w:textAlignment w:val="auto"/>
        <w:outlineLvl w:val="2"/>
        <w:rPr>
          <w:rFonts w:hint="default" w:ascii="Times New Roman" w:hAnsi="Times New Roman" w:eastAsia="方正楷体_GBK" w:cs="Times New Roman"/>
          <w:b/>
          <w:bCs w:val="0"/>
          <w:sz w:val="32"/>
          <w:szCs w:val="32"/>
        </w:rPr>
      </w:pPr>
      <w:bookmarkStart w:id="54" w:name="_Toc15377212"/>
      <w:r>
        <w:rPr>
          <w:rFonts w:hint="default" w:ascii="Times New Roman" w:hAnsi="Times New Roman" w:eastAsia="方正楷体_GBK" w:cs="Times New Roman"/>
          <w:b/>
          <w:bCs w:val="0"/>
          <w:sz w:val="32"/>
          <w:szCs w:val="32"/>
        </w:rPr>
        <w:t>（三）一般公共预算财政拨款支出决算具体情况</w:t>
      </w:r>
      <w:bookmarkEnd w:id="54"/>
    </w:p>
    <w:p w14:paraId="24DC13A9">
      <w:pPr>
        <w:keepNext w:val="0"/>
        <w:keepLines w:val="0"/>
        <w:pageBreakBefore w:val="0"/>
        <w:widowControl w:val="0"/>
        <w:kinsoku/>
        <w:wordWrap/>
        <w:overflowPunct/>
        <w:topLinePunct w:val="0"/>
        <w:autoSpaceDE/>
        <w:autoSpaceDN/>
        <w:bidi w:val="0"/>
        <w:adjustRightInd/>
        <w:snapToGrid/>
        <w:spacing w:line="240" w:lineRule="auto"/>
        <w:ind w:firstLine="640"/>
        <w:textAlignment w:val="auto"/>
        <w:rPr>
          <w:rFonts w:hint="default" w:ascii="Times New Roman" w:hAnsi="Times New Roman" w:eastAsia="方正仿宋_GBK" w:cs="Times New Roman"/>
          <w:kern w:val="0"/>
          <w:sz w:val="32"/>
          <w:szCs w:val="24"/>
          <w:lang w:val="en-US" w:eastAsia="zh-CN" w:bidi="ar-SA"/>
        </w:rPr>
      </w:pPr>
      <w:bookmarkStart w:id="55" w:name="_Toc15377213"/>
      <w:bookmarkStart w:id="56" w:name="_Toc15378460"/>
      <w:bookmarkStart w:id="57" w:name="_Toc15377444"/>
      <w:r>
        <w:rPr>
          <w:rFonts w:hint="default" w:ascii="Times New Roman" w:hAnsi="Times New Roman" w:eastAsia="方正仿宋_GBK" w:cs="Times New Roman"/>
          <w:kern w:val="0"/>
          <w:sz w:val="32"/>
          <w:szCs w:val="24"/>
          <w:lang w:val="en-US" w:eastAsia="zh-CN" w:bidi="ar-SA"/>
        </w:rPr>
        <w:t>2024年度一般公共预算财政拨款支出决算数为47389.13万元，完成预算100%。其中：</w:t>
      </w:r>
      <w:bookmarkEnd w:id="55"/>
      <w:bookmarkEnd w:id="56"/>
      <w:bookmarkEnd w:id="57"/>
    </w:p>
    <w:p w14:paraId="232FDC80">
      <w:pPr>
        <w:keepNext w:val="0"/>
        <w:keepLines w:val="0"/>
        <w:pageBreakBefore w:val="0"/>
        <w:widowControl w:val="0"/>
        <w:kinsoku/>
        <w:wordWrap/>
        <w:overflowPunct/>
        <w:topLinePunct w:val="0"/>
        <w:autoSpaceDE/>
        <w:autoSpaceDN/>
        <w:bidi w:val="0"/>
        <w:adjustRightInd/>
        <w:snapToGrid/>
        <w:spacing w:line="240" w:lineRule="auto"/>
        <w:ind w:firstLine="640"/>
        <w:textAlignment w:val="auto"/>
        <w:rPr>
          <w:rFonts w:hint="default" w:ascii="Times New Roman" w:hAnsi="Times New Roman" w:eastAsia="方正仿宋_GBK" w:cs="Times New Roman"/>
          <w:kern w:val="0"/>
          <w:sz w:val="32"/>
          <w:szCs w:val="24"/>
          <w:lang w:val="en-US" w:eastAsia="zh-CN" w:bidi="ar-SA"/>
        </w:rPr>
      </w:pPr>
      <w:r>
        <w:rPr>
          <w:rFonts w:hint="default" w:ascii="Times New Roman" w:hAnsi="Times New Roman" w:eastAsia="方正仿宋_GBK" w:cs="Times New Roman"/>
          <w:kern w:val="0"/>
          <w:sz w:val="32"/>
          <w:szCs w:val="24"/>
          <w:lang w:val="en-US" w:eastAsia="zh-CN" w:bidi="ar-SA"/>
        </w:rPr>
        <w:t>1.一般公共服务支出201（类）民族事务23（款）</w:t>
      </w:r>
    </w:p>
    <w:p w14:paraId="78AD8A2B">
      <w:pPr>
        <w:keepNext w:val="0"/>
        <w:keepLines w:val="0"/>
        <w:pageBreakBefore w:val="0"/>
        <w:widowControl w:val="0"/>
        <w:kinsoku/>
        <w:wordWrap/>
        <w:overflowPunct/>
        <w:topLinePunct w:val="0"/>
        <w:autoSpaceDE/>
        <w:autoSpaceDN/>
        <w:bidi w:val="0"/>
        <w:adjustRightInd/>
        <w:snapToGrid/>
        <w:spacing w:line="240" w:lineRule="auto"/>
        <w:ind w:firstLine="640"/>
        <w:textAlignment w:val="auto"/>
        <w:rPr>
          <w:rFonts w:hint="default" w:ascii="Times New Roman" w:hAnsi="Times New Roman" w:eastAsia="方正仿宋_GBK" w:cs="Times New Roman"/>
          <w:kern w:val="0"/>
          <w:sz w:val="32"/>
          <w:szCs w:val="24"/>
          <w:lang w:val="en-US" w:eastAsia="zh-CN" w:bidi="ar-SA"/>
        </w:rPr>
      </w:pPr>
      <w:r>
        <w:rPr>
          <w:rFonts w:hint="default" w:ascii="Times New Roman" w:hAnsi="Times New Roman" w:eastAsia="方正仿宋_GBK" w:cs="Times New Roman"/>
          <w:kern w:val="0"/>
          <w:sz w:val="32"/>
          <w:szCs w:val="24"/>
          <w:lang w:val="en-US" w:eastAsia="zh-CN" w:bidi="ar-SA"/>
        </w:rPr>
        <w:t>（1）其他民族事务99（项）支出决算为72.06万元，完成预算100%。</w:t>
      </w:r>
    </w:p>
    <w:p w14:paraId="284B316B">
      <w:pPr>
        <w:keepNext w:val="0"/>
        <w:keepLines w:val="0"/>
        <w:pageBreakBefore w:val="0"/>
        <w:widowControl w:val="0"/>
        <w:kinsoku/>
        <w:wordWrap/>
        <w:overflowPunct/>
        <w:topLinePunct w:val="0"/>
        <w:autoSpaceDE/>
        <w:autoSpaceDN/>
        <w:bidi w:val="0"/>
        <w:adjustRightInd/>
        <w:snapToGrid/>
        <w:spacing w:line="240" w:lineRule="auto"/>
        <w:ind w:firstLine="640"/>
        <w:textAlignment w:val="auto"/>
        <w:rPr>
          <w:rFonts w:hint="default" w:ascii="Times New Roman" w:hAnsi="Times New Roman" w:eastAsia="方正仿宋_GBK" w:cs="Times New Roman"/>
          <w:kern w:val="0"/>
          <w:sz w:val="32"/>
          <w:szCs w:val="24"/>
          <w:lang w:val="en-US" w:eastAsia="zh-CN" w:bidi="ar-SA"/>
        </w:rPr>
      </w:pPr>
      <w:r>
        <w:rPr>
          <w:rFonts w:hint="default" w:ascii="Times New Roman" w:hAnsi="Times New Roman" w:eastAsia="方正仿宋_GBK" w:cs="Times New Roman"/>
          <w:kern w:val="0"/>
          <w:sz w:val="32"/>
          <w:szCs w:val="24"/>
          <w:lang w:val="en-US" w:eastAsia="zh-CN" w:bidi="ar-SA"/>
        </w:rPr>
        <w:t>2.教育支出205（类）教育管理事务01（款）</w:t>
      </w:r>
    </w:p>
    <w:p w14:paraId="45B176B8">
      <w:pPr>
        <w:keepNext w:val="0"/>
        <w:keepLines w:val="0"/>
        <w:pageBreakBefore w:val="0"/>
        <w:widowControl w:val="0"/>
        <w:kinsoku/>
        <w:wordWrap/>
        <w:overflowPunct/>
        <w:topLinePunct w:val="0"/>
        <w:autoSpaceDE/>
        <w:autoSpaceDN/>
        <w:bidi w:val="0"/>
        <w:adjustRightInd/>
        <w:snapToGrid/>
        <w:spacing w:line="240" w:lineRule="auto"/>
        <w:ind w:firstLine="640"/>
        <w:textAlignment w:val="auto"/>
        <w:rPr>
          <w:rFonts w:hint="default" w:ascii="Times New Roman" w:hAnsi="Times New Roman" w:eastAsia="方正仿宋_GBK" w:cs="Times New Roman"/>
          <w:kern w:val="0"/>
          <w:sz w:val="32"/>
          <w:szCs w:val="24"/>
          <w:lang w:val="en-US" w:eastAsia="zh-CN" w:bidi="ar-SA"/>
        </w:rPr>
      </w:pPr>
      <w:r>
        <w:rPr>
          <w:rFonts w:hint="default" w:ascii="Times New Roman" w:hAnsi="Times New Roman" w:eastAsia="方正仿宋_GBK" w:cs="Times New Roman"/>
          <w:kern w:val="0"/>
          <w:sz w:val="32"/>
          <w:szCs w:val="24"/>
          <w:lang w:val="en-US" w:eastAsia="zh-CN" w:bidi="ar-SA"/>
        </w:rPr>
        <w:t>（1）行政运行01（项）支出决算为280.55万元，完成预算100%。</w:t>
      </w:r>
    </w:p>
    <w:p w14:paraId="2F78A2B6">
      <w:pPr>
        <w:keepNext w:val="0"/>
        <w:keepLines w:val="0"/>
        <w:pageBreakBefore w:val="0"/>
        <w:widowControl w:val="0"/>
        <w:kinsoku/>
        <w:wordWrap/>
        <w:overflowPunct/>
        <w:topLinePunct w:val="0"/>
        <w:autoSpaceDE/>
        <w:autoSpaceDN/>
        <w:bidi w:val="0"/>
        <w:adjustRightInd/>
        <w:snapToGrid/>
        <w:spacing w:line="240" w:lineRule="auto"/>
        <w:ind w:firstLine="640"/>
        <w:textAlignment w:val="auto"/>
        <w:rPr>
          <w:rFonts w:hint="default" w:ascii="Times New Roman" w:hAnsi="Times New Roman" w:eastAsia="方正仿宋_GBK" w:cs="Times New Roman"/>
          <w:kern w:val="0"/>
          <w:sz w:val="32"/>
          <w:szCs w:val="24"/>
          <w:lang w:val="en-US" w:eastAsia="zh-CN" w:bidi="ar-SA"/>
        </w:rPr>
      </w:pPr>
      <w:r>
        <w:rPr>
          <w:rFonts w:hint="default" w:ascii="Times New Roman" w:hAnsi="Times New Roman" w:eastAsia="方正仿宋_GBK" w:cs="Times New Roman"/>
          <w:kern w:val="0"/>
          <w:sz w:val="32"/>
          <w:szCs w:val="24"/>
          <w:lang w:val="en-US" w:eastAsia="zh-CN" w:bidi="ar-SA"/>
        </w:rPr>
        <w:t>（2）一般行政管理事务02（项）支出决算为0.75万元，完成预算100%。</w:t>
      </w:r>
    </w:p>
    <w:p w14:paraId="6C80DCFA">
      <w:pPr>
        <w:keepNext w:val="0"/>
        <w:keepLines w:val="0"/>
        <w:pageBreakBefore w:val="0"/>
        <w:widowControl w:val="0"/>
        <w:kinsoku/>
        <w:wordWrap/>
        <w:overflowPunct/>
        <w:topLinePunct w:val="0"/>
        <w:autoSpaceDE/>
        <w:autoSpaceDN/>
        <w:bidi w:val="0"/>
        <w:adjustRightInd/>
        <w:snapToGrid/>
        <w:spacing w:line="240" w:lineRule="auto"/>
        <w:ind w:firstLine="640"/>
        <w:textAlignment w:val="auto"/>
        <w:rPr>
          <w:rFonts w:hint="default" w:ascii="Times New Roman" w:hAnsi="Times New Roman" w:eastAsia="方正仿宋_GBK" w:cs="Times New Roman"/>
          <w:kern w:val="0"/>
          <w:sz w:val="32"/>
          <w:szCs w:val="24"/>
          <w:lang w:val="en-US" w:eastAsia="zh-CN" w:bidi="ar-SA"/>
        </w:rPr>
      </w:pPr>
      <w:r>
        <w:rPr>
          <w:rFonts w:hint="default" w:ascii="Times New Roman" w:hAnsi="Times New Roman" w:eastAsia="方正仿宋_GBK" w:cs="Times New Roman"/>
          <w:kern w:val="0"/>
          <w:sz w:val="32"/>
          <w:szCs w:val="24"/>
          <w:lang w:val="en-US" w:eastAsia="zh-CN" w:bidi="ar-SA"/>
        </w:rPr>
        <w:t>（3）其他教育管理事务支出99（项）支出决算为540.79万元，完成预算100%。</w:t>
      </w:r>
    </w:p>
    <w:p w14:paraId="1B5394B6">
      <w:pPr>
        <w:keepNext w:val="0"/>
        <w:keepLines w:val="0"/>
        <w:pageBreakBefore w:val="0"/>
        <w:widowControl w:val="0"/>
        <w:kinsoku/>
        <w:wordWrap/>
        <w:overflowPunct/>
        <w:topLinePunct w:val="0"/>
        <w:autoSpaceDE/>
        <w:autoSpaceDN/>
        <w:bidi w:val="0"/>
        <w:adjustRightInd/>
        <w:snapToGrid/>
        <w:spacing w:line="240" w:lineRule="auto"/>
        <w:ind w:firstLine="640"/>
        <w:textAlignment w:val="auto"/>
        <w:rPr>
          <w:rFonts w:hint="default" w:ascii="Times New Roman" w:hAnsi="Times New Roman" w:eastAsia="方正仿宋_GBK" w:cs="Times New Roman"/>
          <w:kern w:val="0"/>
          <w:sz w:val="32"/>
          <w:szCs w:val="24"/>
          <w:lang w:val="en-US" w:eastAsia="zh-CN" w:bidi="ar-SA"/>
        </w:rPr>
      </w:pPr>
      <w:r>
        <w:rPr>
          <w:rFonts w:hint="default" w:ascii="Times New Roman" w:hAnsi="Times New Roman" w:eastAsia="方正仿宋_GBK" w:cs="Times New Roman"/>
          <w:kern w:val="0"/>
          <w:sz w:val="32"/>
          <w:szCs w:val="24"/>
          <w:lang w:val="en-US" w:eastAsia="zh-CN" w:bidi="ar-SA"/>
        </w:rPr>
        <w:t>3.教育支出205（类）普通教育02（款）</w:t>
      </w:r>
    </w:p>
    <w:p w14:paraId="208890FC">
      <w:pPr>
        <w:keepNext w:val="0"/>
        <w:keepLines w:val="0"/>
        <w:pageBreakBefore w:val="0"/>
        <w:widowControl w:val="0"/>
        <w:kinsoku/>
        <w:wordWrap/>
        <w:overflowPunct/>
        <w:topLinePunct w:val="0"/>
        <w:autoSpaceDE/>
        <w:autoSpaceDN/>
        <w:bidi w:val="0"/>
        <w:adjustRightInd/>
        <w:snapToGrid/>
        <w:spacing w:line="240" w:lineRule="auto"/>
        <w:ind w:firstLine="640"/>
        <w:textAlignment w:val="auto"/>
        <w:rPr>
          <w:rFonts w:hint="default" w:ascii="Times New Roman" w:hAnsi="Times New Roman" w:eastAsia="方正仿宋_GBK" w:cs="Times New Roman"/>
          <w:kern w:val="0"/>
          <w:sz w:val="32"/>
          <w:szCs w:val="24"/>
          <w:lang w:val="en-US" w:eastAsia="zh-CN" w:bidi="ar-SA"/>
        </w:rPr>
      </w:pPr>
      <w:r>
        <w:rPr>
          <w:rFonts w:hint="default" w:ascii="Times New Roman" w:hAnsi="Times New Roman" w:eastAsia="方正仿宋_GBK" w:cs="Times New Roman"/>
          <w:kern w:val="0"/>
          <w:sz w:val="32"/>
          <w:szCs w:val="24"/>
          <w:lang w:val="en-US" w:eastAsia="zh-CN" w:bidi="ar-SA"/>
        </w:rPr>
        <w:t>（1）学前教育01（项）支出决算为2098.26万元，完成预算100%。</w:t>
      </w:r>
    </w:p>
    <w:p w14:paraId="4573956D">
      <w:pPr>
        <w:keepNext w:val="0"/>
        <w:keepLines w:val="0"/>
        <w:pageBreakBefore w:val="0"/>
        <w:widowControl w:val="0"/>
        <w:kinsoku/>
        <w:wordWrap/>
        <w:overflowPunct/>
        <w:topLinePunct w:val="0"/>
        <w:autoSpaceDE/>
        <w:autoSpaceDN/>
        <w:bidi w:val="0"/>
        <w:adjustRightInd/>
        <w:snapToGrid/>
        <w:spacing w:line="240" w:lineRule="auto"/>
        <w:ind w:firstLine="640"/>
        <w:textAlignment w:val="auto"/>
        <w:rPr>
          <w:rFonts w:hint="default" w:ascii="Times New Roman" w:hAnsi="Times New Roman" w:eastAsia="方正仿宋_GBK" w:cs="Times New Roman"/>
          <w:kern w:val="0"/>
          <w:sz w:val="32"/>
          <w:szCs w:val="24"/>
          <w:lang w:val="en-US" w:eastAsia="zh-CN" w:bidi="ar-SA"/>
        </w:rPr>
      </w:pPr>
      <w:r>
        <w:rPr>
          <w:rFonts w:hint="default" w:ascii="Times New Roman" w:hAnsi="Times New Roman" w:eastAsia="方正仿宋_GBK" w:cs="Times New Roman"/>
          <w:kern w:val="0"/>
          <w:sz w:val="32"/>
          <w:szCs w:val="24"/>
          <w:lang w:val="en-US" w:eastAsia="zh-CN" w:bidi="ar-SA"/>
        </w:rPr>
        <w:t>（2）小学教育02（项）支出决算为15774.87万元，完成预算100%。</w:t>
      </w:r>
    </w:p>
    <w:p w14:paraId="127A2F96">
      <w:pPr>
        <w:keepNext w:val="0"/>
        <w:keepLines w:val="0"/>
        <w:pageBreakBefore w:val="0"/>
        <w:widowControl w:val="0"/>
        <w:kinsoku/>
        <w:wordWrap/>
        <w:overflowPunct/>
        <w:topLinePunct w:val="0"/>
        <w:autoSpaceDE/>
        <w:autoSpaceDN/>
        <w:bidi w:val="0"/>
        <w:adjustRightInd/>
        <w:snapToGrid/>
        <w:spacing w:line="240" w:lineRule="auto"/>
        <w:ind w:firstLine="640"/>
        <w:textAlignment w:val="auto"/>
        <w:rPr>
          <w:rFonts w:hint="default" w:ascii="Times New Roman" w:hAnsi="Times New Roman" w:eastAsia="方正仿宋_GBK" w:cs="Times New Roman"/>
          <w:kern w:val="0"/>
          <w:sz w:val="32"/>
          <w:szCs w:val="24"/>
          <w:lang w:val="en-US" w:eastAsia="zh-CN" w:bidi="ar-SA"/>
        </w:rPr>
      </w:pPr>
      <w:r>
        <w:rPr>
          <w:rFonts w:hint="default" w:ascii="Times New Roman" w:hAnsi="Times New Roman" w:eastAsia="方正仿宋_GBK" w:cs="Times New Roman"/>
          <w:kern w:val="0"/>
          <w:sz w:val="32"/>
          <w:szCs w:val="24"/>
          <w:lang w:val="en-US" w:eastAsia="zh-CN" w:bidi="ar-SA"/>
        </w:rPr>
        <w:t>（3）初中教育03（项）支出决算为11074.96万元，完成预算100%。</w:t>
      </w:r>
    </w:p>
    <w:p w14:paraId="4212AB69">
      <w:pPr>
        <w:keepNext w:val="0"/>
        <w:keepLines w:val="0"/>
        <w:pageBreakBefore w:val="0"/>
        <w:widowControl w:val="0"/>
        <w:kinsoku/>
        <w:wordWrap/>
        <w:overflowPunct/>
        <w:topLinePunct w:val="0"/>
        <w:autoSpaceDE/>
        <w:autoSpaceDN/>
        <w:bidi w:val="0"/>
        <w:adjustRightInd/>
        <w:snapToGrid/>
        <w:spacing w:line="240" w:lineRule="auto"/>
        <w:ind w:firstLine="640"/>
        <w:textAlignment w:val="auto"/>
        <w:rPr>
          <w:rFonts w:hint="default" w:ascii="Times New Roman" w:hAnsi="Times New Roman" w:eastAsia="方正仿宋_GBK" w:cs="Times New Roman"/>
          <w:kern w:val="0"/>
          <w:sz w:val="32"/>
          <w:szCs w:val="24"/>
          <w:lang w:val="en-US" w:eastAsia="zh-CN" w:bidi="ar-SA"/>
        </w:rPr>
      </w:pPr>
      <w:r>
        <w:rPr>
          <w:rFonts w:hint="default" w:ascii="Times New Roman" w:hAnsi="Times New Roman" w:eastAsia="方正仿宋_GBK" w:cs="Times New Roman"/>
          <w:kern w:val="0"/>
          <w:sz w:val="32"/>
          <w:szCs w:val="24"/>
          <w:lang w:val="en-US" w:eastAsia="zh-CN" w:bidi="ar-SA"/>
        </w:rPr>
        <w:t>（4）高中教育04（项）支出决算为3134.75万元，完成预算100%。</w:t>
      </w:r>
    </w:p>
    <w:p w14:paraId="0D8A5465">
      <w:pPr>
        <w:keepNext w:val="0"/>
        <w:keepLines w:val="0"/>
        <w:pageBreakBefore w:val="0"/>
        <w:widowControl w:val="0"/>
        <w:kinsoku/>
        <w:wordWrap/>
        <w:overflowPunct/>
        <w:topLinePunct w:val="0"/>
        <w:autoSpaceDE/>
        <w:autoSpaceDN/>
        <w:bidi w:val="0"/>
        <w:adjustRightInd/>
        <w:snapToGrid/>
        <w:spacing w:line="240" w:lineRule="auto"/>
        <w:ind w:firstLine="640"/>
        <w:textAlignment w:val="auto"/>
        <w:rPr>
          <w:rFonts w:hint="default" w:ascii="Times New Roman" w:hAnsi="Times New Roman" w:eastAsia="方正仿宋_GBK" w:cs="Times New Roman"/>
          <w:kern w:val="0"/>
          <w:sz w:val="32"/>
          <w:szCs w:val="24"/>
          <w:lang w:val="en-US" w:eastAsia="zh-CN" w:bidi="ar-SA"/>
        </w:rPr>
      </w:pPr>
      <w:r>
        <w:rPr>
          <w:rFonts w:hint="default" w:ascii="Times New Roman" w:hAnsi="Times New Roman" w:eastAsia="方正仿宋_GBK" w:cs="Times New Roman"/>
          <w:kern w:val="0"/>
          <w:sz w:val="32"/>
          <w:szCs w:val="24"/>
          <w:lang w:val="en-US" w:eastAsia="zh-CN" w:bidi="ar-SA"/>
        </w:rPr>
        <w:t>（5）高等教育05（项）支出决算为13.64万元，完成预算100%。</w:t>
      </w:r>
    </w:p>
    <w:p w14:paraId="2C6870DC">
      <w:pPr>
        <w:keepNext w:val="0"/>
        <w:keepLines w:val="0"/>
        <w:pageBreakBefore w:val="0"/>
        <w:widowControl w:val="0"/>
        <w:kinsoku/>
        <w:wordWrap/>
        <w:overflowPunct/>
        <w:topLinePunct w:val="0"/>
        <w:autoSpaceDE/>
        <w:autoSpaceDN/>
        <w:bidi w:val="0"/>
        <w:adjustRightInd/>
        <w:snapToGrid/>
        <w:spacing w:line="240" w:lineRule="auto"/>
        <w:ind w:firstLine="640"/>
        <w:textAlignment w:val="auto"/>
        <w:rPr>
          <w:rFonts w:hint="default" w:ascii="Times New Roman" w:hAnsi="Times New Roman" w:eastAsia="方正仿宋_GBK" w:cs="Times New Roman"/>
          <w:kern w:val="0"/>
          <w:sz w:val="32"/>
          <w:szCs w:val="24"/>
          <w:lang w:val="en-US" w:eastAsia="zh-CN" w:bidi="ar-SA"/>
        </w:rPr>
      </w:pPr>
      <w:r>
        <w:rPr>
          <w:rFonts w:hint="default" w:ascii="Times New Roman" w:hAnsi="Times New Roman" w:eastAsia="方正仿宋_GBK" w:cs="Times New Roman"/>
          <w:kern w:val="0"/>
          <w:sz w:val="32"/>
          <w:szCs w:val="24"/>
          <w:lang w:val="en-US" w:eastAsia="zh-CN" w:bidi="ar-SA"/>
        </w:rPr>
        <w:t>（6）其他普通教育支出99（项）支出决算为89.40万元，完成预算100%。</w:t>
      </w:r>
    </w:p>
    <w:p w14:paraId="66261082">
      <w:pPr>
        <w:keepNext w:val="0"/>
        <w:keepLines w:val="0"/>
        <w:pageBreakBefore w:val="0"/>
        <w:widowControl w:val="0"/>
        <w:kinsoku/>
        <w:wordWrap/>
        <w:overflowPunct/>
        <w:topLinePunct w:val="0"/>
        <w:autoSpaceDE/>
        <w:autoSpaceDN/>
        <w:bidi w:val="0"/>
        <w:adjustRightInd/>
        <w:snapToGrid/>
        <w:spacing w:line="240" w:lineRule="auto"/>
        <w:ind w:firstLine="640"/>
        <w:textAlignment w:val="auto"/>
        <w:rPr>
          <w:rFonts w:hint="default" w:ascii="Times New Roman" w:hAnsi="Times New Roman" w:eastAsia="方正仿宋_GBK" w:cs="Times New Roman"/>
          <w:kern w:val="0"/>
          <w:sz w:val="32"/>
          <w:szCs w:val="24"/>
          <w:lang w:val="en-US" w:eastAsia="zh-CN" w:bidi="ar-SA"/>
        </w:rPr>
      </w:pPr>
      <w:r>
        <w:rPr>
          <w:rFonts w:hint="default" w:ascii="Times New Roman" w:hAnsi="Times New Roman" w:eastAsia="方正仿宋_GBK" w:cs="Times New Roman"/>
          <w:kern w:val="0"/>
          <w:sz w:val="32"/>
          <w:szCs w:val="24"/>
          <w:lang w:val="en-US" w:eastAsia="zh-CN" w:bidi="ar-SA"/>
        </w:rPr>
        <w:t>4.教育支出205（类）职业教育03（款）</w:t>
      </w:r>
    </w:p>
    <w:p w14:paraId="44DFEA04">
      <w:pPr>
        <w:keepNext w:val="0"/>
        <w:keepLines w:val="0"/>
        <w:pageBreakBefore w:val="0"/>
        <w:widowControl w:val="0"/>
        <w:kinsoku/>
        <w:wordWrap/>
        <w:overflowPunct/>
        <w:topLinePunct w:val="0"/>
        <w:autoSpaceDE/>
        <w:autoSpaceDN/>
        <w:bidi w:val="0"/>
        <w:adjustRightInd/>
        <w:snapToGrid/>
        <w:spacing w:line="240" w:lineRule="auto"/>
        <w:ind w:firstLine="640"/>
        <w:textAlignment w:val="auto"/>
        <w:rPr>
          <w:rFonts w:hint="default" w:ascii="Times New Roman" w:hAnsi="Times New Roman" w:eastAsia="方正仿宋_GBK" w:cs="Times New Roman"/>
          <w:kern w:val="0"/>
          <w:sz w:val="32"/>
          <w:szCs w:val="24"/>
          <w:lang w:val="en-US" w:eastAsia="zh-CN" w:bidi="ar-SA"/>
        </w:rPr>
      </w:pPr>
      <w:r>
        <w:rPr>
          <w:rFonts w:hint="default" w:ascii="Times New Roman" w:hAnsi="Times New Roman" w:eastAsia="方正仿宋_GBK" w:cs="Times New Roman"/>
          <w:kern w:val="0"/>
          <w:sz w:val="32"/>
          <w:szCs w:val="24"/>
          <w:lang w:val="en-US" w:eastAsia="zh-CN" w:bidi="ar-SA"/>
        </w:rPr>
        <w:t>（1）其他职业教育99（项）支出决算为0.20万元，完成预算100%。</w:t>
      </w:r>
    </w:p>
    <w:p w14:paraId="08F9E03E">
      <w:pPr>
        <w:keepNext w:val="0"/>
        <w:keepLines w:val="0"/>
        <w:pageBreakBefore w:val="0"/>
        <w:widowControl w:val="0"/>
        <w:kinsoku/>
        <w:wordWrap/>
        <w:overflowPunct/>
        <w:topLinePunct w:val="0"/>
        <w:autoSpaceDE/>
        <w:autoSpaceDN/>
        <w:bidi w:val="0"/>
        <w:adjustRightInd/>
        <w:snapToGrid/>
        <w:spacing w:line="240" w:lineRule="auto"/>
        <w:ind w:firstLine="640"/>
        <w:textAlignment w:val="auto"/>
        <w:rPr>
          <w:rFonts w:hint="default" w:ascii="Times New Roman" w:hAnsi="Times New Roman" w:eastAsia="方正仿宋_GBK" w:cs="Times New Roman"/>
          <w:kern w:val="0"/>
          <w:sz w:val="32"/>
          <w:szCs w:val="24"/>
          <w:lang w:val="en-US" w:eastAsia="zh-CN" w:bidi="ar-SA"/>
        </w:rPr>
      </w:pPr>
      <w:r>
        <w:rPr>
          <w:rFonts w:hint="default" w:ascii="Times New Roman" w:hAnsi="Times New Roman" w:eastAsia="方正仿宋_GBK" w:cs="Times New Roman"/>
          <w:kern w:val="0"/>
          <w:sz w:val="32"/>
          <w:szCs w:val="24"/>
          <w:lang w:val="en-US" w:eastAsia="zh-CN" w:bidi="ar-SA"/>
        </w:rPr>
        <w:t>5.教育支出205（类）进修及培训08（款）</w:t>
      </w:r>
    </w:p>
    <w:p w14:paraId="46D68788">
      <w:pPr>
        <w:keepNext w:val="0"/>
        <w:keepLines w:val="0"/>
        <w:pageBreakBefore w:val="0"/>
        <w:widowControl w:val="0"/>
        <w:kinsoku/>
        <w:wordWrap/>
        <w:overflowPunct/>
        <w:topLinePunct w:val="0"/>
        <w:autoSpaceDE/>
        <w:autoSpaceDN/>
        <w:bidi w:val="0"/>
        <w:adjustRightInd/>
        <w:snapToGrid/>
        <w:spacing w:line="240" w:lineRule="auto"/>
        <w:ind w:firstLine="640"/>
        <w:textAlignment w:val="auto"/>
        <w:rPr>
          <w:rFonts w:hint="default" w:ascii="Times New Roman" w:hAnsi="Times New Roman" w:eastAsia="方正仿宋_GBK" w:cs="Times New Roman"/>
          <w:kern w:val="0"/>
          <w:sz w:val="32"/>
          <w:szCs w:val="24"/>
          <w:lang w:val="en-US" w:eastAsia="zh-CN" w:bidi="ar-SA"/>
        </w:rPr>
      </w:pPr>
      <w:r>
        <w:rPr>
          <w:rFonts w:hint="default" w:ascii="Times New Roman" w:hAnsi="Times New Roman" w:eastAsia="方正仿宋_GBK" w:cs="Times New Roman"/>
          <w:kern w:val="0"/>
          <w:sz w:val="32"/>
          <w:szCs w:val="24"/>
          <w:lang w:val="en-US" w:eastAsia="zh-CN" w:bidi="ar-SA"/>
        </w:rPr>
        <w:t>（1）培训支出03（项）支出决算为14.75万元，完成预算100%。</w:t>
      </w:r>
    </w:p>
    <w:p w14:paraId="706A15B9">
      <w:pPr>
        <w:keepNext w:val="0"/>
        <w:keepLines w:val="0"/>
        <w:pageBreakBefore w:val="0"/>
        <w:widowControl w:val="0"/>
        <w:kinsoku/>
        <w:wordWrap/>
        <w:overflowPunct/>
        <w:topLinePunct w:val="0"/>
        <w:autoSpaceDE/>
        <w:autoSpaceDN/>
        <w:bidi w:val="0"/>
        <w:adjustRightInd/>
        <w:snapToGrid/>
        <w:spacing w:line="240" w:lineRule="auto"/>
        <w:ind w:firstLine="640"/>
        <w:textAlignment w:val="auto"/>
        <w:rPr>
          <w:rFonts w:hint="default" w:ascii="Times New Roman" w:hAnsi="Times New Roman" w:eastAsia="方正仿宋_GBK" w:cs="Times New Roman"/>
          <w:kern w:val="0"/>
          <w:sz w:val="32"/>
          <w:szCs w:val="24"/>
          <w:lang w:val="en-US" w:eastAsia="zh-CN" w:bidi="ar-SA"/>
        </w:rPr>
      </w:pPr>
      <w:r>
        <w:rPr>
          <w:rFonts w:hint="default" w:ascii="Times New Roman" w:hAnsi="Times New Roman" w:eastAsia="方正仿宋_GBK" w:cs="Times New Roman"/>
          <w:kern w:val="0"/>
          <w:sz w:val="32"/>
          <w:szCs w:val="24"/>
          <w:lang w:val="en-US" w:eastAsia="zh-CN" w:bidi="ar-SA"/>
        </w:rPr>
        <w:t>6.教育支出205（类）教育费附加安排09（款）</w:t>
      </w:r>
    </w:p>
    <w:p w14:paraId="46A6777E">
      <w:pPr>
        <w:keepNext w:val="0"/>
        <w:keepLines w:val="0"/>
        <w:pageBreakBefore w:val="0"/>
        <w:widowControl w:val="0"/>
        <w:kinsoku/>
        <w:wordWrap/>
        <w:overflowPunct/>
        <w:topLinePunct w:val="0"/>
        <w:autoSpaceDE/>
        <w:autoSpaceDN/>
        <w:bidi w:val="0"/>
        <w:adjustRightInd/>
        <w:snapToGrid/>
        <w:spacing w:line="240" w:lineRule="auto"/>
        <w:ind w:firstLine="640"/>
        <w:textAlignment w:val="auto"/>
        <w:rPr>
          <w:rFonts w:hint="default" w:ascii="Times New Roman" w:hAnsi="Times New Roman" w:eastAsia="方正仿宋_GBK" w:cs="Times New Roman"/>
          <w:kern w:val="0"/>
          <w:sz w:val="32"/>
          <w:szCs w:val="24"/>
          <w:lang w:val="en-US" w:eastAsia="zh-CN" w:bidi="ar-SA"/>
        </w:rPr>
      </w:pPr>
      <w:r>
        <w:rPr>
          <w:rFonts w:hint="default" w:ascii="Times New Roman" w:hAnsi="Times New Roman" w:eastAsia="方正仿宋_GBK" w:cs="Times New Roman"/>
          <w:kern w:val="0"/>
          <w:sz w:val="32"/>
          <w:szCs w:val="24"/>
          <w:lang w:val="en-US" w:eastAsia="zh-CN" w:bidi="ar-SA"/>
        </w:rPr>
        <w:t>（1）农村中小学校校舍建设01（项）支出决算为1010.65万元，完成预算100%。</w:t>
      </w:r>
    </w:p>
    <w:p w14:paraId="719B169C">
      <w:pPr>
        <w:keepNext w:val="0"/>
        <w:keepLines w:val="0"/>
        <w:pageBreakBefore w:val="0"/>
        <w:widowControl w:val="0"/>
        <w:kinsoku/>
        <w:wordWrap/>
        <w:overflowPunct/>
        <w:topLinePunct w:val="0"/>
        <w:autoSpaceDE/>
        <w:autoSpaceDN/>
        <w:bidi w:val="0"/>
        <w:adjustRightInd/>
        <w:snapToGrid/>
        <w:spacing w:line="240" w:lineRule="auto"/>
        <w:ind w:firstLine="640"/>
        <w:textAlignment w:val="auto"/>
        <w:rPr>
          <w:rFonts w:hint="default" w:ascii="Times New Roman" w:hAnsi="Times New Roman" w:eastAsia="方正仿宋_GBK" w:cs="Times New Roman"/>
          <w:kern w:val="0"/>
          <w:sz w:val="32"/>
          <w:szCs w:val="24"/>
          <w:lang w:val="en-US" w:eastAsia="zh-CN" w:bidi="ar-SA"/>
        </w:rPr>
      </w:pPr>
      <w:r>
        <w:rPr>
          <w:rFonts w:hint="default" w:ascii="Times New Roman" w:hAnsi="Times New Roman" w:eastAsia="方正仿宋_GBK" w:cs="Times New Roman"/>
          <w:kern w:val="0"/>
          <w:sz w:val="32"/>
          <w:szCs w:val="24"/>
          <w:lang w:val="en-US" w:eastAsia="zh-CN" w:bidi="ar-SA"/>
        </w:rPr>
        <w:t>（2）农村中小学教学设施02（项）支出决算为746.98万元，完成预算100%。</w:t>
      </w:r>
    </w:p>
    <w:p w14:paraId="73FFD727">
      <w:pPr>
        <w:keepNext w:val="0"/>
        <w:keepLines w:val="0"/>
        <w:pageBreakBefore w:val="0"/>
        <w:widowControl w:val="0"/>
        <w:kinsoku/>
        <w:wordWrap/>
        <w:overflowPunct/>
        <w:topLinePunct w:val="0"/>
        <w:autoSpaceDE/>
        <w:autoSpaceDN/>
        <w:bidi w:val="0"/>
        <w:adjustRightInd/>
        <w:snapToGrid/>
        <w:spacing w:line="240" w:lineRule="auto"/>
        <w:ind w:firstLine="640"/>
        <w:textAlignment w:val="auto"/>
        <w:rPr>
          <w:rFonts w:hint="default" w:ascii="Times New Roman" w:hAnsi="Times New Roman" w:eastAsia="方正仿宋_GBK" w:cs="Times New Roman"/>
          <w:kern w:val="0"/>
          <w:sz w:val="32"/>
          <w:szCs w:val="24"/>
          <w:lang w:val="en-US" w:eastAsia="zh-CN" w:bidi="ar-SA"/>
        </w:rPr>
      </w:pPr>
      <w:r>
        <w:rPr>
          <w:rFonts w:hint="default" w:ascii="Times New Roman" w:hAnsi="Times New Roman" w:eastAsia="方正仿宋_GBK" w:cs="Times New Roman"/>
          <w:kern w:val="0"/>
          <w:sz w:val="32"/>
          <w:szCs w:val="24"/>
          <w:lang w:val="en-US" w:eastAsia="zh-CN" w:bidi="ar-SA"/>
        </w:rPr>
        <w:t>（3）其他教育费附加安排99（项）支出决算为1750.90万元，完成预算100%。</w:t>
      </w:r>
    </w:p>
    <w:p w14:paraId="54BEEEE3">
      <w:pPr>
        <w:keepNext w:val="0"/>
        <w:keepLines w:val="0"/>
        <w:pageBreakBefore w:val="0"/>
        <w:widowControl w:val="0"/>
        <w:kinsoku/>
        <w:wordWrap/>
        <w:overflowPunct/>
        <w:topLinePunct w:val="0"/>
        <w:autoSpaceDE/>
        <w:autoSpaceDN/>
        <w:bidi w:val="0"/>
        <w:adjustRightInd/>
        <w:snapToGrid/>
        <w:spacing w:line="240" w:lineRule="auto"/>
        <w:ind w:firstLine="640"/>
        <w:textAlignment w:val="auto"/>
        <w:rPr>
          <w:rFonts w:hint="default" w:ascii="Times New Roman" w:hAnsi="Times New Roman" w:eastAsia="方正仿宋_GBK" w:cs="Times New Roman"/>
          <w:kern w:val="0"/>
          <w:sz w:val="32"/>
          <w:szCs w:val="24"/>
          <w:lang w:val="en-US" w:eastAsia="zh-CN" w:bidi="ar-SA"/>
        </w:rPr>
      </w:pPr>
      <w:r>
        <w:rPr>
          <w:rFonts w:hint="default" w:ascii="Times New Roman" w:hAnsi="Times New Roman" w:eastAsia="方正仿宋_GBK" w:cs="Times New Roman"/>
          <w:kern w:val="0"/>
          <w:sz w:val="32"/>
          <w:szCs w:val="24"/>
          <w:lang w:val="en-US" w:eastAsia="zh-CN" w:bidi="ar-SA"/>
        </w:rPr>
        <w:t>7.文化旅游体育与传媒207（类）体育03（款）</w:t>
      </w:r>
    </w:p>
    <w:p w14:paraId="0FAFC18B">
      <w:pPr>
        <w:keepNext w:val="0"/>
        <w:keepLines w:val="0"/>
        <w:pageBreakBefore w:val="0"/>
        <w:widowControl w:val="0"/>
        <w:kinsoku/>
        <w:wordWrap/>
        <w:overflowPunct/>
        <w:topLinePunct w:val="0"/>
        <w:autoSpaceDE/>
        <w:autoSpaceDN/>
        <w:bidi w:val="0"/>
        <w:adjustRightInd/>
        <w:snapToGrid/>
        <w:spacing w:line="240" w:lineRule="auto"/>
        <w:ind w:firstLine="640"/>
        <w:textAlignment w:val="auto"/>
        <w:rPr>
          <w:rFonts w:hint="default" w:ascii="Times New Roman" w:hAnsi="Times New Roman" w:eastAsia="方正仿宋_GBK" w:cs="Times New Roman"/>
          <w:kern w:val="0"/>
          <w:sz w:val="32"/>
          <w:szCs w:val="24"/>
          <w:lang w:val="en-US" w:eastAsia="zh-CN" w:bidi="ar-SA"/>
        </w:rPr>
      </w:pPr>
      <w:r>
        <w:rPr>
          <w:rFonts w:hint="default" w:ascii="Times New Roman" w:hAnsi="Times New Roman" w:eastAsia="方正仿宋_GBK" w:cs="Times New Roman"/>
          <w:kern w:val="0"/>
          <w:sz w:val="32"/>
          <w:szCs w:val="24"/>
          <w:lang w:val="en-US" w:eastAsia="zh-CN" w:bidi="ar-SA"/>
        </w:rPr>
        <w:t>（1）体育竞赛05（项）支出决算为141.50万元，完成预算100%。</w:t>
      </w:r>
    </w:p>
    <w:p w14:paraId="56895ED5">
      <w:pPr>
        <w:keepNext w:val="0"/>
        <w:keepLines w:val="0"/>
        <w:pageBreakBefore w:val="0"/>
        <w:widowControl w:val="0"/>
        <w:kinsoku/>
        <w:wordWrap/>
        <w:overflowPunct/>
        <w:topLinePunct w:val="0"/>
        <w:autoSpaceDE/>
        <w:autoSpaceDN/>
        <w:bidi w:val="0"/>
        <w:adjustRightInd/>
        <w:snapToGrid/>
        <w:spacing w:line="240" w:lineRule="auto"/>
        <w:ind w:firstLine="640"/>
        <w:textAlignment w:val="auto"/>
        <w:rPr>
          <w:rFonts w:hint="default" w:ascii="Times New Roman" w:hAnsi="Times New Roman" w:eastAsia="方正仿宋_GBK" w:cs="Times New Roman"/>
          <w:kern w:val="0"/>
          <w:sz w:val="32"/>
          <w:szCs w:val="24"/>
          <w:lang w:val="en-US" w:eastAsia="zh-CN" w:bidi="ar-SA"/>
        </w:rPr>
      </w:pPr>
      <w:r>
        <w:rPr>
          <w:rFonts w:hint="default" w:ascii="Times New Roman" w:hAnsi="Times New Roman" w:eastAsia="方正仿宋_GBK" w:cs="Times New Roman"/>
          <w:kern w:val="0"/>
          <w:sz w:val="32"/>
          <w:szCs w:val="24"/>
          <w:lang w:val="en-US" w:eastAsia="zh-CN" w:bidi="ar-SA"/>
        </w:rPr>
        <w:t>（2）体育场馆07（项）支出决算为209.14万元，完成预算100%。</w:t>
      </w:r>
    </w:p>
    <w:p w14:paraId="0C8A1D3F">
      <w:pPr>
        <w:keepNext w:val="0"/>
        <w:keepLines w:val="0"/>
        <w:pageBreakBefore w:val="0"/>
        <w:widowControl w:val="0"/>
        <w:kinsoku/>
        <w:wordWrap/>
        <w:overflowPunct/>
        <w:topLinePunct w:val="0"/>
        <w:autoSpaceDE/>
        <w:autoSpaceDN/>
        <w:bidi w:val="0"/>
        <w:adjustRightInd/>
        <w:snapToGrid/>
        <w:spacing w:line="240" w:lineRule="auto"/>
        <w:ind w:firstLine="640"/>
        <w:textAlignment w:val="auto"/>
        <w:rPr>
          <w:rFonts w:hint="default" w:ascii="Times New Roman" w:hAnsi="Times New Roman" w:eastAsia="方正仿宋_GBK" w:cs="Times New Roman"/>
          <w:kern w:val="0"/>
          <w:sz w:val="32"/>
          <w:szCs w:val="24"/>
          <w:lang w:val="en-US" w:eastAsia="zh-CN" w:bidi="ar-SA"/>
        </w:rPr>
      </w:pPr>
      <w:r>
        <w:rPr>
          <w:rFonts w:hint="default" w:ascii="Times New Roman" w:hAnsi="Times New Roman" w:eastAsia="方正仿宋_GBK" w:cs="Times New Roman"/>
          <w:kern w:val="0"/>
          <w:sz w:val="32"/>
          <w:szCs w:val="24"/>
          <w:lang w:val="en-US" w:eastAsia="zh-CN" w:bidi="ar-SA"/>
        </w:rPr>
        <w:t>（3）群众体育08（项）支出决算为51.16万元，完成预算100%。</w:t>
      </w:r>
    </w:p>
    <w:p w14:paraId="58F2D6F4">
      <w:pPr>
        <w:keepNext w:val="0"/>
        <w:keepLines w:val="0"/>
        <w:pageBreakBefore w:val="0"/>
        <w:widowControl w:val="0"/>
        <w:kinsoku/>
        <w:wordWrap/>
        <w:overflowPunct/>
        <w:topLinePunct w:val="0"/>
        <w:autoSpaceDE/>
        <w:autoSpaceDN/>
        <w:bidi w:val="0"/>
        <w:adjustRightInd/>
        <w:snapToGrid/>
        <w:spacing w:line="240" w:lineRule="auto"/>
        <w:ind w:firstLine="640"/>
        <w:textAlignment w:val="auto"/>
        <w:rPr>
          <w:rFonts w:hint="default" w:ascii="Times New Roman" w:hAnsi="Times New Roman" w:eastAsia="方正仿宋_GBK" w:cs="Times New Roman"/>
          <w:kern w:val="0"/>
          <w:sz w:val="32"/>
          <w:szCs w:val="24"/>
          <w:lang w:val="en-US" w:eastAsia="zh-CN" w:bidi="ar-SA"/>
        </w:rPr>
      </w:pPr>
      <w:r>
        <w:rPr>
          <w:rFonts w:hint="default" w:ascii="Times New Roman" w:hAnsi="Times New Roman" w:eastAsia="方正仿宋_GBK" w:cs="Times New Roman"/>
          <w:kern w:val="0"/>
          <w:sz w:val="32"/>
          <w:szCs w:val="24"/>
          <w:lang w:val="en-US" w:eastAsia="zh-CN" w:bidi="ar-SA"/>
        </w:rPr>
        <w:t>8.社会保障和就业208（类）行政事业单位养老05（款）</w:t>
      </w:r>
    </w:p>
    <w:p w14:paraId="0EF9A24D">
      <w:pPr>
        <w:keepNext w:val="0"/>
        <w:keepLines w:val="0"/>
        <w:pageBreakBefore w:val="0"/>
        <w:widowControl w:val="0"/>
        <w:kinsoku/>
        <w:wordWrap/>
        <w:overflowPunct/>
        <w:topLinePunct w:val="0"/>
        <w:autoSpaceDE/>
        <w:autoSpaceDN/>
        <w:bidi w:val="0"/>
        <w:adjustRightInd/>
        <w:snapToGrid/>
        <w:spacing w:line="240" w:lineRule="auto"/>
        <w:ind w:firstLine="640"/>
        <w:textAlignment w:val="auto"/>
        <w:rPr>
          <w:rFonts w:hint="default" w:ascii="Times New Roman" w:hAnsi="Times New Roman" w:eastAsia="方正仿宋_GBK" w:cs="Times New Roman"/>
          <w:kern w:val="0"/>
          <w:sz w:val="32"/>
          <w:szCs w:val="24"/>
          <w:lang w:val="en-US" w:eastAsia="zh-CN" w:bidi="ar-SA"/>
        </w:rPr>
      </w:pPr>
      <w:r>
        <w:rPr>
          <w:rFonts w:hint="default" w:ascii="Times New Roman" w:hAnsi="Times New Roman" w:eastAsia="方正仿宋_GBK" w:cs="Times New Roman"/>
          <w:kern w:val="0"/>
          <w:sz w:val="32"/>
          <w:szCs w:val="24"/>
          <w:lang w:val="en-US" w:eastAsia="zh-CN" w:bidi="ar-SA"/>
        </w:rPr>
        <w:t>（1）行政单位离退休01（项）支出决算为33.89万元，完成预算100%。</w:t>
      </w:r>
    </w:p>
    <w:p w14:paraId="7389FC20">
      <w:pPr>
        <w:keepNext w:val="0"/>
        <w:keepLines w:val="0"/>
        <w:pageBreakBefore w:val="0"/>
        <w:widowControl w:val="0"/>
        <w:kinsoku/>
        <w:wordWrap/>
        <w:overflowPunct/>
        <w:topLinePunct w:val="0"/>
        <w:autoSpaceDE/>
        <w:autoSpaceDN/>
        <w:bidi w:val="0"/>
        <w:adjustRightInd/>
        <w:snapToGrid/>
        <w:spacing w:line="240" w:lineRule="auto"/>
        <w:ind w:firstLine="640"/>
        <w:textAlignment w:val="auto"/>
        <w:rPr>
          <w:rFonts w:hint="default" w:ascii="Times New Roman" w:hAnsi="Times New Roman" w:eastAsia="方正仿宋_GBK" w:cs="Times New Roman"/>
          <w:kern w:val="0"/>
          <w:sz w:val="32"/>
          <w:szCs w:val="24"/>
          <w:lang w:val="en-US" w:eastAsia="zh-CN" w:bidi="ar-SA"/>
        </w:rPr>
      </w:pPr>
      <w:r>
        <w:rPr>
          <w:rFonts w:hint="default" w:ascii="Times New Roman" w:hAnsi="Times New Roman" w:eastAsia="方正仿宋_GBK" w:cs="Times New Roman"/>
          <w:kern w:val="0"/>
          <w:sz w:val="32"/>
          <w:szCs w:val="24"/>
          <w:lang w:val="en-US" w:eastAsia="zh-CN" w:bidi="ar-SA"/>
        </w:rPr>
        <w:t>（2）事业单位离退休02（项）支出决算为1582.83万元，完成预算100%。</w:t>
      </w:r>
    </w:p>
    <w:p w14:paraId="09985BF5">
      <w:pPr>
        <w:keepNext w:val="0"/>
        <w:keepLines w:val="0"/>
        <w:pageBreakBefore w:val="0"/>
        <w:widowControl w:val="0"/>
        <w:kinsoku/>
        <w:wordWrap/>
        <w:overflowPunct/>
        <w:topLinePunct w:val="0"/>
        <w:autoSpaceDE/>
        <w:autoSpaceDN/>
        <w:bidi w:val="0"/>
        <w:adjustRightInd/>
        <w:snapToGrid/>
        <w:spacing w:line="240" w:lineRule="auto"/>
        <w:ind w:firstLine="640"/>
        <w:textAlignment w:val="auto"/>
        <w:rPr>
          <w:rFonts w:hint="default" w:ascii="Times New Roman" w:hAnsi="Times New Roman" w:eastAsia="方正仿宋_GBK" w:cs="Times New Roman"/>
          <w:kern w:val="0"/>
          <w:sz w:val="32"/>
          <w:szCs w:val="24"/>
          <w:lang w:val="en-US" w:eastAsia="zh-CN" w:bidi="ar-SA"/>
        </w:rPr>
      </w:pPr>
      <w:r>
        <w:rPr>
          <w:rFonts w:hint="default" w:ascii="Times New Roman" w:hAnsi="Times New Roman" w:eastAsia="方正仿宋_GBK" w:cs="Times New Roman"/>
          <w:kern w:val="0"/>
          <w:sz w:val="32"/>
          <w:szCs w:val="24"/>
          <w:lang w:val="en-US" w:eastAsia="zh-CN" w:bidi="ar-SA"/>
        </w:rPr>
        <w:t>（3）机关事业单位基本养老保险缴费支出05（项）支出决算为3043.84万元，完成预算100%。</w:t>
      </w:r>
    </w:p>
    <w:p w14:paraId="4FA57897">
      <w:pPr>
        <w:keepNext w:val="0"/>
        <w:keepLines w:val="0"/>
        <w:pageBreakBefore w:val="0"/>
        <w:widowControl w:val="0"/>
        <w:kinsoku/>
        <w:wordWrap/>
        <w:overflowPunct/>
        <w:topLinePunct w:val="0"/>
        <w:autoSpaceDE/>
        <w:autoSpaceDN/>
        <w:bidi w:val="0"/>
        <w:adjustRightInd/>
        <w:snapToGrid/>
        <w:spacing w:line="240" w:lineRule="auto"/>
        <w:ind w:firstLine="640"/>
        <w:textAlignment w:val="auto"/>
        <w:rPr>
          <w:rFonts w:hint="default" w:ascii="Times New Roman" w:hAnsi="Times New Roman" w:eastAsia="方正仿宋_GBK" w:cs="Times New Roman"/>
          <w:kern w:val="0"/>
          <w:sz w:val="32"/>
          <w:szCs w:val="24"/>
          <w:lang w:val="en-US" w:eastAsia="zh-CN" w:bidi="ar-SA"/>
        </w:rPr>
      </w:pPr>
      <w:r>
        <w:rPr>
          <w:rFonts w:hint="default" w:ascii="Times New Roman" w:hAnsi="Times New Roman" w:eastAsia="方正仿宋_GBK" w:cs="Times New Roman"/>
          <w:kern w:val="0"/>
          <w:sz w:val="32"/>
          <w:szCs w:val="24"/>
          <w:lang w:val="en-US" w:eastAsia="zh-CN" w:bidi="ar-SA"/>
        </w:rPr>
        <w:t>（4）机关事业单位职业年金缴费支出06（项）支出决算为665.01万元，完成预算100%。</w:t>
      </w:r>
    </w:p>
    <w:p w14:paraId="4D5AC329">
      <w:pPr>
        <w:keepNext w:val="0"/>
        <w:keepLines w:val="0"/>
        <w:pageBreakBefore w:val="0"/>
        <w:widowControl w:val="0"/>
        <w:kinsoku/>
        <w:wordWrap/>
        <w:overflowPunct/>
        <w:topLinePunct w:val="0"/>
        <w:autoSpaceDE/>
        <w:autoSpaceDN/>
        <w:bidi w:val="0"/>
        <w:adjustRightInd/>
        <w:snapToGrid/>
        <w:spacing w:line="240" w:lineRule="auto"/>
        <w:ind w:firstLine="640"/>
        <w:textAlignment w:val="auto"/>
        <w:rPr>
          <w:rFonts w:hint="default" w:ascii="Times New Roman" w:hAnsi="Times New Roman" w:eastAsia="方正仿宋_GBK" w:cs="Times New Roman"/>
          <w:kern w:val="0"/>
          <w:sz w:val="32"/>
          <w:szCs w:val="24"/>
          <w:lang w:val="en-US" w:eastAsia="zh-CN" w:bidi="ar-SA"/>
        </w:rPr>
      </w:pPr>
      <w:r>
        <w:rPr>
          <w:rFonts w:hint="default" w:ascii="Times New Roman" w:hAnsi="Times New Roman" w:eastAsia="方正仿宋_GBK" w:cs="Times New Roman"/>
          <w:kern w:val="0"/>
          <w:sz w:val="32"/>
          <w:szCs w:val="24"/>
          <w:lang w:val="en-US" w:eastAsia="zh-CN" w:bidi="ar-SA"/>
        </w:rPr>
        <w:t>8.社会保障和就业208（类）抚恤08（款）</w:t>
      </w:r>
    </w:p>
    <w:p w14:paraId="40621FA7">
      <w:pPr>
        <w:keepNext w:val="0"/>
        <w:keepLines w:val="0"/>
        <w:pageBreakBefore w:val="0"/>
        <w:widowControl w:val="0"/>
        <w:kinsoku/>
        <w:wordWrap/>
        <w:overflowPunct/>
        <w:topLinePunct w:val="0"/>
        <w:autoSpaceDE/>
        <w:autoSpaceDN/>
        <w:bidi w:val="0"/>
        <w:adjustRightInd/>
        <w:snapToGrid/>
        <w:spacing w:line="240" w:lineRule="auto"/>
        <w:ind w:firstLine="640"/>
        <w:textAlignment w:val="auto"/>
        <w:rPr>
          <w:rFonts w:hint="default" w:ascii="Times New Roman" w:hAnsi="Times New Roman" w:eastAsia="方正仿宋_GBK" w:cs="Times New Roman"/>
          <w:kern w:val="0"/>
          <w:sz w:val="32"/>
          <w:szCs w:val="24"/>
          <w:lang w:val="en-US" w:eastAsia="zh-CN" w:bidi="ar-SA"/>
        </w:rPr>
      </w:pPr>
      <w:r>
        <w:rPr>
          <w:rFonts w:hint="default" w:ascii="Times New Roman" w:hAnsi="Times New Roman" w:eastAsia="方正仿宋_GBK" w:cs="Times New Roman"/>
          <w:kern w:val="0"/>
          <w:sz w:val="32"/>
          <w:szCs w:val="24"/>
          <w:lang w:val="en-US" w:eastAsia="zh-CN" w:bidi="ar-SA"/>
        </w:rPr>
        <w:t>（1）伤残抚恤02（项）支出决算为24.40万元，完成预算100%。</w:t>
      </w:r>
    </w:p>
    <w:p w14:paraId="632A578F">
      <w:pPr>
        <w:keepNext w:val="0"/>
        <w:keepLines w:val="0"/>
        <w:pageBreakBefore w:val="0"/>
        <w:widowControl w:val="0"/>
        <w:kinsoku/>
        <w:wordWrap/>
        <w:overflowPunct/>
        <w:topLinePunct w:val="0"/>
        <w:autoSpaceDE/>
        <w:autoSpaceDN/>
        <w:bidi w:val="0"/>
        <w:adjustRightInd/>
        <w:snapToGrid/>
        <w:spacing w:line="240" w:lineRule="auto"/>
        <w:ind w:firstLine="640"/>
        <w:textAlignment w:val="auto"/>
        <w:rPr>
          <w:rFonts w:hint="default" w:ascii="Times New Roman" w:hAnsi="Times New Roman" w:eastAsia="方正仿宋_GBK" w:cs="Times New Roman"/>
          <w:kern w:val="0"/>
          <w:sz w:val="32"/>
          <w:szCs w:val="24"/>
          <w:lang w:val="en-US" w:eastAsia="zh-CN" w:bidi="ar-SA"/>
        </w:rPr>
      </w:pPr>
      <w:r>
        <w:rPr>
          <w:rFonts w:hint="default" w:ascii="Times New Roman" w:hAnsi="Times New Roman" w:eastAsia="方正仿宋_GBK" w:cs="Times New Roman"/>
          <w:kern w:val="0"/>
          <w:sz w:val="32"/>
          <w:szCs w:val="24"/>
          <w:lang w:val="en-US" w:eastAsia="zh-CN" w:bidi="ar-SA"/>
        </w:rPr>
        <w:t>9.卫生健康210（类）行政事业单位医疗11（款）</w:t>
      </w:r>
    </w:p>
    <w:p w14:paraId="627A9253">
      <w:pPr>
        <w:keepNext w:val="0"/>
        <w:keepLines w:val="0"/>
        <w:pageBreakBefore w:val="0"/>
        <w:widowControl w:val="0"/>
        <w:kinsoku/>
        <w:wordWrap/>
        <w:overflowPunct/>
        <w:topLinePunct w:val="0"/>
        <w:autoSpaceDE/>
        <w:autoSpaceDN/>
        <w:bidi w:val="0"/>
        <w:adjustRightInd/>
        <w:snapToGrid/>
        <w:spacing w:line="240" w:lineRule="auto"/>
        <w:ind w:firstLine="640"/>
        <w:textAlignment w:val="auto"/>
        <w:rPr>
          <w:rFonts w:hint="default" w:ascii="Times New Roman" w:hAnsi="Times New Roman" w:eastAsia="方正仿宋_GBK" w:cs="Times New Roman"/>
          <w:kern w:val="0"/>
          <w:sz w:val="32"/>
          <w:szCs w:val="24"/>
          <w:lang w:val="en-US" w:eastAsia="zh-CN" w:bidi="ar-SA"/>
        </w:rPr>
      </w:pPr>
      <w:r>
        <w:rPr>
          <w:rFonts w:hint="default" w:ascii="Times New Roman" w:hAnsi="Times New Roman" w:eastAsia="方正仿宋_GBK" w:cs="Times New Roman"/>
          <w:kern w:val="0"/>
          <w:sz w:val="32"/>
          <w:szCs w:val="24"/>
          <w:lang w:val="en-US" w:eastAsia="zh-CN" w:bidi="ar-SA"/>
        </w:rPr>
        <w:t>（1）行政单位医疗01（项）支出决算为17.49万元，完成预算100%。</w:t>
      </w:r>
    </w:p>
    <w:p w14:paraId="19CD5883">
      <w:pPr>
        <w:keepNext w:val="0"/>
        <w:keepLines w:val="0"/>
        <w:pageBreakBefore w:val="0"/>
        <w:widowControl w:val="0"/>
        <w:kinsoku/>
        <w:wordWrap/>
        <w:overflowPunct/>
        <w:topLinePunct w:val="0"/>
        <w:autoSpaceDE/>
        <w:autoSpaceDN/>
        <w:bidi w:val="0"/>
        <w:adjustRightInd/>
        <w:snapToGrid/>
        <w:spacing w:line="240" w:lineRule="auto"/>
        <w:ind w:firstLine="640"/>
        <w:textAlignment w:val="auto"/>
        <w:rPr>
          <w:rFonts w:hint="default" w:ascii="Times New Roman" w:hAnsi="Times New Roman" w:eastAsia="方正仿宋_GBK" w:cs="Times New Roman"/>
          <w:kern w:val="0"/>
          <w:sz w:val="32"/>
          <w:szCs w:val="24"/>
          <w:lang w:val="en-US" w:eastAsia="zh-CN" w:bidi="ar-SA"/>
        </w:rPr>
      </w:pPr>
      <w:r>
        <w:rPr>
          <w:rFonts w:hint="default" w:ascii="Times New Roman" w:hAnsi="Times New Roman" w:eastAsia="方正仿宋_GBK" w:cs="Times New Roman"/>
          <w:kern w:val="0"/>
          <w:sz w:val="32"/>
          <w:szCs w:val="24"/>
          <w:lang w:val="en-US" w:eastAsia="zh-CN" w:bidi="ar-SA"/>
        </w:rPr>
        <w:t>（2）事业单位医疗02（项）支出决算为1558.37万元，完成预算100%。</w:t>
      </w:r>
    </w:p>
    <w:p w14:paraId="144FC75B">
      <w:pPr>
        <w:keepNext w:val="0"/>
        <w:keepLines w:val="0"/>
        <w:pageBreakBefore w:val="0"/>
        <w:widowControl w:val="0"/>
        <w:kinsoku/>
        <w:wordWrap/>
        <w:overflowPunct/>
        <w:topLinePunct w:val="0"/>
        <w:autoSpaceDE/>
        <w:autoSpaceDN/>
        <w:bidi w:val="0"/>
        <w:adjustRightInd/>
        <w:snapToGrid/>
        <w:spacing w:line="240" w:lineRule="auto"/>
        <w:ind w:firstLine="640"/>
        <w:textAlignment w:val="auto"/>
        <w:rPr>
          <w:rFonts w:hint="default" w:ascii="Times New Roman" w:hAnsi="Times New Roman" w:eastAsia="方正仿宋_GBK" w:cs="Times New Roman"/>
          <w:kern w:val="0"/>
          <w:sz w:val="32"/>
          <w:szCs w:val="24"/>
          <w:lang w:val="en-US" w:eastAsia="zh-CN" w:bidi="ar-SA"/>
        </w:rPr>
      </w:pPr>
      <w:r>
        <w:rPr>
          <w:rFonts w:hint="default" w:ascii="Times New Roman" w:hAnsi="Times New Roman" w:eastAsia="方正仿宋_GBK" w:cs="Times New Roman"/>
          <w:kern w:val="0"/>
          <w:sz w:val="32"/>
          <w:szCs w:val="24"/>
          <w:lang w:val="en-US" w:eastAsia="zh-CN" w:bidi="ar-SA"/>
        </w:rPr>
        <w:t>（3）公务员医疗补助03（项）支出决算为1.78万元，完成预算100%。</w:t>
      </w:r>
    </w:p>
    <w:p w14:paraId="6A037395">
      <w:pPr>
        <w:keepNext w:val="0"/>
        <w:keepLines w:val="0"/>
        <w:pageBreakBefore w:val="0"/>
        <w:widowControl w:val="0"/>
        <w:kinsoku/>
        <w:wordWrap/>
        <w:overflowPunct/>
        <w:topLinePunct w:val="0"/>
        <w:autoSpaceDE/>
        <w:autoSpaceDN/>
        <w:bidi w:val="0"/>
        <w:adjustRightInd/>
        <w:snapToGrid/>
        <w:spacing w:line="240" w:lineRule="auto"/>
        <w:ind w:firstLine="640"/>
        <w:textAlignment w:val="auto"/>
        <w:rPr>
          <w:rFonts w:hint="default" w:ascii="Times New Roman" w:hAnsi="Times New Roman" w:eastAsia="方正仿宋_GBK" w:cs="Times New Roman"/>
          <w:kern w:val="0"/>
          <w:sz w:val="32"/>
          <w:szCs w:val="24"/>
          <w:lang w:val="en-US" w:eastAsia="zh-CN" w:bidi="ar-SA"/>
        </w:rPr>
      </w:pPr>
      <w:r>
        <w:rPr>
          <w:rFonts w:hint="default" w:ascii="Times New Roman" w:hAnsi="Times New Roman" w:eastAsia="方正仿宋_GBK" w:cs="Times New Roman"/>
          <w:kern w:val="0"/>
          <w:sz w:val="32"/>
          <w:szCs w:val="24"/>
          <w:lang w:val="en-US" w:eastAsia="zh-CN" w:bidi="ar-SA"/>
        </w:rPr>
        <w:t>（4）其他行政事业单位医疗99（项）支出决算为1017.47万元，完成预算100%。</w:t>
      </w:r>
    </w:p>
    <w:p w14:paraId="0D57434E">
      <w:pPr>
        <w:keepNext w:val="0"/>
        <w:keepLines w:val="0"/>
        <w:pageBreakBefore w:val="0"/>
        <w:widowControl w:val="0"/>
        <w:kinsoku/>
        <w:wordWrap/>
        <w:overflowPunct/>
        <w:topLinePunct w:val="0"/>
        <w:autoSpaceDE/>
        <w:autoSpaceDN/>
        <w:bidi w:val="0"/>
        <w:adjustRightInd/>
        <w:snapToGrid/>
        <w:spacing w:line="240" w:lineRule="auto"/>
        <w:ind w:firstLine="640"/>
        <w:textAlignment w:val="auto"/>
        <w:rPr>
          <w:rFonts w:hint="default" w:ascii="Times New Roman" w:hAnsi="Times New Roman" w:eastAsia="方正仿宋_GBK" w:cs="Times New Roman"/>
          <w:kern w:val="0"/>
          <w:sz w:val="32"/>
          <w:szCs w:val="24"/>
          <w:lang w:val="en-US" w:eastAsia="zh-CN" w:bidi="ar-SA"/>
        </w:rPr>
      </w:pPr>
      <w:r>
        <w:rPr>
          <w:rFonts w:hint="default" w:ascii="Times New Roman" w:hAnsi="Times New Roman" w:eastAsia="方正仿宋_GBK" w:cs="Times New Roman"/>
          <w:kern w:val="0"/>
          <w:sz w:val="32"/>
          <w:szCs w:val="24"/>
          <w:lang w:val="en-US" w:eastAsia="zh-CN" w:bidi="ar-SA"/>
        </w:rPr>
        <w:t>10.住房保障221（类）住房改革02（款）</w:t>
      </w:r>
    </w:p>
    <w:p w14:paraId="0070034B">
      <w:pPr>
        <w:keepNext w:val="0"/>
        <w:keepLines w:val="0"/>
        <w:pageBreakBefore w:val="0"/>
        <w:widowControl w:val="0"/>
        <w:kinsoku/>
        <w:wordWrap/>
        <w:overflowPunct/>
        <w:topLinePunct w:val="0"/>
        <w:autoSpaceDE/>
        <w:autoSpaceDN/>
        <w:bidi w:val="0"/>
        <w:adjustRightInd/>
        <w:snapToGrid/>
        <w:spacing w:line="240" w:lineRule="auto"/>
        <w:ind w:firstLine="640"/>
        <w:textAlignment w:val="auto"/>
        <w:rPr>
          <w:rFonts w:hint="default" w:ascii="Times New Roman" w:hAnsi="Times New Roman" w:eastAsia="方正仿宋_GBK" w:cs="Times New Roman"/>
          <w:kern w:val="0"/>
          <w:sz w:val="32"/>
          <w:szCs w:val="24"/>
          <w:lang w:val="en-US" w:eastAsia="zh-CN" w:bidi="ar-SA"/>
        </w:rPr>
      </w:pPr>
      <w:r>
        <w:rPr>
          <w:rFonts w:hint="default" w:ascii="Times New Roman" w:hAnsi="Times New Roman" w:eastAsia="方正仿宋_GBK" w:cs="Times New Roman"/>
          <w:kern w:val="0"/>
          <w:sz w:val="32"/>
          <w:szCs w:val="24"/>
          <w:lang w:val="en-US" w:eastAsia="zh-CN" w:bidi="ar-SA"/>
        </w:rPr>
        <w:t>（1）住房公积金01（项）支出决算为2438.74万元，完成预算100%。</w:t>
      </w:r>
    </w:p>
    <w:p w14:paraId="52DC06AB">
      <w:pPr>
        <w:pStyle w:val="6"/>
        <w:keepNext/>
        <w:keepLines/>
        <w:pageBreakBefore w:val="0"/>
        <w:widowControl w:val="0"/>
        <w:numPr>
          <w:ilvl w:val="0"/>
          <w:numId w:val="0"/>
        </w:numPr>
        <w:kinsoku/>
        <w:wordWrap/>
        <w:overflowPunct/>
        <w:topLinePunct w:val="0"/>
        <w:autoSpaceDE/>
        <w:autoSpaceDN/>
        <w:bidi w:val="0"/>
        <w:adjustRightInd/>
        <w:snapToGrid/>
        <w:spacing w:line="416" w:lineRule="auto"/>
        <w:ind w:left="0" w:leftChars="0" w:firstLine="640" w:firstLineChars="200"/>
        <w:textAlignment w:val="auto"/>
        <w:rPr>
          <w:rFonts w:hint="default" w:ascii="Times New Roman" w:hAnsi="Times New Roman" w:eastAsia="方正黑体_GBK" w:cs="Times New Roman"/>
          <w:b w:val="0"/>
          <w:bCs/>
          <w:lang w:val="en-US" w:eastAsia="zh-CN"/>
        </w:rPr>
      </w:pPr>
      <w:bookmarkStart w:id="58" w:name="_Toc15377214"/>
      <w:bookmarkStart w:id="59" w:name="_Toc15396608"/>
      <w:r>
        <w:rPr>
          <w:rFonts w:hint="default" w:ascii="Times New Roman" w:hAnsi="Times New Roman" w:eastAsia="方正黑体_GBK" w:cs="Times New Roman"/>
          <w:b w:val="0"/>
          <w:bCs/>
          <w:lang w:val="en-US" w:eastAsia="zh-CN"/>
        </w:rPr>
        <w:t>六、一般公共预算财政拨款基本支出决算情况说明</w:t>
      </w:r>
      <w:bookmarkEnd w:id="58"/>
      <w:bookmarkEnd w:id="59"/>
      <w:r>
        <w:rPr>
          <w:rFonts w:hint="default" w:ascii="Times New Roman" w:hAnsi="Times New Roman" w:eastAsia="方正黑体_GBK" w:cs="Times New Roman"/>
          <w:b w:val="0"/>
          <w:bCs/>
          <w:lang w:val="en-US" w:eastAsia="zh-CN"/>
        </w:rPr>
        <w:tab/>
      </w:r>
    </w:p>
    <w:p w14:paraId="44D474DB">
      <w:pPr>
        <w:keepNext w:val="0"/>
        <w:keepLines w:val="0"/>
        <w:pageBreakBefore w:val="0"/>
        <w:widowControl w:val="0"/>
        <w:kinsoku/>
        <w:wordWrap/>
        <w:overflowPunct/>
        <w:topLinePunct w:val="0"/>
        <w:autoSpaceDE/>
        <w:autoSpaceDN/>
        <w:bidi w:val="0"/>
        <w:adjustRightInd/>
        <w:snapToGrid/>
        <w:spacing w:line="240" w:lineRule="auto"/>
        <w:ind w:firstLine="640"/>
        <w:textAlignment w:val="auto"/>
        <w:rPr>
          <w:rFonts w:hint="default" w:ascii="Times New Roman" w:hAnsi="Times New Roman" w:eastAsia="方正仿宋_GBK" w:cs="Times New Roman"/>
          <w:kern w:val="0"/>
          <w:sz w:val="32"/>
          <w:szCs w:val="24"/>
          <w:lang w:val="en-US" w:eastAsia="zh-CN" w:bidi="ar-SA"/>
        </w:rPr>
      </w:pPr>
      <w:r>
        <w:rPr>
          <w:rFonts w:hint="default" w:ascii="Times New Roman" w:hAnsi="Times New Roman" w:eastAsia="方正仿宋_GBK" w:cs="Times New Roman"/>
          <w:kern w:val="0"/>
          <w:sz w:val="32"/>
          <w:szCs w:val="24"/>
          <w:lang w:val="en-US" w:eastAsia="zh-CN" w:bidi="ar-SA"/>
        </w:rPr>
        <w:t>2024年度一般公共预算财政拨款基本支出35664.64万元，其中：</w:t>
      </w:r>
    </w:p>
    <w:p w14:paraId="4282AD41">
      <w:pPr>
        <w:keepNext w:val="0"/>
        <w:keepLines w:val="0"/>
        <w:pageBreakBefore w:val="0"/>
        <w:widowControl w:val="0"/>
        <w:kinsoku/>
        <w:wordWrap/>
        <w:overflowPunct/>
        <w:topLinePunct w:val="0"/>
        <w:autoSpaceDE/>
        <w:autoSpaceDN/>
        <w:bidi w:val="0"/>
        <w:adjustRightInd/>
        <w:snapToGrid/>
        <w:spacing w:line="240" w:lineRule="auto"/>
        <w:ind w:firstLine="640"/>
        <w:textAlignment w:val="auto"/>
        <w:rPr>
          <w:rFonts w:hint="default" w:ascii="Times New Roman" w:hAnsi="Times New Roman" w:eastAsia="方正仿宋_GBK" w:cs="Times New Roman"/>
        </w:rPr>
      </w:pPr>
      <w:r>
        <w:rPr>
          <w:rFonts w:hint="default" w:ascii="Times New Roman" w:hAnsi="Times New Roman" w:eastAsia="方正仿宋_GBK" w:cs="Times New Roman"/>
          <w:kern w:val="0"/>
          <w:sz w:val="32"/>
          <w:szCs w:val="24"/>
          <w:lang w:val="en-US" w:eastAsia="zh-CN" w:bidi="ar-SA"/>
        </w:rPr>
        <w:t>人员经费30566.37万元，主要包括：基本工资、津贴补贴、奖金、伙食补助费、绩效工资、机关事业单位基本养老保险缴费、职业年金缴费、其他社会保障缴费、其他工资福利支出、离休费、退休费、抚恤金、生活补助、医疗费补助、奖励金、住房公积金、其他对个人和家庭的补助支出等。</w:t>
      </w:r>
      <w:r>
        <w:rPr>
          <w:rFonts w:hint="default" w:ascii="Times New Roman" w:hAnsi="Times New Roman" w:eastAsia="方正仿宋_GBK" w:cs="Times New Roman"/>
          <w:kern w:val="0"/>
          <w:sz w:val="32"/>
          <w:szCs w:val="24"/>
          <w:lang w:val="en-US" w:eastAsia="zh-CN" w:bidi="ar-SA"/>
        </w:rPr>
        <w:br w:type="textWrapping"/>
      </w:r>
      <w:r>
        <w:rPr>
          <w:rFonts w:hint="default" w:ascii="Times New Roman" w:hAnsi="Times New Roman" w:eastAsia="方正仿宋_GBK" w:cs="Times New Roman"/>
          <w:kern w:val="0"/>
          <w:sz w:val="32"/>
          <w:szCs w:val="24"/>
          <w:lang w:val="en-US" w:eastAsia="zh-CN" w:bidi="ar-SA"/>
        </w:rPr>
        <w:t>　　公用经费5098.26万元，主要包括：办公费、印刷费、咨询费、手续费、水费、电费、邮电费、取暖费、物业管理费、差旅费、因公出国（境）费用、维修（护）费、租赁费、会议费、培训费、公务接待费、劳务费、委托业务费、工会经费、福利费、公务用车运行维护费、其他交通费、税金及附加费用、其他商品和服务支出、办公设备购置、专用设备购置、信息网络及软件购置更新、其他资本性支出等。</w:t>
      </w:r>
    </w:p>
    <w:p w14:paraId="40A51251">
      <w:pPr>
        <w:pStyle w:val="6"/>
        <w:keepNext/>
        <w:keepLines/>
        <w:pageBreakBefore w:val="0"/>
        <w:widowControl w:val="0"/>
        <w:numPr>
          <w:ilvl w:val="0"/>
          <w:numId w:val="0"/>
        </w:numPr>
        <w:kinsoku/>
        <w:wordWrap/>
        <w:overflowPunct/>
        <w:topLinePunct w:val="0"/>
        <w:autoSpaceDE/>
        <w:autoSpaceDN/>
        <w:bidi w:val="0"/>
        <w:adjustRightInd/>
        <w:snapToGrid/>
        <w:spacing w:line="416" w:lineRule="auto"/>
        <w:ind w:left="0" w:leftChars="0" w:firstLine="640" w:firstLineChars="200"/>
        <w:textAlignment w:val="auto"/>
        <w:rPr>
          <w:rFonts w:hint="default" w:ascii="Times New Roman" w:hAnsi="Times New Roman" w:eastAsia="方正黑体_GBK" w:cs="Times New Roman"/>
          <w:b w:val="0"/>
          <w:bCs/>
          <w:lang w:val="en-US" w:eastAsia="zh-CN"/>
        </w:rPr>
      </w:pPr>
      <w:bookmarkStart w:id="60" w:name="_Toc15377215"/>
      <w:bookmarkStart w:id="61" w:name="_Toc15396609"/>
      <w:r>
        <w:rPr>
          <w:rFonts w:hint="default" w:ascii="Times New Roman" w:hAnsi="Times New Roman" w:eastAsia="方正黑体_GBK" w:cs="Times New Roman"/>
          <w:b w:val="0"/>
          <w:bCs/>
          <w:lang w:val="en-US" w:eastAsia="zh-CN"/>
        </w:rPr>
        <w:t>七、财政拨款“三公”经费支出决算情况说明</w:t>
      </w:r>
      <w:bookmarkEnd w:id="60"/>
      <w:bookmarkEnd w:id="61"/>
    </w:p>
    <w:p w14:paraId="75F6E20C">
      <w:pPr>
        <w:keepNext w:val="0"/>
        <w:keepLines w:val="0"/>
        <w:pageBreakBefore w:val="0"/>
        <w:kinsoku/>
        <w:wordWrap/>
        <w:overflowPunct/>
        <w:topLinePunct w:val="0"/>
        <w:autoSpaceDE/>
        <w:autoSpaceDN/>
        <w:bidi w:val="0"/>
        <w:spacing w:line="240" w:lineRule="auto"/>
        <w:ind w:firstLine="643" w:firstLineChars="200"/>
        <w:textAlignment w:val="auto"/>
        <w:outlineLvl w:val="2"/>
        <w:rPr>
          <w:rFonts w:hint="default" w:ascii="Times New Roman" w:hAnsi="Times New Roman" w:eastAsia="方正楷体_GBK" w:cs="Times New Roman"/>
          <w:b/>
          <w:bCs w:val="0"/>
          <w:sz w:val="32"/>
          <w:szCs w:val="32"/>
        </w:rPr>
      </w:pPr>
      <w:bookmarkStart w:id="62" w:name="_Toc15377216"/>
      <w:r>
        <w:rPr>
          <w:rFonts w:hint="default" w:ascii="Times New Roman" w:hAnsi="Times New Roman" w:eastAsia="方正楷体_GBK" w:cs="Times New Roman"/>
          <w:b/>
          <w:bCs w:val="0"/>
          <w:sz w:val="32"/>
          <w:szCs w:val="32"/>
        </w:rPr>
        <w:t>（一）“三公”经费财政拨款支出决算总体情况说明</w:t>
      </w:r>
      <w:bookmarkEnd w:id="62"/>
    </w:p>
    <w:p w14:paraId="1B946D2F">
      <w:pPr>
        <w:keepNext w:val="0"/>
        <w:keepLines w:val="0"/>
        <w:pageBreakBefore w:val="0"/>
        <w:widowControl w:val="0"/>
        <w:kinsoku/>
        <w:wordWrap/>
        <w:overflowPunct/>
        <w:topLinePunct w:val="0"/>
        <w:autoSpaceDE/>
        <w:autoSpaceDN/>
        <w:bidi w:val="0"/>
        <w:adjustRightInd/>
        <w:snapToGrid/>
        <w:spacing w:line="240" w:lineRule="auto"/>
        <w:ind w:firstLine="640"/>
        <w:textAlignment w:val="auto"/>
        <w:rPr>
          <w:rFonts w:hint="default" w:ascii="Times New Roman" w:hAnsi="Times New Roman" w:eastAsia="方正仿宋_GBK" w:cs="Times New Roman"/>
          <w:kern w:val="0"/>
          <w:sz w:val="32"/>
          <w:szCs w:val="24"/>
          <w:lang w:val="en-US" w:eastAsia="zh-CN" w:bidi="ar-SA"/>
        </w:rPr>
      </w:pPr>
      <w:r>
        <w:rPr>
          <w:rFonts w:hint="default" w:ascii="Times New Roman" w:hAnsi="Times New Roman" w:eastAsia="方正仿宋_GBK" w:cs="Times New Roman"/>
          <w:kern w:val="0"/>
          <w:sz w:val="32"/>
          <w:szCs w:val="24"/>
          <w:lang w:val="en-US" w:eastAsia="zh-CN" w:bidi="ar-SA"/>
        </w:rPr>
        <w:t>2024年度“三公”经费财政拨款支出决算为2.86万元，完成预算100%，较上年度减少0.83万元，下降22.6%。主要原因厉行节约。</w:t>
      </w:r>
    </w:p>
    <w:p w14:paraId="1B3D7F5A">
      <w:pPr>
        <w:keepNext w:val="0"/>
        <w:keepLines w:val="0"/>
        <w:pageBreakBefore w:val="0"/>
        <w:kinsoku/>
        <w:wordWrap/>
        <w:overflowPunct/>
        <w:topLinePunct w:val="0"/>
        <w:autoSpaceDE/>
        <w:autoSpaceDN/>
        <w:bidi w:val="0"/>
        <w:spacing w:line="240" w:lineRule="auto"/>
        <w:ind w:firstLine="643" w:firstLineChars="200"/>
        <w:textAlignment w:val="auto"/>
        <w:outlineLvl w:val="2"/>
        <w:rPr>
          <w:rFonts w:hint="default" w:ascii="Times New Roman" w:hAnsi="Times New Roman" w:eastAsia="方正楷体_GBK" w:cs="Times New Roman"/>
          <w:b/>
          <w:bCs w:val="0"/>
          <w:sz w:val="32"/>
          <w:szCs w:val="32"/>
        </w:rPr>
      </w:pPr>
      <w:bookmarkStart w:id="63" w:name="_Toc15377217"/>
      <w:r>
        <w:rPr>
          <w:rFonts w:hint="default" w:ascii="Times New Roman" w:hAnsi="Times New Roman" w:eastAsia="方正楷体_GBK" w:cs="Times New Roman"/>
          <w:b/>
          <w:bCs w:val="0"/>
          <w:sz w:val="32"/>
          <w:szCs w:val="32"/>
        </w:rPr>
        <w:t>（二）“三公”经费财政拨款支出决算具体情况说明</w:t>
      </w:r>
      <w:bookmarkEnd w:id="63"/>
    </w:p>
    <w:p w14:paraId="70893B4A">
      <w:pPr>
        <w:keepNext w:val="0"/>
        <w:keepLines w:val="0"/>
        <w:pageBreakBefore w:val="0"/>
        <w:widowControl w:val="0"/>
        <w:kinsoku/>
        <w:wordWrap/>
        <w:overflowPunct/>
        <w:topLinePunct w:val="0"/>
        <w:autoSpaceDE/>
        <w:autoSpaceDN/>
        <w:bidi w:val="0"/>
        <w:adjustRightInd/>
        <w:snapToGrid/>
        <w:spacing w:line="240" w:lineRule="auto"/>
        <w:ind w:firstLine="640"/>
        <w:textAlignment w:val="auto"/>
        <w:rPr>
          <w:rFonts w:hint="default" w:ascii="Times New Roman" w:hAnsi="Times New Roman" w:eastAsia="仿宋_GB2312" w:cs="Times New Roman"/>
          <w:sz w:val="32"/>
          <w:szCs w:val="32"/>
        </w:rPr>
      </w:pPr>
      <w:r>
        <w:rPr>
          <w:rFonts w:hint="default" w:ascii="Times New Roman" w:hAnsi="Times New Roman" w:eastAsia="方正仿宋_GBK" w:cs="Times New Roman"/>
          <w:kern w:val="0"/>
          <w:sz w:val="32"/>
          <w:szCs w:val="24"/>
          <w:lang w:val="en-US" w:eastAsia="zh-CN" w:bidi="ar-SA"/>
        </w:rPr>
        <w:t>2024年度“三公”经费财政拨款支出决算中，因公出国（境）费支出决算0万元，占0%；公务用车购置及运行维护费支出决算2.86万元，占100%；公务接待费支出决算0万元，占0%。具体情况如下：</w:t>
      </w:r>
    </w:p>
    <w:p w14:paraId="51DB2A9D">
      <w:pPr>
        <w:pStyle w:val="8"/>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方正仿宋_GBK" w:cs="Times New Roman"/>
          <w:sz w:val="32"/>
          <w:szCs w:val="32"/>
        </w:rPr>
      </w:pPr>
      <w:r>
        <w:rPr>
          <w:rFonts w:hint="default" w:ascii="Times New Roman" w:hAnsi="Times New Roman" w:eastAsia="仿宋_GB2312" w:cs="Times New Roman"/>
          <w:sz w:val="32"/>
          <w:szCs w:val="32"/>
          <w:lang w:eastAsia="zh-CN"/>
        </w:rPr>
        <w:drawing>
          <wp:inline distT="0" distB="0" distL="114300" distR="114300">
            <wp:extent cx="5187950" cy="3416935"/>
            <wp:effectExtent l="4445" t="4445" r="8255" b="7620"/>
            <wp:docPr id="10" name="图表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0330D597">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（图7：“三公”经费财政拨款支出结构）</w:t>
      </w:r>
    </w:p>
    <w:p w14:paraId="4A0BAB15">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仿宋_GBK" w:cs="Times New Roman"/>
          <w:b w:val="0"/>
          <w:bCs w:val="0"/>
          <w:kern w:val="0"/>
          <w:sz w:val="32"/>
          <w:szCs w:val="24"/>
          <w:lang w:val="en-US" w:eastAsia="zh-CN" w:bidi="ar-SA"/>
        </w:rPr>
      </w:pPr>
      <w:r>
        <w:rPr>
          <w:rFonts w:hint="default" w:ascii="Times New Roman" w:hAnsi="Times New Roman" w:eastAsia="方正仿宋_GBK" w:cs="Times New Roman"/>
          <w:b w:val="0"/>
          <w:bCs w:val="0"/>
          <w:sz w:val="32"/>
          <w:szCs w:val="32"/>
          <w:lang w:val="en-US" w:eastAsia="zh-CN"/>
        </w:rPr>
        <w:t>1.</w:t>
      </w:r>
      <w:r>
        <w:rPr>
          <w:rFonts w:hint="default" w:ascii="Times New Roman" w:hAnsi="Times New Roman" w:eastAsia="方正仿宋_GBK" w:cs="Times New Roman"/>
          <w:b w:val="0"/>
          <w:bCs w:val="0"/>
          <w:sz w:val="32"/>
          <w:szCs w:val="32"/>
        </w:rPr>
        <w:t>因公出国（境）经费支出</w:t>
      </w:r>
      <w:r>
        <w:rPr>
          <w:rFonts w:hint="default" w:ascii="Times New Roman" w:hAnsi="Times New Roman" w:eastAsia="方正仿宋_GBK" w:cs="Times New Roman"/>
          <w:b w:val="0"/>
          <w:bCs w:val="0"/>
          <w:sz w:val="32"/>
          <w:szCs w:val="32"/>
          <w:lang w:val="en-US" w:eastAsia="zh-CN"/>
        </w:rPr>
        <w:t>0</w:t>
      </w:r>
      <w:r>
        <w:rPr>
          <w:rFonts w:hint="default" w:ascii="Times New Roman" w:hAnsi="Times New Roman" w:eastAsia="方正仿宋_GBK" w:cs="Times New Roman"/>
          <w:b w:val="0"/>
          <w:bCs w:val="0"/>
          <w:sz w:val="32"/>
          <w:szCs w:val="32"/>
        </w:rPr>
        <w:t>万元，完成预算</w:t>
      </w:r>
      <w:r>
        <w:rPr>
          <w:rFonts w:hint="default" w:ascii="Times New Roman" w:hAnsi="Times New Roman" w:eastAsia="方正仿宋_GBK" w:cs="Times New Roman"/>
          <w:b w:val="0"/>
          <w:bCs w:val="0"/>
          <w:sz w:val="32"/>
          <w:szCs w:val="32"/>
          <w:lang w:val="en-US" w:eastAsia="zh-CN"/>
        </w:rPr>
        <w:t>0</w:t>
      </w:r>
      <w:r>
        <w:rPr>
          <w:rFonts w:hint="default" w:ascii="Times New Roman" w:hAnsi="Times New Roman" w:eastAsia="方正仿宋_GBK" w:cs="Times New Roman"/>
          <w:b w:val="0"/>
          <w:bCs w:val="0"/>
          <w:sz w:val="32"/>
          <w:szCs w:val="32"/>
        </w:rPr>
        <w:t>%。</w:t>
      </w:r>
      <w:r>
        <w:rPr>
          <w:rFonts w:hint="default" w:ascii="Times New Roman" w:hAnsi="Times New Roman" w:eastAsia="方正仿宋_GBK" w:cs="Times New Roman"/>
          <w:b w:val="0"/>
          <w:bCs w:val="0"/>
          <w:kern w:val="0"/>
          <w:sz w:val="32"/>
          <w:szCs w:val="24"/>
          <w:lang w:val="en-US" w:eastAsia="zh-CN" w:bidi="ar-SA"/>
        </w:rPr>
        <w:t>全年安排因公出国（境）团组0次，出国（境）0人。因公出国（境）支出决算与上年持平。</w:t>
      </w:r>
    </w:p>
    <w:p w14:paraId="2ACB9488">
      <w:pPr>
        <w:keepNext w:val="0"/>
        <w:keepLines w:val="0"/>
        <w:pageBreakBefore w:val="0"/>
        <w:widowControl w:val="0"/>
        <w:kinsoku/>
        <w:wordWrap/>
        <w:overflowPunct/>
        <w:topLinePunct w:val="0"/>
        <w:autoSpaceDE/>
        <w:autoSpaceDN/>
        <w:bidi w:val="0"/>
        <w:adjustRightInd/>
        <w:snapToGrid/>
        <w:spacing w:line="240" w:lineRule="auto"/>
        <w:ind w:firstLine="640"/>
        <w:textAlignment w:val="auto"/>
        <w:rPr>
          <w:rFonts w:hint="default" w:ascii="Times New Roman" w:hAnsi="Times New Roman" w:eastAsia="方正仿宋_GBK" w:cs="Times New Roman"/>
          <w:b w:val="0"/>
          <w:bCs w:val="0"/>
          <w:kern w:val="0"/>
          <w:sz w:val="32"/>
          <w:szCs w:val="24"/>
          <w:lang w:val="en-US" w:eastAsia="zh-CN" w:bidi="ar-SA"/>
        </w:rPr>
      </w:pPr>
      <w:r>
        <w:rPr>
          <w:rFonts w:hint="default" w:ascii="Times New Roman" w:hAnsi="Times New Roman" w:eastAsia="方正仿宋_GBK" w:cs="Times New Roman"/>
          <w:b w:val="0"/>
          <w:bCs w:val="0"/>
          <w:sz w:val="32"/>
          <w:szCs w:val="32"/>
        </w:rPr>
        <w:t>2.公务用车购置及运行维护费支出</w:t>
      </w:r>
      <w:r>
        <w:rPr>
          <w:rFonts w:hint="default" w:ascii="Times New Roman" w:hAnsi="Times New Roman" w:eastAsia="方正仿宋_GBK" w:cs="Times New Roman"/>
          <w:b w:val="0"/>
          <w:bCs w:val="0"/>
          <w:sz w:val="32"/>
          <w:szCs w:val="32"/>
          <w:lang w:val="en-US" w:eastAsia="zh-CN"/>
        </w:rPr>
        <w:t>2.86</w:t>
      </w:r>
      <w:r>
        <w:rPr>
          <w:rFonts w:hint="default" w:ascii="Times New Roman" w:hAnsi="Times New Roman" w:eastAsia="方正仿宋_GBK" w:cs="Times New Roman"/>
          <w:b w:val="0"/>
          <w:bCs w:val="0"/>
          <w:sz w:val="32"/>
          <w:szCs w:val="32"/>
        </w:rPr>
        <w:t>万元，完成预算</w:t>
      </w:r>
      <w:r>
        <w:rPr>
          <w:rFonts w:hint="default" w:ascii="Times New Roman" w:hAnsi="Times New Roman" w:eastAsia="方正仿宋_GBK" w:cs="Times New Roman"/>
          <w:b w:val="0"/>
          <w:bCs w:val="0"/>
          <w:sz w:val="32"/>
          <w:szCs w:val="32"/>
          <w:lang w:val="en-US" w:eastAsia="zh-CN"/>
        </w:rPr>
        <w:t>100</w:t>
      </w:r>
      <w:r>
        <w:rPr>
          <w:rFonts w:hint="default" w:ascii="Times New Roman" w:hAnsi="Times New Roman" w:eastAsia="方正仿宋_GBK" w:cs="Times New Roman"/>
          <w:b w:val="0"/>
          <w:bCs w:val="0"/>
          <w:sz w:val="32"/>
          <w:szCs w:val="32"/>
        </w:rPr>
        <w:t>%。</w:t>
      </w:r>
      <w:r>
        <w:rPr>
          <w:rFonts w:hint="default" w:ascii="Times New Roman" w:hAnsi="Times New Roman" w:eastAsia="方正仿宋_GBK" w:cs="Times New Roman"/>
          <w:b w:val="0"/>
          <w:bCs w:val="0"/>
          <w:kern w:val="0"/>
          <w:sz w:val="32"/>
          <w:szCs w:val="24"/>
          <w:lang w:val="en-US" w:eastAsia="zh-CN" w:bidi="ar-SA"/>
        </w:rPr>
        <w:t>公务用车购置及运行维护费支出决算比2023年度增减少0.34万元，下降10.62%。主要原因是今年报废一辆公务用车，运行费减少。</w:t>
      </w:r>
    </w:p>
    <w:p w14:paraId="71FD3134">
      <w:pPr>
        <w:keepNext w:val="0"/>
        <w:keepLines w:val="0"/>
        <w:pageBreakBefore w:val="0"/>
        <w:widowControl w:val="0"/>
        <w:kinsoku/>
        <w:wordWrap/>
        <w:overflowPunct/>
        <w:topLinePunct w:val="0"/>
        <w:autoSpaceDE/>
        <w:autoSpaceDN/>
        <w:bidi w:val="0"/>
        <w:adjustRightInd/>
        <w:snapToGrid/>
        <w:spacing w:line="240" w:lineRule="auto"/>
        <w:ind w:firstLine="640"/>
        <w:textAlignment w:val="auto"/>
        <w:rPr>
          <w:rFonts w:hint="default" w:ascii="Times New Roman" w:hAnsi="Times New Roman" w:eastAsia="方正仿宋_GBK" w:cs="Times New Roman"/>
          <w:b w:val="0"/>
          <w:bCs w:val="0"/>
          <w:kern w:val="0"/>
          <w:sz w:val="32"/>
          <w:szCs w:val="24"/>
          <w:lang w:val="en-US" w:eastAsia="zh-CN" w:bidi="ar-SA"/>
        </w:rPr>
      </w:pPr>
      <w:r>
        <w:rPr>
          <w:rFonts w:hint="default" w:ascii="Times New Roman" w:hAnsi="Times New Roman" w:eastAsia="方正仿宋_GBK" w:cs="Times New Roman"/>
          <w:b w:val="0"/>
          <w:bCs w:val="0"/>
          <w:kern w:val="0"/>
          <w:sz w:val="32"/>
          <w:szCs w:val="24"/>
          <w:lang w:val="en-US" w:eastAsia="zh-CN" w:bidi="ar-SA"/>
        </w:rPr>
        <w:t>其中：公务用车购置支出0万元。全年按规定更新购置公务用车0辆，其中：轿车0辆、金额0万元，越野车0辆、金额0万元，载客汽车0辆、金额0万元。截至2024年12月31日，单位共有公务用车4辆，其中：轿车4辆、越野车0辆、载客汽车0辆。</w:t>
      </w:r>
    </w:p>
    <w:p w14:paraId="46ECCF6F">
      <w:pPr>
        <w:keepNext w:val="0"/>
        <w:keepLines w:val="0"/>
        <w:pageBreakBefore w:val="0"/>
        <w:widowControl w:val="0"/>
        <w:kinsoku/>
        <w:wordWrap/>
        <w:overflowPunct/>
        <w:topLinePunct w:val="0"/>
        <w:autoSpaceDE/>
        <w:autoSpaceDN/>
        <w:bidi w:val="0"/>
        <w:adjustRightInd/>
        <w:snapToGrid/>
        <w:spacing w:line="240" w:lineRule="auto"/>
        <w:ind w:firstLine="640"/>
        <w:textAlignment w:val="auto"/>
        <w:rPr>
          <w:rFonts w:hint="default" w:ascii="Times New Roman" w:hAnsi="Times New Roman" w:eastAsia="方正仿宋_GBK" w:cs="Times New Roman"/>
          <w:b w:val="0"/>
          <w:bCs w:val="0"/>
          <w:kern w:val="0"/>
          <w:sz w:val="32"/>
          <w:szCs w:val="24"/>
          <w:lang w:val="en-US" w:eastAsia="zh-CN" w:bidi="ar-SA"/>
        </w:rPr>
      </w:pPr>
      <w:r>
        <w:rPr>
          <w:rFonts w:hint="default" w:ascii="Times New Roman" w:hAnsi="Times New Roman" w:eastAsia="方正仿宋_GBK" w:cs="Times New Roman"/>
          <w:b w:val="0"/>
          <w:bCs w:val="0"/>
          <w:kern w:val="0"/>
          <w:sz w:val="32"/>
          <w:szCs w:val="24"/>
          <w:lang w:val="en-US" w:eastAsia="zh-CN" w:bidi="ar-SA"/>
        </w:rPr>
        <w:t>公务用车运行维护费支出2.86万元。主要用于所需的公务用车燃料费、维修费、过路过桥费、保险费等支出。</w:t>
      </w:r>
    </w:p>
    <w:p w14:paraId="352AAEBC">
      <w:pPr>
        <w:keepNext w:val="0"/>
        <w:keepLines w:val="0"/>
        <w:pageBreakBefore w:val="0"/>
        <w:widowControl w:val="0"/>
        <w:kinsoku/>
        <w:wordWrap/>
        <w:overflowPunct/>
        <w:topLinePunct w:val="0"/>
        <w:autoSpaceDE/>
        <w:autoSpaceDN/>
        <w:bidi w:val="0"/>
        <w:adjustRightInd/>
        <w:snapToGrid/>
        <w:spacing w:line="240" w:lineRule="auto"/>
        <w:ind w:firstLine="640"/>
        <w:textAlignment w:val="auto"/>
        <w:rPr>
          <w:rFonts w:hint="default" w:ascii="Times New Roman" w:hAnsi="Times New Roman" w:eastAsia="方正仿宋_GBK" w:cs="Times New Roman"/>
          <w:b w:val="0"/>
          <w:bCs w:val="0"/>
          <w:kern w:val="0"/>
          <w:sz w:val="32"/>
          <w:szCs w:val="24"/>
          <w:lang w:val="en-US" w:eastAsia="zh-CN" w:bidi="ar-SA"/>
        </w:rPr>
      </w:pPr>
      <w:r>
        <w:rPr>
          <w:rFonts w:hint="default" w:ascii="Times New Roman" w:hAnsi="Times New Roman" w:eastAsia="方正仿宋_GBK" w:cs="Times New Roman"/>
          <w:b w:val="0"/>
          <w:bCs w:val="0"/>
          <w:kern w:val="2"/>
          <w:sz w:val="32"/>
          <w:szCs w:val="32"/>
          <w:lang w:val="en-US" w:eastAsia="zh-CN" w:bidi="ar-SA"/>
        </w:rPr>
        <w:t>3.公务接待费支出0万元，完成预算0%。</w:t>
      </w:r>
      <w:r>
        <w:rPr>
          <w:rFonts w:hint="default" w:ascii="Times New Roman" w:hAnsi="Times New Roman" w:eastAsia="方正仿宋_GBK" w:cs="Times New Roman"/>
          <w:b w:val="0"/>
          <w:bCs w:val="0"/>
          <w:kern w:val="0"/>
          <w:sz w:val="32"/>
          <w:szCs w:val="24"/>
          <w:lang w:val="en-US" w:eastAsia="zh-CN" w:bidi="ar-SA"/>
        </w:rPr>
        <w:t>公务接待费支出决算与2023年度与上年持平。</w:t>
      </w:r>
    </w:p>
    <w:p w14:paraId="36083DF0">
      <w:pPr>
        <w:keepNext w:val="0"/>
        <w:keepLines w:val="0"/>
        <w:pageBreakBefore w:val="0"/>
        <w:widowControl w:val="0"/>
        <w:kinsoku/>
        <w:wordWrap/>
        <w:overflowPunct/>
        <w:topLinePunct w:val="0"/>
        <w:autoSpaceDE/>
        <w:autoSpaceDN/>
        <w:bidi w:val="0"/>
        <w:adjustRightInd/>
        <w:snapToGrid/>
        <w:spacing w:line="240" w:lineRule="auto"/>
        <w:ind w:firstLine="640"/>
        <w:textAlignment w:val="auto"/>
        <w:rPr>
          <w:rFonts w:hint="default" w:ascii="Times New Roman" w:hAnsi="Times New Roman" w:eastAsia="方正仿宋_GBK" w:cs="Times New Roman"/>
          <w:b w:val="0"/>
          <w:bCs w:val="0"/>
          <w:kern w:val="0"/>
          <w:sz w:val="32"/>
          <w:szCs w:val="24"/>
          <w:lang w:val="en-US" w:eastAsia="zh-CN" w:bidi="ar-SA"/>
        </w:rPr>
      </w:pPr>
      <w:r>
        <w:rPr>
          <w:rFonts w:hint="default" w:ascii="Times New Roman" w:hAnsi="Times New Roman" w:eastAsia="方正仿宋_GBK" w:cs="Times New Roman"/>
          <w:b w:val="0"/>
          <w:bCs w:val="0"/>
          <w:kern w:val="0"/>
          <w:sz w:val="32"/>
          <w:szCs w:val="24"/>
          <w:lang w:val="en-US" w:eastAsia="zh-CN" w:bidi="ar-SA"/>
        </w:rPr>
        <w:t>国内公务接待支出0万元。国内公务接待0批次，0人次（不包括陪同人员），共计支出0万元。</w:t>
      </w:r>
    </w:p>
    <w:p w14:paraId="1AC31B5F">
      <w:pPr>
        <w:keepNext w:val="0"/>
        <w:keepLines w:val="0"/>
        <w:pageBreakBefore w:val="0"/>
        <w:widowControl w:val="0"/>
        <w:kinsoku/>
        <w:wordWrap/>
        <w:overflowPunct/>
        <w:topLinePunct w:val="0"/>
        <w:autoSpaceDE/>
        <w:autoSpaceDN/>
        <w:bidi w:val="0"/>
        <w:adjustRightInd/>
        <w:snapToGrid/>
        <w:spacing w:line="240" w:lineRule="auto"/>
        <w:ind w:firstLine="640"/>
        <w:textAlignment w:val="auto"/>
        <w:rPr>
          <w:rFonts w:hint="default" w:ascii="Times New Roman" w:hAnsi="Times New Roman" w:eastAsia="方正仿宋_GBK" w:cs="Times New Roman"/>
          <w:kern w:val="0"/>
          <w:sz w:val="32"/>
          <w:szCs w:val="24"/>
          <w:lang w:val="en-US" w:eastAsia="zh-CN" w:bidi="ar-SA"/>
        </w:rPr>
      </w:pPr>
      <w:r>
        <w:rPr>
          <w:rFonts w:hint="default" w:ascii="Times New Roman" w:hAnsi="Times New Roman" w:eastAsia="方正仿宋_GBK" w:cs="Times New Roman"/>
          <w:b w:val="0"/>
          <w:bCs w:val="0"/>
          <w:kern w:val="0"/>
          <w:sz w:val="32"/>
          <w:szCs w:val="24"/>
          <w:lang w:val="en-US" w:eastAsia="zh-CN" w:bidi="ar-SA"/>
        </w:rPr>
        <w:t>外事接待支出0万元。外事接待0</w:t>
      </w:r>
      <w:r>
        <w:rPr>
          <w:rFonts w:hint="default" w:ascii="Times New Roman" w:hAnsi="Times New Roman" w:eastAsia="方正仿宋_GBK" w:cs="Times New Roman"/>
          <w:kern w:val="0"/>
          <w:sz w:val="32"/>
          <w:szCs w:val="24"/>
          <w:lang w:val="en-US" w:eastAsia="zh-CN" w:bidi="ar-SA"/>
        </w:rPr>
        <w:t>批次，0人次（不包括陪同人员），共计支出0万元。</w:t>
      </w:r>
      <w:bookmarkStart w:id="64" w:name="_Toc15377218"/>
      <w:bookmarkStart w:id="65" w:name="_Toc15396610"/>
    </w:p>
    <w:p w14:paraId="6C743196">
      <w:pPr>
        <w:pStyle w:val="6"/>
        <w:keepNext/>
        <w:keepLines/>
        <w:pageBreakBefore w:val="0"/>
        <w:widowControl w:val="0"/>
        <w:numPr>
          <w:ilvl w:val="0"/>
          <w:numId w:val="0"/>
        </w:numPr>
        <w:kinsoku/>
        <w:wordWrap/>
        <w:overflowPunct/>
        <w:topLinePunct w:val="0"/>
        <w:autoSpaceDE/>
        <w:autoSpaceDN/>
        <w:bidi w:val="0"/>
        <w:adjustRightInd/>
        <w:snapToGrid/>
        <w:spacing w:line="416" w:lineRule="auto"/>
        <w:ind w:left="0" w:leftChars="0" w:firstLine="640" w:firstLineChars="200"/>
        <w:textAlignment w:val="auto"/>
        <w:rPr>
          <w:rFonts w:hint="default" w:ascii="Times New Roman" w:hAnsi="Times New Roman" w:eastAsia="方正黑体_GBK" w:cs="Times New Roman"/>
          <w:b w:val="0"/>
          <w:bCs/>
          <w:lang w:val="en-US" w:eastAsia="zh-CN"/>
        </w:rPr>
      </w:pPr>
      <w:bookmarkStart w:id="66" w:name="_Toc16298"/>
      <w:r>
        <w:rPr>
          <w:rFonts w:hint="default" w:ascii="Times New Roman" w:hAnsi="Times New Roman" w:eastAsia="方正黑体_GBK" w:cs="Times New Roman"/>
          <w:b w:val="0"/>
          <w:bCs/>
          <w:lang w:val="en-US" w:eastAsia="zh-CN"/>
        </w:rPr>
        <w:t>八、政府性基金预算支出决算情况说明</w:t>
      </w:r>
      <w:bookmarkEnd w:id="64"/>
      <w:bookmarkEnd w:id="65"/>
      <w:bookmarkEnd w:id="66"/>
    </w:p>
    <w:p w14:paraId="401B648E">
      <w:pPr>
        <w:keepNext w:val="0"/>
        <w:keepLines w:val="0"/>
        <w:pageBreakBefore w:val="0"/>
        <w:widowControl w:val="0"/>
        <w:kinsoku/>
        <w:wordWrap/>
        <w:overflowPunct/>
        <w:topLinePunct w:val="0"/>
        <w:autoSpaceDE/>
        <w:autoSpaceDN/>
        <w:bidi w:val="0"/>
        <w:adjustRightInd/>
        <w:snapToGrid/>
        <w:spacing w:line="240" w:lineRule="auto"/>
        <w:ind w:firstLine="640"/>
        <w:textAlignment w:val="auto"/>
        <w:rPr>
          <w:rFonts w:hint="default" w:ascii="Times New Roman" w:hAnsi="Times New Roman" w:eastAsia="方正仿宋_GBK" w:cs="Times New Roman"/>
          <w:kern w:val="0"/>
          <w:sz w:val="32"/>
          <w:szCs w:val="24"/>
          <w:lang w:val="en-US" w:eastAsia="zh-CN" w:bidi="ar-SA"/>
        </w:rPr>
      </w:pPr>
      <w:r>
        <w:rPr>
          <w:rFonts w:hint="default" w:ascii="Times New Roman" w:hAnsi="Times New Roman" w:eastAsia="方正仿宋_GBK" w:cs="Times New Roman"/>
          <w:kern w:val="0"/>
          <w:sz w:val="32"/>
          <w:szCs w:val="24"/>
          <w:lang w:val="en-US" w:eastAsia="zh-CN" w:bidi="ar-SA"/>
        </w:rPr>
        <w:t>2024年度政府性基金预算财政拨款支出1911.19万元，占本年支出合计的3.76%。与2023年度相比，政府性基金预算财政拨款支出减少1832.59万元，增长2331.54%。主要变动原因是项目增加支出。</w:t>
      </w:r>
    </w:p>
    <w:p w14:paraId="53E92251">
      <w:pPr>
        <w:pStyle w:val="6"/>
        <w:keepNext/>
        <w:keepLines/>
        <w:pageBreakBefore w:val="0"/>
        <w:widowControl w:val="0"/>
        <w:numPr>
          <w:ilvl w:val="0"/>
          <w:numId w:val="0"/>
        </w:numPr>
        <w:kinsoku/>
        <w:wordWrap/>
        <w:overflowPunct/>
        <w:topLinePunct w:val="0"/>
        <w:autoSpaceDE/>
        <w:autoSpaceDN/>
        <w:bidi w:val="0"/>
        <w:adjustRightInd/>
        <w:snapToGrid/>
        <w:spacing w:line="416" w:lineRule="auto"/>
        <w:ind w:left="0" w:leftChars="0" w:firstLine="640" w:firstLineChars="200"/>
        <w:textAlignment w:val="auto"/>
        <w:rPr>
          <w:rFonts w:hint="default" w:ascii="Times New Roman" w:hAnsi="Times New Roman" w:eastAsia="方正黑体_GBK" w:cs="Times New Roman"/>
          <w:b w:val="0"/>
          <w:bCs/>
          <w:lang w:val="en-US" w:eastAsia="zh-CN"/>
        </w:rPr>
      </w:pPr>
      <w:bookmarkStart w:id="67" w:name="_Toc15377219"/>
      <w:bookmarkStart w:id="68" w:name="_Toc15396611"/>
      <w:bookmarkStart w:id="69" w:name="_Toc18365"/>
      <w:r>
        <w:rPr>
          <w:rFonts w:hint="default" w:ascii="Times New Roman" w:hAnsi="Times New Roman" w:eastAsia="方正黑体_GBK" w:cs="Times New Roman"/>
          <w:b w:val="0"/>
          <w:bCs/>
          <w:lang w:val="en-US" w:eastAsia="zh-CN"/>
        </w:rPr>
        <w:t>九、国有资本经营预算支出决算情况说明</w:t>
      </w:r>
      <w:bookmarkEnd w:id="67"/>
      <w:bookmarkEnd w:id="68"/>
      <w:bookmarkEnd w:id="69"/>
    </w:p>
    <w:p w14:paraId="6473376D">
      <w:pPr>
        <w:keepNext w:val="0"/>
        <w:keepLines w:val="0"/>
        <w:pageBreakBefore w:val="0"/>
        <w:widowControl w:val="0"/>
        <w:kinsoku/>
        <w:wordWrap/>
        <w:overflowPunct/>
        <w:topLinePunct w:val="0"/>
        <w:autoSpaceDE/>
        <w:autoSpaceDN/>
        <w:bidi w:val="0"/>
        <w:adjustRightInd/>
        <w:snapToGrid/>
        <w:spacing w:line="240" w:lineRule="auto"/>
        <w:ind w:firstLine="640"/>
        <w:textAlignment w:val="auto"/>
        <w:rPr>
          <w:rFonts w:hint="default" w:ascii="Times New Roman" w:hAnsi="Times New Roman" w:eastAsia="方正仿宋_GBK" w:cs="Times New Roman"/>
          <w:kern w:val="0"/>
          <w:sz w:val="32"/>
          <w:szCs w:val="24"/>
          <w:lang w:val="en-US" w:eastAsia="zh-CN" w:bidi="ar-SA"/>
        </w:rPr>
      </w:pPr>
      <w:r>
        <w:rPr>
          <w:rFonts w:hint="default" w:ascii="Times New Roman" w:hAnsi="Times New Roman" w:eastAsia="方正仿宋_GBK" w:cs="Times New Roman"/>
          <w:kern w:val="0"/>
          <w:sz w:val="32"/>
          <w:szCs w:val="24"/>
          <w:lang w:val="en-US" w:eastAsia="zh-CN" w:bidi="ar-SA"/>
        </w:rPr>
        <w:t>2024年度国有资本经营预算财政拨款支出0万元，占本年支出合计的0%。与2023年度相比，国有资本经营预算财政拨款支出与上年持平。</w:t>
      </w:r>
    </w:p>
    <w:p w14:paraId="6B438A7B">
      <w:pPr>
        <w:pStyle w:val="6"/>
        <w:keepNext/>
        <w:keepLines/>
        <w:pageBreakBefore w:val="0"/>
        <w:widowControl w:val="0"/>
        <w:numPr>
          <w:ilvl w:val="0"/>
          <w:numId w:val="0"/>
        </w:numPr>
        <w:kinsoku/>
        <w:wordWrap/>
        <w:overflowPunct/>
        <w:topLinePunct w:val="0"/>
        <w:autoSpaceDE/>
        <w:autoSpaceDN/>
        <w:bidi w:val="0"/>
        <w:adjustRightInd/>
        <w:snapToGrid/>
        <w:spacing w:line="416" w:lineRule="auto"/>
        <w:ind w:left="0" w:leftChars="0" w:firstLine="640" w:firstLineChars="200"/>
        <w:textAlignment w:val="auto"/>
        <w:rPr>
          <w:rFonts w:hint="default" w:ascii="Times New Roman" w:hAnsi="Times New Roman" w:eastAsia="方正黑体_GBK" w:cs="Times New Roman"/>
          <w:b w:val="0"/>
          <w:bCs/>
          <w:lang w:val="en-US" w:eastAsia="zh-CN"/>
        </w:rPr>
      </w:pPr>
      <w:bookmarkStart w:id="70" w:name="_Toc15396612"/>
      <w:bookmarkStart w:id="71" w:name="_Toc15377221"/>
      <w:bookmarkStart w:id="72" w:name="_Toc20382"/>
      <w:r>
        <w:rPr>
          <w:rFonts w:hint="default" w:ascii="Times New Roman" w:hAnsi="Times New Roman" w:eastAsia="方正黑体_GBK" w:cs="Times New Roman"/>
          <w:b w:val="0"/>
          <w:bCs/>
          <w:lang w:val="en-US" w:eastAsia="zh-CN"/>
        </w:rPr>
        <w:t>十、其他重要事项的情况说明</w:t>
      </w:r>
      <w:bookmarkEnd w:id="70"/>
      <w:bookmarkEnd w:id="71"/>
      <w:bookmarkEnd w:id="72"/>
    </w:p>
    <w:p w14:paraId="4272257C">
      <w:pPr>
        <w:keepNext w:val="0"/>
        <w:keepLines w:val="0"/>
        <w:pageBreakBefore w:val="0"/>
        <w:kinsoku/>
        <w:wordWrap/>
        <w:overflowPunct/>
        <w:topLinePunct w:val="0"/>
        <w:autoSpaceDE/>
        <w:autoSpaceDN/>
        <w:bidi w:val="0"/>
        <w:spacing w:line="240" w:lineRule="auto"/>
        <w:ind w:firstLine="643" w:firstLineChars="200"/>
        <w:textAlignment w:val="auto"/>
        <w:outlineLvl w:val="2"/>
        <w:rPr>
          <w:rFonts w:hint="default" w:ascii="Times New Roman" w:hAnsi="Times New Roman" w:eastAsia="方正楷体_GBK" w:cs="Times New Roman"/>
          <w:b/>
          <w:bCs w:val="0"/>
          <w:sz w:val="32"/>
          <w:szCs w:val="32"/>
        </w:rPr>
      </w:pPr>
      <w:bookmarkStart w:id="73" w:name="_Toc15377222"/>
      <w:r>
        <w:rPr>
          <w:rFonts w:hint="default" w:ascii="Times New Roman" w:hAnsi="Times New Roman" w:eastAsia="方正楷体_GBK" w:cs="Times New Roman"/>
          <w:b/>
          <w:bCs w:val="0"/>
          <w:sz w:val="32"/>
          <w:szCs w:val="32"/>
        </w:rPr>
        <w:t>（一）机关运行经费支出情况</w:t>
      </w:r>
      <w:bookmarkEnd w:id="73"/>
    </w:p>
    <w:p w14:paraId="65414E3D">
      <w:pPr>
        <w:keepNext w:val="0"/>
        <w:keepLines w:val="0"/>
        <w:pageBreakBefore w:val="0"/>
        <w:widowControl w:val="0"/>
        <w:kinsoku/>
        <w:wordWrap/>
        <w:overflowPunct/>
        <w:topLinePunct w:val="0"/>
        <w:autoSpaceDE/>
        <w:autoSpaceDN/>
        <w:bidi w:val="0"/>
        <w:adjustRightInd/>
        <w:snapToGrid/>
        <w:spacing w:line="240" w:lineRule="auto"/>
        <w:ind w:firstLine="640"/>
        <w:textAlignment w:val="auto"/>
        <w:rPr>
          <w:rFonts w:hint="default" w:ascii="Times New Roman" w:hAnsi="Times New Roman" w:eastAsia="方正仿宋_GBK" w:cs="Times New Roman"/>
          <w:kern w:val="0"/>
          <w:sz w:val="32"/>
          <w:szCs w:val="24"/>
          <w:lang w:val="en-US" w:eastAsia="zh-CN" w:bidi="ar-SA"/>
        </w:rPr>
      </w:pPr>
      <w:r>
        <w:rPr>
          <w:rFonts w:hint="default" w:ascii="Times New Roman" w:hAnsi="Times New Roman" w:eastAsia="方正仿宋_GBK" w:cs="Times New Roman"/>
          <w:kern w:val="0"/>
          <w:sz w:val="32"/>
          <w:szCs w:val="24"/>
          <w:lang w:val="en-US" w:eastAsia="zh-CN" w:bidi="ar-SA"/>
        </w:rPr>
        <w:t>2024年度，盐边县教育和体育局机关运行经费支出76.29万元，比2023年度增加4.60万元，增长6.42%，主要原因是办公用品需求增加。</w:t>
      </w:r>
    </w:p>
    <w:p w14:paraId="2EEC237C">
      <w:pPr>
        <w:keepNext w:val="0"/>
        <w:keepLines w:val="0"/>
        <w:pageBreakBefore w:val="0"/>
        <w:kinsoku/>
        <w:wordWrap/>
        <w:overflowPunct/>
        <w:topLinePunct w:val="0"/>
        <w:autoSpaceDE/>
        <w:autoSpaceDN/>
        <w:bidi w:val="0"/>
        <w:spacing w:line="240" w:lineRule="auto"/>
        <w:ind w:firstLine="643" w:firstLineChars="200"/>
        <w:textAlignment w:val="auto"/>
        <w:outlineLvl w:val="2"/>
        <w:rPr>
          <w:rFonts w:hint="default" w:ascii="Times New Roman" w:hAnsi="Times New Roman" w:eastAsia="方正楷体_GBK" w:cs="Times New Roman"/>
          <w:b/>
          <w:bCs w:val="0"/>
          <w:sz w:val="32"/>
          <w:szCs w:val="32"/>
        </w:rPr>
      </w:pPr>
      <w:bookmarkStart w:id="74" w:name="_Toc15377223"/>
      <w:r>
        <w:rPr>
          <w:rFonts w:hint="default" w:ascii="Times New Roman" w:hAnsi="Times New Roman" w:eastAsia="方正楷体_GBK" w:cs="Times New Roman"/>
          <w:b/>
          <w:bCs w:val="0"/>
          <w:sz w:val="32"/>
          <w:szCs w:val="32"/>
        </w:rPr>
        <w:t>（二）政府采购支出情况</w:t>
      </w:r>
      <w:bookmarkEnd w:id="74"/>
    </w:p>
    <w:p w14:paraId="6612318B">
      <w:pPr>
        <w:keepNext w:val="0"/>
        <w:keepLines w:val="0"/>
        <w:pageBreakBefore w:val="0"/>
        <w:widowControl w:val="0"/>
        <w:kinsoku/>
        <w:wordWrap/>
        <w:overflowPunct/>
        <w:topLinePunct w:val="0"/>
        <w:autoSpaceDE/>
        <w:autoSpaceDN/>
        <w:bidi w:val="0"/>
        <w:adjustRightInd/>
        <w:snapToGrid/>
        <w:spacing w:line="240" w:lineRule="auto"/>
        <w:ind w:firstLine="640"/>
        <w:textAlignment w:val="auto"/>
        <w:rPr>
          <w:rFonts w:hint="default" w:ascii="Times New Roman" w:hAnsi="Times New Roman" w:eastAsia="方正仿宋_GBK" w:cs="Times New Roman"/>
          <w:kern w:val="0"/>
          <w:sz w:val="32"/>
          <w:szCs w:val="24"/>
          <w:lang w:val="en-US" w:eastAsia="zh-CN" w:bidi="ar-SA"/>
        </w:rPr>
      </w:pPr>
      <w:r>
        <w:rPr>
          <w:rFonts w:hint="default" w:ascii="Times New Roman" w:hAnsi="Times New Roman" w:eastAsia="方正仿宋_GBK" w:cs="Times New Roman"/>
          <w:kern w:val="0"/>
          <w:sz w:val="32"/>
          <w:szCs w:val="24"/>
          <w:lang w:val="en-US" w:eastAsia="zh-CN" w:bidi="ar-SA"/>
        </w:rPr>
        <w:t>2024年度，盐边县教育和体育局部门政府采购支出总额3198.66万元，其中：政府采购货物支出1715.10万元、政府采购工程支出1034.83万元、政府采购服务支出448.73万元。主要用于红格镇第二幼儿园设备采购、购买乡镇中心幼儿园保教服务、公办学校安全服务等。授予中小企业合同金额3143.54万元，占政府采购支出总额的98.28%，其中：授予小微企业合同金额2997.50万元，占政府采购支出总额的93.71%。</w:t>
      </w:r>
    </w:p>
    <w:p w14:paraId="605490B2">
      <w:pPr>
        <w:keepNext w:val="0"/>
        <w:keepLines w:val="0"/>
        <w:pageBreakBefore w:val="0"/>
        <w:kinsoku/>
        <w:wordWrap/>
        <w:overflowPunct/>
        <w:topLinePunct w:val="0"/>
        <w:autoSpaceDE/>
        <w:autoSpaceDN/>
        <w:bidi w:val="0"/>
        <w:spacing w:line="240" w:lineRule="auto"/>
        <w:ind w:firstLine="643" w:firstLineChars="200"/>
        <w:textAlignment w:val="auto"/>
        <w:outlineLvl w:val="2"/>
        <w:rPr>
          <w:rFonts w:hint="default" w:ascii="Times New Roman" w:hAnsi="Times New Roman" w:eastAsia="方正楷体_GBK" w:cs="Times New Roman"/>
          <w:b/>
          <w:bCs w:val="0"/>
          <w:sz w:val="32"/>
          <w:szCs w:val="32"/>
        </w:rPr>
      </w:pPr>
      <w:bookmarkStart w:id="75" w:name="_Toc15377224"/>
      <w:r>
        <w:rPr>
          <w:rFonts w:hint="default" w:ascii="Times New Roman" w:hAnsi="Times New Roman" w:eastAsia="方正楷体_GBK" w:cs="Times New Roman"/>
          <w:b/>
          <w:bCs w:val="0"/>
          <w:sz w:val="32"/>
          <w:szCs w:val="32"/>
        </w:rPr>
        <w:t>（三）国有资产占有使用情况</w:t>
      </w:r>
      <w:bookmarkEnd w:id="75"/>
    </w:p>
    <w:p w14:paraId="7831AC3E">
      <w:pPr>
        <w:keepNext w:val="0"/>
        <w:keepLines w:val="0"/>
        <w:pageBreakBefore w:val="0"/>
        <w:widowControl w:val="0"/>
        <w:kinsoku/>
        <w:wordWrap/>
        <w:overflowPunct/>
        <w:topLinePunct w:val="0"/>
        <w:autoSpaceDE/>
        <w:autoSpaceDN/>
        <w:bidi w:val="0"/>
        <w:adjustRightInd/>
        <w:snapToGrid/>
        <w:spacing w:line="240" w:lineRule="auto"/>
        <w:ind w:firstLine="640"/>
        <w:textAlignment w:val="auto"/>
        <w:rPr>
          <w:rFonts w:hint="default" w:ascii="Times New Roman" w:hAnsi="Times New Roman" w:eastAsia="仿宋_GB2312" w:cs="Times New Roman"/>
          <w:sz w:val="32"/>
          <w:szCs w:val="32"/>
        </w:rPr>
      </w:pPr>
      <w:r>
        <w:rPr>
          <w:rFonts w:hint="default" w:ascii="Times New Roman" w:hAnsi="Times New Roman" w:eastAsia="方正仿宋_GBK" w:cs="Times New Roman"/>
          <w:kern w:val="0"/>
          <w:sz w:val="32"/>
          <w:szCs w:val="24"/>
          <w:lang w:val="en-US" w:eastAsia="zh-CN" w:bidi="ar-SA"/>
        </w:rPr>
        <w:t>截至2024年12月31日，盐边县教育和体育局部门共有车辆4辆，其中：主要负责人用车0辆、机要通信用车0辆、应急保障用车0辆、其他用车4辆，其他用车主要是用于运送物资、下乡检查工作等。单价100万元（含）以上设备（不含车辆）0台（套）。</w:t>
      </w:r>
    </w:p>
    <w:p w14:paraId="693859FB">
      <w:pPr>
        <w:keepNext w:val="0"/>
        <w:keepLines w:val="0"/>
        <w:pageBreakBefore w:val="0"/>
        <w:kinsoku/>
        <w:wordWrap/>
        <w:overflowPunct/>
        <w:topLinePunct w:val="0"/>
        <w:autoSpaceDE/>
        <w:autoSpaceDN/>
        <w:bidi w:val="0"/>
        <w:spacing w:line="240" w:lineRule="auto"/>
        <w:ind w:firstLine="643" w:firstLineChars="200"/>
        <w:textAlignment w:val="auto"/>
        <w:outlineLvl w:val="2"/>
        <w:rPr>
          <w:rFonts w:hint="default" w:ascii="Times New Roman" w:hAnsi="Times New Roman" w:eastAsia="方正楷体_GBK" w:cs="Times New Roman"/>
          <w:b/>
          <w:bCs w:val="0"/>
          <w:sz w:val="32"/>
          <w:szCs w:val="32"/>
        </w:rPr>
      </w:pPr>
      <w:r>
        <w:rPr>
          <w:rFonts w:hint="default" w:ascii="Times New Roman" w:hAnsi="Times New Roman" w:eastAsia="方正楷体_GBK" w:cs="Times New Roman"/>
          <w:b/>
          <w:bCs w:val="0"/>
          <w:sz w:val="32"/>
          <w:szCs w:val="32"/>
        </w:rPr>
        <w:t>（四）预算绩效管理情况</w:t>
      </w:r>
    </w:p>
    <w:p w14:paraId="146960AA">
      <w:pPr>
        <w:keepNext w:val="0"/>
        <w:keepLines w:val="0"/>
        <w:pageBreakBefore w:val="0"/>
        <w:widowControl w:val="0"/>
        <w:kinsoku/>
        <w:wordWrap/>
        <w:overflowPunct/>
        <w:topLinePunct w:val="0"/>
        <w:autoSpaceDE/>
        <w:autoSpaceDN/>
        <w:bidi w:val="0"/>
        <w:adjustRightInd/>
        <w:snapToGrid/>
        <w:spacing w:line="240" w:lineRule="auto"/>
        <w:ind w:firstLine="640"/>
        <w:textAlignment w:val="auto"/>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根据预算绩效管理要求，</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盐边县教育和体育局</w:t>
      </w:r>
      <w:r>
        <w:rPr>
          <w:rFonts w:hint="default" w:ascii="Times New Roman" w:hAnsi="Times New Roman" w:eastAsia="方正仿宋_GBK" w:cs="Times New Roman"/>
          <w:color w:val="000000" w:themeColor="text1"/>
          <w:sz w:val="32"/>
          <w:szCs w:val="32"/>
          <w14:textFill>
            <w14:solidFill>
              <w14:schemeClr w14:val="tx1"/>
            </w14:solidFill>
          </w14:textFill>
        </w:rPr>
        <w:t>在2024年度预算编制阶段，组织对盐边县幼儿园改扩建工程质保金（项目名称）等</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145</w:t>
      </w:r>
      <w:r>
        <w:rPr>
          <w:rFonts w:hint="default" w:ascii="Times New Roman" w:hAnsi="Times New Roman" w:eastAsia="方正仿宋_GBK" w:cs="Times New Roman"/>
          <w:color w:val="000000" w:themeColor="text1"/>
          <w:sz w:val="32"/>
          <w:szCs w:val="32"/>
          <w14:textFill>
            <w14:solidFill>
              <w14:schemeClr w14:val="tx1"/>
            </w14:solidFill>
          </w14:textFill>
        </w:rPr>
        <w:t>个项目开展了预算事前绩效评估，对</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145</w:t>
      </w:r>
      <w:r>
        <w:rPr>
          <w:rFonts w:hint="default" w:ascii="Times New Roman" w:hAnsi="Times New Roman" w:eastAsia="方正仿宋_GBK" w:cs="Times New Roman"/>
          <w:color w:val="000000" w:themeColor="text1"/>
          <w:sz w:val="32"/>
          <w:szCs w:val="32"/>
          <w14:textFill>
            <w14:solidFill>
              <w14:schemeClr w14:val="tx1"/>
            </w14:solidFill>
          </w14:textFill>
        </w:rPr>
        <w:t>个项目编制了绩效目标，预算执行过程中，选取</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145</w:t>
      </w:r>
      <w:r>
        <w:rPr>
          <w:rFonts w:hint="default" w:ascii="Times New Roman" w:hAnsi="Times New Roman" w:eastAsia="方正仿宋_GBK" w:cs="Times New Roman"/>
          <w:color w:val="000000" w:themeColor="text1"/>
          <w:sz w:val="32"/>
          <w:szCs w:val="32"/>
          <w14:textFill>
            <w14:solidFill>
              <w14:schemeClr w14:val="tx1"/>
            </w14:solidFill>
          </w14:textFill>
        </w:rPr>
        <w:t>个项目开展绩效监控。</w:t>
      </w:r>
    </w:p>
    <w:p w14:paraId="10492844">
      <w:pPr>
        <w:keepNext w:val="0"/>
        <w:keepLines w:val="0"/>
        <w:pageBreakBefore w:val="0"/>
        <w:widowControl w:val="0"/>
        <w:kinsoku/>
        <w:wordWrap/>
        <w:overflowPunct/>
        <w:topLinePunct w:val="0"/>
        <w:autoSpaceDE/>
        <w:autoSpaceDN/>
        <w:bidi w:val="0"/>
        <w:adjustRightInd/>
        <w:snapToGrid/>
        <w:spacing w:line="240" w:lineRule="auto"/>
        <w:ind w:firstLine="640"/>
        <w:textAlignment w:val="auto"/>
        <w:rPr>
          <w:rFonts w:hint="default" w:ascii="Times New Roman" w:hAnsi="Times New Roman" w:cs="Times New Roman"/>
        </w:rPr>
      </w:pPr>
      <w:r>
        <w:rPr>
          <w:rFonts w:hint="default" w:ascii="Times New Roman" w:hAnsi="Times New Roman" w:eastAsia="方正仿宋_GBK" w:cs="Times New Roman"/>
          <w:color w:val="000000" w:themeColor="text1"/>
          <w:sz w:val="32"/>
          <w:szCs w:val="32"/>
          <w14:textFill>
            <w14:solidFill>
              <w14:schemeClr w14:val="tx1"/>
            </w14:solidFill>
          </w14:textFill>
        </w:rPr>
        <w:t>组织对2024年度一般公共预算、政府性基金预算、国有资本经营预算、社会保险基金预算以及资本资产、债券资金等全面开展绩效自评，形成</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盐边县教育和体育局</w:t>
      </w:r>
      <w:r>
        <w:rPr>
          <w:rFonts w:hint="default" w:ascii="Times New Roman" w:hAnsi="Times New Roman" w:eastAsia="方正仿宋_GBK" w:cs="Times New Roman"/>
          <w:color w:val="000000" w:themeColor="text1"/>
          <w:sz w:val="32"/>
          <w:szCs w:val="32"/>
          <w14:textFill>
            <w14:solidFill>
              <w14:schemeClr w14:val="tx1"/>
            </w14:solidFill>
          </w14:textFill>
        </w:rPr>
        <w:t>部门整体（含部门预算项目）绩效自评报告、</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盐边县教育和体育局</w:t>
      </w:r>
      <w:r>
        <w:rPr>
          <w:rFonts w:hint="default" w:ascii="Times New Roman" w:hAnsi="Times New Roman" w:eastAsia="方正仿宋_GBK" w:cs="Times New Roman"/>
          <w:color w:val="000000" w:themeColor="text1"/>
          <w:sz w:val="32"/>
          <w:szCs w:val="32"/>
          <w14:textFill>
            <w14:solidFill>
              <w14:schemeClr w14:val="tx1"/>
            </w14:solidFill>
          </w14:textFill>
        </w:rPr>
        <w:t>等专项预算项目绩效自评报告，其中，盐边县幼儿园改扩建工程质保金部门整体（含部门预算项目）绩效自评得分为</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100</w:t>
      </w:r>
      <w:r>
        <w:rPr>
          <w:rFonts w:hint="default" w:ascii="Times New Roman" w:hAnsi="Times New Roman" w:eastAsia="方正仿宋_GBK" w:cs="Times New Roman"/>
          <w:color w:val="000000" w:themeColor="text1"/>
          <w:sz w:val="32"/>
          <w:szCs w:val="32"/>
          <w14:textFill>
            <w14:solidFill>
              <w14:schemeClr w14:val="tx1"/>
            </w14:solidFill>
          </w14:textFill>
        </w:rPr>
        <w:t>分，绩效自评综述盐边县幼儿园改扩建工程项目完工，并验收合格支付质保金；盐边县惠民镇中心学校“三支一扶”一次性安家费专项预算项目绩效自评得分为</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100</w:t>
      </w:r>
      <w:r>
        <w:rPr>
          <w:rFonts w:hint="default" w:ascii="Times New Roman" w:hAnsi="Times New Roman" w:eastAsia="方正仿宋_GBK" w:cs="Times New Roman"/>
          <w:color w:val="000000" w:themeColor="text1"/>
          <w:sz w:val="32"/>
          <w:szCs w:val="32"/>
          <w14:textFill>
            <w14:solidFill>
              <w14:schemeClr w14:val="tx1"/>
            </w14:solidFill>
          </w14:textFill>
        </w:rPr>
        <w:t>分，绩效自评综述鼓励人才扎根基层，稳定教师队伍；盐边县渔门镇初级中学校篮球场地改造项目专项预算项目绩效自评得分为</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100</w:t>
      </w:r>
      <w:r>
        <w:rPr>
          <w:rFonts w:hint="default" w:ascii="Times New Roman" w:hAnsi="Times New Roman" w:eastAsia="方正仿宋_GBK" w:cs="Times New Roman"/>
          <w:color w:val="000000" w:themeColor="text1"/>
          <w:sz w:val="32"/>
          <w:szCs w:val="32"/>
          <w14:textFill>
            <w14:solidFill>
              <w14:schemeClr w14:val="tx1"/>
            </w14:solidFill>
          </w14:textFill>
        </w:rPr>
        <w:t>分，绩效自评综述本年内完成施工达到各项指标满意，消除安全隐患，改善运动环境质量，提高安全系数，使用时限长久，同时提高学校办学条件；学生公寓室内改造工程专项预算项目绩效自评得分为</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100</w:t>
      </w:r>
      <w:r>
        <w:rPr>
          <w:rFonts w:hint="default" w:ascii="Times New Roman" w:hAnsi="Times New Roman" w:eastAsia="方正仿宋_GBK" w:cs="Times New Roman"/>
          <w:color w:val="000000" w:themeColor="text1"/>
          <w:sz w:val="32"/>
          <w:szCs w:val="32"/>
          <w14:textFill>
            <w14:solidFill>
              <w14:schemeClr w14:val="tx1"/>
            </w14:solidFill>
          </w14:textFill>
        </w:rPr>
        <w:t>分，绩效自评综述盐边县新九镇中心学校学生宿舍建于2005年，建筑面积1418平方米，共有宿舍46间，可容纳368名学生入住。现学校有住校生250余名。由于宿舍修建时间已久，大部分卫生间及盥洗室出现漏水现象，已无法正常使用。宿舍内墙面及顶棚也出现漆面脱落情况，对学生宿舍进行维修</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绩效自评报告详见附件。</w:t>
      </w:r>
    </w:p>
    <w:p w14:paraId="45888BF2">
      <w:pPr>
        <w:rPr>
          <w:rFonts w:hint="default" w:ascii="Times New Roman" w:hAnsi="Times New Roman" w:eastAsia="方正小标宋_GBK" w:cs="Times New Roman"/>
          <w:b/>
          <w:bCs w:val="0"/>
          <w:lang w:eastAsia="zh-CN"/>
        </w:rPr>
      </w:pPr>
      <w:bookmarkStart w:id="76" w:name="_Toc3922"/>
      <w:r>
        <w:rPr>
          <w:rFonts w:hint="default" w:ascii="Times New Roman" w:hAnsi="Times New Roman" w:eastAsia="方正小标宋_GBK" w:cs="Times New Roman"/>
          <w:b/>
          <w:bCs w:val="0"/>
          <w:lang w:eastAsia="zh-CN"/>
        </w:rPr>
        <w:br w:type="page"/>
      </w:r>
    </w:p>
    <w:p w14:paraId="65ABE29C">
      <w:pPr>
        <w:pStyle w:val="5"/>
        <w:keepNext/>
        <w:keepLines/>
        <w:pageBreakBefore w:val="0"/>
        <w:widowControl w:val="0"/>
        <w:kinsoku/>
        <w:wordWrap/>
        <w:overflowPunct/>
        <w:topLinePunct w:val="0"/>
        <w:autoSpaceDE/>
        <w:autoSpaceDN/>
        <w:bidi w:val="0"/>
        <w:adjustRightInd/>
        <w:snapToGrid/>
        <w:spacing w:line="0" w:lineRule="atLeast"/>
        <w:jc w:val="center"/>
        <w:textAlignment w:val="auto"/>
        <w:rPr>
          <w:rFonts w:hint="default" w:ascii="Times New Roman" w:hAnsi="Times New Roman" w:eastAsia="方正小标宋_GBK" w:cs="Times New Roman"/>
          <w:b/>
          <w:bCs w:val="0"/>
          <w:lang w:eastAsia="zh-CN"/>
        </w:rPr>
      </w:pPr>
      <w:r>
        <w:rPr>
          <w:rFonts w:hint="default" w:ascii="Times New Roman" w:hAnsi="Times New Roman" w:eastAsia="方正小标宋_GBK" w:cs="Times New Roman"/>
          <w:b/>
          <w:bCs w:val="0"/>
          <w:lang w:eastAsia="zh-CN"/>
        </w:rPr>
        <w:t>第三部分 名词解释</w:t>
      </w:r>
      <w:bookmarkEnd w:id="76"/>
    </w:p>
    <w:p w14:paraId="1E5325CB">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kern w:val="0"/>
          <w:sz w:val="32"/>
          <w:szCs w:val="24"/>
          <w:lang w:val="en-US" w:eastAsia="zh-CN" w:bidi="ar-SA"/>
        </w:rPr>
      </w:pPr>
      <w:r>
        <w:rPr>
          <w:rFonts w:hint="default" w:ascii="Times New Roman" w:hAnsi="Times New Roman" w:eastAsia="方正仿宋_GBK" w:cs="Times New Roman"/>
          <w:kern w:val="0"/>
          <w:sz w:val="32"/>
          <w:szCs w:val="24"/>
          <w:lang w:val="en-US" w:eastAsia="zh-CN" w:bidi="ar-SA"/>
        </w:rPr>
        <w:t>1.财政拨款收入：指单位从同级财政部门取得的财政预算资金。</w:t>
      </w:r>
    </w:p>
    <w:p w14:paraId="6D94F0F7">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kern w:val="0"/>
          <w:sz w:val="32"/>
          <w:szCs w:val="24"/>
          <w:lang w:val="en-US" w:eastAsia="zh-CN" w:bidi="ar-SA"/>
        </w:rPr>
      </w:pPr>
      <w:r>
        <w:rPr>
          <w:rFonts w:hint="default" w:ascii="Times New Roman" w:hAnsi="Times New Roman" w:eastAsia="方正仿宋_GBK" w:cs="Times New Roman"/>
          <w:kern w:val="0"/>
          <w:sz w:val="32"/>
          <w:szCs w:val="24"/>
          <w:lang w:val="en-US" w:eastAsia="zh-CN" w:bidi="ar-SA"/>
        </w:rPr>
        <w:t>2.其他收入：指单位取得的除上述收入以外的各项收入。</w:t>
      </w:r>
    </w:p>
    <w:p w14:paraId="5CD22C40">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kern w:val="0"/>
          <w:sz w:val="32"/>
          <w:szCs w:val="24"/>
          <w:lang w:val="en-US" w:eastAsia="zh-CN" w:bidi="ar-SA"/>
        </w:rPr>
      </w:pPr>
      <w:r>
        <w:rPr>
          <w:rFonts w:hint="default" w:ascii="Times New Roman" w:hAnsi="Times New Roman" w:eastAsia="方正仿宋_GBK" w:cs="Times New Roman"/>
          <w:kern w:val="0"/>
          <w:sz w:val="32"/>
          <w:szCs w:val="24"/>
          <w:lang w:val="en-US" w:eastAsia="zh-CN" w:bidi="ar-SA"/>
        </w:rPr>
        <w:t xml:space="preserve">3.使用非财政拨款结余（含专用结余）：指事业单位使用以前年度积累的非财政拨款结余弥补当年收支差额的金额。 </w:t>
      </w:r>
    </w:p>
    <w:p w14:paraId="13FE14E5">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kern w:val="0"/>
          <w:sz w:val="32"/>
          <w:szCs w:val="24"/>
          <w:lang w:val="en-US" w:eastAsia="zh-CN" w:bidi="ar-SA"/>
        </w:rPr>
      </w:pPr>
      <w:r>
        <w:rPr>
          <w:rFonts w:hint="default" w:ascii="Times New Roman" w:hAnsi="Times New Roman" w:eastAsia="方正仿宋_GBK" w:cs="Times New Roman"/>
          <w:kern w:val="0"/>
          <w:sz w:val="32"/>
          <w:szCs w:val="24"/>
          <w:lang w:val="en-US" w:eastAsia="zh-CN" w:bidi="ar-SA"/>
        </w:rPr>
        <w:t xml:space="preserve">4.年初结转和结余：指以前年度尚未完成、结转到本年按有关规定继续使用的资金。 </w:t>
      </w:r>
    </w:p>
    <w:p w14:paraId="1475FDB4">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kern w:val="0"/>
          <w:sz w:val="32"/>
          <w:szCs w:val="24"/>
          <w:lang w:val="en-US" w:eastAsia="zh-CN" w:bidi="ar-SA"/>
        </w:rPr>
      </w:pPr>
      <w:r>
        <w:rPr>
          <w:rFonts w:hint="default" w:ascii="Times New Roman" w:hAnsi="Times New Roman" w:eastAsia="方正仿宋_GBK" w:cs="Times New Roman"/>
          <w:kern w:val="0"/>
          <w:sz w:val="32"/>
          <w:szCs w:val="24"/>
          <w:lang w:val="en-US" w:eastAsia="zh-CN" w:bidi="ar-SA"/>
        </w:rPr>
        <w:t>5.结余分配：指事业单位按照会计制度规定缴纳的所得税、提取的专用结余以及转入非财政拨款结余的金额等。</w:t>
      </w:r>
    </w:p>
    <w:p w14:paraId="52AC5B22">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kern w:val="0"/>
          <w:sz w:val="32"/>
          <w:szCs w:val="24"/>
          <w:lang w:val="en-US" w:eastAsia="zh-CN" w:bidi="ar-SA"/>
        </w:rPr>
      </w:pPr>
      <w:r>
        <w:rPr>
          <w:rFonts w:hint="default" w:ascii="Times New Roman" w:hAnsi="Times New Roman" w:eastAsia="方正仿宋_GBK" w:cs="Times New Roman"/>
          <w:kern w:val="0"/>
          <w:sz w:val="32"/>
          <w:szCs w:val="24"/>
          <w:lang w:val="en-US" w:eastAsia="zh-CN" w:bidi="ar-SA"/>
        </w:rPr>
        <w:t>6.年末结转和结余：指单位按有关规定结转到下年或以后年度继续使用的资金。</w:t>
      </w:r>
    </w:p>
    <w:p w14:paraId="5DC11733">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kern w:val="0"/>
          <w:sz w:val="32"/>
          <w:szCs w:val="24"/>
          <w:lang w:val="en-US" w:eastAsia="zh-CN" w:bidi="ar-SA"/>
        </w:rPr>
      </w:pPr>
      <w:r>
        <w:rPr>
          <w:rFonts w:hint="default" w:ascii="Times New Roman" w:hAnsi="Times New Roman" w:eastAsia="方正仿宋_GBK" w:cs="Times New Roman"/>
          <w:kern w:val="0"/>
          <w:sz w:val="32"/>
          <w:szCs w:val="24"/>
          <w:lang w:val="en-US" w:eastAsia="zh-CN" w:bidi="ar-SA"/>
        </w:rPr>
        <w:t>7.一般公共服务201（类）民族事务23（款）其他民族事务99（项）：指反映除上述项目以外其他用于民族事务方面的支出。</w:t>
      </w:r>
    </w:p>
    <w:p w14:paraId="38AE1662">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kern w:val="0"/>
          <w:sz w:val="32"/>
          <w:szCs w:val="24"/>
          <w:lang w:val="en-US" w:eastAsia="zh-CN" w:bidi="ar-SA"/>
        </w:rPr>
      </w:pPr>
      <w:r>
        <w:rPr>
          <w:rFonts w:hint="default" w:ascii="Times New Roman" w:hAnsi="Times New Roman" w:eastAsia="方正仿宋_GBK" w:cs="Times New Roman"/>
          <w:kern w:val="0"/>
          <w:sz w:val="32"/>
          <w:szCs w:val="24"/>
          <w:lang w:val="en-US" w:eastAsia="zh-CN" w:bidi="ar-SA"/>
        </w:rPr>
        <w:t>8.教育205（类）教育管理事务01（款）行政运行01（项）：指反映行政单位（包含实行公务员管理的事业单位）的基本支出。</w:t>
      </w:r>
    </w:p>
    <w:p w14:paraId="5E31E6D0">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kern w:val="0"/>
          <w:sz w:val="32"/>
          <w:szCs w:val="24"/>
          <w:lang w:val="en-US" w:eastAsia="zh-CN" w:bidi="ar-SA"/>
        </w:rPr>
      </w:pPr>
      <w:r>
        <w:rPr>
          <w:rFonts w:hint="default" w:ascii="Times New Roman" w:hAnsi="Times New Roman" w:eastAsia="方正仿宋_GBK" w:cs="Times New Roman"/>
          <w:kern w:val="0"/>
          <w:sz w:val="32"/>
          <w:szCs w:val="24"/>
          <w:lang w:val="en-US" w:eastAsia="zh-CN" w:bidi="ar-SA"/>
        </w:rPr>
        <w:t>9.教育205（类）教育管理事务01（款）一般行政管理事务02（项）：指反映行政单位（包含实行公务员管理的事业单位）未单独设置顶级科目的其他项目支出。</w:t>
      </w:r>
    </w:p>
    <w:p w14:paraId="1D5194D5">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kern w:val="0"/>
          <w:sz w:val="32"/>
          <w:szCs w:val="24"/>
          <w:lang w:val="en-US" w:eastAsia="zh-CN" w:bidi="ar-SA"/>
        </w:rPr>
      </w:pPr>
      <w:r>
        <w:rPr>
          <w:rFonts w:hint="default" w:ascii="Times New Roman" w:hAnsi="Times New Roman" w:eastAsia="方正仿宋_GBK" w:cs="Times New Roman"/>
          <w:kern w:val="0"/>
          <w:sz w:val="32"/>
          <w:szCs w:val="24"/>
          <w:lang w:val="en-US" w:eastAsia="zh-CN" w:bidi="ar-SA"/>
        </w:rPr>
        <w:t>10.教育205（类）教育管理事务01（款）其他教育管理事务支出99（项）：指反映除上述项目以外其他用于教育管理事务方面的支出。</w:t>
      </w:r>
    </w:p>
    <w:p w14:paraId="3D90CF21">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kern w:val="0"/>
          <w:sz w:val="32"/>
          <w:szCs w:val="24"/>
          <w:lang w:val="en-US" w:eastAsia="zh-CN" w:bidi="ar-SA"/>
        </w:rPr>
      </w:pPr>
      <w:r>
        <w:rPr>
          <w:rFonts w:hint="default" w:ascii="Times New Roman" w:hAnsi="Times New Roman" w:eastAsia="方正仿宋_GBK" w:cs="Times New Roman"/>
          <w:kern w:val="0"/>
          <w:sz w:val="32"/>
          <w:szCs w:val="24"/>
          <w:lang w:val="en-US" w:eastAsia="zh-CN" w:bidi="ar-SA"/>
        </w:rPr>
        <w:t>11.教育205（类）普通教育02（款）学前教育01（项）：指反映各部门举办的学前教育支出。政府各部门对社会组织等举办的幼儿园的资助，如捐赠、补贴等，也在本科目中反映。</w:t>
      </w:r>
    </w:p>
    <w:p w14:paraId="2FB6E861">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kern w:val="0"/>
          <w:sz w:val="32"/>
          <w:szCs w:val="24"/>
          <w:lang w:val="en-US" w:eastAsia="zh-CN" w:bidi="ar-SA"/>
        </w:rPr>
      </w:pPr>
      <w:r>
        <w:rPr>
          <w:rFonts w:hint="default" w:ascii="Times New Roman" w:hAnsi="Times New Roman" w:eastAsia="方正仿宋_GBK" w:cs="Times New Roman"/>
          <w:kern w:val="0"/>
          <w:sz w:val="32"/>
          <w:szCs w:val="24"/>
          <w:lang w:val="en-US" w:eastAsia="zh-CN" w:bidi="ar-SA"/>
        </w:rPr>
        <w:t>12.教育205（类）普通教育02（款）小学教育02（项）：指反映各部门举办的小学教育支出。政府各部门对社会组织等举办的小学的资助，如捐赠、补贴等，也在本科目中反映。</w:t>
      </w:r>
    </w:p>
    <w:p w14:paraId="03AFBE80">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kern w:val="0"/>
          <w:sz w:val="32"/>
          <w:szCs w:val="24"/>
          <w:lang w:val="en-US" w:eastAsia="zh-CN" w:bidi="ar-SA"/>
        </w:rPr>
      </w:pPr>
      <w:r>
        <w:rPr>
          <w:rFonts w:hint="default" w:ascii="Times New Roman" w:hAnsi="Times New Roman" w:eastAsia="方正仿宋_GBK" w:cs="Times New Roman"/>
          <w:kern w:val="0"/>
          <w:sz w:val="32"/>
          <w:szCs w:val="24"/>
          <w:lang w:val="en-US" w:eastAsia="zh-CN" w:bidi="ar-SA"/>
        </w:rPr>
        <w:t>13.教育205（类）普通教育02（款）初中教育03（项）：指反映各部门举办的初中教育支出。政府各部门对社会组织等举办的初中的资助，如捐赠、补贴等，也在本科目中反映。</w:t>
      </w:r>
    </w:p>
    <w:p w14:paraId="6131C0F8">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kern w:val="0"/>
          <w:sz w:val="32"/>
          <w:szCs w:val="24"/>
          <w:lang w:val="en-US" w:eastAsia="zh-CN" w:bidi="ar-SA"/>
        </w:rPr>
      </w:pPr>
      <w:r>
        <w:rPr>
          <w:rFonts w:hint="default" w:ascii="Times New Roman" w:hAnsi="Times New Roman" w:eastAsia="方正仿宋_GBK" w:cs="Times New Roman"/>
          <w:kern w:val="0"/>
          <w:sz w:val="32"/>
          <w:szCs w:val="24"/>
          <w:lang w:val="en-US" w:eastAsia="zh-CN" w:bidi="ar-SA"/>
        </w:rPr>
        <w:t>14.教育205（类）普通教育02（款）高中教育04（项）：指反映各部门举办的普通高中教育支出。政府各部门对社会组织等举办的普通高中的资助，如捐赠、补贴等，也在本科目中反映。</w:t>
      </w:r>
    </w:p>
    <w:p w14:paraId="5FF26287">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kern w:val="0"/>
          <w:sz w:val="32"/>
          <w:szCs w:val="24"/>
          <w:lang w:val="en-US" w:eastAsia="zh-CN" w:bidi="ar-SA"/>
        </w:rPr>
      </w:pPr>
      <w:r>
        <w:rPr>
          <w:rFonts w:hint="default" w:ascii="Times New Roman" w:hAnsi="Times New Roman" w:eastAsia="方正仿宋_GBK" w:cs="Times New Roman"/>
          <w:kern w:val="0"/>
          <w:sz w:val="32"/>
          <w:szCs w:val="24"/>
          <w:lang w:val="en-US" w:eastAsia="zh-CN" w:bidi="ar-SA"/>
        </w:rPr>
        <w:t>15.教育205（类）普通教育02（款）高等教育05（项）：指反映各部门举办的普通本科（包括研究生）教育支出。政府各部门对社会组织等举办的普通本科高等院校（包括研究生）的资助，如捐赠、补贴等，也在本科目中反映。</w:t>
      </w:r>
    </w:p>
    <w:p w14:paraId="4150D98C">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kern w:val="0"/>
          <w:sz w:val="32"/>
          <w:szCs w:val="24"/>
          <w:lang w:val="en-US" w:eastAsia="zh-CN" w:bidi="ar-SA"/>
        </w:rPr>
      </w:pPr>
      <w:r>
        <w:rPr>
          <w:rFonts w:hint="default" w:ascii="Times New Roman" w:hAnsi="Times New Roman" w:eastAsia="方正仿宋_GBK" w:cs="Times New Roman"/>
          <w:kern w:val="0"/>
          <w:sz w:val="32"/>
          <w:szCs w:val="24"/>
          <w:lang w:val="en-US" w:eastAsia="zh-CN" w:bidi="ar-SA"/>
        </w:rPr>
        <w:t>16.教育205（类）普通教育02（款）其他普通教育支出99（项）：指反映除上述项目以外其他用于普通教育方面的支出。</w:t>
      </w:r>
    </w:p>
    <w:p w14:paraId="74F0C98B">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kern w:val="0"/>
          <w:sz w:val="32"/>
          <w:szCs w:val="24"/>
          <w:lang w:val="en-US" w:eastAsia="zh-CN" w:bidi="ar-SA"/>
        </w:rPr>
      </w:pPr>
      <w:r>
        <w:rPr>
          <w:rFonts w:hint="default" w:ascii="Times New Roman" w:hAnsi="Times New Roman" w:eastAsia="方正仿宋_GBK" w:cs="Times New Roman"/>
          <w:kern w:val="0"/>
          <w:sz w:val="32"/>
          <w:szCs w:val="24"/>
          <w:lang w:val="en-US" w:eastAsia="zh-CN" w:bidi="ar-SA"/>
        </w:rPr>
        <w:t>17.教育205（类）职业教育03（款）其他职业教育99（项）：指反映除上述项目以外其他用于职业教育方面的支出。</w:t>
      </w:r>
    </w:p>
    <w:p w14:paraId="1E20EE5C">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kern w:val="0"/>
          <w:sz w:val="32"/>
          <w:szCs w:val="24"/>
          <w:lang w:val="en-US" w:eastAsia="zh-CN" w:bidi="ar-SA"/>
        </w:rPr>
      </w:pPr>
      <w:r>
        <w:rPr>
          <w:rFonts w:hint="default" w:ascii="Times New Roman" w:hAnsi="Times New Roman" w:eastAsia="方正仿宋_GBK" w:cs="Times New Roman"/>
          <w:kern w:val="0"/>
          <w:sz w:val="32"/>
          <w:szCs w:val="24"/>
          <w:lang w:val="en-US" w:eastAsia="zh-CN" w:bidi="ar-SA"/>
        </w:rPr>
        <w:t>18.教育205（类）进修及培训08（款）培训支出03（项）：指反映各部门安排的用于培训的支出。教育部门的师资培训，党校、行政学院等专业干部教育机构的支出，以及退役士兵、转业士官的培训支出，不在本科目反映。</w:t>
      </w:r>
    </w:p>
    <w:p w14:paraId="7C752C3D">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kern w:val="0"/>
          <w:sz w:val="32"/>
          <w:szCs w:val="24"/>
          <w:lang w:val="en-US" w:eastAsia="zh-CN" w:bidi="ar-SA"/>
        </w:rPr>
      </w:pPr>
      <w:r>
        <w:rPr>
          <w:rFonts w:hint="default" w:ascii="Times New Roman" w:hAnsi="Times New Roman" w:eastAsia="方正仿宋_GBK" w:cs="Times New Roman"/>
          <w:kern w:val="0"/>
          <w:sz w:val="32"/>
          <w:szCs w:val="24"/>
          <w:lang w:val="en-US" w:eastAsia="zh-CN" w:bidi="ar-SA"/>
        </w:rPr>
        <w:t>19.教育205（类）教育费附加安排09（款）农村中小学校校舍建设01（项）：指反映教育费附加安排用于农村中小学校舍新建、改建、修缮和维护的支出。</w:t>
      </w:r>
    </w:p>
    <w:p w14:paraId="331C9961">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kern w:val="0"/>
          <w:sz w:val="32"/>
          <w:szCs w:val="24"/>
          <w:lang w:val="en-US" w:eastAsia="zh-CN" w:bidi="ar-SA"/>
        </w:rPr>
      </w:pPr>
      <w:r>
        <w:rPr>
          <w:rFonts w:hint="default" w:ascii="Times New Roman" w:hAnsi="Times New Roman" w:eastAsia="方正仿宋_GBK" w:cs="Times New Roman"/>
          <w:kern w:val="0"/>
          <w:sz w:val="32"/>
          <w:szCs w:val="24"/>
          <w:lang w:val="en-US" w:eastAsia="zh-CN" w:bidi="ar-SA"/>
        </w:rPr>
        <w:t>20.教育205（类）教育费附加安排09（款）农村中小教学设施02（项）：指反映教育费附加安排用于改善农村中小学教学设施和办学条件的支出。</w:t>
      </w:r>
    </w:p>
    <w:p w14:paraId="4D59FC34">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kern w:val="0"/>
          <w:sz w:val="32"/>
          <w:szCs w:val="24"/>
          <w:lang w:val="en-US" w:eastAsia="zh-CN" w:bidi="ar-SA"/>
        </w:rPr>
      </w:pPr>
      <w:r>
        <w:rPr>
          <w:rFonts w:hint="default" w:ascii="Times New Roman" w:hAnsi="Times New Roman" w:eastAsia="方正仿宋_GBK" w:cs="Times New Roman"/>
          <w:kern w:val="0"/>
          <w:sz w:val="32"/>
          <w:szCs w:val="24"/>
          <w:lang w:val="en-US" w:eastAsia="zh-CN" w:bidi="ar-SA"/>
        </w:rPr>
        <w:t>21.教育205（类）教育费附加安排09（款）其他教育费附加安排99（项）：指反映除以上项目以外的教育费附加支出。</w:t>
      </w:r>
    </w:p>
    <w:p w14:paraId="0D30F5A9">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kern w:val="0"/>
          <w:sz w:val="32"/>
          <w:szCs w:val="24"/>
          <w:lang w:val="en-US" w:eastAsia="zh-CN" w:bidi="ar-SA"/>
        </w:rPr>
      </w:pPr>
      <w:r>
        <w:rPr>
          <w:rFonts w:hint="default" w:ascii="Times New Roman" w:hAnsi="Times New Roman" w:eastAsia="方正仿宋_GBK" w:cs="Times New Roman"/>
          <w:kern w:val="0"/>
          <w:sz w:val="32"/>
          <w:szCs w:val="24"/>
          <w:lang w:val="en-US" w:eastAsia="zh-CN" w:bidi="ar-SA"/>
        </w:rPr>
        <w:t>22.文化旅游体育与传媒207（类）体育03（款）体育竞赛05（项）：指反映综合性运动会及单项体育比赛支出。</w:t>
      </w:r>
    </w:p>
    <w:p w14:paraId="35D5A5DD">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kern w:val="0"/>
          <w:sz w:val="32"/>
          <w:szCs w:val="24"/>
          <w:lang w:val="en-US" w:eastAsia="zh-CN" w:bidi="ar-SA"/>
        </w:rPr>
      </w:pPr>
      <w:r>
        <w:rPr>
          <w:rFonts w:hint="default" w:ascii="Times New Roman" w:hAnsi="Times New Roman" w:eastAsia="方正仿宋_GBK" w:cs="Times New Roman"/>
          <w:kern w:val="0"/>
          <w:sz w:val="32"/>
          <w:szCs w:val="24"/>
          <w:lang w:val="en-US" w:eastAsia="zh-CN" w:bidi="ar-SA"/>
        </w:rPr>
        <w:t>23.文化旅游体育与传媒207（类）体育03（款）体育场馆07（项）：指反映体育场馆建设及维护等方面的支出。</w:t>
      </w:r>
    </w:p>
    <w:p w14:paraId="67D5BEAD">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kern w:val="0"/>
          <w:sz w:val="32"/>
          <w:szCs w:val="24"/>
          <w:lang w:val="en-US" w:eastAsia="zh-CN" w:bidi="ar-SA"/>
        </w:rPr>
      </w:pPr>
      <w:r>
        <w:rPr>
          <w:rFonts w:hint="default" w:ascii="Times New Roman" w:hAnsi="Times New Roman" w:eastAsia="方正仿宋_GBK" w:cs="Times New Roman"/>
          <w:kern w:val="0"/>
          <w:sz w:val="32"/>
          <w:szCs w:val="24"/>
          <w:lang w:val="en-US" w:eastAsia="zh-CN" w:bidi="ar-SA"/>
        </w:rPr>
        <w:t>24.文化旅游体育与传媒207（类）体育03（款）群众体育08（项）：指反映业余体校和全民健身等群众体育活动方面的支出。</w:t>
      </w:r>
    </w:p>
    <w:p w14:paraId="1AFDD117">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kern w:val="0"/>
          <w:sz w:val="32"/>
          <w:szCs w:val="24"/>
          <w:lang w:val="en-US" w:eastAsia="zh-CN" w:bidi="ar-SA"/>
        </w:rPr>
      </w:pPr>
      <w:r>
        <w:rPr>
          <w:rFonts w:hint="default" w:ascii="Times New Roman" w:hAnsi="Times New Roman" w:eastAsia="方正仿宋_GBK" w:cs="Times New Roman"/>
          <w:kern w:val="0"/>
          <w:sz w:val="32"/>
          <w:szCs w:val="24"/>
          <w:lang w:val="en-US" w:eastAsia="zh-CN" w:bidi="ar-SA"/>
        </w:rPr>
        <w:t>25.文化旅游体育与传媒207（类）体育03（款）其他体育支出99（项）：指反映除上述项目以外其他用于体育方面的支出。</w:t>
      </w:r>
    </w:p>
    <w:p w14:paraId="30C2870D">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kern w:val="0"/>
          <w:sz w:val="32"/>
          <w:szCs w:val="24"/>
          <w:lang w:val="en-US" w:eastAsia="zh-CN" w:bidi="ar-SA"/>
        </w:rPr>
      </w:pPr>
      <w:r>
        <w:rPr>
          <w:rFonts w:hint="default" w:ascii="Times New Roman" w:hAnsi="Times New Roman" w:eastAsia="方正仿宋_GBK" w:cs="Times New Roman"/>
          <w:kern w:val="0"/>
          <w:sz w:val="32"/>
          <w:szCs w:val="24"/>
          <w:lang w:val="en-US" w:eastAsia="zh-CN" w:bidi="ar-SA"/>
        </w:rPr>
        <w:t>26.社会保障和就业208（类）行政事业单位养老05（款）行政事业离退休01（项）：指反映行政单位（包含实行公务员管理的事业单位）开支的离退休经费。</w:t>
      </w:r>
    </w:p>
    <w:p w14:paraId="16C943DE">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kern w:val="0"/>
          <w:sz w:val="32"/>
          <w:szCs w:val="24"/>
          <w:lang w:val="en-US" w:eastAsia="zh-CN" w:bidi="ar-SA"/>
        </w:rPr>
      </w:pPr>
      <w:r>
        <w:rPr>
          <w:rFonts w:hint="default" w:ascii="Times New Roman" w:hAnsi="Times New Roman" w:eastAsia="方正仿宋_GBK" w:cs="Times New Roman"/>
          <w:kern w:val="0"/>
          <w:sz w:val="32"/>
          <w:szCs w:val="24"/>
          <w:lang w:val="en-US" w:eastAsia="zh-CN" w:bidi="ar-SA"/>
        </w:rPr>
        <w:t>27.社会保障和就业208（类）行政事业单位养老05（款）事业单位离退休02（项）：指反映事业单位开支的离退休经费。</w:t>
      </w:r>
    </w:p>
    <w:p w14:paraId="1BAA604B">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kern w:val="0"/>
          <w:sz w:val="32"/>
          <w:szCs w:val="24"/>
          <w:lang w:val="en-US" w:eastAsia="zh-CN" w:bidi="ar-SA"/>
        </w:rPr>
      </w:pPr>
      <w:r>
        <w:rPr>
          <w:rFonts w:hint="default" w:ascii="Times New Roman" w:hAnsi="Times New Roman" w:eastAsia="方正仿宋_GBK" w:cs="Times New Roman"/>
          <w:kern w:val="0"/>
          <w:sz w:val="32"/>
          <w:szCs w:val="24"/>
          <w:lang w:val="en-US" w:eastAsia="zh-CN" w:bidi="ar-SA"/>
        </w:rPr>
        <w:t>28.社会保障和就业208（类）行政事业单位养老05（款）机关事业单位基本养老保险缴费05（项）：指反映机关事业单位实施养老保险制度由单位缴纳的基本养老保险费支出。</w:t>
      </w:r>
    </w:p>
    <w:p w14:paraId="3AD062AB">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kern w:val="0"/>
          <w:sz w:val="32"/>
          <w:szCs w:val="24"/>
          <w:lang w:val="en-US" w:eastAsia="zh-CN" w:bidi="ar-SA"/>
        </w:rPr>
      </w:pPr>
      <w:r>
        <w:rPr>
          <w:rFonts w:hint="default" w:ascii="Times New Roman" w:hAnsi="Times New Roman" w:eastAsia="方正仿宋_GBK" w:cs="Times New Roman"/>
          <w:kern w:val="0"/>
          <w:sz w:val="32"/>
          <w:szCs w:val="24"/>
          <w:lang w:val="en-US" w:eastAsia="zh-CN" w:bidi="ar-SA"/>
        </w:rPr>
        <w:t>29.社会保障和就业208（类）行政事业单位养老05（款）机关事业单位职业年金缴费（项）：指反映机关事业单位实施养老保险制度由单位实际缴纳的职业年金支出（含职业年金补记支出）。</w:t>
      </w:r>
    </w:p>
    <w:p w14:paraId="3882E713">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kern w:val="0"/>
          <w:sz w:val="32"/>
          <w:szCs w:val="24"/>
          <w:lang w:val="en-US" w:eastAsia="zh-CN" w:bidi="ar-SA"/>
        </w:rPr>
      </w:pPr>
      <w:r>
        <w:rPr>
          <w:rFonts w:hint="default" w:ascii="Times New Roman" w:hAnsi="Times New Roman" w:eastAsia="方正仿宋_GBK" w:cs="Times New Roman"/>
          <w:kern w:val="0"/>
          <w:sz w:val="32"/>
          <w:szCs w:val="24"/>
          <w:lang w:val="en-US" w:eastAsia="zh-CN" w:bidi="ar-SA"/>
        </w:rPr>
        <w:t>30.社会保障和就业208（类）抚恤08（款）伤残抚恤02（项）：指反映按规定用于伤残人员的抚恤金和按规定开支的各种伤残补助费。</w:t>
      </w:r>
    </w:p>
    <w:p w14:paraId="6DA6DCE2">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kern w:val="0"/>
          <w:sz w:val="32"/>
          <w:szCs w:val="24"/>
          <w:lang w:val="en-US" w:eastAsia="zh-CN" w:bidi="ar-SA"/>
        </w:rPr>
      </w:pPr>
      <w:r>
        <w:rPr>
          <w:rFonts w:hint="default" w:ascii="Times New Roman" w:hAnsi="Times New Roman" w:eastAsia="方正仿宋_GBK" w:cs="Times New Roman"/>
          <w:kern w:val="0"/>
          <w:sz w:val="32"/>
          <w:szCs w:val="24"/>
          <w:lang w:val="en-US" w:eastAsia="zh-CN" w:bidi="ar-SA"/>
        </w:rPr>
        <w:t>31.卫生健康210（类）行政事业单位医疗11（款）行政单位医疗01（项）：指反映财政部门安排的行政单位（包括实行公务员管理的事业单位，下同）基本医疗保险缴费经费，未参加医疗保险的行政单位的公费医疗经费，按国家规定享受离休人员红军老战士待遇人员的医疗经费。</w:t>
      </w:r>
    </w:p>
    <w:p w14:paraId="19D7A221">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kern w:val="0"/>
          <w:sz w:val="32"/>
          <w:szCs w:val="24"/>
          <w:lang w:val="en-US" w:eastAsia="zh-CN" w:bidi="ar-SA"/>
        </w:rPr>
      </w:pPr>
      <w:r>
        <w:rPr>
          <w:rFonts w:hint="default" w:ascii="Times New Roman" w:hAnsi="Times New Roman" w:eastAsia="方正仿宋_GBK" w:cs="Times New Roman"/>
          <w:kern w:val="0"/>
          <w:sz w:val="32"/>
          <w:szCs w:val="24"/>
          <w:lang w:val="en-US" w:eastAsia="zh-CN" w:bidi="ar-SA"/>
        </w:rPr>
        <w:t>32.卫生健康210（类）行政事业单位医疗11（款）事业单位医疗02（项）：指反映财政部门安排的事业单位基本医疗保险缴费经费，未参加医疗保险的事业单位的公费医疗经费，按国家规定享受离休人员待遇的医疗经费。</w:t>
      </w:r>
    </w:p>
    <w:p w14:paraId="0E5E8B2C">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kern w:val="0"/>
          <w:sz w:val="32"/>
          <w:szCs w:val="24"/>
          <w:lang w:val="en-US" w:eastAsia="zh-CN" w:bidi="ar-SA"/>
        </w:rPr>
      </w:pPr>
      <w:r>
        <w:rPr>
          <w:rFonts w:hint="default" w:ascii="Times New Roman" w:hAnsi="Times New Roman" w:eastAsia="方正仿宋_GBK" w:cs="Times New Roman"/>
          <w:kern w:val="0"/>
          <w:sz w:val="32"/>
          <w:szCs w:val="24"/>
          <w:lang w:val="en-US" w:eastAsia="zh-CN" w:bidi="ar-SA"/>
        </w:rPr>
        <w:t>33.卫生健康210（类）行政事业单位医疗11（款）公务员医疗补助03（项）：指反映财政部门安排的公务员医疗补助经费。</w:t>
      </w:r>
    </w:p>
    <w:p w14:paraId="0E72FF23">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kern w:val="0"/>
          <w:sz w:val="32"/>
          <w:szCs w:val="24"/>
          <w:lang w:val="en-US" w:eastAsia="zh-CN" w:bidi="ar-SA"/>
        </w:rPr>
      </w:pPr>
      <w:r>
        <w:rPr>
          <w:rFonts w:hint="default" w:ascii="Times New Roman" w:hAnsi="Times New Roman" w:eastAsia="方正仿宋_GBK" w:cs="Times New Roman"/>
          <w:kern w:val="0"/>
          <w:sz w:val="32"/>
          <w:szCs w:val="24"/>
          <w:lang w:val="en-US" w:eastAsia="zh-CN" w:bidi="ar-SA"/>
        </w:rPr>
        <w:t>34.卫生健康210（类）行政事业单位医疗11（款）其他行政事业单位医疗99（项）：指反映除上述项目以外的其他用于行政事业单位医疗方面的支出。</w:t>
      </w:r>
    </w:p>
    <w:p w14:paraId="5AB78EF5">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kern w:val="0"/>
          <w:sz w:val="32"/>
          <w:szCs w:val="24"/>
          <w:lang w:val="en-US" w:eastAsia="zh-CN" w:bidi="ar-SA"/>
        </w:rPr>
      </w:pPr>
      <w:r>
        <w:rPr>
          <w:rFonts w:hint="default" w:ascii="Times New Roman" w:hAnsi="Times New Roman" w:eastAsia="方正仿宋_GBK" w:cs="Times New Roman"/>
          <w:kern w:val="0"/>
          <w:sz w:val="32"/>
          <w:szCs w:val="24"/>
          <w:lang w:val="en-US" w:eastAsia="zh-CN" w:bidi="ar-SA"/>
        </w:rPr>
        <w:t>35.住房保障221（类）住房改革02（款）住房公积金01（项）：指反映行政事业单位按人力资源和社会保障部、财政部规定的基本工资和津贴补贴以及规定比例为职工缴纳的住房公积金。</w:t>
      </w:r>
    </w:p>
    <w:p w14:paraId="704E8CD9">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kern w:val="0"/>
          <w:sz w:val="32"/>
          <w:szCs w:val="24"/>
          <w:lang w:val="en-US" w:eastAsia="zh-CN" w:bidi="ar-SA"/>
        </w:rPr>
      </w:pPr>
      <w:r>
        <w:rPr>
          <w:rFonts w:hint="default" w:ascii="Times New Roman" w:hAnsi="Times New Roman" w:eastAsia="方正仿宋_GBK" w:cs="Times New Roman"/>
          <w:kern w:val="0"/>
          <w:sz w:val="32"/>
          <w:szCs w:val="24"/>
          <w:lang w:val="en-US" w:eastAsia="zh-CN" w:bidi="ar-SA"/>
        </w:rPr>
        <w:t>36.其他229（类）其他政府性基金及对应专项债务收入安排04（款）其他地方自行试点项目收益专项债券收入安排02（项）：指其他地方自行试点项目收益专项债券收入安排的支出。</w:t>
      </w:r>
    </w:p>
    <w:p w14:paraId="1A9AC12B">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kern w:val="0"/>
          <w:sz w:val="32"/>
          <w:szCs w:val="24"/>
          <w:lang w:val="en-US" w:eastAsia="zh-CN" w:bidi="ar-SA"/>
        </w:rPr>
      </w:pPr>
      <w:r>
        <w:rPr>
          <w:rFonts w:hint="default" w:ascii="Times New Roman" w:hAnsi="Times New Roman" w:eastAsia="方正仿宋_GBK" w:cs="Times New Roman"/>
          <w:kern w:val="0"/>
          <w:sz w:val="32"/>
          <w:szCs w:val="24"/>
          <w:lang w:val="en-US" w:eastAsia="zh-CN" w:bidi="ar-SA"/>
        </w:rPr>
        <w:t>37.其他229（类）彩票公益金安排60（款）用于体育事业的彩票公益金03（项）：指反映用于体育事业的彩票公益金支出。</w:t>
      </w:r>
    </w:p>
    <w:p w14:paraId="68DCE6A5">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kern w:val="0"/>
          <w:sz w:val="32"/>
          <w:szCs w:val="24"/>
          <w:lang w:val="en-US" w:eastAsia="zh-CN" w:bidi="ar-SA"/>
        </w:rPr>
      </w:pPr>
      <w:r>
        <w:rPr>
          <w:rFonts w:hint="default" w:ascii="Times New Roman" w:hAnsi="Times New Roman" w:eastAsia="方正仿宋_GBK" w:cs="Times New Roman"/>
          <w:kern w:val="0"/>
          <w:sz w:val="32"/>
          <w:szCs w:val="24"/>
          <w:lang w:val="en-US" w:eastAsia="zh-CN" w:bidi="ar-SA"/>
        </w:rPr>
        <w:t>38.其他229（类）其他99（款）其他99（项）：指反映除上述项目以外其他不划到具体功能科目中的支出项目。</w:t>
      </w:r>
    </w:p>
    <w:p w14:paraId="3D1EB8FC">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kern w:val="0"/>
          <w:sz w:val="32"/>
          <w:szCs w:val="24"/>
          <w:lang w:val="en-US" w:eastAsia="zh-CN" w:bidi="ar-SA"/>
        </w:rPr>
      </w:pPr>
      <w:r>
        <w:rPr>
          <w:rFonts w:hint="default" w:ascii="Times New Roman" w:hAnsi="Times New Roman" w:eastAsia="方正仿宋_GBK" w:cs="Times New Roman"/>
          <w:kern w:val="0"/>
          <w:sz w:val="32"/>
          <w:szCs w:val="24"/>
          <w:lang w:val="en-US" w:eastAsia="zh-CN" w:bidi="ar-SA"/>
        </w:rPr>
        <w:t>39.基本支出：指为保障机构正常运转、完成日常工作任务而发生的人员支出和公用支出。</w:t>
      </w:r>
    </w:p>
    <w:p w14:paraId="6C6688E6">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kern w:val="0"/>
          <w:sz w:val="32"/>
          <w:szCs w:val="24"/>
          <w:lang w:val="en-US" w:eastAsia="zh-CN" w:bidi="ar-SA"/>
        </w:rPr>
      </w:pPr>
      <w:r>
        <w:rPr>
          <w:rFonts w:hint="default" w:ascii="Times New Roman" w:hAnsi="Times New Roman" w:eastAsia="方正仿宋_GBK" w:cs="Times New Roman"/>
          <w:kern w:val="0"/>
          <w:sz w:val="32"/>
          <w:szCs w:val="24"/>
          <w:lang w:val="en-US" w:eastAsia="zh-CN" w:bidi="ar-SA"/>
        </w:rPr>
        <w:t xml:space="preserve">40.项目支出：指在基本支出之外为完成特定行政任务和事业发展目标所发生的支出。 </w:t>
      </w:r>
    </w:p>
    <w:p w14:paraId="74FB0C34">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kern w:val="0"/>
          <w:sz w:val="32"/>
          <w:szCs w:val="24"/>
          <w:lang w:val="en-US" w:eastAsia="zh-CN" w:bidi="ar-SA"/>
        </w:rPr>
      </w:pPr>
      <w:r>
        <w:rPr>
          <w:rFonts w:hint="default" w:ascii="Times New Roman" w:hAnsi="Times New Roman" w:eastAsia="方正仿宋_GBK" w:cs="Times New Roman"/>
          <w:kern w:val="0"/>
          <w:sz w:val="32"/>
          <w:szCs w:val="24"/>
          <w:lang w:val="en-US" w:eastAsia="zh-CN" w:bidi="ar-SA"/>
        </w:rPr>
        <w:t>41.经营支出：指事业单位在专业业务活动及其辅助活动之外开展非独立核算经营活动发生的支出。</w:t>
      </w:r>
    </w:p>
    <w:p w14:paraId="00C23302">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kern w:val="0"/>
          <w:sz w:val="32"/>
          <w:szCs w:val="24"/>
          <w:lang w:val="en-US" w:eastAsia="zh-CN" w:bidi="ar-SA"/>
        </w:rPr>
      </w:pPr>
      <w:r>
        <w:rPr>
          <w:rFonts w:hint="default" w:ascii="Times New Roman" w:hAnsi="Times New Roman" w:eastAsia="方正仿宋_GBK" w:cs="Times New Roman"/>
          <w:kern w:val="0"/>
          <w:sz w:val="32"/>
          <w:szCs w:val="24"/>
          <w:lang w:val="en-US" w:eastAsia="zh-CN" w:bidi="ar-SA"/>
        </w:rPr>
        <w:t>42.“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14:paraId="1C33E54C">
      <w:pPr>
        <w:keepNext w:val="0"/>
        <w:keepLines w:val="0"/>
        <w:pageBreakBefore w:val="0"/>
        <w:widowControl w:val="0"/>
        <w:kinsoku/>
        <w:wordWrap/>
        <w:overflowPunct/>
        <w:topLinePunct w:val="0"/>
        <w:autoSpaceDE/>
        <w:autoSpaceDN/>
        <w:bidi w:val="0"/>
        <w:adjustRightInd/>
        <w:snapToGrid/>
        <w:spacing w:line="240" w:lineRule="auto"/>
        <w:ind w:firstLine="640" w:firstLineChars="200"/>
        <w:jc w:val="left"/>
        <w:textAlignment w:val="auto"/>
        <w:rPr>
          <w:rFonts w:hint="default" w:ascii="Times New Roman" w:hAnsi="Times New Roman" w:eastAsia="黑体" w:cs="Times New Roman"/>
          <w:sz w:val="32"/>
          <w:szCs w:val="32"/>
        </w:rPr>
      </w:pPr>
      <w:r>
        <w:rPr>
          <w:rFonts w:hint="default" w:ascii="Times New Roman" w:hAnsi="Times New Roman" w:eastAsia="方正仿宋_GBK" w:cs="Times New Roman"/>
          <w:kern w:val="0"/>
          <w:sz w:val="32"/>
          <w:szCs w:val="24"/>
          <w:lang w:val="en-US" w:eastAsia="zh-CN" w:bidi="ar-SA"/>
        </w:rPr>
        <w:t>43.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bookmarkStart w:id="77" w:name="_Toc15377226"/>
      <w:r>
        <w:rPr>
          <w:rFonts w:hint="default" w:ascii="Times New Roman" w:hAnsi="Times New Roman" w:eastAsia="方正仿宋_GBK" w:cs="Times New Roman"/>
          <w:kern w:val="0"/>
          <w:sz w:val="32"/>
          <w:szCs w:val="24"/>
          <w:lang w:val="en-US" w:eastAsia="zh-CN" w:bidi="ar-SA"/>
        </w:rPr>
        <w:br w:type="page"/>
      </w:r>
      <w:bookmarkStart w:id="78" w:name="_Toc15396614"/>
      <w:r>
        <w:rPr>
          <w:rFonts w:hint="default" w:ascii="Times New Roman" w:hAnsi="Times New Roman" w:eastAsia="方正小标宋_GBK" w:cs="Times New Roman"/>
          <w:b/>
          <w:bCs w:val="0"/>
          <w:kern w:val="44"/>
          <w:sz w:val="44"/>
          <w:szCs w:val="44"/>
          <w:lang w:val="en-US" w:eastAsia="zh-CN" w:bidi="ar-SA"/>
        </w:rPr>
        <w:t>第四部分  附件</w:t>
      </w:r>
      <w:bookmarkEnd w:id="78"/>
    </w:p>
    <w:p w14:paraId="0B4D534E">
      <w:pPr>
        <w:pageBreakBefore w:val="0"/>
        <w:kinsoku/>
        <w:wordWrap/>
        <w:overflowPunct/>
        <w:topLinePunct w:val="0"/>
        <w:bidi w:val="0"/>
        <w:spacing w:line="240" w:lineRule="auto"/>
        <w:jc w:val="left"/>
        <w:textAlignment w:val="auto"/>
        <w:outlineLvl w:val="0"/>
        <w:rPr>
          <w:rFonts w:hint="default" w:ascii="Times New Roman" w:hAnsi="Times New Roman" w:eastAsia="方正小标宋简体" w:cs="Times New Roman"/>
          <w:bCs/>
          <w:sz w:val="44"/>
          <w:szCs w:val="44"/>
          <w:shd w:val="clear" w:color="auto" w:fill="FFFFFF"/>
        </w:rPr>
      </w:pPr>
      <w:bookmarkStart w:id="79" w:name="_Toc20181"/>
      <w:r>
        <w:rPr>
          <w:rFonts w:hint="default" w:ascii="Times New Roman" w:hAnsi="Times New Roman" w:eastAsia="黑体" w:cs="Times New Roman"/>
          <w:sz w:val="32"/>
          <w:szCs w:val="32"/>
        </w:rPr>
        <w:t>附件1</w:t>
      </w:r>
      <w:bookmarkEnd w:id="79"/>
    </w:p>
    <w:p w14:paraId="5AD79F83">
      <w:pPr>
        <w:pStyle w:val="5"/>
        <w:keepNext/>
        <w:keepLines/>
        <w:pageBreakBefore w:val="0"/>
        <w:widowControl w:val="0"/>
        <w:kinsoku/>
        <w:wordWrap/>
        <w:overflowPunct/>
        <w:topLinePunct w:val="0"/>
        <w:autoSpaceDE/>
        <w:autoSpaceDN/>
        <w:bidi w:val="0"/>
        <w:adjustRightInd/>
        <w:snapToGrid/>
        <w:spacing w:line="0" w:lineRule="atLeast"/>
        <w:jc w:val="center"/>
        <w:textAlignment w:val="auto"/>
        <w:rPr>
          <w:rFonts w:hint="default" w:ascii="Times New Roman" w:hAnsi="Times New Roman" w:cs="Times New Roman"/>
        </w:rPr>
      </w:pPr>
      <w:bookmarkStart w:id="80" w:name="_Toc6251"/>
      <w:r>
        <w:rPr>
          <w:rFonts w:hint="default" w:ascii="Times New Roman" w:hAnsi="Times New Roman" w:eastAsia="方正小标宋_GBK" w:cs="Times New Roman"/>
          <w:b/>
          <w:bCs w:val="0"/>
          <w:lang w:eastAsia="zh-CN"/>
        </w:rPr>
        <w:t>部门预算绩效评价报告范本</w:t>
      </w:r>
      <w:bookmarkEnd w:id="80"/>
    </w:p>
    <w:p w14:paraId="655E2C3B">
      <w:pPr>
        <w:pStyle w:val="6"/>
        <w:keepNext/>
        <w:keepLines/>
        <w:pageBreakBefore w:val="0"/>
        <w:widowControl w:val="0"/>
        <w:numPr>
          <w:ilvl w:val="0"/>
          <w:numId w:val="0"/>
        </w:numPr>
        <w:kinsoku/>
        <w:wordWrap/>
        <w:overflowPunct/>
        <w:topLinePunct w:val="0"/>
        <w:autoSpaceDE/>
        <w:autoSpaceDN/>
        <w:bidi w:val="0"/>
        <w:adjustRightInd/>
        <w:snapToGrid/>
        <w:spacing w:line="416" w:lineRule="auto"/>
        <w:ind w:left="0" w:leftChars="0" w:firstLine="640" w:firstLineChars="200"/>
        <w:textAlignment w:val="auto"/>
        <w:rPr>
          <w:rFonts w:hint="default" w:ascii="Times New Roman" w:hAnsi="Times New Roman" w:eastAsia="方正黑体_GBK" w:cs="Times New Roman"/>
          <w:b w:val="0"/>
          <w:bCs/>
          <w:lang w:val="zh-CN" w:eastAsia="zh-CN"/>
        </w:rPr>
      </w:pPr>
      <w:bookmarkStart w:id="81" w:name="_Toc22338"/>
      <w:r>
        <w:rPr>
          <w:rFonts w:hint="default" w:ascii="Times New Roman" w:hAnsi="Times New Roman" w:eastAsia="方正黑体_GBK" w:cs="Times New Roman"/>
          <w:b w:val="0"/>
          <w:bCs/>
          <w:lang w:val="zh-CN" w:eastAsia="zh-CN"/>
        </w:rPr>
        <w:t>一、部门（单位）基本情况</w:t>
      </w:r>
      <w:bookmarkEnd w:id="81"/>
    </w:p>
    <w:p w14:paraId="3D295942">
      <w:pPr>
        <w:keepNext w:val="0"/>
        <w:keepLines w:val="0"/>
        <w:pageBreakBefore w:val="0"/>
        <w:kinsoku/>
        <w:wordWrap/>
        <w:overflowPunct/>
        <w:topLinePunct w:val="0"/>
        <w:autoSpaceDE/>
        <w:autoSpaceDN/>
        <w:bidi w:val="0"/>
        <w:spacing w:line="240" w:lineRule="auto"/>
        <w:ind w:firstLine="643" w:firstLineChars="200"/>
        <w:textAlignment w:val="auto"/>
        <w:outlineLvl w:val="2"/>
        <w:rPr>
          <w:rFonts w:hint="default" w:ascii="Times New Roman" w:hAnsi="Times New Roman" w:eastAsia="方正楷体_GBK" w:cs="Times New Roman"/>
          <w:b/>
          <w:bCs w:val="0"/>
          <w:sz w:val="32"/>
          <w:szCs w:val="32"/>
          <w:lang w:val="zh-CN"/>
        </w:rPr>
      </w:pPr>
      <w:r>
        <w:rPr>
          <w:rFonts w:hint="default" w:ascii="Times New Roman" w:hAnsi="Times New Roman" w:eastAsia="方正楷体_GBK" w:cs="Times New Roman"/>
          <w:b/>
          <w:bCs w:val="0"/>
          <w:sz w:val="32"/>
          <w:szCs w:val="32"/>
          <w:lang w:val="zh-CN"/>
        </w:rPr>
        <w:t>（一）机构组成</w:t>
      </w:r>
    </w:p>
    <w:p w14:paraId="578E8653">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kern w:val="0"/>
          <w:sz w:val="32"/>
          <w:szCs w:val="24"/>
          <w:lang w:val="en-US" w:eastAsia="zh-CN" w:bidi="ar-SA"/>
        </w:rPr>
      </w:pPr>
      <w:r>
        <w:rPr>
          <w:rFonts w:hint="default" w:ascii="Times New Roman" w:hAnsi="Times New Roman" w:eastAsia="方正仿宋_GBK" w:cs="Times New Roman"/>
          <w:kern w:val="0"/>
          <w:sz w:val="32"/>
          <w:szCs w:val="24"/>
          <w:lang w:val="en-US" w:eastAsia="zh-CN" w:bidi="ar-SA"/>
        </w:rPr>
        <w:t>盐边县教育和体育局部门（单位）内设股室6个；下属二级预算单位21个，其中：行政单位1个，参照公务员法管理的事业单位0个，其他事业单位20个。</w:t>
      </w:r>
    </w:p>
    <w:p w14:paraId="289B2022">
      <w:pPr>
        <w:keepNext w:val="0"/>
        <w:keepLines w:val="0"/>
        <w:pageBreakBefore w:val="0"/>
        <w:kinsoku/>
        <w:wordWrap/>
        <w:overflowPunct/>
        <w:topLinePunct w:val="0"/>
        <w:autoSpaceDE/>
        <w:autoSpaceDN/>
        <w:bidi w:val="0"/>
        <w:spacing w:line="240" w:lineRule="auto"/>
        <w:ind w:firstLine="643" w:firstLineChars="200"/>
        <w:textAlignment w:val="auto"/>
        <w:outlineLvl w:val="2"/>
        <w:rPr>
          <w:rFonts w:hint="default" w:ascii="Times New Roman" w:hAnsi="Times New Roman" w:eastAsia="方正楷体_GBK" w:cs="Times New Roman"/>
          <w:b/>
          <w:bCs w:val="0"/>
          <w:sz w:val="32"/>
          <w:szCs w:val="32"/>
          <w:lang w:val="zh-CN"/>
        </w:rPr>
      </w:pPr>
      <w:r>
        <w:rPr>
          <w:rFonts w:hint="default" w:ascii="Times New Roman" w:hAnsi="Times New Roman" w:eastAsia="方正楷体_GBK" w:cs="Times New Roman"/>
          <w:b/>
          <w:bCs w:val="0"/>
          <w:sz w:val="32"/>
          <w:szCs w:val="32"/>
          <w:lang w:val="zh-CN"/>
        </w:rPr>
        <w:t>（二）机构职能</w:t>
      </w:r>
    </w:p>
    <w:p w14:paraId="7B73806B">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kern w:val="0"/>
          <w:sz w:val="32"/>
          <w:szCs w:val="24"/>
          <w:lang w:val="en-US" w:eastAsia="zh-CN" w:bidi="ar-SA"/>
        </w:rPr>
      </w:pPr>
      <w:r>
        <w:rPr>
          <w:rFonts w:hint="default" w:ascii="Times New Roman" w:hAnsi="Times New Roman" w:eastAsia="方正仿宋_GBK" w:cs="Times New Roman"/>
          <w:kern w:val="0"/>
          <w:sz w:val="32"/>
          <w:szCs w:val="24"/>
          <w:lang w:val="en-US" w:eastAsia="zh-CN" w:bidi="ar-SA"/>
        </w:rPr>
        <w:t xml:space="preserve">1.贯彻执行国家和省有关教育体育工作的方针、政策和法律、法规，研究制定有关贯彻意见并组织实施。 </w:t>
      </w:r>
    </w:p>
    <w:p w14:paraId="3B7CDA2E">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kern w:val="0"/>
          <w:sz w:val="32"/>
          <w:szCs w:val="24"/>
          <w:lang w:val="en-US" w:eastAsia="zh-CN" w:bidi="ar-SA"/>
        </w:rPr>
      </w:pPr>
      <w:r>
        <w:rPr>
          <w:rFonts w:hint="default" w:ascii="Times New Roman" w:hAnsi="Times New Roman" w:eastAsia="方正仿宋_GBK" w:cs="Times New Roman"/>
          <w:kern w:val="0"/>
          <w:sz w:val="32"/>
          <w:szCs w:val="24"/>
          <w:lang w:val="en-US" w:eastAsia="zh-CN" w:bidi="ar-SA"/>
        </w:rPr>
        <w:t xml:space="preserve">2.拟订全县教育事业发展规划，组织实施教育体制改革；负责各类教育的统筹规划和协调管理；指导各类学校的教育教学改革；负责中小学布局结构调整；负责全县多元化体育服务体系建设，推进体育公共服务和体育体制改革；负责全县教育体育系统基本信息的统计、分析、发布工作；负责组织全县教育体育信息化建设工作。 </w:t>
      </w:r>
    </w:p>
    <w:p w14:paraId="01CA37DF">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kern w:val="0"/>
          <w:sz w:val="32"/>
          <w:szCs w:val="24"/>
          <w:lang w:val="en-US" w:eastAsia="zh-CN" w:bidi="ar-SA"/>
        </w:rPr>
      </w:pPr>
      <w:r>
        <w:rPr>
          <w:rFonts w:hint="default" w:ascii="Times New Roman" w:hAnsi="Times New Roman" w:eastAsia="方正仿宋_GBK" w:cs="Times New Roman"/>
          <w:kern w:val="0"/>
          <w:sz w:val="32"/>
          <w:szCs w:val="24"/>
          <w:lang w:val="en-US" w:eastAsia="zh-CN" w:bidi="ar-SA"/>
        </w:rPr>
        <w:t xml:space="preserve">3.负责义务教育的统筹管理，推进全县义务教育均衡发展和促进教育公平。指导普通高中教育、学前教育和特殊教育工作。推进基础教育教学改革，全面实施素质教育。 </w:t>
      </w:r>
    </w:p>
    <w:p w14:paraId="3ACF30F0">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kern w:val="0"/>
          <w:sz w:val="32"/>
          <w:szCs w:val="24"/>
          <w:lang w:val="en-US" w:eastAsia="zh-CN" w:bidi="ar-SA"/>
        </w:rPr>
      </w:pPr>
      <w:r>
        <w:rPr>
          <w:rFonts w:hint="default" w:ascii="Times New Roman" w:hAnsi="Times New Roman" w:eastAsia="方正仿宋_GBK" w:cs="Times New Roman"/>
          <w:kern w:val="0"/>
          <w:sz w:val="32"/>
          <w:szCs w:val="24"/>
          <w:lang w:val="en-US" w:eastAsia="zh-CN" w:bidi="ar-SA"/>
        </w:rPr>
        <w:t xml:space="preserve">4.推进基础教育、职业教育和成人教育学校开展思想政治、 德育、体育卫生与艺术教育、国防教育、心理健康教育、安全和稳定工作。 </w:t>
      </w:r>
    </w:p>
    <w:p w14:paraId="3FF00976">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kern w:val="0"/>
          <w:sz w:val="32"/>
          <w:szCs w:val="24"/>
          <w:lang w:val="en-US" w:eastAsia="zh-CN" w:bidi="ar-SA"/>
        </w:rPr>
      </w:pPr>
      <w:r>
        <w:rPr>
          <w:rFonts w:hint="default" w:ascii="Times New Roman" w:hAnsi="Times New Roman" w:eastAsia="方正仿宋_GBK" w:cs="Times New Roman"/>
          <w:kern w:val="0"/>
          <w:sz w:val="32"/>
          <w:szCs w:val="24"/>
          <w:lang w:val="en-US" w:eastAsia="zh-CN" w:bidi="ar-SA"/>
        </w:rPr>
        <w:t>5.负责职业教育发展与改革，组织实施民族地区免费中等职业教育工作，完成省下达的藏（彝）区学生“9+3” 免费职业教育任务。</w:t>
      </w:r>
    </w:p>
    <w:p w14:paraId="65BD66E4">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kern w:val="0"/>
          <w:sz w:val="32"/>
          <w:szCs w:val="24"/>
          <w:lang w:val="en-US" w:eastAsia="zh-CN" w:bidi="ar-SA"/>
        </w:rPr>
      </w:pPr>
      <w:r>
        <w:rPr>
          <w:rFonts w:hint="default" w:ascii="Times New Roman" w:hAnsi="Times New Roman" w:eastAsia="方正仿宋_GBK" w:cs="Times New Roman"/>
          <w:kern w:val="0"/>
          <w:sz w:val="32"/>
          <w:szCs w:val="24"/>
          <w:lang w:val="en-US" w:eastAsia="zh-CN" w:bidi="ar-SA"/>
        </w:rPr>
        <w:t xml:space="preserve">6.负责管理全县成人教育和广播电视教育及扫除青壮年文盲工作，促进协调发展。 </w:t>
      </w:r>
    </w:p>
    <w:p w14:paraId="2021F4FB">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kern w:val="0"/>
          <w:sz w:val="32"/>
          <w:szCs w:val="24"/>
          <w:lang w:val="en-US" w:eastAsia="zh-CN" w:bidi="ar-SA"/>
        </w:rPr>
      </w:pPr>
      <w:r>
        <w:rPr>
          <w:rFonts w:hint="default" w:ascii="Times New Roman" w:hAnsi="Times New Roman" w:eastAsia="方正仿宋_GBK" w:cs="Times New Roman"/>
          <w:kern w:val="0"/>
          <w:sz w:val="32"/>
          <w:szCs w:val="24"/>
          <w:lang w:val="en-US" w:eastAsia="zh-CN" w:bidi="ar-SA"/>
        </w:rPr>
        <w:t xml:space="preserve">7.负责全县教育督导工作。负责承担基础教育、职业教育和广播电视教育以及扫除青壮年文盲工作的督导检查和评估验收工作，开展基础教育发展水平和质量监测工作。 </w:t>
      </w:r>
    </w:p>
    <w:p w14:paraId="68ABB026">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kern w:val="0"/>
          <w:sz w:val="32"/>
          <w:szCs w:val="24"/>
          <w:lang w:val="en-US" w:eastAsia="zh-CN" w:bidi="ar-SA"/>
        </w:rPr>
      </w:pPr>
      <w:r>
        <w:rPr>
          <w:rFonts w:hint="default" w:ascii="Times New Roman" w:hAnsi="Times New Roman" w:eastAsia="方正仿宋_GBK" w:cs="Times New Roman"/>
          <w:kern w:val="0"/>
          <w:sz w:val="32"/>
          <w:szCs w:val="24"/>
          <w:lang w:val="en-US" w:eastAsia="zh-CN" w:bidi="ar-SA"/>
        </w:rPr>
        <w:t xml:space="preserve">8.会同有关部门制定教育体育经费筹措、教育基建投资的办法，协助有关部门做好教育体育经费的筹集、拨付工作；负责本部门教育体育经费的统筹管理；协调本级财政贯彻执行教育财政、生均经费和教师工资与学生公用经费拨款；负责国（境）外教育援助、教育贷款和教育合作项目的执行；承办普通高校生源地信用助学贷款工作，完善贫困学生资助管理体系；承担对少数民族地区的教育援助工作。 </w:t>
      </w:r>
    </w:p>
    <w:p w14:paraId="12BB571A">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kern w:val="0"/>
          <w:sz w:val="32"/>
          <w:szCs w:val="24"/>
          <w:lang w:val="en-US" w:eastAsia="zh-CN" w:bidi="ar-SA"/>
        </w:rPr>
      </w:pPr>
      <w:r>
        <w:rPr>
          <w:rFonts w:hint="default" w:ascii="Times New Roman" w:hAnsi="Times New Roman" w:eastAsia="方正仿宋_GBK" w:cs="Times New Roman"/>
          <w:kern w:val="0"/>
          <w:sz w:val="32"/>
          <w:szCs w:val="24"/>
          <w:lang w:val="en-US" w:eastAsia="zh-CN" w:bidi="ar-SA"/>
        </w:rPr>
        <w:t xml:space="preserve">9.规范民办教育办学秩序，促进民办教育事业健康发展。 </w:t>
      </w:r>
    </w:p>
    <w:p w14:paraId="3FB83DF6">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kern w:val="0"/>
          <w:sz w:val="32"/>
          <w:szCs w:val="24"/>
          <w:lang w:val="en-US" w:eastAsia="zh-CN" w:bidi="ar-SA"/>
        </w:rPr>
      </w:pPr>
      <w:r>
        <w:rPr>
          <w:rFonts w:hint="default" w:ascii="Times New Roman" w:hAnsi="Times New Roman" w:eastAsia="方正仿宋_GBK" w:cs="Times New Roman"/>
          <w:kern w:val="0"/>
          <w:sz w:val="32"/>
          <w:szCs w:val="24"/>
          <w:lang w:val="en-US" w:eastAsia="zh-CN" w:bidi="ar-SA"/>
        </w:rPr>
        <w:t xml:space="preserve">10.负责全县中小学教师和教育行政干部队伍建设工作；推进学校内部管理体制改革。 </w:t>
      </w:r>
    </w:p>
    <w:p w14:paraId="605586FF">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kern w:val="0"/>
          <w:sz w:val="32"/>
          <w:szCs w:val="24"/>
          <w:lang w:val="en-US" w:eastAsia="zh-CN" w:bidi="ar-SA"/>
        </w:rPr>
      </w:pPr>
      <w:r>
        <w:rPr>
          <w:rFonts w:hint="default" w:ascii="Times New Roman" w:hAnsi="Times New Roman" w:eastAsia="方正仿宋_GBK" w:cs="Times New Roman"/>
          <w:kern w:val="0"/>
          <w:sz w:val="32"/>
          <w:szCs w:val="24"/>
          <w:lang w:val="en-US" w:eastAsia="zh-CN" w:bidi="ar-SA"/>
        </w:rPr>
        <w:t xml:space="preserve">11.贯彻执行国家语言文字的方针政策，拟订语言文字工作中长期规划和工作计划，负责普通话推广和普通话师资培训工作，承办语言文字工作委员会的具体工作。 </w:t>
      </w:r>
    </w:p>
    <w:p w14:paraId="4FF65229">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kern w:val="0"/>
          <w:sz w:val="32"/>
          <w:szCs w:val="24"/>
          <w:lang w:val="en-US" w:eastAsia="zh-CN" w:bidi="ar-SA"/>
        </w:rPr>
      </w:pPr>
      <w:r>
        <w:rPr>
          <w:rFonts w:hint="default" w:ascii="Times New Roman" w:hAnsi="Times New Roman" w:eastAsia="方正仿宋_GBK" w:cs="Times New Roman"/>
          <w:kern w:val="0"/>
          <w:sz w:val="32"/>
          <w:szCs w:val="24"/>
          <w:lang w:val="en-US" w:eastAsia="zh-CN" w:bidi="ar-SA"/>
        </w:rPr>
        <w:t xml:space="preserve">12.负责并指导教育基础设施建设，完善中小学校校舍维修改造长效机制；负责并指导学校现代信息技术教育和推进现代教育信息化建设，进一步改善学校办学条件；负责推进农村薄弱学校建设；加强项目建设管理，推动校舍档案和信息系统建设，促进校舍安全管理的规范化、信息化。 </w:t>
      </w:r>
    </w:p>
    <w:p w14:paraId="775E8ECC">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kern w:val="0"/>
          <w:sz w:val="32"/>
          <w:szCs w:val="24"/>
          <w:lang w:val="en-US" w:eastAsia="zh-CN" w:bidi="ar-SA"/>
        </w:rPr>
      </w:pPr>
      <w:r>
        <w:rPr>
          <w:rFonts w:hint="default" w:ascii="Times New Roman" w:hAnsi="Times New Roman" w:eastAsia="方正仿宋_GBK" w:cs="Times New Roman"/>
          <w:kern w:val="0"/>
          <w:sz w:val="32"/>
          <w:szCs w:val="24"/>
          <w:lang w:val="en-US" w:eastAsia="zh-CN" w:bidi="ar-SA"/>
        </w:rPr>
        <w:t xml:space="preserve">13.负责全县教育系统对外交流与合作，承办全县中小学校出国留学人员和基础教育系统来我县外籍教师、专家及留学人员的有关管理工作。 </w:t>
      </w:r>
    </w:p>
    <w:p w14:paraId="20AA16AA">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kern w:val="0"/>
          <w:sz w:val="32"/>
          <w:szCs w:val="24"/>
          <w:lang w:val="en-US" w:eastAsia="zh-CN" w:bidi="ar-SA"/>
        </w:rPr>
      </w:pPr>
      <w:r>
        <w:rPr>
          <w:rFonts w:hint="default" w:ascii="Times New Roman" w:hAnsi="Times New Roman" w:eastAsia="方正仿宋_GBK" w:cs="Times New Roman"/>
          <w:kern w:val="0"/>
          <w:sz w:val="32"/>
          <w:szCs w:val="24"/>
          <w:lang w:val="en-US" w:eastAsia="zh-CN" w:bidi="ar-SA"/>
        </w:rPr>
        <w:t xml:space="preserve">14.负责大中专招生和自学考试工作。制定中小学校招生计划并组织实施，会同中等职业学校做好本县中职招生工作。 </w:t>
      </w:r>
    </w:p>
    <w:p w14:paraId="74797F30">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kern w:val="0"/>
          <w:sz w:val="32"/>
          <w:szCs w:val="24"/>
          <w:lang w:val="en-US" w:eastAsia="zh-CN" w:bidi="ar-SA"/>
        </w:rPr>
      </w:pPr>
      <w:r>
        <w:rPr>
          <w:rFonts w:hint="default" w:ascii="Times New Roman" w:hAnsi="Times New Roman" w:eastAsia="方正仿宋_GBK" w:cs="Times New Roman"/>
          <w:kern w:val="0"/>
          <w:sz w:val="32"/>
          <w:szCs w:val="24"/>
          <w:lang w:val="en-US" w:eastAsia="zh-CN" w:bidi="ar-SA"/>
        </w:rPr>
        <w:t xml:space="preserve">15.统筹规划全县群众体育发展。负责推行全民健身计划，监督实施国家体育锻炼标准，承担全县国民体质监测和社会体育指导工作队伍制度建设；指导公共体育设施的建设，负责对公共体育设施的管理。 </w:t>
      </w:r>
    </w:p>
    <w:p w14:paraId="266C4AE2">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kern w:val="0"/>
          <w:sz w:val="32"/>
          <w:szCs w:val="24"/>
          <w:lang w:val="en-US" w:eastAsia="zh-CN" w:bidi="ar-SA"/>
        </w:rPr>
      </w:pPr>
      <w:r>
        <w:rPr>
          <w:rFonts w:hint="default" w:ascii="Times New Roman" w:hAnsi="Times New Roman" w:eastAsia="方正仿宋_GBK" w:cs="Times New Roman"/>
          <w:kern w:val="0"/>
          <w:sz w:val="32"/>
          <w:szCs w:val="24"/>
          <w:lang w:val="en-US" w:eastAsia="zh-CN" w:bidi="ar-SA"/>
        </w:rPr>
        <w:t>16.统筹规划全县竞技体育发展。指导体育训练、体育竞赛和运动员队伍建设；组织和统筹参加省级以上综合运动会，负责组织协调县级综合性运动会的竞赛工作，协调运动员社会保障工作。</w:t>
      </w:r>
    </w:p>
    <w:p w14:paraId="7F095970">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kern w:val="0"/>
          <w:sz w:val="32"/>
          <w:szCs w:val="24"/>
          <w:lang w:val="en-US" w:eastAsia="zh-CN" w:bidi="ar-SA"/>
        </w:rPr>
      </w:pPr>
      <w:r>
        <w:rPr>
          <w:rFonts w:hint="default" w:ascii="Times New Roman" w:hAnsi="Times New Roman" w:eastAsia="方正仿宋_GBK" w:cs="Times New Roman"/>
          <w:kern w:val="0"/>
          <w:sz w:val="32"/>
          <w:szCs w:val="24"/>
          <w:lang w:val="en-US" w:eastAsia="zh-CN" w:bidi="ar-SA"/>
        </w:rPr>
        <w:t xml:space="preserve">17.统筹规划全县青少年体育发展。指导和管理学校体育工作；制定全县学校体育、青少年业余训练的规划和工作意见，并负责组织实施、督促和检查。 </w:t>
      </w:r>
    </w:p>
    <w:p w14:paraId="66ADF47E">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kern w:val="0"/>
          <w:sz w:val="32"/>
          <w:szCs w:val="24"/>
          <w:lang w:val="en-US" w:eastAsia="zh-CN" w:bidi="ar-SA"/>
        </w:rPr>
      </w:pPr>
      <w:r>
        <w:rPr>
          <w:rFonts w:hint="default" w:ascii="Times New Roman" w:hAnsi="Times New Roman" w:eastAsia="方正仿宋_GBK" w:cs="Times New Roman"/>
          <w:kern w:val="0"/>
          <w:sz w:val="32"/>
          <w:szCs w:val="24"/>
          <w:lang w:val="en-US" w:eastAsia="zh-CN" w:bidi="ar-SA"/>
        </w:rPr>
        <w:t>18.指导全县学校后勤改革和体育产业发展，负责全县学校后勤和体育产业管理；拟定全县体育产业发展政策、措施，规范体育服务管理，推动体育标准化建设；协助管理全县体育彩票市场。</w:t>
      </w:r>
    </w:p>
    <w:p w14:paraId="6DC52C57">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kern w:val="0"/>
          <w:sz w:val="32"/>
          <w:szCs w:val="24"/>
          <w:lang w:val="en-US" w:eastAsia="zh-CN" w:bidi="ar-SA"/>
        </w:rPr>
      </w:pPr>
      <w:r>
        <w:rPr>
          <w:rFonts w:hint="default" w:ascii="Times New Roman" w:hAnsi="Times New Roman" w:eastAsia="方正仿宋_GBK" w:cs="Times New Roman"/>
          <w:kern w:val="0"/>
          <w:sz w:val="32"/>
          <w:szCs w:val="24"/>
          <w:lang w:val="en-US" w:eastAsia="zh-CN" w:bidi="ar-SA"/>
        </w:rPr>
        <w:t xml:space="preserve">19.负责教育体育科研、技术攻关及成果推广工作；负责组织、监督全县体育运动中的反兴奋剂工作。 </w:t>
      </w:r>
    </w:p>
    <w:p w14:paraId="76082CEB">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kern w:val="0"/>
          <w:sz w:val="32"/>
          <w:szCs w:val="24"/>
          <w:lang w:val="en-US" w:eastAsia="zh-CN" w:bidi="ar-SA"/>
        </w:rPr>
      </w:pPr>
      <w:r>
        <w:rPr>
          <w:rFonts w:hint="default" w:ascii="Times New Roman" w:hAnsi="Times New Roman" w:eastAsia="方正仿宋_GBK" w:cs="Times New Roman"/>
          <w:kern w:val="0"/>
          <w:sz w:val="32"/>
          <w:szCs w:val="24"/>
          <w:lang w:val="en-US" w:eastAsia="zh-CN" w:bidi="ar-SA"/>
        </w:rPr>
        <w:t xml:space="preserve">20.负责指导、检查、督促全县学校安全管理工作。 </w:t>
      </w:r>
    </w:p>
    <w:p w14:paraId="37B04018">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kern w:val="0"/>
          <w:sz w:val="32"/>
          <w:szCs w:val="24"/>
          <w:lang w:val="en-US" w:eastAsia="zh-CN" w:bidi="ar-SA"/>
        </w:rPr>
      </w:pPr>
      <w:r>
        <w:rPr>
          <w:rFonts w:hint="default" w:ascii="Times New Roman" w:hAnsi="Times New Roman" w:eastAsia="方正仿宋_GBK" w:cs="Times New Roman"/>
          <w:kern w:val="0"/>
          <w:sz w:val="32"/>
          <w:szCs w:val="24"/>
          <w:lang w:val="en-US" w:eastAsia="zh-CN" w:bidi="ar-SA"/>
        </w:rPr>
        <w:t xml:space="preserve">21.负责职责范围内的安全生产和职业教育、生态环境保护、审批服务便民化等工作。 </w:t>
      </w:r>
    </w:p>
    <w:p w14:paraId="7E6301D0">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kern w:val="0"/>
          <w:sz w:val="32"/>
          <w:szCs w:val="24"/>
          <w:lang w:val="en-US" w:eastAsia="zh-CN" w:bidi="ar-SA"/>
        </w:rPr>
      </w:pPr>
      <w:r>
        <w:rPr>
          <w:rFonts w:hint="default" w:ascii="Times New Roman" w:hAnsi="Times New Roman" w:eastAsia="方正仿宋_GBK" w:cs="Times New Roman"/>
          <w:kern w:val="0"/>
          <w:sz w:val="32"/>
          <w:szCs w:val="24"/>
          <w:lang w:val="en-US" w:eastAsia="zh-CN" w:bidi="ar-SA"/>
        </w:rPr>
        <w:t xml:space="preserve">22.承担县政府公布的有关行政审批事项。 </w:t>
      </w:r>
    </w:p>
    <w:p w14:paraId="353A8C0A">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kern w:val="0"/>
          <w:sz w:val="32"/>
          <w:szCs w:val="24"/>
          <w:lang w:val="zh-CN" w:eastAsia="zh-CN" w:bidi="ar-SA"/>
        </w:rPr>
      </w:pPr>
      <w:r>
        <w:rPr>
          <w:rFonts w:hint="default" w:ascii="Times New Roman" w:hAnsi="Times New Roman" w:eastAsia="方正仿宋_GBK" w:cs="Times New Roman"/>
          <w:kern w:val="0"/>
          <w:sz w:val="32"/>
          <w:szCs w:val="24"/>
          <w:lang w:val="en-US" w:eastAsia="zh-CN" w:bidi="ar-SA"/>
        </w:rPr>
        <w:t>23.承办县政府交办的其他事项。</w:t>
      </w:r>
    </w:p>
    <w:p w14:paraId="04C4A464">
      <w:pPr>
        <w:keepNext w:val="0"/>
        <w:keepLines w:val="0"/>
        <w:pageBreakBefore w:val="0"/>
        <w:kinsoku/>
        <w:wordWrap/>
        <w:overflowPunct/>
        <w:topLinePunct w:val="0"/>
        <w:autoSpaceDE/>
        <w:autoSpaceDN/>
        <w:bidi w:val="0"/>
        <w:spacing w:line="240" w:lineRule="auto"/>
        <w:ind w:firstLine="643" w:firstLineChars="200"/>
        <w:textAlignment w:val="auto"/>
        <w:outlineLvl w:val="2"/>
        <w:rPr>
          <w:rFonts w:hint="default" w:ascii="Times New Roman" w:hAnsi="Times New Roman" w:eastAsia="方正楷体_GBK" w:cs="Times New Roman"/>
          <w:b/>
          <w:bCs w:val="0"/>
          <w:sz w:val="32"/>
          <w:szCs w:val="32"/>
          <w:lang w:val="zh-CN"/>
        </w:rPr>
      </w:pPr>
      <w:r>
        <w:rPr>
          <w:rFonts w:hint="default" w:ascii="Times New Roman" w:hAnsi="Times New Roman" w:eastAsia="方正楷体_GBK" w:cs="Times New Roman"/>
          <w:b/>
          <w:bCs w:val="0"/>
          <w:sz w:val="32"/>
          <w:szCs w:val="32"/>
          <w:lang w:val="zh-CN"/>
        </w:rPr>
        <w:t>（三）人员概况</w:t>
      </w:r>
    </w:p>
    <w:p w14:paraId="26879B7F">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kern w:val="0"/>
          <w:sz w:val="32"/>
          <w:szCs w:val="24"/>
          <w:lang w:val="en-US" w:eastAsia="zh-CN" w:bidi="ar-SA"/>
        </w:rPr>
      </w:pPr>
      <w:r>
        <w:rPr>
          <w:rFonts w:hint="default" w:ascii="Times New Roman" w:hAnsi="Times New Roman" w:eastAsia="方正仿宋_GBK" w:cs="Times New Roman"/>
          <w:kern w:val="0"/>
          <w:sz w:val="32"/>
          <w:szCs w:val="24"/>
          <w:lang w:val="en-US" w:eastAsia="zh-CN" w:bidi="ar-SA"/>
        </w:rPr>
        <w:t>截至2024年末，盐边县教育和体育局及下属单位编制数21个，在职人员总数1636人，其中：行政人员11人，参照公务员法管理的事业人员0人，其他事业人员1625人；离（退）休人员0人。</w:t>
      </w:r>
    </w:p>
    <w:p w14:paraId="27D66BD3">
      <w:pPr>
        <w:pStyle w:val="6"/>
        <w:keepNext/>
        <w:keepLines/>
        <w:pageBreakBefore w:val="0"/>
        <w:widowControl w:val="0"/>
        <w:numPr>
          <w:ilvl w:val="0"/>
          <w:numId w:val="0"/>
        </w:numPr>
        <w:kinsoku/>
        <w:wordWrap/>
        <w:overflowPunct/>
        <w:topLinePunct w:val="0"/>
        <w:autoSpaceDE/>
        <w:autoSpaceDN/>
        <w:bidi w:val="0"/>
        <w:adjustRightInd/>
        <w:snapToGrid/>
        <w:spacing w:line="416" w:lineRule="auto"/>
        <w:ind w:left="0" w:leftChars="0" w:firstLine="640" w:firstLineChars="200"/>
        <w:textAlignment w:val="auto"/>
        <w:rPr>
          <w:rFonts w:hint="default" w:ascii="Times New Roman" w:hAnsi="Times New Roman" w:eastAsia="方正黑体_GBK" w:cs="Times New Roman"/>
          <w:b w:val="0"/>
          <w:bCs/>
          <w:lang w:val="zh-CN" w:eastAsia="zh-CN"/>
        </w:rPr>
      </w:pPr>
      <w:r>
        <w:rPr>
          <w:rFonts w:hint="default" w:ascii="Times New Roman" w:hAnsi="Times New Roman" w:eastAsia="方正黑体_GBK" w:cs="Times New Roman"/>
          <w:b w:val="0"/>
          <w:bCs/>
          <w:lang w:val="zh-CN" w:eastAsia="zh-CN"/>
        </w:rPr>
        <w:t>二、部门资金收支情况</w:t>
      </w:r>
    </w:p>
    <w:p w14:paraId="5226E798">
      <w:pPr>
        <w:keepNext w:val="0"/>
        <w:keepLines w:val="0"/>
        <w:pageBreakBefore w:val="0"/>
        <w:kinsoku/>
        <w:wordWrap/>
        <w:overflowPunct/>
        <w:topLinePunct w:val="0"/>
        <w:autoSpaceDE/>
        <w:autoSpaceDN/>
        <w:bidi w:val="0"/>
        <w:spacing w:line="240" w:lineRule="auto"/>
        <w:ind w:firstLine="643" w:firstLineChars="200"/>
        <w:textAlignment w:val="auto"/>
        <w:outlineLvl w:val="2"/>
        <w:rPr>
          <w:rFonts w:hint="default" w:ascii="Times New Roman" w:hAnsi="Times New Roman" w:eastAsia="方正楷体_GBK" w:cs="Times New Roman"/>
          <w:b/>
          <w:bCs w:val="0"/>
          <w:sz w:val="32"/>
          <w:szCs w:val="32"/>
          <w:lang w:val="zh-CN"/>
        </w:rPr>
      </w:pPr>
      <w:r>
        <w:rPr>
          <w:rFonts w:hint="default" w:ascii="Times New Roman" w:hAnsi="Times New Roman" w:eastAsia="方正楷体_GBK" w:cs="Times New Roman"/>
          <w:b/>
          <w:bCs w:val="0"/>
          <w:sz w:val="32"/>
          <w:szCs w:val="32"/>
          <w:lang w:val="zh-CN"/>
        </w:rPr>
        <w:t>（一）收入情况</w:t>
      </w:r>
    </w:p>
    <w:p w14:paraId="386698F9">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kern w:val="0"/>
          <w:sz w:val="32"/>
          <w:szCs w:val="24"/>
          <w:lang w:val="en-US" w:eastAsia="zh-CN" w:bidi="ar-SA"/>
        </w:rPr>
      </w:pPr>
      <w:r>
        <w:rPr>
          <w:rFonts w:hint="default" w:ascii="Times New Roman" w:hAnsi="Times New Roman" w:eastAsia="方正仿宋_GBK" w:cs="Times New Roman"/>
          <w:kern w:val="0"/>
          <w:sz w:val="32"/>
          <w:szCs w:val="24"/>
          <w:lang w:val="en-US" w:eastAsia="zh-CN" w:bidi="ar-SA"/>
        </w:rPr>
        <w:t>盐边县教育和体育局2024年年初预算收入40211.41万元、决算报表收入50879.82万元。</w:t>
      </w:r>
    </w:p>
    <w:p w14:paraId="24C83F6F">
      <w:pPr>
        <w:keepNext w:val="0"/>
        <w:keepLines w:val="0"/>
        <w:pageBreakBefore w:val="0"/>
        <w:kinsoku/>
        <w:wordWrap/>
        <w:overflowPunct/>
        <w:topLinePunct w:val="0"/>
        <w:autoSpaceDE/>
        <w:autoSpaceDN/>
        <w:bidi w:val="0"/>
        <w:spacing w:line="240" w:lineRule="auto"/>
        <w:ind w:firstLine="643" w:firstLineChars="200"/>
        <w:textAlignment w:val="auto"/>
        <w:outlineLvl w:val="2"/>
        <w:rPr>
          <w:rFonts w:hint="default" w:ascii="Times New Roman" w:hAnsi="Times New Roman" w:eastAsia="方正楷体_GBK" w:cs="Times New Roman"/>
          <w:b/>
          <w:bCs w:val="0"/>
          <w:sz w:val="32"/>
          <w:szCs w:val="32"/>
          <w:lang w:val="zh-CN" w:eastAsia="zh-CN"/>
        </w:rPr>
      </w:pPr>
      <w:r>
        <w:rPr>
          <w:rFonts w:hint="default" w:ascii="Times New Roman" w:hAnsi="Times New Roman" w:eastAsia="方正楷体_GBK" w:cs="Times New Roman"/>
          <w:b/>
          <w:bCs w:val="0"/>
          <w:sz w:val="32"/>
          <w:szCs w:val="32"/>
          <w:lang w:val="en-US" w:eastAsia="zh-CN"/>
        </w:rPr>
        <w:t>（二）</w:t>
      </w:r>
      <w:r>
        <w:rPr>
          <w:rFonts w:hint="default" w:ascii="Times New Roman" w:hAnsi="Times New Roman" w:eastAsia="方正楷体_GBK" w:cs="Times New Roman"/>
          <w:b/>
          <w:bCs w:val="0"/>
          <w:sz w:val="32"/>
          <w:szCs w:val="32"/>
          <w:lang w:val="zh-CN" w:eastAsia="zh-CN"/>
        </w:rPr>
        <w:t>支出情况</w:t>
      </w:r>
    </w:p>
    <w:p w14:paraId="0D40D821">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kern w:val="0"/>
          <w:sz w:val="32"/>
          <w:szCs w:val="24"/>
          <w:lang w:val="zh-CN" w:eastAsia="zh-CN" w:bidi="ar-SA"/>
        </w:rPr>
      </w:pPr>
      <w:r>
        <w:rPr>
          <w:rFonts w:hint="default" w:ascii="Times New Roman" w:hAnsi="Times New Roman" w:eastAsia="方正仿宋_GBK" w:cs="Times New Roman"/>
          <w:kern w:val="0"/>
          <w:sz w:val="32"/>
          <w:szCs w:val="24"/>
          <w:lang w:val="en-US" w:eastAsia="zh-CN" w:bidi="ar-SA"/>
        </w:rPr>
        <w:t>盐边县教育和体育局2024年年初预算支出40211.41万元、决算报表支出50826.98万元，主要包括完成的任务、达成的效果等。</w:t>
      </w:r>
    </w:p>
    <w:p w14:paraId="4B85458D">
      <w:pPr>
        <w:keepNext w:val="0"/>
        <w:keepLines w:val="0"/>
        <w:pageBreakBefore w:val="0"/>
        <w:kinsoku/>
        <w:wordWrap/>
        <w:overflowPunct/>
        <w:topLinePunct w:val="0"/>
        <w:autoSpaceDE/>
        <w:autoSpaceDN/>
        <w:bidi w:val="0"/>
        <w:spacing w:line="240" w:lineRule="auto"/>
        <w:ind w:firstLine="643" w:firstLineChars="200"/>
        <w:textAlignment w:val="auto"/>
        <w:outlineLvl w:val="2"/>
        <w:rPr>
          <w:rFonts w:hint="default" w:ascii="Times New Roman" w:hAnsi="Times New Roman" w:eastAsia="方正楷体_GBK" w:cs="Times New Roman"/>
          <w:b/>
          <w:bCs w:val="0"/>
          <w:sz w:val="32"/>
          <w:szCs w:val="32"/>
          <w:lang w:val="zh-CN" w:eastAsia="zh-CN"/>
        </w:rPr>
      </w:pPr>
      <w:r>
        <w:rPr>
          <w:rFonts w:hint="default" w:ascii="Times New Roman" w:hAnsi="Times New Roman" w:eastAsia="方正楷体_GBK" w:cs="Times New Roman"/>
          <w:b/>
          <w:bCs w:val="0"/>
          <w:sz w:val="32"/>
          <w:szCs w:val="32"/>
          <w:lang w:val="zh-CN" w:eastAsia="zh-CN"/>
        </w:rPr>
        <w:t>（三）</w:t>
      </w:r>
      <w:r>
        <w:rPr>
          <w:rFonts w:hint="default" w:ascii="Times New Roman" w:hAnsi="Times New Roman" w:eastAsia="方正楷体_GBK" w:cs="Times New Roman"/>
          <w:b/>
          <w:bCs w:val="0"/>
          <w:sz w:val="32"/>
          <w:szCs w:val="32"/>
          <w:lang w:val="zh-CN" w:eastAsia="zh-CN"/>
        </w:rPr>
        <w:t>结余分配和结转结余情况</w:t>
      </w:r>
    </w:p>
    <w:p w14:paraId="663142DE">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kern w:val="0"/>
          <w:sz w:val="32"/>
          <w:szCs w:val="24"/>
          <w:lang w:val="zh-CN" w:eastAsia="zh-CN" w:bidi="ar-SA"/>
        </w:rPr>
      </w:pPr>
      <w:r>
        <w:rPr>
          <w:rFonts w:hint="default" w:ascii="Times New Roman" w:hAnsi="Times New Roman" w:eastAsia="方正仿宋_GBK" w:cs="Times New Roman"/>
          <w:kern w:val="0"/>
          <w:sz w:val="32"/>
          <w:szCs w:val="24"/>
          <w:lang w:val="en-US" w:eastAsia="zh-CN" w:bidi="ar-SA"/>
        </w:rPr>
        <w:t>盐边县教育和体育局2024年决算报表结转结余52.84万元。</w:t>
      </w:r>
    </w:p>
    <w:p w14:paraId="63E31717">
      <w:pPr>
        <w:pStyle w:val="6"/>
        <w:keepNext/>
        <w:keepLines/>
        <w:pageBreakBefore w:val="0"/>
        <w:widowControl w:val="0"/>
        <w:numPr>
          <w:ilvl w:val="0"/>
          <w:numId w:val="0"/>
        </w:numPr>
        <w:kinsoku/>
        <w:wordWrap/>
        <w:overflowPunct/>
        <w:topLinePunct w:val="0"/>
        <w:autoSpaceDE/>
        <w:autoSpaceDN/>
        <w:bidi w:val="0"/>
        <w:adjustRightInd/>
        <w:snapToGrid/>
        <w:spacing w:line="416" w:lineRule="auto"/>
        <w:ind w:left="0" w:leftChars="0" w:firstLine="640" w:firstLineChars="200"/>
        <w:textAlignment w:val="auto"/>
        <w:rPr>
          <w:rFonts w:hint="default" w:ascii="Times New Roman" w:hAnsi="Times New Roman" w:eastAsia="方正黑体_GBK" w:cs="Times New Roman"/>
          <w:b w:val="0"/>
          <w:bCs/>
          <w:lang w:val="zh-CN" w:eastAsia="zh-CN"/>
        </w:rPr>
      </w:pPr>
      <w:r>
        <w:rPr>
          <w:rFonts w:hint="default" w:ascii="Times New Roman" w:hAnsi="Times New Roman" w:eastAsia="方正黑体_GBK" w:cs="Times New Roman"/>
          <w:b w:val="0"/>
          <w:bCs/>
          <w:lang w:val="zh-CN" w:eastAsia="zh-CN"/>
        </w:rPr>
        <w:t>三、部门预算绩效分析</w:t>
      </w:r>
    </w:p>
    <w:p w14:paraId="1D998705">
      <w:pPr>
        <w:keepNext w:val="0"/>
        <w:keepLines w:val="0"/>
        <w:pageBreakBefore w:val="0"/>
        <w:kinsoku/>
        <w:wordWrap/>
        <w:overflowPunct/>
        <w:topLinePunct w:val="0"/>
        <w:autoSpaceDE/>
        <w:autoSpaceDN/>
        <w:bidi w:val="0"/>
        <w:spacing w:line="240" w:lineRule="auto"/>
        <w:ind w:firstLine="643" w:firstLineChars="200"/>
        <w:textAlignment w:val="auto"/>
        <w:outlineLvl w:val="2"/>
        <w:rPr>
          <w:rFonts w:hint="default" w:ascii="Times New Roman" w:hAnsi="Times New Roman" w:eastAsia="方正楷体_GBK" w:cs="Times New Roman"/>
          <w:b/>
          <w:bCs w:val="0"/>
          <w:sz w:val="32"/>
          <w:szCs w:val="32"/>
          <w:lang w:val="zh-CN" w:eastAsia="zh-CN"/>
        </w:rPr>
      </w:pPr>
      <w:r>
        <w:rPr>
          <w:rFonts w:hint="default" w:ascii="Times New Roman" w:hAnsi="Times New Roman" w:eastAsia="方正楷体_GBK" w:cs="Times New Roman"/>
          <w:b/>
          <w:bCs w:val="0"/>
          <w:sz w:val="32"/>
          <w:szCs w:val="32"/>
          <w:lang w:val="zh-CN" w:eastAsia="zh-CN"/>
        </w:rPr>
        <w:t>（一）部门预算总体绩效分析</w:t>
      </w:r>
    </w:p>
    <w:p w14:paraId="5E76B6EA">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kern w:val="0"/>
          <w:sz w:val="32"/>
          <w:szCs w:val="24"/>
          <w:lang w:val="zh-CN" w:eastAsia="zh-CN" w:bidi="ar-SA"/>
        </w:rPr>
      </w:pPr>
      <w:r>
        <w:rPr>
          <w:rFonts w:hint="default" w:ascii="Times New Roman" w:hAnsi="Times New Roman" w:eastAsia="方正仿宋_GBK" w:cs="Times New Roman"/>
          <w:kern w:val="0"/>
          <w:sz w:val="32"/>
          <w:szCs w:val="24"/>
          <w:lang w:val="zh-CN" w:eastAsia="zh-CN" w:bidi="ar-SA"/>
        </w:rPr>
        <w:t>根据部门预算绩效评价指标体系“总体绩效”涉及二、三级指标进行逐项绩效分析并评分，依次包括履职效能、预算管理、财务管理、资产管理、采购管理等情况。</w:t>
      </w:r>
    </w:p>
    <w:p w14:paraId="10FE4A6E">
      <w:pPr>
        <w:keepNext w:val="0"/>
        <w:keepLines w:val="0"/>
        <w:pageBreakBefore w:val="0"/>
        <w:kinsoku/>
        <w:wordWrap/>
        <w:overflowPunct/>
        <w:topLinePunct w:val="0"/>
        <w:autoSpaceDE/>
        <w:autoSpaceDN/>
        <w:bidi w:val="0"/>
        <w:spacing w:line="240" w:lineRule="auto"/>
        <w:ind w:firstLine="640" w:firstLineChars="200"/>
        <w:textAlignment w:val="auto"/>
        <w:outlineLvl w:val="2"/>
        <w:rPr>
          <w:rFonts w:hint="default" w:ascii="Times New Roman" w:hAnsi="Times New Roman" w:eastAsia="方正仿宋_GBK" w:cs="Times New Roman"/>
          <w:b w:val="0"/>
          <w:bCs/>
          <w:sz w:val="32"/>
          <w:szCs w:val="32"/>
          <w:lang w:val="zh-CN" w:eastAsia="zh-CN"/>
        </w:rPr>
      </w:pPr>
      <w:r>
        <w:rPr>
          <w:rFonts w:hint="default" w:ascii="Times New Roman" w:hAnsi="Times New Roman" w:eastAsia="方正仿宋_GBK" w:cs="Times New Roman"/>
          <w:b w:val="0"/>
          <w:bCs/>
          <w:sz w:val="32"/>
          <w:szCs w:val="32"/>
          <w:lang w:val="zh-CN" w:eastAsia="zh-CN"/>
        </w:rPr>
        <w:t>1.履职效能</w:t>
      </w:r>
    </w:p>
    <w:p w14:paraId="37BEF243">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kern w:val="0"/>
          <w:sz w:val="32"/>
          <w:szCs w:val="24"/>
          <w:lang w:val="zh-CN" w:eastAsia="zh-CN" w:bidi="ar-SA"/>
        </w:rPr>
      </w:pPr>
      <w:r>
        <w:rPr>
          <w:rFonts w:hint="default" w:ascii="Times New Roman" w:hAnsi="Times New Roman" w:eastAsia="方正仿宋_GBK" w:cs="Times New Roman"/>
          <w:kern w:val="0"/>
          <w:sz w:val="32"/>
          <w:szCs w:val="24"/>
          <w:lang w:val="en-US" w:eastAsia="zh-CN" w:bidi="ar-SA"/>
        </w:rPr>
        <w:t>一是</w:t>
      </w:r>
      <w:r>
        <w:rPr>
          <w:rFonts w:hint="default" w:ascii="Times New Roman" w:hAnsi="Times New Roman" w:eastAsia="方正仿宋_GBK" w:cs="Times New Roman"/>
          <w:kern w:val="0"/>
          <w:sz w:val="32"/>
          <w:szCs w:val="24"/>
          <w:lang w:val="zh-CN" w:eastAsia="zh-CN" w:bidi="ar-SA"/>
        </w:rPr>
        <w:t>盐边县第一初级（民族）中学改扩建项目，总投资1820万元，建设盐边县第一初级（民族）中学改扩建项目，投资1400万元，新建学生宿舍楼1栋3300平方米，以及相关配套设施建设；投资420万元，新建学生食堂工程，新建学生食堂一栋1200平方米，</w:t>
      </w:r>
      <w:r>
        <w:rPr>
          <w:rFonts w:hint="default" w:ascii="Times New Roman" w:hAnsi="Times New Roman" w:eastAsia="方正仿宋_GBK" w:cs="Times New Roman"/>
          <w:kern w:val="0"/>
          <w:sz w:val="32"/>
          <w:szCs w:val="24"/>
          <w:lang w:val="en-US" w:eastAsia="zh-CN" w:bidi="ar-SA"/>
        </w:rPr>
        <w:t>绩效指标达到98%以上。</w:t>
      </w:r>
      <w:r>
        <w:rPr>
          <w:rFonts w:hint="default" w:ascii="Times New Roman" w:hAnsi="Times New Roman" w:eastAsia="方正仿宋_GBK" w:cs="Times New Roman"/>
          <w:kern w:val="0"/>
          <w:sz w:val="32"/>
          <w:szCs w:val="24"/>
          <w:lang w:val="zh-CN" w:eastAsia="zh-CN" w:bidi="ar-SA"/>
        </w:rPr>
        <w:tab/>
      </w:r>
      <w:r>
        <w:rPr>
          <w:rFonts w:hint="default" w:ascii="Times New Roman" w:hAnsi="Times New Roman" w:eastAsia="方正仿宋_GBK" w:cs="Times New Roman"/>
          <w:kern w:val="0"/>
          <w:sz w:val="32"/>
          <w:szCs w:val="24"/>
          <w:lang w:val="en-US" w:eastAsia="zh-CN" w:bidi="ar-SA"/>
        </w:rPr>
        <w:t>二是家庭经济困难学生生活费补助，为了做好家庭经济困难学生认定工作，进一步提高资助精准度。预算数与执行数均为524.3625万元，初中资助标准625元/生/年，资助人数为5500人；小学生资助标准</w:t>
      </w:r>
      <w:r>
        <w:rPr>
          <w:rFonts w:hint="default" w:ascii="Times New Roman" w:hAnsi="Times New Roman" w:eastAsia="方正仿宋_GBK" w:cs="Times New Roman"/>
          <w:kern w:val="0"/>
          <w:sz w:val="32"/>
          <w:szCs w:val="24"/>
          <w:lang w:val="zh-CN" w:eastAsia="zh-CN" w:bidi="ar-SA"/>
        </w:rPr>
        <w:tab/>
      </w:r>
      <w:r>
        <w:rPr>
          <w:rFonts w:hint="default" w:ascii="Times New Roman" w:hAnsi="Times New Roman" w:eastAsia="方正仿宋_GBK" w:cs="Times New Roman"/>
          <w:kern w:val="0"/>
          <w:sz w:val="32"/>
          <w:szCs w:val="24"/>
          <w:lang w:val="en-US" w:eastAsia="zh-CN" w:bidi="ar-SA"/>
        </w:rPr>
        <w:t>500元/生/年，按时发放，不拖欠，效益减轻学生家庭经济压力，激励学生成长成才，绩效指标达到100%。</w:t>
      </w:r>
      <w:r>
        <w:rPr>
          <w:rFonts w:hint="default" w:ascii="Times New Roman" w:hAnsi="Times New Roman" w:eastAsia="方正仿宋_GBK" w:cs="Times New Roman"/>
          <w:kern w:val="0"/>
          <w:sz w:val="32"/>
          <w:szCs w:val="24"/>
          <w:lang w:val="zh-CN" w:eastAsia="zh-CN" w:bidi="ar-SA"/>
        </w:rPr>
        <w:tab/>
      </w:r>
      <w:r>
        <w:rPr>
          <w:rFonts w:hint="default" w:ascii="Times New Roman" w:hAnsi="Times New Roman" w:eastAsia="方正仿宋_GBK" w:cs="Times New Roman"/>
          <w:kern w:val="0"/>
          <w:sz w:val="32"/>
          <w:szCs w:val="24"/>
          <w:lang w:val="zh-CN" w:eastAsia="zh-CN" w:bidi="ar-SA"/>
        </w:rPr>
        <w:tab/>
      </w:r>
      <w:r>
        <w:rPr>
          <w:rFonts w:hint="default" w:ascii="Times New Roman" w:hAnsi="Times New Roman" w:eastAsia="方正仿宋_GBK" w:cs="Times New Roman"/>
          <w:kern w:val="0"/>
          <w:sz w:val="32"/>
          <w:szCs w:val="24"/>
          <w:lang w:val="zh-CN" w:eastAsia="zh-CN" w:bidi="ar-SA"/>
        </w:rPr>
        <w:tab/>
      </w:r>
      <w:r>
        <w:rPr>
          <w:rFonts w:hint="default" w:ascii="Times New Roman" w:hAnsi="Times New Roman" w:eastAsia="方正仿宋_GBK" w:cs="Times New Roman"/>
          <w:kern w:val="0"/>
          <w:sz w:val="32"/>
          <w:szCs w:val="24"/>
          <w:lang w:val="zh-CN" w:eastAsia="zh-CN" w:bidi="ar-SA"/>
        </w:rPr>
        <w:tab/>
      </w:r>
    </w:p>
    <w:p w14:paraId="3AC89BD3">
      <w:pPr>
        <w:keepNext w:val="0"/>
        <w:keepLines w:val="0"/>
        <w:pageBreakBefore w:val="0"/>
        <w:kinsoku/>
        <w:wordWrap/>
        <w:overflowPunct/>
        <w:topLinePunct w:val="0"/>
        <w:autoSpaceDE/>
        <w:autoSpaceDN/>
        <w:bidi w:val="0"/>
        <w:spacing w:line="240" w:lineRule="auto"/>
        <w:ind w:firstLine="640" w:firstLineChars="200"/>
        <w:textAlignment w:val="auto"/>
        <w:outlineLvl w:val="2"/>
        <w:rPr>
          <w:rFonts w:hint="default" w:ascii="Times New Roman" w:hAnsi="Times New Roman" w:eastAsia="方正仿宋_GBK" w:cs="Times New Roman"/>
          <w:b w:val="0"/>
          <w:bCs/>
          <w:sz w:val="32"/>
          <w:szCs w:val="32"/>
          <w:lang w:val="zh-CN" w:eastAsia="zh-CN"/>
        </w:rPr>
      </w:pPr>
      <w:r>
        <w:rPr>
          <w:rFonts w:hint="default" w:ascii="Times New Roman" w:hAnsi="Times New Roman" w:eastAsia="方正仿宋_GBK" w:cs="Times New Roman"/>
          <w:b w:val="0"/>
          <w:bCs/>
          <w:sz w:val="32"/>
          <w:szCs w:val="32"/>
          <w:lang w:val="zh-CN" w:eastAsia="zh-CN"/>
        </w:rPr>
        <w:t>2.预算管理</w:t>
      </w:r>
    </w:p>
    <w:p w14:paraId="4FB21550">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kern w:val="0"/>
          <w:sz w:val="32"/>
          <w:szCs w:val="24"/>
          <w:lang w:val="zh-CN" w:eastAsia="zh-CN" w:bidi="ar-SA"/>
        </w:rPr>
      </w:pPr>
      <w:r>
        <w:rPr>
          <w:rFonts w:hint="default" w:ascii="Times New Roman" w:hAnsi="Times New Roman" w:eastAsia="方正仿宋_GBK" w:cs="Times New Roman"/>
          <w:kern w:val="0"/>
          <w:sz w:val="32"/>
          <w:szCs w:val="24"/>
          <w:lang w:val="en-US" w:eastAsia="zh-CN" w:bidi="ar-SA"/>
        </w:rPr>
        <w:t>一是严格落实财政预算改革要求，实施零基预算，科学足额安排年度教育经费，及时批复年度预算。二是2024年度“三公经费”为2.86万元，比上年度减幅22.6%。三是2024年度支出数为50826.98万元，预算年终结余52.84万元，具体是本年度有市级资金。</w:t>
      </w:r>
    </w:p>
    <w:p w14:paraId="6F8E83A8">
      <w:pPr>
        <w:keepNext w:val="0"/>
        <w:keepLines w:val="0"/>
        <w:pageBreakBefore w:val="0"/>
        <w:kinsoku/>
        <w:wordWrap/>
        <w:overflowPunct/>
        <w:topLinePunct w:val="0"/>
        <w:autoSpaceDE/>
        <w:autoSpaceDN/>
        <w:bidi w:val="0"/>
        <w:spacing w:line="240" w:lineRule="auto"/>
        <w:ind w:firstLine="640" w:firstLineChars="200"/>
        <w:textAlignment w:val="auto"/>
        <w:outlineLvl w:val="2"/>
        <w:rPr>
          <w:rFonts w:hint="default" w:ascii="Times New Roman" w:hAnsi="Times New Roman" w:eastAsia="方正仿宋_GBK" w:cs="Times New Roman"/>
          <w:b w:val="0"/>
          <w:bCs/>
          <w:sz w:val="32"/>
          <w:szCs w:val="32"/>
          <w:lang w:val="zh-CN" w:eastAsia="zh-CN"/>
        </w:rPr>
      </w:pPr>
      <w:r>
        <w:rPr>
          <w:rFonts w:hint="default" w:ascii="Times New Roman" w:hAnsi="Times New Roman" w:eastAsia="方正仿宋_GBK" w:cs="Times New Roman"/>
          <w:b w:val="0"/>
          <w:bCs/>
          <w:sz w:val="32"/>
          <w:szCs w:val="32"/>
          <w:lang w:val="zh-CN" w:eastAsia="zh-CN"/>
        </w:rPr>
        <w:t>3.财务管理</w:t>
      </w:r>
    </w:p>
    <w:p w14:paraId="471816F4">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kern w:val="0"/>
          <w:sz w:val="32"/>
          <w:szCs w:val="24"/>
          <w:lang w:val="en-US" w:eastAsia="zh-CN" w:bidi="ar-SA"/>
        </w:rPr>
      </w:pPr>
      <w:r>
        <w:rPr>
          <w:rFonts w:hint="default" w:ascii="Times New Roman" w:hAnsi="Times New Roman" w:eastAsia="方正仿宋_GBK" w:cs="Times New Roman"/>
          <w:kern w:val="0"/>
          <w:sz w:val="32"/>
          <w:szCs w:val="24"/>
          <w:lang w:val="en-US" w:eastAsia="zh-CN" w:bidi="ar-SA"/>
        </w:rPr>
        <w:t>一是县教育和体育局的日常办公、业务及其它各项经费，实行集中统一管理，由分管财务工作的领导审批。二是财务人员要严格财务管理，遵守财经纪律。定期做好财务分析和财务报表。及时做好各种台账，并接受相关部门和上级主管部门的检查。三是严格控制“三公经费”和各种不合理开支。实行“一支笔”审批制度, 任何人不得越权批准。凡属重大开支均由集体研究决定。四是县教育和体育局经费必须按程序经批准后开支。报账程序为先由经办人注明支出事由，交分管财务局领导审核签字，分管领导签署意见，由主要领导签批。五是经费收支应按计划进行。年初编制收支预算，实行经费总额控制，专项经费开支（外出考察、学习等）和大宗设备购置，必须事先拟定计划和方案报办公室，由办公室提请分管领导审批后办理；日常办公用品的购买，先各中心、股室拟定购买计划送办公室，由办公室呈报分管副领导审批。大宗设备的采购实行公开招标办理。日常办公用品的购买由办公室安排两人以上办理，否则，不予报销。六是接待用餐和加班用餐严格控制，提倡节约。所有来客接待、日常事务和因加班需要安排工作餐的必须先向办公室申报，经主要领导批准后，由办公室在指定地点按标准统一安排。除市外办事等特殊情况可实行事后报告制外，其它情况一律履行事先申报手续。七是各股室建立财务专账。报销的各类票据应分科目登记台账，每月与办公室核对一次账目，做到账账相符、账据相符、帐物相符。</w:t>
      </w:r>
    </w:p>
    <w:p w14:paraId="78E98CE0">
      <w:pPr>
        <w:keepNext w:val="0"/>
        <w:keepLines w:val="0"/>
        <w:pageBreakBefore w:val="0"/>
        <w:kinsoku/>
        <w:wordWrap/>
        <w:overflowPunct/>
        <w:topLinePunct w:val="0"/>
        <w:autoSpaceDE/>
        <w:autoSpaceDN/>
        <w:bidi w:val="0"/>
        <w:spacing w:line="240" w:lineRule="auto"/>
        <w:ind w:firstLine="640" w:firstLineChars="200"/>
        <w:textAlignment w:val="auto"/>
        <w:outlineLvl w:val="2"/>
        <w:rPr>
          <w:rFonts w:hint="default" w:ascii="Times New Roman" w:hAnsi="Times New Roman" w:eastAsia="方正仿宋_GBK" w:cs="Times New Roman"/>
          <w:b w:val="0"/>
          <w:bCs/>
          <w:sz w:val="32"/>
          <w:szCs w:val="32"/>
          <w:lang w:val="zh-CN" w:eastAsia="zh-CN"/>
        </w:rPr>
      </w:pPr>
      <w:r>
        <w:rPr>
          <w:rFonts w:hint="default" w:ascii="Times New Roman" w:hAnsi="Times New Roman" w:eastAsia="方正仿宋_GBK" w:cs="Times New Roman"/>
          <w:b w:val="0"/>
          <w:bCs/>
          <w:sz w:val="32"/>
          <w:szCs w:val="32"/>
          <w:lang w:val="zh-CN" w:eastAsia="zh-CN"/>
        </w:rPr>
        <w:t>4.资产管理。</w:t>
      </w:r>
    </w:p>
    <w:p w14:paraId="1A626100">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kern w:val="0"/>
          <w:sz w:val="32"/>
          <w:szCs w:val="24"/>
          <w:lang w:val="zh-CN" w:eastAsia="zh-CN" w:bidi="ar-SA"/>
        </w:rPr>
      </w:pPr>
      <w:r>
        <w:rPr>
          <w:rFonts w:hint="default" w:ascii="Times New Roman" w:hAnsi="Times New Roman" w:eastAsia="方正仿宋_GBK" w:cs="Times New Roman"/>
          <w:kern w:val="0"/>
          <w:sz w:val="32"/>
          <w:szCs w:val="24"/>
          <w:lang w:val="en-US" w:eastAsia="zh-CN" w:bidi="ar-SA"/>
        </w:rPr>
        <w:t>一是对所有固定资产，每年进行一次清查、以物对账、以账对物，做到账表相符，账账相符，账实相符。发生盈亏、报废等及时处理调整账户，保持固定资产账、卡、物相一致。二是局机关在进行财产清查时，要在局机关领导的安排下，由办公室主任具体负责，组织相关人员参加。清查方法以核实账面、实地盘点为主，以抽查、临时盘仓的方法为辅，以达到摸清家底、保证财产安全的目的。三是对清查出的各项未使用、不需用的固定资产，要查明购建日期，使用时间和技术状况等，按调拔、出售、待报废等提出处理意见，并及时上报上级领导。经清查后的各项固定资产，要区别固定资产用途和使用情况（指在用、未使用或不需用等）进行重新登</w:t>
      </w:r>
      <w:r>
        <w:rPr>
          <w:rFonts w:hint="default" w:ascii="Times New Roman" w:hAnsi="Times New Roman" w:eastAsia="方正仿宋_GBK" w:cs="Times New Roman"/>
          <w:kern w:val="0"/>
          <w:sz w:val="32"/>
          <w:szCs w:val="24"/>
          <w:lang w:val="zh-CN" w:eastAsia="zh-CN" w:bidi="ar-SA"/>
        </w:rPr>
        <w:t>记。</w:t>
      </w:r>
    </w:p>
    <w:p w14:paraId="00051521">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kern w:val="0"/>
          <w:sz w:val="32"/>
          <w:szCs w:val="24"/>
          <w:lang w:val="zh-CN" w:eastAsia="zh-CN" w:bidi="ar-SA"/>
        </w:rPr>
      </w:pPr>
      <w:r>
        <w:rPr>
          <w:rFonts w:hint="default" w:ascii="Times New Roman" w:hAnsi="Times New Roman" w:eastAsia="方正仿宋_GBK" w:cs="Times New Roman"/>
          <w:kern w:val="0"/>
          <w:sz w:val="32"/>
          <w:szCs w:val="24"/>
          <w:lang w:val="zh-CN" w:eastAsia="zh-CN" w:bidi="ar-SA"/>
        </w:rPr>
        <w:t>5.采购管理</w:t>
      </w:r>
    </w:p>
    <w:p w14:paraId="1F97C013">
      <w:pPr>
        <w:keepNext w:val="0"/>
        <w:keepLines w:val="0"/>
        <w:pageBreakBefore w:val="0"/>
        <w:kinsoku/>
        <w:wordWrap/>
        <w:overflowPunct/>
        <w:topLinePunct w:val="0"/>
        <w:autoSpaceDE/>
        <w:autoSpaceDN/>
        <w:bidi w:val="0"/>
        <w:spacing w:line="240" w:lineRule="auto"/>
        <w:ind w:firstLine="640"/>
        <w:textAlignment w:val="auto"/>
        <w:rPr>
          <w:rFonts w:hint="default" w:ascii="Times New Roman" w:hAnsi="Times New Roman" w:eastAsia="方正仿宋_GBK" w:cs="Times New Roman"/>
          <w:kern w:val="0"/>
          <w:sz w:val="32"/>
          <w:szCs w:val="24"/>
          <w:lang w:val="en-US" w:eastAsia="zh-CN" w:bidi="ar-SA"/>
        </w:rPr>
      </w:pPr>
      <w:r>
        <w:rPr>
          <w:rFonts w:hint="default" w:ascii="Times New Roman" w:hAnsi="Times New Roman" w:eastAsia="方正仿宋_GBK" w:cs="Times New Roman"/>
          <w:kern w:val="0"/>
          <w:sz w:val="32"/>
          <w:szCs w:val="24"/>
          <w:lang w:val="en-US" w:eastAsia="zh-CN" w:bidi="ar-SA"/>
        </w:rPr>
        <w:t>按照盐边县财政局关于印发《盐边县行政事业单位同意办公设备和办公家具配置限额标准》的通知与附件盐边县行政事业单位统一办公设备和办公家具配置限额标准表要求进行采购。</w:t>
      </w:r>
    </w:p>
    <w:p w14:paraId="3488FE52">
      <w:pPr>
        <w:keepNext w:val="0"/>
        <w:keepLines w:val="0"/>
        <w:pageBreakBefore w:val="0"/>
        <w:kinsoku/>
        <w:wordWrap/>
        <w:overflowPunct/>
        <w:topLinePunct w:val="0"/>
        <w:autoSpaceDE/>
        <w:autoSpaceDN/>
        <w:bidi w:val="0"/>
        <w:spacing w:line="240" w:lineRule="auto"/>
        <w:ind w:firstLine="643" w:firstLineChars="200"/>
        <w:textAlignment w:val="auto"/>
        <w:outlineLvl w:val="2"/>
        <w:rPr>
          <w:rFonts w:hint="default" w:ascii="Times New Roman" w:hAnsi="Times New Roman" w:eastAsia="方正楷体_GBK" w:cs="Times New Roman"/>
          <w:b/>
          <w:bCs w:val="0"/>
          <w:sz w:val="32"/>
          <w:szCs w:val="32"/>
          <w:lang w:val="zh-CN" w:eastAsia="zh-CN"/>
        </w:rPr>
      </w:pPr>
      <w:r>
        <w:rPr>
          <w:rFonts w:hint="default" w:ascii="Times New Roman" w:hAnsi="Times New Roman" w:eastAsia="方正楷体_GBK" w:cs="Times New Roman"/>
          <w:b/>
          <w:bCs w:val="0"/>
          <w:sz w:val="32"/>
          <w:szCs w:val="32"/>
          <w:lang w:val="zh-CN" w:eastAsia="zh-CN"/>
        </w:rPr>
        <w:t>（</w:t>
      </w:r>
      <w:r>
        <w:rPr>
          <w:rFonts w:hint="default" w:ascii="Times New Roman" w:hAnsi="Times New Roman" w:eastAsia="方正楷体_GBK" w:cs="Times New Roman"/>
          <w:b/>
          <w:bCs w:val="0"/>
          <w:sz w:val="32"/>
          <w:szCs w:val="32"/>
          <w:lang w:val="zh-CN" w:eastAsia="zh-CN"/>
        </w:rPr>
        <w:t>二）部门预算项目绩效分析。</w:t>
      </w:r>
    </w:p>
    <w:p w14:paraId="43362A16">
      <w:pPr>
        <w:keepNext w:val="0"/>
        <w:keepLines w:val="0"/>
        <w:pageBreakBefore w:val="0"/>
        <w:widowControl/>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default" w:ascii="Times New Roman" w:hAnsi="Times New Roman" w:eastAsia="方正仿宋_GBK" w:cs="Times New Roman"/>
          <w:color w:val="000000" w:themeColor="text1"/>
          <w:kern w:val="0"/>
          <w:sz w:val="32"/>
          <w:szCs w:val="32"/>
          <w:lang w:val="zh-CN" w:eastAsia="zh-CN"/>
          <w14:textFill>
            <w14:solidFill>
              <w14:schemeClr w14:val="tx1"/>
            </w14:solidFill>
          </w14:textFill>
        </w:rPr>
      </w:pPr>
      <w:r>
        <w:rPr>
          <w:rFonts w:hint="default" w:ascii="Times New Roman" w:hAnsi="Times New Roman" w:eastAsia="方正仿宋_GBK" w:cs="Times New Roman"/>
          <w:color w:val="000000" w:themeColor="text1"/>
          <w:kern w:val="0"/>
          <w:sz w:val="32"/>
          <w:szCs w:val="32"/>
          <w:lang w:val="en-US" w:eastAsia="zh-CN"/>
          <w14:textFill>
            <w14:solidFill>
              <w14:schemeClr w14:val="tx1"/>
            </w14:solidFill>
          </w14:textFill>
        </w:rPr>
        <w:t>常年项目绩效分析。</w:t>
      </w:r>
      <w:r>
        <w:rPr>
          <w:rFonts w:hint="default" w:ascii="Times New Roman" w:hAnsi="Times New Roman" w:eastAsia="方正仿宋_GBK" w:cs="Times New Roman"/>
          <w:color w:val="000000" w:themeColor="text1"/>
          <w:kern w:val="0"/>
          <w:sz w:val="32"/>
          <w:szCs w:val="32"/>
          <w:lang w:val="zh-CN" w:eastAsia="zh-CN"/>
          <w14:textFill>
            <w14:solidFill>
              <w14:schemeClr w14:val="tx1"/>
            </w14:solidFill>
          </w14:textFill>
        </w:rPr>
        <w:t>该类项目总数</w:t>
      </w:r>
      <w:r>
        <w:rPr>
          <w:rFonts w:hint="default" w:ascii="Times New Roman" w:hAnsi="Times New Roman" w:eastAsia="方正仿宋_GBK" w:cs="Times New Roman"/>
          <w:color w:val="000000" w:themeColor="text1"/>
          <w:kern w:val="0"/>
          <w:sz w:val="32"/>
          <w:szCs w:val="32"/>
          <w:lang w:val="en-US" w:eastAsia="zh-CN"/>
          <w14:textFill>
            <w14:solidFill>
              <w14:schemeClr w14:val="tx1"/>
            </w14:solidFill>
          </w14:textFill>
        </w:rPr>
        <w:t>63</w:t>
      </w:r>
      <w:r>
        <w:rPr>
          <w:rFonts w:hint="default" w:ascii="Times New Roman" w:hAnsi="Times New Roman" w:eastAsia="方正仿宋_GBK" w:cs="Times New Roman"/>
          <w:color w:val="000000" w:themeColor="text1"/>
          <w:kern w:val="0"/>
          <w:sz w:val="32"/>
          <w:szCs w:val="32"/>
          <w:lang w:val="zh-CN" w:eastAsia="zh-CN"/>
          <w14:textFill>
            <w14:solidFill>
              <w14:schemeClr w14:val="tx1"/>
            </w14:solidFill>
          </w14:textFill>
        </w:rPr>
        <w:t>个，涉及预算总金额</w:t>
      </w:r>
      <w:r>
        <w:rPr>
          <w:rFonts w:hint="default" w:ascii="Times New Roman" w:hAnsi="Times New Roman" w:eastAsia="方正仿宋_GBK" w:cs="Times New Roman"/>
          <w:color w:val="000000" w:themeColor="text1"/>
          <w:kern w:val="0"/>
          <w:sz w:val="32"/>
          <w:szCs w:val="32"/>
          <w:lang w:val="en-US" w:eastAsia="zh-CN"/>
          <w14:textFill>
            <w14:solidFill>
              <w14:schemeClr w14:val="tx1"/>
            </w14:solidFill>
          </w14:textFill>
        </w:rPr>
        <w:t>6886.96</w:t>
      </w:r>
      <w:r>
        <w:rPr>
          <w:rFonts w:hint="default" w:ascii="Times New Roman" w:hAnsi="Times New Roman" w:eastAsia="方正仿宋_GBK" w:cs="Times New Roman"/>
          <w:color w:val="000000" w:themeColor="text1"/>
          <w:kern w:val="0"/>
          <w:sz w:val="32"/>
          <w:szCs w:val="32"/>
          <w:lang w:val="zh-CN" w:eastAsia="zh-CN"/>
          <w14:textFill>
            <w14:solidFill>
              <w14:schemeClr w14:val="tx1"/>
            </w14:solidFill>
          </w14:textFill>
        </w:rPr>
        <w:t>万元，1—1</w:t>
      </w:r>
      <w:r>
        <w:rPr>
          <w:rFonts w:hint="default" w:ascii="Times New Roman" w:hAnsi="Times New Roman" w:eastAsia="方正仿宋_GBK" w:cs="Times New Roman"/>
          <w:color w:val="000000" w:themeColor="text1"/>
          <w:kern w:val="0"/>
          <w:sz w:val="32"/>
          <w:szCs w:val="32"/>
          <w:lang w:val="en-US" w:eastAsia="zh-CN"/>
          <w14:textFill>
            <w14:solidFill>
              <w14:schemeClr w14:val="tx1"/>
            </w14:solidFill>
          </w14:textFill>
        </w:rPr>
        <w:t>2</w:t>
      </w:r>
      <w:r>
        <w:rPr>
          <w:rFonts w:hint="default" w:ascii="Times New Roman" w:hAnsi="Times New Roman" w:eastAsia="方正仿宋_GBK" w:cs="Times New Roman"/>
          <w:color w:val="000000" w:themeColor="text1"/>
          <w:kern w:val="0"/>
          <w:sz w:val="32"/>
          <w:szCs w:val="32"/>
          <w:lang w:val="zh-CN" w:eastAsia="zh-CN"/>
          <w14:textFill>
            <w14:solidFill>
              <w14:schemeClr w14:val="tx1"/>
            </w14:solidFill>
          </w14:textFill>
        </w:rPr>
        <w:t>月预算执行总体进度为</w:t>
      </w:r>
      <w:r>
        <w:rPr>
          <w:rFonts w:hint="default" w:ascii="Times New Roman" w:hAnsi="Times New Roman" w:eastAsia="方正仿宋_GBK" w:cs="Times New Roman"/>
          <w:color w:val="000000" w:themeColor="text1"/>
          <w:kern w:val="0"/>
          <w:sz w:val="32"/>
          <w:szCs w:val="32"/>
          <w:lang w:val="en-US" w:eastAsia="zh-CN"/>
          <w14:textFill>
            <w14:solidFill>
              <w14:schemeClr w14:val="tx1"/>
            </w14:solidFill>
          </w14:textFill>
        </w:rPr>
        <w:t>79.54</w:t>
      </w:r>
      <w:r>
        <w:rPr>
          <w:rFonts w:hint="default" w:ascii="Times New Roman" w:hAnsi="Times New Roman" w:eastAsia="方正仿宋_GBK" w:cs="Times New Roman"/>
          <w:color w:val="000000" w:themeColor="text1"/>
          <w:kern w:val="0"/>
          <w:sz w:val="32"/>
          <w:szCs w:val="32"/>
          <w:lang w:val="zh-CN" w:eastAsia="zh-CN"/>
          <w14:textFill>
            <w14:solidFill>
              <w14:schemeClr w14:val="tx1"/>
            </w14:solidFill>
          </w14:textFill>
        </w:rPr>
        <w:t>%，其中：预算结余率大于</w:t>
      </w:r>
      <w:r>
        <w:rPr>
          <w:rFonts w:hint="default" w:ascii="Times New Roman" w:hAnsi="Times New Roman" w:eastAsia="方正仿宋_GBK" w:cs="Times New Roman"/>
          <w:color w:val="000000" w:themeColor="text1"/>
          <w:kern w:val="0"/>
          <w:sz w:val="32"/>
          <w:szCs w:val="32"/>
          <w:lang w:val="en-US" w:eastAsia="zh-CN"/>
          <w14:textFill>
            <w14:solidFill>
              <w14:schemeClr w14:val="tx1"/>
            </w14:solidFill>
          </w14:textFill>
        </w:rPr>
        <w:t>10%</w:t>
      </w:r>
      <w:r>
        <w:rPr>
          <w:rFonts w:hint="default" w:ascii="Times New Roman" w:hAnsi="Times New Roman" w:eastAsia="方正仿宋_GBK" w:cs="Times New Roman"/>
          <w:color w:val="000000" w:themeColor="text1"/>
          <w:kern w:val="0"/>
          <w:sz w:val="32"/>
          <w:szCs w:val="32"/>
          <w:lang w:val="zh-CN" w:eastAsia="zh-CN"/>
          <w14:textFill>
            <w14:solidFill>
              <w14:schemeClr w14:val="tx1"/>
            </w14:solidFill>
          </w14:textFill>
        </w:rPr>
        <w:t>的项目共计</w:t>
      </w:r>
      <w:r>
        <w:rPr>
          <w:rFonts w:hint="default" w:ascii="Times New Roman" w:hAnsi="Times New Roman" w:eastAsia="方正仿宋_GBK" w:cs="Times New Roman"/>
          <w:color w:val="000000" w:themeColor="text1"/>
          <w:kern w:val="0"/>
          <w:sz w:val="32"/>
          <w:szCs w:val="32"/>
          <w:lang w:val="en-US" w:eastAsia="zh-CN"/>
          <w14:textFill>
            <w14:solidFill>
              <w14:schemeClr w14:val="tx1"/>
            </w14:solidFill>
          </w14:textFill>
        </w:rPr>
        <w:t>36</w:t>
      </w:r>
      <w:r>
        <w:rPr>
          <w:rFonts w:hint="default" w:ascii="Times New Roman" w:hAnsi="Times New Roman" w:eastAsia="方正仿宋_GBK" w:cs="Times New Roman"/>
          <w:color w:val="000000" w:themeColor="text1"/>
          <w:kern w:val="0"/>
          <w:sz w:val="32"/>
          <w:szCs w:val="32"/>
          <w:lang w:val="zh-CN" w:eastAsia="zh-CN"/>
          <w14:textFill>
            <w14:solidFill>
              <w14:schemeClr w14:val="tx1"/>
            </w14:solidFill>
          </w14:textFill>
        </w:rPr>
        <w:t>个。</w:t>
      </w:r>
    </w:p>
    <w:p w14:paraId="3DA6C75B">
      <w:pPr>
        <w:keepNext w:val="0"/>
        <w:keepLines w:val="0"/>
        <w:pageBreakBefore w:val="0"/>
        <w:widowControl/>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default" w:ascii="Times New Roman" w:hAnsi="Times New Roman" w:eastAsia="方正仿宋_GBK" w:cs="Times New Roman"/>
          <w:color w:val="000000" w:themeColor="text1"/>
          <w:kern w:val="0"/>
          <w:sz w:val="32"/>
          <w:szCs w:val="32"/>
          <w:lang w:val="zh-CN" w:eastAsia="zh-CN"/>
          <w14:textFill>
            <w14:solidFill>
              <w14:schemeClr w14:val="tx1"/>
            </w14:solidFill>
          </w14:textFill>
        </w:rPr>
      </w:pPr>
      <w:r>
        <w:rPr>
          <w:rFonts w:hint="default" w:ascii="Times New Roman" w:hAnsi="Times New Roman" w:eastAsia="方正仿宋_GBK" w:cs="Times New Roman"/>
          <w:color w:val="000000" w:themeColor="text1"/>
          <w:kern w:val="0"/>
          <w:sz w:val="32"/>
          <w:szCs w:val="32"/>
          <w:lang w:val="en-US" w:eastAsia="zh-CN"/>
          <w14:textFill>
            <w14:solidFill>
              <w14:schemeClr w14:val="tx1"/>
            </w14:solidFill>
          </w14:textFill>
        </w:rPr>
        <w:t>阶段（一次性）项目绩效分析。</w:t>
      </w:r>
      <w:r>
        <w:rPr>
          <w:rFonts w:hint="default" w:ascii="Times New Roman" w:hAnsi="Times New Roman" w:eastAsia="方正仿宋_GBK" w:cs="Times New Roman"/>
          <w:color w:val="000000" w:themeColor="text1"/>
          <w:kern w:val="0"/>
          <w:sz w:val="32"/>
          <w:szCs w:val="32"/>
          <w:lang w:val="zh-CN" w:eastAsia="zh-CN"/>
          <w14:textFill>
            <w14:solidFill>
              <w14:schemeClr w14:val="tx1"/>
            </w14:solidFill>
          </w14:textFill>
        </w:rPr>
        <w:t>该类项目总数</w:t>
      </w:r>
      <w:r>
        <w:rPr>
          <w:rFonts w:hint="default" w:ascii="Times New Roman" w:hAnsi="Times New Roman" w:eastAsia="方正仿宋_GBK" w:cs="Times New Roman"/>
          <w:color w:val="000000" w:themeColor="text1"/>
          <w:kern w:val="0"/>
          <w:sz w:val="32"/>
          <w:szCs w:val="32"/>
          <w:lang w:val="en-US" w:eastAsia="zh-CN"/>
          <w14:textFill>
            <w14:solidFill>
              <w14:schemeClr w14:val="tx1"/>
            </w14:solidFill>
          </w14:textFill>
        </w:rPr>
        <w:t>29</w:t>
      </w:r>
      <w:r>
        <w:rPr>
          <w:rFonts w:hint="default" w:ascii="Times New Roman" w:hAnsi="Times New Roman" w:eastAsia="方正仿宋_GBK" w:cs="Times New Roman"/>
          <w:color w:val="000000" w:themeColor="text1"/>
          <w:kern w:val="0"/>
          <w:sz w:val="32"/>
          <w:szCs w:val="32"/>
          <w:lang w:val="zh-CN" w:eastAsia="zh-CN"/>
          <w14:textFill>
            <w14:solidFill>
              <w14:schemeClr w14:val="tx1"/>
            </w14:solidFill>
          </w14:textFill>
        </w:rPr>
        <w:t>个，涉及预算总金额</w:t>
      </w:r>
      <w:r>
        <w:rPr>
          <w:rFonts w:hint="default" w:ascii="Times New Roman" w:hAnsi="Times New Roman" w:eastAsia="方正仿宋_GBK" w:cs="Times New Roman"/>
          <w:color w:val="000000" w:themeColor="text1"/>
          <w:kern w:val="0"/>
          <w:sz w:val="32"/>
          <w:szCs w:val="32"/>
          <w:lang w:val="en-US" w:eastAsia="zh-CN"/>
          <w14:textFill>
            <w14:solidFill>
              <w14:schemeClr w14:val="tx1"/>
            </w14:solidFill>
          </w14:textFill>
        </w:rPr>
        <w:t>617</w:t>
      </w:r>
      <w:r>
        <w:rPr>
          <w:rFonts w:hint="default" w:ascii="Times New Roman" w:hAnsi="Times New Roman" w:eastAsia="方正仿宋_GBK" w:cs="Times New Roman"/>
          <w:color w:val="000000" w:themeColor="text1"/>
          <w:kern w:val="0"/>
          <w:sz w:val="32"/>
          <w:szCs w:val="32"/>
          <w:lang w:val="zh-CN" w:eastAsia="zh-CN"/>
          <w14:textFill>
            <w14:solidFill>
              <w14:schemeClr w14:val="tx1"/>
            </w14:solidFill>
          </w14:textFill>
        </w:rPr>
        <w:t>万元，1—1</w:t>
      </w:r>
      <w:r>
        <w:rPr>
          <w:rFonts w:hint="default" w:ascii="Times New Roman" w:hAnsi="Times New Roman" w:eastAsia="方正仿宋_GBK" w:cs="Times New Roman"/>
          <w:color w:val="000000" w:themeColor="text1"/>
          <w:kern w:val="0"/>
          <w:sz w:val="32"/>
          <w:szCs w:val="32"/>
          <w:lang w:val="en-US" w:eastAsia="zh-CN"/>
          <w14:textFill>
            <w14:solidFill>
              <w14:schemeClr w14:val="tx1"/>
            </w14:solidFill>
          </w14:textFill>
        </w:rPr>
        <w:t>2</w:t>
      </w:r>
      <w:r>
        <w:rPr>
          <w:rFonts w:hint="default" w:ascii="Times New Roman" w:hAnsi="Times New Roman" w:eastAsia="方正仿宋_GBK" w:cs="Times New Roman"/>
          <w:color w:val="000000" w:themeColor="text1"/>
          <w:kern w:val="0"/>
          <w:sz w:val="32"/>
          <w:szCs w:val="32"/>
          <w:lang w:val="zh-CN" w:eastAsia="zh-CN"/>
          <w14:textFill>
            <w14:solidFill>
              <w14:schemeClr w14:val="tx1"/>
            </w14:solidFill>
          </w14:textFill>
        </w:rPr>
        <w:t>月预算执行总体进度为</w:t>
      </w:r>
      <w:r>
        <w:rPr>
          <w:rFonts w:hint="default" w:ascii="Times New Roman" w:hAnsi="Times New Roman" w:eastAsia="方正仿宋_GBK" w:cs="Times New Roman"/>
          <w:color w:val="000000" w:themeColor="text1"/>
          <w:kern w:val="0"/>
          <w:sz w:val="32"/>
          <w:szCs w:val="32"/>
          <w:lang w:val="en-US" w:eastAsia="zh-CN"/>
          <w14:textFill>
            <w14:solidFill>
              <w14:schemeClr w14:val="tx1"/>
            </w14:solidFill>
          </w14:textFill>
        </w:rPr>
        <w:t>7.38</w:t>
      </w:r>
      <w:r>
        <w:rPr>
          <w:rFonts w:hint="default" w:ascii="Times New Roman" w:hAnsi="Times New Roman" w:eastAsia="方正仿宋_GBK" w:cs="Times New Roman"/>
          <w:color w:val="000000" w:themeColor="text1"/>
          <w:kern w:val="0"/>
          <w:sz w:val="32"/>
          <w:szCs w:val="32"/>
          <w:lang w:val="zh-CN" w:eastAsia="zh-CN"/>
          <w14:textFill>
            <w14:solidFill>
              <w14:schemeClr w14:val="tx1"/>
            </w14:solidFill>
          </w14:textFill>
        </w:rPr>
        <w:t>%，其中：预算结余率大于</w:t>
      </w:r>
      <w:r>
        <w:rPr>
          <w:rFonts w:hint="default" w:ascii="Times New Roman" w:hAnsi="Times New Roman" w:eastAsia="方正仿宋_GBK" w:cs="Times New Roman"/>
          <w:color w:val="000000" w:themeColor="text1"/>
          <w:kern w:val="0"/>
          <w:sz w:val="32"/>
          <w:szCs w:val="32"/>
          <w:lang w:val="en-US" w:eastAsia="zh-CN"/>
          <w14:textFill>
            <w14:solidFill>
              <w14:schemeClr w14:val="tx1"/>
            </w14:solidFill>
          </w14:textFill>
        </w:rPr>
        <w:t>10%</w:t>
      </w:r>
      <w:r>
        <w:rPr>
          <w:rFonts w:hint="default" w:ascii="Times New Roman" w:hAnsi="Times New Roman" w:eastAsia="方正仿宋_GBK" w:cs="Times New Roman"/>
          <w:color w:val="000000" w:themeColor="text1"/>
          <w:kern w:val="0"/>
          <w:sz w:val="32"/>
          <w:szCs w:val="32"/>
          <w:lang w:val="zh-CN" w:eastAsia="zh-CN"/>
          <w14:textFill>
            <w14:solidFill>
              <w14:schemeClr w14:val="tx1"/>
            </w14:solidFill>
          </w14:textFill>
        </w:rPr>
        <w:t>的项目共计</w:t>
      </w:r>
      <w:r>
        <w:rPr>
          <w:rFonts w:hint="default" w:ascii="Times New Roman" w:hAnsi="Times New Roman" w:eastAsia="方正仿宋_GBK" w:cs="Times New Roman"/>
          <w:color w:val="000000" w:themeColor="text1"/>
          <w:kern w:val="0"/>
          <w:sz w:val="32"/>
          <w:szCs w:val="32"/>
          <w:lang w:val="en-US" w:eastAsia="zh-CN"/>
          <w14:textFill>
            <w14:solidFill>
              <w14:schemeClr w14:val="tx1"/>
            </w14:solidFill>
          </w14:textFill>
        </w:rPr>
        <w:t>19</w:t>
      </w:r>
      <w:r>
        <w:rPr>
          <w:rFonts w:hint="default" w:ascii="Times New Roman" w:hAnsi="Times New Roman" w:eastAsia="方正仿宋_GBK" w:cs="Times New Roman"/>
          <w:color w:val="000000" w:themeColor="text1"/>
          <w:kern w:val="0"/>
          <w:sz w:val="32"/>
          <w:szCs w:val="32"/>
          <w:lang w:val="zh-CN" w:eastAsia="zh-CN"/>
          <w14:textFill>
            <w14:solidFill>
              <w14:schemeClr w14:val="tx1"/>
            </w14:solidFill>
          </w14:textFill>
        </w:rPr>
        <w:t>个。</w:t>
      </w:r>
    </w:p>
    <w:p w14:paraId="190E611F">
      <w:pPr>
        <w:keepNext w:val="0"/>
        <w:keepLines w:val="0"/>
        <w:pageBreakBefore w:val="0"/>
        <w:widowControl/>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default" w:ascii="Times New Roman" w:hAnsi="Times New Roman" w:eastAsia="方正仿宋_GBK" w:cs="Times New Roman"/>
          <w:color w:val="000000" w:themeColor="text1"/>
          <w:kern w:val="0"/>
          <w:sz w:val="32"/>
          <w:szCs w:val="32"/>
          <w:lang w:val="zh-CN" w:eastAsia="zh-CN"/>
          <w14:textFill>
            <w14:solidFill>
              <w14:schemeClr w14:val="tx1"/>
            </w14:solidFill>
          </w14:textFill>
        </w:rPr>
      </w:pPr>
      <w:r>
        <w:rPr>
          <w:rFonts w:hint="default" w:ascii="Times New Roman" w:hAnsi="Times New Roman" w:eastAsia="方正仿宋_GBK" w:cs="Times New Roman"/>
          <w:color w:val="000000" w:themeColor="text1"/>
          <w:kern w:val="0"/>
          <w:sz w:val="32"/>
          <w:szCs w:val="32"/>
          <w:lang w:val="en-US" w:eastAsia="zh-CN"/>
          <w14:textFill>
            <w14:solidFill>
              <w14:schemeClr w14:val="tx1"/>
            </w14:solidFill>
          </w14:textFill>
        </w:rPr>
        <w:t>1.</w:t>
      </w:r>
      <w:r>
        <w:rPr>
          <w:rFonts w:hint="default" w:ascii="Times New Roman" w:hAnsi="Times New Roman" w:eastAsia="方正仿宋_GBK" w:cs="Times New Roman"/>
          <w:color w:val="000000" w:themeColor="text1"/>
          <w:kern w:val="0"/>
          <w:sz w:val="32"/>
          <w:szCs w:val="32"/>
          <w:lang w:val="zh-CN" w:eastAsia="zh-CN"/>
          <w14:textFill>
            <w14:solidFill>
              <w14:schemeClr w14:val="tx1"/>
            </w14:solidFill>
          </w14:textFill>
        </w:rPr>
        <w:t>项目决策。</w:t>
      </w:r>
    </w:p>
    <w:p w14:paraId="04F07DF7">
      <w:pPr>
        <w:keepNext w:val="0"/>
        <w:keepLines w:val="0"/>
        <w:pageBreakBefore w:val="0"/>
        <w:widowControl/>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default" w:ascii="Times New Roman" w:hAnsi="Times New Roman" w:eastAsia="方正仿宋_GBK" w:cs="Times New Roman"/>
          <w:color w:val="000000" w:themeColor="text1"/>
          <w:kern w:val="0"/>
          <w:sz w:val="32"/>
          <w:szCs w:val="32"/>
          <w:lang w:val="zh-CN" w:eastAsia="zh-CN"/>
          <w14:textFill>
            <w14:solidFill>
              <w14:schemeClr w14:val="tx1"/>
            </w14:solidFill>
          </w14:textFill>
        </w:rPr>
      </w:pPr>
      <w:r>
        <w:rPr>
          <w:rFonts w:hint="default" w:ascii="Times New Roman" w:hAnsi="Times New Roman" w:eastAsia="方正仿宋_GBK" w:cs="Times New Roman"/>
          <w:color w:val="000000" w:themeColor="text1"/>
          <w:kern w:val="0"/>
          <w:sz w:val="32"/>
          <w:szCs w:val="32"/>
          <w:lang w:val="zh-CN" w:eastAsia="zh-CN"/>
          <w14:textFill>
            <w14:solidFill>
              <w14:schemeClr w14:val="tx1"/>
            </w14:solidFill>
          </w14:textFill>
        </w:rPr>
        <w:t>严格围绕项目决策程序进行专项项目编制，设立相关绩效目标，严格按照程序进行项目入库并进行预算绩效分析。</w:t>
      </w:r>
    </w:p>
    <w:p w14:paraId="64997223">
      <w:pPr>
        <w:keepNext w:val="0"/>
        <w:keepLines w:val="0"/>
        <w:pageBreakBefore w:val="0"/>
        <w:widowControl/>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default" w:ascii="Times New Roman" w:hAnsi="Times New Roman" w:eastAsia="方正仿宋_GBK" w:cs="Times New Roman"/>
          <w:color w:val="000000" w:themeColor="text1"/>
          <w:kern w:val="0"/>
          <w:sz w:val="32"/>
          <w:szCs w:val="32"/>
          <w:lang w:val="zh-CN" w:eastAsia="zh-CN"/>
          <w14:textFill>
            <w14:solidFill>
              <w14:schemeClr w14:val="tx1"/>
            </w14:solidFill>
          </w14:textFill>
        </w:rPr>
      </w:pPr>
      <w:r>
        <w:rPr>
          <w:rFonts w:hint="default" w:ascii="Times New Roman" w:hAnsi="Times New Roman" w:eastAsia="方正仿宋_GBK" w:cs="Times New Roman"/>
          <w:color w:val="000000" w:themeColor="text1"/>
          <w:kern w:val="0"/>
          <w:sz w:val="32"/>
          <w:szCs w:val="32"/>
          <w:lang w:val="zh-CN" w:eastAsia="zh-CN"/>
          <w14:textFill>
            <w14:solidFill>
              <w14:schemeClr w14:val="tx1"/>
            </w14:solidFill>
          </w14:textFill>
        </w:rPr>
        <w:t>2.</w:t>
      </w:r>
      <w:r>
        <w:rPr>
          <w:rFonts w:hint="default" w:ascii="Times New Roman" w:hAnsi="Times New Roman" w:eastAsia="方正仿宋_GBK" w:cs="Times New Roman"/>
          <w:color w:val="000000" w:themeColor="text1"/>
          <w:kern w:val="0"/>
          <w:sz w:val="32"/>
          <w:szCs w:val="32"/>
          <w:lang w:val="en-US" w:eastAsia="zh-CN"/>
          <w14:textFill>
            <w14:solidFill>
              <w14:schemeClr w14:val="tx1"/>
            </w14:solidFill>
          </w14:textFill>
        </w:rPr>
        <w:t>项目执行</w:t>
      </w:r>
      <w:r>
        <w:rPr>
          <w:rFonts w:hint="default" w:ascii="Times New Roman" w:hAnsi="Times New Roman" w:eastAsia="方正仿宋_GBK" w:cs="Times New Roman"/>
          <w:color w:val="000000" w:themeColor="text1"/>
          <w:kern w:val="0"/>
          <w:sz w:val="32"/>
          <w:szCs w:val="32"/>
          <w:lang w:val="zh-CN" w:eastAsia="zh-CN"/>
          <w14:textFill>
            <w14:solidFill>
              <w14:schemeClr w14:val="tx1"/>
            </w14:solidFill>
          </w14:textFill>
        </w:rPr>
        <w:t>。</w:t>
      </w:r>
    </w:p>
    <w:p w14:paraId="68C29056">
      <w:pPr>
        <w:keepNext w:val="0"/>
        <w:keepLines w:val="0"/>
        <w:pageBreakBefore w:val="0"/>
        <w:widowControl/>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default" w:ascii="Times New Roman" w:hAnsi="Times New Roman" w:eastAsia="方正仿宋_GBK" w:cs="Times New Roman"/>
          <w:color w:val="000000" w:themeColor="text1"/>
          <w:kern w:val="0"/>
          <w:sz w:val="32"/>
          <w:szCs w:val="32"/>
          <w:lang w:val="zh-CN" w:eastAsia="zh-CN"/>
          <w14:textFill>
            <w14:solidFill>
              <w14:schemeClr w14:val="tx1"/>
            </w14:solidFill>
          </w14:textFill>
        </w:rPr>
      </w:pPr>
      <w:r>
        <w:rPr>
          <w:rFonts w:hint="default" w:ascii="Times New Roman" w:hAnsi="Times New Roman" w:eastAsia="方正仿宋_GBK" w:cs="Times New Roman"/>
          <w:color w:val="000000" w:themeColor="text1"/>
          <w:kern w:val="0"/>
          <w:sz w:val="32"/>
          <w:szCs w:val="32"/>
          <w:lang w:val="zh-CN" w:eastAsia="zh-CN"/>
          <w14:textFill>
            <w14:solidFill>
              <w14:schemeClr w14:val="tx1"/>
            </w14:solidFill>
          </w14:textFill>
        </w:rPr>
        <w:t>资金按预算和项目计划“同向”流动，按照程序进行项目调整、项目完成后按照绩效评价表进行绩效分析。</w:t>
      </w:r>
    </w:p>
    <w:p w14:paraId="19435CE0">
      <w:pPr>
        <w:keepNext w:val="0"/>
        <w:keepLines w:val="0"/>
        <w:pageBreakBefore w:val="0"/>
        <w:widowControl/>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default" w:ascii="Times New Roman" w:hAnsi="Times New Roman" w:eastAsia="方正仿宋_GBK" w:cs="Times New Roman"/>
          <w:color w:val="000000" w:themeColor="text1"/>
          <w:kern w:val="0"/>
          <w:sz w:val="32"/>
          <w:szCs w:val="32"/>
          <w:lang w:val="zh-CN" w:eastAsia="zh-CN"/>
          <w14:textFill>
            <w14:solidFill>
              <w14:schemeClr w14:val="tx1"/>
            </w14:solidFill>
          </w14:textFill>
        </w:rPr>
      </w:pPr>
      <w:r>
        <w:rPr>
          <w:rFonts w:hint="default" w:ascii="Times New Roman" w:hAnsi="Times New Roman" w:eastAsia="方正仿宋_GBK" w:cs="Times New Roman"/>
          <w:color w:val="000000" w:themeColor="text1"/>
          <w:kern w:val="0"/>
          <w:sz w:val="32"/>
          <w:szCs w:val="32"/>
          <w:lang w:val="zh-CN" w:eastAsia="zh-CN"/>
          <w14:textFill>
            <w14:solidFill>
              <w14:schemeClr w14:val="tx1"/>
            </w14:solidFill>
          </w14:textFill>
        </w:rPr>
        <w:t>3.目标实现。</w:t>
      </w:r>
    </w:p>
    <w:p w14:paraId="44CAD457">
      <w:pPr>
        <w:keepNext w:val="0"/>
        <w:keepLines w:val="0"/>
        <w:pageBreakBefore w:val="0"/>
        <w:widowControl/>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default" w:ascii="Times New Roman" w:hAnsi="Times New Roman" w:eastAsia="方正仿宋_GBK" w:cs="Times New Roman"/>
          <w:color w:val="000000" w:themeColor="text1"/>
          <w:kern w:val="0"/>
          <w:sz w:val="32"/>
          <w:szCs w:val="32"/>
          <w:lang w:val="zh-CN" w:eastAsia="zh-CN"/>
          <w14:textFill>
            <w14:solidFill>
              <w14:schemeClr w14:val="tx1"/>
            </w14:solidFill>
          </w14:textFill>
        </w:rPr>
      </w:pPr>
      <w:r>
        <w:rPr>
          <w:rFonts w:hint="default" w:ascii="Times New Roman" w:hAnsi="Times New Roman" w:eastAsia="方正仿宋_GBK" w:cs="Times New Roman"/>
          <w:color w:val="000000" w:themeColor="text1"/>
          <w:kern w:val="0"/>
          <w:sz w:val="32"/>
          <w:szCs w:val="32"/>
          <w:lang w:val="zh-CN" w:eastAsia="zh-CN"/>
          <w14:textFill>
            <w14:solidFill>
              <w14:schemeClr w14:val="tx1"/>
            </w14:solidFill>
          </w14:textFill>
        </w:rPr>
        <w:t>围绕绩效评价表进行目标完成评价、检查项目是否目标偏离、进行实现效果绩效分析。</w:t>
      </w:r>
    </w:p>
    <w:p w14:paraId="3DF43803">
      <w:pPr>
        <w:keepNext w:val="0"/>
        <w:keepLines w:val="0"/>
        <w:pageBreakBefore w:val="0"/>
        <w:widowControl/>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default" w:ascii="Times New Roman" w:hAnsi="Times New Roman" w:eastAsia="方正仿宋_GBK" w:cs="Times New Roman"/>
          <w:color w:val="000000" w:themeColor="text1"/>
          <w:kern w:val="0"/>
          <w:sz w:val="32"/>
          <w:szCs w:val="32"/>
          <w:lang w:val="en-US" w:eastAsia="zh-CN"/>
          <w14:textFill>
            <w14:solidFill>
              <w14:schemeClr w14:val="tx1"/>
            </w14:solidFill>
          </w14:textFill>
        </w:rPr>
      </w:pPr>
      <w:r>
        <w:rPr>
          <w:rFonts w:hint="default" w:ascii="Times New Roman" w:hAnsi="Times New Roman" w:eastAsia="方正仿宋_GBK" w:cs="Times New Roman"/>
          <w:color w:val="000000" w:themeColor="text1"/>
          <w:kern w:val="0"/>
          <w:sz w:val="32"/>
          <w:szCs w:val="32"/>
          <w:lang w:val="en-US" w:eastAsia="zh-CN"/>
          <w14:textFill>
            <w14:solidFill>
              <w14:schemeClr w14:val="tx1"/>
            </w14:solidFill>
          </w14:textFill>
        </w:rPr>
        <w:t>部门对2024年度一般公共预算、政府性基金预算、国有资本经营预算安排的常年项目、阶段项目绩效目标完成情况，以及债券资金、政府购买服务有关情况，</w:t>
      </w:r>
      <w:r>
        <w:rPr>
          <w:rFonts w:hint="default" w:ascii="Times New Roman" w:hAnsi="Times New Roman" w:eastAsia="方正仿宋_GBK" w:cs="Times New Roman"/>
          <w:color w:val="000000" w:themeColor="text1"/>
          <w:kern w:val="0"/>
          <w:sz w:val="32"/>
          <w:szCs w:val="32"/>
          <w:lang w:val="zh-CN" w:eastAsia="zh-CN"/>
          <w14:textFill>
            <w14:solidFill>
              <w14:schemeClr w14:val="tx1"/>
            </w14:solidFill>
          </w14:textFill>
        </w:rPr>
        <w:t xml:space="preserve"> </w:t>
      </w:r>
      <w:r>
        <w:rPr>
          <w:rFonts w:hint="default" w:ascii="Times New Roman" w:hAnsi="Times New Roman" w:eastAsia="方正仿宋_GBK" w:cs="Times New Roman"/>
          <w:color w:val="000000" w:themeColor="text1"/>
          <w:kern w:val="0"/>
          <w:sz w:val="32"/>
          <w:szCs w:val="32"/>
          <w:lang w:val="en-US" w:eastAsia="zh-CN"/>
          <w14:textFill>
            <w14:solidFill>
              <w14:schemeClr w14:val="tx1"/>
            </w14:solidFill>
          </w14:textFill>
        </w:rPr>
        <w:t>按年初预算时制定的绩效目标执行，无偏离绩效目标的项目。</w:t>
      </w:r>
    </w:p>
    <w:p w14:paraId="3CC0F001">
      <w:pPr>
        <w:keepNext w:val="0"/>
        <w:keepLines w:val="0"/>
        <w:pageBreakBefore w:val="0"/>
        <w:widowControl w:val="0"/>
        <w:kinsoku/>
        <w:wordWrap/>
        <w:overflowPunct/>
        <w:topLinePunct w:val="0"/>
        <w:autoSpaceDE/>
        <w:autoSpaceDN/>
        <w:bidi w:val="0"/>
        <w:adjustRightInd/>
        <w:snapToGrid/>
        <w:spacing w:line="240" w:lineRule="auto"/>
        <w:ind w:firstLine="643" w:firstLineChars="200"/>
        <w:textAlignment w:val="auto"/>
        <w:outlineLvl w:val="2"/>
        <w:rPr>
          <w:rFonts w:hint="default" w:ascii="Times New Roman" w:hAnsi="Times New Roman" w:eastAsia="方正楷体_GBK" w:cs="Times New Roman"/>
          <w:b/>
          <w:bCs w:val="0"/>
          <w:sz w:val="32"/>
          <w:szCs w:val="32"/>
          <w:lang w:val="zh-CN" w:eastAsia="zh-CN"/>
        </w:rPr>
      </w:pPr>
      <w:r>
        <w:rPr>
          <w:rFonts w:hint="default" w:ascii="Times New Roman" w:hAnsi="Times New Roman" w:eastAsia="方正楷体_GBK" w:cs="Times New Roman"/>
          <w:b/>
          <w:bCs w:val="0"/>
          <w:sz w:val="32"/>
          <w:szCs w:val="32"/>
          <w:lang w:val="zh-CN" w:eastAsia="zh-CN"/>
        </w:rPr>
        <w:t>（三）</w:t>
      </w:r>
      <w:r>
        <w:rPr>
          <w:rFonts w:hint="default" w:ascii="Times New Roman" w:hAnsi="Times New Roman" w:eastAsia="方正楷体_GBK" w:cs="Times New Roman"/>
          <w:b/>
          <w:bCs w:val="0"/>
          <w:sz w:val="32"/>
          <w:szCs w:val="32"/>
          <w:lang w:val="zh-CN" w:eastAsia="zh-CN"/>
        </w:rPr>
        <w:t>绩效结果应用情况</w:t>
      </w:r>
    </w:p>
    <w:p w14:paraId="4E697454">
      <w:pPr>
        <w:pStyle w:val="3"/>
        <w:keepNext w:val="0"/>
        <w:keepLines w:val="0"/>
        <w:pageBreakBefore w:val="0"/>
        <w:kinsoku/>
        <w:wordWrap/>
        <w:overflowPunct/>
        <w:topLinePunct w:val="0"/>
        <w:bidi w:val="0"/>
        <w:spacing w:line="240" w:lineRule="auto"/>
        <w:ind w:leftChars="0" w:firstLine="640"/>
        <w:textAlignment w:val="auto"/>
        <w:rPr>
          <w:rFonts w:hint="default" w:ascii="Times New Roman" w:hAnsi="Times New Roman" w:eastAsia="方正仿宋_GBK" w:cs="Times New Roman"/>
          <w:kern w:val="2"/>
          <w:sz w:val="32"/>
          <w:szCs w:val="32"/>
          <w:lang w:val="zh-CN" w:eastAsia="zh-CN" w:bidi="ar-SA"/>
        </w:rPr>
      </w:pPr>
      <w:r>
        <w:rPr>
          <w:rFonts w:hint="default" w:ascii="Times New Roman" w:hAnsi="Times New Roman" w:eastAsia="方正仿宋_GBK" w:cs="Times New Roman"/>
          <w:kern w:val="2"/>
          <w:sz w:val="32"/>
          <w:szCs w:val="32"/>
          <w:lang w:val="zh-CN" w:eastAsia="zh-CN" w:bidi="ar-SA"/>
        </w:rPr>
        <w:t>我局严格对照项目支出绩效评价发现的问题，查找管理漏洞，强化结果应用，将评价结果用于制定政策、完善内控管理制度，用于改进项目管理、财务管理和资金使用管理，用于调整预算安排方式、增减预算规模和优化支出结构，不断提高资金使用效益。按时将绩效自评公开，对各部门的预算绩效评价结果存在的问题及时进行整改。</w:t>
      </w:r>
    </w:p>
    <w:p w14:paraId="6AF9E706">
      <w:pPr>
        <w:pStyle w:val="6"/>
        <w:keepNext/>
        <w:keepLines/>
        <w:pageBreakBefore w:val="0"/>
        <w:widowControl w:val="0"/>
        <w:numPr>
          <w:ilvl w:val="0"/>
          <w:numId w:val="0"/>
        </w:numPr>
        <w:kinsoku/>
        <w:wordWrap/>
        <w:overflowPunct/>
        <w:topLinePunct w:val="0"/>
        <w:autoSpaceDE/>
        <w:autoSpaceDN/>
        <w:bidi w:val="0"/>
        <w:adjustRightInd/>
        <w:snapToGrid/>
        <w:spacing w:line="416" w:lineRule="auto"/>
        <w:ind w:left="0" w:leftChars="0" w:firstLine="640" w:firstLineChars="200"/>
        <w:textAlignment w:val="auto"/>
        <w:rPr>
          <w:rFonts w:hint="default" w:ascii="Times New Roman" w:hAnsi="Times New Roman" w:eastAsia="方正黑体_GBK" w:cs="Times New Roman"/>
          <w:b w:val="0"/>
          <w:bCs/>
          <w:lang w:val="zh-CN" w:eastAsia="zh-CN"/>
        </w:rPr>
      </w:pPr>
      <w:r>
        <w:rPr>
          <w:rFonts w:hint="default" w:ascii="Times New Roman" w:hAnsi="Times New Roman" w:eastAsia="方正黑体_GBK" w:cs="Times New Roman"/>
          <w:b w:val="0"/>
          <w:bCs/>
          <w:lang w:val="zh-CN" w:eastAsia="zh-CN"/>
        </w:rPr>
        <w:t>四、评价结论及建议</w:t>
      </w:r>
    </w:p>
    <w:p w14:paraId="498BFD24">
      <w:pPr>
        <w:keepNext w:val="0"/>
        <w:keepLines w:val="0"/>
        <w:pageBreakBefore w:val="0"/>
        <w:widowControl w:val="0"/>
        <w:kinsoku/>
        <w:wordWrap/>
        <w:overflowPunct/>
        <w:topLinePunct w:val="0"/>
        <w:autoSpaceDE/>
        <w:autoSpaceDN/>
        <w:bidi w:val="0"/>
        <w:adjustRightInd/>
        <w:snapToGrid/>
        <w:spacing w:line="240" w:lineRule="auto"/>
        <w:ind w:firstLine="643" w:firstLineChars="200"/>
        <w:textAlignment w:val="auto"/>
        <w:outlineLvl w:val="2"/>
        <w:rPr>
          <w:rFonts w:hint="default" w:ascii="Times New Roman" w:hAnsi="Times New Roman" w:eastAsia="方正楷体_GBK" w:cs="Times New Roman"/>
          <w:b/>
          <w:bCs w:val="0"/>
          <w:sz w:val="32"/>
          <w:szCs w:val="32"/>
          <w:lang w:val="zh-CN" w:eastAsia="zh-CN"/>
        </w:rPr>
      </w:pPr>
      <w:r>
        <w:rPr>
          <w:rFonts w:hint="default" w:ascii="Times New Roman" w:hAnsi="Times New Roman" w:eastAsia="方正楷体_GBK" w:cs="Times New Roman"/>
          <w:b/>
          <w:bCs w:val="0"/>
          <w:sz w:val="32"/>
          <w:szCs w:val="32"/>
          <w:lang w:val="zh-CN" w:eastAsia="zh-CN"/>
        </w:rPr>
        <w:t>（一）评价结论</w:t>
      </w:r>
    </w:p>
    <w:p w14:paraId="25BF58C3">
      <w:pPr>
        <w:pStyle w:val="3"/>
        <w:keepNext w:val="0"/>
        <w:keepLines w:val="0"/>
        <w:pageBreakBefore w:val="0"/>
        <w:kinsoku/>
        <w:wordWrap/>
        <w:overflowPunct/>
        <w:topLinePunct w:val="0"/>
        <w:bidi w:val="0"/>
        <w:spacing w:line="240" w:lineRule="auto"/>
        <w:ind w:leftChars="0" w:firstLine="640"/>
        <w:textAlignment w:val="auto"/>
        <w:rPr>
          <w:rFonts w:hint="default" w:ascii="Times New Roman" w:hAnsi="Times New Roman" w:eastAsia="方正仿宋_GBK" w:cs="Times New Roman"/>
          <w:sz w:val="32"/>
          <w:szCs w:val="32"/>
          <w:lang w:bidi="ar"/>
        </w:rPr>
      </w:pPr>
      <w:r>
        <w:rPr>
          <w:rFonts w:hint="default" w:ascii="Times New Roman" w:hAnsi="Times New Roman" w:eastAsia="方正仿宋_GBK" w:cs="Times New Roman"/>
          <w:kern w:val="2"/>
          <w:sz w:val="32"/>
          <w:szCs w:val="32"/>
          <w:lang w:val="zh-CN" w:eastAsia="zh-CN" w:bidi="ar-SA"/>
        </w:rPr>
        <w:t>202</w:t>
      </w:r>
      <w:r>
        <w:rPr>
          <w:rFonts w:hint="default" w:ascii="Times New Roman" w:hAnsi="Times New Roman" w:eastAsia="方正仿宋_GBK" w:cs="Times New Roman"/>
          <w:kern w:val="2"/>
          <w:sz w:val="32"/>
          <w:szCs w:val="32"/>
          <w:lang w:val="en-US" w:eastAsia="zh-CN" w:bidi="ar-SA"/>
        </w:rPr>
        <w:t>4</w:t>
      </w:r>
      <w:r>
        <w:rPr>
          <w:rFonts w:hint="default" w:ascii="Times New Roman" w:hAnsi="Times New Roman" w:eastAsia="方正仿宋_GBK" w:cs="Times New Roman"/>
          <w:kern w:val="2"/>
          <w:sz w:val="32"/>
          <w:szCs w:val="32"/>
          <w:lang w:val="zh-CN" w:eastAsia="zh-CN" w:bidi="ar-SA"/>
        </w:rPr>
        <w:t>年我单位在执行财政预算的过程中，强化了预算绩效意识，严格按照预算项目支出绩效目标开展相关工作，整体支出情况良好，预算执行严格有序，预算管理规范可控，资金效益合乎预期，达到预期绩效目标。</w:t>
      </w:r>
    </w:p>
    <w:p w14:paraId="30B72786">
      <w:pPr>
        <w:keepNext w:val="0"/>
        <w:keepLines w:val="0"/>
        <w:pageBreakBefore w:val="0"/>
        <w:widowControl w:val="0"/>
        <w:kinsoku/>
        <w:wordWrap/>
        <w:overflowPunct/>
        <w:topLinePunct w:val="0"/>
        <w:autoSpaceDE/>
        <w:autoSpaceDN/>
        <w:bidi w:val="0"/>
        <w:adjustRightInd/>
        <w:snapToGrid/>
        <w:spacing w:line="240" w:lineRule="auto"/>
        <w:ind w:firstLine="643" w:firstLineChars="200"/>
        <w:textAlignment w:val="auto"/>
        <w:outlineLvl w:val="2"/>
        <w:rPr>
          <w:rFonts w:hint="default" w:ascii="Times New Roman" w:hAnsi="Times New Roman" w:eastAsia="方正楷体_GBK" w:cs="Times New Roman"/>
          <w:b/>
          <w:bCs w:val="0"/>
          <w:sz w:val="32"/>
          <w:szCs w:val="32"/>
          <w:lang w:val="zh-CN" w:eastAsia="zh-CN"/>
        </w:rPr>
      </w:pPr>
      <w:r>
        <w:rPr>
          <w:rFonts w:hint="default" w:ascii="Times New Roman" w:hAnsi="Times New Roman" w:eastAsia="方正楷体_GBK" w:cs="Times New Roman"/>
          <w:b/>
          <w:bCs w:val="0"/>
          <w:sz w:val="32"/>
          <w:szCs w:val="32"/>
          <w:lang w:val="zh-CN" w:eastAsia="zh-CN"/>
        </w:rPr>
        <w:t>（二）</w:t>
      </w:r>
      <w:r>
        <w:rPr>
          <w:rFonts w:hint="default" w:ascii="Times New Roman" w:hAnsi="Times New Roman" w:eastAsia="方正楷体_GBK" w:cs="Times New Roman"/>
          <w:b/>
          <w:bCs w:val="0"/>
          <w:sz w:val="32"/>
          <w:szCs w:val="32"/>
          <w:lang w:val="zh-CN" w:eastAsia="zh-CN"/>
        </w:rPr>
        <w:t>存在问题</w:t>
      </w:r>
    </w:p>
    <w:p w14:paraId="424D3771">
      <w:pPr>
        <w:pStyle w:val="3"/>
        <w:keepNext w:val="0"/>
        <w:keepLines w:val="0"/>
        <w:pageBreakBefore w:val="0"/>
        <w:widowControl w:val="0"/>
        <w:kinsoku/>
        <w:wordWrap/>
        <w:overflowPunct/>
        <w:topLinePunct w:val="0"/>
        <w:autoSpaceDE/>
        <w:autoSpaceDN/>
        <w:bidi w:val="0"/>
        <w:adjustRightInd/>
        <w:snapToGrid/>
        <w:spacing w:line="240" w:lineRule="auto"/>
        <w:ind w:left="198" w:leftChars="0" w:firstLine="640"/>
        <w:textAlignment w:val="auto"/>
        <w:rPr>
          <w:rFonts w:hint="default" w:ascii="Times New Roman" w:hAnsi="Times New Roman" w:eastAsia="方正仿宋_GBK" w:cs="Times New Roman"/>
          <w:kern w:val="2"/>
          <w:sz w:val="32"/>
          <w:szCs w:val="32"/>
          <w:lang w:val="zh-CN" w:eastAsia="zh-CN" w:bidi="ar-SA"/>
        </w:rPr>
      </w:pPr>
      <w:r>
        <w:rPr>
          <w:rFonts w:hint="default" w:ascii="Times New Roman" w:hAnsi="Times New Roman" w:eastAsia="方正仿宋_GBK" w:cs="Times New Roman"/>
          <w:kern w:val="2"/>
          <w:sz w:val="32"/>
          <w:szCs w:val="32"/>
          <w:lang w:val="zh-CN" w:eastAsia="zh-CN" w:bidi="ar-SA"/>
        </w:rPr>
        <w:t>由于预算绩效管理工作涉及面广，专业性强，加上缺乏系统的培训，具体工作人员对预算绩效管理理解不充分，对预算绩效管理业务不精通，在一定程度上影响了绩效评价工作质量。</w:t>
      </w:r>
    </w:p>
    <w:p w14:paraId="051F1E6F">
      <w:pPr>
        <w:keepNext w:val="0"/>
        <w:keepLines w:val="0"/>
        <w:pageBreakBefore w:val="0"/>
        <w:widowControl w:val="0"/>
        <w:kinsoku/>
        <w:wordWrap/>
        <w:overflowPunct/>
        <w:topLinePunct w:val="0"/>
        <w:autoSpaceDE/>
        <w:autoSpaceDN/>
        <w:bidi w:val="0"/>
        <w:adjustRightInd/>
        <w:snapToGrid/>
        <w:spacing w:line="240" w:lineRule="auto"/>
        <w:ind w:firstLine="643" w:firstLineChars="200"/>
        <w:textAlignment w:val="auto"/>
        <w:outlineLvl w:val="2"/>
        <w:rPr>
          <w:rFonts w:hint="default" w:ascii="Times New Roman" w:hAnsi="Times New Roman" w:eastAsia="方正楷体_GBK" w:cs="Times New Roman"/>
          <w:b/>
          <w:bCs w:val="0"/>
          <w:sz w:val="32"/>
          <w:szCs w:val="32"/>
          <w:lang w:val="zh-CN" w:eastAsia="zh-CN"/>
        </w:rPr>
      </w:pPr>
      <w:r>
        <w:rPr>
          <w:rFonts w:hint="default" w:ascii="Times New Roman" w:hAnsi="Times New Roman" w:eastAsia="方正楷体_GBK" w:cs="Times New Roman"/>
          <w:b/>
          <w:bCs w:val="0"/>
          <w:sz w:val="32"/>
          <w:szCs w:val="32"/>
          <w:lang w:val="zh-CN" w:eastAsia="zh-CN"/>
        </w:rPr>
        <w:t>（三）</w:t>
      </w:r>
      <w:r>
        <w:rPr>
          <w:rFonts w:hint="default" w:ascii="Times New Roman" w:hAnsi="Times New Roman" w:eastAsia="方正楷体_GBK" w:cs="Times New Roman"/>
          <w:b/>
          <w:bCs w:val="0"/>
          <w:sz w:val="32"/>
          <w:szCs w:val="32"/>
          <w:lang w:val="zh-CN" w:eastAsia="zh-CN"/>
        </w:rPr>
        <w:t>改进建议</w:t>
      </w:r>
    </w:p>
    <w:p w14:paraId="2A0945DF">
      <w:pPr>
        <w:pStyle w:val="3"/>
        <w:keepNext w:val="0"/>
        <w:keepLines w:val="0"/>
        <w:pageBreakBefore w:val="0"/>
        <w:widowControl w:val="0"/>
        <w:kinsoku/>
        <w:wordWrap/>
        <w:overflowPunct/>
        <w:topLinePunct w:val="0"/>
        <w:autoSpaceDE/>
        <w:autoSpaceDN/>
        <w:bidi w:val="0"/>
        <w:adjustRightInd/>
        <w:snapToGrid/>
        <w:spacing w:line="240" w:lineRule="auto"/>
        <w:ind w:left="0" w:leftChars="0" w:firstLine="640" w:firstLineChars="200"/>
        <w:textAlignment w:val="auto"/>
        <w:rPr>
          <w:rFonts w:hint="default" w:ascii="Times New Roman" w:hAnsi="Times New Roman" w:eastAsia="方正仿宋_GBK" w:cs="Times New Roman"/>
          <w:kern w:val="2"/>
          <w:sz w:val="32"/>
          <w:szCs w:val="32"/>
          <w:lang w:val="zh-CN" w:eastAsia="zh-CN" w:bidi="ar-SA"/>
        </w:rPr>
      </w:pPr>
      <w:r>
        <w:rPr>
          <w:rFonts w:hint="default" w:ascii="Times New Roman" w:hAnsi="Times New Roman" w:eastAsia="方正仿宋_GBK" w:cs="Times New Roman"/>
          <w:kern w:val="2"/>
          <w:sz w:val="32"/>
          <w:szCs w:val="32"/>
          <w:lang w:val="zh-CN" w:eastAsia="zh-CN" w:bidi="ar-SA"/>
        </w:rPr>
        <w:t>细化预算编制，提高预算精准度。按照《预算法》及其实施条例的相关规定，参考上一年度的预算执行情况科学编制预算，早计划、早安排，避免年中大幅追加预算情况的发生。同时严格预算执行，提高资金使用效率。</w:t>
      </w:r>
    </w:p>
    <w:p w14:paraId="37C5E534">
      <w:pPr>
        <w:pStyle w:val="3"/>
        <w:keepNext w:val="0"/>
        <w:keepLines w:val="0"/>
        <w:pageBreakBefore w:val="0"/>
        <w:widowControl w:val="0"/>
        <w:kinsoku/>
        <w:wordWrap/>
        <w:overflowPunct/>
        <w:topLinePunct w:val="0"/>
        <w:autoSpaceDE/>
        <w:autoSpaceDN/>
        <w:bidi w:val="0"/>
        <w:adjustRightInd/>
        <w:snapToGrid/>
        <w:spacing w:line="240" w:lineRule="auto"/>
        <w:ind w:left="0" w:leftChars="0" w:firstLine="640" w:firstLineChars="200"/>
        <w:textAlignment w:val="auto"/>
        <w:rPr>
          <w:rFonts w:hint="default" w:ascii="Times New Roman" w:hAnsi="Times New Roman" w:eastAsia="方正仿宋_GBK" w:cs="Times New Roman"/>
          <w:kern w:val="2"/>
          <w:sz w:val="32"/>
          <w:szCs w:val="32"/>
          <w:lang w:val="zh-CN" w:eastAsia="zh-CN" w:bidi="ar-SA"/>
        </w:rPr>
      </w:pPr>
      <w:r>
        <w:rPr>
          <w:rFonts w:hint="default" w:ascii="Times New Roman" w:hAnsi="Times New Roman" w:eastAsia="方正仿宋_GBK" w:cs="Times New Roman"/>
          <w:kern w:val="2"/>
          <w:sz w:val="32"/>
          <w:szCs w:val="32"/>
          <w:lang w:val="zh-CN" w:eastAsia="zh-CN" w:bidi="ar-SA"/>
        </w:rPr>
        <w:t>附表：部门预算项目支出绩效自评表（2024年度）</w:t>
      </w:r>
    </w:p>
    <w:p w14:paraId="321C9D4B">
      <w:pPr>
        <w:pStyle w:val="3"/>
        <w:keepNext w:val="0"/>
        <w:keepLines w:val="0"/>
        <w:pageBreakBefore w:val="0"/>
        <w:widowControl w:val="0"/>
        <w:kinsoku/>
        <w:wordWrap/>
        <w:overflowPunct/>
        <w:topLinePunct w:val="0"/>
        <w:autoSpaceDE/>
        <w:autoSpaceDN/>
        <w:bidi w:val="0"/>
        <w:adjustRightInd/>
        <w:snapToGrid/>
        <w:spacing w:line="240" w:lineRule="auto"/>
        <w:ind w:left="0" w:leftChars="0" w:firstLine="640" w:firstLineChars="200"/>
        <w:textAlignment w:val="auto"/>
        <w:rPr>
          <w:rFonts w:hint="default" w:ascii="Times New Roman" w:hAnsi="Times New Roman" w:eastAsia="方正仿宋_GBK" w:cs="Times New Roman"/>
          <w:kern w:val="2"/>
          <w:sz w:val="32"/>
          <w:szCs w:val="32"/>
          <w:lang w:val="zh-CN" w:eastAsia="zh-CN" w:bidi="ar-SA"/>
        </w:rPr>
      </w:pPr>
      <w:r>
        <w:rPr>
          <w:rFonts w:hint="default" w:ascii="Times New Roman" w:hAnsi="Times New Roman" w:eastAsia="方正仿宋_GBK" w:cs="Times New Roman"/>
          <w:kern w:val="2"/>
          <w:sz w:val="32"/>
          <w:szCs w:val="32"/>
          <w:lang w:val="zh-CN" w:eastAsia="zh-CN" w:bidi="ar-SA"/>
        </w:rPr>
        <w:t>（注：按照绩效自评工作安排，各部门已在预算管理一体化系统绩效自评模块上传“部门预算项目支出绩效自评表（2024年度）”，该表格应作为附表予以公开）</w:t>
      </w:r>
    </w:p>
    <w:p w14:paraId="10B2AFDD">
      <w:pPr>
        <w:pStyle w:val="3"/>
        <w:keepNext w:val="0"/>
        <w:keepLines w:val="0"/>
        <w:pageBreakBefore w:val="0"/>
        <w:kinsoku/>
        <w:wordWrap/>
        <w:overflowPunct/>
        <w:topLinePunct w:val="0"/>
        <w:bidi w:val="0"/>
        <w:spacing w:line="240" w:lineRule="auto"/>
        <w:ind w:left="0" w:leftChars="0" w:firstLine="0" w:firstLineChars="0"/>
        <w:textAlignment w:val="auto"/>
        <w:rPr>
          <w:rFonts w:hint="default" w:ascii="Times New Roman" w:hAnsi="Times New Roman" w:cs="Times New Roman"/>
          <w:sz w:val="32"/>
          <w:highlight w:val="yellow"/>
          <w:lang w:val="zh-CN"/>
        </w:rPr>
      </w:pPr>
    </w:p>
    <w:p w14:paraId="10872C04">
      <w:pPr>
        <w:pStyle w:val="8"/>
        <w:keepNext w:val="0"/>
        <w:keepLines w:val="0"/>
        <w:pageBreakBefore w:val="0"/>
        <w:kinsoku/>
        <w:wordWrap/>
        <w:overflowPunct/>
        <w:topLinePunct w:val="0"/>
        <w:bidi w:val="0"/>
        <w:spacing w:before="93" w:line="240" w:lineRule="auto"/>
        <w:textAlignment w:val="auto"/>
        <w:rPr>
          <w:rFonts w:hint="default" w:ascii="Times New Roman" w:hAnsi="Times New Roman" w:cs="Times New Roman"/>
          <w:sz w:val="32"/>
          <w:szCs w:val="32"/>
          <w:highlight w:val="yellow"/>
          <w:shd w:val="clear" w:color="auto" w:fill="FFFFFF"/>
          <w:lang w:val="zh-CN"/>
        </w:rPr>
      </w:pPr>
    </w:p>
    <w:p w14:paraId="369A181F">
      <w:pPr>
        <w:keepNext w:val="0"/>
        <w:keepLines w:val="0"/>
        <w:pageBreakBefore w:val="0"/>
        <w:kinsoku/>
        <w:wordWrap/>
        <w:overflowPunct/>
        <w:topLinePunct w:val="0"/>
        <w:bidi w:val="0"/>
        <w:spacing w:line="240" w:lineRule="auto"/>
        <w:textAlignment w:val="auto"/>
        <w:rPr>
          <w:rFonts w:hint="default" w:ascii="Times New Roman" w:hAnsi="Times New Roman" w:eastAsia="黑体" w:cs="Times New Roman"/>
          <w:kern w:val="0"/>
          <w:sz w:val="32"/>
          <w:szCs w:val="32"/>
          <w:shd w:val="clear" w:color="auto" w:fill="FFFFFF"/>
          <w:lang w:val="zh-CN"/>
        </w:rPr>
      </w:pPr>
      <w:r>
        <w:rPr>
          <w:rFonts w:hint="default" w:ascii="Times New Roman" w:hAnsi="Times New Roman" w:eastAsia="黑体" w:cs="Times New Roman"/>
          <w:kern w:val="0"/>
          <w:sz w:val="32"/>
          <w:szCs w:val="32"/>
          <w:shd w:val="clear" w:color="auto" w:fill="FFFFFF"/>
          <w:lang w:val="zh-CN"/>
        </w:rPr>
        <w:br w:type="page"/>
      </w:r>
    </w:p>
    <w:p w14:paraId="7D922958">
      <w:pPr>
        <w:pStyle w:val="8"/>
        <w:keepNext w:val="0"/>
        <w:keepLines w:val="0"/>
        <w:pageBreakBefore w:val="0"/>
        <w:kinsoku/>
        <w:wordWrap/>
        <w:overflowPunct/>
        <w:topLinePunct w:val="0"/>
        <w:bidi w:val="0"/>
        <w:spacing w:before="93" w:line="240" w:lineRule="auto"/>
        <w:textAlignment w:val="auto"/>
        <w:rPr>
          <w:rFonts w:hint="default" w:ascii="Times New Roman" w:hAnsi="Times New Roman" w:eastAsia="黑体" w:cs="Times New Roman"/>
          <w:sz w:val="32"/>
          <w:szCs w:val="32"/>
        </w:rPr>
      </w:pPr>
      <w:r>
        <w:rPr>
          <w:rFonts w:hint="default" w:ascii="Times New Roman" w:hAnsi="Times New Roman" w:eastAsia="黑体" w:cs="Times New Roman"/>
          <w:sz w:val="32"/>
          <w:szCs w:val="32"/>
          <w:shd w:val="clear" w:color="auto" w:fill="FFFFFF"/>
          <w:lang w:val="zh-CN"/>
        </w:rPr>
        <w:t>附件</w:t>
      </w:r>
      <w:r>
        <w:rPr>
          <w:rFonts w:hint="default" w:ascii="Times New Roman" w:hAnsi="Times New Roman" w:eastAsia="黑体" w:cs="Times New Roman"/>
          <w:sz w:val="32"/>
          <w:szCs w:val="32"/>
          <w:shd w:val="clear" w:color="auto" w:fill="FFFFFF"/>
        </w:rPr>
        <w:t>2</w:t>
      </w:r>
    </w:p>
    <w:p w14:paraId="62EC588E">
      <w:pPr>
        <w:pStyle w:val="34"/>
        <w:keepNext w:val="0"/>
        <w:keepLines w:val="0"/>
        <w:pageBreakBefore w:val="0"/>
        <w:kinsoku/>
        <w:wordWrap/>
        <w:overflowPunct/>
        <w:topLinePunct w:val="0"/>
        <w:bidi w:val="0"/>
        <w:spacing w:line="240" w:lineRule="auto"/>
        <w:jc w:val="center"/>
        <w:textAlignment w:val="auto"/>
        <w:rPr>
          <w:rFonts w:hint="default" w:ascii="Times New Roman" w:hAnsi="Times New Roman" w:eastAsia="方正小标宋简体" w:cs="Times New Roman"/>
          <w:color w:val="auto"/>
          <w:kern w:val="2"/>
          <w:sz w:val="44"/>
          <w:szCs w:val="44"/>
          <w:lang w:val="en-US"/>
        </w:rPr>
      </w:pPr>
    </w:p>
    <w:p w14:paraId="6BD24E2F">
      <w:pPr>
        <w:pStyle w:val="5"/>
        <w:keepNext/>
        <w:keepLines/>
        <w:pageBreakBefore w:val="0"/>
        <w:widowControl w:val="0"/>
        <w:kinsoku/>
        <w:wordWrap/>
        <w:overflowPunct/>
        <w:topLinePunct w:val="0"/>
        <w:autoSpaceDE/>
        <w:autoSpaceDN/>
        <w:bidi w:val="0"/>
        <w:adjustRightInd/>
        <w:snapToGrid/>
        <w:spacing w:line="0" w:lineRule="atLeast"/>
        <w:jc w:val="center"/>
        <w:textAlignment w:val="auto"/>
        <w:rPr>
          <w:rFonts w:hint="default" w:ascii="Times New Roman" w:hAnsi="Times New Roman" w:eastAsia="方正小标宋简体" w:cs="Times New Roman"/>
          <w:color w:val="auto"/>
          <w:kern w:val="2"/>
          <w:sz w:val="44"/>
          <w:szCs w:val="44"/>
          <w:lang w:val="en-US"/>
        </w:rPr>
      </w:pPr>
      <w:r>
        <w:rPr>
          <w:rFonts w:hint="default" w:ascii="Times New Roman" w:hAnsi="Times New Roman" w:eastAsia="方正小标宋_GBK" w:cs="Times New Roman"/>
          <w:b/>
          <w:bCs w:val="0"/>
          <w:lang w:val="en-US" w:eastAsia="zh-CN"/>
        </w:rPr>
        <w:t>专项预算项目绩效评价报告</w:t>
      </w:r>
    </w:p>
    <w:p w14:paraId="7C3D3536">
      <w:pPr>
        <w:keepNext w:val="0"/>
        <w:keepLines w:val="0"/>
        <w:pageBreakBefore w:val="0"/>
        <w:kinsoku/>
        <w:wordWrap/>
        <w:overflowPunct/>
        <w:topLinePunct w:val="0"/>
        <w:bidi w:val="0"/>
        <w:spacing w:line="240" w:lineRule="auto"/>
        <w:ind w:left="361" w:hanging="361" w:hangingChars="100"/>
        <w:jc w:val="left"/>
        <w:textAlignment w:val="auto"/>
        <w:rPr>
          <w:rFonts w:hint="default" w:ascii="Times New Roman" w:hAnsi="Times New Roman" w:eastAsia="仿宋_GB2312" w:cs="Times New Roman"/>
          <w:color w:val="auto"/>
          <w:kern w:val="2"/>
          <w:sz w:val="32"/>
          <w:szCs w:val="32"/>
        </w:rPr>
      </w:pPr>
      <w:r>
        <w:rPr>
          <w:rFonts w:hint="default" w:ascii="Times New Roman" w:hAnsi="Times New Roman" w:eastAsia="方正楷体_GBK" w:cs="Times New Roman"/>
          <w:b/>
          <w:sz w:val="36"/>
          <w:szCs w:val="36"/>
          <w:highlight w:val="none"/>
          <w:lang w:eastAsia="zh-CN"/>
        </w:rPr>
        <w:t>（</w:t>
      </w:r>
      <w:r>
        <w:rPr>
          <w:rFonts w:hint="default" w:ascii="Times New Roman" w:hAnsi="Times New Roman" w:eastAsia="方正楷体_GBK" w:cs="Times New Roman"/>
          <w:b/>
          <w:sz w:val="28"/>
          <w:szCs w:val="28"/>
          <w:highlight w:val="none"/>
        </w:rPr>
        <w:t>盐边县教育考试中心</w:t>
      </w:r>
      <w:r>
        <w:rPr>
          <w:rFonts w:hint="default" w:ascii="Times New Roman" w:hAnsi="Times New Roman" w:eastAsia="方正楷体_GBK" w:cs="Times New Roman"/>
          <w:b/>
          <w:sz w:val="28"/>
          <w:szCs w:val="28"/>
          <w:highlight w:val="none"/>
          <w:lang w:val="en-US" w:eastAsia="zh-CN"/>
        </w:rPr>
        <w:t>2024</w:t>
      </w:r>
      <w:r>
        <w:rPr>
          <w:rFonts w:hint="default" w:ascii="Times New Roman" w:hAnsi="Times New Roman" w:eastAsia="方正楷体_GBK" w:cs="Times New Roman"/>
          <w:b/>
          <w:sz w:val="28"/>
          <w:szCs w:val="28"/>
          <w:highlight w:val="none"/>
        </w:rPr>
        <w:t>年大中专招生考试工作经费项目支出</w:t>
      </w:r>
      <w:r>
        <w:rPr>
          <w:rFonts w:hint="default" w:ascii="Times New Roman" w:hAnsi="Times New Roman" w:eastAsia="方正楷体_GBK" w:cs="Times New Roman"/>
          <w:b/>
          <w:sz w:val="36"/>
          <w:szCs w:val="36"/>
          <w:highlight w:val="none"/>
          <w:lang w:eastAsia="zh-CN"/>
        </w:rPr>
        <w:t>）</w:t>
      </w:r>
    </w:p>
    <w:p w14:paraId="3903E91F">
      <w:pPr>
        <w:pStyle w:val="6"/>
        <w:keepNext/>
        <w:keepLines/>
        <w:pageBreakBefore w:val="0"/>
        <w:widowControl w:val="0"/>
        <w:numPr>
          <w:ilvl w:val="0"/>
          <w:numId w:val="0"/>
        </w:numPr>
        <w:kinsoku/>
        <w:wordWrap/>
        <w:overflowPunct/>
        <w:topLinePunct w:val="0"/>
        <w:autoSpaceDE/>
        <w:autoSpaceDN/>
        <w:bidi w:val="0"/>
        <w:adjustRightInd/>
        <w:snapToGrid/>
        <w:spacing w:line="416" w:lineRule="auto"/>
        <w:ind w:left="0" w:leftChars="0" w:firstLine="640" w:firstLineChars="200"/>
        <w:textAlignment w:val="auto"/>
        <w:rPr>
          <w:rFonts w:hint="default" w:ascii="Times New Roman" w:hAnsi="Times New Roman" w:eastAsia="方正黑体_GBK" w:cs="Times New Roman"/>
          <w:b w:val="0"/>
          <w:bCs/>
          <w:lang w:val="zh-CN" w:eastAsia="zh-CN"/>
        </w:rPr>
      </w:pPr>
      <w:r>
        <w:rPr>
          <w:rFonts w:hint="default" w:ascii="Times New Roman" w:hAnsi="Times New Roman" w:eastAsia="方正黑体_GBK" w:cs="Times New Roman"/>
          <w:b w:val="0"/>
          <w:bCs/>
          <w:lang w:val="zh-CN" w:eastAsia="zh-CN"/>
        </w:rPr>
        <w:t>一、项目概况</w:t>
      </w:r>
    </w:p>
    <w:p w14:paraId="32651904">
      <w:pPr>
        <w:keepNext w:val="0"/>
        <w:keepLines w:val="0"/>
        <w:pageBreakBefore w:val="0"/>
        <w:widowControl w:val="0"/>
        <w:kinsoku/>
        <w:wordWrap/>
        <w:overflowPunct/>
        <w:topLinePunct w:val="0"/>
        <w:autoSpaceDE/>
        <w:autoSpaceDN/>
        <w:bidi w:val="0"/>
        <w:adjustRightInd/>
        <w:snapToGrid/>
        <w:spacing w:line="240" w:lineRule="auto"/>
        <w:ind w:firstLine="643" w:firstLineChars="200"/>
        <w:textAlignment w:val="auto"/>
        <w:outlineLvl w:val="2"/>
        <w:rPr>
          <w:rFonts w:hint="default" w:ascii="Times New Roman" w:hAnsi="Times New Roman" w:eastAsia="方正楷体_GBK" w:cs="Times New Roman"/>
          <w:b/>
          <w:bCs w:val="0"/>
          <w:sz w:val="32"/>
          <w:szCs w:val="32"/>
          <w:lang w:val="zh-CN" w:eastAsia="zh-CN"/>
        </w:rPr>
      </w:pPr>
      <w:r>
        <w:rPr>
          <w:rFonts w:hint="default" w:ascii="Times New Roman" w:hAnsi="Times New Roman" w:eastAsia="方正楷体_GBK" w:cs="Times New Roman"/>
          <w:b/>
          <w:bCs w:val="0"/>
          <w:sz w:val="32"/>
          <w:szCs w:val="32"/>
          <w:lang w:val="zh-CN" w:eastAsia="zh-CN"/>
        </w:rPr>
        <w:t>（一）项目基本情况</w:t>
      </w:r>
    </w:p>
    <w:p w14:paraId="1D332A48">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仿宋_GBK" w:cs="Times New Roman"/>
          <w:sz w:val="32"/>
          <w:szCs w:val="32"/>
          <w:lang w:val="zh-CN"/>
        </w:rPr>
      </w:pPr>
      <w:r>
        <w:rPr>
          <w:rFonts w:hint="default" w:ascii="Times New Roman" w:hAnsi="Times New Roman" w:eastAsia="方正仿宋_GBK" w:cs="Times New Roman"/>
          <w:sz w:val="32"/>
          <w:szCs w:val="32"/>
          <w:lang w:val="zh-CN"/>
        </w:rPr>
        <w:t>1.盐边县教育考试中心202</w:t>
      </w: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lang w:val="zh-CN"/>
        </w:rPr>
        <w:t>年大中专招生考试工作经费项目主管部门是盐边县教育和体育局，主要职能是实施202</w:t>
      </w: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lang w:val="zh-CN"/>
        </w:rPr>
        <w:t>年盐边县各项招生考试工作。</w:t>
      </w:r>
    </w:p>
    <w:p w14:paraId="14CC2EBD">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仿宋_GBK" w:cs="Times New Roman"/>
          <w:sz w:val="32"/>
          <w:szCs w:val="32"/>
          <w:lang w:val="zh-CN"/>
        </w:rPr>
      </w:pPr>
      <w:r>
        <w:rPr>
          <w:rFonts w:hint="default" w:ascii="Times New Roman" w:hAnsi="Times New Roman" w:eastAsia="方正仿宋_GBK" w:cs="Times New Roman"/>
          <w:sz w:val="32"/>
          <w:szCs w:val="32"/>
          <w:lang w:val="zh-CN"/>
        </w:rPr>
        <w:t>2.项目</w:t>
      </w:r>
      <w:r>
        <w:rPr>
          <w:rFonts w:hint="default" w:ascii="Times New Roman" w:hAnsi="Times New Roman" w:eastAsia="方正仿宋_GBK" w:cs="Times New Roman"/>
          <w:sz w:val="32"/>
          <w:szCs w:val="32"/>
          <w:lang w:val="zh-CN"/>
        </w:rPr>
        <w:t>根据盐边县教育和体育局《盐边县教育和体育局关于解决2024年大中专招生考试工作经费的请示》</w:t>
      </w:r>
      <w:bookmarkStart w:id="82" w:name="doc_mark"/>
      <w:r>
        <w:rPr>
          <w:rFonts w:hint="default" w:ascii="Times New Roman" w:hAnsi="Times New Roman" w:eastAsia="方正仿宋_GBK" w:cs="Times New Roman"/>
          <w:sz w:val="32"/>
          <w:szCs w:val="32"/>
          <w:lang w:val="zh-CN"/>
        </w:rPr>
        <w:t>盐边教体〔202</w:t>
      </w: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lang w:val="zh-CN"/>
        </w:rPr>
        <w:t>〕</w:t>
      </w:r>
      <w:r>
        <w:rPr>
          <w:rFonts w:hint="default" w:ascii="Times New Roman" w:hAnsi="Times New Roman" w:eastAsia="方正仿宋_GBK" w:cs="Times New Roman"/>
          <w:sz w:val="32"/>
          <w:szCs w:val="32"/>
          <w:lang w:val="zh-CN"/>
        </w:rPr>
        <w:t>20号</w:t>
      </w:r>
      <w:bookmarkEnd w:id="82"/>
      <w:r>
        <w:rPr>
          <w:rFonts w:hint="default" w:ascii="Times New Roman" w:hAnsi="Times New Roman" w:eastAsia="方正仿宋_GBK" w:cs="Times New Roman"/>
          <w:sz w:val="32"/>
          <w:szCs w:val="32"/>
          <w:lang w:val="zh-CN"/>
        </w:rPr>
        <w:t>，全县成立了教育考试中心对全县普通高考、成人高考、高中阶段教育考试（含初三体育考试，初二年级生物地理考试）和书法水平考试工作等进行管理。</w:t>
      </w:r>
    </w:p>
    <w:p w14:paraId="47D460B6">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仿宋_GBK" w:cs="Times New Roman"/>
          <w:sz w:val="32"/>
          <w:szCs w:val="32"/>
          <w:lang w:val="zh-CN"/>
        </w:rPr>
      </w:pPr>
      <w:r>
        <w:rPr>
          <w:rFonts w:hint="default" w:ascii="Times New Roman" w:hAnsi="Times New Roman" w:eastAsia="方正仿宋_GBK" w:cs="Times New Roman"/>
          <w:sz w:val="32"/>
          <w:szCs w:val="32"/>
          <w:lang w:val="zh-CN"/>
        </w:rPr>
        <w:t>3.</w:t>
      </w:r>
      <w:r>
        <w:rPr>
          <w:rFonts w:hint="default" w:ascii="Times New Roman" w:hAnsi="Times New Roman" w:eastAsia="方正仿宋_GBK" w:cs="Times New Roman"/>
          <w:sz w:val="32"/>
          <w:szCs w:val="32"/>
          <w:lang w:val="zh-CN"/>
        </w:rPr>
        <w:t>资金管理办法制定情况：根据四川省发展和改革委员会、四川省财政厅《关于重新发布全省教育系统考试考务行政事业性收费的通知》川发改价格484号文件和攀枝花市教育局、攀枝花市财政局《关于印发攀枝花市招生考试经费开支标准及管理办法的通知》（攀教发〔2014〕18号）</w:t>
      </w:r>
      <w:r>
        <w:rPr>
          <w:rFonts w:hint="default" w:ascii="Times New Roman" w:hAnsi="Times New Roman" w:eastAsia="方正仿宋_GBK" w:cs="Times New Roman"/>
          <w:sz w:val="32"/>
          <w:szCs w:val="32"/>
          <w:lang w:val="zh-CN"/>
        </w:rPr>
        <w:t>文件精神，推进政府向人民群众进行考试升学服务，更好满足人民群众需要的新举措，是对发展教育考试路径和模式的新探索，有利于教育资金的合理配置。</w:t>
      </w:r>
    </w:p>
    <w:p w14:paraId="2F07EF14">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仿宋_GBK" w:cs="Times New Roman"/>
          <w:sz w:val="32"/>
          <w:szCs w:val="32"/>
          <w:lang w:val="zh-CN"/>
        </w:rPr>
      </w:pPr>
      <w:r>
        <w:rPr>
          <w:rFonts w:hint="default" w:ascii="Times New Roman" w:hAnsi="Times New Roman" w:eastAsia="方正仿宋_GBK" w:cs="Times New Roman"/>
          <w:sz w:val="32"/>
          <w:szCs w:val="32"/>
          <w:lang w:val="zh-CN"/>
        </w:rPr>
        <w:t>条件：经教育行政主管部门批准设立的企事业单位。</w:t>
      </w:r>
    </w:p>
    <w:p w14:paraId="52E8A4A3">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仿宋_GBK" w:cs="Times New Roman"/>
          <w:sz w:val="32"/>
          <w:szCs w:val="32"/>
          <w:lang w:val="zh-CN"/>
        </w:rPr>
      </w:pPr>
      <w:r>
        <w:rPr>
          <w:rFonts w:hint="default" w:ascii="Times New Roman" w:hAnsi="Times New Roman" w:eastAsia="方正仿宋_GBK" w:cs="Times New Roman"/>
          <w:sz w:val="32"/>
          <w:szCs w:val="32"/>
          <w:lang w:val="zh-CN"/>
        </w:rPr>
        <w:t>范围：符合全县高中、初中、小学等阶段的适龄考生。</w:t>
      </w:r>
    </w:p>
    <w:p w14:paraId="20CB9DEE">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仿宋_GBK" w:cs="Times New Roman"/>
          <w:sz w:val="32"/>
          <w:szCs w:val="32"/>
          <w:lang w:val="zh-CN"/>
        </w:rPr>
      </w:pPr>
      <w:r>
        <w:rPr>
          <w:rFonts w:hint="default" w:ascii="Times New Roman" w:hAnsi="Times New Roman" w:eastAsia="方正仿宋_GBK" w:cs="Times New Roman"/>
          <w:sz w:val="32"/>
          <w:szCs w:val="32"/>
          <w:lang w:val="zh-CN"/>
        </w:rPr>
        <w:t>支持方式概况：为盐边籍考生及随迁子女考生提供考试服务，让考生知道报考的政策，报考的流程，报考后的志愿填报，给考生以好的发展提供便利服务，让其享受好的教育资源，从而考生有一个好的发展，为社会输送人才。</w:t>
      </w:r>
    </w:p>
    <w:p w14:paraId="08D9D472">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仿宋_GBK" w:cs="Times New Roman"/>
          <w:sz w:val="32"/>
          <w:szCs w:val="32"/>
          <w:lang w:val="zh-CN"/>
        </w:rPr>
      </w:pPr>
      <w:r>
        <w:rPr>
          <w:rFonts w:hint="default" w:ascii="Times New Roman" w:hAnsi="Times New Roman" w:eastAsia="方正仿宋_GBK" w:cs="Times New Roman"/>
          <w:sz w:val="32"/>
          <w:szCs w:val="32"/>
          <w:lang w:val="zh-CN"/>
        </w:rPr>
        <w:t>4.资金分配的原则及考虑因素。</w:t>
      </w:r>
    </w:p>
    <w:p w14:paraId="3784AF72">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仿宋_GBK" w:cs="Times New Roman"/>
          <w:sz w:val="32"/>
          <w:szCs w:val="32"/>
          <w:lang w:val="zh-CN"/>
        </w:rPr>
      </w:pPr>
      <w:r>
        <w:rPr>
          <w:rFonts w:hint="default" w:ascii="Times New Roman" w:hAnsi="Times New Roman" w:eastAsia="方正仿宋_GBK" w:cs="Times New Roman"/>
          <w:sz w:val="32"/>
          <w:szCs w:val="32"/>
          <w:lang w:val="zh-CN"/>
        </w:rPr>
        <w:t>资金分配原则：实行合理化管理。</w:t>
      </w:r>
    </w:p>
    <w:p w14:paraId="028EEEDA">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仿宋_GBK" w:cs="Times New Roman"/>
          <w:sz w:val="32"/>
          <w:szCs w:val="32"/>
          <w:lang w:val="zh-CN"/>
        </w:rPr>
      </w:pPr>
      <w:r>
        <w:rPr>
          <w:rFonts w:hint="default" w:ascii="Times New Roman" w:hAnsi="Times New Roman" w:eastAsia="方正仿宋_GBK" w:cs="Times New Roman"/>
          <w:sz w:val="32"/>
          <w:szCs w:val="32"/>
          <w:lang w:val="zh-CN"/>
        </w:rPr>
        <w:t>考虑的因素：考务组及监考人员服务于考生，需要获得相应的报酬。</w:t>
      </w:r>
    </w:p>
    <w:p w14:paraId="1858C1AF">
      <w:pPr>
        <w:keepNext w:val="0"/>
        <w:keepLines w:val="0"/>
        <w:pageBreakBefore w:val="0"/>
        <w:widowControl w:val="0"/>
        <w:kinsoku/>
        <w:wordWrap/>
        <w:overflowPunct/>
        <w:topLinePunct w:val="0"/>
        <w:autoSpaceDE/>
        <w:autoSpaceDN/>
        <w:bidi w:val="0"/>
        <w:adjustRightInd/>
        <w:snapToGrid/>
        <w:spacing w:line="240" w:lineRule="auto"/>
        <w:ind w:firstLine="643" w:firstLineChars="200"/>
        <w:textAlignment w:val="auto"/>
        <w:outlineLvl w:val="2"/>
        <w:rPr>
          <w:rFonts w:hint="default" w:ascii="Times New Roman" w:hAnsi="Times New Roman" w:eastAsia="方正楷体_GBK" w:cs="Times New Roman"/>
          <w:b/>
          <w:bCs w:val="0"/>
          <w:sz w:val="32"/>
          <w:szCs w:val="32"/>
          <w:lang w:val="zh-CN" w:eastAsia="zh-CN"/>
        </w:rPr>
      </w:pPr>
      <w:r>
        <w:rPr>
          <w:rFonts w:hint="default" w:ascii="Times New Roman" w:hAnsi="Times New Roman" w:eastAsia="方正楷体_GBK" w:cs="Times New Roman"/>
          <w:b/>
          <w:bCs w:val="0"/>
          <w:sz w:val="32"/>
          <w:szCs w:val="32"/>
          <w:lang w:val="zh-CN" w:eastAsia="zh-CN"/>
        </w:rPr>
        <w:t>（二）项目绩效目标</w:t>
      </w:r>
    </w:p>
    <w:p w14:paraId="21078188">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仿宋_GBK" w:cs="Times New Roman"/>
          <w:sz w:val="32"/>
          <w:szCs w:val="32"/>
          <w:lang w:val="zh-CN"/>
        </w:rPr>
      </w:pPr>
      <w:r>
        <w:rPr>
          <w:rFonts w:hint="default" w:ascii="Times New Roman" w:hAnsi="Times New Roman" w:eastAsia="方正仿宋_GBK" w:cs="Times New Roman"/>
          <w:sz w:val="32"/>
          <w:szCs w:val="32"/>
          <w:lang w:val="zh-CN"/>
        </w:rPr>
        <w:t>1.项目主要内容：（1</w:t>
      </w:r>
      <w:r>
        <w:rPr>
          <w:rFonts w:hint="default" w:ascii="Times New Roman" w:hAnsi="Times New Roman" w:eastAsia="方正仿宋_GBK" w:cs="Times New Roman"/>
          <w:sz w:val="32"/>
          <w:szCs w:val="32"/>
          <w:lang w:val="zh-CN"/>
        </w:rPr>
        <w:t>）考点设置：普通高考1个考点；成人高考1个考点；中考2个考点。初二年级生物地理结业考试</w:t>
      </w: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lang w:val="zh-CN"/>
        </w:rPr>
        <w:t>个考点；初三体育考试2个考点；初中理科实验操作考试设盐边一中、红格中学、渔门中学、永兴中学4个考点。（2）考场设置：普通高考</w:t>
      </w:r>
      <w:r>
        <w:rPr>
          <w:rFonts w:hint="default" w:ascii="Times New Roman" w:hAnsi="Times New Roman" w:eastAsia="方正仿宋_GBK" w:cs="Times New Roman"/>
          <w:sz w:val="32"/>
          <w:szCs w:val="32"/>
          <w:lang w:val="en-US" w:eastAsia="zh-CN"/>
        </w:rPr>
        <w:t>77</w:t>
      </w:r>
      <w:r>
        <w:rPr>
          <w:rFonts w:hint="default" w:ascii="Times New Roman" w:hAnsi="Times New Roman" w:eastAsia="方正仿宋_GBK" w:cs="Times New Roman"/>
          <w:sz w:val="32"/>
          <w:szCs w:val="32"/>
          <w:lang w:val="zh-CN"/>
        </w:rPr>
        <w:t>个，成人高考</w:t>
      </w:r>
      <w:r>
        <w:rPr>
          <w:rFonts w:hint="default" w:ascii="Times New Roman" w:hAnsi="Times New Roman" w:eastAsia="方正仿宋_GBK" w:cs="Times New Roman"/>
          <w:sz w:val="32"/>
          <w:szCs w:val="32"/>
          <w:lang w:val="en-US" w:eastAsia="zh-CN"/>
        </w:rPr>
        <w:t>21</w:t>
      </w:r>
      <w:r>
        <w:rPr>
          <w:rFonts w:hint="default" w:ascii="Times New Roman" w:hAnsi="Times New Roman" w:eastAsia="方正仿宋_GBK" w:cs="Times New Roman"/>
          <w:sz w:val="32"/>
          <w:szCs w:val="32"/>
          <w:lang w:val="zh-CN"/>
        </w:rPr>
        <w:t>个</w:t>
      </w:r>
      <w:r>
        <w:rPr>
          <w:rFonts w:hint="default" w:ascii="Times New Roman" w:hAnsi="Times New Roman" w:eastAsia="方正仿宋_GBK" w:cs="Times New Roman"/>
          <w:sz w:val="32"/>
          <w:szCs w:val="32"/>
          <w:lang w:val="en-US" w:eastAsia="zh-CN"/>
        </w:rPr>
        <w:t>,</w:t>
      </w:r>
      <w:r>
        <w:rPr>
          <w:rFonts w:hint="default" w:ascii="Times New Roman" w:hAnsi="Times New Roman" w:eastAsia="方正仿宋_GBK" w:cs="Times New Roman"/>
          <w:sz w:val="32"/>
          <w:szCs w:val="32"/>
          <w:lang w:val="zh-CN"/>
        </w:rPr>
        <w:t>中考</w:t>
      </w:r>
      <w:r>
        <w:rPr>
          <w:rFonts w:hint="default" w:ascii="Times New Roman" w:hAnsi="Times New Roman" w:eastAsia="方正仿宋_GBK" w:cs="Times New Roman"/>
          <w:sz w:val="32"/>
          <w:szCs w:val="32"/>
          <w:lang w:val="en-US" w:eastAsia="zh-CN"/>
        </w:rPr>
        <w:t>59</w:t>
      </w:r>
      <w:r>
        <w:rPr>
          <w:rFonts w:hint="default" w:ascii="Times New Roman" w:hAnsi="Times New Roman" w:eastAsia="方正仿宋_GBK" w:cs="Times New Roman"/>
          <w:sz w:val="32"/>
          <w:szCs w:val="32"/>
          <w:lang w:val="zh-CN"/>
        </w:rPr>
        <w:t>个，初二年级生物地理考试</w:t>
      </w:r>
      <w:r>
        <w:rPr>
          <w:rFonts w:hint="default" w:ascii="Times New Roman" w:hAnsi="Times New Roman" w:eastAsia="方正仿宋_GBK" w:cs="Times New Roman"/>
          <w:sz w:val="32"/>
          <w:szCs w:val="32"/>
          <w:lang w:val="en-US" w:eastAsia="zh-CN"/>
        </w:rPr>
        <w:t>52</w:t>
      </w:r>
      <w:r>
        <w:rPr>
          <w:rFonts w:hint="default" w:ascii="Times New Roman" w:hAnsi="Times New Roman" w:eastAsia="方正仿宋_GBK" w:cs="Times New Roman"/>
          <w:sz w:val="32"/>
          <w:szCs w:val="32"/>
          <w:lang w:val="zh-CN"/>
        </w:rPr>
        <w:t>个，高中阶段体育考试为流动性考场。初中理科实验操作考试</w:t>
      </w: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lang w:val="zh-CN"/>
        </w:rPr>
        <w:t>个</w:t>
      </w:r>
      <w:r>
        <w:rPr>
          <w:rFonts w:hint="default" w:ascii="Times New Roman" w:hAnsi="Times New Roman" w:eastAsia="方正仿宋_GBK" w:cs="Times New Roman"/>
          <w:sz w:val="32"/>
          <w:szCs w:val="32"/>
          <w:lang w:val="zh-CN" w:eastAsia="zh-CN"/>
        </w:rPr>
        <w:t>。</w:t>
      </w:r>
      <w:r>
        <w:rPr>
          <w:rFonts w:hint="default" w:ascii="Times New Roman" w:hAnsi="Times New Roman" w:eastAsia="方正仿宋_GBK" w:cs="Times New Roman"/>
          <w:sz w:val="32"/>
          <w:szCs w:val="32"/>
          <w:lang w:val="zh-CN"/>
        </w:rPr>
        <w:t>（3）考试人次：各类招生考试共计</w:t>
      </w:r>
      <w:r>
        <w:rPr>
          <w:rFonts w:hint="default" w:ascii="Times New Roman" w:hAnsi="Times New Roman" w:eastAsia="方正仿宋_GBK" w:cs="Times New Roman"/>
          <w:sz w:val="32"/>
          <w:szCs w:val="32"/>
          <w:lang w:val="en-US" w:eastAsia="zh-CN"/>
        </w:rPr>
        <w:t>9110</w:t>
      </w:r>
      <w:r>
        <w:rPr>
          <w:rFonts w:hint="default" w:ascii="Times New Roman" w:hAnsi="Times New Roman" w:eastAsia="方正仿宋_GBK" w:cs="Times New Roman"/>
          <w:sz w:val="32"/>
          <w:szCs w:val="32"/>
          <w:lang w:val="zh-CN"/>
        </w:rPr>
        <w:t>人次。其中：普通高考2193人，成人高考540人，中考（含初三体育考试、实验考试和初二生物地理考试）3196人次、</w:t>
      </w:r>
      <w:r>
        <w:rPr>
          <w:rFonts w:hint="default" w:ascii="Times New Roman" w:hAnsi="Times New Roman" w:eastAsia="方正仿宋_GBK" w:cs="Times New Roman"/>
          <w:sz w:val="32"/>
          <w:szCs w:val="32"/>
          <w:lang w:val="en-US" w:eastAsia="zh-CN"/>
        </w:rPr>
        <w:t>学业水平考试</w:t>
      </w:r>
      <w:r>
        <w:rPr>
          <w:rFonts w:hint="default" w:ascii="Times New Roman" w:hAnsi="Times New Roman" w:eastAsia="方正仿宋_GBK" w:cs="Times New Roman"/>
          <w:sz w:val="32"/>
          <w:szCs w:val="32"/>
          <w:lang w:val="zh-CN"/>
        </w:rPr>
        <w:t>3181</w:t>
      </w:r>
      <w:r>
        <w:rPr>
          <w:rFonts w:hint="default" w:ascii="Times New Roman" w:hAnsi="Times New Roman" w:eastAsia="方正仿宋_GBK" w:cs="Times New Roman"/>
          <w:sz w:val="32"/>
          <w:szCs w:val="32"/>
          <w:lang w:val="zh-CN" w:eastAsia="zh-CN"/>
        </w:rPr>
        <w:t>人</w:t>
      </w:r>
      <w:r>
        <w:rPr>
          <w:rFonts w:hint="default" w:ascii="Times New Roman" w:hAnsi="Times New Roman" w:eastAsia="方正仿宋_GBK" w:cs="Times New Roman"/>
          <w:sz w:val="32"/>
          <w:szCs w:val="32"/>
          <w:lang w:val="zh-CN"/>
        </w:rPr>
        <w:t>。（4）监考员及考务工作人员：普通高考</w:t>
      </w:r>
      <w:r>
        <w:rPr>
          <w:rFonts w:hint="default" w:ascii="Times New Roman" w:hAnsi="Times New Roman" w:eastAsia="方正仿宋_GBK" w:cs="Times New Roman"/>
          <w:sz w:val="32"/>
          <w:szCs w:val="32"/>
          <w:lang w:val="en-US" w:eastAsia="zh-CN"/>
        </w:rPr>
        <w:t>1184</w:t>
      </w:r>
      <w:r>
        <w:rPr>
          <w:rFonts w:hint="default" w:ascii="Times New Roman" w:hAnsi="Times New Roman" w:eastAsia="方正仿宋_GBK" w:cs="Times New Roman"/>
          <w:sz w:val="32"/>
          <w:szCs w:val="32"/>
          <w:lang w:val="zh-CN"/>
        </w:rPr>
        <w:t>人，成人高考</w:t>
      </w:r>
      <w:r>
        <w:rPr>
          <w:rFonts w:hint="default" w:ascii="Times New Roman" w:hAnsi="Times New Roman" w:eastAsia="方正仿宋_GBK" w:cs="Times New Roman"/>
          <w:sz w:val="32"/>
          <w:szCs w:val="32"/>
          <w:lang w:val="en-US" w:eastAsia="zh-CN"/>
        </w:rPr>
        <w:t>141</w:t>
      </w:r>
      <w:r>
        <w:rPr>
          <w:rFonts w:hint="default" w:ascii="Times New Roman" w:hAnsi="Times New Roman" w:eastAsia="方正仿宋_GBK" w:cs="Times New Roman"/>
          <w:sz w:val="32"/>
          <w:szCs w:val="32"/>
          <w:lang w:val="zh-CN"/>
        </w:rPr>
        <w:t>人，中考（含初三体育考试、实验考试和初二生物地理考试）</w:t>
      </w:r>
      <w:r>
        <w:rPr>
          <w:rFonts w:hint="default" w:ascii="Times New Roman" w:hAnsi="Times New Roman" w:eastAsia="方正仿宋_GBK" w:cs="Times New Roman"/>
          <w:sz w:val="32"/>
          <w:szCs w:val="32"/>
          <w:lang w:val="en-US" w:eastAsia="zh-CN"/>
        </w:rPr>
        <w:t>710</w:t>
      </w:r>
      <w:r>
        <w:rPr>
          <w:rFonts w:hint="default" w:ascii="Times New Roman" w:hAnsi="Times New Roman" w:eastAsia="方正仿宋_GBK" w:cs="Times New Roman"/>
          <w:sz w:val="32"/>
          <w:szCs w:val="32"/>
          <w:lang w:val="zh-CN"/>
        </w:rPr>
        <w:t>人次</w:t>
      </w:r>
      <w:r>
        <w:rPr>
          <w:rFonts w:hint="default" w:ascii="Times New Roman" w:hAnsi="Times New Roman" w:eastAsia="方正仿宋_GBK" w:cs="Times New Roman"/>
          <w:sz w:val="32"/>
          <w:szCs w:val="32"/>
          <w:lang w:val="zh-CN" w:eastAsia="zh-CN"/>
        </w:rPr>
        <w:t>、</w:t>
      </w:r>
      <w:r>
        <w:rPr>
          <w:rFonts w:hint="default" w:ascii="Times New Roman" w:hAnsi="Times New Roman" w:eastAsia="方正仿宋_GBK" w:cs="Times New Roman"/>
          <w:sz w:val="32"/>
          <w:szCs w:val="32"/>
          <w:lang w:val="en-US" w:eastAsia="zh-CN"/>
        </w:rPr>
        <w:t>学业水平考试109人</w:t>
      </w:r>
      <w:r>
        <w:rPr>
          <w:rFonts w:hint="default" w:ascii="Times New Roman" w:hAnsi="Times New Roman" w:eastAsia="方正仿宋_GBK" w:cs="Times New Roman"/>
          <w:sz w:val="32"/>
          <w:szCs w:val="32"/>
          <w:lang w:val="zh-CN"/>
        </w:rPr>
        <w:t>。</w:t>
      </w:r>
    </w:p>
    <w:p w14:paraId="2562E359">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仿宋_GBK" w:cs="Times New Roman"/>
          <w:sz w:val="32"/>
          <w:szCs w:val="32"/>
          <w:lang w:val="zh-CN"/>
        </w:rPr>
      </w:pPr>
      <w:r>
        <w:rPr>
          <w:rFonts w:hint="default" w:ascii="Times New Roman" w:hAnsi="Times New Roman" w:eastAsia="方正仿宋_GBK" w:cs="Times New Roman"/>
          <w:sz w:val="32"/>
          <w:szCs w:val="32"/>
          <w:lang w:val="zh-CN"/>
        </w:rPr>
        <w:t>2.项目应实现的具体绩效目标：盐边县2023年普通高考、成人高考、高中阶段教育考试（含初三体育考试，初二年级生物地理考试）和书法水平考试的报名工作、组考工作和组考后续工作等圆满完成，工作完成率达到100%。体现了2023年的考试工作平稳、有序的完成。</w:t>
      </w:r>
    </w:p>
    <w:p w14:paraId="40DC3B57">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楷体_GBK" w:cs="Times New Roman"/>
          <w:b/>
          <w:bCs w:val="0"/>
          <w:sz w:val="32"/>
          <w:szCs w:val="32"/>
          <w:lang w:val="zh-CN" w:eastAsia="zh-CN"/>
        </w:rPr>
      </w:pPr>
      <w:r>
        <w:rPr>
          <w:rFonts w:hint="default" w:ascii="Times New Roman" w:hAnsi="Times New Roman" w:eastAsia="方正仿宋_GBK" w:cs="Times New Roman"/>
          <w:sz w:val="32"/>
          <w:szCs w:val="32"/>
          <w:lang w:val="zh-CN"/>
        </w:rPr>
        <w:t>3.项目申报内容是与实际相符，申报目标是合理可行。</w:t>
      </w:r>
      <w:r>
        <w:rPr>
          <w:rFonts w:hint="default" w:ascii="Times New Roman" w:hAnsi="Times New Roman" w:eastAsia="方正楷体_GBK" w:cs="Times New Roman"/>
          <w:b/>
          <w:bCs w:val="0"/>
          <w:sz w:val="32"/>
          <w:szCs w:val="32"/>
          <w:lang w:val="zh-CN" w:eastAsia="zh-CN"/>
        </w:rPr>
        <w:t>（三）项目自评步骤及方法</w:t>
      </w:r>
    </w:p>
    <w:p w14:paraId="21C693FF">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仿宋_GBK" w:cs="Times New Roman"/>
          <w:sz w:val="32"/>
          <w:szCs w:val="32"/>
          <w:lang w:val="zh-CN"/>
        </w:rPr>
      </w:pPr>
      <w:r>
        <w:rPr>
          <w:rFonts w:hint="default" w:ascii="Times New Roman" w:hAnsi="Times New Roman" w:eastAsia="方正仿宋_GBK" w:cs="Times New Roman"/>
          <w:sz w:val="32"/>
          <w:szCs w:val="32"/>
          <w:lang w:val="zh-CN"/>
        </w:rPr>
        <w:t>采取现场查看资料，不定期的抽查，此项目每一年实施一次，全部按相关要求实施。</w:t>
      </w:r>
    </w:p>
    <w:p w14:paraId="350676F9">
      <w:pPr>
        <w:pStyle w:val="6"/>
        <w:keepNext/>
        <w:keepLines/>
        <w:pageBreakBefore w:val="0"/>
        <w:widowControl w:val="0"/>
        <w:numPr>
          <w:ilvl w:val="0"/>
          <w:numId w:val="0"/>
        </w:numPr>
        <w:kinsoku/>
        <w:wordWrap/>
        <w:overflowPunct/>
        <w:topLinePunct w:val="0"/>
        <w:autoSpaceDE/>
        <w:autoSpaceDN/>
        <w:bidi w:val="0"/>
        <w:adjustRightInd/>
        <w:snapToGrid/>
        <w:spacing w:line="416" w:lineRule="auto"/>
        <w:ind w:left="0" w:leftChars="0" w:firstLine="640" w:firstLineChars="200"/>
        <w:textAlignment w:val="auto"/>
        <w:rPr>
          <w:rFonts w:hint="default" w:ascii="Times New Roman" w:hAnsi="Times New Roman" w:eastAsia="方正黑体_GBK" w:cs="Times New Roman"/>
          <w:b w:val="0"/>
          <w:bCs/>
          <w:lang w:val="zh-CN" w:eastAsia="zh-CN"/>
        </w:rPr>
      </w:pPr>
      <w:r>
        <w:rPr>
          <w:rFonts w:hint="default" w:ascii="Times New Roman" w:hAnsi="Times New Roman" w:eastAsia="方正黑体_GBK" w:cs="Times New Roman"/>
          <w:b w:val="0"/>
          <w:bCs/>
          <w:lang w:val="zh-CN" w:eastAsia="zh-CN"/>
        </w:rPr>
        <w:t>二、项目资金申报及使用情况</w:t>
      </w:r>
    </w:p>
    <w:p w14:paraId="764C8CC8">
      <w:pPr>
        <w:keepNext w:val="0"/>
        <w:keepLines w:val="0"/>
        <w:pageBreakBefore w:val="0"/>
        <w:widowControl/>
        <w:kinsoku/>
        <w:wordWrap/>
        <w:overflowPunct/>
        <w:topLinePunct w:val="0"/>
        <w:autoSpaceDE/>
        <w:autoSpaceDN/>
        <w:bidi w:val="0"/>
        <w:adjustRightInd/>
        <w:snapToGrid/>
        <w:spacing w:line="240" w:lineRule="auto"/>
        <w:ind w:left="638" w:leftChars="304" w:firstLine="0" w:firstLineChars="0"/>
        <w:jc w:val="left"/>
        <w:textAlignment w:val="auto"/>
        <w:rPr>
          <w:rFonts w:hint="default" w:ascii="Times New Roman" w:hAnsi="Times New Roman" w:eastAsia="方正楷体_GBK" w:cs="Times New Roman"/>
          <w:b/>
          <w:bCs w:val="0"/>
          <w:sz w:val="32"/>
          <w:szCs w:val="32"/>
          <w:lang w:val="zh-CN" w:eastAsia="zh-CN"/>
        </w:rPr>
      </w:pPr>
      <w:r>
        <w:rPr>
          <w:rFonts w:hint="default" w:ascii="Times New Roman" w:hAnsi="Times New Roman" w:eastAsia="方正楷体_GBK" w:cs="Times New Roman"/>
          <w:b/>
          <w:bCs w:val="0"/>
          <w:sz w:val="32"/>
          <w:szCs w:val="32"/>
          <w:lang w:val="zh-CN" w:eastAsia="zh-CN"/>
        </w:rPr>
        <w:t>（一）项目资金申报及批复情况</w:t>
      </w:r>
    </w:p>
    <w:p w14:paraId="4D958E1B">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仿宋_GBK" w:cs="Times New Roman"/>
          <w:sz w:val="32"/>
          <w:szCs w:val="32"/>
          <w:lang w:val="zh-CN"/>
        </w:rPr>
      </w:pPr>
      <w:r>
        <w:rPr>
          <w:rFonts w:hint="default" w:ascii="Times New Roman" w:hAnsi="Times New Roman" w:eastAsia="方正仿宋_GBK" w:cs="Times New Roman"/>
          <w:sz w:val="32"/>
          <w:szCs w:val="32"/>
          <w:lang w:val="zh-CN"/>
        </w:rPr>
        <w:t>项目资金申报、批复及预算调整等程序的相关情况：经县财政局和县教育和体育局对202</w:t>
      </w: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lang w:val="zh-CN"/>
        </w:rPr>
        <w:t>年度盐边县考生人数，考务组人数进行审核，向县政府递交《盐边县教育和体育局关于解决2024年大中专招生考试工作经费的请示》，县政府批复下达县财政局，县财政局再次审核下拨资金到县教育和体育局，县教育和体育局根据核定结果下拨到教育考试中心。</w:t>
      </w:r>
    </w:p>
    <w:p w14:paraId="5FA301B3">
      <w:pPr>
        <w:keepNext w:val="0"/>
        <w:keepLines w:val="0"/>
        <w:pageBreakBefore w:val="0"/>
        <w:widowControl/>
        <w:kinsoku/>
        <w:wordWrap/>
        <w:overflowPunct/>
        <w:topLinePunct w:val="0"/>
        <w:autoSpaceDE/>
        <w:autoSpaceDN/>
        <w:bidi w:val="0"/>
        <w:adjustRightInd/>
        <w:snapToGrid/>
        <w:spacing w:line="240" w:lineRule="auto"/>
        <w:ind w:left="638" w:leftChars="304" w:firstLine="0" w:firstLineChars="0"/>
        <w:jc w:val="left"/>
        <w:textAlignment w:val="auto"/>
        <w:rPr>
          <w:rFonts w:hint="default" w:ascii="Times New Roman" w:hAnsi="Times New Roman" w:eastAsia="方正楷体_GBK" w:cs="Times New Roman"/>
          <w:b/>
          <w:bCs w:val="0"/>
          <w:sz w:val="32"/>
          <w:szCs w:val="32"/>
          <w:lang w:val="zh-CN" w:eastAsia="zh-CN"/>
        </w:rPr>
      </w:pPr>
      <w:r>
        <w:rPr>
          <w:rFonts w:hint="default" w:ascii="Times New Roman" w:hAnsi="Times New Roman" w:eastAsia="方正楷体_GBK" w:cs="Times New Roman"/>
          <w:b/>
          <w:bCs w:val="0"/>
          <w:sz w:val="32"/>
          <w:szCs w:val="32"/>
          <w:lang w:val="zh-CN" w:eastAsia="zh-CN"/>
        </w:rPr>
        <w:t>（二）资金计划、到位及使用情况（可用表格形式反映）</w:t>
      </w:r>
    </w:p>
    <w:p w14:paraId="007CE0A0">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仿宋_GBK" w:cs="Times New Roman"/>
          <w:sz w:val="32"/>
          <w:szCs w:val="32"/>
          <w:lang w:val="zh-CN"/>
        </w:rPr>
      </w:pPr>
      <w:r>
        <w:rPr>
          <w:rFonts w:hint="default" w:ascii="Times New Roman" w:hAnsi="Times New Roman" w:eastAsia="方正仿宋_GBK" w:cs="Times New Roman"/>
          <w:sz w:val="32"/>
          <w:szCs w:val="32"/>
          <w:lang w:val="zh-CN"/>
        </w:rPr>
        <w:t>1.资金计划。202</w:t>
      </w: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lang w:val="zh-CN"/>
        </w:rPr>
        <w:t>年计划合计资金</w:t>
      </w:r>
      <w:r>
        <w:rPr>
          <w:rFonts w:hint="default" w:ascii="Times New Roman" w:hAnsi="Times New Roman" w:eastAsia="方正仿宋_GBK" w:cs="Times New Roman"/>
          <w:sz w:val="32"/>
          <w:szCs w:val="32"/>
          <w:lang w:val="en-US" w:eastAsia="zh-CN"/>
        </w:rPr>
        <w:t>106.34</w:t>
      </w:r>
      <w:r>
        <w:rPr>
          <w:rFonts w:hint="default" w:ascii="Times New Roman" w:hAnsi="Times New Roman" w:eastAsia="方正仿宋_GBK" w:cs="Times New Roman"/>
          <w:sz w:val="32"/>
          <w:szCs w:val="32"/>
          <w:lang w:val="zh-CN"/>
        </w:rPr>
        <w:t>万元，实际拨付202</w:t>
      </w: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lang w:val="zh-CN"/>
        </w:rPr>
        <w:t>年大中专招生考试工作经费合计资金</w:t>
      </w:r>
      <w:r>
        <w:rPr>
          <w:rFonts w:hint="default" w:ascii="Times New Roman" w:hAnsi="Times New Roman" w:eastAsia="方正仿宋_GBK" w:cs="Times New Roman"/>
          <w:sz w:val="32"/>
          <w:szCs w:val="32"/>
          <w:lang w:val="en-US" w:eastAsia="zh-CN"/>
        </w:rPr>
        <w:t>106.34</w:t>
      </w:r>
      <w:r>
        <w:rPr>
          <w:rFonts w:hint="default" w:ascii="Times New Roman" w:hAnsi="Times New Roman" w:eastAsia="方正仿宋_GBK" w:cs="Times New Roman"/>
          <w:sz w:val="32"/>
          <w:szCs w:val="32"/>
          <w:lang w:val="zh-CN"/>
        </w:rPr>
        <w:t>万元，上级财政资金</w:t>
      </w:r>
      <w:r>
        <w:rPr>
          <w:rFonts w:hint="default" w:ascii="Times New Roman" w:hAnsi="Times New Roman" w:eastAsia="方正仿宋_GBK" w:cs="Times New Roman"/>
          <w:sz w:val="32"/>
          <w:szCs w:val="32"/>
          <w:lang w:val="en-US" w:eastAsia="zh-CN"/>
        </w:rPr>
        <w:t>0</w:t>
      </w:r>
      <w:r>
        <w:rPr>
          <w:rFonts w:hint="default" w:ascii="Times New Roman" w:hAnsi="Times New Roman" w:eastAsia="方正仿宋_GBK" w:cs="Times New Roman"/>
          <w:sz w:val="32"/>
          <w:szCs w:val="32"/>
          <w:lang w:val="zh-CN"/>
        </w:rPr>
        <w:t>万元。</w:t>
      </w:r>
    </w:p>
    <w:p w14:paraId="42E305FF">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仿宋_GBK" w:cs="Times New Roman"/>
          <w:sz w:val="32"/>
          <w:szCs w:val="32"/>
          <w:lang w:val="zh-CN"/>
        </w:rPr>
      </w:pPr>
      <w:r>
        <w:rPr>
          <w:rFonts w:hint="default" w:ascii="Times New Roman" w:hAnsi="Times New Roman" w:eastAsia="方正仿宋_GBK" w:cs="Times New Roman"/>
          <w:sz w:val="32"/>
          <w:szCs w:val="32"/>
          <w:lang w:val="zh-CN"/>
        </w:rPr>
        <w:t>2.资金到位。202</w:t>
      </w: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lang w:val="zh-CN"/>
        </w:rPr>
        <w:t>年级上级财政资金及时足额到位。</w:t>
      </w:r>
    </w:p>
    <w:p w14:paraId="17C2BFF5">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仿宋_GBK" w:cs="Times New Roman"/>
          <w:sz w:val="32"/>
          <w:szCs w:val="32"/>
          <w:lang w:val="zh-CN"/>
        </w:rPr>
      </w:pPr>
      <w:r>
        <w:rPr>
          <w:rFonts w:hint="default" w:ascii="Times New Roman" w:hAnsi="Times New Roman" w:eastAsia="方正仿宋_GBK" w:cs="Times New Roman"/>
          <w:sz w:val="32"/>
          <w:szCs w:val="32"/>
          <w:lang w:val="zh-CN"/>
        </w:rPr>
        <w:t>3.资金使用。用于各级各类的考试经费，包括考试稿纸费、考务组劳务费、考场设备维护费等维持考试进行的费用。资金按要求划拨到个人及各个企业，确保了资金的合理利用。资金的及时发放，有利于调到人员的积极性，从而提高了工作效率，保证了各级各类考试顺利进行。</w:t>
      </w:r>
    </w:p>
    <w:p w14:paraId="7B45369D">
      <w:pPr>
        <w:keepNext w:val="0"/>
        <w:keepLines w:val="0"/>
        <w:pageBreakBefore w:val="0"/>
        <w:widowControl/>
        <w:kinsoku/>
        <w:wordWrap/>
        <w:overflowPunct/>
        <w:topLinePunct w:val="0"/>
        <w:autoSpaceDE/>
        <w:autoSpaceDN/>
        <w:bidi w:val="0"/>
        <w:adjustRightInd/>
        <w:snapToGrid/>
        <w:spacing w:line="240" w:lineRule="auto"/>
        <w:ind w:left="638" w:leftChars="304" w:firstLine="0" w:firstLineChars="0"/>
        <w:jc w:val="left"/>
        <w:textAlignment w:val="auto"/>
        <w:rPr>
          <w:rFonts w:hint="default" w:ascii="Times New Roman" w:hAnsi="Times New Roman" w:eastAsia="方正楷体_GBK" w:cs="Times New Roman"/>
          <w:b/>
          <w:bCs w:val="0"/>
          <w:sz w:val="32"/>
          <w:szCs w:val="32"/>
          <w:lang w:val="zh-CN" w:eastAsia="zh-CN"/>
        </w:rPr>
      </w:pPr>
      <w:r>
        <w:rPr>
          <w:rFonts w:hint="default" w:ascii="Times New Roman" w:hAnsi="Times New Roman" w:eastAsia="方正楷体_GBK" w:cs="Times New Roman"/>
          <w:b/>
          <w:bCs w:val="0"/>
          <w:sz w:val="32"/>
          <w:szCs w:val="32"/>
          <w:lang w:val="zh-CN" w:eastAsia="zh-CN"/>
        </w:rPr>
        <w:t>（三）项目财务管理情况</w:t>
      </w:r>
    </w:p>
    <w:p w14:paraId="6FB175E6">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仿宋_GBK" w:cs="Times New Roman"/>
          <w:sz w:val="32"/>
          <w:szCs w:val="32"/>
          <w:lang w:val="zh-CN"/>
        </w:rPr>
      </w:pPr>
      <w:r>
        <w:rPr>
          <w:rFonts w:hint="default" w:ascii="Times New Roman" w:hAnsi="Times New Roman" w:eastAsia="方正仿宋_GBK" w:cs="Times New Roman"/>
          <w:sz w:val="32"/>
          <w:szCs w:val="32"/>
          <w:lang w:val="zh-CN"/>
        </w:rPr>
        <w:t>盐边县教育和体育局审核基本数据，申报受财政局监督、审核、复核，然后请示县政府批复下拨资金，县教育和体育局随时抽查，复核。项目的财务管理制度是健全的，并严格执行财务管理制度，账务处理及时，会计核算内容完整、真实、准确。</w:t>
      </w:r>
    </w:p>
    <w:p w14:paraId="7903B63E">
      <w:pPr>
        <w:pStyle w:val="6"/>
        <w:keepNext/>
        <w:keepLines/>
        <w:pageBreakBefore w:val="0"/>
        <w:widowControl w:val="0"/>
        <w:numPr>
          <w:ilvl w:val="0"/>
          <w:numId w:val="0"/>
        </w:numPr>
        <w:kinsoku/>
        <w:wordWrap/>
        <w:overflowPunct/>
        <w:topLinePunct w:val="0"/>
        <w:autoSpaceDE/>
        <w:autoSpaceDN/>
        <w:bidi w:val="0"/>
        <w:adjustRightInd/>
        <w:snapToGrid/>
        <w:spacing w:line="416" w:lineRule="auto"/>
        <w:ind w:left="0" w:leftChars="0" w:firstLine="640" w:firstLineChars="200"/>
        <w:textAlignment w:val="auto"/>
        <w:rPr>
          <w:rFonts w:hint="default" w:ascii="Times New Roman" w:hAnsi="Times New Roman" w:eastAsia="方正黑体_GBK" w:cs="Times New Roman"/>
          <w:b w:val="0"/>
          <w:bCs/>
          <w:lang w:val="zh-CN" w:eastAsia="zh-CN"/>
        </w:rPr>
      </w:pPr>
      <w:r>
        <w:rPr>
          <w:rFonts w:hint="default" w:ascii="Times New Roman" w:hAnsi="Times New Roman" w:eastAsia="方正黑体_GBK" w:cs="Times New Roman"/>
          <w:b w:val="0"/>
          <w:bCs/>
          <w:lang w:val="zh-CN" w:eastAsia="zh-CN"/>
        </w:rPr>
        <w:t>三、项目实施及管理情况</w:t>
      </w:r>
    </w:p>
    <w:p w14:paraId="79054AF8">
      <w:pPr>
        <w:keepNext w:val="0"/>
        <w:keepLines w:val="0"/>
        <w:pageBreakBefore w:val="0"/>
        <w:kinsoku/>
        <w:wordWrap/>
        <w:overflowPunct/>
        <w:topLinePunct w:val="0"/>
        <w:bidi w:val="0"/>
        <w:spacing w:line="240" w:lineRule="auto"/>
        <w:ind w:firstLine="643" w:firstLineChars="200"/>
        <w:textAlignment w:val="auto"/>
        <w:rPr>
          <w:rFonts w:hint="default" w:ascii="Times New Roman" w:hAnsi="Times New Roman" w:eastAsia="方正楷体_GBK" w:cs="Times New Roman"/>
          <w:b/>
          <w:bCs w:val="0"/>
          <w:sz w:val="32"/>
          <w:szCs w:val="32"/>
          <w:lang w:val="zh-CN" w:eastAsia="zh-CN"/>
        </w:rPr>
      </w:pPr>
      <w:r>
        <w:rPr>
          <w:rFonts w:hint="default" w:ascii="Times New Roman" w:hAnsi="Times New Roman" w:eastAsia="方正楷体_GBK" w:cs="Times New Roman"/>
          <w:b/>
          <w:bCs w:val="0"/>
          <w:sz w:val="32"/>
          <w:szCs w:val="32"/>
          <w:lang w:val="zh-CN" w:eastAsia="zh-CN"/>
        </w:rPr>
        <w:t>（一）项目组织架构及实施流程</w:t>
      </w:r>
    </w:p>
    <w:p w14:paraId="5BDF9015">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仿宋_GBK" w:cs="Times New Roman"/>
          <w:sz w:val="32"/>
          <w:szCs w:val="32"/>
          <w:lang w:val="zh-CN"/>
        </w:rPr>
      </w:pPr>
      <w:r>
        <w:rPr>
          <w:rFonts w:hint="default" w:ascii="Times New Roman" w:hAnsi="Times New Roman" w:eastAsia="方正仿宋_GBK" w:cs="Times New Roman"/>
          <w:sz w:val="32"/>
          <w:szCs w:val="32"/>
          <w:lang w:val="zh-CN"/>
        </w:rPr>
        <w:t>每年大中专招生考试工作经费划拨资金，教育考试中心实施，县教育和体育局审核后拨付。</w:t>
      </w:r>
    </w:p>
    <w:p w14:paraId="5C0F8748">
      <w:pPr>
        <w:keepNext w:val="0"/>
        <w:keepLines w:val="0"/>
        <w:pageBreakBefore w:val="0"/>
        <w:numPr>
          <w:ilvl w:val="0"/>
          <w:numId w:val="0"/>
        </w:numPr>
        <w:kinsoku/>
        <w:wordWrap/>
        <w:overflowPunct/>
        <w:topLinePunct w:val="0"/>
        <w:bidi w:val="0"/>
        <w:spacing w:line="240" w:lineRule="auto"/>
        <w:ind w:firstLine="643" w:firstLineChars="200"/>
        <w:textAlignment w:val="auto"/>
        <w:rPr>
          <w:rFonts w:hint="default" w:ascii="Times New Roman" w:hAnsi="Times New Roman" w:eastAsia="方正楷体_GBK" w:cs="Times New Roman"/>
          <w:b/>
          <w:bCs w:val="0"/>
          <w:sz w:val="32"/>
          <w:szCs w:val="32"/>
          <w:lang w:val="zh-CN" w:eastAsia="zh-CN"/>
        </w:rPr>
      </w:pPr>
      <w:r>
        <w:rPr>
          <w:rFonts w:hint="default" w:ascii="Times New Roman" w:hAnsi="Times New Roman" w:eastAsia="方正楷体_GBK" w:cs="Times New Roman"/>
          <w:b/>
          <w:bCs w:val="0"/>
          <w:kern w:val="2"/>
          <w:sz w:val="32"/>
          <w:szCs w:val="32"/>
          <w:lang w:val="zh-CN" w:eastAsia="zh-CN" w:bidi="ar-SA"/>
        </w:rPr>
        <w:t>（二）</w:t>
      </w:r>
      <w:r>
        <w:rPr>
          <w:rFonts w:hint="default" w:ascii="Times New Roman" w:hAnsi="Times New Roman" w:eastAsia="方正楷体_GBK" w:cs="Times New Roman"/>
          <w:b/>
          <w:bCs w:val="0"/>
          <w:sz w:val="32"/>
          <w:szCs w:val="32"/>
          <w:lang w:val="zh-CN" w:eastAsia="zh-CN"/>
        </w:rPr>
        <w:t>项目管理情况</w:t>
      </w:r>
    </w:p>
    <w:p w14:paraId="550DC2C5">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仿宋_GBK" w:cs="Times New Roman"/>
          <w:sz w:val="32"/>
          <w:szCs w:val="32"/>
          <w:lang w:val="zh-CN"/>
        </w:rPr>
      </w:pPr>
      <w:r>
        <w:rPr>
          <w:rFonts w:hint="default" w:ascii="Times New Roman" w:hAnsi="Times New Roman" w:eastAsia="方正仿宋_GBK" w:cs="Times New Roman"/>
          <w:sz w:val="32"/>
          <w:szCs w:val="32"/>
          <w:lang w:val="zh-CN"/>
        </w:rPr>
        <w:t>盐边县大中专招生考试委员会在盐边县教育和体育局设立教育考试中心，具体负责管理盐边县招生考试日常工作。</w:t>
      </w:r>
    </w:p>
    <w:p w14:paraId="7D1FAA07">
      <w:pPr>
        <w:keepNext w:val="0"/>
        <w:keepLines w:val="0"/>
        <w:pageBreakBefore w:val="0"/>
        <w:numPr>
          <w:ilvl w:val="0"/>
          <w:numId w:val="0"/>
        </w:numPr>
        <w:kinsoku/>
        <w:wordWrap/>
        <w:overflowPunct/>
        <w:topLinePunct w:val="0"/>
        <w:bidi w:val="0"/>
        <w:spacing w:line="240" w:lineRule="auto"/>
        <w:ind w:firstLine="643" w:firstLineChars="200"/>
        <w:textAlignment w:val="auto"/>
        <w:rPr>
          <w:rFonts w:hint="default" w:ascii="Times New Roman" w:hAnsi="Times New Roman" w:eastAsia="方正楷体_GBK" w:cs="Times New Roman"/>
          <w:b/>
          <w:bCs w:val="0"/>
          <w:sz w:val="32"/>
          <w:szCs w:val="32"/>
          <w:lang w:val="zh-CN" w:eastAsia="zh-CN"/>
        </w:rPr>
      </w:pPr>
      <w:r>
        <w:rPr>
          <w:rFonts w:hint="default" w:ascii="Times New Roman" w:hAnsi="Times New Roman" w:eastAsia="方正楷体_GBK" w:cs="Times New Roman"/>
          <w:b/>
          <w:bCs w:val="0"/>
          <w:kern w:val="2"/>
          <w:sz w:val="32"/>
          <w:szCs w:val="32"/>
          <w:lang w:val="zh-CN" w:eastAsia="zh-CN" w:bidi="ar-SA"/>
        </w:rPr>
        <w:t>（三）</w:t>
      </w:r>
      <w:r>
        <w:rPr>
          <w:rFonts w:hint="default" w:ascii="Times New Roman" w:hAnsi="Times New Roman" w:eastAsia="方正楷体_GBK" w:cs="Times New Roman"/>
          <w:b/>
          <w:bCs w:val="0"/>
          <w:sz w:val="32"/>
          <w:szCs w:val="32"/>
          <w:lang w:val="zh-CN" w:eastAsia="zh-CN"/>
        </w:rPr>
        <w:t>项目监管情况</w:t>
      </w:r>
    </w:p>
    <w:p w14:paraId="169DFBA5">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仿宋_GBK" w:cs="Times New Roman"/>
          <w:sz w:val="32"/>
          <w:szCs w:val="32"/>
          <w:lang w:val="zh-CN"/>
        </w:rPr>
      </w:pPr>
      <w:r>
        <w:rPr>
          <w:rFonts w:hint="default" w:ascii="Times New Roman" w:hAnsi="Times New Roman" w:eastAsia="方正仿宋_GBK" w:cs="Times New Roman"/>
          <w:sz w:val="32"/>
          <w:szCs w:val="32"/>
          <w:lang w:val="zh-CN"/>
        </w:rPr>
        <w:t>教育考试中心每年进行一次绩效考核申报，并受财政局监督、审核、复核，然后请示县政府批复下拨资金，教育局随时抽查，复核。项目的财务管理制度是健全的，严格执行财务管理制度，账务处理及时，会计核算内容完整、真实、准确。</w:t>
      </w:r>
    </w:p>
    <w:p w14:paraId="1F1C04BD">
      <w:pPr>
        <w:pStyle w:val="6"/>
        <w:keepNext/>
        <w:keepLines/>
        <w:pageBreakBefore w:val="0"/>
        <w:widowControl w:val="0"/>
        <w:numPr>
          <w:ilvl w:val="0"/>
          <w:numId w:val="0"/>
        </w:numPr>
        <w:kinsoku/>
        <w:wordWrap/>
        <w:overflowPunct/>
        <w:topLinePunct w:val="0"/>
        <w:autoSpaceDE/>
        <w:autoSpaceDN/>
        <w:bidi w:val="0"/>
        <w:adjustRightInd/>
        <w:snapToGrid/>
        <w:spacing w:line="416" w:lineRule="auto"/>
        <w:ind w:left="0" w:leftChars="0" w:firstLine="640" w:firstLineChars="200"/>
        <w:textAlignment w:val="auto"/>
        <w:rPr>
          <w:rFonts w:hint="default" w:ascii="Times New Roman" w:hAnsi="Times New Roman" w:eastAsia="方正黑体_GBK" w:cs="Times New Roman"/>
          <w:b w:val="0"/>
          <w:bCs/>
          <w:lang w:val="zh-CN" w:eastAsia="zh-CN"/>
        </w:rPr>
      </w:pPr>
      <w:r>
        <w:rPr>
          <w:rFonts w:hint="default" w:ascii="Times New Roman" w:hAnsi="Times New Roman" w:eastAsia="方正黑体_GBK" w:cs="Times New Roman"/>
          <w:b w:val="0"/>
          <w:bCs/>
          <w:lang w:val="zh-CN" w:eastAsia="zh-CN"/>
        </w:rPr>
        <w:t>四、项目绩效情况</w:t>
      </w:r>
      <w:r>
        <w:rPr>
          <w:rFonts w:hint="default" w:ascii="Times New Roman" w:hAnsi="Times New Roman" w:eastAsia="方正黑体_GBK" w:cs="Times New Roman"/>
          <w:b w:val="0"/>
          <w:bCs/>
          <w:lang w:val="zh-CN" w:eastAsia="zh-CN"/>
        </w:rPr>
        <w:tab/>
      </w:r>
    </w:p>
    <w:p w14:paraId="6E4F7182">
      <w:pPr>
        <w:keepNext w:val="0"/>
        <w:keepLines w:val="0"/>
        <w:pageBreakBefore w:val="0"/>
        <w:numPr>
          <w:ilvl w:val="0"/>
          <w:numId w:val="0"/>
        </w:numPr>
        <w:kinsoku/>
        <w:wordWrap/>
        <w:overflowPunct/>
        <w:topLinePunct w:val="0"/>
        <w:bidi w:val="0"/>
        <w:spacing w:line="240" w:lineRule="auto"/>
        <w:ind w:firstLine="643" w:firstLineChars="200"/>
        <w:textAlignment w:val="auto"/>
        <w:rPr>
          <w:rFonts w:hint="default" w:ascii="Times New Roman" w:hAnsi="Times New Roman" w:eastAsia="方正楷体_GBK" w:cs="Times New Roman"/>
          <w:b/>
          <w:bCs w:val="0"/>
          <w:kern w:val="2"/>
          <w:sz w:val="32"/>
          <w:szCs w:val="32"/>
          <w:lang w:val="zh-CN" w:eastAsia="zh-CN" w:bidi="ar-SA"/>
        </w:rPr>
      </w:pPr>
      <w:bookmarkStart w:id="83" w:name="_Toc15396618"/>
      <w:r>
        <w:rPr>
          <w:rFonts w:hint="default" w:ascii="Times New Roman" w:hAnsi="Times New Roman" w:eastAsia="方正楷体_GBK" w:cs="Times New Roman"/>
          <w:b/>
          <w:bCs w:val="0"/>
          <w:kern w:val="2"/>
          <w:sz w:val="32"/>
          <w:szCs w:val="32"/>
          <w:lang w:val="zh-CN" w:eastAsia="zh-CN" w:bidi="ar-SA"/>
        </w:rPr>
        <w:t>（一）项目完成情况</w:t>
      </w:r>
    </w:p>
    <w:p w14:paraId="4B1EAF6C">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仿宋_GBK" w:cs="Times New Roman"/>
          <w:sz w:val="32"/>
          <w:szCs w:val="32"/>
          <w:lang w:val="zh-CN"/>
        </w:rPr>
      </w:pPr>
      <w:r>
        <w:rPr>
          <w:rFonts w:hint="default" w:ascii="Times New Roman" w:hAnsi="Times New Roman" w:eastAsia="方正仿宋_GBK" w:cs="Times New Roman"/>
          <w:sz w:val="32"/>
          <w:szCs w:val="32"/>
          <w:lang w:val="zh-CN"/>
        </w:rPr>
        <w:t>资金全部到位并及时足额拨付。</w:t>
      </w:r>
    </w:p>
    <w:p w14:paraId="5A9BF28A">
      <w:pPr>
        <w:keepNext w:val="0"/>
        <w:keepLines w:val="0"/>
        <w:pageBreakBefore w:val="0"/>
        <w:numPr>
          <w:ilvl w:val="0"/>
          <w:numId w:val="0"/>
        </w:numPr>
        <w:kinsoku/>
        <w:wordWrap/>
        <w:overflowPunct/>
        <w:topLinePunct w:val="0"/>
        <w:bidi w:val="0"/>
        <w:spacing w:line="240" w:lineRule="auto"/>
        <w:ind w:firstLine="643" w:firstLineChars="200"/>
        <w:textAlignment w:val="auto"/>
        <w:rPr>
          <w:rFonts w:hint="default" w:ascii="Times New Roman" w:hAnsi="Times New Roman" w:eastAsia="方正楷体_GBK" w:cs="Times New Roman"/>
          <w:b/>
          <w:bCs w:val="0"/>
          <w:kern w:val="2"/>
          <w:sz w:val="32"/>
          <w:szCs w:val="32"/>
          <w:lang w:val="zh-CN" w:eastAsia="zh-CN" w:bidi="ar-SA"/>
        </w:rPr>
      </w:pPr>
      <w:r>
        <w:rPr>
          <w:rFonts w:hint="default" w:ascii="Times New Roman" w:hAnsi="Times New Roman" w:eastAsia="方正楷体_GBK" w:cs="Times New Roman"/>
          <w:b/>
          <w:bCs w:val="0"/>
          <w:kern w:val="2"/>
          <w:sz w:val="32"/>
          <w:szCs w:val="32"/>
          <w:lang w:val="zh-CN" w:eastAsia="zh-CN" w:bidi="ar-SA"/>
        </w:rPr>
        <w:t>（二）项目效益情况</w:t>
      </w:r>
    </w:p>
    <w:p w14:paraId="7BCD5C60">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仿宋_GBK" w:cs="Times New Roman"/>
          <w:sz w:val="32"/>
          <w:szCs w:val="32"/>
          <w:lang w:val="zh-CN"/>
        </w:rPr>
      </w:pPr>
      <w:r>
        <w:rPr>
          <w:rFonts w:hint="default" w:ascii="Times New Roman" w:hAnsi="Times New Roman" w:eastAsia="方正仿宋_GBK" w:cs="Times New Roman"/>
          <w:sz w:val="32"/>
          <w:szCs w:val="32"/>
          <w:lang w:val="zh-CN"/>
        </w:rPr>
        <w:t>1.社会效益：标准化考场建设不断完善，惠及的师生不断扩大，考试实现了“公平、公正、公开”的目标，社会评价不断提高。</w:t>
      </w:r>
    </w:p>
    <w:p w14:paraId="51684775">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仿宋_GBK" w:cs="Times New Roman"/>
          <w:sz w:val="32"/>
          <w:szCs w:val="32"/>
          <w:lang w:val="zh-CN"/>
        </w:rPr>
      </w:pPr>
      <w:r>
        <w:rPr>
          <w:rFonts w:hint="default" w:ascii="Times New Roman" w:hAnsi="Times New Roman" w:eastAsia="方正仿宋_GBK" w:cs="Times New Roman"/>
          <w:sz w:val="32"/>
          <w:szCs w:val="32"/>
          <w:lang w:val="zh-CN"/>
        </w:rPr>
        <w:t>2.功能实现情况：标准化考场的利用率提高，并且各级各类考试“高效、安全、平稳”的完成。</w:t>
      </w:r>
    </w:p>
    <w:p w14:paraId="12E7C3F6">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仿宋_GBK" w:cs="Times New Roman"/>
          <w:sz w:val="32"/>
          <w:szCs w:val="32"/>
          <w:lang w:val="zh-CN"/>
        </w:rPr>
      </w:pPr>
      <w:r>
        <w:rPr>
          <w:rFonts w:hint="default" w:ascii="Times New Roman" w:hAnsi="Times New Roman" w:eastAsia="方正仿宋_GBK" w:cs="Times New Roman"/>
          <w:sz w:val="32"/>
          <w:szCs w:val="32"/>
          <w:lang w:val="zh-CN"/>
        </w:rPr>
        <w:t>3.运行保障效果：打破了传统考试机制的束缚，带来了现代化的考试机制，从技术层面不断提升考试设备，更加高效、便捷的完成每一次考试。节约了人力资源，从而减少了不必要的成本，优化了资金的合理利用。</w:t>
      </w:r>
    </w:p>
    <w:p w14:paraId="3C9D9BDA">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仿宋_GBK" w:cs="Times New Roman"/>
          <w:sz w:val="32"/>
          <w:szCs w:val="32"/>
          <w:lang w:val="zh-CN"/>
        </w:rPr>
      </w:pPr>
      <w:r>
        <w:rPr>
          <w:rFonts w:hint="default" w:ascii="Times New Roman" w:hAnsi="Times New Roman" w:eastAsia="方正仿宋_GBK" w:cs="Times New Roman"/>
          <w:sz w:val="32"/>
          <w:szCs w:val="32"/>
          <w:lang w:val="zh-CN"/>
        </w:rPr>
        <w:t>4.受益群体满意度：我县考试设备不断完善以来，惠及到的学生，家庭数量不断扩大，他们对革新以后得评价及满意度是比较高的，很认可我县考试服务水平和组考质量，对考试的产出也是比较满意的。学生，家庭和社会是不可分割的三个维度，形成了三个同心圆，即包含和被包含关系，学生和家庭的满意度不断提高，说明社会对我县考试工作的满意度也是提高的。因此学生，家庭和社会对我县考试工作的满意度是一直处于上升阶段，甚至满意度可以达到100%的。这都是对我县考试工作的认可，也是今后对考试工作的动力来源。</w:t>
      </w:r>
    </w:p>
    <w:p w14:paraId="7C90C03E">
      <w:pPr>
        <w:pStyle w:val="6"/>
        <w:keepNext/>
        <w:keepLines/>
        <w:pageBreakBefore w:val="0"/>
        <w:widowControl w:val="0"/>
        <w:numPr>
          <w:ilvl w:val="0"/>
          <w:numId w:val="0"/>
        </w:numPr>
        <w:kinsoku/>
        <w:wordWrap/>
        <w:overflowPunct/>
        <w:topLinePunct w:val="0"/>
        <w:autoSpaceDE/>
        <w:autoSpaceDN/>
        <w:bidi w:val="0"/>
        <w:adjustRightInd/>
        <w:snapToGrid/>
        <w:spacing w:line="416" w:lineRule="auto"/>
        <w:ind w:left="0" w:leftChars="0" w:firstLine="640" w:firstLineChars="200"/>
        <w:textAlignment w:val="auto"/>
        <w:rPr>
          <w:rFonts w:hint="default" w:ascii="Times New Roman" w:hAnsi="Times New Roman" w:eastAsia="方正黑体_GBK" w:cs="Times New Roman"/>
          <w:b w:val="0"/>
          <w:bCs/>
          <w:lang w:val="zh-CN" w:eastAsia="zh-CN"/>
        </w:rPr>
      </w:pPr>
      <w:r>
        <w:rPr>
          <w:rFonts w:hint="default" w:ascii="Times New Roman" w:hAnsi="Times New Roman" w:eastAsia="方正黑体_GBK" w:cs="Times New Roman"/>
          <w:b w:val="0"/>
          <w:bCs/>
          <w:lang w:val="zh-CN" w:eastAsia="zh-CN"/>
        </w:rPr>
        <w:t>五、问题及建议</w:t>
      </w:r>
    </w:p>
    <w:p w14:paraId="7A96F3DD">
      <w:pPr>
        <w:keepNext w:val="0"/>
        <w:keepLines w:val="0"/>
        <w:pageBreakBefore w:val="0"/>
        <w:numPr>
          <w:ilvl w:val="0"/>
          <w:numId w:val="0"/>
        </w:numPr>
        <w:kinsoku/>
        <w:wordWrap/>
        <w:overflowPunct/>
        <w:topLinePunct w:val="0"/>
        <w:bidi w:val="0"/>
        <w:spacing w:line="240" w:lineRule="auto"/>
        <w:ind w:firstLine="643" w:firstLineChars="200"/>
        <w:textAlignment w:val="auto"/>
        <w:rPr>
          <w:rFonts w:hint="default" w:ascii="Times New Roman" w:hAnsi="Times New Roman" w:eastAsia="方正楷体_GBK" w:cs="Times New Roman"/>
          <w:b/>
          <w:bCs w:val="0"/>
          <w:kern w:val="2"/>
          <w:sz w:val="32"/>
          <w:szCs w:val="32"/>
          <w:lang w:val="zh-CN" w:eastAsia="zh-CN" w:bidi="ar-SA"/>
        </w:rPr>
      </w:pPr>
      <w:r>
        <w:rPr>
          <w:rFonts w:hint="default" w:ascii="Times New Roman" w:hAnsi="Times New Roman" w:eastAsia="方正楷体_GBK" w:cs="Times New Roman"/>
          <w:b/>
          <w:bCs w:val="0"/>
          <w:kern w:val="2"/>
          <w:sz w:val="32"/>
          <w:szCs w:val="32"/>
          <w:lang w:val="zh-CN" w:eastAsia="zh-CN" w:bidi="ar-SA"/>
        </w:rPr>
        <w:t>（一）存在的问题</w:t>
      </w:r>
    </w:p>
    <w:p w14:paraId="583519B1">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仿宋_GBK" w:cs="Times New Roman"/>
          <w:sz w:val="32"/>
          <w:szCs w:val="32"/>
          <w:lang w:val="zh-CN"/>
        </w:rPr>
      </w:pPr>
      <w:r>
        <w:rPr>
          <w:rFonts w:hint="default" w:ascii="Times New Roman" w:hAnsi="Times New Roman" w:eastAsia="方正仿宋_GBK" w:cs="Times New Roman"/>
          <w:sz w:val="32"/>
          <w:szCs w:val="32"/>
          <w:lang w:val="zh-CN"/>
        </w:rPr>
        <w:t>1.考试业务培训力度有待提高。针对年轻人员而言，系统的学习考试业务是必要，业务操作很多年轻人员是不怎么熟练的，这需要不断去实践，这种实践就是培训。培训中可以发现自己的不足，可以和学员、老师相互学习，这样年轻的业务员会迅速成长起来。</w:t>
      </w:r>
    </w:p>
    <w:p w14:paraId="18884B57">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仿宋_GBK" w:cs="Times New Roman"/>
          <w:sz w:val="32"/>
          <w:szCs w:val="32"/>
          <w:lang w:val="zh-CN"/>
        </w:rPr>
      </w:pPr>
      <w:r>
        <w:rPr>
          <w:rFonts w:hint="default" w:ascii="Times New Roman" w:hAnsi="Times New Roman" w:eastAsia="方正仿宋_GBK" w:cs="Times New Roman"/>
          <w:sz w:val="32"/>
          <w:szCs w:val="32"/>
          <w:lang w:val="zh-CN"/>
        </w:rPr>
        <w:t>2.考试业务员的配备有待优化，人员配备紧缺。有的先去教育考试中心的业务骨干往往就是一个人，很多工作量都压在一个人的身上。</w:t>
      </w:r>
    </w:p>
    <w:p w14:paraId="0FBC6D03">
      <w:pPr>
        <w:keepNext w:val="0"/>
        <w:keepLines w:val="0"/>
        <w:pageBreakBefore w:val="0"/>
        <w:numPr>
          <w:ilvl w:val="0"/>
          <w:numId w:val="0"/>
        </w:numPr>
        <w:kinsoku/>
        <w:wordWrap/>
        <w:overflowPunct/>
        <w:topLinePunct w:val="0"/>
        <w:bidi w:val="0"/>
        <w:spacing w:line="240" w:lineRule="auto"/>
        <w:ind w:firstLine="643" w:firstLineChars="200"/>
        <w:textAlignment w:val="auto"/>
        <w:rPr>
          <w:rFonts w:hint="default" w:ascii="Times New Roman" w:hAnsi="Times New Roman" w:eastAsia="方正楷体_GBK" w:cs="Times New Roman"/>
          <w:b/>
          <w:bCs w:val="0"/>
          <w:kern w:val="2"/>
          <w:sz w:val="32"/>
          <w:szCs w:val="32"/>
          <w:lang w:val="zh-CN" w:eastAsia="zh-CN" w:bidi="ar-SA"/>
        </w:rPr>
      </w:pPr>
      <w:r>
        <w:rPr>
          <w:rFonts w:hint="default" w:ascii="Times New Roman" w:hAnsi="Times New Roman" w:eastAsia="方正楷体_GBK" w:cs="Times New Roman"/>
          <w:b/>
          <w:bCs w:val="0"/>
          <w:kern w:val="2"/>
          <w:sz w:val="32"/>
          <w:szCs w:val="32"/>
          <w:lang w:val="zh-CN" w:eastAsia="zh-CN" w:bidi="ar-SA"/>
        </w:rPr>
        <w:t>（二）相关建议</w:t>
      </w:r>
    </w:p>
    <w:p w14:paraId="108B9878">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仿宋_GBK" w:cs="Times New Roman"/>
          <w:sz w:val="32"/>
          <w:szCs w:val="32"/>
          <w:lang w:val="zh-CN" w:eastAsia="zh-CN"/>
        </w:rPr>
      </w:pPr>
      <w:r>
        <w:rPr>
          <w:rFonts w:hint="default" w:ascii="Times New Roman" w:hAnsi="Times New Roman" w:eastAsia="方正仿宋_GBK" w:cs="Times New Roman"/>
          <w:sz w:val="32"/>
          <w:szCs w:val="32"/>
          <w:lang w:val="zh-CN" w:eastAsia="zh-CN"/>
        </w:rPr>
        <w:t>建议：组织省、市、县三级教育考试机构进行考试业务培训，提升业务员的工作水平，更好的服务于教育考试事业。考试业务员是教育考试中不能忽略的组成部分，要合理分配考试业务员，不足的人员通过招考，引进的形式进行补充，对业务员减负的同时增添了新鲜的血液。</w:t>
      </w:r>
    </w:p>
    <w:p w14:paraId="40818D31">
      <w:pPr>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br w:type="page"/>
      </w:r>
    </w:p>
    <w:p w14:paraId="699C1C11">
      <w:pPr>
        <w:pStyle w:val="5"/>
        <w:keepNext/>
        <w:keepLines/>
        <w:pageBreakBefore w:val="0"/>
        <w:widowControl w:val="0"/>
        <w:kinsoku/>
        <w:wordWrap/>
        <w:overflowPunct/>
        <w:topLinePunct w:val="0"/>
        <w:autoSpaceDE/>
        <w:autoSpaceDN/>
        <w:bidi w:val="0"/>
        <w:adjustRightInd/>
        <w:snapToGrid/>
        <w:spacing w:line="0" w:lineRule="atLeast"/>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b/>
          <w:bCs w:val="0"/>
          <w:lang w:val="en-US" w:eastAsia="zh-CN"/>
        </w:rPr>
        <w:t>2024年度专项资金绩效自评报告</w:t>
      </w:r>
    </w:p>
    <w:p w14:paraId="602652EE">
      <w:pPr>
        <w:keepNext w:val="0"/>
        <w:keepLines w:val="0"/>
        <w:pageBreakBefore w:val="0"/>
        <w:kinsoku/>
        <w:wordWrap/>
        <w:overflowPunct/>
        <w:topLinePunct w:val="0"/>
        <w:bidi w:val="0"/>
        <w:spacing w:line="240" w:lineRule="auto"/>
        <w:ind w:left="361" w:hanging="281" w:hangingChars="100"/>
        <w:jc w:val="center"/>
        <w:textAlignment w:val="auto"/>
        <w:rPr>
          <w:rFonts w:hint="default" w:ascii="Times New Roman" w:hAnsi="Times New Roman" w:eastAsia="方正楷体_GBK" w:cs="Times New Roman"/>
          <w:b/>
          <w:sz w:val="28"/>
          <w:szCs w:val="28"/>
          <w:highlight w:val="none"/>
          <w:lang w:val="zh-CN" w:eastAsia="zh-CN"/>
        </w:rPr>
      </w:pPr>
      <w:r>
        <w:rPr>
          <w:rFonts w:hint="default" w:ascii="Times New Roman" w:hAnsi="Times New Roman" w:eastAsia="方正楷体_GBK" w:cs="Times New Roman"/>
          <w:b/>
          <w:sz w:val="28"/>
          <w:szCs w:val="28"/>
          <w:highlight w:val="none"/>
          <w:lang w:eastAsia="zh-CN"/>
        </w:rPr>
        <w:t>（义务教育阶段学生营养改善计划项目）</w:t>
      </w:r>
    </w:p>
    <w:p w14:paraId="35EBB1AA">
      <w:pPr>
        <w:pStyle w:val="6"/>
        <w:keepNext/>
        <w:keepLines/>
        <w:pageBreakBefore w:val="0"/>
        <w:widowControl w:val="0"/>
        <w:numPr>
          <w:ilvl w:val="0"/>
          <w:numId w:val="0"/>
        </w:numPr>
        <w:kinsoku/>
        <w:wordWrap/>
        <w:overflowPunct/>
        <w:topLinePunct w:val="0"/>
        <w:autoSpaceDE/>
        <w:autoSpaceDN/>
        <w:bidi w:val="0"/>
        <w:adjustRightInd/>
        <w:snapToGrid/>
        <w:spacing w:line="416" w:lineRule="auto"/>
        <w:ind w:left="0" w:leftChars="0" w:firstLine="640" w:firstLineChars="200"/>
        <w:textAlignment w:val="auto"/>
        <w:rPr>
          <w:rFonts w:hint="default" w:ascii="Times New Roman" w:hAnsi="Times New Roman" w:eastAsia="方正黑体_GBK" w:cs="Times New Roman"/>
          <w:b w:val="0"/>
          <w:bCs/>
          <w:lang w:val="zh-CN" w:eastAsia="zh-CN"/>
        </w:rPr>
      </w:pPr>
      <w:r>
        <w:rPr>
          <w:rFonts w:hint="default" w:ascii="Times New Roman" w:hAnsi="Times New Roman" w:eastAsia="方正黑体_GBK" w:cs="Times New Roman"/>
          <w:b w:val="0"/>
          <w:bCs/>
          <w:lang w:val="zh-CN" w:eastAsia="zh-CN"/>
        </w:rPr>
        <w:t>一、项目概况</w:t>
      </w:r>
    </w:p>
    <w:p w14:paraId="78431E84">
      <w:pPr>
        <w:keepNext w:val="0"/>
        <w:keepLines w:val="0"/>
        <w:pageBreakBefore w:val="0"/>
        <w:numPr>
          <w:ilvl w:val="0"/>
          <w:numId w:val="0"/>
        </w:numPr>
        <w:kinsoku/>
        <w:wordWrap/>
        <w:overflowPunct/>
        <w:topLinePunct w:val="0"/>
        <w:bidi w:val="0"/>
        <w:spacing w:line="240" w:lineRule="auto"/>
        <w:ind w:firstLine="643" w:firstLineChars="200"/>
        <w:textAlignment w:val="auto"/>
        <w:rPr>
          <w:rFonts w:hint="default" w:ascii="Times New Roman" w:hAnsi="Times New Roman" w:eastAsia="楷体_GB2312" w:cs="Times New Roman"/>
          <w:sz w:val="32"/>
          <w:szCs w:val="32"/>
        </w:rPr>
      </w:pPr>
      <w:r>
        <w:rPr>
          <w:rFonts w:hint="default" w:ascii="Times New Roman" w:hAnsi="Times New Roman" w:eastAsia="方正楷体_GBK" w:cs="Times New Roman"/>
          <w:b/>
          <w:bCs w:val="0"/>
          <w:kern w:val="2"/>
          <w:sz w:val="32"/>
          <w:szCs w:val="32"/>
          <w:lang w:val="zh-CN" w:eastAsia="zh-CN" w:bidi="ar-SA"/>
        </w:rPr>
        <w:t>（一）项目基本情况</w:t>
      </w:r>
    </w:p>
    <w:p w14:paraId="4DF754BE">
      <w:pPr>
        <w:keepNext w:val="0"/>
        <w:keepLines w:val="0"/>
        <w:pageBreakBefore w:val="0"/>
        <w:kinsoku/>
        <w:wordWrap/>
        <w:overflowPunct/>
        <w:topLinePunct w:val="0"/>
        <w:bidi w:val="0"/>
        <w:spacing w:line="240" w:lineRule="auto"/>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1.盐边县义务教育阶段营养改善计划项目主管部门是盐边县教育和体育局，主要职能是资金的划拨和使用的审核。</w:t>
      </w:r>
    </w:p>
    <w:p w14:paraId="5B6ACDF8">
      <w:pPr>
        <w:keepNext w:val="0"/>
        <w:keepLines w:val="0"/>
        <w:pageBreakBefore w:val="0"/>
        <w:kinsoku/>
        <w:wordWrap/>
        <w:overflowPunct/>
        <w:topLinePunct w:val="0"/>
        <w:bidi w:val="0"/>
        <w:spacing w:line="240" w:lineRule="auto"/>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2.项目根据国家营养改善计划的相关文件执行。</w:t>
      </w:r>
    </w:p>
    <w:p w14:paraId="1195C501">
      <w:pPr>
        <w:keepNext w:val="0"/>
        <w:keepLines w:val="0"/>
        <w:pageBreakBefore w:val="0"/>
        <w:kinsoku/>
        <w:wordWrap/>
        <w:overflowPunct/>
        <w:topLinePunct w:val="0"/>
        <w:bidi w:val="0"/>
        <w:spacing w:line="240" w:lineRule="auto"/>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3.每学期开学根据各学校学生人数，按每天每生5元的标准划拨资金，各学校按每餐就餐学生人数实施，再经营养餐办公室审核报账支付。资金覆盖全县义务教育阶段所有学生。</w:t>
      </w:r>
    </w:p>
    <w:p w14:paraId="53E61E2C">
      <w:pPr>
        <w:keepNext w:val="0"/>
        <w:keepLines w:val="0"/>
        <w:pageBreakBefore w:val="0"/>
        <w:kinsoku/>
        <w:wordWrap/>
        <w:overflowPunct/>
        <w:topLinePunct w:val="0"/>
        <w:bidi w:val="0"/>
        <w:spacing w:line="240" w:lineRule="auto"/>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4.资金按各学校在校学生人数分配。</w:t>
      </w:r>
    </w:p>
    <w:p w14:paraId="2EA13DB8">
      <w:pPr>
        <w:keepNext w:val="0"/>
        <w:keepLines w:val="0"/>
        <w:pageBreakBefore w:val="0"/>
        <w:numPr>
          <w:ilvl w:val="0"/>
          <w:numId w:val="0"/>
        </w:numPr>
        <w:kinsoku/>
        <w:wordWrap/>
        <w:overflowPunct/>
        <w:topLinePunct w:val="0"/>
        <w:bidi w:val="0"/>
        <w:spacing w:line="240" w:lineRule="auto"/>
        <w:ind w:firstLine="643" w:firstLineChars="200"/>
        <w:textAlignment w:val="auto"/>
        <w:rPr>
          <w:rFonts w:hint="default" w:ascii="Times New Roman" w:hAnsi="Times New Roman" w:eastAsia="方正楷体_GBK" w:cs="Times New Roman"/>
          <w:b/>
          <w:bCs w:val="0"/>
          <w:kern w:val="2"/>
          <w:sz w:val="32"/>
          <w:szCs w:val="32"/>
          <w:lang w:val="zh-CN" w:eastAsia="zh-CN" w:bidi="ar-SA"/>
        </w:rPr>
      </w:pPr>
      <w:r>
        <w:rPr>
          <w:rFonts w:hint="default" w:ascii="Times New Roman" w:hAnsi="Times New Roman" w:eastAsia="方正楷体_GBK" w:cs="Times New Roman"/>
          <w:b/>
          <w:bCs w:val="0"/>
          <w:kern w:val="2"/>
          <w:sz w:val="32"/>
          <w:szCs w:val="32"/>
          <w:lang w:val="zh-CN" w:eastAsia="zh-CN" w:bidi="ar-SA"/>
        </w:rPr>
        <w:t>（二）项目绩效目标</w:t>
      </w:r>
    </w:p>
    <w:p w14:paraId="3E2BC663">
      <w:pPr>
        <w:keepNext w:val="0"/>
        <w:keepLines w:val="0"/>
        <w:pageBreakBefore w:val="0"/>
        <w:kinsoku/>
        <w:wordWrap/>
        <w:overflowPunct/>
        <w:topLinePunct w:val="0"/>
        <w:bidi w:val="0"/>
        <w:spacing w:line="240" w:lineRule="auto"/>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1.项目主要内容：让全县义务教育阶段所有学生按国家标准及时足额吃到营养餐。</w:t>
      </w:r>
    </w:p>
    <w:p w14:paraId="2376C029">
      <w:pPr>
        <w:keepNext w:val="0"/>
        <w:keepLines w:val="0"/>
        <w:pageBreakBefore w:val="0"/>
        <w:kinsoku/>
        <w:wordWrap/>
        <w:overflowPunct/>
        <w:topLinePunct w:val="0"/>
        <w:bidi w:val="0"/>
        <w:spacing w:line="240" w:lineRule="auto"/>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2.项目应实现的具体绩效目标：全县义务教育阶段所有学生及时足额吃到营养餐。</w:t>
      </w:r>
    </w:p>
    <w:p w14:paraId="0A345404">
      <w:pPr>
        <w:keepNext w:val="0"/>
        <w:keepLines w:val="0"/>
        <w:pageBreakBefore w:val="0"/>
        <w:kinsoku/>
        <w:wordWrap/>
        <w:overflowPunct/>
        <w:topLinePunct w:val="0"/>
        <w:bidi w:val="0"/>
        <w:spacing w:line="240" w:lineRule="auto"/>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3.分析评价申报内容是否与实际相符：此项目与实际相符。</w:t>
      </w:r>
    </w:p>
    <w:p w14:paraId="478A08BA">
      <w:pPr>
        <w:keepNext w:val="0"/>
        <w:keepLines w:val="0"/>
        <w:pageBreakBefore w:val="0"/>
        <w:numPr>
          <w:ilvl w:val="0"/>
          <w:numId w:val="0"/>
        </w:numPr>
        <w:kinsoku/>
        <w:wordWrap/>
        <w:overflowPunct/>
        <w:topLinePunct w:val="0"/>
        <w:bidi w:val="0"/>
        <w:spacing w:line="240" w:lineRule="auto"/>
        <w:ind w:firstLine="643" w:firstLineChars="200"/>
        <w:textAlignment w:val="auto"/>
        <w:rPr>
          <w:rFonts w:hint="default" w:ascii="Times New Roman" w:hAnsi="Times New Roman" w:eastAsia="方正楷体_GBK" w:cs="Times New Roman"/>
          <w:b/>
          <w:bCs w:val="0"/>
          <w:kern w:val="2"/>
          <w:sz w:val="32"/>
          <w:szCs w:val="32"/>
          <w:lang w:val="zh-CN" w:eastAsia="zh-CN" w:bidi="ar-SA"/>
        </w:rPr>
      </w:pPr>
      <w:r>
        <w:rPr>
          <w:rFonts w:hint="default" w:ascii="Times New Roman" w:hAnsi="Times New Roman" w:eastAsia="方正楷体_GBK" w:cs="Times New Roman"/>
          <w:b/>
          <w:bCs w:val="0"/>
          <w:kern w:val="2"/>
          <w:sz w:val="32"/>
          <w:szCs w:val="32"/>
          <w:lang w:val="zh-CN" w:eastAsia="zh-CN" w:bidi="ar-SA"/>
        </w:rPr>
        <w:t>（三）项目自评步骤及方法</w:t>
      </w:r>
    </w:p>
    <w:p w14:paraId="62FF1849">
      <w:pPr>
        <w:keepNext w:val="0"/>
        <w:keepLines w:val="0"/>
        <w:pageBreakBefore w:val="0"/>
        <w:kinsoku/>
        <w:wordWrap/>
        <w:overflowPunct/>
        <w:topLinePunct w:val="0"/>
        <w:bidi w:val="0"/>
        <w:spacing w:line="240" w:lineRule="auto"/>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此项目实施多年全部按要求实施。</w:t>
      </w:r>
    </w:p>
    <w:p w14:paraId="1CCA0CB4">
      <w:pPr>
        <w:pStyle w:val="6"/>
        <w:keepNext/>
        <w:keepLines/>
        <w:pageBreakBefore w:val="0"/>
        <w:widowControl w:val="0"/>
        <w:numPr>
          <w:ilvl w:val="0"/>
          <w:numId w:val="0"/>
        </w:numPr>
        <w:kinsoku/>
        <w:wordWrap/>
        <w:overflowPunct/>
        <w:topLinePunct w:val="0"/>
        <w:autoSpaceDE/>
        <w:autoSpaceDN/>
        <w:bidi w:val="0"/>
        <w:adjustRightInd/>
        <w:snapToGrid/>
        <w:spacing w:line="416" w:lineRule="auto"/>
        <w:ind w:left="0" w:leftChars="0" w:firstLine="640" w:firstLineChars="200"/>
        <w:textAlignment w:val="auto"/>
        <w:rPr>
          <w:rFonts w:hint="default" w:ascii="Times New Roman" w:hAnsi="Times New Roman" w:eastAsia="方正黑体_GBK" w:cs="Times New Roman"/>
          <w:b w:val="0"/>
          <w:bCs/>
          <w:lang w:val="zh-CN" w:eastAsia="zh-CN"/>
        </w:rPr>
      </w:pPr>
      <w:r>
        <w:rPr>
          <w:rFonts w:hint="default" w:ascii="Times New Roman" w:hAnsi="Times New Roman" w:eastAsia="方正黑体_GBK" w:cs="Times New Roman"/>
          <w:b w:val="0"/>
          <w:bCs/>
          <w:lang w:val="zh-CN" w:eastAsia="zh-CN"/>
        </w:rPr>
        <w:t>二、项目资金申报及使用情况</w:t>
      </w:r>
    </w:p>
    <w:p w14:paraId="75C50B5E">
      <w:pPr>
        <w:keepNext w:val="0"/>
        <w:keepLines w:val="0"/>
        <w:pageBreakBefore w:val="0"/>
        <w:numPr>
          <w:ilvl w:val="0"/>
          <w:numId w:val="0"/>
        </w:numPr>
        <w:kinsoku/>
        <w:wordWrap/>
        <w:overflowPunct/>
        <w:topLinePunct w:val="0"/>
        <w:bidi w:val="0"/>
        <w:spacing w:line="240" w:lineRule="auto"/>
        <w:ind w:firstLine="643" w:firstLineChars="200"/>
        <w:textAlignment w:val="auto"/>
        <w:rPr>
          <w:rFonts w:hint="default" w:ascii="Times New Roman" w:hAnsi="Times New Roman" w:eastAsia="方正楷体_GBK" w:cs="Times New Roman"/>
          <w:b/>
          <w:bCs w:val="0"/>
          <w:kern w:val="2"/>
          <w:sz w:val="32"/>
          <w:szCs w:val="32"/>
          <w:lang w:val="zh-CN" w:eastAsia="zh-CN" w:bidi="ar-SA"/>
        </w:rPr>
      </w:pPr>
      <w:r>
        <w:rPr>
          <w:rFonts w:hint="default" w:ascii="Times New Roman" w:hAnsi="Times New Roman" w:eastAsia="方正楷体_GBK" w:cs="Times New Roman"/>
          <w:b/>
          <w:bCs w:val="0"/>
          <w:kern w:val="2"/>
          <w:sz w:val="32"/>
          <w:szCs w:val="32"/>
          <w:lang w:val="zh-CN" w:eastAsia="zh-CN" w:bidi="ar-SA"/>
        </w:rPr>
        <w:t>（一）项目资金申报及批复情况</w:t>
      </w:r>
    </w:p>
    <w:p w14:paraId="11805C85">
      <w:pPr>
        <w:keepNext w:val="0"/>
        <w:keepLines w:val="0"/>
        <w:pageBreakBefore w:val="0"/>
        <w:kinsoku/>
        <w:wordWrap/>
        <w:overflowPunct/>
        <w:topLinePunct w:val="0"/>
        <w:bidi w:val="0"/>
        <w:spacing w:line="240" w:lineRule="auto"/>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资金按国家营养改善计划相关政策执行，不需要立项。</w:t>
      </w:r>
    </w:p>
    <w:p w14:paraId="127BC2DA">
      <w:pPr>
        <w:keepNext w:val="0"/>
        <w:keepLines w:val="0"/>
        <w:pageBreakBefore w:val="0"/>
        <w:numPr>
          <w:ilvl w:val="0"/>
          <w:numId w:val="0"/>
        </w:numPr>
        <w:kinsoku/>
        <w:wordWrap/>
        <w:overflowPunct/>
        <w:topLinePunct w:val="0"/>
        <w:bidi w:val="0"/>
        <w:spacing w:line="240" w:lineRule="auto"/>
        <w:ind w:firstLine="643" w:firstLineChars="200"/>
        <w:textAlignment w:val="auto"/>
        <w:rPr>
          <w:rFonts w:hint="default" w:ascii="Times New Roman" w:hAnsi="Times New Roman" w:eastAsia="方正楷体_GBK" w:cs="Times New Roman"/>
          <w:b/>
          <w:bCs w:val="0"/>
          <w:kern w:val="2"/>
          <w:sz w:val="32"/>
          <w:szCs w:val="32"/>
          <w:lang w:val="zh-CN" w:eastAsia="zh-CN" w:bidi="ar-SA"/>
        </w:rPr>
      </w:pPr>
      <w:r>
        <w:rPr>
          <w:rFonts w:hint="default" w:ascii="Times New Roman" w:hAnsi="Times New Roman" w:eastAsia="方正楷体_GBK" w:cs="Times New Roman"/>
          <w:b/>
          <w:bCs w:val="0"/>
          <w:kern w:val="2"/>
          <w:sz w:val="32"/>
          <w:szCs w:val="32"/>
          <w:lang w:val="zh-CN" w:eastAsia="zh-CN" w:bidi="ar-SA"/>
        </w:rPr>
        <w:t>（二）资金计划、到位及使用情况</w:t>
      </w:r>
    </w:p>
    <w:p w14:paraId="18700DB9">
      <w:pPr>
        <w:keepNext w:val="0"/>
        <w:keepLines w:val="0"/>
        <w:pageBreakBefore w:val="0"/>
        <w:kinsoku/>
        <w:wordWrap/>
        <w:overflowPunct/>
        <w:topLinePunct w:val="0"/>
        <w:bidi w:val="0"/>
        <w:spacing w:line="240" w:lineRule="auto"/>
        <w:ind w:firstLine="640" w:firstLineChars="200"/>
        <w:textAlignment w:val="auto"/>
        <w:rPr>
          <w:rFonts w:hint="default" w:ascii="Times New Roman" w:hAnsi="Times New Roman" w:eastAsia="方正仿宋_GBK" w:cs="Times New Roman"/>
          <w:b w:val="0"/>
          <w:bCs/>
          <w:sz w:val="32"/>
          <w:szCs w:val="32"/>
        </w:rPr>
      </w:pPr>
      <w:r>
        <w:rPr>
          <w:rFonts w:hint="default" w:ascii="Times New Roman" w:hAnsi="Times New Roman" w:eastAsia="方正仿宋_GBK" w:cs="Times New Roman"/>
          <w:b w:val="0"/>
          <w:bCs/>
          <w:sz w:val="32"/>
          <w:szCs w:val="32"/>
        </w:rPr>
        <w:t>1.资金计划。202</w:t>
      </w:r>
      <w:r>
        <w:rPr>
          <w:rFonts w:hint="default" w:ascii="Times New Roman" w:hAnsi="Times New Roman" w:eastAsia="方正仿宋_GBK" w:cs="Times New Roman"/>
          <w:b w:val="0"/>
          <w:bCs/>
          <w:sz w:val="32"/>
          <w:szCs w:val="32"/>
          <w:lang w:val="en-US" w:eastAsia="zh-CN"/>
        </w:rPr>
        <w:t>4</w:t>
      </w:r>
      <w:r>
        <w:rPr>
          <w:rFonts w:hint="default" w:ascii="Times New Roman" w:hAnsi="Times New Roman" w:eastAsia="方正仿宋_GBK" w:cs="Times New Roman"/>
          <w:b w:val="0"/>
          <w:bCs/>
          <w:sz w:val="32"/>
          <w:szCs w:val="32"/>
        </w:rPr>
        <w:t>年中央资金</w:t>
      </w:r>
      <w:r>
        <w:rPr>
          <w:rFonts w:hint="default" w:ascii="Times New Roman" w:hAnsi="Times New Roman" w:eastAsia="方正仿宋_GBK" w:cs="Times New Roman"/>
          <w:b w:val="0"/>
          <w:bCs/>
          <w:sz w:val="32"/>
          <w:szCs w:val="32"/>
          <w:lang w:val="en-US" w:eastAsia="zh-CN"/>
        </w:rPr>
        <w:t>1220.46</w:t>
      </w:r>
      <w:r>
        <w:rPr>
          <w:rFonts w:hint="default" w:ascii="Times New Roman" w:hAnsi="Times New Roman" w:eastAsia="方正仿宋_GBK" w:cs="Times New Roman"/>
          <w:b w:val="0"/>
          <w:bCs/>
          <w:sz w:val="32"/>
          <w:szCs w:val="32"/>
        </w:rPr>
        <w:t>万元，省级资金</w:t>
      </w:r>
      <w:r>
        <w:rPr>
          <w:rFonts w:hint="default" w:ascii="Times New Roman" w:hAnsi="Times New Roman" w:eastAsia="方正仿宋_GBK" w:cs="Times New Roman"/>
          <w:b w:val="0"/>
          <w:bCs/>
          <w:sz w:val="32"/>
          <w:szCs w:val="32"/>
          <w:lang w:val="en-US" w:eastAsia="zh-CN"/>
        </w:rPr>
        <w:t xml:space="preserve">  178.54</w:t>
      </w:r>
      <w:r>
        <w:rPr>
          <w:rFonts w:hint="default" w:ascii="Times New Roman" w:hAnsi="Times New Roman" w:eastAsia="方正仿宋_GBK" w:cs="Times New Roman"/>
          <w:b w:val="0"/>
          <w:bCs/>
          <w:sz w:val="32"/>
          <w:szCs w:val="32"/>
        </w:rPr>
        <w:t>万元，县级资金</w:t>
      </w:r>
      <w:r>
        <w:rPr>
          <w:rFonts w:hint="default" w:ascii="Times New Roman" w:hAnsi="Times New Roman" w:eastAsia="方正仿宋_GBK" w:cs="Times New Roman"/>
          <w:b w:val="0"/>
          <w:bCs/>
          <w:sz w:val="32"/>
          <w:szCs w:val="32"/>
          <w:lang w:val="en-US" w:eastAsia="zh-CN"/>
        </w:rPr>
        <w:t>110.97</w:t>
      </w:r>
      <w:r>
        <w:rPr>
          <w:rFonts w:hint="default" w:ascii="Times New Roman" w:hAnsi="Times New Roman" w:eastAsia="方正仿宋_GBK" w:cs="Times New Roman"/>
          <w:b w:val="0"/>
          <w:bCs/>
          <w:sz w:val="32"/>
          <w:szCs w:val="32"/>
        </w:rPr>
        <w:t>万元。</w:t>
      </w:r>
    </w:p>
    <w:p w14:paraId="3934B1D5">
      <w:pPr>
        <w:keepNext w:val="0"/>
        <w:keepLines w:val="0"/>
        <w:pageBreakBefore w:val="0"/>
        <w:kinsoku/>
        <w:wordWrap/>
        <w:overflowPunct/>
        <w:topLinePunct w:val="0"/>
        <w:bidi w:val="0"/>
        <w:spacing w:line="240" w:lineRule="auto"/>
        <w:ind w:firstLine="640" w:firstLineChars="200"/>
        <w:textAlignment w:val="auto"/>
        <w:rPr>
          <w:rFonts w:hint="default" w:ascii="Times New Roman" w:hAnsi="Times New Roman" w:eastAsia="方正仿宋_GBK" w:cs="Times New Roman"/>
          <w:b w:val="0"/>
          <w:bCs/>
          <w:sz w:val="32"/>
          <w:szCs w:val="32"/>
        </w:rPr>
      </w:pPr>
      <w:r>
        <w:rPr>
          <w:rFonts w:hint="default" w:ascii="Times New Roman" w:hAnsi="Times New Roman" w:eastAsia="方正仿宋_GBK" w:cs="Times New Roman"/>
          <w:b w:val="0"/>
          <w:bCs/>
          <w:sz w:val="32"/>
          <w:szCs w:val="32"/>
        </w:rPr>
        <w:t>2.资金到位。202</w:t>
      </w:r>
      <w:r>
        <w:rPr>
          <w:rFonts w:hint="default" w:ascii="Times New Roman" w:hAnsi="Times New Roman" w:eastAsia="方正仿宋_GBK" w:cs="Times New Roman"/>
          <w:b w:val="0"/>
          <w:bCs/>
          <w:sz w:val="32"/>
          <w:szCs w:val="32"/>
          <w:lang w:val="en-US" w:eastAsia="zh-CN"/>
        </w:rPr>
        <w:t>4</w:t>
      </w:r>
      <w:r>
        <w:rPr>
          <w:rFonts w:hint="default" w:ascii="Times New Roman" w:hAnsi="Times New Roman" w:eastAsia="方正仿宋_GBK" w:cs="Times New Roman"/>
          <w:b w:val="0"/>
          <w:bCs/>
          <w:sz w:val="32"/>
          <w:szCs w:val="32"/>
        </w:rPr>
        <w:t>年中央资金</w:t>
      </w:r>
      <w:r>
        <w:rPr>
          <w:rFonts w:hint="default" w:ascii="Times New Roman" w:hAnsi="Times New Roman" w:eastAsia="方正仿宋_GBK" w:cs="Times New Roman"/>
          <w:b w:val="0"/>
          <w:bCs/>
          <w:sz w:val="32"/>
          <w:szCs w:val="32"/>
          <w:lang w:val="en-US" w:eastAsia="zh-CN"/>
        </w:rPr>
        <w:t>1220.46</w:t>
      </w:r>
      <w:r>
        <w:rPr>
          <w:rFonts w:hint="default" w:ascii="Times New Roman" w:hAnsi="Times New Roman" w:eastAsia="方正仿宋_GBK" w:cs="Times New Roman"/>
          <w:b w:val="0"/>
          <w:bCs/>
          <w:sz w:val="32"/>
          <w:szCs w:val="32"/>
        </w:rPr>
        <w:t>万元，省级资金</w:t>
      </w:r>
      <w:r>
        <w:rPr>
          <w:rFonts w:hint="default" w:ascii="Times New Roman" w:hAnsi="Times New Roman" w:eastAsia="方正仿宋_GBK" w:cs="Times New Roman"/>
          <w:b w:val="0"/>
          <w:bCs/>
          <w:sz w:val="32"/>
          <w:szCs w:val="32"/>
          <w:lang w:val="en-US" w:eastAsia="zh-CN"/>
        </w:rPr>
        <w:t xml:space="preserve">  178.54</w:t>
      </w:r>
      <w:r>
        <w:rPr>
          <w:rFonts w:hint="default" w:ascii="Times New Roman" w:hAnsi="Times New Roman" w:eastAsia="方正仿宋_GBK" w:cs="Times New Roman"/>
          <w:b w:val="0"/>
          <w:bCs/>
          <w:sz w:val="32"/>
          <w:szCs w:val="32"/>
        </w:rPr>
        <w:t>万元，县级资金</w:t>
      </w:r>
      <w:r>
        <w:rPr>
          <w:rFonts w:hint="default" w:ascii="Times New Roman" w:hAnsi="Times New Roman" w:eastAsia="方正仿宋_GBK" w:cs="Times New Roman"/>
          <w:b w:val="0"/>
          <w:bCs/>
          <w:sz w:val="32"/>
          <w:szCs w:val="32"/>
          <w:lang w:val="en-US" w:eastAsia="zh-CN"/>
        </w:rPr>
        <w:t>110.97</w:t>
      </w:r>
      <w:r>
        <w:rPr>
          <w:rFonts w:hint="default" w:ascii="Times New Roman" w:hAnsi="Times New Roman" w:eastAsia="方正仿宋_GBK" w:cs="Times New Roman"/>
          <w:b w:val="0"/>
          <w:bCs/>
          <w:sz w:val="32"/>
          <w:szCs w:val="32"/>
        </w:rPr>
        <w:t>万元及时足额到位。</w:t>
      </w:r>
    </w:p>
    <w:p w14:paraId="6208B04E">
      <w:pPr>
        <w:keepNext w:val="0"/>
        <w:keepLines w:val="0"/>
        <w:pageBreakBefore w:val="0"/>
        <w:kinsoku/>
        <w:wordWrap/>
        <w:overflowPunct/>
        <w:topLinePunct w:val="0"/>
        <w:bidi w:val="0"/>
        <w:spacing w:line="240" w:lineRule="auto"/>
        <w:ind w:firstLine="640" w:firstLineChars="200"/>
        <w:textAlignment w:val="auto"/>
        <w:rPr>
          <w:rFonts w:hint="default" w:ascii="Times New Roman" w:hAnsi="Times New Roman" w:eastAsia="方正仿宋_GBK" w:cs="Times New Roman"/>
          <w:b w:val="0"/>
          <w:bCs/>
          <w:sz w:val="32"/>
          <w:szCs w:val="32"/>
        </w:rPr>
      </w:pPr>
      <w:r>
        <w:rPr>
          <w:rFonts w:hint="default" w:ascii="Times New Roman" w:hAnsi="Times New Roman" w:eastAsia="方正仿宋_GBK" w:cs="Times New Roman"/>
          <w:b w:val="0"/>
          <w:bCs/>
          <w:sz w:val="32"/>
          <w:szCs w:val="32"/>
        </w:rPr>
        <w:t>3.资金使用。资金全部按各学校的学生人数划拨到各学校。</w:t>
      </w:r>
    </w:p>
    <w:p w14:paraId="369AD127">
      <w:pPr>
        <w:keepNext w:val="0"/>
        <w:keepLines w:val="0"/>
        <w:pageBreakBefore w:val="0"/>
        <w:numPr>
          <w:ilvl w:val="0"/>
          <w:numId w:val="0"/>
        </w:numPr>
        <w:kinsoku/>
        <w:wordWrap/>
        <w:overflowPunct/>
        <w:topLinePunct w:val="0"/>
        <w:bidi w:val="0"/>
        <w:spacing w:line="240" w:lineRule="auto"/>
        <w:ind w:firstLine="643" w:firstLineChars="200"/>
        <w:textAlignment w:val="auto"/>
        <w:rPr>
          <w:rFonts w:hint="default" w:ascii="Times New Roman" w:hAnsi="Times New Roman" w:eastAsia="方正楷体_GBK" w:cs="Times New Roman"/>
          <w:b/>
          <w:bCs w:val="0"/>
          <w:kern w:val="2"/>
          <w:sz w:val="32"/>
          <w:szCs w:val="32"/>
          <w:lang w:val="zh-CN" w:eastAsia="zh-CN" w:bidi="ar-SA"/>
        </w:rPr>
      </w:pPr>
      <w:r>
        <w:rPr>
          <w:rFonts w:hint="default" w:ascii="Times New Roman" w:hAnsi="Times New Roman" w:eastAsia="方正楷体_GBK" w:cs="Times New Roman"/>
          <w:b/>
          <w:bCs w:val="0"/>
          <w:kern w:val="2"/>
          <w:sz w:val="32"/>
          <w:szCs w:val="32"/>
          <w:lang w:val="zh-CN" w:eastAsia="zh-CN" w:bidi="ar-SA"/>
        </w:rPr>
        <w:t>（三）项目财务管理情况</w:t>
      </w:r>
    </w:p>
    <w:p w14:paraId="066805EF">
      <w:pPr>
        <w:keepNext w:val="0"/>
        <w:keepLines w:val="0"/>
        <w:pageBreakBefore w:val="0"/>
        <w:kinsoku/>
        <w:wordWrap/>
        <w:overflowPunct/>
        <w:topLinePunct w:val="0"/>
        <w:bidi w:val="0"/>
        <w:spacing w:line="240" w:lineRule="auto"/>
        <w:ind w:firstLine="640" w:firstLineChars="200"/>
        <w:textAlignment w:val="auto"/>
        <w:rPr>
          <w:rFonts w:hint="default" w:ascii="Times New Roman" w:hAnsi="Times New Roman" w:eastAsia="方正仿宋_GBK" w:cs="Times New Roman"/>
          <w:b w:val="0"/>
          <w:bCs/>
          <w:sz w:val="32"/>
          <w:szCs w:val="32"/>
        </w:rPr>
      </w:pPr>
      <w:r>
        <w:rPr>
          <w:rFonts w:hint="default" w:ascii="Times New Roman" w:hAnsi="Times New Roman" w:eastAsia="方正仿宋_GBK" w:cs="Times New Roman"/>
          <w:b w:val="0"/>
          <w:bCs/>
          <w:sz w:val="32"/>
          <w:szCs w:val="32"/>
        </w:rPr>
        <w:t>营养改善计划金管理制度健全，严格执行财务管理制度，账务处理及时，会计核算规范。</w:t>
      </w:r>
    </w:p>
    <w:p w14:paraId="39FC1920">
      <w:pPr>
        <w:pStyle w:val="6"/>
        <w:keepNext/>
        <w:keepLines/>
        <w:pageBreakBefore w:val="0"/>
        <w:widowControl w:val="0"/>
        <w:numPr>
          <w:ilvl w:val="0"/>
          <w:numId w:val="0"/>
        </w:numPr>
        <w:kinsoku/>
        <w:wordWrap/>
        <w:overflowPunct/>
        <w:topLinePunct w:val="0"/>
        <w:autoSpaceDE/>
        <w:autoSpaceDN/>
        <w:bidi w:val="0"/>
        <w:adjustRightInd/>
        <w:snapToGrid/>
        <w:spacing w:line="416" w:lineRule="auto"/>
        <w:ind w:left="0" w:leftChars="0" w:firstLine="640" w:firstLineChars="200"/>
        <w:textAlignment w:val="auto"/>
        <w:rPr>
          <w:rFonts w:hint="default" w:ascii="Times New Roman" w:hAnsi="Times New Roman" w:eastAsia="方正黑体_GBK" w:cs="Times New Roman"/>
          <w:b w:val="0"/>
          <w:bCs/>
          <w:lang w:val="zh-CN" w:eastAsia="zh-CN"/>
        </w:rPr>
      </w:pPr>
      <w:r>
        <w:rPr>
          <w:rFonts w:hint="default" w:ascii="Times New Roman" w:hAnsi="Times New Roman" w:eastAsia="方正黑体_GBK" w:cs="Times New Roman"/>
          <w:b w:val="0"/>
          <w:bCs/>
          <w:lang w:val="zh-CN" w:eastAsia="zh-CN"/>
        </w:rPr>
        <w:t>三、项目实施及管理情况</w:t>
      </w:r>
    </w:p>
    <w:p w14:paraId="454788DE">
      <w:pPr>
        <w:keepNext w:val="0"/>
        <w:keepLines w:val="0"/>
        <w:pageBreakBefore w:val="0"/>
        <w:numPr>
          <w:ilvl w:val="0"/>
          <w:numId w:val="0"/>
        </w:numPr>
        <w:kinsoku/>
        <w:wordWrap/>
        <w:overflowPunct/>
        <w:topLinePunct w:val="0"/>
        <w:bidi w:val="0"/>
        <w:spacing w:line="240" w:lineRule="auto"/>
        <w:ind w:firstLine="643" w:firstLineChars="200"/>
        <w:textAlignment w:val="auto"/>
        <w:rPr>
          <w:rFonts w:hint="default" w:ascii="Times New Roman" w:hAnsi="Times New Roman" w:eastAsia="方正楷体_GBK" w:cs="Times New Roman"/>
          <w:b/>
          <w:bCs w:val="0"/>
          <w:kern w:val="2"/>
          <w:sz w:val="32"/>
          <w:szCs w:val="32"/>
          <w:lang w:val="zh-CN" w:eastAsia="zh-CN" w:bidi="ar-SA"/>
        </w:rPr>
      </w:pPr>
      <w:r>
        <w:rPr>
          <w:rFonts w:hint="default" w:ascii="Times New Roman" w:hAnsi="Times New Roman" w:eastAsia="方正楷体_GBK" w:cs="Times New Roman"/>
          <w:b/>
          <w:bCs w:val="0"/>
          <w:kern w:val="2"/>
          <w:sz w:val="32"/>
          <w:szCs w:val="32"/>
          <w:lang w:val="zh-CN" w:eastAsia="zh-CN" w:bidi="ar-SA"/>
        </w:rPr>
        <w:t>（一）项目组织架构及实施流程</w:t>
      </w:r>
    </w:p>
    <w:p w14:paraId="605FB423">
      <w:pPr>
        <w:keepNext w:val="0"/>
        <w:keepLines w:val="0"/>
        <w:pageBreakBefore w:val="0"/>
        <w:kinsoku/>
        <w:wordWrap/>
        <w:overflowPunct/>
        <w:topLinePunct w:val="0"/>
        <w:bidi w:val="0"/>
        <w:spacing w:line="240" w:lineRule="auto"/>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每学期教育体育局按各学校在校学生人数划拨资金，各学校实施，县教育和体育局营养餐办公室审核后支付。</w:t>
      </w:r>
    </w:p>
    <w:p w14:paraId="5D46A13F">
      <w:pPr>
        <w:keepNext w:val="0"/>
        <w:keepLines w:val="0"/>
        <w:pageBreakBefore w:val="0"/>
        <w:numPr>
          <w:ilvl w:val="0"/>
          <w:numId w:val="0"/>
        </w:numPr>
        <w:kinsoku/>
        <w:wordWrap/>
        <w:overflowPunct/>
        <w:topLinePunct w:val="0"/>
        <w:bidi w:val="0"/>
        <w:spacing w:line="240" w:lineRule="auto"/>
        <w:ind w:firstLine="643" w:firstLineChars="200"/>
        <w:textAlignment w:val="auto"/>
        <w:rPr>
          <w:rFonts w:hint="default" w:ascii="Times New Roman" w:hAnsi="Times New Roman" w:eastAsia="方正楷体_GBK" w:cs="Times New Roman"/>
          <w:b/>
          <w:bCs w:val="0"/>
          <w:kern w:val="2"/>
          <w:sz w:val="32"/>
          <w:szCs w:val="32"/>
          <w:lang w:val="zh-CN" w:eastAsia="zh-CN" w:bidi="ar-SA"/>
        </w:rPr>
      </w:pPr>
      <w:r>
        <w:rPr>
          <w:rFonts w:hint="default" w:ascii="Times New Roman" w:hAnsi="Times New Roman" w:eastAsia="方正楷体_GBK" w:cs="Times New Roman"/>
          <w:b/>
          <w:bCs w:val="0"/>
          <w:kern w:val="2"/>
          <w:sz w:val="32"/>
          <w:szCs w:val="32"/>
          <w:lang w:val="zh-CN" w:eastAsia="zh-CN" w:bidi="ar-SA"/>
        </w:rPr>
        <w:t>（二）</w:t>
      </w:r>
      <w:r>
        <w:rPr>
          <w:rFonts w:hint="default" w:ascii="Times New Roman" w:hAnsi="Times New Roman" w:eastAsia="方正楷体_GBK" w:cs="Times New Roman"/>
          <w:b/>
          <w:bCs w:val="0"/>
          <w:kern w:val="2"/>
          <w:sz w:val="32"/>
          <w:szCs w:val="32"/>
          <w:lang w:val="zh-CN" w:eastAsia="zh-CN" w:bidi="ar-SA"/>
        </w:rPr>
        <w:t>项目管理情况</w:t>
      </w:r>
    </w:p>
    <w:p w14:paraId="0E0CD645">
      <w:pPr>
        <w:keepNext w:val="0"/>
        <w:keepLines w:val="0"/>
        <w:pageBreakBefore w:val="0"/>
        <w:kinsoku/>
        <w:wordWrap/>
        <w:overflowPunct/>
        <w:topLinePunct w:val="0"/>
        <w:bidi w:val="0"/>
        <w:spacing w:line="240" w:lineRule="auto"/>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营养餐大宗食品定点采购，营养餐菜谱提前一周公示，用量每天公示，使用资金每月公示。</w:t>
      </w:r>
    </w:p>
    <w:p w14:paraId="72B11D8A">
      <w:pPr>
        <w:keepNext w:val="0"/>
        <w:keepLines w:val="0"/>
        <w:pageBreakBefore w:val="0"/>
        <w:numPr>
          <w:ilvl w:val="0"/>
          <w:numId w:val="0"/>
        </w:numPr>
        <w:kinsoku/>
        <w:wordWrap/>
        <w:overflowPunct/>
        <w:topLinePunct w:val="0"/>
        <w:bidi w:val="0"/>
        <w:spacing w:line="240" w:lineRule="auto"/>
        <w:ind w:firstLine="643" w:firstLineChars="200"/>
        <w:textAlignment w:val="auto"/>
        <w:rPr>
          <w:rFonts w:hint="default" w:ascii="Times New Roman" w:hAnsi="Times New Roman" w:eastAsia="方正楷体_GBK" w:cs="Times New Roman"/>
          <w:b/>
          <w:bCs w:val="0"/>
          <w:kern w:val="2"/>
          <w:sz w:val="32"/>
          <w:szCs w:val="32"/>
          <w:lang w:val="zh-CN" w:eastAsia="zh-CN" w:bidi="ar-SA"/>
        </w:rPr>
      </w:pPr>
      <w:r>
        <w:rPr>
          <w:rFonts w:hint="default" w:ascii="Times New Roman" w:hAnsi="Times New Roman" w:eastAsia="方正楷体_GBK" w:cs="Times New Roman"/>
          <w:b/>
          <w:bCs w:val="0"/>
          <w:kern w:val="2"/>
          <w:sz w:val="32"/>
          <w:szCs w:val="32"/>
          <w:lang w:val="zh-CN" w:eastAsia="zh-CN" w:bidi="ar-SA"/>
        </w:rPr>
        <w:t>（</w:t>
      </w:r>
      <w:r>
        <w:rPr>
          <w:rFonts w:hint="default" w:ascii="Times New Roman" w:hAnsi="Times New Roman" w:eastAsia="方正楷体_GBK" w:cs="Times New Roman"/>
          <w:b/>
          <w:bCs w:val="0"/>
          <w:kern w:val="2"/>
          <w:sz w:val="32"/>
          <w:szCs w:val="32"/>
          <w:lang w:val="zh-CN" w:eastAsia="zh-CN" w:bidi="ar-SA"/>
        </w:rPr>
        <w:t>三</w:t>
      </w:r>
      <w:r>
        <w:rPr>
          <w:rFonts w:hint="default" w:ascii="Times New Roman" w:hAnsi="Times New Roman" w:eastAsia="方正楷体_GBK" w:cs="Times New Roman"/>
          <w:b/>
          <w:bCs w:val="0"/>
          <w:kern w:val="2"/>
          <w:sz w:val="32"/>
          <w:szCs w:val="32"/>
          <w:lang w:val="zh-CN" w:eastAsia="zh-CN" w:bidi="ar-SA"/>
        </w:rPr>
        <w:t>）</w:t>
      </w:r>
      <w:r>
        <w:rPr>
          <w:rFonts w:hint="default" w:ascii="Times New Roman" w:hAnsi="Times New Roman" w:eastAsia="方正楷体_GBK" w:cs="Times New Roman"/>
          <w:b/>
          <w:bCs w:val="0"/>
          <w:kern w:val="2"/>
          <w:sz w:val="32"/>
          <w:szCs w:val="32"/>
          <w:lang w:val="zh-CN" w:eastAsia="zh-CN" w:bidi="ar-SA"/>
        </w:rPr>
        <w:t>项目监管情况</w:t>
      </w:r>
    </w:p>
    <w:p w14:paraId="4E152A35">
      <w:pPr>
        <w:keepNext w:val="0"/>
        <w:keepLines w:val="0"/>
        <w:pageBreakBefore w:val="0"/>
        <w:numPr>
          <w:ilvl w:val="0"/>
          <w:numId w:val="0"/>
        </w:numPr>
        <w:kinsoku/>
        <w:wordWrap/>
        <w:overflowPunct/>
        <w:topLinePunct w:val="0"/>
        <w:bidi w:val="0"/>
        <w:spacing w:line="240" w:lineRule="auto"/>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每学期组织家长、学生及教师代表进行一次营养餐成本核算，公示每天营养餐用量，每餐学生实名签字，每月使用资金经营养餐办公室审核后各学校公示支付。</w:t>
      </w:r>
    </w:p>
    <w:p w14:paraId="257B4EDC">
      <w:pPr>
        <w:pStyle w:val="6"/>
        <w:keepNext/>
        <w:keepLines/>
        <w:pageBreakBefore w:val="0"/>
        <w:widowControl w:val="0"/>
        <w:numPr>
          <w:ilvl w:val="0"/>
          <w:numId w:val="0"/>
        </w:numPr>
        <w:kinsoku/>
        <w:wordWrap/>
        <w:overflowPunct/>
        <w:topLinePunct w:val="0"/>
        <w:autoSpaceDE/>
        <w:autoSpaceDN/>
        <w:bidi w:val="0"/>
        <w:adjustRightInd/>
        <w:snapToGrid/>
        <w:spacing w:line="416" w:lineRule="auto"/>
        <w:ind w:left="0" w:leftChars="0" w:firstLine="640" w:firstLineChars="200"/>
        <w:textAlignment w:val="auto"/>
        <w:rPr>
          <w:rFonts w:hint="default" w:ascii="Times New Roman" w:hAnsi="Times New Roman" w:eastAsia="方正黑体_GBK" w:cs="Times New Roman"/>
          <w:b w:val="0"/>
          <w:bCs/>
          <w:lang w:val="zh-CN" w:eastAsia="zh-CN"/>
        </w:rPr>
      </w:pPr>
      <w:r>
        <w:rPr>
          <w:rFonts w:hint="default" w:ascii="Times New Roman" w:hAnsi="Times New Roman" w:eastAsia="方正黑体_GBK" w:cs="Times New Roman"/>
          <w:b w:val="0"/>
          <w:bCs/>
          <w:lang w:val="zh-CN" w:eastAsia="zh-CN"/>
        </w:rPr>
        <w:t>四、项目绩效情况</w:t>
      </w:r>
      <w:r>
        <w:rPr>
          <w:rFonts w:hint="default" w:ascii="Times New Roman" w:hAnsi="Times New Roman" w:eastAsia="方正黑体_GBK" w:cs="Times New Roman"/>
          <w:b w:val="0"/>
          <w:bCs/>
          <w:lang w:val="zh-CN" w:eastAsia="zh-CN"/>
        </w:rPr>
        <w:tab/>
      </w:r>
    </w:p>
    <w:p w14:paraId="1E7E539C">
      <w:pPr>
        <w:keepNext w:val="0"/>
        <w:keepLines w:val="0"/>
        <w:pageBreakBefore w:val="0"/>
        <w:numPr>
          <w:ilvl w:val="0"/>
          <w:numId w:val="0"/>
        </w:numPr>
        <w:kinsoku/>
        <w:wordWrap/>
        <w:overflowPunct/>
        <w:topLinePunct w:val="0"/>
        <w:bidi w:val="0"/>
        <w:spacing w:line="240" w:lineRule="auto"/>
        <w:ind w:firstLine="643" w:firstLineChars="200"/>
        <w:textAlignment w:val="auto"/>
        <w:rPr>
          <w:rFonts w:hint="default" w:ascii="Times New Roman" w:hAnsi="Times New Roman" w:eastAsia="方正楷体_GBK" w:cs="Times New Roman"/>
          <w:b/>
          <w:bCs w:val="0"/>
          <w:kern w:val="2"/>
          <w:sz w:val="32"/>
          <w:szCs w:val="32"/>
          <w:lang w:val="zh-CN" w:eastAsia="zh-CN" w:bidi="ar-SA"/>
        </w:rPr>
      </w:pPr>
      <w:r>
        <w:rPr>
          <w:rFonts w:hint="default" w:ascii="Times New Roman" w:hAnsi="Times New Roman" w:eastAsia="方正楷体_GBK" w:cs="Times New Roman"/>
          <w:b/>
          <w:bCs w:val="0"/>
          <w:kern w:val="2"/>
          <w:sz w:val="32"/>
          <w:szCs w:val="32"/>
          <w:lang w:val="zh-CN" w:eastAsia="zh-CN" w:bidi="ar-SA"/>
        </w:rPr>
        <w:t>（一）项目完成情况</w:t>
      </w:r>
    </w:p>
    <w:p w14:paraId="75CA6B51">
      <w:pPr>
        <w:keepNext w:val="0"/>
        <w:keepLines w:val="0"/>
        <w:pageBreakBefore w:val="0"/>
        <w:numPr>
          <w:ilvl w:val="0"/>
          <w:numId w:val="0"/>
        </w:numPr>
        <w:kinsoku/>
        <w:wordWrap/>
        <w:overflowPunct/>
        <w:topLinePunct w:val="0"/>
        <w:bidi w:val="0"/>
        <w:spacing w:line="240" w:lineRule="auto"/>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202</w:t>
      </w: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rPr>
        <w:t>年营养餐资金全部使用到学生头上，学生及时足额吃到营养餐。</w:t>
      </w:r>
    </w:p>
    <w:p w14:paraId="7D744196">
      <w:pPr>
        <w:keepNext w:val="0"/>
        <w:keepLines w:val="0"/>
        <w:pageBreakBefore w:val="0"/>
        <w:numPr>
          <w:ilvl w:val="0"/>
          <w:numId w:val="0"/>
        </w:numPr>
        <w:kinsoku/>
        <w:wordWrap/>
        <w:overflowPunct/>
        <w:topLinePunct w:val="0"/>
        <w:bidi w:val="0"/>
        <w:spacing w:line="240" w:lineRule="auto"/>
        <w:ind w:firstLine="643" w:firstLineChars="200"/>
        <w:textAlignment w:val="auto"/>
        <w:rPr>
          <w:rFonts w:hint="default" w:ascii="Times New Roman" w:hAnsi="Times New Roman" w:eastAsia="方正楷体_GBK" w:cs="Times New Roman"/>
          <w:b/>
          <w:bCs w:val="0"/>
          <w:kern w:val="2"/>
          <w:sz w:val="32"/>
          <w:szCs w:val="32"/>
          <w:lang w:val="zh-CN" w:eastAsia="zh-CN" w:bidi="ar-SA"/>
        </w:rPr>
      </w:pPr>
      <w:r>
        <w:rPr>
          <w:rFonts w:hint="default" w:ascii="Times New Roman" w:hAnsi="Times New Roman" w:eastAsia="方正楷体_GBK" w:cs="Times New Roman"/>
          <w:b/>
          <w:bCs w:val="0"/>
          <w:kern w:val="2"/>
          <w:sz w:val="32"/>
          <w:szCs w:val="32"/>
          <w:lang w:val="zh-CN" w:eastAsia="zh-CN" w:bidi="ar-SA"/>
        </w:rPr>
        <w:t>（二）项目效益情况</w:t>
      </w:r>
    </w:p>
    <w:p w14:paraId="523177C1">
      <w:pPr>
        <w:keepNext w:val="0"/>
        <w:keepLines w:val="0"/>
        <w:pageBreakBefore w:val="0"/>
        <w:numPr>
          <w:ilvl w:val="0"/>
          <w:numId w:val="0"/>
        </w:numPr>
        <w:kinsoku/>
        <w:wordWrap/>
        <w:overflowPunct/>
        <w:topLinePunct w:val="0"/>
        <w:bidi w:val="0"/>
        <w:spacing w:line="240" w:lineRule="auto"/>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此项目的实施减轻了家长的经济负担，增强学生体质。</w:t>
      </w:r>
    </w:p>
    <w:p w14:paraId="5B7CB15D">
      <w:pPr>
        <w:pStyle w:val="6"/>
        <w:keepNext/>
        <w:keepLines/>
        <w:pageBreakBefore w:val="0"/>
        <w:widowControl w:val="0"/>
        <w:numPr>
          <w:ilvl w:val="0"/>
          <w:numId w:val="0"/>
        </w:numPr>
        <w:kinsoku/>
        <w:wordWrap/>
        <w:overflowPunct/>
        <w:topLinePunct w:val="0"/>
        <w:autoSpaceDE/>
        <w:autoSpaceDN/>
        <w:bidi w:val="0"/>
        <w:adjustRightInd/>
        <w:snapToGrid/>
        <w:spacing w:line="416" w:lineRule="auto"/>
        <w:ind w:left="0" w:leftChars="0" w:firstLine="640" w:firstLineChars="200"/>
        <w:textAlignment w:val="auto"/>
        <w:rPr>
          <w:rFonts w:hint="default" w:ascii="Times New Roman" w:hAnsi="Times New Roman" w:eastAsia="方正黑体_GBK" w:cs="Times New Roman"/>
          <w:b w:val="0"/>
          <w:bCs/>
          <w:lang w:val="zh-CN" w:eastAsia="zh-CN"/>
        </w:rPr>
      </w:pPr>
      <w:r>
        <w:rPr>
          <w:rFonts w:hint="default" w:ascii="Times New Roman" w:hAnsi="Times New Roman" w:eastAsia="方正黑体_GBK" w:cs="Times New Roman"/>
          <w:b w:val="0"/>
          <w:bCs/>
          <w:lang w:val="zh-CN" w:eastAsia="zh-CN"/>
        </w:rPr>
        <w:t>五、评价结论及建议</w:t>
      </w:r>
    </w:p>
    <w:p w14:paraId="197D6579">
      <w:pPr>
        <w:keepNext w:val="0"/>
        <w:keepLines w:val="0"/>
        <w:pageBreakBefore w:val="0"/>
        <w:numPr>
          <w:ilvl w:val="0"/>
          <w:numId w:val="0"/>
        </w:numPr>
        <w:kinsoku/>
        <w:wordWrap/>
        <w:overflowPunct/>
        <w:topLinePunct w:val="0"/>
        <w:bidi w:val="0"/>
        <w:spacing w:line="240" w:lineRule="auto"/>
        <w:ind w:firstLine="643" w:firstLineChars="200"/>
        <w:textAlignment w:val="auto"/>
        <w:rPr>
          <w:rFonts w:hint="default" w:ascii="Times New Roman" w:hAnsi="Times New Roman" w:eastAsia="方正楷体_GBK" w:cs="Times New Roman"/>
          <w:b/>
          <w:bCs w:val="0"/>
          <w:kern w:val="2"/>
          <w:sz w:val="32"/>
          <w:szCs w:val="32"/>
          <w:lang w:val="zh-CN" w:eastAsia="zh-CN" w:bidi="ar-SA"/>
        </w:rPr>
      </w:pPr>
      <w:r>
        <w:rPr>
          <w:rFonts w:hint="default" w:ascii="Times New Roman" w:hAnsi="Times New Roman" w:eastAsia="方正楷体_GBK" w:cs="Times New Roman"/>
          <w:b/>
          <w:bCs w:val="0"/>
          <w:kern w:val="2"/>
          <w:sz w:val="32"/>
          <w:szCs w:val="32"/>
          <w:lang w:val="zh-CN" w:eastAsia="zh-CN" w:bidi="ar-SA"/>
        </w:rPr>
        <w:t>（一）评价结论</w:t>
      </w:r>
    </w:p>
    <w:p w14:paraId="568027AC">
      <w:pPr>
        <w:keepNext w:val="0"/>
        <w:keepLines w:val="0"/>
        <w:pageBreakBefore w:val="0"/>
        <w:kinsoku/>
        <w:wordWrap/>
        <w:overflowPunct/>
        <w:topLinePunct w:val="0"/>
        <w:bidi w:val="0"/>
        <w:spacing w:line="240" w:lineRule="auto"/>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此项目的实施减轻了家长的经济负担，增强学生体质，社会满意度高。</w:t>
      </w:r>
    </w:p>
    <w:p w14:paraId="4BB78C15">
      <w:pPr>
        <w:keepNext w:val="0"/>
        <w:keepLines w:val="0"/>
        <w:pageBreakBefore w:val="0"/>
        <w:numPr>
          <w:ilvl w:val="0"/>
          <w:numId w:val="0"/>
        </w:numPr>
        <w:kinsoku/>
        <w:wordWrap/>
        <w:overflowPunct/>
        <w:topLinePunct w:val="0"/>
        <w:bidi w:val="0"/>
        <w:spacing w:line="240" w:lineRule="auto"/>
        <w:ind w:firstLine="643" w:firstLineChars="200"/>
        <w:textAlignment w:val="auto"/>
        <w:rPr>
          <w:rFonts w:hint="default" w:ascii="Times New Roman" w:hAnsi="Times New Roman" w:eastAsia="方正楷体_GBK" w:cs="Times New Roman"/>
          <w:b/>
          <w:bCs w:val="0"/>
          <w:kern w:val="2"/>
          <w:sz w:val="32"/>
          <w:szCs w:val="32"/>
          <w:lang w:val="zh-CN" w:eastAsia="zh-CN" w:bidi="ar-SA"/>
        </w:rPr>
      </w:pPr>
      <w:r>
        <w:rPr>
          <w:rFonts w:hint="default" w:ascii="Times New Roman" w:hAnsi="Times New Roman" w:eastAsia="方正楷体_GBK" w:cs="Times New Roman"/>
          <w:b/>
          <w:bCs w:val="0"/>
          <w:kern w:val="2"/>
          <w:sz w:val="32"/>
          <w:szCs w:val="32"/>
          <w:lang w:val="zh-CN" w:eastAsia="zh-CN" w:bidi="ar-SA"/>
        </w:rPr>
        <w:t>（二）存在的问题</w:t>
      </w:r>
    </w:p>
    <w:p w14:paraId="2B4C63CC">
      <w:pPr>
        <w:keepNext w:val="0"/>
        <w:keepLines w:val="0"/>
        <w:pageBreakBefore w:val="0"/>
        <w:kinsoku/>
        <w:wordWrap/>
        <w:overflowPunct/>
        <w:topLinePunct w:val="0"/>
        <w:bidi w:val="0"/>
        <w:spacing w:line="240" w:lineRule="auto"/>
        <w:ind w:firstLine="640" w:firstLineChars="200"/>
        <w:textAlignment w:val="auto"/>
        <w:rPr>
          <w:rFonts w:hint="default" w:ascii="Times New Roman" w:hAnsi="Times New Roman" w:eastAsia="楷体_GB2312" w:cs="Times New Roman"/>
          <w:sz w:val="32"/>
          <w:szCs w:val="32"/>
          <w:lang w:eastAsia="zh-CN"/>
        </w:rPr>
      </w:pPr>
      <w:r>
        <w:rPr>
          <w:rFonts w:hint="default" w:ascii="Times New Roman" w:hAnsi="Times New Roman" w:eastAsia="楷体_GB2312" w:cs="Times New Roman"/>
          <w:sz w:val="32"/>
          <w:szCs w:val="32"/>
        </w:rPr>
        <w:t>无</w:t>
      </w:r>
      <w:r>
        <w:rPr>
          <w:rFonts w:hint="default" w:ascii="Times New Roman" w:hAnsi="Times New Roman" w:eastAsia="楷体_GB2312" w:cs="Times New Roman"/>
          <w:sz w:val="32"/>
          <w:szCs w:val="32"/>
          <w:lang w:eastAsia="zh-CN"/>
        </w:rPr>
        <w:t>。</w:t>
      </w:r>
    </w:p>
    <w:p w14:paraId="4C874296">
      <w:pPr>
        <w:keepNext w:val="0"/>
        <w:keepLines w:val="0"/>
        <w:pageBreakBefore w:val="0"/>
        <w:numPr>
          <w:ilvl w:val="0"/>
          <w:numId w:val="0"/>
        </w:numPr>
        <w:kinsoku/>
        <w:wordWrap/>
        <w:overflowPunct/>
        <w:topLinePunct w:val="0"/>
        <w:bidi w:val="0"/>
        <w:spacing w:line="240" w:lineRule="auto"/>
        <w:ind w:firstLine="643" w:firstLineChars="200"/>
        <w:textAlignment w:val="auto"/>
        <w:rPr>
          <w:rFonts w:hint="default" w:ascii="Times New Roman" w:hAnsi="Times New Roman" w:eastAsia="方正楷体_GBK" w:cs="Times New Roman"/>
          <w:b/>
          <w:bCs w:val="0"/>
          <w:kern w:val="2"/>
          <w:sz w:val="32"/>
          <w:szCs w:val="32"/>
          <w:lang w:val="zh-CN" w:eastAsia="zh-CN" w:bidi="ar-SA"/>
        </w:rPr>
      </w:pPr>
      <w:r>
        <w:rPr>
          <w:rFonts w:hint="default" w:ascii="Times New Roman" w:hAnsi="Times New Roman" w:eastAsia="方正楷体_GBK" w:cs="Times New Roman"/>
          <w:b/>
          <w:bCs w:val="0"/>
          <w:kern w:val="2"/>
          <w:sz w:val="32"/>
          <w:szCs w:val="32"/>
          <w:lang w:val="zh-CN" w:eastAsia="zh-CN" w:bidi="ar-SA"/>
        </w:rPr>
        <w:t>（三）相关建议</w:t>
      </w:r>
    </w:p>
    <w:p w14:paraId="2163D1CA">
      <w:pPr>
        <w:keepNext w:val="0"/>
        <w:keepLines w:val="0"/>
        <w:pageBreakBefore w:val="0"/>
        <w:kinsoku/>
        <w:wordWrap/>
        <w:overflowPunct/>
        <w:topLinePunct w:val="0"/>
        <w:bidi w:val="0"/>
        <w:spacing w:line="240" w:lineRule="auto"/>
        <w:ind w:firstLine="640" w:firstLineChars="200"/>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rPr>
        <w:t>无</w:t>
      </w:r>
      <w:r>
        <w:rPr>
          <w:rFonts w:hint="default" w:ascii="Times New Roman" w:hAnsi="Times New Roman" w:eastAsia="仿宋_GB2312" w:cs="Times New Roman"/>
          <w:sz w:val="32"/>
          <w:szCs w:val="32"/>
          <w:lang w:eastAsia="zh-CN"/>
        </w:rPr>
        <w:t>。</w:t>
      </w:r>
    </w:p>
    <w:p w14:paraId="33386C9C">
      <w:pPr>
        <w:pStyle w:val="8"/>
        <w:keepNext w:val="0"/>
        <w:keepLines w:val="0"/>
        <w:pageBreakBefore w:val="0"/>
        <w:kinsoku/>
        <w:wordWrap/>
        <w:overflowPunct/>
        <w:topLinePunct w:val="0"/>
        <w:bidi w:val="0"/>
        <w:spacing w:line="240" w:lineRule="auto"/>
        <w:jc w:val="center"/>
        <w:textAlignment w:val="auto"/>
        <w:rPr>
          <w:rFonts w:hint="default" w:ascii="Times New Roman" w:hAnsi="Times New Roman" w:eastAsia="方正小标宋_GBK" w:cs="Times New Roman"/>
          <w:sz w:val="44"/>
          <w:szCs w:val="44"/>
        </w:rPr>
      </w:pPr>
    </w:p>
    <w:p w14:paraId="728FA4D9">
      <w:pPr>
        <w:pStyle w:val="8"/>
        <w:keepNext w:val="0"/>
        <w:keepLines w:val="0"/>
        <w:pageBreakBefore w:val="0"/>
        <w:kinsoku/>
        <w:wordWrap/>
        <w:overflowPunct/>
        <w:topLinePunct w:val="0"/>
        <w:bidi w:val="0"/>
        <w:spacing w:line="240" w:lineRule="auto"/>
        <w:jc w:val="center"/>
        <w:textAlignment w:val="auto"/>
        <w:rPr>
          <w:rFonts w:hint="default" w:ascii="Times New Roman" w:hAnsi="Times New Roman" w:eastAsia="方正小标宋_GBK" w:cs="Times New Roman"/>
          <w:sz w:val="44"/>
          <w:szCs w:val="44"/>
        </w:rPr>
      </w:pPr>
    </w:p>
    <w:p w14:paraId="6F73EAE4">
      <w:pPr>
        <w:keepNext w:val="0"/>
        <w:keepLines w:val="0"/>
        <w:pageBreakBefore w:val="0"/>
        <w:kinsoku/>
        <w:wordWrap/>
        <w:overflowPunct/>
        <w:topLinePunct w:val="0"/>
        <w:bidi w:val="0"/>
        <w:spacing w:line="240" w:lineRule="auto"/>
        <w:jc w:val="both"/>
        <w:textAlignment w:val="auto"/>
        <w:rPr>
          <w:rFonts w:hint="default" w:ascii="Times New Roman" w:hAnsi="Times New Roman" w:eastAsia="方正小标宋_GBK" w:cs="Times New Roman"/>
          <w:sz w:val="44"/>
          <w:szCs w:val="44"/>
        </w:rPr>
      </w:pPr>
    </w:p>
    <w:p w14:paraId="5EF672A5">
      <w:pPr>
        <w:pStyle w:val="5"/>
        <w:keepNext/>
        <w:keepLines/>
        <w:pageBreakBefore w:val="0"/>
        <w:widowControl w:val="0"/>
        <w:kinsoku/>
        <w:wordWrap/>
        <w:overflowPunct/>
        <w:topLinePunct w:val="0"/>
        <w:autoSpaceDE/>
        <w:autoSpaceDN/>
        <w:bidi w:val="0"/>
        <w:adjustRightInd/>
        <w:snapToGrid/>
        <w:spacing w:line="0" w:lineRule="atLeast"/>
        <w:jc w:val="center"/>
        <w:textAlignment w:val="auto"/>
        <w:rPr>
          <w:rFonts w:hint="default" w:ascii="Times New Roman" w:hAnsi="Times New Roman" w:eastAsia="方正小标宋_GBK" w:cs="Times New Roman"/>
          <w:b/>
          <w:bCs w:val="0"/>
          <w:lang w:val="en-US" w:eastAsia="zh-CN"/>
        </w:rPr>
      </w:pPr>
      <w:r>
        <w:rPr>
          <w:rFonts w:hint="default" w:ascii="Times New Roman" w:hAnsi="Times New Roman" w:eastAsia="方正小标宋_GBK" w:cs="Times New Roman"/>
          <w:b/>
          <w:bCs w:val="0"/>
          <w:lang w:val="en-US" w:eastAsia="zh-CN"/>
        </w:rPr>
        <w:t>202</w:t>
      </w:r>
      <w:r>
        <w:rPr>
          <w:rFonts w:hint="default" w:ascii="Times New Roman" w:hAnsi="Times New Roman" w:eastAsia="方正小标宋_GBK" w:cs="Times New Roman"/>
          <w:b/>
          <w:bCs w:val="0"/>
          <w:lang w:val="en-US" w:eastAsia="zh-CN"/>
        </w:rPr>
        <w:t>4</w:t>
      </w:r>
      <w:r>
        <w:rPr>
          <w:rFonts w:hint="default" w:ascii="Times New Roman" w:hAnsi="Times New Roman" w:eastAsia="方正小标宋_GBK" w:cs="Times New Roman"/>
          <w:b/>
          <w:bCs w:val="0"/>
          <w:lang w:val="en-US" w:eastAsia="zh-CN"/>
        </w:rPr>
        <w:t>年度专项资金绩效自评报告</w:t>
      </w:r>
    </w:p>
    <w:p w14:paraId="397AE156">
      <w:pPr>
        <w:pStyle w:val="8"/>
        <w:keepNext w:val="0"/>
        <w:keepLines w:val="0"/>
        <w:pageBreakBefore w:val="0"/>
        <w:kinsoku/>
        <w:wordWrap/>
        <w:overflowPunct/>
        <w:topLinePunct w:val="0"/>
        <w:bidi w:val="0"/>
        <w:spacing w:line="240" w:lineRule="auto"/>
        <w:jc w:val="center"/>
        <w:textAlignment w:val="auto"/>
        <w:rPr>
          <w:rFonts w:hint="default" w:ascii="Times New Roman" w:hAnsi="Times New Roman" w:eastAsia="黑体" w:cs="Times New Roman"/>
          <w:sz w:val="44"/>
          <w:szCs w:val="44"/>
        </w:rPr>
      </w:pPr>
      <w:r>
        <w:rPr>
          <w:rFonts w:hint="default" w:ascii="Times New Roman" w:hAnsi="Times New Roman" w:eastAsia="方正楷体_GBK" w:cs="Times New Roman"/>
          <w:b/>
          <w:sz w:val="32"/>
          <w:szCs w:val="32"/>
        </w:rPr>
        <w:t>（</w:t>
      </w:r>
      <w:r>
        <w:rPr>
          <w:rFonts w:hint="default" w:ascii="Times New Roman" w:hAnsi="Times New Roman" w:eastAsia="方正楷体_GBK" w:cs="Times New Roman"/>
          <w:b/>
          <w:sz w:val="28"/>
          <w:szCs w:val="28"/>
        </w:rPr>
        <w:t>县教育和体育局</w:t>
      </w:r>
      <w:r>
        <w:rPr>
          <w:rFonts w:hint="default" w:ascii="Times New Roman" w:hAnsi="Times New Roman" w:eastAsia="方正楷体_GBK" w:cs="Times New Roman"/>
          <w:b/>
          <w:sz w:val="28"/>
          <w:szCs w:val="28"/>
        </w:rPr>
        <w:t>义务教育家庭经济困难学生生活补助</w:t>
      </w:r>
      <w:r>
        <w:rPr>
          <w:rFonts w:hint="default" w:ascii="Times New Roman" w:hAnsi="Times New Roman" w:eastAsia="方正楷体_GBK" w:cs="Times New Roman"/>
          <w:b/>
          <w:sz w:val="28"/>
          <w:szCs w:val="28"/>
        </w:rPr>
        <w:t>）</w:t>
      </w:r>
    </w:p>
    <w:p w14:paraId="7DBE5861">
      <w:pPr>
        <w:pStyle w:val="6"/>
        <w:keepNext/>
        <w:keepLines/>
        <w:pageBreakBefore w:val="0"/>
        <w:widowControl w:val="0"/>
        <w:numPr>
          <w:ilvl w:val="0"/>
          <w:numId w:val="0"/>
        </w:numPr>
        <w:kinsoku/>
        <w:wordWrap/>
        <w:overflowPunct/>
        <w:topLinePunct w:val="0"/>
        <w:autoSpaceDE/>
        <w:autoSpaceDN/>
        <w:bidi w:val="0"/>
        <w:adjustRightInd/>
        <w:snapToGrid/>
        <w:spacing w:line="416" w:lineRule="auto"/>
        <w:ind w:left="0" w:leftChars="0" w:firstLine="640" w:firstLineChars="200"/>
        <w:textAlignment w:val="auto"/>
        <w:rPr>
          <w:rFonts w:hint="default" w:ascii="Times New Roman" w:hAnsi="Times New Roman" w:eastAsia="方正黑体_GBK" w:cs="Times New Roman"/>
          <w:b w:val="0"/>
          <w:bCs/>
          <w:lang w:val="zh-CN" w:eastAsia="zh-CN"/>
        </w:rPr>
      </w:pPr>
      <w:r>
        <w:rPr>
          <w:rFonts w:hint="default" w:ascii="Times New Roman" w:hAnsi="Times New Roman" w:eastAsia="方正黑体_GBK" w:cs="Times New Roman"/>
          <w:b w:val="0"/>
          <w:bCs/>
          <w:lang w:val="zh-CN" w:eastAsia="zh-CN"/>
        </w:rPr>
        <w:t>一、项目概况</w:t>
      </w:r>
    </w:p>
    <w:p w14:paraId="1ED8AE8A">
      <w:pPr>
        <w:keepNext w:val="0"/>
        <w:keepLines w:val="0"/>
        <w:pageBreakBefore w:val="0"/>
        <w:numPr>
          <w:ilvl w:val="0"/>
          <w:numId w:val="0"/>
        </w:numPr>
        <w:kinsoku/>
        <w:wordWrap/>
        <w:overflowPunct/>
        <w:topLinePunct w:val="0"/>
        <w:bidi w:val="0"/>
        <w:spacing w:line="240" w:lineRule="auto"/>
        <w:ind w:firstLine="643" w:firstLineChars="200"/>
        <w:textAlignment w:val="auto"/>
        <w:rPr>
          <w:rFonts w:hint="default" w:ascii="Times New Roman" w:hAnsi="Times New Roman" w:eastAsia="方正楷体_GBK" w:cs="Times New Roman"/>
          <w:b/>
          <w:bCs w:val="0"/>
          <w:kern w:val="2"/>
          <w:sz w:val="32"/>
          <w:szCs w:val="32"/>
          <w:lang w:val="zh-CN" w:eastAsia="zh-CN" w:bidi="ar-SA"/>
        </w:rPr>
      </w:pPr>
      <w:r>
        <w:rPr>
          <w:rFonts w:hint="default" w:ascii="Times New Roman" w:hAnsi="Times New Roman" w:eastAsia="方正楷体_GBK" w:cs="Times New Roman"/>
          <w:b/>
          <w:bCs w:val="0"/>
          <w:kern w:val="2"/>
          <w:sz w:val="32"/>
          <w:szCs w:val="32"/>
          <w:lang w:val="zh-CN" w:eastAsia="zh-CN" w:bidi="ar-SA"/>
        </w:rPr>
        <w:t>（一）项目资金申报及批复情况</w:t>
      </w:r>
    </w:p>
    <w:p w14:paraId="3F42AD69">
      <w:pPr>
        <w:keepNext w:val="0"/>
        <w:keepLines w:val="0"/>
        <w:pageBreakBefore w:val="0"/>
        <w:kinsoku/>
        <w:wordWrap/>
        <w:overflowPunct/>
        <w:topLinePunct w:val="0"/>
        <w:bidi w:val="0"/>
        <w:spacing w:line="240" w:lineRule="auto"/>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1.项目资金由管理部门做资金请示报告，交县委县政府进行批复，再通过县财政局审核后划拨到县教育和体育局财务部门。</w:t>
      </w:r>
    </w:p>
    <w:p w14:paraId="6B567CD9">
      <w:pPr>
        <w:keepNext w:val="0"/>
        <w:keepLines w:val="0"/>
        <w:pageBreakBefore w:val="0"/>
        <w:kinsoku/>
        <w:wordWrap/>
        <w:overflowPunct/>
        <w:topLinePunct w:val="0"/>
        <w:bidi w:val="0"/>
        <w:spacing w:line="240" w:lineRule="auto"/>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2.项目立项、资金申报的依据：根据《四川省人民政府关于进一步完善城乡义务教育经费保障机制的实施意见》（川府发〔2016〕9号）、《四川省财政厅 四川省教育厅关于下达2019城乡义务教育补助经费预算的通知》（川财教〔2019〕111号）文件要求，省级提前下达资助人数和资助资金，学校评定、公示。主管部门申请资金。</w:t>
      </w:r>
    </w:p>
    <w:p w14:paraId="21A58A6D">
      <w:pPr>
        <w:keepNext w:val="0"/>
        <w:keepLines w:val="0"/>
        <w:pageBreakBefore w:val="0"/>
        <w:kinsoku/>
        <w:wordWrap/>
        <w:overflowPunct/>
        <w:topLinePunct w:val="0"/>
        <w:bidi w:val="0"/>
        <w:spacing w:line="240" w:lineRule="auto"/>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3.资金管理办法制定情况，资金支持具体项目的条件、范围与支持方式概况：家庭经济困难学生在校申请，学校评审小组评审并公示，公示无异议后发放。</w:t>
      </w:r>
    </w:p>
    <w:p w14:paraId="48C4146C">
      <w:pPr>
        <w:keepNext w:val="0"/>
        <w:keepLines w:val="0"/>
        <w:pageBreakBefore w:val="0"/>
        <w:numPr>
          <w:ilvl w:val="0"/>
          <w:numId w:val="0"/>
        </w:numPr>
        <w:kinsoku/>
        <w:wordWrap/>
        <w:overflowPunct/>
        <w:topLinePunct w:val="0"/>
        <w:bidi w:val="0"/>
        <w:spacing w:line="240" w:lineRule="auto"/>
        <w:ind w:firstLine="643" w:firstLineChars="200"/>
        <w:textAlignment w:val="auto"/>
        <w:rPr>
          <w:rFonts w:hint="default" w:ascii="Times New Roman" w:hAnsi="Times New Roman" w:eastAsia="仿宋_GB2312" w:cs="Times New Roman"/>
          <w:sz w:val="32"/>
          <w:szCs w:val="32"/>
        </w:rPr>
      </w:pPr>
      <w:r>
        <w:rPr>
          <w:rFonts w:hint="default" w:ascii="Times New Roman" w:hAnsi="Times New Roman" w:eastAsia="方正楷体_GBK" w:cs="Times New Roman"/>
          <w:b/>
          <w:bCs w:val="0"/>
          <w:kern w:val="2"/>
          <w:sz w:val="32"/>
          <w:szCs w:val="32"/>
          <w:lang w:val="zh-CN" w:eastAsia="zh-CN" w:bidi="ar-SA"/>
        </w:rPr>
        <w:t>（</w:t>
      </w:r>
      <w:r>
        <w:rPr>
          <w:rFonts w:hint="default" w:ascii="Times New Roman" w:hAnsi="Times New Roman" w:eastAsia="方正楷体_GBK" w:cs="Times New Roman"/>
          <w:b/>
          <w:bCs w:val="0"/>
          <w:kern w:val="2"/>
          <w:sz w:val="32"/>
          <w:szCs w:val="32"/>
          <w:lang w:val="zh-CN" w:eastAsia="zh-CN" w:bidi="ar-SA"/>
        </w:rPr>
        <w:t>二</w:t>
      </w:r>
      <w:r>
        <w:rPr>
          <w:rFonts w:hint="default" w:ascii="Times New Roman" w:hAnsi="Times New Roman" w:eastAsia="方正楷体_GBK" w:cs="Times New Roman"/>
          <w:b/>
          <w:bCs w:val="0"/>
          <w:kern w:val="2"/>
          <w:sz w:val="32"/>
          <w:szCs w:val="32"/>
          <w:lang w:val="zh-CN" w:eastAsia="zh-CN" w:bidi="ar-SA"/>
        </w:rPr>
        <w:t>）</w:t>
      </w:r>
      <w:r>
        <w:rPr>
          <w:rFonts w:hint="default" w:ascii="Times New Roman" w:hAnsi="Times New Roman" w:eastAsia="方正楷体_GBK" w:cs="Times New Roman"/>
          <w:b/>
          <w:bCs w:val="0"/>
          <w:kern w:val="2"/>
          <w:sz w:val="32"/>
          <w:szCs w:val="32"/>
          <w:lang w:val="zh-CN" w:eastAsia="zh-CN" w:bidi="ar-SA"/>
        </w:rPr>
        <w:t>项目绩效目标</w:t>
      </w:r>
    </w:p>
    <w:p w14:paraId="5631D971">
      <w:pPr>
        <w:keepNext w:val="0"/>
        <w:keepLines w:val="0"/>
        <w:pageBreakBefore w:val="0"/>
        <w:kinsoku/>
        <w:wordWrap/>
        <w:overflowPunct/>
        <w:topLinePunct w:val="0"/>
        <w:bidi w:val="0"/>
        <w:spacing w:line="240" w:lineRule="auto"/>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 项目主要内容：义务教育家庭经济困难学生生活补助。</w:t>
      </w:r>
    </w:p>
    <w:p w14:paraId="1223F2AD">
      <w:pPr>
        <w:keepNext w:val="0"/>
        <w:keepLines w:val="0"/>
        <w:pageBreakBefore w:val="0"/>
        <w:kinsoku/>
        <w:wordWrap/>
        <w:overflowPunct/>
        <w:topLinePunct w:val="0"/>
        <w:bidi w:val="0"/>
        <w:spacing w:line="240" w:lineRule="auto"/>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2.按中央及省级下发资助学生人数和资金，学生申请，班级和学校进行评定，在学校公示栏公示无异议后上报受助学生名单及资金，资金及时发放。</w:t>
      </w:r>
    </w:p>
    <w:p w14:paraId="6C3F2FA8">
      <w:pPr>
        <w:keepNext w:val="0"/>
        <w:keepLines w:val="0"/>
        <w:pageBreakBefore w:val="0"/>
        <w:kinsoku/>
        <w:wordWrap/>
        <w:overflowPunct/>
        <w:topLinePunct w:val="0"/>
        <w:bidi w:val="0"/>
        <w:spacing w:line="240" w:lineRule="auto"/>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3.评价内容按实际享受资助资金的人数和实际发放资金进行评价。</w:t>
      </w:r>
    </w:p>
    <w:p w14:paraId="17461195">
      <w:pPr>
        <w:keepNext w:val="0"/>
        <w:keepLines w:val="0"/>
        <w:pageBreakBefore w:val="0"/>
        <w:numPr>
          <w:ilvl w:val="0"/>
          <w:numId w:val="0"/>
        </w:numPr>
        <w:kinsoku/>
        <w:wordWrap/>
        <w:overflowPunct/>
        <w:topLinePunct w:val="0"/>
        <w:bidi w:val="0"/>
        <w:spacing w:line="240" w:lineRule="auto"/>
        <w:ind w:firstLine="643" w:firstLineChars="200"/>
        <w:textAlignment w:val="auto"/>
        <w:rPr>
          <w:rFonts w:hint="default" w:ascii="Times New Roman" w:hAnsi="Times New Roman" w:eastAsia="方正楷体_GBK" w:cs="Times New Roman"/>
          <w:b/>
          <w:bCs w:val="0"/>
          <w:kern w:val="2"/>
          <w:sz w:val="32"/>
          <w:szCs w:val="32"/>
          <w:lang w:val="zh-CN" w:eastAsia="zh-CN" w:bidi="ar-SA"/>
        </w:rPr>
      </w:pPr>
      <w:r>
        <w:rPr>
          <w:rFonts w:hint="default" w:ascii="Times New Roman" w:hAnsi="Times New Roman" w:eastAsia="方正楷体_GBK" w:cs="Times New Roman"/>
          <w:b/>
          <w:bCs w:val="0"/>
          <w:kern w:val="2"/>
          <w:sz w:val="32"/>
          <w:szCs w:val="32"/>
          <w:lang w:val="zh-CN" w:eastAsia="zh-CN" w:bidi="ar-SA"/>
        </w:rPr>
        <w:t>（三）项目资金申报相符性</w:t>
      </w:r>
    </w:p>
    <w:p w14:paraId="3A63ED76">
      <w:pPr>
        <w:keepNext w:val="0"/>
        <w:keepLines w:val="0"/>
        <w:pageBreakBefore w:val="0"/>
        <w:kinsoku/>
        <w:wordWrap/>
        <w:overflowPunct/>
        <w:topLinePunct w:val="0"/>
        <w:bidi w:val="0"/>
        <w:spacing w:line="240" w:lineRule="auto"/>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该项目对义务教育阶段家庭经济困难寄宿和非寄宿生实施生活补助。申报内容与具体实施内容相符。资金分配的原则及考虑因素：分学段及寄宿生、非寄宿生发放。小学：寄宿生每生每年1000元的资助标准，非寄宿生每生每年500元的资助标准；初中：寄宿生每生每年1250元的资助标准，非寄宿生每生每年625元的资助标准。</w:t>
      </w:r>
    </w:p>
    <w:p w14:paraId="1F49D1AA">
      <w:pPr>
        <w:pStyle w:val="6"/>
        <w:keepNext/>
        <w:keepLines/>
        <w:pageBreakBefore w:val="0"/>
        <w:widowControl w:val="0"/>
        <w:numPr>
          <w:ilvl w:val="0"/>
          <w:numId w:val="0"/>
        </w:numPr>
        <w:kinsoku/>
        <w:wordWrap/>
        <w:overflowPunct/>
        <w:topLinePunct w:val="0"/>
        <w:autoSpaceDE/>
        <w:autoSpaceDN/>
        <w:bidi w:val="0"/>
        <w:adjustRightInd/>
        <w:snapToGrid/>
        <w:spacing w:line="416" w:lineRule="auto"/>
        <w:ind w:left="0" w:leftChars="0" w:firstLine="640" w:firstLineChars="200"/>
        <w:textAlignment w:val="auto"/>
        <w:rPr>
          <w:rFonts w:hint="default" w:ascii="Times New Roman" w:hAnsi="Times New Roman" w:eastAsia="方正黑体_GBK" w:cs="Times New Roman"/>
          <w:b w:val="0"/>
          <w:bCs/>
          <w:lang w:val="zh-CN" w:eastAsia="zh-CN"/>
        </w:rPr>
      </w:pPr>
      <w:r>
        <w:rPr>
          <w:rFonts w:hint="default" w:ascii="Times New Roman" w:hAnsi="Times New Roman" w:eastAsia="方正黑体_GBK" w:cs="Times New Roman"/>
          <w:b w:val="0"/>
          <w:bCs/>
          <w:lang w:val="zh-CN" w:eastAsia="zh-CN"/>
        </w:rPr>
        <w:tab/>
      </w:r>
      <w:r>
        <w:rPr>
          <w:rFonts w:hint="default" w:ascii="Times New Roman" w:hAnsi="Times New Roman" w:eastAsia="方正黑体_GBK" w:cs="Times New Roman"/>
          <w:b w:val="0"/>
          <w:bCs/>
          <w:lang w:val="zh-CN" w:eastAsia="zh-CN"/>
        </w:rPr>
        <w:t>二、项目资金申报及使用情况</w:t>
      </w:r>
    </w:p>
    <w:p w14:paraId="76B73DBD">
      <w:pPr>
        <w:keepNext w:val="0"/>
        <w:keepLines w:val="0"/>
        <w:pageBreakBefore w:val="0"/>
        <w:numPr>
          <w:ilvl w:val="0"/>
          <w:numId w:val="0"/>
        </w:numPr>
        <w:kinsoku/>
        <w:wordWrap/>
        <w:overflowPunct/>
        <w:topLinePunct w:val="0"/>
        <w:bidi w:val="0"/>
        <w:spacing w:line="240" w:lineRule="auto"/>
        <w:ind w:firstLine="643" w:firstLineChars="200"/>
        <w:textAlignment w:val="auto"/>
        <w:rPr>
          <w:rFonts w:hint="default" w:ascii="Times New Roman" w:hAnsi="Times New Roman" w:eastAsia="方正楷体_GBK" w:cs="Times New Roman"/>
          <w:b/>
          <w:bCs w:val="0"/>
          <w:kern w:val="2"/>
          <w:sz w:val="32"/>
          <w:szCs w:val="32"/>
          <w:lang w:val="zh-CN" w:eastAsia="zh-CN" w:bidi="ar-SA"/>
        </w:rPr>
      </w:pPr>
      <w:r>
        <w:rPr>
          <w:rFonts w:hint="default" w:ascii="Times New Roman" w:hAnsi="Times New Roman" w:eastAsia="方正楷体_GBK" w:cs="Times New Roman"/>
          <w:b/>
          <w:bCs w:val="0"/>
          <w:kern w:val="2"/>
          <w:sz w:val="32"/>
          <w:szCs w:val="32"/>
          <w:lang w:val="zh-CN" w:eastAsia="zh-CN" w:bidi="ar-SA"/>
        </w:rPr>
        <w:t>（一）资金计划、到位及使用情况</w:t>
      </w:r>
    </w:p>
    <w:p w14:paraId="2EE571AA">
      <w:pPr>
        <w:keepNext w:val="0"/>
        <w:keepLines w:val="0"/>
        <w:pageBreakBefore w:val="0"/>
        <w:tabs>
          <w:tab w:val="left" w:pos="635"/>
        </w:tabs>
        <w:kinsoku/>
        <w:wordWrap/>
        <w:overflowPunct/>
        <w:topLinePunct w:val="0"/>
        <w:bidi w:val="0"/>
        <w:spacing w:line="240" w:lineRule="auto"/>
        <w:textAlignment w:val="auto"/>
        <w:rPr>
          <w:rFonts w:hint="default" w:ascii="Times New Roman" w:hAnsi="Times New Roman" w:eastAsia="方正仿宋_GBK" w:cs="Times New Roman"/>
          <w:b w:val="0"/>
          <w:bCs/>
          <w:sz w:val="32"/>
          <w:szCs w:val="32"/>
        </w:rPr>
      </w:pPr>
      <w:r>
        <w:rPr>
          <w:rFonts w:hint="default" w:ascii="Times New Roman" w:hAnsi="Times New Roman" w:eastAsia="仿宋_GB2312" w:cs="Times New Roman"/>
          <w:sz w:val="32"/>
          <w:szCs w:val="32"/>
        </w:rPr>
        <w:tab/>
      </w:r>
      <w:r>
        <w:rPr>
          <w:rFonts w:hint="default" w:ascii="Times New Roman" w:hAnsi="Times New Roman" w:eastAsia="方正仿宋_GBK" w:cs="Times New Roman"/>
          <w:b w:val="0"/>
          <w:bCs/>
          <w:sz w:val="32"/>
          <w:szCs w:val="32"/>
        </w:rPr>
        <w:t>1.资金计划及到位。根据2023年春、秋季家庭经济困难学生名额及资金分配表确定资助人数。按不同学段寄宿生及非寄宿生的标准核算资金，县财政局按文件确定资金分担。资助资金及时到位，按时间节点及时发放到受助学生的社保卡。</w:t>
      </w:r>
    </w:p>
    <w:p w14:paraId="32B8FE39">
      <w:pPr>
        <w:keepNext w:val="0"/>
        <w:keepLines w:val="0"/>
        <w:pageBreakBefore w:val="0"/>
        <w:tabs>
          <w:tab w:val="left" w:pos="714"/>
        </w:tabs>
        <w:kinsoku/>
        <w:wordWrap/>
        <w:overflowPunct/>
        <w:topLinePunct w:val="0"/>
        <w:bidi w:val="0"/>
        <w:spacing w:line="240" w:lineRule="auto"/>
        <w:textAlignment w:val="auto"/>
        <w:rPr>
          <w:rFonts w:hint="default" w:ascii="Times New Roman" w:hAnsi="Times New Roman" w:eastAsia="方正仿宋_GBK" w:cs="Times New Roman"/>
          <w:b w:val="0"/>
          <w:bCs/>
          <w:sz w:val="32"/>
          <w:szCs w:val="32"/>
        </w:rPr>
      </w:pPr>
      <w:r>
        <w:rPr>
          <w:rFonts w:hint="default" w:ascii="Times New Roman" w:hAnsi="Times New Roman" w:eastAsia="方正仿宋_GBK" w:cs="Times New Roman"/>
          <w:b w:val="0"/>
          <w:bCs/>
          <w:sz w:val="32"/>
          <w:szCs w:val="32"/>
        </w:rPr>
        <w:tab/>
      </w:r>
      <w:r>
        <w:rPr>
          <w:rFonts w:hint="default" w:ascii="Times New Roman" w:hAnsi="Times New Roman" w:eastAsia="方正仿宋_GBK" w:cs="Times New Roman"/>
          <w:b w:val="0"/>
          <w:bCs/>
          <w:sz w:val="32"/>
          <w:szCs w:val="32"/>
        </w:rPr>
        <w:t>2.资金使用。资金用于家庭经济困难学生的学习和生活开支，资助标准按照寄宿生：小学寄宿生每生每年1000元，春季学期资助</w:t>
      </w:r>
      <w:r>
        <w:rPr>
          <w:rFonts w:hint="default" w:ascii="Times New Roman" w:hAnsi="Times New Roman" w:eastAsia="方正仿宋_GBK" w:cs="Times New Roman"/>
          <w:b w:val="0"/>
          <w:bCs/>
          <w:sz w:val="32"/>
          <w:szCs w:val="32"/>
          <w:lang w:val="en-US" w:eastAsia="zh-CN"/>
        </w:rPr>
        <w:t>1366</w:t>
      </w:r>
      <w:r>
        <w:rPr>
          <w:rFonts w:hint="default" w:ascii="Times New Roman" w:hAnsi="Times New Roman" w:eastAsia="方正仿宋_GBK" w:cs="Times New Roman"/>
          <w:b w:val="0"/>
          <w:bCs/>
          <w:sz w:val="32"/>
          <w:szCs w:val="32"/>
        </w:rPr>
        <w:t>人，资助资金</w:t>
      </w:r>
      <w:r>
        <w:rPr>
          <w:rFonts w:hint="default" w:ascii="Times New Roman" w:hAnsi="Times New Roman" w:eastAsia="方正仿宋_GBK" w:cs="Times New Roman"/>
          <w:b w:val="0"/>
          <w:bCs/>
          <w:sz w:val="32"/>
          <w:szCs w:val="32"/>
          <w:lang w:val="en-US" w:eastAsia="zh-CN"/>
        </w:rPr>
        <w:t>85.3750</w:t>
      </w:r>
      <w:r>
        <w:rPr>
          <w:rFonts w:hint="default" w:ascii="Times New Roman" w:hAnsi="Times New Roman" w:eastAsia="方正仿宋_GBK" w:cs="Times New Roman"/>
          <w:b w:val="0"/>
          <w:bCs/>
          <w:sz w:val="32"/>
          <w:szCs w:val="32"/>
        </w:rPr>
        <w:t>万元</w:t>
      </w:r>
      <w:r>
        <w:rPr>
          <w:rFonts w:hint="default" w:ascii="Times New Roman" w:hAnsi="Times New Roman" w:eastAsia="方正仿宋_GBK" w:cs="Times New Roman"/>
          <w:b w:val="0"/>
          <w:bCs/>
          <w:sz w:val="32"/>
          <w:szCs w:val="32"/>
          <w:lang w:eastAsia="zh-CN"/>
        </w:rPr>
        <w:t>，</w:t>
      </w:r>
      <w:r>
        <w:rPr>
          <w:rFonts w:hint="default" w:ascii="Times New Roman" w:hAnsi="Times New Roman" w:eastAsia="方正仿宋_GBK" w:cs="Times New Roman"/>
          <w:b w:val="0"/>
          <w:bCs/>
          <w:sz w:val="32"/>
          <w:szCs w:val="32"/>
          <w:lang w:val="en-US" w:eastAsia="zh-CN"/>
        </w:rPr>
        <w:t>秋季学期资助1080人，资助资金67.8750万元</w:t>
      </w:r>
      <w:r>
        <w:rPr>
          <w:rFonts w:hint="default" w:ascii="Times New Roman" w:hAnsi="Times New Roman" w:eastAsia="方正仿宋_GBK" w:cs="Times New Roman"/>
          <w:b w:val="0"/>
          <w:bCs/>
          <w:sz w:val="32"/>
          <w:szCs w:val="32"/>
        </w:rPr>
        <w:t>；初中寄宿生每生每年1250元，春季学期资助</w:t>
      </w:r>
      <w:r>
        <w:rPr>
          <w:rFonts w:hint="default" w:ascii="Times New Roman" w:hAnsi="Times New Roman" w:eastAsia="方正仿宋_GBK" w:cs="Times New Roman"/>
          <w:b w:val="0"/>
          <w:bCs/>
          <w:sz w:val="32"/>
          <w:szCs w:val="32"/>
          <w:lang w:val="en-US" w:eastAsia="zh-CN"/>
        </w:rPr>
        <w:t>1941</w:t>
      </w:r>
      <w:r>
        <w:rPr>
          <w:rFonts w:hint="default" w:ascii="Times New Roman" w:hAnsi="Times New Roman" w:eastAsia="方正仿宋_GBK" w:cs="Times New Roman"/>
          <w:b w:val="0"/>
          <w:bCs/>
          <w:sz w:val="32"/>
          <w:szCs w:val="32"/>
        </w:rPr>
        <w:t>人，资助资金</w:t>
      </w:r>
      <w:r>
        <w:rPr>
          <w:rFonts w:hint="default" w:ascii="Times New Roman" w:hAnsi="Times New Roman" w:eastAsia="方正仿宋_GBK" w:cs="Times New Roman"/>
          <w:b w:val="0"/>
          <w:bCs/>
          <w:sz w:val="32"/>
          <w:szCs w:val="32"/>
          <w:lang w:val="en-US" w:eastAsia="zh-CN"/>
        </w:rPr>
        <w:t>145.5750</w:t>
      </w:r>
      <w:r>
        <w:rPr>
          <w:rFonts w:hint="default" w:ascii="Times New Roman" w:hAnsi="Times New Roman" w:eastAsia="方正仿宋_GBK" w:cs="Times New Roman"/>
          <w:b w:val="0"/>
          <w:bCs/>
          <w:sz w:val="32"/>
          <w:szCs w:val="32"/>
        </w:rPr>
        <w:t>万元；秋季学期资助</w:t>
      </w:r>
      <w:r>
        <w:rPr>
          <w:rFonts w:hint="default" w:ascii="Times New Roman" w:hAnsi="Times New Roman" w:eastAsia="方正仿宋_GBK" w:cs="Times New Roman"/>
          <w:b w:val="0"/>
          <w:bCs/>
          <w:sz w:val="32"/>
          <w:szCs w:val="32"/>
          <w:lang w:val="en-US" w:eastAsia="zh-CN"/>
        </w:rPr>
        <w:t>1885</w:t>
      </w:r>
      <w:r>
        <w:rPr>
          <w:rFonts w:hint="default" w:ascii="Times New Roman" w:hAnsi="Times New Roman" w:eastAsia="方正仿宋_GBK" w:cs="Times New Roman"/>
          <w:b w:val="0"/>
          <w:bCs/>
          <w:sz w:val="32"/>
          <w:szCs w:val="32"/>
        </w:rPr>
        <w:t>人，资助资金</w:t>
      </w:r>
      <w:r>
        <w:rPr>
          <w:rFonts w:hint="default" w:ascii="Times New Roman" w:hAnsi="Times New Roman" w:eastAsia="方正仿宋_GBK" w:cs="Times New Roman"/>
          <w:b w:val="0"/>
          <w:bCs/>
          <w:sz w:val="32"/>
          <w:szCs w:val="32"/>
          <w:lang w:val="en-US" w:eastAsia="zh-CN"/>
        </w:rPr>
        <w:t>141.3750</w:t>
      </w:r>
      <w:r>
        <w:rPr>
          <w:rFonts w:hint="default" w:ascii="Times New Roman" w:hAnsi="Times New Roman" w:eastAsia="方正仿宋_GBK" w:cs="Times New Roman"/>
          <w:b w:val="0"/>
          <w:bCs/>
          <w:sz w:val="32"/>
          <w:szCs w:val="32"/>
        </w:rPr>
        <w:t>万元。非寄宿生：小学每生每年500元，春季学期资助</w:t>
      </w:r>
      <w:r>
        <w:rPr>
          <w:rFonts w:hint="default" w:ascii="Times New Roman" w:hAnsi="Times New Roman" w:eastAsia="方正仿宋_GBK" w:cs="Times New Roman"/>
          <w:b w:val="0"/>
          <w:bCs/>
          <w:sz w:val="32"/>
          <w:szCs w:val="32"/>
          <w:lang w:val="en-US" w:eastAsia="zh-CN"/>
        </w:rPr>
        <w:t>1519</w:t>
      </w:r>
      <w:r>
        <w:rPr>
          <w:rFonts w:hint="default" w:ascii="Times New Roman" w:hAnsi="Times New Roman" w:eastAsia="方正仿宋_GBK" w:cs="Times New Roman"/>
          <w:b w:val="0"/>
          <w:bCs/>
          <w:sz w:val="32"/>
          <w:szCs w:val="32"/>
        </w:rPr>
        <w:t>人，资助资金</w:t>
      </w:r>
      <w:r>
        <w:rPr>
          <w:rFonts w:hint="default" w:ascii="Times New Roman" w:hAnsi="Times New Roman" w:eastAsia="方正仿宋_GBK" w:cs="Times New Roman"/>
          <w:b w:val="0"/>
          <w:bCs/>
          <w:sz w:val="32"/>
          <w:szCs w:val="32"/>
          <w:lang w:val="en-US" w:eastAsia="zh-CN"/>
        </w:rPr>
        <w:t>47.46875</w:t>
      </w:r>
      <w:r>
        <w:rPr>
          <w:rFonts w:hint="default" w:ascii="Times New Roman" w:hAnsi="Times New Roman" w:eastAsia="方正仿宋_GBK" w:cs="Times New Roman"/>
          <w:b w:val="0"/>
          <w:bCs/>
          <w:sz w:val="32"/>
          <w:szCs w:val="32"/>
        </w:rPr>
        <w:t>万元，秋季学期资助</w:t>
      </w:r>
      <w:r>
        <w:rPr>
          <w:rFonts w:hint="default" w:ascii="Times New Roman" w:hAnsi="Times New Roman" w:eastAsia="方正仿宋_GBK" w:cs="Times New Roman"/>
          <w:b w:val="0"/>
          <w:bCs/>
          <w:sz w:val="32"/>
          <w:szCs w:val="32"/>
          <w:lang w:val="en-US" w:eastAsia="zh-CN"/>
        </w:rPr>
        <w:t>1539</w:t>
      </w:r>
      <w:r>
        <w:rPr>
          <w:rFonts w:hint="default" w:ascii="Times New Roman" w:hAnsi="Times New Roman" w:eastAsia="方正仿宋_GBK" w:cs="Times New Roman"/>
          <w:b w:val="0"/>
          <w:bCs/>
          <w:sz w:val="32"/>
          <w:szCs w:val="32"/>
        </w:rPr>
        <w:t>人，资助资金</w:t>
      </w:r>
      <w:r>
        <w:rPr>
          <w:rFonts w:hint="default" w:ascii="Times New Roman" w:hAnsi="Times New Roman" w:eastAsia="方正仿宋_GBK" w:cs="Times New Roman"/>
          <w:b w:val="0"/>
          <w:bCs/>
          <w:sz w:val="32"/>
          <w:szCs w:val="32"/>
          <w:lang w:val="en-US" w:eastAsia="zh-CN"/>
        </w:rPr>
        <w:t>48.09375</w:t>
      </w:r>
      <w:r>
        <w:rPr>
          <w:rFonts w:hint="default" w:ascii="Times New Roman" w:hAnsi="Times New Roman" w:eastAsia="方正仿宋_GBK" w:cs="Times New Roman"/>
          <w:b w:val="0"/>
          <w:bCs/>
          <w:sz w:val="32"/>
          <w:szCs w:val="32"/>
        </w:rPr>
        <w:t>万元；初中非寄宿生每生每年625元，春季学期资助4</w:t>
      </w:r>
      <w:r>
        <w:rPr>
          <w:rFonts w:hint="default" w:ascii="Times New Roman" w:hAnsi="Times New Roman" w:eastAsia="方正仿宋_GBK" w:cs="Times New Roman"/>
          <w:b w:val="0"/>
          <w:bCs/>
          <w:sz w:val="32"/>
          <w:szCs w:val="32"/>
          <w:lang w:val="en-US" w:eastAsia="zh-CN"/>
        </w:rPr>
        <w:t>01</w:t>
      </w:r>
      <w:r>
        <w:rPr>
          <w:rFonts w:hint="default" w:ascii="Times New Roman" w:hAnsi="Times New Roman" w:eastAsia="方正仿宋_GBK" w:cs="Times New Roman"/>
          <w:b w:val="0"/>
          <w:bCs/>
          <w:sz w:val="32"/>
          <w:szCs w:val="32"/>
        </w:rPr>
        <w:t>人，资助资金</w:t>
      </w:r>
      <w:r>
        <w:rPr>
          <w:rFonts w:hint="default" w:ascii="Times New Roman" w:hAnsi="Times New Roman" w:eastAsia="方正仿宋_GBK" w:cs="Times New Roman"/>
          <w:b w:val="0"/>
          <w:bCs/>
          <w:sz w:val="32"/>
          <w:szCs w:val="32"/>
          <w:lang w:val="en-US" w:eastAsia="zh-CN"/>
        </w:rPr>
        <w:t>15.0375</w:t>
      </w:r>
      <w:r>
        <w:rPr>
          <w:rFonts w:hint="default" w:ascii="Times New Roman" w:hAnsi="Times New Roman" w:eastAsia="方正仿宋_GBK" w:cs="Times New Roman"/>
          <w:b w:val="0"/>
          <w:bCs/>
          <w:sz w:val="32"/>
          <w:szCs w:val="32"/>
        </w:rPr>
        <w:t>万元，秋季学期资助</w:t>
      </w:r>
      <w:r>
        <w:rPr>
          <w:rFonts w:hint="default" w:ascii="Times New Roman" w:hAnsi="Times New Roman" w:eastAsia="方正仿宋_GBK" w:cs="Times New Roman"/>
          <w:b w:val="0"/>
          <w:bCs/>
          <w:sz w:val="32"/>
          <w:szCs w:val="32"/>
          <w:lang w:val="en-US" w:eastAsia="zh-CN"/>
        </w:rPr>
        <w:t>575</w:t>
      </w:r>
      <w:r>
        <w:rPr>
          <w:rFonts w:hint="default" w:ascii="Times New Roman" w:hAnsi="Times New Roman" w:eastAsia="方正仿宋_GBK" w:cs="Times New Roman"/>
          <w:b w:val="0"/>
          <w:bCs/>
          <w:sz w:val="32"/>
          <w:szCs w:val="32"/>
        </w:rPr>
        <w:t>人，资助资金</w:t>
      </w:r>
      <w:r>
        <w:rPr>
          <w:rFonts w:hint="default" w:ascii="Times New Roman" w:hAnsi="Times New Roman" w:eastAsia="方正仿宋_GBK" w:cs="Times New Roman"/>
          <w:b w:val="0"/>
          <w:bCs/>
          <w:sz w:val="32"/>
          <w:szCs w:val="32"/>
          <w:lang w:val="en-US" w:eastAsia="zh-CN"/>
        </w:rPr>
        <w:t>72.35625</w:t>
      </w:r>
      <w:r>
        <w:rPr>
          <w:rFonts w:hint="default" w:ascii="Times New Roman" w:hAnsi="Times New Roman" w:eastAsia="方正仿宋_GBK" w:cs="Times New Roman"/>
          <w:b w:val="0"/>
          <w:bCs/>
          <w:sz w:val="32"/>
          <w:szCs w:val="32"/>
        </w:rPr>
        <w:t>万元。202</w:t>
      </w:r>
      <w:r>
        <w:rPr>
          <w:rFonts w:hint="default" w:ascii="Times New Roman" w:hAnsi="Times New Roman" w:eastAsia="方正仿宋_GBK" w:cs="Times New Roman"/>
          <w:b w:val="0"/>
          <w:bCs/>
          <w:sz w:val="32"/>
          <w:szCs w:val="32"/>
          <w:lang w:val="en-US" w:eastAsia="zh-CN"/>
        </w:rPr>
        <w:t>4</w:t>
      </w:r>
      <w:r>
        <w:rPr>
          <w:rFonts w:hint="default" w:ascii="Times New Roman" w:hAnsi="Times New Roman" w:eastAsia="方正仿宋_GBK" w:cs="Times New Roman"/>
          <w:b w:val="0"/>
          <w:bCs/>
          <w:sz w:val="32"/>
          <w:szCs w:val="32"/>
        </w:rPr>
        <w:t>年应发资金</w:t>
      </w:r>
      <w:r>
        <w:rPr>
          <w:rFonts w:hint="default" w:ascii="Times New Roman" w:hAnsi="Times New Roman" w:eastAsia="方正仿宋_GBK" w:cs="Times New Roman"/>
          <w:b w:val="0"/>
          <w:bCs/>
          <w:sz w:val="32"/>
          <w:szCs w:val="32"/>
          <w:lang w:val="en-US" w:eastAsia="zh-CN"/>
        </w:rPr>
        <w:t>572.3625</w:t>
      </w:r>
      <w:r>
        <w:rPr>
          <w:rFonts w:hint="default" w:ascii="Times New Roman" w:hAnsi="Times New Roman" w:eastAsia="方正仿宋_GBK" w:cs="Times New Roman"/>
          <w:b w:val="0"/>
          <w:bCs/>
          <w:sz w:val="32"/>
          <w:szCs w:val="32"/>
        </w:rPr>
        <w:t>万元，实际拨付资金</w:t>
      </w:r>
      <w:r>
        <w:rPr>
          <w:rFonts w:hint="default" w:ascii="Times New Roman" w:hAnsi="Times New Roman" w:eastAsia="方正仿宋_GBK" w:cs="Times New Roman"/>
          <w:b w:val="0"/>
          <w:bCs/>
          <w:sz w:val="32"/>
          <w:szCs w:val="32"/>
          <w:lang w:val="en-US" w:eastAsia="zh-CN"/>
        </w:rPr>
        <w:t>572.3625</w:t>
      </w:r>
      <w:r>
        <w:rPr>
          <w:rFonts w:hint="default" w:ascii="Times New Roman" w:hAnsi="Times New Roman" w:eastAsia="方正仿宋_GBK" w:cs="Times New Roman"/>
          <w:b w:val="0"/>
          <w:bCs/>
          <w:sz w:val="32"/>
          <w:szCs w:val="32"/>
        </w:rPr>
        <w:t>万元，实际发放率100%。</w:t>
      </w:r>
    </w:p>
    <w:p w14:paraId="5A7EF4AC">
      <w:pPr>
        <w:keepNext w:val="0"/>
        <w:keepLines w:val="0"/>
        <w:pageBreakBefore w:val="0"/>
        <w:numPr>
          <w:ilvl w:val="0"/>
          <w:numId w:val="0"/>
        </w:numPr>
        <w:kinsoku/>
        <w:wordWrap/>
        <w:overflowPunct/>
        <w:topLinePunct w:val="0"/>
        <w:bidi w:val="0"/>
        <w:spacing w:line="240" w:lineRule="auto"/>
        <w:ind w:firstLine="643" w:firstLineChars="200"/>
        <w:textAlignment w:val="auto"/>
        <w:rPr>
          <w:rFonts w:hint="default" w:ascii="Times New Roman" w:hAnsi="Times New Roman" w:eastAsia="方正楷体_GBK" w:cs="Times New Roman"/>
          <w:b/>
          <w:bCs w:val="0"/>
          <w:kern w:val="2"/>
          <w:sz w:val="32"/>
          <w:szCs w:val="32"/>
          <w:lang w:val="zh-CN" w:eastAsia="zh-CN" w:bidi="ar-SA"/>
        </w:rPr>
      </w:pPr>
      <w:r>
        <w:rPr>
          <w:rFonts w:hint="default" w:ascii="Times New Roman" w:hAnsi="Times New Roman" w:eastAsia="方正楷体_GBK" w:cs="Times New Roman"/>
          <w:b/>
          <w:bCs w:val="0"/>
          <w:kern w:val="2"/>
          <w:sz w:val="32"/>
          <w:szCs w:val="32"/>
          <w:lang w:val="zh-CN" w:eastAsia="zh-CN" w:bidi="ar-SA"/>
        </w:rPr>
        <w:t>（二）项目财务管理情况</w:t>
      </w:r>
    </w:p>
    <w:p w14:paraId="33FBFC29">
      <w:pPr>
        <w:keepNext w:val="0"/>
        <w:keepLines w:val="0"/>
        <w:pageBreakBefore w:val="0"/>
        <w:tabs>
          <w:tab w:val="left" w:pos="639"/>
        </w:tabs>
        <w:kinsoku/>
        <w:wordWrap/>
        <w:overflowPunct/>
        <w:topLinePunct w:val="0"/>
        <w:bidi w:val="0"/>
        <w:spacing w:line="240" w:lineRule="auto"/>
        <w:textAlignment w:val="auto"/>
        <w:rPr>
          <w:rFonts w:hint="default" w:ascii="Times New Roman" w:hAnsi="Times New Roman" w:eastAsia="方正仿宋_GBK" w:cs="Times New Roman"/>
          <w:b w:val="0"/>
          <w:bCs/>
          <w:sz w:val="32"/>
          <w:szCs w:val="32"/>
        </w:rPr>
      </w:pPr>
      <w:r>
        <w:rPr>
          <w:rFonts w:hint="default" w:ascii="Times New Roman" w:hAnsi="Times New Roman" w:eastAsia="仿宋_GB2312" w:cs="Times New Roman"/>
          <w:sz w:val="32"/>
          <w:szCs w:val="32"/>
        </w:rPr>
        <w:tab/>
      </w:r>
      <w:r>
        <w:rPr>
          <w:rFonts w:hint="default" w:ascii="Times New Roman" w:hAnsi="Times New Roman" w:eastAsia="方正仿宋_GBK" w:cs="Times New Roman"/>
          <w:b w:val="0"/>
          <w:bCs/>
          <w:sz w:val="32"/>
          <w:szCs w:val="32"/>
        </w:rPr>
        <w:t>财务管理制度健全，严格按照财经纪律和财务管理制度进行资金发放，按时间节点发放资金，资金核算按相关文件和学校评定的人数进行核算。</w:t>
      </w:r>
    </w:p>
    <w:p w14:paraId="0698ABE3">
      <w:pPr>
        <w:keepNext w:val="0"/>
        <w:keepLines w:val="0"/>
        <w:pageBreakBefore w:val="0"/>
        <w:numPr>
          <w:ilvl w:val="0"/>
          <w:numId w:val="0"/>
        </w:numPr>
        <w:kinsoku/>
        <w:wordWrap/>
        <w:overflowPunct/>
        <w:topLinePunct w:val="0"/>
        <w:bidi w:val="0"/>
        <w:spacing w:line="240" w:lineRule="auto"/>
        <w:ind w:firstLine="643" w:firstLineChars="200"/>
        <w:textAlignment w:val="auto"/>
        <w:rPr>
          <w:rFonts w:hint="default" w:ascii="Times New Roman" w:hAnsi="Times New Roman" w:eastAsia="方正楷体_GBK" w:cs="Times New Roman"/>
          <w:b/>
          <w:bCs w:val="0"/>
          <w:kern w:val="2"/>
          <w:sz w:val="32"/>
          <w:szCs w:val="32"/>
          <w:lang w:val="zh-CN" w:eastAsia="zh-CN" w:bidi="ar-SA"/>
        </w:rPr>
      </w:pPr>
      <w:r>
        <w:rPr>
          <w:rFonts w:hint="default" w:ascii="Times New Roman" w:hAnsi="Times New Roman" w:eastAsia="方正楷体_GBK" w:cs="Times New Roman"/>
          <w:b/>
          <w:bCs w:val="0"/>
          <w:kern w:val="2"/>
          <w:sz w:val="32"/>
          <w:szCs w:val="32"/>
          <w:lang w:val="zh-CN" w:eastAsia="zh-CN" w:bidi="ar-SA"/>
        </w:rPr>
        <w:t>（三）项目组织实施情况</w:t>
      </w:r>
    </w:p>
    <w:p w14:paraId="3EC66577">
      <w:pPr>
        <w:keepNext w:val="0"/>
        <w:keepLines w:val="0"/>
        <w:pageBreakBefore w:val="0"/>
        <w:widowControl w:val="0"/>
        <w:tabs>
          <w:tab w:val="left" w:pos="639"/>
        </w:tabs>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仿宋_GBK" w:cs="Times New Roman"/>
          <w:b w:val="0"/>
          <w:bCs/>
          <w:sz w:val="32"/>
          <w:szCs w:val="32"/>
        </w:rPr>
      </w:pPr>
      <w:r>
        <w:rPr>
          <w:rFonts w:hint="default" w:ascii="Times New Roman" w:hAnsi="Times New Roman" w:eastAsia="方正仿宋_GBK" w:cs="Times New Roman"/>
          <w:b w:val="0"/>
          <w:bCs/>
          <w:sz w:val="32"/>
          <w:szCs w:val="32"/>
        </w:rPr>
        <w:t>1.项目组织架构及实施流程。</w:t>
      </w:r>
    </w:p>
    <w:p w14:paraId="1DA76E94">
      <w:pPr>
        <w:keepNext w:val="0"/>
        <w:keepLines w:val="0"/>
        <w:pageBreakBefore w:val="0"/>
        <w:widowControl w:val="0"/>
        <w:tabs>
          <w:tab w:val="left" w:pos="639"/>
        </w:tabs>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仿宋_GBK" w:cs="Times New Roman"/>
          <w:b w:val="0"/>
          <w:bCs/>
          <w:sz w:val="32"/>
          <w:szCs w:val="32"/>
        </w:rPr>
      </w:pPr>
      <w:r>
        <w:rPr>
          <w:rFonts w:hint="default" w:ascii="Times New Roman" w:hAnsi="Times New Roman" w:eastAsia="方正仿宋_GBK" w:cs="Times New Roman"/>
          <w:b w:val="0"/>
          <w:bCs/>
          <w:sz w:val="32"/>
          <w:szCs w:val="32"/>
        </w:rPr>
        <w:t>中央、省级预算，学校评定、公示，主管部门审核并核算资金，形成请示文件上报县委县政府，县财政局审核后划拨资金，通过金保网“一卡通”集中发放。</w:t>
      </w:r>
    </w:p>
    <w:p w14:paraId="5EC17669">
      <w:pPr>
        <w:keepNext w:val="0"/>
        <w:keepLines w:val="0"/>
        <w:pageBreakBefore w:val="0"/>
        <w:widowControl w:val="0"/>
        <w:tabs>
          <w:tab w:val="left" w:pos="639"/>
        </w:tabs>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仿宋_GBK" w:cs="Times New Roman"/>
          <w:b w:val="0"/>
          <w:bCs/>
          <w:sz w:val="32"/>
          <w:szCs w:val="32"/>
        </w:rPr>
      </w:pPr>
      <w:r>
        <w:rPr>
          <w:rFonts w:hint="default" w:ascii="Times New Roman" w:hAnsi="Times New Roman" w:eastAsia="方正仿宋_GBK" w:cs="Times New Roman"/>
          <w:b w:val="0"/>
          <w:bCs/>
          <w:sz w:val="32"/>
          <w:szCs w:val="32"/>
        </w:rPr>
        <w:tab/>
      </w:r>
      <w:r>
        <w:rPr>
          <w:rFonts w:hint="default" w:ascii="Times New Roman" w:hAnsi="Times New Roman" w:eastAsia="方正仿宋_GBK" w:cs="Times New Roman"/>
          <w:b w:val="0"/>
          <w:bCs/>
          <w:sz w:val="32"/>
          <w:szCs w:val="32"/>
        </w:rPr>
        <w:t>2.项目管理情况。</w:t>
      </w:r>
    </w:p>
    <w:p w14:paraId="0EB4600F">
      <w:pPr>
        <w:keepNext w:val="0"/>
        <w:keepLines w:val="0"/>
        <w:pageBreakBefore w:val="0"/>
        <w:widowControl w:val="0"/>
        <w:tabs>
          <w:tab w:val="left" w:pos="639"/>
        </w:tabs>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仿宋_GBK" w:cs="Times New Roman"/>
          <w:b w:val="0"/>
          <w:bCs/>
          <w:sz w:val="32"/>
          <w:szCs w:val="32"/>
        </w:rPr>
      </w:pPr>
      <w:r>
        <w:rPr>
          <w:rFonts w:hint="default" w:ascii="Times New Roman" w:hAnsi="Times New Roman" w:eastAsia="方正仿宋_GBK" w:cs="Times New Roman"/>
          <w:b w:val="0"/>
          <w:bCs/>
          <w:sz w:val="32"/>
          <w:szCs w:val="32"/>
        </w:rPr>
        <w:tab/>
      </w:r>
      <w:r>
        <w:rPr>
          <w:rFonts w:hint="default" w:ascii="Times New Roman" w:hAnsi="Times New Roman" w:eastAsia="方正仿宋_GBK" w:cs="Times New Roman"/>
          <w:b w:val="0"/>
          <w:bCs/>
          <w:sz w:val="32"/>
          <w:szCs w:val="32"/>
        </w:rPr>
        <w:t>根据《财政部 教育部关于印发&lt;城乡义务教育补助经费管理办法&gt;的通知》财教[2019]121号文件的要求严格执行。</w:t>
      </w:r>
    </w:p>
    <w:p w14:paraId="18BCB5F6">
      <w:pPr>
        <w:keepNext w:val="0"/>
        <w:keepLines w:val="0"/>
        <w:pageBreakBefore w:val="0"/>
        <w:widowControl w:val="0"/>
        <w:tabs>
          <w:tab w:val="left" w:pos="639"/>
        </w:tabs>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仿宋_GBK" w:cs="Times New Roman"/>
          <w:b w:val="0"/>
          <w:bCs/>
          <w:sz w:val="32"/>
          <w:szCs w:val="32"/>
        </w:rPr>
      </w:pPr>
      <w:r>
        <w:rPr>
          <w:rFonts w:hint="default" w:ascii="Times New Roman" w:hAnsi="Times New Roman" w:eastAsia="方正仿宋_GBK" w:cs="Times New Roman"/>
          <w:b w:val="0"/>
          <w:bCs/>
          <w:sz w:val="32"/>
          <w:szCs w:val="32"/>
        </w:rPr>
        <w:t>3.项目监管情况。</w:t>
      </w:r>
    </w:p>
    <w:p w14:paraId="68ED652A">
      <w:pPr>
        <w:keepNext w:val="0"/>
        <w:keepLines w:val="0"/>
        <w:pageBreakBefore w:val="0"/>
        <w:widowControl w:val="0"/>
        <w:tabs>
          <w:tab w:val="left" w:pos="639"/>
        </w:tabs>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仿宋_GBK" w:cs="Times New Roman"/>
          <w:b w:val="0"/>
          <w:bCs/>
          <w:sz w:val="32"/>
          <w:szCs w:val="32"/>
        </w:rPr>
      </w:pPr>
      <w:r>
        <w:rPr>
          <w:rFonts w:hint="default" w:ascii="Times New Roman" w:hAnsi="Times New Roman" w:eastAsia="方正仿宋_GBK" w:cs="Times New Roman"/>
          <w:b w:val="0"/>
          <w:bCs/>
          <w:sz w:val="32"/>
          <w:szCs w:val="32"/>
        </w:rPr>
        <w:t>首先核实受助学生的学籍，确保受助学生必须是在藉在校就读的学生。其次审核学生申请资料，确保“精准资助”和资助分档的合理性。再通过金保网“一卡通”集中发放，确保资助资金能及时、准确的发放到受助学生的社保卡。</w:t>
      </w:r>
    </w:p>
    <w:p w14:paraId="26152139">
      <w:pPr>
        <w:pStyle w:val="6"/>
        <w:keepNext/>
        <w:keepLines/>
        <w:pageBreakBefore w:val="0"/>
        <w:widowControl w:val="0"/>
        <w:numPr>
          <w:ilvl w:val="0"/>
          <w:numId w:val="0"/>
        </w:numPr>
        <w:kinsoku/>
        <w:wordWrap/>
        <w:overflowPunct/>
        <w:topLinePunct w:val="0"/>
        <w:autoSpaceDE/>
        <w:autoSpaceDN/>
        <w:bidi w:val="0"/>
        <w:adjustRightInd/>
        <w:snapToGrid/>
        <w:spacing w:line="416" w:lineRule="auto"/>
        <w:ind w:left="0" w:leftChars="0" w:firstLine="640" w:firstLineChars="200"/>
        <w:textAlignment w:val="auto"/>
        <w:rPr>
          <w:rFonts w:hint="default" w:ascii="Times New Roman" w:hAnsi="Times New Roman" w:eastAsia="方正黑体_GBK" w:cs="Times New Roman"/>
          <w:b w:val="0"/>
          <w:bCs/>
          <w:lang w:val="zh-CN" w:eastAsia="zh-CN"/>
        </w:rPr>
      </w:pPr>
      <w:r>
        <w:rPr>
          <w:rFonts w:hint="default" w:ascii="Times New Roman" w:hAnsi="Times New Roman" w:eastAsia="方正黑体_GBK" w:cs="Times New Roman"/>
          <w:b w:val="0"/>
          <w:bCs/>
          <w:lang w:val="zh-CN" w:eastAsia="zh-CN"/>
        </w:rPr>
        <w:t>三</w:t>
      </w:r>
      <w:r>
        <w:rPr>
          <w:rFonts w:hint="default" w:ascii="Times New Roman" w:hAnsi="Times New Roman" w:eastAsia="方正黑体_GBK" w:cs="Times New Roman"/>
          <w:b w:val="0"/>
          <w:bCs/>
          <w:lang w:val="zh-CN" w:eastAsia="zh-CN"/>
        </w:rPr>
        <w:t>、项目绩效情况</w:t>
      </w:r>
    </w:p>
    <w:p w14:paraId="562D11A3">
      <w:pPr>
        <w:keepNext w:val="0"/>
        <w:keepLines w:val="0"/>
        <w:pageBreakBefore w:val="0"/>
        <w:numPr>
          <w:ilvl w:val="0"/>
          <w:numId w:val="0"/>
        </w:numPr>
        <w:kinsoku/>
        <w:wordWrap/>
        <w:overflowPunct/>
        <w:topLinePunct w:val="0"/>
        <w:bidi w:val="0"/>
        <w:spacing w:line="240" w:lineRule="auto"/>
        <w:ind w:firstLine="643" w:firstLineChars="200"/>
        <w:textAlignment w:val="auto"/>
        <w:rPr>
          <w:rFonts w:hint="default" w:ascii="Times New Roman" w:hAnsi="Times New Roman" w:eastAsia="方正楷体_GBK" w:cs="Times New Roman"/>
          <w:b/>
          <w:bCs w:val="0"/>
          <w:kern w:val="2"/>
          <w:sz w:val="32"/>
          <w:szCs w:val="32"/>
          <w:lang w:val="zh-CN" w:eastAsia="zh-CN" w:bidi="ar-SA"/>
        </w:rPr>
      </w:pPr>
      <w:r>
        <w:rPr>
          <w:rFonts w:hint="default" w:ascii="Times New Roman" w:hAnsi="Times New Roman" w:eastAsia="方正楷体_GBK" w:cs="Times New Roman"/>
          <w:b/>
          <w:bCs w:val="0"/>
          <w:kern w:val="2"/>
          <w:sz w:val="32"/>
          <w:szCs w:val="32"/>
          <w:lang w:val="zh-CN" w:eastAsia="zh-CN" w:bidi="ar-SA"/>
        </w:rPr>
        <w:t>（一）项目完成情况</w:t>
      </w:r>
    </w:p>
    <w:p w14:paraId="34D6B07B">
      <w:pPr>
        <w:keepNext w:val="0"/>
        <w:keepLines w:val="0"/>
        <w:pageBreakBefore w:val="0"/>
        <w:widowControl w:val="0"/>
        <w:tabs>
          <w:tab w:val="left" w:pos="639"/>
        </w:tabs>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仿宋_GBK" w:cs="Times New Roman"/>
          <w:b w:val="0"/>
          <w:bCs/>
          <w:sz w:val="32"/>
          <w:szCs w:val="32"/>
        </w:rPr>
      </w:pPr>
      <w:r>
        <w:rPr>
          <w:rFonts w:hint="default" w:ascii="Times New Roman" w:hAnsi="Times New Roman" w:eastAsia="方正仿宋_GBK" w:cs="Times New Roman"/>
          <w:b w:val="0"/>
          <w:bCs/>
          <w:sz w:val="32"/>
          <w:szCs w:val="32"/>
        </w:rPr>
        <w:t>202</w:t>
      </w:r>
      <w:r>
        <w:rPr>
          <w:rFonts w:hint="default" w:ascii="Times New Roman" w:hAnsi="Times New Roman" w:eastAsia="方正仿宋_GBK" w:cs="Times New Roman"/>
          <w:b w:val="0"/>
          <w:bCs/>
          <w:sz w:val="32"/>
          <w:szCs w:val="32"/>
          <w:lang w:val="en-US" w:eastAsia="zh-CN"/>
        </w:rPr>
        <w:t>4</w:t>
      </w:r>
      <w:r>
        <w:rPr>
          <w:rFonts w:hint="default" w:ascii="Times New Roman" w:hAnsi="Times New Roman" w:eastAsia="方正仿宋_GBK" w:cs="Times New Roman"/>
          <w:b w:val="0"/>
          <w:bCs/>
          <w:sz w:val="32"/>
          <w:szCs w:val="32"/>
        </w:rPr>
        <w:t>年义务教育家庭经济困难学生生活补助资助资金年度指标</w:t>
      </w:r>
      <w:r>
        <w:rPr>
          <w:rFonts w:hint="default" w:ascii="Times New Roman" w:hAnsi="Times New Roman" w:eastAsia="方正仿宋_GBK" w:cs="Times New Roman"/>
          <w:b w:val="0"/>
          <w:bCs/>
          <w:sz w:val="32"/>
          <w:szCs w:val="32"/>
          <w:lang w:val="en-US" w:eastAsia="zh-CN"/>
        </w:rPr>
        <w:t>572.3625</w:t>
      </w:r>
      <w:r>
        <w:rPr>
          <w:rFonts w:hint="default" w:ascii="Times New Roman" w:hAnsi="Times New Roman" w:eastAsia="方正仿宋_GBK" w:cs="Times New Roman"/>
          <w:b w:val="0"/>
          <w:bCs/>
          <w:sz w:val="32"/>
          <w:szCs w:val="32"/>
        </w:rPr>
        <w:t>万元，实际完成</w:t>
      </w:r>
      <w:r>
        <w:rPr>
          <w:rFonts w:hint="default" w:ascii="Times New Roman" w:hAnsi="Times New Roman" w:eastAsia="方正仿宋_GBK" w:cs="Times New Roman"/>
          <w:b w:val="0"/>
          <w:bCs/>
          <w:sz w:val="32"/>
          <w:szCs w:val="32"/>
          <w:lang w:val="en-US" w:eastAsia="zh-CN"/>
        </w:rPr>
        <w:t>572.3625</w:t>
      </w:r>
      <w:r>
        <w:rPr>
          <w:rFonts w:hint="default" w:ascii="Times New Roman" w:hAnsi="Times New Roman" w:eastAsia="方正仿宋_GBK" w:cs="Times New Roman"/>
          <w:b w:val="0"/>
          <w:bCs/>
          <w:sz w:val="32"/>
          <w:szCs w:val="32"/>
        </w:rPr>
        <w:t>万元，完成率100%。质量指标：建档立卡学生占比年度指标值40%，实际完成40.39%，完成率101%。时效指标：资金及时发放率100%。资助学生名单公示时间7天。资助标准小学：寄宿生每生每年1000元，非寄宿生每生每年500元；初中：寄宿生每生每年1250元，非寄宿生每生每年625元。</w:t>
      </w:r>
    </w:p>
    <w:p w14:paraId="3F27A38D">
      <w:pPr>
        <w:keepNext w:val="0"/>
        <w:keepLines w:val="0"/>
        <w:pageBreakBefore w:val="0"/>
        <w:numPr>
          <w:ilvl w:val="0"/>
          <w:numId w:val="0"/>
        </w:numPr>
        <w:kinsoku/>
        <w:wordWrap/>
        <w:overflowPunct/>
        <w:topLinePunct w:val="0"/>
        <w:bidi w:val="0"/>
        <w:spacing w:line="240" w:lineRule="auto"/>
        <w:ind w:firstLine="643" w:firstLineChars="200"/>
        <w:textAlignment w:val="auto"/>
        <w:rPr>
          <w:rFonts w:hint="default" w:ascii="Times New Roman" w:hAnsi="Times New Roman" w:eastAsia="方正楷体_GBK" w:cs="Times New Roman"/>
          <w:b/>
          <w:bCs w:val="0"/>
          <w:kern w:val="2"/>
          <w:sz w:val="32"/>
          <w:szCs w:val="32"/>
          <w:lang w:val="zh-CN" w:eastAsia="zh-CN" w:bidi="ar-SA"/>
        </w:rPr>
      </w:pPr>
      <w:r>
        <w:rPr>
          <w:rFonts w:hint="default" w:ascii="Times New Roman" w:hAnsi="Times New Roman" w:eastAsia="方正楷体_GBK" w:cs="Times New Roman"/>
          <w:b/>
          <w:bCs w:val="0"/>
          <w:kern w:val="2"/>
          <w:sz w:val="32"/>
          <w:szCs w:val="32"/>
          <w:lang w:val="zh-CN" w:eastAsia="zh-CN" w:bidi="ar-SA"/>
        </w:rPr>
        <w:t>（二）项目效益情况</w:t>
      </w:r>
    </w:p>
    <w:p w14:paraId="4609F6C7">
      <w:pPr>
        <w:keepNext w:val="0"/>
        <w:keepLines w:val="0"/>
        <w:pageBreakBefore w:val="0"/>
        <w:widowControl w:val="0"/>
        <w:tabs>
          <w:tab w:val="left" w:pos="639"/>
        </w:tabs>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仿宋_GBK" w:cs="Times New Roman"/>
          <w:b w:val="0"/>
          <w:bCs/>
          <w:sz w:val="32"/>
          <w:szCs w:val="32"/>
        </w:rPr>
      </w:pPr>
      <w:r>
        <w:rPr>
          <w:rFonts w:hint="default" w:ascii="Times New Roman" w:hAnsi="Times New Roman" w:eastAsia="方正仿宋_GBK" w:cs="Times New Roman"/>
          <w:b w:val="0"/>
          <w:bCs/>
          <w:sz w:val="32"/>
          <w:szCs w:val="32"/>
        </w:rPr>
        <w:t>社会效益指标：政策知晓率100%。可持续影响指标：义务教育阶段家庭经济困难学生生活费补助发放 （初中）3年；义务教育阶段家庭经济困难学生生活费补助发放 （小学）6年。满意度指标：受助学生家长满意度100%，受助学生满意度100%。</w:t>
      </w:r>
    </w:p>
    <w:p w14:paraId="628FA9AF">
      <w:pPr>
        <w:pStyle w:val="6"/>
        <w:keepNext/>
        <w:keepLines/>
        <w:pageBreakBefore w:val="0"/>
        <w:widowControl w:val="0"/>
        <w:numPr>
          <w:ilvl w:val="0"/>
          <w:numId w:val="0"/>
        </w:numPr>
        <w:kinsoku/>
        <w:wordWrap/>
        <w:overflowPunct/>
        <w:topLinePunct w:val="0"/>
        <w:autoSpaceDE/>
        <w:autoSpaceDN/>
        <w:bidi w:val="0"/>
        <w:adjustRightInd/>
        <w:snapToGrid/>
        <w:spacing w:line="416" w:lineRule="auto"/>
        <w:ind w:left="0" w:leftChars="0" w:firstLine="640" w:firstLineChars="200"/>
        <w:textAlignment w:val="auto"/>
        <w:rPr>
          <w:rFonts w:hint="default" w:ascii="Times New Roman" w:hAnsi="Times New Roman" w:eastAsia="方正黑体_GBK" w:cs="Times New Roman"/>
          <w:b w:val="0"/>
          <w:bCs/>
          <w:lang w:val="zh-CN" w:eastAsia="zh-CN"/>
        </w:rPr>
      </w:pPr>
      <w:r>
        <w:rPr>
          <w:rFonts w:hint="default" w:ascii="Times New Roman" w:hAnsi="Times New Roman" w:eastAsia="方正黑体_GBK" w:cs="Times New Roman"/>
          <w:b w:val="0"/>
          <w:bCs/>
          <w:lang w:val="zh-CN" w:eastAsia="zh-CN"/>
        </w:rPr>
        <w:tab/>
      </w:r>
      <w:r>
        <w:rPr>
          <w:rFonts w:hint="default" w:ascii="Times New Roman" w:hAnsi="Times New Roman" w:eastAsia="方正黑体_GBK" w:cs="Times New Roman"/>
          <w:b w:val="0"/>
          <w:bCs/>
          <w:lang w:val="zh-CN" w:eastAsia="zh-CN"/>
        </w:rPr>
        <w:t>四、问题及建议</w:t>
      </w:r>
    </w:p>
    <w:p w14:paraId="6995712A">
      <w:pPr>
        <w:keepNext w:val="0"/>
        <w:keepLines w:val="0"/>
        <w:pageBreakBefore w:val="0"/>
        <w:numPr>
          <w:ilvl w:val="0"/>
          <w:numId w:val="0"/>
        </w:numPr>
        <w:kinsoku/>
        <w:wordWrap/>
        <w:overflowPunct/>
        <w:topLinePunct w:val="0"/>
        <w:bidi w:val="0"/>
        <w:spacing w:line="240" w:lineRule="auto"/>
        <w:ind w:firstLine="643" w:firstLineChars="200"/>
        <w:textAlignment w:val="auto"/>
        <w:rPr>
          <w:rFonts w:hint="default" w:ascii="Times New Roman" w:hAnsi="Times New Roman" w:eastAsia="方正楷体_GBK" w:cs="Times New Roman"/>
          <w:b/>
          <w:bCs w:val="0"/>
          <w:kern w:val="2"/>
          <w:sz w:val="32"/>
          <w:szCs w:val="32"/>
          <w:lang w:val="zh-CN" w:eastAsia="zh-CN" w:bidi="ar-SA"/>
        </w:rPr>
      </w:pPr>
      <w:r>
        <w:rPr>
          <w:rFonts w:hint="default" w:ascii="Times New Roman" w:hAnsi="Times New Roman" w:eastAsia="方正楷体_GBK" w:cs="Times New Roman"/>
          <w:b/>
          <w:bCs w:val="0"/>
          <w:kern w:val="2"/>
          <w:sz w:val="32"/>
          <w:szCs w:val="32"/>
          <w:lang w:val="zh-CN" w:eastAsia="zh-CN" w:bidi="ar-SA"/>
        </w:rPr>
        <w:t>（一）存在的问题</w:t>
      </w:r>
    </w:p>
    <w:p w14:paraId="1C00B677">
      <w:pPr>
        <w:keepNext w:val="0"/>
        <w:keepLines w:val="0"/>
        <w:pageBreakBefore w:val="0"/>
        <w:tabs>
          <w:tab w:val="left" w:pos="902"/>
        </w:tabs>
        <w:kinsoku/>
        <w:wordWrap/>
        <w:overflowPunct/>
        <w:topLinePunct w:val="0"/>
        <w:bidi w:val="0"/>
        <w:spacing w:line="240" w:lineRule="auto"/>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ab/>
      </w:r>
      <w:r>
        <w:rPr>
          <w:rFonts w:hint="default" w:ascii="Times New Roman" w:hAnsi="Times New Roman" w:eastAsia="方正仿宋_GBK" w:cs="Times New Roman"/>
          <w:b w:val="0"/>
          <w:bCs/>
          <w:sz w:val="32"/>
          <w:szCs w:val="32"/>
        </w:rPr>
        <w:t>通过金保网“一卡通”发放过程中，存在发放失败的情况。主要是由于学生的卡挂失，长时间不用被银行冻结</w:t>
      </w:r>
      <w:r>
        <w:rPr>
          <w:rFonts w:hint="default" w:ascii="Times New Roman" w:hAnsi="Times New Roman" w:eastAsia="仿宋_GB2312" w:cs="Times New Roman"/>
          <w:sz w:val="32"/>
          <w:szCs w:val="32"/>
        </w:rPr>
        <w:t>。</w:t>
      </w:r>
    </w:p>
    <w:p w14:paraId="4DB1BCFF">
      <w:pPr>
        <w:keepNext w:val="0"/>
        <w:keepLines w:val="0"/>
        <w:pageBreakBefore w:val="0"/>
        <w:numPr>
          <w:ilvl w:val="0"/>
          <w:numId w:val="0"/>
        </w:numPr>
        <w:kinsoku/>
        <w:wordWrap/>
        <w:overflowPunct/>
        <w:topLinePunct w:val="0"/>
        <w:bidi w:val="0"/>
        <w:spacing w:line="240" w:lineRule="auto"/>
        <w:ind w:firstLine="643" w:firstLineChars="200"/>
        <w:textAlignment w:val="auto"/>
        <w:rPr>
          <w:rFonts w:hint="default" w:ascii="Times New Roman" w:hAnsi="Times New Roman" w:eastAsia="方正楷体_GBK" w:cs="Times New Roman"/>
          <w:b/>
          <w:bCs w:val="0"/>
          <w:kern w:val="2"/>
          <w:sz w:val="32"/>
          <w:szCs w:val="32"/>
          <w:lang w:val="zh-CN" w:eastAsia="zh-CN" w:bidi="ar-SA"/>
        </w:rPr>
      </w:pPr>
      <w:r>
        <w:rPr>
          <w:rFonts w:hint="default" w:ascii="Times New Roman" w:hAnsi="Times New Roman" w:eastAsia="方正楷体_GBK" w:cs="Times New Roman"/>
          <w:b/>
          <w:bCs w:val="0"/>
          <w:kern w:val="2"/>
          <w:sz w:val="32"/>
          <w:szCs w:val="32"/>
          <w:lang w:val="zh-CN" w:eastAsia="zh-CN" w:bidi="ar-SA"/>
        </w:rPr>
        <w:t>（二）相关建议</w:t>
      </w:r>
    </w:p>
    <w:p w14:paraId="39E06159">
      <w:pPr>
        <w:keepNext w:val="0"/>
        <w:keepLines w:val="0"/>
        <w:pageBreakBefore w:val="0"/>
        <w:widowControl w:val="0"/>
        <w:tabs>
          <w:tab w:val="left" w:pos="902"/>
        </w:tabs>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仿宋_GBK" w:cs="Times New Roman"/>
          <w:b w:val="0"/>
          <w:bCs/>
          <w:sz w:val="32"/>
          <w:szCs w:val="32"/>
        </w:rPr>
      </w:pPr>
      <w:r>
        <w:rPr>
          <w:rFonts w:hint="default" w:ascii="Times New Roman" w:hAnsi="Times New Roman" w:eastAsia="方正仿宋_GBK" w:cs="Times New Roman"/>
          <w:b w:val="0"/>
          <w:bCs/>
          <w:sz w:val="32"/>
          <w:szCs w:val="32"/>
        </w:rPr>
        <w:t>1.加强学校和银行联系沟通，对学生办理的“一卡通”银行卡实行特殊处理。</w:t>
      </w:r>
    </w:p>
    <w:p w14:paraId="6A8E7866">
      <w:pPr>
        <w:keepNext w:val="0"/>
        <w:keepLines w:val="0"/>
        <w:pageBreakBefore w:val="0"/>
        <w:widowControl w:val="0"/>
        <w:tabs>
          <w:tab w:val="left" w:pos="902"/>
        </w:tabs>
        <w:kinsoku/>
        <w:wordWrap/>
        <w:overflowPunct/>
        <w:topLinePunct w:val="0"/>
        <w:autoSpaceDE/>
        <w:autoSpaceDN/>
        <w:bidi w:val="0"/>
        <w:adjustRightInd/>
        <w:snapToGrid/>
        <w:spacing w:line="240" w:lineRule="auto"/>
        <w:ind w:firstLine="640" w:firstLineChars="200"/>
        <w:textAlignment w:val="auto"/>
        <w:rPr>
          <w:rFonts w:hint="default" w:ascii="Times New Roman" w:hAnsi="Times New Roman" w:eastAsia="方正仿宋_GBK" w:cs="Times New Roman"/>
          <w:b w:val="0"/>
          <w:bCs/>
          <w:sz w:val="32"/>
          <w:szCs w:val="32"/>
        </w:rPr>
      </w:pPr>
      <w:r>
        <w:rPr>
          <w:rFonts w:hint="default" w:ascii="Times New Roman" w:hAnsi="Times New Roman" w:eastAsia="方正仿宋_GBK" w:cs="Times New Roman"/>
          <w:b w:val="0"/>
          <w:bCs/>
          <w:sz w:val="32"/>
          <w:szCs w:val="32"/>
        </w:rPr>
        <w:t>2.加强学校和相关学生的联系，对“一卡通”银行卡实行有效管理。</w:t>
      </w:r>
    </w:p>
    <w:p w14:paraId="1E542C9F">
      <w:pPr>
        <w:keepNext w:val="0"/>
        <w:keepLines w:val="0"/>
        <w:pageBreakBefore w:val="0"/>
        <w:kinsoku/>
        <w:wordWrap/>
        <w:overflowPunct/>
        <w:topLinePunct w:val="0"/>
        <w:bidi w:val="0"/>
        <w:spacing w:line="240" w:lineRule="auto"/>
        <w:textAlignment w:val="auto"/>
        <w:rPr>
          <w:rFonts w:hint="default" w:ascii="Times New Roman" w:hAnsi="Times New Roman" w:eastAsia="黑体" w:cs="Times New Roman"/>
          <w:sz w:val="44"/>
          <w:szCs w:val="44"/>
        </w:rPr>
      </w:pPr>
    </w:p>
    <w:p w14:paraId="7E305501">
      <w:pPr>
        <w:keepNext w:val="0"/>
        <w:keepLines w:val="0"/>
        <w:pageBreakBefore w:val="0"/>
        <w:kinsoku/>
        <w:wordWrap/>
        <w:overflowPunct/>
        <w:topLinePunct w:val="0"/>
        <w:bidi w:val="0"/>
        <w:spacing w:line="240" w:lineRule="auto"/>
        <w:textAlignment w:val="auto"/>
        <w:rPr>
          <w:rFonts w:hint="default" w:ascii="Times New Roman" w:hAnsi="Times New Roman" w:eastAsia="黑体" w:cs="Times New Roman"/>
          <w:sz w:val="44"/>
          <w:szCs w:val="44"/>
        </w:rPr>
      </w:pPr>
    </w:p>
    <w:p w14:paraId="0F7C8B95">
      <w:pPr>
        <w:keepNext w:val="0"/>
        <w:keepLines w:val="0"/>
        <w:pageBreakBefore w:val="0"/>
        <w:kinsoku/>
        <w:wordWrap/>
        <w:overflowPunct/>
        <w:topLinePunct w:val="0"/>
        <w:bidi w:val="0"/>
        <w:spacing w:line="240" w:lineRule="auto"/>
        <w:textAlignment w:val="auto"/>
        <w:rPr>
          <w:rFonts w:hint="default" w:ascii="Times New Roman" w:hAnsi="Times New Roman" w:eastAsia="黑体" w:cs="Times New Roman"/>
          <w:sz w:val="44"/>
          <w:szCs w:val="44"/>
        </w:rPr>
      </w:pPr>
    </w:p>
    <w:p w14:paraId="748572FE">
      <w:pPr>
        <w:keepNext w:val="0"/>
        <w:keepLines w:val="0"/>
        <w:pageBreakBefore w:val="0"/>
        <w:kinsoku/>
        <w:wordWrap/>
        <w:overflowPunct/>
        <w:topLinePunct w:val="0"/>
        <w:bidi w:val="0"/>
        <w:spacing w:line="240" w:lineRule="auto"/>
        <w:textAlignment w:val="auto"/>
        <w:rPr>
          <w:rFonts w:hint="default" w:ascii="Times New Roman" w:hAnsi="Times New Roman" w:eastAsia="黑体" w:cs="Times New Roman"/>
          <w:sz w:val="44"/>
          <w:szCs w:val="44"/>
        </w:rPr>
      </w:pPr>
    </w:p>
    <w:p w14:paraId="098813E3">
      <w:pPr>
        <w:keepNext w:val="0"/>
        <w:keepLines w:val="0"/>
        <w:pageBreakBefore w:val="0"/>
        <w:kinsoku/>
        <w:wordWrap/>
        <w:overflowPunct/>
        <w:topLinePunct w:val="0"/>
        <w:bidi w:val="0"/>
        <w:spacing w:line="240" w:lineRule="auto"/>
        <w:textAlignment w:val="auto"/>
        <w:rPr>
          <w:rFonts w:hint="default" w:ascii="Times New Roman" w:hAnsi="Times New Roman" w:eastAsia="黑体" w:cs="Times New Roman"/>
          <w:sz w:val="44"/>
          <w:szCs w:val="44"/>
        </w:rPr>
      </w:pPr>
    </w:p>
    <w:p w14:paraId="5A14F57D">
      <w:pPr>
        <w:keepNext w:val="0"/>
        <w:keepLines w:val="0"/>
        <w:pageBreakBefore w:val="0"/>
        <w:kinsoku/>
        <w:wordWrap/>
        <w:overflowPunct/>
        <w:topLinePunct w:val="0"/>
        <w:bidi w:val="0"/>
        <w:spacing w:line="240" w:lineRule="auto"/>
        <w:textAlignment w:val="auto"/>
        <w:rPr>
          <w:rFonts w:hint="default" w:ascii="Times New Roman" w:hAnsi="Times New Roman" w:eastAsia="黑体" w:cs="Times New Roman"/>
          <w:sz w:val="44"/>
          <w:szCs w:val="44"/>
        </w:rPr>
      </w:pPr>
    </w:p>
    <w:p w14:paraId="29AEF77E">
      <w:pPr>
        <w:keepNext w:val="0"/>
        <w:keepLines w:val="0"/>
        <w:pageBreakBefore w:val="0"/>
        <w:kinsoku/>
        <w:wordWrap/>
        <w:overflowPunct/>
        <w:topLinePunct w:val="0"/>
        <w:bidi w:val="0"/>
        <w:spacing w:line="240" w:lineRule="auto"/>
        <w:textAlignment w:val="auto"/>
        <w:rPr>
          <w:rFonts w:hint="default" w:ascii="Times New Roman" w:hAnsi="Times New Roman" w:eastAsia="黑体" w:cs="Times New Roman"/>
          <w:sz w:val="44"/>
          <w:szCs w:val="44"/>
        </w:rPr>
      </w:pPr>
    </w:p>
    <w:p w14:paraId="300F4D2E">
      <w:pPr>
        <w:keepNext w:val="0"/>
        <w:keepLines w:val="0"/>
        <w:pageBreakBefore w:val="0"/>
        <w:kinsoku/>
        <w:wordWrap/>
        <w:overflowPunct/>
        <w:topLinePunct w:val="0"/>
        <w:bidi w:val="0"/>
        <w:spacing w:line="240" w:lineRule="auto"/>
        <w:textAlignment w:val="auto"/>
        <w:rPr>
          <w:rFonts w:hint="default" w:ascii="Times New Roman" w:hAnsi="Times New Roman" w:eastAsia="黑体" w:cs="Times New Roman"/>
          <w:sz w:val="44"/>
          <w:szCs w:val="44"/>
        </w:rPr>
      </w:pPr>
    </w:p>
    <w:p w14:paraId="175C0094">
      <w:pPr>
        <w:widowControl/>
        <w:spacing w:line="578" w:lineRule="exact"/>
        <w:contextualSpacing/>
        <w:jc w:val="center"/>
        <w:rPr>
          <w:rFonts w:hint="default" w:ascii="Times New Roman" w:hAnsi="Times New Roman" w:eastAsia="方正小标宋_GBK" w:cs="Times New Roman"/>
          <w:sz w:val="44"/>
          <w:szCs w:val="44"/>
        </w:rPr>
      </w:pPr>
    </w:p>
    <w:p w14:paraId="22C199C1">
      <w:pPr>
        <w:keepNext w:val="0"/>
        <w:keepLines w:val="0"/>
        <w:pageBreakBefore w:val="0"/>
        <w:kinsoku/>
        <w:wordWrap/>
        <w:overflowPunct/>
        <w:topLinePunct w:val="0"/>
        <w:bidi w:val="0"/>
        <w:spacing w:line="240" w:lineRule="auto"/>
        <w:ind w:firstLine="640"/>
        <w:textAlignment w:val="auto"/>
        <w:rPr>
          <w:rFonts w:hint="default" w:ascii="Times New Roman" w:hAnsi="Times New Roman" w:eastAsia="黑体" w:cs="Times New Roman"/>
          <w:sz w:val="44"/>
          <w:szCs w:val="44"/>
        </w:rPr>
      </w:pPr>
      <w:r>
        <w:rPr>
          <w:rFonts w:hint="default" w:ascii="Times New Roman" w:hAnsi="Times New Roman" w:eastAsia="仿宋_GB2312" w:cs="Times New Roman"/>
          <w:kern w:val="0"/>
          <w:sz w:val="32"/>
          <w:szCs w:val="32"/>
        </w:rPr>
        <w:br w:type="page"/>
      </w:r>
    </w:p>
    <w:p w14:paraId="16AB7F36">
      <w:pPr>
        <w:pStyle w:val="5"/>
        <w:keepNext/>
        <w:keepLines/>
        <w:pageBreakBefore w:val="0"/>
        <w:widowControl w:val="0"/>
        <w:kinsoku/>
        <w:wordWrap/>
        <w:overflowPunct/>
        <w:topLinePunct w:val="0"/>
        <w:autoSpaceDE/>
        <w:autoSpaceDN/>
        <w:bidi w:val="0"/>
        <w:adjustRightInd/>
        <w:snapToGrid/>
        <w:spacing w:line="0" w:lineRule="atLeast"/>
        <w:jc w:val="center"/>
        <w:textAlignment w:val="auto"/>
        <w:rPr>
          <w:rFonts w:hint="default" w:ascii="Times New Roman" w:hAnsi="Times New Roman" w:eastAsia="仿宋_GB2312" w:cs="Times New Roman"/>
          <w:sz w:val="32"/>
          <w:szCs w:val="32"/>
        </w:rPr>
      </w:pPr>
      <w:r>
        <w:rPr>
          <w:rFonts w:hint="default" w:ascii="Times New Roman" w:hAnsi="Times New Roman" w:eastAsia="方正小标宋_GBK" w:cs="Times New Roman"/>
          <w:b/>
          <w:bCs w:val="0"/>
        </w:rPr>
        <w:t>第五部分 附表</w:t>
      </w:r>
      <w:bookmarkEnd w:id="77"/>
      <w:bookmarkEnd w:id="83"/>
      <w:bookmarkStart w:id="84" w:name="_Toc15396619"/>
    </w:p>
    <w:p w14:paraId="7AAD70AE">
      <w:pPr>
        <w:pStyle w:val="6"/>
        <w:keepNext/>
        <w:keepLines/>
        <w:pageBreakBefore w:val="0"/>
        <w:widowControl w:val="0"/>
        <w:numPr>
          <w:ilvl w:val="0"/>
          <w:numId w:val="0"/>
        </w:numPr>
        <w:kinsoku/>
        <w:wordWrap/>
        <w:overflowPunct/>
        <w:topLinePunct w:val="0"/>
        <w:autoSpaceDE/>
        <w:autoSpaceDN/>
        <w:bidi w:val="0"/>
        <w:adjustRightInd/>
        <w:snapToGrid/>
        <w:spacing w:line="240" w:lineRule="auto"/>
        <w:ind w:left="0" w:leftChars="0" w:firstLine="640" w:firstLineChars="200"/>
        <w:textAlignment w:val="auto"/>
        <w:rPr>
          <w:rFonts w:hint="default" w:ascii="Times New Roman" w:hAnsi="Times New Roman" w:eastAsia="方正黑体_GBK" w:cs="Times New Roman"/>
          <w:b w:val="0"/>
          <w:bCs/>
          <w:lang w:val="en-US" w:eastAsia="zh-CN"/>
        </w:rPr>
      </w:pPr>
      <w:r>
        <w:rPr>
          <w:rFonts w:hint="default" w:ascii="Times New Roman" w:hAnsi="Times New Roman" w:eastAsia="方正黑体_GBK" w:cs="Times New Roman"/>
          <w:b w:val="0"/>
          <w:bCs/>
          <w:lang w:val="en-US" w:eastAsia="zh-CN"/>
        </w:rPr>
        <w:t>一、收入支出决算总表</w:t>
      </w:r>
      <w:bookmarkEnd w:id="84"/>
    </w:p>
    <w:p w14:paraId="7862288A">
      <w:pPr>
        <w:pStyle w:val="6"/>
        <w:keepNext/>
        <w:keepLines/>
        <w:pageBreakBefore w:val="0"/>
        <w:widowControl w:val="0"/>
        <w:numPr>
          <w:ilvl w:val="0"/>
          <w:numId w:val="0"/>
        </w:numPr>
        <w:kinsoku/>
        <w:wordWrap/>
        <w:overflowPunct/>
        <w:topLinePunct w:val="0"/>
        <w:autoSpaceDE/>
        <w:autoSpaceDN/>
        <w:bidi w:val="0"/>
        <w:adjustRightInd/>
        <w:snapToGrid/>
        <w:spacing w:line="240" w:lineRule="auto"/>
        <w:ind w:left="0" w:leftChars="0" w:firstLine="640" w:firstLineChars="200"/>
        <w:textAlignment w:val="auto"/>
        <w:rPr>
          <w:rFonts w:hint="default" w:ascii="Times New Roman" w:hAnsi="Times New Roman" w:eastAsia="方正黑体_GBK" w:cs="Times New Roman"/>
          <w:b w:val="0"/>
          <w:bCs/>
          <w:lang w:val="en-US" w:eastAsia="zh-CN"/>
        </w:rPr>
      </w:pPr>
      <w:bookmarkStart w:id="85" w:name="_Toc15396620"/>
      <w:r>
        <w:rPr>
          <w:rFonts w:hint="default" w:ascii="Times New Roman" w:hAnsi="Times New Roman" w:eastAsia="方正黑体_GBK" w:cs="Times New Roman"/>
          <w:b w:val="0"/>
          <w:bCs/>
          <w:lang w:val="en-US" w:eastAsia="zh-CN"/>
        </w:rPr>
        <w:t>二、收入决算表</w:t>
      </w:r>
      <w:bookmarkEnd w:id="85"/>
    </w:p>
    <w:p w14:paraId="218A7227">
      <w:pPr>
        <w:pStyle w:val="6"/>
        <w:keepNext/>
        <w:keepLines/>
        <w:pageBreakBefore w:val="0"/>
        <w:widowControl w:val="0"/>
        <w:numPr>
          <w:ilvl w:val="0"/>
          <w:numId w:val="0"/>
        </w:numPr>
        <w:kinsoku/>
        <w:wordWrap/>
        <w:overflowPunct/>
        <w:topLinePunct w:val="0"/>
        <w:autoSpaceDE/>
        <w:autoSpaceDN/>
        <w:bidi w:val="0"/>
        <w:adjustRightInd/>
        <w:snapToGrid/>
        <w:spacing w:line="240" w:lineRule="auto"/>
        <w:ind w:left="0" w:leftChars="0" w:firstLine="640" w:firstLineChars="200"/>
        <w:textAlignment w:val="auto"/>
        <w:rPr>
          <w:rFonts w:hint="default" w:ascii="Times New Roman" w:hAnsi="Times New Roman" w:eastAsia="方正黑体_GBK" w:cs="Times New Roman"/>
          <w:b w:val="0"/>
          <w:bCs/>
          <w:lang w:val="en-US" w:eastAsia="zh-CN"/>
        </w:rPr>
      </w:pPr>
      <w:bookmarkStart w:id="86" w:name="_Toc15396621"/>
      <w:r>
        <w:rPr>
          <w:rFonts w:hint="default" w:ascii="Times New Roman" w:hAnsi="Times New Roman" w:eastAsia="方正黑体_GBK" w:cs="Times New Roman"/>
          <w:b w:val="0"/>
          <w:bCs/>
          <w:lang w:val="en-US" w:eastAsia="zh-CN"/>
        </w:rPr>
        <w:t>三、支出决算表</w:t>
      </w:r>
      <w:bookmarkEnd w:id="86"/>
    </w:p>
    <w:p w14:paraId="0FB9084C">
      <w:pPr>
        <w:pStyle w:val="6"/>
        <w:keepNext/>
        <w:keepLines/>
        <w:pageBreakBefore w:val="0"/>
        <w:widowControl w:val="0"/>
        <w:numPr>
          <w:ilvl w:val="0"/>
          <w:numId w:val="0"/>
        </w:numPr>
        <w:kinsoku/>
        <w:wordWrap/>
        <w:overflowPunct/>
        <w:topLinePunct w:val="0"/>
        <w:autoSpaceDE/>
        <w:autoSpaceDN/>
        <w:bidi w:val="0"/>
        <w:adjustRightInd/>
        <w:snapToGrid/>
        <w:spacing w:line="240" w:lineRule="auto"/>
        <w:ind w:left="0" w:leftChars="0" w:firstLine="640" w:firstLineChars="200"/>
        <w:textAlignment w:val="auto"/>
        <w:rPr>
          <w:rFonts w:hint="default" w:ascii="Times New Roman" w:hAnsi="Times New Roman" w:eastAsia="方正黑体_GBK" w:cs="Times New Roman"/>
          <w:b w:val="0"/>
          <w:bCs/>
          <w:lang w:val="en-US" w:eastAsia="zh-CN"/>
        </w:rPr>
      </w:pPr>
      <w:bookmarkStart w:id="87" w:name="_Toc15396622"/>
      <w:r>
        <w:rPr>
          <w:rFonts w:hint="default" w:ascii="Times New Roman" w:hAnsi="Times New Roman" w:eastAsia="方正黑体_GBK" w:cs="Times New Roman"/>
          <w:b w:val="0"/>
          <w:bCs/>
          <w:lang w:val="en-US" w:eastAsia="zh-CN"/>
        </w:rPr>
        <w:t>四、财政拨款收入支出决算总表</w:t>
      </w:r>
      <w:bookmarkEnd w:id="87"/>
    </w:p>
    <w:p w14:paraId="4C6E7D23">
      <w:pPr>
        <w:pStyle w:val="6"/>
        <w:keepNext/>
        <w:keepLines/>
        <w:pageBreakBefore w:val="0"/>
        <w:widowControl w:val="0"/>
        <w:numPr>
          <w:ilvl w:val="0"/>
          <w:numId w:val="0"/>
        </w:numPr>
        <w:kinsoku/>
        <w:wordWrap/>
        <w:overflowPunct/>
        <w:topLinePunct w:val="0"/>
        <w:autoSpaceDE/>
        <w:autoSpaceDN/>
        <w:bidi w:val="0"/>
        <w:adjustRightInd/>
        <w:snapToGrid/>
        <w:spacing w:line="240" w:lineRule="auto"/>
        <w:ind w:left="0" w:leftChars="0" w:firstLine="640" w:firstLineChars="200"/>
        <w:textAlignment w:val="auto"/>
        <w:rPr>
          <w:rFonts w:hint="default" w:ascii="Times New Roman" w:hAnsi="Times New Roman" w:eastAsia="方正黑体_GBK" w:cs="Times New Roman"/>
          <w:b w:val="0"/>
          <w:bCs/>
          <w:lang w:val="en-US" w:eastAsia="zh-CN"/>
        </w:rPr>
      </w:pPr>
      <w:bookmarkStart w:id="88" w:name="_Toc15396623"/>
      <w:r>
        <w:rPr>
          <w:rFonts w:hint="default" w:ascii="Times New Roman" w:hAnsi="Times New Roman" w:eastAsia="方正黑体_GBK" w:cs="Times New Roman"/>
          <w:b w:val="0"/>
          <w:bCs/>
          <w:lang w:val="en-US" w:eastAsia="zh-CN"/>
        </w:rPr>
        <w:t>五、财政拨款支出决算明细表</w:t>
      </w:r>
      <w:bookmarkEnd w:id="88"/>
      <w:bookmarkStart w:id="89" w:name="_Toc15396624"/>
    </w:p>
    <w:p w14:paraId="7F5B3362">
      <w:pPr>
        <w:pStyle w:val="6"/>
        <w:keepNext/>
        <w:keepLines/>
        <w:pageBreakBefore w:val="0"/>
        <w:widowControl w:val="0"/>
        <w:numPr>
          <w:ilvl w:val="0"/>
          <w:numId w:val="0"/>
        </w:numPr>
        <w:kinsoku/>
        <w:wordWrap/>
        <w:overflowPunct/>
        <w:topLinePunct w:val="0"/>
        <w:autoSpaceDE/>
        <w:autoSpaceDN/>
        <w:bidi w:val="0"/>
        <w:adjustRightInd/>
        <w:snapToGrid/>
        <w:spacing w:line="240" w:lineRule="auto"/>
        <w:ind w:left="0" w:leftChars="0" w:firstLine="640" w:firstLineChars="200"/>
        <w:textAlignment w:val="auto"/>
        <w:rPr>
          <w:rFonts w:hint="default" w:ascii="Times New Roman" w:hAnsi="Times New Roman" w:eastAsia="方正黑体_GBK" w:cs="Times New Roman"/>
          <w:b w:val="0"/>
          <w:bCs/>
          <w:lang w:val="en-US" w:eastAsia="zh-CN"/>
        </w:rPr>
      </w:pPr>
      <w:r>
        <w:rPr>
          <w:rFonts w:hint="default" w:ascii="Times New Roman" w:hAnsi="Times New Roman" w:eastAsia="方正黑体_GBK" w:cs="Times New Roman"/>
          <w:b w:val="0"/>
          <w:bCs/>
          <w:lang w:val="en-US" w:eastAsia="zh-CN"/>
        </w:rPr>
        <w:t>六、一般公共预算财政拨款支出决算表</w:t>
      </w:r>
      <w:bookmarkEnd w:id="89"/>
    </w:p>
    <w:p w14:paraId="635A1DD3">
      <w:pPr>
        <w:pStyle w:val="6"/>
        <w:keepNext/>
        <w:keepLines/>
        <w:pageBreakBefore w:val="0"/>
        <w:widowControl w:val="0"/>
        <w:numPr>
          <w:ilvl w:val="0"/>
          <w:numId w:val="0"/>
        </w:numPr>
        <w:kinsoku/>
        <w:wordWrap/>
        <w:overflowPunct/>
        <w:topLinePunct w:val="0"/>
        <w:autoSpaceDE/>
        <w:autoSpaceDN/>
        <w:bidi w:val="0"/>
        <w:adjustRightInd/>
        <w:snapToGrid/>
        <w:spacing w:line="240" w:lineRule="auto"/>
        <w:ind w:left="0" w:leftChars="0" w:firstLine="640" w:firstLineChars="200"/>
        <w:textAlignment w:val="auto"/>
        <w:rPr>
          <w:rFonts w:hint="default" w:ascii="Times New Roman" w:hAnsi="Times New Roman" w:eastAsia="方正黑体_GBK" w:cs="Times New Roman"/>
          <w:b w:val="0"/>
          <w:bCs/>
          <w:lang w:val="en-US" w:eastAsia="zh-CN"/>
        </w:rPr>
      </w:pPr>
      <w:bookmarkStart w:id="90" w:name="_Toc15396625"/>
      <w:r>
        <w:rPr>
          <w:rFonts w:hint="default" w:ascii="Times New Roman" w:hAnsi="Times New Roman" w:eastAsia="方正黑体_GBK" w:cs="Times New Roman"/>
          <w:b w:val="0"/>
          <w:bCs/>
          <w:lang w:val="en-US" w:eastAsia="zh-CN"/>
        </w:rPr>
        <w:t>七、一般公共预算财政拨款支出决算明细表</w:t>
      </w:r>
      <w:bookmarkEnd w:id="90"/>
    </w:p>
    <w:p w14:paraId="7840A8A7">
      <w:pPr>
        <w:pStyle w:val="6"/>
        <w:keepNext/>
        <w:keepLines/>
        <w:pageBreakBefore w:val="0"/>
        <w:widowControl w:val="0"/>
        <w:numPr>
          <w:ilvl w:val="0"/>
          <w:numId w:val="0"/>
        </w:numPr>
        <w:kinsoku/>
        <w:wordWrap/>
        <w:overflowPunct/>
        <w:topLinePunct w:val="0"/>
        <w:autoSpaceDE/>
        <w:autoSpaceDN/>
        <w:bidi w:val="0"/>
        <w:adjustRightInd/>
        <w:snapToGrid/>
        <w:spacing w:line="240" w:lineRule="auto"/>
        <w:ind w:left="0" w:leftChars="0" w:firstLine="640" w:firstLineChars="200"/>
        <w:textAlignment w:val="auto"/>
        <w:rPr>
          <w:rFonts w:hint="default" w:ascii="Times New Roman" w:hAnsi="Times New Roman" w:eastAsia="方正黑体_GBK" w:cs="Times New Roman"/>
          <w:b w:val="0"/>
          <w:bCs/>
          <w:lang w:val="en-US" w:eastAsia="zh-CN"/>
        </w:rPr>
      </w:pPr>
      <w:bookmarkStart w:id="91" w:name="_Toc15396626"/>
      <w:r>
        <w:rPr>
          <w:rFonts w:hint="default" w:ascii="Times New Roman" w:hAnsi="Times New Roman" w:eastAsia="方正黑体_GBK" w:cs="Times New Roman"/>
          <w:b w:val="0"/>
          <w:bCs/>
          <w:lang w:val="en-US" w:eastAsia="zh-CN"/>
        </w:rPr>
        <w:t>八、一般公共预算财政拨款基本支出决算表</w:t>
      </w:r>
      <w:bookmarkEnd w:id="91"/>
    </w:p>
    <w:p w14:paraId="64C8E28B">
      <w:pPr>
        <w:pStyle w:val="6"/>
        <w:keepNext/>
        <w:keepLines/>
        <w:pageBreakBefore w:val="0"/>
        <w:widowControl w:val="0"/>
        <w:numPr>
          <w:ilvl w:val="0"/>
          <w:numId w:val="0"/>
        </w:numPr>
        <w:kinsoku/>
        <w:wordWrap/>
        <w:overflowPunct/>
        <w:topLinePunct w:val="0"/>
        <w:autoSpaceDE/>
        <w:autoSpaceDN/>
        <w:bidi w:val="0"/>
        <w:adjustRightInd/>
        <w:snapToGrid/>
        <w:spacing w:line="240" w:lineRule="auto"/>
        <w:ind w:left="0" w:leftChars="0" w:firstLine="640" w:firstLineChars="200"/>
        <w:textAlignment w:val="auto"/>
        <w:rPr>
          <w:rFonts w:hint="default" w:ascii="Times New Roman" w:hAnsi="Times New Roman" w:eastAsia="方正黑体_GBK" w:cs="Times New Roman"/>
          <w:b w:val="0"/>
          <w:bCs/>
          <w:lang w:val="en-US" w:eastAsia="zh-CN"/>
        </w:rPr>
      </w:pPr>
      <w:bookmarkStart w:id="92" w:name="_Toc15396627"/>
      <w:r>
        <w:rPr>
          <w:rFonts w:hint="default" w:ascii="Times New Roman" w:hAnsi="Times New Roman" w:eastAsia="方正黑体_GBK" w:cs="Times New Roman"/>
          <w:b w:val="0"/>
          <w:bCs/>
          <w:lang w:val="en-US" w:eastAsia="zh-CN"/>
        </w:rPr>
        <w:t>九、一般公共预算财政拨款项目支出决算表</w:t>
      </w:r>
      <w:bookmarkEnd w:id="92"/>
    </w:p>
    <w:p w14:paraId="492823CF">
      <w:pPr>
        <w:pStyle w:val="6"/>
        <w:keepNext/>
        <w:keepLines/>
        <w:pageBreakBefore w:val="0"/>
        <w:widowControl w:val="0"/>
        <w:numPr>
          <w:ilvl w:val="0"/>
          <w:numId w:val="0"/>
        </w:numPr>
        <w:kinsoku/>
        <w:wordWrap/>
        <w:overflowPunct/>
        <w:topLinePunct w:val="0"/>
        <w:autoSpaceDE/>
        <w:autoSpaceDN/>
        <w:bidi w:val="0"/>
        <w:adjustRightInd/>
        <w:snapToGrid/>
        <w:spacing w:line="240" w:lineRule="auto"/>
        <w:ind w:left="0" w:leftChars="0" w:firstLine="640" w:firstLineChars="200"/>
        <w:textAlignment w:val="auto"/>
        <w:rPr>
          <w:rFonts w:hint="default" w:ascii="Times New Roman" w:hAnsi="Times New Roman" w:eastAsia="方正黑体_GBK" w:cs="Times New Roman"/>
          <w:b w:val="0"/>
          <w:bCs/>
          <w:lang w:val="en-US" w:eastAsia="zh-CN"/>
        </w:rPr>
      </w:pPr>
      <w:bookmarkStart w:id="93" w:name="_Toc15396628"/>
      <w:r>
        <w:rPr>
          <w:rFonts w:hint="default" w:ascii="Times New Roman" w:hAnsi="Times New Roman" w:eastAsia="方正黑体_GBK" w:cs="Times New Roman"/>
          <w:b w:val="0"/>
          <w:bCs/>
          <w:lang w:val="en-US" w:eastAsia="zh-CN"/>
        </w:rPr>
        <w:t>十、</w:t>
      </w:r>
      <w:bookmarkEnd w:id="93"/>
      <w:r>
        <w:rPr>
          <w:rFonts w:hint="default" w:ascii="Times New Roman" w:hAnsi="Times New Roman" w:eastAsia="方正黑体_GBK" w:cs="Times New Roman"/>
          <w:b w:val="0"/>
          <w:bCs/>
          <w:lang w:val="en-US" w:eastAsia="zh-CN"/>
        </w:rPr>
        <w:t>政府性基金预算财政拨款收入支出决算表</w:t>
      </w:r>
    </w:p>
    <w:p w14:paraId="05515F60">
      <w:pPr>
        <w:pStyle w:val="6"/>
        <w:keepNext/>
        <w:keepLines/>
        <w:pageBreakBefore w:val="0"/>
        <w:widowControl w:val="0"/>
        <w:numPr>
          <w:ilvl w:val="0"/>
          <w:numId w:val="0"/>
        </w:numPr>
        <w:kinsoku/>
        <w:wordWrap/>
        <w:overflowPunct/>
        <w:topLinePunct w:val="0"/>
        <w:autoSpaceDE/>
        <w:autoSpaceDN/>
        <w:bidi w:val="0"/>
        <w:adjustRightInd/>
        <w:snapToGrid/>
        <w:spacing w:line="240" w:lineRule="auto"/>
        <w:ind w:left="0" w:leftChars="0" w:firstLine="640" w:firstLineChars="200"/>
        <w:textAlignment w:val="auto"/>
        <w:rPr>
          <w:rFonts w:hint="default" w:ascii="Times New Roman" w:hAnsi="Times New Roman" w:eastAsia="方正黑体_GBK" w:cs="Times New Roman"/>
          <w:b w:val="0"/>
          <w:bCs/>
          <w:lang w:val="en-US" w:eastAsia="zh-CN"/>
        </w:rPr>
      </w:pPr>
      <w:bookmarkStart w:id="94" w:name="_Toc15396629"/>
      <w:r>
        <w:rPr>
          <w:rFonts w:hint="default" w:ascii="Times New Roman" w:hAnsi="Times New Roman" w:eastAsia="方正黑体_GBK" w:cs="Times New Roman"/>
          <w:b w:val="0"/>
          <w:bCs/>
          <w:lang w:val="en-US" w:eastAsia="zh-CN"/>
        </w:rPr>
        <w:t>十一、</w:t>
      </w:r>
      <w:bookmarkEnd w:id="94"/>
      <w:r>
        <w:rPr>
          <w:rFonts w:hint="default" w:ascii="Times New Roman" w:hAnsi="Times New Roman" w:eastAsia="方正黑体_GBK" w:cs="Times New Roman"/>
          <w:b w:val="0"/>
          <w:bCs/>
          <w:lang w:val="en-US" w:eastAsia="zh-CN"/>
        </w:rPr>
        <w:t>国有资本经营预算财政拨款收入支出决算表</w:t>
      </w:r>
    </w:p>
    <w:p w14:paraId="1EC4D8AC">
      <w:pPr>
        <w:pStyle w:val="6"/>
        <w:keepNext/>
        <w:keepLines/>
        <w:pageBreakBefore w:val="0"/>
        <w:widowControl w:val="0"/>
        <w:numPr>
          <w:ilvl w:val="0"/>
          <w:numId w:val="0"/>
        </w:numPr>
        <w:kinsoku/>
        <w:wordWrap/>
        <w:overflowPunct/>
        <w:topLinePunct w:val="0"/>
        <w:autoSpaceDE/>
        <w:autoSpaceDN/>
        <w:bidi w:val="0"/>
        <w:adjustRightInd/>
        <w:snapToGrid/>
        <w:spacing w:line="240" w:lineRule="auto"/>
        <w:ind w:left="0" w:leftChars="0" w:firstLine="640" w:firstLineChars="200"/>
        <w:textAlignment w:val="auto"/>
        <w:rPr>
          <w:rFonts w:hint="default" w:ascii="Times New Roman" w:hAnsi="Times New Roman" w:eastAsia="方正黑体_GBK" w:cs="Times New Roman"/>
          <w:b w:val="0"/>
          <w:bCs/>
          <w:lang w:val="en-US" w:eastAsia="zh-CN"/>
        </w:rPr>
      </w:pPr>
      <w:bookmarkStart w:id="95" w:name="_Toc15396630"/>
      <w:r>
        <w:rPr>
          <w:rFonts w:hint="default" w:ascii="Times New Roman" w:hAnsi="Times New Roman" w:eastAsia="方正黑体_GBK" w:cs="Times New Roman"/>
          <w:b w:val="0"/>
          <w:bCs/>
          <w:lang w:val="en-US" w:eastAsia="zh-CN"/>
        </w:rPr>
        <w:t>十二、</w:t>
      </w:r>
      <w:bookmarkEnd w:id="95"/>
      <w:r>
        <w:rPr>
          <w:rFonts w:hint="default" w:ascii="Times New Roman" w:hAnsi="Times New Roman" w:eastAsia="方正黑体_GBK" w:cs="Times New Roman"/>
          <w:b w:val="0"/>
          <w:bCs/>
          <w:lang w:val="en-US" w:eastAsia="zh-CN"/>
        </w:rPr>
        <w:t>国有资本经营预算财政拨款支出决算表</w:t>
      </w:r>
    </w:p>
    <w:p w14:paraId="579B4DC3">
      <w:pPr>
        <w:pStyle w:val="6"/>
        <w:keepNext/>
        <w:keepLines/>
        <w:pageBreakBefore w:val="0"/>
        <w:widowControl w:val="0"/>
        <w:numPr>
          <w:ilvl w:val="0"/>
          <w:numId w:val="0"/>
        </w:numPr>
        <w:kinsoku/>
        <w:wordWrap/>
        <w:overflowPunct/>
        <w:topLinePunct w:val="0"/>
        <w:autoSpaceDE/>
        <w:autoSpaceDN/>
        <w:bidi w:val="0"/>
        <w:adjustRightInd/>
        <w:snapToGrid/>
        <w:spacing w:line="240" w:lineRule="auto"/>
        <w:ind w:left="0" w:leftChars="0" w:firstLine="640" w:firstLineChars="200"/>
        <w:textAlignment w:val="auto"/>
        <w:rPr>
          <w:rFonts w:hint="default" w:ascii="Times New Roman" w:hAnsi="Times New Roman" w:eastAsia="方正黑体_GBK" w:cs="Times New Roman"/>
          <w:b w:val="0"/>
          <w:bCs/>
          <w:lang w:val="en-US" w:eastAsia="zh-CN"/>
        </w:rPr>
      </w:pPr>
      <w:bookmarkStart w:id="96" w:name="_Toc15396631"/>
      <w:r>
        <w:rPr>
          <w:rFonts w:hint="default" w:ascii="Times New Roman" w:hAnsi="Times New Roman" w:eastAsia="方正黑体_GBK" w:cs="Times New Roman"/>
          <w:b w:val="0"/>
          <w:bCs/>
          <w:lang w:val="en-US" w:eastAsia="zh-CN"/>
        </w:rPr>
        <w:t>十三、</w:t>
      </w:r>
      <w:bookmarkEnd w:id="96"/>
      <w:r>
        <w:rPr>
          <w:rFonts w:hint="default" w:ascii="Times New Roman" w:hAnsi="Times New Roman" w:eastAsia="方正黑体_GBK" w:cs="Times New Roman"/>
          <w:b w:val="0"/>
          <w:bCs/>
          <w:lang w:val="en-US" w:eastAsia="zh-CN"/>
        </w:rPr>
        <w:t>财政拨款“三公”经费支出决算表</w:t>
      </w:r>
    </w:p>
    <w:p w14:paraId="15233DDE">
      <w:pPr>
        <w:rPr>
          <w:rFonts w:hint="default" w:ascii="Times New Roman" w:hAnsi="Times New Roman" w:cs="Times New Roman"/>
        </w:rPr>
      </w:pPr>
    </w:p>
    <w:sectPr>
      <w:footerReference r:id="rId6" w:type="first"/>
      <w:footerReference r:id="rId5" w:type="default"/>
      <w:pgSz w:w="11906" w:h="16838"/>
      <w:pgMar w:top="1440" w:right="1800" w:bottom="1440" w:left="1800" w:header="851" w:footer="992" w:gutter="0"/>
      <w:pgNumType w:fmt="numberInDash"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0AFF" w:usb1="00007843" w:usb2="00000001" w:usb3="00000000" w:csb0="400001BF" w:csb1="DFF7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0AFF" w:usb1="00007843" w:usb2="00000001" w:usb3="00000000" w:csb0="400001BF" w:csb1="DFF7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
    <w:altName w:val="Segoe Print"/>
    <w:panose1 w:val="00000000000000000000"/>
    <w:charset w:val="00"/>
    <w:family w:val="roman"/>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方正小标宋简体">
    <w:panose1 w:val="03000509000000000000"/>
    <w:charset w:val="86"/>
    <w:family w:val="script"/>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0BC845">
    <w:pPr>
      <w:pStyle w:val="11"/>
      <w:jc w:val="center"/>
    </w:pPr>
  </w:p>
  <w:p w14:paraId="6625387D">
    <w:pPr>
      <w:pStyle w:val="11"/>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28259B">
    <w:pPr>
      <w:pStyle w:val="11"/>
      <w:jc w:val="center"/>
    </w:pPr>
  </w:p>
  <w:p w14:paraId="62431F8C">
    <w:pPr>
      <w:pStyle w:val="11"/>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02B17B">
    <w:pPr>
      <w:pStyle w:val="11"/>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B9787D">
    <w:pPr>
      <w:pStyle w:val="12"/>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C765762"/>
    <w:multiLevelType w:val="singleLevel"/>
    <w:tmpl w:val="FC765762"/>
    <w:lvl w:ilvl="0" w:tentative="0">
      <w:start w:val="1"/>
      <w:numFmt w:val="decimal"/>
      <w:suff w:val="nothing"/>
      <w:lvlText w:val="%1."/>
      <w:lvlJc w:val="left"/>
      <w:pPr>
        <w:ind w:left="425" w:hanging="425"/>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8"/>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361C"/>
    <w:rsid w:val="000222C6"/>
    <w:rsid w:val="0002549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114E9B"/>
    <w:rsid w:val="00142216"/>
    <w:rsid w:val="00144D6A"/>
    <w:rsid w:val="0014729F"/>
    <w:rsid w:val="00157BAB"/>
    <w:rsid w:val="001654D1"/>
    <w:rsid w:val="001738A4"/>
    <w:rsid w:val="00174518"/>
    <w:rsid w:val="0018106D"/>
    <w:rsid w:val="001877A7"/>
    <w:rsid w:val="00191536"/>
    <w:rsid w:val="00196687"/>
    <w:rsid w:val="001C0962"/>
    <w:rsid w:val="001D7531"/>
    <w:rsid w:val="001E737D"/>
    <w:rsid w:val="001F0592"/>
    <w:rsid w:val="001F7506"/>
    <w:rsid w:val="002006CD"/>
    <w:rsid w:val="00202B36"/>
    <w:rsid w:val="00204B7A"/>
    <w:rsid w:val="00204CDE"/>
    <w:rsid w:val="0021101A"/>
    <w:rsid w:val="00220536"/>
    <w:rsid w:val="00235629"/>
    <w:rsid w:val="00260C38"/>
    <w:rsid w:val="002616C0"/>
    <w:rsid w:val="00265372"/>
    <w:rsid w:val="002662AA"/>
    <w:rsid w:val="00280496"/>
    <w:rsid w:val="00294DC9"/>
    <w:rsid w:val="00295495"/>
    <w:rsid w:val="002A31DE"/>
    <w:rsid w:val="002B2613"/>
    <w:rsid w:val="002D6D05"/>
    <w:rsid w:val="002F1818"/>
    <w:rsid w:val="002F567B"/>
    <w:rsid w:val="003216A9"/>
    <w:rsid w:val="00335A74"/>
    <w:rsid w:val="0036561B"/>
    <w:rsid w:val="0037013F"/>
    <w:rsid w:val="0037413C"/>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223DE"/>
    <w:rsid w:val="00434489"/>
    <w:rsid w:val="00437085"/>
    <w:rsid w:val="00443880"/>
    <w:rsid w:val="004464F4"/>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664BB"/>
    <w:rsid w:val="00566FFA"/>
    <w:rsid w:val="0057481D"/>
    <w:rsid w:val="0058486E"/>
    <w:rsid w:val="00585B33"/>
    <w:rsid w:val="0059014D"/>
    <w:rsid w:val="005B5C64"/>
    <w:rsid w:val="005C5337"/>
    <w:rsid w:val="005C6BD0"/>
    <w:rsid w:val="005D1C8B"/>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6343B"/>
    <w:rsid w:val="00664777"/>
    <w:rsid w:val="006748A4"/>
    <w:rsid w:val="00681A31"/>
    <w:rsid w:val="00683E73"/>
    <w:rsid w:val="006A0156"/>
    <w:rsid w:val="006A3141"/>
    <w:rsid w:val="006A5E34"/>
    <w:rsid w:val="006B2422"/>
    <w:rsid w:val="006B2B9A"/>
    <w:rsid w:val="006C1937"/>
    <w:rsid w:val="006F020C"/>
    <w:rsid w:val="007127B7"/>
    <w:rsid w:val="0071798E"/>
    <w:rsid w:val="007416B6"/>
    <w:rsid w:val="00746BD5"/>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348"/>
    <w:rsid w:val="008253BB"/>
    <w:rsid w:val="0083706E"/>
    <w:rsid w:val="008408F6"/>
    <w:rsid w:val="008423A5"/>
    <w:rsid w:val="00850625"/>
    <w:rsid w:val="00853718"/>
    <w:rsid w:val="00855221"/>
    <w:rsid w:val="00860645"/>
    <w:rsid w:val="00871F71"/>
    <w:rsid w:val="00872FD8"/>
    <w:rsid w:val="00875013"/>
    <w:rsid w:val="00885AF4"/>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8103C"/>
    <w:rsid w:val="00A91760"/>
    <w:rsid w:val="00A93B00"/>
    <w:rsid w:val="00A93C21"/>
    <w:rsid w:val="00AB64C9"/>
    <w:rsid w:val="00AC3C6A"/>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4940"/>
    <w:rsid w:val="00BC5361"/>
    <w:rsid w:val="00BC5460"/>
    <w:rsid w:val="00BC6B50"/>
    <w:rsid w:val="00BD0E25"/>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B4E70"/>
    <w:rsid w:val="00CC09B6"/>
    <w:rsid w:val="00CC666F"/>
    <w:rsid w:val="00CD1E3F"/>
    <w:rsid w:val="00CE44F6"/>
    <w:rsid w:val="00CE49DA"/>
    <w:rsid w:val="00CE7B61"/>
    <w:rsid w:val="00D00095"/>
    <w:rsid w:val="00D114F0"/>
    <w:rsid w:val="00D20620"/>
    <w:rsid w:val="00D254F7"/>
    <w:rsid w:val="00D26091"/>
    <w:rsid w:val="00D2685C"/>
    <w:rsid w:val="00D34E7C"/>
    <w:rsid w:val="00D35489"/>
    <w:rsid w:val="00D36AFE"/>
    <w:rsid w:val="00D51276"/>
    <w:rsid w:val="00D7035F"/>
    <w:rsid w:val="00D929DB"/>
    <w:rsid w:val="00DA634F"/>
    <w:rsid w:val="00DA65AC"/>
    <w:rsid w:val="00DB1913"/>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4633"/>
    <w:rsid w:val="00E568DF"/>
    <w:rsid w:val="00E64269"/>
    <w:rsid w:val="00E82267"/>
    <w:rsid w:val="00E853CE"/>
    <w:rsid w:val="00E867B6"/>
    <w:rsid w:val="00EA010F"/>
    <w:rsid w:val="00ED1B63"/>
    <w:rsid w:val="00ED3C1F"/>
    <w:rsid w:val="00ED4085"/>
    <w:rsid w:val="00ED420E"/>
    <w:rsid w:val="00ED6FBE"/>
    <w:rsid w:val="00EE2F57"/>
    <w:rsid w:val="00EF4C34"/>
    <w:rsid w:val="00EF77C6"/>
    <w:rsid w:val="00F05438"/>
    <w:rsid w:val="00F1361C"/>
    <w:rsid w:val="00F156F0"/>
    <w:rsid w:val="00F160C7"/>
    <w:rsid w:val="00F17821"/>
    <w:rsid w:val="00F2408F"/>
    <w:rsid w:val="00F240E9"/>
    <w:rsid w:val="00F36D8F"/>
    <w:rsid w:val="00F417B1"/>
    <w:rsid w:val="00F45853"/>
    <w:rsid w:val="00F602DF"/>
    <w:rsid w:val="00F754A1"/>
    <w:rsid w:val="00F81FD9"/>
    <w:rsid w:val="00F841AA"/>
    <w:rsid w:val="00F84A94"/>
    <w:rsid w:val="00F87E96"/>
    <w:rsid w:val="00FA23E8"/>
    <w:rsid w:val="00FD3CC1"/>
    <w:rsid w:val="00FF1E02"/>
    <w:rsid w:val="00FF30B4"/>
    <w:rsid w:val="012A5EC2"/>
    <w:rsid w:val="015975B8"/>
    <w:rsid w:val="01E23011"/>
    <w:rsid w:val="021A5896"/>
    <w:rsid w:val="02FEBE30"/>
    <w:rsid w:val="032064E7"/>
    <w:rsid w:val="03393105"/>
    <w:rsid w:val="04916F1E"/>
    <w:rsid w:val="04926F71"/>
    <w:rsid w:val="061E35DE"/>
    <w:rsid w:val="066E0107"/>
    <w:rsid w:val="068A3C77"/>
    <w:rsid w:val="06E710CA"/>
    <w:rsid w:val="06ED5AF7"/>
    <w:rsid w:val="06F31889"/>
    <w:rsid w:val="0765056A"/>
    <w:rsid w:val="07996F6E"/>
    <w:rsid w:val="07DFD8BA"/>
    <w:rsid w:val="08C7781A"/>
    <w:rsid w:val="09322AD0"/>
    <w:rsid w:val="09867E8F"/>
    <w:rsid w:val="09A60DC8"/>
    <w:rsid w:val="0A2032A3"/>
    <w:rsid w:val="0CA8290A"/>
    <w:rsid w:val="0D35B1ED"/>
    <w:rsid w:val="0D6C40D7"/>
    <w:rsid w:val="0E252C04"/>
    <w:rsid w:val="0E254B6B"/>
    <w:rsid w:val="0F295A08"/>
    <w:rsid w:val="0F98263C"/>
    <w:rsid w:val="0FFF1232"/>
    <w:rsid w:val="101860EC"/>
    <w:rsid w:val="101F47CC"/>
    <w:rsid w:val="10C055FF"/>
    <w:rsid w:val="111156C1"/>
    <w:rsid w:val="11694EBD"/>
    <w:rsid w:val="11772AA4"/>
    <w:rsid w:val="118107EC"/>
    <w:rsid w:val="12A762DD"/>
    <w:rsid w:val="12E24EE2"/>
    <w:rsid w:val="13195B69"/>
    <w:rsid w:val="13824654"/>
    <w:rsid w:val="13D50BC4"/>
    <w:rsid w:val="14495172"/>
    <w:rsid w:val="14B17F78"/>
    <w:rsid w:val="159E5049"/>
    <w:rsid w:val="165E0673"/>
    <w:rsid w:val="169E79F7"/>
    <w:rsid w:val="16B831D5"/>
    <w:rsid w:val="16BB723D"/>
    <w:rsid w:val="17E50567"/>
    <w:rsid w:val="186504BB"/>
    <w:rsid w:val="19042678"/>
    <w:rsid w:val="191915B7"/>
    <w:rsid w:val="19A445FC"/>
    <w:rsid w:val="1A98475D"/>
    <w:rsid w:val="1B486183"/>
    <w:rsid w:val="1B860A5A"/>
    <w:rsid w:val="1BAD4F97"/>
    <w:rsid w:val="1BE8440E"/>
    <w:rsid w:val="1CC6347C"/>
    <w:rsid w:val="1D155CEE"/>
    <w:rsid w:val="1D1638FE"/>
    <w:rsid w:val="1E210532"/>
    <w:rsid w:val="1E312DEB"/>
    <w:rsid w:val="1E696B3C"/>
    <w:rsid w:val="1E740ACF"/>
    <w:rsid w:val="1FB355EB"/>
    <w:rsid w:val="1FF35744"/>
    <w:rsid w:val="1FF6BC77"/>
    <w:rsid w:val="20286583"/>
    <w:rsid w:val="209B4FA7"/>
    <w:rsid w:val="212C3E51"/>
    <w:rsid w:val="2186353C"/>
    <w:rsid w:val="21A4660B"/>
    <w:rsid w:val="227B0BEC"/>
    <w:rsid w:val="23860B96"/>
    <w:rsid w:val="240371BF"/>
    <w:rsid w:val="241906BD"/>
    <w:rsid w:val="244F3473"/>
    <w:rsid w:val="24C97D99"/>
    <w:rsid w:val="2531393D"/>
    <w:rsid w:val="2548391D"/>
    <w:rsid w:val="25A718F0"/>
    <w:rsid w:val="25B032A3"/>
    <w:rsid w:val="25BB59F6"/>
    <w:rsid w:val="260F557C"/>
    <w:rsid w:val="26970054"/>
    <w:rsid w:val="26B172D2"/>
    <w:rsid w:val="277B51EB"/>
    <w:rsid w:val="281408E2"/>
    <w:rsid w:val="28697739"/>
    <w:rsid w:val="29AE18A7"/>
    <w:rsid w:val="29C37F84"/>
    <w:rsid w:val="29CC61D1"/>
    <w:rsid w:val="29FD04D3"/>
    <w:rsid w:val="2A2D4EC2"/>
    <w:rsid w:val="2B31595B"/>
    <w:rsid w:val="2BFF7BC6"/>
    <w:rsid w:val="2C8A61B5"/>
    <w:rsid w:val="2DF04E50"/>
    <w:rsid w:val="2E586DFA"/>
    <w:rsid w:val="2F040D46"/>
    <w:rsid w:val="2F2148C9"/>
    <w:rsid w:val="2F6B035B"/>
    <w:rsid w:val="2FAE5751"/>
    <w:rsid w:val="2FB1A395"/>
    <w:rsid w:val="2FD9A7D8"/>
    <w:rsid w:val="2FDBF714"/>
    <w:rsid w:val="306B6744"/>
    <w:rsid w:val="30AB6865"/>
    <w:rsid w:val="30E46F60"/>
    <w:rsid w:val="3139239E"/>
    <w:rsid w:val="319F7F4E"/>
    <w:rsid w:val="31F14A27"/>
    <w:rsid w:val="3273368E"/>
    <w:rsid w:val="32BD1EF1"/>
    <w:rsid w:val="32EB591A"/>
    <w:rsid w:val="3304709D"/>
    <w:rsid w:val="33435AC0"/>
    <w:rsid w:val="339A4871"/>
    <w:rsid w:val="33A773CB"/>
    <w:rsid w:val="33B57CD6"/>
    <w:rsid w:val="34012F1B"/>
    <w:rsid w:val="34360E17"/>
    <w:rsid w:val="349D6851"/>
    <w:rsid w:val="358D0F0B"/>
    <w:rsid w:val="363A7049"/>
    <w:rsid w:val="36AA5135"/>
    <w:rsid w:val="36BE0DA7"/>
    <w:rsid w:val="376B6AA6"/>
    <w:rsid w:val="376D39B2"/>
    <w:rsid w:val="37A367C3"/>
    <w:rsid w:val="37E16F03"/>
    <w:rsid w:val="37F53A3B"/>
    <w:rsid w:val="382F62A9"/>
    <w:rsid w:val="388C0E59"/>
    <w:rsid w:val="389B6C89"/>
    <w:rsid w:val="38D17360"/>
    <w:rsid w:val="38D469F0"/>
    <w:rsid w:val="39627CCD"/>
    <w:rsid w:val="397BAF1F"/>
    <w:rsid w:val="3A3B2C9B"/>
    <w:rsid w:val="3A6A7A6C"/>
    <w:rsid w:val="3AB24F6F"/>
    <w:rsid w:val="3AB79AF3"/>
    <w:rsid w:val="3AE834C0"/>
    <w:rsid w:val="3B750477"/>
    <w:rsid w:val="3B7EF35A"/>
    <w:rsid w:val="3B9FDB6C"/>
    <w:rsid w:val="3BF5BC2F"/>
    <w:rsid w:val="3C616C4D"/>
    <w:rsid w:val="3CEBA265"/>
    <w:rsid w:val="3CFB49AC"/>
    <w:rsid w:val="3D7A6E34"/>
    <w:rsid w:val="3D98207C"/>
    <w:rsid w:val="3DBE5819"/>
    <w:rsid w:val="3DEE7CF3"/>
    <w:rsid w:val="3E5A1BA6"/>
    <w:rsid w:val="3E740A63"/>
    <w:rsid w:val="3E78745D"/>
    <w:rsid w:val="3EA64DEB"/>
    <w:rsid w:val="3EE17838"/>
    <w:rsid w:val="3F55381A"/>
    <w:rsid w:val="3F7D5B4C"/>
    <w:rsid w:val="3F7F7599"/>
    <w:rsid w:val="3F827606"/>
    <w:rsid w:val="3FF4CAE0"/>
    <w:rsid w:val="3FF7B227"/>
    <w:rsid w:val="423544BC"/>
    <w:rsid w:val="425863FC"/>
    <w:rsid w:val="436112E1"/>
    <w:rsid w:val="43AC4C52"/>
    <w:rsid w:val="43CC351F"/>
    <w:rsid w:val="44E268DA"/>
    <w:rsid w:val="450D13D7"/>
    <w:rsid w:val="45506656"/>
    <w:rsid w:val="45E31539"/>
    <w:rsid w:val="462211FB"/>
    <w:rsid w:val="46821C9A"/>
    <w:rsid w:val="46A16022"/>
    <w:rsid w:val="46BB4E28"/>
    <w:rsid w:val="477737C9"/>
    <w:rsid w:val="486A6C7A"/>
    <w:rsid w:val="4910358D"/>
    <w:rsid w:val="4A627F82"/>
    <w:rsid w:val="4B0E749A"/>
    <w:rsid w:val="4B2477C4"/>
    <w:rsid w:val="4B4F25DA"/>
    <w:rsid w:val="4B524331"/>
    <w:rsid w:val="4BC82845"/>
    <w:rsid w:val="4BE068DB"/>
    <w:rsid w:val="4C0B44E0"/>
    <w:rsid w:val="4D577224"/>
    <w:rsid w:val="4DBF1CEB"/>
    <w:rsid w:val="4DDA26C7"/>
    <w:rsid w:val="4DF0007C"/>
    <w:rsid w:val="4E3917D8"/>
    <w:rsid w:val="4EAB630A"/>
    <w:rsid w:val="4ECE2238"/>
    <w:rsid w:val="4EED611E"/>
    <w:rsid w:val="4EF94AC3"/>
    <w:rsid w:val="4F247D92"/>
    <w:rsid w:val="4F833267"/>
    <w:rsid w:val="4F846A83"/>
    <w:rsid w:val="4FE9BD67"/>
    <w:rsid w:val="4FFB052F"/>
    <w:rsid w:val="50125E3D"/>
    <w:rsid w:val="502A1EA5"/>
    <w:rsid w:val="50884351"/>
    <w:rsid w:val="51C55131"/>
    <w:rsid w:val="53407165"/>
    <w:rsid w:val="53511372"/>
    <w:rsid w:val="537E6D0A"/>
    <w:rsid w:val="53AE40CE"/>
    <w:rsid w:val="53F74C96"/>
    <w:rsid w:val="54181E8F"/>
    <w:rsid w:val="545509EE"/>
    <w:rsid w:val="54A11E85"/>
    <w:rsid w:val="55170BA8"/>
    <w:rsid w:val="553218C9"/>
    <w:rsid w:val="567E1AA5"/>
    <w:rsid w:val="56AD4B11"/>
    <w:rsid w:val="56E47B74"/>
    <w:rsid w:val="57175D52"/>
    <w:rsid w:val="57BD3DD4"/>
    <w:rsid w:val="58D565A1"/>
    <w:rsid w:val="58ED5699"/>
    <w:rsid w:val="5AA61FA3"/>
    <w:rsid w:val="5ACC12DE"/>
    <w:rsid w:val="5ADD173D"/>
    <w:rsid w:val="5AF92295"/>
    <w:rsid w:val="5B250254"/>
    <w:rsid w:val="5BD57899"/>
    <w:rsid w:val="5BDD79E6"/>
    <w:rsid w:val="5BF561CA"/>
    <w:rsid w:val="5BFF5DFC"/>
    <w:rsid w:val="5C05719D"/>
    <w:rsid w:val="5CD71FC4"/>
    <w:rsid w:val="5D1F11B5"/>
    <w:rsid w:val="5D695134"/>
    <w:rsid w:val="5DAE1B18"/>
    <w:rsid w:val="5DE7D9E5"/>
    <w:rsid w:val="5E9568E2"/>
    <w:rsid w:val="5ECEC941"/>
    <w:rsid w:val="5F830B05"/>
    <w:rsid w:val="5FBF9FF3"/>
    <w:rsid w:val="5FCD4E2C"/>
    <w:rsid w:val="5FEF394A"/>
    <w:rsid w:val="5FF67715"/>
    <w:rsid w:val="602D6CC3"/>
    <w:rsid w:val="605D1356"/>
    <w:rsid w:val="61926DDD"/>
    <w:rsid w:val="61DA1F93"/>
    <w:rsid w:val="62BF3928"/>
    <w:rsid w:val="632223E3"/>
    <w:rsid w:val="63627211"/>
    <w:rsid w:val="63B3701E"/>
    <w:rsid w:val="63E55EE5"/>
    <w:rsid w:val="647F5392"/>
    <w:rsid w:val="64A82DBC"/>
    <w:rsid w:val="65E66580"/>
    <w:rsid w:val="66130838"/>
    <w:rsid w:val="664B1D71"/>
    <w:rsid w:val="664B4E8E"/>
    <w:rsid w:val="669A1B16"/>
    <w:rsid w:val="66BA2932"/>
    <w:rsid w:val="67177D85"/>
    <w:rsid w:val="67277B67"/>
    <w:rsid w:val="672C7CD4"/>
    <w:rsid w:val="67876CB8"/>
    <w:rsid w:val="67AA3209"/>
    <w:rsid w:val="68112A26"/>
    <w:rsid w:val="68D75A1D"/>
    <w:rsid w:val="698D0931"/>
    <w:rsid w:val="6A7FE5F3"/>
    <w:rsid w:val="6B053271"/>
    <w:rsid w:val="6BDD78B3"/>
    <w:rsid w:val="6C4A05C8"/>
    <w:rsid w:val="6C615D2A"/>
    <w:rsid w:val="6C8742B8"/>
    <w:rsid w:val="6CC87B57"/>
    <w:rsid w:val="6D392803"/>
    <w:rsid w:val="6DA560EA"/>
    <w:rsid w:val="6DBF5E93"/>
    <w:rsid w:val="6DFF077E"/>
    <w:rsid w:val="6E184B0E"/>
    <w:rsid w:val="6E3000AA"/>
    <w:rsid w:val="6E714EF0"/>
    <w:rsid w:val="6E7E3605"/>
    <w:rsid w:val="6E7FDCC7"/>
    <w:rsid w:val="6ED6A62E"/>
    <w:rsid w:val="6EE00B15"/>
    <w:rsid w:val="6EED7D49"/>
    <w:rsid w:val="6F2D6397"/>
    <w:rsid w:val="6F6FB3EB"/>
    <w:rsid w:val="6F8731EA"/>
    <w:rsid w:val="6F997ED1"/>
    <w:rsid w:val="6FCE6052"/>
    <w:rsid w:val="6FD57C00"/>
    <w:rsid w:val="6FEFFFD8"/>
    <w:rsid w:val="6FF5CC65"/>
    <w:rsid w:val="6FFB47EC"/>
    <w:rsid w:val="6FFF034A"/>
    <w:rsid w:val="70484440"/>
    <w:rsid w:val="708741CD"/>
    <w:rsid w:val="708C3591"/>
    <w:rsid w:val="70A703CB"/>
    <w:rsid w:val="70D8681E"/>
    <w:rsid w:val="712A28F1"/>
    <w:rsid w:val="715C0E4B"/>
    <w:rsid w:val="71992E7C"/>
    <w:rsid w:val="72233669"/>
    <w:rsid w:val="7270316B"/>
    <w:rsid w:val="72734D90"/>
    <w:rsid w:val="73160E6D"/>
    <w:rsid w:val="7332FE48"/>
    <w:rsid w:val="73520AC2"/>
    <w:rsid w:val="73AB61DA"/>
    <w:rsid w:val="73AD73D5"/>
    <w:rsid w:val="73B6EB34"/>
    <w:rsid w:val="73D43285"/>
    <w:rsid w:val="73FA497D"/>
    <w:rsid w:val="74234169"/>
    <w:rsid w:val="744731E5"/>
    <w:rsid w:val="74B60BDD"/>
    <w:rsid w:val="74BBD01D"/>
    <w:rsid w:val="74DA2B1D"/>
    <w:rsid w:val="74ED5379"/>
    <w:rsid w:val="75297601"/>
    <w:rsid w:val="75DEEEC2"/>
    <w:rsid w:val="75E32345"/>
    <w:rsid w:val="760F67F7"/>
    <w:rsid w:val="76E3355F"/>
    <w:rsid w:val="76FF5125"/>
    <w:rsid w:val="775D17E4"/>
    <w:rsid w:val="776F6FFA"/>
    <w:rsid w:val="778769C8"/>
    <w:rsid w:val="77A75DCA"/>
    <w:rsid w:val="77D45FB6"/>
    <w:rsid w:val="77DC22F5"/>
    <w:rsid w:val="783E271A"/>
    <w:rsid w:val="78616DE9"/>
    <w:rsid w:val="78E875D7"/>
    <w:rsid w:val="78F9553C"/>
    <w:rsid w:val="79086DAD"/>
    <w:rsid w:val="79D7FD79"/>
    <w:rsid w:val="79EE5BA4"/>
    <w:rsid w:val="7A244C3E"/>
    <w:rsid w:val="7A70182E"/>
    <w:rsid w:val="7A85177D"/>
    <w:rsid w:val="7A894339"/>
    <w:rsid w:val="7AD284E8"/>
    <w:rsid w:val="7AFF7572"/>
    <w:rsid w:val="7B6C7DFB"/>
    <w:rsid w:val="7B963516"/>
    <w:rsid w:val="7BBFBED0"/>
    <w:rsid w:val="7BC3E394"/>
    <w:rsid w:val="7C1F3737"/>
    <w:rsid w:val="7C907F65"/>
    <w:rsid w:val="7CBFC87B"/>
    <w:rsid w:val="7CFE0F48"/>
    <w:rsid w:val="7D272ABC"/>
    <w:rsid w:val="7D7EC23E"/>
    <w:rsid w:val="7E2D0162"/>
    <w:rsid w:val="7E3F39F1"/>
    <w:rsid w:val="7E8ADEBF"/>
    <w:rsid w:val="7EEF11D3"/>
    <w:rsid w:val="7EFE4840"/>
    <w:rsid w:val="7F0971A6"/>
    <w:rsid w:val="7F0C5FC9"/>
    <w:rsid w:val="7F1D62E7"/>
    <w:rsid w:val="7F3F679B"/>
    <w:rsid w:val="7F4514DB"/>
    <w:rsid w:val="7F4FC4EF"/>
    <w:rsid w:val="7F5E4D54"/>
    <w:rsid w:val="7F6E0135"/>
    <w:rsid w:val="7F79F205"/>
    <w:rsid w:val="7F9F6E3D"/>
    <w:rsid w:val="7FA30C79"/>
    <w:rsid w:val="7FA79C44"/>
    <w:rsid w:val="7FAF8ABF"/>
    <w:rsid w:val="7FB421BD"/>
    <w:rsid w:val="7FB7269E"/>
    <w:rsid w:val="7FC96657"/>
    <w:rsid w:val="7FDA9588"/>
    <w:rsid w:val="7FDF220F"/>
    <w:rsid w:val="7FEDC5F7"/>
    <w:rsid w:val="7FEDD9DE"/>
    <w:rsid w:val="7FF5890D"/>
    <w:rsid w:val="7FF93490"/>
    <w:rsid w:val="99FF2014"/>
    <w:rsid w:val="A6DD0D7F"/>
    <w:rsid w:val="ACFF4FBB"/>
    <w:rsid w:val="ADC6F725"/>
    <w:rsid w:val="B7CF06AB"/>
    <w:rsid w:val="B7CFA926"/>
    <w:rsid w:val="B7F8786B"/>
    <w:rsid w:val="BABB6AA1"/>
    <w:rsid w:val="BB2F4199"/>
    <w:rsid w:val="BCFFB442"/>
    <w:rsid w:val="BD079C78"/>
    <w:rsid w:val="BD733540"/>
    <w:rsid w:val="BF3735D5"/>
    <w:rsid w:val="BF7F09AC"/>
    <w:rsid w:val="BFD475C3"/>
    <w:rsid w:val="BFDE5EA6"/>
    <w:rsid w:val="CF6FC6F3"/>
    <w:rsid w:val="CFD3D3D7"/>
    <w:rsid w:val="CFDF1009"/>
    <w:rsid w:val="D7D7B16A"/>
    <w:rsid w:val="D8D6DB89"/>
    <w:rsid w:val="DB6F4CAB"/>
    <w:rsid w:val="DB777682"/>
    <w:rsid w:val="DD1FB521"/>
    <w:rsid w:val="DEFBFEAE"/>
    <w:rsid w:val="DF1F3B80"/>
    <w:rsid w:val="DF6F9789"/>
    <w:rsid w:val="DFE9BE81"/>
    <w:rsid w:val="DFFFA9E8"/>
    <w:rsid w:val="E5F4E9DC"/>
    <w:rsid w:val="E70FE695"/>
    <w:rsid w:val="EB2E368B"/>
    <w:rsid w:val="ECFED1BC"/>
    <w:rsid w:val="ED1D69BB"/>
    <w:rsid w:val="ED7FD312"/>
    <w:rsid w:val="EF2E1AC6"/>
    <w:rsid w:val="EF53993F"/>
    <w:rsid w:val="EF6FD633"/>
    <w:rsid w:val="EFBFB2F4"/>
    <w:rsid w:val="EFBFFA21"/>
    <w:rsid w:val="F2BEBCB8"/>
    <w:rsid w:val="F36FB518"/>
    <w:rsid w:val="F3DE1A04"/>
    <w:rsid w:val="F3F722E5"/>
    <w:rsid w:val="F4FBCD07"/>
    <w:rsid w:val="FA5F1E70"/>
    <w:rsid w:val="FA5FDB97"/>
    <w:rsid w:val="FB7F486A"/>
    <w:rsid w:val="FBFF5B2E"/>
    <w:rsid w:val="FD7FFE2B"/>
    <w:rsid w:val="FDEE196B"/>
    <w:rsid w:val="FDFE6575"/>
    <w:rsid w:val="FEDFDDC2"/>
    <w:rsid w:val="FEED32F6"/>
    <w:rsid w:val="FEF781DD"/>
    <w:rsid w:val="FF3F7E3F"/>
    <w:rsid w:val="FFBA12D7"/>
    <w:rsid w:val="FFCBD314"/>
    <w:rsid w:val="FFDFF91C"/>
    <w:rsid w:val="FFDFFAEE"/>
    <w:rsid w:val="FFEF6777"/>
    <w:rsid w:val="FFF9B57B"/>
    <w:rsid w:val="FFFD61D9"/>
    <w:rsid w:val="FFFD8F59"/>
    <w:rsid w:val="FFFF2BB1"/>
    <w:rsid w:val="FFFFB04D"/>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5">
    <w:name w:val="heading 1"/>
    <w:basedOn w:val="1"/>
    <w:next w:val="1"/>
    <w:link w:val="28"/>
    <w:qFormat/>
    <w:uiPriority w:val="9"/>
    <w:pPr>
      <w:keepNext/>
      <w:keepLines/>
      <w:spacing w:before="340" w:after="330" w:line="578" w:lineRule="auto"/>
      <w:outlineLvl w:val="0"/>
    </w:pPr>
    <w:rPr>
      <w:b/>
      <w:bCs/>
      <w:kern w:val="44"/>
      <w:sz w:val="44"/>
      <w:szCs w:val="44"/>
    </w:rPr>
  </w:style>
  <w:style w:type="paragraph" w:styleId="6">
    <w:name w:val="heading 2"/>
    <w:basedOn w:val="1"/>
    <w:next w:val="1"/>
    <w:link w:val="29"/>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7">
    <w:name w:val="heading 3"/>
    <w:basedOn w:val="1"/>
    <w:next w:val="1"/>
    <w:link w:val="32"/>
    <w:unhideWhenUsed/>
    <w:qFormat/>
    <w:uiPriority w:val="9"/>
    <w:pPr>
      <w:keepNext/>
      <w:keepLines/>
      <w:spacing w:before="260" w:after="260" w:line="416" w:lineRule="auto"/>
      <w:outlineLvl w:val="2"/>
    </w:pPr>
    <w:rPr>
      <w:b/>
      <w:bCs/>
      <w:sz w:val="32"/>
      <w:szCs w:val="32"/>
    </w:rPr>
  </w:style>
  <w:style w:type="character" w:default="1" w:styleId="16">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2">
    <w:name w:val="footnote text"/>
    <w:basedOn w:val="1"/>
    <w:next w:val="3"/>
    <w:semiHidden/>
    <w:qFormat/>
    <w:uiPriority w:val="0"/>
    <w:pPr>
      <w:snapToGrid w:val="0"/>
      <w:jc w:val="left"/>
    </w:pPr>
    <w:rPr>
      <w:sz w:val="18"/>
      <w:szCs w:val="18"/>
    </w:rPr>
  </w:style>
  <w:style w:type="paragraph" w:styleId="3">
    <w:name w:val="Body Text First Indent 2"/>
    <w:basedOn w:val="4"/>
    <w:unhideWhenUsed/>
    <w:qFormat/>
    <w:uiPriority w:val="99"/>
    <w:pPr>
      <w:ind w:firstLine="420" w:firstLineChars="200"/>
    </w:pPr>
  </w:style>
  <w:style w:type="paragraph" w:styleId="4">
    <w:name w:val="Body Text Indent"/>
    <w:basedOn w:val="1"/>
    <w:next w:val="3"/>
    <w:qFormat/>
    <w:uiPriority w:val="0"/>
    <w:pPr>
      <w:spacing w:after="120"/>
      <w:ind w:left="200" w:leftChars="200"/>
    </w:pPr>
    <w:rPr>
      <w:rFonts w:ascii="仿宋_GB2312"/>
      <w:szCs w:val="32"/>
    </w:rPr>
  </w:style>
  <w:style w:type="paragraph" w:styleId="8">
    <w:name w:val="Body Text"/>
    <w:basedOn w:val="1"/>
    <w:link w:val="25"/>
    <w:qFormat/>
    <w:uiPriority w:val="99"/>
    <w:pPr>
      <w:spacing w:beforeLines="30"/>
    </w:pPr>
    <w:rPr>
      <w:rFonts w:ascii="仿宋_GB2312" w:eastAsia="仿宋_GB2312"/>
      <w:kern w:val="0"/>
      <w:sz w:val="30"/>
    </w:rPr>
  </w:style>
  <w:style w:type="paragraph" w:styleId="9">
    <w:name w:val="toc 3"/>
    <w:basedOn w:val="1"/>
    <w:next w:val="1"/>
    <w:unhideWhenUsed/>
    <w:qFormat/>
    <w:uiPriority w:val="39"/>
    <w:pPr>
      <w:tabs>
        <w:tab w:val="right" w:leader="dot" w:pos="8296"/>
      </w:tabs>
      <w:ind w:left="840" w:leftChars="400"/>
    </w:pPr>
  </w:style>
  <w:style w:type="paragraph" w:styleId="10">
    <w:name w:val="Balloon Text"/>
    <w:basedOn w:val="1"/>
    <w:link w:val="31"/>
    <w:semiHidden/>
    <w:unhideWhenUsed/>
    <w:qFormat/>
    <w:uiPriority w:val="99"/>
    <w:rPr>
      <w:sz w:val="18"/>
      <w:szCs w:val="18"/>
    </w:rPr>
  </w:style>
  <w:style w:type="paragraph" w:styleId="11">
    <w:name w:val="footer"/>
    <w:basedOn w:val="1"/>
    <w:link w:val="23"/>
    <w:qFormat/>
    <w:uiPriority w:val="99"/>
    <w:pPr>
      <w:tabs>
        <w:tab w:val="center" w:pos="4153"/>
        <w:tab w:val="right" w:pos="8306"/>
      </w:tabs>
      <w:snapToGrid w:val="0"/>
      <w:jc w:val="left"/>
    </w:pPr>
    <w:rPr>
      <w:rFonts w:ascii="Calibri" w:hAnsi="Calibri"/>
      <w:kern w:val="0"/>
      <w:sz w:val="18"/>
      <w:szCs w:val="18"/>
    </w:rPr>
  </w:style>
  <w:style w:type="paragraph" w:styleId="12">
    <w:name w:val="header"/>
    <w:basedOn w:val="1"/>
    <w:link w:val="21"/>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3">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4">
    <w:name w:val="toc 2"/>
    <w:basedOn w:val="1"/>
    <w:next w:val="1"/>
    <w:unhideWhenUsed/>
    <w:qFormat/>
    <w:uiPriority w:val="39"/>
    <w:pPr>
      <w:tabs>
        <w:tab w:val="right" w:leader="dot" w:pos="8296"/>
      </w:tabs>
      <w:ind w:left="420" w:leftChars="200"/>
    </w:pPr>
  </w:style>
  <w:style w:type="character" w:styleId="17">
    <w:name w:val="Strong"/>
    <w:basedOn w:val="16"/>
    <w:qFormat/>
    <w:uiPriority w:val="99"/>
    <w:rPr>
      <w:b/>
    </w:rPr>
  </w:style>
  <w:style w:type="character" w:styleId="18">
    <w:name w:val="Hyperlink"/>
    <w:basedOn w:val="16"/>
    <w:unhideWhenUsed/>
    <w:qFormat/>
    <w:uiPriority w:val="99"/>
    <w:rPr>
      <w:color w:val="0000FF" w:themeColor="hyperlink"/>
      <w:u w:val="single"/>
      <w14:textFill>
        <w14:solidFill>
          <w14:schemeClr w14:val="hlink"/>
        </w14:solidFill>
      </w14:textFill>
    </w:rPr>
  </w:style>
  <w:style w:type="paragraph" w:customStyle="1" w:styleId="19">
    <w:name w:val="标题 5（有编号）（绿盟科技）"/>
    <w:next w:val="1"/>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character" w:customStyle="1" w:styleId="20">
    <w:name w:val="Header Char"/>
    <w:basedOn w:val="16"/>
    <w:semiHidden/>
    <w:qFormat/>
    <w:uiPriority w:val="99"/>
    <w:rPr>
      <w:rFonts w:ascii="Times New Roman" w:hAnsi="Times New Roman"/>
      <w:sz w:val="18"/>
      <w:szCs w:val="18"/>
    </w:rPr>
  </w:style>
  <w:style w:type="character" w:customStyle="1" w:styleId="21">
    <w:name w:val="页眉 Char"/>
    <w:link w:val="12"/>
    <w:semiHidden/>
    <w:qFormat/>
    <w:locked/>
    <w:uiPriority w:val="99"/>
    <w:rPr>
      <w:sz w:val="18"/>
    </w:rPr>
  </w:style>
  <w:style w:type="character" w:customStyle="1" w:styleId="22">
    <w:name w:val="Footer Char"/>
    <w:basedOn w:val="16"/>
    <w:semiHidden/>
    <w:qFormat/>
    <w:uiPriority w:val="99"/>
    <w:rPr>
      <w:rFonts w:ascii="Times New Roman" w:hAnsi="Times New Roman"/>
      <w:sz w:val="18"/>
      <w:szCs w:val="18"/>
    </w:rPr>
  </w:style>
  <w:style w:type="character" w:customStyle="1" w:styleId="23">
    <w:name w:val="页脚 Char"/>
    <w:link w:val="11"/>
    <w:qFormat/>
    <w:locked/>
    <w:uiPriority w:val="99"/>
    <w:rPr>
      <w:sz w:val="18"/>
    </w:rPr>
  </w:style>
  <w:style w:type="character" w:customStyle="1" w:styleId="24">
    <w:name w:val="Body Text Char"/>
    <w:basedOn w:val="16"/>
    <w:semiHidden/>
    <w:qFormat/>
    <w:uiPriority w:val="99"/>
    <w:rPr>
      <w:rFonts w:ascii="Times New Roman" w:hAnsi="Times New Roman"/>
      <w:szCs w:val="24"/>
    </w:rPr>
  </w:style>
  <w:style w:type="character" w:customStyle="1" w:styleId="25">
    <w:name w:val="正文文本 Char"/>
    <w:link w:val="8"/>
    <w:qFormat/>
    <w:locked/>
    <w:uiPriority w:val="99"/>
    <w:rPr>
      <w:rFonts w:ascii="仿宋_GB2312" w:hAnsi="Times New Roman" w:eastAsia="仿宋_GB2312"/>
      <w:sz w:val="24"/>
    </w:rPr>
  </w:style>
  <w:style w:type="paragraph" w:customStyle="1" w:styleId="26">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7">
    <w:name w:val="List Paragraph"/>
    <w:basedOn w:val="1"/>
    <w:qFormat/>
    <w:uiPriority w:val="34"/>
    <w:pPr>
      <w:ind w:firstLine="420" w:firstLineChars="200"/>
    </w:pPr>
  </w:style>
  <w:style w:type="character" w:customStyle="1" w:styleId="28">
    <w:name w:val="标题 1 Char"/>
    <w:basedOn w:val="16"/>
    <w:link w:val="5"/>
    <w:qFormat/>
    <w:uiPriority w:val="9"/>
    <w:rPr>
      <w:rFonts w:ascii="Times New Roman" w:hAnsi="Times New Roman"/>
      <w:b/>
      <w:bCs/>
      <w:kern w:val="44"/>
      <w:sz w:val="44"/>
      <w:szCs w:val="44"/>
    </w:rPr>
  </w:style>
  <w:style w:type="character" w:customStyle="1" w:styleId="29">
    <w:name w:val="标题 2 Char"/>
    <w:basedOn w:val="16"/>
    <w:link w:val="6"/>
    <w:qFormat/>
    <w:uiPriority w:val="9"/>
    <w:rPr>
      <w:rFonts w:asciiTheme="majorHAnsi" w:hAnsiTheme="majorHAnsi" w:eastAsiaTheme="majorEastAsia" w:cstheme="majorBidi"/>
      <w:b/>
      <w:bCs/>
      <w:kern w:val="2"/>
      <w:sz w:val="32"/>
      <w:szCs w:val="32"/>
    </w:rPr>
  </w:style>
  <w:style w:type="paragraph" w:customStyle="1" w:styleId="30">
    <w:name w:val="TOC 标题1"/>
    <w:basedOn w:val="5"/>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1">
    <w:name w:val="批注框文本 Char"/>
    <w:basedOn w:val="16"/>
    <w:link w:val="10"/>
    <w:semiHidden/>
    <w:qFormat/>
    <w:uiPriority w:val="99"/>
    <w:rPr>
      <w:rFonts w:ascii="Times New Roman" w:hAnsi="Times New Roman"/>
      <w:kern w:val="2"/>
      <w:sz w:val="18"/>
      <w:szCs w:val="18"/>
    </w:rPr>
  </w:style>
  <w:style w:type="character" w:customStyle="1" w:styleId="32">
    <w:name w:val="标题 3 Char"/>
    <w:basedOn w:val="16"/>
    <w:link w:val="7"/>
    <w:qFormat/>
    <w:uiPriority w:val="9"/>
    <w:rPr>
      <w:rFonts w:ascii="Times New Roman" w:hAnsi="Times New Roman"/>
      <w:b/>
      <w:bCs/>
      <w:kern w:val="2"/>
      <w:sz w:val="32"/>
      <w:szCs w:val="32"/>
    </w:rPr>
  </w:style>
  <w:style w:type="paragraph" w:customStyle="1" w:styleId="33">
    <w:name w:val="TOC 标题2"/>
    <w:basedOn w:val="5"/>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34">
    <w:name w:val="四号正文"/>
    <w:basedOn w:val="1"/>
    <w:qFormat/>
    <w:uiPriority w:val="0"/>
    <w:pPr>
      <w:spacing w:line="360" w:lineRule="auto"/>
    </w:pPr>
    <w:rPr>
      <w:rFonts w:ascii="??" w:hAnsi="??"/>
      <w:color w:val="000000"/>
      <w:kern w:val="0"/>
      <w:sz w:val="28"/>
      <w:szCs w:val="21"/>
      <w:lang w:val="zh-CN"/>
    </w:rPr>
  </w:style>
</w:styles>
</file>

<file path=word/_rels/document.xml.rels><?xml version="1.0" encoding="UTF-8" standalone="yes"?>
<Relationships xmlns="http://schemas.openxmlformats.org/package/2006/relationships"><Relationship Id="rId9" Type="http://schemas.openxmlformats.org/officeDocument/2006/relationships/chart" Target="charts/chart2.xml"/><Relationship Id="rId8" Type="http://schemas.openxmlformats.org/officeDocument/2006/relationships/chart" Target="charts/chart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hart" Target="charts/chart7.xml"/><Relationship Id="rId13" Type="http://schemas.openxmlformats.org/officeDocument/2006/relationships/chart" Target="charts/chart6.xml"/><Relationship Id="rId12" Type="http://schemas.openxmlformats.org/officeDocument/2006/relationships/chart" Target="charts/chart5.xml"/><Relationship Id="rId11" Type="http://schemas.openxmlformats.org/officeDocument/2006/relationships/chart" Target="charts/chart4.xml"/><Relationship Id="rId10" Type="http://schemas.openxmlformats.org/officeDocument/2006/relationships/chart" Target="charts/chart3.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package" Target="../embeddings/Workbook2.xlsx"/></Relationships>
</file>

<file path=word/charts/_rels/chart2.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package" Target="../embeddings/Workbook3.xlsx"/></Relationships>
</file>

<file path=word/charts/_rels/chart3.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package" Target="../embeddings/Workbook4.xlsx"/></Relationships>
</file>

<file path=word/charts/_rels/chart4.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package" Target="../embeddings/Workbook5.xlsx"/></Relationships>
</file>

<file path=word/charts/_rels/chart5.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package" Target="../embeddings/Workbook6.xlsx"/></Relationships>
</file>

<file path=word/charts/_rels/chart6.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package" Target="../embeddings/Workbook1.xlsx"/></Relationships>
</file>

<file path=word/charts/_rels/chart7.xml.rels><?xml version="1.0" encoding="UTF-8" standalone="yes"?>
<Relationships xmlns="http://schemas.openxmlformats.org/package/2006/relationships"><Relationship Id="rId3" Type="http://schemas.microsoft.com/office/2011/relationships/chartColorStyle" Target="colors7.xml"/><Relationship Id="rId2" Type="http://schemas.microsoft.com/office/2011/relationships/chartStyle" Target="style7.xml"/><Relationship Id="rId1" Type="http://schemas.openxmlformats.org/officeDocument/2006/relationships/package" Target="../embeddings/Workbook7.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680" b="1" i="0" u="none" strike="noStrike" kern="1200" baseline="0">
                <a:solidFill>
                  <a:schemeClr val="tx1">
                    <a:lumMod val="75000"/>
                    <a:lumOff val="25000"/>
                  </a:schemeClr>
                </a:solidFill>
                <a:latin typeface="+mn-lt"/>
                <a:ea typeface="+mn-ea"/>
                <a:cs typeface="+mn-cs"/>
              </a:defRPr>
            </a:pPr>
            <a:r>
              <a:rPr sz="1680"/>
              <a:t>单位（万元）</a:t>
            </a:r>
            <a:endParaRPr sz="1680"/>
          </a:p>
        </c:rich>
      </c:tx>
      <c:layout/>
      <c:overlay val="0"/>
      <c:spPr>
        <a:noFill/>
        <a:ln>
          <a:noFill/>
        </a:ln>
        <a:effectLst/>
      </c:spPr>
    </c:title>
    <c:autoTitleDeleted val="0"/>
    <c:plotArea>
      <c:layout>
        <c:manualLayout>
          <c:layoutTarget val="inner"/>
          <c:xMode val="edge"/>
          <c:yMode val="edge"/>
          <c:x val="0.0261562239923909"/>
          <c:y val="0.198703026272032"/>
          <c:w val="0.947687552015218"/>
          <c:h val="0.717559028932491"/>
        </c:manualLayout>
      </c:layout>
      <c:barChart>
        <c:barDir val="col"/>
        <c:grouping val="clustered"/>
        <c:varyColors val="0"/>
        <c:ser>
          <c:idx val="0"/>
          <c:order val="0"/>
          <c:tx>
            <c:strRef>
              <c:f>Sheet1!$B$1</c:f>
              <c:strCache>
                <c:ptCount val="1"/>
                <c:pt idx="0">
                  <c:v>收入</c:v>
                </c:pt>
              </c:strCache>
            </c:strRef>
          </c:tx>
          <c:spPr>
            <a:solidFill>
              <a:schemeClr val="accent1"/>
            </a:solidFill>
            <a:ln>
              <a:noFill/>
            </a:ln>
            <a:effectLst/>
          </c:spPr>
          <c:invertIfNegative val="0"/>
          <c:dLbls>
            <c:dLbl>
              <c:idx val="1"/>
              <c:layout>
                <c:manualLayout>
                  <c:x val="-0.098823053137548"/>
                  <c:y val="-0.0015006845464091"/>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14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2024年度</c:v>
                </c:pt>
                <c:pt idx="1">
                  <c:v>2023年度</c:v>
                </c:pt>
              </c:strCache>
            </c:strRef>
          </c:cat>
          <c:val>
            <c:numRef>
              <c:f>Sheet1!$B$2:$B$3</c:f>
              <c:numCache>
                <c:formatCode>General</c:formatCode>
                <c:ptCount val="2"/>
                <c:pt idx="0">
                  <c:v>50879.82</c:v>
                </c:pt>
                <c:pt idx="1" c:formatCode="#,##0.00">
                  <c:v>38306.69</c:v>
                </c:pt>
              </c:numCache>
            </c:numRef>
          </c:val>
        </c:ser>
        <c:ser>
          <c:idx val="1"/>
          <c:order val="1"/>
          <c:tx>
            <c:strRef>
              <c:f>Sheet1!$C$1</c:f>
              <c:strCache>
                <c:ptCount val="1"/>
                <c:pt idx="0">
                  <c:v>支出</c:v>
                </c:pt>
              </c:strCache>
            </c:strRef>
          </c:tx>
          <c:spPr>
            <a:solidFill>
              <a:schemeClr val="accent2"/>
            </a:solidFill>
            <a:ln>
              <a:noFill/>
            </a:ln>
            <a:effectLst/>
          </c:spPr>
          <c:invertIfNegative val="0"/>
          <c:dLbls>
            <c:dLbl>
              <c:idx val="0"/>
              <c:layout>
                <c:manualLayout>
                  <c:x val="0.114222717155956"/>
                  <c:y val="0.00849898410518501"/>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14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2024年度</c:v>
                </c:pt>
                <c:pt idx="1">
                  <c:v>2023年度</c:v>
                </c:pt>
              </c:strCache>
            </c:strRef>
          </c:cat>
          <c:val>
            <c:numRef>
              <c:f>Sheet1!$C$2:$C$3</c:f>
              <c:numCache>
                <c:formatCode>General</c:formatCode>
                <c:ptCount val="2"/>
                <c:pt idx="0">
                  <c:v>50826.98</c:v>
                </c:pt>
                <c:pt idx="1" c:formatCode="#,##0.00">
                  <c:v>38306.69</c:v>
                </c:pt>
              </c:numCache>
            </c:numRef>
          </c:val>
        </c:ser>
        <c:ser>
          <c:idx val="2"/>
          <c:order val="2"/>
          <c:tx>
            <c:strRef>
              <c:f>Sheet1!#REF!</c:f>
              <c:strCache>
                <c:ptCount val="1"/>
                <c:pt idx="0">
                  <c:v/>
                </c:pt>
              </c:strCache>
            </c:strRef>
          </c:tx>
          <c:spPr>
            <a:solidFill>
              <a:schemeClr val="accent3"/>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4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2024年度</c:v>
                </c:pt>
                <c:pt idx="1">
                  <c:v>2023年度</c:v>
                </c:pt>
              </c:strCache>
            </c:strRef>
          </c:cat>
          <c:val>
            <c:numRef>
              <c:f>Sheet1!#REF!</c:f>
              <c:numCache>
                <c:formatCode>General</c:formatCode>
                <c:ptCount val="1"/>
                <c:pt idx="0">
                  <c:v>1</c:v>
                </c:pt>
              </c:numCache>
            </c:numRef>
          </c:val>
        </c:ser>
        <c:dLbls>
          <c:showLegendKey val="0"/>
          <c:showVal val="1"/>
          <c:showCatName val="0"/>
          <c:showSerName val="0"/>
          <c:showPercent val="0"/>
          <c:showBubbleSize val="0"/>
        </c:dLbls>
        <c:gapWidth val="150"/>
        <c:overlap val="-25"/>
        <c:axId val="56848095"/>
        <c:axId val="924208323"/>
      </c:barChart>
      <c:catAx>
        <c:axId val="56848095"/>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1400" b="0" i="0" u="none" strike="noStrike" kern="1200" baseline="0">
                <a:solidFill>
                  <a:schemeClr val="tx1">
                    <a:lumMod val="65000"/>
                    <a:lumOff val="35000"/>
                  </a:schemeClr>
                </a:solidFill>
                <a:latin typeface="+mn-lt"/>
                <a:ea typeface="+mn-ea"/>
                <a:cs typeface="+mn-cs"/>
              </a:defRPr>
            </a:pPr>
          </a:p>
        </c:txPr>
        <c:crossAx val="924208323"/>
        <c:crosses val="autoZero"/>
        <c:auto val="1"/>
        <c:lblAlgn val="ctr"/>
        <c:lblOffset val="100"/>
        <c:noMultiLvlLbl val="0"/>
      </c:catAx>
      <c:valAx>
        <c:axId val="924208323"/>
        <c:scaling>
          <c:orientation val="minMax"/>
        </c:scaling>
        <c:delete val="1"/>
        <c:axPos val="l"/>
        <c:numFmt formatCode="General" sourceLinked="1"/>
        <c:majorTickMark val="none"/>
        <c:minorTickMark val="none"/>
        <c:tickLblPos val="nextTo"/>
        <c:txPr>
          <a:bodyPr rot="-60000000" spcFirstLastPara="0" vertOverflow="ellipsis" vert="horz" wrap="square" anchor="ctr" anchorCtr="1"/>
          <a:lstStyle/>
          <a:p>
            <a:pPr>
              <a:defRPr lang="zh-CN" sz="1400" b="0" i="0" u="none" strike="noStrike" kern="1200" baseline="0">
                <a:solidFill>
                  <a:schemeClr val="tx1">
                    <a:lumMod val="65000"/>
                    <a:lumOff val="35000"/>
                  </a:schemeClr>
                </a:solidFill>
                <a:latin typeface="+mn-lt"/>
                <a:ea typeface="+mn-ea"/>
                <a:cs typeface="+mn-cs"/>
              </a:defRPr>
            </a:pPr>
          </a:p>
        </c:txPr>
        <c:crossAx val="56848095"/>
        <c:crosses val="autoZero"/>
        <c:crossBetween val="between"/>
      </c:valAx>
      <c:spPr>
        <a:noFill/>
        <a:ln>
          <a:noFill/>
        </a:ln>
        <a:effectLst/>
      </c:spPr>
    </c:plotArea>
    <c:legend>
      <c:legendPos val="t"/>
      <c:legendEntry>
        <c:idx val="0"/>
        <c:txPr>
          <a:bodyPr rot="0" spcFirstLastPara="0" vertOverflow="ellipsis" vert="horz" wrap="square" anchor="ctr" anchorCtr="1"/>
          <a:lstStyle/>
          <a:p>
            <a:pPr>
              <a:defRPr lang="zh-CN" sz="1400" b="0" i="0" u="none" strike="noStrike" kern="1200" baseline="0">
                <a:solidFill>
                  <a:schemeClr val="tx1">
                    <a:lumMod val="65000"/>
                    <a:lumOff val="35000"/>
                  </a:schemeClr>
                </a:solidFill>
                <a:latin typeface="+mn-lt"/>
                <a:ea typeface="+mn-ea"/>
                <a:cs typeface="+mn-cs"/>
              </a:defRPr>
            </a:pPr>
          </a:p>
        </c:txPr>
      </c:legendEntry>
      <c:legendEntry>
        <c:idx val="1"/>
        <c:txPr>
          <a:bodyPr rot="0" spcFirstLastPara="0" vertOverflow="ellipsis" vert="horz" wrap="square" anchor="ctr" anchorCtr="1"/>
          <a:lstStyle/>
          <a:p>
            <a:pPr>
              <a:defRPr lang="zh-CN" sz="1400" b="0" i="0" u="none" strike="noStrike" kern="1200" baseline="0">
                <a:solidFill>
                  <a:schemeClr val="tx1">
                    <a:lumMod val="65000"/>
                    <a:lumOff val="35000"/>
                  </a:schemeClr>
                </a:solidFill>
                <a:latin typeface="+mn-lt"/>
                <a:ea typeface="+mn-ea"/>
                <a:cs typeface="+mn-cs"/>
              </a:defRPr>
            </a:pPr>
          </a:p>
        </c:txPr>
      </c:legendEntry>
      <c:legendEntry>
        <c:idx val="2"/>
        <c:delete val="1"/>
      </c:legendEntry>
      <c:layout/>
      <c:overlay val="0"/>
      <c:spPr>
        <a:noFill/>
        <a:ln>
          <a:noFill/>
        </a:ln>
        <a:effectLst/>
      </c:spPr>
      <c:txPr>
        <a:bodyPr rot="0" spcFirstLastPara="0" vertOverflow="ellipsis" vert="horz" wrap="square" anchor="ctr" anchorCtr="1"/>
        <a:lstStyle/>
        <a:p>
          <a:pPr>
            <a:defRPr lang="zh-CN" sz="14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d1714c0e-f6dc-4aae-9bc5-1606e0619bb0}"/>
      </c:ext>
    </c:extLst>
  </c:chart>
  <c:spPr>
    <a:solidFill>
      <a:schemeClr val="bg1"/>
    </a:solidFill>
    <a:ln w="9525" cap="flat" cmpd="sng" algn="ctr">
      <a:solidFill>
        <a:schemeClr val="tx1">
          <a:lumMod val="15000"/>
          <a:lumOff val="85000"/>
        </a:schemeClr>
      </a:solidFill>
      <a:round/>
    </a:ln>
    <a:effectLst/>
  </c:spPr>
  <c:txPr>
    <a:bodyPr/>
    <a:lstStyle/>
    <a:p>
      <a:pPr>
        <a:defRPr lang="zh-CN" sz="1400"/>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40" b="1" i="0" u="none" strike="noStrike" kern="1200" baseline="0">
              <a:solidFill>
                <a:schemeClr val="tx1">
                  <a:lumMod val="75000"/>
                  <a:lumOff val="25000"/>
                </a:schemeClr>
              </a:solidFill>
              <a:latin typeface="+mn-lt"/>
              <a:ea typeface="+mn-ea"/>
              <a:cs typeface="+mn-cs"/>
            </a:defRPr>
          </a:pPr>
        </a:p>
      </c:txPr>
    </c:title>
    <c:autoTitleDeleted val="0"/>
    <c:plotArea>
      <c:layout>
        <c:manualLayout>
          <c:layoutTarget val="inner"/>
          <c:xMode val="edge"/>
          <c:yMode val="edge"/>
          <c:x val="0.0413074712643678"/>
          <c:y val="0.240165289256198"/>
          <c:w val="0.4790469348659"/>
          <c:h val="0.661322314049587"/>
        </c:manualLayout>
      </c:layout>
      <c:pieChart>
        <c:varyColors val="1"/>
        <c:ser>
          <c:idx val="0"/>
          <c:order val="0"/>
          <c:tx>
            <c:strRef>
              <c:f>Sheet1!$B$1</c:f>
              <c:strCache>
                <c:ptCount val="1"/>
                <c:pt idx="0">
                  <c:v>本年收入</c:v>
                </c:pt>
              </c:strCache>
            </c:strRef>
          </c:tx>
          <c:spPr/>
          <c:explosion val="0"/>
          <c:dPt>
            <c:idx val="0"/>
            <c:bubble3D val="0"/>
            <c:spPr>
              <a:solidFill>
                <a:schemeClr val="accent1"/>
              </a:solidFill>
              <a:ln>
                <a:solidFill>
                  <a:schemeClr val="bg1"/>
                </a:solidFill>
              </a:ln>
              <a:effectLst/>
            </c:spPr>
          </c:dPt>
          <c:dPt>
            <c:idx val="1"/>
            <c:bubble3D val="0"/>
            <c:spPr>
              <a:solidFill>
                <a:schemeClr val="accent2"/>
              </a:solidFill>
              <a:ln>
                <a:solidFill>
                  <a:schemeClr val="bg1"/>
                </a:solidFill>
              </a:ln>
              <a:effectLst/>
            </c:spPr>
          </c:dPt>
          <c:dPt>
            <c:idx val="2"/>
            <c:bubble3D val="0"/>
            <c:spPr>
              <a:solidFill>
                <a:schemeClr val="accent3"/>
              </a:solidFill>
              <a:ln>
                <a:solidFill>
                  <a:schemeClr val="bg1"/>
                </a:solidFill>
              </a:ln>
              <a:effectLst/>
            </c:spPr>
          </c:dPt>
          <c:dPt>
            <c:idx val="3"/>
            <c:bubble3D val="0"/>
            <c:spPr>
              <a:solidFill>
                <a:schemeClr val="accent4"/>
              </a:solidFill>
              <a:ln>
                <a:solidFill>
                  <a:schemeClr val="bg1"/>
                </a:solidFill>
              </a:ln>
              <a:effectLst/>
            </c:spPr>
          </c:dPt>
          <c:dPt>
            <c:idx val="4"/>
            <c:bubble3D val="0"/>
            <c:spPr>
              <a:solidFill>
                <a:schemeClr val="accent5"/>
              </a:solidFill>
              <a:ln>
                <a:solidFill>
                  <a:schemeClr val="bg1"/>
                </a:solidFill>
              </a:ln>
              <a:effectLst/>
            </c:spPr>
          </c:dPt>
          <c:dLbls>
            <c:dLbl>
              <c:idx val="1"/>
              <c:layout>
                <c:manualLayout>
                  <c:x val="-0.0097123930630595"/>
                  <c:y val="-0.00645009374802373"/>
                </c:manualLayout>
              </c:layout>
              <c:dLblPos val="bestFit"/>
              <c:showLegendKey val="0"/>
              <c:showVal val="0"/>
              <c:showCatName val="0"/>
              <c:showSerName val="0"/>
              <c:showPercent val="1"/>
              <c:showBubbleSize val="0"/>
              <c:extLst>
                <c:ext xmlns:c15="http://schemas.microsoft.com/office/drawing/2012/chart" uri="{CE6537A1-D6FC-4f65-9D91-7224C49458BB}">
                  <c15:layout/>
                </c:ext>
              </c:extLst>
            </c:dLbl>
            <c:dLbl>
              <c:idx val="2"/>
              <c:layout>
                <c:manualLayout>
                  <c:x val="-0.0109305042919663"/>
                  <c:y val="-0.00236491713495202"/>
                </c:manualLayout>
              </c:layout>
              <c:dLblPos val="bestFit"/>
              <c:showLegendKey val="0"/>
              <c:showVal val="0"/>
              <c:showCatName val="0"/>
              <c:showSerName val="0"/>
              <c:showPercent val="1"/>
              <c:showBubbleSize val="0"/>
              <c:extLst>
                <c:ext xmlns:c15="http://schemas.microsoft.com/office/drawing/2012/chart" uri="{CE6537A1-D6FC-4f65-9D91-7224C49458BB}">
                  <c15:layout/>
                </c:ext>
              </c:extLst>
            </c:dLbl>
            <c:dLbl>
              <c:idx val="3"/>
              <c:layout>
                <c:manualLayout>
                  <c:x val="0.0187160941232458"/>
                  <c:y val="0.00751835808289904"/>
                </c:manualLayout>
              </c:layout>
              <c:dLblPos val="bestFit"/>
              <c:showLegendKey val="0"/>
              <c:showVal val="0"/>
              <c:showCatName val="0"/>
              <c:showSerName val="0"/>
              <c:showPercent val="1"/>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1200" b="0" i="0" u="none" strike="noStrike" kern="1200" baseline="0">
                    <a:solidFill>
                      <a:schemeClr val="tx1">
                        <a:lumMod val="75000"/>
                        <a:lumOff val="25000"/>
                      </a:schemeClr>
                    </a:solidFill>
                    <a:latin typeface="+mn-lt"/>
                    <a:ea typeface="+mn-ea"/>
                    <a:cs typeface="+mn-cs"/>
                  </a:defRPr>
                </a:pPr>
              </a:p>
            </c:txPr>
            <c:dLblPos val="inEnd"/>
            <c:showLegendKey val="0"/>
            <c:showVal val="0"/>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Sheet1!$A$2:$A$6</c:f>
              <c:strCache>
                <c:ptCount val="5"/>
                <c:pt idx="0">
                  <c:v>一般公共预算财政拨款收入</c:v>
                </c:pt>
                <c:pt idx="1">
                  <c:v>政府性基金预算财政拨款收入</c:v>
                </c:pt>
                <c:pt idx="2">
                  <c:v>事业收入</c:v>
                </c:pt>
                <c:pt idx="3">
                  <c:v>其他收入</c:v>
                </c:pt>
              </c:strCache>
            </c:strRef>
          </c:cat>
          <c:val>
            <c:numRef>
              <c:f>Sheet1!$B$2:$B$6</c:f>
              <c:numCache>
                <c:formatCode>General</c:formatCode>
                <c:ptCount val="5"/>
                <c:pt idx="0">
                  <c:v>47389.13</c:v>
                </c:pt>
                <c:pt idx="1">
                  <c:v>1911.19</c:v>
                </c:pt>
                <c:pt idx="2">
                  <c:v>1517.98</c:v>
                </c:pt>
                <c:pt idx="3">
                  <c:v>61.51</c:v>
                </c:pt>
              </c:numCache>
            </c:numRef>
          </c:val>
        </c:ser>
        <c:dLbls>
          <c:showLegendKey val="0"/>
          <c:showVal val="0"/>
          <c:showCatName val="0"/>
          <c:showSerName val="0"/>
          <c:showPercent val="1"/>
          <c:showBubbleSize val="0"/>
          <c:showLeaderLines val="1"/>
        </c:dLbls>
        <c:firstSliceAng val="0"/>
      </c:pieChart>
      <c:spPr>
        <a:noFill/>
        <a:ln>
          <a:noFill/>
        </a:ln>
        <a:effectLst/>
      </c:spPr>
    </c:plotArea>
    <c:legend>
      <c:legendPos val="t"/>
      <c:legendEntry>
        <c:idx val="0"/>
        <c:txPr>
          <a:bodyPr rot="0" spcFirstLastPara="0" vertOverflow="ellipsis" vert="horz" wrap="square" anchor="ctr" anchorCtr="1"/>
          <a:lstStyle/>
          <a:p>
            <a:pPr>
              <a:defRPr lang="zh-CN" sz="1200" b="0" i="0" u="none" strike="noStrike" kern="1200" baseline="0">
                <a:solidFill>
                  <a:schemeClr val="tx1">
                    <a:lumMod val="65000"/>
                    <a:lumOff val="35000"/>
                  </a:schemeClr>
                </a:solidFill>
                <a:latin typeface="+mn-lt"/>
                <a:ea typeface="+mn-ea"/>
                <a:cs typeface="+mn-cs"/>
              </a:defRPr>
            </a:pPr>
          </a:p>
        </c:txPr>
      </c:legendEntry>
      <c:legendEntry>
        <c:idx val="1"/>
        <c:txPr>
          <a:bodyPr rot="0" spcFirstLastPara="0" vertOverflow="ellipsis" vert="horz" wrap="square" anchor="ctr" anchorCtr="1"/>
          <a:lstStyle/>
          <a:p>
            <a:pPr>
              <a:defRPr lang="zh-CN" sz="1200" b="0" i="0" u="none" strike="noStrike" kern="1200" baseline="0">
                <a:solidFill>
                  <a:schemeClr val="tx1">
                    <a:lumMod val="65000"/>
                    <a:lumOff val="35000"/>
                  </a:schemeClr>
                </a:solidFill>
                <a:latin typeface="+mn-lt"/>
                <a:ea typeface="+mn-ea"/>
                <a:cs typeface="+mn-cs"/>
              </a:defRPr>
            </a:pPr>
          </a:p>
        </c:txPr>
      </c:legendEntry>
      <c:legendEntry>
        <c:idx val="2"/>
        <c:txPr>
          <a:bodyPr rot="0" spcFirstLastPara="0" vertOverflow="ellipsis" vert="horz" wrap="square" anchor="ctr" anchorCtr="1"/>
          <a:lstStyle/>
          <a:p>
            <a:pPr>
              <a:defRPr lang="zh-CN" sz="1200" b="0" i="0" u="none" strike="noStrike" kern="1200" baseline="0">
                <a:solidFill>
                  <a:schemeClr val="tx1">
                    <a:lumMod val="65000"/>
                    <a:lumOff val="35000"/>
                  </a:schemeClr>
                </a:solidFill>
                <a:latin typeface="+mn-lt"/>
                <a:ea typeface="+mn-ea"/>
                <a:cs typeface="+mn-cs"/>
              </a:defRPr>
            </a:pPr>
          </a:p>
        </c:txPr>
      </c:legendEntry>
      <c:legendEntry>
        <c:idx val="3"/>
        <c:txPr>
          <a:bodyPr rot="0" spcFirstLastPara="0" vertOverflow="ellipsis" vert="horz" wrap="square" anchor="ctr" anchorCtr="1"/>
          <a:lstStyle/>
          <a:p>
            <a:pPr>
              <a:defRPr lang="zh-CN" sz="1200" b="0" i="0" u="none" strike="noStrike" kern="1200" baseline="0">
                <a:solidFill>
                  <a:schemeClr val="tx1">
                    <a:lumMod val="65000"/>
                    <a:lumOff val="35000"/>
                  </a:schemeClr>
                </a:solidFill>
                <a:latin typeface="+mn-lt"/>
                <a:ea typeface="+mn-ea"/>
                <a:cs typeface="+mn-cs"/>
              </a:defRPr>
            </a:pPr>
          </a:p>
        </c:txPr>
      </c:legendEntry>
      <c:legendEntry>
        <c:idx val="4"/>
        <c:delete val="1"/>
      </c:legendEntry>
      <c:layout>
        <c:manualLayout>
          <c:xMode val="edge"/>
          <c:yMode val="edge"/>
          <c:x val="0.492217432950192"/>
          <c:y val="0.339834710743802"/>
          <c:w val="0.50419061302682"/>
          <c:h val="0.292396694214876"/>
        </c:manualLayout>
      </c:layout>
      <c:overlay val="0"/>
      <c:spPr>
        <a:noFill/>
        <a:ln>
          <a:noFill/>
        </a:ln>
        <a:effectLst/>
      </c:spPr>
      <c:txPr>
        <a:bodyPr rot="0" spcFirstLastPara="0" vertOverflow="ellipsis" vert="horz" wrap="square" anchor="ctr" anchorCtr="1"/>
        <a:lstStyle/>
        <a:p>
          <a:pPr>
            <a:defRPr lang="zh-CN" sz="12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5766c760-ee64-42b2-9f70-2c7a24815616}"/>
      </c:ext>
    </c:extLst>
  </c:chart>
  <c:spPr>
    <a:solidFill>
      <a:schemeClr val="bg1"/>
    </a:solidFill>
    <a:ln w="9525" cap="flat" cmpd="sng" algn="ctr">
      <a:solidFill>
        <a:schemeClr val="tx1">
          <a:lumMod val="15000"/>
          <a:lumOff val="85000"/>
        </a:schemeClr>
      </a:solidFill>
      <a:round/>
    </a:ln>
    <a:effectLst/>
  </c:spPr>
  <c:txPr>
    <a:bodyPr/>
    <a:lstStyle/>
    <a:p>
      <a:pPr>
        <a:defRPr lang="zh-CN" sz="1200"/>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680" b="1" i="0" u="none" strike="noStrike" kern="1200" baseline="0">
              <a:solidFill>
                <a:schemeClr val="tx1">
                  <a:lumMod val="75000"/>
                  <a:lumOff val="25000"/>
                </a:schemeClr>
              </a:solidFill>
              <a:latin typeface="+mn-lt"/>
              <a:ea typeface="+mn-ea"/>
              <a:cs typeface="+mn-cs"/>
            </a:defRPr>
          </a:pPr>
        </a:p>
      </c:txPr>
    </c:title>
    <c:autoTitleDeleted val="0"/>
    <c:plotArea>
      <c:layout/>
      <c:pieChart>
        <c:varyColors val="1"/>
        <c:ser>
          <c:idx val="0"/>
          <c:order val="0"/>
          <c:tx>
            <c:strRef>
              <c:f>Sheet1!$B$1</c:f>
              <c:strCache>
                <c:ptCount val="1"/>
                <c:pt idx="0">
                  <c:v>本年支出</c:v>
                </c:pt>
              </c:strCache>
            </c:strRef>
          </c:tx>
          <c:spPr/>
          <c:explosion val="0"/>
          <c:dPt>
            <c:idx val="0"/>
            <c:bubble3D val="0"/>
            <c:spPr>
              <a:solidFill>
                <a:schemeClr val="accent1"/>
              </a:solidFill>
              <a:ln>
                <a:solidFill>
                  <a:schemeClr val="bg1"/>
                </a:solidFill>
              </a:ln>
              <a:effectLst/>
            </c:spPr>
          </c:dPt>
          <c:dPt>
            <c:idx val="1"/>
            <c:bubble3D val="0"/>
            <c:spPr>
              <a:solidFill>
                <a:schemeClr val="accent2"/>
              </a:solidFill>
              <a:ln>
                <a:solidFill>
                  <a:schemeClr val="bg1"/>
                </a:solidFill>
              </a:ln>
              <a:effectLst/>
            </c:spPr>
          </c:dPt>
          <c:dLbls>
            <c:spPr>
              <a:noFill/>
              <a:ln>
                <a:noFill/>
              </a:ln>
              <a:effectLst/>
            </c:spPr>
            <c:txPr>
              <a:bodyPr rot="0" spcFirstLastPara="0" vertOverflow="ellipsis" vert="horz" wrap="square" lIns="38100" tIns="19050" rIns="38100" bIns="19050" anchor="ctr" anchorCtr="1"/>
              <a:lstStyle/>
              <a:p>
                <a:pPr>
                  <a:defRPr lang="zh-CN" sz="1400" b="0" i="0" u="none" strike="noStrike" kern="1200" baseline="0">
                    <a:solidFill>
                      <a:schemeClr val="tx1">
                        <a:lumMod val="75000"/>
                        <a:lumOff val="25000"/>
                      </a:schemeClr>
                    </a:solidFill>
                    <a:latin typeface="+mn-lt"/>
                    <a:ea typeface="+mn-ea"/>
                    <a:cs typeface="+mn-cs"/>
                  </a:defRPr>
                </a:pPr>
              </a:p>
            </c:txPr>
            <c:dLblPos val="inEnd"/>
            <c:showLegendKey val="0"/>
            <c:showVal val="0"/>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基本支出</c:v>
                </c:pt>
                <c:pt idx="1">
                  <c:v>项目支出</c:v>
                </c:pt>
              </c:strCache>
            </c:strRef>
          </c:cat>
          <c:val>
            <c:numRef>
              <c:f>Sheet1!$B$2:$B$3</c:f>
              <c:numCache>
                <c:formatCode>General</c:formatCode>
                <c:ptCount val="2"/>
                <c:pt idx="0">
                  <c:v>35664.64</c:v>
                </c:pt>
                <c:pt idx="1">
                  <c:v>15162.34</c:v>
                </c:pt>
              </c:numCache>
            </c:numRef>
          </c:val>
        </c:ser>
        <c:dLbls>
          <c:showLegendKey val="0"/>
          <c:showVal val="0"/>
          <c:showCatName val="0"/>
          <c:showSerName val="0"/>
          <c:showPercent val="1"/>
          <c:showBubbleSize val="0"/>
          <c:showLeaderLines val="1"/>
        </c:dLbls>
        <c:firstSliceAng val="0"/>
      </c:pieChart>
      <c:spPr>
        <a:noFill/>
        <a:ln>
          <a:noFill/>
        </a:ln>
        <a:effectLst/>
      </c:spPr>
    </c:plotArea>
    <c:legend>
      <c:legendPos val="t"/>
      <c:legendEntry>
        <c:idx val="0"/>
        <c:txPr>
          <a:bodyPr rot="0" spcFirstLastPara="0" vertOverflow="ellipsis" vert="horz" wrap="square" anchor="ctr" anchorCtr="1"/>
          <a:lstStyle/>
          <a:p>
            <a:pPr>
              <a:defRPr lang="zh-CN" sz="1400" b="0" i="0" u="none" strike="noStrike" kern="1200" baseline="0">
                <a:solidFill>
                  <a:schemeClr val="tx1">
                    <a:lumMod val="65000"/>
                    <a:lumOff val="35000"/>
                  </a:schemeClr>
                </a:solidFill>
                <a:latin typeface="+mn-lt"/>
                <a:ea typeface="+mn-ea"/>
                <a:cs typeface="+mn-cs"/>
              </a:defRPr>
            </a:pPr>
          </a:p>
        </c:txPr>
      </c:legendEntry>
      <c:legendEntry>
        <c:idx val="1"/>
        <c:txPr>
          <a:bodyPr rot="0" spcFirstLastPara="0" vertOverflow="ellipsis" vert="horz" wrap="square" anchor="ctr" anchorCtr="1"/>
          <a:lstStyle/>
          <a:p>
            <a:pPr>
              <a:defRPr lang="zh-CN" sz="1400" b="0" i="0" u="none" strike="noStrike" kern="1200" baseline="0">
                <a:solidFill>
                  <a:schemeClr val="tx1">
                    <a:lumMod val="65000"/>
                    <a:lumOff val="35000"/>
                  </a:schemeClr>
                </a:solidFill>
                <a:latin typeface="+mn-lt"/>
                <a:ea typeface="+mn-ea"/>
                <a:cs typeface="+mn-cs"/>
              </a:defRPr>
            </a:pPr>
          </a:p>
        </c:txPr>
      </c:legendEntry>
      <c:layout/>
      <c:overlay val="0"/>
      <c:spPr>
        <a:noFill/>
        <a:ln>
          <a:noFill/>
        </a:ln>
        <a:effectLst/>
      </c:spPr>
      <c:txPr>
        <a:bodyPr rot="0" spcFirstLastPara="0" vertOverflow="ellipsis" vert="horz" wrap="square" anchor="ctr" anchorCtr="1"/>
        <a:lstStyle/>
        <a:p>
          <a:pPr>
            <a:defRPr lang="zh-CN" sz="14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4113df02-6824-43b5-ac44-f70f1846307f}"/>
      </c:ext>
    </c:extLst>
  </c:chart>
  <c:spPr>
    <a:solidFill>
      <a:schemeClr val="bg1"/>
    </a:solidFill>
    <a:ln w="9525" cap="flat" cmpd="sng" algn="ctr">
      <a:solidFill>
        <a:schemeClr val="tx1">
          <a:lumMod val="15000"/>
          <a:lumOff val="85000"/>
        </a:schemeClr>
      </a:solidFill>
      <a:round/>
    </a:ln>
    <a:effectLst/>
  </c:spPr>
  <c:txPr>
    <a:bodyPr/>
    <a:lstStyle/>
    <a:p>
      <a:pPr>
        <a:defRPr lang="zh-CN" sz="1400"/>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40" b="1" i="0" u="none" strike="noStrike" kern="1200" baseline="0">
                <a:solidFill>
                  <a:schemeClr val="tx1">
                    <a:lumMod val="75000"/>
                    <a:lumOff val="25000"/>
                  </a:schemeClr>
                </a:solidFill>
                <a:latin typeface="+mn-lt"/>
                <a:ea typeface="+mn-ea"/>
                <a:cs typeface="+mn-cs"/>
              </a:defRPr>
            </a:pPr>
            <a:r>
              <a:rPr sz="1440"/>
              <a:t>单位（万元）</a:t>
            </a:r>
            <a:endParaRPr sz="1440"/>
          </a:p>
        </c:rich>
      </c:tx>
      <c:layout>
        <c:manualLayout>
          <c:xMode val="edge"/>
          <c:yMode val="edge"/>
          <c:x val="0.742597559430368"/>
          <c:y val="0.0556635463738493"/>
        </c:manualLayout>
      </c:layout>
      <c:overlay val="0"/>
      <c:spPr>
        <a:noFill/>
        <a:ln>
          <a:noFill/>
        </a:ln>
        <a:effectLst/>
      </c:spPr>
    </c:title>
    <c:autoTitleDeleted val="0"/>
    <c:plotArea>
      <c:layout>
        <c:manualLayout>
          <c:layoutTarget val="inner"/>
          <c:xMode val="edge"/>
          <c:yMode val="edge"/>
          <c:x val="0.0291425818882466"/>
          <c:y val="0.270120053357048"/>
          <c:w val="0.947013487475915"/>
          <c:h val="0.6223654957759"/>
        </c:manualLayout>
      </c:layout>
      <c:barChart>
        <c:barDir val="col"/>
        <c:grouping val="clustered"/>
        <c:varyColors val="0"/>
        <c:ser>
          <c:idx val="0"/>
          <c:order val="0"/>
          <c:tx>
            <c:strRef>
              <c:f>Sheet1!$B$1</c:f>
              <c:strCache>
                <c:ptCount val="1"/>
                <c:pt idx="0">
                  <c:v>财政拨款收入</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2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2024年度</c:v>
                </c:pt>
                <c:pt idx="1">
                  <c:v>2023年度</c:v>
                </c:pt>
              </c:strCache>
            </c:strRef>
          </c:cat>
          <c:val>
            <c:numRef>
              <c:f>Sheet1!$B$2:$B$3</c:f>
              <c:numCache>
                <c:formatCode>General</c:formatCode>
                <c:ptCount val="2"/>
                <c:pt idx="0">
                  <c:v>49300.33</c:v>
                </c:pt>
                <c:pt idx="1" c:formatCode="#,##0.00">
                  <c:v>38306.69</c:v>
                </c:pt>
              </c:numCache>
            </c:numRef>
          </c:val>
        </c:ser>
        <c:ser>
          <c:idx val="1"/>
          <c:order val="1"/>
          <c:tx>
            <c:strRef>
              <c:f>Sheet1!$C$1</c:f>
              <c:strCache>
                <c:ptCount val="1"/>
                <c:pt idx="0">
                  <c:v>财政拨款支出</c:v>
                </c:pt>
              </c:strCache>
            </c:strRef>
          </c:tx>
          <c:spPr>
            <a:solidFill>
              <a:schemeClr val="accent2"/>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2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2024年度</c:v>
                </c:pt>
                <c:pt idx="1">
                  <c:v>2023年度</c:v>
                </c:pt>
              </c:strCache>
            </c:strRef>
          </c:cat>
          <c:val>
            <c:numRef>
              <c:f>Sheet1!$C$2:$C$3</c:f>
              <c:numCache>
                <c:formatCode>General</c:formatCode>
                <c:ptCount val="2"/>
                <c:pt idx="0">
                  <c:v>49300.33</c:v>
                </c:pt>
                <c:pt idx="1" c:formatCode="#,##0.00">
                  <c:v>38306.69</c:v>
                </c:pt>
              </c:numCache>
            </c:numRef>
          </c:val>
        </c:ser>
        <c:ser>
          <c:idx val="2"/>
          <c:order val="2"/>
          <c:tx>
            <c:strRef>
              <c:f>Sheet1!#REF!</c:f>
              <c:strCache>
                <c:ptCount val="1"/>
                <c:pt idx="0">
                  <c:v/>
                </c:pt>
              </c:strCache>
            </c:strRef>
          </c:tx>
          <c:spPr>
            <a:solidFill>
              <a:schemeClr val="accent3"/>
            </a:solidFill>
            <a:ln>
              <a:noFill/>
            </a:ln>
            <a:effectLst/>
          </c:spPr>
          <c:invertIfNegative val="0"/>
          <c:dLbls>
            <c:delete val="1"/>
          </c:dLbls>
          <c:cat>
            <c:strRef>
              <c:f>Sheet1!$A$2:$A$3</c:f>
              <c:strCache>
                <c:ptCount val="2"/>
                <c:pt idx="0">
                  <c:v>2024年度</c:v>
                </c:pt>
                <c:pt idx="1">
                  <c:v>2023年度</c:v>
                </c:pt>
              </c:strCache>
            </c:strRef>
          </c:cat>
          <c:val>
            <c:numRef>
              <c:f>Sheet1!#REF!</c:f>
              <c:numCache>
                <c:formatCode>General</c:formatCode>
                <c:ptCount val="1"/>
                <c:pt idx="0">
                  <c:v>1</c:v>
                </c:pt>
              </c:numCache>
            </c:numRef>
          </c:val>
        </c:ser>
        <c:dLbls>
          <c:showLegendKey val="0"/>
          <c:showVal val="0"/>
          <c:showCatName val="0"/>
          <c:showSerName val="0"/>
          <c:showPercent val="0"/>
          <c:showBubbleSize val="0"/>
        </c:dLbls>
        <c:gapWidth val="150"/>
        <c:overlap val="-25"/>
        <c:axId val="116297460"/>
        <c:axId val="650142860"/>
      </c:barChart>
      <c:catAx>
        <c:axId val="116297460"/>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1200" b="0" i="0" u="none" strike="noStrike" kern="1200" baseline="0">
                <a:solidFill>
                  <a:schemeClr val="tx1">
                    <a:lumMod val="65000"/>
                    <a:lumOff val="35000"/>
                  </a:schemeClr>
                </a:solidFill>
                <a:latin typeface="+mn-lt"/>
                <a:ea typeface="+mn-ea"/>
                <a:cs typeface="+mn-cs"/>
              </a:defRPr>
            </a:pPr>
          </a:p>
        </c:txPr>
        <c:crossAx val="650142860"/>
        <c:crosses val="autoZero"/>
        <c:auto val="1"/>
        <c:lblAlgn val="ctr"/>
        <c:lblOffset val="100"/>
        <c:noMultiLvlLbl val="0"/>
      </c:catAx>
      <c:valAx>
        <c:axId val="650142860"/>
        <c:scaling>
          <c:orientation val="minMax"/>
        </c:scaling>
        <c:delete val="1"/>
        <c:axPos val="l"/>
        <c:numFmt formatCode="General" sourceLinked="1"/>
        <c:majorTickMark val="none"/>
        <c:minorTickMark val="none"/>
        <c:tickLblPos val="nextTo"/>
        <c:txPr>
          <a:bodyPr rot="-60000000" spcFirstLastPara="0" vertOverflow="ellipsis" vert="horz" wrap="square" anchor="ctr" anchorCtr="1"/>
          <a:lstStyle/>
          <a:p>
            <a:pPr>
              <a:defRPr lang="zh-CN" sz="1200" b="0" i="0" u="none" strike="noStrike" kern="1200" baseline="0">
                <a:solidFill>
                  <a:schemeClr val="tx1">
                    <a:lumMod val="65000"/>
                    <a:lumOff val="35000"/>
                  </a:schemeClr>
                </a:solidFill>
                <a:latin typeface="+mn-lt"/>
                <a:ea typeface="+mn-ea"/>
                <a:cs typeface="+mn-cs"/>
              </a:defRPr>
            </a:pPr>
          </a:p>
        </c:txPr>
        <c:crossAx val="116297460"/>
        <c:crosses val="autoZero"/>
        <c:crossBetween val="between"/>
      </c:valAx>
      <c:spPr>
        <a:noFill/>
        <a:ln>
          <a:noFill/>
        </a:ln>
        <a:effectLst/>
      </c:spPr>
    </c:plotArea>
    <c:legend>
      <c:legendPos val="t"/>
      <c:legendEntry>
        <c:idx val="0"/>
        <c:txPr>
          <a:bodyPr rot="0" spcFirstLastPara="0" vertOverflow="ellipsis" vert="horz" wrap="square" anchor="ctr" anchorCtr="1"/>
          <a:lstStyle/>
          <a:p>
            <a:pPr>
              <a:defRPr lang="zh-CN" sz="1200" b="0" i="0" u="none" strike="noStrike" kern="1200" baseline="0">
                <a:solidFill>
                  <a:schemeClr val="tx1">
                    <a:lumMod val="65000"/>
                    <a:lumOff val="35000"/>
                  </a:schemeClr>
                </a:solidFill>
                <a:latin typeface="+mn-lt"/>
                <a:ea typeface="+mn-ea"/>
                <a:cs typeface="+mn-cs"/>
              </a:defRPr>
            </a:pPr>
          </a:p>
        </c:txPr>
      </c:legendEntry>
      <c:legendEntry>
        <c:idx val="1"/>
        <c:txPr>
          <a:bodyPr rot="0" spcFirstLastPara="0" vertOverflow="ellipsis" vert="horz" wrap="square" anchor="ctr" anchorCtr="1"/>
          <a:lstStyle/>
          <a:p>
            <a:pPr>
              <a:defRPr lang="zh-CN" sz="1200" b="0" i="0" u="none" strike="noStrike" kern="1200" baseline="0">
                <a:solidFill>
                  <a:schemeClr val="tx1">
                    <a:lumMod val="65000"/>
                    <a:lumOff val="35000"/>
                  </a:schemeClr>
                </a:solidFill>
                <a:latin typeface="+mn-lt"/>
                <a:ea typeface="+mn-ea"/>
                <a:cs typeface="+mn-cs"/>
              </a:defRPr>
            </a:pPr>
          </a:p>
        </c:txPr>
      </c:legendEntry>
      <c:legendEntry>
        <c:idx val="2"/>
        <c:delete val="1"/>
      </c:legendEntry>
      <c:layout>
        <c:manualLayout>
          <c:xMode val="edge"/>
          <c:yMode val="edge"/>
          <c:x val="0.288544928932787"/>
          <c:y val="0.140769532180242"/>
        </c:manualLayout>
      </c:layout>
      <c:overlay val="0"/>
      <c:spPr>
        <a:noFill/>
        <a:ln>
          <a:noFill/>
        </a:ln>
        <a:effectLst/>
      </c:spPr>
      <c:txPr>
        <a:bodyPr rot="0" spcFirstLastPara="0" vertOverflow="ellipsis" vert="horz" wrap="square" anchor="ctr" anchorCtr="1"/>
        <a:lstStyle/>
        <a:p>
          <a:pPr>
            <a:defRPr lang="zh-CN" sz="12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a0d3af3f-12de-4be7-8417-b36cabb410ec}"/>
      </c:ext>
    </c:extLst>
  </c:chart>
  <c:spPr>
    <a:solidFill>
      <a:schemeClr val="bg1"/>
    </a:solidFill>
    <a:ln w="9525" cap="flat" cmpd="sng" algn="ctr">
      <a:solidFill>
        <a:schemeClr val="tx1">
          <a:lumMod val="15000"/>
          <a:lumOff val="85000"/>
        </a:schemeClr>
      </a:solidFill>
      <a:round/>
    </a:ln>
    <a:effectLst/>
  </c:spPr>
  <c:txPr>
    <a:bodyPr/>
    <a:lstStyle/>
    <a:p>
      <a:pPr>
        <a:defRPr lang="zh-CN" sz="1200"/>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40" b="1" i="0" u="none" strike="noStrike" kern="1200" baseline="0">
                <a:solidFill>
                  <a:schemeClr val="tx1">
                    <a:lumMod val="75000"/>
                    <a:lumOff val="25000"/>
                  </a:schemeClr>
                </a:solidFill>
                <a:latin typeface="+mn-lt"/>
                <a:ea typeface="+mn-ea"/>
                <a:cs typeface="+mn-cs"/>
              </a:defRPr>
            </a:pPr>
            <a:r>
              <a:rPr sz="1440"/>
              <a:t>单位（万元）</a:t>
            </a:r>
            <a:endParaRPr sz="1440"/>
          </a:p>
        </c:rich>
      </c:tx>
      <c:layout>
        <c:manualLayout>
          <c:xMode val="edge"/>
          <c:yMode val="edge"/>
          <c:x val="0.765523073206088"/>
          <c:y val="0.0201869953251169"/>
        </c:manualLayout>
      </c:layout>
      <c:overlay val="0"/>
      <c:spPr>
        <a:noFill/>
        <a:ln>
          <a:noFill/>
        </a:ln>
        <a:effectLst/>
      </c:spPr>
    </c:title>
    <c:autoTitleDeleted val="0"/>
    <c:plotArea>
      <c:layout/>
      <c:barChart>
        <c:barDir val="col"/>
        <c:grouping val="clustered"/>
        <c:varyColors val="0"/>
        <c:ser>
          <c:idx val="0"/>
          <c:order val="0"/>
          <c:tx>
            <c:strRef>
              <c:f>Sheet1!$B$1</c:f>
              <c:strCache>
                <c:ptCount val="1"/>
                <c:pt idx="0">
                  <c:v>一般公共预算财政拨款支出</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2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2024年度</c:v>
                </c:pt>
                <c:pt idx="1">
                  <c:v>2023年度</c:v>
                </c:pt>
              </c:strCache>
            </c:strRef>
          </c:cat>
          <c:val>
            <c:numRef>
              <c:f>Sheet1!$B$2:$B$3</c:f>
              <c:numCache>
                <c:formatCode>General</c:formatCode>
                <c:ptCount val="2"/>
                <c:pt idx="0">
                  <c:v>47389.13</c:v>
                </c:pt>
                <c:pt idx="1" c:formatCode="#,##0.00">
                  <c:v>38228.09</c:v>
                </c:pt>
              </c:numCache>
            </c:numRef>
          </c:val>
        </c:ser>
        <c:ser>
          <c:idx val="1"/>
          <c:order val="1"/>
          <c:tx>
            <c:strRef>
              <c:f>Sheet1!$C$1</c:f>
              <c:strCache>
                <c:ptCount val="1"/>
                <c:pt idx="0">
                  <c:v>一般公共预算财政拨款支出</c:v>
                </c:pt>
              </c:strCache>
            </c:strRef>
          </c:tx>
          <c:spPr>
            <a:solidFill>
              <a:schemeClr val="accent2"/>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2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2024年度</c:v>
                </c:pt>
                <c:pt idx="1">
                  <c:v>2023年度</c:v>
                </c:pt>
              </c:strCache>
            </c:strRef>
          </c:cat>
          <c:val>
            <c:numRef>
              <c:f>Sheet1!$C$2:$C$3</c:f>
              <c:numCache>
                <c:formatCode>General</c:formatCode>
                <c:ptCount val="2"/>
                <c:pt idx="0">
                  <c:v>47389.13</c:v>
                </c:pt>
                <c:pt idx="1" c:formatCode="#,##0.00">
                  <c:v>38228.09</c:v>
                </c:pt>
              </c:numCache>
            </c:numRef>
          </c:val>
        </c:ser>
        <c:ser>
          <c:idx val="2"/>
          <c:order val="2"/>
          <c:tx>
            <c:strRef>
              <c:f>Sheet1!#REF!</c:f>
              <c:strCache>
                <c:ptCount val="1"/>
                <c:pt idx="0">
                  <c:v/>
                </c:pt>
              </c:strCache>
            </c:strRef>
          </c:tx>
          <c:spPr>
            <a:solidFill>
              <a:schemeClr val="accent3"/>
            </a:solidFill>
            <a:ln>
              <a:noFill/>
            </a:ln>
            <a:effectLst/>
          </c:spPr>
          <c:invertIfNegative val="0"/>
          <c:dLbls>
            <c:delete val="1"/>
          </c:dLbls>
          <c:cat>
            <c:strRef>
              <c:f>Sheet1!$A$2:$A$3</c:f>
              <c:strCache>
                <c:ptCount val="2"/>
                <c:pt idx="0">
                  <c:v>2024年度</c:v>
                </c:pt>
                <c:pt idx="1">
                  <c:v>2023年度</c:v>
                </c:pt>
              </c:strCache>
            </c:strRef>
          </c:cat>
          <c:val>
            <c:numRef>
              <c:f>Sheet1!#REF!</c:f>
              <c:numCache>
                <c:formatCode>General</c:formatCode>
                <c:ptCount val="1"/>
                <c:pt idx="0">
                  <c:v>1</c:v>
                </c:pt>
              </c:numCache>
            </c:numRef>
          </c:val>
        </c:ser>
        <c:dLbls>
          <c:showLegendKey val="0"/>
          <c:showVal val="0"/>
          <c:showCatName val="0"/>
          <c:showSerName val="0"/>
          <c:showPercent val="0"/>
          <c:showBubbleSize val="0"/>
        </c:dLbls>
        <c:gapWidth val="150"/>
        <c:overlap val="-25"/>
        <c:axId val="731078030"/>
        <c:axId val="653222495"/>
      </c:barChart>
      <c:catAx>
        <c:axId val="731078030"/>
        <c:scaling>
          <c:orientation val="minMax"/>
        </c:scaling>
        <c:delete val="0"/>
        <c:axPos val="b"/>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1200" b="0" i="0" u="none" strike="noStrike" kern="1200" baseline="0">
                <a:solidFill>
                  <a:schemeClr val="tx1">
                    <a:lumMod val="65000"/>
                    <a:lumOff val="35000"/>
                  </a:schemeClr>
                </a:solidFill>
                <a:latin typeface="+mn-lt"/>
                <a:ea typeface="+mn-ea"/>
                <a:cs typeface="+mn-cs"/>
              </a:defRPr>
            </a:pPr>
          </a:p>
        </c:txPr>
        <c:crossAx val="653222495"/>
        <c:crosses val="autoZero"/>
        <c:auto val="1"/>
        <c:lblAlgn val="ctr"/>
        <c:lblOffset val="100"/>
        <c:noMultiLvlLbl val="0"/>
      </c:catAx>
      <c:valAx>
        <c:axId val="653222495"/>
        <c:scaling>
          <c:orientation val="minMax"/>
        </c:scaling>
        <c:delete val="1"/>
        <c:axPos val="l"/>
        <c:numFmt formatCode="General" sourceLinked="1"/>
        <c:majorTickMark val="none"/>
        <c:minorTickMark val="none"/>
        <c:tickLblPos val="nextTo"/>
        <c:txPr>
          <a:bodyPr rot="-60000000" spcFirstLastPara="0" vertOverflow="ellipsis" vert="horz" wrap="square" anchor="ctr" anchorCtr="1"/>
          <a:lstStyle/>
          <a:p>
            <a:pPr>
              <a:defRPr lang="zh-CN" sz="1200" b="0" i="0" u="none" strike="noStrike" kern="1200" baseline="0">
                <a:solidFill>
                  <a:schemeClr val="tx1">
                    <a:lumMod val="65000"/>
                    <a:lumOff val="35000"/>
                  </a:schemeClr>
                </a:solidFill>
                <a:latin typeface="+mn-lt"/>
                <a:ea typeface="+mn-ea"/>
                <a:cs typeface="+mn-cs"/>
              </a:defRPr>
            </a:pPr>
          </a:p>
        </c:txPr>
        <c:crossAx val="731078030"/>
        <c:crosses val="autoZero"/>
        <c:crossBetween val="between"/>
      </c:valAx>
      <c:spPr>
        <a:noFill/>
        <a:ln>
          <a:noFill/>
        </a:ln>
        <a:effectLst/>
      </c:spPr>
    </c:plotArea>
    <c:legend>
      <c:legendPos val="t"/>
      <c:legendEntry>
        <c:idx val="0"/>
        <c:txPr>
          <a:bodyPr rot="0" spcFirstLastPara="0" vertOverflow="ellipsis" vert="horz" wrap="square" anchor="ctr" anchorCtr="1"/>
          <a:lstStyle/>
          <a:p>
            <a:pPr>
              <a:defRPr lang="zh-CN" sz="1200" b="0" i="0" u="none" strike="noStrike" kern="1200" baseline="0">
                <a:solidFill>
                  <a:schemeClr val="tx1">
                    <a:lumMod val="65000"/>
                    <a:lumOff val="35000"/>
                  </a:schemeClr>
                </a:solidFill>
                <a:latin typeface="+mn-lt"/>
                <a:ea typeface="+mn-ea"/>
                <a:cs typeface="+mn-cs"/>
              </a:defRPr>
            </a:pPr>
          </a:p>
        </c:txPr>
      </c:legendEntry>
      <c:legendEntry>
        <c:idx val="1"/>
        <c:txPr>
          <a:bodyPr rot="0" spcFirstLastPara="0" vertOverflow="ellipsis" vert="horz" wrap="square" anchor="ctr" anchorCtr="1"/>
          <a:lstStyle/>
          <a:p>
            <a:pPr>
              <a:defRPr lang="zh-CN" sz="1200" b="0" i="0" u="none" strike="noStrike" kern="1200" baseline="0">
                <a:solidFill>
                  <a:schemeClr val="tx1">
                    <a:lumMod val="65000"/>
                    <a:lumOff val="35000"/>
                  </a:schemeClr>
                </a:solidFill>
                <a:latin typeface="+mn-lt"/>
                <a:ea typeface="+mn-ea"/>
                <a:cs typeface="+mn-cs"/>
              </a:defRPr>
            </a:pPr>
          </a:p>
        </c:txPr>
      </c:legendEntry>
      <c:legendEntry>
        <c:idx val="2"/>
        <c:delete val="1"/>
      </c:legendEntry>
      <c:layout/>
      <c:overlay val="0"/>
      <c:spPr>
        <a:noFill/>
        <a:ln>
          <a:noFill/>
        </a:ln>
        <a:effectLst/>
      </c:spPr>
      <c:txPr>
        <a:bodyPr rot="0" spcFirstLastPara="0" vertOverflow="ellipsis" vert="horz" wrap="square" anchor="ctr" anchorCtr="1"/>
        <a:lstStyle/>
        <a:p>
          <a:pPr>
            <a:defRPr lang="zh-CN" sz="12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f8dee01a-f6ab-474f-8b9f-3c84c574e110}"/>
      </c:ext>
    </c:extLst>
  </c:chart>
  <c:spPr>
    <a:solidFill>
      <a:schemeClr val="bg1"/>
    </a:solidFill>
    <a:ln w="9525" cap="flat" cmpd="sng" algn="ctr">
      <a:solidFill>
        <a:schemeClr val="tx1">
          <a:lumMod val="15000"/>
          <a:lumOff val="85000"/>
        </a:schemeClr>
      </a:solidFill>
      <a:round/>
    </a:ln>
    <a:effectLst/>
  </c:spPr>
  <c:txPr>
    <a:bodyPr/>
    <a:lstStyle/>
    <a:p>
      <a:pPr>
        <a:defRPr lang="zh-CN" sz="1200"/>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40" b="1" i="0" u="none" strike="noStrike" kern="1200" baseline="0">
              <a:solidFill>
                <a:schemeClr val="tx1">
                  <a:lumMod val="75000"/>
                  <a:lumOff val="25000"/>
                </a:schemeClr>
              </a:solidFill>
              <a:latin typeface="+mn-lt"/>
              <a:ea typeface="+mn-ea"/>
              <a:cs typeface="+mn-cs"/>
            </a:defRPr>
          </a:pPr>
        </a:p>
      </c:txPr>
    </c:title>
    <c:autoTitleDeleted val="0"/>
    <c:plotArea>
      <c:layout>
        <c:manualLayout>
          <c:layoutTarget val="inner"/>
          <c:xMode val="edge"/>
          <c:yMode val="edge"/>
          <c:x val="0.0814135809914365"/>
          <c:y val="0.16771582733813"/>
          <c:w val="0.403328910867205"/>
          <c:h val="0.751798561151079"/>
        </c:manualLayout>
      </c:layout>
      <c:pieChart>
        <c:varyColors val="1"/>
        <c:ser>
          <c:idx val="0"/>
          <c:order val="0"/>
          <c:tx>
            <c:strRef>
              <c:f>Sheet1!$B$1</c:f>
              <c:strCache>
                <c:ptCount val="1"/>
                <c:pt idx="0">
                  <c:v>一般公共预算财政拨款支出</c:v>
                </c:pt>
              </c:strCache>
            </c:strRef>
          </c:tx>
          <c:spPr/>
          <c:explosion val="0"/>
          <c:dPt>
            <c:idx val="0"/>
            <c:bubble3D val="0"/>
            <c:spPr>
              <a:solidFill>
                <a:schemeClr val="accent1"/>
              </a:solidFill>
              <a:ln>
                <a:solidFill>
                  <a:schemeClr val="bg1"/>
                </a:solidFill>
              </a:ln>
              <a:effectLst/>
            </c:spPr>
          </c:dPt>
          <c:dPt>
            <c:idx val="1"/>
            <c:bubble3D val="0"/>
            <c:spPr>
              <a:solidFill>
                <a:schemeClr val="accent2"/>
              </a:solidFill>
              <a:ln>
                <a:solidFill>
                  <a:schemeClr val="bg1"/>
                </a:solidFill>
              </a:ln>
              <a:effectLst/>
            </c:spPr>
          </c:dPt>
          <c:dPt>
            <c:idx val="2"/>
            <c:bubble3D val="0"/>
            <c:spPr>
              <a:solidFill>
                <a:schemeClr val="accent3"/>
              </a:solidFill>
              <a:ln>
                <a:solidFill>
                  <a:schemeClr val="bg1"/>
                </a:solidFill>
              </a:ln>
              <a:effectLst/>
            </c:spPr>
          </c:dPt>
          <c:dPt>
            <c:idx val="3"/>
            <c:bubble3D val="0"/>
            <c:spPr>
              <a:solidFill>
                <a:schemeClr val="accent4"/>
              </a:solidFill>
              <a:ln>
                <a:solidFill>
                  <a:schemeClr val="bg1"/>
                </a:solidFill>
              </a:ln>
              <a:effectLst/>
            </c:spPr>
          </c:dPt>
          <c:dPt>
            <c:idx val="4"/>
            <c:bubble3D val="0"/>
            <c:spPr>
              <a:solidFill>
                <a:schemeClr val="accent5"/>
              </a:solidFill>
              <a:ln>
                <a:solidFill>
                  <a:schemeClr val="bg1"/>
                </a:solidFill>
              </a:ln>
              <a:effectLst/>
            </c:spPr>
          </c:dPt>
          <c:dPt>
            <c:idx val="5"/>
            <c:bubble3D val="0"/>
            <c:spPr>
              <a:solidFill>
                <a:schemeClr val="accent6"/>
              </a:solidFill>
              <a:ln>
                <a:solidFill>
                  <a:schemeClr val="bg1"/>
                </a:solidFill>
              </a:ln>
              <a:effectLst/>
            </c:spPr>
          </c:dPt>
          <c:dLbls>
            <c:spPr>
              <a:noFill/>
              <a:ln>
                <a:noFill/>
              </a:ln>
              <a:effectLst/>
            </c:spPr>
            <c:txPr>
              <a:bodyPr rot="0" spcFirstLastPara="0" vertOverflow="ellipsis" vert="horz" wrap="square" lIns="38100" tIns="19050" rIns="38100" bIns="19050" anchor="ctr" anchorCtr="1"/>
              <a:lstStyle/>
              <a:p>
                <a:pPr>
                  <a:defRPr lang="zh-CN" sz="1200" b="0" i="0" u="none" strike="noStrike" kern="1200" baseline="0">
                    <a:solidFill>
                      <a:schemeClr val="tx1">
                        <a:lumMod val="75000"/>
                        <a:lumOff val="25000"/>
                      </a:schemeClr>
                    </a:solidFill>
                    <a:latin typeface="+mn-lt"/>
                    <a:ea typeface="+mn-ea"/>
                    <a:cs typeface="+mn-cs"/>
                  </a:defRPr>
                </a:pPr>
              </a:p>
            </c:txPr>
            <c:dLblPos val="inEnd"/>
            <c:showLegendKey val="0"/>
            <c:showVal val="0"/>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Sheet1!$A$2:$A$7</c:f>
              <c:strCache>
                <c:ptCount val="6"/>
                <c:pt idx="0">
                  <c:v>一般公共预算财政拨款支出</c:v>
                </c:pt>
                <c:pt idx="1">
                  <c:v>教育支出</c:v>
                </c:pt>
                <c:pt idx="2">
                  <c:v>文化旅游体育与传媒支出</c:v>
                </c:pt>
                <c:pt idx="3">
                  <c:v>社会保障和就业支出</c:v>
                </c:pt>
                <c:pt idx="4">
                  <c:v>卫生健康支出</c:v>
                </c:pt>
                <c:pt idx="5">
                  <c:v>住房保障支出</c:v>
                </c:pt>
              </c:strCache>
            </c:strRef>
          </c:cat>
          <c:val>
            <c:numRef>
              <c:f>Sheet1!$B$2:$B$7</c:f>
              <c:numCache>
                <c:formatCode>General</c:formatCode>
                <c:ptCount val="6"/>
                <c:pt idx="0">
                  <c:v>72.06</c:v>
                </c:pt>
                <c:pt idx="1">
                  <c:v>36531.44</c:v>
                </c:pt>
                <c:pt idx="2">
                  <c:v>401.79</c:v>
                </c:pt>
                <c:pt idx="3">
                  <c:v>5349.98</c:v>
                </c:pt>
                <c:pt idx="4">
                  <c:v>2595.11</c:v>
                </c:pt>
                <c:pt idx="5">
                  <c:v>2438.74</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t"/>
      <c:legendEntry>
        <c:idx val="0"/>
        <c:txPr>
          <a:bodyPr rot="0" spcFirstLastPara="0" vertOverflow="ellipsis" vert="horz" wrap="square" anchor="ctr" anchorCtr="1"/>
          <a:lstStyle/>
          <a:p>
            <a:pPr>
              <a:defRPr lang="zh-CN" sz="1200" b="0" i="0" u="none" strike="noStrike" kern="1200" baseline="0">
                <a:solidFill>
                  <a:schemeClr val="tx1">
                    <a:lumMod val="65000"/>
                    <a:lumOff val="35000"/>
                  </a:schemeClr>
                </a:solidFill>
                <a:latin typeface="+mn-lt"/>
                <a:ea typeface="+mn-ea"/>
                <a:cs typeface="+mn-cs"/>
              </a:defRPr>
            </a:pPr>
          </a:p>
        </c:txPr>
      </c:legendEntry>
      <c:legendEntry>
        <c:idx val="1"/>
        <c:txPr>
          <a:bodyPr rot="0" spcFirstLastPara="0" vertOverflow="ellipsis" vert="horz" wrap="square" anchor="ctr" anchorCtr="1"/>
          <a:lstStyle/>
          <a:p>
            <a:pPr>
              <a:defRPr lang="zh-CN" sz="1200" b="0" i="0" u="none" strike="noStrike" kern="1200" baseline="0">
                <a:solidFill>
                  <a:schemeClr val="tx1">
                    <a:lumMod val="65000"/>
                    <a:lumOff val="35000"/>
                  </a:schemeClr>
                </a:solidFill>
                <a:latin typeface="+mn-lt"/>
                <a:ea typeface="+mn-ea"/>
                <a:cs typeface="+mn-cs"/>
              </a:defRPr>
            </a:pPr>
          </a:p>
        </c:txPr>
      </c:legendEntry>
      <c:legendEntry>
        <c:idx val="2"/>
        <c:txPr>
          <a:bodyPr rot="0" spcFirstLastPara="0" vertOverflow="ellipsis" vert="horz" wrap="square" anchor="ctr" anchorCtr="1"/>
          <a:lstStyle/>
          <a:p>
            <a:pPr>
              <a:defRPr lang="zh-CN" sz="1200" b="0" i="0" u="none" strike="noStrike" kern="1200" baseline="0">
                <a:solidFill>
                  <a:schemeClr val="tx1">
                    <a:lumMod val="65000"/>
                    <a:lumOff val="35000"/>
                  </a:schemeClr>
                </a:solidFill>
                <a:latin typeface="+mn-lt"/>
                <a:ea typeface="+mn-ea"/>
                <a:cs typeface="+mn-cs"/>
              </a:defRPr>
            </a:pPr>
          </a:p>
        </c:txPr>
      </c:legendEntry>
      <c:legendEntry>
        <c:idx val="3"/>
        <c:txPr>
          <a:bodyPr rot="0" spcFirstLastPara="0" vertOverflow="ellipsis" vert="horz" wrap="square" anchor="ctr" anchorCtr="1"/>
          <a:lstStyle/>
          <a:p>
            <a:pPr>
              <a:defRPr lang="zh-CN" sz="1200" b="0" i="0" u="none" strike="noStrike" kern="1200" baseline="0">
                <a:solidFill>
                  <a:schemeClr val="tx1">
                    <a:lumMod val="65000"/>
                    <a:lumOff val="35000"/>
                  </a:schemeClr>
                </a:solidFill>
                <a:latin typeface="+mn-lt"/>
                <a:ea typeface="+mn-ea"/>
                <a:cs typeface="+mn-cs"/>
              </a:defRPr>
            </a:pPr>
          </a:p>
        </c:txPr>
      </c:legendEntry>
      <c:legendEntry>
        <c:idx val="4"/>
        <c:txPr>
          <a:bodyPr rot="0" spcFirstLastPara="0" vertOverflow="ellipsis" vert="horz" wrap="square" anchor="ctr" anchorCtr="1"/>
          <a:lstStyle/>
          <a:p>
            <a:pPr>
              <a:defRPr lang="zh-CN" sz="1200" b="0" i="0" u="none" strike="noStrike" kern="1200" baseline="0">
                <a:solidFill>
                  <a:schemeClr val="tx1">
                    <a:lumMod val="65000"/>
                    <a:lumOff val="35000"/>
                  </a:schemeClr>
                </a:solidFill>
                <a:latin typeface="+mn-lt"/>
                <a:ea typeface="+mn-ea"/>
                <a:cs typeface="+mn-cs"/>
              </a:defRPr>
            </a:pPr>
          </a:p>
        </c:txPr>
      </c:legendEntry>
      <c:legendEntry>
        <c:idx val="5"/>
        <c:txPr>
          <a:bodyPr rot="0" spcFirstLastPara="0" vertOverflow="ellipsis" vert="horz" wrap="square" anchor="ctr" anchorCtr="1"/>
          <a:lstStyle/>
          <a:p>
            <a:pPr>
              <a:defRPr lang="zh-CN" sz="1200" b="0" i="0" u="none" strike="noStrike" kern="1200" baseline="0">
                <a:solidFill>
                  <a:schemeClr val="tx1">
                    <a:lumMod val="65000"/>
                    <a:lumOff val="35000"/>
                  </a:schemeClr>
                </a:solidFill>
                <a:latin typeface="+mn-lt"/>
                <a:ea typeface="+mn-ea"/>
                <a:cs typeface="+mn-cs"/>
              </a:defRPr>
            </a:pPr>
          </a:p>
        </c:txPr>
      </c:legendEntry>
      <c:layout>
        <c:manualLayout>
          <c:xMode val="edge"/>
          <c:yMode val="edge"/>
          <c:x val="0.507055843685924"/>
          <c:y val="0.300359712230216"/>
          <c:w val="0.456760342540104"/>
          <c:h val="0.411196043165468"/>
        </c:manualLayout>
      </c:layout>
      <c:overlay val="0"/>
      <c:spPr>
        <a:noFill/>
        <a:ln>
          <a:noFill/>
        </a:ln>
        <a:effectLst/>
      </c:spPr>
      <c:txPr>
        <a:bodyPr rot="0" spcFirstLastPara="0" vertOverflow="ellipsis" vert="horz" wrap="square" anchor="ctr" anchorCtr="1"/>
        <a:lstStyle/>
        <a:p>
          <a:pPr>
            <a:defRPr lang="zh-CN" sz="12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2af35b8c-7811-4ecf-82a4-0115403cf7d4}"/>
      </c:ext>
    </c:extLst>
  </c:chart>
  <c:spPr>
    <a:solidFill>
      <a:schemeClr val="bg1"/>
    </a:solidFill>
    <a:ln w="9525" cap="flat" cmpd="sng" algn="ctr">
      <a:solidFill>
        <a:schemeClr val="tx1">
          <a:lumMod val="15000"/>
          <a:lumOff val="85000"/>
        </a:schemeClr>
      </a:solidFill>
      <a:round/>
    </a:ln>
    <a:effectLst/>
  </c:spPr>
  <c:txPr>
    <a:bodyPr/>
    <a:lstStyle/>
    <a:p>
      <a:pPr>
        <a:defRPr lang="zh-CN" sz="1200"/>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spPr>
        <a:noFill/>
        <a:ln>
          <a:noFill/>
        </a:ln>
        <a:effectLst/>
      </c:spPr>
      <c:txPr>
        <a:bodyPr rot="0" spcFirstLastPara="0" vertOverflow="ellipsis" vert="horz" wrap="square" anchor="ctr" anchorCtr="1"/>
        <a:lstStyle/>
        <a:p>
          <a:pPr>
            <a:defRPr lang="zh-CN" sz="1440" b="1" i="0" u="none" strike="noStrike" kern="1200" baseline="0">
              <a:solidFill>
                <a:schemeClr val="tx1">
                  <a:lumMod val="75000"/>
                  <a:lumOff val="25000"/>
                </a:schemeClr>
              </a:solidFill>
              <a:latin typeface="+mn-lt"/>
              <a:ea typeface="+mn-ea"/>
              <a:cs typeface="+mn-cs"/>
            </a:defRPr>
          </a:pPr>
        </a:p>
      </c:txPr>
    </c:title>
    <c:autoTitleDeleted val="0"/>
    <c:plotArea>
      <c:layout/>
      <c:pieChart>
        <c:varyColors val="1"/>
        <c:ser>
          <c:idx val="0"/>
          <c:order val="0"/>
          <c:tx>
            <c:strRef>
              <c:f>Sheet1!$B$1</c:f>
              <c:strCache>
                <c:ptCount val="1"/>
                <c:pt idx="0">
                  <c:v>“三公”经费财政拨款支出</c:v>
                </c:pt>
              </c:strCache>
            </c:strRef>
          </c:tx>
          <c:spPr/>
          <c:explosion val="0"/>
          <c:dPt>
            <c:idx val="0"/>
            <c:bubble3D val="0"/>
            <c:spPr>
              <a:solidFill>
                <a:schemeClr val="accent1"/>
              </a:solidFill>
              <a:ln>
                <a:solidFill>
                  <a:schemeClr val="bg1"/>
                </a:solidFill>
              </a:ln>
              <a:effectLst/>
            </c:spPr>
          </c:dPt>
          <c:dLbls>
            <c:spPr>
              <a:noFill/>
              <a:ln>
                <a:noFill/>
              </a:ln>
              <a:effectLst/>
            </c:spPr>
            <c:txPr>
              <a:bodyPr rot="0" spcFirstLastPara="0" vertOverflow="ellipsis" vert="horz" wrap="square" lIns="38100" tIns="19050" rIns="38100" bIns="19050" anchor="ctr" anchorCtr="1"/>
              <a:lstStyle/>
              <a:p>
                <a:pPr>
                  <a:defRPr lang="zh-CN" sz="1200" b="0" i="0" u="none" strike="noStrike" kern="1200" baseline="0">
                    <a:solidFill>
                      <a:schemeClr val="tx1">
                        <a:lumMod val="75000"/>
                        <a:lumOff val="25000"/>
                      </a:schemeClr>
                    </a:solidFill>
                    <a:latin typeface="+mn-lt"/>
                    <a:ea typeface="+mn-ea"/>
                    <a:cs typeface="+mn-cs"/>
                  </a:defRPr>
                </a:pPr>
              </a:p>
            </c:txPr>
            <c:dLblPos val="inEnd"/>
            <c:showLegendKey val="0"/>
            <c:showVal val="0"/>
            <c:showCatName val="0"/>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c:f>
              <c:strCache>
                <c:ptCount val="1"/>
                <c:pt idx="0">
                  <c:v>公务用车购置及运行维护费支出</c:v>
                </c:pt>
              </c:strCache>
            </c:strRef>
          </c:cat>
          <c:val>
            <c:numRef>
              <c:f>Sheet1!$B$2</c:f>
              <c:numCache>
                <c:formatCode>General</c:formatCode>
                <c:ptCount val="1"/>
                <c:pt idx="0">
                  <c:v>2.86</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t"/>
      <c:legendEntry>
        <c:idx val="0"/>
        <c:txPr>
          <a:bodyPr rot="0" spcFirstLastPara="0" vertOverflow="ellipsis" vert="horz" wrap="square" anchor="ctr" anchorCtr="1"/>
          <a:lstStyle/>
          <a:p>
            <a:pPr>
              <a:defRPr lang="zh-CN" sz="1200" b="0" i="0" u="none" strike="noStrike" kern="1200" baseline="0">
                <a:solidFill>
                  <a:schemeClr val="tx1">
                    <a:lumMod val="65000"/>
                    <a:lumOff val="35000"/>
                  </a:schemeClr>
                </a:solidFill>
                <a:latin typeface="+mn-lt"/>
                <a:ea typeface="+mn-ea"/>
                <a:cs typeface="+mn-cs"/>
              </a:defRPr>
            </a:pPr>
          </a:p>
        </c:txPr>
      </c:legendEntry>
      <c:layout/>
      <c:overlay val="0"/>
      <c:spPr>
        <a:noFill/>
        <a:ln>
          <a:noFill/>
        </a:ln>
        <a:effectLst/>
      </c:spPr>
      <c:txPr>
        <a:bodyPr rot="0" spcFirstLastPara="0" vertOverflow="ellipsis" vert="horz" wrap="square" anchor="ctr" anchorCtr="1"/>
        <a:lstStyle/>
        <a:p>
          <a:pPr>
            <a:defRPr lang="zh-CN" sz="12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4e289583-d8c4-4524-8051-0659c84ed260}"/>
      </c:ext>
    </c:extLst>
  </c:chart>
  <c:spPr>
    <a:solidFill>
      <a:schemeClr val="bg1"/>
    </a:solidFill>
    <a:ln w="9525" cap="flat" cmpd="sng" algn="ctr">
      <a:solidFill>
        <a:schemeClr val="tx1">
          <a:lumMod val="15000"/>
          <a:lumOff val="85000"/>
        </a:schemeClr>
      </a:solidFill>
      <a:round/>
    </a:ln>
    <a:effectLst/>
  </c:spPr>
  <c:txPr>
    <a:bodyPr/>
    <a:lstStyle/>
    <a:p>
      <a:pPr>
        <a:defRPr lang="zh-CN" sz="1200"/>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1008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100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noFill/>
      </a:ln>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10083">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1008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100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noFill/>
      </a:ln>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100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noFill/>
      </a:ln>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1008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四川省财政厅</Company>
  <Pages>53</Pages>
  <Words>10719</Words>
  <Characters>11809</Characters>
  <Lines>63</Lines>
  <Paragraphs>17</Paragraphs>
  <TotalTime>0</TotalTime>
  <ScaleCrop>false</ScaleCrop>
  <LinksUpToDate>false</LinksUpToDate>
  <CharactersWithSpaces>11953</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2020-08-09T09:49:00Z</dcterms:created>
  <dc:creator>曹颖</dc:creator>
  <cp:lastModifiedBy>阿淇</cp:lastModifiedBy>
  <cp:lastPrinted>2025-08-06T17:34:00Z</cp:lastPrinted>
  <dcterms:modified xsi:type="dcterms:W3CDTF">2025-10-28T08:24:45Z</dcterms:modified>
  <dc:title>四川省***</dc:title>
  <cp:revision>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82F93CF9C0ED4E7D8E52078080D415A1_13</vt:lpwstr>
  </property>
  <property fmtid="{D5CDD505-2E9C-101B-9397-08002B2CF9AE}" pid="4" name="KSOTemplateDocerSaveRecord">
    <vt:lpwstr>eyJoZGlkIjoiOGI1MTY4OTk2MzU4ZjdhYmQwMDg0OWY0ZTk2N2ZkOTAiLCJ1c2VySWQiOiI2NjE3NzA3MDEifQ==</vt:lpwstr>
  </property>
</Properties>
</file>