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pageBreakBefore w:val="0"/>
        <w:kinsoku/>
        <w:wordWrap/>
        <w:overflowPunct/>
        <w:bidi w:val="0"/>
        <w:spacing w:before="93"/>
        <w:textAlignment w:val="auto"/>
        <w:rPr>
          <w:rFonts w:ascii="Times New Roman" w:eastAsia="方正小标宋简体"/>
          <w:kern w:val="2"/>
          <w:sz w:val="72"/>
          <w:szCs w:val="72"/>
        </w:rPr>
      </w:pPr>
      <w:bookmarkStart w:id="0" w:name="_Toc15396597"/>
      <w:bookmarkStart w:id="1" w:name="_Toc15306267"/>
      <w:bookmarkStart w:id="2" w:name="_Toc15396475"/>
      <w:bookmarkStart w:id="3" w:name="_Toc15377425"/>
      <w:bookmarkStart w:id="4" w:name="_Toc15378441"/>
      <w:bookmarkStart w:id="5" w:name="_Toc15377193"/>
    </w:p>
    <w:p>
      <w:pPr>
        <w:pStyle w:val="7"/>
        <w:pageBreakBefore w:val="0"/>
        <w:kinsoku/>
        <w:wordWrap/>
        <w:overflowPunct/>
        <w:bidi w:val="0"/>
        <w:spacing w:before="93"/>
        <w:textAlignment w:val="auto"/>
        <w:rPr>
          <w:rFonts w:ascii="Times New Roman" w:eastAsia="方正小标宋简体"/>
          <w:kern w:val="2"/>
          <w:sz w:val="72"/>
          <w:szCs w:val="72"/>
        </w:rPr>
      </w:pPr>
    </w:p>
    <w:p>
      <w:pPr>
        <w:pStyle w:val="7"/>
        <w:pageBreakBefore w:val="0"/>
        <w:kinsoku/>
        <w:wordWrap/>
        <w:overflowPunct/>
        <w:bidi w:val="0"/>
        <w:spacing w:before="93"/>
        <w:textAlignment w:val="auto"/>
        <w:rPr>
          <w:rFonts w:ascii="Times New Roman" w:eastAsia="方正小标宋简体"/>
          <w:kern w:val="2"/>
          <w:sz w:val="72"/>
          <w:szCs w:val="72"/>
        </w:rPr>
      </w:pPr>
    </w:p>
    <w:p>
      <w:pPr>
        <w:pStyle w:val="7"/>
        <w:pageBreakBefore w:val="0"/>
        <w:kinsoku/>
        <w:wordWrap/>
        <w:overflowPunct/>
        <w:bidi w:val="0"/>
        <w:spacing w:before="93"/>
        <w:jc w:val="center"/>
        <w:textAlignment w:val="auto"/>
        <w:rPr>
          <w:rFonts w:ascii="Times New Roman" w:eastAsia="方正小标宋简体"/>
          <w:kern w:val="2"/>
          <w:sz w:val="72"/>
          <w:szCs w:val="72"/>
        </w:rPr>
      </w:pPr>
      <w:r>
        <w:rPr>
          <w:rFonts w:hint="eastAsia" w:ascii="Times New Roman" w:eastAsia="方正小标宋简体"/>
          <w:kern w:val="2"/>
          <w:sz w:val="72"/>
          <w:szCs w:val="72"/>
        </w:rPr>
        <w:t>2024年度</w:t>
      </w:r>
    </w:p>
    <w:p>
      <w:pPr>
        <w:pStyle w:val="7"/>
        <w:pageBreakBefore w:val="0"/>
        <w:kinsoku/>
        <w:wordWrap/>
        <w:overflowPunct/>
        <w:bidi w:val="0"/>
        <w:spacing w:before="93"/>
        <w:jc w:val="center"/>
        <w:textAlignment w:val="auto"/>
        <w:rPr>
          <w:rFonts w:ascii="Times New Roman" w:eastAsia="方正小标宋简体"/>
          <w:kern w:val="2"/>
          <w:sz w:val="72"/>
          <w:szCs w:val="72"/>
        </w:rPr>
      </w:pPr>
      <w:r>
        <w:rPr>
          <w:rFonts w:hint="eastAsia" w:ascii="方正小标宋简体" w:hAnsi="方正小标宋简体" w:eastAsia="方正小标宋简体" w:cs="方正小标宋简体"/>
          <w:kern w:val="2"/>
          <w:sz w:val="72"/>
          <w:szCs w:val="72"/>
          <w:lang w:val="en-US" w:eastAsia="zh-CN" w:bidi="ar-SA"/>
        </w:rPr>
        <w:t>盐边县司法局</w:t>
      </w:r>
      <w:r>
        <w:rPr>
          <w:rFonts w:hint="eastAsia" w:ascii="Times New Roman" w:eastAsia="方正小标宋简体"/>
          <w:kern w:val="2"/>
          <w:sz w:val="72"/>
          <w:szCs w:val="72"/>
        </w:rPr>
        <w:t>部门决算</w:t>
      </w:r>
    </w:p>
    <w:p>
      <w:pPr>
        <w:pStyle w:val="7"/>
        <w:pageBreakBefore w:val="0"/>
        <w:kinsoku/>
        <w:wordWrap/>
        <w:overflowPunct/>
        <w:bidi w:val="0"/>
        <w:spacing w:before="93"/>
        <w:jc w:val="center"/>
        <w:textAlignment w:val="auto"/>
        <w:rPr>
          <w:rFonts w:ascii="Times New Roman" w:eastAsia="方正小标宋简体"/>
          <w:kern w:val="2"/>
          <w:sz w:val="72"/>
          <w:szCs w:val="72"/>
        </w:rPr>
      </w:pPr>
      <w:r>
        <w:rPr>
          <w:rFonts w:hint="eastAsia" w:ascii="Times New Roman" w:eastAsia="方正小标宋简体"/>
          <w:kern w:val="2"/>
          <w:sz w:val="72"/>
          <w:szCs w:val="72"/>
        </w:rPr>
        <w:t>公开编制说明</w:t>
      </w:r>
    </w:p>
    <w:p>
      <w:pPr>
        <w:pageBreakBefore w:val="0"/>
        <w:kinsoku/>
        <w:wordWrap/>
        <w:overflowPunct/>
        <w:bidi w:val="0"/>
        <w:spacing w:line="600" w:lineRule="exact"/>
        <w:jc w:val="center"/>
        <w:textAlignment w:val="auto"/>
        <w:outlineLvl w:val="0"/>
        <w:rPr>
          <w:rFonts w:eastAsia="方正小标宋简体"/>
          <w:sz w:val="72"/>
          <w:szCs w:val="72"/>
        </w:rPr>
      </w:pPr>
    </w:p>
    <w:p>
      <w:pPr>
        <w:pStyle w:val="2"/>
        <w:pageBreakBefore w:val="0"/>
        <w:kinsoku/>
        <w:wordWrap/>
        <w:overflowPunct/>
        <w:bidi w:val="0"/>
        <w:textAlignment w:val="auto"/>
        <w:rPr>
          <w:rFonts w:ascii="Times New Roman" w:hAnsi="Times New Roman"/>
        </w:rPr>
        <w:sectPr>
          <w:headerReference r:id="rId3" w:type="default"/>
          <w:footerReference r:id="rId4" w:type="default"/>
          <w:pgSz w:w="11906" w:h="16838"/>
          <w:pgMar w:top="1440" w:right="1800" w:bottom="1440" w:left="1800" w:header="851" w:footer="992" w:gutter="0"/>
          <w:pgNumType w:fmt="numberInDash" w:start="1"/>
          <w:cols w:space="425" w:num="1"/>
          <w:titlePg/>
          <w:docGrid w:type="lines" w:linePitch="312" w:charSpace="0"/>
        </w:sectPr>
      </w:pPr>
    </w:p>
    <w:p>
      <w:pPr>
        <w:pageBreakBefore w:val="0"/>
        <w:kinsoku/>
        <w:wordWrap/>
        <w:overflowPunct/>
        <w:bidi w:val="0"/>
        <w:textAlignment w:val="auto"/>
      </w:pPr>
    </w:p>
    <w:bookmarkEnd w:id="0"/>
    <w:bookmarkEnd w:id="1"/>
    <w:bookmarkEnd w:id="2"/>
    <w:bookmarkEnd w:id="3"/>
    <w:bookmarkEnd w:id="4"/>
    <w:bookmarkEnd w:id="5"/>
    <w:p>
      <w:pPr>
        <w:pageBreakBefore w:val="0"/>
        <w:widowControl/>
        <w:kinsoku/>
        <w:wordWrap/>
        <w:overflowPunct/>
        <w:bidi w:val="0"/>
        <w:jc w:val="center"/>
        <w:textAlignment w:val="auto"/>
        <w:rPr>
          <w:rFonts w:eastAsia="黑体"/>
          <w:sz w:val="48"/>
          <w:szCs w:val="48"/>
        </w:rPr>
      </w:pPr>
      <w:r>
        <w:rPr>
          <w:rFonts w:hint="eastAsia" w:eastAsia="黑体"/>
          <w:sz w:val="48"/>
          <w:szCs w:val="48"/>
        </w:rPr>
        <w:t>目录</w:t>
      </w:r>
    </w:p>
    <w:p>
      <w:pPr>
        <w:pageBreakBefore w:val="0"/>
        <w:widowControl/>
        <w:kinsoku/>
        <w:wordWrap/>
        <w:overflowPunct/>
        <w:bidi w:val="0"/>
        <w:jc w:val="center"/>
        <w:textAlignment w:val="auto"/>
        <w:rPr>
          <w:rFonts w:eastAsia="黑体" w:cstheme="minorBidi"/>
          <w:sz w:val="28"/>
          <w:szCs w:val="28"/>
        </w:rPr>
      </w:pPr>
    </w:p>
    <w:p>
      <w:pPr>
        <w:pStyle w:val="13"/>
        <w:pageBreakBefore w:val="0"/>
        <w:kinsoku/>
        <w:wordWrap/>
        <w:overflowPunct/>
        <w:bidi w:val="0"/>
        <w:textAlignment w:val="auto"/>
        <w:rPr>
          <w:rFonts w:ascii="Times New Roman" w:hAnsi="Times New Roman" w:eastAsia="仿宋_GB2312" w:cs="仿宋_GB2312"/>
          <w:sz w:val="32"/>
          <w:szCs w:val="32"/>
        </w:rPr>
      </w:pPr>
      <w:r>
        <w:rPr>
          <w:rFonts w:hint="eastAsia" w:ascii="Times New Roman" w:hAnsi="Times New Roman" w:eastAsia="仿宋_GB2312" w:cs="仿宋_GB2312"/>
          <w:sz w:val="32"/>
          <w:szCs w:val="32"/>
        </w:rPr>
        <w:t>公开时间：2025年</w:t>
      </w:r>
      <w:r>
        <w:rPr>
          <w:rFonts w:hint="eastAsia" w:ascii="Times New Roman" w:hAnsi="Times New Roman" w:eastAsia="仿宋_GB2312" w:cs="仿宋_GB2312"/>
          <w:sz w:val="32"/>
          <w:szCs w:val="32"/>
          <w:lang w:val="en-US" w:eastAsia="zh-CN"/>
        </w:rPr>
        <w:t>10</w:t>
      </w:r>
      <w:r>
        <w:rPr>
          <w:rFonts w:hint="eastAsia" w:ascii="Times New Roman" w:hAnsi="Times New Roman" w:eastAsia="仿宋_GB2312" w:cs="仿宋_GB2312"/>
          <w:sz w:val="32"/>
          <w:szCs w:val="32"/>
        </w:rPr>
        <w:t>月</w:t>
      </w:r>
      <w:r>
        <w:rPr>
          <w:rFonts w:hint="eastAsia" w:ascii="Times New Roman" w:hAnsi="Times New Roman" w:eastAsia="仿宋_GB2312" w:cs="仿宋_GB2312"/>
          <w:sz w:val="32"/>
          <w:szCs w:val="32"/>
          <w:lang w:val="en-US" w:eastAsia="zh-CN"/>
        </w:rPr>
        <w:t>28</w:t>
      </w:r>
      <w:r>
        <w:rPr>
          <w:rFonts w:hint="eastAsia" w:ascii="Times New Roman" w:hAnsi="Times New Roman" w:eastAsia="仿宋_GB2312" w:cs="仿宋_GB2312"/>
          <w:sz w:val="32"/>
          <w:szCs w:val="32"/>
        </w:rPr>
        <w:t>日</w:t>
      </w:r>
    </w:p>
    <w:p>
      <w:pPr>
        <w:pageBreakBefore w:val="0"/>
        <w:kinsoku/>
        <w:wordWrap/>
        <w:overflowPunct/>
        <w:bidi w:val="0"/>
        <w:textAlignment w:val="auto"/>
      </w:pPr>
    </w:p>
    <w:sdt>
      <w:sdtPr>
        <w:rPr>
          <w:rFonts w:ascii="宋体" w:hAnsi="宋体" w:eastAsia="宋体" w:cs="Times New Roman"/>
          <w:kern w:val="2"/>
          <w:sz w:val="21"/>
          <w:szCs w:val="24"/>
          <w:lang w:val="en-US" w:eastAsia="zh-CN" w:bidi="ar-SA"/>
        </w:rPr>
        <w:id w:val="147453312"/>
        <w:docPartObj>
          <w:docPartGallery w:val="Table of Contents"/>
          <w:docPartUnique/>
        </w:docPartObj>
      </w:sdtPr>
      <w:sdtEndPr>
        <w:rPr>
          <w:rFonts w:ascii="宋体" w:hAnsi="宋体" w:eastAsia="宋体" w:cs="Times New Roman"/>
          <w:kern w:val="2"/>
          <w:sz w:val="20"/>
          <w:szCs w:val="20"/>
          <w:lang w:val="en-US" w:eastAsia="zh-CN" w:bidi="ar-SA"/>
        </w:rPr>
      </w:sdtEndPr>
      <w:sdtContent>
        <w:p>
          <w:pPr>
            <w:spacing w:before="0" w:beforeLines="0" w:after="0" w:afterLines="0" w:line="240" w:lineRule="auto"/>
            <w:ind w:left="0" w:leftChars="0" w:right="0" w:rightChars="0" w:firstLine="0" w:firstLineChars="0"/>
            <w:jc w:val="center"/>
          </w:pPr>
          <w:bookmarkStart w:id="6" w:name="_Toc509_WPSOffice_Type2"/>
          <w:r>
            <w:rPr>
              <w:rFonts w:ascii="宋体" w:hAnsi="宋体" w:eastAsia="宋体"/>
              <w:sz w:val="21"/>
            </w:rPr>
            <w:t>目录</w:t>
          </w:r>
        </w:p>
        <w:p>
          <w:pPr>
            <w:pStyle w:val="39"/>
            <w:keepNext w:val="0"/>
            <w:keepLines w:val="0"/>
            <w:pageBreakBefore w:val="0"/>
            <w:widowControl/>
            <w:tabs>
              <w:tab w:val="right" w:leader="dot" w:pos="8306"/>
            </w:tabs>
            <w:kinsoku/>
            <w:wordWrap/>
            <w:overflowPunct/>
            <w:topLinePunct w:val="0"/>
            <w:autoSpaceDE/>
            <w:autoSpaceDN/>
            <w:bidi w:val="0"/>
            <w:adjustRightInd/>
            <w:snapToGrid/>
            <w:spacing w:line="320" w:lineRule="exact"/>
            <w:textAlignment w:val="auto"/>
          </w:pPr>
          <w:r>
            <w:rPr>
              <w:b/>
              <w:bCs/>
            </w:rPr>
            <w:fldChar w:fldCharType="begin"/>
          </w:r>
          <w:r>
            <w:instrText xml:space="preserve"> HYPERLINK \l _Toc14767_WPSOffice_Level1 </w:instrText>
          </w:r>
          <w:r>
            <w:rPr>
              <w:b/>
              <w:bCs/>
            </w:rPr>
            <w:fldChar w:fldCharType="separate"/>
          </w:r>
          <w:sdt>
            <w:sdtPr>
              <w:rPr>
                <w:rFonts w:ascii="Times New Roman" w:hAnsi="Times New Roman" w:eastAsia="宋体" w:cs="Times New Roman"/>
                <w:b/>
                <w:bCs/>
                <w:kern w:val="44"/>
                <w:sz w:val="44"/>
                <w:szCs w:val="44"/>
                <w:lang w:val="en-US" w:eastAsia="zh-CN" w:bidi="ar-SA"/>
              </w:rPr>
              <w:id w:val="147453315"/>
              <w:placeholder>
                <w:docPart w:val="{05b3b320-0474-4403-a97f-1979a766e063}"/>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宋体" w:cs="Times New Roman"/>
                  <w:b/>
                  <w:bCs/>
                </w:rPr>
                <w:t>第一部分 部门概况</w:t>
              </w:r>
            </w:sdtContent>
          </w:sdt>
          <w:r>
            <w:rPr>
              <w:b/>
              <w:bCs/>
            </w:rPr>
            <w:tab/>
          </w:r>
          <w:bookmarkStart w:id="7" w:name="_Toc14767_WPSOffice_Level1Page"/>
          <w:r>
            <w:rPr>
              <w:b/>
              <w:bCs/>
            </w:rPr>
            <w:t>1</w:t>
          </w:r>
          <w:bookmarkEnd w:id="7"/>
          <w:r>
            <w:rPr>
              <w:b/>
              <w:bCs/>
            </w:rPr>
            <w:fldChar w:fldCharType="end"/>
          </w:r>
        </w:p>
        <w:p>
          <w:pPr>
            <w:pStyle w:val="40"/>
            <w:keepNext w:val="0"/>
            <w:keepLines w:val="0"/>
            <w:pageBreakBefore w:val="0"/>
            <w:widowControl/>
            <w:tabs>
              <w:tab w:val="right" w:leader="dot" w:pos="8306"/>
            </w:tabs>
            <w:kinsoku/>
            <w:wordWrap/>
            <w:overflowPunct/>
            <w:topLinePunct w:val="0"/>
            <w:autoSpaceDE/>
            <w:autoSpaceDN/>
            <w:bidi w:val="0"/>
            <w:adjustRightInd/>
            <w:snapToGrid/>
            <w:spacing w:line="320" w:lineRule="exact"/>
            <w:textAlignment w:val="auto"/>
          </w:pPr>
          <w:r>
            <w:fldChar w:fldCharType="begin"/>
          </w:r>
          <w:r>
            <w:instrText xml:space="preserve"> HYPERLINK \l _Toc22529_WPSOffice_Level2 </w:instrText>
          </w:r>
          <w:r>
            <w:fldChar w:fldCharType="separate"/>
          </w:r>
          <w:sdt>
            <w:sdtPr>
              <w:rPr>
                <w:rFonts w:ascii="Times New Roman" w:hAnsi="Times New Roman" w:eastAsia="宋体" w:cs="Times New Roman"/>
                <w:b/>
                <w:bCs/>
                <w:kern w:val="44"/>
                <w:sz w:val="44"/>
                <w:szCs w:val="44"/>
                <w:lang w:val="en-US" w:eastAsia="zh-CN" w:bidi="ar-SA"/>
              </w:rPr>
              <w:id w:val="147453315"/>
              <w:placeholder>
                <w:docPart w:val="{6726a467-99ba-49ae-8be1-75073673875f}"/>
              </w:placeholder>
            </w:sdtPr>
            <w:sdtEndPr>
              <w:rPr>
                <w:rFonts w:ascii="Times New Roman" w:hAnsi="Times New Roman" w:eastAsia="宋体" w:cs="Times New Roman"/>
                <w:b/>
                <w:bCs/>
                <w:kern w:val="44"/>
                <w:sz w:val="44"/>
                <w:szCs w:val="44"/>
                <w:lang w:val="en-US" w:eastAsia="zh-CN" w:bidi="ar-SA"/>
              </w:rPr>
            </w:sdtEndPr>
            <w:sdtContent>
              <w:r>
                <w:rPr>
                  <w:rFonts w:hint="eastAsia" w:asciiTheme="majorHAnsi" w:hAnsiTheme="majorHAnsi" w:eastAsiaTheme="majorEastAsia" w:cstheme="majorBidi"/>
                </w:rPr>
                <w:t>一、部门职责</w:t>
              </w:r>
            </w:sdtContent>
          </w:sdt>
          <w:r>
            <w:tab/>
          </w:r>
          <w:bookmarkStart w:id="8" w:name="_Toc22529_WPSOffice_Level2Page"/>
          <w:r>
            <w:t>1</w:t>
          </w:r>
          <w:bookmarkEnd w:id="8"/>
          <w:r>
            <w:fldChar w:fldCharType="end"/>
          </w:r>
        </w:p>
        <w:p>
          <w:pPr>
            <w:pStyle w:val="40"/>
            <w:keepNext w:val="0"/>
            <w:keepLines w:val="0"/>
            <w:pageBreakBefore w:val="0"/>
            <w:widowControl/>
            <w:tabs>
              <w:tab w:val="right" w:leader="dot" w:pos="8306"/>
            </w:tabs>
            <w:kinsoku/>
            <w:wordWrap/>
            <w:overflowPunct/>
            <w:topLinePunct w:val="0"/>
            <w:autoSpaceDE/>
            <w:autoSpaceDN/>
            <w:bidi w:val="0"/>
            <w:adjustRightInd/>
            <w:snapToGrid/>
            <w:spacing w:line="320" w:lineRule="exact"/>
            <w:textAlignment w:val="auto"/>
          </w:pPr>
          <w:r>
            <w:fldChar w:fldCharType="begin"/>
          </w:r>
          <w:r>
            <w:instrText xml:space="preserve"> HYPERLINK \l _Toc15414_WPSOffice_Level2 </w:instrText>
          </w:r>
          <w:r>
            <w:fldChar w:fldCharType="separate"/>
          </w:r>
          <w:sdt>
            <w:sdtPr>
              <w:rPr>
                <w:rFonts w:ascii="Times New Roman" w:hAnsi="Times New Roman" w:eastAsia="宋体" w:cs="Times New Roman"/>
                <w:b/>
                <w:bCs/>
                <w:kern w:val="44"/>
                <w:sz w:val="44"/>
                <w:szCs w:val="44"/>
                <w:lang w:val="en-US" w:eastAsia="zh-CN" w:bidi="ar-SA"/>
              </w:rPr>
              <w:id w:val="147453315"/>
              <w:placeholder>
                <w:docPart w:val="{15be5a78-ce47-41c9-a1aa-b5060a997c95}"/>
              </w:placeholder>
            </w:sdtPr>
            <w:sdtEndPr>
              <w:rPr>
                <w:rFonts w:ascii="Times New Roman" w:hAnsi="Times New Roman" w:eastAsia="宋体" w:cs="Times New Roman"/>
                <w:b/>
                <w:bCs/>
                <w:kern w:val="44"/>
                <w:sz w:val="44"/>
                <w:szCs w:val="44"/>
                <w:lang w:val="en-US" w:eastAsia="zh-CN" w:bidi="ar-SA"/>
              </w:rPr>
            </w:sdtEndPr>
            <w:sdtContent>
              <w:r>
                <w:rPr>
                  <w:rFonts w:hint="eastAsia" w:asciiTheme="majorHAnsi" w:hAnsiTheme="majorHAnsi" w:eastAsiaTheme="majorEastAsia" w:cstheme="majorBidi"/>
                </w:rPr>
                <w:t>二、机构设置</w:t>
              </w:r>
            </w:sdtContent>
          </w:sdt>
          <w:r>
            <w:tab/>
          </w:r>
          <w:bookmarkStart w:id="9" w:name="_Toc15414_WPSOffice_Level2Page"/>
          <w:r>
            <w:t>1</w:t>
          </w:r>
          <w:bookmarkEnd w:id="9"/>
          <w:r>
            <w:fldChar w:fldCharType="end"/>
          </w:r>
        </w:p>
        <w:p>
          <w:pPr>
            <w:pStyle w:val="39"/>
            <w:keepNext w:val="0"/>
            <w:keepLines w:val="0"/>
            <w:pageBreakBefore w:val="0"/>
            <w:widowControl/>
            <w:tabs>
              <w:tab w:val="right" w:leader="dot" w:pos="8306"/>
            </w:tabs>
            <w:kinsoku/>
            <w:wordWrap/>
            <w:overflowPunct/>
            <w:topLinePunct w:val="0"/>
            <w:autoSpaceDE/>
            <w:autoSpaceDN/>
            <w:bidi w:val="0"/>
            <w:adjustRightInd/>
            <w:snapToGrid/>
            <w:spacing w:line="320" w:lineRule="exact"/>
            <w:textAlignment w:val="auto"/>
          </w:pPr>
          <w:r>
            <w:rPr>
              <w:b/>
              <w:bCs/>
            </w:rPr>
            <w:fldChar w:fldCharType="begin"/>
          </w:r>
          <w:r>
            <w:instrText xml:space="preserve"> HYPERLINK \l _Toc22529_WPSOffice_Level1 </w:instrText>
          </w:r>
          <w:r>
            <w:rPr>
              <w:b/>
              <w:bCs/>
            </w:rPr>
            <w:fldChar w:fldCharType="separate"/>
          </w:r>
          <w:sdt>
            <w:sdtPr>
              <w:rPr>
                <w:rFonts w:ascii="Times New Roman" w:hAnsi="Times New Roman" w:eastAsia="宋体" w:cs="Times New Roman"/>
                <w:b/>
                <w:bCs/>
                <w:kern w:val="44"/>
                <w:sz w:val="44"/>
                <w:szCs w:val="44"/>
                <w:lang w:val="en-US" w:eastAsia="zh-CN" w:bidi="ar-SA"/>
              </w:rPr>
              <w:id w:val="147453315"/>
              <w:placeholder>
                <w:docPart w:val="{34e945a2-15e5-46a5-b361-3b10a1834c99}"/>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宋体" w:cs="Times New Roman"/>
                  <w:b/>
                  <w:bCs/>
                </w:rPr>
                <w:t>第二部分 2024年度部门决算情况说明</w:t>
              </w:r>
            </w:sdtContent>
          </w:sdt>
          <w:r>
            <w:rPr>
              <w:b/>
              <w:bCs/>
            </w:rPr>
            <w:tab/>
          </w:r>
          <w:bookmarkStart w:id="10" w:name="_Toc22529_WPSOffice_Level1Page"/>
          <w:r>
            <w:rPr>
              <w:b/>
              <w:bCs/>
            </w:rPr>
            <w:t>2</w:t>
          </w:r>
          <w:bookmarkEnd w:id="10"/>
          <w:r>
            <w:rPr>
              <w:b/>
              <w:bCs/>
            </w:rPr>
            <w:fldChar w:fldCharType="end"/>
          </w:r>
        </w:p>
        <w:p>
          <w:pPr>
            <w:pStyle w:val="40"/>
            <w:keepNext w:val="0"/>
            <w:keepLines w:val="0"/>
            <w:pageBreakBefore w:val="0"/>
            <w:widowControl/>
            <w:tabs>
              <w:tab w:val="right" w:leader="dot" w:pos="8306"/>
            </w:tabs>
            <w:kinsoku/>
            <w:wordWrap/>
            <w:overflowPunct/>
            <w:topLinePunct w:val="0"/>
            <w:autoSpaceDE/>
            <w:autoSpaceDN/>
            <w:bidi w:val="0"/>
            <w:adjustRightInd/>
            <w:snapToGrid/>
            <w:spacing w:line="320" w:lineRule="exact"/>
            <w:textAlignment w:val="auto"/>
          </w:pPr>
          <w:r>
            <w:fldChar w:fldCharType="begin"/>
          </w:r>
          <w:r>
            <w:instrText xml:space="preserve"> HYPERLINK \l _Toc16704_WPSOffice_Level2 </w:instrText>
          </w:r>
          <w:r>
            <w:fldChar w:fldCharType="separate"/>
          </w:r>
          <w:sdt>
            <w:sdtPr>
              <w:rPr>
                <w:rFonts w:ascii="Times New Roman" w:hAnsi="Times New Roman" w:eastAsia="宋体" w:cs="Times New Roman"/>
                <w:b/>
                <w:bCs/>
                <w:kern w:val="44"/>
                <w:sz w:val="44"/>
                <w:szCs w:val="44"/>
                <w:lang w:val="en-US" w:eastAsia="zh-CN" w:bidi="ar-SA"/>
              </w:rPr>
              <w:id w:val="147453315"/>
              <w:placeholder>
                <w:docPart w:val="{0f6886f3-67e4-40e7-a8e5-c414e697e943}"/>
              </w:placeholder>
            </w:sdtPr>
            <w:sdtEndPr>
              <w:rPr>
                <w:rFonts w:ascii="Times New Roman" w:hAnsi="Times New Roman" w:eastAsia="宋体" w:cs="Times New Roman"/>
                <w:b/>
                <w:bCs/>
                <w:kern w:val="44"/>
                <w:sz w:val="44"/>
                <w:szCs w:val="44"/>
                <w:lang w:val="en-US" w:eastAsia="zh-CN" w:bidi="ar-SA"/>
              </w:rPr>
            </w:sdtEndPr>
            <w:sdtContent>
              <w:r>
                <w:rPr>
                  <w:rFonts w:hint="eastAsia" w:asciiTheme="majorHAnsi" w:hAnsiTheme="majorHAnsi" w:eastAsiaTheme="majorEastAsia" w:cstheme="majorBidi"/>
                </w:rPr>
                <w:t>一、收入支出决算总体情况说明</w:t>
              </w:r>
            </w:sdtContent>
          </w:sdt>
          <w:r>
            <w:tab/>
          </w:r>
          <w:bookmarkStart w:id="11" w:name="_Toc16704_WPSOffice_Level2Page"/>
          <w:r>
            <w:t>2</w:t>
          </w:r>
          <w:bookmarkEnd w:id="11"/>
          <w:r>
            <w:fldChar w:fldCharType="end"/>
          </w:r>
        </w:p>
        <w:p>
          <w:pPr>
            <w:pStyle w:val="40"/>
            <w:keepNext w:val="0"/>
            <w:keepLines w:val="0"/>
            <w:pageBreakBefore w:val="0"/>
            <w:widowControl/>
            <w:tabs>
              <w:tab w:val="right" w:leader="dot" w:pos="8306"/>
            </w:tabs>
            <w:kinsoku/>
            <w:wordWrap/>
            <w:overflowPunct/>
            <w:topLinePunct w:val="0"/>
            <w:autoSpaceDE/>
            <w:autoSpaceDN/>
            <w:bidi w:val="0"/>
            <w:adjustRightInd/>
            <w:snapToGrid/>
            <w:spacing w:line="320" w:lineRule="exact"/>
            <w:textAlignment w:val="auto"/>
          </w:pPr>
          <w:r>
            <w:fldChar w:fldCharType="begin"/>
          </w:r>
          <w:r>
            <w:instrText xml:space="preserve"> HYPERLINK \l _Toc31060_WPSOffice_Level2 </w:instrText>
          </w:r>
          <w:r>
            <w:fldChar w:fldCharType="separate"/>
          </w:r>
          <w:sdt>
            <w:sdtPr>
              <w:rPr>
                <w:rFonts w:ascii="Times New Roman" w:hAnsi="Times New Roman" w:eastAsia="宋体" w:cs="Times New Roman"/>
                <w:b/>
                <w:bCs/>
                <w:kern w:val="44"/>
                <w:sz w:val="44"/>
                <w:szCs w:val="44"/>
                <w:lang w:val="en-US" w:eastAsia="zh-CN" w:bidi="ar-SA"/>
              </w:rPr>
              <w:id w:val="147453315"/>
              <w:placeholder>
                <w:docPart w:val="{4bb087c6-71b2-42cf-adf4-6195d42f4903}"/>
              </w:placeholder>
            </w:sdtPr>
            <w:sdtEndPr>
              <w:rPr>
                <w:rFonts w:ascii="Times New Roman" w:hAnsi="Times New Roman" w:eastAsia="宋体" w:cs="Times New Roman"/>
                <w:b/>
                <w:bCs/>
                <w:kern w:val="44"/>
                <w:sz w:val="44"/>
                <w:szCs w:val="44"/>
                <w:lang w:val="en-US" w:eastAsia="zh-CN" w:bidi="ar-SA"/>
              </w:rPr>
            </w:sdtEndPr>
            <w:sdtContent>
              <w:r>
                <w:rPr>
                  <w:rFonts w:hint="eastAsia" w:asciiTheme="majorHAnsi" w:hAnsiTheme="majorHAnsi" w:eastAsiaTheme="majorEastAsia" w:cstheme="majorBidi"/>
                </w:rPr>
                <w:t>二、收入决算情况说明</w:t>
              </w:r>
            </w:sdtContent>
          </w:sdt>
          <w:r>
            <w:tab/>
          </w:r>
          <w:bookmarkStart w:id="12" w:name="_Toc31060_WPSOffice_Level2Page"/>
          <w:r>
            <w:t>2</w:t>
          </w:r>
          <w:bookmarkEnd w:id="12"/>
          <w:r>
            <w:fldChar w:fldCharType="end"/>
          </w:r>
        </w:p>
        <w:p>
          <w:pPr>
            <w:pStyle w:val="40"/>
            <w:keepNext w:val="0"/>
            <w:keepLines w:val="0"/>
            <w:pageBreakBefore w:val="0"/>
            <w:widowControl/>
            <w:tabs>
              <w:tab w:val="right" w:leader="dot" w:pos="8306"/>
            </w:tabs>
            <w:kinsoku/>
            <w:wordWrap/>
            <w:overflowPunct/>
            <w:topLinePunct w:val="0"/>
            <w:autoSpaceDE/>
            <w:autoSpaceDN/>
            <w:bidi w:val="0"/>
            <w:adjustRightInd/>
            <w:snapToGrid/>
            <w:spacing w:line="320" w:lineRule="exact"/>
            <w:textAlignment w:val="auto"/>
          </w:pPr>
          <w:r>
            <w:fldChar w:fldCharType="begin"/>
          </w:r>
          <w:r>
            <w:instrText xml:space="preserve"> HYPERLINK \l _Toc9964_WPSOffice_Level2 </w:instrText>
          </w:r>
          <w:r>
            <w:fldChar w:fldCharType="separate"/>
          </w:r>
          <w:sdt>
            <w:sdtPr>
              <w:rPr>
                <w:rFonts w:ascii="Times New Roman" w:hAnsi="Times New Roman" w:eastAsia="宋体" w:cs="Times New Roman"/>
                <w:b/>
                <w:bCs/>
                <w:kern w:val="44"/>
                <w:sz w:val="44"/>
                <w:szCs w:val="44"/>
                <w:lang w:val="en-US" w:eastAsia="zh-CN" w:bidi="ar-SA"/>
              </w:rPr>
              <w:id w:val="147453315"/>
              <w:placeholder>
                <w:docPart w:val="{4b5e79bf-ab35-4775-aac9-f1a4b2fd93f3}"/>
              </w:placeholder>
            </w:sdtPr>
            <w:sdtEndPr>
              <w:rPr>
                <w:rFonts w:ascii="Times New Roman" w:hAnsi="Times New Roman" w:eastAsia="宋体" w:cs="Times New Roman"/>
                <w:b/>
                <w:bCs/>
                <w:kern w:val="44"/>
                <w:sz w:val="44"/>
                <w:szCs w:val="44"/>
                <w:lang w:val="en-US" w:eastAsia="zh-CN" w:bidi="ar-SA"/>
              </w:rPr>
            </w:sdtEndPr>
            <w:sdtContent>
              <w:r>
                <w:rPr>
                  <w:rFonts w:hint="eastAsia" w:asciiTheme="majorHAnsi" w:hAnsiTheme="majorHAnsi" w:eastAsiaTheme="majorEastAsia" w:cstheme="majorBidi"/>
                </w:rPr>
                <w:t>三、支出决算情况说明</w:t>
              </w:r>
            </w:sdtContent>
          </w:sdt>
          <w:r>
            <w:tab/>
          </w:r>
          <w:bookmarkStart w:id="13" w:name="_Toc9964_WPSOffice_Level2Page"/>
          <w:r>
            <w:t>3</w:t>
          </w:r>
          <w:bookmarkEnd w:id="13"/>
          <w:r>
            <w:fldChar w:fldCharType="end"/>
          </w:r>
        </w:p>
        <w:p>
          <w:pPr>
            <w:pStyle w:val="40"/>
            <w:keepNext w:val="0"/>
            <w:keepLines w:val="0"/>
            <w:pageBreakBefore w:val="0"/>
            <w:widowControl/>
            <w:tabs>
              <w:tab w:val="right" w:leader="dot" w:pos="8306"/>
            </w:tabs>
            <w:kinsoku/>
            <w:wordWrap/>
            <w:overflowPunct/>
            <w:topLinePunct w:val="0"/>
            <w:autoSpaceDE/>
            <w:autoSpaceDN/>
            <w:bidi w:val="0"/>
            <w:adjustRightInd/>
            <w:snapToGrid/>
            <w:spacing w:line="320" w:lineRule="exact"/>
            <w:textAlignment w:val="auto"/>
          </w:pPr>
          <w:r>
            <w:fldChar w:fldCharType="begin"/>
          </w:r>
          <w:r>
            <w:instrText xml:space="preserve"> HYPERLINK \l _Toc23131_WPSOffice_Level2 </w:instrText>
          </w:r>
          <w:r>
            <w:fldChar w:fldCharType="separate"/>
          </w:r>
          <w:sdt>
            <w:sdtPr>
              <w:rPr>
                <w:rFonts w:ascii="Times New Roman" w:hAnsi="Times New Roman" w:eastAsia="宋体" w:cs="Times New Roman"/>
                <w:b/>
                <w:bCs/>
                <w:kern w:val="44"/>
                <w:sz w:val="44"/>
                <w:szCs w:val="44"/>
                <w:lang w:val="en-US" w:eastAsia="zh-CN" w:bidi="ar-SA"/>
              </w:rPr>
              <w:id w:val="147453315"/>
              <w:placeholder>
                <w:docPart w:val="{bd4e5d12-2ee4-41d6-a2b2-979e5bb2c62f}"/>
              </w:placeholder>
            </w:sdtPr>
            <w:sdtEndPr>
              <w:rPr>
                <w:rFonts w:ascii="Times New Roman" w:hAnsi="Times New Roman" w:eastAsia="宋体" w:cs="Times New Roman"/>
                <w:b/>
                <w:bCs/>
                <w:kern w:val="44"/>
                <w:sz w:val="44"/>
                <w:szCs w:val="44"/>
                <w:lang w:val="en-US" w:eastAsia="zh-CN" w:bidi="ar-SA"/>
              </w:rPr>
            </w:sdtEndPr>
            <w:sdtContent>
              <w:r>
                <w:rPr>
                  <w:rFonts w:hint="eastAsia" w:asciiTheme="majorHAnsi" w:hAnsiTheme="majorHAnsi" w:eastAsiaTheme="majorEastAsia" w:cstheme="majorBidi"/>
                </w:rPr>
                <w:t>四、财政拨款收入支出决算总体情况说明</w:t>
              </w:r>
            </w:sdtContent>
          </w:sdt>
          <w:r>
            <w:tab/>
          </w:r>
          <w:bookmarkStart w:id="14" w:name="_Toc23131_WPSOffice_Level2Page"/>
          <w:r>
            <w:t>4</w:t>
          </w:r>
          <w:bookmarkEnd w:id="14"/>
          <w:r>
            <w:fldChar w:fldCharType="end"/>
          </w:r>
        </w:p>
        <w:p>
          <w:pPr>
            <w:pStyle w:val="40"/>
            <w:keepNext w:val="0"/>
            <w:keepLines w:val="0"/>
            <w:pageBreakBefore w:val="0"/>
            <w:widowControl/>
            <w:tabs>
              <w:tab w:val="right" w:leader="dot" w:pos="8306"/>
            </w:tabs>
            <w:kinsoku/>
            <w:wordWrap/>
            <w:overflowPunct/>
            <w:topLinePunct w:val="0"/>
            <w:autoSpaceDE/>
            <w:autoSpaceDN/>
            <w:bidi w:val="0"/>
            <w:adjustRightInd/>
            <w:snapToGrid/>
            <w:spacing w:line="320" w:lineRule="exact"/>
            <w:textAlignment w:val="auto"/>
          </w:pPr>
          <w:r>
            <w:fldChar w:fldCharType="begin"/>
          </w:r>
          <w:r>
            <w:instrText xml:space="preserve"> HYPERLINK \l _Toc4702_WPSOffice_Level2 </w:instrText>
          </w:r>
          <w:r>
            <w:fldChar w:fldCharType="separate"/>
          </w:r>
          <w:sdt>
            <w:sdtPr>
              <w:rPr>
                <w:rFonts w:ascii="Times New Roman" w:hAnsi="Times New Roman" w:eastAsia="宋体" w:cs="Times New Roman"/>
                <w:b/>
                <w:bCs/>
                <w:kern w:val="44"/>
                <w:sz w:val="44"/>
                <w:szCs w:val="44"/>
                <w:lang w:val="en-US" w:eastAsia="zh-CN" w:bidi="ar-SA"/>
              </w:rPr>
              <w:id w:val="147453315"/>
              <w:placeholder>
                <w:docPart w:val="{87a61eb6-583a-4b5f-9347-678e0f4f2ddc}"/>
              </w:placeholder>
            </w:sdtPr>
            <w:sdtEndPr>
              <w:rPr>
                <w:rFonts w:ascii="Times New Roman" w:hAnsi="Times New Roman" w:eastAsia="宋体" w:cs="Times New Roman"/>
                <w:b/>
                <w:bCs/>
                <w:kern w:val="44"/>
                <w:sz w:val="44"/>
                <w:szCs w:val="44"/>
                <w:lang w:val="en-US" w:eastAsia="zh-CN" w:bidi="ar-SA"/>
              </w:rPr>
            </w:sdtEndPr>
            <w:sdtContent>
              <w:r>
                <w:rPr>
                  <w:rFonts w:hint="eastAsia" w:asciiTheme="majorHAnsi" w:hAnsiTheme="majorHAnsi" w:eastAsiaTheme="majorEastAsia" w:cstheme="majorBidi"/>
                </w:rPr>
                <w:t>五、一般公共预算财政拨款支出决算情况说明</w:t>
              </w:r>
            </w:sdtContent>
          </w:sdt>
          <w:r>
            <w:tab/>
          </w:r>
          <w:bookmarkStart w:id="15" w:name="_Toc4702_WPSOffice_Level2Page"/>
          <w:r>
            <w:t>4</w:t>
          </w:r>
          <w:bookmarkEnd w:id="15"/>
          <w:r>
            <w:fldChar w:fldCharType="end"/>
          </w:r>
        </w:p>
        <w:p>
          <w:pPr>
            <w:pStyle w:val="40"/>
            <w:keepNext w:val="0"/>
            <w:keepLines w:val="0"/>
            <w:pageBreakBefore w:val="0"/>
            <w:widowControl/>
            <w:tabs>
              <w:tab w:val="right" w:leader="dot" w:pos="8306"/>
            </w:tabs>
            <w:kinsoku/>
            <w:wordWrap/>
            <w:overflowPunct/>
            <w:topLinePunct w:val="0"/>
            <w:autoSpaceDE/>
            <w:autoSpaceDN/>
            <w:bidi w:val="0"/>
            <w:adjustRightInd/>
            <w:snapToGrid/>
            <w:spacing w:line="320" w:lineRule="exact"/>
            <w:textAlignment w:val="auto"/>
          </w:pPr>
          <w:r>
            <w:fldChar w:fldCharType="begin"/>
          </w:r>
          <w:r>
            <w:instrText xml:space="preserve"> HYPERLINK \l _Toc7826_WPSOffice_Level2 </w:instrText>
          </w:r>
          <w:r>
            <w:fldChar w:fldCharType="separate"/>
          </w:r>
          <w:sdt>
            <w:sdtPr>
              <w:rPr>
                <w:rFonts w:ascii="Times New Roman" w:hAnsi="Times New Roman" w:eastAsia="宋体" w:cs="Times New Roman"/>
                <w:b/>
                <w:bCs/>
                <w:kern w:val="44"/>
                <w:sz w:val="44"/>
                <w:szCs w:val="44"/>
                <w:lang w:val="en-US" w:eastAsia="zh-CN" w:bidi="ar-SA"/>
              </w:rPr>
              <w:id w:val="147453315"/>
              <w:placeholder>
                <w:docPart w:val="{ddd53724-001b-4934-9280-2daf479dff5e}"/>
              </w:placeholder>
            </w:sdtPr>
            <w:sdtEndPr>
              <w:rPr>
                <w:rFonts w:ascii="Times New Roman" w:hAnsi="Times New Roman" w:eastAsia="宋体" w:cs="Times New Roman"/>
                <w:b/>
                <w:bCs/>
                <w:kern w:val="44"/>
                <w:sz w:val="44"/>
                <w:szCs w:val="44"/>
                <w:lang w:val="en-US" w:eastAsia="zh-CN" w:bidi="ar-SA"/>
              </w:rPr>
            </w:sdtEndPr>
            <w:sdtContent>
              <w:r>
                <w:rPr>
                  <w:rFonts w:hint="eastAsia" w:asciiTheme="majorHAnsi" w:hAnsiTheme="majorHAnsi" w:eastAsiaTheme="majorEastAsia" w:cstheme="majorBidi"/>
                </w:rPr>
                <w:t>六、一般公共预算财政拨款基本支出决算情况说明</w:t>
              </w:r>
            </w:sdtContent>
          </w:sdt>
          <w:r>
            <w:tab/>
          </w:r>
          <w:bookmarkStart w:id="16" w:name="_Toc7826_WPSOffice_Level2Page"/>
          <w:r>
            <w:t>7</w:t>
          </w:r>
          <w:bookmarkEnd w:id="16"/>
          <w:r>
            <w:fldChar w:fldCharType="end"/>
          </w:r>
        </w:p>
        <w:p>
          <w:pPr>
            <w:pStyle w:val="40"/>
            <w:keepNext w:val="0"/>
            <w:keepLines w:val="0"/>
            <w:pageBreakBefore w:val="0"/>
            <w:widowControl/>
            <w:tabs>
              <w:tab w:val="right" w:leader="dot" w:pos="8306"/>
            </w:tabs>
            <w:kinsoku/>
            <w:wordWrap/>
            <w:overflowPunct/>
            <w:topLinePunct w:val="0"/>
            <w:autoSpaceDE/>
            <w:autoSpaceDN/>
            <w:bidi w:val="0"/>
            <w:adjustRightInd/>
            <w:snapToGrid/>
            <w:spacing w:line="320" w:lineRule="exact"/>
            <w:textAlignment w:val="auto"/>
          </w:pPr>
          <w:r>
            <w:fldChar w:fldCharType="begin"/>
          </w:r>
          <w:r>
            <w:instrText xml:space="preserve"> HYPERLINK \l _Toc7086_WPSOffice_Level2 </w:instrText>
          </w:r>
          <w:r>
            <w:fldChar w:fldCharType="separate"/>
          </w:r>
          <w:sdt>
            <w:sdtPr>
              <w:rPr>
                <w:rFonts w:ascii="Times New Roman" w:hAnsi="Times New Roman" w:eastAsia="宋体" w:cs="Times New Roman"/>
                <w:b/>
                <w:bCs/>
                <w:kern w:val="44"/>
                <w:sz w:val="44"/>
                <w:szCs w:val="44"/>
                <w:lang w:val="en-US" w:eastAsia="zh-CN" w:bidi="ar-SA"/>
              </w:rPr>
              <w:id w:val="147453315"/>
              <w:placeholder>
                <w:docPart w:val="{51644019-2de8-4565-b843-7b41adafbf17}"/>
              </w:placeholder>
            </w:sdtPr>
            <w:sdtEndPr>
              <w:rPr>
                <w:rFonts w:ascii="Times New Roman" w:hAnsi="Times New Roman" w:eastAsia="宋体" w:cs="Times New Roman"/>
                <w:b/>
                <w:bCs/>
                <w:kern w:val="44"/>
                <w:sz w:val="44"/>
                <w:szCs w:val="44"/>
                <w:lang w:val="en-US" w:eastAsia="zh-CN" w:bidi="ar-SA"/>
              </w:rPr>
            </w:sdtEndPr>
            <w:sdtContent>
              <w:r>
                <w:rPr>
                  <w:rFonts w:hint="eastAsia" w:asciiTheme="majorHAnsi" w:hAnsiTheme="majorHAnsi" w:eastAsiaTheme="majorEastAsia" w:cstheme="majorBidi"/>
                </w:rPr>
                <w:t>七、财政拨款“三公”经费支出决算情况说明</w:t>
              </w:r>
            </w:sdtContent>
          </w:sdt>
          <w:r>
            <w:tab/>
          </w:r>
          <w:bookmarkStart w:id="17" w:name="_Toc7086_WPSOffice_Level2Page"/>
          <w:r>
            <w:t>8</w:t>
          </w:r>
          <w:bookmarkEnd w:id="17"/>
          <w:r>
            <w:fldChar w:fldCharType="end"/>
          </w:r>
        </w:p>
        <w:p>
          <w:pPr>
            <w:pStyle w:val="40"/>
            <w:keepNext w:val="0"/>
            <w:keepLines w:val="0"/>
            <w:pageBreakBefore w:val="0"/>
            <w:widowControl/>
            <w:tabs>
              <w:tab w:val="right" w:leader="dot" w:pos="8306"/>
            </w:tabs>
            <w:kinsoku/>
            <w:wordWrap/>
            <w:overflowPunct/>
            <w:topLinePunct w:val="0"/>
            <w:autoSpaceDE/>
            <w:autoSpaceDN/>
            <w:bidi w:val="0"/>
            <w:adjustRightInd/>
            <w:snapToGrid/>
            <w:spacing w:line="320" w:lineRule="exact"/>
            <w:textAlignment w:val="auto"/>
          </w:pPr>
          <w:r>
            <w:fldChar w:fldCharType="begin"/>
          </w:r>
          <w:r>
            <w:instrText xml:space="preserve"> HYPERLINK \l _Toc17373_WPSOffice_Level2 </w:instrText>
          </w:r>
          <w:r>
            <w:fldChar w:fldCharType="separate"/>
          </w:r>
          <w:sdt>
            <w:sdtPr>
              <w:rPr>
                <w:rFonts w:ascii="Times New Roman" w:hAnsi="Times New Roman" w:eastAsia="宋体" w:cs="Times New Roman"/>
                <w:b/>
                <w:bCs/>
                <w:kern w:val="44"/>
                <w:sz w:val="44"/>
                <w:szCs w:val="44"/>
                <w:lang w:val="en-US" w:eastAsia="zh-CN" w:bidi="ar-SA"/>
              </w:rPr>
              <w:id w:val="147453315"/>
              <w:placeholder>
                <w:docPart w:val="{10333775-a2ef-4af7-b3be-b2bfc85a565e}"/>
              </w:placeholder>
            </w:sdtPr>
            <w:sdtEndPr>
              <w:rPr>
                <w:rFonts w:ascii="Times New Roman" w:hAnsi="Times New Roman" w:eastAsia="宋体" w:cs="Times New Roman"/>
                <w:b/>
                <w:bCs/>
                <w:kern w:val="44"/>
                <w:sz w:val="44"/>
                <w:szCs w:val="44"/>
                <w:lang w:val="en-US" w:eastAsia="zh-CN" w:bidi="ar-SA"/>
              </w:rPr>
            </w:sdtEndPr>
            <w:sdtContent>
              <w:r>
                <w:rPr>
                  <w:rFonts w:hint="eastAsia" w:asciiTheme="majorHAnsi" w:hAnsiTheme="majorHAnsi" w:eastAsiaTheme="majorEastAsia" w:cstheme="majorBidi"/>
                </w:rPr>
                <w:t>八、政府性基金预算支出决算情况说明</w:t>
              </w:r>
            </w:sdtContent>
          </w:sdt>
          <w:r>
            <w:tab/>
          </w:r>
          <w:bookmarkStart w:id="18" w:name="_Toc17373_WPSOffice_Level2Page"/>
          <w:r>
            <w:t>10</w:t>
          </w:r>
          <w:bookmarkEnd w:id="18"/>
          <w:r>
            <w:fldChar w:fldCharType="end"/>
          </w:r>
        </w:p>
        <w:p>
          <w:pPr>
            <w:pStyle w:val="40"/>
            <w:keepNext w:val="0"/>
            <w:keepLines w:val="0"/>
            <w:pageBreakBefore w:val="0"/>
            <w:widowControl/>
            <w:tabs>
              <w:tab w:val="right" w:leader="dot" w:pos="8306"/>
            </w:tabs>
            <w:kinsoku/>
            <w:wordWrap/>
            <w:overflowPunct/>
            <w:topLinePunct w:val="0"/>
            <w:autoSpaceDE/>
            <w:autoSpaceDN/>
            <w:bidi w:val="0"/>
            <w:adjustRightInd/>
            <w:snapToGrid/>
            <w:spacing w:line="320" w:lineRule="exact"/>
            <w:textAlignment w:val="auto"/>
          </w:pPr>
          <w:r>
            <w:fldChar w:fldCharType="begin"/>
          </w:r>
          <w:r>
            <w:instrText xml:space="preserve"> HYPERLINK \l _Toc7861_WPSOffice_Level2 </w:instrText>
          </w:r>
          <w:r>
            <w:fldChar w:fldCharType="separate"/>
          </w:r>
          <w:sdt>
            <w:sdtPr>
              <w:rPr>
                <w:rFonts w:ascii="Times New Roman" w:hAnsi="Times New Roman" w:eastAsia="宋体" w:cs="Times New Roman"/>
                <w:b/>
                <w:bCs/>
                <w:kern w:val="44"/>
                <w:sz w:val="44"/>
                <w:szCs w:val="44"/>
                <w:lang w:val="en-US" w:eastAsia="zh-CN" w:bidi="ar-SA"/>
              </w:rPr>
              <w:id w:val="147453315"/>
              <w:placeholder>
                <w:docPart w:val="{9e39159c-f500-4c96-8c81-81c31baac32d}"/>
              </w:placeholder>
            </w:sdtPr>
            <w:sdtEndPr>
              <w:rPr>
                <w:rFonts w:ascii="Times New Roman" w:hAnsi="Times New Roman" w:eastAsia="宋体" w:cs="Times New Roman"/>
                <w:b/>
                <w:bCs/>
                <w:kern w:val="44"/>
                <w:sz w:val="44"/>
                <w:szCs w:val="44"/>
                <w:lang w:val="en-US" w:eastAsia="zh-CN" w:bidi="ar-SA"/>
              </w:rPr>
            </w:sdtEndPr>
            <w:sdtContent>
              <w:r>
                <w:rPr>
                  <w:rFonts w:hint="eastAsia" w:asciiTheme="majorHAnsi" w:hAnsiTheme="majorHAnsi" w:eastAsiaTheme="majorEastAsia" w:cstheme="majorBidi"/>
                </w:rPr>
                <w:t>九、国有资本经营预算支出决算情况说明</w:t>
              </w:r>
            </w:sdtContent>
          </w:sdt>
          <w:r>
            <w:tab/>
          </w:r>
          <w:bookmarkStart w:id="19" w:name="_Toc7861_WPSOffice_Level2Page"/>
          <w:r>
            <w:t>10</w:t>
          </w:r>
          <w:bookmarkEnd w:id="19"/>
          <w:r>
            <w:fldChar w:fldCharType="end"/>
          </w:r>
        </w:p>
        <w:p>
          <w:pPr>
            <w:pStyle w:val="40"/>
            <w:keepNext w:val="0"/>
            <w:keepLines w:val="0"/>
            <w:pageBreakBefore w:val="0"/>
            <w:widowControl/>
            <w:tabs>
              <w:tab w:val="right" w:leader="dot" w:pos="8306"/>
            </w:tabs>
            <w:kinsoku/>
            <w:wordWrap/>
            <w:overflowPunct/>
            <w:topLinePunct w:val="0"/>
            <w:autoSpaceDE/>
            <w:autoSpaceDN/>
            <w:bidi w:val="0"/>
            <w:adjustRightInd/>
            <w:snapToGrid/>
            <w:spacing w:line="320" w:lineRule="exact"/>
            <w:textAlignment w:val="auto"/>
          </w:pPr>
          <w:r>
            <w:fldChar w:fldCharType="begin"/>
          </w:r>
          <w:r>
            <w:instrText xml:space="preserve"> HYPERLINK \l _Toc15920_WPSOffice_Level2 </w:instrText>
          </w:r>
          <w:r>
            <w:fldChar w:fldCharType="separate"/>
          </w:r>
          <w:sdt>
            <w:sdtPr>
              <w:rPr>
                <w:rFonts w:ascii="Times New Roman" w:hAnsi="Times New Roman" w:eastAsia="宋体" w:cs="Times New Roman"/>
                <w:b/>
                <w:bCs/>
                <w:kern w:val="44"/>
                <w:sz w:val="44"/>
                <w:szCs w:val="44"/>
                <w:lang w:val="en-US" w:eastAsia="zh-CN" w:bidi="ar-SA"/>
              </w:rPr>
              <w:id w:val="147453315"/>
              <w:placeholder>
                <w:docPart w:val="{17e4e6e9-488d-4ff6-8ff7-d47994436c10}"/>
              </w:placeholder>
            </w:sdtPr>
            <w:sdtEndPr>
              <w:rPr>
                <w:rFonts w:ascii="Times New Roman" w:hAnsi="Times New Roman" w:eastAsia="宋体" w:cs="Times New Roman"/>
                <w:b/>
                <w:bCs/>
                <w:kern w:val="44"/>
                <w:sz w:val="44"/>
                <w:szCs w:val="44"/>
                <w:lang w:val="en-US" w:eastAsia="zh-CN" w:bidi="ar-SA"/>
              </w:rPr>
            </w:sdtEndPr>
            <w:sdtContent>
              <w:r>
                <w:rPr>
                  <w:rFonts w:hint="eastAsia" w:asciiTheme="majorHAnsi" w:hAnsiTheme="majorHAnsi" w:eastAsiaTheme="majorEastAsia" w:cstheme="majorBidi"/>
                </w:rPr>
                <w:t>十、其他重要事项的情况说明</w:t>
              </w:r>
            </w:sdtContent>
          </w:sdt>
          <w:r>
            <w:tab/>
          </w:r>
          <w:bookmarkStart w:id="20" w:name="_Toc15920_WPSOffice_Level2Page"/>
          <w:r>
            <w:t>10</w:t>
          </w:r>
          <w:bookmarkEnd w:id="20"/>
          <w:r>
            <w:fldChar w:fldCharType="end"/>
          </w:r>
        </w:p>
        <w:p>
          <w:pPr>
            <w:pStyle w:val="39"/>
            <w:keepNext w:val="0"/>
            <w:keepLines w:val="0"/>
            <w:pageBreakBefore w:val="0"/>
            <w:widowControl/>
            <w:tabs>
              <w:tab w:val="right" w:leader="dot" w:pos="8306"/>
            </w:tabs>
            <w:kinsoku/>
            <w:wordWrap/>
            <w:overflowPunct/>
            <w:topLinePunct w:val="0"/>
            <w:autoSpaceDE/>
            <w:autoSpaceDN/>
            <w:bidi w:val="0"/>
            <w:adjustRightInd/>
            <w:snapToGrid/>
            <w:spacing w:line="320" w:lineRule="exact"/>
            <w:textAlignment w:val="auto"/>
          </w:pPr>
          <w:r>
            <w:rPr>
              <w:b/>
              <w:bCs/>
            </w:rPr>
            <w:fldChar w:fldCharType="begin"/>
          </w:r>
          <w:r>
            <w:instrText xml:space="preserve"> HYPERLINK \l _Toc15414_WPSOffice_Level1 </w:instrText>
          </w:r>
          <w:r>
            <w:rPr>
              <w:b/>
              <w:bCs/>
            </w:rPr>
            <w:fldChar w:fldCharType="separate"/>
          </w:r>
          <w:sdt>
            <w:sdtPr>
              <w:rPr>
                <w:rFonts w:ascii="Times New Roman" w:hAnsi="Times New Roman" w:eastAsia="宋体" w:cs="Times New Roman"/>
                <w:b/>
                <w:bCs/>
                <w:kern w:val="44"/>
                <w:sz w:val="44"/>
                <w:szCs w:val="44"/>
                <w:lang w:val="en-US" w:eastAsia="zh-CN" w:bidi="ar-SA"/>
              </w:rPr>
              <w:id w:val="147453315"/>
              <w:placeholder>
                <w:docPart w:val="{cb75ee52-f087-4efc-b529-09450aa7a980}"/>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宋体" w:cs="Times New Roman"/>
                  <w:b/>
                  <w:bCs/>
                </w:rPr>
                <w:t>第三部分 名词解释</w:t>
              </w:r>
            </w:sdtContent>
          </w:sdt>
          <w:r>
            <w:rPr>
              <w:b/>
              <w:bCs/>
            </w:rPr>
            <w:tab/>
          </w:r>
          <w:bookmarkStart w:id="21" w:name="_Toc15414_WPSOffice_Level1Page"/>
          <w:r>
            <w:rPr>
              <w:b/>
              <w:bCs/>
            </w:rPr>
            <w:t>13</w:t>
          </w:r>
          <w:bookmarkEnd w:id="21"/>
          <w:r>
            <w:rPr>
              <w:b/>
              <w:bCs/>
            </w:rPr>
            <w:fldChar w:fldCharType="end"/>
          </w:r>
        </w:p>
        <w:p>
          <w:pPr>
            <w:pStyle w:val="39"/>
            <w:keepNext w:val="0"/>
            <w:keepLines w:val="0"/>
            <w:pageBreakBefore w:val="0"/>
            <w:widowControl/>
            <w:tabs>
              <w:tab w:val="right" w:leader="dot" w:pos="8306"/>
            </w:tabs>
            <w:kinsoku/>
            <w:wordWrap/>
            <w:overflowPunct/>
            <w:topLinePunct w:val="0"/>
            <w:autoSpaceDE/>
            <w:autoSpaceDN/>
            <w:bidi w:val="0"/>
            <w:adjustRightInd/>
            <w:snapToGrid/>
            <w:spacing w:line="320" w:lineRule="exact"/>
            <w:textAlignment w:val="auto"/>
          </w:pPr>
          <w:r>
            <w:rPr>
              <w:b/>
              <w:bCs/>
            </w:rPr>
            <w:fldChar w:fldCharType="begin"/>
          </w:r>
          <w:r>
            <w:instrText xml:space="preserve"> HYPERLINK \l _Toc16704_WPSOffice_Level1 </w:instrText>
          </w:r>
          <w:r>
            <w:rPr>
              <w:b/>
              <w:bCs/>
            </w:rPr>
            <w:fldChar w:fldCharType="separate"/>
          </w:r>
          <w:sdt>
            <w:sdtPr>
              <w:rPr>
                <w:rFonts w:ascii="Times New Roman" w:hAnsi="Times New Roman" w:eastAsia="宋体" w:cs="Times New Roman"/>
                <w:b/>
                <w:bCs/>
                <w:kern w:val="44"/>
                <w:sz w:val="44"/>
                <w:szCs w:val="44"/>
                <w:lang w:val="en-US" w:eastAsia="zh-CN" w:bidi="ar-SA"/>
              </w:rPr>
              <w:id w:val="147453315"/>
              <w:placeholder>
                <w:docPart w:val="{f986e811-54f2-487a-88ee-8e8451fa63e8}"/>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宋体" w:cs="Times New Roman"/>
                  <w:b/>
                  <w:bCs/>
                </w:rPr>
                <w:t>第四部分 附件</w:t>
              </w:r>
            </w:sdtContent>
          </w:sdt>
          <w:r>
            <w:rPr>
              <w:b/>
              <w:bCs/>
            </w:rPr>
            <w:tab/>
          </w:r>
          <w:bookmarkStart w:id="22" w:name="_Toc16704_WPSOffice_Level1Page"/>
          <w:r>
            <w:rPr>
              <w:b/>
              <w:bCs/>
            </w:rPr>
            <w:t>16</w:t>
          </w:r>
          <w:bookmarkEnd w:id="22"/>
          <w:r>
            <w:rPr>
              <w:b/>
              <w:bCs/>
            </w:rPr>
            <w:fldChar w:fldCharType="end"/>
          </w:r>
        </w:p>
        <w:p>
          <w:pPr>
            <w:pStyle w:val="39"/>
            <w:keepNext w:val="0"/>
            <w:keepLines w:val="0"/>
            <w:pageBreakBefore w:val="0"/>
            <w:widowControl/>
            <w:tabs>
              <w:tab w:val="right" w:leader="dot" w:pos="8306"/>
            </w:tabs>
            <w:kinsoku/>
            <w:wordWrap/>
            <w:overflowPunct/>
            <w:topLinePunct w:val="0"/>
            <w:autoSpaceDE/>
            <w:autoSpaceDN/>
            <w:bidi w:val="0"/>
            <w:adjustRightInd/>
            <w:snapToGrid/>
            <w:spacing w:line="320" w:lineRule="exact"/>
            <w:textAlignment w:val="auto"/>
          </w:pPr>
          <w:r>
            <w:rPr>
              <w:b/>
              <w:bCs/>
            </w:rPr>
            <w:fldChar w:fldCharType="begin"/>
          </w:r>
          <w:r>
            <w:instrText xml:space="preserve"> HYPERLINK \l _Toc31060_WPSOffice_Level1 </w:instrText>
          </w:r>
          <w:r>
            <w:rPr>
              <w:b/>
              <w:bCs/>
            </w:rPr>
            <w:fldChar w:fldCharType="separate"/>
          </w:r>
          <w:sdt>
            <w:sdtPr>
              <w:rPr>
                <w:rFonts w:ascii="Times New Roman" w:hAnsi="Times New Roman" w:eastAsia="宋体" w:cs="Times New Roman"/>
                <w:b/>
                <w:bCs/>
                <w:kern w:val="44"/>
                <w:sz w:val="44"/>
                <w:szCs w:val="44"/>
                <w:lang w:val="en-US" w:eastAsia="zh-CN" w:bidi="ar-SA"/>
              </w:rPr>
              <w:id w:val="147453315"/>
              <w:placeholder>
                <w:docPart w:val="{ab5ba1a2-cb31-46a3-99cd-3a4e6a281055}"/>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宋体" w:cs="Times New Roman"/>
                  <w:b/>
                  <w:bCs/>
                </w:rPr>
                <w:t>第五部分 附表</w:t>
              </w:r>
            </w:sdtContent>
          </w:sdt>
          <w:r>
            <w:rPr>
              <w:b/>
              <w:bCs/>
            </w:rPr>
            <w:tab/>
          </w:r>
          <w:bookmarkStart w:id="23" w:name="_Toc31060_WPSOffice_Level1Page"/>
          <w:r>
            <w:rPr>
              <w:b/>
              <w:bCs/>
            </w:rPr>
            <w:t>29</w:t>
          </w:r>
          <w:bookmarkEnd w:id="23"/>
          <w:r>
            <w:rPr>
              <w:b/>
              <w:bCs/>
            </w:rPr>
            <w:fldChar w:fldCharType="end"/>
          </w:r>
        </w:p>
        <w:p>
          <w:pPr>
            <w:pStyle w:val="40"/>
            <w:keepNext w:val="0"/>
            <w:keepLines w:val="0"/>
            <w:pageBreakBefore w:val="0"/>
            <w:widowControl/>
            <w:tabs>
              <w:tab w:val="right" w:leader="dot" w:pos="8306"/>
            </w:tabs>
            <w:kinsoku/>
            <w:wordWrap/>
            <w:overflowPunct/>
            <w:topLinePunct w:val="0"/>
            <w:autoSpaceDE/>
            <w:autoSpaceDN/>
            <w:bidi w:val="0"/>
            <w:adjustRightInd/>
            <w:snapToGrid/>
            <w:spacing w:line="320" w:lineRule="exact"/>
            <w:textAlignment w:val="auto"/>
          </w:pPr>
          <w:r>
            <w:fldChar w:fldCharType="begin"/>
          </w:r>
          <w:r>
            <w:instrText xml:space="preserve"> HYPERLINK \l _Toc7947_WPSOffice_Level2 </w:instrText>
          </w:r>
          <w:r>
            <w:fldChar w:fldCharType="separate"/>
          </w:r>
          <w:sdt>
            <w:sdtPr>
              <w:rPr>
                <w:rFonts w:ascii="Times New Roman" w:hAnsi="Times New Roman" w:eastAsia="宋体" w:cs="Times New Roman"/>
                <w:b/>
                <w:bCs/>
                <w:kern w:val="44"/>
                <w:sz w:val="44"/>
                <w:szCs w:val="44"/>
                <w:lang w:val="en-US" w:eastAsia="zh-CN" w:bidi="ar-SA"/>
              </w:rPr>
              <w:id w:val="147453315"/>
              <w:placeholder>
                <w:docPart w:val="{9496e3f9-a719-46f4-8fa9-3ca107a7f2f6}"/>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仿宋_GB2312" w:cs="仿宋_GB2312"/>
                </w:rPr>
                <w:t>一、收入支出决算总表</w:t>
              </w:r>
            </w:sdtContent>
          </w:sdt>
          <w:r>
            <w:tab/>
          </w:r>
          <w:bookmarkStart w:id="24" w:name="_Toc7947_WPSOffice_Level2Page"/>
          <w:r>
            <w:t>29</w:t>
          </w:r>
          <w:bookmarkEnd w:id="24"/>
          <w:r>
            <w:fldChar w:fldCharType="end"/>
          </w:r>
        </w:p>
        <w:p>
          <w:pPr>
            <w:pStyle w:val="40"/>
            <w:keepNext w:val="0"/>
            <w:keepLines w:val="0"/>
            <w:pageBreakBefore w:val="0"/>
            <w:widowControl/>
            <w:tabs>
              <w:tab w:val="right" w:leader="dot" w:pos="8306"/>
            </w:tabs>
            <w:kinsoku/>
            <w:wordWrap/>
            <w:overflowPunct/>
            <w:topLinePunct w:val="0"/>
            <w:autoSpaceDE/>
            <w:autoSpaceDN/>
            <w:bidi w:val="0"/>
            <w:adjustRightInd/>
            <w:snapToGrid/>
            <w:spacing w:line="320" w:lineRule="exact"/>
            <w:textAlignment w:val="auto"/>
          </w:pPr>
          <w:r>
            <w:fldChar w:fldCharType="begin"/>
          </w:r>
          <w:r>
            <w:instrText xml:space="preserve"> HYPERLINK \l _Toc30159_WPSOffice_Level2 </w:instrText>
          </w:r>
          <w:r>
            <w:fldChar w:fldCharType="separate"/>
          </w:r>
          <w:sdt>
            <w:sdtPr>
              <w:rPr>
                <w:rFonts w:ascii="Times New Roman" w:hAnsi="Times New Roman" w:eastAsia="宋体" w:cs="Times New Roman"/>
                <w:b/>
                <w:bCs/>
                <w:kern w:val="44"/>
                <w:sz w:val="44"/>
                <w:szCs w:val="44"/>
                <w:lang w:val="en-US" w:eastAsia="zh-CN" w:bidi="ar-SA"/>
              </w:rPr>
              <w:id w:val="147453315"/>
              <w:placeholder>
                <w:docPart w:val="{7896aae2-9694-4c33-8416-95429bc3fcaa}"/>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仿宋_GB2312" w:cs="仿宋_GB2312"/>
                </w:rPr>
                <w:t>二、收入决算表</w:t>
              </w:r>
            </w:sdtContent>
          </w:sdt>
          <w:r>
            <w:tab/>
          </w:r>
          <w:bookmarkStart w:id="25" w:name="_Toc30159_WPSOffice_Level2Page"/>
          <w:r>
            <w:t>29</w:t>
          </w:r>
          <w:bookmarkEnd w:id="25"/>
          <w:r>
            <w:fldChar w:fldCharType="end"/>
          </w:r>
        </w:p>
        <w:p>
          <w:pPr>
            <w:pStyle w:val="40"/>
            <w:keepNext w:val="0"/>
            <w:keepLines w:val="0"/>
            <w:pageBreakBefore w:val="0"/>
            <w:widowControl/>
            <w:tabs>
              <w:tab w:val="right" w:leader="dot" w:pos="8306"/>
            </w:tabs>
            <w:kinsoku/>
            <w:wordWrap/>
            <w:overflowPunct/>
            <w:topLinePunct w:val="0"/>
            <w:autoSpaceDE/>
            <w:autoSpaceDN/>
            <w:bidi w:val="0"/>
            <w:adjustRightInd/>
            <w:snapToGrid/>
            <w:spacing w:line="320" w:lineRule="exact"/>
            <w:textAlignment w:val="auto"/>
          </w:pPr>
          <w:r>
            <w:fldChar w:fldCharType="begin"/>
          </w:r>
          <w:r>
            <w:instrText xml:space="preserve"> HYPERLINK \l _Toc24538_WPSOffice_Level2 </w:instrText>
          </w:r>
          <w:r>
            <w:fldChar w:fldCharType="separate"/>
          </w:r>
          <w:sdt>
            <w:sdtPr>
              <w:rPr>
                <w:rFonts w:ascii="Times New Roman" w:hAnsi="Times New Roman" w:eastAsia="宋体" w:cs="Times New Roman"/>
                <w:b/>
                <w:bCs/>
                <w:kern w:val="44"/>
                <w:sz w:val="44"/>
                <w:szCs w:val="44"/>
                <w:lang w:val="en-US" w:eastAsia="zh-CN" w:bidi="ar-SA"/>
              </w:rPr>
              <w:id w:val="147453315"/>
              <w:placeholder>
                <w:docPart w:val="{7aeacc3d-89f8-4a4f-96c3-324f553e9284}"/>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仿宋_GB2312" w:cs="仿宋_GB2312"/>
                </w:rPr>
                <w:t>三、支出决算表</w:t>
              </w:r>
            </w:sdtContent>
          </w:sdt>
          <w:r>
            <w:tab/>
          </w:r>
          <w:bookmarkStart w:id="26" w:name="_Toc24538_WPSOffice_Level2Page"/>
          <w:r>
            <w:t>29</w:t>
          </w:r>
          <w:bookmarkEnd w:id="26"/>
          <w:r>
            <w:fldChar w:fldCharType="end"/>
          </w:r>
        </w:p>
        <w:p>
          <w:pPr>
            <w:pStyle w:val="40"/>
            <w:keepNext w:val="0"/>
            <w:keepLines w:val="0"/>
            <w:pageBreakBefore w:val="0"/>
            <w:widowControl/>
            <w:tabs>
              <w:tab w:val="right" w:leader="dot" w:pos="8306"/>
            </w:tabs>
            <w:kinsoku/>
            <w:wordWrap/>
            <w:overflowPunct/>
            <w:topLinePunct w:val="0"/>
            <w:autoSpaceDE/>
            <w:autoSpaceDN/>
            <w:bidi w:val="0"/>
            <w:adjustRightInd/>
            <w:snapToGrid/>
            <w:spacing w:line="320" w:lineRule="exact"/>
            <w:textAlignment w:val="auto"/>
          </w:pPr>
          <w:r>
            <w:fldChar w:fldCharType="begin"/>
          </w:r>
          <w:r>
            <w:instrText xml:space="preserve"> HYPERLINK \l _Toc5284_WPSOffice_Level2 </w:instrText>
          </w:r>
          <w:r>
            <w:fldChar w:fldCharType="separate"/>
          </w:r>
          <w:sdt>
            <w:sdtPr>
              <w:rPr>
                <w:rFonts w:ascii="Times New Roman" w:hAnsi="Times New Roman" w:eastAsia="宋体" w:cs="Times New Roman"/>
                <w:b/>
                <w:bCs/>
                <w:kern w:val="44"/>
                <w:sz w:val="44"/>
                <w:szCs w:val="44"/>
                <w:lang w:val="en-US" w:eastAsia="zh-CN" w:bidi="ar-SA"/>
              </w:rPr>
              <w:id w:val="147453315"/>
              <w:placeholder>
                <w:docPart w:val="{685dc27b-c5a4-472d-b6b3-a52b007a33ad}"/>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仿宋_GB2312" w:cs="仿宋_GB2312"/>
                </w:rPr>
                <w:t>四、财政拨款收入支出决算总表</w:t>
              </w:r>
            </w:sdtContent>
          </w:sdt>
          <w:r>
            <w:tab/>
          </w:r>
          <w:bookmarkStart w:id="27" w:name="_Toc5284_WPSOffice_Level2Page"/>
          <w:r>
            <w:t>29</w:t>
          </w:r>
          <w:bookmarkEnd w:id="27"/>
          <w:r>
            <w:fldChar w:fldCharType="end"/>
          </w:r>
        </w:p>
        <w:p>
          <w:pPr>
            <w:pStyle w:val="40"/>
            <w:keepNext w:val="0"/>
            <w:keepLines w:val="0"/>
            <w:pageBreakBefore w:val="0"/>
            <w:widowControl/>
            <w:tabs>
              <w:tab w:val="right" w:leader="dot" w:pos="8306"/>
            </w:tabs>
            <w:kinsoku/>
            <w:wordWrap/>
            <w:overflowPunct/>
            <w:topLinePunct w:val="0"/>
            <w:autoSpaceDE/>
            <w:autoSpaceDN/>
            <w:bidi w:val="0"/>
            <w:adjustRightInd/>
            <w:snapToGrid/>
            <w:spacing w:line="320" w:lineRule="exact"/>
            <w:textAlignment w:val="auto"/>
          </w:pPr>
          <w:r>
            <w:fldChar w:fldCharType="begin"/>
          </w:r>
          <w:r>
            <w:instrText xml:space="preserve"> HYPERLINK \l _Toc9139_WPSOffice_Level2 </w:instrText>
          </w:r>
          <w:r>
            <w:fldChar w:fldCharType="separate"/>
          </w:r>
          <w:sdt>
            <w:sdtPr>
              <w:rPr>
                <w:rFonts w:ascii="Times New Roman" w:hAnsi="Times New Roman" w:eastAsia="宋体" w:cs="Times New Roman"/>
                <w:b/>
                <w:bCs/>
                <w:kern w:val="44"/>
                <w:sz w:val="44"/>
                <w:szCs w:val="44"/>
                <w:lang w:val="en-US" w:eastAsia="zh-CN" w:bidi="ar-SA"/>
              </w:rPr>
              <w:id w:val="147453315"/>
              <w:placeholder>
                <w:docPart w:val="{aa09a435-9dcd-467a-99f6-5903df1d4a2f}"/>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仿宋_GB2312" w:cs="仿宋_GB2312"/>
                </w:rPr>
                <w:t>五、财政拨款支出决算明细表</w:t>
              </w:r>
            </w:sdtContent>
          </w:sdt>
          <w:r>
            <w:tab/>
          </w:r>
          <w:bookmarkStart w:id="28" w:name="_Toc9139_WPSOffice_Level2Page"/>
          <w:r>
            <w:t>29</w:t>
          </w:r>
          <w:bookmarkEnd w:id="28"/>
          <w:r>
            <w:fldChar w:fldCharType="end"/>
          </w:r>
        </w:p>
        <w:p>
          <w:pPr>
            <w:pStyle w:val="40"/>
            <w:keepNext w:val="0"/>
            <w:keepLines w:val="0"/>
            <w:pageBreakBefore w:val="0"/>
            <w:widowControl/>
            <w:tabs>
              <w:tab w:val="right" w:leader="dot" w:pos="8306"/>
            </w:tabs>
            <w:kinsoku/>
            <w:wordWrap/>
            <w:overflowPunct/>
            <w:topLinePunct w:val="0"/>
            <w:autoSpaceDE/>
            <w:autoSpaceDN/>
            <w:bidi w:val="0"/>
            <w:adjustRightInd/>
            <w:snapToGrid/>
            <w:spacing w:line="320" w:lineRule="exact"/>
            <w:textAlignment w:val="auto"/>
          </w:pPr>
          <w:r>
            <w:fldChar w:fldCharType="begin"/>
          </w:r>
          <w:r>
            <w:instrText xml:space="preserve"> HYPERLINK \l _Toc7088_WPSOffice_Level2 </w:instrText>
          </w:r>
          <w:r>
            <w:fldChar w:fldCharType="separate"/>
          </w:r>
          <w:sdt>
            <w:sdtPr>
              <w:rPr>
                <w:rFonts w:ascii="Times New Roman" w:hAnsi="Times New Roman" w:eastAsia="宋体" w:cs="Times New Roman"/>
                <w:b/>
                <w:bCs/>
                <w:kern w:val="44"/>
                <w:sz w:val="44"/>
                <w:szCs w:val="44"/>
                <w:lang w:val="en-US" w:eastAsia="zh-CN" w:bidi="ar-SA"/>
              </w:rPr>
              <w:id w:val="147453315"/>
              <w:placeholder>
                <w:docPart w:val="{eac79a67-7691-447b-a1b5-dc4713c88109}"/>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仿宋_GB2312" w:cs="仿宋_GB2312"/>
                </w:rPr>
                <w:t>六、一般公共预算财政拨款支出决算表</w:t>
              </w:r>
            </w:sdtContent>
          </w:sdt>
          <w:r>
            <w:tab/>
          </w:r>
          <w:bookmarkStart w:id="29" w:name="_Toc7088_WPSOffice_Level2Page"/>
          <w:r>
            <w:t>29</w:t>
          </w:r>
          <w:bookmarkEnd w:id="29"/>
          <w:r>
            <w:fldChar w:fldCharType="end"/>
          </w:r>
        </w:p>
        <w:p>
          <w:pPr>
            <w:pStyle w:val="40"/>
            <w:keepNext w:val="0"/>
            <w:keepLines w:val="0"/>
            <w:pageBreakBefore w:val="0"/>
            <w:widowControl/>
            <w:tabs>
              <w:tab w:val="right" w:leader="dot" w:pos="8306"/>
            </w:tabs>
            <w:kinsoku/>
            <w:wordWrap/>
            <w:overflowPunct/>
            <w:topLinePunct w:val="0"/>
            <w:autoSpaceDE/>
            <w:autoSpaceDN/>
            <w:bidi w:val="0"/>
            <w:adjustRightInd/>
            <w:snapToGrid/>
            <w:spacing w:line="320" w:lineRule="exact"/>
            <w:textAlignment w:val="auto"/>
          </w:pPr>
          <w:r>
            <w:fldChar w:fldCharType="begin"/>
          </w:r>
          <w:r>
            <w:instrText xml:space="preserve"> HYPERLINK \l _Toc31723_WPSOffice_Level2 </w:instrText>
          </w:r>
          <w:r>
            <w:fldChar w:fldCharType="separate"/>
          </w:r>
          <w:sdt>
            <w:sdtPr>
              <w:rPr>
                <w:rFonts w:ascii="Times New Roman" w:hAnsi="Times New Roman" w:eastAsia="宋体" w:cs="Times New Roman"/>
                <w:b/>
                <w:bCs/>
                <w:kern w:val="44"/>
                <w:sz w:val="44"/>
                <w:szCs w:val="44"/>
                <w:lang w:val="en-US" w:eastAsia="zh-CN" w:bidi="ar-SA"/>
              </w:rPr>
              <w:id w:val="147453315"/>
              <w:placeholder>
                <w:docPart w:val="{9a1600b8-cb0f-40c2-8678-bf2ee2f085c1}"/>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仿宋_GB2312" w:cs="仿宋_GB2312"/>
                </w:rPr>
                <w:t>七、一般公共预算财政拨款支出决算明细表</w:t>
              </w:r>
            </w:sdtContent>
          </w:sdt>
          <w:r>
            <w:tab/>
          </w:r>
          <w:bookmarkStart w:id="30" w:name="_Toc31723_WPSOffice_Level2Page"/>
          <w:r>
            <w:t>29</w:t>
          </w:r>
          <w:bookmarkEnd w:id="30"/>
          <w:r>
            <w:fldChar w:fldCharType="end"/>
          </w:r>
        </w:p>
        <w:p>
          <w:pPr>
            <w:pStyle w:val="40"/>
            <w:keepNext w:val="0"/>
            <w:keepLines w:val="0"/>
            <w:pageBreakBefore w:val="0"/>
            <w:widowControl/>
            <w:tabs>
              <w:tab w:val="right" w:leader="dot" w:pos="8306"/>
            </w:tabs>
            <w:kinsoku/>
            <w:wordWrap/>
            <w:overflowPunct/>
            <w:topLinePunct w:val="0"/>
            <w:autoSpaceDE/>
            <w:autoSpaceDN/>
            <w:bidi w:val="0"/>
            <w:adjustRightInd/>
            <w:snapToGrid/>
            <w:spacing w:line="320" w:lineRule="exact"/>
            <w:textAlignment w:val="auto"/>
          </w:pPr>
          <w:r>
            <w:fldChar w:fldCharType="begin"/>
          </w:r>
          <w:r>
            <w:instrText xml:space="preserve"> HYPERLINK \l _Toc7063_WPSOffice_Level2 </w:instrText>
          </w:r>
          <w:r>
            <w:fldChar w:fldCharType="separate"/>
          </w:r>
          <w:sdt>
            <w:sdtPr>
              <w:rPr>
                <w:rFonts w:ascii="Times New Roman" w:hAnsi="Times New Roman" w:eastAsia="宋体" w:cs="Times New Roman"/>
                <w:b/>
                <w:bCs/>
                <w:kern w:val="44"/>
                <w:sz w:val="44"/>
                <w:szCs w:val="44"/>
                <w:lang w:val="en-US" w:eastAsia="zh-CN" w:bidi="ar-SA"/>
              </w:rPr>
              <w:id w:val="147453312"/>
              <w:placeholder>
                <w:docPart w:val="{2c7c5e52-ca25-4005-8167-e774b03ae6cb}"/>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仿宋_GB2312" w:cs="仿宋_GB2312"/>
                </w:rPr>
                <w:t>八、一般公共预算财政拨款基本支出决算表</w:t>
              </w:r>
            </w:sdtContent>
          </w:sdt>
          <w:r>
            <w:tab/>
          </w:r>
          <w:bookmarkStart w:id="31" w:name="_Toc7063_WPSOffice_Level2Page"/>
          <w:r>
            <w:t>29</w:t>
          </w:r>
          <w:bookmarkEnd w:id="31"/>
          <w:r>
            <w:fldChar w:fldCharType="end"/>
          </w:r>
        </w:p>
        <w:p>
          <w:pPr>
            <w:pStyle w:val="40"/>
            <w:keepNext w:val="0"/>
            <w:keepLines w:val="0"/>
            <w:pageBreakBefore w:val="0"/>
            <w:widowControl/>
            <w:tabs>
              <w:tab w:val="right" w:leader="dot" w:pos="8306"/>
            </w:tabs>
            <w:kinsoku/>
            <w:wordWrap/>
            <w:overflowPunct/>
            <w:topLinePunct w:val="0"/>
            <w:autoSpaceDE/>
            <w:autoSpaceDN/>
            <w:bidi w:val="0"/>
            <w:adjustRightInd/>
            <w:snapToGrid/>
            <w:spacing w:line="320" w:lineRule="exact"/>
            <w:textAlignment w:val="auto"/>
          </w:pPr>
          <w:r>
            <w:fldChar w:fldCharType="begin"/>
          </w:r>
          <w:r>
            <w:instrText xml:space="preserve"> HYPERLINK \l _Toc509_WPSOffice_Level2 </w:instrText>
          </w:r>
          <w:r>
            <w:fldChar w:fldCharType="separate"/>
          </w:r>
          <w:sdt>
            <w:sdtPr>
              <w:rPr>
                <w:rFonts w:ascii="Times New Roman" w:hAnsi="Times New Roman" w:eastAsia="宋体" w:cs="Times New Roman"/>
                <w:b/>
                <w:bCs/>
                <w:kern w:val="44"/>
                <w:sz w:val="44"/>
                <w:szCs w:val="44"/>
                <w:lang w:val="en-US" w:eastAsia="zh-CN" w:bidi="ar-SA"/>
              </w:rPr>
              <w:id w:val="147453312"/>
              <w:placeholder>
                <w:docPart w:val="{6a726625-d3b9-4ff7-a91d-5df625331226}"/>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仿宋_GB2312" w:cs="仿宋_GB2312"/>
                </w:rPr>
                <w:t>九、一般公共预算财政拨款项目支出决算表</w:t>
              </w:r>
            </w:sdtContent>
          </w:sdt>
          <w:r>
            <w:tab/>
          </w:r>
          <w:bookmarkStart w:id="32" w:name="_Toc509_WPSOffice_Level2Page"/>
          <w:r>
            <w:t>29</w:t>
          </w:r>
          <w:bookmarkEnd w:id="32"/>
          <w:r>
            <w:fldChar w:fldCharType="end"/>
          </w:r>
        </w:p>
        <w:p>
          <w:pPr>
            <w:pStyle w:val="40"/>
            <w:keepNext w:val="0"/>
            <w:keepLines w:val="0"/>
            <w:pageBreakBefore w:val="0"/>
            <w:widowControl/>
            <w:tabs>
              <w:tab w:val="right" w:leader="dot" w:pos="8306"/>
            </w:tabs>
            <w:kinsoku/>
            <w:wordWrap/>
            <w:overflowPunct/>
            <w:topLinePunct w:val="0"/>
            <w:autoSpaceDE/>
            <w:autoSpaceDN/>
            <w:bidi w:val="0"/>
            <w:adjustRightInd/>
            <w:snapToGrid/>
            <w:spacing w:line="320" w:lineRule="exact"/>
            <w:textAlignment w:val="auto"/>
          </w:pPr>
          <w:r>
            <w:fldChar w:fldCharType="begin"/>
          </w:r>
          <w:r>
            <w:instrText xml:space="preserve"> HYPERLINK \l _Toc510_WPSOffice_Level2 </w:instrText>
          </w:r>
          <w:r>
            <w:fldChar w:fldCharType="separate"/>
          </w:r>
          <w:sdt>
            <w:sdtPr>
              <w:rPr>
                <w:rFonts w:ascii="Times New Roman" w:hAnsi="Times New Roman" w:eastAsia="宋体" w:cs="Times New Roman"/>
                <w:b/>
                <w:bCs/>
                <w:kern w:val="44"/>
                <w:sz w:val="44"/>
                <w:szCs w:val="44"/>
                <w:lang w:val="en-US" w:eastAsia="zh-CN" w:bidi="ar-SA"/>
              </w:rPr>
              <w:id w:val="147453312"/>
              <w:placeholder>
                <w:docPart w:val="{d3e94bce-8544-4650-a71a-f45905e8bfc7}"/>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仿宋_GB2312" w:cs="仿宋_GB2312"/>
                </w:rPr>
                <w:t>十、政府性基金预算财政拨款收入支出决算表</w:t>
              </w:r>
            </w:sdtContent>
          </w:sdt>
          <w:r>
            <w:tab/>
          </w:r>
          <w:bookmarkStart w:id="33" w:name="_Toc510_WPSOffice_Level2Page"/>
          <w:r>
            <w:t>29</w:t>
          </w:r>
          <w:bookmarkEnd w:id="33"/>
          <w:r>
            <w:fldChar w:fldCharType="end"/>
          </w:r>
        </w:p>
        <w:p>
          <w:pPr>
            <w:pStyle w:val="40"/>
            <w:keepNext w:val="0"/>
            <w:keepLines w:val="0"/>
            <w:pageBreakBefore w:val="0"/>
            <w:widowControl/>
            <w:tabs>
              <w:tab w:val="right" w:leader="dot" w:pos="8306"/>
            </w:tabs>
            <w:kinsoku/>
            <w:wordWrap/>
            <w:overflowPunct/>
            <w:topLinePunct w:val="0"/>
            <w:autoSpaceDE/>
            <w:autoSpaceDN/>
            <w:bidi w:val="0"/>
            <w:adjustRightInd/>
            <w:snapToGrid/>
            <w:spacing w:line="320" w:lineRule="exact"/>
            <w:textAlignment w:val="auto"/>
          </w:pPr>
          <w:r>
            <w:fldChar w:fldCharType="begin"/>
          </w:r>
          <w:r>
            <w:instrText xml:space="preserve"> HYPERLINK \l _Toc7999_WPSOffice_Level2 </w:instrText>
          </w:r>
          <w:r>
            <w:fldChar w:fldCharType="separate"/>
          </w:r>
          <w:sdt>
            <w:sdtPr>
              <w:rPr>
                <w:rFonts w:ascii="Times New Roman" w:hAnsi="Times New Roman" w:eastAsia="宋体" w:cs="Times New Roman"/>
                <w:b/>
                <w:bCs/>
                <w:kern w:val="44"/>
                <w:sz w:val="44"/>
                <w:szCs w:val="44"/>
                <w:lang w:val="en-US" w:eastAsia="zh-CN" w:bidi="ar-SA"/>
              </w:rPr>
              <w:id w:val="147453312"/>
              <w:placeholder>
                <w:docPart w:val="{583a61f3-b880-4c7b-acbd-4bcb6fe365c4}"/>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仿宋_GB2312" w:cs="仿宋_GB2312"/>
                </w:rPr>
                <w:t>十一、国有资本经营预算财政拨款收入支出决算表</w:t>
              </w:r>
            </w:sdtContent>
          </w:sdt>
          <w:r>
            <w:tab/>
          </w:r>
          <w:bookmarkStart w:id="34" w:name="_Toc7999_WPSOffice_Level2Page"/>
          <w:r>
            <w:t>29</w:t>
          </w:r>
          <w:bookmarkEnd w:id="34"/>
          <w:r>
            <w:fldChar w:fldCharType="end"/>
          </w:r>
        </w:p>
        <w:p>
          <w:pPr>
            <w:pStyle w:val="40"/>
            <w:keepNext w:val="0"/>
            <w:keepLines w:val="0"/>
            <w:pageBreakBefore w:val="0"/>
            <w:widowControl/>
            <w:tabs>
              <w:tab w:val="right" w:leader="dot" w:pos="8306"/>
            </w:tabs>
            <w:kinsoku/>
            <w:wordWrap/>
            <w:overflowPunct/>
            <w:topLinePunct w:val="0"/>
            <w:autoSpaceDE/>
            <w:autoSpaceDN/>
            <w:bidi w:val="0"/>
            <w:adjustRightInd/>
            <w:snapToGrid/>
            <w:spacing w:line="320" w:lineRule="exact"/>
            <w:textAlignment w:val="auto"/>
          </w:pPr>
          <w:r>
            <w:fldChar w:fldCharType="begin"/>
          </w:r>
          <w:r>
            <w:instrText xml:space="preserve"> HYPERLINK \l _Toc8607_WPSOffice_Level2 </w:instrText>
          </w:r>
          <w:r>
            <w:fldChar w:fldCharType="separate"/>
          </w:r>
          <w:sdt>
            <w:sdtPr>
              <w:rPr>
                <w:rFonts w:ascii="Times New Roman" w:hAnsi="Times New Roman" w:eastAsia="宋体" w:cs="Times New Roman"/>
                <w:b/>
                <w:bCs/>
                <w:kern w:val="44"/>
                <w:sz w:val="44"/>
                <w:szCs w:val="44"/>
                <w:lang w:val="en-US" w:eastAsia="zh-CN" w:bidi="ar-SA"/>
              </w:rPr>
              <w:id w:val="147453312"/>
              <w:placeholder>
                <w:docPart w:val="{59695e0b-04a3-41bc-a311-d5d90b1cec7d}"/>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仿宋_GB2312" w:cs="仿宋_GB2312"/>
                </w:rPr>
                <w:t>十二、国有资本经营预算财政拨款支出决算表</w:t>
              </w:r>
            </w:sdtContent>
          </w:sdt>
          <w:r>
            <w:tab/>
          </w:r>
          <w:bookmarkStart w:id="35" w:name="_Toc8607_WPSOffice_Level2Page"/>
          <w:r>
            <w:t>29</w:t>
          </w:r>
          <w:bookmarkEnd w:id="35"/>
          <w:r>
            <w:fldChar w:fldCharType="end"/>
          </w:r>
        </w:p>
        <w:p>
          <w:pPr>
            <w:pStyle w:val="40"/>
            <w:keepNext w:val="0"/>
            <w:keepLines w:val="0"/>
            <w:pageBreakBefore w:val="0"/>
            <w:widowControl/>
            <w:tabs>
              <w:tab w:val="right" w:leader="dot" w:pos="8306"/>
            </w:tabs>
            <w:kinsoku/>
            <w:wordWrap/>
            <w:overflowPunct/>
            <w:topLinePunct w:val="0"/>
            <w:autoSpaceDE/>
            <w:autoSpaceDN/>
            <w:bidi w:val="0"/>
            <w:adjustRightInd/>
            <w:snapToGrid/>
            <w:spacing w:line="320" w:lineRule="exact"/>
            <w:textAlignment w:val="auto"/>
          </w:pPr>
          <w:r>
            <w:fldChar w:fldCharType="begin"/>
          </w:r>
          <w:r>
            <w:instrText xml:space="preserve"> HYPERLINK \l _Toc13890_WPSOffice_Level2 </w:instrText>
          </w:r>
          <w:r>
            <w:fldChar w:fldCharType="separate"/>
          </w:r>
          <w:sdt>
            <w:sdtPr>
              <w:rPr>
                <w:rFonts w:ascii="Times New Roman" w:hAnsi="Times New Roman" w:eastAsia="宋体" w:cs="Times New Roman"/>
                <w:b/>
                <w:bCs/>
                <w:kern w:val="44"/>
                <w:sz w:val="44"/>
                <w:szCs w:val="44"/>
                <w:lang w:val="en-US" w:eastAsia="zh-CN" w:bidi="ar-SA"/>
              </w:rPr>
              <w:id w:val="147453312"/>
              <w:placeholder>
                <w:docPart w:val="{cae57e53-968e-499f-a946-b7959f6d4fa3}"/>
              </w:placeholder>
            </w:sdtPr>
            <w:sdtEndPr>
              <w:rPr>
                <w:rFonts w:ascii="Times New Roman" w:hAnsi="Times New Roman" w:eastAsia="宋体" w:cs="Times New Roman"/>
                <w:b/>
                <w:bCs/>
                <w:kern w:val="44"/>
                <w:sz w:val="44"/>
                <w:szCs w:val="44"/>
                <w:lang w:val="en-US" w:eastAsia="zh-CN" w:bidi="ar-SA"/>
              </w:rPr>
            </w:sdtEndPr>
            <w:sdtContent>
              <w:r>
                <w:rPr>
                  <w:rFonts w:hint="eastAsia" w:ascii="Times New Roman" w:hAnsi="Times New Roman" w:eastAsia="仿宋_GB2312" w:cs="仿宋_GB2312"/>
                </w:rPr>
                <w:t>十三、财政拨款“三公”经费支出决算表</w:t>
              </w:r>
            </w:sdtContent>
          </w:sdt>
          <w:r>
            <w:tab/>
          </w:r>
          <w:bookmarkStart w:id="36" w:name="_Toc13890_WPSOffice_Level2Page"/>
          <w:r>
            <w:t>29</w:t>
          </w:r>
          <w:bookmarkEnd w:id="36"/>
          <w:r>
            <w:fldChar w:fldCharType="end"/>
          </w:r>
          <w:bookmarkEnd w:id="6"/>
        </w:p>
      </w:sdtContent>
    </w:sdt>
    <w:p>
      <w:pPr>
        <w:pStyle w:val="3"/>
        <w:pageBreakBefore w:val="0"/>
        <w:kinsoku/>
        <w:wordWrap/>
        <w:overflowPunct/>
        <w:bidi w:val="0"/>
        <w:jc w:val="center"/>
        <w:textAlignment w:val="auto"/>
        <w:rPr>
          <w:rFonts w:hint="eastAsia"/>
        </w:rPr>
        <w:sectPr>
          <w:footerReference r:id="rId6" w:type="first"/>
          <w:footerReference r:id="rId5" w:type="default"/>
          <w:pgSz w:w="11906" w:h="16838"/>
          <w:pgMar w:top="1440" w:right="1800" w:bottom="1440" w:left="1800" w:header="851" w:footer="992" w:gutter="0"/>
          <w:pgNumType w:fmt="numberInDash" w:start="1"/>
          <w:cols w:space="425" w:num="1"/>
          <w:titlePg/>
          <w:docGrid w:type="lines" w:linePitch="312" w:charSpace="0"/>
        </w:sectPr>
      </w:pPr>
    </w:p>
    <w:p>
      <w:pPr>
        <w:pStyle w:val="3"/>
        <w:pageBreakBefore w:val="0"/>
        <w:kinsoku/>
        <w:wordWrap/>
        <w:overflowPunct/>
        <w:bidi w:val="0"/>
        <w:jc w:val="center"/>
        <w:textAlignment w:val="auto"/>
      </w:pPr>
      <w:bookmarkStart w:id="37" w:name="_Toc14767_WPSOffice_Level1"/>
      <w:r>
        <w:rPr>
          <w:rFonts w:hint="eastAsia"/>
        </w:rPr>
        <w:t>第一部分  部门概况</w:t>
      </w:r>
      <w:bookmarkEnd w:id="37"/>
    </w:p>
    <w:p>
      <w:pPr>
        <w:pageBreakBefore w:val="0"/>
        <w:widowControl/>
        <w:kinsoku/>
        <w:wordWrap/>
        <w:overflowPunct/>
        <w:bidi w:val="0"/>
        <w:jc w:val="left"/>
        <w:textAlignment w:val="auto"/>
        <w:rPr>
          <w:rFonts w:eastAsia="黑体"/>
          <w:sz w:val="32"/>
          <w:szCs w:val="32"/>
        </w:rPr>
      </w:pPr>
    </w:p>
    <w:p>
      <w:pPr>
        <w:pStyle w:val="4"/>
        <w:pageBreakBefore w:val="0"/>
        <w:kinsoku/>
        <w:wordWrap/>
        <w:overflowPunct/>
        <w:topLinePunct w:val="0"/>
        <w:autoSpaceDE/>
        <w:autoSpaceDN/>
        <w:bidi w:val="0"/>
        <w:adjustRightInd/>
        <w:snapToGrid/>
        <w:spacing w:line="560" w:lineRule="exact"/>
        <w:textAlignment w:val="auto"/>
        <w:rPr>
          <w:rFonts w:hint="eastAsia"/>
        </w:rPr>
      </w:pPr>
      <w:bookmarkStart w:id="38" w:name="_Toc22529_WPSOffice_Level2"/>
      <w:r>
        <w:rPr>
          <w:rFonts w:hint="eastAsia"/>
          <w:lang w:eastAsia="zh-CN"/>
        </w:rPr>
        <w:t>一、</w:t>
      </w:r>
      <w:r>
        <w:rPr>
          <w:rFonts w:hint="eastAsia"/>
        </w:rPr>
        <w:t>部门职责</w:t>
      </w:r>
      <w:bookmarkEnd w:id="38"/>
    </w:p>
    <w:p>
      <w:pPr>
        <w:pStyle w:val="17"/>
        <w:pageBreakBefore w:val="0"/>
        <w:shd w:val="clear" w:color="auto" w:fill="FFFFFF"/>
        <w:kinsoku/>
        <w:wordWrap/>
        <w:overflowPunct/>
        <w:topLinePunct w:val="0"/>
        <w:autoSpaceDE/>
        <w:autoSpaceDN/>
        <w:bidi w:val="0"/>
        <w:adjustRightInd/>
        <w:snapToGrid/>
        <w:spacing w:before="93" w:beforeAutospacing="0" w:after="0" w:afterAutospacing="0" w:line="560" w:lineRule="exact"/>
        <w:ind w:firstLine="672"/>
        <w:jc w:val="both"/>
        <w:textAlignment w:val="auto"/>
        <w:rPr>
          <w:rFonts w:ascii="Times New Roman"/>
          <w:bCs/>
          <w:sz w:val="32"/>
          <w:u w:val="single"/>
        </w:rPr>
      </w:pPr>
      <w:r>
        <w:rPr>
          <w:rFonts w:hint="eastAsia" w:ascii="仿宋_GB2312"/>
          <w:color w:val="333333"/>
          <w:sz w:val="32"/>
        </w:rPr>
        <w:t>1.贯彻执行国家关于司法行政工作的方针、政策和法律、法规及规章，制定全县司法行政规范性文件和工作发展规划、工作计划并组织实施。2.拟定全县普及法律常识规划和法制宣传教育计划并组织实施，指导全县各行业的法制宣传和依法治理工作。3.组织开展全面依法治县重大问题的政策研究，协调督促有关方面落实委员会决定事项、工作部署和要求等。4.承担统筹推进法治政府建设的责任。5.负责指导监督全县律师、法律援助、公证、基层法律服务管理工作。6.指导全县人民调解工作和基层司法所工作。7.指导管理全县社区矫正工作。指导刑满释放人员安置帮教工作。8.组织开展全县司法行政系统队伍建设和思想政治工作。9.完成县委、县政府交办的其他任务。</w:t>
      </w:r>
    </w:p>
    <w:p>
      <w:pPr>
        <w:pStyle w:val="4"/>
        <w:pageBreakBefore w:val="0"/>
        <w:kinsoku/>
        <w:wordWrap/>
        <w:overflowPunct/>
        <w:topLinePunct w:val="0"/>
        <w:autoSpaceDE/>
        <w:autoSpaceDN/>
        <w:bidi w:val="0"/>
        <w:adjustRightInd/>
        <w:snapToGrid/>
        <w:spacing w:line="560" w:lineRule="exact"/>
        <w:textAlignment w:val="auto"/>
      </w:pPr>
      <w:bookmarkStart w:id="39" w:name="_Toc15396601"/>
      <w:bookmarkStart w:id="40" w:name="_Toc15377200"/>
      <w:bookmarkStart w:id="41" w:name="_Toc15414_WPSOffice_Level2"/>
      <w:r>
        <w:rPr>
          <w:rFonts w:hint="eastAsia"/>
        </w:rPr>
        <w:t>二、机构设置</w:t>
      </w:r>
      <w:bookmarkEnd w:id="39"/>
      <w:bookmarkEnd w:id="40"/>
      <w:bookmarkEnd w:id="41"/>
    </w:p>
    <w:p>
      <w:pPr>
        <w:pageBreakBefore w:val="0"/>
        <w:kinsoku/>
        <w:wordWrap/>
        <w:overflowPunct/>
        <w:topLinePunct w:val="0"/>
        <w:autoSpaceDE/>
        <w:autoSpaceDN/>
        <w:bidi w:val="0"/>
        <w:adjustRightInd/>
        <w:snapToGrid/>
        <w:spacing w:line="560" w:lineRule="exact"/>
        <w:ind w:firstLine="800" w:firstLineChars="250"/>
        <w:textAlignment w:val="auto"/>
        <w:rPr>
          <w:rFonts w:hint="eastAsia" w:ascii="仿宋" w:hAnsi="仿宋" w:eastAsia="仿宋"/>
          <w:sz w:val="32"/>
          <w:szCs w:val="32"/>
        </w:rPr>
      </w:pPr>
      <w:r>
        <w:rPr>
          <w:rFonts w:hint="eastAsia" w:ascii="仿宋" w:hAnsi="仿宋" w:eastAsia="仿宋"/>
          <w:sz w:val="32"/>
          <w:szCs w:val="32"/>
          <w:lang w:eastAsia="zh-CN"/>
        </w:rPr>
        <w:t>盐边县司法局</w:t>
      </w:r>
      <w:r>
        <w:rPr>
          <w:rFonts w:hint="eastAsia" w:ascii="仿宋" w:hAnsi="仿宋" w:eastAsia="仿宋"/>
          <w:sz w:val="32"/>
          <w:szCs w:val="32"/>
        </w:rPr>
        <w:t>下属二级预算单位</w:t>
      </w:r>
      <w:r>
        <w:rPr>
          <w:rFonts w:hint="eastAsia" w:ascii="仿宋" w:hAnsi="仿宋" w:eastAsia="仿宋"/>
          <w:sz w:val="32"/>
          <w:szCs w:val="32"/>
          <w:lang w:val="en-US" w:eastAsia="zh-CN"/>
        </w:rPr>
        <w:t>2</w:t>
      </w:r>
      <w:r>
        <w:rPr>
          <w:rFonts w:hint="eastAsia" w:ascii="仿宋" w:hAnsi="仿宋" w:eastAsia="仿宋"/>
          <w:sz w:val="32"/>
          <w:szCs w:val="32"/>
        </w:rPr>
        <w:t>个，其中行政单位</w:t>
      </w:r>
      <w:r>
        <w:rPr>
          <w:rFonts w:hint="eastAsia" w:ascii="仿宋" w:hAnsi="仿宋" w:eastAsia="仿宋"/>
          <w:sz w:val="32"/>
          <w:szCs w:val="32"/>
          <w:lang w:val="en-US" w:eastAsia="zh-CN"/>
        </w:rPr>
        <w:t>0</w:t>
      </w:r>
      <w:r>
        <w:rPr>
          <w:rFonts w:hint="eastAsia" w:ascii="仿宋" w:hAnsi="仿宋" w:eastAsia="仿宋"/>
          <w:sz w:val="32"/>
          <w:szCs w:val="32"/>
        </w:rPr>
        <w:t>个，参照公务员法管理的事业单位</w:t>
      </w:r>
      <w:r>
        <w:rPr>
          <w:rFonts w:hint="eastAsia" w:ascii="仿宋" w:hAnsi="仿宋" w:eastAsia="仿宋"/>
          <w:bCs/>
          <w:sz w:val="32"/>
          <w:szCs w:val="32"/>
          <w:lang w:val="en-US" w:eastAsia="zh-CN"/>
        </w:rPr>
        <w:t>1</w:t>
      </w:r>
      <w:r>
        <w:rPr>
          <w:rFonts w:hint="eastAsia" w:ascii="仿宋" w:hAnsi="仿宋" w:eastAsia="仿宋"/>
          <w:sz w:val="32"/>
          <w:szCs w:val="32"/>
        </w:rPr>
        <w:t>个，其他事业单位</w:t>
      </w:r>
      <w:r>
        <w:rPr>
          <w:rFonts w:hint="eastAsia" w:ascii="仿宋" w:hAnsi="仿宋" w:eastAsia="仿宋"/>
          <w:sz w:val="32"/>
          <w:szCs w:val="32"/>
          <w:lang w:val="en-US" w:eastAsia="zh-CN"/>
        </w:rPr>
        <w:t>1</w:t>
      </w:r>
      <w:r>
        <w:rPr>
          <w:rFonts w:hint="eastAsia" w:ascii="仿宋" w:hAnsi="仿宋" w:eastAsia="仿宋"/>
          <w:sz w:val="32"/>
          <w:szCs w:val="32"/>
        </w:rPr>
        <w:t>个。纳入</w:t>
      </w:r>
      <w:r>
        <w:rPr>
          <w:rFonts w:hint="eastAsia" w:ascii="仿宋" w:hAnsi="仿宋" w:eastAsia="仿宋"/>
          <w:sz w:val="32"/>
          <w:szCs w:val="32"/>
          <w:lang w:eastAsia="zh-CN"/>
        </w:rPr>
        <w:t>盐边县司法局</w:t>
      </w: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年度部门决算编制范围的二级预算单位包括：</w:t>
      </w:r>
    </w:p>
    <w:p>
      <w:pPr>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sz w:val="32"/>
          <w:szCs w:val="32"/>
          <w:lang w:val="en-US" w:eastAsia="zh-CN"/>
        </w:rPr>
        <w:t>1.</w:t>
      </w:r>
      <w:r>
        <w:rPr>
          <w:rFonts w:hint="eastAsia" w:ascii="仿宋" w:hAnsi="仿宋" w:eastAsia="仿宋"/>
          <w:sz w:val="32"/>
          <w:szCs w:val="32"/>
          <w:lang w:eastAsia="zh-CN"/>
        </w:rPr>
        <w:t>盐边县法律援助中心</w:t>
      </w:r>
    </w:p>
    <w:p>
      <w:pPr>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eastAsia="仿宋"/>
          <w:kern w:val="0"/>
          <w:sz w:val="32"/>
          <w:szCs w:val="32"/>
        </w:rPr>
      </w:pPr>
      <w:r>
        <w:rPr>
          <w:rFonts w:hint="eastAsia" w:ascii="仿宋" w:hAnsi="仿宋" w:eastAsia="仿宋"/>
          <w:sz w:val="32"/>
          <w:szCs w:val="32"/>
          <w:lang w:val="en-US" w:eastAsia="zh-CN"/>
        </w:rPr>
        <w:t>2.</w:t>
      </w:r>
      <w:r>
        <w:rPr>
          <w:rFonts w:hint="eastAsia" w:ascii="仿宋" w:hAnsi="仿宋" w:eastAsia="仿宋"/>
          <w:sz w:val="32"/>
          <w:szCs w:val="32"/>
          <w:lang w:eastAsia="zh-CN"/>
        </w:rPr>
        <w:t>盐边县公证处</w:t>
      </w:r>
      <w:r>
        <w:rPr>
          <w:rFonts w:eastAsia="仿宋"/>
          <w:sz w:val="32"/>
          <w:szCs w:val="32"/>
        </w:rPr>
        <w:br w:type="page"/>
      </w:r>
    </w:p>
    <w:p>
      <w:pPr>
        <w:pStyle w:val="3"/>
        <w:bidi w:val="0"/>
        <w:jc w:val="center"/>
      </w:pPr>
      <w:bookmarkStart w:id="42" w:name="_Toc22529_WPSOffice_Level1"/>
      <w:bookmarkStart w:id="43" w:name="_Toc15377204"/>
      <w:bookmarkStart w:id="44" w:name="_Toc15396602"/>
      <w:r>
        <w:rPr>
          <w:rFonts w:hint="eastAsia"/>
        </w:rPr>
        <w:t>第二部分  2024年度部门决算情况说明</w:t>
      </w:r>
      <w:bookmarkEnd w:id="42"/>
      <w:bookmarkEnd w:id="43"/>
      <w:bookmarkEnd w:id="44"/>
    </w:p>
    <w:p>
      <w:pPr>
        <w:pStyle w:val="4"/>
        <w:bidi w:val="0"/>
        <w:rPr>
          <w:rFonts w:hint="eastAsia" w:eastAsiaTheme="majorEastAsia"/>
          <w:lang w:eastAsia="zh-CN"/>
        </w:rPr>
      </w:pPr>
      <w:bookmarkStart w:id="45" w:name="_Toc15377205"/>
      <w:bookmarkStart w:id="46" w:name="_Toc15396603"/>
      <w:bookmarkStart w:id="47" w:name="_Toc16704_WPSOffice_Level2"/>
      <w:r>
        <w:rPr>
          <w:rFonts w:hint="eastAsia"/>
        </w:rPr>
        <w:t>一、收入支出决算总体情况</w:t>
      </w:r>
      <w:bookmarkEnd w:id="45"/>
      <w:bookmarkEnd w:id="46"/>
      <w:r>
        <w:rPr>
          <w:rFonts w:hint="eastAsia"/>
          <w:lang w:eastAsia="zh-CN"/>
        </w:rPr>
        <w:t>说明</w:t>
      </w:r>
      <w:bookmarkEnd w:id="47"/>
    </w:p>
    <w:p>
      <w:pPr>
        <w:bidi w:val="0"/>
        <w:ind w:firstLine="640" w:firstLineChars="200"/>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2024年度收入、支出总计均为1452.65万元。与2023年度相比，收入、支出总计各增加124.64万元，增长9.39%。主要变动原因是2024年工作任务及办案数量较上年增多，项目支出较上年增加，所以收入、支出总计整体增加。</w:t>
      </w:r>
    </w:p>
    <w:p>
      <w:pPr>
        <w:pageBreakBefore w:val="0"/>
        <w:kinsoku/>
        <w:wordWrap/>
        <w:overflowPunct/>
        <w:bidi w:val="0"/>
        <w:ind w:firstLine="420" w:firstLineChars="200"/>
        <w:textAlignment w:val="auto"/>
        <w:rPr>
          <w:rFonts w:eastAsia="仿宋_GB2312" w:cs="仿宋_GB2312"/>
          <w:sz w:val="32"/>
          <w:szCs w:val="32"/>
        </w:rPr>
      </w:pPr>
      <w:r>
        <w:drawing>
          <wp:inline distT="0" distB="0" distL="114300" distR="114300">
            <wp:extent cx="5270500" cy="3173095"/>
            <wp:effectExtent l="4445" t="4445" r="20955" b="22860"/>
            <wp:docPr id="3369"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4"/>
        <w:bidi w:val="0"/>
      </w:pPr>
      <w:bookmarkStart w:id="48" w:name="_Toc31060_WPSOffice_Level2"/>
      <w:bookmarkStart w:id="49" w:name="_Toc15396604"/>
      <w:bookmarkStart w:id="50" w:name="_Toc15377206"/>
      <w:r>
        <w:rPr>
          <w:rFonts w:hint="eastAsia"/>
        </w:rPr>
        <w:t>二、收入决算情况说明</w:t>
      </w:r>
      <w:bookmarkEnd w:id="48"/>
      <w:bookmarkEnd w:id="49"/>
      <w:bookmarkEnd w:id="50"/>
    </w:p>
    <w:p>
      <w:pPr>
        <w:pStyle w:val="31"/>
        <w:pageBreakBefore w:val="0"/>
        <w:kinsoku/>
        <w:wordWrap/>
        <w:overflowPunct/>
        <w:bidi w:val="0"/>
        <w:spacing w:line="600" w:lineRule="exact"/>
        <w:ind w:firstLine="640"/>
        <w:jc w:val="left"/>
        <w:textAlignment w:val="auto"/>
        <w:outlineLvl w:val="1"/>
        <w:rPr>
          <w:rFonts w:eastAsia="仿宋_GB2312" w:cs="仿宋_GB2312"/>
          <w:b/>
          <w:bCs/>
          <w:sz w:val="32"/>
          <w:szCs w:val="32"/>
        </w:rPr>
      </w:pPr>
      <w:r>
        <w:rPr>
          <w:rFonts w:hint="eastAsia" w:ascii="仿宋_GB2312" w:hAnsi="仿宋_GB2312" w:eastAsia="仿宋_GB2312" w:cs="仿宋_GB2312"/>
          <w:sz w:val="32"/>
          <w:szCs w:val="32"/>
        </w:rPr>
        <w:t>2024年度本年收入合计</w:t>
      </w:r>
      <w:r>
        <w:rPr>
          <w:rFonts w:hint="eastAsia" w:ascii="仿宋_GB2312" w:hAnsi="仿宋_GB2312" w:eastAsia="仿宋_GB2312" w:cs="仿宋_GB2312"/>
          <w:sz w:val="32"/>
          <w:szCs w:val="32"/>
          <w:lang w:val="en-US" w:eastAsia="zh-CN"/>
        </w:rPr>
        <w:t>1452.65</w:t>
      </w:r>
      <w:r>
        <w:rPr>
          <w:rFonts w:hint="eastAsia" w:ascii="仿宋_GB2312" w:hAnsi="仿宋_GB2312" w:eastAsia="仿宋_GB2312" w:cs="仿宋_GB2312"/>
          <w:sz w:val="32"/>
          <w:szCs w:val="32"/>
        </w:rPr>
        <w:t>万元，其中：一般公共预算财政拨款收入</w:t>
      </w:r>
      <w:r>
        <w:rPr>
          <w:rFonts w:hint="eastAsia" w:ascii="仿宋_GB2312" w:hAnsi="仿宋_GB2312" w:eastAsia="仿宋_GB2312" w:cs="仿宋_GB2312"/>
          <w:sz w:val="32"/>
          <w:szCs w:val="32"/>
          <w:lang w:val="en-US" w:eastAsia="zh-CN"/>
        </w:rPr>
        <w:t>1452.65</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%；政府性基金预算财政拨款收入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%；国有资本经营预算财政拨款收入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%；上级补助收入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%；事业收入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%；经营收入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%；附属单位上缴收入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%；其他收入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w:t>
      </w:r>
    </w:p>
    <w:p>
      <w:pPr>
        <w:pageBreakBefore w:val="0"/>
        <w:kinsoku/>
        <w:wordWrap/>
        <w:overflowPunct/>
        <w:bidi w:val="0"/>
        <w:ind w:firstLine="525" w:firstLineChars="250"/>
        <w:textAlignment w:val="auto"/>
        <w:rPr>
          <w:rFonts w:eastAsia="仿宋_GB2312" w:cs="仿宋_GB2312"/>
          <w:sz w:val="32"/>
          <w:szCs w:val="32"/>
        </w:rPr>
      </w:pPr>
      <w:r>
        <w:drawing>
          <wp:inline distT="0" distB="0" distL="114300" distR="114300">
            <wp:extent cx="5077460" cy="2648585"/>
            <wp:effectExtent l="4445" t="4445" r="23495" b="13970"/>
            <wp:docPr id="3367"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4"/>
        <w:bidi w:val="0"/>
      </w:pPr>
      <w:bookmarkStart w:id="51" w:name="_Toc9964_WPSOffice_Level2"/>
      <w:bookmarkStart w:id="52" w:name="_Toc15377207"/>
      <w:bookmarkStart w:id="53" w:name="_Toc15396605"/>
      <w:r>
        <w:rPr>
          <w:rFonts w:hint="eastAsia"/>
        </w:rPr>
        <w:t>三、支出决算情况说明</w:t>
      </w:r>
      <w:bookmarkEnd w:id="51"/>
      <w:bookmarkEnd w:id="52"/>
      <w:bookmarkEnd w:id="53"/>
    </w:p>
    <w:p>
      <w:pPr>
        <w:pStyle w:val="31"/>
        <w:pageBreakBefore w:val="0"/>
        <w:kinsoku/>
        <w:wordWrap/>
        <w:overflowPunct/>
        <w:bidi w:val="0"/>
        <w:spacing w:line="600" w:lineRule="exact"/>
        <w:ind w:firstLine="640"/>
        <w:jc w:val="left"/>
        <w:textAlignment w:val="auto"/>
        <w:outlineLvl w:val="1"/>
        <w:rPr>
          <w:rFonts w:eastAsia="仿宋_GB2312" w:cs="仿宋_GB2312"/>
          <w:sz w:val="32"/>
          <w:szCs w:val="32"/>
        </w:rPr>
      </w:pPr>
      <w:r>
        <w:rPr>
          <w:rFonts w:hint="eastAsia" w:ascii="仿宋_GB2312" w:hAnsi="仿宋_GB2312" w:eastAsia="仿宋_GB2312" w:cs="仿宋_GB2312"/>
          <w:sz w:val="32"/>
          <w:szCs w:val="32"/>
        </w:rPr>
        <w:t>2024年度本年支出合计</w:t>
      </w:r>
      <w:r>
        <w:rPr>
          <w:rFonts w:hint="eastAsia" w:ascii="仿宋_GB2312" w:hAnsi="仿宋_GB2312" w:eastAsia="仿宋_GB2312" w:cs="仿宋_GB2312"/>
          <w:sz w:val="32"/>
          <w:szCs w:val="32"/>
          <w:lang w:val="en-US" w:eastAsia="zh-CN"/>
        </w:rPr>
        <w:t>1452.65</w:t>
      </w:r>
      <w:r>
        <w:rPr>
          <w:rFonts w:hint="eastAsia" w:ascii="仿宋_GB2312" w:hAnsi="仿宋_GB2312" w:eastAsia="仿宋_GB2312" w:cs="仿宋_GB2312"/>
          <w:sz w:val="32"/>
          <w:szCs w:val="32"/>
        </w:rPr>
        <w:t>万元，其中：基本支出</w:t>
      </w:r>
      <w:r>
        <w:rPr>
          <w:rFonts w:hint="eastAsia" w:ascii="仿宋_GB2312" w:hAnsi="仿宋_GB2312" w:eastAsia="仿宋_GB2312" w:cs="仿宋_GB2312"/>
          <w:sz w:val="32"/>
          <w:szCs w:val="32"/>
          <w:lang w:val="en-US" w:eastAsia="zh-CN"/>
        </w:rPr>
        <w:t>1087.49</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74.86</w:t>
      </w:r>
      <w:r>
        <w:rPr>
          <w:rFonts w:hint="eastAsia" w:ascii="仿宋_GB2312" w:hAnsi="仿宋_GB2312" w:eastAsia="仿宋_GB2312" w:cs="仿宋_GB2312"/>
          <w:sz w:val="32"/>
          <w:szCs w:val="32"/>
        </w:rPr>
        <w:t>%；项目支出</w:t>
      </w:r>
      <w:r>
        <w:rPr>
          <w:rFonts w:hint="eastAsia" w:ascii="仿宋_GB2312" w:hAnsi="仿宋_GB2312" w:eastAsia="仿宋_GB2312" w:cs="仿宋_GB2312"/>
          <w:sz w:val="32"/>
          <w:szCs w:val="32"/>
          <w:lang w:val="en-US" w:eastAsia="zh-CN"/>
        </w:rPr>
        <w:t>365.16</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25.14</w:t>
      </w:r>
      <w:r>
        <w:rPr>
          <w:rFonts w:hint="eastAsia" w:ascii="仿宋_GB2312" w:hAnsi="仿宋_GB2312" w:eastAsia="仿宋_GB2312" w:cs="仿宋_GB2312"/>
          <w:sz w:val="32"/>
          <w:szCs w:val="32"/>
        </w:rPr>
        <w:t>%；上缴上级支出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%；经营支出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%；对附属单位补助支出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w:t>
      </w:r>
    </w:p>
    <w:p>
      <w:pPr>
        <w:pageBreakBefore w:val="0"/>
        <w:kinsoku/>
        <w:wordWrap/>
        <w:overflowPunct/>
        <w:bidi w:val="0"/>
        <w:ind w:firstLine="525" w:firstLineChars="250"/>
        <w:textAlignment w:val="auto"/>
        <w:rPr>
          <w:rFonts w:eastAsia="仿宋_GB2312" w:cs="仿宋_GB2312"/>
          <w:sz w:val="32"/>
          <w:szCs w:val="32"/>
        </w:rPr>
      </w:pPr>
      <w:r>
        <w:drawing>
          <wp:inline distT="0" distB="0" distL="114300" distR="114300">
            <wp:extent cx="5269865" cy="2680970"/>
            <wp:effectExtent l="4445" t="4445" r="21590" b="19685"/>
            <wp:docPr id="3368"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4"/>
        <w:bidi w:val="0"/>
      </w:pPr>
      <w:bookmarkStart w:id="54" w:name="_Toc15377208"/>
      <w:bookmarkStart w:id="55" w:name="_Toc15396606"/>
      <w:bookmarkStart w:id="56" w:name="_Toc23131_WPSOffice_Level2"/>
      <w:r>
        <w:rPr>
          <w:rFonts w:hint="eastAsia"/>
        </w:rPr>
        <w:t>四、财政拨款收入支出决算总体情况说明</w:t>
      </w:r>
      <w:bookmarkEnd w:id="54"/>
      <w:bookmarkEnd w:id="55"/>
      <w:bookmarkEnd w:id="56"/>
    </w:p>
    <w:p>
      <w:pPr>
        <w:pStyle w:val="31"/>
        <w:pageBreakBefore w:val="0"/>
        <w:kinsoku/>
        <w:wordWrap/>
        <w:overflowPunct/>
        <w:bidi w:val="0"/>
        <w:spacing w:line="600" w:lineRule="exact"/>
        <w:ind w:firstLine="640"/>
        <w:textAlignment w:val="auto"/>
        <w:outlineLvl w:val="1"/>
      </w:pPr>
      <w:r>
        <w:rPr>
          <w:rFonts w:hint="eastAsia" w:eastAsia="仿宋_GB2312" w:cs="仿宋_GB2312"/>
          <w:sz w:val="32"/>
          <w:szCs w:val="32"/>
        </w:rPr>
        <w:t>2024年度财政拨款收入、支出总计均为</w:t>
      </w:r>
      <w:r>
        <w:rPr>
          <w:rFonts w:hint="eastAsia" w:ascii="仿宋_GB2312" w:hAnsi="仿宋_GB2312" w:eastAsia="仿宋_GB2312" w:cs="仿宋_GB2312"/>
          <w:sz w:val="32"/>
          <w:szCs w:val="32"/>
          <w:lang w:val="en-US" w:eastAsia="zh-CN"/>
        </w:rPr>
        <w:t>1452.65</w:t>
      </w:r>
      <w:r>
        <w:rPr>
          <w:rFonts w:hint="eastAsia" w:eastAsia="仿宋_GB2312" w:cs="仿宋_GB2312"/>
          <w:sz w:val="32"/>
          <w:szCs w:val="32"/>
        </w:rPr>
        <w:t>万元。与2023年度相比，财政拨款收入总计、支出总计各增加</w:t>
      </w:r>
      <w:r>
        <w:rPr>
          <w:rFonts w:hint="eastAsia" w:eastAsia="仿宋_GB2312" w:cs="仿宋_GB2312"/>
          <w:sz w:val="32"/>
          <w:szCs w:val="32"/>
          <w:lang w:val="en-US" w:eastAsia="zh-CN"/>
        </w:rPr>
        <w:t>124.64</w:t>
      </w:r>
      <w:r>
        <w:rPr>
          <w:rFonts w:hint="eastAsia" w:eastAsia="仿宋_GB2312" w:cs="仿宋_GB2312"/>
          <w:sz w:val="32"/>
          <w:szCs w:val="32"/>
        </w:rPr>
        <w:t>万元，增长</w:t>
      </w:r>
      <w:r>
        <w:rPr>
          <w:rFonts w:hint="eastAsia" w:eastAsia="仿宋_GB2312" w:cs="仿宋_GB2312"/>
          <w:sz w:val="32"/>
          <w:szCs w:val="32"/>
          <w:lang w:val="en-US" w:eastAsia="zh-CN"/>
        </w:rPr>
        <w:t>9.39</w:t>
      </w:r>
      <w:r>
        <w:rPr>
          <w:rFonts w:hint="eastAsia" w:eastAsia="仿宋_GB2312" w:cs="仿宋_GB2312"/>
          <w:sz w:val="32"/>
          <w:szCs w:val="32"/>
        </w:rPr>
        <w:t>%。主要变动原因是</w:t>
      </w:r>
      <w:r>
        <w:rPr>
          <w:rFonts w:hint="eastAsia" w:eastAsia="仿宋_GB2312" w:cs="仿宋_GB2312"/>
          <w:sz w:val="32"/>
          <w:szCs w:val="32"/>
          <w:lang w:val="en-US" w:eastAsia="zh-CN"/>
        </w:rPr>
        <w:t>2024年工作任务及办案数量较上年增多，项目支出较上年增加，所以收入、支出总计整体增加。</w:t>
      </w:r>
    </w:p>
    <w:p>
      <w:pPr>
        <w:pStyle w:val="18"/>
        <w:pageBreakBefore w:val="0"/>
        <w:kinsoku/>
        <w:wordWrap/>
        <w:overflowPunct/>
        <w:bidi w:val="0"/>
        <w:textAlignment w:val="auto"/>
      </w:pPr>
    </w:p>
    <w:p>
      <w:pPr>
        <w:pStyle w:val="18"/>
        <w:pageBreakBefore w:val="0"/>
        <w:kinsoku/>
        <w:wordWrap/>
        <w:overflowPunct/>
        <w:bidi w:val="0"/>
        <w:textAlignment w:val="auto"/>
        <w:rPr>
          <w:rFonts w:eastAsia="仿宋_GB2312" w:cs="仿宋_GB2312"/>
          <w:sz w:val="32"/>
          <w:szCs w:val="32"/>
        </w:rPr>
      </w:pPr>
      <w:r>
        <w:drawing>
          <wp:inline distT="0" distB="0" distL="114300" distR="114300">
            <wp:extent cx="5272405" cy="2894965"/>
            <wp:effectExtent l="4445" t="4445" r="19050" b="15240"/>
            <wp:docPr id="3373"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pStyle w:val="4"/>
        <w:bidi w:val="0"/>
        <w:rPr>
          <w:rFonts w:hint="eastAsia"/>
        </w:rPr>
      </w:pPr>
      <w:bookmarkStart w:id="57" w:name="_Toc4702_WPSOffice_Level2"/>
      <w:bookmarkStart w:id="58" w:name="_Toc15396607"/>
      <w:bookmarkStart w:id="59" w:name="_Toc15377209"/>
      <w:r>
        <w:rPr>
          <w:rFonts w:hint="eastAsia"/>
        </w:rPr>
        <w:t>五、一般公共预算财政拨款支出决算情况说明</w:t>
      </w:r>
      <w:bookmarkEnd w:id="57"/>
      <w:bookmarkEnd w:id="58"/>
      <w:bookmarkEnd w:id="59"/>
      <w:bookmarkStart w:id="60" w:name="_Toc15377210"/>
    </w:p>
    <w:p>
      <w:pPr>
        <w:pageBreakBefore w:val="0"/>
        <w:kinsoku/>
        <w:wordWrap/>
        <w:overflowPunct/>
        <w:bidi w:val="0"/>
        <w:spacing w:line="600" w:lineRule="exact"/>
        <w:ind w:firstLine="640" w:firstLineChars="200"/>
        <w:textAlignment w:val="auto"/>
        <w:outlineLvl w:val="2"/>
        <w:rPr>
          <w:rFonts w:hint="eastAsia" w:eastAsia="楷体_GB2312" w:cs="楷体_GB2312"/>
          <w:b w:val="0"/>
          <w:bCs/>
          <w:sz w:val="32"/>
          <w:szCs w:val="32"/>
        </w:rPr>
      </w:pPr>
      <w:r>
        <w:rPr>
          <w:rFonts w:hint="eastAsia" w:eastAsia="楷体_GB2312" w:cs="楷体_GB2312"/>
          <w:b w:val="0"/>
          <w:bCs/>
          <w:sz w:val="32"/>
          <w:szCs w:val="32"/>
        </w:rPr>
        <w:t>（一）一般公共预算财政拨款支出决算总体情况</w:t>
      </w:r>
      <w:bookmarkEnd w:id="60"/>
    </w:p>
    <w:p>
      <w:pPr>
        <w:pStyle w:val="31"/>
        <w:pageBreakBefore w:val="0"/>
        <w:kinsoku/>
        <w:wordWrap/>
        <w:overflowPunct/>
        <w:bidi w:val="0"/>
        <w:spacing w:line="600" w:lineRule="exact"/>
        <w:ind w:firstLine="640"/>
        <w:textAlignment w:val="auto"/>
        <w:outlineLvl w:val="1"/>
      </w:pPr>
      <w:r>
        <w:rPr>
          <w:rFonts w:hint="eastAsia" w:ascii="仿宋_GB2312" w:hAnsi="仿宋_GB2312" w:eastAsia="仿宋_GB2312" w:cs="仿宋_GB2312"/>
          <w:sz w:val="32"/>
          <w:szCs w:val="32"/>
        </w:rPr>
        <w:t>2024年度一般公共预算财政拨款支出</w:t>
      </w:r>
      <w:r>
        <w:rPr>
          <w:rFonts w:hint="eastAsia" w:ascii="仿宋_GB2312" w:hAnsi="仿宋_GB2312" w:eastAsia="仿宋_GB2312" w:cs="仿宋_GB2312"/>
          <w:sz w:val="32"/>
          <w:szCs w:val="32"/>
          <w:lang w:val="en-US" w:eastAsia="zh-CN"/>
        </w:rPr>
        <w:t>1452.65</w:t>
      </w:r>
      <w:r>
        <w:rPr>
          <w:rFonts w:hint="eastAsia" w:ascii="仿宋_GB2312" w:hAnsi="仿宋_GB2312" w:eastAsia="仿宋_GB2312" w:cs="仿宋_GB2312"/>
          <w:sz w:val="32"/>
          <w:szCs w:val="32"/>
        </w:rPr>
        <w:t>万元，占本年支出合计的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%。与2023年度相比，一般公共预算财政拨款支出增加</w:t>
      </w:r>
      <w:r>
        <w:rPr>
          <w:rFonts w:hint="eastAsia" w:ascii="仿宋_GB2312" w:hAnsi="仿宋_GB2312" w:eastAsia="仿宋_GB2312" w:cs="仿宋_GB2312"/>
          <w:sz w:val="32"/>
          <w:szCs w:val="32"/>
          <w:lang w:val="en-US" w:eastAsia="zh-CN"/>
        </w:rPr>
        <w:t>124.64</w:t>
      </w:r>
      <w:r>
        <w:rPr>
          <w:rFonts w:hint="eastAsia" w:ascii="仿宋_GB2312" w:hAnsi="仿宋_GB2312" w:eastAsia="仿宋_GB2312" w:cs="仿宋_GB2312"/>
          <w:sz w:val="32"/>
          <w:szCs w:val="32"/>
        </w:rPr>
        <w:t>万元，增长</w:t>
      </w:r>
      <w:r>
        <w:rPr>
          <w:rFonts w:hint="eastAsia" w:ascii="仿宋_GB2312" w:hAnsi="仿宋_GB2312" w:eastAsia="仿宋_GB2312" w:cs="仿宋_GB2312"/>
          <w:sz w:val="32"/>
          <w:szCs w:val="32"/>
          <w:lang w:val="en-US" w:eastAsia="zh-CN"/>
        </w:rPr>
        <w:t>9.39</w:t>
      </w:r>
      <w:r>
        <w:rPr>
          <w:rFonts w:hint="eastAsia" w:ascii="仿宋_GB2312" w:hAnsi="仿宋_GB2312" w:eastAsia="仿宋_GB2312" w:cs="仿宋_GB2312"/>
          <w:sz w:val="32"/>
          <w:szCs w:val="32"/>
        </w:rPr>
        <w:t>%。</w:t>
      </w:r>
      <w:r>
        <w:rPr>
          <w:rFonts w:hint="eastAsia" w:eastAsia="仿宋_GB2312" w:cs="仿宋_GB2312"/>
          <w:sz w:val="32"/>
          <w:szCs w:val="32"/>
        </w:rPr>
        <w:t>主要变动原因是</w:t>
      </w:r>
      <w:r>
        <w:rPr>
          <w:rFonts w:hint="eastAsia" w:eastAsia="仿宋_GB2312" w:cs="仿宋_GB2312"/>
          <w:sz w:val="32"/>
          <w:szCs w:val="32"/>
          <w:lang w:val="en-US" w:eastAsia="zh-CN"/>
        </w:rPr>
        <w:t>2024年工作任务及办案数量较上年增多，项目支出较上年增加。</w:t>
      </w:r>
    </w:p>
    <w:p>
      <w:pPr>
        <w:pageBreakBefore w:val="0"/>
        <w:kinsoku/>
        <w:wordWrap/>
        <w:overflowPunct/>
        <w:bidi w:val="0"/>
        <w:spacing w:line="600" w:lineRule="exact"/>
        <w:ind w:firstLine="640"/>
        <w:textAlignment w:val="auto"/>
      </w:pPr>
    </w:p>
    <w:p>
      <w:pPr>
        <w:pStyle w:val="18"/>
        <w:pageBreakBefore w:val="0"/>
        <w:kinsoku/>
        <w:wordWrap/>
        <w:overflowPunct/>
        <w:bidi w:val="0"/>
        <w:textAlignment w:val="auto"/>
      </w:pPr>
    </w:p>
    <w:p>
      <w:pPr>
        <w:pStyle w:val="18"/>
        <w:pageBreakBefore w:val="0"/>
        <w:kinsoku/>
        <w:wordWrap/>
        <w:overflowPunct/>
        <w:bidi w:val="0"/>
        <w:textAlignment w:val="auto"/>
      </w:pPr>
    </w:p>
    <w:p>
      <w:pPr>
        <w:pStyle w:val="18"/>
        <w:pageBreakBefore w:val="0"/>
        <w:kinsoku/>
        <w:wordWrap/>
        <w:overflowPunct/>
        <w:bidi w:val="0"/>
        <w:textAlignment w:val="auto"/>
      </w:pPr>
    </w:p>
    <w:p>
      <w:pPr>
        <w:pStyle w:val="18"/>
        <w:pageBreakBefore w:val="0"/>
        <w:kinsoku/>
        <w:wordWrap/>
        <w:overflowPunct/>
        <w:bidi w:val="0"/>
        <w:textAlignment w:val="auto"/>
      </w:pPr>
    </w:p>
    <w:p>
      <w:pPr>
        <w:pStyle w:val="18"/>
        <w:pageBreakBefore w:val="0"/>
        <w:kinsoku/>
        <w:wordWrap/>
        <w:overflowPunct/>
        <w:bidi w:val="0"/>
        <w:textAlignment w:val="auto"/>
      </w:pPr>
    </w:p>
    <w:p>
      <w:pPr>
        <w:pStyle w:val="18"/>
        <w:pageBreakBefore w:val="0"/>
        <w:kinsoku/>
        <w:wordWrap/>
        <w:overflowPunct/>
        <w:bidi w:val="0"/>
        <w:textAlignment w:val="auto"/>
      </w:pPr>
      <w:r>
        <w:drawing>
          <wp:inline distT="0" distB="0" distL="114300" distR="114300">
            <wp:extent cx="5273675" cy="3018155"/>
            <wp:effectExtent l="4445" t="4445" r="17780" b="6350"/>
            <wp:docPr id="3370"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pStyle w:val="18"/>
        <w:pageBreakBefore w:val="0"/>
        <w:kinsoku/>
        <w:wordWrap/>
        <w:overflowPunct/>
        <w:bidi w:val="0"/>
        <w:jc w:val="both"/>
        <w:textAlignment w:val="auto"/>
      </w:pPr>
    </w:p>
    <w:p>
      <w:pPr>
        <w:pageBreakBefore w:val="0"/>
        <w:kinsoku/>
        <w:wordWrap/>
        <w:overflowPunct/>
        <w:bidi w:val="0"/>
        <w:spacing w:line="600" w:lineRule="exact"/>
        <w:ind w:firstLine="640" w:firstLineChars="200"/>
        <w:textAlignment w:val="auto"/>
        <w:outlineLvl w:val="2"/>
        <w:rPr>
          <w:rFonts w:eastAsia="楷体_GB2312" w:cs="楷体_GB2312"/>
          <w:b w:val="0"/>
          <w:bCs/>
          <w:sz w:val="32"/>
          <w:szCs w:val="32"/>
        </w:rPr>
      </w:pPr>
      <w:bookmarkStart w:id="61" w:name="_Toc15377211"/>
      <w:r>
        <w:rPr>
          <w:rFonts w:hint="eastAsia" w:eastAsia="楷体_GB2312" w:cs="楷体_GB2312"/>
          <w:b w:val="0"/>
          <w:bCs/>
          <w:sz w:val="32"/>
          <w:szCs w:val="32"/>
        </w:rPr>
        <w:t>（二）一般公共预算财政拨款支出决算结构情况</w:t>
      </w:r>
      <w:bookmarkEnd w:id="61"/>
    </w:p>
    <w:p>
      <w:pPr>
        <w:pageBreakBefore w:val="0"/>
        <w:kinsoku/>
        <w:wordWrap/>
        <w:overflowPunct/>
        <w:bidi w:val="0"/>
        <w:spacing w:line="600" w:lineRule="exact"/>
        <w:ind w:firstLine="640"/>
        <w:textAlignment w:val="auto"/>
        <w:rPr>
          <w:rFonts w:hint="eastAsia" w:ascii="仿宋" w:hAnsi="仿宋" w:eastAsia="仿宋"/>
          <w:sz w:val="32"/>
          <w:szCs w:val="32"/>
        </w:rPr>
      </w:pPr>
      <w:r>
        <w:rPr>
          <w:rFonts w:hint="eastAsia" w:eastAsia="仿宋_GB2312" w:cs="仿宋_GB2312"/>
          <w:sz w:val="32"/>
          <w:szCs w:val="32"/>
        </w:rPr>
        <w:t>2024年度一般公共预算财政拨款支出</w:t>
      </w:r>
      <w:r>
        <w:rPr>
          <w:rFonts w:hint="eastAsia" w:ascii="仿宋_GB2312" w:hAnsi="仿宋_GB2312" w:eastAsia="仿宋_GB2312" w:cs="仿宋_GB2312"/>
          <w:sz w:val="32"/>
          <w:szCs w:val="32"/>
          <w:lang w:val="en-US" w:eastAsia="zh-CN"/>
        </w:rPr>
        <w:t>1452.65</w:t>
      </w:r>
      <w:r>
        <w:rPr>
          <w:rFonts w:hint="eastAsia" w:ascii="仿宋_GB2312" w:hAnsi="仿宋_GB2312" w:eastAsia="仿宋_GB2312" w:cs="仿宋_GB2312"/>
          <w:sz w:val="32"/>
          <w:szCs w:val="32"/>
        </w:rPr>
        <w:t>万元</w:t>
      </w:r>
      <w:r>
        <w:rPr>
          <w:rFonts w:hint="eastAsia" w:ascii="仿宋" w:hAnsi="仿宋" w:eastAsia="仿宋"/>
          <w:sz w:val="32"/>
          <w:szCs w:val="32"/>
        </w:rPr>
        <w:t>，主要用于以下方面</w:t>
      </w:r>
      <w:r>
        <w:rPr>
          <w:rFonts w:ascii="仿宋" w:hAnsi="仿宋" w:eastAsia="仿宋"/>
          <w:sz w:val="32"/>
          <w:szCs w:val="32"/>
        </w:rPr>
        <w:t>:</w:t>
      </w:r>
      <w:r>
        <w:rPr>
          <w:rFonts w:hint="eastAsia" w:ascii="仿宋" w:hAnsi="仿宋" w:eastAsia="仿宋"/>
          <w:b/>
          <w:bCs/>
          <w:sz w:val="32"/>
          <w:szCs w:val="32"/>
          <w:lang w:val="en-US" w:eastAsia="zh-CN"/>
        </w:rPr>
        <w:t>公共安全</w:t>
      </w:r>
      <w:r>
        <w:rPr>
          <w:rFonts w:hint="eastAsia" w:ascii="仿宋" w:hAnsi="仿宋" w:eastAsia="仿宋"/>
          <w:b/>
          <w:bCs/>
          <w:sz w:val="32"/>
          <w:szCs w:val="32"/>
        </w:rPr>
        <w:t>支出</w:t>
      </w:r>
      <w:r>
        <w:rPr>
          <w:rFonts w:hint="eastAsia" w:ascii="仿宋" w:hAnsi="仿宋" w:eastAsia="仿宋"/>
          <w:sz w:val="32"/>
          <w:szCs w:val="32"/>
          <w:lang w:val="en-US" w:eastAsia="zh-CN"/>
        </w:rPr>
        <w:t>1104.68</w:t>
      </w:r>
      <w:r>
        <w:rPr>
          <w:rFonts w:hint="eastAsia" w:ascii="仿宋" w:hAnsi="仿宋" w:eastAsia="仿宋"/>
          <w:sz w:val="32"/>
          <w:szCs w:val="32"/>
        </w:rPr>
        <w:t>万元，占</w:t>
      </w:r>
      <w:r>
        <w:rPr>
          <w:rFonts w:hint="eastAsia" w:ascii="仿宋" w:hAnsi="仿宋" w:eastAsia="仿宋"/>
          <w:sz w:val="32"/>
          <w:szCs w:val="32"/>
          <w:lang w:val="en-US" w:eastAsia="zh-CN"/>
        </w:rPr>
        <w:t>76.05</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社会保障和就业</w:t>
      </w:r>
      <w:r>
        <w:rPr>
          <w:rFonts w:hint="eastAsia" w:ascii="仿宋" w:hAnsi="仿宋" w:eastAsia="仿宋"/>
          <w:b/>
          <w:bCs/>
          <w:sz w:val="32"/>
          <w:szCs w:val="32"/>
        </w:rPr>
        <w:t>支出</w:t>
      </w:r>
      <w:r>
        <w:rPr>
          <w:rFonts w:hint="eastAsia" w:ascii="仿宋" w:hAnsi="仿宋" w:eastAsia="仿宋"/>
          <w:sz w:val="32"/>
          <w:szCs w:val="32"/>
          <w:lang w:val="en-US" w:eastAsia="zh-CN"/>
        </w:rPr>
        <w:t>203.49</w:t>
      </w:r>
      <w:r>
        <w:rPr>
          <w:rFonts w:hint="eastAsia" w:ascii="仿宋" w:hAnsi="仿宋" w:eastAsia="仿宋"/>
          <w:sz w:val="32"/>
          <w:szCs w:val="32"/>
        </w:rPr>
        <w:t>万元，占</w:t>
      </w:r>
      <w:r>
        <w:rPr>
          <w:rFonts w:hint="eastAsia" w:ascii="仿宋" w:hAnsi="仿宋" w:eastAsia="仿宋"/>
          <w:sz w:val="32"/>
          <w:szCs w:val="32"/>
          <w:lang w:val="en-US" w:eastAsia="zh-CN"/>
        </w:rPr>
        <w:t>14.01</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卫生健康支出</w:t>
      </w:r>
      <w:r>
        <w:rPr>
          <w:rFonts w:hint="eastAsia" w:ascii="仿宋" w:hAnsi="仿宋" w:eastAsia="仿宋"/>
          <w:sz w:val="32"/>
          <w:szCs w:val="32"/>
          <w:lang w:val="en-US" w:eastAsia="zh-CN"/>
        </w:rPr>
        <w:t>74.67</w:t>
      </w:r>
      <w:r>
        <w:rPr>
          <w:rFonts w:hint="eastAsia" w:ascii="仿宋" w:hAnsi="仿宋" w:eastAsia="仿宋"/>
          <w:sz w:val="32"/>
          <w:szCs w:val="32"/>
        </w:rPr>
        <w:t>万元，占</w:t>
      </w:r>
      <w:r>
        <w:rPr>
          <w:rFonts w:hint="eastAsia" w:ascii="仿宋" w:hAnsi="仿宋" w:eastAsia="仿宋"/>
          <w:sz w:val="32"/>
          <w:szCs w:val="32"/>
          <w:lang w:val="en-US" w:eastAsia="zh-CN"/>
        </w:rPr>
        <w:t>5.14</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住房保障支出</w:t>
      </w:r>
      <w:r>
        <w:rPr>
          <w:rFonts w:hint="eastAsia" w:ascii="仿宋" w:hAnsi="仿宋" w:eastAsia="仿宋"/>
          <w:sz w:val="32"/>
          <w:szCs w:val="32"/>
          <w:lang w:val="en-US" w:eastAsia="zh-CN"/>
        </w:rPr>
        <w:t>69.82</w:t>
      </w:r>
      <w:r>
        <w:rPr>
          <w:rFonts w:hint="eastAsia" w:ascii="仿宋" w:hAnsi="仿宋" w:eastAsia="仿宋"/>
          <w:sz w:val="32"/>
          <w:szCs w:val="32"/>
        </w:rPr>
        <w:t>万元，占</w:t>
      </w:r>
      <w:r>
        <w:rPr>
          <w:rFonts w:hint="eastAsia" w:ascii="仿宋" w:hAnsi="仿宋" w:eastAsia="仿宋"/>
          <w:sz w:val="32"/>
          <w:szCs w:val="32"/>
          <w:lang w:val="en-US" w:eastAsia="zh-CN"/>
        </w:rPr>
        <w:t>4.80%</w:t>
      </w:r>
      <w:r>
        <w:rPr>
          <w:rFonts w:hint="eastAsia" w:ascii="仿宋" w:hAnsi="仿宋" w:eastAsia="仿宋"/>
          <w:sz w:val="32"/>
          <w:szCs w:val="32"/>
        </w:rPr>
        <w:t>。</w:t>
      </w:r>
    </w:p>
    <w:p>
      <w:pPr>
        <w:pStyle w:val="18"/>
        <w:pageBreakBefore w:val="0"/>
        <w:kinsoku/>
        <w:wordWrap/>
        <w:overflowPunct/>
        <w:bidi w:val="0"/>
        <w:jc w:val="both"/>
        <w:textAlignment w:val="auto"/>
      </w:pPr>
      <w:r>
        <w:drawing>
          <wp:inline distT="0" distB="0" distL="114300" distR="114300">
            <wp:extent cx="5248910" cy="3409950"/>
            <wp:effectExtent l="4445" t="4445" r="23495" b="14605"/>
            <wp:docPr id="3371"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pPr>
        <w:pStyle w:val="18"/>
        <w:pageBreakBefore w:val="0"/>
        <w:kinsoku/>
        <w:wordWrap/>
        <w:overflowPunct/>
        <w:bidi w:val="0"/>
        <w:textAlignment w:val="auto"/>
      </w:pPr>
    </w:p>
    <w:p>
      <w:pPr>
        <w:pageBreakBefore w:val="0"/>
        <w:kinsoku/>
        <w:wordWrap/>
        <w:overflowPunct/>
        <w:bidi w:val="0"/>
        <w:spacing w:line="600" w:lineRule="exact"/>
        <w:ind w:firstLine="640" w:firstLineChars="200"/>
        <w:textAlignment w:val="auto"/>
        <w:outlineLvl w:val="2"/>
        <w:rPr>
          <w:rFonts w:hint="eastAsia" w:eastAsia="楷体_GB2312" w:cs="楷体_GB2312"/>
          <w:b w:val="0"/>
          <w:bCs/>
          <w:sz w:val="32"/>
          <w:szCs w:val="32"/>
        </w:rPr>
      </w:pPr>
      <w:bookmarkStart w:id="62" w:name="_Toc15377212"/>
      <w:r>
        <w:rPr>
          <w:rFonts w:hint="eastAsia" w:eastAsia="楷体_GB2312" w:cs="楷体_GB2312"/>
          <w:b w:val="0"/>
          <w:bCs/>
          <w:sz w:val="32"/>
          <w:szCs w:val="32"/>
        </w:rPr>
        <w:t>（三）一般公共预算财政拨款支出决算具体情况</w:t>
      </w:r>
      <w:bookmarkEnd w:id="62"/>
    </w:p>
    <w:p>
      <w:pPr>
        <w:pageBreakBefore w:val="0"/>
        <w:kinsoku/>
        <w:wordWrap/>
        <w:overflowPunct/>
        <w:bidi w:val="0"/>
        <w:spacing w:line="600" w:lineRule="exact"/>
        <w:ind w:firstLine="640"/>
        <w:textAlignment w:val="auto"/>
        <w:rPr>
          <w:rFonts w:eastAsia="仿宋_GB2312" w:cs="仿宋_GB2312"/>
          <w:sz w:val="32"/>
          <w:szCs w:val="32"/>
        </w:rPr>
      </w:pPr>
      <w:bookmarkStart w:id="63" w:name="_Toc15377444"/>
      <w:bookmarkStart w:id="64" w:name="_Toc15378460"/>
      <w:bookmarkStart w:id="65" w:name="_Toc15377213"/>
      <w:r>
        <w:rPr>
          <w:rFonts w:hint="eastAsia" w:eastAsia="仿宋_GB2312" w:cs="仿宋_GB2312"/>
          <w:sz w:val="32"/>
          <w:szCs w:val="32"/>
        </w:rPr>
        <w:t>2024年度一般公共预算财政拨款支出决算数为</w:t>
      </w:r>
      <w:r>
        <w:rPr>
          <w:rFonts w:hint="eastAsia" w:ascii="仿宋_GB2312" w:hAnsi="仿宋_GB2312" w:eastAsia="仿宋_GB2312" w:cs="仿宋_GB2312"/>
          <w:sz w:val="32"/>
          <w:szCs w:val="32"/>
          <w:lang w:val="en-US" w:eastAsia="zh-CN"/>
        </w:rPr>
        <w:t>1452.65</w:t>
      </w:r>
      <w:r>
        <w:rPr>
          <w:rFonts w:ascii="仿宋_GB2312" w:hAnsi="仿宋_GB2312" w:eastAsia="仿宋_GB2312" w:cs="仿宋_GB2312"/>
          <w:sz w:val="32"/>
          <w:szCs w:val="32"/>
        </w:rPr>
        <w:t>万元</w:t>
      </w:r>
      <w:r>
        <w:rPr>
          <w:rFonts w:hint="eastAsia" w:ascii="仿宋_GB2312" w:hAnsi="仿宋_GB2312" w:eastAsia="仿宋_GB2312" w:cs="仿宋_GB2312"/>
          <w:sz w:val="32"/>
          <w:szCs w:val="32"/>
        </w:rPr>
        <w:t>，</w:t>
      </w:r>
      <w:r>
        <w:rPr>
          <w:rFonts w:hint="eastAsia" w:eastAsia="仿宋_GB2312" w:cs="仿宋_GB2312"/>
          <w:sz w:val="32"/>
          <w:szCs w:val="32"/>
        </w:rPr>
        <w:t>完成预算</w:t>
      </w:r>
      <w:r>
        <w:rPr>
          <w:rFonts w:hint="eastAsia" w:eastAsia="仿宋_GB2312" w:cs="仿宋_GB2312"/>
          <w:sz w:val="32"/>
          <w:szCs w:val="32"/>
          <w:lang w:val="en-US" w:eastAsia="zh-CN"/>
        </w:rPr>
        <w:t>100</w:t>
      </w:r>
      <w:bookmarkStart w:id="144" w:name="_GoBack"/>
      <w:bookmarkEnd w:id="144"/>
      <w:r>
        <w:rPr>
          <w:rFonts w:hint="eastAsia" w:eastAsia="仿宋_GB2312" w:cs="仿宋_GB2312"/>
          <w:sz w:val="32"/>
          <w:szCs w:val="32"/>
        </w:rPr>
        <w:t>%。其中：</w:t>
      </w:r>
      <w:bookmarkEnd w:id="63"/>
      <w:bookmarkEnd w:id="64"/>
      <w:bookmarkEnd w:id="65"/>
    </w:p>
    <w:p>
      <w:pPr>
        <w:pageBreakBefore w:val="0"/>
        <w:kinsoku/>
        <w:wordWrap/>
        <w:overflowPunct/>
        <w:bidi w:val="0"/>
        <w:spacing w:line="600" w:lineRule="exact"/>
        <w:ind w:firstLine="643" w:firstLineChars="200"/>
        <w:textAlignment w:val="auto"/>
        <w:rPr>
          <w:rStyle w:val="22"/>
          <w:rFonts w:ascii="仿宋_GB2312" w:eastAsia="仿宋_GB2312"/>
          <w:color w:val="000000"/>
          <w:sz w:val="32"/>
          <w:szCs w:val="32"/>
        </w:rPr>
      </w:pPr>
      <w:r>
        <w:rPr>
          <w:rStyle w:val="22"/>
          <w:rFonts w:ascii="仿宋_GB2312" w:eastAsia="仿宋_GB2312" w:cs="仿宋_GB2312"/>
          <w:color w:val="000000"/>
          <w:sz w:val="32"/>
          <w:szCs w:val="32"/>
        </w:rPr>
        <w:t>1.</w:t>
      </w:r>
      <w:r>
        <w:rPr>
          <w:rStyle w:val="22"/>
          <w:rFonts w:hint="eastAsia" w:ascii="仿宋_GB2312" w:eastAsia="仿宋_GB2312" w:cs="仿宋_GB2312"/>
          <w:color w:val="000000"/>
          <w:sz w:val="32"/>
          <w:szCs w:val="32"/>
          <w:lang w:eastAsia="zh-CN"/>
        </w:rPr>
        <w:t>公共安全支出</w:t>
      </w:r>
      <w:r>
        <w:rPr>
          <w:rStyle w:val="22"/>
          <w:rFonts w:hint="eastAsia" w:ascii="仿宋_GB2312" w:eastAsia="仿宋_GB2312" w:cs="仿宋_GB2312"/>
          <w:color w:val="000000"/>
          <w:sz w:val="32"/>
          <w:szCs w:val="32"/>
        </w:rPr>
        <w:t>（类）</w:t>
      </w:r>
      <w:r>
        <w:rPr>
          <w:rStyle w:val="22"/>
          <w:rFonts w:hint="eastAsia" w:ascii="仿宋_GB2312" w:eastAsia="仿宋_GB2312" w:cs="仿宋_GB2312"/>
          <w:color w:val="000000"/>
          <w:sz w:val="32"/>
          <w:szCs w:val="32"/>
          <w:lang w:eastAsia="zh-CN"/>
        </w:rPr>
        <w:t>司法</w:t>
      </w:r>
      <w:r>
        <w:rPr>
          <w:rStyle w:val="22"/>
          <w:rFonts w:hint="eastAsia" w:ascii="仿宋_GB2312" w:eastAsia="仿宋_GB2312" w:cs="仿宋_GB2312"/>
          <w:color w:val="000000"/>
          <w:sz w:val="32"/>
          <w:szCs w:val="32"/>
        </w:rPr>
        <w:t>（款）</w:t>
      </w:r>
    </w:p>
    <w:p>
      <w:pPr>
        <w:pageBreakBefore w:val="0"/>
        <w:kinsoku/>
        <w:wordWrap/>
        <w:overflowPunct/>
        <w:bidi w:val="0"/>
        <w:spacing w:line="600" w:lineRule="exact"/>
        <w:ind w:firstLine="643" w:firstLineChars="200"/>
        <w:jc w:val="left"/>
        <w:textAlignment w:val="auto"/>
        <w:rPr>
          <w:rStyle w:val="22"/>
          <w:rFonts w:ascii="仿宋_GB2312" w:eastAsia="仿宋_GB2312"/>
          <w:b w:val="0"/>
          <w:bCs w:val="0"/>
          <w:color w:val="000000"/>
          <w:sz w:val="32"/>
          <w:szCs w:val="32"/>
        </w:rPr>
      </w:pPr>
      <w:r>
        <w:rPr>
          <w:rStyle w:val="22"/>
          <w:rFonts w:hint="eastAsia" w:ascii="仿宋_GB2312" w:eastAsia="仿宋_GB2312" w:cs="仿宋_GB2312"/>
          <w:color w:val="000000"/>
          <w:sz w:val="32"/>
          <w:szCs w:val="32"/>
        </w:rPr>
        <w:t>①</w:t>
      </w:r>
      <w:r>
        <w:rPr>
          <w:rStyle w:val="22"/>
          <w:rFonts w:hint="eastAsia" w:ascii="仿宋_GB2312" w:eastAsia="仿宋_GB2312" w:cs="仿宋_GB2312"/>
          <w:color w:val="000000"/>
          <w:sz w:val="32"/>
          <w:szCs w:val="32"/>
          <w:lang w:eastAsia="zh-CN"/>
        </w:rPr>
        <w:t>、</w:t>
      </w:r>
      <w:r>
        <w:rPr>
          <w:rStyle w:val="22"/>
          <w:rFonts w:hint="eastAsia" w:ascii="仿宋_GB2312" w:eastAsia="仿宋_GB2312" w:cs="仿宋_GB2312"/>
          <w:color w:val="000000"/>
          <w:sz w:val="32"/>
          <w:szCs w:val="32"/>
        </w:rPr>
        <w:t>行政运行</w:t>
      </w:r>
      <w:r>
        <w:rPr>
          <w:rStyle w:val="22"/>
          <w:rFonts w:ascii="仿宋_GB2312" w:eastAsia="仿宋_GB2312" w:cs="仿宋_GB2312"/>
          <w:color w:val="000000"/>
          <w:sz w:val="32"/>
          <w:szCs w:val="32"/>
        </w:rPr>
        <w:t>:</w:t>
      </w:r>
      <w:r>
        <w:rPr>
          <w:rStyle w:val="22"/>
          <w:rFonts w:ascii="仿宋_GB2312" w:eastAsia="仿宋_GB2312" w:cs="仿宋_GB2312"/>
          <w:b w:val="0"/>
          <w:bCs w:val="0"/>
          <w:color w:val="000000"/>
          <w:sz w:val="32"/>
          <w:szCs w:val="32"/>
        </w:rPr>
        <w:t xml:space="preserve"> </w:t>
      </w:r>
      <w:r>
        <w:rPr>
          <w:rStyle w:val="22"/>
          <w:rFonts w:hint="eastAsia" w:ascii="仿宋_GB2312" w:eastAsia="仿宋_GB2312" w:cs="仿宋_GB2312"/>
          <w:b w:val="0"/>
          <w:bCs w:val="0"/>
          <w:color w:val="000000"/>
          <w:sz w:val="32"/>
          <w:szCs w:val="32"/>
        </w:rPr>
        <w:t>支出决算为</w:t>
      </w:r>
      <w:r>
        <w:rPr>
          <w:rStyle w:val="22"/>
          <w:rFonts w:hint="eastAsia" w:ascii="仿宋_GB2312" w:eastAsia="仿宋_GB2312" w:cs="仿宋_GB2312"/>
          <w:b w:val="0"/>
          <w:bCs w:val="0"/>
          <w:color w:val="000000"/>
          <w:sz w:val="32"/>
          <w:szCs w:val="32"/>
          <w:lang w:val="en-US" w:eastAsia="zh-CN"/>
        </w:rPr>
        <w:t>739.51</w:t>
      </w:r>
      <w:r>
        <w:rPr>
          <w:rStyle w:val="22"/>
          <w:rFonts w:hint="eastAsia" w:ascii="仿宋_GB2312" w:eastAsia="仿宋_GB2312" w:cs="仿宋_GB2312"/>
          <w:b w:val="0"/>
          <w:bCs w:val="0"/>
          <w:color w:val="000000"/>
          <w:sz w:val="32"/>
          <w:szCs w:val="32"/>
        </w:rPr>
        <w:t>万元，完成预算</w:t>
      </w:r>
      <w:r>
        <w:rPr>
          <w:rStyle w:val="22"/>
          <w:rFonts w:ascii="仿宋_GB2312" w:eastAsia="仿宋_GB2312" w:cs="仿宋_GB2312"/>
          <w:b w:val="0"/>
          <w:bCs w:val="0"/>
          <w:color w:val="000000"/>
          <w:sz w:val="32"/>
          <w:szCs w:val="32"/>
        </w:rPr>
        <w:t>100%</w:t>
      </w:r>
      <w:r>
        <w:rPr>
          <w:rStyle w:val="22"/>
          <w:rFonts w:hint="eastAsia" w:ascii="仿宋_GB2312" w:eastAsia="仿宋_GB2312" w:cs="仿宋_GB2312"/>
          <w:b w:val="0"/>
          <w:bCs w:val="0"/>
          <w:color w:val="000000"/>
          <w:sz w:val="32"/>
          <w:szCs w:val="32"/>
        </w:rPr>
        <w:t>。</w:t>
      </w:r>
    </w:p>
    <w:p>
      <w:pPr>
        <w:pageBreakBefore w:val="0"/>
        <w:kinsoku/>
        <w:wordWrap/>
        <w:overflowPunct/>
        <w:bidi w:val="0"/>
        <w:spacing w:line="600" w:lineRule="exact"/>
        <w:ind w:firstLine="643" w:firstLineChars="200"/>
        <w:textAlignment w:val="auto"/>
        <w:rPr>
          <w:rStyle w:val="22"/>
          <w:rFonts w:ascii="仿宋_GB2312" w:eastAsia="仿宋_GB2312"/>
          <w:b w:val="0"/>
          <w:bCs w:val="0"/>
          <w:color w:val="000000"/>
          <w:sz w:val="32"/>
          <w:szCs w:val="32"/>
        </w:rPr>
      </w:pPr>
      <w:r>
        <w:rPr>
          <w:rStyle w:val="22"/>
          <w:rFonts w:hint="eastAsia" w:ascii="仿宋_GB2312" w:eastAsia="仿宋_GB2312" w:cs="仿宋_GB2312"/>
          <w:color w:val="000000"/>
          <w:sz w:val="32"/>
          <w:szCs w:val="32"/>
        </w:rPr>
        <w:t>②</w:t>
      </w:r>
      <w:r>
        <w:rPr>
          <w:rStyle w:val="22"/>
          <w:rFonts w:hint="eastAsia" w:ascii="仿宋_GB2312" w:eastAsia="仿宋_GB2312" w:cs="仿宋_GB2312"/>
          <w:color w:val="000000"/>
          <w:sz w:val="32"/>
          <w:szCs w:val="32"/>
          <w:lang w:eastAsia="zh-CN"/>
        </w:rPr>
        <w:t>、</w:t>
      </w:r>
      <w:r>
        <w:rPr>
          <w:rStyle w:val="22"/>
          <w:rFonts w:hint="eastAsia" w:ascii="仿宋_GB2312" w:eastAsia="仿宋_GB2312" w:cs="仿宋_GB2312"/>
          <w:color w:val="000000"/>
          <w:sz w:val="32"/>
          <w:szCs w:val="32"/>
          <w:lang w:val="en-US" w:eastAsia="zh-CN"/>
        </w:rPr>
        <w:t>公共法律服务</w:t>
      </w:r>
      <w:r>
        <w:rPr>
          <w:rStyle w:val="22"/>
          <w:rFonts w:hint="eastAsia" w:ascii="仿宋_GB2312" w:eastAsia="仿宋_GB2312" w:cs="仿宋_GB2312"/>
          <w:color w:val="000000"/>
          <w:sz w:val="32"/>
          <w:szCs w:val="32"/>
        </w:rPr>
        <w:t>：</w:t>
      </w:r>
      <w:r>
        <w:rPr>
          <w:rStyle w:val="22"/>
          <w:rFonts w:hint="eastAsia" w:ascii="仿宋_GB2312" w:eastAsia="仿宋_GB2312" w:cs="仿宋_GB2312"/>
          <w:b w:val="0"/>
          <w:bCs w:val="0"/>
          <w:color w:val="000000"/>
          <w:sz w:val="32"/>
          <w:szCs w:val="32"/>
        </w:rPr>
        <w:t>支出决算为</w:t>
      </w:r>
      <w:r>
        <w:rPr>
          <w:rStyle w:val="22"/>
          <w:rFonts w:hint="eastAsia" w:ascii="仿宋_GB2312" w:eastAsia="仿宋_GB2312" w:cs="仿宋_GB2312"/>
          <w:b w:val="0"/>
          <w:bCs w:val="0"/>
          <w:color w:val="000000"/>
          <w:sz w:val="32"/>
          <w:szCs w:val="32"/>
          <w:lang w:val="en-US" w:eastAsia="zh-CN"/>
        </w:rPr>
        <w:t>15.00</w:t>
      </w:r>
      <w:r>
        <w:rPr>
          <w:rStyle w:val="22"/>
          <w:rFonts w:hint="eastAsia" w:ascii="仿宋_GB2312" w:eastAsia="仿宋_GB2312" w:cs="仿宋_GB2312"/>
          <w:b w:val="0"/>
          <w:bCs w:val="0"/>
          <w:color w:val="000000"/>
          <w:sz w:val="32"/>
          <w:szCs w:val="32"/>
        </w:rPr>
        <w:t>万元，完成预算</w:t>
      </w:r>
      <w:r>
        <w:rPr>
          <w:rStyle w:val="22"/>
          <w:rFonts w:ascii="仿宋_GB2312" w:eastAsia="仿宋_GB2312" w:cs="仿宋_GB2312"/>
          <w:b w:val="0"/>
          <w:bCs w:val="0"/>
          <w:color w:val="000000"/>
          <w:sz w:val="32"/>
          <w:szCs w:val="32"/>
        </w:rPr>
        <w:t>100%</w:t>
      </w:r>
      <w:r>
        <w:rPr>
          <w:rStyle w:val="22"/>
          <w:rFonts w:hint="eastAsia" w:ascii="仿宋_GB2312" w:eastAsia="仿宋_GB2312" w:cs="仿宋_GB2312"/>
          <w:b w:val="0"/>
          <w:bCs w:val="0"/>
          <w:color w:val="000000"/>
          <w:sz w:val="32"/>
          <w:szCs w:val="32"/>
        </w:rPr>
        <w:t>。</w:t>
      </w:r>
    </w:p>
    <w:p>
      <w:pPr>
        <w:pageBreakBefore w:val="0"/>
        <w:kinsoku/>
        <w:wordWrap/>
        <w:overflowPunct/>
        <w:bidi w:val="0"/>
        <w:spacing w:line="600" w:lineRule="exact"/>
        <w:ind w:firstLine="643" w:firstLineChars="200"/>
        <w:textAlignment w:val="auto"/>
        <w:rPr>
          <w:rStyle w:val="22"/>
          <w:rFonts w:ascii="仿宋_GB2312" w:eastAsia="仿宋_GB2312"/>
          <w:b w:val="0"/>
          <w:bCs w:val="0"/>
          <w:color w:val="000000"/>
          <w:sz w:val="32"/>
          <w:szCs w:val="32"/>
        </w:rPr>
      </w:pPr>
      <w:r>
        <w:rPr>
          <w:rStyle w:val="22"/>
          <w:rFonts w:hint="eastAsia" w:ascii="宋体" w:hAnsi="宋体" w:cs="宋体"/>
          <w:color w:val="000000"/>
          <w:sz w:val="32"/>
          <w:szCs w:val="32"/>
        </w:rPr>
        <w:t>③、基层司法业务：</w:t>
      </w:r>
      <w:r>
        <w:rPr>
          <w:rStyle w:val="22"/>
          <w:rFonts w:hint="eastAsia" w:ascii="仿宋_GB2312" w:eastAsia="仿宋_GB2312" w:cs="仿宋_GB2312"/>
          <w:b w:val="0"/>
          <w:bCs w:val="0"/>
          <w:color w:val="000000"/>
          <w:sz w:val="32"/>
          <w:szCs w:val="32"/>
        </w:rPr>
        <w:t>支出决算为</w:t>
      </w:r>
      <w:r>
        <w:rPr>
          <w:rStyle w:val="22"/>
          <w:rFonts w:hint="eastAsia" w:ascii="仿宋_GB2312" w:eastAsia="仿宋_GB2312" w:cs="仿宋_GB2312"/>
          <w:b w:val="0"/>
          <w:bCs w:val="0"/>
          <w:color w:val="000000"/>
          <w:sz w:val="32"/>
          <w:szCs w:val="32"/>
          <w:lang w:val="en-US" w:eastAsia="zh-CN"/>
        </w:rPr>
        <w:t>36.69</w:t>
      </w:r>
      <w:r>
        <w:rPr>
          <w:rStyle w:val="22"/>
          <w:rFonts w:hint="eastAsia" w:ascii="仿宋_GB2312" w:eastAsia="仿宋_GB2312" w:cs="仿宋_GB2312"/>
          <w:b w:val="0"/>
          <w:bCs w:val="0"/>
          <w:color w:val="000000"/>
          <w:sz w:val="32"/>
          <w:szCs w:val="32"/>
        </w:rPr>
        <w:t>万元，完成预算</w:t>
      </w:r>
      <w:r>
        <w:rPr>
          <w:rStyle w:val="22"/>
          <w:rFonts w:ascii="仿宋_GB2312" w:eastAsia="仿宋_GB2312" w:cs="仿宋_GB2312"/>
          <w:b w:val="0"/>
          <w:bCs w:val="0"/>
          <w:color w:val="000000"/>
          <w:sz w:val="32"/>
          <w:szCs w:val="32"/>
        </w:rPr>
        <w:t>100%</w:t>
      </w:r>
      <w:r>
        <w:rPr>
          <w:rStyle w:val="22"/>
          <w:rFonts w:hint="eastAsia" w:ascii="仿宋_GB2312" w:eastAsia="仿宋_GB2312" w:cs="仿宋_GB2312"/>
          <w:b w:val="0"/>
          <w:bCs w:val="0"/>
          <w:color w:val="000000"/>
          <w:sz w:val="32"/>
          <w:szCs w:val="32"/>
        </w:rPr>
        <w:t>。</w:t>
      </w:r>
    </w:p>
    <w:p>
      <w:pPr>
        <w:pageBreakBefore w:val="0"/>
        <w:kinsoku/>
        <w:wordWrap/>
        <w:overflowPunct/>
        <w:bidi w:val="0"/>
        <w:spacing w:line="600" w:lineRule="exact"/>
        <w:ind w:firstLine="643" w:firstLineChars="200"/>
        <w:textAlignment w:val="auto"/>
        <w:rPr>
          <w:rStyle w:val="22"/>
          <w:rFonts w:ascii="仿宋_GB2312" w:eastAsia="仿宋_GB2312"/>
          <w:color w:val="000000"/>
          <w:sz w:val="32"/>
          <w:szCs w:val="32"/>
        </w:rPr>
      </w:pPr>
      <w:r>
        <w:rPr>
          <w:rStyle w:val="22"/>
          <w:rFonts w:hint="eastAsia" w:ascii="宋体" w:hAnsi="宋体" w:cs="宋体"/>
          <w:color w:val="000000"/>
          <w:sz w:val="32"/>
          <w:szCs w:val="32"/>
        </w:rPr>
        <w:t>④、</w:t>
      </w:r>
      <w:r>
        <w:rPr>
          <w:rStyle w:val="22"/>
          <w:rFonts w:hint="eastAsia" w:ascii="宋体" w:hAnsi="宋体" w:cs="宋体"/>
          <w:color w:val="000000"/>
          <w:sz w:val="32"/>
          <w:szCs w:val="32"/>
          <w:lang w:eastAsia="zh-CN"/>
        </w:rPr>
        <w:t>其他司法支出</w:t>
      </w:r>
      <w:r>
        <w:rPr>
          <w:rStyle w:val="22"/>
          <w:rFonts w:hint="eastAsia" w:ascii="宋体" w:hAnsi="宋体" w:cs="宋体"/>
          <w:color w:val="000000"/>
          <w:sz w:val="32"/>
          <w:szCs w:val="32"/>
        </w:rPr>
        <w:t>：</w:t>
      </w:r>
      <w:r>
        <w:rPr>
          <w:rStyle w:val="22"/>
          <w:rFonts w:hint="eastAsia" w:ascii="仿宋_GB2312" w:eastAsia="仿宋_GB2312" w:cs="仿宋_GB2312"/>
          <w:b w:val="0"/>
          <w:bCs w:val="0"/>
          <w:color w:val="000000"/>
          <w:sz w:val="32"/>
          <w:szCs w:val="32"/>
        </w:rPr>
        <w:t>支出决算为</w:t>
      </w:r>
      <w:r>
        <w:rPr>
          <w:rStyle w:val="22"/>
          <w:rFonts w:hint="eastAsia" w:ascii="仿宋_GB2312" w:eastAsia="仿宋_GB2312" w:cs="仿宋_GB2312"/>
          <w:b w:val="0"/>
          <w:bCs w:val="0"/>
          <w:color w:val="000000"/>
          <w:sz w:val="32"/>
          <w:szCs w:val="32"/>
          <w:lang w:val="en-US" w:eastAsia="zh-CN"/>
        </w:rPr>
        <w:t>123.91</w:t>
      </w:r>
      <w:r>
        <w:rPr>
          <w:rStyle w:val="22"/>
          <w:rFonts w:hint="eastAsia" w:ascii="仿宋_GB2312" w:eastAsia="仿宋_GB2312" w:cs="仿宋_GB2312"/>
          <w:b w:val="0"/>
          <w:bCs w:val="0"/>
          <w:color w:val="000000"/>
          <w:sz w:val="32"/>
          <w:szCs w:val="32"/>
        </w:rPr>
        <w:t>万元，完成预算</w:t>
      </w:r>
      <w:r>
        <w:rPr>
          <w:rStyle w:val="22"/>
          <w:rFonts w:ascii="仿宋_GB2312" w:eastAsia="仿宋_GB2312" w:cs="仿宋_GB2312"/>
          <w:b w:val="0"/>
          <w:bCs w:val="0"/>
          <w:color w:val="000000"/>
          <w:sz w:val="32"/>
          <w:szCs w:val="32"/>
        </w:rPr>
        <w:t>100%</w:t>
      </w:r>
      <w:r>
        <w:rPr>
          <w:rStyle w:val="22"/>
          <w:rFonts w:hint="eastAsia" w:ascii="仿宋_GB2312" w:eastAsia="仿宋_GB2312" w:cs="仿宋_GB2312"/>
          <w:b w:val="0"/>
          <w:bCs w:val="0"/>
          <w:color w:val="000000"/>
          <w:sz w:val="32"/>
          <w:szCs w:val="32"/>
        </w:rPr>
        <w:t>。</w:t>
      </w:r>
    </w:p>
    <w:p>
      <w:pPr>
        <w:pageBreakBefore w:val="0"/>
        <w:kinsoku/>
        <w:wordWrap/>
        <w:overflowPunct/>
        <w:bidi w:val="0"/>
        <w:spacing w:line="600" w:lineRule="exact"/>
        <w:ind w:firstLine="643" w:firstLineChars="200"/>
        <w:textAlignment w:val="auto"/>
        <w:rPr>
          <w:rFonts w:hint="eastAsia" w:ascii="仿宋_GB2312" w:hAnsi="仿宋_GB2312" w:eastAsia="仿宋_GB2312" w:cs="仿宋_GB2312"/>
          <w:b/>
          <w:bCs/>
          <w:sz w:val="32"/>
          <w:szCs w:val="32"/>
          <w:lang w:eastAsia="zh-CN"/>
        </w:rPr>
      </w:pPr>
      <w:r>
        <w:rPr>
          <w:rStyle w:val="22"/>
          <w:rFonts w:hint="eastAsia" w:ascii="仿宋_GB2312" w:eastAsia="仿宋_GB2312" w:cs="仿宋_GB2312"/>
          <w:color w:val="000000"/>
          <w:sz w:val="32"/>
          <w:szCs w:val="32"/>
        </w:rPr>
        <w:t>⑤</w:t>
      </w:r>
      <w:r>
        <w:rPr>
          <w:rStyle w:val="22"/>
          <w:rFonts w:hint="eastAsia" w:ascii="宋体" w:hAnsi="宋体" w:cs="宋体"/>
          <w:color w:val="000000"/>
          <w:sz w:val="32"/>
          <w:szCs w:val="32"/>
        </w:rPr>
        <w:t>、社区矫正：</w:t>
      </w:r>
      <w:r>
        <w:rPr>
          <w:rStyle w:val="22"/>
          <w:rFonts w:hint="eastAsia" w:ascii="仿宋_GB2312" w:eastAsia="仿宋_GB2312" w:cs="仿宋_GB2312"/>
          <w:b w:val="0"/>
          <w:bCs w:val="0"/>
          <w:color w:val="000000"/>
          <w:sz w:val="32"/>
          <w:szCs w:val="32"/>
        </w:rPr>
        <w:t>支出决算为</w:t>
      </w:r>
      <w:r>
        <w:rPr>
          <w:rStyle w:val="22"/>
          <w:rFonts w:hint="eastAsia" w:ascii="仿宋_GB2312" w:eastAsia="仿宋_GB2312" w:cs="仿宋_GB2312"/>
          <w:b w:val="0"/>
          <w:bCs w:val="0"/>
          <w:color w:val="000000"/>
          <w:sz w:val="32"/>
          <w:szCs w:val="32"/>
          <w:lang w:val="en-US" w:eastAsia="zh-CN"/>
        </w:rPr>
        <w:t>34.10</w:t>
      </w:r>
      <w:r>
        <w:rPr>
          <w:rStyle w:val="22"/>
          <w:rFonts w:hint="eastAsia" w:ascii="仿宋_GB2312" w:eastAsia="仿宋_GB2312" w:cs="仿宋_GB2312"/>
          <w:b w:val="0"/>
          <w:bCs w:val="0"/>
          <w:color w:val="000000"/>
          <w:sz w:val="32"/>
          <w:szCs w:val="32"/>
        </w:rPr>
        <w:t>万元，完成预算</w:t>
      </w:r>
      <w:r>
        <w:rPr>
          <w:rStyle w:val="22"/>
          <w:rFonts w:ascii="仿宋_GB2312" w:eastAsia="仿宋_GB2312" w:cs="仿宋_GB2312"/>
          <w:b w:val="0"/>
          <w:bCs w:val="0"/>
          <w:color w:val="000000"/>
          <w:sz w:val="32"/>
          <w:szCs w:val="32"/>
        </w:rPr>
        <w:t>100%</w:t>
      </w:r>
      <w:r>
        <w:rPr>
          <w:rStyle w:val="22"/>
          <w:rFonts w:hint="eastAsia" w:ascii="仿宋_GB2312" w:eastAsia="仿宋_GB2312" w:cs="仿宋_GB2312"/>
          <w:b w:val="0"/>
          <w:bCs w:val="0"/>
          <w:color w:val="000000"/>
          <w:sz w:val="32"/>
          <w:szCs w:val="32"/>
        </w:rPr>
        <w:t>。</w:t>
      </w:r>
    </w:p>
    <w:p>
      <w:pPr>
        <w:pStyle w:val="18"/>
        <w:pageBreakBefore w:val="0"/>
        <w:kinsoku/>
        <w:wordWrap/>
        <w:overflowPunct/>
        <w:bidi w:val="0"/>
        <w:ind w:firstLine="643" w:firstLineChars="200"/>
        <w:jc w:val="both"/>
        <w:textAlignment w:val="auto"/>
      </w:pPr>
      <w:r>
        <w:rPr>
          <w:rStyle w:val="22"/>
          <w:rFonts w:hint="eastAsia" w:ascii="仿宋_GB2312" w:eastAsia="仿宋_GB2312" w:cs="仿宋_GB2312"/>
          <w:b/>
          <w:bCs/>
          <w:color w:val="000000"/>
          <w:sz w:val="32"/>
          <w:szCs w:val="32"/>
          <w:lang w:val="en-US" w:eastAsia="zh-CN"/>
        </w:rPr>
        <w:t>2.</w:t>
      </w:r>
      <w:r>
        <w:rPr>
          <w:rStyle w:val="22"/>
          <w:rFonts w:hint="eastAsia" w:ascii="仿宋_GB2312" w:eastAsia="仿宋_GB2312" w:cs="仿宋_GB2312"/>
          <w:b/>
          <w:bCs/>
          <w:color w:val="000000"/>
          <w:sz w:val="32"/>
          <w:szCs w:val="32"/>
          <w:lang w:eastAsia="zh-CN"/>
        </w:rPr>
        <w:t>公共安全支出</w:t>
      </w:r>
      <w:r>
        <w:rPr>
          <w:rStyle w:val="22"/>
          <w:rFonts w:hint="eastAsia" w:ascii="仿宋_GB2312" w:eastAsia="仿宋_GB2312" w:cs="仿宋_GB2312"/>
          <w:b/>
          <w:bCs/>
          <w:color w:val="000000"/>
          <w:sz w:val="32"/>
          <w:szCs w:val="32"/>
        </w:rPr>
        <w:t>（类）</w:t>
      </w:r>
      <w:r>
        <w:rPr>
          <w:rStyle w:val="22"/>
          <w:rFonts w:hint="eastAsia" w:ascii="仿宋_GB2312" w:eastAsia="仿宋_GB2312" w:cs="仿宋_GB2312"/>
          <w:b/>
          <w:bCs/>
          <w:color w:val="000000"/>
          <w:sz w:val="32"/>
          <w:szCs w:val="32"/>
          <w:lang w:eastAsia="zh-CN"/>
        </w:rPr>
        <w:t>其他公共安全支出</w:t>
      </w:r>
      <w:r>
        <w:rPr>
          <w:rStyle w:val="22"/>
          <w:rFonts w:hint="eastAsia" w:ascii="仿宋_GB2312" w:eastAsia="仿宋_GB2312" w:cs="仿宋_GB2312"/>
          <w:b/>
          <w:bCs/>
          <w:color w:val="000000"/>
          <w:sz w:val="32"/>
          <w:szCs w:val="32"/>
        </w:rPr>
        <w:t>（款）</w:t>
      </w:r>
      <w:r>
        <w:rPr>
          <w:rStyle w:val="22"/>
          <w:rFonts w:hint="eastAsia" w:ascii="仿宋_GB2312" w:eastAsia="仿宋_GB2312" w:cs="仿宋_GB2312"/>
          <w:b/>
          <w:bCs/>
          <w:color w:val="000000"/>
          <w:sz w:val="32"/>
          <w:szCs w:val="32"/>
          <w:lang w:eastAsia="zh-CN"/>
        </w:rPr>
        <w:t>其他公共安全支出（项）：</w:t>
      </w:r>
      <w:r>
        <w:rPr>
          <w:rStyle w:val="22"/>
          <w:rFonts w:hint="eastAsia" w:ascii="仿宋_GB2312" w:eastAsia="仿宋_GB2312" w:cs="仿宋_GB2312"/>
          <w:b w:val="0"/>
          <w:bCs w:val="0"/>
          <w:color w:val="000000"/>
          <w:sz w:val="32"/>
          <w:szCs w:val="32"/>
        </w:rPr>
        <w:t>支出决算为</w:t>
      </w:r>
      <w:r>
        <w:rPr>
          <w:rStyle w:val="22"/>
          <w:rFonts w:hint="eastAsia" w:ascii="仿宋_GB2312" w:eastAsia="仿宋_GB2312" w:cs="仿宋_GB2312"/>
          <w:b w:val="0"/>
          <w:bCs w:val="0"/>
          <w:color w:val="000000"/>
          <w:sz w:val="32"/>
          <w:szCs w:val="32"/>
          <w:lang w:val="en-US" w:eastAsia="zh-CN"/>
        </w:rPr>
        <w:t>155.46</w:t>
      </w:r>
      <w:r>
        <w:rPr>
          <w:rStyle w:val="22"/>
          <w:rFonts w:hint="eastAsia" w:ascii="仿宋_GB2312" w:eastAsia="仿宋_GB2312" w:cs="仿宋_GB2312"/>
          <w:b w:val="0"/>
          <w:bCs w:val="0"/>
          <w:color w:val="000000"/>
          <w:sz w:val="32"/>
          <w:szCs w:val="32"/>
        </w:rPr>
        <w:t>万元，完成预算</w:t>
      </w:r>
      <w:r>
        <w:rPr>
          <w:rStyle w:val="22"/>
          <w:rFonts w:ascii="仿宋_GB2312" w:eastAsia="仿宋_GB2312" w:cs="仿宋_GB2312"/>
          <w:b w:val="0"/>
          <w:bCs w:val="0"/>
          <w:color w:val="000000"/>
          <w:sz w:val="32"/>
          <w:szCs w:val="32"/>
        </w:rPr>
        <w:t>100%</w:t>
      </w:r>
      <w:r>
        <w:rPr>
          <w:rStyle w:val="22"/>
          <w:rFonts w:hint="eastAsia" w:ascii="仿宋_GB2312" w:eastAsia="仿宋_GB2312" w:cs="仿宋_GB2312"/>
          <w:b w:val="0"/>
          <w:bCs w:val="0"/>
          <w:color w:val="000000"/>
          <w:sz w:val="32"/>
          <w:szCs w:val="32"/>
        </w:rPr>
        <w:t>。</w:t>
      </w:r>
    </w:p>
    <w:p>
      <w:pPr>
        <w:pageBreakBefore w:val="0"/>
        <w:kinsoku/>
        <w:wordWrap/>
        <w:overflowPunct/>
        <w:bidi w:val="0"/>
        <w:spacing w:line="600" w:lineRule="exact"/>
        <w:ind w:firstLine="643" w:firstLineChars="200"/>
        <w:textAlignment w:val="auto"/>
        <w:rPr>
          <w:rStyle w:val="22"/>
          <w:rFonts w:ascii="仿宋_GB2312" w:eastAsia="仿宋_GB2312"/>
          <w:color w:val="000000"/>
          <w:sz w:val="32"/>
          <w:szCs w:val="32"/>
        </w:rPr>
      </w:pPr>
      <w:r>
        <w:rPr>
          <w:rStyle w:val="22"/>
          <w:rFonts w:hint="eastAsia" w:ascii="仿宋_GB2312" w:eastAsia="仿宋_GB2312" w:cs="仿宋_GB2312"/>
          <w:color w:val="000000"/>
          <w:sz w:val="32"/>
          <w:szCs w:val="32"/>
          <w:lang w:val="en-US" w:eastAsia="zh-CN"/>
        </w:rPr>
        <w:t>3</w:t>
      </w:r>
      <w:r>
        <w:rPr>
          <w:rStyle w:val="22"/>
          <w:rFonts w:ascii="仿宋_GB2312" w:eastAsia="仿宋_GB2312" w:cs="仿宋_GB2312"/>
          <w:color w:val="000000"/>
          <w:sz w:val="32"/>
          <w:szCs w:val="32"/>
        </w:rPr>
        <w:t>.</w:t>
      </w:r>
      <w:r>
        <w:rPr>
          <w:rStyle w:val="22"/>
          <w:rFonts w:hint="eastAsia" w:ascii="仿宋_GB2312" w:eastAsia="仿宋_GB2312" w:cs="仿宋_GB2312"/>
          <w:color w:val="000000"/>
          <w:sz w:val="32"/>
          <w:szCs w:val="32"/>
        </w:rPr>
        <w:t>社会保障和就业（类）行政事业单位</w:t>
      </w:r>
      <w:r>
        <w:rPr>
          <w:rStyle w:val="22"/>
          <w:rFonts w:hint="eastAsia" w:ascii="仿宋_GB2312" w:eastAsia="仿宋_GB2312" w:cs="仿宋_GB2312"/>
          <w:color w:val="000000"/>
          <w:sz w:val="32"/>
          <w:szCs w:val="32"/>
          <w:lang w:eastAsia="zh-CN"/>
        </w:rPr>
        <w:t>养老支出</w:t>
      </w:r>
      <w:r>
        <w:rPr>
          <w:rStyle w:val="22"/>
          <w:rFonts w:hint="eastAsia" w:ascii="仿宋_GB2312" w:eastAsia="仿宋_GB2312" w:cs="仿宋_GB2312"/>
          <w:color w:val="000000"/>
          <w:sz w:val="32"/>
          <w:szCs w:val="32"/>
        </w:rPr>
        <w:t>（款）</w:t>
      </w:r>
      <w:r>
        <w:rPr>
          <w:rStyle w:val="22"/>
          <w:rFonts w:ascii="仿宋_GB2312" w:eastAsia="仿宋_GB2312" w:cs="仿宋_GB2312"/>
          <w:color w:val="000000"/>
          <w:sz w:val="32"/>
          <w:szCs w:val="32"/>
        </w:rPr>
        <w:t xml:space="preserve">  </w:t>
      </w:r>
    </w:p>
    <w:p>
      <w:pPr>
        <w:pageBreakBefore w:val="0"/>
        <w:kinsoku/>
        <w:wordWrap/>
        <w:overflowPunct/>
        <w:bidi w:val="0"/>
        <w:spacing w:line="600" w:lineRule="exact"/>
        <w:ind w:firstLine="643" w:firstLineChars="200"/>
        <w:textAlignment w:val="auto"/>
        <w:rPr>
          <w:rStyle w:val="22"/>
          <w:rFonts w:ascii="仿宋_GB2312" w:eastAsia="仿宋_GB2312"/>
          <w:b w:val="0"/>
          <w:bCs w:val="0"/>
          <w:color w:val="000000"/>
          <w:sz w:val="32"/>
          <w:szCs w:val="32"/>
        </w:rPr>
      </w:pPr>
      <w:r>
        <w:rPr>
          <w:rStyle w:val="22"/>
          <w:rFonts w:hint="eastAsia" w:ascii="仿宋_GB2312" w:eastAsia="仿宋_GB2312" w:cs="仿宋_GB2312"/>
          <w:color w:val="000000"/>
          <w:sz w:val="32"/>
          <w:szCs w:val="32"/>
        </w:rPr>
        <w:t>①、行政单位离退休</w:t>
      </w:r>
      <w:r>
        <w:rPr>
          <w:rStyle w:val="22"/>
          <w:rFonts w:ascii="仿宋_GB2312" w:eastAsia="仿宋_GB2312" w:cs="仿宋_GB2312"/>
          <w:color w:val="000000"/>
          <w:sz w:val="32"/>
          <w:szCs w:val="32"/>
        </w:rPr>
        <w:t>:</w:t>
      </w:r>
      <w:r>
        <w:rPr>
          <w:rStyle w:val="22"/>
          <w:rFonts w:ascii="仿宋_GB2312" w:eastAsia="仿宋_GB2312" w:cs="仿宋_GB2312"/>
          <w:b w:val="0"/>
          <w:bCs w:val="0"/>
          <w:color w:val="000000"/>
          <w:sz w:val="32"/>
          <w:szCs w:val="32"/>
        </w:rPr>
        <w:t xml:space="preserve"> </w:t>
      </w:r>
      <w:r>
        <w:rPr>
          <w:rStyle w:val="22"/>
          <w:rFonts w:hint="eastAsia" w:ascii="仿宋_GB2312" w:eastAsia="仿宋_GB2312" w:cs="仿宋_GB2312"/>
          <w:b w:val="0"/>
          <w:bCs w:val="0"/>
          <w:color w:val="000000"/>
          <w:sz w:val="32"/>
          <w:szCs w:val="32"/>
        </w:rPr>
        <w:t>支出决算为</w:t>
      </w:r>
      <w:r>
        <w:rPr>
          <w:rStyle w:val="22"/>
          <w:rFonts w:hint="eastAsia" w:ascii="仿宋_GB2312" w:eastAsia="仿宋_GB2312" w:cs="仿宋_GB2312"/>
          <w:b w:val="0"/>
          <w:bCs w:val="0"/>
          <w:color w:val="000000"/>
          <w:sz w:val="32"/>
          <w:szCs w:val="32"/>
          <w:lang w:val="en-US" w:eastAsia="zh-CN"/>
        </w:rPr>
        <w:t>44.38</w:t>
      </w:r>
      <w:r>
        <w:rPr>
          <w:rStyle w:val="22"/>
          <w:rFonts w:hint="eastAsia" w:ascii="仿宋_GB2312" w:eastAsia="仿宋_GB2312" w:cs="仿宋_GB2312"/>
          <w:b w:val="0"/>
          <w:bCs w:val="0"/>
          <w:color w:val="000000"/>
          <w:sz w:val="32"/>
          <w:szCs w:val="32"/>
        </w:rPr>
        <w:t>万元，完成预算</w:t>
      </w:r>
      <w:r>
        <w:rPr>
          <w:rStyle w:val="22"/>
          <w:rFonts w:ascii="仿宋_GB2312" w:eastAsia="仿宋_GB2312" w:cs="仿宋_GB2312"/>
          <w:b w:val="0"/>
          <w:bCs w:val="0"/>
          <w:color w:val="000000"/>
          <w:sz w:val="32"/>
          <w:szCs w:val="32"/>
        </w:rPr>
        <w:t>100%</w:t>
      </w:r>
      <w:r>
        <w:rPr>
          <w:rStyle w:val="22"/>
          <w:rFonts w:hint="eastAsia" w:ascii="仿宋_GB2312" w:eastAsia="仿宋_GB2312" w:cs="仿宋_GB2312"/>
          <w:b w:val="0"/>
          <w:bCs w:val="0"/>
          <w:color w:val="000000"/>
          <w:sz w:val="32"/>
          <w:szCs w:val="32"/>
        </w:rPr>
        <w:t>。</w:t>
      </w:r>
    </w:p>
    <w:p>
      <w:pPr>
        <w:pageBreakBefore w:val="0"/>
        <w:kinsoku/>
        <w:wordWrap/>
        <w:overflowPunct/>
        <w:bidi w:val="0"/>
        <w:spacing w:line="600" w:lineRule="exact"/>
        <w:ind w:firstLine="643" w:firstLineChars="200"/>
        <w:textAlignment w:val="auto"/>
        <w:rPr>
          <w:rStyle w:val="22"/>
          <w:rFonts w:hint="eastAsia" w:ascii="仿宋_GB2312" w:eastAsia="仿宋_GB2312" w:cs="仿宋_GB2312"/>
          <w:b w:val="0"/>
          <w:bCs w:val="0"/>
          <w:color w:val="000000"/>
          <w:sz w:val="32"/>
          <w:szCs w:val="32"/>
        </w:rPr>
      </w:pPr>
      <w:r>
        <w:rPr>
          <w:rFonts w:hint="eastAsia" w:ascii="仿宋_GB2312" w:eastAsia="仿宋_GB2312" w:cs="仿宋_GB2312"/>
          <w:b/>
          <w:bCs/>
          <w:color w:val="000000"/>
          <w:sz w:val="32"/>
          <w:szCs w:val="32"/>
        </w:rPr>
        <w:t>②、机关事业单位基本养老保险缴费支出：</w:t>
      </w:r>
      <w:r>
        <w:rPr>
          <w:rStyle w:val="22"/>
          <w:rFonts w:hint="eastAsia" w:ascii="仿宋_GB2312" w:eastAsia="仿宋_GB2312" w:cs="仿宋_GB2312"/>
          <w:b w:val="0"/>
          <w:bCs w:val="0"/>
          <w:color w:val="000000"/>
          <w:sz w:val="32"/>
          <w:szCs w:val="32"/>
        </w:rPr>
        <w:t>支出决算为</w:t>
      </w:r>
      <w:r>
        <w:rPr>
          <w:rStyle w:val="22"/>
          <w:rFonts w:hint="eastAsia" w:ascii="仿宋_GB2312" w:eastAsia="仿宋_GB2312" w:cs="仿宋_GB2312"/>
          <w:b w:val="0"/>
          <w:bCs w:val="0"/>
          <w:color w:val="000000"/>
          <w:sz w:val="32"/>
          <w:szCs w:val="32"/>
          <w:lang w:val="en-US" w:eastAsia="zh-CN"/>
        </w:rPr>
        <w:t>76.99</w:t>
      </w:r>
      <w:r>
        <w:rPr>
          <w:rStyle w:val="22"/>
          <w:rFonts w:hint="eastAsia" w:ascii="仿宋_GB2312" w:eastAsia="仿宋_GB2312" w:cs="仿宋_GB2312"/>
          <w:b w:val="0"/>
          <w:bCs w:val="0"/>
          <w:color w:val="000000"/>
          <w:sz w:val="32"/>
          <w:szCs w:val="32"/>
        </w:rPr>
        <w:t>万元，完成预算</w:t>
      </w:r>
      <w:r>
        <w:rPr>
          <w:rStyle w:val="22"/>
          <w:rFonts w:ascii="仿宋_GB2312" w:eastAsia="仿宋_GB2312" w:cs="仿宋_GB2312"/>
          <w:b w:val="0"/>
          <w:bCs w:val="0"/>
          <w:color w:val="000000"/>
          <w:sz w:val="32"/>
          <w:szCs w:val="32"/>
        </w:rPr>
        <w:t>100%</w:t>
      </w:r>
      <w:r>
        <w:rPr>
          <w:rStyle w:val="22"/>
          <w:rFonts w:hint="eastAsia" w:ascii="仿宋_GB2312" w:eastAsia="仿宋_GB2312" w:cs="仿宋_GB2312"/>
          <w:b w:val="0"/>
          <w:bCs w:val="0"/>
          <w:color w:val="000000"/>
          <w:sz w:val="32"/>
          <w:szCs w:val="32"/>
        </w:rPr>
        <w:t>。</w:t>
      </w:r>
    </w:p>
    <w:p>
      <w:pPr>
        <w:pageBreakBefore w:val="0"/>
        <w:kinsoku/>
        <w:wordWrap/>
        <w:overflowPunct/>
        <w:bidi w:val="0"/>
        <w:spacing w:line="600" w:lineRule="exact"/>
        <w:ind w:firstLine="643" w:firstLineChars="200"/>
        <w:textAlignment w:val="auto"/>
      </w:pPr>
      <w:r>
        <w:rPr>
          <w:rStyle w:val="22"/>
          <w:rFonts w:hint="eastAsia" w:ascii="宋体" w:hAnsi="宋体" w:cs="宋体"/>
          <w:color w:val="000000"/>
          <w:sz w:val="32"/>
          <w:szCs w:val="32"/>
        </w:rPr>
        <w:t>③、</w:t>
      </w:r>
      <w:r>
        <w:rPr>
          <w:rFonts w:hint="eastAsia" w:ascii="仿宋_GB2312" w:eastAsia="仿宋_GB2312" w:cs="仿宋_GB2312"/>
          <w:b/>
          <w:bCs/>
          <w:color w:val="000000"/>
          <w:sz w:val="32"/>
          <w:szCs w:val="32"/>
        </w:rPr>
        <w:t>机关事业单位</w:t>
      </w:r>
      <w:r>
        <w:rPr>
          <w:rFonts w:hint="eastAsia" w:ascii="仿宋_GB2312" w:eastAsia="仿宋_GB2312" w:cs="仿宋_GB2312"/>
          <w:b/>
          <w:bCs/>
          <w:color w:val="000000"/>
          <w:sz w:val="32"/>
          <w:szCs w:val="32"/>
          <w:lang w:eastAsia="zh-CN"/>
        </w:rPr>
        <w:t>职业年金</w:t>
      </w:r>
      <w:r>
        <w:rPr>
          <w:rFonts w:hint="eastAsia" w:ascii="仿宋_GB2312" w:eastAsia="仿宋_GB2312" w:cs="仿宋_GB2312"/>
          <w:b/>
          <w:bCs/>
          <w:color w:val="000000"/>
          <w:sz w:val="32"/>
          <w:szCs w:val="32"/>
        </w:rPr>
        <w:t>缴费支出：</w:t>
      </w:r>
      <w:r>
        <w:rPr>
          <w:rStyle w:val="22"/>
          <w:rFonts w:hint="eastAsia" w:ascii="仿宋_GB2312" w:eastAsia="仿宋_GB2312" w:cs="仿宋_GB2312"/>
          <w:b w:val="0"/>
          <w:bCs w:val="0"/>
          <w:color w:val="000000"/>
          <w:sz w:val="32"/>
          <w:szCs w:val="32"/>
        </w:rPr>
        <w:t>支出决算为</w:t>
      </w:r>
      <w:r>
        <w:rPr>
          <w:rStyle w:val="22"/>
          <w:rFonts w:hint="eastAsia" w:ascii="仿宋_GB2312" w:eastAsia="仿宋_GB2312" w:cs="仿宋_GB2312"/>
          <w:b w:val="0"/>
          <w:bCs w:val="0"/>
          <w:color w:val="000000"/>
          <w:sz w:val="32"/>
          <w:szCs w:val="32"/>
          <w:lang w:val="en-US" w:eastAsia="zh-CN"/>
        </w:rPr>
        <w:t>55.29</w:t>
      </w:r>
      <w:r>
        <w:rPr>
          <w:rStyle w:val="22"/>
          <w:rFonts w:hint="eastAsia" w:ascii="仿宋_GB2312" w:eastAsia="仿宋_GB2312" w:cs="仿宋_GB2312"/>
          <w:b w:val="0"/>
          <w:bCs w:val="0"/>
          <w:color w:val="000000"/>
          <w:sz w:val="32"/>
          <w:szCs w:val="32"/>
        </w:rPr>
        <w:t>万元，完成预算</w:t>
      </w:r>
      <w:r>
        <w:rPr>
          <w:rStyle w:val="22"/>
          <w:rFonts w:ascii="仿宋_GB2312" w:eastAsia="仿宋_GB2312" w:cs="仿宋_GB2312"/>
          <w:b w:val="0"/>
          <w:bCs w:val="0"/>
          <w:color w:val="000000"/>
          <w:sz w:val="32"/>
          <w:szCs w:val="32"/>
        </w:rPr>
        <w:t>100%</w:t>
      </w:r>
      <w:r>
        <w:rPr>
          <w:rStyle w:val="22"/>
          <w:rFonts w:hint="eastAsia" w:ascii="仿宋_GB2312" w:eastAsia="仿宋_GB2312" w:cs="仿宋_GB2312"/>
          <w:b w:val="0"/>
          <w:bCs w:val="0"/>
          <w:color w:val="000000"/>
          <w:sz w:val="32"/>
          <w:szCs w:val="32"/>
        </w:rPr>
        <w:t>。</w:t>
      </w:r>
    </w:p>
    <w:p>
      <w:pPr>
        <w:pageBreakBefore w:val="0"/>
        <w:numPr>
          <w:ilvl w:val="0"/>
          <w:numId w:val="0"/>
        </w:numPr>
        <w:kinsoku/>
        <w:wordWrap/>
        <w:overflowPunct/>
        <w:bidi w:val="0"/>
        <w:spacing w:line="600" w:lineRule="exact"/>
        <w:ind w:firstLine="643" w:firstLineChars="200"/>
        <w:textAlignment w:val="auto"/>
        <w:rPr>
          <w:rStyle w:val="22"/>
          <w:rFonts w:hint="eastAsia" w:ascii="仿宋_GB2312" w:eastAsia="仿宋_GB2312" w:cs="仿宋_GB2312"/>
          <w:b w:val="0"/>
          <w:bCs w:val="0"/>
          <w:color w:val="000000"/>
          <w:sz w:val="32"/>
          <w:szCs w:val="32"/>
        </w:rPr>
      </w:pPr>
      <w:r>
        <w:rPr>
          <w:rStyle w:val="22"/>
          <w:rFonts w:hint="eastAsia" w:ascii="仿宋_GB2312" w:eastAsia="仿宋_GB2312" w:cs="仿宋_GB2312"/>
          <w:b/>
          <w:bCs/>
          <w:color w:val="000000"/>
          <w:sz w:val="32"/>
          <w:szCs w:val="32"/>
          <w:lang w:val="en-US" w:eastAsia="zh-CN"/>
        </w:rPr>
        <w:t>4.</w:t>
      </w:r>
      <w:r>
        <w:rPr>
          <w:rStyle w:val="22"/>
          <w:rFonts w:hint="eastAsia" w:ascii="仿宋_GB2312" w:eastAsia="仿宋_GB2312" w:cs="仿宋_GB2312"/>
          <w:b/>
          <w:bCs/>
          <w:color w:val="000000"/>
          <w:sz w:val="32"/>
          <w:szCs w:val="32"/>
        </w:rPr>
        <w:t>住房保障支出（类）住房改革支出（款）住房公积金（项）：</w:t>
      </w:r>
      <w:r>
        <w:rPr>
          <w:rStyle w:val="22"/>
          <w:rFonts w:hint="eastAsia" w:ascii="仿宋_GB2312" w:eastAsia="仿宋_GB2312" w:cs="仿宋_GB2312"/>
          <w:b w:val="0"/>
          <w:bCs w:val="0"/>
          <w:color w:val="000000"/>
          <w:sz w:val="32"/>
          <w:szCs w:val="32"/>
        </w:rPr>
        <w:t>支出决算为</w:t>
      </w:r>
      <w:r>
        <w:rPr>
          <w:rStyle w:val="22"/>
          <w:rFonts w:hint="eastAsia" w:ascii="仿宋_GB2312" w:eastAsia="仿宋_GB2312" w:cs="仿宋_GB2312"/>
          <w:b w:val="0"/>
          <w:bCs w:val="0"/>
          <w:color w:val="000000"/>
          <w:sz w:val="32"/>
          <w:szCs w:val="32"/>
          <w:lang w:val="en-US" w:eastAsia="zh-CN"/>
        </w:rPr>
        <w:t>69.82</w:t>
      </w:r>
      <w:r>
        <w:rPr>
          <w:rStyle w:val="22"/>
          <w:rFonts w:hint="eastAsia" w:ascii="仿宋_GB2312" w:eastAsia="仿宋_GB2312" w:cs="仿宋_GB2312"/>
          <w:b w:val="0"/>
          <w:bCs w:val="0"/>
          <w:color w:val="000000"/>
          <w:sz w:val="32"/>
          <w:szCs w:val="32"/>
        </w:rPr>
        <w:t>万元，完成预算</w:t>
      </w:r>
      <w:r>
        <w:rPr>
          <w:rStyle w:val="22"/>
          <w:rFonts w:ascii="仿宋_GB2312" w:eastAsia="仿宋_GB2312" w:cs="仿宋_GB2312"/>
          <w:b w:val="0"/>
          <w:bCs w:val="0"/>
          <w:color w:val="000000"/>
          <w:sz w:val="32"/>
          <w:szCs w:val="32"/>
        </w:rPr>
        <w:t>100%</w:t>
      </w:r>
      <w:r>
        <w:rPr>
          <w:rStyle w:val="22"/>
          <w:rFonts w:hint="eastAsia" w:ascii="仿宋_GB2312" w:eastAsia="仿宋_GB2312" w:cs="仿宋_GB2312"/>
          <w:b w:val="0"/>
          <w:bCs w:val="0"/>
          <w:color w:val="000000"/>
          <w:sz w:val="32"/>
          <w:szCs w:val="32"/>
        </w:rPr>
        <w:t>。</w:t>
      </w:r>
    </w:p>
    <w:p>
      <w:pPr>
        <w:pageBreakBefore w:val="0"/>
        <w:kinsoku/>
        <w:wordWrap/>
        <w:overflowPunct/>
        <w:bidi w:val="0"/>
        <w:spacing w:line="560" w:lineRule="exact"/>
        <w:ind w:firstLine="643" w:firstLineChars="200"/>
        <w:textAlignment w:val="auto"/>
        <w:rPr>
          <w:rFonts w:hint="eastAsia" w:eastAsia="仿宋_GB2312"/>
          <w:b/>
          <w:sz w:val="32"/>
          <w:szCs w:val="32"/>
          <w:lang w:eastAsia="zh-CN"/>
        </w:rPr>
      </w:pPr>
      <w:r>
        <w:rPr>
          <w:rFonts w:eastAsia="仿宋_GB2312"/>
          <w:b/>
          <w:sz w:val="32"/>
          <w:szCs w:val="32"/>
        </w:rPr>
        <w:t>5.卫生健康支出（类）</w:t>
      </w:r>
      <w:r>
        <w:rPr>
          <w:rFonts w:hint="eastAsia" w:eastAsia="仿宋_GB2312"/>
          <w:b/>
          <w:sz w:val="32"/>
          <w:szCs w:val="32"/>
          <w:lang w:eastAsia="zh-CN"/>
        </w:rPr>
        <w:t>行政事业单位医疗</w:t>
      </w:r>
      <w:r>
        <w:rPr>
          <w:rFonts w:eastAsia="仿宋_GB2312"/>
          <w:b/>
          <w:sz w:val="32"/>
          <w:szCs w:val="32"/>
        </w:rPr>
        <w:t>（款）</w:t>
      </w:r>
      <w:r>
        <w:rPr>
          <w:rFonts w:hint="eastAsia" w:eastAsia="仿宋_GB2312"/>
          <w:b/>
          <w:sz w:val="32"/>
          <w:szCs w:val="32"/>
          <w:lang w:eastAsia="zh-CN"/>
        </w:rPr>
        <w:t>：</w:t>
      </w:r>
    </w:p>
    <w:p>
      <w:pPr>
        <w:pageBreakBefore w:val="0"/>
        <w:kinsoku/>
        <w:wordWrap/>
        <w:overflowPunct/>
        <w:bidi w:val="0"/>
        <w:spacing w:line="560" w:lineRule="exact"/>
        <w:ind w:firstLine="643" w:firstLineChars="200"/>
        <w:textAlignment w:val="auto"/>
        <w:rPr>
          <w:rFonts w:eastAsia="仿宋_GB2312"/>
          <w:sz w:val="32"/>
          <w:szCs w:val="32"/>
        </w:rPr>
      </w:pPr>
      <w:r>
        <w:rPr>
          <w:rStyle w:val="22"/>
          <w:rFonts w:hint="eastAsia" w:ascii="仿宋_GB2312" w:eastAsia="仿宋_GB2312" w:cs="仿宋_GB2312"/>
          <w:color w:val="000000"/>
          <w:sz w:val="32"/>
          <w:szCs w:val="32"/>
        </w:rPr>
        <w:t>①、</w:t>
      </w:r>
      <w:r>
        <w:rPr>
          <w:rFonts w:hint="eastAsia" w:ascii="仿宋_GB2312" w:hAnsi="仿宋_GB2312" w:eastAsia="仿宋_GB2312" w:cs="仿宋_GB2312"/>
          <w:b/>
          <w:bCs/>
          <w:sz w:val="32"/>
          <w:szCs w:val="32"/>
          <w:lang w:eastAsia="zh-CN"/>
        </w:rPr>
        <w:t>行政单位医疗：</w:t>
      </w:r>
      <w:r>
        <w:rPr>
          <w:rFonts w:eastAsia="仿宋_GB2312"/>
          <w:sz w:val="32"/>
          <w:szCs w:val="32"/>
        </w:rPr>
        <w:t>支出决算为</w:t>
      </w:r>
      <w:r>
        <w:rPr>
          <w:rFonts w:hint="eastAsia" w:eastAsia="仿宋_GB2312"/>
          <w:sz w:val="32"/>
          <w:szCs w:val="32"/>
          <w:lang w:val="en-US" w:eastAsia="zh-CN"/>
        </w:rPr>
        <w:t>45.89</w:t>
      </w:r>
      <w:r>
        <w:rPr>
          <w:rFonts w:eastAsia="仿宋_GB2312"/>
          <w:sz w:val="32"/>
          <w:szCs w:val="32"/>
        </w:rPr>
        <w:t>万元，完成预算100%，决算数等于预算数。</w:t>
      </w:r>
    </w:p>
    <w:p>
      <w:pPr>
        <w:pageBreakBefore w:val="0"/>
        <w:kinsoku/>
        <w:wordWrap/>
        <w:overflowPunct/>
        <w:bidi w:val="0"/>
        <w:spacing w:line="560" w:lineRule="exact"/>
        <w:ind w:firstLine="643" w:firstLineChars="200"/>
        <w:jc w:val="left"/>
        <w:textAlignment w:val="auto"/>
        <w:rPr>
          <w:rFonts w:eastAsia="仿宋_GB2312"/>
          <w:sz w:val="32"/>
          <w:szCs w:val="32"/>
        </w:rPr>
      </w:pPr>
      <w:r>
        <w:rPr>
          <w:rFonts w:hint="eastAsia" w:ascii="仿宋_GB2312" w:eastAsia="仿宋_GB2312" w:cs="仿宋_GB2312"/>
          <w:b/>
          <w:bCs/>
          <w:color w:val="000000"/>
          <w:sz w:val="32"/>
          <w:szCs w:val="32"/>
        </w:rPr>
        <w:t>②、</w:t>
      </w:r>
      <w:r>
        <w:rPr>
          <w:rFonts w:hint="eastAsia"/>
          <w:b/>
          <w:bCs/>
          <w:sz w:val="32"/>
          <w:szCs w:val="32"/>
          <w:lang w:val="en-US" w:eastAsia="zh-CN"/>
        </w:rPr>
        <w:t>公务员医疗补助：</w:t>
      </w:r>
      <w:r>
        <w:rPr>
          <w:rFonts w:eastAsia="仿宋_GB2312"/>
          <w:sz w:val="32"/>
          <w:szCs w:val="32"/>
        </w:rPr>
        <w:t>支出决算为</w:t>
      </w:r>
      <w:r>
        <w:rPr>
          <w:rFonts w:hint="eastAsia" w:eastAsia="仿宋_GB2312"/>
          <w:sz w:val="32"/>
          <w:szCs w:val="32"/>
          <w:lang w:val="en-US" w:eastAsia="zh-CN"/>
        </w:rPr>
        <w:t>4.83</w:t>
      </w:r>
      <w:r>
        <w:rPr>
          <w:rFonts w:eastAsia="仿宋_GB2312"/>
          <w:sz w:val="32"/>
          <w:szCs w:val="32"/>
        </w:rPr>
        <w:t>万元，完成预算100%，决算数等于预算数。</w:t>
      </w:r>
    </w:p>
    <w:p>
      <w:pPr>
        <w:pageBreakBefore w:val="0"/>
        <w:kinsoku/>
        <w:wordWrap/>
        <w:overflowPunct/>
        <w:bidi w:val="0"/>
        <w:spacing w:line="600" w:lineRule="exact"/>
        <w:ind w:firstLine="643" w:firstLineChars="200"/>
        <w:textAlignment w:val="auto"/>
        <w:rPr>
          <w:rStyle w:val="22"/>
          <w:rFonts w:hint="eastAsia" w:ascii="仿宋_GB2312" w:eastAsia="仿宋_GB2312" w:cs="仿宋_GB2312"/>
          <w:b w:val="0"/>
          <w:bCs w:val="0"/>
          <w:color w:val="000000"/>
          <w:sz w:val="32"/>
          <w:szCs w:val="32"/>
        </w:rPr>
      </w:pPr>
      <w:r>
        <w:rPr>
          <w:rStyle w:val="22"/>
          <w:rFonts w:hint="eastAsia" w:ascii="宋体" w:hAnsi="宋体" w:cs="宋体"/>
          <w:color w:val="000000"/>
          <w:sz w:val="32"/>
          <w:szCs w:val="32"/>
        </w:rPr>
        <w:t>③、</w:t>
      </w:r>
      <w:r>
        <w:rPr>
          <w:rFonts w:hint="eastAsia" w:ascii="仿宋_GB2312" w:eastAsia="仿宋_GB2312" w:cs="仿宋_GB2312"/>
          <w:b/>
          <w:bCs/>
          <w:color w:val="000000"/>
          <w:sz w:val="32"/>
          <w:szCs w:val="32"/>
          <w:lang w:val="en-US" w:eastAsia="zh-CN"/>
        </w:rPr>
        <w:t>其他行政事业单位医疗</w:t>
      </w:r>
      <w:r>
        <w:rPr>
          <w:rFonts w:hint="eastAsia" w:ascii="仿宋_GB2312" w:eastAsia="仿宋_GB2312" w:cs="仿宋_GB2312"/>
          <w:b/>
          <w:bCs/>
          <w:color w:val="000000"/>
          <w:sz w:val="32"/>
          <w:szCs w:val="32"/>
        </w:rPr>
        <w:t>支出：</w:t>
      </w:r>
      <w:r>
        <w:rPr>
          <w:rStyle w:val="22"/>
          <w:rFonts w:hint="eastAsia" w:ascii="仿宋_GB2312" w:eastAsia="仿宋_GB2312" w:cs="仿宋_GB2312"/>
          <w:b w:val="0"/>
          <w:bCs w:val="0"/>
          <w:color w:val="000000"/>
          <w:sz w:val="32"/>
          <w:szCs w:val="32"/>
        </w:rPr>
        <w:t>支出决算为</w:t>
      </w:r>
      <w:r>
        <w:rPr>
          <w:rStyle w:val="22"/>
          <w:rFonts w:hint="eastAsia" w:ascii="仿宋_GB2312" w:eastAsia="仿宋_GB2312" w:cs="仿宋_GB2312"/>
          <w:b w:val="0"/>
          <w:bCs w:val="0"/>
          <w:color w:val="000000"/>
          <w:sz w:val="32"/>
          <w:szCs w:val="32"/>
          <w:lang w:val="en-US" w:eastAsia="zh-CN"/>
        </w:rPr>
        <w:t>23.95</w:t>
      </w:r>
      <w:r>
        <w:rPr>
          <w:rStyle w:val="22"/>
          <w:rFonts w:hint="eastAsia" w:ascii="仿宋_GB2312" w:eastAsia="仿宋_GB2312" w:cs="仿宋_GB2312"/>
          <w:b w:val="0"/>
          <w:bCs w:val="0"/>
          <w:color w:val="000000"/>
          <w:sz w:val="32"/>
          <w:szCs w:val="32"/>
        </w:rPr>
        <w:t>万元，完成预算</w:t>
      </w:r>
      <w:r>
        <w:rPr>
          <w:rStyle w:val="22"/>
          <w:rFonts w:ascii="仿宋_GB2312" w:eastAsia="仿宋_GB2312" w:cs="仿宋_GB2312"/>
          <w:b w:val="0"/>
          <w:bCs w:val="0"/>
          <w:color w:val="000000"/>
          <w:sz w:val="32"/>
          <w:szCs w:val="32"/>
        </w:rPr>
        <w:t>100%</w:t>
      </w:r>
      <w:r>
        <w:rPr>
          <w:rStyle w:val="22"/>
          <w:rFonts w:hint="eastAsia" w:ascii="仿宋_GB2312" w:eastAsia="仿宋_GB2312" w:cs="仿宋_GB2312"/>
          <w:b w:val="0"/>
          <w:bCs w:val="0"/>
          <w:color w:val="000000"/>
          <w:sz w:val="32"/>
          <w:szCs w:val="32"/>
        </w:rPr>
        <w:t>。</w:t>
      </w:r>
    </w:p>
    <w:p>
      <w:pPr>
        <w:pageBreakBefore w:val="0"/>
        <w:kinsoku/>
        <w:wordWrap/>
        <w:overflowPunct/>
        <w:bidi w:val="0"/>
        <w:spacing w:line="540" w:lineRule="exact"/>
        <w:ind w:firstLine="643" w:firstLineChars="200"/>
        <w:textAlignment w:val="auto"/>
      </w:pPr>
      <w:r>
        <w:rPr>
          <w:rFonts w:hint="eastAsia" w:eastAsia="仿宋_GB2312"/>
          <w:b/>
          <w:sz w:val="32"/>
          <w:szCs w:val="32"/>
          <w:lang w:val="en-US" w:eastAsia="zh-CN"/>
        </w:rPr>
        <w:t>6.</w:t>
      </w:r>
      <w:r>
        <w:rPr>
          <w:rFonts w:ascii="Times New Roman" w:hAnsi="Times New Roman" w:eastAsia="仿宋_GB2312"/>
          <w:b/>
          <w:sz w:val="32"/>
          <w:szCs w:val="32"/>
        </w:rPr>
        <w:t>社会保障和就业（208类）抚恤（08款）死亡抚恤（01项）：</w:t>
      </w:r>
      <w:r>
        <w:rPr>
          <w:rFonts w:ascii="Times New Roman" w:hAnsi="Times New Roman" w:eastAsia="仿宋_GB2312"/>
          <w:sz w:val="32"/>
          <w:szCs w:val="32"/>
        </w:rPr>
        <w:t>支出决算为</w:t>
      </w:r>
      <w:r>
        <w:rPr>
          <w:rFonts w:hint="eastAsia" w:eastAsia="仿宋_GB2312"/>
          <w:sz w:val="32"/>
          <w:szCs w:val="32"/>
          <w:lang w:val="en-US" w:eastAsia="zh-CN"/>
        </w:rPr>
        <w:t>26.82</w:t>
      </w:r>
      <w:r>
        <w:rPr>
          <w:rFonts w:ascii="Times New Roman" w:hAnsi="Times New Roman" w:eastAsia="仿宋_GB2312"/>
          <w:sz w:val="32"/>
          <w:szCs w:val="32"/>
        </w:rPr>
        <w:t>万元，完成预算100%，决算数等于预算数。</w:t>
      </w:r>
    </w:p>
    <w:p>
      <w:pPr>
        <w:pStyle w:val="4"/>
        <w:bidi w:val="0"/>
        <w:rPr>
          <w:rStyle w:val="33"/>
          <w:rFonts w:ascii="Times New Roman" w:hAnsi="Times New Roman"/>
          <w:b/>
          <w:bCs/>
        </w:rPr>
      </w:pPr>
      <w:bookmarkStart w:id="66" w:name="_Toc7826_WPSOffice_Level2"/>
      <w:bookmarkStart w:id="67" w:name="_Toc15377214"/>
      <w:bookmarkStart w:id="68" w:name="_Toc15396608"/>
      <w:r>
        <w:rPr>
          <w:rFonts w:hint="eastAsia"/>
        </w:rPr>
        <w:t>六、一般公共预算财政拨款基本支出决算情况说明</w:t>
      </w:r>
      <w:bookmarkEnd w:id="66"/>
      <w:bookmarkEnd w:id="67"/>
      <w:bookmarkEnd w:id="68"/>
      <w:r>
        <w:tab/>
      </w:r>
    </w:p>
    <w:p>
      <w:pPr>
        <w:pageBreakBefore w:val="0"/>
        <w:kinsoku/>
        <w:wordWrap/>
        <w:overflowPunct/>
        <w:bidi w:val="0"/>
        <w:spacing w:line="600" w:lineRule="exact"/>
        <w:ind w:firstLine="640"/>
        <w:textAlignment w:val="auto"/>
        <w:rPr>
          <w:rFonts w:eastAsia="仿宋_GB2312" w:cs="仿宋_GB2312"/>
          <w:sz w:val="32"/>
          <w:szCs w:val="32"/>
        </w:rPr>
      </w:pPr>
      <w:r>
        <w:rPr>
          <w:rFonts w:hint="eastAsia" w:eastAsia="仿宋_GB2312" w:cs="仿宋_GB2312"/>
          <w:sz w:val="32"/>
          <w:szCs w:val="32"/>
        </w:rPr>
        <w:t>2024年度一般公共预算财政拨款基本支出</w:t>
      </w:r>
      <w:r>
        <w:rPr>
          <w:rFonts w:hint="eastAsia" w:ascii="仿宋_GB2312" w:hAnsi="仿宋_GB2312" w:eastAsia="仿宋_GB2312" w:cs="仿宋_GB2312"/>
          <w:sz w:val="32"/>
          <w:szCs w:val="32"/>
          <w:lang w:val="en-US" w:eastAsia="zh-CN"/>
        </w:rPr>
        <w:t>1087.49</w:t>
      </w:r>
      <w:r>
        <w:rPr>
          <w:rFonts w:hint="eastAsia" w:ascii="仿宋_GB2312" w:hAnsi="仿宋_GB2312" w:eastAsia="仿宋_GB2312" w:cs="仿宋_GB2312"/>
          <w:sz w:val="32"/>
          <w:szCs w:val="32"/>
        </w:rPr>
        <w:t>万</w:t>
      </w:r>
      <w:r>
        <w:rPr>
          <w:rFonts w:hint="eastAsia" w:eastAsia="仿宋_GB2312" w:cs="仿宋_GB2312"/>
          <w:sz w:val="32"/>
          <w:szCs w:val="32"/>
        </w:rPr>
        <w:t>元，其中：</w:t>
      </w:r>
    </w:p>
    <w:p>
      <w:pPr>
        <w:pageBreakBefore w:val="0"/>
        <w:kinsoku/>
        <w:wordWrap/>
        <w:overflowPunct/>
        <w:bidi w:val="0"/>
        <w:spacing w:line="600" w:lineRule="exact"/>
        <w:ind w:firstLine="640"/>
        <w:textAlignment w:val="auto"/>
        <w:rPr>
          <w:rFonts w:eastAsia="仿宋_GB2312" w:cs="仿宋_GB2312"/>
          <w:sz w:val="32"/>
          <w:szCs w:val="32"/>
        </w:rPr>
      </w:pPr>
      <w:r>
        <w:rPr>
          <w:rFonts w:hint="eastAsia" w:eastAsia="仿宋_GB2312" w:cs="仿宋_GB2312"/>
          <w:sz w:val="32"/>
          <w:szCs w:val="32"/>
        </w:rPr>
        <w:t>人员经费</w:t>
      </w:r>
      <w:r>
        <w:rPr>
          <w:rFonts w:hint="eastAsia" w:ascii="仿宋_GB2312" w:hAnsi="仿宋_GB2312" w:eastAsia="仿宋_GB2312" w:cs="仿宋_GB2312"/>
          <w:sz w:val="32"/>
          <w:szCs w:val="32"/>
          <w:lang w:val="en-US" w:eastAsia="zh-CN"/>
        </w:rPr>
        <w:t>986.76</w:t>
      </w:r>
      <w:r>
        <w:rPr>
          <w:rFonts w:hint="eastAsia" w:ascii="仿宋_GB2312" w:hAnsi="仿宋_GB2312" w:eastAsia="仿宋_GB2312" w:cs="仿宋_GB2312"/>
          <w:sz w:val="32"/>
          <w:szCs w:val="32"/>
        </w:rPr>
        <w:t>万</w:t>
      </w:r>
      <w:r>
        <w:rPr>
          <w:rFonts w:hint="eastAsia" w:eastAsia="仿宋_GB2312" w:cs="仿宋_GB2312"/>
          <w:sz w:val="32"/>
          <w:szCs w:val="32"/>
        </w:rPr>
        <w:t>元，</w:t>
      </w:r>
      <w:r>
        <w:rPr>
          <w:rFonts w:hint="eastAsia" w:ascii="仿宋" w:hAnsi="仿宋" w:eastAsia="仿宋"/>
          <w:sz w:val="32"/>
          <w:szCs w:val="32"/>
        </w:rPr>
        <w:t>主要包括：基本工资、津贴补贴、奖金、机关事业单位基本养老保险缴费、职业年金缴费、</w:t>
      </w:r>
      <w:r>
        <w:rPr>
          <w:rFonts w:hint="eastAsia" w:ascii="仿宋" w:hAnsi="仿宋" w:eastAsia="仿宋"/>
          <w:sz w:val="32"/>
          <w:szCs w:val="32"/>
          <w:lang w:eastAsia="zh-CN"/>
        </w:rPr>
        <w:t>职工基本医疗保险缴费、公务员医疗补助缴费、</w:t>
      </w:r>
      <w:r>
        <w:rPr>
          <w:rFonts w:hint="eastAsia" w:ascii="仿宋" w:hAnsi="仿宋" w:eastAsia="仿宋"/>
          <w:sz w:val="32"/>
          <w:szCs w:val="32"/>
        </w:rPr>
        <w:t>其他社会保障缴费、其他工资福利支出、</w:t>
      </w:r>
      <w:r>
        <w:rPr>
          <w:rFonts w:hint="eastAsia" w:ascii="仿宋" w:hAnsi="仿宋" w:eastAsia="仿宋"/>
          <w:sz w:val="32"/>
          <w:szCs w:val="32"/>
          <w:lang w:val="en-US" w:eastAsia="zh-CN"/>
        </w:rPr>
        <w:t>抚恤金、</w:t>
      </w:r>
      <w:r>
        <w:rPr>
          <w:rFonts w:hint="eastAsia" w:ascii="仿宋" w:hAnsi="仿宋" w:eastAsia="仿宋"/>
          <w:sz w:val="32"/>
          <w:szCs w:val="32"/>
        </w:rPr>
        <w:t>生活补助、医疗费补助、奖励金、住房公积金等。</w:t>
      </w:r>
      <w:r>
        <w:rPr>
          <w:rFonts w:ascii="仿宋" w:hAnsi="仿宋" w:eastAsia="仿宋"/>
          <w:sz w:val="32"/>
          <w:szCs w:val="32"/>
        </w:rPr>
        <w:br w:type="textWrapping"/>
      </w:r>
      <w:r>
        <w:rPr>
          <w:rFonts w:hint="eastAsia" w:eastAsia="仿宋_GB2312" w:cs="仿宋_GB2312"/>
          <w:sz w:val="32"/>
          <w:szCs w:val="32"/>
        </w:rPr>
        <w:t>　　公用经费</w:t>
      </w:r>
      <w:r>
        <w:rPr>
          <w:rFonts w:hint="eastAsia" w:ascii="仿宋_GB2312" w:hAnsi="仿宋_GB2312" w:eastAsia="仿宋_GB2312" w:cs="仿宋_GB2312"/>
          <w:sz w:val="32"/>
          <w:szCs w:val="32"/>
          <w:lang w:val="en-US" w:eastAsia="zh-CN"/>
        </w:rPr>
        <w:t>100.73</w:t>
      </w:r>
      <w:r>
        <w:rPr>
          <w:rFonts w:hint="eastAsia" w:ascii="仿宋_GB2312" w:hAnsi="仿宋_GB2312" w:eastAsia="仿宋_GB2312" w:cs="仿宋_GB2312"/>
          <w:sz w:val="32"/>
          <w:szCs w:val="32"/>
        </w:rPr>
        <w:t>万</w:t>
      </w:r>
      <w:r>
        <w:rPr>
          <w:rFonts w:hint="eastAsia" w:eastAsia="仿宋_GB2312" w:cs="仿宋_GB2312"/>
          <w:sz w:val="32"/>
          <w:szCs w:val="32"/>
        </w:rPr>
        <w:t>元，主要包括：办公费、水费、电费、邮电费、差旅费、维修（护）费、培训费、公务接待费、劳务费、工会经费、福利费、公务用车运行维护费、其他交通费、其他商品和服务支出。</w:t>
      </w:r>
    </w:p>
    <w:p>
      <w:pPr>
        <w:pStyle w:val="4"/>
        <w:bidi w:val="0"/>
      </w:pPr>
      <w:bookmarkStart w:id="69" w:name="_Toc15377215"/>
      <w:bookmarkStart w:id="70" w:name="_Toc15396609"/>
      <w:bookmarkStart w:id="71" w:name="_Toc7086_WPSOffice_Level2"/>
      <w:r>
        <w:rPr>
          <w:rFonts w:hint="eastAsia"/>
        </w:rPr>
        <w:t>七、财政拨款“三公”经费支出决算情况说明</w:t>
      </w:r>
      <w:bookmarkEnd w:id="69"/>
      <w:bookmarkEnd w:id="70"/>
      <w:bookmarkEnd w:id="71"/>
    </w:p>
    <w:p>
      <w:pPr>
        <w:pageBreakBefore w:val="0"/>
        <w:kinsoku/>
        <w:wordWrap/>
        <w:overflowPunct/>
        <w:bidi w:val="0"/>
        <w:spacing w:line="600" w:lineRule="exact"/>
        <w:ind w:firstLine="640" w:firstLineChars="200"/>
        <w:textAlignment w:val="auto"/>
        <w:outlineLvl w:val="2"/>
        <w:rPr>
          <w:rFonts w:eastAsia="楷体_GB2312" w:cs="楷体_GB2312"/>
          <w:b w:val="0"/>
          <w:bCs/>
          <w:sz w:val="32"/>
          <w:szCs w:val="32"/>
        </w:rPr>
      </w:pPr>
      <w:bookmarkStart w:id="72" w:name="_Toc15377216"/>
      <w:r>
        <w:rPr>
          <w:rFonts w:hint="eastAsia" w:eastAsia="楷体_GB2312" w:cs="楷体_GB2312"/>
          <w:b w:val="0"/>
          <w:bCs/>
          <w:sz w:val="32"/>
          <w:szCs w:val="32"/>
        </w:rPr>
        <w:t>（一）“三公”经费财政拨款支出决算总体情况说明</w:t>
      </w:r>
      <w:bookmarkEnd w:id="72"/>
    </w:p>
    <w:p>
      <w:pPr>
        <w:pageBreakBefore w:val="0"/>
        <w:kinsoku/>
        <w:wordWrap/>
        <w:overflowPunct/>
        <w:bidi w:val="0"/>
        <w:spacing w:line="600" w:lineRule="exact"/>
        <w:ind w:firstLine="640"/>
        <w:textAlignment w:val="auto"/>
        <w:rPr>
          <w:rFonts w:hint="eastAsia" w:eastAsia="仿宋_GB2312" w:cs="仿宋_GB2312"/>
          <w:sz w:val="32"/>
          <w:szCs w:val="32"/>
          <w:lang w:eastAsia="zh-CN"/>
        </w:rPr>
      </w:pPr>
      <w:r>
        <w:rPr>
          <w:rFonts w:hint="eastAsia" w:eastAsia="仿宋_GB2312" w:cs="仿宋_GB2312"/>
          <w:sz w:val="32"/>
          <w:szCs w:val="32"/>
        </w:rPr>
        <w:t>2024年度“三公”经费财政拨款支出决算为</w:t>
      </w:r>
      <w:r>
        <w:rPr>
          <w:rFonts w:hint="eastAsia" w:ascii="仿宋_GB2312" w:hAnsi="仿宋_GB2312" w:eastAsia="仿宋_GB2312" w:cs="仿宋_GB2312"/>
          <w:sz w:val="32"/>
          <w:szCs w:val="32"/>
          <w:lang w:val="en-US" w:eastAsia="zh-CN"/>
        </w:rPr>
        <w:t>5.55</w:t>
      </w:r>
      <w:r>
        <w:rPr>
          <w:rFonts w:hint="eastAsia" w:ascii="仿宋_GB2312" w:hAnsi="仿宋_GB2312" w:eastAsia="仿宋_GB2312" w:cs="仿宋_GB2312"/>
          <w:sz w:val="32"/>
          <w:szCs w:val="32"/>
        </w:rPr>
        <w:t>万元，完成预算</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r>
        <w:rPr>
          <w:rFonts w:hint="eastAsia" w:eastAsia="仿宋_GB2312" w:cs="仿宋_GB2312"/>
          <w:sz w:val="32"/>
          <w:szCs w:val="32"/>
        </w:rPr>
        <w:t>较上年度减少</w:t>
      </w:r>
      <w:r>
        <w:rPr>
          <w:rFonts w:hint="eastAsia" w:eastAsia="仿宋_GB2312" w:cs="仿宋_GB2312"/>
          <w:sz w:val="32"/>
          <w:szCs w:val="32"/>
          <w:lang w:val="en-US" w:eastAsia="zh-CN"/>
        </w:rPr>
        <w:t>0.61</w:t>
      </w:r>
      <w:r>
        <w:rPr>
          <w:rFonts w:hint="eastAsia" w:eastAsia="仿宋_GB2312" w:cs="仿宋_GB2312"/>
          <w:sz w:val="32"/>
          <w:szCs w:val="32"/>
        </w:rPr>
        <w:t>万元，下降</w:t>
      </w:r>
      <w:r>
        <w:rPr>
          <w:rFonts w:hint="eastAsia" w:eastAsia="仿宋_GB2312" w:cs="仿宋_GB2312"/>
          <w:sz w:val="32"/>
          <w:szCs w:val="32"/>
          <w:lang w:val="en-US" w:eastAsia="zh-CN"/>
        </w:rPr>
        <w:t>9.95</w:t>
      </w:r>
      <w:r>
        <w:rPr>
          <w:rFonts w:hint="eastAsia" w:eastAsia="仿宋_GB2312" w:cs="仿宋_GB2312"/>
          <w:sz w:val="32"/>
          <w:szCs w:val="32"/>
        </w:rPr>
        <w:t>%。决算数与预算数持平</w:t>
      </w:r>
      <w:r>
        <w:rPr>
          <w:rFonts w:hint="eastAsia" w:eastAsia="仿宋_GB2312" w:cs="仿宋_GB2312"/>
          <w:sz w:val="32"/>
          <w:szCs w:val="32"/>
          <w:lang w:eastAsia="zh-CN"/>
        </w:rPr>
        <w:t>。</w:t>
      </w:r>
    </w:p>
    <w:p>
      <w:pPr>
        <w:pageBreakBefore w:val="0"/>
        <w:kinsoku/>
        <w:wordWrap/>
        <w:overflowPunct/>
        <w:bidi w:val="0"/>
        <w:spacing w:line="600" w:lineRule="exact"/>
        <w:ind w:firstLine="640" w:firstLineChars="200"/>
        <w:textAlignment w:val="auto"/>
        <w:outlineLvl w:val="2"/>
        <w:rPr>
          <w:rFonts w:hint="eastAsia" w:eastAsia="楷体_GB2312" w:cs="楷体_GB2312"/>
          <w:b w:val="0"/>
          <w:bCs/>
          <w:sz w:val="32"/>
          <w:szCs w:val="32"/>
        </w:rPr>
      </w:pPr>
      <w:bookmarkStart w:id="73" w:name="_Toc15377217"/>
      <w:r>
        <w:rPr>
          <w:rFonts w:hint="eastAsia" w:eastAsia="楷体_GB2312" w:cs="楷体_GB2312"/>
          <w:b w:val="0"/>
          <w:bCs/>
          <w:sz w:val="32"/>
          <w:szCs w:val="32"/>
        </w:rPr>
        <w:t>（二）“三公”经费财政拨款支出决算具体情况说明</w:t>
      </w:r>
      <w:bookmarkEnd w:id="73"/>
    </w:p>
    <w:p>
      <w:pPr>
        <w:pageBreakBefore w:val="0"/>
        <w:kinsoku/>
        <w:wordWrap/>
        <w:overflowPunct/>
        <w:bidi w:val="0"/>
        <w:spacing w:line="600" w:lineRule="exact"/>
        <w:ind w:firstLine="640" w:firstLineChars="200"/>
        <w:textAlignment w:val="auto"/>
        <w:outlineLvl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2024年度“三公”经费财政拨款支出决算中，因公出国（境）费支出决算</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%；公务用车购置及运行维护费支出决算</w:t>
      </w:r>
      <w:r>
        <w:rPr>
          <w:rFonts w:hint="eastAsia" w:ascii="仿宋_GB2312" w:hAnsi="仿宋_GB2312" w:eastAsia="仿宋_GB2312" w:cs="仿宋_GB2312"/>
          <w:sz w:val="32"/>
          <w:szCs w:val="32"/>
          <w:lang w:val="en-US" w:eastAsia="zh-CN"/>
        </w:rPr>
        <w:t>5.26</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94.77</w:t>
      </w:r>
      <w:r>
        <w:rPr>
          <w:rFonts w:hint="eastAsia" w:ascii="仿宋_GB2312" w:hAnsi="仿宋_GB2312" w:eastAsia="仿宋_GB2312" w:cs="仿宋_GB2312"/>
          <w:sz w:val="32"/>
          <w:szCs w:val="32"/>
        </w:rPr>
        <w:t>%；公务接待费支出决算</w:t>
      </w:r>
      <w:r>
        <w:rPr>
          <w:rFonts w:hint="eastAsia" w:ascii="仿宋_GB2312" w:hAnsi="仿宋_GB2312" w:eastAsia="仿宋_GB2312" w:cs="仿宋_GB2312"/>
          <w:sz w:val="32"/>
          <w:szCs w:val="32"/>
          <w:lang w:val="en-US" w:eastAsia="zh-CN"/>
        </w:rPr>
        <w:t>0.29</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5.23</w:t>
      </w:r>
      <w:r>
        <w:rPr>
          <w:rFonts w:hint="eastAsia" w:ascii="仿宋_GB2312" w:hAnsi="仿宋_GB2312" w:eastAsia="仿宋_GB2312" w:cs="仿宋_GB2312"/>
          <w:sz w:val="32"/>
          <w:szCs w:val="32"/>
        </w:rPr>
        <w:t>%。具体情况如下：</w:t>
      </w:r>
    </w:p>
    <w:p>
      <w:pPr>
        <w:pStyle w:val="7"/>
        <w:pageBreakBefore w:val="0"/>
        <w:kinsoku/>
        <w:wordWrap/>
        <w:overflowPunct/>
        <w:bidi w:val="0"/>
        <w:textAlignment w:val="auto"/>
      </w:pPr>
    </w:p>
    <w:p>
      <w:pPr>
        <w:pageBreakBefore w:val="0"/>
        <w:kinsoku/>
        <w:wordWrap/>
        <w:overflowPunct/>
        <w:bidi w:val="0"/>
        <w:spacing w:line="600" w:lineRule="exact"/>
        <w:ind w:firstLine="640"/>
        <w:textAlignment w:val="auto"/>
      </w:pPr>
    </w:p>
    <w:p>
      <w:pPr>
        <w:pageBreakBefore w:val="0"/>
        <w:kinsoku/>
        <w:wordWrap/>
        <w:overflowPunct/>
        <w:bidi w:val="0"/>
        <w:spacing w:line="600" w:lineRule="exact"/>
        <w:ind w:firstLine="640"/>
        <w:textAlignment w:val="auto"/>
      </w:pPr>
    </w:p>
    <w:p>
      <w:pPr>
        <w:pageBreakBefore w:val="0"/>
        <w:kinsoku/>
        <w:wordWrap/>
        <w:overflowPunct/>
        <w:bidi w:val="0"/>
        <w:spacing w:line="600" w:lineRule="exact"/>
        <w:ind w:firstLine="640"/>
        <w:textAlignment w:val="auto"/>
      </w:pPr>
    </w:p>
    <w:p>
      <w:pPr>
        <w:pageBreakBefore w:val="0"/>
        <w:kinsoku/>
        <w:wordWrap/>
        <w:overflowPunct/>
        <w:bidi w:val="0"/>
        <w:spacing w:line="600" w:lineRule="exact"/>
        <w:textAlignment w:val="auto"/>
      </w:pPr>
    </w:p>
    <w:p>
      <w:pPr>
        <w:pageBreakBefore w:val="0"/>
        <w:kinsoku/>
        <w:wordWrap/>
        <w:overflowPunct/>
        <w:bidi w:val="0"/>
        <w:spacing w:line="600" w:lineRule="exact"/>
        <w:ind w:firstLine="640"/>
        <w:textAlignment w:val="auto"/>
      </w:pPr>
    </w:p>
    <w:p>
      <w:pPr>
        <w:pageBreakBefore w:val="0"/>
        <w:kinsoku/>
        <w:wordWrap/>
        <w:overflowPunct/>
        <w:bidi w:val="0"/>
        <w:spacing w:line="600" w:lineRule="exact"/>
        <w:ind w:firstLine="640"/>
        <w:textAlignment w:val="auto"/>
      </w:pPr>
    </w:p>
    <w:p>
      <w:pPr>
        <w:pageBreakBefore w:val="0"/>
        <w:kinsoku/>
        <w:wordWrap/>
        <w:overflowPunct/>
        <w:bidi w:val="0"/>
        <w:spacing w:line="600" w:lineRule="exact"/>
        <w:textAlignment w:val="auto"/>
      </w:pPr>
      <w:r>
        <w:drawing>
          <wp:anchor distT="0" distB="0" distL="114300" distR="114300" simplePos="0" relativeHeight="251658240" behindDoc="1" locked="0" layoutInCell="1" allowOverlap="1">
            <wp:simplePos x="0" y="0"/>
            <wp:positionH relativeFrom="column">
              <wp:posOffset>4445</wp:posOffset>
            </wp:positionH>
            <wp:positionV relativeFrom="paragraph">
              <wp:posOffset>-2491105</wp:posOffset>
            </wp:positionV>
            <wp:extent cx="5182235" cy="2773045"/>
            <wp:effectExtent l="4445" t="4445" r="13970" b="22860"/>
            <wp:wrapNone/>
            <wp:docPr id="3372"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p>
    <w:p>
      <w:pPr>
        <w:pageBreakBefore w:val="0"/>
        <w:kinsoku/>
        <w:wordWrap/>
        <w:overflowPunct/>
        <w:bidi w:val="0"/>
        <w:spacing w:line="600" w:lineRule="exact"/>
        <w:ind w:firstLine="640"/>
        <w:textAlignment w:val="auto"/>
        <w:rPr>
          <w:rFonts w:ascii="仿宋_GB2312" w:eastAsia="仿宋_GB2312"/>
          <w:sz w:val="32"/>
          <w:szCs w:val="32"/>
        </w:rPr>
      </w:pPr>
      <w:r>
        <w:rPr>
          <w:rFonts w:hint="eastAsia" w:eastAsia="仿宋_GB2312" w:cs="仿宋_GB2312"/>
          <w:b/>
          <w:bCs/>
          <w:sz w:val="32"/>
          <w:szCs w:val="32"/>
        </w:rPr>
        <w:t>1.因公出国（境）经费支出</w:t>
      </w:r>
      <w:r>
        <w:rPr>
          <w:rFonts w:hint="eastAsia" w:ascii="仿宋_GB2312" w:eastAsia="仿宋_GB2312"/>
          <w:sz w:val="32"/>
          <w:szCs w:val="32"/>
          <w:lang w:val="en-US" w:eastAsia="zh-CN"/>
        </w:rPr>
        <w:t>0</w:t>
      </w:r>
      <w:r>
        <w:rPr>
          <w:rFonts w:hint="eastAsia" w:ascii="仿宋_GB2312" w:eastAsia="仿宋_GB2312"/>
          <w:sz w:val="32"/>
          <w:szCs w:val="32"/>
        </w:rPr>
        <w:t>万元，</w:t>
      </w:r>
      <w:r>
        <w:rPr>
          <w:rStyle w:val="22"/>
          <w:rFonts w:hint="eastAsia" w:ascii="仿宋" w:hAnsi="仿宋" w:eastAsia="仿宋"/>
          <w:b w:val="0"/>
          <w:bCs/>
          <w:sz w:val="32"/>
          <w:szCs w:val="32"/>
        </w:rPr>
        <w:t>完成预算</w:t>
      </w:r>
      <w:r>
        <w:rPr>
          <w:rStyle w:val="22"/>
          <w:rFonts w:hint="eastAsia" w:ascii="仿宋" w:hAnsi="仿宋" w:eastAsia="仿宋"/>
          <w:b w:val="0"/>
          <w:bCs/>
          <w:sz w:val="32"/>
          <w:szCs w:val="32"/>
          <w:lang w:val="en-US" w:eastAsia="zh-CN"/>
        </w:rPr>
        <w:t>0</w:t>
      </w:r>
      <w:r>
        <w:rPr>
          <w:rStyle w:val="22"/>
          <w:rFonts w:ascii="仿宋" w:hAnsi="仿宋" w:eastAsia="仿宋"/>
          <w:b w:val="0"/>
          <w:bCs/>
          <w:sz w:val="32"/>
          <w:szCs w:val="32"/>
        </w:rPr>
        <w:t>%</w:t>
      </w:r>
      <w:r>
        <w:rPr>
          <w:rStyle w:val="22"/>
          <w:rFonts w:hint="eastAsia" w:ascii="仿宋" w:hAnsi="仿宋" w:eastAsia="仿宋"/>
          <w:b w:val="0"/>
          <w:bCs/>
          <w:sz w:val="32"/>
          <w:szCs w:val="32"/>
        </w:rPr>
        <w:t>。</w:t>
      </w:r>
      <w:r>
        <w:rPr>
          <w:rFonts w:hint="eastAsia" w:ascii="仿宋_GB2312" w:eastAsia="仿宋_GB2312"/>
          <w:sz w:val="32"/>
          <w:szCs w:val="32"/>
        </w:rPr>
        <w:t>全年安排因公出国（境）团组</w:t>
      </w:r>
      <w:r>
        <w:rPr>
          <w:rFonts w:hint="eastAsia" w:ascii="仿宋_GB2312" w:eastAsia="仿宋_GB2312"/>
          <w:sz w:val="32"/>
          <w:szCs w:val="32"/>
          <w:lang w:val="en-US" w:eastAsia="zh-CN"/>
        </w:rPr>
        <w:t>0</w:t>
      </w:r>
      <w:r>
        <w:rPr>
          <w:rFonts w:hint="eastAsia" w:ascii="仿宋_GB2312" w:eastAsia="仿宋_GB2312"/>
          <w:sz w:val="32"/>
          <w:szCs w:val="32"/>
        </w:rPr>
        <w:t>次，出国（境）</w:t>
      </w:r>
      <w:r>
        <w:rPr>
          <w:rFonts w:hint="eastAsia" w:ascii="仿宋_GB2312" w:eastAsia="仿宋_GB2312"/>
          <w:sz w:val="32"/>
          <w:szCs w:val="32"/>
          <w:lang w:val="en-US" w:eastAsia="zh-CN"/>
        </w:rPr>
        <w:t>0</w:t>
      </w:r>
      <w:r>
        <w:rPr>
          <w:rFonts w:hint="eastAsia" w:ascii="仿宋_GB2312" w:eastAsia="仿宋_GB2312"/>
          <w:sz w:val="32"/>
          <w:szCs w:val="32"/>
        </w:rPr>
        <w:t>人。因公出国（境）支出决算比</w:t>
      </w:r>
      <w:r>
        <w:rPr>
          <w:rFonts w:ascii="仿宋_GB2312" w:eastAsia="仿宋_GB2312"/>
          <w:sz w:val="32"/>
          <w:szCs w:val="32"/>
        </w:rPr>
        <w:t>20</w:t>
      </w:r>
      <w:r>
        <w:rPr>
          <w:rFonts w:hint="eastAsia" w:ascii="仿宋_GB2312" w:eastAsia="仿宋_GB2312"/>
          <w:sz w:val="32"/>
          <w:szCs w:val="32"/>
        </w:rPr>
        <w:t>2</w:t>
      </w:r>
      <w:r>
        <w:rPr>
          <w:rFonts w:hint="eastAsia" w:ascii="仿宋_GB2312" w:eastAsia="仿宋_GB2312"/>
          <w:sz w:val="32"/>
          <w:szCs w:val="32"/>
          <w:lang w:val="en-US" w:eastAsia="zh-CN"/>
        </w:rPr>
        <w:t>3</w:t>
      </w:r>
      <w:r>
        <w:rPr>
          <w:rFonts w:hint="eastAsia" w:ascii="仿宋_GB2312" w:eastAsia="仿宋_GB2312"/>
          <w:sz w:val="32"/>
          <w:szCs w:val="32"/>
        </w:rPr>
        <w:t>年</w:t>
      </w:r>
      <w:r>
        <w:rPr>
          <w:rFonts w:hint="eastAsia" w:ascii="仿宋_GB2312" w:eastAsia="仿宋_GB2312"/>
          <w:sz w:val="32"/>
          <w:szCs w:val="32"/>
          <w:lang w:eastAsia="zh-CN"/>
        </w:rPr>
        <w:t>无增减变动</w:t>
      </w:r>
      <w:r>
        <w:rPr>
          <w:rFonts w:hint="eastAsia" w:ascii="仿宋_GB2312" w:eastAsia="仿宋_GB2312"/>
          <w:sz w:val="32"/>
          <w:szCs w:val="32"/>
        </w:rPr>
        <w:t>。主要原因</w:t>
      </w:r>
      <w:r>
        <w:rPr>
          <w:rFonts w:hint="eastAsia" w:ascii="仿宋_GB2312" w:eastAsia="仿宋_GB2312"/>
          <w:sz w:val="32"/>
          <w:szCs w:val="32"/>
          <w:lang w:eastAsia="zh-CN"/>
        </w:rPr>
        <w:t>是</w:t>
      </w:r>
      <w:r>
        <w:rPr>
          <w:rFonts w:hint="eastAsia" w:ascii="仿宋_GB2312" w:eastAsia="仿宋_GB2312"/>
          <w:sz w:val="32"/>
          <w:szCs w:val="32"/>
          <w:lang w:val="en-US" w:eastAsia="zh-CN"/>
        </w:rPr>
        <w:t>2024年无</w:t>
      </w:r>
      <w:r>
        <w:rPr>
          <w:rFonts w:hint="eastAsia" w:ascii="仿宋_GB2312" w:eastAsia="仿宋_GB2312"/>
          <w:sz w:val="32"/>
          <w:szCs w:val="32"/>
        </w:rPr>
        <w:t>因公出国（境）支出。</w:t>
      </w:r>
    </w:p>
    <w:p>
      <w:pPr>
        <w:pageBreakBefore w:val="0"/>
        <w:kinsoku/>
        <w:wordWrap/>
        <w:overflowPunct/>
        <w:bidi w:val="0"/>
        <w:spacing w:line="600" w:lineRule="exact"/>
        <w:ind w:firstLine="643" w:firstLineChars="200"/>
        <w:textAlignment w:val="auto"/>
        <w:rPr>
          <w:rFonts w:eastAsia="仿宋_GB2312" w:cs="仿宋_GB2312"/>
          <w:sz w:val="32"/>
          <w:szCs w:val="32"/>
        </w:rPr>
      </w:pPr>
      <w:r>
        <w:rPr>
          <w:rFonts w:hint="eastAsia" w:eastAsia="仿宋_GB2312" w:cs="仿宋_GB2312"/>
          <w:b/>
          <w:bCs/>
          <w:sz w:val="32"/>
          <w:szCs w:val="32"/>
        </w:rPr>
        <w:t>2.公务用车购置及运行维护费支出</w:t>
      </w:r>
      <w:r>
        <w:rPr>
          <w:rFonts w:hint="eastAsia" w:ascii="仿宋_GB2312" w:hAnsi="仿宋_GB2312" w:eastAsia="仿宋_GB2312" w:cs="仿宋_GB2312"/>
          <w:b/>
          <w:bCs/>
          <w:sz w:val="32"/>
          <w:szCs w:val="32"/>
          <w:lang w:val="en-US" w:eastAsia="zh-CN"/>
        </w:rPr>
        <w:t>5.26</w:t>
      </w:r>
      <w:r>
        <w:rPr>
          <w:rFonts w:hint="eastAsia" w:ascii="仿宋_GB2312" w:hAnsi="仿宋_GB2312" w:eastAsia="仿宋_GB2312" w:cs="仿宋_GB2312"/>
          <w:b/>
          <w:bCs/>
          <w:sz w:val="32"/>
          <w:szCs w:val="32"/>
        </w:rPr>
        <w:t>万</w:t>
      </w:r>
      <w:r>
        <w:rPr>
          <w:rFonts w:hint="eastAsia" w:eastAsia="仿宋_GB2312" w:cs="仿宋_GB2312"/>
          <w:b/>
          <w:bCs/>
          <w:sz w:val="32"/>
          <w:szCs w:val="32"/>
        </w:rPr>
        <w:t>元，完成预算</w:t>
      </w:r>
      <w:r>
        <w:rPr>
          <w:rFonts w:hint="eastAsia" w:eastAsia="仿宋_GB2312" w:cs="仿宋_GB2312"/>
          <w:b/>
          <w:bCs/>
          <w:sz w:val="32"/>
          <w:szCs w:val="32"/>
          <w:lang w:val="en-US" w:eastAsia="zh-CN"/>
        </w:rPr>
        <w:t>100</w:t>
      </w:r>
      <w:r>
        <w:rPr>
          <w:rFonts w:hint="eastAsia" w:eastAsia="仿宋_GB2312" w:cs="仿宋_GB2312"/>
          <w:b/>
          <w:bCs/>
          <w:sz w:val="32"/>
          <w:szCs w:val="32"/>
        </w:rPr>
        <w:t>%。</w:t>
      </w:r>
      <w:r>
        <w:rPr>
          <w:rFonts w:hint="eastAsia" w:eastAsia="仿宋_GB2312" w:cs="仿宋_GB2312"/>
          <w:sz w:val="32"/>
          <w:szCs w:val="32"/>
        </w:rPr>
        <w:t>公务用车购置及运行维护费支出决算比2023年度减少</w:t>
      </w:r>
      <w:r>
        <w:rPr>
          <w:rFonts w:hint="eastAsia" w:eastAsia="仿宋_GB2312" w:cs="仿宋_GB2312"/>
          <w:sz w:val="32"/>
          <w:szCs w:val="32"/>
          <w:lang w:val="en-US" w:eastAsia="zh-CN"/>
        </w:rPr>
        <w:t>0.21</w:t>
      </w:r>
      <w:r>
        <w:rPr>
          <w:rFonts w:hint="eastAsia" w:eastAsia="仿宋_GB2312" w:cs="仿宋_GB2312"/>
          <w:sz w:val="32"/>
          <w:szCs w:val="32"/>
        </w:rPr>
        <w:t>万元，下降</w:t>
      </w:r>
      <w:r>
        <w:rPr>
          <w:rFonts w:hint="eastAsia" w:eastAsia="仿宋_GB2312" w:cs="仿宋_GB2312"/>
          <w:sz w:val="32"/>
          <w:szCs w:val="32"/>
          <w:lang w:val="en-US" w:eastAsia="zh-CN"/>
        </w:rPr>
        <w:t>3.84</w:t>
      </w:r>
      <w:r>
        <w:rPr>
          <w:rFonts w:hint="eastAsia" w:eastAsia="仿宋_GB2312" w:cs="仿宋_GB2312"/>
          <w:sz w:val="32"/>
          <w:szCs w:val="32"/>
        </w:rPr>
        <w:t>%。主要原因是</w:t>
      </w:r>
      <w:r>
        <w:rPr>
          <w:rFonts w:ascii="Times New Roman" w:hAnsi="Times New Roman" w:eastAsia="仿宋_GB2312"/>
          <w:sz w:val="32"/>
          <w:szCs w:val="32"/>
        </w:rPr>
        <w:t>严格控制“三公”经费的开支，采取措施过紧日子，通过压缩支出实现经费的节约</w:t>
      </w:r>
      <w:r>
        <w:rPr>
          <w:rFonts w:hint="eastAsia" w:eastAsia="仿宋_GB2312"/>
          <w:sz w:val="32"/>
          <w:szCs w:val="32"/>
          <w:lang w:eastAsia="zh-CN"/>
        </w:rPr>
        <w:t>。</w:t>
      </w:r>
      <w:r>
        <w:rPr>
          <w:rFonts w:hint="eastAsia" w:eastAsia="仿宋_GB2312" w:cs="仿宋_GB2312"/>
          <w:sz w:val="32"/>
          <w:szCs w:val="32"/>
        </w:rPr>
        <w:t>其中：公务用车购置支</w:t>
      </w:r>
      <w:r>
        <w:rPr>
          <w:rFonts w:hint="eastAsia" w:ascii="仿宋_GB2312" w:hAnsi="仿宋_GB2312" w:eastAsia="仿宋_GB2312" w:cs="仿宋_GB2312"/>
          <w:sz w:val="32"/>
          <w:szCs w:val="32"/>
        </w:rPr>
        <w:t>出</w:t>
      </w:r>
      <w:r>
        <w:rPr>
          <w:rFonts w:hint="eastAsia" w:ascii="仿宋_GB2312" w:hAnsi="仿宋_GB2312" w:eastAsia="仿宋_GB2312" w:cs="仿宋_GB2312"/>
          <w:sz w:val="32"/>
          <w:szCs w:val="32"/>
          <w:lang w:val="en-US" w:eastAsia="zh-CN"/>
        </w:rPr>
        <w:t>0</w:t>
      </w:r>
      <w:r>
        <w:rPr>
          <w:rFonts w:hint="eastAsia" w:eastAsia="仿宋_GB2312" w:cs="仿宋_GB2312"/>
          <w:sz w:val="32"/>
          <w:szCs w:val="32"/>
        </w:rPr>
        <w:t>万元。全年按规定更新购置公务用车</w:t>
      </w:r>
      <w:r>
        <w:rPr>
          <w:rFonts w:hint="eastAsia" w:eastAsia="仿宋_GB2312" w:cs="仿宋_GB2312"/>
          <w:sz w:val="32"/>
          <w:szCs w:val="32"/>
          <w:lang w:val="en-US" w:eastAsia="zh-CN"/>
        </w:rPr>
        <w:t>0</w:t>
      </w:r>
      <w:r>
        <w:rPr>
          <w:rFonts w:hint="eastAsia" w:eastAsia="仿宋_GB2312" w:cs="仿宋_GB2312"/>
          <w:sz w:val="32"/>
          <w:szCs w:val="32"/>
        </w:rPr>
        <w:t>辆，其中：轿车</w:t>
      </w:r>
      <w:r>
        <w:rPr>
          <w:rFonts w:hint="eastAsia" w:eastAsia="仿宋_GB2312" w:cs="仿宋_GB2312"/>
          <w:sz w:val="32"/>
          <w:szCs w:val="32"/>
          <w:lang w:val="en-US" w:eastAsia="zh-CN"/>
        </w:rPr>
        <w:t>0</w:t>
      </w:r>
      <w:r>
        <w:rPr>
          <w:rFonts w:hint="eastAsia" w:eastAsia="仿宋_GB2312" w:cs="仿宋_GB2312"/>
          <w:sz w:val="32"/>
          <w:szCs w:val="32"/>
        </w:rPr>
        <w:t>辆、金额</w:t>
      </w:r>
      <w:r>
        <w:rPr>
          <w:rFonts w:hint="eastAsia" w:eastAsia="仿宋_GB2312" w:cs="仿宋_GB2312"/>
          <w:sz w:val="32"/>
          <w:szCs w:val="32"/>
          <w:lang w:val="en-US" w:eastAsia="zh-CN"/>
        </w:rPr>
        <w:t>0</w:t>
      </w:r>
      <w:r>
        <w:rPr>
          <w:rFonts w:hint="eastAsia" w:eastAsia="仿宋_GB2312" w:cs="仿宋_GB2312"/>
          <w:sz w:val="32"/>
          <w:szCs w:val="32"/>
        </w:rPr>
        <w:t>万元，越野车</w:t>
      </w:r>
      <w:r>
        <w:rPr>
          <w:rFonts w:hint="eastAsia" w:eastAsia="仿宋_GB2312" w:cs="仿宋_GB2312"/>
          <w:sz w:val="32"/>
          <w:szCs w:val="32"/>
          <w:lang w:val="en-US" w:eastAsia="zh-CN"/>
        </w:rPr>
        <w:t>0</w:t>
      </w:r>
      <w:r>
        <w:rPr>
          <w:rFonts w:hint="eastAsia" w:eastAsia="仿宋_GB2312" w:cs="仿宋_GB2312"/>
          <w:sz w:val="32"/>
          <w:szCs w:val="32"/>
        </w:rPr>
        <w:t>辆、金额</w:t>
      </w:r>
      <w:r>
        <w:rPr>
          <w:rFonts w:hint="eastAsia" w:eastAsia="仿宋_GB2312" w:cs="仿宋_GB2312"/>
          <w:sz w:val="32"/>
          <w:szCs w:val="32"/>
          <w:lang w:val="en-US" w:eastAsia="zh-CN"/>
        </w:rPr>
        <w:t>0</w:t>
      </w:r>
      <w:r>
        <w:rPr>
          <w:rFonts w:hint="eastAsia" w:eastAsia="仿宋_GB2312" w:cs="仿宋_GB2312"/>
          <w:sz w:val="32"/>
          <w:szCs w:val="32"/>
        </w:rPr>
        <w:t>万元，载客汽车</w:t>
      </w:r>
      <w:r>
        <w:rPr>
          <w:rFonts w:hint="eastAsia" w:eastAsia="仿宋_GB2312" w:cs="仿宋_GB2312"/>
          <w:sz w:val="32"/>
          <w:szCs w:val="32"/>
          <w:lang w:val="en-US" w:eastAsia="zh-CN"/>
        </w:rPr>
        <w:t>0</w:t>
      </w:r>
      <w:r>
        <w:rPr>
          <w:rFonts w:hint="eastAsia" w:eastAsia="仿宋_GB2312" w:cs="仿宋_GB2312"/>
          <w:sz w:val="32"/>
          <w:szCs w:val="32"/>
        </w:rPr>
        <w:t>辆、金额</w:t>
      </w:r>
      <w:r>
        <w:rPr>
          <w:rFonts w:hint="eastAsia" w:eastAsia="仿宋_GB2312" w:cs="仿宋_GB2312"/>
          <w:sz w:val="32"/>
          <w:szCs w:val="32"/>
          <w:lang w:val="en-US" w:eastAsia="zh-CN"/>
        </w:rPr>
        <w:t>0</w:t>
      </w:r>
      <w:r>
        <w:rPr>
          <w:rFonts w:hint="eastAsia" w:eastAsia="仿宋_GB2312" w:cs="仿宋_GB2312"/>
          <w:sz w:val="32"/>
          <w:szCs w:val="32"/>
        </w:rPr>
        <w:t>万元。截至2024年12月31日，单位共有公务用车</w:t>
      </w:r>
      <w:r>
        <w:rPr>
          <w:rFonts w:hint="eastAsia" w:eastAsia="仿宋_GB2312" w:cs="仿宋_GB2312"/>
          <w:sz w:val="32"/>
          <w:szCs w:val="32"/>
          <w:lang w:val="en-US" w:eastAsia="zh-CN"/>
        </w:rPr>
        <w:t>3</w:t>
      </w:r>
      <w:r>
        <w:rPr>
          <w:rFonts w:hint="eastAsia" w:eastAsia="仿宋_GB2312" w:cs="仿宋_GB2312"/>
          <w:sz w:val="32"/>
          <w:szCs w:val="32"/>
        </w:rPr>
        <w:t>辆，其中：轿车</w:t>
      </w:r>
      <w:r>
        <w:rPr>
          <w:rFonts w:hint="eastAsia" w:eastAsia="仿宋_GB2312" w:cs="仿宋_GB2312"/>
          <w:sz w:val="32"/>
          <w:szCs w:val="32"/>
          <w:lang w:val="en-US" w:eastAsia="zh-CN"/>
        </w:rPr>
        <w:t>2</w:t>
      </w:r>
      <w:r>
        <w:rPr>
          <w:rFonts w:hint="eastAsia" w:eastAsia="仿宋_GB2312" w:cs="仿宋_GB2312"/>
          <w:sz w:val="32"/>
          <w:szCs w:val="32"/>
        </w:rPr>
        <w:t>辆、越野车</w:t>
      </w:r>
      <w:r>
        <w:rPr>
          <w:rFonts w:hint="eastAsia" w:eastAsia="仿宋_GB2312" w:cs="仿宋_GB2312"/>
          <w:sz w:val="32"/>
          <w:szCs w:val="32"/>
          <w:lang w:val="en-US" w:eastAsia="zh-CN"/>
        </w:rPr>
        <w:t>1</w:t>
      </w:r>
      <w:r>
        <w:rPr>
          <w:rFonts w:hint="eastAsia" w:eastAsia="仿宋_GB2312" w:cs="仿宋_GB2312"/>
          <w:sz w:val="32"/>
          <w:szCs w:val="32"/>
        </w:rPr>
        <w:t>辆、载客汽车</w:t>
      </w:r>
      <w:r>
        <w:rPr>
          <w:rFonts w:hint="eastAsia" w:eastAsia="仿宋_GB2312" w:cs="仿宋_GB2312"/>
          <w:sz w:val="32"/>
          <w:szCs w:val="32"/>
          <w:lang w:val="en-US" w:eastAsia="zh-CN"/>
        </w:rPr>
        <w:t>0</w:t>
      </w:r>
      <w:r>
        <w:rPr>
          <w:rFonts w:hint="eastAsia" w:eastAsia="仿宋_GB2312" w:cs="仿宋_GB2312"/>
          <w:sz w:val="32"/>
          <w:szCs w:val="32"/>
        </w:rPr>
        <w:t>辆。</w:t>
      </w:r>
    </w:p>
    <w:p>
      <w:pPr>
        <w:pageBreakBefore w:val="0"/>
        <w:kinsoku/>
        <w:wordWrap/>
        <w:overflowPunct/>
        <w:bidi w:val="0"/>
        <w:spacing w:line="600" w:lineRule="exact"/>
        <w:ind w:firstLine="640"/>
        <w:textAlignment w:val="auto"/>
        <w:rPr>
          <w:rFonts w:hint="eastAsia" w:ascii="仿宋_GB2312" w:eastAsia="仿宋_GB2312"/>
          <w:sz w:val="32"/>
          <w:szCs w:val="32"/>
          <w:lang w:val="en-US" w:eastAsia="zh-CN"/>
        </w:rPr>
      </w:pPr>
      <w:r>
        <w:rPr>
          <w:rFonts w:hint="eastAsia" w:eastAsia="仿宋_GB2312" w:cs="仿宋_GB2312"/>
          <w:sz w:val="32"/>
          <w:szCs w:val="32"/>
        </w:rPr>
        <w:t>公务用车运行维护费支</w:t>
      </w:r>
      <w:r>
        <w:rPr>
          <w:rFonts w:hint="eastAsia" w:ascii="仿宋_GB2312" w:hAnsi="仿宋_GB2312" w:eastAsia="仿宋_GB2312" w:cs="仿宋_GB2312"/>
          <w:sz w:val="32"/>
          <w:szCs w:val="32"/>
        </w:rPr>
        <w:t>出</w:t>
      </w:r>
      <w:r>
        <w:rPr>
          <w:rFonts w:hint="eastAsia" w:ascii="仿宋_GB2312" w:hAnsi="仿宋_GB2312" w:eastAsia="仿宋_GB2312" w:cs="仿宋_GB2312"/>
          <w:sz w:val="32"/>
          <w:szCs w:val="32"/>
          <w:lang w:val="en-US" w:eastAsia="zh-CN"/>
        </w:rPr>
        <w:t>5.26</w:t>
      </w:r>
      <w:r>
        <w:rPr>
          <w:rFonts w:hint="eastAsia" w:eastAsia="仿宋_GB2312" w:cs="仿宋_GB2312"/>
          <w:sz w:val="32"/>
          <w:szCs w:val="32"/>
        </w:rPr>
        <w:t>万元。</w:t>
      </w:r>
      <w:r>
        <w:rPr>
          <w:rFonts w:hint="eastAsia" w:ascii="仿宋_GB2312" w:eastAsia="仿宋_GB2312" w:cs="仿宋_GB2312"/>
          <w:sz w:val="32"/>
          <w:szCs w:val="32"/>
        </w:rPr>
        <w:t>用于各股室下乡出差等所需的公务用车燃料费、过路过桥费，单位车辆全年所需的维修费、保险费支出</w:t>
      </w:r>
      <w:r>
        <w:rPr>
          <w:rFonts w:hint="eastAsia" w:ascii="仿宋_GB2312" w:eastAsia="仿宋_GB2312" w:cs="仿宋_GB2312"/>
          <w:sz w:val="32"/>
          <w:szCs w:val="32"/>
          <w:lang w:eastAsia="zh-CN"/>
        </w:rPr>
        <w:t>。</w:t>
      </w:r>
    </w:p>
    <w:p>
      <w:pPr>
        <w:pageBreakBefore w:val="0"/>
        <w:kinsoku/>
        <w:wordWrap/>
        <w:overflowPunct/>
        <w:bidi w:val="0"/>
        <w:spacing w:line="600" w:lineRule="exact"/>
        <w:ind w:firstLine="640"/>
        <w:textAlignment w:val="auto"/>
        <w:rPr>
          <w:rFonts w:hint="eastAsia" w:ascii="Times New Roman" w:hAnsi="Times New Roman" w:eastAsia="仿宋_GB2312"/>
          <w:sz w:val="32"/>
          <w:szCs w:val="32"/>
          <w:lang w:eastAsia="zh-CN"/>
        </w:rPr>
      </w:pPr>
      <w:r>
        <w:rPr>
          <w:rFonts w:hint="eastAsia" w:eastAsia="仿宋_GB2312" w:cs="仿宋_GB2312"/>
          <w:b/>
          <w:bCs/>
          <w:sz w:val="32"/>
          <w:szCs w:val="32"/>
        </w:rPr>
        <w:t>3.公务接待费支出</w:t>
      </w:r>
      <w:r>
        <w:rPr>
          <w:rFonts w:hint="eastAsia" w:ascii="仿宋_GB2312" w:hAnsi="仿宋_GB2312" w:eastAsia="仿宋_GB2312" w:cs="仿宋_GB2312"/>
          <w:b/>
          <w:bCs/>
          <w:sz w:val="32"/>
          <w:szCs w:val="32"/>
          <w:lang w:val="en-US" w:eastAsia="zh-CN"/>
        </w:rPr>
        <w:t>0.29</w:t>
      </w:r>
      <w:r>
        <w:rPr>
          <w:rFonts w:hint="eastAsia" w:ascii="仿宋_GB2312" w:hAnsi="仿宋_GB2312" w:eastAsia="仿宋_GB2312" w:cs="仿宋_GB2312"/>
          <w:b/>
          <w:bCs/>
          <w:sz w:val="32"/>
          <w:szCs w:val="32"/>
        </w:rPr>
        <w:t>万</w:t>
      </w:r>
      <w:r>
        <w:rPr>
          <w:rFonts w:hint="eastAsia" w:eastAsia="仿宋_GB2312" w:cs="仿宋_GB2312"/>
          <w:b/>
          <w:bCs/>
          <w:sz w:val="32"/>
          <w:szCs w:val="32"/>
        </w:rPr>
        <w:t>元，完成预算</w:t>
      </w:r>
      <w:r>
        <w:rPr>
          <w:rFonts w:hint="eastAsia" w:eastAsia="仿宋_GB2312" w:cs="仿宋_GB2312"/>
          <w:b/>
          <w:bCs/>
          <w:sz w:val="32"/>
          <w:szCs w:val="32"/>
          <w:lang w:val="en-US" w:eastAsia="zh-CN"/>
        </w:rPr>
        <w:t>100</w:t>
      </w:r>
      <w:r>
        <w:rPr>
          <w:rFonts w:hint="eastAsia" w:eastAsia="仿宋_GB2312" w:cs="仿宋_GB2312"/>
          <w:b/>
          <w:bCs/>
          <w:sz w:val="32"/>
          <w:szCs w:val="32"/>
        </w:rPr>
        <w:t>%。</w:t>
      </w:r>
      <w:r>
        <w:rPr>
          <w:rFonts w:hint="eastAsia" w:eastAsia="仿宋_GB2312" w:cs="仿宋_GB2312"/>
          <w:sz w:val="32"/>
          <w:szCs w:val="32"/>
        </w:rPr>
        <w:t>公务接待费支出决算比2023年度减少</w:t>
      </w:r>
      <w:r>
        <w:rPr>
          <w:rFonts w:hint="eastAsia" w:eastAsia="仿宋_GB2312" w:cs="仿宋_GB2312"/>
          <w:sz w:val="32"/>
          <w:szCs w:val="32"/>
          <w:lang w:val="en-US" w:eastAsia="zh-CN"/>
        </w:rPr>
        <w:t>0.40</w:t>
      </w:r>
      <w:r>
        <w:rPr>
          <w:rFonts w:hint="eastAsia" w:eastAsia="仿宋_GB2312" w:cs="仿宋_GB2312"/>
          <w:sz w:val="32"/>
          <w:szCs w:val="32"/>
        </w:rPr>
        <w:t>万元，下降</w:t>
      </w:r>
      <w:r>
        <w:rPr>
          <w:rFonts w:hint="eastAsia" w:eastAsia="仿宋_GB2312" w:cs="仿宋_GB2312"/>
          <w:sz w:val="32"/>
          <w:szCs w:val="32"/>
          <w:lang w:val="en-US" w:eastAsia="zh-CN"/>
        </w:rPr>
        <w:t>57.97</w:t>
      </w:r>
      <w:r>
        <w:rPr>
          <w:rFonts w:hint="eastAsia" w:eastAsia="仿宋_GB2312" w:cs="仿宋_GB2312"/>
          <w:sz w:val="32"/>
          <w:szCs w:val="32"/>
        </w:rPr>
        <w:t>%。主要原因是</w:t>
      </w:r>
      <w:r>
        <w:rPr>
          <w:rFonts w:ascii="Times New Roman" w:hAnsi="Times New Roman" w:eastAsia="仿宋_GB2312"/>
          <w:sz w:val="32"/>
          <w:szCs w:val="32"/>
        </w:rPr>
        <w:t>严格控制“三公”经费的开支，采取措施过紧日子，通过压缩支出实现经费的节约</w:t>
      </w:r>
      <w:r>
        <w:rPr>
          <w:rFonts w:hint="eastAsia" w:ascii="Times New Roman" w:hAnsi="Times New Roman" w:eastAsia="仿宋_GB2312"/>
          <w:sz w:val="32"/>
          <w:szCs w:val="32"/>
          <w:lang w:eastAsia="zh-CN"/>
        </w:rPr>
        <w:t>。</w:t>
      </w:r>
    </w:p>
    <w:p>
      <w:pPr>
        <w:pageBreakBefore w:val="0"/>
        <w:kinsoku/>
        <w:wordWrap/>
        <w:overflowPunct/>
        <w:bidi w:val="0"/>
        <w:spacing w:line="600" w:lineRule="exact"/>
        <w:ind w:firstLine="640"/>
        <w:textAlignment w:val="auto"/>
        <w:rPr>
          <w:rFonts w:hint="default" w:ascii="仿宋_GB2312" w:eastAsia="仿宋_GB2312"/>
          <w:sz w:val="32"/>
          <w:szCs w:val="32"/>
          <w:lang w:val="en-US" w:eastAsia="zh-CN"/>
        </w:rPr>
      </w:pPr>
      <w:r>
        <w:rPr>
          <w:rFonts w:hint="eastAsia" w:eastAsia="仿宋_GB2312" w:cs="仿宋_GB2312"/>
          <w:sz w:val="32"/>
          <w:szCs w:val="32"/>
        </w:rPr>
        <w:t>其中：国内公务接待支</w:t>
      </w:r>
      <w:r>
        <w:rPr>
          <w:rFonts w:hint="eastAsia" w:ascii="仿宋_GB2312" w:hAnsi="仿宋_GB2312" w:eastAsia="仿宋_GB2312" w:cs="仿宋_GB2312"/>
          <w:sz w:val="32"/>
          <w:szCs w:val="32"/>
        </w:rPr>
        <w:t>出</w:t>
      </w:r>
      <w:r>
        <w:rPr>
          <w:rFonts w:hint="eastAsia" w:ascii="仿宋_GB2312" w:hAnsi="仿宋_GB2312" w:eastAsia="仿宋_GB2312" w:cs="仿宋_GB2312"/>
          <w:sz w:val="32"/>
          <w:szCs w:val="32"/>
          <w:lang w:val="en-US" w:eastAsia="zh-CN"/>
        </w:rPr>
        <w:t>0.29</w:t>
      </w:r>
      <w:r>
        <w:rPr>
          <w:rFonts w:hint="eastAsia" w:ascii="仿宋_GB2312" w:hAnsi="仿宋_GB2312" w:eastAsia="仿宋_GB2312" w:cs="仿宋_GB2312"/>
          <w:sz w:val="32"/>
          <w:szCs w:val="32"/>
        </w:rPr>
        <w:t>万</w:t>
      </w:r>
      <w:r>
        <w:rPr>
          <w:rFonts w:hint="eastAsia" w:eastAsia="仿宋_GB2312" w:cs="仿宋_GB2312"/>
          <w:sz w:val="32"/>
          <w:szCs w:val="32"/>
        </w:rPr>
        <w:t>元，</w:t>
      </w:r>
      <w:r>
        <w:rPr>
          <w:rFonts w:hint="eastAsia" w:ascii="仿宋_GB2312" w:eastAsia="仿宋_GB2312"/>
          <w:sz w:val="32"/>
          <w:szCs w:val="32"/>
        </w:rPr>
        <w:t>主要用于开展业务活动开支的用餐费等。</w:t>
      </w:r>
      <w:r>
        <w:rPr>
          <w:rFonts w:hint="eastAsia" w:eastAsia="仿宋_GB2312" w:cs="仿宋_GB2312"/>
          <w:sz w:val="32"/>
          <w:szCs w:val="32"/>
        </w:rPr>
        <w:t>国内公务接</w:t>
      </w:r>
      <w:r>
        <w:rPr>
          <w:rFonts w:hint="eastAsia" w:ascii="仿宋_GB2312" w:hAnsi="仿宋_GB2312" w:eastAsia="仿宋_GB2312" w:cs="仿宋_GB2312"/>
          <w:sz w:val="32"/>
          <w:szCs w:val="32"/>
        </w:rPr>
        <w:t>待</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批次，</w:t>
      </w:r>
      <w:r>
        <w:rPr>
          <w:rFonts w:hint="eastAsia" w:ascii="仿宋_GB2312" w:hAnsi="仿宋_GB2312" w:eastAsia="仿宋_GB2312" w:cs="仿宋_GB2312"/>
          <w:sz w:val="32"/>
          <w:szCs w:val="32"/>
          <w:lang w:val="en-US" w:eastAsia="zh-CN"/>
        </w:rPr>
        <w:t>40</w:t>
      </w:r>
      <w:r>
        <w:rPr>
          <w:rFonts w:hint="eastAsia" w:eastAsia="仿宋_GB2312" w:cs="仿宋_GB2312"/>
          <w:sz w:val="32"/>
          <w:szCs w:val="32"/>
        </w:rPr>
        <w:t>人次（不包括陪同人员），共计支出</w:t>
      </w:r>
      <w:r>
        <w:rPr>
          <w:rFonts w:hint="eastAsia" w:eastAsia="仿宋_GB2312" w:cs="仿宋_GB2312"/>
          <w:sz w:val="32"/>
          <w:szCs w:val="32"/>
          <w:lang w:val="en-US" w:eastAsia="zh-CN"/>
        </w:rPr>
        <w:t>0.29</w:t>
      </w:r>
      <w:r>
        <w:rPr>
          <w:rFonts w:hint="eastAsia" w:eastAsia="仿宋_GB2312" w:cs="仿宋_GB2312"/>
          <w:sz w:val="32"/>
          <w:szCs w:val="32"/>
        </w:rPr>
        <w:t>万元，具体内容包括：</w:t>
      </w:r>
      <w:r>
        <w:rPr>
          <w:rFonts w:hint="eastAsia" w:ascii="仿宋_GB2312" w:eastAsia="仿宋_GB2312"/>
          <w:sz w:val="32"/>
          <w:szCs w:val="32"/>
        </w:rPr>
        <w:t>具体内容包括：</w:t>
      </w:r>
      <w:r>
        <w:rPr>
          <w:rFonts w:hint="eastAsia" w:ascii="仿宋_GB2312" w:eastAsia="仿宋_GB2312"/>
          <w:sz w:val="32"/>
          <w:szCs w:val="32"/>
          <w:lang w:val="en-US" w:eastAsia="zh-CN"/>
        </w:rPr>
        <w:t>相关接待工作</w:t>
      </w:r>
    </w:p>
    <w:p>
      <w:pPr>
        <w:pageBreakBefore w:val="0"/>
        <w:kinsoku/>
        <w:wordWrap/>
        <w:overflowPunct/>
        <w:bidi w:val="0"/>
        <w:spacing w:line="600" w:lineRule="exact"/>
        <w:ind w:firstLine="640"/>
        <w:textAlignment w:val="auto"/>
        <w:rPr>
          <w:rFonts w:eastAsia="仿宋_GB2312" w:cs="仿宋_GB2312"/>
          <w:sz w:val="32"/>
          <w:szCs w:val="32"/>
        </w:rPr>
      </w:pPr>
      <w:r>
        <w:rPr>
          <w:rFonts w:hint="eastAsia" w:eastAsia="仿宋_GB2312" w:cs="仿宋_GB2312"/>
          <w:sz w:val="32"/>
          <w:szCs w:val="32"/>
        </w:rPr>
        <w:t>外事接待支</w:t>
      </w:r>
      <w:r>
        <w:rPr>
          <w:rFonts w:hint="eastAsia" w:ascii="仿宋_GB2312" w:hAnsi="仿宋_GB2312" w:eastAsia="仿宋_GB2312" w:cs="仿宋_GB2312"/>
          <w:sz w:val="32"/>
          <w:szCs w:val="32"/>
        </w:rPr>
        <w:t>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万元，外事接待</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批次，</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人次（不包括陪同人员），共计支出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w:t>
      </w:r>
      <w:r>
        <w:rPr>
          <w:rFonts w:hint="eastAsia" w:eastAsia="仿宋_GB2312" w:cs="仿宋_GB2312"/>
          <w:sz w:val="32"/>
          <w:szCs w:val="32"/>
        </w:rPr>
        <w:t>元。</w:t>
      </w:r>
    </w:p>
    <w:p>
      <w:pPr>
        <w:pStyle w:val="4"/>
        <w:bidi w:val="0"/>
      </w:pPr>
      <w:bookmarkStart w:id="74" w:name="_Toc15396610"/>
      <w:bookmarkStart w:id="75" w:name="_Toc15377218"/>
      <w:bookmarkStart w:id="76" w:name="_Toc17373_WPSOffice_Level2"/>
      <w:r>
        <w:rPr>
          <w:rFonts w:hint="eastAsia"/>
        </w:rPr>
        <w:t>八、政府性基金预算支出决算情况说明</w:t>
      </w:r>
      <w:bookmarkEnd w:id="74"/>
      <w:bookmarkEnd w:id="75"/>
      <w:bookmarkEnd w:id="76"/>
    </w:p>
    <w:p>
      <w:pPr>
        <w:pageBreakBefore w:val="0"/>
        <w:kinsoku/>
        <w:wordWrap/>
        <w:overflowPunct/>
        <w:bidi w:val="0"/>
        <w:spacing w:line="600" w:lineRule="exact"/>
        <w:ind w:firstLine="640"/>
        <w:textAlignment w:val="auto"/>
        <w:rPr>
          <w:rFonts w:hint="eastAsia" w:eastAsia="仿宋_GB2312" w:cs="仿宋_GB2312"/>
          <w:sz w:val="32"/>
          <w:szCs w:val="32"/>
          <w:lang w:eastAsia="zh-CN"/>
        </w:rPr>
      </w:pPr>
      <w:r>
        <w:rPr>
          <w:rFonts w:hint="eastAsia" w:ascii="仿宋_GB2312" w:hAnsi="仿宋_GB2312" w:eastAsia="仿宋_GB2312" w:cs="仿宋_GB2312"/>
          <w:sz w:val="32"/>
          <w:szCs w:val="32"/>
        </w:rPr>
        <w:t>2024年度政府性基金预算财政拨款支出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p>
    <w:p>
      <w:pPr>
        <w:pStyle w:val="4"/>
        <w:bidi w:val="0"/>
      </w:pPr>
      <w:bookmarkStart w:id="77" w:name="_Toc7861_WPSOffice_Level2"/>
      <w:bookmarkStart w:id="78" w:name="_Toc15377219"/>
      <w:bookmarkStart w:id="79" w:name="_Toc15396611"/>
      <w:r>
        <w:rPr>
          <w:rFonts w:hint="eastAsia"/>
        </w:rPr>
        <w:t>九、国有资本经营预算支出决算情况说明</w:t>
      </w:r>
      <w:bookmarkEnd w:id="77"/>
      <w:bookmarkEnd w:id="78"/>
      <w:bookmarkEnd w:id="79"/>
    </w:p>
    <w:p>
      <w:pPr>
        <w:pageBreakBefore w:val="0"/>
        <w:kinsoku/>
        <w:wordWrap/>
        <w:overflowPunct/>
        <w:bidi w:val="0"/>
        <w:spacing w:line="600" w:lineRule="exact"/>
        <w:ind w:firstLine="640"/>
        <w:textAlignment w:val="auto"/>
        <w:rPr>
          <w:rFonts w:hint="eastAsia" w:eastAsia="仿宋_GB2312" w:cs="仿宋_GB2312"/>
          <w:sz w:val="32"/>
          <w:szCs w:val="32"/>
          <w:lang w:eastAsia="zh-CN"/>
        </w:rPr>
      </w:pPr>
      <w:r>
        <w:rPr>
          <w:rFonts w:hint="eastAsia" w:eastAsia="仿宋_GB2312" w:cs="仿宋_GB2312"/>
          <w:sz w:val="32"/>
          <w:szCs w:val="32"/>
        </w:rPr>
        <w:t>2024年度国有资本经营预算财政拨款支出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p>
    <w:p>
      <w:pPr>
        <w:pStyle w:val="4"/>
        <w:bidi w:val="0"/>
      </w:pPr>
      <w:bookmarkStart w:id="80" w:name="_Toc15920_WPSOffice_Level2"/>
      <w:bookmarkStart w:id="81" w:name="_Toc15396612"/>
      <w:bookmarkStart w:id="82" w:name="_Toc15377221"/>
      <w:r>
        <w:rPr>
          <w:rFonts w:hint="eastAsia"/>
        </w:rPr>
        <w:t>十、其他重要事项的情况说明</w:t>
      </w:r>
      <w:bookmarkEnd w:id="80"/>
      <w:bookmarkEnd w:id="81"/>
      <w:bookmarkEnd w:id="82"/>
    </w:p>
    <w:p>
      <w:pPr>
        <w:pageBreakBefore w:val="0"/>
        <w:kinsoku/>
        <w:wordWrap/>
        <w:overflowPunct/>
        <w:bidi w:val="0"/>
        <w:spacing w:line="600" w:lineRule="exact"/>
        <w:ind w:firstLine="640" w:firstLineChars="200"/>
        <w:textAlignment w:val="auto"/>
        <w:outlineLvl w:val="2"/>
        <w:rPr>
          <w:rFonts w:eastAsia="楷体_GB2312" w:cs="楷体_GB2312"/>
          <w:b w:val="0"/>
          <w:bCs/>
          <w:sz w:val="32"/>
          <w:szCs w:val="32"/>
        </w:rPr>
      </w:pPr>
      <w:bookmarkStart w:id="83" w:name="_Toc15377222"/>
      <w:r>
        <w:rPr>
          <w:rFonts w:hint="eastAsia" w:eastAsia="楷体_GB2312" w:cs="楷体_GB2312"/>
          <w:b w:val="0"/>
          <w:bCs/>
          <w:sz w:val="32"/>
          <w:szCs w:val="32"/>
        </w:rPr>
        <w:t>（一）机关运行经费支出情况</w:t>
      </w:r>
      <w:bookmarkEnd w:id="83"/>
    </w:p>
    <w:p>
      <w:pPr>
        <w:pageBreakBefore w:val="0"/>
        <w:kinsoku/>
        <w:wordWrap/>
        <w:overflowPunct/>
        <w:bidi w:val="0"/>
        <w:spacing w:line="600" w:lineRule="exact"/>
        <w:ind w:firstLine="640"/>
        <w:textAlignment w:val="auto"/>
        <w:rPr>
          <w:rFonts w:eastAsia="仿宋_GB2312" w:cs="仿宋_GB2312"/>
          <w:sz w:val="32"/>
          <w:szCs w:val="32"/>
        </w:rPr>
      </w:pPr>
      <w:r>
        <w:rPr>
          <w:rFonts w:hint="eastAsia" w:eastAsia="仿宋_GB2312" w:cs="仿宋_GB2312"/>
          <w:sz w:val="32"/>
          <w:szCs w:val="32"/>
        </w:rPr>
        <w:t>2024年度</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盐边县司法局</w:t>
      </w:r>
      <w:r>
        <w:rPr>
          <w:rFonts w:hint="eastAsia" w:ascii="仿宋_GB2312" w:hAnsi="仿宋_GB2312" w:eastAsia="仿宋_GB2312" w:cs="仿宋_GB2312"/>
          <w:sz w:val="32"/>
          <w:szCs w:val="32"/>
        </w:rPr>
        <w:t>机关运行经费支出</w:t>
      </w:r>
      <w:r>
        <w:rPr>
          <w:rFonts w:hint="eastAsia" w:ascii="仿宋_GB2312" w:hAnsi="仿宋_GB2312" w:eastAsia="仿宋_GB2312" w:cs="仿宋_GB2312"/>
          <w:sz w:val="32"/>
          <w:szCs w:val="32"/>
          <w:lang w:val="en-US" w:eastAsia="zh-CN"/>
        </w:rPr>
        <w:t>100.73</w:t>
      </w:r>
      <w:r>
        <w:rPr>
          <w:rFonts w:hint="eastAsia" w:ascii="仿宋_GB2312" w:hAnsi="仿宋_GB2312" w:eastAsia="仿宋_GB2312" w:cs="仿宋_GB2312"/>
          <w:sz w:val="32"/>
          <w:szCs w:val="32"/>
        </w:rPr>
        <w:t>万</w:t>
      </w:r>
      <w:r>
        <w:rPr>
          <w:rFonts w:hint="eastAsia" w:eastAsia="仿宋_GB2312" w:cs="仿宋_GB2312"/>
          <w:sz w:val="32"/>
          <w:szCs w:val="32"/>
        </w:rPr>
        <w:t>元，比2023年度减少</w:t>
      </w:r>
      <w:r>
        <w:rPr>
          <w:rFonts w:hint="eastAsia" w:eastAsia="仿宋_GB2312" w:cs="仿宋_GB2312"/>
          <w:sz w:val="32"/>
          <w:szCs w:val="32"/>
          <w:lang w:val="en-US" w:eastAsia="zh-CN"/>
        </w:rPr>
        <w:t>11.45</w:t>
      </w:r>
      <w:r>
        <w:rPr>
          <w:rFonts w:hint="eastAsia" w:eastAsia="仿宋_GB2312" w:cs="仿宋_GB2312"/>
          <w:sz w:val="32"/>
          <w:szCs w:val="32"/>
        </w:rPr>
        <w:t>万元，下降</w:t>
      </w:r>
      <w:r>
        <w:rPr>
          <w:rFonts w:hint="eastAsia" w:eastAsia="仿宋_GB2312" w:cs="仿宋_GB2312"/>
          <w:sz w:val="32"/>
          <w:szCs w:val="32"/>
          <w:lang w:val="en-US" w:eastAsia="zh-CN"/>
        </w:rPr>
        <w:t>10.20</w:t>
      </w:r>
      <w:r>
        <w:rPr>
          <w:rFonts w:hint="eastAsia" w:eastAsia="仿宋_GB2312" w:cs="仿宋_GB2312"/>
          <w:sz w:val="32"/>
          <w:szCs w:val="32"/>
        </w:rPr>
        <w:t>%。主要原因是主要原因是</w:t>
      </w:r>
      <w:r>
        <w:rPr>
          <w:rFonts w:ascii="Times New Roman" w:hAnsi="Times New Roman" w:eastAsia="仿宋_GB2312"/>
          <w:sz w:val="32"/>
          <w:szCs w:val="32"/>
        </w:rPr>
        <w:t>严格控制“</w:t>
      </w:r>
      <w:r>
        <w:rPr>
          <w:rFonts w:hint="eastAsia" w:eastAsia="仿宋_GB2312"/>
          <w:sz w:val="32"/>
          <w:szCs w:val="32"/>
          <w:lang w:val="en-US" w:eastAsia="zh-CN"/>
        </w:rPr>
        <w:t>公用</w:t>
      </w:r>
      <w:r>
        <w:rPr>
          <w:rFonts w:ascii="Times New Roman" w:hAnsi="Times New Roman" w:eastAsia="仿宋_GB2312"/>
          <w:sz w:val="32"/>
          <w:szCs w:val="32"/>
        </w:rPr>
        <w:t>”经费的开支，采取措施过紧日子，通过压缩支出实现经费的节约</w:t>
      </w:r>
      <w:r>
        <w:rPr>
          <w:rFonts w:hint="eastAsia" w:eastAsia="仿宋_GB2312"/>
          <w:sz w:val="32"/>
          <w:szCs w:val="32"/>
          <w:lang w:eastAsia="zh-CN"/>
        </w:rPr>
        <w:t>。</w:t>
      </w:r>
    </w:p>
    <w:p>
      <w:pPr>
        <w:pageBreakBefore w:val="0"/>
        <w:kinsoku/>
        <w:wordWrap/>
        <w:overflowPunct/>
        <w:bidi w:val="0"/>
        <w:spacing w:line="600" w:lineRule="exact"/>
        <w:ind w:firstLine="640" w:firstLineChars="200"/>
        <w:textAlignment w:val="auto"/>
        <w:outlineLvl w:val="2"/>
        <w:rPr>
          <w:rFonts w:hint="eastAsia" w:eastAsia="楷体_GB2312" w:cs="楷体_GB2312"/>
          <w:b w:val="0"/>
          <w:bCs/>
          <w:sz w:val="32"/>
          <w:szCs w:val="32"/>
        </w:rPr>
      </w:pPr>
      <w:bookmarkStart w:id="84" w:name="_Toc15377223"/>
      <w:r>
        <w:rPr>
          <w:rFonts w:hint="eastAsia" w:eastAsia="楷体_GB2312" w:cs="楷体_GB2312"/>
          <w:b w:val="0"/>
          <w:bCs/>
          <w:sz w:val="32"/>
          <w:szCs w:val="32"/>
        </w:rPr>
        <w:t>（二）政府采购支出情况</w:t>
      </w:r>
      <w:bookmarkEnd w:id="84"/>
    </w:p>
    <w:p>
      <w:pPr>
        <w:pageBreakBefore w:val="0"/>
        <w:kinsoku/>
        <w:wordWrap/>
        <w:overflowPunct/>
        <w:bidi w:val="0"/>
        <w:spacing w:line="600" w:lineRule="exact"/>
        <w:ind w:firstLine="640"/>
        <w:textAlignment w:val="auto"/>
        <w:rPr>
          <w:rFonts w:eastAsia="仿宋_GB2312" w:cs="仿宋_GB2312"/>
          <w:sz w:val="32"/>
          <w:szCs w:val="32"/>
        </w:rPr>
      </w:pPr>
      <w:r>
        <w:rPr>
          <w:rFonts w:hint="eastAsia" w:ascii="仿宋_GB2312" w:hAnsi="仿宋_GB2312" w:eastAsia="仿宋_GB2312" w:cs="仿宋_GB2312"/>
          <w:sz w:val="32"/>
          <w:szCs w:val="32"/>
        </w:rPr>
        <w:t>2024年度，</w:t>
      </w:r>
      <w:r>
        <w:rPr>
          <w:rFonts w:hint="eastAsia" w:ascii="仿宋_GB2312" w:hAnsi="仿宋_GB2312" w:eastAsia="仿宋_GB2312" w:cs="仿宋_GB2312"/>
          <w:sz w:val="32"/>
          <w:szCs w:val="32"/>
          <w:lang w:val="en-US" w:eastAsia="zh-CN"/>
        </w:rPr>
        <w:t>盐边县司法局</w:t>
      </w:r>
      <w:r>
        <w:rPr>
          <w:rFonts w:hint="eastAsia" w:ascii="仿宋_GB2312" w:hAnsi="仿宋_GB2312" w:eastAsia="仿宋_GB2312" w:cs="仿宋_GB2312"/>
          <w:sz w:val="32"/>
          <w:szCs w:val="32"/>
        </w:rPr>
        <w:t>政府采购支出总额</w:t>
      </w:r>
      <w:r>
        <w:rPr>
          <w:rFonts w:hint="eastAsia" w:ascii="仿宋_GB2312" w:hAnsi="仿宋_GB2312" w:eastAsia="仿宋_GB2312" w:cs="仿宋_GB2312"/>
          <w:sz w:val="32"/>
          <w:szCs w:val="32"/>
          <w:lang w:val="en-US" w:eastAsia="zh-CN"/>
        </w:rPr>
        <w:t>117.35</w:t>
      </w:r>
      <w:r>
        <w:rPr>
          <w:rFonts w:hint="eastAsia" w:ascii="仿宋_GB2312" w:hAnsi="仿宋_GB2312" w:eastAsia="仿宋_GB2312" w:cs="仿宋_GB2312"/>
          <w:sz w:val="32"/>
          <w:szCs w:val="32"/>
        </w:rPr>
        <w:t>万元，其中：政府采购货物支出</w:t>
      </w:r>
      <w:r>
        <w:rPr>
          <w:rFonts w:hint="eastAsia" w:ascii="仿宋_GB2312" w:hAnsi="仿宋_GB2312" w:eastAsia="仿宋_GB2312" w:cs="仿宋_GB2312"/>
          <w:sz w:val="32"/>
          <w:szCs w:val="32"/>
          <w:lang w:val="en-US" w:eastAsia="zh-CN"/>
        </w:rPr>
        <w:t>113.16</w:t>
      </w:r>
      <w:r>
        <w:rPr>
          <w:rFonts w:hint="eastAsia" w:ascii="仿宋_GB2312" w:hAnsi="仿宋_GB2312" w:eastAsia="仿宋_GB2312" w:cs="仿宋_GB2312"/>
          <w:sz w:val="32"/>
          <w:szCs w:val="32"/>
        </w:rPr>
        <w:t>万元、政府采购工程支出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万元、政府采购服务支出</w:t>
      </w:r>
      <w:r>
        <w:rPr>
          <w:rFonts w:hint="eastAsia" w:ascii="仿宋_GB2312" w:hAnsi="仿宋_GB2312" w:eastAsia="仿宋_GB2312" w:cs="仿宋_GB2312"/>
          <w:sz w:val="32"/>
          <w:szCs w:val="32"/>
          <w:lang w:val="en-US" w:eastAsia="zh-CN"/>
        </w:rPr>
        <w:t>4.19</w:t>
      </w:r>
      <w:r>
        <w:rPr>
          <w:rFonts w:hint="eastAsia" w:ascii="仿宋_GB2312" w:hAnsi="仿宋_GB2312" w:eastAsia="仿宋_GB2312" w:cs="仿宋_GB2312"/>
          <w:sz w:val="32"/>
          <w:szCs w:val="32"/>
        </w:rPr>
        <w:t>万元。主要用于</w:t>
      </w:r>
      <w:r>
        <w:rPr>
          <w:rFonts w:hint="eastAsia" w:ascii="仿宋_GB2312" w:hAnsi="仿宋_GB2312" w:eastAsia="仿宋_GB2312" w:cs="仿宋_GB2312"/>
          <w:sz w:val="32"/>
          <w:szCs w:val="32"/>
          <w:lang w:val="en-US" w:eastAsia="zh-CN"/>
        </w:rPr>
        <w:t>办公设备及业务装备购置</w:t>
      </w:r>
      <w:r>
        <w:rPr>
          <w:rFonts w:hint="eastAsia" w:ascii="仿宋_GB2312" w:hAnsi="仿宋_GB2312" w:eastAsia="仿宋_GB2312" w:cs="仿宋_GB2312"/>
          <w:sz w:val="32"/>
          <w:szCs w:val="32"/>
        </w:rPr>
        <w:t>。授予中小企业合同金额</w:t>
      </w:r>
      <w:r>
        <w:rPr>
          <w:rFonts w:hint="eastAsia" w:ascii="仿宋_GB2312" w:hAnsi="仿宋_GB2312" w:eastAsia="仿宋_GB2312" w:cs="仿宋_GB2312"/>
          <w:sz w:val="32"/>
          <w:szCs w:val="32"/>
          <w:lang w:val="en-US" w:eastAsia="zh-CN"/>
        </w:rPr>
        <w:t>54.91</w:t>
      </w:r>
      <w:r>
        <w:rPr>
          <w:rFonts w:hint="eastAsia" w:ascii="仿宋_GB2312" w:hAnsi="仿宋_GB2312" w:eastAsia="仿宋_GB2312" w:cs="仿宋_GB2312"/>
          <w:sz w:val="32"/>
          <w:szCs w:val="32"/>
        </w:rPr>
        <w:t>万元，占政府采购支出总额的</w:t>
      </w:r>
      <w:r>
        <w:rPr>
          <w:rFonts w:hint="eastAsia" w:ascii="仿宋_GB2312" w:hAnsi="仿宋_GB2312" w:eastAsia="仿宋_GB2312" w:cs="仿宋_GB2312"/>
          <w:sz w:val="32"/>
          <w:szCs w:val="32"/>
          <w:lang w:val="en-US" w:eastAsia="zh-CN"/>
        </w:rPr>
        <w:t>46.79</w:t>
      </w:r>
      <w:r>
        <w:rPr>
          <w:rFonts w:hint="eastAsia" w:ascii="仿宋_GB2312" w:hAnsi="仿宋_GB2312" w:eastAsia="仿宋_GB2312" w:cs="仿宋_GB2312"/>
          <w:sz w:val="32"/>
          <w:szCs w:val="32"/>
        </w:rPr>
        <w:t>%，其中：授予小微企业合同金额</w:t>
      </w:r>
      <w:r>
        <w:rPr>
          <w:rFonts w:hint="eastAsia" w:ascii="仿宋_GB2312" w:hAnsi="仿宋_GB2312" w:eastAsia="仿宋_GB2312" w:cs="仿宋_GB2312"/>
          <w:sz w:val="32"/>
          <w:szCs w:val="32"/>
          <w:lang w:val="en-US" w:eastAsia="zh-CN"/>
        </w:rPr>
        <w:t>54.91</w:t>
      </w:r>
      <w:r>
        <w:rPr>
          <w:rFonts w:hint="eastAsia" w:ascii="仿宋_GB2312" w:hAnsi="仿宋_GB2312" w:eastAsia="仿宋_GB2312" w:cs="仿宋_GB2312"/>
          <w:sz w:val="32"/>
          <w:szCs w:val="32"/>
        </w:rPr>
        <w:t>万元，占政府采购支出总额的</w:t>
      </w:r>
      <w:r>
        <w:rPr>
          <w:rFonts w:hint="eastAsia" w:ascii="仿宋_GB2312" w:hAnsi="仿宋_GB2312" w:eastAsia="仿宋_GB2312" w:cs="仿宋_GB2312"/>
          <w:sz w:val="32"/>
          <w:szCs w:val="32"/>
          <w:lang w:val="en-US" w:eastAsia="zh-CN"/>
        </w:rPr>
        <w:t>46.79</w:t>
      </w:r>
      <w:r>
        <w:rPr>
          <w:rFonts w:hint="eastAsia" w:ascii="仿宋_GB2312" w:hAnsi="仿宋_GB2312" w:eastAsia="仿宋_GB2312" w:cs="仿宋_GB2312"/>
          <w:sz w:val="32"/>
          <w:szCs w:val="32"/>
        </w:rPr>
        <w:t>%。</w:t>
      </w:r>
    </w:p>
    <w:p>
      <w:pPr>
        <w:pageBreakBefore w:val="0"/>
        <w:kinsoku/>
        <w:wordWrap/>
        <w:overflowPunct/>
        <w:bidi w:val="0"/>
        <w:spacing w:line="600" w:lineRule="exact"/>
        <w:ind w:firstLine="640" w:firstLineChars="200"/>
        <w:textAlignment w:val="auto"/>
        <w:outlineLvl w:val="2"/>
        <w:rPr>
          <w:rFonts w:hint="eastAsia" w:eastAsia="楷体_GB2312" w:cs="楷体_GB2312"/>
          <w:b w:val="0"/>
          <w:bCs/>
          <w:sz w:val="32"/>
          <w:szCs w:val="32"/>
        </w:rPr>
      </w:pPr>
      <w:bookmarkStart w:id="85" w:name="_Toc15377224"/>
      <w:r>
        <w:rPr>
          <w:rFonts w:hint="eastAsia" w:eastAsia="楷体_GB2312" w:cs="楷体_GB2312"/>
          <w:b w:val="0"/>
          <w:bCs/>
          <w:sz w:val="32"/>
          <w:szCs w:val="32"/>
        </w:rPr>
        <w:t>（三）国有资产占有使用情况</w:t>
      </w:r>
      <w:bookmarkEnd w:id="85"/>
    </w:p>
    <w:p>
      <w:pPr>
        <w:pageBreakBefore w:val="0"/>
        <w:kinsoku/>
        <w:wordWrap/>
        <w:overflowPunct/>
        <w:autoSpaceDE w:val="0"/>
        <w:autoSpaceDN w:val="0"/>
        <w:bidi w:val="0"/>
        <w:adjustRightInd w:val="0"/>
        <w:spacing w:line="600" w:lineRule="exact"/>
        <w:ind w:firstLine="640" w:firstLineChars="200"/>
        <w:jc w:val="left"/>
        <w:textAlignment w:val="auto"/>
        <w:rPr>
          <w:rFonts w:hint="eastAsia" w:ascii="仿宋_GB2312" w:eastAsia="仿宋_GB2312"/>
          <w:sz w:val="32"/>
          <w:szCs w:val="32"/>
        </w:rPr>
      </w:pPr>
      <w:r>
        <w:rPr>
          <w:rFonts w:hint="eastAsia" w:ascii="仿宋_GB2312" w:hAnsi="仿宋_GB2312" w:eastAsia="仿宋_GB2312" w:cs="仿宋_GB2312"/>
          <w:sz w:val="32"/>
          <w:szCs w:val="32"/>
        </w:rPr>
        <w:t>截至2024年12月31日，</w:t>
      </w:r>
      <w:r>
        <w:rPr>
          <w:rFonts w:hint="eastAsia" w:ascii="仿宋_GB2312" w:eastAsia="仿宋_GB2312"/>
          <w:sz w:val="32"/>
          <w:szCs w:val="32"/>
          <w:lang w:val="en-US" w:eastAsia="zh-CN"/>
        </w:rPr>
        <w:t>盐边县司法局</w:t>
      </w:r>
      <w:r>
        <w:rPr>
          <w:rFonts w:hint="eastAsia" w:ascii="仿宋_GB2312" w:eastAsia="仿宋_GB2312"/>
          <w:sz w:val="32"/>
          <w:szCs w:val="32"/>
        </w:rPr>
        <w:t>共有车辆</w:t>
      </w:r>
      <w:r>
        <w:rPr>
          <w:rFonts w:hint="eastAsia" w:ascii="仿宋_GB2312" w:eastAsia="仿宋_GB2312"/>
          <w:sz w:val="32"/>
          <w:szCs w:val="32"/>
          <w:lang w:val="en-US" w:eastAsia="zh-CN"/>
        </w:rPr>
        <w:t>3</w:t>
      </w:r>
      <w:r>
        <w:rPr>
          <w:rFonts w:hint="eastAsia" w:ascii="仿宋_GB2312" w:eastAsia="仿宋_GB2312"/>
          <w:sz w:val="32"/>
          <w:szCs w:val="32"/>
        </w:rPr>
        <w:t>辆，其中：主要领导干部用车</w:t>
      </w:r>
      <w:r>
        <w:rPr>
          <w:rFonts w:hint="eastAsia" w:ascii="仿宋_GB2312" w:eastAsia="仿宋_GB2312"/>
          <w:sz w:val="32"/>
          <w:szCs w:val="32"/>
          <w:lang w:val="en-US" w:eastAsia="zh-CN"/>
        </w:rPr>
        <w:t>0</w:t>
      </w:r>
      <w:r>
        <w:rPr>
          <w:rFonts w:hint="eastAsia" w:ascii="仿宋_GB2312" w:eastAsia="仿宋_GB2312"/>
          <w:sz w:val="32"/>
          <w:szCs w:val="32"/>
        </w:rPr>
        <w:t>辆、机要通信用车</w:t>
      </w:r>
      <w:r>
        <w:rPr>
          <w:rFonts w:hint="eastAsia" w:ascii="仿宋_GB2312" w:eastAsia="仿宋_GB2312"/>
          <w:sz w:val="32"/>
          <w:szCs w:val="32"/>
          <w:lang w:val="en-US" w:eastAsia="zh-CN"/>
        </w:rPr>
        <w:t>0</w:t>
      </w:r>
      <w:r>
        <w:rPr>
          <w:rFonts w:hint="eastAsia" w:ascii="仿宋_GB2312" w:eastAsia="仿宋_GB2312"/>
          <w:sz w:val="32"/>
          <w:szCs w:val="32"/>
        </w:rPr>
        <w:t>辆、应急保障用车</w:t>
      </w:r>
      <w:r>
        <w:rPr>
          <w:rFonts w:hint="eastAsia" w:ascii="仿宋_GB2312" w:eastAsia="仿宋_GB2312"/>
          <w:sz w:val="32"/>
          <w:szCs w:val="32"/>
          <w:lang w:val="en-US" w:eastAsia="zh-CN"/>
        </w:rPr>
        <w:t>0</w:t>
      </w:r>
      <w:r>
        <w:rPr>
          <w:rFonts w:hint="eastAsia" w:ascii="仿宋_GB2312" w:eastAsia="仿宋_GB2312"/>
          <w:sz w:val="32"/>
          <w:szCs w:val="32"/>
        </w:rPr>
        <w:t>辆、其他用车</w:t>
      </w:r>
      <w:r>
        <w:rPr>
          <w:rFonts w:hint="eastAsia" w:ascii="仿宋_GB2312" w:eastAsia="仿宋_GB2312"/>
          <w:sz w:val="32"/>
          <w:szCs w:val="32"/>
          <w:lang w:val="en-US" w:eastAsia="zh-CN"/>
        </w:rPr>
        <w:t>3</w:t>
      </w:r>
      <w:r>
        <w:rPr>
          <w:rFonts w:hint="eastAsia" w:ascii="仿宋_GB2312" w:eastAsia="仿宋_GB2312"/>
          <w:sz w:val="32"/>
          <w:szCs w:val="32"/>
        </w:rPr>
        <w:t>辆，</w:t>
      </w:r>
      <w:r>
        <w:rPr>
          <w:rFonts w:hint="eastAsia" w:ascii="仿宋_GB2312" w:hAnsi="仿宋_GB2312" w:eastAsia="仿宋_GB2312"/>
          <w:color w:val="000000"/>
          <w:kern w:val="2"/>
          <w:sz w:val="32"/>
          <w:lang w:val="zh-CN"/>
        </w:rPr>
        <w:t>其他用车主要是用于</w:t>
      </w:r>
      <w:r>
        <w:rPr>
          <w:rFonts w:hint="eastAsia" w:ascii="仿宋_GB2312" w:eastAsia="仿宋_GB2312" w:cs="仿宋_GB2312"/>
          <w:sz w:val="32"/>
          <w:szCs w:val="32"/>
        </w:rPr>
        <w:t>各股室下乡出差等</w:t>
      </w:r>
      <w:r>
        <w:rPr>
          <w:rFonts w:hint="eastAsia" w:ascii="仿宋_GB2312" w:eastAsia="仿宋_GB2312" w:cs="仿宋_GB2312"/>
          <w:sz w:val="32"/>
          <w:szCs w:val="32"/>
          <w:lang w:eastAsia="zh-CN"/>
        </w:rPr>
        <w:t>办案</w:t>
      </w:r>
      <w:r>
        <w:rPr>
          <w:rFonts w:hint="eastAsia" w:ascii="仿宋_GB2312" w:eastAsia="仿宋_GB2312" w:cs="仿宋_GB2312"/>
          <w:sz w:val="32"/>
          <w:szCs w:val="32"/>
        </w:rPr>
        <w:t>所需</w:t>
      </w:r>
      <w:r>
        <w:rPr>
          <w:rFonts w:hint="eastAsia" w:ascii="仿宋_GB2312" w:eastAsia="仿宋_GB2312"/>
          <w:sz w:val="32"/>
          <w:szCs w:val="32"/>
        </w:rPr>
        <w:t>。单价</w:t>
      </w:r>
      <w:r>
        <w:rPr>
          <w:rFonts w:ascii="仿宋_GB2312" w:eastAsia="仿宋_GB2312"/>
          <w:sz w:val="32"/>
          <w:szCs w:val="32"/>
        </w:rPr>
        <w:t>100</w:t>
      </w:r>
      <w:r>
        <w:rPr>
          <w:rFonts w:hint="eastAsia" w:ascii="仿宋_GB2312" w:eastAsia="仿宋_GB2312"/>
          <w:sz w:val="32"/>
          <w:szCs w:val="32"/>
        </w:rPr>
        <w:t>万元以上设备（不含车辆）</w:t>
      </w:r>
      <w:r>
        <w:rPr>
          <w:rFonts w:hint="eastAsia" w:ascii="仿宋_GB2312" w:eastAsia="仿宋_GB2312"/>
          <w:sz w:val="32"/>
          <w:szCs w:val="32"/>
          <w:lang w:val="en-US" w:eastAsia="zh-CN"/>
        </w:rPr>
        <w:t>0</w:t>
      </w:r>
      <w:r>
        <w:rPr>
          <w:rFonts w:hint="eastAsia" w:ascii="仿宋_GB2312" w:eastAsia="仿宋_GB2312"/>
          <w:sz w:val="32"/>
          <w:szCs w:val="32"/>
        </w:rPr>
        <w:t>台（套）。</w:t>
      </w:r>
    </w:p>
    <w:p>
      <w:pPr>
        <w:pageBreakBefore w:val="0"/>
        <w:kinsoku/>
        <w:wordWrap/>
        <w:overflowPunct/>
        <w:bidi w:val="0"/>
        <w:spacing w:line="600" w:lineRule="exact"/>
        <w:ind w:firstLine="640" w:firstLineChars="200"/>
        <w:textAlignment w:val="auto"/>
        <w:outlineLvl w:val="2"/>
        <w:rPr>
          <w:rFonts w:hint="eastAsia" w:eastAsia="楷体_GB2312" w:cs="楷体_GB2312"/>
          <w:b w:val="0"/>
          <w:bCs/>
          <w:sz w:val="32"/>
          <w:szCs w:val="32"/>
        </w:rPr>
      </w:pPr>
      <w:r>
        <w:rPr>
          <w:rFonts w:hint="eastAsia" w:eastAsia="楷体_GB2312" w:cs="楷体_GB2312"/>
          <w:b w:val="0"/>
          <w:bCs/>
          <w:sz w:val="32"/>
          <w:szCs w:val="32"/>
        </w:rPr>
        <w:t>（四）预算绩效管理情况</w:t>
      </w:r>
    </w:p>
    <w:p>
      <w:pPr>
        <w:pageBreakBefore w:val="0"/>
        <w:kinsoku/>
        <w:wordWrap/>
        <w:overflowPunct/>
        <w:bidi w:val="0"/>
        <w:spacing w:line="600" w:lineRule="exact"/>
        <w:ind w:firstLine="640"/>
        <w:textAlignment w:val="auto"/>
        <w:rPr>
          <w:rFonts w:eastAsia="仿宋_GB2312" w:cs="仿宋_GB2312"/>
          <w:sz w:val="32"/>
          <w:szCs w:val="32"/>
        </w:rPr>
      </w:pPr>
      <w:r>
        <w:rPr>
          <w:rFonts w:hint="eastAsia" w:eastAsia="仿宋_GB2312" w:cs="仿宋_GB2312"/>
          <w:sz w:val="32"/>
          <w:szCs w:val="32"/>
        </w:rPr>
        <w:t>根据预算绩效管理要求，</w:t>
      </w:r>
      <w:r>
        <w:rPr>
          <w:rFonts w:hint="eastAsia" w:eastAsia="仿宋_GB2312" w:cs="仿宋_GB2312"/>
          <w:sz w:val="32"/>
          <w:szCs w:val="32"/>
          <w:lang w:val="en-US" w:eastAsia="zh-CN"/>
        </w:rPr>
        <w:t>盐边县司法局</w:t>
      </w:r>
      <w:r>
        <w:rPr>
          <w:rFonts w:hint="eastAsia" w:eastAsia="仿宋_GB2312" w:cs="仿宋_GB2312"/>
          <w:sz w:val="32"/>
          <w:szCs w:val="32"/>
        </w:rPr>
        <w:t>在2024年度预算编制阶段，组织对</w:t>
      </w:r>
      <w:r>
        <w:rPr>
          <w:rFonts w:hint="eastAsia" w:eastAsia="仿宋_GB2312" w:cs="仿宋_GB2312"/>
          <w:sz w:val="32"/>
          <w:szCs w:val="32"/>
          <w:lang w:eastAsia="zh-CN"/>
        </w:rPr>
        <w:t>“人民调解专项经费”、“法律援助专项经费”、“社区矫正辅助人员专项经费”、“法律顾问经费”、“智慧矫正中心建设经费”、“盐边县矛盾纠纷多元化解中心暨人民调解中心改造升级费”、“智慧矫正中心创建经费”、“</w:t>
      </w:r>
      <w:r>
        <w:rPr>
          <w:rFonts w:hint="eastAsia" w:ascii="仿宋_GB2312" w:hAnsi="仿宋_GB2312" w:eastAsia="仿宋_GB2312" w:cs="仿宋_GB2312"/>
          <w:sz w:val="32"/>
          <w:szCs w:val="32"/>
          <w:lang w:val="en-US" w:eastAsia="zh-CN"/>
        </w:rPr>
        <w:t>中央和省级政法转移支付资金</w:t>
      </w:r>
      <w:r>
        <w:rPr>
          <w:rFonts w:hint="eastAsia" w:eastAsia="仿宋_GB2312" w:cs="仿宋_GB2312"/>
          <w:sz w:val="32"/>
          <w:szCs w:val="32"/>
          <w:lang w:eastAsia="zh-CN"/>
        </w:rPr>
        <w:t>”</w:t>
      </w:r>
      <w:r>
        <w:rPr>
          <w:rFonts w:hint="eastAsia" w:eastAsia="仿宋_GB2312" w:cs="仿宋_GB2312"/>
          <w:sz w:val="32"/>
          <w:szCs w:val="32"/>
        </w:rPr>
        <w:t>等</w:t>
      </w:r>
      <w:r>
        <w:rPr>
          <w:rFonts w:hint="eastAsia" w:eastAsia="仿宋_GB2312" w:cs="仿宋_GB2312"/>
          <w:sz w:val="32"/>
          <w:szCs w:val="32"/>
          <w:lang w:val="en-US" w:eastAsia="zh-CN"/>
        </w:rPr>
        <w:t>8</w:t>
      </w:r>
      <w:r>
        <w:rPr>
          <w:rFonts w:hint="eastAsia" w:eastAsia="仿宋_GB2312" w:cs="仿宋_GB2312"/>
          <w:sz w:val="32"/>
          <w:szCs w:val="32"/>
        </w:rPr>
        <w:t>个项目开展了预算事前绩效评估，对</w:t>
      </w:r>
      <w:r>
        <w:rPr>
          <w:rFonts w:hint="eastAsia" w:eastAsia="仿宋_GB2312" w:cs="仿宋_GB2312"/>
          <w:sz w:val="32"/>
          <w:szCs w:val="32"/>
          <w:lang w:val="en-US" w:eastAsia="zh-CN"/>
        </w:rPr>
        <w:t>8</w:t>
      </w:r>
      <w:r>
        <w:rPr>
          <w:rFonts w:hint="eastAsia" w:eastAsia="仿宋_GB2312" w:cs="仿宋_GB2312"/>
          <w:sz w:val="32"/>
          <w:szCs w:val="32"/>
        </w:rPr>
        <w:t>个项目编制了绩效目标，预算执行过程中，选取</w:t>
      </w:r>
      <w:r>
        <w:rPr>
          <w:rFonts w:hint="eastAsia" w:eastAsia="仿宋_GB2312" w:cs="仿宋_GB2312"/>
          <w:sz w:val="32"/>
          <w:szCs w:val="32"/>
          <w:lang w:val="en-US" w:eastAsia="zh-CN"/>
        </w:rPr>
        <w:t>8</w:t>
      </w:r>
      <w:r>
        <w:rPr>
          <w:rFonts w:hint="eastAsia" w:eastAsia="仿宋_GB2312" w:cs="仿宋_GB2312"/>
          <w:sz w:val="32"/>
          <w:szCs w:val="32"/>
        </w:rPr>
        <w:t>个项目开展绩效监控。</w:t>
      </w:r>
    </w:p>
    <w:p>
      <w:pPr>
        <w:pageBreakBefore w:val="0"/>
        <w:kinsoku/>
        <w:wordWrap/>
        <w:overflowPunct/>
        <w:bidi w:val="0"/>
        <w:spacing w:line="600" w:lineRule="exact"/>
        <w:ind w:firstLine="640"/>
        <w:textAlignment w:val="auto"/>
        <w:rPr>
          <w:rFonts w:eastAsia="仿宋_GB2312" w:cs="仿宋_GB2312"/>
          <w:sz w:val="32"/>
          <w:szCs w:val="32"/>
        </w:rPr>
      </w:pPr>
      <w:r>
        <w:rPr>
          <w:rFonts w:hint="eastAsia" w:eastAsia="仿宋_GB2312" w:cs="仿宋_GB2312"/>
          <w:sz w:val="32"/>
          <w:szCs w:val="32"/>
        </w:rPr>
        <w:t>组织对2024年度一般公共预算、政府性基金预算、国有资本经营预算、社会保险基金预算以及资本资产、债券资金等全面开展绩效自评，形成</w:t>
      </w:r>
      <w:r>
        <w:rPr>
          <w:rFonts w:hint="eastAsia" w:eastAsia="仿宋_GB2312" w:cs="仿宋_GB2312"/>
          <w:sz w:val="32"/>
          <w:szCs w:val="32"/>
          <w:lang w:val="en-US" w:eastAsia="zh-CN"/>
        </w:rPr>
        <w:t>盐边县司法局</w:t>
      </w:r>
      <w:r>
        <w:rPr>
          <w:rFonts w:hint="eastAsia" w:eastAsia="仿宋_GB2312" w:cs="仿宋_GB2312"/>
          <w:sz w:val="32"/>
          <w:szCs w:val="32"/>
        </w:rPr>
        <w:t>部门整体（含部门预算项目）绩效自评报告、</w:t>
      </w:r>
      <w:r>
        <w:rPr>
          <w:rFonts w:hint="eastAsia" w:eastAsia="仿宋_GB2312" w:cs="仿宋_GB2312"/>
          <w:sz w:val="32"/>
          <w:szCs w:val="32"/>
          <w:lang w:eastAsia="zh-CN"/>
        </w:rPr>
        <w:t>“</w:t>
      </w:r>
      <w:r>
        <w:rPr>
          <w:rFonts w:hint="eastAsia" w:ascii="仿宋_GB2312" w:hAnsi="仿宋_GB2312" w:eastAsia="仿宋_GB2312" w:cs="仿宋_GB2312"/>
          <w:sz w:val="32"/>
          <w:szCs w:val="32"/>
          <w:lang w:val="en-US" w:eastAsia="zh-CN"/>
        </w:rPr>
        <w:t>中央和省级政法转移支付资金</w:t>
      </w:r>
      <w:r>
        <w:rPr>
          <w:rFonts w:hint="eastAsia" w:eastAsia="仿宋_GB2312" w:cs="仿宋_GB2312"/>
          <w:sz w:val="32"/>
          <w:szCs w:val="32"/>
          <w:lang w:eastAsia="zh-CN"/>
        </w:rPr>
        <w:t>”</w:t>
      </w:r>
      <w:r>
        <w:rPr>
          <w:rFonts w:hint="eastAsia" w:eastAsia="仿宋_GB2312" w:cs="仿宋_GB2312"/>
          <w:sz w:val="32"/>
          <w:szCs w:val="32"/>
        </w:rPr>
        <w:t>等专项预算项目绩效自评报告，其中，</w:t>
      </w:r>
      <w:r>
        <w:rPr>
          <w:rFonts w:hint="eastAsia" w:eastAsia="仿宋_GB2312" w:cs="仿宋_GB2312"/>
          <w:sz w:val="32"/>
          <w:szCs w:val="32"/>
          <w:lang w:val="en-US" w:eastAsia="zh-CN"/>
        </w:rPr>
        <w:t>盐边县司法局</w:t>
      </w:r>
      <w:r>
        <w:rPr>
          <w:rFonts w:hint="eastAsia" w:eastAsia="仿宋_GB2312" w:cs="仿宋_GB2312"/>
          <w:sz w:val="32"/>
          <w:szCs w:val="32"/>
        </w:rPr>
        <w:t>部门部门整体（含部门预算项目）绩效自评得分为</w:t>
      </w:r>
      <w:r>
        <w:rPr>
          <w:rFonts w:hint="eastAsia" w:eastAsia="仿宋_GB2312" w:cs="仿宋_GB2312"/>
          <w:sz w:val="32"/>
          <w:szCs w:val="32"/>
          <w:lang w:val="en-US" w:eastAsia="zh-CN"/>
        </w:rPr>
        <w:t>94</w:t>
      </w:r>
      <w:r>
        <w:rPr>
          <w:rFonts w:hint="eastAsia" w:eastAsia="仿宋_GB2312" w:cs="仿宋_GB2312"/>
          <w:sz w:val="32"/>
          <w:szCs w:val="32"/>
        </w:rPr>
        <w:t>分；</w:t>
      </w:r>
      <w:r>
        <w:rPr>
          <w:rFonts w:hint="eastAsia" w:eastAsia="仿宋_GB2312" w:cs="仿宋_GB2312"/>
          <w:sz w:val="32"/>
          <w:szCs w:val="32"/>
          <w:lang w:eastAsia="zh-CN"/>
        </w:rPr>
        <w:t>“</w:t>
      </w:r>
      <w:r>
        <w:rPr>
          <w:rFonts w:hint="eastAsia" w:ascii="仿宋_GB2312" w:hAnsi="仿宋_GB2312" w:eastAsia="仿宋_GB2312" w:cs="仿宋_GB2312"/>
          <w:sz w:val="32"/>
          <w:szCs w:val="32"/>
          <w:lang w:val="en-US" w:eastAsia="zh-CN"/>
        </w:rPr>
        <w:t>中央和省级政法转移支付资金</w:t>
      </w:r>
      <w:r>
        <w:rPr>
          <w:rFonts w:hint="eastAsia" w:eastAsia="仿宋_GB2312" w:cs="仿宋_GB2312"/>
          <w:sz w:val="32"/>
          <w:szCs w:val="32"/>
          <w:lang w:eastAsia="zh-CN"/>
        </w:rPr>
        <w:t>”</w:t>
      </w:r>
      <w:r>
        <w:rPr>
          <w:rFonts w:hint="eastAsia" w:eastAsia="仿宋_GB2312" w:cs="仿宋_GB2312"/>
          <w:sz w:val="32"/>
          <w:szCs w:val="32"/>
        </w:rPr>
        <w:t>专项预算项目绩效自评得分为</w:t>
      </w:r>
      <w:r>
        <w:rPr>
          <w:rFonts w:hint="eastAsia" w:eastAsia="仿宋_GB2312" w:cs="仿宋_GB2312"/>
          <w:sz w:val="32"/>
          <w:szCs w:val="32"/>
          <w:lang w:val="en-US" w:eastAsia="zh-CN"/>
        </w:rPr>
        <w:t>95</w:t>
      </w:r>
      <w:r>
        <w:rPr>
          <w:rFonts w:hint="eastAsia" w:eastAsia="仿宋_GB2312" w:cs="仿宋_GB2312"/>
          <w:sz w:val="32"/>
          <w:szCs w:val="32"/>
        </w:rPr>
        <w:t>分，绩效自评报告详见附件。</w:t>
      </w:r>
    </w:p>
    <w:p>
      <w:pPr>
        <w:pageBreakBefore w:val="0"/>
        <w:kinsoku/>
        <w:wordWrap/>
        <w:overflowPunct/>
        <w:bidi w:val="0"/>
        <w:spacing w:line="600" w:lineRule="exact"/>
        <w:ind w:firstLine="640"/>
        <w:textAlignment w:val="auto"/>
        <w:rPr>
          <w:rFonts w:eastAsia="仿宋_GB2312" w:cs="仿宋_GB2312"/>
          <w:sz w:val="32"/>
          <w:szCs w:val="32"/>
        </w:rPr>
      </w:pPr>
    </w:p>
    <w:p>
      <w:pPr>
        <w:pStyle w:val="14"/>
        <w:pageBreakBefore w:val="0"/>
        <w:kinsoku/>
        <w:wordWrap/>
        <w:overflowPunct/>
        <w:bidi w:val="0"/>
        <w:textAlignment w:val="auto"/>
      </w:pPr>
    </w:p>
    <w:p>
      <w:pPr>
        <w:pStyle w:val="15"/>
        <w:pageBreakBefore w:val="0"/>
        <w:kinsoku/>
        <w:wordWrap/>
        <w:overflowPunct/>
        <w:bidi w:val="0"/>
        <w:ind w:left="420"/>
        <w:textAlignment w:val="auto"/>
      </w:pPr>
    </w:p>
    <w:p>
      <w:pPr>
        <w:pStyle w:val="15"/>
        <w:pageBreakBefore w:val="0"/>
        <w:kinsoku/>
        <w:wordWrap/>
        <w:overflowPunct/>
        <w:bidi w:val="0"/>
        <w:ind w:left="420"/>
        <w:textAlignment w:val="auto"/>
      </w:pPr>
    </w:p>
    <w:p>
      <w:pPr>
        <w:pStyle w:val="15"/>
        <w:pageBreakBefore w:val="0"/>
        <w:kinsoku/>
        <w:wordWrap/>
        <w:overflowPunct/>
        <w:bidi w:val="0"/>
        <w:ind w:left="420"/>
        <w:textAlignment w:val="auto"/>
      </w:pPr>
    </w:p>
    <w:p>
      <w:pPr>
        <w:pStyle w:val="15"/>
        <w:pageBreakBefore w:val="0"/>
        <w:kinsoku/>
        <w:wordWrap/>
        <w:overflowPunct/>
        <w:bidi w:val="0"/>
        <w:ind w:left="420"/>
        <w:textAlignment w:val="auto"/>
      </w:pPr>
    </w:p>
    <w:p>
      <w:pPr>
        <w:pStyle w:val="15"/>
        <w:pageBreakBefore w:val="0"/>
        <w:kinsoku/>
        <w:wordWrap/>
        <w:overflowPunct/>
        <w:bidi w:val="0"/>
        <w:ind w:left="420"/>
        <w:textAlignment w:val="auto"/>
      </w:pPr>
    </w:p>
    <w:p>
      <w:pPr>
        <w:pStyle w:val="15"/>
        <w:pageBreakBefore w:val="0"/>
        <w:kinsoku/>
        <w:wordWrap/>
        <w:overflowPunct/>
        <w:bidi w:val="0"/>
        <w:ind w:left="420"/>
        <w:textAlignment w:val="auto"/>
      </w:pPr>
    </w:p>
    <w:p>
      <w:pPr>
        <w:pStyle w:val="15"/>
        <w:pageBreakBefore w:val="0"/>
        <w:kinsoku/>
        <w:wordWrap/>
        <w:overflowPunct/>
        <w:bidi w:val="0"/>
        <w:ind w:left="420"/>
        <w:textAlignment w:val="auto"/>
      </w:pPr>
    </w:p>
    <w:p>
      <w:pPr>
        <w:pageBreakBefore w:val="0"/>
        <w:kinsoku/>
        <w:wordWrap/>
        <w:overflowPunct/>
        <w:bidi w:val="0"/>
        <w:spacing w:line="600" w:lineRule="exact"/>
        <w:jc w:val="center"/>
        <w:textAlignment w:val="auto"/>
        <w:outlineLvl w:val="0"/>
        <w:rPr>
          <w:rFonts w:hint="eastAsia" w:eastAsia="黑体"/>
          <w:sz w:val="44"/>
          <w:szCs w:val="44"/>
        </w:rPr>
      </w:pPr>
      <w:bookmarkStart w:id="86" w:name="_Toc15396613"/>
      <w:bookmarkStart w:id="87" w:name="_Toc15377225"/>
    </w:p>
    <w:p>
      <w:pPr>
        <w:pageBreakBefore w:val="0"/>
        <w:kinsoku/>
        <w:wordWrap/>
        <w:overflowPunct/>
        <w:bidi w:val="0"/>
        <w:spacing w:line="600" w:lineRule="exact"/>
        <w:jc w:val="center"/>
        <w:textAlignment w:val="auto"/>
        <w:outlineLvl w:val="0"/>
        <w:rPr>
          <w:rFonts w:hint="eastAsia" w:eastAsia="黑体"/>
          <w:sz w:val="44"/>
          <w:szCs w:val="44"/>
        </w:rPr>
      </w:pPr>
    </w:p>
    <w:p>
      <w:pPr>
        <w:pageBreakBefore w:val="0"/>
        <w:kinsoku/>
        <w:wordWrap/>
        <w:overflowPunct/>
        <w:bidi w:val="0"/>
        <w:spacing w:line="600" w:lineRule="exact"/>
        <w:jc w:val="center"/>
        <w:textAlignment w:val="auto"/>
        <w:outlineLvl w:val="0"/>
        <w:rPr>
          <w:rFonts w:hint="eastAsia" w:eastAsia="黑体"/>
          <w:sz w:val="44"/>
          <w:szCs w:val="44"/>
        </w:rPr>
      </w:pPr>
    </w:p>
    <w:p>
      <w:pPr>
        <w:pageBreakBefore w:val="0"/>
        <w:kinsoku/>
        <w:wordWrap/>
        <w:overflowPunct/>
        <w:bidi w:val="0"/>
        <w:spacing w:line="600" w:lineRule="exact"/>
        <w:jc w:val="center"/>
        <w:textAlignment w:val="auto"/>
        <w:outlineLvl w:val="0"/>
        <w:rPr>
          <w:rFonts w:hint="eastAsia" w:eastAsia="黑体"/>
          <w:sz w:val="44"/>
          <w:szCs w:val="44"/>
        </w:rPr>
      </w:pPr>
    </w:p>
    <w:p>
      <w:pPr>
        <w:pageBreakBefore w:val="0"/>
        <w:kinsoku/>
        <w:wordWrap/>
        <w:overflowPunct/>
        <w:bidi w:val="0"/>
        <w:spacing w:line="600" w:lineRule="exact"/>
        <w:jc w:val="center"/>
        <w:textAlignment w:val="auto"/>
        <w:outlineLvl w:val="0"/>
        <w:rPr>
          <w:rFonts w:hint="eastAsia" w:eastAsia="黑体"/>
          <w:sz w:val="44"/>
          <w:szCs w:val="44"/>
        </w:rPr>
      </w:pPr>
    </w:p>
    <w:p>
      <w:pPr>
        <w:pageBreakBefore w:val="0"/>
        <w:kinsoku/>
        <w:wordWrap/>
        <w:overflowPunct/>
        <w:bidi w:val="0"/>
        <w:spacing w:line="600" w:lineRule="exact"/>
        <w:jc w:val="center"/>
        <w:textAlignment w:val="auto"/>
        <w:outlineLvl w:val="0"/>
        <w:rPr>
          <w:rFonts w:hint="eastAsia" w:eastAsia="黑体"/>
          <w:sz w:val="44"/>
          <w:szCs w:val="44"/>
        </w:rPr>
      </w:pPr>
    </w:p>
    <w:p>
      <w:pPr>
        <w:pageBreakBefore w:val="0"/>
        <w:kinsoku/>
        <w:wordWrap/>
        <w:overflowPunct/>
        <w:bidi w:val="0"/>
        <w:spacing w:line="600" w:lineRule="exact"/>
        <w:jc w:val="center"/>
        <w:textAlignment w:val="auto"/>
        <w:outlineLvl w:val="0"/>
        <w:rPr>
          <w:rFonts w:hint="eastAsia" w:eastAsia="黑体"/>
          <w:sz w:val="44"/>
          <w:szCs w:val="44"/>
        </w:rPr>
      </w:pPr>
    </w:p>
    <w:p>
      <w:pPr>
        <w:pageBreakBefore w:val="0"/>
        <w:kinsoku/>
        <w:wordWrap/>
        <w:overflowPunct/>
        <w:bidi w:val="0"/>
        <w:spacing w:line="600" w:lineRule="exact"/>
        <w:jc w:val="center"/>
        <w:textAlignment w:val="auto"/>
        <w:outlineLvl w:val="0"/>
        <w:rPr>
          <w:rFonts w:hint="eastAsia" w:eastAsia="黑体"/>
          <w:sz w:val="44"/>
          <w:szCs w:val="44"/>
        </w:rPr>
      </w:pPr>
    </w:p>
    <w:p>
      <w:pPr>
        <w:pageBreakBefore w:val="0"/>
        <w:kinsoku/>
        <w:wordWrap/>
        <w:overflowPunct/>
        <w:bidi w:val="0"/>
        <w:spacing w:line="600" w:lineRule="exact"/>
        <w:jc w:val="center"/>
        <w:textAlignment w:val="auto"/>
        <w:outlineLvl w:val="0"/>
        <w:rPr>
          <w:rFonts w:hint="eastAsia" w:eastAsia="黑体"/>
          <w:sz w:val="44"/>
          <w:szCs w:val="44"/>
        </w:rPr>
      </w:pPr>
    </w:p>
    <w:p>
      <w:pPr>
        <w:pageBreakBefore w:val="0"/>
        <w:kinsoku/>
        <w:wordWrap/>
        <w:overflowPunct/>
        <w:bidi w:val="0"/>
        <w:spacing w:line="600" w:lineRule="exact"/>
        <w:jc w:val="center"/>
        <w:textAlignment w:val="auto"/>
        <w:outlineLvl w:val="0"/>
        <w:rPr>
          <w:rFonts w:hint="eastAsia" w:eastAsia="黑体"/>
          <w:sz w:val="44"/>
          <w:szCs w:val="44"/>
        </w:rPr>
      </w:pPr>
    </w:p>
    <w:p>
      <w:pPr>
        <w:pageBreakBefore w:val="0"/>
        <w:kinsoku/>
        <w:wordWrap/>
        <w:overflowPunct/>
        <w:bidi w:val="0"/>
        <w:spacing w:line="600" w:lineRule="exact"/>
        <w:jc w:val="center"/>
        <w:textAlignment w:val="auto"/>
        <w:outlineLvl w:val="0"/>
        <w:rPr>
          <w:rFonts w:hint="eastAsia" w:eastAsia="黑体"/>
          <w:sz w:val="44"/>
          <w:szCs w:val="44"/>
        </w:rPr>
      </w:pPr>
    </w:p>
    <w:p>
      <w:pPr>
        <w:pStyle w:val="3"/>
        <w:bidi w:val="0"/>
        <w:jc w:val="center"/>
      </w:pPr>
      <w:bookmarkStart w:id="88" w:name="_Toc15414_WPSOffice_Level1"/>
      <w:r>
        <w:rPr>
          <w:rFonts w:hint="eastAsia"/>
        </w:rPr>
        <w:t>第三部分  名词解释</w:t>
      </w:r>
      <w:bookmarkEnd w:id="86"/>
      <w:bookmarkEnd w:id="87"/>
      <w:bookmarkEnd w:id="88"/>
    </w:p>
    <w:p>
      <w:pPr>
        <w:pageBreakBefore w:val="0"/>
        <w:kinsoku/>
        <w:wordWrap/>
        <w:overflowPunct/>
        <w:bidi w:val="0"/>
        <w:spacing w:line="600" w:lineRule="exact"/>
        <w:jc w:val="left"/>
        <w:textAlignment w:val="auto"/>
        <w:rPr>
          <w:b/>
          <w:sz w:val="44"/>
          <w:szCs w:val="44"/>
        </w:rPr>
      </w:pPr>
    </w:p>
    <w:p>
      <w:pPr>
        <w:pStyle w:val="30"/>
        <w:pageBreakBefore w:val="0"/>
        <w:kinsoku/>
        <w:wordWrap/>
        <w:overflowPunct/>
        <w:bidi w:val="0"/>
        <w:spacing w:line="560" w:lineRule="exact"/>
        <w:ind w:firstLine="640" w:firstLineChars="200"/>
        <w:textAlignment w:val="auto"/>
        <w:rPr>
          <w:rFonts w:hint="eastAsia" w:ascii="仿宋_GB2312" w:eastAsia="仿宋_GB2312"/>
          <w:sz w:val="32"/>
          <w:szCs w:val="32"/>
        </w:rPr>
      </w:pPr>
      <w:bookmarkStart w:id="89" w:name="_Toc15377226"/>
      <w:r>
        <w:rPr>
          <w:rFonts w:hint="eastAsia" w:ascii="仿宋_GB2312" w:eastAsia="仿宋_GB2312"/>
          <w:sz w:val="32"/>
          <w:szCs w:val="32"/>
        </w:rPr>
        <w:t>1.财政拨款收入：指单位从同级财政部门取得的财政预算资金。</w:t>
      </w:r>
    </w:p>
    <w:p>
      <w:pPr>
        <w:pageBreakBefore w:val="0"/>
        <w:kinsoku/>
        <w:wordWrap/>
        <w:overflowPunct/>
        <w:bidi w:val="0"/>
        <w:spacing w:line="600" w:lineRule="exact"/>
        <w:ind w:firstLine="640" w:firstLineChars="200"/>
        <w:textAlignment w:val="auto"/>
        <w:outlineLvl w:val="0"/>
        <w:rPr>
          <w:rStyle w:val="22"/>
          <w:rFonts w:hint="eastAsia" w:ascii="仿宋_GB2312" w:eastAsia="仿宋_GB2312"/>
          <w:b w:val="0"/>
          <w:color w:val="000000"/>
          <w:sz w:val="32"/>
          <w:szCs w:val="32"/>
        </w:rPr>
      </w:pPr>
      <w:r>
        <w:rPr>
          <w:rStyle w:val="22"/>
          <w:rFonts w:hint="eastAsia" w:ascii="仿宋_GB2312" w:eastAsia="仿宋_GB2312"/>
          <w:b w:val="0"/>
          <w:color w:val="000000"/>
          <w:sz w:val="32"/>
          <w:szCs w:val="32"/>
          <w:lang w:val="en-US" w:eastAsia="zh-CN"/>
        </w:rPr>
        <w:t>2</w:t>
      </w:r>
      <w:r>
        <w:rPr>
          <w:rStyle w:val="22"/>
          <w:rFonts w:hint="eastAsia" w:ascii="仿宋_GB2312" w:eastAsia="仿宋_GB2312"/>
          <w:b w:val="0"/>
          <w:color w:val="000000"/>
          <w:sz w:val="32"/>
          <w:szCs w:val="32"/>
        </w:rPr>
        <w:t>.公共安全支出（类）司法（款）</w:t>
      </w:r>
    </w:p>
    <w:p>
      <w:pPr>
        <w:pageBreakBefore w:val="0"/>
        <w:widowControl/>
        <w:shd w:val="clear" w:color="auto" w:fill="FFFFFF"/>
        <w:kinsoku/>
        <w:wordWrap/>
        <w:overflowPunct/>
        <w:bidi w:val="0"/>
        <w:spacing w:line="600" w:lineRule="atLeast"/>
        <w:ind w:firstLine="640" w:firstLineChars="200"/>
        <w:jc w:val="left"/>
        <w:textAlignment w:val="auto"/>
        <w:rPr>
          <w:rFonts w:hint="eastAsia" w:ascii="仿宋_GB2312" w:hAnsi="宋体" w:eastAsia="仿宋_GB2312" w:cs="宋体"/>
          <w:color w:val="333333"/>
          <w:kern w:val="0"/>
          <w:sz w:val="32"/>
          <w:szCs w:val="32"/>
        </w:rPr>
      </w:pPr>
      <w:r>
        <w:rPr>
          <w:rStyle w:val="22"/>
          <w:rFonts w:hint="eastAsia" w:ascii="仿宋_GB2312" w:eastAsia="仿宋_GB2312"/>
          <w:b w:val="0"/>
          <w:color w:val="000000"/>
          <w:sz w:val="32"/>
          <w:szCs w:val="32"/>
        </w:rPr>
        <w:t xml:space="preserve">①、行政运行: </w:t>
      </w:r>
      <w:r>
        <w:rPr>
          <w:rFonts w:hint="eastAsia" w:ascii="仿宋_GB2312" w:hAnsi="宋体" w:eastAsia="仿宋_GB2312" w:cs="宋体"/>
          <w:color w:val="000000"/>
          <w:kern w:val="0"/>
          <w:sz w:val="32"/>
          <w:szCs w:val="32"/>
        </w:rPr>
        <w:t>指行政单位（包括实行公务员管理的事业单位）的基本支出。</w:t>
      </w:r>
    </w:p>
    <w:p>
      <w:pPr>
        <w:pageBreakBefore w:val="0"/>
        <w:kinsoku/>
        <w:wordWrap/>
        <w:overflowPunct/>
        <w:bidi w:val="0"/>
        <w:spacing w:line="600" w:lineRule="exact"/>
        <w:ind w:firstLine="640" w:firstLineChars="200"/>
        <w:textAlignment w:val="auto"/>
        <w:rPr>
          <w:rStyle w:val="22"/>
          <w:rFonts w:hint="default" w:ascii="仿宋_GB2312" w:eastAsia="仿宋_GB2312"/>
          <w:b w:val="0"/>
          <w:color w:val="000000"/>
          <w:sz w:val="32"/>
          <w:szCs w:val="32"/>
          <w:lang w:val="en-US" w:eastAsia="zh-CN"/>
        </w:rPr>
      </w:pPr>
      <w:r>
        <w:rPr>
          <w:rStyle w:val="22"/>
          <w:rFonts w:hint="eastAsia" w:ascii="仿宋_GB2312" w:eastAsia="仿宋_GB2312"/>
          <w:b w:val="0"/>
          <w:color w:val="000000"/>
          <w:sz w:val="32"/>
          <w:szCs w:val="32"/>
        </w:rPr>
        <w:t>②、</w:t>
      </w:r>
      <w:r>
        <w:rPr>
          <w:rStyle w:val="22"/>
          <w:rFonts w:hint="eastAsia" w:ascii="仿宋_GB2312" w:eastAsia="仿宋_GB2312"/>
          <w:b w:val="0"/>
          <w:color w:val="000000"/>
          <w:sz w:val="32"/>
          <w:szCs w:val="32"/>
          <w:lang w:val="en-US" w:eastAsia="zh-CN"/>
        </w:rPr>
        <w:t>公共法律服务</w:t>
      </w:r>
      <w:r>
        <w:rPr>
          <w:rStyle w:val="22"/>
          <w:rFonts w:hint="eastAsia" w:ascii="仿宋_GB2312" w:eastAsia="仿宋_GB2312"/>
          <w:b w:val="0"/>
          <w:color w:val="000000"/>
          <w:sz w:val="32"/>
          <w:szCs w:val="32"/>
        </w:rPr>
        <w:t>：指</w:t>
      </w:r>
      <w:r>
        <w:rPr>
          <w:rStyle w:val="22"/>
          <w:rFonts w:hint="eastAsia" w:ascii="仿宋_GB2312" w:eastAsia="仿宋_GB2312"/>
          <w:b w:val="0"/>
          <w:color w:val="000000"/>
          <w:sz w:val="32"/>
          <w:szCs w:val="32"/>
          <w:lang w:val="en-US" w:eastAsia="zh-CN"/>
        </w:rPr>
        <w:t>司法行政部门用于法律援助、司法鉴定、公证、仲裁等公共法律服务工作的相关支出。</w:t>
      </w:r>
    </w:p>
    <w:p>
      <w:pPr>
        <w:pageBreakBefore w:val="0"/>
        <w:kinsoku/>
        <w:wordWrap/>
        <w:overflowPunct/>
        <w:bidi w:val="0"/>
        <w:spacing w:line="600" w:lineRule="exact"/>
        <w:ind w:firstLine="640" w:firstLineChars="200"/>
        <w:textAlignment w:val="auto"/>
        <w:rPr>
          <w:rStyle w:val="22"/>
          <w:rFonts w:hint="eastAsia" w:ascii="仿宋_GB2312" w:eastAsia="仿宋_GB2312"/>
          <w:b w:val="0"/>
          <w:color w:val="000000"/>
          <w:sz w:val="32"/>
          <w:szCs w:val="32"/>
        </w:rPr>
      </w:pPr>
      <w:r>
        <w:rPr>
          <w:rStyle w:val="22"/>
          <w:rFonts w:hint="eastAsia" w:ascii="仿宋_GB2312" w:eastAsia="仿宋_GB2312"/>
          <w:b w:val="0"/>
          <w:color w:val="000000"/>
          <w:sz w:val="32"/>
          <w:szCs w:val="32"/>
        </w:rPr>
        <w:t>③、基层司法业务：指各级司法行政部门用于基层业务的支出，包括基层工作指导费、调解费、安置帮教费、司法所经费和公共法律服务平台相关支出、人民陪审员选任管理费用、人民监督员选任管理费用支出。</w:t>
      </w:r>
    </w:p>
    <w:p>
      <w:pPr>
        <w:pageBreakBefore w:val="0"/>
        <w:kinsoku/>
        <w:wordWrap/>
        <w:overflowPunct/>
        <w:bidi w:val="0"/>
        <w:spacing w:line="600" w:lineRule="exact"/>
        <w:ind w:firstLine="640" w:firstLineChars="200"/>
        <w:textAlignment w:val="auto"/>
        <w:rPr>
          <w:rStyle w:val="22"/>
          <w:rFonts w:hint="eastAsia" w:ascii="仿宋_GB2312" w:eastAsia="仿宋_GB2312"/>
          <w:b w:val="0"/>
          <w:color w:val="000000"/>
          <w:sz w:val="32"/>
          <w:szCs w:val="32"/>
        </w:rPr>
      </w:pPr>
      <w:r>
        <w:rPr>
          <w:rStyle w:val="22"/>
          <w:rFonts w:hint="eastAsia" w:ascii="仿宋_GB2312" w:eastAsia="仿宋_GB2312"/>
          <w:b w:val="0"/>
          <w:color w:val="000000"/>
          <w:sz w:val="32"/>
          <w:szCs w:val="32"/>
        </w:rPr>
        <w:t>④、社区矫正：指各级司法行政部门用于社区的支出。</w:t>
      </w:r>
    </w:p>
    <w:p>
      <w:pPr>
        <w:pageBreakBefore w:val="0"/>
        <w:kinsoku/>
        <w:wordWrap/>
        <w:overflowPunct/>
        <w:bidi w:val="0"/>
        <w:spacing w:line="600" w:lineRule="exact"/>
        <w:ind w:firstLine="640" w:firstLineChars="200"/>
        <w:textAlignment w:val="auto"/>
        <w:rPr>
          <w:rStyle w:val="22"/>
          <w:rFonts w:hint="eastAsia" w:ascii="仿宋_GB2312" w:eastAsia="仿宋_GB2312"/>
          <w:b w:val="0"/>
          <w:color w:val="000000"/>
          <w:sz w:val="32"/>
          <w:szCs w:val="32"/>
        </w:rPr>
      </w:pPr>
      <w:r>
        <w:rPr>
          <w:rStyle w:val="22"/>
          <w:rFonts w:hint="eastAsia" w:ascii="仿宋_GB2312" w:eastAsia="仿宋_GB2312"/>
          <w:b w:val="0"/>
          <w:color w:val="000000"/>
          <w:sz w:val="32"/>
          <w:szCs w:val="32"/>
        </w:rPr>
        <w:t>⑤、</w:t>
      </w:r>
      <w:r>
        <w:rPr>
          <w:rStyle w:val="22"/>
          <w:rFonts w:hint="eastAsia" w:ascii="仿宋_GB2312" w:eastAsia="仿宋_GB2312"/>
          <w:b w:val="0"/>
          <w:color w:val="000000"/>
          <w:sz w:val="32"/>
          <w:szCs w:val="32"/>
          <w:lang w:eastAsia="zh-CN"/>
        </w:rPr>
        <w:t>其他司法支出</w:t>
      </w:r>
      <w:r>
        <w:rPr>
          <w:rStyle w:val="22"/>
          <w:rFonts w:hint="eastAsia" w:ascii="仿宋_GB2312" w:eastAsia="仿宋_GB2312"/>
          <w:b w:val="0"/>
          <w:color w:val="000000"/>
          <w:sz w:val="32"/>
          <w:szCs w:val="32"/>
        </w:rPr>
        <w:t>：</w:t>
      </w:r>
      <w:r>
        <w:rPr>
          <w:rStyle w:val="22"/>
          <w:rFonts w:hint="eastAsia" w:ascii="仿宋_GB2312" w:eastAsia="仿宋_GB2312"/>
          <w:b w:val="0"/>
          <w:color w:val="000000"/>
          <w:sz w:val="32"/>
          <w:szCs w:val="32"/>
          <w:lang w:eastAsia="zh-CN"/>
        </w:rPr>
        <w:t>反映除上述项目以外其他用于司法方面的支出</w:t>
      </w:r>
      <w:r>
        <w:rPr>
          <w:rStyle w:val="22"/>
          <w:rFonts w:hint="eastAsia" w:ascii="仿宋_GB2312" w:eastAsia="仿宋_GB2312"/>
          <w:b w:val="0"/>
          <w:color w:val="000000"/>
          <w:sz w:val="32"/>
          <w:szCs w:val="32"/>
        </w:rPr>
        <w:t>。</w:t>
      </w:r>
    </w:p>
    <w:p>
      <w:pPr>
        <w:pageBreakBefore w:val="0"/>
        <w:kinsoku/>
        <w:wordWrap/>
        <w:overflowPunct/>
        <w:bidi w:val="0"/>
        <w:spacing w:line="600" w:lineRule="exact"/>
        <w:ind w:firstLine="640" w:firstLineChars="200"/>
        <w:textAlignment w:val="auto"/>
        <w:rPr>
          <w:rFonts w:hint="eastAsia"/>
        </w:rPr>
      </w:pPr>
      <w:r>
        <w:rPr>
          <w:rStyle w:val="22"/>
          <w:rFonts w:hint="eastAsia" w:ascii="仿宋_GB2312" w:eastAsia="仿宋_GB2312"/>
          <w:b w:val="0"/>
          <w:color w:val="000000"/>
          <w:sz w:val="32"/>
          <w:szCs w:val="32"/>
          <w:lang w:val="en-US" w:eastAsia="zh-CN"/>
        </w:rPr>
        <w:t>3.</w:t>
      </w:r>
      <w:r>
        <w:rPr>
          <w:rStyle w:val="22"/>
          <w:rFonts w:hint="eastAsia" w:ascii="仿宋_GB2312" w:eastAsia="仿宋_GB2312"/>
          <w:b w:val="0"/>
          <w:color w:val="000000"/>
          <w:sz w:val="32"/>
          <w:szCs w:val="32"/>
        </w:rPr>
        <w:t>公共安全支出（类）</w:t>
      </w:r>
      <w:r>
        <w:rPr>
          <w:rStyle w:val="22"/>
          <w:rFonts w:hint="eastAsia" w:ascii="仿宋_GB2312" w:eastAsia="仿宋_GB2312"/>
          <w:b w:val="0"/>
          <w:color w:val="000000"/>
          <w:sz w:val="32"/>
          <w:szCs w:val="32"/>
          <w:lang w:eastAsia="zh-CN"/>
        </w:rPr>
        <w:t>其他</w:t>
      </w:r>
      <w:r>
        <w:rPr>
          <w:rStyle w:val="22"/>
          <w:rFonts w:hint="eastAsia" w:ascii="仿宋_GB2312" w:eastAsia="仿宋_GB2312"/>
          <w:b w:val="0"/>
          <w:color w:val="000000"/>
          <w:sz w:val="32"/>
          <w:szCs w:val="32"/>
        </w:rPr>
        <w:t>公共安全支出（款）</w:t>
      </w:r>
      <w:r>
        <w:rPr>
          <w:rStyle w:val="22"/>
          <w:rFonts w:hint="eastAsia" w:ascii="仿宋_GB2312" w:eastAsia="仿宋_GB2312"/>
          <w:b w:val="0"/>
          <w:color w:val="000000"/>
          <w:sz w:val="32"/>
          <w:szCs w:val="32"/>
          <w:lang w:eastAsia="zh-CN"/>
        </w:rPr>
        <w:t>其他</w:t>
      </w:r>
      <w:r>
        <w:rPr>
          <w:rStyle w:val="22"/>
          <w:rFonts w:hint="eastAsia" w:ascii="仿宋_GB2312" w:eastAsia="仿宋_GB2312"/>
          <w:b w:val="0"/>
          <w:color w:val="000000"/>
          <w:sz w:val="32"/>
          <w:szCs w:val="32"/>
        </w:rPr>
        <w:t>公共安全支出</w:t>
      </w:r>
      <w:r>
        <w:rPr>
          <w:rStyle w:val="22"/>
          <w:rFonts w:hint="eastAsia" w:ascii="仿宋_GB2312" w:eastAsia="仿宋_GB2312"/>
          <w:b w:val="0"/>
          <w:color w:val="000000"/>
          <w:sz w:val="32"/>
          <w:szCs w:val="32"/>
          <w:lang w:eastAsia="zh-CN"/>
        </w:rPr>
        <w:t>（项）：反映除上述项目以外其他用于</w:t>
      </w:r>
      <w:r>
        <w:rPr>
          <w:rStyle w:val="22"/>
          <w:rFonts w:hint="eastAsia" w:ascii="仿宋_GB2312" w:eastAsia="仿宋_GB2312"/>
          <w:b w:val="0"/>
          <w:color w:val="000000"/>
          <w:sz w:val="32"/>
          <w:szCs w:val="32"/>
        </w:rPr>
        <w:t>公共安全支出</w:t>
      </w:r>
      <w:r>
        <w:rPr>
          <w:rStyle w:val="22"/>
          <w:rFonts w:hint="eastAsia" w:ascii="仿宋_GB2312" w:eastAsia="仿宋_GB2312"/>
          <w:b w:val="0"/>
          <w:color w:val="000000"/>
          <w:sz w:val="32"/>
          <w:szCs w:val="32"/>
          <w:lang w:eastAsia="zh-CN"/>
        </w:rPr>
        <w:t>方面的支出</w:t>
      </w:r>
      <w:r>
        <w:rPr>
          <w:rStyle w:val="22"/>
          <w:rFonts w:hint="eastAsia" w:ascii="仿宋_GB2312" w:eastAsia="仿宋_GB2312"/>
          <w:b w:val="0"/>
          <w:color w:val="000000"/>
          <w:sz w:val="32"/>
          <w:szCs w:val="32"/>
        </w:rPr>
        <w:t>。</w:t>
      </w:r>
    </w:p>
    <w:p>
      <w:pPr>
        <w:pageBreakBefore w:val="0"/>
        <w:kinsoku/>
        <w:wordWrap/>
        <w:overflowPunct/>
        <w:bidi w:val="0"/>
        <w:spacing w:line="600" w:lineRule="exact"/>
        <w:ind w:firstLine="640" w:firstLineChars="200"/>
        <w:textAlignment w:val="auto"/>
        <w:rPr>
          <w:rStyle w:val="22"/>
          <w:rFonts w:hint="eastAsia" w:ascii="仿宋_GB2312" w:eastAsia="仿宋_GB2312"/>
          <w:b w:val="0"/>
          <w:color w:val="000000"/>
          <w:sz w:val="32"/>
          <w:szCs w:val="32"/>
        </w:rPr>
      </w:pPr>
      <w:r>
        <w:rPr>
          <w:rStyle w:val="22"/>
          <w:rFonts w:hint="eastAsia" w:ascii="仿宋_GB2312" w:eastAsia="仿宋_GB2312"/>
          <w:b w:val="0"/>
          <w:color w:val="000000"/>
          <w:sz w:val="32"/>
          <w:szCs w:val="32"/>
          <w:lang w:val="en-US" w:eastAsia="zh-CN"/>
        </w:rPr>
        <w:t>4</w:t>
      </w:r>
      <w:r>
        <w:rPr>
          <w:rStyle w:val="22"/>
          <w:rFonts w:hint="eastAsia" w:ascii="仿宋_GB2312" w:eastAsia="仿宋_GB2312"/>
          <w:b w:val="0"/>
          <w:color w:val="000000"/>
          <w:sz w:val="32"/>
          <w:szCs w:val="32"/>
        </w:rPr>
        <w:t xml:space="preserve">.社会保障和就业（类）行政事业单位离退休（款）  </w:t>
      </w:r>
    </w:p>
    <w:p>
      <w:pPr>
        <w:pageBreakBefore w:val="0"/>
        <w:kinsoku/>
        <w:wordWrap/>
        <w:overflowPunct/>
        <w:bidi w:val="0"/>
        <w:spacing w:line="600" w:lineRule="exact"/>
        <w:ind w:firstLine="640" w:firstLineChars="200"/>
        <w:textAlignment w:val="auto"/>
        <w:rPr>
          <w:rStyle w:val="22"/>
          <w:rFonts w:hint="eastAsia" w:ascii="仿宋_GB2312" w:eastAsia="仿宋_GB2312"/>
          <w:b w:val="0"/>
          <w:color w:val="000000"/>
          <w:sz w:val="32"/>
          <w:szCs w:val="32"/>
        </w:rPr>
      </w:pPr>
      <w:r>
        <w:rPr>
          <w:rStyle w:val="22"/>
          <w:rFonts w:hint="eastAsia" w:ascii="仿宋_GB2312" w:eastAsia="仿宋_GB2312"/>
          <w:b w:val="0"/>
          <w:color w:val="000000"/>
          <w:sz w:val="32"/>
          <w:szCs w:val="32"/>
        </w:rPr>
        <w:t>①、行政单位离退休: 指行政单位（包括实行公务员管理的事业单位）开支的离退休支出。</w:t>
      </w:r>
    </w:p>
    <w:p>
      <w:pPr>
        <w:pageBreakBefore w:val="0"/>
        <w:kinsoku/>
        <w:wordWrap/>
        <w:overflowPunct/>
        <w:bidi w:val="0"/>
        <w:spacing w:line="600" w:lineRule="exact"/>
        <w:ind w:firstLine="640" w:firstLineChars="200"/>
        <w:textAlignment w:val="auto"/>
        <w:rPr>
          <w:rStyle w:val="22"/>
          <w:rFonts w:hint="eastAsia" w:ascii="仿宋_GB2312" w:eastAsia="仿宋_GB2312"/>
          <w:b w:val="0"/>
          <w:color w:val="000000"/>
          <w:sz w:val="32"/>
          <w:szCs w:val="32"/>
          <w:lang w:eastAsia="zh-CN"/>
        </w:rPr>
      </w:pPr>
      <w:r>
        <w:rPr>
          <w:rFonts w:hint="eastAsia" w:ascii="仿宋_GB2312" w:eastAsia="仿宋_GB2312"/>
          <w:color w:val="000000"/>
          <w:sz w:val="32"/>
          <w:szCs w:val="32"/>
        </w:rPr>
        <w:t>②、机关事业单位基本养老保险缴费支出：</w:t>
      </w:r>
      <w:r>
        <w:rPr>
          <w:rStyle w:val="22"/>
          <w:rFonts w:hint="eastAsia" w:ascii="仿宋_GB2312" w:eastAsia="仿宋_GB2312"/>
          <w:b w:val="0"/>
          <w:color w:val="000000"/>
          <w:sz w:val="32"/>
          <w:szCs w:val="32"/>
        </w:rPr>
        <w:t>指机关事业单位实施养老保险制度有单位缴纳的基本养老保险费支出</w:t>
      </w:r>
      <w:r>
        <w:rPr>
          <w:rStyle w:val="22"/>
          <w:rFonts w:hint="eastAsia" w:ascii="仿宋_GB2312" w:eastAsia="仿宋_GB2312"/>
          <w:b w:val="0"/>
          <w:color w:val="000000"/>
          <w:sz w:val="32"/>
          <w:szCs w:val="32"/>
          <w:lang w:eastAsia="zh-CN"/>
        </w:rPr>
        <w:t>。</w:t>
      </w:r>
    </w:p>
    <w:p>
      <w:pPr>
        <w:pStyle w:val="6"/>
        <w:pageBreakBefore w:val="0"/>
        <w:kinsoku/>
        <w:wordWrap/>
        <w:overflowPunct/>
        <w:bidi w:val="0"/>
        <w:ind w:firstLine="640" w:firstLineChars="200"/>
        <w:textAlignment w:val="auto"/>
        <w:rPr>
          <w:rFonts w:hint="eastAsia" w:ascii="仿宋_GB2312" w:eastAsia="仿宋_GB2312"/>
          <w:color w:val="000000"/>
          <w:sz w:val="32"/>
          <w:szCs w:val="32"/>
          <w:lang w:eastAsia="zh-CN"/>
        </w:rPr>
      </w:pPr>
      <w:r>
        <w:rPr>
          <w:rStyle w:val="22"/>
          <w:rFonts w:hint="eastAsia" w:ascii="仿宋_GB2312" w:eastAsia="仿宋_GB2312"/>
          <w:b w:val="0"/>
          <w:color w:val="000000"/>
          <w:sz w:val="32"/>
          <w:szCs w:val="32"/>
        </w:rPr>
        <w:t>③、</w:t>
      </w:r>
      <w:r>
        <w:rPr>
          <w:rFonts w:hint="eastAsia" w:ascii="仿宋_GB2312" w:eastAsia="仿宋_GB2312"/>
          <w:color w:val="000000"/>
          <w:sz w:val="32"/>
          <w:szCs w:val="32"/>
        </w:rPr>
        <w:t>机关事业单位</w:t>
      </w:r>
      <w:r>
        <w:rPr>
          <w:rFonts w:hint="eastAsia" w:ascii="仿宋_GB2312" w:eastAsia="仿宋_GB2312"/>
          <w:color w:val="000000"/>
          <w:sz w:val="32"/>
          <w:szCs w:val="32"/>
          <w:lang w:eastAsia="zh-CN"/>
        </w:rPr>
        <w:t>职业年金</w:t>
      </w:r>
      <w:r>
        <w:rPr>
          <w:rFonts w:hint="eastAsia" w:ascii="仿宋_GB2312" w:eastAsia="仿宋_GB2312"/>
          <w:color w:val="000000"/>
          <w:sz w:val="32"/>
          <w:szCs w:val="32"/>
        </w:rPr>
        <w:t>缴费支出</w:t>
      </w:r>
      <w:r>
        <w:rPr>
          <w:rFonts w:hint="eastAsia" w:ascii="仿宋_GB2312" w:eastAsia="仿宋_GB2312"/>
          <w:color w:val="000000"/>
          <w:sz w:val="32"/>
          <w:szCs w:val="32"/>
          <w:lang w:eastAsia="zh-CN"/>
        </w:rPr>
        <w:t>：指机关事业单位实施养老保险制度由单位实际缴纳的职业年金。</w:t>
      </w:r>
    </w:p>
    <w:p>
      <w:pPr>
        <w:pageBreakBefore w:val="0"/>
        <w:kinsoku/>
        <w:wordWrap/>
        <w:overflowPunct/>
        <w:bidi w:val="0"/>
        <w:spacing w:line="560" w:lineRule="exact"/>
        <w:ind w:firstLine="640" w:firstLineChars="200"/>
        <w:textAlignment w:val="auto"/>
        <w:rPr>
          <w:rFonts w:hint="eastAsia"/>
          <w:lang w:eastAsia="zh-CN"/>
        </w:rPr>
      </w:pPr>
      <w:r>
        <w:rPr>
          <w:rFonts w:hint="eastAsia" w:ascii="仿宋_GB2312" w:hAnsi="仿宋_GB2312" w:eastAsia="仿宋_GB2312" w:cs="仿宋_GB2312"/>
          <w:b w:val="0"/>
          <w:bCs w:val="0"/>
          <w:sz w:val="32"/>
          <w:szCs w:val="32"/>
          <w:lang w:val="en-US" w:eastAsia="zh-CN"/>
        </w:rPr>
        <w:t>5.</w:t>
      </w:r>
      <w:r>
        <w:rPr>
          <w:rFonts w:hint="eastAsia" w:ascii="仿宋_GB2312" w:hAnsi="仿宋_GB2312" w:eastAsia="仿宋_GB2312" w:cs="仿宋_GB2312"/>
          <w:b w:val="0"/>
          <w:bCs w:val="0"/>
          <w:sz w:val="32"/>
          <w:szCs w:val="32"/>
        </w:rPr>
        <w:t>社会保障和就业（类）抚恤（款）死亡抚恤（项）</w:t>
      </w:r>
      <w:r>
        <w:rPr>
          <w:rFonts w:ascii="Times New Roman" w:hAnsi="Times New Roman" w:eastAsia="仿宋_GB2312"/>
          <w:sz w:val="32"/>
          <w:szCs w:val="32"/>
        </w:rPr>
        <w:t>指按规定用于烈士和牺牲、病故人员家属的一次性和定期抚恤金、丧葬补助费以及烈士褒扬金。</w:t>
      </w:r>
    </w:p>
    <w:p>
      <w:pPr>
        <w:pageBreakBefore w:val="0"/>
        <w:kinsoku/>
        <w:wordWrap/>
        <w:overflowPunct/>
        <w:bidi w:val="0"/>
        <w:spacing w:line="600" w:lineRule="exact"/>
        <w:ind w:firstLine="640" w:firstLineChars="200"/>
        <w:textAlignment w:val="auto"/>
        <w:rPr>
          <w:rStyle w:val="22"/>
          <w:rFonts w:hint="eastAsia" w:ascii="仿宋_GB2312" w:eastAsia="仿宋_GB2312"/>
          <w:b w:val="0"/>
          <w:color w:val="000000"/>
          <w:sz w:val="32"/>
          <w:szCs w:val="32"/>
        </w:rPr>
      </w:pPr>
      <w:r>
        <w:rPr>
          <w:rStyle w:val="22"/>
          <w:rFonts w:hint="eastAsia" w:ascii="仿宋_GB2312" w:eastAsia="仿宋_GB2312"/>
          <w:b w:val="0"/>
          <w:color w:val="000000"/>
          <w:sz w:val="32"/>
          <w:szCs w:val="32"/>
          <w:lang w:val="en-US" w:eastAsia="zh-CN"/>
        </w:rPr>
        <w:t>6</w:t>
      </w:r>
      <w:r>
        <w:rPr>
          <w:rStyle w:val="22"/>
          <w:rFonts w:hint="eastAsia" w:ascii="仿宋_GB2312" w:eastAsia="仿宋_GB2312"/>
          <w:b w:val="0"/>
          <w:color w:val="000000"/>
          <w:sz w:val="32"/>
          <w:szCs w:val="32"/>
        </w:rPr>
        <w:t>、住房保障支出（类）住房改革支出（款）住房公积金（项）：指行政事业单位按人力资源和社会保障部、财政部规定的基本工资和津贴补贴以及规定比例为职工缴纳的住房公积金。</w:t>
      </w:r>
    </w:p>
    <w:p>
      <w:pPr>
        <w:pStyle w:val="6"/>
        <w:pageBreakBefore w:val="0"/>
        <w:kinsoku/>
        <w:wordWrap/>
        <w:overflowPunct/>
        <w:bidi w:val="0"/>
        <w:spacing w:line="560" w:lineRule="exact"/>
        <w:ind w:firstLine="640" w:firstLineChars="200"/>
        <w:textAlignment w:val="auto"/>
        <w:rPr>
          <w:rFonts w:eastAsia="仿宋_GB2312"/>
          <w:b w:val="0"/>
          <w:bCs/>
          <w:sz w:val="32"/>
          <w:szCs w:val="32"/>
        </w:rPr>
      </w:pPr>
      <w:r>
        <w:rPr>
          <w:rFonts w:hint="eastAsia" w:eastAsia="仿宋_GB2312"/>
          <w:b w:val="0"/>
          <w:bCs/>
          <w:sz w:val="32"/>
          <w:szCs w:val="32"/>
          <w:lang w:val="en-US" w:eastAsia="zh-CN"/>
        </w:rPr>
        <w:t>7</w:t>
      </w:r>
      <w:r>
        <w:rPr>
          <w:rFonts w:eastAsia="仿宋_GB2312"/>
          <w:b w:val="0"/>
          <w:bCs/>
          <w:sz w:val="32"/>
          <w:szCs w:val="32"/>
        </w:rPr>
        <w:t>.卫生健康支出（类）</w:t>
      </w:r>
      <w:r>
        <w:rPr>
          <w:rFonts w:hint="eastAsia" w:eastAsia="仿宋_GB2312"/>
          <w:b w:val="0"/>
          <w:bCs/>
          <w:sz w:val="32"/>
          <w:szCs w:val="32"/>
          <w:lang w:eastAsia="zh-CN"/>
        </w:rPr>
        <w:t>行政事业单位医疗</w:t>
      </w:r>
      <w:r>
        <w:rPr>
          <w:rFonts w:eastAsia="仿宋_GB2312"/>
          <w:b w:val="0"/>
          <w:bCs/>
          <w:sz w:val="32"/>
          <w:szCs w:val="32"/>
        </w:rPr>
        <w:t>（款）</w:t>
      </w:r>
    </w:p>
    <w:p>
      <w:pPr>
        <w:pageBreakBefore w:val="0"/>
        <w:kinsoku/>
        <w:wordWrap/>
        <w:overflowPunct/>
        <w:bidi w:val="0"/>
        <w:textAlignment w:val="auto"/>
        <w:rPr>
          <w:rFonts w:hint="default" w:eastAsia="仿宋_GB2312"/>
          <w:b w:val="0"/>
          <w:bCs/>
          <w:lang w:val="en-US" w:eastAsia="zh-CN"/>
        </w:rPr>
      </w:pPr>
      <w:r>
        <w:rPr>
          <w:rFonts w:hint="eastAsia" w:eastAsia="仿宋_GB2312"/>
          <w:b/>
          <w:sz w:val="32"/>
          <w:szCs w:val="32"/>
          <w:lang w:val="en-US" w:eastAsia="zh-CN"/>
        </w:rPr>
        <w:t xml:space="preserve">   </w:t>
      </w:r>
      <w:r>
        <w:rPr>
          <w:rFonts w:hint="eastAsia" w:eastAsia="仿宋_GB2312"/>
          <w:b w:val="0"/>
          <w:bCs/>
          <w:sz w:val="32"/>
          <w:szCs w:val="32"/>
          <w:lang w:val="en-US" w:eastAsia="zh-CN"/>
        </w:rPr>
        <w:t xml:space="preserve"> </w:t>
      </w:r>
      <w:r>
        <w:rPr>
          <w:rStyle w:val="22"/>
          <w:rFonts w:hint="eastAsia" w:ascii="仿宋_GB2312" w:eastAsia="仿宋_GB2312"/>
          <w:b w:val="0"/>
          <w:color w:val="000000"/>
          <w:sz w:val="32"/>
          <w:szCs w:val="32"/>
        </w:rPr>
        <w:t>①、</w:t>
      </w:r>
      <w:r>
        <w:rPr>
          <w:rFonts w:hint="eastAsia" w:eastAsia="仿宋_GB2312"/>
          <w:b w:val="0"/>
          <w:bCs/>
          <w:sz w:val="32"/>
          <w:szCs w:val="32"/>
          <w:lang w:val="en-US" w:eastAsia="zh-CN"/>
        </w:rPr>
        <w:t>行政单位医疗：指财政部门安排的行政单位（包括实行公务员管理的事业单位，下同）基本医疗保险缴费经费，未参加医疗保险的行政单位的公费医疗经费，按国家规定享受离休人员、红军老战士待遇人员的医疗经费。</w:t>
      </w:r>
    </w:p>
    <w:p>
      <w:pPr>
        <w:pageBreakBefore w:val="0"/>
        <w:kinsoku/>
        <w:wordWrap/>
        <w:overflowPunct/>
        <w:bidi w:val="0"/>
        <w:textAlignment w:val="auto"/>
        <w:rPr>
          <w:rFonts w:hint="eastAsia"/>
          <w:b w:val="0"/>
          <w:bCs/>
          <w:sz w:val="32"/>
          <w:szCs w:val="32"/>
          <w:lang w:val="en-US" w:eastAsia="zh-CN"/>
        </w:rPr>
      </w:pPr>
      <w:r>
        <w:rPr>
          <w:rFonts w:hint="eastAsia" w:eastAsia="仿宋_GB2312"/>
          <w:b/>
          <w:sz w:val="32"/>
          <w:szCs w:val="32"/>
          <w:lang w:val="en-US" w:eastAsia="zh-CN"/>
        </w:rPr>
        <w:t xml:space="preserve">    </w:t>
      </w:r>
      <w:r>
        <w:rPr>
          <w:rFonts w:hint="eastAsia" w:ascii="方正仿宋_GBK" w:hAnsi="方正仿宋_GBK" w:eastAsia="方正仿宋_GBK" w:cs="方正仿宋_GBK"/>
          <w:color w:val="auto"/>
          <w:kern w:val="2"/>
          <w:sz w:val="33"/>
          <w:szCs w:val="33"/>
          <w:lang w:val="en-US" w:eastAsia="zh-CN" w:bidi="ar-SA"/>
        </w:rPr>
        <w:t>②、公务员医疗补助：指财政部门安排的公务员医疗补助经费。</w:t>
      </w:r>
    </w:p>
    <w:p>
      <w:pPr>
        <w:pageBreakBefore w:val="0"/>
        <w:kinsoku/>
        <w:wordWrap/>
        <w:overflowPunct/>
        <w:bidi w:val="0"/>
        <w:spacing w:line="560" w:lineRule="exact"/>
        <w:ind w:firstLine="640" w:firstLineChars="200"/>
        <w:textAlignment w:val="auto"/>
        <w:rPr>
          <w:rFonts w:hint="eastAsia" w:ascii="方正仿宋_GBK" w:hAnsi="方正仿宋_GBK" w:eastAsia="方正仿宋_GBK" w:cs="方正仿宋_GBK"/>
          <w:color w:val="auto"/>
          <w:kern w:val="2"/>
          <w:sz w:val="33"/>
          <w:szCs w:val="33"/>
          <w:lang w:val="en-US" w:eastAsia="zh-CN" w:bidi="ar-SA"/>
        </w:rPr>
      </w:pPr>
      <w:r>
        <w:rPr>
          <w:rStyle w:val="22"/>
          <w:rFonts w:hint="eastAsia" w:ascii="仿宋_GB2312" w:eastAsia="仿宋_GB2312"/>
          <w:b w:val="0"/>
          <w:color w:val="000000"/>
          <w:sz w:val="32"/>
          <w:szCs w:val="32"/>
        </w:rPr>
        <w:t>③、</w:t>
      </w:r>
      <w:r>
        <w:rPr>
          <w:rFonts w:hint="eastAsia" w:ascii="方正仿宋_GBK" w:hAnsi="方正仿宋_GBK" w:eastAsia="方正仿宋_GBK" w:cs="方正仿宋_GBK"/>
          <w:color w:val="auto"/>
          <w:kern w:val="2"/>
          <w:sz w:val="33"/>
          <w:szCs w:val="33"/>
          <w:lang w:val="en-US" w:eastAsia="zh-CN" w:bidi="ar-SA"/>
        </w:rPr>
        <w:t>其他行政事业单位医疗支出：指除上述项目以外的其他用于行政事业单位医疗方面的支出。</w:t>
      </w:r>
    </w:p>
    <w:p>
      <w:pPr>
        <w:pageBreakBefore w:val="0"/>
        <w:kinsoku/>
        <w:wordWrap/>
        <w:overflowPunct/>
        <w:bidi w:val="0"/>
        <w:ind w:firstLine="640" w:firstLineChars="200"/>
        <w:textAlignment w:val="auto"/>
        <w:rPr>
          <w:rFonts w:hint="eastAsia" w:ascii="仿宋_GB2312" w:eastAsia="仿宋_GB2312"/>
          <w:color w:val="000000"/>
          <w:sz w:val="32"/>
          <w:szCs w:val="32"/>
        </w:rPr>
      </w:pPr>
      <w:r>
        <w:rPr>
          <w:rFonts w:hint="eastAsia" w:ascii="仿宋_GB2312" w:eastAsia="仿宋_GB2312"/>
          <w:color w:val="000000"/>
          <w:sz w:val="32"/>
          <w:szCs w:val="32"/>
          <w:lang w:val="en-US" w:eastAsia="zh-CN"/>
        </w:rPr>
        <w:t>8</w:t>
      </w:r>
      <w:r>
        <w:rPr>
          <w:rFonts w:hint="eastAsia" w:ascii="仿宋_GB2312" w:eastAsia="仿宋_GB2312"/>
          <w:color w:val="000000"/>
          <w:sz w:val="32"/>
          <w:szCs w:val="32"/>
        </w:rPr>
        <w:t>.基本支出：指为保障机构正常运转、完成日常工作任务而发生的人员支出和公用支出。</w:t>
      </w:r>
    </w:p>
    <w:p>
      <w:pPr>
        <w:pageBreakBefore w:val="0"/>
        <w:kinsoku/>
        <w:wordWrap/>
        <w:overflowPunct/>
        <w:bidi w:val="0"/>
        <w:ind w:firstLine="640" w:firstLineChars="200"/>
        <w:textAlignment w:val="auto"/>
        <w:rPr>
          <w:rFonts w:hint="eastAsia" w:ascii="仿宋_GB2312" w:eastAsia="仿宋_GB2312"/>
          <w:color w:val="000000"/>
          <w:sz w:val="32"/>
          <w:szCs w:val="32"/>
        </w:rPr>
      </w:pPr>
      <w:r>
        <w:rPr>
          <w:rFonts w:hint="eastAsia" w:ascii="仿宋_GB2312" w:eastAsia="仿宋_GB2312"/>
          <w:color w:val="000000"/>
          <w:sz w:val="32"/>
          <w:szCs w:val="32"/>
          <w:lang w:val="en-US" w:eastAsia="zh-CN"/>
        </w:rPr>
        <w:t>9</w:t>
      </w:r>
      <w:r>
        <w:rPr>
          <w:rFonts w:hint="eastAsia" w:ascii="仿宋_GB2312" w:eastAsia="仿宋_GB2312"/>
          <w:color w:val="000000"/>
          <w:sz w:val="32"/>
          <w:szCs w:val="32"/>
        </w:rPr>
        <w:t xml:space="preserve">.项目支出：指在基本支出之外为完成特定行政任务和事业发展目标所发生的支出。 </w:t>
      </w:r>
    </w:p>
    <w:p>
      <w:pPr>
        <w:pageBreakBefore w:val="0"/>
        <w:kinsoku/>
        <w:wordWrap/>
        <w:overflowPunct/>
        <w:bidi w:val="0"/>
        <w:spacing w:line="56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bookmarkStart w:id="90" w:name="_Toc14517_WPSOffice_Level2"/>
      <w:r>
        <w:rPr>
          <w:rFonts w:hint="eastAsia" w:ascii="仿宋_GB2312" w:hAnsi="仿宋_GB2312" w:eastAsia="仿宋_GB2312" w:cs="仿宋_GB2312"/>
          <w:color w:val="auto"/>
          <w:kern w:val="2"/>
          <w:sz w:val="32"/>
          <w:szCs w:val="32"/>
          <w:lang w:val="en-US" w:eastAsia="zh-CN" w:bidi="ar-SA"/>
        </w:rPr>
        <w:t>10.“三公”经费</w:t>
      </w:r>
      <w:bookmarkEnd w:id="90"/>
      <w:r>
        <w:rPr>
          <w:rFonts w:hint="eastAsia" w:ascii="仿宋_GB2312" w:hAnsi="仿宋_GB2312" w:eastAsia="仿宋_GB2312" w:cs="仿宋_GB2312"/>
          <w:color w:val="auto"/>
          <w:kern w:val="2"/>
          <w:sz w:val="32"/>
          <w:szCs w:val="32"/>
          <w:lang w:val="en-US" w:eastAsia="zh-CN" w:bidi="ar-SA"/>
        </w:rPr>
        <w:t>：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牌照费）及按规定保留的公务用车燃料费、维修费、过路过桥费、保险费、安全奖励费用等支出；公务接待费反映单位按规定开支的各类公务接待（含外宾接待）支出。</w:t>
      </w:r>
      <w:bookmarkStart w:id="91" w:name="_Toc29043_WPSOffice_Level2"/>
    </w:p>
    <w:p>
      <w:pPr>
        <w:pageBreakBefore w:val="0"/>
        <w:kinsoku/>
        <w:wordWrap/>
        <w:overflowPunct/>
        <w:bidi w:val="0"/>
        <w:spacing w:line="56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11、机关运行经费</w:t>
      </w:r>
      <w:bookmarkEnd w:id="91"/>
      <w:r>
        <w:rPr>
          <w:rFonts w:hint="eastAsia" w:ascii="仿宋_GB2312" w:hAnsi="仿宋_GB2312" w:eastAsia="仿宋_GB2312" w:cs="仿宋_GB2312"/>
          <w:color w:val="auto"/>
          <w:kern w:val="2"/>
          <w:sz w:val="32"/>
          <w:szCs w:val="32"/>
          <w:lang w:val="en-US" w:eastAsia="zh-CN" w:bidi="ar-SA"/>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ageBreakBefore w:val="0"/>
        <w:kinsoku/>
        <w:wordWrap/>
        <w:overflowPunct/>
        <w:bidi w:val="0"/>
        <w:spacing w:line="600" w:lineRule="exact"/>
        <w:jc w:val="center"/>
        <w:textAlignment w:val="auto"/>
        <w:rPr>
          <w:rStyle w:val="32"/>
        </w:rPr>
      </w:pPr>
      <w:r>
        <w:rPr>
          <w:rFonts w:hint="eastAsia" w:eastAsia="仿宋_GB2312" w:cs="仿宋_GB2312"/>
          <w:sz w:val="32"/>
          <w:szCs w:val="32"/>
        </w:rPr>
        <w:br w:type="page"/>
      </w:r>
      <w:bookmarkStart w:id="92" w:name="_Toc15396614"/>
      <w:bookmarkStart w:id="93" w:name="_Toc16704_WPSOffice_Level1"/>
      <w:r>
        <w:rPr>
          <w:rFonts w:hint="eastAsia" w:ascii="Times New Roman" w:hAnsi="Times New Roman" w:eastAsia="宋体" w:cs="Times New Roman"/>
          <w:b/>
          <w:bCs/>
          <w:kern w:val="44"/>
          <w:sz w:val="44"/>
          <w:szCs w:val="44"/>
          <w:lang w:val="en-US" w:eastAsia="zh-CN" w:bidi="ar-SA"/>
        </w:rPr>
        <w:t>第四部分  附件</w:t>
      </w:r>
      <w:bookmarkEnd w:id="92"/>
      <w:bookmarkEnd w:id="93"/>
    </w:p>
    <w:p>
      <w:pPr>
        <w:pageBreakBefore w:val="0"/>
        <w:kinsoku/>
        <w:wordWrap/>
        <w:overflowPunct/>
        <w:bidi w:val="0"/>
        <w:spacing w:line="572" w:lineRule="exact"/>
        <w:jc w:val="left"/>
        <w:textAlignment w:val="auto"/>
        <w:outlineLvl w:val="0"/>
        <w:rPr>
          <w:rFonts w:eastAsia="黑体" w:cs="黑体"/>
          <w:sz w:val="32"/>
          <w:szCs w:val="32"/>
        </w:rPr>
      </w:pPr>
    </w:p>
    <w:p>
      <w:pPr>
        <w:pageBreakBefore w:val="0"/>
        <w:kinsoku/>
        <w:wordWrap/>
        <w:overflowPunct/>
        <w:bidi w:val="0"/>
        <w:spacing w:line="572" w:lineRule="exact"/>
        <w:jc w:val="left"/>
        <w:textAlignment w:val="auto"/>
        <w:outlineLvl w:val="0"/>
        <w:rPr>
          <w:rFonts w:eastAsia="黑体" w:cs="方正小标宋简体"/>
          <w:sz w:val="44"/>
          <w:szCs w:val="44"/>
        </w:rPr>
      </w:pPr>
      <w:r>
        <w:rPr>
          <w:rFonts w:hint="eastAsia" w:eastAsia="黑体" w:cs="黑体"/>
          <w:sz w:val="32"/>
          <w:szCs w:val="32"/>
        </w:rPr>
        <w:t>附件1</w:t>
      </w:r>
    </w:p>
    <w:p>
      <w:pPr>
        <w:pageBreakBefore w:val="0"/>
        <w:kinsoku/>
        <w:wordWrap/>
        <w:overflowPunct/>
        <w:bidi w:val="0"/>
        <w:spacing w:line="550" w:lineRule="exact"/>
        <w:ind w:firstLine="640" w:firstLineChars="200"/>
        <w:textAlignment w:val="auto"/>
        <w:rPr>
          <w:rFonts w:hint="eastAsia" w:ascii="仿宋_GB2312" w:hAnsi="仿宋_GB2312" w:eastAsia="仿宋_GB2312" w:cs="仿宋_GB2312"/>
          <w:color w:val="000000"/>
          <w:kern w:val="0"/>
          <w:sz w:val="32"/>
          <w:szCs w:val="32"/>
          <w:shd w:val="clear" w:color="auto" w:fill="FFFFFF"/>
        </w:rPr>
      </w:pPr>
      <w:r>
        <w:rPr>
          <w:rFonts w:hint="eastAsia" w:ascii="仿宋_GB2312" w:hAnsi="仿宋_GB2312" w:eastAsia="仿宋_GB2312" w:cs="仿宋_GB2312"/>
          <w:sz w:val="32"/>
          <w:szCs w:val="32"/>
          <w:lang w:val="en-US" w:eastAsia="zh-CN"/>
        </w:rPr>
        <w:t>为牢固树立预算绩效理念，进一步规范财政资金管理，提高资金使用效益及部门预算整体绩效目标管理水平，按照《盐边县财政局关于开展预算绩效自评工作的通知》（盐边财绩〔2025〕2号）要求，结合我局的实际情况，通过自查收入支出情况、账表一致情况，对相关资料进行收集整理、分析汇总，现将县司法局2024年预算整体绩效评价结果报告如下。</w:t>
      </w:r>
    </w:p>
    <w:p>
      <w:pPr>
        <w:pageBreakBefore w:val="0"/>
        <w:kinsoku/>
        <w:wordWrap/>
        <w:overflowPunct/>
        <w:bidi w:val="0"/>
        <w:spacing w:line="550" w:lineRule="exact"/>
        <w:ind w:firstLine="640" w:firstLineChars="200"/>
        <w:textAlignment w:val="auto"/>
        <w:rPr>
          <w:rFonts w:hint="eastAsia" w:ascii="仿宋_GB2312" w:hAnsi="仿宋_GB2312" w:eastAsia="仿宋_GB2312" w:cs="仿宋_GB2312"/>
          <w:sz w:val="32"/>
          <w:szCs w:val="32"/>
        </w:rPr>
      </w:pPr>
      <w:bookmarkStart w:id="94" w:name="_Toc4047_WPSOffice_Level2"/>
      <w:bookmarkStart w:id="95" w:name="_Toc4394_WPSOffice_Level2"/>
      <w:r>
        <w:rPr>
          <w:rFonts w:hint="eastAsia" w:ascii="仿宋_GB2312" w:hAnsi="仿宋_GB2312" w:eastAsia="仿宋_GB2312" w:cs="仿宋_GB2312"/>
          <w:sz w:val="32"/>
          <w:szCs w:val="32"/>
        </w:rPr>
        <w:t>一、部门（单位）基本情况</w:t>
      </w:r>
      <w:bookmarkEnd w:id="94"/>
      <w:bookmarkEnd w:id="95"/>
    </w:p>
    <w:p>
      <w:pPr>
        <w:pStyle w:val="7"/>
        <w:keepNext w:val="0"/>
        <w:keepLines w:val="0"/>
        <w:pageBreakBefore w:val="0"/>
        <w:kinsoku/>
        <w:wordWrap/>
        <w:overflowPunct/>
        <w:topLinePunct w:val="0"/>
        <w:autoSpaceDE/>
        <w:autoSpaceDN/>
        <w:bidi w:val="0"/>
        <w:adjustRightInd w:val="0"/>
        <w:spacing w:before="0" w:beforeLines="0" w:line="560" w:lineRule="exact"/>
        <w:ind w:firstLine="675" w:firstLineChars="210"/>
        <w:textAlignment w:val="auto"/>
        <w:rPr>
          <w:rFonts w:hint="eastAsia" w:ascii="仿宋_GB2312" w:hAnsi="仿宋_GB2312" w:eastAsia="仿宋_GB2312" w:cs="仿宋_GB2312"/>
          <w:color w:val="000000"/>
          <w:sz w:val="32"/>
          <w:szCs w:val="32"/>
          <w:highlight w:val="none"/>
          <w:u w:val="none"/>
        </w:rPr>
      </w:pPr>
      <w:r>
        <w:rPr>
          <w:rFonts w:hint="eastAsia" w:ascii="仿宋_GB2312" w:hAnsi="仿宋_GB2312" w:eastAsia="仿宋_GB2312" w:cs="仿宋_GB2312"/>
          <w:b/>
          <w:sz w:val="32"/>
          <w:szCs w:val="32"/>
        </w:rPr>
        <w:t>（一）机构组成。</w:t>
      </w:r>
      <w:r>
        <w:rPr>
          <w:rFonts w:hint="eastAsia" w:ascii="仿宋_GB2312" w:hAnsi="仿宋_GB2312" w:eastAsia="仿宋_GB2312" w:cs="仿宋_GB2312"/>
          <w:color w:val="000000"/>
          <w:sz w:val="32"/>
          <w:szCs w:val="32"/>
          <w:highlight w:val="none"/>
          <w:lang w:eastAsia="zh-CN"/>
        </w:rPr>
        <w:t>盐边县司法局</w:t>
      </w:r>
      <w:r>
        <w:rPr>
          <w:rFonts w:hint="eastAsia" w:ascii="仿宋_GB2312" w:hAnsi="仿宋_GB2312" w:eastAsia="仿宋_GB2312" w:cs="仿宋_GB2312"/>
          <w:color w:val="000000"/>
          <w:sz w:val="32"/>
          <w:szCs w:val="32"/>
          <w:highlight w:val="none"/>
        </w:rPr>
        <w:t>下属非独立核算单位</w:t>
      </w:r>
      <w:r>
        <w:rPr>
          <w:rFonts w:hint="eastAsia" w:ascii="仿宋_GB2312" w:hAnsi="仿宋_GB2312" w:eastAsia="仿宋_GB2312" w:cs="仿宋_GB2312"/>
          <w:color w:val="000000"/>
          <w:sz w:val="32"/>
          <w:szCs w:val="32"/>
          <w:highlight w:val="none"/>
          <w:lang w:val="en-US" w:eastAsia="zh-CN"/>
        </w:rPr>
        <w:t>2</w:t>
      </w:r>
      <w:r>
        <w:rPr>
          <w:rFonts w:hint="eastAsia" w:ascii="仿宋_GB2312" w:hAnsi="仿宋_GB2312" w:eastAsia="仿宋_GB2312" w:cs="仿宋_GB2312"/>
          <w:color w:val="000000"/>
          <w:sz w:val="32"/>
          <w:szCs w:val="32"/>
          <w:highlight w:val="none"/>
        </w:rPr>
        <w:t>个，其中参照公务员法管理的事业单位</w:t>
      </w:r>
      <w:r>
        <w:rPr>
          <w:rFonts w:hint="eastAsia" w:ascii="仿宋_GB2312" w:hAnsi="仿宋_GB2312" w:eastAsia="仿宋_GB2312" w:cs="仿宋_GB2312"/>
          <w:color w:val="000000"/>
          <w:sz w:val="32"/>
          <w:szCs w:val="32"/>
          <w:highlight w:val="none"/>
          <w:lang w:val="en-US" w:eastAsia="zh-CN"/>
        </w:rPr>
        <w:t>1</w:t>
      </w:r>
      <w:r>
        <w:rPr>
          <w:rFonts w:hint="eastAsia" w:ascii="仿宋_GB2312" w:hAnsi="仿宋_GB2312" w:eastAsia="仿宋_GB2312" w:cs="仿宋_GB2312"/>
          <w:color w:val="000000"/>
          <w:sz w:val="32"/>
          <w:szCs w:val="32"/>
          <w:highlight w:val="none"/>
        </w:rPr>
        <w:t>个</w:t>
      </w:r>
      <w:r>
        <w:rPr>
          <w:rFonts w:hint="eastAsia" w:ascii="仿宋_GB2312" w:hAnsi="仿宋_GB2312" w:eastAsia="仿宋_GB2312" w:cs="仿宋_GB2312"/>
          <w:color w:val="000000"/>
          <w:sz w:val="32"/>
          <w:szCs w:val="32"/>
          <w:highlight w:val="none"/>
          <w:lang w:eastAsia="zh-CN"/>
        </w:rPr>
        <w:t>，事业单位</w:t>
      </w:r>
      <w:r>
        <w:rPr>
          <w:rFonts w:hint="eastAsia" w:ascii="仿宋_GB2312" w:hAnsi="仿宋_GB2312" w:eastAsia="仿宋_GB2312" w:cs="仿宋_GB2312"/>
          <w:color w:val="000000"/>
          <w:sz w:val="32"/>
          <w:szCs w:val="32"/>
          <w:highlight w:val="none"/>
          <w:lang w:val="en-US" w:eastAsia="zh-CN"/>
        </w:rPr>
        <w:t>1个，</w:t>
      </w:r>
      <w:r>
        <w:rPr>
          <w:rFonts w:hint="eastAsia" w:ascii="仿宋_GB2312" w:hAnsi="仿宋_GB2312" w:eastAsia="仿宋_GB2312" w:cs="仿宋_GB2312"/>
          <w:color w:val="000000"/>
          <w:sz w:val="32"/>
          <w:szCs w:val="32"/>
          <w:highlight w:val="none"/>
        </w:rPr>
        <w:t>主要包括：</w:t>
      </w:r>
      <w:r>
        <w:rPr>
          <w:rFonts w:hint="eastAsia" w:ascii="仿宋_GB2312" w:hAnsi="仿宋_GB2312" w:eastAsia="仿宋_GB2312" w:cs="仿宋_GB2312"/>
          <w:color w:val="000000"/>
          <w:sz w:val="32"/>
          <w:szCs w:val="32"/>
          <w:highlight w:val="none"/>
          <w:u w:val="none"/>
          <w:lang w:eastAsia="zh-CN"/>
        </w:rPr>
        <w:t>盐边县法律援助中心和四川省盐边县公证处</w:t>
      </w:r>
      <w:r>
        <w:rPr>
          <w:rFonts w:hint="eastAsia" w:ascii="仿宋_GB2312" w:hAnsi="仿宋_GB2312" w:eastAsia="仿宋_GB2312" w:cs="仿宋_GB2312"/>
          <w:color w:val="000000"/>
          <w:sz w:val="32"/>
          <w:szCs w:val="32"/>
          <w:highlight w:val="none"/>
          <w:u w:val="none"/>
        </w:rPr>
        <w:t>。</w:t>
      </w:r>
    </w:p>
    <w:p>
      <w:pPr>
        <w:pStyle w:val="17"/>
        <w:pageBreakBefore w:val="0"/>
        <w:shd w:val="clear" w:color="auto" w:fill="FFFFFF"/>
        <w:kinsoku/>
        <w:wordWrap/>
        <w:overflowPunct/>
        <w:bidi w:val="0"/>
        <w:spacing w:before="93" w:beforeAutospacing="0" w:after="0" w:afterAutospacing="0" w:line="560" w:lineRule="exact"/>
        <w:ind w:firstLine="672"/>
        <w:jc w:val="both"/>
        <w:textAlignment w:val="auto"/>
        <w:rPr>
          <w:rFonts w:hint="eastAsia" w:ascii="仿宋_GB2312" w:hAnsi="仿宋_GB2312" w:eastAsia="仿宋_GB2312" w:cs="仿宋_GB2312"/>
          <w:b/>
          <w:kern w:val="2"/>
          <w:sz w:val="32"/>
          <w:szCs w:val="32"/>
          <w:lang w:val="en-US" w:eastAsia="zh-CN" w:bidi="ar-SA"/>
        </w:rPr>
      </w:pPr>
      <w:r>
        <w:rPr>
          <w:rFonts w:hint="eastAsia" w:ascii="仿宋_GB2312" w:hAnsi="仿宋_GB2312" w:eastAsia="仿宋_GB2312" w:cs="仿宋_GB2312"/>
          <w:b/>
          <w:kern w:val="2"/>
          <w:sz w:val="32"/>
          <w:szCs w:val="32"/>
          <w:lang w:val="en-US" w:eastAsia="zh-CN" w:bidi="ar-SA"/>
        </w:rPr>
        <w:t>（二）机构职能。</w:t>
      </w:r>
    </w:p>
    <w:p>
      <w:pPr>
        <w:pStyle w:val="17"/>
        <w:pageBreakBefore w:val="0"/>
        <w:shd w:val="clear" w:color="auto" w:fill="FFFFFF"/>
        <w:kinsoku/>
        <w:wordWrap/>
        <w:overflowPunct/>
        <w:bidi w:val="0"/>
        <w:spacing w:before="93" w:beforeAutospacing="0" w:after="0" w:afterAutospacing="0" w:line="560" w:lineRule="exact"/>
        <w:ind w:firstLine="672"/>
        <w:jc w:val="both"/>
        <w:textAlignment w:val="auto"/>
        <w:rPr>
          <w:rFonts w:hint="eastAsia" w:ascii="仿宋_GB2312" w:hAnsi="仿宋_GB2312" w:eastAsia="仿宋_GB2312" w:cs="仿宋_GB2312"/>
          <w:color w:val="000000"/>
          <w:kern w:val="2"/>
          <w:sz w:val="32"/>
          <w:szCs w:val="32"/>
          <w:shd w:val="clear" w:color="auto" w:fill="FFFFFF"/>
          <w:lang w:val="en-US" w:eastAsia="zh-CN" w:bidi="ar"/>
        </w:rPr>
      </w:pPr>
      <w:r>
        <w:rPr>
          <w:rFonts w:hint="eastAsia" w:ascii="仿宋_GB2312" w:hAnsi="仿宋_GB2312" w:eastAsia="仿宋_GB2312" w:cs="仿宋_GB2312"/>
          <w:color w:val="000000"/>
          <w:kern w:val="2"/>
          <w:sz w:val="32"/>
          <w:szCs w:val="32"/>
          <w:shd w:val="clear" w:color="auto" w:fill="FFFFFF"/>
          <w:lang w:val="en-US" w:eastAsia="zh-CN" w:bidi="ar"/>
        </w:rPr>
        <w:t>1、贯彻执行国家关于司法行政工作的方针、政策和法律、法规及规章，制定全县司法行政规范性文件和工作发展规划、工作计划并组织实施。</w:t>
      </w:r>
    </w:p>
    <w:p>
      <w:pPr>
        <w:pStyle w:val="17"/>
        <w:pageBreakBefore w:val="0"/>
        <w:shd w:val="clear" w:color="auto" w:fill="FFFFFF"/>
        <w:kinsoku/>
        <w:wordWrap/>
        <w:overflowPunct/>
        <w:bidi w:val="0"/>
        <w:spacing w:before="93" w:beforeAutospacing="0" w:after="0" w:afterAutospacing="0" w:line="560" w:lineRule="exact"/>
        <w:ind w:firstLine="672"/>
        <w:jc w:val="both"/>
        <w:textAlignment w:val="auto"/>
        <w:rPr>
          <w:rFonts w:hint="eastAsia" w:ascii="仿宋_GB2312" w:hAnsi="仿宋_GB2312" w:eastAsia="仿宋_GB2312" w:cs="仿宋_GB2312"/>
          <w:color w:val="000000"/>
          <w:kern w:val="2"/>
          <w:sz w:val="32"/>
          <w:szCs w:val="32"/>
          <w:shd w:val="clear" w:color="auto" w:fill="FFFFFF"/>
          <w:lang w:val="en-US" w:eastAsia="zh-CN" w:bidi="ar"/>
        </w:rPr>
      </w:pPr>
      <w:r>
        <w:rPr>
          <w:rFonts w:hint="eastAsia" w:ascii="仿宋_GB2312" w:hAnsi="仿宋_GB2312" w:eastAsia="仿宋_GB2312" w:cs="仿宋_GB2312"/>
          <w:color w:val="000000"/>
          <w:kern w:val="2"/>
          <w:sz w:val="32"/>
          <w:szCs w:val="32"/>
          <w:shd w:val="clear" w:color="auto" w:fill="FFFFFF"/>
          <w:lang w:val="en-US" w:eastAsia="zh-CN" w:bidi="ar"/>
        </w:rPr>
        <w:t>2、拟定全县普及法律常识规划和法制宣传教育计划并组织实施，指导全县各行业的法制宣传和依法治理工作。</w:t>
      </w:r>
    </w:p>
    <w:p>
      <w:pPr>
        <w:pStyle w:val="17"/>
        <w:pageBreakBefore w:val="0"/>
        <w:shd w:val="clear" w:color="auto" w:fill="FFFFFF"/>
        <w:kinsoku/>
        <w:wordWrap/>
        <w:overflowPunct/>
        <w:bidi w:val="0"/>
        <w:spacing w:before="0" w:beforeAutospacing="0" w:after="0" w:afterAutospacing="0" w:line="560" w:lineRule="exact"/>
        <w:ind w:firstLine="672"/>
        <w:jc w:val="both"/>
        <w:textAlignment w:val="auto"/>
        <w:rPr>
          <w:rFonts w:hint="eastAsia" w:ascii="仿宋_GB2312" w:hAnsi="仿宋_GB2312" w:eastAsia="仿宋_GB2312" w:cs="仿宋_GB2312"/>
          <w:color w:val="000000"/>
          <w:kern w:val="2"/>
          <w:sz w:val="32"/>
          <w:szCs w:val="32"/>
          <w:shd w:val="clear" w:color="auto" w:fill="FFFFFF"/>
          <w:lang w:val="en-US" w:eastAsia="zh-CN" w:bidi="ar"/>
        </w:rPr>
      </w:pPr>
      <w:r>
        <w:rPr>
          <w:rFonts w:hint="eastAsia" w:ascii="仿宋_GB2312" w:hAnsi="仿宋_GB2312" w:eastAsia="仿宋_GB2312" w:cs="仿宋_GB2312"/>
          <w:color w:val="000000"/>
          <w:kern w:val="2"/>
          <w:sz w:val="32"/>
          <w:szCs w:val="32"/>
          <w:shd w:val="clear" w:color="auto" w:fill="FFFFFF"/>
          <w:lang w:val="en-US" w:eastAsia="zh-CN" w:bidi="ar"/>
        </w:rPr>
        <w:t>3、组织开展全面依法治县重大问题的政策研究，协调督促有关方面落实委员会决定事项、工作部署和要求等。</w:t>
      </w:r>
    </w:p>
    <w:p>
      <w:pPr>
        <w:pStyle w:val="17"/>
        <w:pageBreakBefore w:val="0"/>
        <w:shd w:val="clear" w:color="auto" w:fill="FFFFFF"/>
        <w:kinsoku/>
        <w:wordWrap/>
        <w:overflowPunct/>
        <w:bidi w:val="0"/>
        <w:spacing w:before="0" w:beforeAutospacing="0" w:after="0" w:afterAutospacing="0" w:line="560" w:lineRule="exact"/>
        <w:ind w:firstLine="672"/>
        <w:jc w:val="both"/>
        <w:textAlignment w:val="auto"/>
        <w:rPr>
          <w:rFonts w:hint="eastAsia" w:ascii="仿宋_GB2312" w:hAnsi="仿宋_GB2312" w:eastAsia="仿宋_GB2312" w:cs="仿宋_GB2312"/>
          <w:color w:val="000000"/>
          <w:kern w:val="2"/>
          <w:sz w:val="32"/>
          <w:szCs w:val="32"/>
          <w:shd w:val="clear" w:color="auto" w:fill="FFFFFF"/>
          <w:lang w:val="en-US" w:eastAsia="zh-CN" w:bidi="ar"/>
        </w:rPr>
      </w:pPr>
      <w:r>
        <w:rPr>
          <w:rFonts w:hint="eastAsia" w:ascii="仿宋_GB2312" w:hAnsi="仿宋_GB2312" w:eastAsia="仿宋_GB2312" w:cs="仿宋_GB2312"/>
          <w:color w:val="000000"/>
          <w:kern w:val="2"/>
          <w:sz w:val="32"/>
          <w:szCs w:val="32"/>
          <w:shd w:val="clear" w:color="auto" w:fill="FFFFFF"/>
          <w:lang w:val="en-US" w:eastAsia="zh-CN" w:bidi="ar"/>
        </w:rPr>
        <w:t>4、承担统筹推进法治政府建设的责任。</w:t>
      </w:r>
    </w:p>
    <w:p>
      <w:pPr>
        <w:pStyle w:val="17"/>
        <w:pageBreakBefore w:val="0"/>
        <w:shd w:val="clear" w:color="auto" w:fill="FFFFFF"/>
        <w:kinsoku/>
        <w:wordWrap/>
        <w:overflowPunct/>
        <w:bidi w:val="0"/>
        <w:spacing w:before="0" w:beforeAutospacing="0" w:after="0" w:afterAutospacing="0" w:line="560" w:lineRule="exact"/>
        <w:ind w:firstLine="672"/>
        <w:jc w:val="both"/>
        <w:textAlignment w:val="auto"/>
        <w:rPr>
          <w:rFonts w:hint="eastAsia" w:ascii="仿宋_GB2312" w:hAnsi="仿宋_GB2312" w:eastAsia="仿宋_GB2312" w:cs="仿宋_GB2312"/>
          <w:color w:val="000000"/>
          <w:kern w:val="2"/>
          <w:sz w:val="32"/>
          <w:szCs w:val="32"/>
          <w:shd w:val="clear" w:color="auto" w:fill="FFFFFF"/>
          <w:lang w:val="en-US" w:eastAsia="zh-CN" w:bidi="ar"/>
        </w:rPr>
      </w:pPr>
      <w:r>
        <w:rPr>
          <w:rFonts w:hint="eastAsia" w:ascii="仿宋_GB2312" w:hAnsi="仿宋_GB2312" w:eastAsia="仿宋_GB2312" w:cs="仿宋_GB2312"/>
          <w:color w:val="000000"/>
          <w:kern w:val="2"/>
          <w:sz w:val="32"/>
          <w:szCs w:val="32"/>
          <w:shd w:val="clear" w:color="auto" w:fill="FFFFFF"/>
          <w:lang w:val="en-US" w:eastAsia="zh-CN" w:bidi="ar"/>
        </w:rPr>
        <w:t>5、负责指导、管理和监督全县律师工作、公证工作、基层法律服务工作，负责行政处罚工作。</w:t>
      </w:r>
    </w:p>
    <w:p>
      <w:pPr>
        <w:pStyle w:val="17"/>
        <w:pageBreakBefore w:val="0"/>
        <w:shd w:val="clear" w:color="auto" w:fill="FFFFFF"/>
        <w:kinsoku/>
        <w:wordWrap/>
        <w:overflowPunct/>
        <w:bidi w:val="0"/>
        <w:spacing w:before="0" w:beforeAutospacing="0" w:after="0" w:afterAutospacing="0" w:line="560" w:lineRule="exact"/>
        <w:ind w:firstLine="672"/>
        <w:jc w:val="both"/>
        <w:textAlignment w:val="auto"/>
        <w:rPr>
          <w:rFonts w:hint="eastAsia" w:ascii="仿宋_GB2312" w:hAnsi="仿宋_GB2312" w:eastAsia="仿宋_GB2312" w:cs="仿宋_GB2312"/>
          <w:color w:val="000000"/>
          <w:kern w:val="2"/>
          <w:sz w:val="32"/>
          <w:szCs w:val="32"/>
          <w:shd w:val="clear" w:color="auto" w:fill="FFFFFF"/>
          <w:lang w:val="en-US" w:eastAsia="zh-CN" w:bidi="ar"/>
        </w:rPr>
      </w:pPr>
      <w:r>
        <w:rPr>
          <w:rFonts w:hint="eastAsia" w:ascii="仿宋_GB2312" w:hAnsi="仿宋_GB2312" w:eastAsia="仿宋_GB2312" w:cs="仿宋_GB2312"/>
          <w:color w:val="000000"/>
          <w:kern w:val="2"/>
          <w:sz w:val="32"/>
          <w:szCs w:val="32"/>
          <w:shd w:val="clear" w:color="auto" w:fill="FFFFFF"/>
          <w:lang w:val="en-US" w:eastAsia="zh-CN" w:bidi="ar"/>
        </w:rPr>
        <w:t>6、组织实施法律援助工作。</w:t>
      </w:r>
    </w:p>
    <w:p>
      <w:pPr>
        <w:pStyle w:val="17"/>
        <w:pageBreakBefore w:val="0"/>
        <w:shd w:val="clear" w:color="auto" w:fill="FFFFFF"/>
        <w:kinsoku/>
        <w:wordWrap/>
        <w:overflowPunct/>
        <w:bidi w:val="0"/>
        <w:spacing w:before="0" w:beforeAutospacing="0" w:after="0" w:afterAutospacing="0" w:line="560" w:lineRule="exact"/>
        <w:ind w:firstLine="672"/>
        <w:jc w:val="both"/>
        <w:textAlignment w:val="auto"/>
        <w:rPr>
          <w:rFonts w:hint="eastAsia" w:ascii="仿宋_GB2312" w:hAnsi="仿宋_GB2312" w:eastAsia="仿宋_GB2312" w:cs="仿宋_GB2312"/>
          <w:color w:val="000000"/>
          <w:kern w:val="2"/>
          <w:sz w:val="32"/>
          <w:szCs w:val="32"/>
          <w:shd w:val="clear" w:color="auto" w:fill="FFFFFF"/>
          <w:lang w:val="en-US" w:eastAsia="zh-CN" w:bidi="ar"/>
        </w:rPr>
      </w:pPr>
      <w:r>
        <w:rPr>
          <w:rFonts w:hint="eastAsia" w:ascii="仿宋_GB2312" w:hAnsi="仿宋_GB2312" w:eastAsia="仿宋_GB2312" w:cs="仿宋_GB2312"/>
          <w:color w:val="000000"/>
          <w:kern w:val="2"/>
          <w:sz w:val="32"/>
          <w:szCs w:val="32"/>
          <w:shd w:val="clear" w:color="auto" w:fill="FFFFFF"/>
          <w:lang w:val="en-US" w:eastAsia="zh-CN" w:bidi="ar"/>
        </w:rPr>
        <w:t>7、指导全县人民调解工作和基层司法所工作。</w:t>
      </w:r>
    </w:p>
    <w:p>
      <w:pPr>
        <w:pStyle w:val="17"/>
        <w:pageBreakBefore w:val="0"/>
        <w:shd w:val="clear" w:color="auto" w:fill="FFFFFF"/>
        <w:kinsoku/>
        <w:wordWrap/>
        <w:overflowPunct/>
        <w:bidi w:val="0"/>
        <w:spacing w:before="0" w:beforeAutospacing="0" w:after="0" w:afterAutospacing="0" w:line="560" w:lineRule="exact"/>
        <w:ind w:firstLine="672"/>
        <w:jc w:val="both"/>
        <w:textAlignment w:val="auto"/>
        <w:rPr>
          <w:rFonts w:hint="eastAsia" w:ascii="仿宋_GB2312" w:hAnsi="仿宋_GB2312" w:eastAsia="仿宋_GB2312" w:cs="仿宋_GB2312"/>
          <w:color w:val="000000"/>
          <w:kern w:val="2"/>
          <w:sz w:val="32"/>
          <w:szCs w:val="32"/>
          <w:shd w:val="clear" w:color="auto" w:fill="FFFFFF"/>
          <w:lang w:val="en-US" w:eastAsia="zh-CN" w:bidi="ar"/>
        </w:rPr>
      </w:pPr>
      <w:r>
        <w:rPr>
          <w:rFonts w:hint="eastAsia" w:ascii="仿宋_GB2312" w:hAnsi="仿宋_GB2312" w:eastAsia="仿宋_GB2312" w:cs="仿宋_GB2312"/>
          <w:color w:val="000000"/>
          <w:kern w:val="2"/>
          <w:sz w:val="32"/>
          <w:szCs w:val="32"/>
          <w:shd w:val="clear" w:color="auto" w:fill="FFFFFF"/>
          <w:lang w:val="en-US" w:eastAsia="zh-CN" w:bidi="ar"/>
        </w:rPr>
        <w:t>8、组织开展对非监禁刑罚执行对象的社区矫正工作；协助当地政府做好刑释解教人员的安置帮教工作。</w:t>
      </w:r>
    </w:p>
    <w:p>
      <w:pPr>
        <w:pStyle w:val="17"/>
        <w:pageBreakBefore w:val="0"/>
        <w:shd w:val="clear" w:color="auto" w:fill="FFFFFF"/>
        <w:kinsoku/>
        <w:wordWrap/>
        <w:overflowPunct/>
        <w:bidi w:val="0"/>
        <w:spacing w:before="0" w:beforeAutospacing="0" w:after="0" w:afterAutospacing="0" w:line="560" w:lineRule="exact"/>
        <w:ind w:firstLine="672"/>
        <w:jc w:val="both"/>
        <w:textAlignment w:val="auto"/>
        <w:rPr>
          <w:rFonts w:hint="eastAsia" w:ascii="仿宋_GB2312" w:hAnsi="仿宋_GB2312" w:eastAsia="仿宋_GB2312" w:cs="仿宋_GB2312"/>
          <w:color w:val="000000"/>
          <w:kern w:val="2"/>
          <w:sz w:val="32"/>
          <w:szCs w:val="32"/>
          <w:shd w:val="clear" w:color="auto" w:fill="FFFFFF"/>
          <w:lang w:val="en-US" w:eastAsia="zh-CN" w:bidi="ar"/>
        </w:rPr>
      </w:pPr>
      <w:r>
        <w:rPr>
          <w:rFonts w:hint="eastAsia" w:ascii="仿宋_GB2312" w:hAnsi="仿宋_GB2312" w:eastAsia="仿宋_GB2312" w:cs="仿宋_GB2312"/>
          <w:color w:val="000000"/>
          <w:kern w:val="2"/>
          <w:sz w:val="32"/>
          <w:szCs w:val="32"/>
          <w:shd w:val="clear" w:color="auto" w:fill="FFFFFF"/>
          <w:lang w:val="en-US" w:eastAsia="zh-CN" w:bidi="ar"/>
        </w:rPr>
        <w:t>9、组织开展全县司法行政系统队伍建设和思想政治工作。</w:t>
      </w:r>
    </w:p>
    <w:p>
      <w:pPr>
        <w:pStyle w:val="17"/>
        <w:pageBreakBefore w:val="0"/>
        <w:shd w:val="clear" w:color="auto" w:fill="FFFFFF"/>
        <w:kinsoku/>
        <w:wordWrap/>
        <w:overflowPunct/>
        <w:bidi w:val="0"/>
        <w:spacing w:before="0" w:beforeAutospacing="0" w:after="0" w:afterAutospacing="0" w:line="560" w:lineRule="exact"/>
        <w:ind w:firstLine="672"/>
        <w:jc w:val="both"/>
        <w:textAlignment w:val="auto"/>
        <w:rPr>
          <w:rFonts w:hint="eastAsia" w:ascii="仿宋_GB2312" w:hAnsi="仿宋_GB2312" w:eastAsia="仿宋_GB2312" w:cs="仿宋_GB2312"/>
          <w:color w:val="000000"/>
          <w:kern w:val="2"/>
          <w:sz w:val="32"/>
          <w:szCs w:val="32"/>
          <w:shd w:val="clear" w:color="auto" w:fill="FFFFFF"/>
          <w:lang w:val="en-US" w:eastAsia="zh-CN" w:bidi="ar"/>
        </w:rPr>
      </w:pPr>
      <w:r>
        <w:rPr>
          <w:rFonts w:hint="eastAsia" w:ascii="仿宋_GB2312" w:hAnsi="仿宋_GB2312" w:eastAsia="仿宋_GB2312" w:cs="仿宋_GB2312"/>
          <w:color w:val="000000"/>
          <w:kern w:val="2"/>
          <w:sz w:val="32"/>
          <w:szCs w:val="32"/>
          <w:shd w:val="clear" w:color="auto" w:fill="FFFFFF"/>
          <w:lang w:val="en-US" w:eastAsia="zh-CN" w:bidi="ar"/>
        </w:rPr>
        <w:t>10、承办县政府交办的其他事项。</w:t>
      </w:r>
    </w:p>
    <w:p>
      <w:pPr>
        <w:pStyle w:val="6"/>
        <w:keepNext w:val="0"/>
        <w:keepLines w:val="0"/>
        <w:pageBreakBefore w:val="0"/>
        <w:kinsoku/>
        <w:wordWrap/>
        <w:overflowPunct/>
        <w:topLinePunct w:val="0"/>
        <w:autoSpaceDE/>
        <w:autoSpaceDN/>
        <w:bidi w:val="0"/>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（三）人员概况。</w:t>
      </w:r>
      <w:r>
        <w:rPr>
          <w:rFonts w:hint="eastAsia" w:ascii="仿宋_GB2312" w:hAnsi="仿宋_GB2312" w:eastAsia="仿宋_GB2312" w:cs="仿宋_GB2312"/>
          <w:sz w:val="32"/>
          <w:szCs w:val="32"/>
        </w:rPr>
        <w:t>截至2024年末，在职人员</w:t>
      </w:r>
      <w:r>
        <w:rPr>
          <w:rFonts w:hint="eastAsia" w:ascii="仿宋_GB2312" w:hAnsi="仿宋_GB2312" w:eastAsia="仿宋_GB2312" w:cs="仿宋_GB2312"/>
          <w:sz w:val="32"/>
          <w:szCs w:val="32"/>
          <w:lang w:val="en-US" w:eastAsia="zh-CN"/>
        </w:rPr>
        <w:t>38</w:t>
      </w:r>
      <w:r>
        <w:rPr>
          <w:rFonts w:hint="eastAsia" w:ascii="仿宋_GB2312" w:hAnsi="仿宋_GB2312" w:eastAsia="仿宋_GB2312" w:cs="仿宋_GB2312"/>
          <w:sz w:val="32"/>
          <w:szCs w:val="32"/>
        </w:rPr>
        <w:t>人，其中行政在编人员</w:t>
      </w:r>
      <w:r>
        <w:rPr>
          <w:rFonts w:hint="eastAsia" w:ascii="仿宋_GB2312" w:hAnsi="仿宋_GB2312" w:eastAsia="仿宋_GB2312" w:cs="仿宋_GB2312"/>
          <w:sz w:val="32"/>
          <w:szCs w:val="32"/>
          <w:lang w:val="en-US" w:eastAsia="zh-CN"/>
        </w:rPr>
        <w:t>33</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eastAsia="zh-CN"/>
        </w:rPr>
        <w:t>参照公务员管理人员</w:t>
      </w:r>
      <w:r>
        <w:rPr>
          <w:rFonts w:hint="eastAsia" w:ascii="仿宋_GB2312" w:hAnsi="仿宋_GB2312" w:eastAsia="仿宋_GB2312" w:cs="仿宋_GB2312"/>
          <w:sz w:val="32"/>
          <w:szCs w:val="32"/>
          <w:lang w:val="en-US" w:eastAsia="zh-CN"/>
        </w:rPr>
        <w:t>4人，工勤人员1人。退休人员21人。</w:t>
      </w:r>
    </w:p>
    <w:p>
      <w:pPr>
        <w:pageBreakBefore w:val="0"/>
        <w:kinsoku/>
        <w:wordWrap/>
        <w:overflowPunct/>
        <w:bidi w:val="0"/>
        <w:spacing w:line="550" w:lineRule="exact"/>
        <w:ind w:firstLine="640" w:firstLineChars="200"/>
        <w:textAlignment w:val="auto"/>
        <w:rPr>
          <w:rFonts w:hint="eastAsia" w:ascii="仿宋_GB2312" w:hAnsi="仿宋_GB2312" w:eastAsia="仿宋_GB2312" w:cs="仿宋_GB2312"/>
          <w:sz w:val="32"/>
          <w:szCs w:val="32"/>
        </w:rPr>
      </w:pPr>
      <w:bookmarkStart w:id="96" w:name="_Toc27466_WPSOffice_Level2"/>
      <w:bookmarkStart w:id="97" w:name="_Toc32683_WPSOffice_Level2"/>
      <w:r>
        <w:rPr>
          <w:rFonts w:hint="eastAsia" w:ascii="仿宋_GB2312" w:hAnsi="仿宋_GB2312" w:eastAsia="仿宋_GB2312" w:cs="仿宋_GB2312"/>
          <w:sz w:val="32"/>
          <w:szCs w:val="32"/>
        </w:rPr>
        <w:t>二、部门资金收支情况</w:t>
      </w:r>
      <w:bookmarkEnd w:id="96"/>
      <w:bookmarkEnd w:id="97"/>
    </w:p>
    <w:p>
      <w:pPr>
        <w:pStyle w:val="31"/>
        <w:pageBreakBefore w:val="0"/>
        <w:numPr>
          <w:ilvl w:val="0"/>
          <w:numId w:val="0"/>
        </w:numPr>
        <w:kinsoku/>
        <w:wordWrap/>
        <w:overflowPunct/>
        <w:bidi w:val="0"/>
        <w:spacing w:line="600" w:lineRule="exact"/>
        <w:ind w:firstLine="643" w:firstLineChars="200"/>
        <w:textAlignment w:val="auto"/>
        <w:outlineLvl w:val="1"/>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sz w:val="32"/>
          <w:szCs w:val="32"/>
        </w:rPr>
        <w:t>（一）收入情况。</w:t>
      </w:r>
      <w:r>
        <w:rPr>
          <w:rFonts w:hint="eastAsia" w:ascii="仿宋_GB2312" w:hAnsi="仿宋_GB2312" w:eastAsia="仿宋_GB2312" w:cs="仿宋_GB2312"/>
          <w:kern w:val="2"/>
          <w:sz w:val="32"/>
          <w:szCs w:val="32"/>
          <w:lang w:val="en-US" w:eastAsia="zh-CN" w:bidi="ar-SA"/>
        </w:rPr>
        <w:t>盐边县司法局2024收入预算1279.60万元，其中：一般公共预算拨款收入1279.60万元，占100%。</w:t>
      </w:r>
    </w:p>
    <w:p>
      <w:pPr>
        <w:pageBreakBefore w:val="0"/>
        <w:kinsoku/>
        <w:wordWrap/>
        <w:overflowPunct/>
        <w:bidi w:val="0"/>
        <w:spacing w:line="560" w:lineRule="exact"/>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sz w:val="32"/>
          <w:szCs w:val="32"/>
        </w:rPr>
        <w:t>（二）支出情况。</w:t>
      </w:r>
      <w:r>
        <w:rPr>
          <w:rFonts w:hint="eastAsia" w:ascii="仿宋_GB2312" w:hAnsi="仿宋_GB2312" w:eastAsia="仿宋_GB2312" w:cs="仿宋_GB2312"/>
          <w:sz w:val="32"/>
          <w:szCs w:val="32"/>
          <w:lang w:val="en-US" w:eastAsia="zh-CN"/>
        </w:rPr>
        <w:t>盐边县司法局2024年</w:t>
      </w:r>
      <w:r>
        <w:rPr>
          <w:rFonts w:hint="eastAsia" w:ascii="仿宋_GB2312" w:hAnsi="仿宋_GB2312" w:eastAsia="仿宋_GB2312" w:cs="仿宋_GB2312"/>
          <w:sz w:val="32"/>
          <w:szCs w:val="32"/>
          <w:lang w:val="zh-CN" w:eastAsia="zh-CN"/>
        </w:rPr>
        <w:t>支出预算</w:t>
      </w:r>
      <w:r>
        <w:rPr>
          <w:rFonts w:hint="eastAsia" w:ascii="仿宋_GB2312" w:hAnsi="仿宋_GB2312" w:eastAsia="仿宋_GB2312" w:cs="仿宋_GB2312"/>
          <w:sz w:val="32"/>
          <w:szCs w:val="32"/>
          <w:lang w:val="en-US" w:eastAsia="zh-CN"/>
        </w:rPr>
        <w:t>1279.60</w:t>
      </w:r>
      <w:r>
        <w:rPr>
          <w:rFonts w:hint="eastAsia" w:ascii="仿宋_GB2312" w:hAnsi="仿宋_GB2312" w:eastAsia="仿宋_GB2312" w:cs="仿宋_GB2312"/>
          <w:sz w:val="32"/>
          <w:szCs w:val="32"/>
          <w:lang w:val="zh-CN" w:eastAsia="zh-CN"/>
        </w:rPr>
        <w:t>万元，其中：基本支出</w:t>
      </w:r>
      <w:r>
        <w:rPr>
          <w:rFonts w:hint="eastAsia" w:ascii="仿宋_GB2312" w:hAnsi="仿宋_GB2312" w:eastAsia="仿宋_GB2312" w:cs="仿宋_GB2312"/>
          <w:sz w:val="32"/>
          <w:szCs w:val="32"/>
          <w:lang w:val="en-US" w:eastAsia="zh-CN"/>
        </w:rPr>
        <w:t>1006.56</w:t>
      </w:r>
      <w:r>
        <w:rPr>
          <w:rFonts w:hint="eastAsia" w:ascii="仿宋_GB2312" w:hAnsi="仿宋_GB2312" w:eastAsia="仿宋_GB2312" w:cs="仿宋_GB2312"/>
          <w:sz w:val="32"/>
          <w:szCs w:val="32"/>
          <w:lang w:val="zh-CN" w:eastAsia="zh-CN"/>
        </w:rPr>
        <w:t>万元，占</w:t>
      </w:r>
      <w:r>
        <w:rPr>
          <w:rFonts w:hint="eastAsia" w:ascii="仿宋_GB2312" w:hAnsi="仿宋_GB2312" w:eastAsia="仿宋_GB2312" w:cs="仿宋_GB2312"/>
          <w:sz w:val="32"/>
          <w:szCs w:val="32"/>
          <w:lang w:val="en-US" w:eastAsia="zh-CN"/>
        </w:rPr>
        <w:t>78.8</w:t>
      </w:r>
      <w:r>
        <w:rPr>
          <w:rFonts w:hint="eastAsia" w:ascii="仿宋_GB2312" w:hAnsi="仿宋_GB2312" w:eastAsia="仿宋_GB2312" w:cs="仿宋_GB2312"/>
          <w:sz w:val="32"/>
          <w:szCs w:val="32"/>
          <w:lang w:val="zh-CN" w:eastAsia="zh-CN"/>
        </w:rPr>
        <w:t>%；项目支出</w:t>
      </w:r>
      <w:r>
        <w:rPr>
          <w:rFonts w:hint="eastAsia" w:ascii="仿宋_GB2312" w:hAnsi="仿宋_GB2312" w:eastAsia="仿宋_GB2312" w:cs="仿宋_GB2312"/>
          <w:sz w:val="32"/>
          <w:szCs w:val="32"/>
          <w:lang w:val="en-US" w:eastAsia="zh-CN"/>
        </w:rPr>
        <w:t>273.04</w:t>
      </w:r>
      <w:r>
        <w:rPr>
          <w:rFonts w:hint="eastAsia" w:ascii="仿宋_GB2312" w:hAnsi="仿宋_GB2312" w:eastAsia="仿宋_GB2312" w:cs="仿宋_GB2312"/>
          <w:sz w:val="32"/>
          <w:szCs w:val="32"/>
          <w:lang w:val="zh-CN" w:eastAsia="zh-CN"/>
        </w:rPr>
        <w:t>万元，占</w:t>
      </w:r>
      <w:r>
        <w:rPr>
          <w:rFonts w:hint="eastAsia" w:ascii="仿宋_GB2312" w:hAnsi="仿宋_GB2312" w:eastAsia="仿宋_GB2312" w:cs="仿宋_GB2312"/>
          <w:sz w:val="32"/>
          <w:szCs w:val="32"/>
          <w:lang w:val="en-US" w:eastAsia="zh-CN"/>
        </w:rPr>
        <w:t>21.2</w:t>
      </w:r>
      <w:r>
        <w:rPr>
          <w:rFonts w:hint="eastAsia" w:ascii="仿宋_GB2312" w:hAnsi="仿宋_GB2312" w:eastAsia="仿宋_GB2312" w:cs="仿宋_GB2312"/>
          <w:sz w:val="32"/>
          <w:szCs w:val="32"/>
          <w:lang w:val="zh-CN" w:eastAsia="zh-CN"/>
        </w:rPr>
        <w:t>%。</w:t>
      </w:r>
      <w:r>
        <w:rPr>
          <w:rFonts w:hint="eastAsia" w:ascii="仿宋_GB2312" w:hAnsi="仿宋_GB2312" w:eastAsia="仿宋_GB2312" w:cs="仿宋_GB2312"/>
          <w:sz w:val="32"/>
          <w:szCs w:val="32"/>
          <w:lang w:eastAsia="zh-CN"/>
        </w:rPr>
        <w:t>。</w:t>
      </w:r>
    </w:p>
    <w:p>
      <w:pPr>
        <w:pageBreakBefore w:val="0"/>
        <w:kinsoku/>
        <w:wordWrap/>
        <w:overflowPunct/>
        <w:bidi w:val="0"/>
        <w:spacing w:line="55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（三）结余分配和结转结余情况。</w:t>
      </w:r>
      <w:r>
        <w:rPr>
          <w:rFonts w:hint="eastAsia" w:ascii="仿宋_GB2312" w:hAnsi="仿宋_GB2312" w:eastAsia="仿宋_GB2312" w:cs="仿宋_GB2312"/>
          <w:sz w:val="32"/>
          <w:szCs w:val="32"/>
          <w:lang w:eastAsia="zh-CN"/>
        </w:rPr>
        <w:t>盐边县司法局</w:t>
      </w:r>
      <w:r>
        <w:rPr>
          <w:rFonts w:hint="eastAsia" w:ascii="仿宋_GB2312" w:hAnsi="仿宋_GB2312" w:eastAsia="仿宋_GB2312" w:cs="仿宋_GB2312"/>
          <w:sz w:val="32"/>
          <w:szCs w:val="32"/>
        </w:rPr>
        <w:t>2024年决算报表结转结余情况。</w:t>
      </w:r>
    </w:p>
    <w:p>
      <w:pPr>
        <w:pageBreakBefore w:val="0"/>
        <w:kinsoku/>
        <w:wordWrap/>
        <w:overflowPunct/>
        <w:bidi w:val="0"/>
        <w:spacing w:line="550" w:lineRule="exact"/>
        <w:ind w:firstLine="640" w:firstLineChars="200"/>
        <w:textAlignment w:val="auto"/>
        <w:rPr>
          <w:rFonts w:hint="eastAsia" w:ascii="仿宋_GB2312" w:hAnsi="仿宋_GB2312" w:eastAsia="仿宋_GB2312" w:cs="仿宋_GB2312"/>
          <w:sz w:val="32"/>
          <w:szCs w:val="32"/>
        </w:rPr>
      </w:pPr>
      <w:bookmarkStart w:id="98" w:name="_Toc21121_WPSOffice_Level2"/>
      <w:bookmarkStart w:id="99" w:name="_Toc19148_WPSOffice_Level2"/>
      <w:r>
        <w:rPr>
          <w:rFonts w:hint="eastAsia" w:ascii="仿宋_GB2312" w:hAnsi="仿宋_GB2312" w:eastAsia="仿宋_GB2312" w:cs="仿宋_GB2312"/>
          <w:sz w:val="32"/>
          <w:szCs w:val="32"/>
        </w:rPr>
        <w:t>三、部门预算绩效分析</w:t>
      </w:r>
      <w:bookmarkEnd w:id="98"/>
      <w:bookmarkEnd w:id="99"/>
    </w:p>
    <w:p>
      <w:pPr>
        <w:keepNext w:val="0"/>
        <w:keepLines w:val="0"/>
        <w:pageBreakBefore w:val="0"/>
        <w:numPr>
          <w:ilvl w:val="0"/>
          <w:numId w:val="1"/>
        </w:numPr>
        <w:kinsoku/>
        <w:wordWrap/>
        <w:overflowPunct/>
        <w:topLinePunct w:val="0"/>
        <w:autoSpaceDE/>
        <w:autoSpaceDN/>
        <w:bidi w:val="0"/>
        <w:spacing w:line="560" w:lineRule="exact"/>
        <w:ind w:firstLine="643" w:firstLineChars="200"/>
        <w:textAlignment w:val="auto"/>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部门预算绩效管理。</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00000"/>
          <w:kern w:val="2"/>
          <w:sz w:val="32"/>
          <w:szCs w:val="32"/>
          <w:shd w:val="clear" w:color="auto" w:fill="FFFFFF"/>
          <w:lang w:val="en-US" w:eastAsia="zh-CN" w:bidi="ar"/>
        </w:rPr>
      </w:pPr>
      <w:r>
        <w:rPr>
          <w:rFonts w:hint="eastAsia" w:ascii="仿宋_GB2312" w:hAnsi="仿宋_GB2312" w:eastAsia="仿宋_GB2312" w:cs="仿宋_GB2312"/>
          <w:color w:val="000000"/>
          <w:kern w:val="2"/>
          <w:sz w:val="32"/>
          <w:szCs w:val="32"/>
          <w:shd w:val="clear" w:color="auto" w:fill="FFFFFF"/>
          <w:lang w:val="en-US" w:eastAsia="zh-CN" w:bidi="ar"/>
        </w:rPr>
        <w:t xml:space="preserve"> 1.绩效目标制定</w:t>
      </w:r>
    </w:p>
    <w:p>
      <w:pPr>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2024年，盐边县司法局</w:t>
      </w:r>
      <w:r>
        <w:rPr>
          <w:rFonts w:hint="eastAsia" w:ascii="仿宋_GB2312" w:hAnsi="仿宋_GB2312" w:eastAsia="仿宋_GB2312" w:cs="仿宋_GB2312"/>
          <w:color w:val="auto"/>
          <w:sz w:val="32"/>
          <w:szCs w:val="32"/>
        </w:rPr>
        <w:t>坚持以习近平新时代中国特色社会主义思想为指导，立足司法行政职能和</w:t>
      </w:r>
      <w:r>
        <w:rPr>
          <w:rFonts w:hint="eastAsia" w:ascii="仿宋_GB2312" w:hAnsi="仿宋_GB2312" w:eastAsia="仿宋_GB2312" w:cs="仿宋_GB2312"/>
          <w:color w:val="auto"/>
          <w:sz w:val="32"/>
          <w:szCs w:val="32"/>
          <w:lang w:eastAsia="zh-CN"/>
        </w:rPr>
        <w:t>盐边</w:t>
      </w:r>
      <w:r>
        <w:rPr>
          <w:rFonts w:hint="eastAsia" w:ascii="仿宋_GB2312" w:hAnsi="仿宋_GB2312" w:eastAsia="仿宋_GB2312" w:cs="仿宋_GB2312"/>
          <w:color w:val="auto"/>
          <w:sz w:val="32"/>
          <w:szCs w:val="32"/>
        </w:rPr>
        <w:t>工作实际，围绕</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委</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政府中心工作，切实维护社会和谐稳定</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保障和改善民生</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促进经济健康发展</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维护社会公平正义</w:t>
      </w:r>
      <w:r>
        <w:rPr>
          <w:rFonts w:hint="eastAsia" w:ascii="仿宋_GB2312" w:hAnsi="仿宋_GB2312" w:eastAsia="仿宋_GB2312" w:cs="仿宋_GB2312"/>
          <w:color w:val="auto"/>
          <w:sz w:val="32"/>
          <w:szCs w:val="32"/>
          <w:lang w:eastAsia="zh-CN"/>
        </w:rPr>
        <w:t>。</w:t>
      </w:r>
    </w:p>
    <w:p>
      <w:pPr>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kern w:val="2"/>
          <w:sz w:val="32"/>
          <w:szCs w:val="32"/>
          <w:shd w:val="clear" w:color="auto" w:fill="FFFFFF"/>
          <w:lang w:val="en-US" w:eastAsia="zh-CN" w:bidi="ar"/>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kern w:val="2"/>
          <w:sz w:val="32"/>
          <w:szCs w:val="32"/>
          <w:shd w:val="clear" w:color="auto" w:fill="FFFFFF"/>
          <w:lang w:val="en-US" w:eastAsia="zh-CN" w:bidi="ar"/>
        </w:rPr>
        <w:t>绩效目标执行情况</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kern w:val="2"/>
          <w:sz w:val="32"/>
          <w:szCs w:val="32"/>
          <w:shd w:val="clear" w:color="auto" w:fill="FFFFFF"/>
          <w:lang w:val="en-US" w:eastAsia="zh-CN" w:bidi="ar"/>
        </w:rPr>
      </w:pPr>
      <w:r>
        <w:rPr>
          <w:rFonts w:hint="eastAsia" w:ascii="仿宋_GB2312" w:hAnsi="仿宋_GB2312" w:eastAsia="仿宋_GB2312" w:cs="仿宋_GB2312"/>
          <w:color w:val="auto"/>
          <w:kern w:val="2"/>
          <w:sz w:val="32"/>
          <w:szCs w:val="32"/>
          <w:shd w:val="clear" w:color="auto" w:fill="FFFFFF"/>
          <w:lang w:val="en-US" w:eastAsia="zh-CN" w:bidi="ar"/>
        </w:rPr>
        <w:t>盐边县司法局2024年度全年资金拨付和使用均按计划进度完成，在资金的使用上，严守法律底线、纪律底线，无违反财务管理、财经纪律情况发生，会计核算真实完整，项目资金支出和原定用途、预算批复用途相符，财政资金使用效率进一步提高。在资金的管理方面，进一步强化资金统筹，优化资金结构，明确开支范围，细化资金用途，确保各项工作的顺利开展和财政资金的有效使用。</w:t>
      </w:r>
    </w:p>
    <w:p>
      <w:pPr>
        <w:keepNext w:val="0"/>
        <w:keepLines w:val="0"/>
        <w:pageBreakBefore w:val="0"/>
        <w:kinsoku/>
        <w:wordWrap/>
        <w:overflowPunct/>
        <w:topLinePunct w:val="0"/>
        <w:autoSpaceDE/>
        <w:autoSpaceDN/>
        <w:bidi w:val="0"/>
        <w:snapToGrid w:val="0"/>
        <w:spacing w:line="560" w:lineRule="exact"/>
        <w:ind w:firstLine="643" w:firstLineChars="200"/>
        <w:textAlignment w:val="auto"/>
        <w:rPr>
          <w:rFonts w:hint="eastAsia" w:ascii="仿宋_GB2312" w:hAnsi="仿宋_GB2312" w:eastAsia="仿宋_GB2312" w:cs="仿宋_GB2312"/>
          <w:b/>
          <w:bCs/>
          <w:color w:val="000000"/>
          <w:sz w:val="32"/>
          <w:szCs w:val="32"/>
          <w:lang w:val="en-US" w:eastAsia="zh-CN"/>
        </w:rPr>
      </w:pPr>
      <w:r>
        <w:rPr>
          <w:rFonts w:hint="eastAsia" w:ascii="仿宋_GB2312" w:hAnsi="仿宋_GB2312" w:eastAsia="仿宋_GB2312" w:cs="仿宋_GB2312"/>
          <w:b/>
          <w:bCs/>
          <w:color w:val="000000"/>
          <w:sz w:val="32"/>
          <w:szCs w:val="32"/>
          <w:lang w:val="en-US" w:eastAsia="zh-CN"/>
        </w:rPr>
        <w:t>（1）人员类</w:t>
      </w:r>
    </w:p>
    <w:p>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hint="eastAsia" w:ascii="仿宋_GB2312" w:hAnsi="仿宋_GB2312" w:eastAsia="仿宋_GB2312" w:cs="仿宋_GB2312"/>
          <w:color w:val="auto"/>
          <w:kern w:val="2"/>
          <w:sz w:val="32"/>
          <w:szCs w:val="32"/>
          <w:shd w:val="clear" w:color="auto" w:fill="FFFFFF"/>
          <w:lang w:val="en-US" w:eastAsia="zh-CN" w:bidi="ar"/>
        </w:rPr>
      </w:pPr>
      <w:r>
        <w:rPr>
          <w:rFonts w:hint="eastAsia" w:ascii="仿宋_GB2312" w:hAnsi="仿宋_GB2312" w:eastAsia="仿宋_GB2312" w:cs="仿宋_GB2312"/>
          <w:color w:val="auto"/>
          <w:kern w:val="2"/>
          <w:sz w:val="32"/>
          <w:szCs w:val="32"/>
          <w:shd w:val="clear" w:color="auto" w:fill="FFFFFF"/>
          <w:lang w:val="en-US" w:eastAsia="zh-CN" w:bidi="ar"/>
        </w:rPr>
        <w:t>2024年度人员经费支出</w:t>
      </w:r>
      <w:r>
        <w:rPr>
          <w:rFonts w:hint="eastAsia" w:ascii="仿宋_GB2312" w:hAnsi="仿宋_GB2312" w:eastAsia="仿宋_GB2312" w:cs="仿宋_GB2312"/>
          <w:color w:val="auto"/>
          <w:kern w:val="2"/>
          <w:sz w:val="32"/>
          <w:szCs w:val="32"/>
          <w:highlight w:val="none"/>
          <w:shd w:val="clear" w:color="auto" w:fill="FFFFFF"/>
          <w:lang w:val="en-US" w:eastAsia="zh-CN" w:bidi="ar"/>
        </w:rPr>
        <w:t>897.21</w:t>
      </w:r>
      <w:r>
        <w:rPr>
          <w:rFonts w:hint="eastAsia" w:ascii="仿宋_GB2312" w:hAnsi="仿宋_GB2312" w:eastAsia="仿宋_GB2312" w:cs="仿宋_GB2312"/>
          <w:color w:val="auto"/>
          <w:kern w:val="2"/>
          <w:sz w:val="32"/>
          <w:szCs w:val="32"/>
          <w:shd w:val="clear" w:color="auto" w:fill="FFFFFF"/>
          <w:lang w:val="en-US" w:eastAsia="zh-CN" w:bidi="ar"/>
        </w:rPr>
        <w:t>万元，主要用于职工工资及福利待遇支出，未将人员工资福利支出等大平台指标挪作它用，基本支出保障有力，确保全年平稳保障职工工资支出，维持基本行政运转，预算执行率100%。</w:t>
      </w:r>
    </w:p>
    <w:p>
      <w:pPr>
        <w:keepNext w:val="0"/>
        <w:keepLines w:val="0"/>
        <w:pageBreakBefore w:val="0"/>
        <w:kinsoku/>
        <w:wordWrap/>
        <w:overflowPunct/>
        <w:topLinePunct w:val="0"/>
        <w:autoSpaceDE/>
        <w:autoSpaceDN/>
        <w:bidi w:val="0"/>
        <w:snapToGrid w:val="0"/>
        <w:spacing w:line="560" w:lineRule="exact"/>
        <w:ind w:firstLine="643" w:firstLineChars="200"/>
        <w:textAlignment w:val="auto"/>
        <w:rPr>
          <w:rFonts w:hint="eastAsia" w:ascii="仿宋_GB2312" w:hAnsi="仿宋_GB2312" w:eastAsia="仿宋_GB2312" w:cs="仿宋_GB2312"/>
          <w:b/>
          <w:bCs/>
          <w:color w:val="000000"/>
          <w:sz w:val="32"/>
          <w:szCs w:val="32"/>
          <w:lang w:val="en-US" w:eastAsia="zh-CN"/>
        </w:rPr>
      </w:pPr>
      <w:r>
        <w:rPr>
          <w:rFonts w:hint="eastAsia" w:ascii="仿宋_GB2312" w:hAnsi="仿宋_GB2312" w:eastAsia="仿宋_GB2312" w:cs="仿宋_GB2312"/>
          <w:b/>
          <w:bCs/>
          <w:color w:val="000000"/>
          <w:sz w:val="32"/>
          <w:szCs w:val="32"/>
          <w:lang w:val="en-US" w:eastAsia="zh-CN"/>
        </w:rPr>
        <w:t>（2）运转类</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kern w:val="2"/>
          <w:sz w:val="32"/>
          <w:szCs w:val="32"/>
          <w:shd w:val="clear" w:color="auto" w:fill="FFFFFF"/>
          <w:lang w:val="en-US" w:eastAsia="zh-CN" w:bidi="ar"/>
        </w:rPr>
      </w:pPr>
      <w:r>
        <w:rPr>
          <w:rFonts w:hint="eastAsia" w:ascii="仿宋_GB2312" w:hAnsi="仿宋_GB2312" w:eastAsia="仿宋_GB2312" w:cs="仿宋_GB2312"/>
          <w:color w:val="auto"/>
          <w:kern w:val="2"/>
          <w:sz w:val="32"/>
          <w:szCs w:val="32"/>
          <w:shd w:val="clear" w:color="auto" w:fill="FFFFFF"/>
          <w:lang w:val="en-US" w:eastAsia="zh-CN" w:bidi="ar"/>
        </w:rPr>
        <w:t>2024年度公用经费支出109.34万元，主要用于办公费、印刷费、水电费、差旅费、维修（护）费等日常公用经费，严格按照资金用途申报、使用资金，均已足额按时支付，有力保障了各项工作的顺利开展。预算执行率100%。</w:t>
      </w:r>
    </w:p>
    <w:p>
      <w:pPr>
        <w:keepNext w:val="0"/>
        <w:keepLines w:val="0"/>
        <w:pageBreakBefore w:val="0"/>
        <w:widowControl/>
        <w:kinsoku/>
        <w:wordWrap/>
        <w:overflowPunct/>
        <w:topLinePunct w:val="0"/>
        <w:autoSpaceDE/>
        <w:autoSpaceDN/>
        <w:bidi w:val="0"/>
        <w:adjustRightInd w:val="0"/>
        <w:snapToGrid w:val="0"/>
        <w:spacing w:line="560" w:lineRule="exact"/>
        <w:ind w:firstLine="643" w:firstLineChars="200"/>
        <w:contextualSpacing/>
        <w:jc w:val="left"/>
        <w:textAlignment w:val="auto"/>
        <w:rPr>
          <w:rFonts w:hint="eastAsia" w:ascii="仿宋_GB2312" w:hAnsi="仿宋_GB2312" w:eastAsia="仿宋_GB2312" w:cs="仿宋_GB2312"/>
          <w:b/>
          <w:bCs/>
          <w:color w:val="000000"/>
          <w:sz w:val="32"/>
          <w:szCs w:val="32"/>
          <w:lang w:val="en-US" w:eastAsia="zh-CN"/>
        </w:rPr>
      </w:pPr>
      <w:r>
        <w:rPr>
          <w:rFonts w:hint="eastAsia" w:ascii="仿宋_GB2312" w:hAnsi="仿宋_GB2312" w:eastAsia="仿宋_GB2312" w:cs="仿宋_GB2312"/>
          <w:b/>
          <w:bCs/>
          <w:color w:val="000000"/>
          <w:sz w:val="32"/>
          <w:szCs w:val="32"/>
          <w:lang w:val="en-US" w:eastAsia="zh-CN"/>
        </w:rPr>
        <w:t>（3）特定目标类</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kern w:val="2"/>
          <w:sz w:val="32"/>
          <w:szCs w:val="32"/>
          <w:shd w:val="clear" w:color="auto" w:fill="FFFFFF"/>
          <w:lang w:val="en-US" w:eastAsia="zh-CN" w:bidi="ar"/>
        </w:rPr>
      </w:pPr>
      <w:r>
        <w:rPr>
          <w:rFonts w:hint="eastAsia" w:ascii="仿宋_GB2312" w:hAnsi="仿宋_GB2312" w:eastAsia="仿宋_GB2312" w:cs="仿宋_GB2312"/>
          <w:color w:val="auto"/>
          <w:kern w:val="2"/>
          <w:sz w:val="32"/>
          <w:szCs w:val="32"/>
          <w:shd w:val="clear" w:color="auto" w:fill="FFFFFF"/>
          <w:lang w:val="en-US" w:eastAsia="zh-CN" w:bidi="ar"/>
        </w:rPr>
        <w:t>2024年项目支出173.04万元，有效保障了司法开展法律援助、人民调解、社区矫正等办案业务工作正常运行。预算执行率100%。</w:t>
      </w:r>
    </w:p>
    <w:p>
      <w:pPr>
        <w:keepNext w:val="0"/>
        <w:keepLines w:val="0"/>
        <w:pageBreakBefore w:val="0"/>
        <w:numPr>
          <w:ilvl w:val="0"/>
          <w:numId w:val="2"/>
        </w:numPr>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kern w:val="2"/>
          <w:sz w:val="32"/>
          <w:szCs w:val="32"/>
          <w:shd w:val="clear" w:color="auto" w:fill="FFFFFF"/>
          <w:lang w:val="en-US" w:eastAsia="zh-CN" w:bidi="ar"/>
        </w:rPr>
      </w:pPr>
      <w:r>
        <w:rPr>
          <w:rFonts w:hint="eastAsia" w:ascii="仿宋_GB2312" w:hAnsi="仿宋_GB2312" w:eastAsia="仿宋_GB2312" w:cs="仿宋_GB2312"/>
          <w:color w:val="auto"/>
          <w:kern w:val="2"/>
          <w:sz w:val="32"/>
          <w:szCs w:val="32"/>
          <w:shd w:val="clear" w:color="auto" w:fill="FFFFFF"/>
          <w:lang w:val="en-US" w:eastAsia="zh-CN" w:bidi="ar"/>
        </w:rPr>
        <w:t>绩效目标完成情况</w:t>
      </w:r>
    </w:p>
    <w:p>
      <w:pPr>
        <w:keepNext w:val="0"/>
        <w:keepLines w:val="0"/>
        <w:pageBreakBefore w:val="0"/>
        <w:widowControl w:val="0"/>
        <w:kinsoku/>
        <w:wordWrap/>
        <w:overflowPunct/>
        <w:topLinePunct/>
        <w:autoSpaceDE/>
        <w:autoSpaceDN/>
        <w:bidi w:val="0"/>
        <w:adjustRightInd/>
        <w:snapToGrid/>
        <w:spacing w:line="540" w:lineRule="exact"/>
        <w:ind w:firstLine="643" w:firstLineChars="200"/>
        <w:contextualSpacing/>
        <w:jc w:val="both"/>
        <w:textAlignment w:val="auto"/>
        <w:rPr>
          <w:rFonts w:hint="eastAsia" w:ascii="仿宋_GB2312" w:hAnsi="仿宋_GB2312" w:eastAsia="仿宋_GB2312" w:cs="仿宋_GB2312"/>
          <w:b w:val="0"/>
          <w:bCs/>
          <w:color w:val="auto"/>
          <w:sz w:val="32"/>
          <w:szCs w:val="32"/>
          <w:lang w:val="en-US" w:eastAsia="zh-CN"/>
        </w:rPr>
      </w:pPr>
      <w:r>
        <w:rPr>
          <w:rFonts w:hint="eastAsia" w:ascii="仿宋_GB2312" w:hAnsi="仿宋_GB2312" w:eastAsia="仿宋_GB2312" w:cs="仿宋_GB2312"/>
          <w:b/>
          <w:bCs w:val="0"/>
          <w:color w:val="auto"/>
          <w:sz w:val="32"/>
          <w:szCs w:val="32"/>
        </w:rPr>
        <w:t>（一）强化统筹，法治建设工作稳步推进</w:t>
      </w:r>
      <w:r>
        <w:rPr>
          <w:rFonts w:hint="eastAsia" w:ascii="仿宋_GB2312" w:hAnsi="仿宋_GB2312" w:eastAsia="仿宋_GB2312" w:cs="仿宋_GB2312"/>
          <w:b/>
          <w:bCs w:val="0"/>
          <w:color w:val="auto"/>
          <w:sz w:val="32"/>
          <w:szCs w:val="32"/>
          <w:lang w:eastAsia="zh-CN"/>
        </w:rPr>
        <w:t>。</w:t>
      </w:r>
    </w:p>
    <w:p>
      <w:pPr>
        <w:keepNext w:val="0"/>
        <w:keepLines w:val="0"/>
        <w:pageBreakBefore w:val="0"/>
        <w:widowControl w:val="0"/>
        <w:kinsoku/>
        <w:wordWrap/>
        <w:overflowPunct/>
        <w:topLinePunct/>
        <w:autoSpaceDE/>
        <w:autoSpaceDN/>
        <w:bidi w:val="0"/>
        <w:adjustRightInd/>
        <w:snapToGrid/>
        <w:spacing w:line="540" w:lineRule="exact"/>
        <w:ind w:firstLine="643" w:firstLineChars="200"/>
        <w:contextualSpacing/>
        <w:jc w:val="both"/>
        <w:textAlignment w:val="auto"/>
        <w:rPr>
          <w:rFonts w:hint="eastAsia" w:ascii="仿宋_GB2312" w:hAnsi="仿宋_GB2312" w:eastAsia="仿宋_GB2312" w:cs="仿宋_GB2312"/>
          <w:color w:val="auto"/>
          <w:kern w:val="2"/>
          <w:sz w:val="32"/>
          <w:szCs w:val="32"/>
          <w:lang w:eastAsia="zh-CN"/>
        </w:rPr>
      </w:pPr>
      <w:r>
        <w:rPr>
          <w:rFonts w:hint="eastAsia" w:ascii="仿宋_GB2312" w:hAnsi="仿宋_GB2312" w:eastAsia="仿宋_GB2312" w:cs="仿宋_GB2312"/>
          <w:b/>
          <w:color w:val="auto"/>
          <w:sz w:val="32"/>
          <w:szCs w:val="32"/>
          <w:highlight w:val="none"/>
        </w:rPr>
        <w:t>1.全面依法治县统筹推进。</w:t>
      </w:r>
      <w:r>
        <w:rPr>
          <w:rFonts w:hint="eastAsia" w:ascii="仿宋_GB2312" w:hAnsi="仿宋_GB2312" w:eastAsia="仿宋_GB2312" w:cs="仿宋_GB2312"/>
          <w:color w:val="auto"/>
          <w:kern w:val="2"/>
          <w:sz w:val="32"/>
          <w:szCs w:val="32"/>
          <w:highlight w:val="none"/>
          <w:lang w:eastAsia="zh-CN"/>
        </w:rPr>
        <w:t>草拟</w:t>
      </w:r>
      <w:r>
        <w:rPr>
          <w:rFonts w:hint="eastAsia" w:ascii="仿宋_GB2312" w:hAnsi="仿宋_GB2312" w:eastAsia="仿宋_GB2312" w:cs="仿宋_GB2312"/>
          <w:color w:val="auto"/>
          <w:kern w:val="2"/>
          <w:sz w:val="32"/>
          <w:szCs w:val="32"/>
          <w:lang w:eastAsia="zh-CN"/>
        </w:rPr>
        <w:t>并报送县委常委会2024年学法建议清单，印发《中共盐边县委全面依法治县委员会2024年工作要点》，召开十五届县委全面依法治县委员会第五次会议。做好法治建设“一规划两方案”实施情况中期督查及全市道路交通安全和运输执法领域突出问题整治专项督查检查反馈问题整改工作，拟定整改方案，及时梳理整改完成情况。向市委依法治市办报送盐边县全面推广“1+8”示范试点成果工作情况汇报，向市委报送中共盐边县委关于2023年度法治建设工作情况的报告。积极组织全县各部门、乡（镇）参加攀枝花市2024年度法治实践课题研究工作，向市委依法治市办推荐报送法治实践课题5篇。做好全面推广应用“1+8”示范试点成果总结提升工作，收集相关责任单位并开始总结提炼本地区、本领域、本部门法治建设中的特色经验和亮点做法，并通知相关单位修改完善机构改革后的法治账图。拟</w:t>
      </w:r>
      <w:r>
        <w:rPr>
          <w:rFonts w:hint="eastAsia" w:ascii="仿宋_GB2312" w:hAnsi="仿宋_GB2312" w:eastAsia="仿宋_GB2312" w:cs="仿宋_GB2312"/>
          <w:color w:val="auto"/>
          <w:kern w:val="2"/>
          <w:sz w:val="32"/>
          <w:szCs w:val="32"/>
          <w:lang w:val="en-US" w:eastAsia="zh-CN"/>
        </w:rPr>
        <w:t>定</w:t>
      </w:r>
      <w:r>
        <w:rPr>
          <w:rFonts w:hint="eastAsia" w:ascii="仿宋_GB2312" w:hAnsi="仿宋_GB2312" w:eastAsia="仿宋_GB2312" w:cs="仿宋_GB2312"/>
          <w:color w:val="auto"/>
          <w:kern w:val="2"/>
          <w:sz w:val="32"/>
          <w:szCs w:val="32"/>
          <w:lang w:eastAsia="zh-CN"/>
        </w:rPr>
        <w:t>《盐边县2024年度全面依法治县工作考评细则》（征求意见稿）。印发《盐边县党政主要负责人履行推进法治建设第一责任人职责清单》。草拟《盐边县小区依法治理工作实施方案》。审核完成2023年各单位干部法治考核登记表1137人次，按月向市委依法治市办报送</w:t>
      </w:r>
      <w:r>
        <w:rPr>
          <w:rFonts w:hint="eastAsia" w:ascii="仿宋_GB2312" w:hAnsi="仿宋_GB2312" w:eastAsia="仿宋_GB2312" w:cs="仿宋_GB2312"/>
          <w:color w:val="auto"/>
          <w:kern w:val="2"/>
          <w:sz w:val="32"/>
          <w:szCs w:val="32"/>
          <w:lang w:val="en-US" w:eastAsia="zh-CN"/>
        </w:rPr>
        <w:t>工作</w:t>
      </w:r>
      <w:r>
        <w:rPr>
          <w:rFonts w:hint="eastAsia" w:ascii="仿宋_GB2312" w:hAnsi="仿宋_GB2312" w:eastAsia="仿宋_GB2312" w:cs="仿宋_GB2312"/>
          <w:color w:val="auto"/>
          <w:kern w:val="2"/>
          <w:sz w:val="32"/>
          <w:szCs w:val="32"/>
          <w:lang w:eastAsia="zh-CN"/>
        </w:rPr>
        <w:t>信息35期80篇，工作月报10期，专报3期。</w:t>
      </w:r>
    </w:p>
    <w:p>
      <w:pPr>
        <w:keepNext w:val="0"/>
        <w:keepLines w:val="0"/>
        <w:pageBreakBefore w:val="0"/>
        <w:widowControl w:val="0"/>
        <w:kinsoku/>
        <w:wordWrap/>
        <w:overflowPunct/>
        <w:topLinePunct/>
        <w:autoSpaceDE/>
        <w:autoSpaceDN/>
        <w:bidi w:val="0"/>
        <w:adjustRightInd/>
        <w:snapToGrid/>
        <w:spacing w:line="540" w:lineRule="exact"/>
        <w:ind w:firstLine="643" w:firstLineChars="200"/>
        <w:contextualSpacing/>
        <w:jc w:val="both"/>
        <w:textAlignment w:val="auto"/>
        <w:rPr>
          <w:rFonts w:hint="eastAsia" w:ascii="仿宋_GB2312" w:hAnsi="仿宋_GB2312" w:eastAsia="仿宋_GB2312" w:cs="仿宋_GB2312"/>
          <w:color w:val="auto"/>
          <w:kern w:val="2"/>
          <w:sz w:val="32"/>
          <w:szCs w:val="32"/>
          <w:lang w:eastAsia="zh-CN"/>
        </w:rPr>
      </w:pPr>
      <w:r>
        <w:rPr>
          <w:rFonts w:hint="eastAsia" w:ascii="仿宋_GB2312" w:hAnsi="仿宋_GB2312" w:eastAsia="仿宋_GB2312" w:cs="仿宋_GB2312"/>
          <w:b/>
          <w:color w:val="auto"/>
          <w:sz w:val="32"/>
          <w:szCs w:val="32"/>
          <w:highlight w:val="none"/>
          <w:lang w:eastAsia="zh-CN"/>
        </w:rPr>
        <w:t>2.全面推进法治政府建设。</w:t>
      </w:r>
      <w:r>
        <w:rPr>
          <w:rFonts w:hint="eastAsia" w:ascii="仿宋_GB2312" w:hAnsi="仿宋_GB2312" w:eastAsia="仿宋_GB2312" w:cs="仿宋_GB2312"/>
          <w:color w:val="auto"/>
          <w:kern w:val="2"/>
          <w:sz w:val="32"/>
          <w:szCs w:val="32"/>
          <w:lang w:eastAsia="zh-CN"/>
        </w:rPr>
        <w:t>完成2023.4</w:t>
      </w:r>
      <w:r>
        <w:rPr>
          <w:rFonts w:hint="eastAsia" w:ascii="仿宋_GB2312" w:hAnsi="仿宋_GB2312" w:eastAsia="仿宋_GB2312" w:cs="仿宋_GB2312"/>
          <w:color w:val="auto"/>
          <w:kern w:val="2"/>
          <w:sz w:val="32"/>
          <w:szCs w:val="32"/>
          <w:lang w:val="en-US" w:eastAsia="zh-CN"/>
        </w:rPr>
        <w:t>.</w:t>
      </w:r>
      <w:r>
        <w:rPr>
          <w:rFonts w:hint="eastAsia" w:ascii="仿宋_GB2312" w:hAnsi="仿宋_GB2312" w:eastAsia="仿宋_GB2312" w:cs="仿宋_GB2312"/>
          <w:color w:val="auto"/>
          <w:kern w:val="2"/>
          <w:sz w:val="32"/>
          <w:szCs w:val="32"/>
          <w:lang w:eastAsia="zh-CN"/>
        </w:rPr>
        <w:t>1</w:t>
      </w:r>
      <w:r>
        <w:rPr>
          <w:rFonts w:hint="eastAsia" w:ascii="仿宋_GB2312" w:hAnsi="仿宋_GB2312" w:eastAsia="仿宋_GB2312" w:cs="仿宋_GB2312"/>
          <w:color w:val="auto"/>
          <w:kern w:val="2"/>
          <w:sz w:val="32"/>
          <w:szCs w:val="32"/>
          <w:lang w:val="en-US" w:eastAsia="zh-CN"/>
        </w:rPr>
        <w:t>至</w:t>
      </w:r>
      <w:r>
        <w:rPr>
          <w:rFonts w:hint="eastAsia" w:ascii="仿宋_GB2312" w:hAnsi="仿宋_GB2312" w:eastAsia="仿宋_GB2312" w:cs="仿宋_GB2312"/>
          <w:color w:val="auto"/>
          <w:kern w:val="2"/>
          <w:sz w:val="32"/>
          <w:szCs w:val="32"/>
          <w:lang w:eastAsia="zh-CN"/>
        </w:rPr>
        <w:t>2024</w:t>
      </w:r>
      <w:r>
        <w:rPr>
          <w:rFonts w:hint="eastAsia" w:ascii="仿宋_GB2312" w:hAnsi="仿宋_GB2312" w:eastAsia="仿宋_GB2312" w:cs="仿宋_GB2312"/>
          <w:color w:val="auto"/>
          <w:kern w:val="2"/>
          <w:sz w:val="32"/>
          <w:szCs w:val="32"/>
          <w:lang w:val="en-US" w:eastAsia="zh-CN"/>
        </w:rPr>
        <w:t>.</w:t>
      </w:r>
      <w:r>
        <w:rPr>
          <w:rFonts w:hint="eastAsia" w:ascii="仿宋_GB2312" w:hAnsi="仿宋_GB2312" w:eastAsia="仿宋_GB2312" w:cs="仿宋_GB2312"/>
          <w:color w:val="auto"/>
          <w:kern w:val="2"/>
          <w:sz w:val="32"/>
          <w:szCs w:val="32"/>
          <w:lang w:eastAsia="zh-CN"/>
        </w:rPr>
        <w:t>1</w:t>
      </w:r>
      <w:r>
        <w:rPr>
          <w:rFonts w:hint="eastAsia" w:ascii="仿宋_GB2312" w:hAnsi="仿宋_GB2312" w:eastAsia="仿宋_GB2312" w:cs="仿宋_GB2312"/>
          <w:color w:val="auto"/>
          <w:kern w:val="2"/>
          <w:sz w:val="32"/>
          <w:szCs w:val="32"/>
          <w:lang w:val="en-US" w:eastAsia="zh-CN"/>
        </w:rPr>
        <w:t>.</w:t>
      </w:r>
      <w:r>
        <w:rPr>
          <w:rFonts w:hint="eastAsia" w:ascii="仿宋_GB2312" w:hAnsi="仿宋_GB2312" w:eastAsia="仿宋_GB2312" w:cs="仿宋_GB2312"/>
          <w:color w:val="auto"/>
          <w:kern w:val="2"/>
          <w:sz w:val="32"/>
          <w:szCs w:val="32"/>
          <w:lang w:eastAsia="zh-CN"/>
        </w:rPr>
        <w:t>25行政规范性文件清理工作，</w:t>
      </w:r>
      <w:r>
        <w:rPr>
          <w:rFonts w:hint="eastAsia" w:ascii="仿宋_GB2312" w:hAnsi="仿宋_GB2312" w:eastAsia="仿宋_GB2312" w:cs="仿宋_GB2312"/>
          <w:color w:val="auto"/>
          <w:kern w:val="2"/>
          <w:sz w:val="32"/>
          <w:szCs w:val="32"/>
          <w:lang w:val="en-US" w:eastAsia="zh-CN"/>
        </w:rPr>
        <w:t>清理后</w:t>
      </w:r>
      <w:r>
        <w:rPr>
          <w:rFonts w:hint="eastAsia" w:ascii="仿宋_GB2312" w:hAnsi="仿宋_GB2312" w:eastAsia="仿宋_GB2312" w:cs="仿宋_GB2312"/>
          <w:color w:val="auto"/>
          <w:kern w:val="2"/>
          <w:sz w:val="32"/>
          <w:szCs w:val="32"/>
          <w:lang w:eastAsia="zh-CN"/>
        </w:rPr>
        <w:t>全县继续有效行政规范性文件11件、拟修改规范性文件0件、废止规范性文件1件、失效规范性文件7件；完成县级行政规范性文件合法性审核7件，市级备案5件，2件正在备案中。开展合法性审核68件（其中：重大合同49件，重大行政决策12件、行政规范性文件7件）。按时公开2023年度法治政府建设工作报告。印发《行政执法人员全员轮训工作方案》，组织全县40个行政执法部门及乡镇748人参加通用法律知识培训。组织全县法律实务培训10期，覆盖人数1600人。建立盐边县法律顾问团，成立盐边县法律顾问团管理办公室，制定管理办法和考核机制，对全县法律顾问实行集中统一管理，实行县、乡全覆盖，充分发挥法律顾问在推进依法执政和依法行政方面的作用，切实解决个别单位法律顾问“聘而不用”“顾而不问”等问题。</w:t>
      </w:r>
    </w:p>
    <w:p>
      <w:pPr>
        <w:keepNext w:val="0"/>
        <w:keepLines w:val="0"/>
        <w:pageBreakBefore w:val="0"/>
        <w:widowControl w:val="0"/>
        <w:kinsoku/>
        <w:wordWrap/>
        <w:overflowPunct/>
        <w:topLinePunct/>
        <w:autoSpaceDE/>
        <w:autoSpaceDN/>
        <w:bidi w:val="0"/>
        <w:adjustRightInd/>
        <w:snapToGrid/>
        <w:spacing w:line="540" w:lineRule="exact"/>
        <w:ind w:firstLine="643" w:firstLineChars="200"/>
        <w:contextualSpacing/>
        <w:jc w:val="both"/>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color w:val="auto"/>
          <w:sz w:val="32"/>
          <w:szCs w:val="32"/>
          <w:highlight w:val="none"/>
        </w:rPr>
        <w:t>3.提升法治宣传教育质效。</w:t>
      </w:r>
      <w:r>
        <w:rPr>
          <w:rFonts w:hint="eastAsia" w:ascii="仿宋_GB2312" w:hAnsi="仿宋_GB2312" w:eastAsia="仿宋_GB2312" w:cs="仿宋_GB2312"/>
          <w:color w:val="auto"/>
          <w:kern w:val="2"/>
          <w:sz w:val="32"/>
          <w:szCs w:val="32"/>
          <w:lang w:eastAsia="zh-CN"/>
        </w:rPr>
        <w:t>深入推进“八五”普法规划实施，制发《2024年盐边县普法依法治理工作要点》《2024年盐边县法治宣传“一月一主题活动”工作方案》等。结合“四川十大法治人物”巡回宣讲、民法典“典”亮营商环境等主题活动开展2024年“民法典宣传月”活动10场次。深入开展“法律进企业、法律进学校”活动21场次，科学组织实施法治宣传教育“一月一主题”活动，常态化开展“3.15消费者权益日”“4.15国家安全日”“6.5世界环境日”“6.26”国际禁毒日等主题活动33场次，共发放各类法治资料和宣传品1.8万份。扎实推进全县学法考法工作，目前全县学法考法注册学员3882人，较去年增加1040人（在编教师），学法覆盖率达到85%，提前1年完成省、市下达的目标任务。结合“公民法治素养提升行动”推进县、乡两级“法律明白人”、“学法用法示范户”培训130余人次，通过建立桐子林镇清源社区、红格镇阳光社区、红格镇公共法律服务工作站3个观测点进一步发挥公民法治素养提升“前沿哨”作用。不断推进法治阵地建设，深入惠民镇、桐子林镇、红格镇、红果彝族乡等乡镇开展法治阵地调研11次，进一步探索法治阵地特色品牌建设工作，在征求相关部门意见后，初步选取红果彝族乡三滩村为省级“民主法治示范村”建设单位并上报市司法局，同时结合习近平法治思想、宪法、民法典等法律法规提档升级法治阵地4处，进一步凸显普法阵地功能定位，提升村（社区）法治文化氛围。</w:t>
      </w:r>
    </w:p>
    <w:p>
      <w:pPr>
        <w:keepNext w:val="0"/>
        <w:keepLines w:val="0"/>
        <w:pageBreakBefore w:val="0"/>
        <w:widowControl w:val="0"/>
        <w:kinsoku/>
        <w:wordWrap/>
        <w:overflowPunct/>
        <w:topLinePunct/>
        <w:autoSpaceDE/>
        <w:autoSpaceDN/>
        <w:bidi w:val="0"/>
        <w:adjustRightInd/>
        <w:snapToGrid/>
        <w:spacing w:line="540" w:lineRule="exact"/>
        <w:ind w:firstLine="643" w:firstLineChars="200"/>
        <w:contextualSpacing/>
        <w:jc w:val="both"/>
        <w:textAlignment w:val="auto"/>
        <w:rPr>
          <w:rFonts w:hint="eastAsia" w:ascii="仿宋_GB2312" w:hAnsi="仿宋_GB2312" w:eastAsia="仿宋_GB2312" w:cs="仿宋_GB2312"/>
          <w:b/>
          <w:bCs w:val="0"/>
          <w:color w:val="auto"/>
          <w:sz w:val="32"/>
          <w:szCs w:val="32"/>
          <w:lang w:eastAsia="zh-CN"/>
        </w:rPr>
      </w:pPr>
      <w:r>
        <w:rPr>
          <w:rFonts w:hint="eastAsia" w:ascii="仿宋_GB2312" w:hAnsi="仿宋_GB2312" w:eastAsia="仿宋_GB2312" w:cs="仿宋_GB2312"/>
          <w:b/>
          <w:bCs w:val="0"/>
          <w:color w:val="auto"/>
          <w:sz w:val="32"/>
          <w:szCs w:val="32"/>
        </w:rPr>
        <w:t>（二）聚焦服务，擦亮平安盐边建设招牌</w:t>
      </w:r>
      <w:r>
        <w:rPr>
          <w:rFonts w:hint="eastAsia" w:ascii="仿宋_GB2312" w:hAnsi="仿宋_GB2312" w:eastAsia="仿宋_GB2312" w:cs="仿宋_GB2312"/>
          <w:b/>
          <w:bCs w:val="0"/>
          <w:color w:val="auto"/>
          <w:sz w:val="32"/>
          <w:szCs w:val="32"/>
          <w:lang w:eastAsia="zh-CN"/>
        </w:rPr>
        <w:t>。</w:t>
      </w:r>
    </w:p>
    <w:p>
      <w:pPr>
        <w:pStyle w:val="15"/>
        <w:keepNext w:val="0"/>
        <w:keepLines w:val="0"/>
        <w:pageBreakBefore w:val="0"/>
        <w:widowControl w:val="0"/>
        <w:kinsoku/>
        <w:wordWrap/>
        <w:overflowPunct/>
        <w:topLinePunct/>
        <w:autoSpaceDE/>
        <w:autoSpaceDN/>
        <w:bidi w:val="0"/>
        <w:adjustRightInd/>
        <w:snapToGrid/>
        <w:spacing w:after="0" w:line="540" w:lineRule="exact"/>
        <w:ind w:left="0" w:leftChars="0" w:firstLine="643" w:firstLineChars="200"/>
        <w:contextualSpacing/>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b/>
          <w:bCs/>
          <w:color w:val="auto"/>
          <w:kern w:val="2"/>
          <w:sz w:val="32"/>
          <w:szCs w:val="32"/>
          <w:lang w:val="en-US" w:eastAsia="zh-CN" w:bidi="ar-SA"/>
        </w:rPr>
        <w:t>1.维护社会稳定大局。</w:t>
      </w:r>
      <w:r>
        <w:rPr>
          <w:rFonts w:hint="eastAsia" w:ascii="仿宋_GB2312" w:hAnsi="仿宋_GB2312" w:eastAsia="仿宋_GB2312" w:cs="仿宋_GB2312"/>
          <w:color w:val="auto"/>
          <w:kern w:val="2"/>
          <w:sz w:val="32"/>
          <w:szCs w:val="32"/>
          <w:lang w:val="en-US" w:eastAsia="zh-CN" w:bidi="ar-SA"/>
        </w:rPr>
        <w:t>强化“双中心”规范化建设，印发《矛盾纠纷调解“三三”工作制的实施方案的通知》《关于成立分片督导乡（镇）矛盾纠纷多元化解中心暨人民调解中心建设工作组的通知》《关于盐边县矛盾纠纷调解“个案补助”审核流程及标准的通知》等，统筹推进人民调解、行业性、专业性调解等工作，不断充实调委会工作力量。积极主动与县委政法委进行沟通协调，请求县委县政府资金支持，进一步对“双中心”调解室环境、调解辅助设备、信息化水平进行提升。统筹各相关单位进驻，规范“双中心”的实体化实战化建设，进一步推动“双中心”提档升级。积极配合市局开展县域内人民调解组织清理和人民调解员、遵法评理员清理工作，清理后乡（镇）调解委员会12个，村（社区）调解委员会88个，行业性、专业性调解委员会5个，企事业调解委员会16个，派驻有关单位和部门人民调解工作室14个。组织12个乡镇人民调解员参加2024年度全省乡村人民调解员提能培训班。今年全县成功调解矛盾纠纷955件，涉及金额800余万元，司法所共开展矛盾纠纷排查164次，参与并成功调解矛盾纠纷16件。会同县法院、县公安局面向社会公开选任人民陪审员76人。投入20余万元加强对南北部司法所的修缮和改造。</w:t>
      </w:r>
    </w:p>
    <w:p>
      <w:pPr>
        <w:pStyle w:val="15"/>
        <w:keepNext w:val="0"/>
        <w:keepLines w:val="0"/>
        <w:pageBreakBefore w:val="0"/>
        <w:widowControl w:val="0"/>
        <w:kinsoku/>
        <w:wordWrap/>
        <w:overflowPunct/>
        <w:topLinePunct/>
        <w:autoSpaceDE/>
        <w:autoSpaceDN/>
        <w:bidi w:val="0"/>
        <w:adjustRightInd/>
        <w:snapToGrid/>
        <w:spacing w:after="0" w:line="540" w:lineRule="exact"/>
        <w:ind w:left="0" w:leftChars="0" w:firstLine="643" w:firstLineChars="200"/>
        <w:contextualSpacing/>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b/>
          <w:color w:val="auto"/>
          <w:kern w:val="21"/>
          <w:sz w:val="32"/>
          <w:szCs w:val="32"/>
          <w:highlight w:val="none"/>
        </w:rPr>
        <w:t>2.法律服务普惠高效。</w:t>
      </w:r>
      <w:r>
        <w:rPr>
          <w:rFonts w:hint="eastAsia" w:ascii="仿宋_GB2312" w:hAnsi="仿宋_GB2312" w:eastAsia="仿宋_GB2312" w:cs="仿宋_GB2312"/>
          <w:color w:val="auto"/>
          <w:kern w:val="2"/>
          <w:sz w:val="32"/>
          <w:szCs w:val="32"/>
          <w:lang w:val="en-US" w:eastAsia="zh-CN" w:bidi="ar-SA"/>
        </w:rPr>
        <w:t>完成红格镇、渔门镇公共法律服务工作站和新九镇安宁村公共法律服务工作室规范化建设。开展村（社区）法律顾问培训38人次，完成2023年度律师事务所、基层法律服务所、基层法律服务工作者考核、年检工作。按照市局安排部署，完成共同富裕公共法律服务位示范点位：盐边县桐子林公共法律服务工作站、红格镇昔格达公共法律服务工作室规范化打造，扎实开展律师事务所、基层法律服务所行业违规收费专项治理工作。迎接即将在攀枝花举办的川西南滇西北两省六地公共法律服务联盟会议。盐边县法律援助中心共办理法律援助案件共240件，受理法律咨询1174件，1521人次。县公证处办理各类公证68件，收缴公证费43172元，并完成四川省公证机构标准化建设。</w:t>
      </w:r>
    </w:p>
    <w:p>
      <w:pPr>
        <w:pStyle w:val="15"/>
        <w:keepNext w:val="0"/>
        <w:keepLines w:val="0"/>
        <w:pageBreakBefore w:val="0"/>
        <w:widowControl w:val="0"/>
        <w:kinsoku/>
        <w:wordWrap/>
        <w:overflowPunct/>
        <w:topLinePunct/>
        <w:autoSpaceDE/>
        <w:autoSpaceDN/>
        <w:bidi w:val="0"/>
        <w:adjustRightInd/>
        <w:snapToGrid/>
        <w:spacing w:after="0" w:line="540" w:lineRule="exact"/>
        <w:ind w:left="0" w:leftChars="0" w:firstLine="643" w:firstLineChars="200"/>
        <w:contextualSpacing/>
        <w:jc w:val="both"/>
        <w:textAlignment w:val="auto"/>
        <w:rPr>
          <w:rFonts w:hint="eastAsia" w:ascii="仿宋_GB2312" w:hAnsi="仿宋_GB2312" w:eastAsia="仿宋_GB2312" w:cs="仿宋_GB2312"/>
          <w:b w:val="0"/>
          <w:bCs/>
          <w:color w:val="auto"/>
          <w:kern w:val="21"/>
          <w:sz w:val="32"/>
          <w:szCs w:val="32"/>
          <w:lang w:val="en-US" w:eastAsia="zh-CN"/>
        </w:rPr>
      </w:pPr>
      <w:r>
        <w:rPr>
          <w:rFonts w:hint="eastAsia" w:ascii="仿宋_GB2312" w:hAnsi="仿宋_GB2312" w:eastAsia="仿宋_GB2312" w:cs="仿宋_GB2312"/>
          <w:b/>
          <w:color w:val="auto"/>
          <w:kern w:val="21"/>
          <w:sz w:val="32"/>
          <w:szCs w:val="32"/>
          <w:highlight w:val="none"/>
        </w:rPr>
        <w:t>3.提升特殊人群管控水平。</w:t>
      </w:r>
      <w:r>
        <w:rPr>
          <w:rFonts w:hint="eastAsia" w:ascii="仿宋_GB2312" w:hAnsi="仿宋_GB2312" w:eastAsia="仿宋_GB2312" w:cs="仿宋_GB2312"/>
          <w:color w:val="auto"/>
          <w:kern w:val="2"/>
          <w:sz w:val="32"/>
          <w:szCs w:val="32"/>
          <w:lang w:val="en-US" w:eastAsia="zh-CN" w:bidi="ar-SA"/>
        </w:rPr>
        <w:t>严格开展刑罚执行工作，规范做好接收宣告、管理教育、考核奖惩、解除终止等环节，接收矫正对象101人，在矫158人，开展调查评估76件。今年接收刑满释放153人（重点对象4人），社区矫正解除88人，目前在册安置帮教对象897人（重点帮教对象49人），走访安置帮教对象300余人次，安置率和帮教率100%。开展重点人群安全隐患排查82场次，建立49名重点人员台账，开展帮扶慰问55人次，发放帮扶慰问物品70件，为16名两类人员提供帮助，开展心理疏导700余人次。努力践行“以人民为中心”发展思想，努力实现“智慧司法”便民利民的民生实事，开展远程探视预约390场次，远程探视334场次748人次。积极开展“智慧矫正中心”建设工作，预计12月底完成后向省厅申报验收。</w:t>
      </w:r>
    </w:p>
    <w:p>
      <w:pPr>
        <w:pStyle w:val="15"/>
        <w:keepNext w:val="0"/>
        <w:keepLines w:val="0"/>
        <w:pageBreakBefore w:val="0"/>
        <w:widowControl w:val="0"/>
        <w:kinsoku/>
        <w:wordWrap/>
        <w:overflowPunct/>
        <w:topLinePunct/>
        <w:autoSpaceDE/>
        <w:autoSpaceDN/>
        <w:bidi w:val="0"/>
        <w:adjustRightInd/>
        <w:snapToGrid/>
        <w:spacing w:after="0" w:line="540" w:lineRule="exact"/>
        <w:ind w:left="0" w:leftChars="0" w:firstLine="643" w:firstLineChars="200"/>
        <w:contextualSpacing/>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b/>
          <w:color w:val="auto"/>
          <w:kern w:val="21"/>
          <w:sz w:val="32"/>
          <w:szCs w:val="32"/>
          <w:highlight w:val="none"/>
          <w:lang w:val="en-US" w:eastAsia="zh-CN"/>
        </w:rPr>
        <w:t>4.</w:t>
      </w:r>
      <w:r>
        <w:rPr>
          <w:rFonts w:hint="eastAsia" w:ascii="仿宋_GB2312" w:hAnsi="仿宋_GB2312" w:eastAsia="仿宋_GB2312" w:cs="仿宋_GB2312"/>
          <w:b/>
          <w:color w:val="auto"/>
          <w:kern w:val="21"/>
          <w:sz w:val="32"/>
          <w:szCs w:val="32"/>
          <w:highlight w:val="none"/>
        </w:rPr>
        <w:t>依法履行行政复议与应诉职责</w:t>
      </w:r>
      <w:r>
        <w:rPr>
          <w:rFonts w:hint="eastAsia" w:ascii="仿宋_GB2312" w:hAnsi="仿宋_GB2312" w:eastAsia="仿宋_GB2312" w:cs="仿宋_GB2312"/>
          <w:b/>
          <w:color w:val="auto"/>
          <w:kern w:val="21"/>
          <w:sz w:val="32"/>
          <w:szCs w:val="32"/>
          <w:highlight w:val="none"/>
          <w:lang w:eastAsia="zh-CN"/>
        </w:rPr>
        <w:t>。</w:t>
      </w:r>
      <w:r>
        <w:rPr>
          <w:rFonts w:hint="eastAsia" w:ascii="仿宋_GB2312" w:hAnsi="仿宋_GB2312" w:eastAsia="仿宋_GB2312" w:cs="仿宋_GB2312"/>
          <w:color w:val="auto"/>
          <w:kern w:val="2"/>
          <w:sz w:val="32"/>
          <w:szCs w:val="32"/>
          <w:lang w:val="en-US" w:eastAsia="zh-CN" w:bidi="ar-SA"/>
        </w:rPr>
        <w:t>积极推进行政复议规范化建设，科学设置“三区六室”，建立完善标识标牌、工作制度等。2024年截至目前，受（审）理行政复议案件13件（驳回3件、撤销2件、确认违法1件、责令履行2件、维持2件、不予受理1件、逾期未补正1件，审理中1件）；办理行政应诉案件24件，其中一审案件21件，二审案件3件。及时协调我县行政负责人出庭应诉，出庭应诉率100%。</w:t>
      </w:r>
    </w:p>
    <w:p>
      <w:pPr>
        <w:pStyle w:val="15"/>
        <w:keepNext w:val="0"/>
        <w:keepLines w:val="0"/>
        <w:pageBreakBefore w:val="0"/>
        <w:widowControl w:val="0"/>
        <w:kinsoku/>
        <w:wordWrap/>
        <w:overflowPunct/>
        <w:topLinePunct/>
        <w:autoSpaceDE/>
        <w:autoSpaceDN/>
        <w:bidi w:val="0"/>
        <w:adjustRightInd/>
        <w:snapToGrid/>
        <w:spacing w:after="0" w:line="540" w:lineRule="exact"/>
        <w:ind w:left="0" w:leftChars="0" w:firstLine="643" w:firstLineChars="200"/>
        <w:contextualSpacing/>
        <w:jc w:val="both"/>
        <w:textAlignment w:val="auto"/>
        <w:rPr>
          <w:rFonts w:hint="eastAsia" w:ascii="仿宋_GB2312" w:hAnsi="仿宋_GB2312" w:eastAsia="仿宋_GB2312" w:cs="仿宋_GB2312"/>
          <w:b w:val="0"/>
          <w:bCs/>
          <w:color w:val="auto"/>
          <w:kern w:val="21"/>
          <w:sz w:val="32"/>
          <w:szCs w:val="32"/>
          <w:lang w:val="en-US" w:eastAsia="zh-CN" w:bidi="ar-SA"/>
        </w:rPr>
      </w:pPr>
      <w:r>
        <w:rPr>
          <w:rFonts w:hint="eastAsia" w:ascii="仿宋_GB2312" w:hAnsi="仿宋_GB2312" w:eastAsia="仿宋_GB2312" w:cs="仿宋_GB2312"/>
          <w:b/>
          <w:bCs w:val="0"/>
          <w:color w:val="auto"/>
          <w:kern w:val="21"/>
          <w:sz w:val="32"/>
          <w:szCs w:val="32"/>
          <w:lang w:val="en-US" w:eastAsia="zh-CN" w:bidi="ar-SA"/>
        </w:rPr>
        <w:t>（三）强化队伍建设，夯实高质量发展根基。</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常态化开展</w:t>
      </w:r>
      <w:r>
        <w:rPr>
          <w:rFonts w:hint="eastAsia" w:ascii="仿宋_GB2312" w:hAnsi="仿宋_GB2312" w:eastAsia="仿宋_GB2312" w:cs="仿宋_GB2312"/>
          <w:color w:val="auto"/>
          <w:sz w:val="32"/>
          <w:szCs w:val="32"/>
        </w:rPr>
        <w:t>习近平新时代中国特色社会主义思想、党的二十大、</w:t>
      </w:r>
      <w:r>
        <w:rPr>
          <w:rFonts w:hint="eastAsia" w:ascii="仿宋_GB2312" w:hAnsi="仿宋_GB2312" w:eastAsia="仿宋_GB2312" w:cs="仿宋_GB2312"/>
          <w:color w:val="auto"/>
          <w:sz w:val="32"/>
          <w:szCs w:val="32"/>
          <w:lang w:val="en-US" w:eastAsia="zh-CN"/>
        </w:rPr>
        <w:t>二十届三中全会精神、</w:t>
      </w:r>
      <w:r>
        <w:rPr>
          <w:rFonts w:hint="eastAsia" w:ascii="仿宋_GB2312" w:hAnsi="仿宋_GB2312" w:eastAsia="仿宋_GB2312" w:cs="仿宋_GB2312"/>
          <w:color w:val="auto"/>
          <w:sz w:val="32"/>
          <w:szCs w:val="32"/>
        </w:rPr>
        <w:t>习近平总书记对政法工作重要指示精神等</w:t>
      </w:r>
      <w:r>
        <w:rPr>
          <w:rFonts w:hint="eastAsia" w:ascii="仿宋_GB2312" w:hAnsi="仿宋_GB2312" w:eastAsia="仿宋_GB2312" w:cs="仿宋_GB2312"/>
          <w:color w:val="auto"/>
          <w:sz w:val="32"/>
          <w:szCs w:val="32"/>
          <w:lang w:val="en-US" w:eastAsia="zh-CN"/>
        </w:rPr>
        <w:t>学习培训33场次</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扎实开展党纪学习教育活动，</w:t>
      </w:r>
      <w:r>
        <w:rPr>
          <w:rFonts w:hint="eastAsia" w:ascii="仿宋_GB2312" w:hAnsi="仿宋_GB2312" w:eastAsia="仿宋_GB2312" w:cs="仿宋_GB2312"/>
          <w:color w:val="auto"/>
          <w:sz w:val="32"/>
          <w:szCs w:val="32"/>
        </w:rPr>
        <w:t>开展集中学习6次，党组书记讲专题党课1次、支部书记讲纪律党课2次，警示教育活动4次，专题演讲比赛1次，线上知识竞赛1次、线上参观法纪教育（廉洁文化）基地1次。</w:t>
      </w:r>
      <w:r>
        <w:rPr>
          <w:rFonts w:hint="eastAsia" w:ascii="仿宋_GB2312" w:hAnsi="仿宋_GB2312" w:eastAsia="仿宋_GB2312" w:cs="仿宋_GB2312"/>
          <w:b w:val="0"/>
          <w:bCs w:val="0"/>
          <w:color w:val="auto"/>
          <w:kern w:val="34"/>
          <w:sz w:val="32"/>
          <w:szCs w:val="32"/>
          <w:lang w:val="en-US" w:eastAsia="zh-CN"/>
        </w:rPr>
        <w:t>制定《2024年县司法局党组理论学习中心组专题学习重点内容安排意见》，开展党组理论学习中心组学习6次，参学率100%。</w:t>
      </w:r>
      <w:r>
        <w:rPr>
          <w:rFonts w:hint="eastAsia" w:ascii="仿宋_GB2312" w:hAnsi="仿宋_GB2312" w:eastAsia="仿宋_GB2312" w:cs="仿宋_GB2312"/>
          <w:color w:val="auto"/>
          <w:sz w:val="32"/>
          <w:szCs w:val="32"/>
          <w:lang w:val="en-US" w:eastAsia="zh-CN"/>
        </w:rPr>
        <w:t>扎实开展</w:t>
      </w:r>
      <w:r>
        <w:rPr>
          <w:rFonts w:hint="eastAsia" w:ascii="仿宋_GB2312" w:hAnsi="仿宋_GB2312" w:eastAsia="仿宋_GB2312" w:cs="仿宋_GB2312"/>
          <w:color w:val="auto"/>
          <w:sz w:val="32"/>
          <w:szCs w:val="32"/>
        </w:rPr>
        <w:t>集中整治群众身边不正之风和腐败问题工作，</w:t>
      </w:r>
      <w:r>
        <w:rPr>
          <w:rFonts w:hint="eastAsia" w:ascii="仿宋_GB2312" w:hAnsi="仿宋_GB2312" w:eastAsia="仿宋_GB2312" w:cs="仿宋_GB2312"/>
          <w:color w:val="auto"/>
          <w:sz w:val="32"/>
          <w:szCs w:val="32"/>
          <w:lang w:val="en-US" w:eastAsia="zh-CN"/>
        </w:rPr>
        <w:t>全面开展基层治理领域、作风建设领域、安全生产领域自查10次，经核实均不涉及群众身边不正之风和腐败问题</w:t>
      </w:r>
      <w:r>
        <w:rPr>
          <w:rFonts w:hint="eastAsia" w:ascii="仿宋_GB2312" w:hAnsi="仿宋_GB2312" w:eastAsia="仿宋_GB2312" w:cs="仿宋_GB2312"/>
          <w:color w:val="auto"/>
          <w:sz w:val="32"/>
          <w:szCs w:val="32"/>
        </w:rPr>
        <w:t>。局党组专题召开党风廉政建设分析研判会议</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次，组织全系统干警签订各类承诺书共计165份，常态化开展反面典型案例警示教育学习</w:t>
      </w:r>
      <w:r>
        <w:rPr>
          <w:rFonts w:hint="eastAsia" w:ascii="仿宋_GB2312" w:hAnsi="仿宋_GB2312" w:eastAsia="仿宋_GB2312" w:cs="仿宋_GB2312"/>
          <w:color w:val="auto"/>
          <w:sz w:val="32"/>
          <w:szCs w:val="32"/>
          <w:lang w:val="en-US" w:eastAsia="zh-CN"/>
        </w:rPr>
        <w:t>12</w:t>
      </w:r>
      <w:r>
        <w:rPr>
          <w:rFonts w:hint="eastAsia" w:ascii="仿宋_GB2312" w:hAnsi="仿宋_GB2312" w:eastAsia="仿宋_GB2312" w:cs="仿宋_GB2312"/>
          <w:color w:val="auto"/>
          <w:sz w:val="32"/>
          <w:szCs w:val="32"/>
        </w:rPr>
        <w:t>次，旁听职务犯罪案件庭审</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次，开展王波案以案促改谈心谈话及对照检查37人次。开展各类培训</w:t>
      </w:r>
      <w:r>
        <w:rPr>
          <w:rFonts w:hint="eastAsia" w:ascii="仿宋_GB2312" w:hAnsi="仿宋_GB2312" w:eastAsia="仿宋_GB2312" w:cs="仿宋_GB2312"/>
          <w:color w:val="auto"/>
          <w:sz w:val="32"/>
          <w:szCs w:val="32"/>
          <w:lang w:val="en-US" w:eastAsia="zh-CN"/>
        </w:rPr>
        <w:t>34</w:t>
      </w:r>
      <w:r>
        <w:rPr>
          <w:rFonts w:hint="eastAsia" w:ascii="仿宋_GB2312" w:hAnsi="仿宋_GB2312" w:eastAsia="仿宋_GB2312" w:cs="仿宋_GB2312"/>
          <w:color w:val="auto"/>
          <w:sz w:val="32"/>
          <w:szCs w:val="32"/>
        </w:rPr>
        <w:t>场次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职级晋升1人、提拔使用</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日常考核</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轮岗</w:t>
      </w:r>
      <w:r>
        <w:rPr>
          <w:rFonts w:hint="eastAsia" w:ascii="仿宋_GB2312" w:hAnsi="仿宋_GB2312" w:eastAsia="仿宋_GB2312" w:cs="仿宋_GB2312"/>
          <w:color w:val="auto"/>
          <w:sz w:val="32"/>
          <w:szCs w:val="32"/>
          <w:lang w:val="en-US" w:eastAsia="zh-CN"/>
        </w:rPr>
        <w:t>交流8</w:t>
      </w:r>
      <w:r>
        <w:rPr>
          <w:rFonts w:hint="eastAsia" w:ascii="仿宋_GB2312" w:hAnsi="仿宋_GB2312" w:eastAsia="仿宋_GB2312" w:cs="仿宋_GB2312"/>
          <w:color w:val="auto"/>
          <w:sz w:val="32"/>
          <w:szCs w:val="32"/>
        </w:rPr>
        <w:t>人次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组建一支40余人的志愿服务队伍，常态化开展文明城市创建、森林草原防灭火、法律服务等志愿服务活动</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0余次。</w:t>
      </w:r>
      <w:r>
        <w:rPr>
          <w:rFonts w:hint="eastAsia" w:ascii="仿宋_GB2312" w:hAnsi="仿宋_GB2312" w:eastAsia="仿宋_GB2312" w:cs="仿宋_GB2312"/>
          <w:color w:val="auto"/>
          <w:kern w:val="2"/>
          <w:sz w:val="32"/>
          <w:szCs w:val="32"/>
          <w:lang w:val="en-US" w:eastAsia="zh-CN" w:bidi="ar-SA"/>
        </w:rPr>
        <w:t>加强意识形态阵地建设和网络意识形态安全，积极开展对外宣传工作，建立完善网络管理、处置等制度，开展季度分析研判3次。编写党建信息20条、政务信息38条，学习强国供稿22篇、时评网评30篇。</w:t>
      </w:r>
    </w:p>
    <w:p>
      <w:pPr>
        <w:pageBreakBefore w:val="0"/>
        <w:kinsoku/>
        <w:wordWrap/>
        <w:overflowPunct/>
        <w:bidi w:val="0"/>
        <w:spacing w:line="550" w:lineRule="exact"/>
        <w:ind w:firstLine="640" w:firstLineChars="200"/>
        <w:textAlignment w:val="auto"/>
        <w:rPr>
          <w:rFonts w:hint="eastAsia" w:ascii="仿宋_GB2312" w:hAnsi="仿宋_GB2312" w:eastAsia="仿宋_GB2312" w:cs="仿宋_GB2312"/>
          <w:sz w:val="32"/>
          <w:szCs w:val="32"/>
        </w:rPr>
      </w:pPr>
      <w:bookmarkStart w:id="100" w:name="_Toc32429_WPSOffice_Level2"/>
      <w:bookmarkStart w:id="101" w:name="_Toc1046_WPSOffice_Level2"/>
      <w:r>
        <w:rPr>
          <w:rFonts w:hint="eastAsia" w:ascii="仿宋_GB2312" w:hAnsi="仿宋_GB2312" w:eastAsia="仿宋_GB2312" w:cs="仿宋_GB2312"/>
          <w:sz w:val="32"/>
          <w:szCs w:val="32"/>
        </w:rPr>
        <w:t>四、评价结论及建议</w:t>
      </w:r>
      <w:bookmarkEnd w:id="100"/>
      <w:bookmarkEnd w:id="101"/>
    </w:p>
    <w:p>
      <w:pPr>
        <w:pageBreakBefore w:val="0"/>
        <w:widowControl/>
        <w:kinsoku/>
        <w:wordWrap/>
        <w:overflowPunct/>
        <w:bidi w:val="0"/>
        <w:adjustRightInd w:val="0"/>
        <w:snapToGrid w:val="0"/>
        <w:spacing w:line="560" w:lineRule="exact"/>
        <w:ind w:firstLine="643" w:firstLineChars="200"/>
        <w:contextualSpacing/>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（一）评价结论。</w:t>
      </w:r>
      <w:r>
        <w:rPr>
          <w:rFonts w:hint="eastAsia" w:ascii="仿宋_GB2312" w:hAnsi="仿宋_GB2312" w:eastAsia="仿宋_GB2312" w:cs="仿宋_GB2312"/>
          <w:sz w:val="32"/>
          <w:szCs w:val="32"/>
        </w:rPr>
        <w:t>根据部门整体支出评价工作安排，我</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对 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 xml:space="preserve"> 年度预算安排、预算追加、资金管理、经费支出、资产管理等相关文件资料和财务凭证进行查阅，并根据202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 xml:space="preserve"> 年我委部门整体支出数据填写完成了《202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年部门整体支出绩效评价自评表》。202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年度</w:t>
      </w:r>
      <w:r>
        <w:rPr>
          <w:rFonts w:hint="eastAsia" w:ascii="仿宋_GB2312" w:hAnsi="仿宋_GB2312" w:eastAsia="仿宋_GB2312" w:cs="仿宋_GB2312"/>
          <w:sz w:val="32"/>
          <w:szCs w:val="32"/>
          <w:lang w:eastAsia="zh-CN"/>
        </w:rPr>
        <w:t>盐边县司法局</w:t>
      </w:r>
      <w:r>
        <w:rPr>
          <w:rFonts w:hint="eastAsia" w:ascii="仿宋_GB2312" w:hAnsi="仿宋_GB2312" w:eastAsia="仿宋_GB2312" w:cs="仿宋_GB2312"/>
          <w:sz w:val="32"/>
          <w:szCs w:val="32"/>
        </w:rPr>
        <w:t>预算有用途和目标，绩效目标在数量、质量、成本、时效、效益方面进行了细化，基本合理配置，预算决策、管理、执行等日渐规范，能够较好地满足工作需要，取得了良好经济效益和社会效果。评价结果，整体支出基本达到预期目标。</w:t>
      </w:r>
    </w:p>
    <w:p>
      <w:pPr>
        <w:pageBreakBefore w:val="0"/>
        <w:widowControl/>
        <w:kinsoku/>
        <w:wordWrap/>
        <w:overflowPunct/>
        <w:bidi w:val="0"/>
        <w:adjustRightInd w:val="0"/>
        <w:snapToGrid w:val="0"/>
        <w:spacing w:line="560" w:lineRule="exact"/>
        <w:ind w:firstLine="643" w:firstLineChars="200"/>
        <w:contextualSpacing/>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（二）存在问题。</w:t>
      </w:r>
      <w:r>
        <w:rPr>
          <w:rFonts w:hint="eastAsia" w:ascii="仿宋_GB2312" w:hAnsi="仿宋_GB2312" w:eastAsia="仿宋_GB2312" w:cs="仿宋_GB2312"/>
          <w:sz w:val="32"/>
          <w:szCs w:val="32"/>
        </w:rPr>
        <w:t>1.绩效管理制度还需健全。我</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 xml:space="preserve">虽已制定的相关管理办法，但随着绩效管理工作的逐步深入，还存在对预算绩效管理理解不充分，工作流程不够细化、绩效目标制定不够精准等问题。 </w:t>
      </w:r>
    </w:p>
    <w:p>
      <w:pPr>
        <w:pageBreakBefore w:val="0"/>
        <w:widowControl/>
        <w:kinsoku/>
        <w:wordWrap/>
        <w:overflowPunct/>
        <w:bidi w:val="0"/>
        <w:adjustRightInd w:val="0"/>
        <w:snapToGrid w:val="0"/>
        <w:spacing w:line="560" w:lineRule="exact"/>
        <w:ind w:firstLine="640" w:firstLineChars="200"/>
        <w:contextualSpacing/>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2.预算执行不够均衡。受重大项目推进程序繁琐等因素 影响，加之我</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因工作性质特殊，临时性、突发性应急任务较多，预算执行进度不够均衡，资金使用存在前松后紧现象。</w:t>
      </w:r>
    </w:p>
    <w:p>
      <w:pPr>
        <w:pageBreakBefore w:val="0"/>
        <w:widowControl/>
        <w:kinsoku/>
        <w:wordWrap/>
        <w:overflowPunct/>
        <w:bidi w:val="0"/>
        <w:adjustRightInd w:val="0"/>
        <w:snapToGrid w:val="0"/>
        <w:spacing w:line="560" w:lineRule="exact"/>
        <w:ind w:firstLine="643" w:firstLineChars="200"/>
        <w:contextualSpacing/>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（三）改进建议。</w:t>
      </w:r>
      <w:r>
        <w:rPr>
          <w:rFonts w:hint="eastAsia" w:ascii="仿宋_GB2312" w:hAnsi="仿宋_GB2312" w:eastAsia="仿宋_GB2312" w:cs="仿宋_GB2312"/>
          <w:sz w:val="32"/>
          <w:szCs w:val="32"/>
        </w:rPr>
        <w:t>增强绩效管理意识，认真落实主体责任。落实部门内部预算绩效管理主体责任，提高预算绩效管理意识，加强部门之间的沟通协作，合力推进项目进度。强化绩效运行监控，定期自检自查， 发现存在的问题并及时纠正，强化预算的中期评估和预算监控，对因故确实不能完成的预期指标及时修正，同时加强业务学习，科学设置绩效目标，以进一步提高绩效管理水平。</w:t>
      </w:r>
    </w:p>
    <w:p>
      <w:pPr>
        <w:pStyle w:val="15"/>
        <w:pageBreakBefore w:val="0"/>
        <w:kinsoku/>
        <w:wordWrap/>
        <w:overflowPunct/>
        <w:bidi w:val="0"/>
        <w:spacing w:line="560" w:lineRule="exact"/>
        <w:ind w:left="0" w:leftChars="0" w:firstLine="640" w:firstLineChars="200"/>
        <w:textAlignment w:val="auto"/>
        <w:rPr>
          <w:rFonts w:ascii="Times New Roman"/>
          <w:sz w:val="32"/>
          <w:highlight w:val="yellow"/>
          <w:lang w:val="zh-CN"/>
        </w:rPr>
      </w:pPr>
      <w:r>
        <w:rPr>
          <w:rFonts w:hint="eastAsia" w:ascii="Times New Roman" w:eastAsia="仿宋_GB2312"/>
          <w:sz w:val="32"/>
          <w:lang w:val="zh-CN" w:bidi="ar"/>
        </w:rPr>
        <w:t>附表：</w:t>
      </w:r>
      <w:r>
        <w:rPr>
          <w:rFonts w:hint="eastAsia" w:ascii="Times New Roman" w:eastAsia="仿宋_GB2312"/>
          <w:sz w:val="32"/>
          <w:lang w:bidi="ar"/>
        </w:rPr>
        <w:t>部门预算项目支出绩效自评表（2024年度）</w:t>
      </w:r>
    </w:p>
    <w:p>
      <w:pPr>
        <w:pStyle w:val="7"/>
        <w:pageBreakBefore w:val="0"/>
        <w:kinsoku/>
        <w:wordWrap/>
        <w:overflowPunct/>
        <w:bidi w:val="0"/>
        <w:spacing w:before="93"/>
        <w:textAlignment w:val="auto"/>
        <w:rPr>
          <w:rFonts w:ascii="Times New Roman" w:cs="宋体"/>
          <w:sz w:val="32"/>
          <w:szCs w:val="32"/>
          <w:highlight w:val="yellow"/>
          <w:shd w:val="clear" w:color="auto" w:fill="FFFFFF"/>
          <w:lang w:val="zh-CN"/>
        </w:rPr>
      </w:pPr>
    </w:p>
    <w:p>
      <w:pPr>
        <w:pageBreakBefore w:val="0"/>
        <w:kinsoku/>
        <w:wordWrap/>
        <w:overflowPunct/>
        <w:bidi w:val="0"/>
        <w:textAlignment w:val="auto"/>
        <w:rPr>
          <w:rFonts w:eastAsia="黑体" w:cs="黑体"/>
          <w:kern w:val="0"/>
          <w:sz w:val="32"/>
          <w:szCs w:val="32"/>
          <w:shd w:val="clear" w:color="auto" w:fill="FFFFFF"/>
          <w:lang w:val="zh-CN"/>
        </w:rPr>
      </w:pPr>
      <w:r>
        <w:rPr>
          <w:rFonts w:hint="eastAsia" w:eastAsia="黑体" w:cs="黑体"/>
          <w:kern w:val="0"/>
          <w:sz w:val="32"/>
          <w:szCs w:val="32"/>
          <w:shd w:val="clear" w:color="auto" w:fill="FFFFFF"/>
          <w:lang w:val="zh-CN"/>
        </w:rPr>
        <w:br w:type="page"/>
      </w:r>
    </w:p>
    <w:p>
      <w:pPr>
        <w:pStyle w:val="7"/>
        <w:pageBreakBefore w:val="0"/>
        <w:kinsoku/>
        <w:wordWrap/>
        <w:overflowPunct/>
        <w:bidi w:val="0"/>
        <w:spacing w:before="93"/>
        <w:textAlignment w:val="auto"/>
        <w:rPr>
          <w:rFonts w:ascii="Times New Roman" w:eastAsia="黑体" w:cs="黑体"/>
          <w:sz w:val="32"/>
          <w:szCs w:val="32"/>
        </w:rPr>
      </w:pPr>
      <w:r>
        <w:rPr>
          <w:rFonts w:hint="eastAsia" w:ascii="Times New Roman" w:eastAsia="黑体" w:cs="黑体"/>
          <w:sz w:val="32"/>
          <w:szCs w:val="32"/>
          <w:shd w:val="clear" w:color="auto" w:fill="FFFFFF"/>
          <w:lang w:val="zh-CN"/>
        </w:rPr>
        <w:t>附件</w:t>
      </w:r>
      <w:r>
        <w:rPr>
          <w:rFonts w:hint="eastAsia" w:ascii="Times New Roman" w:eastAsia="黑体" w:cs="黑体"/>
          <w:sz w:val="32"/>
          <w:szCs w:val="32"/>
          <w:shd w:val="clear" w:color="auto" w:fill="FFFFFF"/>
        </w:rPr>
        <w:t>2</w:t>
      </w:r>
    </w:p>
    <w:p>
      <w:pPr>
        <w:pStyle w:val="38"/>
        <w:pageBreakBefore w:val="0"/>
        <w:kinsoku/>
        <w:wordWrap/>
        <w:overflowPunct/>
        <w:bidi w:val="0"/>
        <w:spacing w:line="578" w:lineRule="exact"/>
        <w:jc w:val="center"/>
        <w:textAlignment w:val="auto"/>
        <w:rPr>
          <w:rFonts w:ascii="Times New Roman" w:hAnsi="Times New Roman" w:eastAsia="方正小标宋简体" w:cs="方正小标宋简体"/>
          <w:color w:val="auto"/>
          <w:kern w:val="2"/>
          <w:sz w:val="44"/>
          <w:szCs w:val="44"/>
          <w:lang w:val="en-US"/>
        </w:rPr>
      </w:pPr>
    </w:p>
    <w:p>
      <w:pPr>
        <w:pageBreakBefore w:val="0"/>
        <w:kinsoku/>
        <w:wordWrap/>
        <w:overflowPunct/>
        <w:bidi w:val="0"/>
        <w:spacing w:line="0" w:lineRule="atLeast"/>
        <w:jc w:val="center"/>
        <w:textAlignment w:val="auto"/>
        <w:rPr>
          <w:rFonts w:hint="eastAsia" w:ascii="仿宋_GB2312" w:hAnsi="仿宋_GB2312" w:eastAsia="仿宋_GB2312" w:cs="仿宋_GB2312"/>
          <w:b/>
          <w:sz w:val="32"/>
          <w:szCs w:val="32"/>
        </w:rPr>
      </w:pPr>
      <w:bookmarkStart w:id="102" w:name="_Toc22450_WPSOffice_Level2"/>
      <w:bookmarkStart w:id="103" w:name="_Toc32024_WPSOffice_Level2"/>
      <w:r>
        <w:rPr>
          <w:rFonts w:hint="eastAsia" w:ascii="仿宋_GB2312" w:hAnsi="仿宋_GB2312" w:eastAsia="仿宋_GB2312" w:cs="仿宋_GB2312"/>
          <w:b/>
          <w:sz w:val="32"/>
          <w:szCs w:val="32"/>
          <w:lang w:eastAsia="zh-CN"/>
        </w:rPr>
        <w:t>盐边县司法局</w:t>
      </w:r>
      <w:r>
        <w:rPr>
          <w:rFonts w:hint="eastAsia" w:ascii="仿宋_GB2312" w:hAnsi="仿宋_GB2312" w:eastAsia="仿宋_GB2312" w:cs="仿宋_GB2312"/>
          <w:b/>
          <w:sz w:val="32"/>
          <w:szCs w:val="32"/>
        </w:rPr>
        <w:t>专项预算项目绩效自评报告</w:t>
      </w:r>
      <w:bookmarkEnd w:id="102"/>
      <w:bookmarkEnd w:id="103"/>
    </w:p>
    <w:p>
      <w:pPr>
        <w:pageBreakBefore w:val="0"/>
        <w:kinsoku/>
        <w:wordWrap/>
        <w:overflowPunct/>
        <w:bidi w:val="0"/>
        <w:spacing w:line="0" w:lineRule="atLeast"/>
        <w:jc w:val="center"/>
        <w:textAlignment w:val="auto"/>
        <w:rPr>
          <w:rFonts w:hint="eastAsia" w:ascii="仿宋_GB2312" w:hAnsi="仿宋_GB2312" w:eastAsia="仿宋_GB2312" w:cs="仿宋_GB2312"/>
          <w:b/>
          <w:sz w:val="32"/>
          <w:szCs w:val="32"/>
        </w:rPr>
      </w:pPr>
      <w:bookmarkStart w:id="104" w:name="_Toc4440_WPSOffice_Level2"/>
      <w:bookmarkStart w:id="105" w:name="_Toc24190_WPSOffice_Level2"/>
      <w:r>
        <w:rPr>
          <w:rFonts w:hint="eastAsia" w:ascii="仿宋_GB2312" w:hAnsi="仿宋_GB2312" w:eastAsia="仿宋_GB2312" w:cs="仿宋_GB2312"/>
          <w:b/>
          <w:sz w:val="32"/>
          <w:szCs w:val="32"/>
        </w:rPr>
        <w:t>（</w:t>
      </w:r>
      <w:r>
        <w:rPr>
          <w:rFonts w:hint="eastAsia" w:ascii="仿宋_GB2312" w:hAnsi="仿宋_GB2312" w:eastAsia="仿宋_GB2312" w:cs="仿宋_GB2312"/>
          <w:b/>
          <w:sz w:val="32"/>
          <w:szCs w:val="32"/>
          <w:lang w:eastAsia="zh-CN"/>
        </w:rPr>
        <w:t>中央和省级政法转移支付资金</w:t>
      </w:r>
      <w:r>
        <w:rPr>
          <w:rFonts w:hint="eastAsia" w:ascii="仿宋_GB2312" w:hAnsi="仿宋_GB2312" w:eastAsia="仿宋_GB2312" w:cs="仿宋_GB2312"/>
          <w:b/>
          <w:sz w:val="32"/>
          <w:szCs w:val="32"/>
        </w:rPr>
        <w:t>）</w:t>
      </w:r>
      <w:bookmarkEnd w:id="104"/>
      <w:bookmarkEnd w:id="105"/>
    </w:p>
    <w:p>
      <w:pPr>
        <w:pStyle w:val="38"/>
        <w:pageBreakBefore w:val="0"/>
        <w:kinsoku/>
        <w:wordWrap/>
        <w:overflowPunct/>
        <w:bidi w:val="0"/>
        <w:spacing w:line="600" w:lineRule="exact"/>
        <w:ind w:firstLine="640"/>
        <w:jc w:val="center"/>
        <w:textAlignment w:val="auto"/>
        <w:rPr>
          <w:rFonts w:hint="eastAsia" w:ascii="仿宋_GB2312" w:hAnsi="仿宋_GB2312" w:eastAsia="仿宋_GB2312" w:cs="仿宋_GB2312"/>
          <w:color w:val="auto"/>
          <w:kern w:val="2"/>
          <w:sz w:val="32"/>
          <w:szCs w:val="32"/>
        </w:rPr>
      </w:pPr>
    </w:p>
    <w:p>
      <w:pPr>
        <w:pageBreakBefore w:val="0"/>
        <w:kinsoku/>
        <w:wordWrap/>
        <w:overflowPunct/>
        <w:bidi w:val="0"/>
        <w:ind w:firstLine="640" w:firstLineChars="200"/>
        <w:textAlignment w:val="auto"/>
        <w:rPr>
          <w:rFonts w:hint="eastAsia" w:ascii="仿宋_GB2312" w:hAnsi="仿宋_GB2312" w:eastAsia="仿宋_GB2312" w:cs="仿宋_GB2312"/>
          <w:sz w:val="32"/>
          <w:szCs w:val="32"/>
        </w:rPr>
      </w:pPr>
      <w:bookmarkStart w:id="106" w:name="_Toc13308_WPSOffice_Level2"/>
      <w:bookmarkStart w:id="107" w:name="_Toc28213_WPSOffice_Level2"/>
      <w:r>
        <w:rPr>
          <w:rFonts w:hint="eastAsia" w:ascii="仿宋_GB2312" w:hAnsi="仿宋_GB2312" w:eastAsia="仿宋_GB2312" w:cs="仿宋_GB2312"/>
          <w:sz w:val="32"/>
          <w:szCs w:val="32"/>
        </w:rPr>
        <w:t>一、项目概况</w:t>
      </w:r>
      <w:bookmarkEnd w:id="106"/>
      <w:bookmarkEnd w:id="107"/>
    </w:p>
    <w:p>
      <w:pPr>
        <w:pageBreakBefore w:val="0"/>
        <w:kinsoku/>
        <w:wordWrap/>
        <w:overflowPunct/>
        <w:bidi w:val="0"/>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盐边县司法局共收到中央和省级政法转移支付资金233万元，其中2024年上半年93万元，下半年46万元、提前下达2025年资金94万元。中央和省级政法转移支付资金统筹用于办案（业务）经费和业务装备经费，盐边县司法局主要将该笔资金统筹用于全面依法治县、社区矫正、普法依法治理、人民调解、安置帮教、司法所修缮建设等经费。</w:t>
      </w:r>
    </w:p>
    <w:p>
      <w:pPr>
        <w:pageBreakBefore w:val="0"/>
        <w:kinsoku/>
        <w:wordWrap/>
        <w:overflowPunct/>
        <w:bidi w:val="0"/>
        <w:ind w:firstLine="640" w:firstLineChars="200"/>
        <w:textAlignment w:val="auto"/>
        <w:rPr>
          <w:rFonts w:hint="eastAsia" w:ascii="仿宋_GB2312" w:hAnsi="仿宋_GB2312" w:eastAsia="仿宋_GB2312" w:cs="仿宋_GB2312"/>
          <w:sz w:val="32"/>
          <w:szCs w:val="32"/>
        </w:rPr>
      </w:pPr>
      <w:bookmarkStart w:id="108" w:name="_Toc27044_WPSOffice_Level2"/>
      <w:bookmarkStart w:id="109" w:name="_Toc29280_WPSOffice_Level2"/>
      <w:r>
        <w:rPr>
          <w:rFonts w:hint="eastAsia" w:ascii="仿宋_GB2312" w:hAnsi="仿宋_GB2312" w:eastAsia="仿宋_GB2312" w:cs="仿宋_GB2312"/>
          <w:sz w:val="32"/>
          <w:szCs w:val="32"/>
        </w:rPr>
        <w:t>二、项目资金申报及使用情况</w:t>
      </w:r>
      <w:bookmarkEnd w:id="108"/>
      <w:bookmarkEnd w:id="109"/>
    </w:p>
    <w:p>
      <w:pPr>
        <w:pageBreakBefore w:val="0"/>
        <w:kinsoku/>
        <w:wordWrap/>
        <w:overflowPunct/>
        <w:bidi w:val="0"/>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w:t>
      </w:r>
      <w:r>
        <w:rPr>
          <w:rFonts w:hint="eastAsia" w:ascii="仿宋_GB2312" w:hAnsi="仿宋_GB2312" w:eastAsia="仿宋_GB2312" w:cs="仿宋_GB2312"/>
          <w:b/>
          <w:sz w:val="32"/>
          <w:szCs w:val="32"/>
          <w:lang w:eastAsia="zh-CN"/>
        </w:rPr>
        <w:t>一</w:t>
      </w:r>
      <w:r>
        <w:rPr>
          <w:rFonts w:hint="eastAsia" w:ascii="仿宋_GB2312" w:hAnsi="仿宋_GB2312" w:eastAsia="仿宋_GB2312" w:cs="仿宋_GB2312"/>
          <w:b/>
          <w:sz w:val="32"/>
          <w:szCs w:val="32"/>
        </w:rPr>
        <w:t>）资金计划、到位及使用情况</w:t>
      </w:r>
    </w:p>
    <w:p>
      <w:pPr>
        <w:keepNext w:val="0"/>
        <w:keepLines w:val="0"/>
        <w:pageBreakBefore w:val="0"/>
        <w:widowControl w:val="0"/>
        <w:suppressLineNumbers w:val="0"/>
        <w:kinsoku/>
        <w:wordWrap/>
        <w:overflowPunct/>
        <w:bidi w:val="0"/>
        <w:adjustRightInd w:val="0"/>
        <w:snapToGrid w:val="0"/>
        <w:spacing w:before="0" w:beforeAutospacing="0" w:after="0" w:afterAutospacing="0" w:line="560" w:lineRule="exact"/>
        <w:ind w:left="0" w:right="0" w:firstLine="72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bidi="ar"/>
        </w:rPr>
        <w:t>根据财政下达预算，资金的实际支出与预算一致，资金开支范围符合项目申报范围、支付进度及时，支付依据合规合法，资金支付是否与预算相符。</w:t>
      </w:r>
    </w:p>
    <w:p>
      <w:pPr>
        <w:pageBreakBefore w:val="0"/>
        <w:kinsoku/>
        <w:wordWrap/>
        <w:overflowPunct/>
        <w:bidi w:val="0"/>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w:t>
      </w:r>
      <w:r>
        <w:rPr>
          <w:rFonts w:hint="eastAsia" w:ascii="仿宋_GB2312" w:hAnsi="仿宋_GB2312" w:eastAsia="仿宋_GB2312" w:cs="仿宋_GB2312"/>
          <w:b/>
          <w:sz w:val="32"/>
          <w:szCs w:val="32"/>
          <w:lang w:eastAsia="zh-CN"/>
        </w:rPr>
        <w:t>二</w:t>
      </w:r>
      <w:r>
        <w:rPr>
          <w:rFonts w:hint="eastAsia" w:ascii="仿宋_GB2312" w:hAnsi="仿宋_GB2312" w:eastAsia="仿宋_GB2312" w:cs="仿宋_GB2312"/>
          <w:b/>
          <w:sz w:val="32"/>
          <w:szCs w:val="32"/>
        </w:rPr>
        <w:t>）项目财务管理情况</w:t>
      </w:r>
    </w:p>
    <w:p>
      <w:pPr>
        <w:keepNext w:val="0"/>
        <w:keepLines w:val="0"/>
        <w:pageBreakBefore w:val="0"/>
        <w:widowControl w:val="0"/>
        <w:suppressLineNumbers w:val="0"/>
        <w:kinsoku/>
        <w:wordWrap/>
        <w:overflowPunct/>
        <w:bidi w:val="0"/>
        <w:adjustRightInd w:val="0"/>
        <w:snapToGrid w:val="0"/>
        <w:spacing w:before="0" w:beforeAutospacing="0" w:after="0" w:afterAutospacing="0" w:line="560" w:lineRule="exact"/>
        <w:ind w:left="0" w:right="0" w:firstLine="72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bidi="ar"/>
        </w:rPr>
        <w:t>盐边县司法局建立相关财务管理制度建设、机构设置合规、会计核算及账务处理及时。项目资金严格按照相关资金管理办法，严格执行财务管理制度、财务处理及时、会计核算规范。</w:t>
      </w:r>
    </w:p>
    <w:p>
      <w:pPr>
        <w:pageBreakBefore w:val="0"/>
        <w:kinsoku/>
        <w:wordWrap/>
        <w:overflowPunct/>
        <w:bidi w:val="0"/>
        <w:ind w:firstLine="640" w:firstLineChars="200"/>
        <w:textAlignment w:val="auto"/>
        <w:rPr>
          <w:rFonts w:hint="eastAsia" w:ascii="仿宋_GB2312" w:hAnsi="仿宋_GB2312" w:eastAsia="仿宋_GB2312" w:cs="仿宋_GB2312"/>
          <w:sz w:val="32"/>
          <w:szCs w:val="32"/>
        </w:rPr>
      </w:pPr>
      <w:bookmarkStart w:id="110" w:name="_Toc31922_WPSOffice_Level2"/>
      <w:bookmarkStart w:id="111" w:name="_Toc11537_WPSOffice_Level2"/>
      <w:r>
        <w:rPr>
          <w:rFonts w:hint="eastAsia" w:ascii="仿宋_GB2312" w:hAnsi="仿宋_GB2312" w:eastAsia="仿宋_GB2312" w:cs="仿宋_GB2312"/>
          <w:sz w:val="32"/>
          <w:szCs w:val="32"/>
        </w:rPr>
        <w:t>三、项目实施及管理情况</w:t>
      </w:r>
      <w:bookmarkEnd w:id="110"/>
      <w:bookmarkEnd w:id="111"/>
    </w:p>
    <w:p>
      <w:pPr>
        <w:keepNext w:val="0"/>
        <w:keepLines w:val="0"/>
        <w:pageBreakBefore w:val="0"/>
        <w:widowControl w:val="0"/>
        <w:suppressLineNumbers w:val="0"/>
        <w:kinsoku/>
        <w:wordWrap/>
        <w:overflowPunct/>
        <w:bidi w:val="0"/>
        <w:adjustRightInd w:val="0"/>
        <w:snapToGrid w:val="0"/>
        <w:spacing w:before="0" w:beforeAutospacing="0" w:after="0" w:afterAutospacing="0" w:line="560" w:lineRule="exact"/>
        <w:ind w:left="0" w:right="0" w:firstLine="72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bidi="ar"/>
        </w:rPr>
        <w:t>项目按单位内控相关管理要求和流程进行管理，并组织实施。</w:t>
      </w:r>
    </w:p>
    <w:p>
      <w:pPr>
        <w:pageBreakBefore w:val="0"/>
        <w:kinsoku/>
        <w:wordWrap/>
        <w:overflowPunct/>
        <w:bidi w:val="0"/>
        <w:ind w:firstLine="640" w:firstLineChars="200"/>
        <w:textAlignment w:val="auto"/>
        <w:rPr>
          <w:rFonts w:hint="eastAsia" w:ascii="仿宋_GB2312" w:hAnsi="仿宋_GB2312" w:eastAsia="仿宋_GB2312" w:cs="仿宋_GB2312"/>
          <w:sz w:val="32"/>
          <w:szCs w:val="32"/>
        </w:rPr>
      </w:pPr>
      <w:bookmarkStart w:id="112" w:name="_Toc25635_WPSOffice_Level2"/>
      <w:bookmarkStart w:id="113" w:name="_Toc8468_WPSOffice_Level2"/>
      <w:r>
        <w:rPr>
          <w:rFonts w:hint="eastAsia" w:ascii="仿宋_GB2312" w:hAnsi="仿宋_GB2312" w:eastAsia="仿宋_GB2312" w:cs="仿宋_GB2312"/>
          <w:sz w:val="32"/>
          <w:szCs w:val="32"/>
        </w:rPr>
        <w:t>四、项目绩效情况</w:t>
      </w:r>
      <w:bookmarkEnd w:id="112"/>
      <w:bookmarkEnd w:id="113"/>
    </w:p>
    <w:p>
      <w:pPr>
        <w:pageBreakBefore w:val="0"/>
        <w:kinsoku/>
        <w:wordWrap/>
        <w:overflowPunct/>
        <w:bidi w:val="0"/>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（一）项目完成情况</w:t>
      </w:r>
    </w:p>
    <w:p>
      <w:pPr>
        <w:keepNext w:val="0"/>
        <w:keepLines w:val="0"/>
        <w:pageBreakBefore w:val="0"/>
        <w:widowControl w:val="0"/>
        <w:suppressLineNumbers w:val="0"/>
        <w:kinsoku/>
        <w:wordWrap/>
        <w:overflowPunct/>
        <w:bidi w:val="0"/>
        <w:adjustRightInd w:val="0"/>
        <w:snapToGrid w:val="0"/>
        <w:spacing w:before="0" w:beforeAutospacing="0" w:after="0" w:afterAutospacing="0" w:line="560" w:lineRule="exact"/>
        <w:ind w:left="0" w:right="0" w:firstLine="720"/>
        <w:jc w:val="both"/>
        <w:textAlignment w:val="auto"/>
        <w:rPr>
          <w:rFonts w:hint="eastAsia" w:ascii="仿宋_GB2312" w:hAnsi="仿宋_GB2312" w:eastAsia="仿宋_GB2312" w:cs="仿宋_GB2312"/>
          <w:kern w:val="2"/>
          <w:sz w:val="32"/>
          <w:szCs w:val="32"/>
          <w:lang w:val="en-US" w:eastAsia="zh-CN" w:bidi="ar"/>
        </w:rPr>
      </w:pPr>
      <w:r>
        <w:rPr>
          <w:rFonts w:hint="eastAsia" w:ascii="仿宋_GB2312" w:hAnsi="仿宋_GB2312" w:eastAsia="仿宋_GB2312" w:cs="仿宋_GB2312"/>
          <w:kern w:val="2"/>
          <w:sz w:val="32"/>
          <w:szCs w:val="32"/>
          <w:lang w:val="en-US" w:eastAsia="zh-CN" w:bidi="ar"/>
        </w:rPr>
        <w:t>1、数量指标</w:t>
      </w:r>
    </w:p>
    <w:p>
      <w:pPr>
        <w:keepNext w:val="0"/>
        <w:keepLines w:val="0"/>
        <w:pageBreakBefore w:val="0"/>
        <w:widowControl w:val="0"/>
        <w:suppressLineNumbers w:val="0"/>
        <w:kinsoku/>
        <w:wordWrap/>
        <w:overflowPunct/>
        <w:bidi w:val="0"/>
        <w:adjustRightInd w:val="0"/>
        <w:snapToGrid w:val="0"/>
        <w:spacing w:before="0" w:beforeAutospacing="0" w:after="0" w:afterAutospacing="0" w:line="560" w:lineRule="exact"/>
        <w:ind w:left="0" w:right="0" w:firstLine="720"/>
        <w:jc w:val="both"/>
        <w:textAlignment w:val="auto"/>
        <w:rPr>
          <w:rFonts w:hint="eastAsia" w:ascii="仿宋_GB2312" w:hAnsi="仿宋_GB2312" w:eastAsia="仿宋_GB2312" w:cs="仿宋_GB2312"/>
          <w:kern w:val="2"/>
          <w:sz w:val="32"/>
          <w:szCs w:val="32"/>
          <w:lang w:val="en-US" w:eastAsia="zh-CN" w:bidi="ar"/>
        </w:rPr>
      </w:pPr>
      <w:r>
        <w:rPr>
          <w:rFonts w:hint="eastAsia" w:ascii="仿宋_GB2312" w:hAnsi="仿宋_GB2312" w:eastAsia="仿宋_GB2312" w:cs="仿宋_GB2312"/>
          <w:kern w:val="2"/>
          <w:sz w:val="32"/>
          <w:szCs w:val="32"/>
          <w:lang w:val="en-US" w:eastAsia="zh-CN" w:bidi="ar"/>
        </w:rPr>
        <w:t>保障局机关及八个司法所社区矫正、人民调解、法律援助等办案业务支出及业务装备购置。</w:t>
      </w:r>
    </w:p>
    <w:p>
      <w:pPr>
        <w:keepNext w:val="0"/>
        <w:keepLines w:val="0"/>
        <w:pageBreakBefore w:val="0"/>
        <w:widowControl w:val="0"/>
        <w:suppressLineNumbers w:val="0"/>
        <w:kinsoku/>
        <w:wordWrap/>
        <w:overflowPunct/>
        <w:bidi w:val="0"/>
        <w:adjustRightInd w:val="0"/>
        <w:snapToGrid w:val="0"/>
        <w:spacing w:before="0" w:beforeAutospacing="0" w:after="0" w:afterAutospacing="0" w:line="560" w:lineRule="exact"/>
        <w:ind w:left="0" w:right="0" w:firstLine="72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bidi="ar"/>
        </w:rPr>
        <w:t>质量指标</w:t>
      </w:r>
    </w:p>
    <w:p>
      <w:pPr>
        <w:keepNext w:val="0"/>
        <w:keepLines w:val="0"/>
        <w:pageBreakBefore w:val="0"/>
        <w:widowControl w:val="0"/>
        <w:suppressLineNumbers w:val="0"/>
        <w:kinsoku/>
        <w:wordWrap/>
        <w:overflowPunct/>
        <w:bidi w:val="0"/>
        <w:adjustRightInd w:val="0"/>
        <w:snapToGrid w:val="0"/>
        <w:spacing w:before="0" w:beforeAutospacing="0" w:after="0" w:afterAutospacing="0" w:line="560" w:lineRule="exact"/>
        <w:ind w:left="0" w:right="0" w:firstLine="64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bidi="ar"/>
        </w:rPr>
        <w:t>资金合规。</w:t>
      </w:r>
    </w:p>
    <w:p>
      <w:pPr>
        <w:keepNext w:val="0"/>
        <w:keepLines w:val="0"/>
        <w:pageBreakBefore w:val="0"/>
        <w:widowControl w:val="0"/>
        <w:numPr>
          <w:ilvl w:val="0"/>
          <w:numId w:val="3"/>
        </w:numPr>
        <w:suppressLineNumbers w:val="0"/>
        <w:kinsoku/>
        <w:wordWrap/>
        <w:overflowPunct/>
        <w:bidi w:val="0"/>
        <w:adjustRightInd w:val="0"/>
        <w:snapToGrid w:val="0"/>
        <w:spacing w:before="0" w:beforeAutospacing="0" w:after="0" w:afterAutospacing="0" w:line="560" w:lineRule="exact"/>
        <w:ind w:left="0" w:leftChars="0" w:right="0" w:firstLine="720" w:firstLineChars="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bidi="ar"/>
        </w:rPr>
        <w:t>时效指标</w:t>
      </w:r>
    </w:p>
    <w:p>
      <w:pPr>
        <w:keepNext w:val="0"/>
        <w:keepLines w:val="0"/>
        <w:pageBreakBefore w:val="0"/>
        <w:widowControl w:val="0"/>
        <w:suppressLineNumbers w:val="0"/>
        <w:kinsoku/>
        <w:wordWrap/>
        <w:overflowPunct/>
        <w:bidi w:val="0"/>
        <w:adjustRightInd w:val="0"/>
        <w:snapToGrid w:val="0"/>
        <w:spacing w:before="0" w:beforeAutospacing="0" w:after="0" w:afterAutospacing="0" w:line="560" w:lineRule="exact"/>
        <w:ind w:left="720" w:leftChars="0" w:right="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bidi="ar"/>
        </w:rPr>
        <w:t>在2024年年内完成支付。</w:t>
      </w:r>
    </w:p>
    <w:p>
      <w:pPr>
        <w:keepNext w:val="0"/>
        <w:keepLines w:val="0"/>
        <w:pageBreakBefore w:val="0"/>
        <w:widowControl w:val="0"/>
        <w:numPr>
          <w:ilvl w:val="0"/>
          <w:numId w:val="3"/>
        </w:numPr>
        <w:suppressLineNumbers w:val="0"/>
        <w:kinsoku/>
        <w:wordWrap/>
        <w:overflowPunct/>
        <w:bidi w:val="0"/>
        <w:adjustRightInd w:val="0"/>
        <w:snapToGrid w:val="0"/>
        <w:spacing w:before="0" w:beforeAutospacing="0" w:after="0" w:afterAutospacing="0" w:line="560" w:lineRule="exact"/>
        <w:ind w:left="0" w:leftChars="0" w:right="0" w:firstLine="720" w:firstLineChars="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bidi="ar"/>
        </w:rPr>
        <w:t>经济成本指标</w:t>
      </w:r>
    </w:p>
    <w:p>
      <w:pPr>
        <w:keepNext w:val="0"/>
        <w:keepLines w:val="0"/>
        <w:pageBreakBefore w:val="0"/>
        <w:widowControl w:val="0"/>
        <w:suppressLineNumbers w:val="0"/>
        <w:kinsoku/>
        <w:wordWrap/>
        <w:overflowPunct/>
        <w:bidi w:val="0"/>
        <w:adjustRightInd w:val="0"/>
        <w:snapToGrid w:val="0"/>
        <w:spacing w:before="0" w:beforeAutospacing="0" w:after="0" w:afterAutospacing="0" w:line="560" w:lineRule="exact"/>
        <w:ind w:left="0" w:right="0" w:firstLine="7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
        </w:rPr>
        <w:t>2024年全年实现支付</w:t>
      </w:r>
      <w:r>
        <w:rPr>
          <w:rFonts w:hint="eastAsia" w:ascii="仿宋_GB2312" w:hAnsi="仿宋_GB2312" w:eastAsia="仿宋_GB2312" w:cs="仿宋_GB2312"/>
          <w:sz w:val="32"/>
          <w:szCs w:val="32"/>
          <w:lang w:val="en-US" w:eastAsia="zh-CN"/>
        </w:rPr>
        <w:t>中央和省级政法转移支付资金</w:t>
      </w:r>
      <w:r>
        <w:rPr>
          <w:rFonts w:hint="eastAsia" w:ascii="仿宋_GB2312" w:hAnsi="仿宋_GB2312" w:eastAsia="仿宋_GB2312" w:cs="仿宋_GB2312"/>
          <w:kern w:val="2"/>
          <w:sz w:val="32"/>
          <w:szCs w:val="32"/>
          <w:lang w:val="en-US" w:eastAsia="zh-CN" w:bidi="ar"/>
        </w:rPr>
        <w:t>133万元。</w:t>
      </w:r>
    </w:p>
    <w:p>
      <w:pPr>
        <w:pageBreakBefore w:val="0"/>
        <w:kinsoku/>
        <w:wordWrap/>
        <w:overflowPunct/>
        <w:bidi w:val="0"/>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（二）项目效益情况</w:t>
      </w:r>
    </w:p>
    <w:p>
      <w:pPr>
        <w:keepNext w:val="0"/>
        <w:keepLines w:val="0"/>
        <w:pageBreakBefore w:val="0"/>
        <w:widowControl w:val="0"/>
        <w:numPr>
          <w:ilvl w:val="0"/>
          <w:numId w:val="4"/>
        </w:numPr>
        <w:suppressLineNumbers w:val="0"/>
        <w:kinsoku/>
        <w:wordWrap/>
        <w:overflowPunct/>
        <w:bidi w:val="0"/>
        <w:adjustRightInd w:val="0"/>
        <w:snapToGrid w:val="0"/>
        <w:spacing w:before="0" w:beforeAutospacing="0" w:after="0" w:afterAutospacing="0" w:line="560" w:lineRule="exact"/>
        <w:ind w:left="0" w:right="0" w:firstLine="960" w:firstLineChars="30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bidi="ar"/>
        </w:rPr>
        <w:t>经济效益指标</w:t>
      </w:r>
    </w:p>
    <w:p>
      <w:pPr>
        <w:keepNext w:val="0"/>
        <w:keepLines w:val="0"/>
        <w:pageBreakBefore w:val="0"/>
        <w:widowControl w:val="0"/>
        <w:suppressLineNumbers w:val="0"/>
        <w:kinsoku/>
        <w:wordWrap/>
        <w:overflowPunct/>
        <w:bidi w:val="0"/>
        <w:adjustRightInd w:val="0"/>
        <w:snapToGrid w:val="0"/>
        <w:spacing w:before="0" w:beforeAutospacing="0" w:after="0" w:afterAutospacing="0" w:line="560" w:lineRule="exact"/>
        <w:ind w:left="0" w:right="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bidi="ar"/>
        </w:rPr>
        <w:t xml:space="preserve">     对全县司法行政工作的促进作用</w:t>
      </w:r>
    </w:p>
    <w:p>
      <w:pPr>
        <w:keepNext w:val="0"/>
        <w:keepLines w:val="0"/>
        <w:pageBreakBefore w:val="0"/>
        <w:widowControl w:val="0"/>
        <w:numPr>
          <w:ilvl w:val="0"/>
          <w:numId w:val="4"/>
        </w:numPr>
        <w:suppressLineNumbers w:val="0"/>
        <w:kinsoku/>
        <w:wordWrap/>
        <w:overflowPunct/>
        <w:bidi w:val="0"/>
        <w:adjustRightInd w:val="0"/>
        <w:snapToGrid w:val="0"/>
        <w:spacing w:before="0" w:beforeAutospacing="0" w:after="0" w:afterAutospacing="0" w:line="560" w:lineRule="exact"/>
        <w:ind w:left="0" w:right="0" w:firstLine="960" w:firstLineChars="30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bidi="ar"/>
        </w:rPr>
        <w:t>社会效益指标</w:t>
      </w:r>
    </w:p>
    <w:p>
      <w:pPr>
        <w:keepNext w:val="0"/>
        <w:keepLines w:val="0"/>
        <w:pageBreakBefore w:val="0"/>
        <w:widowControl w:val="0"/>
        <w:suppressLineNumbers w:val="0"/>
        <w:kinsoku/>
        <w:wordWrap/>
        <w:overflowPunct/>
        <w:bidi w:val="0"/>
        <w:adjustRightInd w:val="0"/>
        <w:snapToGrid w:val="0"/>
        <w:spacing w:before="0" w:beforeAutospacing="0" w:after="0" w:afterAutospacing="0" w:line="560" w:lineRule="exact"/>
        <w:ind w:left="0" w:right="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bidi="ar"/>
        </w:rPr>
        <w:t xml:space="preserve">     项目总体绩效目标保障了社区矫正及人民调解案件办理力度，达到了维护社会安全稳定的效果；提高普法宣传的工作力度，促进了国家法律在人民心目中的地位。</w:t>
      </w:r>
    </w:p>
    <w:p>
      <w:pPr>
        <w:keepNext w:val="0"/>
        <w:keepLines w:val="0"/>
        <w:pageBreakBefore w:val="0"/>
        <w:widowControl w:val="0"/>
        <w:suppressLineNumbers w:val="0"/>
        <w:kinsoku/>
        <w:wordWrap/>
        <w:overflowPunct/>
        <w:bidi w:val="0"/>
        <w:adjustRightInd w:val="0"/>
        <w:snapToGrid w:val="0"/>
        <w:spacing w:before="0" w:beforeAutospacing="0" w:after="0" w:afterAutospacing="0" w:line="560" w:lineRule="exact"/>
        <w:ind w:left="0" w:right="0" w:firstLine="960" w:firstLineChars="30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bidi="ar"/>
        </w:rPr>
        <w:t>3、满意度指标</w:t>
      </w:r>
    </w:p>
    <w:p>
      <w:pPr>
        <w:keepNext w:val="0"/>
        <w:keepLines w:val="0"/>
        <w:pageBreakBefore w:val="0"/>
        <w:widowControl w:val="0"/>
        <w:suppressLineNumbers w:val="0"/>
        <w:kinsoku/>
        <w:wordWrap/>
        <w:overflowPunct/>
        <w:bidi w:val="0"/>
        <w:adjustRightInd w:val="0"/>
        <w:snapToGrid w:val="0"/>
        <w:spacing w:before="0" w:beforeAutospacing="0" w:after="0" w:afterAutospacing="0" w:line="560" w:lineRule="exact"/>
        <w:ind w:left="630" w:leftChars="300" w:right="0"/>
        <w:jc w:val="both"/>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val="en-US" w:eastAsia="zh-CN" w:bidi="ar"/>
        </w:rPr>
        <w:t>群众满意度达到95%以上</w:t>
      </w:r>
    </w:p>
    <w:p>
      <w:pPr>
        <w:pageBreakBefore w:val="0"/>
        <w:kinsoku/>
        <w:wordWrap/>
        <w:overflowPunct/>
        <w:bidi w:val="0"/>
        <w:ind w:firstLine="640" w:firstLineChars="200"/>
        <w:textAlignment w:val="auto"/>
        <w:rPr>
          <w:rFonts w:hint="eastAsia" w:ascii="仿宋_GB2312" w:hAnsi="仿宋_GB2312" w:eastAsia="仿宋_GB2312" w:cs="仿宋_GB2312"/>
          <w:sz w:val="32"/>
          <w:szCs w:val="32"/>
        </w:rPr>
      </w:pPr>
      <w:bookmarkStart w:id="114" w:name="_Toc22002_WPSOffice_Level2"/>
      <w:bookmarkStart w:id="115" w:name="_Toc11188_WPSOffice_Level2"/>
      <w:r>
        <w:rPr>
          <w:rFonts w:hint="eastAsia" w:ascii="仿宋_GB2312" w:hAnsi="仿宋_GB2312" w:eastAsia="仿宋_GB2312" w:cs="仿宋_GB2312"/>
          <w:sz w:val="32"/>
          <w:szCs w:val="32"/>
        </w:rPr>
        <w:t>五、评价结论及建议</w:t>
      </w:r>
      <w:bookmarkEnd w:id="114"/>
      <w:bookmarkEnd w:id="115"/>
    </w:p>
    <w:p>
      <w:pPr>
        <w:pageBreakBefore w:val="0"/>
        <w:kinsoku/>
        <w:wordWrap/>
        <w:overflowPunct/>
        <w:bidi w:val="0"/>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（一）评价结论</w:t>
      </w:r>
    </w:p>
    <w:p>
      <w:pPr>
        <w:pageBreakBefore w:val="0"/>
        <w:kinsoku/>
        <w:wordWrap/>
        <w:overflowPunct/>
        <w:bidi w:val="0"/>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满足全年司法行政工作质量要求，指导全年工作，完成全年工作任务。</w:t>
      </w:r>
    </w:p>
    <w:p>
      <w:pPr>
        <w:pageBreakBefore w:val="0"/>
        <w:kinsoku/>
        <w:wordWrap/>
        <w:overflowPunct/>
        <w:bidi w:val="0"/>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（二）存在的问题</w:t>
      </w:r>
    </w:p>
    <w:p>
      <w:pPr>
        <w:pageBreakBefore w:val="0"/>
        <w:kinsoku/>
        <w:wordWrap/>
        <w:overflowPunct/>
        <w:bidi w:val="0"/>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工作质量可以进一步提高。</w:t>
      </w:r>
    </w:p>
    <w:p>
      <w:pPr>
        <w:pageBreakBefore w:val="0"/>
        <w:kinsoku/>
        <w:wordWrap/>
        <w:overflowPunct/>
        <w:bidi w:val="0"/>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（三）相关建议</w:t>
      </w:r>
    </w:p>
    <w:p>
      <w:pPr>
        <w:pageBreakBefore w:val="0"/>
        <w:kinsoku/>
        <w:wordWrap/>
        <w:overflowPunct/>
        <w:bidi w:val="0"/>
        <w:ind w:firstLine="640" w:firstLineChars="200"/>
        <w:textAlignment w:val="auto"/>
      </w:pPr>
      <w:r>
        <w:rPr>
          <w:rFonts w:hint="eastAsia" w:ascii="仿宋_GB2312" w:hAnsi="仿宋_GB2312" w:eastAsia="仿宋_GB2312" w:cs="仿宋_GB2312"/>
          <w:sz w:val="32"/>
          <w:szCs w:val="32"/>
        </w:rPr>
        <w:t>科学合理安排资金，积极争取，加大投入，更好的指导工作开展</w:t>
      </w:r>
      <w:r>
        <w:rPr>
          <w:rFonts w:hint="eastAsia" w:ascii="Times New Roman"/>
        </w:rPr>
        <w:t>。</w:t>
      </w:r>
    </w:p>
    <w:p>
      <w:pPr>
        <w:pageBreakBefore w:val="0"/>
        <w:kinsoku/>
        <w:wordWrap/>
        <w:overflowPunct/>
        <w:bidi w:val="0"/>
        <w:spacing w:line="578" w:lineRule="exact"/>
        <w:ind w:firstLine="640"/>
        <w:textAlignment w:val="auto"/>
        <w:rPr>
          <w:rFonts w:eastAsia="仿宋_GB2312" w:cs="仿宋_GB2312"/>
          <w:kern w:val="0"/>
          <w:sz w:val="32"/>
          <w:szCs w:val="32"/>
        </w:rPr>
      </w:pPr>
    </w:p>
    <w:p>
      <w:pPr>
        <w:pageBreakBefore w:val="0"/>
        <w:kinsoku/>
        <w:wordWrap/>
        <w:overflowPunct/>
        <w:bidi w:val="0"/>
        <w:spacing w:line="578" w:lineRule="exact"/>
        <w:ind w:firstLine="640"/>
        <w:textAlignment w:val="auto"/>
        <w:rPr>
          <w:rFonts w:eastAsia="仿宋_GB2312" w:cs="仿宋_GB2312"/>
          <w:kern w:val="0"/>
          <w:sz w:val="32"/>
          <w:szCs w:val="32"/>
        </w:rPr>
      </w:pPr>
    </w:p>
    <w:p>
      <w:pPr>
        <w:pageBreakBefore w:val="0"/>
        <w:kinsoku/>
        <w:wordWrap/>
        <w:overflowPunct/>
        <w:bidi w:val="0"/>
        <w:spacing w:line="578" w:lineRule="exact"/>
        <w:ind w:firstLine="640"/>
        <w:textAlignment w:val="auto"/>
        <w:rPr>
          <w:rFonts w:eastAsia="仿宋_GB2312" w:cs="仿宋_GB2312"/>
          <w:kern w:val="0"/>
          <w:sz w:val="32"/>
          <w:szCs w:val="32"/>
        </w:rPr>
      </w:pPr>
      <w:bookmarkStart w:id="116" w:name="_Toc15396618"/>
      <w:r>
        <w:rPr>
          <w:rFonts w:hint="eastAsia" w:eastAsia="仿宋_GB2312" w:cs="仿宋_GB2312"/>
          <w:kern w:val="0"/>
          <w:sz w:val="32"/>
          <w:szCs w:val="32"/>
        </w:rPr>
        <w:br w:type="page"/>
      </w:r>
    </w:p>
    <w:p>
      <w:pPr>
        <w:pStyle w:val="3"/>
        <w:bidi w:val="0"/>
        <w:jc w:val="center"/>
      </w:pPr>
      <w:bookmarkStart w:id="117" w:name="_Toc31060_WPSOffice_Level1"/>
      <w:r>
        <w:rPr>
          <w:rFonts w:hint="eastAsia"/>
        </w:rPr>
        <w:t>第五部分 附表</w:t>
      </w:r>
      <w:bookmarkEnd w:id="89"/>
      <w:bookmarkEnd w:id="116"/>
      <w:bookmarkEnd w:id="117"/>
      <w:bookmarkStart w:id="118" w:name="_Toc15396619"/>
    </w:p>
    <w:p>
      <w:pPr>
        <w:pStyle w:val="16"/>
        <w:pageBreakBefore w:val="0"/>
        <w:kinsoku/>
        <w:wordWrap/>
        <w:overflowPunct/>
        <w:bidi w:val="0"/>
        <w:adjustRightInd w:val="0"/>
        <w:snapToGrid w:val="0"/>
        <w:spacing w:line="560" w:lineRule="exact"/>
        <w:jc w:val="left"/>
        <w:textAlignment w:val="auto"/>
        <w:rPr>
          <w:rFonts w:eastAsia="仿宋_GB2312" w:cs="仿宋_GB2312"/>
          <w:sz w:val="32"/>
          <w:szCs w:val="32"/>
        </w:rPr>
      </w:pPr>
    </w:p>
    <w:p>
      <w:pPr>
        <w:pStyle w:val="16"/>
        <w:pageBreakBefore w:val="0"/>
        <w:kinsoku/>
        <w:wordWrap/>
        <w:overflowPunct/>
        <w:bidi w:val="0"/>
        <w:adjustRightInd w:val="0"/>
        <w:snapToGrid w:val="0"/>
        <w:spacing w:line="560" w:lineRule="exact"/>
        <w:jc w:val="left"/>
        <w:textAlignment w:val="auto"/>
        <w:rPr>
          <w:rFonts w:eastAsia="仿宋_GB2312" w:cs="仿宋_GB2312"/>
          <w:sz w:val="32"/>
          <w:szCs w:val="32"/>
        </w:rPr>
      </w:pPr>
      <w:bookmarkStart w:id="119" w:name="_Toc7947_WPSOffice_Level2"/>
      <w:r>
        <w:rPr>
          <w:rFonts w:hint="eastAsia" w:eastAsia="仿宋_GB2312" w:cs="仿宋_GB2312"/>
          <w:sz w:val="32"/>
          <w:szCs w:val="32"/>
        </w:rPr>
        <w:t>一、收入支出决算总表</w:t>
      </w:r>
      <w:bookmarkEnd w:id="118"/>
      <w:bookmarkEnd w:id="119"/>
    </w:p>
    <w:p>
      <w:pPr>
        <w:pStyle w:val="16"/>
        <w:pageBreakBefore w:val="0"/>
        <w:kinsoku/>
        <w:wordWrap/>
        <w:overflowPunct/>
        <w:bidi w:val="0"/>
        <w:adjustRightInd w:val="0"/>
        <w:snapToGrid w:val="0"/>
        <w:spacing w:line="560" w:lineRule="exact"/>
        <w:jc w:val="left"/>
        <w:textAlignment w:val="auto"/>
        <w:rPr>
          <w:rFonts w:eastAsia="仿宋_GB2312" w:cs="仿宋_GB2312"/>
          <w:sz w:val="32"/>
          <w:szCs w:val="32"/>
        </w:rPr>
      </w:pPr>
      <w:bookmarkStart w:id="120" w:name="_Toc15396620"/>
      <w:bookmarkStart w:id="121" w:name="_Toc30159_WPSOffice_Level2"/>
      <w:r>
        <w:rPr>
          <w:rFonts w:hint="eastAsia" w:eastAsia="仿宋_GB2312" w:cs="仿宋_GB2312"/>
          <w:sz w:val="32"/>
          <w:szCs w:val="32"/>
        </w:rPr>
        <w:t>二、收入决算表</w:t>
      </w:r>
      <w:bookmarkEnd w:id="120"/>
      <w:bookmarkEnd w:id="121"/>
    </w:p>
    <w:p>
      <w:pPr>
        <w:pStyle w:val="16"/>
        <w:pageBreakBefore w:val="0"/>
        <w:kinsoku/>
        <w:wordWrap/>
        <w:overflowPunct/>
        <w:bidi w:val="0"/>
        <w:adjustRightInd w:val="0"/>
        <w:snapToGrid w:val="0"/>
        <w:spacing w:line="560" w:lineRule="exact"/>
        <w:jc w:val="left"/>
        <w:textAlignment w:val="auto"/>
        <w:rPr>
          <w:rFonts w:eastAsia="仿宋_GB2312" w:cs="仿宋_GB2312"/>
          <w:sz w:val="32"/>
          <w:szCs w:val="32"/>
        </w:rPr>
      </w:pPr>
      <w:bookmarkStart w:id="122" w:name="_Toc15396621"/>
      <w:bookmarkStart w:id="123" w:name="_Toc24538_WPSOffice_Level2"/>
      <w:r>
        <w:rPr>
          <w:rFonts w:hint="eastAsia" w:eastAsia="仿宋_GB2312" w:cs="仿宋_GB2312"/>
          <w:sz w:val="32"/>
          <w:szCs w:val="32"/>
        </w:rPr>
        <w:t>三、支出决算表</w:t>
      </w:r>
      <w:bookmarkEnd w:id="122"/>
      <w:bookmarkEnd w:id="123"/>
    </w:p>
    <w:p>
      <w:pPr>
        <w:pStyle w:val="16"/>
        <w:pageBreakBefore w:val="0"/>
        <w:kinsoku/>
        <w:wordWrap/>
        <w:overflowPunct/>
        <w:bidi w:val="0"/>
        <w:adjustRightInd w:val="0"/>
        <w:snapToGrid w:val="0"/>
        <w:spacing w:line="560" w:lineRule="exact"/>
        <w:jc w:val="left"/>
        <w:textAlignment w:val="auto"/>
        <w:rPr>
          <w:rFonts w:eastAsia="仿宋_GB2312" w:cs="仿宋_GB2312"/>
          <w:sz w:val="32"/>
          <w:szCs w:val="32"/>
        </w:rPr>
      </w:pPr>
      <w:bookmarkStart w:id="124" w:name="_Toc15396622"/>
      <w:bookmarkStart w:id="125" w:name="_Toc5284_WPSOffice_Level2"/>
      <w:r>
        <w:rPr>
          <w:rFonts w:hint="eastAsia" w:eastAsia="仿宋_GB2312" w:cs="仿宋_GB2312"/>
          <w:sz w:val="32"/>
          <w:szCs w:val="32"/>
        </w:rPr>
        <w:t>四、财政拨款收入支出决算总表</w:t>
      </w:r>
      <w:bookmarkEnd w:id="124"/>
      <w:bookmarkEnd w:id="125"/>
    </w:p>
    <w:p>
      <w:pPr>
        <w:pStyle w:val="16"/>
        <w:pageBreakBefore w:val="0"/>
        <w:kinsoku/>
        <w:wordWrap/>
        <w:overflowPunct/>
        <w:bidi w:val="0"/>
        <w:adjustRightInd w:val="0"/>
        <w:snapToGrid w:val="0"/>
        <w:spacing w:line="560" w:lineRule="exact"/>
        <w:jc w:val="left"/>
        <w:textAlignment w:val="auto"/>
        <w:rPr>
          <w:rFonts w:eastAsia="仿宋_GB2312" w:cs="仿宋_GB2312"/>
          <w:sz w:val="32"/>
          <w:szCs w:val="32"/>
        </w:rPr>
      </w:pPr>
      <w:bookmarkStart w:id="126" w:name="_Toc15396623"/>
      <w:bookmarkStart w:id="127" w:name="_Toc9139_WPSOffice_Level2"/>
      <w:r>
        <w:rPr>
          <w:rFonts w:hint="eastAsia" w:eastAsia="仿宋_GB2312" w:cs="仿宋_GB2312"/>
          <w:sz w:val="32"/>
          <w:szCs w:val="32"/>
        </w:rPr>
        <w:t>五、财政拨款支出决算明细表</w:t>
      </w:r>
      <w:bookmarkEnd w:id="126"/>
      <w:bookmarkEnd w:id="127"/>
      <w:bookmarkStart w:id="128" w:name="_Toc15396624"/>
    </w:p>
    <w:p>
      <w:pPr>
        <w:pStyle w:val="16"/>
        <w:pageBreakBefore w:val="0"/>
        <w:kinsoku/>
        <w:wordWrap/>
        <w:overflowPunct/>
        <w:bidi w:val="0"/>
        <w:adjustRightInd w:val="0"/>
        <w:snapToGrid w:val="0"/>
        <w:spacing w:line="560" w:lineRule="exact"/>
        <w:jc w:val="left"/>
        <w:textAlignment w:val="auto"/>
        <w:rPr>
          <w:rFonts w:eastAsia="仿宋_GB2312" w:cs="仿宋_GB2312"/>
          <w:sz w:val="32"/>
          <w:szCs w:val="32"/>
        </w:rPr>
      </w:pPr>
      <w:bookmarkStart w:id="129" w:name="_Toc7088_WPSOffice_Level2"/>
      <w:r>
        <w:rPr>
          <w:rFonts w:hint="eastAsia" w:eastAsia="仿宋_GB2312" w:cs="仿宋_GB2312"/>
          <w:sz w:val="32"/>
          <w:szCs w:val="32"/>
        </w:rPr>
        <w:t>六、一般公共预算财政拨款支出决算表</w:t>
      </w:r>
      <w:bookmarkEnd w:id="128"/>
      <w:bookmarkEnd w:id="129"/>
    </w:p>
    <w:p>
      <w:pPr>
        <w:pStyle w:val="16"/>
        <w:pageBreakBefore w:val="0"/>
        <w:kinsoku/>
        <w:wordWrap/>
        <w:overflowPunct/>
        <w:bidi w:val="0"/>
        <w:adjustRightInd w:val="0"/>
        <w:snapToGrid w:val="0"/>
        <w:spacing w:line="560" w:lineRule="exact"/>
        <w:jc w:val="left"/>
        <w:textAlignment w:val="auto"/>
        <w:rPr>
          <w:rFonts w:eastAsia="仿宋_GB2312" w:cs="仿宋_GB2312"/>
          <w:sz w:val="32"/>
          <w:szCs w:val="32"/>
        </w:rPr>
      </w:pPr>
      <w:bookmarkStart w:id="130" w:name="_Toc15396625"/>
      <w:bookmarkStart w:id="131" w:name="_Toc31723_WPSOffice_Level2"/>
      <w:r>
        <w:rPr>
          <w:rFonts w:hint="eastAsia" w:eastAsia="仿宋_GB2312" w:cs="仿宋_GB2312"/>
          <w:sz w:val="32"/>
          <w:szCs w:val="32"/>
        </w:rPr>
        <w:t>七、一般公共预算财政拨款支出决算明细表</w:t>
      </w:r>
      <w:bookmarkEnd w:id="130"/>
      <w:bookmarkEnd w:id="131"/>
    </w:p>
    <w:p>
      <w:pPr>
        <w:pStyle w:val="16"/>
        <w:pageBreakBefore w:val="0"/>
        <w:kinsoku/>
        <w:wordWrap/>
        <w:overflowPunct/>
        <w:bidi w:val="0"/>
        <w:adjustRightInd w:val="0"/>
        <w:snapToGrid w:val="0"/>
        <w:spacing w:line="560" w:lineRule="exact"/>
        <w:jc w:val="left"/>
        <w:textAlignment w:val="auto"/>
        <w:rPr>
          <w:rFonts w:eastAsia="仿宋_GB2312" w:cs="仿宋_GB2312"/>
          <w:sz w:val="32"/>
          <w:szCs w:val="32"/>
        </w:rPr>
      </w:pPr>
      <w:bookmarkStart w:id="132" w:name="_Toc15396626"/>
      <w:bookmarkStart w:id="133" w:name="_Toc7063_WPSOffice_Level2"/>
      <w:r>
        <w:rPr>
          <w:rFonts w:hint="eastAsia" w:eastAsia="仿宋_GB2312" w:cs="仿宋_GB2312"/>
          <w:sz w:val="32"/>
          <w:szCs w:val="32"/>
        </w:rPr>
        <w:t>八、一般公共预算财政拨款基本支出决算表</w:t>
      </w:r>
      <w:bookmarkEnd w:id="132"/>
      <w:bookmarkEnd w:id="133"/>
    </w:p>
    <w:p>
      <w:pPr>
        <w:pStyle w:val="16"/>
        <w:pageBreakBefore w:val="0"/>
        <w:kinsoku/>
        <w:wordWrap/>
        <w:overflowPunct/>
        <w:bidi w:val="0"/>
        <w:adjustRightInd w:val="0"/>
        <w:snapToGrid w:val="0"/>
        <w:spacing w:line="560" w:lineRule="exact"/>
        <w:jc w:val="left"/>
        <w:textAlignment w:val="auto"/>
        <w:rPr>
          <w:rFonts w:eastAsia="仿宋_GB2312" w:cs="仿宋_GB2312"/>
          <w:sz w:val="32"/>
          <w:szCs w:val="32"/>
        </w:rPr>
      </w:pPr>
      <w:bookmarkStart w:id="134" w:name="_Toc15396627"/>
      <w:bookmarkStart w:id="135" w:name="_Toc509_WPSOffice_Level2"/>
      <w:r>
        <w:rPr>
          <w:rFonts w:hint="eastAsia" w:eastAsia="仿宋_GB2312" w:cs="仿宋_GB2312"/>
          <w:sz w:val="32"/>
          <w:szCs w:val="32"/>
        </w:rPr>
        <w:t>九、一般公共预算财政拨款项目支出决算表</w:t>
      </w:r>
      <w:bookmarkEnd w:id="134"/>
      <w:bookmarkEnd w:id="135"/>
    </w:p>
    <w:p>
      <w:pPr>
        <w:pStyle w:val="16"/>
        <w:pageBreakBefore w:val="0"/>
        <w:kinsoku/>
        <w:wordWrap/>
        <w:overflowPunct/>
        <w:bidi w:val="0"/>
        <w:adjustRightInd w:val="0"/>
        <w:snapToGrid w:val="0"/>
        <w:spacing w:line="560" w:lineRule="exact"/>
        <w:jc w:val="left"/>
        <w:textAlignment w:val="auto"/>
        <w:rPr>
          <w:rFonts w:eastAsia="仿宋_GB2312" w:cs="仿宋_GB2312"/>
          <w:sz w:val="32"/>
          <w:szCs w:val="32"/>
        </w:rPr>
      </w:pPr>
      <w:bookmarkStart w:id="136" w:name="_Toc15396628"/>
      <w:bookmarkStart w:id="137" w:name="_Toc510_WPSOffice_Level2"/>
      <w:r>
        <w:rPr>
          <w:rFonts w:hint="eastAsia" w:eastAsia="仿宋_GB2312" w:cs="仿宋_GB2312"/>
          <w:sz w:val="32"/>
          <w:szCs w:val="32"/>
        </w:rPr>
        <w:t>十、</w:t>
      </w:r>
      <w:bookmarkEnd w:id="136"/>
      <w:r>
        <w:rPr>
          <w:rFonts w:hint="eastAsia" w:eastAsia="仿宋_GB2312" w:cs="仿宋_GB2312"/>
          <w:sz w:val="32"/>
          <w:szCs w:val="32"/>
        </w:rPr>
        <w:t>政府性基金预算财政拨款收入支出决算表</w:t>
      </w:r>
      <w:bookmarkEnd w:id="137"/>
    </w:p>
    <w:p>
      <w:pPr>
        <w:pStyle w:val="16"/>
        <w:pageBreakBefore w:val="0"/>
        <w:kinsoku/>
        <w:wordWrap/>
        <w:overflowPunct/>
        <w:bidi w:val="0"/>
        <w:adjustRightInd w:val="0"/>
        <w:snapToGrid w:val="0"/>
        <w:spacing w:line="560" w:lineRule="exact"/>
        <w:jc w:val="left"/>
        <w:textAlignment w:val="auto"/>
        <w:rPr>
          <w:rFonts w:eastAsia="仿宋_GB2312" w:cs="仿宋_GB2312"/>
          <w:sz w:val="32"/>
          <w:szCs w:val="32"/>
        </w:rPr>
      </w:pPr>
      <w:bookmarkStart w:id="138" w:name="_Toc15396629"/>
      <w:bookmarkStart w:id="139" w:name="_Toc7999_WPSOffice_Level2"/>
      <w:r>
        <w:rPr>
          <w:rFonts w:hint="eastAsia" w:eastAsia="仿宋_GB2312" w:cs="仿宋_GB2312"/>
          <w:sz w:val="32"/>
          <w:szCs w:val="32"/>
        </w:rPr>
        <w:t>十一、</w:t>
      </w:r>
      <w:bookmarkEnd w:id="138"/>
      <w:r>
        <w:rPr>
          <w:rFonts w:hint="eastAsia" w:eastAsia="仿宋_GB2312" w:cs="仿宋_GB2312"/>
          <w:sz w:val="32"/>
          <w:szCs w:val="32"/>
        </w:rPr>
        <w:t>国有资本经营预算财政拨款收入支出决算表</w:t>
      </w:r>
      <w:bookmarkEnd w:id="139"/>
    </w:p>
    <w:p>
      <w:pPr>
        <w:pStyle w:val="16"/>
        <w:pageBreakBefore w:val="0"/>
        <w:kinsoku/>
        <w:wordWrap/>
        <w:overflowPunct/>
        <w:bidi w:val="0"/>
        <w:adjustRightInd w:val="0"/>
        <w:snapToGrid w:val="0"/>
        <w:spacing w:line="560" w:lineRule="exact"/>
        <w:jc w:val="left"/>
        <w:textAlignment w:val="auto"/>
        <w:rPr>
          <w:rFonts w:eastAsia="仿宋_GB2312" w:cs="仿宋_GB2312"/>
          <w:sz w:val="32"/>
          <w:szCs w:val="32"/>
        </w:rPr>
      </w:pPr>
      <w:bookmarkStart w:id="140" w:name="_Toc15396630"/>
      <w:bookmarkStart w:id="141" w:name="_Toc8607_WPSOffice_Level2"/>
      <w:r>
        <w:rPr>
          <w:rFonts w:hint="eastAsia" w:eastAsia="仿宋_GB2312" w:cs="仿宋_GB2312"/>
          <w:sz w:val="32"/>
          <w:szCs w:val="32"/>
        </w:rPr>
        <w:t>十二、</w:t>
      </w:r>
      <w:bookmarkEnd w:id="140"/>
      <w:r>
        <w:rPr>
          <w:rFonts w:hint="eastAsia" w:eastAsia="仿宋_GB2312" w:cs="仿宋_GB2312"/>
          <w:sz w:val="32"/>
          <w:szCs w:val="32"/>
        </w:rPr>
        <w:t>国有资本经营预算财政拨款支出决算表</w:t>
      </w:r>
      <w:bookmarkEnd w:id="141"/>
    </w:p>
    <w:p>
      <w:pPr>
        <w:pStyle w:val="16"/>
        <w:pageBreakBefore w:val="0"/>
        <w:kinsoku/>
        <w:wordWrap/>
        <w:overflowPunct/>
        <w:bidi w:val="0"/>
        <w:adjustRightInd w:val="0"/>
        <w:snapToGrid w:val="0"/>
        <w:spacing w:line="560" w:lineRule="exact"/>
        <w:jc w:val="left"/>
        <w:textAlignment w:val="auto"/>
        <w:rPr>
          <w:rFonts w:eastAsia="仿宋_GB2312" w:cs="仿宋_GB2312"/>
          <w:sz w:val="32"/>
          <w:szCs w:val="32"/>
        </w:rPr>
      </w:pPr>
      <w:bookmarkStart w:id="142" w:name="_Toc15396631"/>
      <w:bookmarkStart w:id="143" w:name="_Toc13890_WPSOffice_Level2"/>
      <w:r>
        <w:rPr>
          <w:rFonts w:hint="eastAsia" w:eastAsia="仿宋_GB2312" w:cs="仿宋_GB2312"/>
          <w:sz w:val="32"/>
          <w:szCs w:val="32"/>
        </w:rPr>
        <w:t>十三、</w:t>
      </w:r>
      <w:bookmarkEnd w:id="142"/>
      <w:r>
        <w:rPr>
          <w:rFonts w:hint="eastAsia" w:eastAsia="仿宋_GB2312" w:cs="仿宋_GB2312"/>
          <w:sz w:val="32"/>
          <w:szCs w:val="32"/>
        </w:rPr>
        <w:t>财政拨款“三公”经费支出决算表</w:t>
      </w:r>
      <w:bookmarkEnd w:id="143"/>
    </w:p>
    <w:p>
      <w:pPr>
        <w:pageBreakBefore w:val="0"/>
        <w:kinsoku/>
        <w:wordWrap/>
        <w:overflowPunct/>
        <w:bidi w:val="0"/>
        <w:textAlignment w:val="auto"/>
      </w:pPr>
    </w:p>
    <w:sectPr>
      <w:footerReference r:id="rId8" w:type="first"/>
      <w:footerReference r:id="rId7" w:type="default"/>
      <w:pgSz w:w="11906" w:h="16838"/>
      <w:pgMar w:top="1440" w:right="1800" w:bottom="1440" w:left="1800" w:header="851" w:footer="992" w:gutter="0"/>
      <w:pgNumType w:fmt="decimal"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Segoe Print"/>
    <w:panose1 w:val="00000000000000000000"/>
    <w:charset w:val="00"/>
    <w:family w:val="roman"/>
    <w:pitch w:val="default"/>
    <w:sig w:usb0="00000000" w:usb1="00000000" w:usb2="00000000" w:usb3="00000000" w:csb0="00000000" w:csb1="00000000"/>
  </w:font>
  <w:font w:name="方正小标宋简体">
    <w:altName w:val="Arial Unicode MS"/>
    <w:panose1 w:val="02010601030101010101"/>
    <w:charset w:val="86"/>
    <w:family w:val="script"/>
    <w:pitch w:val="default"/>
    <w:sig w:usb0="00000000" w:usb1="00000000" w:usb2="00000000" w:usb3="00000000" w:csb0="00040000" w:csb1="00000000"/>
  </w:font>
  <w:font w:name="楷体_GB2312">
    <w:altName w:val="Arial Unicode MS"/>
    <w:panose1 w:val="02010609030101010101"/>
    <w:charset w:val="86"/>
    <w:family w:val="modern"/>
    <w:pitch w:val="default"/>
    <w:sig w:usb0="00000000" w:usb1="0000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p>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QmRUUAgAAEwQAAA4AAABkcnMvZTJvRG9jLnhtbK1TTY7TMBTeI3EH&#10;y3uatKi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9fT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XtCZFRQCAAATBAAADgAAAAAAAAAB&#10;ACAAAAAfAQAAZHJzL2Uyb0RvYy54bWxQSwUGAAAAAAYABgBZAQAApQUAAAAA&#10;">
              <v:fill on="f" focussize="0,0"/>
              <v:stroke on="f" weight="0.5pt"/>
              <v:imagedata o:title=""/>
              <o:lock v:ext="edit" aspectratio="f"/>
              <v:textbox inset="0mm,0mm,0mm,0mm" style="mso-fit-shape-to-text:t;">
                <w:txbxContent>
                  <w:p>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p>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- 2 -</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11"/>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- 2 -</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p>
    <w:pPr>
      <w:pStyle w:val="11"/>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Vs2AVAgAAEwQAAA4AAABkcnMvZTJvRG9jLnhtbK1TTY7TMBTeI3EH&#10;y3uatIiZqm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NTVs2AVAgAAEwQAAA4AAAAAAAAA&#10;AQAgAAAAHwEAAGRycy9lMm9Eb2MueG1sUEsFBgAAAAAGAAYAWQEAAKYFAAAAAA==&#10;">
              <v:fill on="f" focussize="0,0"/>
              <v:stroke on="f" weight="0.5pt"/>
              <v:imagedata o:title=""/>
              <o:lock v:ext="edit" aspectratio="f"/>
              <v:textbox inset="0mm,0mm,0mm,0mm" style="mso-fit-shape-to-text:t;">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4A3888B"/>
    <w:multiLevelType w:val="multilevel"/>
    <w:tmpl w:val="F4A3888B"/>
    <w:lvl w:ilvl="0" w:tentative="0">
      <w:start w:val="2"/>
      <w:numFmt w:val="decimal"/>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rPr>
        <w:rFonts w:hint="default" w:ascii="Times New Roman" w:hAnsi="Times New Roman" w:cs="Times New Roman"/>
      </w:rPr>
    </w:lvl>
    <w:lvl w:ilvl="2" w:tentative="0">
      <w:start w:val="1"/>
      <w:numFmt w:val="decimal"/>
      <w:lvlText w:val="%3."/>
      <w:lvlJc w:val="left"/>
      <w:pPr>
        <w:tabs>
          <w:tab w:val="left" w:pos="2160"/>
        </w:tabs>
        <w:ind w:left="2160" w:hanging="360"/>
      </w:pPr>
      <w:rPr>
        <w:rFonts w:hint="default" w:ascii="Times New Roman" w:hAnsi="Times New Roman" w:cs="Times New Roman"/>
      </w:rPr>
    </w:lvl>
    <w:lvl w:ilvl="3" w:tentative="0">
      <w:start w:val="1"/>
      <w:numFmt w:val="decimal"/>
      <w:lvlText w:val="%4."/>
      <w:lvlJc w:val="left"/>
      <w:pPr>
        <w:tabs>
          <w:tab w:val="left" w:pos="2880"/>
        </w:tabs>
        <w:ind w:left="2880" w:hanging="360"/>
      </w:pPr>
      <w:rPr>
        <w:rFonts w:hint="default" w:ascii="Times New Roman" w:hAnsi="Times New Roman" w:cs="Times New Roman"/>
      </w:rPr>
    </w:lvl>
    <w:lvl w:ilvl="4" w:tentative="0">
      <w:start w:val="1"/>
      <w:numFmt w:val="decimal"/>
      <w:lvlText w:val="%5."/>
      <w:lvlJc w:val="left"/>
      <w:pPr>
        <w:tabs>
          <w:tab w:val="left" w:pos="3600"/>
        </w:tabs>
        <w:ind w:left="3600" w:hanging="360"/>
      </w:pPr>
      <w:rPr>
        <w:rFonts w:hint="default" w:ascii="Times New Roman" w:hAnsi="Times New Roman" w:cs="Times New Roman"/>
      </w:rPr>
    </w:lvl>
    <w:lvl w:ilvl="5" w:tentative="0">
      <w:start w:val="1"/>
      <w:numFmt w:val="decimal"/>
      <w:lvlText w:val="%6."/>
      <w:lvlJc w:val="left"/>
      <w:pPr>
        <w:tabs>
          <w:tab w:val="left" w:pos="4320"/>
        </w:tabs>
        <w:ind w:left="4320" w:hanging="360"/>
      </w:pPr>
      <w:rPr>
        <w:rFonts w:hint="default" w:ascii="Times New Roman" w:hAnsi="Times New Roman" w:cs="Times New Roman"/>
      </w:rPr>
    </w:lvl>
    <w:lvl w:ilvl="6" w:tentative="0">
      <w:start w:val="1"/>
      <w:numFmt w:val="decimal"/>
      <w:lvlText w:val="%7."/>
      <w:lvlJc w:val="left"/>
      <w:pPr>
        <w:tabs>
          <w:tab w:val="left" w:pos="5040"/>
        </w:tabs>
        <w:ind w:left="5040" w:hanging="360"/>
      </w:pPr>
      <w:rPr>
        <w:rFonts w:hint="default" w:ascii="Times New Roman" w:hAnsi="Times New Roman" w:cs="Times New Roman"/>
      </w:rPr>
    </w:lvl>
    <w:lvl w:ilvl="7" w:tentative="0">
      <w:start w:val="1"/>
      <w:numFmt w:val="decimal"/>
      <w:lvlText w:val="%8."/>
      <w:lvlJc w:val="left"/>
      <w:pPr>
        <w:tabs>
          <w:tab w:val="left" w:pos="5760"/>
        </w:tabs>
        <w:ind w:left="5760" w:hanging="360"/>
      </w:pPr>
      <w:rPr>
        <w:rFonts w:hint="default" w:ascii="Times New Roman" w:hAnsi="Times New Roman" w:cs="Times New Roman"/>
      </w:rPr>
    </w:lvl>
    <w:lvl w:ilvl="8" w:tentative="0">
      <w:start w:val="1"/>
      <w:numFmt w:val="decimal"/>
      <w:lvlText w:val="%9."/>
      <w:lvlJc w:val="left"/>
      <w:pPr>
        <w:tabs>
          <w:tab w:val="left" w:pos="6480"/>
        </w:tabs>
        <w:ind w:left="6480" w:hanging="360"/>
      </w:pPr>
      <w:rPr>
        <w:rFonts w:hint="default" w:ascii="Times New Roman" w:hAnsi="Times New Roman" w:cs="Times New Roman"/>
      </w:rPr>
    </w:lvl>
  </w:abstractNum>
  <w:abstractNum w:abstractNumId="1">
    <w:nsid w:val="61319331"/>
    <w:multiLevelType w:val="singleLevel"/>
    <w:tmpl w:val="61319331"/>
    <w:lvl w:ilvl="0" w:tentative="0">
      <w:start w:val="1"/>
      <w:numFmt w:val="chineseCounting"/>
      <w:suff w:val="nothing"/>
      <w:lvlText w:val="（%1）"/>
      <w:lvlJc w:val="left"/>
    </w:lvl>
  </w:abstractNum>
  <w:abstractNum w:abstractNumId="2">
    <w:nsid w:val="627A298E"/>
    <w:multiLevelType w:val="singleLevel"/>
    <w:tmpl w:val="627A298E"/>
    <w:lvl w:ilvl="0" w:tentative="0">
      <w:start w:val="2"/>
      <w:numFmt w:val="decimal"/>
      <w:suff w:val="nothing"/>
      <w:lvlText w:val="%1."/>
      <w:lvlJc w:val="left"/>
    </w:lvl>
  </w:abstractNum>
  <w:abstractNum w:abstractNumId="3">
    <w:nsid w:val="7D07D5BD"/>
    <w:multiLevelType w:val="multilevel"/>
    <w:tmpl w:val="7D07D5BD"/>
    <w:lvl w:ilvl="0" w:tentative="0">
      <w:start w:val="1"/>
      <w:numFmt w:val="decimal"/>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rPr>
        <w:rFonts w:hint="default" w:ascii="Times New Roman" w:hAnsi="Times New Roman" w:cs="Times New Roman"/>
      </w:rPr>
    </w:lvl>
    <w:lvl w:ilvl="2" w:tentative="0">
      <w:start w:val="1"/>
      <w:numFmt w:val="decimal"/>
      <w:lvlText w:val="%3."/>
      <w:lvlJc w:val="left"/>
      <w:pPr>
        <w:tabs>
          <w:tab w:val="left" w:pos="2160"/>
        </w:tabs>
        <w:ind w:left="2160" w:hanging="360"/>
      </w:pPr>
      <w:rPr>
        <w:rFonts w:hint="default" w:ascii="Times New Roman" w:hAnsi="Times New Roman" w:cs="Times New Roman"/>
      </w:rPr>
    </w:lvl>
    <w:lvl w:ilvl="3" w:tentative="0">
      <w:start w:val="1"/>
      <w:numFmt w:val="decimal"/>
      <w:lvlText w:val="%4."/>
      <w:lvlJc w:val="left"/>
      <w:pPr>
        <w:tabs>
          <w:tab w:val="left" w:pos="2880"/>
        </w:tabs>
        <w:ind w:left="2880" w:hanging="360"/>
      </w:pPr>
      <w:rPr>
        <w:rFonts w:hint="default" w:ascii="Times New Roman" w:hAnsi="Times New Roman" w:cs="Times New Roman"/>
      </w:rPr>
    </w:lvl>
    <w:lvl w:ilvl="4" w:tentative="0">
      <w:start w:val="1"/>
      <w:numFmt w:val="decimal"/>
      <w:lvlText w:val="%5."/>
      <w:lvlJc w:val="left"/>
      <w:pPr>
        <w:tabs>
          <w:tab w:val="left" w:pos="3600"/>
        </w:tabs>
        <w:ind w:left="3600" w:hanging="360"/>
      </w:pPr>
      <w:rPr>
        <w:rFonts w:hint="default" w:ascii="Times New Roman" w:hAnsi="Times New Roman" w:cs="Times New Roman"/>
      </w:rPr>
    </w:lvl>
    <w:lvl w:ilvl="5" w:tentative="0">
      <w:start w:val="1"/>
      <w:numFmt w:val="decimal"/>
      <w:lvlText w:val="%6."/>
      <w:lvlJc w:val="left"/>
      <w:pPr>
        <w:tabs>
          <w:tab w:val="left" w:pos="4320"/>
        </w:tabs>
        <w:ind w:left="4320" w:hanging="360"/>
      </w:pPr>
      <w:rPr>
        <w:rFonts w:hint="default" w:ascii="Times New Roman" w:hAnsi="Times New Roman" w:cs="Times New Roman"/>
      </w:rPr>
    </w:lvl>
    <w:lvl w:ilvl="6" w:tentative="0">
      <w:start w:val="1"/>
      <w:numFmt w:val="decimal"/>
      <w:lvlText w:val="%7."/>
      <w:lvlJc w:val="left"/>
      <w:pPr>
        <w:tabs>
          <w:tab w:val="left" w:pos="5040"/>
        </w:tabs>
        <w:ind w:left="5040" w:hanging="360"/>
      </w:pPr>
      <w:rPr>
        <w:rFonts w:hint="default" w:ascii="Times New Roman" w:hAnsi="Times New Roman" w:cs="Times New Roman"/>
      </w:rPr>
    </w:lvl>
    <w:lvl w:ilvl="7" w:tentative="0">
      <w:start w:val="1"/>
      <w:numFmt w:val="decimal"/>
      <w:lvlText w:val="%8."/>
      <w:lvlJc w:val="left"/>
      <w:pPr>
        <w:tabs>
          <w:tab w:val="left" w:pos="5760"/>
        </w:tabs>
        <w:ind w:left="5760" w:hanging="360"/>
      </w:pPr>
      <w:rPr>
        <w:rFonts w:hint="default" w:ascii="Times New Roman" w:hAnsi="Times New Roman" w:cs="Times New Roman"/>
      </w:rPr>
    </w:lvl>
    <w:lvl w:ilvl="8" w:tentative="0">
      <w:start w:val="1"/>
      <w:numFmt w:val="decimal"/>
      <w:lvlText w:val="%9."/>
      <w:lvlJc w:val="left"/>
      <w:pPr>
        <w:tabs>
          <w:tab w:val="left" w:pos="6480"/>
        </w:tabs>
        <w:ind w:left="6480" w:hanging="360"/>
      </w:pPr>
      <w:rPr>
        <w:rFonts w:hint="default" w:ascii="Times New Roman" w:hAnsi="Times New Roman" w:cs="Times New Roman"/>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38A4"/>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7413C"/>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0156"/>
    <w:rsid w:val="006A3141"/>
    <w:rsid w:val="006A5E34"/>
    <w:rsid w:val="006B2422"/>
    <w:rsid w:val="006B2B9A"/>
    <w:rsid w:val="006C1937"/>
    <w:rsid w:val="006F020C"/>
    <w:rsid w:val="007127B7"/>
    <w:rsid w:val="0071798E"/>
    <w:rsid w:val="007416B6"/>
    <w:rsid w:val="00746BD5"/>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75013"/>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8103C"/>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494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929DB"/>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4633"/>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17821"/>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2A5EC2"/>
    <w:rsid w:val="015975B8"/>
    <w:rsid w:val="02FEBE30"/>
    <w:rsid w:val="04916F1E"/>
    <w:rsid w:val="061E35DE"/>
    <w:rsid w:val="066E0107"/>
    <w:rsid w:val="07996F6E"/>
    <w:rsid w:val="07DFD8BA"/>
    <w:rsid w:val="09867E8F"/>
    <w:rsid w:val="0A2032A3"/>
    <w:rsid w:val="0ADE6EA5"/>
    <w:rsid w:val="0CA8290A"/>
    <w:rsid w:val="0D35B1ED"/>
    <w:rsid w:val="0E254B6B"/>
    <w:rsid w:val="0F98263C"/>
    <w:rsid w:val="101860EC"/>
    <w:rsid w:val="101F47CC"/>
    <w:rsid w:val="10521234"/>
    <w:rsid w:val="10C055FF"/>
    <w:rsid w:val="11694EBD"/>
    <w:rsid w:val="11772AA4"/>
    <w:rsid w:val="118107EC"/>
    <w:rsid w:val="12E24EE2"/>
    <w:rsid w:val="13D50BC4"/>
    <w:rsid w:val="14B17F78"/>
    <w:rsid w:val="165E0673"/>
    <w:rsid w:val="16B831D5"/>
    <w:rsid w:val="16BB723D"/>
    <w:rsid w:val="17E50567"/>
    <w:rsid w:val="186504BB"/>
    <w:rsid w:val="19A445FC"/>
    <w:rsid w:val="1BAD4F97"/>
    <w:rsid w:val="1BE8440E"/>
    <w:rsid w:val="1CC6347C"/>
    <w:rsid w:val="1D155CEE"/>
    <w:rsid w:val="1D1638FE"/>
    <w:rsid w:val="1E312DEB"/>
    <w:rsid w:val="1E740ACF"/>
    <w:rsid w:val="1FF35744"/>
    <w:rsid w:val="1FF6BC77"/>
    <w:rsid w:val="2186353C"/>
    <w:rsid w:val="23860B96"/>
    <w:rsid w:val="240371BF"/>
    <w:rsid w:val="244F3473"/>
    <w:rsid w:val="24C97D99"/>
    <w:rsid w:val="25A718F0"/>
    <w:rsid w:val="25BB59F6"/>
    <w:rsid w:val="260F557C"/>
    <w:rsid w:val="26970054"/>
    <w:rsid w:val="281408E2"/>
    <w:rsid w:val="29FD04D3"/>
    <w:rsid w:val="2BFF7BC6"/>
    <w:rsid w:val="2C8A61B5"/>
    <w:rsid w:val="2D324872"/>
    <w:rsid w:val="2D3567B6"/>
    <w:rsid w:val="2DF04E50"/>
    <w:rsid w:val="2E586DFA"/>
    <w:rsid w:val="2F040D46"/>
    <w:rsid w:val="2F6B035B"/>
    <w:rsid w:val="2FAE5751"/>
    <w:rsid w:val="2FB1A395"/>
    <w:rsid w:val="2FD9A7D8"/>
    <w:rsid w:val="2FDBF714"/>
    <w:rsid w:val="30AB6865"/>
    <w:rsid w:val="319F7F4E"/>
    <w:rsid w:val="329A344A"/>
    <w:rsid w:val="32BD1EF1"/>
    <w:rsid w:val="3304709D"/>
    <w:rsid w:val="33912725"/>
    <w:rsid w:val="33A773CB"/>
    <w:rsid w:val="349D6851"/>
    <w:rsid w:val="36AA5135"/>
    <w:rsid w:val="36BE0DA7"/>
    <w:rsid w:val="376B6AA6"/>
    <w:rsid w:val="376D39B2"/>
    <w:rsid w:val="37E16F03"/>
    <w:rsid w:val="37F53A3B"/>
    <w:rsid w:val="389B6C89"/>
    <w:rsid w:val="38D469F0"/>
    <w:rsid w:val="39627CCD"/>
    <w:rsid w:val="397BAF1F"/>
    <w:rsid w:val="3AB79AF3"/>
    <w:rsid w:val="3ACD717A"/>
    <w:rsid w:val="3AE834C0"/>
    <w:rsid w:val="3B7EF35A"/>
    <w:rsid w:val="3B9FDB6C"/>
    <w:rsid w:val="3BF5BC2F"/>
    <w:rsid w:val="3CEBA265"/>
    <w:rsid w:val="3D98207C"/>
    <w:rsid w:val="3DEE7CF3"/>
    <w:rsid w:val="3E740A63"/>
    <w:rsid w:val="3E78745D"/>
    <w:rsid w:val="3EE17838"/>
    <w:rsid w:val="3F55381A"/>
    <w:rsid w:val="3F7F7599"/>
    <w:rsid w:val="3FF4CAE0"/>
    <w:rsid w:val="3FF7B227"/>
    <w:rsid w:val="43CC351F"/>
    <w:rsid w:val="44E268DA"/>
    <w:rsid w:val="450D13D7"/>
    <w:rsid w:val="45506656"/>
    <w:rsid w:val="486A6C7A"/>
    <w:rsid w:val="4A627F82"/>
    <w:rsid w:val="4A6524F4"/>
    <w:rsid w:val="4B0E749A"/>
    <w:rsid w:val="4B2477C4"/>
    <w:rsid w:val="4B4F25DA"/>
    <w:rsid w:val="4B845327"/>
    <w:rsid w:val="4BE068DB"/>
    <w:rsid w:val="4D577224"/>
    <w:rsid w:val="4DBF1CEB"/>
    <w:rsid w:val="4DF0007C"/>
    <w:rsid w:val="4EAB630A"/>
    <w:rsid w:val="4ECE2238"/>
    <w:rsid w:val="4F833267"/>
    <w:rsid w:val="4FE9BD67"/>
    <w:rsid w:val="4FFB052F"/>
    <w:rsid w:val="51C337AB"/>
    <w:rsid w:val="51FD6992"/>
    <w:rsid w:val="537E6D0A"/>
    <w:rsid w:val="53F74C96"/>
    <w:rsid w:val="55170BA8"/>
    <w:rsid w:val="553218C9"/>
    <w:rsid w:val="567E1AA5"/>
    <w:rsid w:val="56E47B74"/>
    <w:rsid w:val="57175D52"/>
    <w:rsid w:val="57BD3DD4"/>
    <w:rsid w:val="5AF92295"/>
    <w:rsid w:val="5B250254"/>
    <w:rsid w:val="5BDD79E6"/>
    <w:rsid w:val="5BF561CA"/>
    <w:rsid w:val="5BFF5DFC"/>
    <w:rsid w:val="5CD71FC4"/>
    <w:rsid w:val="5D1F11B5"/>
    <w:rsid w:val="5D695134"/>
    <w:rsid w:val="5DAE1B18"/>
    <w:rsid w:val="5DE7D9E5"/>
    <w:rsid w:val="5ECEC941"/>
    <w:rsid w:val="5FBF9FF3"/>
    <w:rsid w:val="5FCD4E2C"/>
    <w:rsid w:val="5FEF394A"/>
    <w:rsid w:val="5FF67715"/>
    <w:rsid w:val="62BF3928"/>
    <w:rsid w:val="63B3701E"/>
    <w:rsid w:val="63B855F1"/>
    <w:rsid w:val="647F5392"/>
    <w:rsid w:val="65E66580"/>
    <w:rsid w:val="664B1D71"/>
    <w:rsid w:val="664B4E8E"/>
    <w:rsid w:val="67277B67"/>
    <w:rsid w:val="67AA3209"/>
    <w:rsid w:val="698D0931"/>
    <w:rsid w:val="6A7FE5F3"/>
    <w:rsid w:val="6B053271"/>
    <w:rsid w:val="6BDD78B3"/>
    <w:rsid w:val="6C4A05C8"/>
    <w:rsid w:val="6C8742B8"/>
    <w:rsid w:val="6D3F1F24"/>
    <w:rsid w:val="6DBF5E93"/>
    <w:rsid w:val="6DFF077E"/>
    <w:rsid w:val="6E714EF0"/>
    <w:rsid w:val="6E7E3605"/>
    <w:rsid w:val="6E7FDCC7"/>
    <w:rsid w:val="6ED6A62E"/>
    <w:rsid w:val="6EE00B15"/>
    <w:rsid w:val="6F6FB3EB"/>
    <w:rsid w:val="6F8731EA"/>
    <w:rsid w:val="6FCE6052"/>
    <w:rsid w:val="6FD57C00"/>
    <w:rsid w:val="6FEFFFD8"/>
    <w:rsid w:val="6FF5CC65"/>
    <w:rsid w:val="6FFB47EC"/>
    <w:rsid w:val="6FFF034A"/>
    <w:rsid w:val="70484440"/>
    <w:rsid w:val="712A28F1"/>
    <w:rsid w:val="715C0E4B"/>
    <w:rsid w:val="71992E7C"/>
    <w:rsid w:val="72233669"/>
    <w:rsid w:val="72734D90"/>
    <w:rsid w:val="73160E6D"/>
    <w:rsid w:val="7332FE48"/>
    <w:rsid w:val="73AB61DA"/>
    <w:rsid w:val="73AD73D5"/>
    <w:rsid w:val="73B6EB34"/>
    <w:rsid w:val="73FA497D"/>
    <w:rsid w:val="744731E5"/>
    <w:rsid w:val="74BBD01D"/>
    <w:rsid w:val="74ED5379"/>
    <w:rsid w:val="75DEEEC2"/>
    <w:rsid w:val="75E32345"/>
    <w:rsid w:val="76E3355F"/>
    <w:rsid w:val="76FF5125"/>
    <w:rsid w:val="776F6FFA"/>
    <w:rsid w:val="778769C8"/>
    <w:rsid w:val="77A75DCA"/>
    <w:rsid w:val="77DC22F5"/>
    <w:rsid w:val="783E271A"/>
    <w:rsid w:val="78616DE9"/>
    <w:rsid w:val="78E875D7"/>
    <w:rsid w:val="79086DAD"/>
    <w:rsid w:val="79D7FD79"/>
    <w:rsid w:val="79EE5BA4"/>
    <w:rsid w:val="7A894339"/>
    <w:rsid w:val="7AD284E8"/>
    <w:rsid w:val="7AFF7572"/>
    <w:rsid w:val="7B6C7DFB"/>
    <w:rsid w:val="7BBFBED0"/>
    <w:rsid w:val="7BC33E6C"/>
    <w:rsid w:val="7BC3E394"/>
    <w:rsid w:val="7C1B1E7B"/>
    <w:rsid w:val="7C1F3737"/>
    <w:rsid w:val="7CBFC87B"/>
    <w:rsid w:val="7CFE0F48"/>
    <w:rsid w:val="7D272ABC"/>
    <w:rsid w:val="7D7EC23E"/>
    <w:rsid w:val="7E263EBF"/>
    <w:rsid w:val="7E8ADEBF"/>
    <w:rsid w:val="7EEF11D3"/>
    <w:rsid w:val="7EFE4840"/>
    <w:rsid w:val="7F0971A6"/>
    <w:rsid w:val="7F1D62E7"/>
    <w:rsid w:val="7F3F679B"/>
    <w:rsid w:val="7F4FC4EF"/>
    <w:rsid w:val="7F5E4D54"/>
    <w:rsid w:val="7F6E0135"/>
    <w:rsid w:val="7F79F205"/>
    <w:rsid w:val="7FA30C79"/>
    <w:rsid w:val="7FA79C44"/>
    <w:rsid w:val="7FAF8ABF"/>
    <w:rsid w:val="7FB7269E"/>
    <w:rsid w:val="7FC96657"/>
    <w:rsid w:val="7FDA9588"/>
    <w:rsid w:val="7FDF220F"/>
    <w:rsid w:val="7FEDC5F7"/>
    <w:rsid w:val="7FEDD9DE"/>
    <w:rsid w:val="7FF5890D"/>
    <w:rsid w:val="7FF93490"/>
    <w:rsid w:val="99FF2014"/>
    <w:rsid w:val="A6DD0D7F"/>
    <w:rsid w:val="ACFF4FBB"/>
    <w:rsid w:val="ADC6F725"/>
    <w:rsid w:val="B7CF06AB"/>
    <w:rsid w:val="B7CFA926"/>
    <w:rsid w:val="B7F8786B"/>
    <w:rsid w:val="BABB6AA1"/>
    <w:rsid w:val="BB2F4199"/>
    <w:rsid w:val="BCFFB442"/>
    <w:rsid w:val="BD079C78"/>
    <w:rsid w:val="BD733540"/>
    <w:rsid w:val="BF3735D5"/>
    <w:rsid w:val="BF7F09AC"/>
    <w:rsid w:val="BFD475C3"/>
    <w:rsid w:val="BFDE5EA6"/>
    <w:rsid w:val="CF6FC6F3"/>
    <w:rsid w:val="CFD3D3D7"/>
    <w:rsid w:val="CFDF1009"/>
    <w:rsid w:val="D7D7B16A"/>
    <w:rsid w:val="D8D6DB89"/>
    <w:rsid w:val="DB6F4CAB"/>
    <w:rsid w:val="DB777682"/>
    <w:rsid w:val="DD1FB521"/>
    <w:rsid w:val="DEFBFEAE"/>
    <w:rsid w:val="DF1F3B80"/>
    <w:rsid w:val="DF6F9789"/>
    <w:rsid w:val="DFE9BE81"/>
    <w:rsid w:val="DFFFA9E8"/>
    <w:rsid w:val="E5F4E9DC"/>
    <w:rsid w:val="E70FE695"/>
    <w:rsid w:val="EB2E368B"/>
    <w:rsid w:val="ECFED1BC"/>
    <w:rsid w:val="ED1D69BB"/>
    <w:rsid w:val="ED7FD312"/>
    <w:rsid w:val="EF2E1AC6"/>
    <w:rsid w:val="EF53993F"/>
    <w:rsid w:val="EF6FD633"/>
    <w:rsid w:val="EFBFB2F4"/>
    <w:rsid w:val="EFBFFA21"/>
    <w:rsid w:val="F2BEBCB8"/>
    <w:rsid w:val="F36FB518"/>
    <w:rsid w:val="F3DE1A04"/>
    <w:rsid w:val="F3F722E5"/>
    <w:rsid w:val="F4FBCD07"/>
    <w:rsid w:val="FA5F1E70"/>
    <w:rsid w:val="FA5FDB97"/>
    <w:rsid w:val="FB7F486A"/>
    <w:rsid w:val="FBFF5B2E"/>
    <w:rsid w:val="FD7FFE2B"/>
    <w:rsid w:val="FDEE196B"/>
    <w:rsid w:val="FDFE6575"/>
    <w:rsid w:val="FEDFDDC2"/>
    <w:rsid w:val="FEED32F6"/>
    <w:rsid w:val="FEF781DD"/>
    <w:rsid w:val="FF3F7E3F"/>
    <w:rsid w:val="FFBA12D7"/>
    <w:rsid w:val="FFCBD314"/>
    <w:rsid w:val="FFDFF91C"/>
    <w:rsid w:val="FFDFFAEE"/>
    <w:rsid w:val="FFEF6777"/>
    <w:rsid w:val="FFF9B57B"/>
    <w:rsid w:val="FFFD61D9"/>
    <w:rsid w:val="FFFD8F59"/>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2"/>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6"/>
    <w:unhideWhenUsed/>
    <w:qFormat/>
    <w:uiPriority w:val="9"/>
    <w:pPr>
      <w:keepNext/>
      <w:keepLines/>
      <w:spacing w:before="260" w:after="260" w:line="416" w:lineRule="auto"/>
      <w:outlineLvl w:val="2"/>
    </w:pPr>
    <w:rPr>
      <w:b/>
      <w:bCs/>
      <w:sz w:val="32"/>
      <w:szCs w:val="32"/>
    </w:rPr>
  </w:style>
  <w:style w:type="character" w:default="1" w:styleId="20">
    <w:name w:val="Default Paragraph Font"/>
    <w:link w:val="21"/>
    <w:semiHidden/>
    <w:unhideWhenUsed/>
    <w:qFormat/>
    <w:uiPriority w:val="1"/>
    <w:rPr>
      <w:rFonts w:ascii="Verdana" w:hAnsi="Verdana" w:eastAsia="仿宋_GB2312" w:cs="Verdana"/>
      <w:kern w:val="0"/>
      <w:sz w:val="24"/>
      <w:szCs w:val="24"/>
      <w:lang w:eastAsia="en-US"/>
    </w:rPr>
  </w:style>
  <w:style w:type="table" w:default="1" w:styleId="19">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paragraph" w:styleId="6">
    <w:name w:val="Salutation"/>
    <w:basedOn w:val="1"/>
    <w:next w:val="1"/>
    <w:qFormat/>
    <w:uiPriority w:val="0"/>
  </w:style>
  <w:style w:type="paragraph" w:styleId="7">
    <w:name w:val="Body Text"/>
    <w:basedOn w:val="1"/>
    <w:next w:val="1"/>
    <w:link w:val="29"/>
    <w:qFormat/>
    <w:uiPriority w:val="99"/>
    <w:pPr>
      <w:spacing w:beforeLines="30"/>
    </w:pPr>
    <w:rPr>
      <w:rFonts w:ascii="仿宋_GB2312" w:eastAsia="仿宋_GB2312"/>
      <w:kern w:val="0"/>
      <w:sz w:val="30"/>
    </w:rPr>
  </w:style>
  <w:style w:type="paragraph" w:styleId="8">
    <w:name w:val="Body Text Indent"/>
    <w:basedOn w:val="1"/>
    <w:next w:val="1"/>
    <w:qFormat/>
    <w:uiPriority w:val="0"/>
    <w:pPr>
      <w:spacing w:after="120"/>
      <w:ind w:left="200" w:leftChars="200"/>
    </w:pPr>
    <w:rPr>
      <w:rFonts w:ascii="仿宋_GB2312"/>
      <w:szCs w:val="32"/>
    </w:rPr>
  </w:style>
  <w:style w:type="paragraph" w:styleId="9">
    <w:name w:val="toc 3"/>
    <w:basedOn w:val="1"/>
    <w:next w:val="1"/>
    <w:unhideWhenUsed/>
    <w:qFormat/>
    <w:uiPriority w:val="39"/>
    <w:pPr>
      <w:tabs>
        <w:tab w:val="right" w:leader="dot" w:pos="8296"/>
      </w:tabs>
      <w:ind w:left="840" w:leftChars="400"/>
    </w:pPr>
  </w:style>
  <w:style w:type="paragraph" w:styleId="10">
    <w:name w:val="Balloon Text"/>
    <w:basedOn w:val="1"/>
    <w:link w:val="35"/>
    <w:semiHidden/>
    <w:unhideWhenUsed/>
    <w:qFormat/>
    <w:uiPriority w:val="99"/>
    <w:rPr>
      <w:sz w:val="18"/>
      <w:szCs w:val="18"/>
    </w:rPr>
  </w:style>
  <w:style w:type="paragraph" w:styleId="11">
    <w:name w:val="footer"/>
    <w:basedOn w:val="1"/>
    <w:link w:val="27"/>
    <w:qFormat/>
    <w:uiPriority w:val="99"/>
    <w:pPr>
      <w:tabs>
        <w:tab w:val="center" w:pos="4153"/>
        <w:tab w:val="right" w:pos="8306"/>
      </w:tabs>
      <w:snapToGrid w:val="0"/>
      <w:jc w:val="left"/>
    </w:pPr>
    <w:rPr>
      <w:rFonts w:ascii="Calibri" w:hAnsi="Calibri"/>
      <w:kern w:val="0"/>
      <w:sz w:val="18"/>
      <w:szCs w:val="18"/>
    </w:rPr>
  </w:style>
  <w:style w:type="paragraph" w:styleId="12">
    <w:name w:val="header"/>
    <w:basedOn w:val="1"/>
    <w:link w:val="25"/>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footnote text"/>
    <w:basedOn w:val="1"/>
    <w:next w:val="15"/>
    <w:semiHidden/>
    <w:qFormat/>
    <w:uiPriority w:val="0"/>
    <w:pPr>
      <w:snapToGrid w:val="0"/>
      <w:jc w:val="left"/>
    </w:pPr>
    <w:rPr>
      <w:sz w:val="18"/>
      <w:szCs w:val="18"/>
    </w:rPr>
  </w:style>
  <w:style w:type="paragraph" w:styleId="15">
    <w:name w:val="Body Text First Indent 2"/>
    <w:basedOn w:val="8"/>
    <w:next w:val="1"/>
    <w:unhideWhenUsed/>
    <w:qFormat/>
    <w:uiPriority w:val="99"/>
    <w:pPr>
      <w:ind w:firstLine="420" w:firstLineChars="200"/>
    </w:pPr>
  </w:style>
  <w:style w:type="paragraph" w:styleId="16">
    <w:name w:val="toc 2"/>
    <w:basedOn w:val="1"/>
    <w:next w:val="1"/>
    <w:unhideWhenUsed/>
    <w:qFormat/>
    <w:uiPriority w:val="39"/>
    <w:pPr>
      <w:tabs>
        <w:tab w:val="right" w:leader="dot" w:pos="8296"/>
      </w:tabs>
      <w:ind w:left="420" w:leftChars="200"/>
    </w:pPr>
  </w:style>
  <w:style w:type="paragraph" w:styleId="17">
    <w:name w:val="Normal (Web)"/>
    <w:basedOn w:val="1"/>
    <w:qFormat/>
    <w:uiPriority w:val="0"/>
    <w:pPr>
      <w:widowControl/>
      <w:spacing w:before="100" w:beforeAutospacing="1" w:after="100" w:afterAutospacing="1"/>
      <w:jc w:val="left"/>
    </w:pPr>
    <w:rPr>
      <w:rFonts w:ascii="宋体" w:hAnsi="宋体" w:eastAsia="仿宋_GB2312" w:cs="宋体"/>
      <w:kern w:val="0"/>
      <w:sz w:val="24"/>
    </w:rPr>
  </w:style>
  <w:style w:type="paragraph" w:styleId="18">
    <w:name w:val="Title"/>
    <w:basedOn w:val="1"/>
    <w:qFormat/>
    <w:uiPriority w:val="0"/>
    <w:pPr>
      <w:spacing w:line="240" w:lineRule="atLeast"/>
      <w:jc w:val="center"/>
    </w:pPr>
    <w:rPr>
      <w:rFonts w:ascii="Cambria" w:hAnsi="Cambria" w:eastAsia="宋体"/>
      <w:b/>
      <w:bCs/>
      <w:szCs w:val="32"/>
    </w:rPr>
  </w:style>
  <w:style w:type="paragraph" w:customStyle="1" w:styleId="21">
    <w:name w:val="_Style 4"/>
    <w:basedOn w:val="1"/>
    <w:link w:val="20"/>
    <w:qFormat/>
    <w:uiPriority w:val="0"/>
    <w:pPr>
      <w:widowControl/>
      <w:spacing w:after="160" w:line="240" w:lineRule="exact"/>
      <w:jc w:val="left"/>
    </w:pPr>
    <w:rPr>
      <w:rFonts w:ascii="Verdana" w:hAnsi="Verdana" w:eastAsia="仿宋_GB2312" w:cs="Verdana"/>
      <w:kern w:val="0"/>
      <w:sz w:val="24"/>
      <w:szCs w:val="24"/>
      <w:lang w:eastAsia="en-US"/>
    </w:rPr>
  </w:style>
  <w:style w:type="character" w:styleId="22">
    <w:name w:val="Strong"/>
    <w:basedOn w:val="20"/>
    <w:qFormat/>
    <w:uiPriority w:val="99"/>
    <w:rPr>
      <w:b/>
    </w:rPr>
  </w:style>
  <w:style w:type="character" w:styleId="23">
    <w:name w:val="Hyperlink"/>
    <w:basedOn w:val="20"/>
    <w:unhideWhenUsed/>
    <w:qFormat/>
    <w:uiPriority w:val="99"/>
    <w:rPr>
      <w:color w:val="0000FF" w:themeColor="hyperlink"/>
      <w:u w:val="single"/>
      <w14:textFill>
        <w14:solidFill>
          <w14:schemeClr w14:val="hlink"/>
        </w14:solidFill>
      </w14:textFill>
    </w:rPr>
  </w:style>
  <w:style w:type="character" w:customStyle="1" w:styleId="24">
    <w:name w:val="Header Char"/>
    <w:basedOn w:val="20"/>
    <w:semiHidden/>
    <w:qFormat/>
    <w:uiPriority w:val="99"/>
    <w:rPr>
      <w:rFonts w:ascii="Times New Roman" w:hAnsi="Times New Roman"/>
      <w:sz w:val="18"/>
      <w:szCs w:val="18"/>
    </w:rPr>
  </w:style>
  <w:style w:type="character" w:customStyle="1" w:styleId="25">
    <w:name w:val="页眉 Char"/>
    <w:link w:val="12"/>
    <w:semiHidden/>
    <w:qFormat/>
    <w:locked/>
    <w:uiPriority w:val="99"/>
    <w:rPr>
      <w:sz w:val="18"/>
    </w:rPr>
  </w:style>
  <w:style w:type="character" w:customStyle="1" w:styleId="26">
    <w:name w:val="Footer Char"/>
    <w:basedOn w:val="20"/>
    <w:semiHidden/>
    <w:qFormat/>
    <w:uiPriority w:val="99"/>
    <w:rPr>
      <w:rFonts w:ascii="Times New Roman" w:hAnsi="Times New Roman"/>
      <w:sz w:val="18"/>
      <w:szCs w:val="18"/>
    </w:rPr>
  </w:style>
  <w:style w:type="character" w:customStyle="1" w:styleId="27">
    <w:name w:val="页脚 Char"/>
    <w:link w:val="11"/>
    <w:qFormat/>
    <w:locked/>
    <w:uiPriority w:val="99"/>
    <w:rPr>
      <w:sz w:val="18"/>
    </w:rPr>
  </w:style>
  <w:style w:type="character" w:customStyle="1" w:styleId="28">
    <w:name w:val="Body Text Char"/>
    <w:basedOn w:val="20"/>
    <w:semiHidden/>
    <w:qFormat/>
    <w:uiPriority w:val="99"/>
    <w:rPr>
      <w:rFonts w:ascii="Times New Roman" w:hAnsi="Times New Roman"/>
      <w:szCs w:val="24"/>
    </w:rPr>
  </w:style>
  <w:style w:type="character" w:customStyle="1" w:styleId="29">
    <w:name w:val="正文文本 Char"/>
    <w:link w:val="7"/>
    <w:qFormat/>
    <w:locked/>
    <w:uiPriority w:val="99"/>
    <w:rPr>
      <w:rFonts w:ascii="仿宋_GB2312" w:hAnsi="Times New Roman" w:eastAsia="仿宋_GB2312"/>
      <w:sz w:val="24"/>
    </w:rPr>
  </w:style>
  <w:style w:type="paragraph" w:customStyle="1" w:styleId="30">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31">
    <w:name w:val="List Paragraph"/>
    <w:basedOn w:val="1"/>
    <w:qFormat/>
    <w:uiPriority w:val="34"/>
    <w:pPr>
      <w:ind w:firstLine="420" w:firstLineChars="200"/>
    </w:pPr>
  </w:style>
  <w:style w:type="character" w:customStyle="1" w:styleId="32">
    <w:name w:val="标题 1 Char"/>
    <w:basedOn w:val="20"/>
    <w:link w:val="3"/>
    <w:qFormat/>
    <w:uiPriority w:val="9"/>
    <w:rPr>
      <w:rFonts w:ascii="Times New Roman" w:hAnsi="Times New Roman"/>
      <w:b/>
      <w:bCs/>
      <w:kern w:val="44"/>
      <w:sz w:val="44"/>
      <w:szCs w:val="44"/>
    </w:rPr>
  </w:style>
  <w:style w:type="character" w:customStyle="1" w:styleId="33">
    <w:name w:val="标题 2 Char"/>
    <w:basedOn w:val="20"/>
    <w:link w:val="4"/>
    <w:qFormat/>
    <w:uiPriority w:val="9"/>
    <w:rPr>
      <w:rFonts w:asciiTheme="majorHAnsi" w:hAnsiTheme="majorHAnsi" w:eastAsiaTheme="majorEastAsia" w:cstheme="majorBidi"/>
      <w:b/>
      <w:bCs/>
      <w:kern w:val="2"/>
      <w:sz w:val="32"/>
      <w:szCs w:val="32"/>
    </w:rPr>
  </w:style>
  <w:style w:type="paragraph" w:customStyle="1" w:styleId="34">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5">
    <w:name w:val="批注框文本 Char"/>
    <w:basedOn w:val="20"/>
    <w:link w:val="10"/>
    <w:semiHidden/>
    <w:qFormat/>
    <w:uiPriority w:val="99"/>
    <w:rPr>
      <w:rFonts w:ascii="Times New Roman" w:hAnsi="Times New Roman"/>
      <w:kern w:val="2"/>
      <w:sz w:val="18"/>
      <w:szCs w:val="18"/>
    </w:rPr>
  </w:style>
  <w:style w:type="character" w:customStyle="1" w:styleId="36">
    <w:name w:val="标题 3 Char"/>
    <w:basedOn w:val="20"/>
    <w:link w:val="5"/>
    <w:qFormat/>
    <w:uiPriority w:val="9"/>
    <w:rPr>
      <w:rFonts w:ascii="Times New Roman" w:hAnsi="Times New Roman"/>
      <w:b/>
      <w:bCs/>
      <w:kern w:val="2"/>
      <w:sz w:val="32"/>
      <w:szCs w:val="32"/>
    </w:rPr>
  </w:style>
  <w:style w:type="paragraph" w:customStyle="1" w:styleId="37">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8">
    <w:name w:val="四号正文"/>
    <w:basedOn w:val="1"/>
    <w:qFormat/>
    <w:uiPriority w:val="0"/>
    <w:pPr>
      <w:spacing w:line="360" w:lineRule="auto"/>
    </w:pPr>
    <w:rPr>
      <w:rFonts w:ascii="??" w:hAnsi="??"/>
      <w:color w:val="000000"/>
      <w:kern w:val="0"/>
      <w:sz w:val="28"/>
      <w:szCs w:val="21"/>
      <w:lang w:val="zh-CN"/>
    </w:rPr>
  </w:style>
  <w:style w:type="paragraph" w:customStyle="1" w:styleId="39">
    <w:name w:val="WPSOffice手动目录 1"/>
    <w:qFormat/>
    <w:uiPriority w:val="0"/>
    <w:pPr>
      <w:ind w:leftChars="0"/>
    </w:pPr>
    <w:rPr>
      <w:rFonts w:asciiTheme="minorHAnsi" w:hAnsiTheme="minorHAnsi" w:eastAsiaTheme="minorEastAsia" w:cstheme="minorBidi"/>
      <w:sz w:val="20"/>
      <w:szCs w:val="20"/>
    </w:rPr>
  </w:style>
  <w:style w:type="paragraph" w:customStyle="1" w:styleId="40">
    <w:name w:val="WPSOffice手动目录 2"/>
    <w:qFormat/>
    <w:uiPriority w:val="0"/>
    <w:pPr>
      <w:ind w:leftChars="20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0" Type="http://schemas.openxmlformats.org/officeDocument/2006/relationships/glossaryDocument" Target="glossary/document.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chart" Target="charts/chart7.xml"/><Relationship Id="rId15" Type="http://schemas.openxmlformats.org/officeDocument/2006/relationships/chart" Target="charts/chart6.xml"/><Relationship Id="rId14" Type="http://schemas.openxmlformats.org/officeDocument/2006/relationships/chart" Target="charts/chart5.xml"/><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I:\2025&#24180;&#24037;&#20316;\2024&#24180;&#20915;&#31639;&#20844;&#24320;\SFJ\2021&#20915;&#31639;&#20844;&#24320;&#22270;&#34920;&#21496;&#27861;.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I:\2025&#24180;&#24037;&#20316;\2024&#24180;&#20915;&#31639;&#20844;&#24320;\SFJ\2021&#20915;&#31639;&#20844;&#24320;&#22270;&#34920;&#21496;&#27861;.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I:\2025&#24180;&#24037;&#20316;\2024&#24180;&#20915;&#31639;&#20844;&#24320;\SFJ\2021&#20915;&#31639;&#20844;&#24320;&#22270;&#34920;&#21496;&#27861;.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I:\2025&#24180;&#24037;&#20316;\2024&#24180;&#20915;&#31639;&#20844;&#24320;\SFJ\2021&#20915;&#31639;&#20844;&#24320;&#22270;&#34920;&#21496;&#27861;.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I:\2025&#24180;&#24037;&#20316;\2024&#24180;&#20915;&#31639;&#20844;&#24320;\SFJ\2021&#20915;&#31639;&#20844;&#24320;&#22270;&#34920;&#21496;&#27861;.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I:\2025&#24180;&#24037;&#20316;\2024&#24180;&#20915;&#31639;&#20844;&#24320;\SFJ\2021&#20915;&#31639;&#20844;&#24320;&#22270;&#34920;&#21496;&#27861;.xls"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I:\2025&#24180;&#24037;&#20316;\2024&#24180;&#20915;&#31639;&#20844;&#24320;\SFJ\2021&#20915;&#31639;&#20844;&#24320;&#22270;&#34920;&#21496;&#27861;.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2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图1   收入、支出决算总计变动情况</a:t>
            </a:r>
            <a:endParaRPr sz="1425"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barChart>
        <c:barDir val="col"/>
        <c:grouping val="clustered"/>
        <c:varyColors val="0"/>
        <c:ser>
          <c:idx val="0"/>
          <c:order val="0"/>
          <c:tx>
            <c:strRef>
              <c:f>[2021决算公开图表司法.xls]Sheet1!$A$58</c:f>
              <c:strCache>
                <c:ptCount val="1"/>
                <c:pt idx="0">
                  <c:v>收入、支出总计</c:v>
                </c:pt>
              </c:strCache>
            </c:strRef>
          </c:tx>
          <c:spPr>
            <a:solidFill>
              <a:srgbClr val="9999FF">
                <a:alpha val="100000"/>
              </a:srgbClr>
            </a:solidFill>
            <a:ln w="12700">
              <a:solidFill>
                <a:srgbClr val="000000">
                  <a:alpha val="100000"/>
                </a:srgbClr>
              </a:solidFill>
              <a:prstDash val="solid"/>
            </a:ln>
          </c:spPr>
          <c:invertIfNegative val="0"/>
          <c:dLbls>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[2021决算公开图表司法.xls]Sheet1!$B$58:$C$58</c:f>
              <c:strCache>
                <c:ptCount val="2"/>
                <c:pt idx="0">
                  <c:v>2023年</c:v>
                </c:pt>
                <c:pt idx="1">
                  <c:v>2024年</c:v>
                </c:pt>
              </c:strCache>
            </c:strRef>
          </c:cat>
          <c:val>
            <c:numRef>
              <c:f>[2021决算公开图表司法.xls]Sheet1!$B$59:$C$59</c:f>
              <c:numCache>
                <c:formatCode>General</c:formatCode>
                <c:ptCount val="2"/>
                <c:pt idx="0">
                  <c:v>1328.01</c:v>
                </c:pt>
                <c:pt idx="1">
                  <c:v>1452.65</c:v>
                </c:pt>
              </c:numCache>
            </c:numRef>
          </c:val>
        </c:ser>
        <c:dLbls>
          <c:showLegendKey val="0"/>
          <c:showVal val="0"/>
          <c:showCatName val="0"/>
          <c:showSerName val="0"/>
          <c:showPercent val="0"/>
          <c:showBubbleSize val="0"/>
        </c:dLbls>
        <c:gapWidth val="150"/>
        <c:overlap val="0"/>
        <c:axId val="695493731"/>
        <c:axId val="414637049"/>
      </c:barChart>
      <c:catAx>
        <c:axId val="695493731"/>
        <c:scaling>
          <c:orientation val="minMax"/>
        </c:scaling>
        <c:delete val="0"/>
        <c:axPos val="b"/>
        <c:majorTickMark val="in"/>
        <c:minorTickMark val="none"/>
        <c:tickLblPos val="nextTo"/>
        <c:spPr>
          <a:ln w="3175" cap="flat" cmpd="sng" algn="ctr">
            <a:solidFill>
              <a:srgbClr val="000000">
                <a:alpha val="100000"/>
              </a:srgbClr>
            </a:solidFill>
            <a:prstDash val="solid"/>
            <a:round/>
          </a:ln>
        </c:spPr>
        <c:txPr>
          <a:bodyPr rot="-6000000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414637049"/>
        <c:crosses val="autoZero"/>
        <c:auto val="1"/>
        <c:lblAlgn val="ctr"/>
        <c:lblOffset val="100"/>
        <c:noMultiLvlLbl val="0"/>
      </c:catAx>
      <c:valAx>
        <c:axId val="414637049"/>
        <c:scaling>
          <c:orientation val="minMax"/>
        </c:scaling>
        <c:delete val="0"/>
        <c:axPos val="l"/>
        <c:majorGridlines>
          <c:spPr>
            <a:ln w="3175" cap="flat" cmpd="sng" algn="ctr">
              <a:solidFill>
                <a:srgbClr val="000000">
                  <a:alpha val="100000"/>
                </a:srgbClr>
              </a:solidFill>
              <a:prstDash val="solid"/>
              <a:round/>
            </a:ln>
          </c:spPr>
        </c:majorGridlines>
        <c:numFmt formatCode="General" sourceLinked="1"/>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695493731"/>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867421027817067"/>
          <c:y val="0.512469437652812"/>
          <c:w val="0.12975"/>
          <c:h val="0.169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6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图2    收入决算结构图</a:t>
            </a:r>
            <a:endParaRPr sz="16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explosion val="0"/>
            <c:spPr>
              <a:solidFill>
                <a:srgbClr val="660066">
                  <a:alpha val="100000"/>
                </a:srgbClr>
              </a:solidFill>
              <a:ln w="12700">
                <a:solidFill>
                  <a:srgbClr val="000000">
                    <a:alpha val="100000"/>
                  </a:srgbClr>
                </a:solidFill>
                <a:prstDash val="solid"/>
              </a:ln>
            </c:spPr>
          </c:dPt>
          <c:dPt>
            <c:idx val="5"/>
            <c:bubble3D val="0"/>
            <c:explosion val="0"/>
            <c:spPr>
              <a:solidFill>
                <a:srgbClr val="FF8080">
                  <a:alpha val="100000"/>
                </a:srgbClr>
              </a:solidFill>
              <a:ln w="12700">
                <a:solidFill>
                  <a:srgbClr val="000000">
                    <a:alpha val="100000"/>
                  </a:srgbClr>
                </a:solidFill>
                <a:prstDash val="solid"/>
              </a:ln>
            </c:spPr>
          </c:dPt>
          <c:dLbls>
            <c:dLbl>
              <c:idx val="0"/>
              <c:layout>
                <c:manualLayout>
                  <c:x val="0.103175796998914"/>
                  <c:y val="-0.158840802118006"/>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t>一般公共预算财政拨款收入1452.65, 100%</a:t>
                    </a:r>
                  </a:p>
                </c:rich>
              </c:tx>
              <c:numFmt formatCode="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extLst>
                <c:ext xmlns:c15="http://schemas.microsoft.com/office/drawing/2012/chart" uri="{CE6537A1-D6FC-4f65-9D91-7224C49458BB}">
                  <c15:layout>
                    <c:manualLayout>
                      <c:w val="0.328708354177089"/>
                      <c:h val="0.377847039079357"/>
                    </c:manualLayout>
                  </c15:layout>
                </c:ext>
              </c:extLst>
            </c:dLbl>
            <c:dLbl>
              <c:idx val="1"/>
              <c:layout>
                <c:manualLayout>
                  <c:x val="-0.138819409704852"/>
                  <c:y val="0.130122752334834"/>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t>政府性基金预算财政拨款收入0, 0%</a:t>
                    </a:r>
                  </a:p>
                </c:rich>
              </c:tx>
              <c:numFmt formatCode="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extLst>
                <c:ext xmlns:c15="http://schemas.microsoft.com/office/drawing/2012/chart" uri="{CE6537A1-D6FC-4f65-9D91-7224C49458BB}">
                  <c15:layout/>
                </c:ext>
              </c:extLst>
            </c:dLbl>
            <c:dLbl>
              <c:idx val="2"/>
              <c:layout>
                <c:manualLayout>
                  <c:x val="0.159984712636038"/>
                  <c:y val="0.189460708450502"/>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t>国有资本经营预算财政拨款收入0, 0%</a:t>
                    </a:r>
                    <a:endPara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endParaRPr>
                  </a:p>
                </c:rich>
              </c:tx>
              <c:numFmt formatCode="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extLst>
                <c:ext xmlns:c15="http://schemas.microsoft.com/office/drawing/2012/chart" uri="{CE6537A1-D6FC-4f65-9D91-7224C49458BB}">
                  <c15:layout/>
                </c:ext>
              </c:extLst>
            </c:dLbl>
            <c:dLbl>
              <c:idx val="3"/>
              <c:layout>
                <c:manualLayout>
                  <c:x val="-0.187161800606667"/>
                  <c:y val="0.340173334637429"/>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t>事业收入</a:t>
                    </a:r>
                  </a:p>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t>0, 0%</a:t>
                    </a:r>
                    <a:endPara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endParaRPr>
                  </a:p>
                </c:rich>
              </c:tx>
              <c:numFmt formatCode="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extLst>
                <c:ext xmlns:c15="http://schemas.microsoft.com/office/drawing/2012/chart" uri="{CE6537A1-D6FC-4f65-9D91-7224C49458BB}">
                  <c15:layout/>
                </c:ext>
              </c:extLst>
            </c:dLbl>
            <c:dLbl>
              <c:idx val="4"/>
              <c:layout>
                <c:manualLayout>
                  <c:x val="-0.202069079420899"/>
                  <c:y val="0.76105784986351"/>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t>附属单位上缴收入</a:t>
                    </a:r>
                  </a:p>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t>0, 0%</a:t>
                    </a:r>
                    <a:endPara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endParaRPr>
                  </a:p>
                </c:rich>
              </c:tx>
              <c:numFmt formatCode="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extLst>
                <c:ext xmlns:c15="http://schemas.microsoft.com/office/drawing/2012/chart" uri="{CE6537A1-D6FC-4f65-9D91-7224C49458BB}">
                  <c15:layout/>
                </c:ext>
              </c:extLst>
            </c:dLbl>
            <c:dLbl>
              <c:idx val="5"/>
              <c:layout>
                <c:manualLayout>
                  <c:x val="-0.174638511722458"/>
                  <c:y val="0.514883159964795"/>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t>其他收入</a:t>
                    </a:r>
                  </a:p>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t>0, 0%</a:t>
                    </a:r>
                    <a:endPara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endParaRPr>
                  </a:p>
                </c:rich>
              </c:tx>
              <c:numFmt formatCode="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extLst>
                <c:ext xmlns:c15="http://schemas.microsoft.com/office/drawing/2012/chart" uri="{CE6537A1-D6FC-4f65-9D91-7224C49458BB}">
                  <c15:layout/>
                </c:ext>
              </c:extLst>
            </c:dLbl>
            <c:numFmt formatCode="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[2021决算公开图表司法.xls]Sheet1!$B$3:$B$8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[2021决算公开图表司法.xls]Sheet1!$C$3:$C$8</c:f>
              <c:numCache>
                <c:formatCode>General</c:formatCode>
                <c:ptCount val="6"/>
                <c:pt idx="0">
                  <c:v>1452.65</c:v>
                </c:pt>
                <c:pt idx="1">
                  <c:v>0</c:v>
                </c:pt>
                <c:pt idx="2">
                  <c:v>0</c:v>
                </c:pt>
                <c:pt idx="3">
                  <c:v>0</c:v>
                </c:pt>
                <c:pt idx="4">
                  <c:v>0</c:v>
                </c:pt>
                <c:pt idx="5">
                  <c:v>0</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explosion val="0"/>
            <c:spPr>
              <a:solidFill>
                <a:srgbClr val="660066">
                  <a:alpha val="100000"/>
                </a:srgbClr>
              </a:solidFill>
              <a:ln w="12700">
                <a:solidFill>
                  <a:srgbClr val="000000">
                    <a:alpha val="100000"/>
                  </a:srgbClr>
                </a:solidFill>
                <a:prstDash val="solid"/>
              </a:ln>
            </c:spPr>
          </c:dPt>
          <c:dPt>
            <c:idx val="5"/>
            <c:bubble3D val="0"/>
            <c:explosion val="0"/>
            <c:spPr>
              <a:solidFill>
                <a:srgbClr val="FF8080">
                  <a:alpha val="100000"/>
                </a:srgbClr>
              </a:solidFill>
              <a:ln w="12700">
                <a:solidFill>
                  <a:srgbClr val="000000">
                    <a:alpha val="100000"/>
                  </a:srgbClr>
                </a:solidFill>
                <a:prstDash val="solid"/>
              </a:ln>
            </c:spPr>
          </c:dPt>
          <c:dLbls>
            <c:delete val="1"/>
          </c:dLbls>
          <c:cat>
            <c:strRef>
              <c:f>[2021决算公开图表司法.xls]Sheet1!$B$3:$B$8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[2021决算公开图表司法.xls]Sheet1!$D$3:$D$8</c:f>
              <c:numCache>
                <c:formatCode>0%</c:formatCode>
                <c:ptCount val="6"/>
                <c:pt idx="0">
                  <c:v>1</c:v>
                </c:pt>
                <c:pt idx="1">
                  <c:v>0</c:v>
                </c:pt>
                <c:pt idx="2">
                  <c:v>0</c:v>
                </c:pt>
                <c:pt idx="3">
                  <c:v>0</c:v>
                </c:pt>
                <c:pt idx="4">
                  <c:v>0</c:v>
                </c:pt>
                <c:pt idx="5">
                  <c:v>0</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697723861930965"/>
          <c:y val="0.219851354591225"/>
          <c:w val="0.289019509754877"/>
          <c:h val="0.751618316950372"/>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t>图3    支出决算结构图</a:t>
            </a:r>
            <a:endParaRPr sz="14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380427708042771"/>
          <c:y val="0.0221647580347248"/>
        </c:manualLayout>
      </c:layout>
      <c:overlay val="0"/>
    </c:title>
    <c:autoTitleDeleted val="0"/>
    <c:plotArea>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explosion val="0"/>
            <c:spPr>
              <a:solidFill>
                <a:srgbClr val="660066">
                  <a:alpha val="100000"/>
                </a:srgbClr>
              </a:solidFill>
              <a:ln w="12700">
                <a:solidFill>
                  <a:srgbClr val="000000">
                    <a:alpha val="100000"/>
                  </a:srgbClr>
                </a:solidFill>
                <a:prstDash val="solid"/>
              </a:ln>
            </c:spPr>
          </c:dPt>
          <c:dLbls>
            <c:dLbl>
              <c:idx val="0"/>
              <c:layout>
                <c:manualLayout>
                  <c:x val="-0.156206415620642"/>
                  <c:y val="-0.192080537105303"/>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sz="1200" b="0" i="0" u="none" strike="noStrike" baseline="0">
                        <a:solidFill>
                          <a:srgbClr val="000000"/>
                        </a:solidFill>
                        <a:latin typeface="宋体" panose="02010600030101010101" charset="-122"/>
                        <a:ea typeface="宋体" panose="02010600030101010101" charset="-122"/>
                        <a:cs typeface="宋体" panose="02010600030101010101" charset="-122"/>
                      </a:rPr>
                      <a:t>基本支出, </a:t>
                    </a:r>
                    <a:r>
                      <a:rPr lang="en-US" altLang="zh-CN" sz="1200" b="0" i="0" u="none" strike="noStrike" baseline="0">
                        <a:solidFill>
                          <a:srgbClr val="000000"/>
                        </a:solidFill>
                        <a:latin typeface="宋体" panose="02010600030101010101" charset="-122"/>
                        <a:ea typeface="宋体" panose="02010600030101010101" charset="-122"/>
                        <a:cs typeface="宋体" panose="02010600030101010101" charset="-122"/>
                      </a:rPr>
                      <a:t>1087.49</a:t>
                    </a:r>
                    <a:r>
                      <a:rPr sz="1200" b="0" i="0" u="none" strike="noStrike" baseline="0">
                        <a:solidFill>
                          <a:srgbClr val="000000"/>
                        </a:solidFill>
                        <a:latin typeface="宋体" panose="02010600030101010101" charset="-122"/>
                        <a:ea typeface="宋体" panose="02010600030101010101" charset="-122"/>
                        <a:cs typeface="宋体" panose="02010600030101010101" charset="-122"/>
                      </a:rPr>
                      <a:t>, </a:t>
                    </a:r>
                    <a:r>
                      <a:rPr lang="en-US" altLang="zh-CN" sz="1200" b="0" i="0" u="none" strike="noStrike" baseline="0">
                        <a:solidFill>
                          <a:srgbClr val="000000"/>
                        </a:solidFill>
                        <a:latin typeface="宋体" panose="02010600030101010101" charset="-122"/>
                        <a:ea typeface="宋体" panose="02010600030101010101" charset="-122"/>
                        <a:cs typeface="宋体" panose="02010600030101010101" charset="-122"/>
                      </a:rPr>
                      <a:t>74.86</a:t>
                    </a:r>
                    <a:r>
                      <a:rPr sz="1200" b="0" i="0" u="none" strike="noStrike" baseline="0">
                        <a:solidFill>
                          <a:srgbClr val="000000"/>
                        </a:solidFill>
                        <a:latin typeface="宋体" panose="02010600030101010101" charset="-122"/>
                        <a:ea typeface="宋体" panose="02010600030101010101" charset="-122"/>
                        <a:cs typeface="宋体" panose="02010600030101010101" charset="-122"/>
                      </a:rPr>
                      <a:t>%</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numFmt formatCode="0.0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manualLayout>
                      <c:w val="0.270784180260533"/>
                      <c:h val="0.256516724336794"/>
                    </c:manualLayout>
                  </c15:layout>
                </c:ext>
              </c:extLst>
            </c:dLbl>
            <c:dLbl>
              <c:idx val="1"/>
              <c:layout>
                <c:manualLayout>
                  <c:x val="-0.0338959706053408"/>
                  <c:y val="0.250881225460601"/>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sz="1200" b="0" i="0" u="none" strike="noStrike" baseline="0">
                        <a:solidFill>
                          <a:srgbClr val="000000"/>
                        </a:solidFill>
                        <a:latin typeface="宋体" panose="02010600030101010101" charset="-122"/>
                        <a:ea typeface="宋体" panose="02010600030101010101" charset="-122"/>
                        <a:cs typeface="宋体" panose="02010600030101010101" charset="-122"/>
                      </a:rPr>
                      <a:t>项目支出, </a:t>
                    </a:r>
                    <a:r>
                      <a:rPr lang="en-US" altLang="zh-CN" sz="1200" b="0" i="0" u="none" strike="noStrike" baseline="0">
                        <a:solidFill>
                          <a:srgbClr val="000000"/>
                        </a:solidFill>
                        <a:latin typeface="宋体" panose="02010600030101010101" charset="-122"/>
                        <a:ea typeface="宋体" panose="02010600030101010101" charset="-122"/>
                        <a:cs typeface="宋体" panose="02010600030101010101" charset="-122"/>
                      </a:rPr>
                      <a:t>365.16</a:t>
                    </a:r>
                    <a:r>
                      <a:rPr sz="1200" b="0" i="0" u="none" strike="noStrike" baseline="0">
                        <a:solidFill>
                          <a:srgbClr val="000000"/>
                        </a:solidFill>
                        <a:latin typeface="宋体" panose="02010600030101010101" charset="-122"/>
                        <a:ea typeface="宋体" panose="02010600030101010101" charset="-122"/>
                        <a:cs typeface="宋体" panose="02010600030101010101" charset="-122"/>
                      </a:rPr>
                      <a:t>, </a:t>
                    </a:r>
                    <a:r>
                      <a:rPr lang="en-US" altLang="zh-CN" sz="1200" b="0" i="0" u="none" strike="noStrike" baseline="0">
                        <a:solidFill>
                          <a:srgbClr val="000000"/>
                        </a:solidFill>
                        <a:latin typeface="宋体" panose="02010600030101010101" charset="-122"/>
                        <a:ea typeface="宋体" panose="02010600030101010101" charset="-122"/>
                        <a:cs typeface="宋体" panose="02010600030101010101" charset="-122"/>
                      </a:rPr>
                      <a:t>25.14</a:t>
                    </a:r>
                    <a:r>
                      <a:rPr sz="1200" b="0" i="0" u="none" strike="noStrike" baseline="0">
                        <a:solidFill>
                          <a:srgbClr val="000000"/>
                        </a:solidFill>
                        <a:latin typeface="宋体" panose="02010600030101010101" charset="-122"/>
                        <a:ea typeface="宋体" panose="02010600030101010101" charset="-122"/>
                        <a:cs typeface="宋体" panose="02010600030101010101" charset="-122"/>
                      </a:rPr>
                      <a:t>%</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numFmt formatCode="0.0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manualLayout>
                      <c:w val="0.225953761295623"/>
                      <c:h val="0.32318339100346"/>
                    </c:manualLayout>
                  </c15:layout>
                </c:ext>
              </c:extLst>
            </c:dLbl>
            <c:dLbl>
              <c:idx val="2"/>
              <c:layout>
                <c:manualLayout>
                  <c:x val="0.105997210599721"/>
                  <c:y val="0.0942002216475804"/>
                </c:manualLayout>
              </c:layout>
              <c:numFmt formatCode="0.0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3"/>
              <c:layout>
                <c:manualLayout>
                  <c:x val="0.158347609729998"/>
                  <c:y val="0.275381603253231"/>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4"/>
              <c:layout>
                <c:manualLayout>
                  <c:x val="-0.241466431068344"/>
                  <c:y val="0.0581669745130648"/>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w="3175">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[2021决算公开图表司法.xls]Sheet1!$B$34:$B$38</c:f>
              <c:strCache>
                <c:ptCount val="5"/>
                <c:pt idx="0">
                  <c:v>基本支出</c:v>
                </c:pt>
                <c:pt idx="1">
                  <c:v>项目支出</c:v>
                </c:pt>
                <c:pt idx="2">
                  <c:v>上缴上级支出</c:v>
                </c:pt>
                <c:pt idx="3">
                  <c:v>经营支出</c:v>
                </c:pt>
                <c:pt idx="4">
                  <c:v>对附属单位补助支出</c:v>
                </c:pt>
              </c:strCache>
            </c:strRef>
          </c:cat>
          <c:val>
            <c:numRef>
              <c:f>[2021决算公开图表司法.xls]Sheet1!$C$34:$C$38</c:f>
              <c:numCache>
                <c:formatCode>General</c:formatCode>
                <c:ptCount val="5"/>
                <c:pt idx="0">
                  <c:v>1087.49</c:v>
                </c:pt>
                <c:pt idx="1">
                  <c:v>365.16</c:v>
                </c:pt>
                <c:pt idx="2">
                  <c:v>0</c:v>
                </c:pt>
                <c:pt idx="3">
                  <c:v>0</c:v>
                </c:pt>
                <c:pt idx="4">
                  <c:v>0</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explosion val="0"/>
            <c:spPr>
              <a:solidFill>
                <a:srgbClr val="660066">
                  <a:alpha val="100000"/>
                </a:srgbClr>
              </a:solidFill>
              <a:ln w="12700">
                <a:solidFill>
                  <a:srgbClr val="000000">
                    <a:alpha val="100000"/>
                  </a:srgbClr>
                </a:solidFill>
                <a:prstDash val="solid"/>
              </a:ln>
            </c:spPr>
          </c:dPt>
          <c:dLbls>
            <c:delete val="1"/>
          </c:dLbls>
          <c:cat>
            <c:strRef>
              <c:f>[2021决算公开图表司法.xls]Sheet1!$B$34:$B$38</c:f>
              <c:strCache>
                <c:ptCount val="5"/>
                <c:pt idx="0">
                  <c:v>基本支出</c:v>
                </c:pt>
                <c:pt idx="1">
                  <c:v>项目支出</c:v>
                </c:pt>
                <c:pt idx="2">
                  <c:v>上缴上级支出</c:v>
                </c:pt>
                <c:pt idx="3">
                  <c:v>经营支出</c:v>
                </c:pt>
                <c:pt idx="4">
                  <c:v>对附属单位补助支出</c:v>
                </c:pt>
              </c:strCache>
            </c:strRef>
          </c:cat>
          <c:val>
            <c:numRef>
              <c:f>[2021决算公开图表司法.xls]Sheet1!$D$34:$D$38</c:f>
              <c:numCache>
                <c:formatCode>0.00%</c:formatCode>
                <c:ptCount val="5"/>
                <c:pt idx="0">
                  <c:v>0.7486</c:v>
                </c:pt>
                <c:pt idx="1">
                  <c:v>0.2514</c:v>
                </c:pt>
                <c:pt idx="2" c:formatCode="General">
                  <c:v>0</c:v>
                </c:pt>
                <c:pt idx="3" c:formatCode="General">
                  <c:v>0</c:v>
                </c:pt>
                <c:pt idx="4" c:formatCode="General">
                  <c:v>0</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687311724304133"/>
          <c:y val="0.228564661297963"/>
          <c:w val="0.234245089769852"/>
          <c:h val="0.665324490762672"/>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图4    财政拨款收、支总计决算变动情况</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barChart>
        <c:barDir val="col"/>
        <c:grouping val="clustered"/>
        <c:varyColors val="0"/>
        <c:ser>
          <c:idx val="0"/>
          <c:order val="0"/>
          <c:tx>
            <c:strRef>
              <c:f>[2021决算公开图表司法.xls]Sheet1!$A$169</c:f>
              <c:strCache>
                <c:ptCount val="1"/>
                <c:pt idx="0">
                  <c:v>财政拨款收入、支出总计</c:v>
                </c:pt>
              </c:strCache>
            </c:strRef>
          </c:tx>
          <c:spPr>
            <a:solidFill>
              <a:srgbClr val="9999FF">
                <a:alpha val="100000"/>
              </a:srgbClr>
            </a:solidFill>
            <a:ln w="12700">
              <a:solidFill>
                <a:srgbClr val="000000">
                  <a:alpha val="100000"/>
                </a:srgbClr>
              </a:solidFill>
              <a:prstDash val="solid"/>
            </a:ln>
          </c:spPr>
          <c:invertIfNegative val="0"/>
          <c:dLbls>
            <c:dLbl>
              <c:idx val="0"/>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[2021决算公开图表司法.xls]Sheet1!$B$168:$C$168</c:f>
              <c:strCache>
                <c:ptCount val="2"/>
                <c:pt idx="0">
                  <c:v>2023年</c:v>
                </c:pt>
                <c:pt idx="1">
                  <c:v>2024年</c:v>
                </c:pt>
              </c:strCache>
            </c:strRef>
          </c:cat>
          <c:val>
            <c:numRef>
              <c:f>[2021决算公开图表司法.xls]Sheet1!$B$169:$C$169</c:f>
              <c:numCache>
                <c:formatCode>General</c:formatCode>
                <c:ptCount val="2"/>
                <c:pt idx="0">
                  <c:v>1328.01</c:v>
                </c:pt>
                <c:pt idx="1">
                  <c:v>1452.65</c:v>
                </c:pt>
              </c:numCache>
            </c:numRef>
          </c:val>
        </c:ser>
        <c:dLbls>
          <c:showLegendKey val="0"/>
          <c:showVal val="0"/>
          <c:showCatName val="0"/>
          <c:showSerName val="0"/>
          <c:showPercent val="0"/>
          <c:showBubbleSize val="0"/>
        </c:dLbls>
        <c:gapWidth val="150"/>
        <c:overlap val="0"/>
        <c:axId val="396221757"/>
        <c:axId val="759518149"/>
      </c:barChart>
      <c:catAx>
        <c:axId val="396221757"/>
        <c:scaling>
          <c:orientation val="minMax"/>
        </c:scaling>
        <c:delete val="0"/>
        <c:axPos val="b"/>
        <c:majorTickMark val="in"/>
        <c:minorTickMark val="none"/>
        <c:tickLblPos val="nextTo"/>
        <c:spPr>
          <a:ln w="3175" cap="flat" cmpd="sng" algn="ctr">
            <a:solidFill>
              <a:srgbClr val="000000">
                <a:alpha val="100000"/>
              </a:srgbClr>
            </a:solidFill>
            <a:prstDash val="solid"/>
            <a:round/>
          </a:ln>
        </c:spPr>
        <c:txPr>
          <a:bodyPr rot="-6000000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759518149"/>
        <c:crosses val="autoZero"/>
        <c:auto val="1"/>
        <c:lblAlgn val="ctr"/>
        <c:lblOffset val="100"/>
        <c:noMultiLvlLbl val="0"/>
      </c:catAx>
      <c:valAx>
        <c:axId val="759518149"/>
        <c:scaling>
          <c:orientation val="minMax"/>
        </c:scaling>
        <c:delete val="0"/>
        <c:axPos val="l"/>
        <c:majorGridlines>
          <c:spPr>
            <a:ln w="3175" cap="flat" cmpd="sng" algn="ctr">
              <a:solidFill>
                <a:srgbClr val="000000">
                  <a:alpha val="100000"/>
                </a:srgbClr>
              </a:solidFill>
              <a:prstDash val="solid"/>
              <a:round/>
            </a:ln>
          </c:spPr>
        </c:majorGridlines>
        <c:numFmt formatCode="General" sourceLinked="1"/>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396221757"/>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794652535228231"/>
          <c:y val="0.493309936389559"/>
          <c:w val="0.191617487655064"/>
          <c:h val="0.216714191708708"/>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图5      一般公共预算财政拨款支出决算变动情况</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barChart>
        <c:barDir val="col"/>
        <c:grouping val="clustered"/>
        <c:varyColors val="0"/>
        <c:ser>
          <c:idx val="0"/>
          <c:order val="0"/>
          <c:tx>
            <c:strRef>
              <c:f>[2021决算公开图表司法.xls]Sheet1!$A$85</c:f>
              <c:strCache>
                <c:ptCount val="1"/>
                <c:pt idx="0">
                  <c:v>一般公共预算财政拨款支出</c:v>
                </c:pt>
              </c:strCache>
            </c:strRef>
          </c:tx>
          <c:spPr>
            <a:solidFill>
              <a:srgbClr val="9999FF">
                <a:alpha val="100000"/>
              </a:srgbClr>
            </a:solidFill>
            <a:ln w="12700">
              <a:solidFill>
                <a:srgbClr val="000000">
                  <a:alpha val="100000"/>
                </a:srgbClr>
              </a:solidFill>
              <a:prstDash val="solid"/>
            </a:ln>
          </c:spPr>
          <c:invertIfNegative val="0"/>
          <c:dLbls>
            <c:dLbl>
              <c:idx val="0"/>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[2021决算公开图表司法.xls]Sheet1!$B$84:$C$84</c:f>
              <c:strCache>
                <c:ptCount val="2"/>
                <c:pt idx="0">
                  <c:v>2023年</c:v>
                </c:pt>
                <c:pt idx="1">
                  <c:v>2024年</c:v>
                </c:pt>
              </c:strCache>
            </c:strRef>
          </c:cat>
          <c:val>
            <c:numRef>
              <c:f>[2021决算公开图表司法.xls]Sheet1!$B$85:$C$85</c:f>
              <c:numCache>
                <c:formatCode>General</c:formatCode>
                <c:ptCount val="2"/>
                <c:pt idx="0">
                  <c:v>1328.01</c:v>
                </c:pt>
                <c:pt idx="1">
                  <c:v>1452.65</c:v>
                </c:pt>
              </c:numCache>
            </c:numRef>
          </c:val>
        </c:ser>
        <c:dLbls>
          <c:showLegendKey val="0"/>
          <c:showVal val="0"/>
          <c:showCatName val="0"/>
          <c:showSerName val="0"/>
          <c:showPercent val="0"/>
          <c:showBubbleSize val="0"/>
        </c:dLbls>
        <c:gapWidth val="150"/>
        <c:overlap val="0"/>
        <c:axId val="43915131"/>
        <c:axId val="547330372"/>
      </c:barChart>
      <c:catAx>
        <c:axId val="43915131"/>
        <c:scaling>
          <c:orientation val="minMax"/>
        </c:scaling>
        <c:delete val="0"/>
        <c:axPos val="b"/>
        <c:majorTickMark val="in"/>
        <c:minorTickMark val="none"/>
        <c:tickLblPos val="nextTo"/>
        <c:spPr>
          <a:ln w="3175" cap="flat" cmpd="sng" algn="ctr">
            <a:solidFill>
              <a:srgbClr val="000000">
                <a:alpha val="100000"/>
              </a:srgbClr>
            </a:solidFill>
            <a:prstDash val="solid"/>
            <a:round/>
          </a:ln>
        </c:spPr>
        <c:txPr>
          <a:bodyPr rot="-6000000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547330372"/>
        <c:crosses val="autoZero"/>
        <c:auto val="1"/>
        <c:lblAlgn val="ctr"/>
        <c:lblOffset val="100"/>
        <c:noMultiLvlLbl val="0"/>
      </c:catAx>
      <c:valAx>
        <c:axId val="547330372"/>
        <c:scaling>
          <c:orientation val="minMax"/>
        </c:scaling>
        <c:delete val="0"/>
        <c:axPos val="l"/>
        <c:majorGridlines>
          <c:spPr>
            <a:ln w="3175" cap="flat" cmpd="sng" algn="ctr">
              <a:solidFill>
                <a:srgbClr val="000000">
                  <a:alpha val="100000"/>
                </a:srgbClr>
              </a:solidFill>
              <a:prstDash val="solid"/>
              <a:round/>
            </a:ln>
          </c:spPr>
        </c:majorGridlines>
        <c:numFmt formatCode="General" sourceLinked="1"/>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43915131"/>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800226372382569"/>
          <c:y val="0.502150023889154"/>
          <c:w val="0.19625"/>
          <c:h val="0.318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图6    一般公共预算财政拨款支出决算结构</a:t>
            </a:r>
            <a:endParaRPr sz="1475"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explosion val="0"/>
            <c:spPr>
              <a:solidFill>
                <a:srgbClr val="660066">
                  <a:alpha val="100000"/>
                </a:srgbClr>
              </a:solidFill>
              <a:ln w="12700">
                <a:solidFill>
                  <a:srgbClr val="000000">
                    <a:alpha val="100000"/>
                  </a:srgbClr>
                </a:solidFill>
                <a:prstDash val="solid"/>
              </a:ln>
            </c:spPr>
          </c:dPt>
          <c:dLbls>
            <c:dLbl>
              <c:idx val="0"/>
              <c:delete val="1"/>
            </c:dLbl>
            <c:dLbl>
              <c:idx val="1"/>
              <c:layout>
                <c:manualLayout>
                  <c:x val="0.0876280556087763"/>
                  <c:y val="0.0120071085952214"/>
                </c:manualLayout>
              </c:layout>
              <c:numFmt formatCode="0.00%" sourceLinked="0"/>
              <c:spPr>
                <a:noFill/>
                <a:ln w="3175">
                  <a:noFill/>
                </a:ln>
                <a:effectLst/>
              </c:spPr>
              <c:txPr>
                <a:bodyPr rot="0" spcFirstLastPara="0" vertOverflow="ellipsis" vert="horz" wrap="square" lIns="38100" tIns="19050" rIns="38100" bIns="19050" anchor="ctr" anchorCtr="1"/>
                <a:lstStyle/>
                <a:p>
                  <a:pPr>
                    <a:defRPr lang="zh-CN" sz="105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2"/>
              <c:layout>
                <c:manualLayout>
                  <c:x val="0.0206608249825368"/>
                  <c:y val="-0.0582196515639736"/>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3"/>
              <c:layout>
                <c:manualLayout>
                  <c:x val="-0.017874758171748"/>
                  <c:y val="-0.064031683125419"/>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4"/>
              <c:layout>
                <c:manualLayout>
                  <c:x val="-0.00199553069459633"/>
                  <c:y val="-0.0258870259565057"/>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sz="1200" b="0" i="0" u="none" strike="noStrike" baseline="0">
                        <a:solidFill>
                          <a:srgbClr val="000000"/>
                        </a:solidFill>
                        <a:latin typeface="宋体" panose="02010600030101010101" charset="-122"/>
                        <a:ea typeface="宋体" panose="02010600030101010101" charset="-122"/>
                        <a:cs typeface="宋体" panose="02010600030101010101" charset="-122"/>
                      </a:rPr>
                      <a:t>公共安全支出, </a:t>
                    </a:r>
                    <a:r>
                      <a:rPr lang="en-US" altLang="zh-CN" sz="1200" b="0" i="0" u="none" strike="noStrike" baseline="0">
                        <a:solidFill>
                          <a:srgbClr val="000000"/>
                        </a:solidFill>
                        <a:latin typeface="宋体" panose="02010600030101010101" charset="-122"/>
                        <a:ea typeface="宋体" panose="02010600030101010101" charset="-122"/>
                        <a:cs typeface="宋体" panose="02010600030101010101" charset="-122"/>
                      </a:rPr>
                      <a:t>1013.91</a:t>
                    </a:r>
                    <a:r>
                      <a:rPr sz="1200" b="0" i="0" u="none" strike="noStrike" baseline="0">
                        <a:solidFill>
                          <a:srgbClr val="000000"/>
                        </a:solidFill>
                        <a:latin typeface="宋体" panose="02010600030101010101" charset="-122"/>
                        <a:ea typeface="宋体" panose="02010600030101010101" charset="-122"/>
                        <a:cs typeface="宋体" panose="02010600030101010101" charset="-122"/>
                      </a:rPr>
                      <a:t>, </a:t>
                    </a:r>
                    <a:r>
                      <a:rPr lang="en-US" altLang="zh-CN" sz="1200" u="none" strike="noStrike" baseline="0">
                        <a:solidFill>
                          <a:srgbClr val="000000"/>
                        </a:solidFill>
                        <a:latin typeface="宋体" panose="02010600030101010101" charset="-122"/>
                        <a:ea typeface="宋体" panose="02010600030101010101" charset="-122"/>
                        <a:cs typeface="宋体" panose="02010600030101010101" charset="-122"/>
                      </a:rPr>
                      <a:t>76.05</a:t>
                    </a:r>
                    <a:r>
                      <a:rPr sz="1200" b="0" i="1" u="none" strike="noStrike" baseline="0">
                        <a:solidFill>
                          <a:srgbClr val="000000"/>
                        </a:solidFill>
                        <a:latin typeface="宋体" panose="02010600030101010101" charset="-122"/>
                        <a:ea typeface="宋体" panose="02010600030101010101" charset="-122"/>
                        <a:cs typeface="宋体" panose="02010600030101010101" charset="-122"/>
                      </a:rPr>
                      <a:t>%</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numFmt formatCode="0.0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manualLayout>
                      <c:w val="0.253490442777643"/>
                      <c:h val="0.174017094017094"/>
                    </c:manualLayout>
                  </c15:layout>
                </c:ext>
              </c:extLst>
            </c:dLbl>
            <c:numFmt formatCode="0.00%" sourceLinked="0"/>
            <c:spPr>
              <a:noFill/>
              <a:ln w="3175">
                <a:noFill/>
              </a:ln>
              <a:effectLst/>
            </c:spPr>
            <c:txPr>
              <a:bodyPr rot="0" spcFirstLastPara="0" vertOverflow="ellipsis" vert="horz" wrap="square" lIns="38100" tIns="19050" rIns="38100" bIns="19050" anchor="ctr" anchorCtr="1"/>
              <a:lstStyle/>
              <a:p>
                <a:pPr>
                  <a:defRPr lang="zh-CN" sz="105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[2021决算公开图表司法.xls]Sheet1!$A$110:$A$114</c:f>
              <c:strCache>
                <c:ptCount val="5"/>
                <c:pt idx="0">
                  <c:v>其他支出</c:v>
                </c:pt>
                <c:pt idx="1">
                  <c:v>社会保障和就业支出</c:v>
                </c:pt>
                <c:pt idx="2">
                  <c:v>卫生健康支出</c:v>
                </c:pt>
                <c:pt idx="3">
                  <c:v>住房保障支出</c:v>
                </c:pt>
                <c:pt idx="4">
                  <c:v>公共安全支出</c:v>
                </c:pt>
              </c:strCache>
            </c:strRef>
          </c:cat>
          <c:val>
            <c:numRef>
              <c:f>[2021决算公开图表司法.xls]Sheet1!$B$110:$B$114</c:f>
              <c:numCache>
                <c:formatCode>General</c:formatCode>
                <c:ptCount val="5"/>
                <c:pt idx="1">
                  <c:v>203.49</c:v>
                </c:pt>
                <c:pt idx="2">
                  <c:v>74.67</c:v>
                </c:pt>
                <c:pt idx="3">
                  <c:v>69.82</c:v>
                </c:pt>
                <c:pt idx="4">
                  <c:v>1104.68</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explosion val="0"/>
            <c:spPr>
              <a:solidFill>
                <a:srgbClr val="660066">
                  <a:alpha val="100000"/>
                </a:srgbClr>
              </a:solidFill>
              <a:ln w="12700">
                <a:solidFill>
                  <a:srgbClr val="000000">
                    <a:alpha val="100000"/>
                  </a:srgbClr>
                </a:solidFill>
                <a:prstDash val="solid"/>
              </a:ln>
            </c:spPr>
          </c:dPt>
          <c:dLbls>
            <c:delete val="1"/>
          </c:dLbls>
          <c:cat>
            <c:strRef>
              <c:f>[2021决算公开图表司法.xls]Sheet1!$A$110:$A$114</c:f>
              <c:strCache>
                <c:ptCount val="5"/>
                <c:pt idx="0">
                  <c:v>其他支出</c:v>
                </c:pt>
                <c:pt idx="1">
                  <c:v>社会保障和就业支出</c:v>
                </c:pt>
                <c:pt idx="2">
                  <c:v>卫生健康支出</c:v>
                </c:pt>
                <c:pt idx="3">
                  <c:v>住房保障支出</c:v>
                </c:pt>
                <c:pt idx="4">
                  <c:v>公共安全支出</c:v>
                </c:pt>
              </c:strCache>
            </c:strRef>
          </c:cat>
          <c:val>
            <c:numRef>
              <c:f>[2021决算公开图表司法.xls]Sheet1!$C$110:$C$114</c:f>
              <c:numCache>
                <c:formatCode>General</c:formatCode>
                <c:ptCount val="5"/>
                <c:pt idx="1" c:formatCode="0.00%">
                  <c:v>0.1401</c:v>
                </c:pt>
                <c:pt idx="2" c:formatCode="0.00%">
                  <c:v>0.0514</c:v>
                </c:pt>
                <c:pt idx="3" c:formatCode="0.00%">
                  <c:v>0.048</c:v>
                </c:pt>
                <c:pt idx="4" c:formatCode="0.00%">
                  <c:v>0.7605</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egendEntry>
        <c:idx val="0"/>
        <c:delete val="1"/>
      </c:legendEntry>
      <c:layout>
        <c:manualLayout>
          <c:xMode val="edge"/>
          <c:yMode val="edge"/>
          <c:x val="0.757077183643842"/>
          <c:y val="0.473184357541899"/>
          <c:w val="0.233970481490443"/>
          <c:h val="0.442830540037244"/>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图7   “三公”经费财政拨款支出结构</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Lbls>
            <c:dLbl>
              <c:idx val="0"/>
              <c:layout>
                <c:manualLayout>
                  <c:x val="0.216885185639015"/>
                  <c:y val="0.0854285509490405"/>
                </c:manualLayout>
              </c:layout>
              <c:numFmt formatCode="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1"/>
              <c:layout>
                <c:manualLayout>
                  <c:x val="-0.256484149855908"/>
                  <c:y val="-0.110217704983253"/>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sz="1200" b="0" i="0" u="none" strike="noStrike" baseline="0">
                        <a:solidFill>
                          <a:srgbClr val="000000"/>
                        </a:solidFill>
                        <a:latin typeface="宋体" panose="02010600030101010101" charset="-122"/>
                        <a:ea typeface="宋体" panose="02010600030101010101" charset="-122"/>
                        <a:cs typeface="宋体" panose="02010600030101010101" charset="-122"/>
                      </a:rPr>
                      <a:t>公务用车购置及运行维护费支出, </a:t>
                    </a:r>
                    <a:r>
                      <a:rPr lang="en-US" altLang="zh-CN" sz="1200" b="0" i="0" u="none" strike="noStrike" baseline="0">
                        <a:solidFill>
                          <a:srgbClr val="000000"/>
                        </a:solidFill>
                        <a:latin typeface="宋体" panose="02010600030101010101" charset="-122"/>
                        <a:ea typeface="宋体" panose="02010600030101010101" charset="-122"/>
                        <a:cs typeface="宋体" panose="02010600030101010101" charset="-122"/>
                      </a:rPr>
                      <a:t>5.26</a:t>
                    </a:r>
                    <a:r>
                      <a:rPr sz="1200" b="0" i="0" u="none" strike="noStrike" baseline="0">
                        <a:solidFill>
                          <a:srgbClr val="000000"/>
                        </a:solidFill>
                        <a:latin typeface="宋体" panose="02010600030101010101" charset="-122"/>
                        <a:ea typeface="宋体" panose="02010600030101010101" charset="-122"/>
                        <a:cs typeface="宋体" panose="02010600030101010101" charset="-122"/>
                      </a:rPr>
                      <a:t>, </a:t>
                    </a:r>
                    <a:r>
                      <a:rPr lang="en-US" altLang="zh-CN" sz="1200" b="0" i="0" u="none" strike="noStrike" baseline="0">
                        <a:solidFill>
                          <a:srgbClr val="000000"/>
                        </a:solidFill>
                        <a:latin typeface="宋体" panose="02010600030101010101" charset="-122"/>
                        <a:ea typeface="宋体" panose="02010600030101010101" charset="-122"/>
                        <a:cs typeface="宋体" panose="02010600030101010101" charset="-122"/>
                      </a:rPr>
                      <a:t>94.77</a:t>
                    </a:r>
                    <a:r>
                      <a:rPr sz="1200" b="0" i="0" u="none" strike="noStrike" baseline="0">
                        <a:solidFill>
                          <a:srgbClr val="000000"/>
                        </a:solidFill>
                        <a:latin typeface="宋体" panose="02010600030101010101" charset="-122"/>
                        <a:ea typeface="宋体" panose="02010600030101010101" charset="-122"/>
                        <a:cs typeface="宋体" panose="02010600030101010101" charset="-122"/>
                      </a:rPr>
                      <a:t>%</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numFmt formatCode="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manualLayout>
                      <c:w val="0.29155152554834"/>
                      <c:h val="0.305243874513396"/>
                    </c:manualLayout>
                  </c15:layout>
                </c:ext>
              </c:extLst>
            </c:dLbl>
            <c:dLbl>
              <c:idx val="2"/>
              <c:layout>
                <c:manualLayout>
                  <c:x val="-0.12800106151499"/>
                  <c:y val="0.168741210186314"/>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sz="1200" b="0" i="0" u="none" strike="noStrike" baseline="0">
                        <a:solidFill>
                          <a:srgbClr val="000000"/>
                        </a:solidFill>
                        <a:latin typeface="宋体" panose="02010600030101010101" charset="-122"/>
                        <a:ea typeface="宋体" panose="02010600030101010101" charset="-122"/>
                        <a:cs typeface="宋体" panose="02010600030101010101" charset="-122"/>
                      </a:rPr>
                      <a:t>公务接待费支出, 0.</a:t>
                    </a:r>
                    <a:r>
                      <a:rPr lang="en-US" altLang="zh-CN" sz="1200" b="0" i="0" u="none" strike="noStrike" baseline="0">
                        <a:solidFill>
                          <a:srgbClr val="000000"/>
                        </a:solidFill>
                        <a:latin typeface="宋体" panose="02010600030101010101" charset="-122"/>
                        <a:ea typeface="宋体" panose="02010600030101010101" charset="-122"/>
                        <a:cs typeface="宋体" panose="02010600030101010101" charset="-122"/>
                      </a:rPr>
                      <a:t>2</a:t>
                    </a:r>
                    <a:r>
                      <a:rPr sz="1200" b="0" i="0" u="none" strike="noStrike" baseline="0">
                        <a:solidFill>
                          <a:srgbClr val="000000"/>
                        </a:solidFill>
                        <a:latin typeface="宋体" panose="02010600030101010101" charset="-122"/>
                        <a:ea typeface="宋体" panose="02010600030101010101" charset="-122"/>
                        <a:cs typeface="宋体" panose="02010600030101010101" charset="-122"/>
                      </a:rPr>
                      <a:t>9, </a:t>
                    </a:r>
                    <a:r>
                      <a:rPr lang="en-US" altLang="zh-CN" sz="1200" b="0" i="0" u="none" strike="noStrike" baseline="0">
                        <a:solidFill>
                          <a:srgbClr val="000000"/>
                        </a:solidFill>
                        <a:latin typeface="宋体" panose="02010600030101010101" charset="-122"/>
                        <a:ea typeface="宋体" panose="02010600030101010101" charset="-122"/>
                        <a:cs typeface="宋体" panose="02010600030101010101" charset="-122"/>
                      </a:rPr>
                      <a:t>5.23</a:t>
                    </a:r>
                    <a:r>
                      <a:rPr sz="1200" b="0" i="0" u="none" strike="noStrike" baseline="0">
                        <a:solidFill>
                          <a:srgbClr val="000000"/>
                        </a:solidFill>
                        <a:latin typeface="宋体" panose="02010600030101010101" charset="-122"/>
                        <a:ea typeface="宋体" panose="02010600030101010101" charset="-122"/>
                        <a:cs typeface="宋体" panose="02010600030101010101" charset="-122"/>
                      </a:rPr>
                      <a:t>%</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numFmt formatCode="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manualLayout>
                      <c:w val="0.268515132949393"/>
                      <c:h val="0.239065720174033"/>
                    </c:manualLayout>
                  </c15:layout>
                </c:ext>
              </c:extLst>
            </c:dLbl>
            <c:numFmt formatCode="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[2021决算公开图表司法.xls]Sheet1!$B$139:$B$141</c:f>
              <c:strCache>
                <c:ptCount val="3"/>
                <c:pt idx="0">
                  <c:v>因公出国（境）费支出</c:v>
                </c:pt>
                <c:pt idx="1">
                  <c:v>公务用车购置及运行维护费支出</c:v>
                </c:pt>
                <c:pt idx="2">
                  <c:v>公务接待费支出</c:v>
                </c:pt>
              </c:strCache>
            </c:strRef>
          </c:cat>
          <c:val>
            <c:numRef>
              <c:f>[2021决算公开图表司法.xls]Sheet1!$C$139:$C$141</c:f>
              <c:numCache>
                <c:formatCode>General</c:formatCode>
                <c:ptCount val="3"/>
                <c:pt idx="0">
                  <c:v>0</c:v>
                </c:pt>
                <c:pt idx="1">
                  <c:v>5.26</c:v>
                </c:pt>
                <c:pt idx="2">
                  <c:v>0.29</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Lbls>
            <c:delete val="1"/>
          </c:dLbls>
          <c:cat>
            <c:strRef>
              <c:f>[2021决算公开图表司法.xls]Sheet1!$B$139:$B$141</c:f>
              <c:strCache>
                <c:ptCount val="3"/>
                <c:pt idx="0">
                  <c:v>因公出国（境）费支出</c:v>
                </c:pt>
                <c:pt idx="1">
                  <c:v>公务用车购置及运行维护费支出</c:v>
                </c:pt>
                <c:pt idx="2">
                  <c:v>公务接待费支出</c:v>
                </c:pt>
              </c:strCache>
            </c:strRef>
          </c:cat>
          <c:val>
            <c:numRef>
              <c:f>[2021决算公开图表司法.xls]Sheet1!$D$139:$D$141</c:f>
              <c:numCache>
                <c:formatCode>General</c:formatCode>
                <c:ptCount val="3"/>
                <c:pt idx="0">
                  <c:v>0</c:v>
                </c:pt>
                <c:pt idx="1" c:formatCode="0.00%">
                  <c:v>0.9477</c:v>
                </c:pt>
                <c:pt idx="2" c:formatCode="0.00%">
                  <c:v>0.0523</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65555691704448"/>
          <c:y val="0.452942523471491"/>
          <c:w val="0.30008577380223"/>
          <c:h val="0.377146782688344"/>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05b3b320-0474-4403-a97f-1979a766e063}"/>
        <w:style w:val=""/>
        <w:category>
          <w:name w:val="常规"/>
          <w:gallery w:val="placeholder"/>
        </w:category>
        <w:types>
          <w:type w:val="bbPlcHdr"/>
        </w:types>
        <w:behaviors>
          <w:behavior w:val="content"/>
        </w:behaviors>
        <w:description w:val=""/>
        <w:guid w:val="{05b3b320-0474-4403-a97f-1979a766e063}"/>
      </w:docPartPr>
      <w:docPartBody>
        <w:p>
          <w:r>
            <w:rPr>
              <w:color w:val="808080"/>
            </w:rPr>
            <w:t>单击此处输入文字。</w:t>
          </w:r>
        </w:p>
      </w:docPartBody>
    </w:docPart>
    <w:docPart>
      <w:docPartPr>
        <w:name w:val="{6726a467-99ba-49ae-8be1-75073673875f}"/>
        <w:style w:val=""/>
        <w:category>
          <w:name w:val="常规"/>
          <w:gallery w:val="placeholder"/>
        </w:category>
        <w:types>
          <w:type w:val="bbPlcHdr"/>
        </w:types>
        <w:behaviors>
          <w:behavior w:val="content"/>
        </w:behaviors>
        <w:description w:val=""/>
        <w:guid w:val="{6726a467-99ba-49ae-8be1-75073673875f}"/>
      </w:docPartPr>
      <w:docPartBody>
        <w:p>
          <w:r>
            <w:rPr>
              <w:color w:val="808080"/>
            </w:rPr>
            <w:t>单击此处输入文字。</w:t>
          </w:r>
        </w:p>
      </w:docPartBody>
    </w:docPart>
    <w:docPart>
      <w:docPartPr>
        <w:name w:val="{15be5a78-ce47-41c9-a1aa-b5060a997c95}"/>
        <w:style w:val=""/>
        <w:category>
          <w:name w:val="常规"/>
          <w:gallery w:val="placeholder"/>
        </w:category>
        <w:types>
          <w:type w:val="bbPlcHdr"/>
        </w:types>
        <w:behaviors>
          <w:behavior w:val="content"/>
        </w:behaviors>
        <w:description w:val=""/>
        <w:guid w:val="{15be5a78-ce47-41c9-a1aa-b5060a997c95}"/>
      </w:docPartPr>
      <w:docPartBody>
        <w:p>
          <w:r>
            <w:rPr>
              <w:color w:val="808080"/>
            </w:rPr>
            <w:t>单击此处输入文字。</w:t>
          </w:r>
        </w:p>
      </w:docPartBody>
    </w:docPart>
    <w:docPart>
      <w:docPartPr>
        <w:name w:val="{34e945a2-15e5-46a5-b361-3b10a1834c99}"/>
        <w:style w:val=""/>
        <w:category>
          <w:name w:val="常规"/>
          <w:gallery w:val="placeholder"/>
        </w:category>
        <w:types>
          <w:type w:val="bbPlcHdr"/>
        </w:types>
        <w:behaviors>
          <w:behavior w:val="content"/>
        </w:behaviors>
        <w:description w:val=""/>
        <w:guid w:val="{34e945a2-15e5-46a5-b361-3b10a1834c99}"/>
      </w:docPartPr>
      <w:docPartBody>
        <w:p>
          <w:r>
            <w:rPr>
              <w:color w:val="808080"/>
            </w:rPr>
            <w:t>单击此处输入文字。</w:t>
          </w:r>
        </w:p>
      </w:docPartBody>
    </w:docPart>
    <w:docPart>
      <w:docPartPr>
        <w:name w:val="{0f6886f3-67e4-40e7-a8e5-c414e697e943}"/>
        <w:style w:val=""/>
        <w:category>
          <w:name w:val="常规"/>
          <w:gallery w:val="placeholder"/>
        </w:category>
        <w:types>
          <w:type w:val="bbPlcHdr"/>
        </w:types>
        <w:behaviors>
          <w:behavior w:val="content"/>
        </w:behaviors>
        <w:description w:val=""/>
        <w:guid w:val="{0f6886f3-67e4-40e7-a8e5-c414e697e943}"/>
      </w:docPartPr>
      <w:docPartBody>
        <w:p>
          <w:r>
            <w:rPr>
              <w:color w:val="808080"/>
            </w:rPr>
            <w:t>单击此处输入文字。</w:t>
          </w:r>
        </w:p>
      </w:docPartBody>
    </w:docPart>
    <w:docPart>
      <w:docPartPr>
        <w:name w:val="{4bb087c6-71b2-42cf-adf4-6195d42f4903}"/>
        <w:style w:val=""/>
        <w:category>
          <w:name w:val="常规"/>
          <w:gallery w:val="placeholder"/>
        </w:category>
        <w:types>
          <w:type w:val="bbPlcHdr"/>
        </w:types>
        <w:behaviors>
          <w:behavior w:val="content"/>
        </w:behaviors>
        <w:description w:val=""/>
        <w:guid w:val="{4bb087c6-71b2-42cf-adf4-6195d42f4903}"/>
      </w:docPartPr>
      <w:docPartBody>
        <w:p>
          <w:r>
            <w:rPr>
              <w:color w:val="808080"/>
            </w:rPr>
            <w:t>单击此处输入文字。</w:t>
          </w:r>
        </w:p>
      </w:docPartBody>
    </w:docPart>
    <w:docPart>
      <w:docPartPr>
        <w:name w:val="{4b5e79bf-ab35-4775-aac9-f1a4b2fd93f3}"/>
        <w:style w:val=""/>
        <w:category>
          <w:name w:val="常规"/>
          <w:gallery w:val="placeholder"/>
        </w:category>
        <w:types>
          <w:type w:val="bbPlcHdr"/>
        </w:types>
        <w:behaviors>
          <w:behavior w:val="content"/>
        </w:behaviors>
        <w:description w:val=""/>
        <w:guid w:val="{4b5e79bf-ab35-4775-aac9-f1a4b2fd93f3}"/>
      </w:docPartPr>
      <w:docPartBody>
        <w:p>
          <w:r>
            <w:rPr>
              <w:color w:val="808080"/>
            </w:rPr>
            <w:t>单击此处输入文字。</w:t>
          </w:r>
        </w:p>
      </w:docPartBody>
    </w:docPart>
    <w:docPart>
      <w:docPartPr>
        <w:name w:val="{bd4e5d12-2ee4-41d6-a2b2-979e5bb2c62f}"/>
        <w:style w:val=""/>
        <w:category>
          <w:name w:val="常规"/>
          <w:gallery w:val="placeholder"/>
        </w:category>
        <w:types>
          <w:type w:val="bbPlcHdr"/>
        </w:types>
        <w:behaviors>
          <w:behavior w:val="content"/>
        </w:behaviors>
        <w:description w:val=""/>
        <w:guid w:val="{bd4e5d12-2ee4-41d6-a2b2-979e5bb2c62f}"/>
      </w:docPartPr>
      <w:docPartBody>
        <w:p>
          <w:r>
            <w:rPr>
              <w:color w:val="808080"/>
            </w:rPr>
            <w:t>单击此处输入文字。</w:t>
          </w:r>
        </w:p>
      </w:docPartBody>
    </w:docPart>
    <w:docPart>
      <w:docPartPr>
        <w:name w:val="{87a61eb6-583a-4b5f-9347-678e0f4f2ddc}"/>
        <w:style w:val=""/>
        <w:category>
          <w:name w:val="常规"/>
          <w:gallery w:val="placeholder"/>
        </w:category>
        <w:types>
          <w:type w:val="bbPlcHdr"/>
        </w:types>
        <w:behaviors>
          <w:behavior w:val="content"/>
        </w:behaviors>
        <w:description w:val=""/>
        <w:guid w:val="{87a61eb6-583a-4b5f-9347-678e0f4f2ddc}"/>
      </w:docPartPr>
      <w:docPartBody>
        <w:p>
          <w:r>
            <w:rPr>
              <w:color w:val="808080"/>
            </w:rPr>
            <w:t>单击此处输入文字。</w:t>
          </w:r>
        </w:p>
      </w:docPartBody>
    </w:docPart>
    <w:docPart>
      <w:docPartPr>
        <w:name w:val="{ddd53724-001b-4934-9280-2daf479dff5e}"/>
        <w:style w:val=""/>
        <w:category>
          <w:name w:val="常规"/>
          <w:gallery w:val="placeholder"/>
        </w:category>
        <w:types>
          <w:type w:val="bbPlcHdr"/>
        </w:types>
        <w:behaviors>
          <w:behavior w:val="content"/>
        </w:behaviors>
        <w:description w:val=""/>
        <w:guid w:val="{ddd53724-001b-4934-9280-2daf479dff5e}"/>
      </w:docPartPr>
      <w:docPartBody>
        <w:p>
          <w:r>
            <w:rPr>
              <w:color w:val="808080"/>
            </w:rPr>
            <w:t>单击此处输入文字。</w:t>
          </w:r>
        </w:p>
      </w:docPartBody>
    </w:docPart>
    <w:docPart>
      <w:docPartPr>
        <w:name w:val="{51644019-2de8-4565-b843-7b41adafbf17}"/>
        <w:style w:val=""/>
        <w:category>
          <w:name w:val="常规"/>
          <w:gallery w:val="placeholder"/>
        </w:category>
        <w:types>
          <w:type w:val="bbPlcHdr"/>
        </w:types>
        <w:behaviors>
          <w:behavior w:val="content"/>
        </w:behaviors>
        <w:description w:val=""/>
        <w:guid w:val="{51644019-2de8-4565-b843-7b41adafbf17}"/>
      </w:docPartPr>
      <w:docPartBody>
        <w:p>
          <w:r>
            <w:rPr>
              <w:color w:val="808080"/>
            </w:rPr>
            <w:t>单击此处输入文字。</w:t>
          </w:r>
        </w:p>
      </w:docPartBody>
    </w:docPart>
    <w:docPart>
      <w:docPartPr>
        <w:name w:val="{10333775-a2ef-4af7-b3be-b2bfc85a565e}"/>
        <w:style w:val=""/>
        <w:category>
          <w:name w:val="常规"/>
          <w:gallery w:val="placeholder"/>
        </w:category>
        <w:types>
          <w:type w:val="bbPlcHdr"/>
        </w:types>
        <w:behaviors>
          <w:behavior w:val="content"/>
        </w:behaviors>
        <w:description w:val=""/>
        <w:guid w:val="{10333775-a2ef-4af7-b3be-b2bfc85a565e}"/>
      </w:docPartPr>
      <w:docPartBody>
        <w:p>
          <w:r>
            <w:rPr>
              <w:color w:val="808080"/>
            </w:rPr>
            <w:t>单击此处输入文字。</w:t>
          </w:r>
        </w:p>
      </w:docPartBody>
    </w:docPart>
    <w:docPart>
      <w:docPartPr>
        <w:name w:val="{9e39159c-f500-4c96-8c81-81c31baac32d}"/>
        <w:style w:val=""/>
        <w:category>
          <w:name w:val="常规"/>
          <w:gallery w:val="placeholder"/>
        </w:category>
        <w:types>
          <w:type w:val="bbPlcHdr"/>
        </w:types>
        <w:behaviors>
          <w:behavior w:val="content"/>
        </w:behaviors>
        <w:description w:val=""/>
        <w:guid w:val="{9e39159c-f500-4c96-8c81-81c31baac32d}"/>
      </w:docPartPr>
      <w:docPartBody>
        <w:p>
          <w:r>
            <w:rPr>
              <w:color w:val="808080"/>
            </w:rPr>
            <w:t>单击此处输入文字。</w:t>
          </w:r>
        </w:p>
      </w:docPartBody>
    </w:docPart>
    <w:docPart>
      <w:docPartPr>
        <w:name w:val="{17e4e6e9-488d-4ff6-8ff7-d47994436c10}"/>
        <w:style w:val=""/>
        <w:category>
          <w:name w:val="常规"/>
          <w:gallery w:val="placeholder"/>
        </w:category>
        <w:types>
          <w:type w:val="bbPlcHdr"/>
        </w:types>
        <w:behaviors>
          <w:behavior w:val="content"/>
        </w:behaviors>
        <w:description w:val=""/>
        <w:guid w:val="{17e4e6e9-488d-4ff6-8ff7-d47994436c10}"/>
      </w:docPartPr>
      <w:docPartBody>
        <w:p>
          <w:r>
            <w:rPr>
              <w:color w:val="808080"/>
            </w:rPr>
            <w:t>单击此处输入文字。</w:t>
          </w:r>
        </w:p>
      </w:docPartBody>
    </w:docPart>
    <w:docPart>
      <w:docPartPr>
        <w:name w:val="{cb75ee52-f087-4efc-b529-09450aa7a980}"/>
        <w:style w:val=""/>
        <w:category>
          <w:name w:val="常规"/>
          <w:gallery w:val="placeholder"/>
        </w:category>
        <w:types>
          <w:type w:val="bbPlcHdr"/>
        </w:types>
        <w:behaviors>
          <w:behavior w:val="content"/>
        </w:behaviors>
        <w:description w:val=""/>
        <w:guid w:val="{cb75ee52-f087-4efc-b529-09450aa7a980}"/>
      </w:docPartPr>
      <w:docPartBody>
        <w:p>
          <w:r>
            <w:rPr>
              <w:color w:val="808080"/>
            </w:rPr>
            <w:t>单击此处输入文字。</w:t>
          </w:r>
        </w:p>
      </w:docPartBody>
    </w:docPart>
    <w:docPart>
      <w:docPartPr>
        <w:name w:val="{f986e811-54f2-487a-88ee-8e8451fa63e8}"/>
        <w:style w:val=""/>
        <w:category>
          <w:name w:val="常规"/>
          <w:gallery w:val="placeholder"/>
        </w:category>
        <w:types>
          <w:type w:val="bbPlcHdr"/>
        </w:types>
        <w:behaviors>
          <w:behavior w:val="content"/>
        </w:behaviors>
        <w:description w:val=""/>
        <w:guid w:val="{f986e811-54f2-487a-88ee-8e8451fa63e8}"/>
      </w:docPartPr>
      <w:docPartBody>
        <w:p>
          <w:r>
            <w:rPr>
              <w:color w:val="808080"/>
            </w:rPr>
            <w:t>单击此处输入文字。</w:t>
          </w:r>
        </w:p>
      </w:docPartBody>
    </w:docPart>
    <w:docPart>
      <w:docPartPr>
        <w:name w:val="{ab5ba1a2-cb31-46a3-99cd-3a4e6a281055}"/>
        <w:style w:val=""/>
        <w:category>
          <w:name w:val="常规"/>
          <w:gallery w:val="placeholder"/>
        </w:category>
        <w:types>
          <w:type w:val="bbPlcHdr"/>
        </w:types>
        <w:behaviors>
          <w:behavior w:val="content"/>
        </w:behaviors>
        <w:description w:val=""/>
        <w:guid w:val="{ab5ba1a2-cb31-46a3-99cd-3a4e6a281055}"/>
      </w:docPartPr>
      <w:docPartBody>
        <w:p>
          <w:r>
            <w:rPr>
              <w:color w:val="808080"/>
            </w:rPr>
            <w:t>单击此处输入文字。</w:t>
          </w:r>
        </w:p>
      </w:docPartBody>
    </w:docPart>
    <w:docPart>
      <w:docPartPr>
        <w:name w:val="{9496e3f9-a719-46f4-8fa9-3ca107a7f2f6}"/>
        <w:style w:val=""/>
        <w:category>
          <w:name w:val="常规"/>
          <w:gallery w:val="placeholder"/>
        </w:category>
        <w:types>
          <w:type w:val="bbPlcHdr"/>
        </w:types>
        <w:behaviors>
          <w:behavior w:val="content"/>
        </w:behaviors>
        <w:description w:val=""/>
        <w:guid w:val="{9496e3f9-a719-46f4-8fa9-3ca107a7f2f6}"/>
      </w:docPartPr>
      <w:docPartBody>
        <w:p>
          <w:r>
            <w:rPr>
              <w:color w:val="808080"/>
            </w:rPr>
            <w:t>单击此处输入文字。</w:t>
          </w:r>
        </w:p>
      </w:docPartBody>
    </w:docPart>
    <w:docPart>
      <w:docPartPr>
        <w:name w:val="{7896aae2-9694-4c33-8416-95429bc3fcaa}"/>
        <w:style w:val=""/>
        <w:category>
          <w:name w:val="常规"/>
          <w:gallery w:val="placeholder"/>
        </w:category>
        <w:types>
          <w:type w:val="bbPlcHdr"/>
        </w:types>
        <w:behaviors>
          <w:behavior w:val="content"/>
        </w:behaviors>
        <w:description w:val=""/>
        <w:guid w:val="{7896aae2-9694-4c33-8416-95429bc3fcaa}"/>
      </w:docPartPr>
      <w:docPartBody>
        <w:p>
          <w:r>
            <w:rPr>
              <w:color w:val="808080"/>
            </w:rPr>
            <w:t>单击此处输入文字。</w:t>
          </w:r>
        </w:p>
      </w:docPartBody>
    </w:docPart>
    <w:docPart>
      <w:docPartPr>
        <w:name w:val="{7aeacc3d-89f8-4a4f-96c3-324f553e9284}"/>
        <w:style w:val=""/>
        <w:category>
          <w:name w:val="常规"/>
          <w:gallery w:val="placeholder"/>
        </w:category>
        <w:types>
          <w:type w:val="bbPlcHdr"/>
        </w:types>
        <w:behaviors>
          <w:behavior w:val="content"/>
        </w:behaviors>
        <w:description w:val=""/>
        <w:guid w:val="{7aeacc3d-89f8-4a4f-96c3-324f553e9284}"/>
      </w:docPartPr>
      <w:docPartBody>
        <w:p>
          <w:r>
            <w:rPr>
              <w:color w:val="808080"/>
            </w:rPr>
            <w:t>单击此处输入文字。</w:t>
          </w:r>
        </w:p>
      </w:docPartBody>
    </w:docPart>
    <w:docPart>
      <w:docPartPr>
        <w:name w:val="{685dc27b-c5a4-472d-b6b3-a52b007a33ad}"/>
        <w:style w:val=""/>
        <w:category>
          <w:name w:val="常规"/>
          <w:gallery w:val="placeholder"/>
        </w:category>
        <w:types>
          <w:type w:val="bbPlcHdr"/>
        </w:types>
        <w:behaviors>
          <w:behavior w:val="content"/>
        </w:behaviors>
        <w:description w:val=""/>
        <w:guid w:val="{685dc27b-c5a4-472d-b6b3-a52b007a33ad}"/>
      </w:docPartPr>
      <w:docPartBody>
        <w:p>
          <w:r>
            <w:rPr>
              <w:color w:val="808080"/>
            </w:rPr>
            <w:t>单击此处输入文字。</w:t>
          </w:r>
        </w:p>
      </w:docPartBody>
    </w:docPart>
    <w:docPart>
      <w:docPartPr>
        <w:name w:val="{aa09a435-9dcd-467a-99f6-5903df1d4a2f}"/>
        <w:style w:val=""/>
        <w:category>
          <w:name w:val="常规"/>
          <w:gallery w:val="placeholder"/>
        </w:category>
        <w:types>
          <w:type w:val="bbPlcHdr"/>
        </w:types>
        <w:behaviors>
          <w:behavior w:val="content"/>
        </w:behaviors>
        <w:description w:val=""/>
        <w:guid w:val="{aa09a435-9dcd-467a-99f6-5903df1d4a2f}"/>
      </w:docPartPr>
      <w:docPartBody>
        <w:p>
          <w:r>
            <w:rPr>
              <w:color w:val="808080"/>
            </w:rPr>
            <w:t>单击此处输入文字。</w:t>
          </w:r>
        </w:p>
      </w:docPartBody>
    </w:docPart>
    <w:docPart>
      <w:docPartPr>
        <w:name w:val="{eac79a67-7691-447b-a1b5-dc4713c88109}"/>
        <w:style w:val=""/>
        <w:category>
          <w:name w:val="常规"/>
          <w:gallery w:val="placeholder"/>
        </w:category>
        <w:types>
          <w:type w:val="bbPlcHdr"/>
        </w:types>
        <w:behaviors>
          <w:behavior w:val="content"/>
        </w:behaviors>
        <w:description w:val=""/>
        <w:guid w:val="{eac79a67-7691-447b-a1b5-dc4713c88109}"/>
      </w:docPartPr>
      <w:docPartBody>
        <w:p>
          <w:r>
            <w:rPr>
              <w:color w:val="808080"/>
            </w:rPr>
            <w:t>单击此处输入文字。</w:t>
          </w:r>
        </w:p>
      </w:docPartBody>
    </w:docPart>
    <w:docPart>
      <w:docPartPr>
        <w:name w:val="{9a1600b8-cb0f-40c2-8678-bf2ee2f085c1}"/>
        <w:style w:val=""/>
        <w:category>
          <w:name w:val="常规"/>
          <w:gallery w:val="placeholder"/>
        </w:category>
        <w:types>
          <w:type w:val="bbPlcHdr"/>
        </w:types>
        <w:behaviors>
          <w:behavior w:val="content"/>
        </w:behaviors>
        <w:description w:val=""/>
        <w:guid w:val="{9a1600b8-cb0f-40c2-8678-bf2ee2f085c1}"/>
      </w:docPartPr>
      <w:docPartBody>
        <w:p>
          <w:r>
            <w:rPr>
              <w:color w:val="808080"/>
            </w:rPr>
            <w:t>单击此处输入文字。</w:t>
          </w:r>
        </w:p>
      </w:docPartBody>
    </w:docPart>
    <w:docPart>
      <w:docPartPr>
        <w:name w:val="{2c7c5e52-ca25-4005-8167-e774b03ae6cb}"/>
        <w:style w:val=""/>
        <w:category>
          <w:name w:val="常规"/>
          <w:gallery w:val="placeholder"/>
        </w:category>
        <w:types>
          <w:type w:val="bbPlcHdr"/>
        </w:types>
        <w:behaviors>
          <w:behavior w:val="content"/>
        </w:behaviors>
        <w:description w:val=""/>
        <w:guid w:val="{2c7c5e52-ca25-4005-8167-e774b03ae6cb}"/>
      </w:docPartPr>
      <w:docPartBody>
        <w:p>
          <w:r>
            <w:rPr>
              <w:color w:val="808080"/>
            </w:rPr>
            <w:t>单击此处输入文字。</w:t>
          </w:r>
        </w:p>
      </w:docPartBody>
    </w:docPart>
    <w:docPart>
      <w:docPartPr>
        <w:name w:val="{6a726625-d3b9-4ff7-a91d-5df625331226}"/>
        <w:style w:val=""/>
        <w:category>
          <w:name w:val="常规"/>
          <w:gallery w:val="placeholder"/>
        </w:category>
        <w:types>
          <w:type w:val="bbPlcHdr"/>
        </w:types>
        <w:behaviors>
          <w:behavior w:val="content"/>
        </w:behaviors>
        <w:description w:val=""/>
        <w:guid w:val="{6a726625-d3b9-4ff7-a91d-5df625331226}"/>
      </w:docPartPr>
      <w:docPartBody>
        <w:p>
          <w:r>
            <w:rPr>
              <w:color w:val="808080"/>
            </w:rPr>
            <w:t>单击此处输入文字。</w:t>
          </w:r>
        </w:p>
      </w:docPartBody>
    </w:docPart>
    <w:docPart>
      <w:docPartPr>
        <w:name w:val="{d3e94bce-8544-4650-a71a-f45905e8bfc7}"/>
        <w:style w:val=""/>
        <w:category>
          <w:name w:val="常规"/>
          <w:gallery w:val="placeholder"/>
        </w:category>
        <w:types>
          <w:type w:val="bbPlcHdr"/>
        </w:types>
        <w:behaviors>
          <w:behavior w:val="content"/>
        </w:behaviors>
        <w:description w:val=""/>
        <w:guid w:val="{d3e94bce-8544-4650-a71a-f45905e8bfc7}"/>
      </w:docPartPr>
      <w:docPartBody>
        <w:p>
          <w:r>
            <w:rPr>
              <w:color w:val="808080"/>
            </w:rPr>
            <w:t>单击此处输入文字。</w:t>
          </w:r>
        </w:p>
      </w:docPartBody>
    </w:docPart>
    <w:docPart>
      <w:docPartPr>
        <w:name w:val="{583a61f3-b880-4c7b-acbd-4bcb6fe365c4}"/>
        <w:style w:val=""/>
        <w:category>
          <w:name w:val="常规"/>
          <w:gallery w:val="placeholder"/>
        </w:category>
        <w:types>
          <w:type w:val="bbPlcHdr"/>
        </w:types>
        <w:behaviors>
          <w:behavior w:val="content"/>
        </w:behaviors>
        <w:description w:val=""/>
        <w:guid w:val="{583a61f3-b880-4c7b-acbd-4bcb6fe365c4}"/>
      </w:docPartPr>
      <w:docPartBody>
        <w:p>
          <w:r>
            <w:rPr>
              <w:color w:val="808080"/>
            </w:rPr>
            <w:t>单击此处输入文字。</w:t>
          </w:r>
        </w:p>
      </w:docPartBody>
    </w:docPart>
    <w:docPart>
      <w:docPartPr>
        <w:name w:val="{59695e0b-04a3-41bc-a311-d5d90b1cec7d}"/>
        <w:style w:val=""/>
        <w:category>
          <w:name w:val="常规"/>
          <w:gallery w:val="placeholder"/>
        </w:category>
        <w:types>
          <w:type w:val="bbPlcHdr"/>
        </w:types>
        <w:behaviors>
          <w:behavior w:val="content"/>
        </w:behaviors>
        <w:description w:val=""/>
        <w:guid w:val="{59695e0b-04a3-41bc-a311-d5d90b1cec7d}"/>
      </w:docPartPr>
      <w:docPartBody>
        <w:p>
          <w:r>
            <w:rPr>
              <w:color w:val="808080"/>
            </w:rPr>
            <w:t>单击此处输入文字。</w:t>
          </w:r>
        </w:p>
      </w:docPartBody>
    </w:docPart>
    <w:docPart>
      <w:docPartPr>
        <w:name w:val="{cae57e53-968e-499f-a946-b7959f6d4fa3}"/>
        <w:style w:val=""/>
        <w:category>
          <w:name w:val="常规"/>
          <w:gallery w:val="placeholder"/>
        </w:category>
        <w:types>
          <w:type w:val="bbPlcHdr"/>
        </w:types>
        <w:behaviors>
          <w:behavior w:val="content"/>
        </w:behaviors>
        <w:description w:val=""/>
        <w:guid w:val="{cae57e53-968e-499f-a946-b7959f6d4fa3}"/>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24</Pages>
  <Words>1327</Words>
  <Characters>7570</Characters>
  <Lines>63</Lines>
  <Paragraphs>17</Paragraphs>
  <TotalTime>0</TotalTime>
  <ScaleCrop>false</ScaleCrop>
  <LinksUpToDate>false</LinksUpToDate>
  <CharactersWithSpaces>8880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2020-08-09T09:49:00Z</dcterms:created>
  <dc:creator>曹颖</dc:creator>
  <cp:lastModifiedBy>立凹井井</cp:lastModifiedBy>
  <cp:lastPrinted>2025-08-06T17:34:00Z</cp:lastPrinted>
  <dcterms:modified xsi:type="dcterms:W3CDTF">2025-10-28T03:29:19Z</dcterms:modified>
  <dc:title>四川省***</dc:title>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04787F2533EB45DC91BCDE4AB213247F</vt:lpwstr>
  </property>
</Properties>
</file>