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75A525">
      <w:pPr>
        <w:pStyle w:val="6"/>
        <w:spacing w:before="93"/>
        <w:rPr>
          <w:rFonts w:ascii="Times New Roman" w:eastAsia="方正小标宋简体"/>
          <w:kern w:val="2"/>
          <w:sz w:val="72"/>
          <w:szCs w:val="72"/>
        </w:rPr>
      </w:pPr>
      <w:bookmarkStart w:id="0" w:name="_Toc15377193"/>
      <w:bookmarkStart w:id="1" w:name="_Toc15378441"/>
      <w:bookmarkStart w:id="2" w:name="_Toc15396475"/>
      <w:bookmarkStart w:id="3" w:name="_Toc15396597"/>
      <w:bookmarkStart w:id="4" w:name="_Toc15306267"/>
      <w:bookmarkStart w:id="5" w:name="_Toc15377425"/>
    </w:p>
    <w:p w14:paraId="0514C0AC">
      <w:pPr>
        <w:pStyle w:val="6"/>
        <w:spacing w:before="93"/>
        <w:rPr>
          <w:rFonts w:ascii="Times New Roman" w:eastAsia="方正小标宋简体"/>
          <w:kern w:val="2"/>
          <w:sz w:val="72"/>
          <w:szCs w:val="72"/>
        </w:rPr>
      </w:pPr>
    </w:p>
    <w:p w14:paraId="28A39C51">
      <w:pPr>
        <w:pStyle w:val="6"/>
        <w:spacing w:before="93"/>
        <w:rPr>
          <w:rFonts w:ascii="Times New Roman" w:eastAsia="方正小标宋简体"/>
          <w:kern w:val="2"/>
          <w:sz w:val="72"/>
          <w:szCs w:val="72"/>
        </w:rPr>
      </w:pPr>
    </w:p>
    <w:p w14:paraId="6163E574">
      <w:pPr>
        <w:pStyle w:val="6"/>
        <w:spacing w:before="93"/>
        <w:jc w:val="center"/>
        <w:rPr>
          <w:rFonts w:ascii="Times New Roman" w:eastAsia="方正小标宋简体"/>
          <w:kern w:val="2"/>
          <w:sz w:val="72"/>
          <w:szCs w:val="72"/>
        </w:rPr>
      </w:pPr>
      <w:r>
        <w:rPr>
          <w:rFonts w:hint="eastAsia" w:ascii="Times New Roman" w:eastAsia="方正小标宋简体"/>
          <w:kern w:val="2"/>
          <w:sz w:val="72"/>
          <w:szCs w:val="72"/>
        </w:rPr>
        <w:t>2024年度</w:t>
      </w:r>
    </w:p>
    <w:p w14:paraId="3B724FE9">
      <w:pPr>
        <w:pStyle w:val="6"/>
        <w:spacing w:before="93"/>
        <w:jc w:val="center"/>
        <w:rPr>
          <w:rFonts w:hint="eastAsia" w:ascii="Times New Roman" w:eastAsia="方正小标宋简体"/>
          <w:kern w:val="2"/>
          <w:sz w:val="72"/>
          <w:szCs w:val="72"/>
        </w:rPr>
      </w:pPr>
      <w:r>
        <w:rPr>
          <w:rFonts w:hint="eastAsia" w:ascii="Times New Roman" w:eastAsia="方正小标宋简体"/>
          <w:kern w:val="2"/>
          <w:sz w:val="72"/>
          <w:szCs w:val="72"/>
        </w:rPr>
        <w:t>盐边县</w:t>
      </w:r>
      <w:r>
        <w:rPr>
          <w:rFonts w:hint="eastAsia" w:ascii="Times New Roman" w:eastAsia="方正小标宋简体"/>
          <w:kern w:val="2"/>
          <w:sz w:val="72"/>
          <w:szCs w:val="72"/>
          <w:lang w:eastAsia="zh-CN"/>
        </w:rPr>
        <w:t>卫生健康</w:t>
      </w:r>
      <w:r>
        <w:rPr>
          <w:rFonts w:hint="eastAsia" w:ascii="Times New Roman" w:eastAsia="方正小标宋简体"/>
          <w:kern w:val="2"/>
          <w:sz w:val="72"/>
          <w:szCs w:val="72"/>
        </w:rPr>
        <w:t>局</w:t>
      </w:r>
    </w:p>
    <w:p w14:paraId="125600EA">
      <w:pPr>
        <w:pStyle w:val="6"/>
        <w:spacing w:before="93"/>
        <w:jc w:val="center"/>
        <w:rPr>
          <w:rFonts w:ascii="Times New Roman" w:eastAsia="方正小标宋简体"/>
          <w:kern w:val="2"/>
          <w:sz w:val="72"/>
          <w:szCs w:val="72"/>
        </w:rPr>
      </w:pPr>
      <w:r>
        <w:rPr>
          <w:rFonts w:hint="eastAsia" w:ascii="Times New Roman" w:eastAsia="方正小标宋简体"/>
          <w:kern w:val="2"/>
          <w:sz w:val="72"/>
          <w:szCs w:val="72"/>
        </w:rPr>
        <w:t>单位决算公开编制说明</w:t>
      </w:r>
    </w:p>
    <w:p w14:paraId="3FFB64E9">
      <w:pPr>
        <w:spacing w:line="600" w:lineRule="exact"/>
        <w:jc w:val="center"/>
        <w:outlineLvl w:val="9"/>
        <w:rPr>
          <w:rFonts w:eastAsia="方正小标宋简体"/>
          <w:sz w:val="72"/>
          <w:szCs w:val="72"/>
        </w:rPr>
      </w:pPr>
    </w:p>
    <w:p w14:paraId="0318658B">
      <w:pPr>
        <w:pStyle w:val="20"/>
        <w:outlineLvl w:val="9"/>
        <w:rPr>
          <w:rFonts w:ascii="Times New Roman" w:hAnsi="Times New Roman"/>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p w14:paraId="0306FC3F"/>
    <w:bookmarkEnd w:id="0"/>
    <w:bookmarkEnd w:id="1"/>
    <w:bookmarkEnd w:id="2"/>
    <w:bookmarkEnd w:id="3"/>
    <w:bookmarkEnd w:id="4"/>
    <w:bookmarkEnd w:id="5"/>
    <w:p w14:paraId="0C2BFD5A">
      <w:pPr>
        <w:widowControl/>
        <w:jc w:val="center"/>
        <w:rPr>
          <w:rFonts w:eastAsia="黑体"/>
          <w:sz w:val="48"/>
          <w:szCs w:val="48"/>
        </w:rPr>
      </w:pPr>
      <w:r>
        <w:rPr>
          <w:rFonts w:hint="eastAsia" w:eastAsia="黑体"/>
          <w:sz w:val="48"/>
          <w:szCs w:val="48"/>
        </w:rPr>
        <w:t>目录</w:t>
      </w:r>
    </w:p>
    <w:p w14:paraId="3DE4BA96">
      <w:pPr>
        <w:widowControl/>
        <w:jc w:val="center"/>
        <w:rPr>
          <w:rFonts w:eastAsia="黑体" w:cstheme="minorBidi"/>
          <w:sz w:val="28"/>
          <w:szCs w:val="28"/>
        </w:rPr>
      </w:pPr>
    </w:p>
    <w:p w14:paraId="65E7CC74">
      <w:pPr>
        <w:pStyle w:val="13"/>
        <w:rPr>
          <w:rFonts w:hint="eastAsia" w:eastAsia="仿宋_GB2312" w:cs="仿宋_GB2312"/>
          <w:sz w:val="28"/>
          <w:szCs w:val="28"/>
        </w:rPr>
      </w:pPr>
      <w:r>
        <w:rPr>
          <w:rFonts w:hint="eastAsia" w:ascii="Times New Roman" w:hAnsi="Times New Roman" w:eastAsia="仿宋_GB2312" w:cs="仿宋_GB2312"/>
        </w:rPr>
        <w:t xml:space="preserve">公开时间：2025年10月 </w:t>
      </w:r>
      <w:r>
        <w:rPr>
          <w:rFonts w:hint="eastAsia" w:ascii="Times New Roman" w:hAnsi="Times New Roman" w:eastAsia="仿宋_GB2312" w:cs="仿宋_GB2312"/>
          <w:lang w:val="en-US" w:eastAsia="zh-CN"/>
        </w:rPr>
        <w:t>28</w:t>
      </w:r>
      <w:r>
        <w:rPr>
          <w:rFonts w:hint="eastAsia" w:ascii="Times New Roman" w:hAnsi="Times New Roman" w:eastAsia="仿宋_GB2312" w:cs="仿宋_GB2312"/>
        </w:rPr>
        <w:t>日</w:t>
      </w:r>
    </w:p>
    <w:sdt>
      <w:sdtPr>
        <w:rPr>
          <w:rFonts w:ascii="宋体" w:hAnsi="宋体" w:eastAsia="宋体" w:cs="Times New Roman"/>
          <w:kern w:val="2"/>
          <w:sz w:val="21"/>
          <w:szCs w:val="24"/>
          <w:lang w:val="en-US" w:eastAsia="zh-CN" w:bidi="ar-SA"/>
        </w:rPr>
        <w:id w:val="493450945"/>
        <w15:color w:val="DBDBDB"/>
        <w:docPartObj>
          <w:docPartGallery w:val="Table of Contents"/>
          <w:docPartUnique/>
        </w:docPartObj>
      </w:sdtPr>
      <w:sdtEndPr>
        <w:rPr>
          <w:rFonts w:hint="eastAsia" w:ascii="CESI仿宋-GB18030" w:hAnsi="CESI仿宋-GB18030" w:eastAsia="CESI仿宋-GB18030" w:cs="CESI仿宋-GB18030"/>
          <w:kern w:val="2"/>
          <w:sz w:val="32"/>
          <w:szCs w:val="32"/>
          <w:lang w:val="en-US" w:eastAsia="zh-CN" w:bidi="ar-SA"/>
        </w:rPr>
      </w:sdtEndPr>
      <w:sdtContent>
        <w:p w14:paraId="148A7266">
          <w:pPr>
            <w:spacing w:before="0" w:beforeLines="0" w:after="0" w:afterLines="0" w:line="240" w:lineRule="auto"/>
            <w:ind w:left="0" w:leftChars="0" w:right="0" w:rightChars="0" w:firstLine="0" w:firstLineChars="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24"/>
              <w:szCs w:val="24"/>
            </w:rPr>
            <w:fldChar w:fldCharType="begin"/>
          </w:r>
          <w:r>
            <w:rPr>
              <w:rFonts w:hint="eastAsia" w:ascii="CESI仿宋-GB18030" w:hAnsi="CESI仿宋-GB18030" w:eastAsia="CESI仿宋-GB18030" w:cs="CESI仿宋-GB18030"/>
              <w:sz w:val="24"/>
              <w:szCs w:val="24"/>
            </w:rPr>
            <w:instrText xml:space="preserve"> PAGEREF _Toc1637209943 \h </w:instrText>
          </w:r>
          <w:r>
            <w:rPr>
              <w:rFonts w:hint="eastAsia" w:ascii="CESI仿宋-GB18030" w:hAnsi="CESI仿宋-GB18030" w:eastAsia="CESI仿宋-GB18030" w:cs="CESI仿宋-GB18030"/>
              <w:sz w:val="24"/>
              <w:szCs w:val="24"/>
            </w:rPr>
            <w:fldChar w:fldCharType="separate"/>
          </w:r>
          <w:r>
            <w:rPr>
              <w:rFonts w:hint="eastAsia" w:ascii="CESI仿宋-GB18030" w:hAnsi="CESI仿宋-GB18030" w:eastAsia="CESI仿宋-GB18030" w:cs="CESI仿宋-GB18030"/>
              <w:sz w:val="24"/>
              <w:szCs w:val="24"/>
            </w:rPr>
            <w:fldChar w:fldCharType="end"/>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TOC \o "1-3" \h \u </w:instrText>
          </w:r>
          <w:r>
            <w:rPr>
              <w:rFonts w:hint="eastAsia" w:ascii="CESI仿宋-GB18030" w:hAnsi="CESI仿宋-GB18030" w:eastAsia="CESI仿宋-GB18030" w:cs="CESI仿宋-GB18030"/>
              <w:sz w:val="32"/>
              <w:szCs w:val="32"/>
            </w:rPr>
            <w:fldChar w:fldCharType="separate"/>
          </w:r>
        </w:p>
        <w:p w14:paraId="2AE4CB88">
          <w:pPr>
            <w:pStyle w:val="36"/>
            <w:tabs>
              <w:tab w:val="right" w:leader="dot" w:pos="8306"/>
            </w:tabs>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HYPERLINK \l _Toc505961439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 xml:space="preserve">第一部分  </w:t>
          </w:r>
          <w:r>
            <w:rPr>
              <w:rFonts w:hint="eastAsia" w:ascii="方正黑体_GBK" w:hAnsi="方正黑体_GBK" w:eastAsia="方正黑体_GBK" w:cs="方正黑体_GBK"/>
              <w:bCs w:val="0"/>
              <w:sz w:val="32"/>
              <w:szCs w:val="32"/>
            </w:rPr>
            <w:t>单位概况</w:t>
          </w:r>
          <w:r>
            <w:rPr>
              <w:rFonts w:hint="eastAsia" w:ascii="方正黑体_GBK" w:hAnsi="方正黑体_GBK" w:eastAsia="方正黑体_GBK" w:cs="方正黑体_GBK"/>
              <w:sz w:val="32"/>
              <w:szCs w:val="32"/>
            </w:rPr>
            <w:tab/>
          </w: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PAGEREF _Toc505961439 \h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1</w:t>
          </w:r>
          <w:r>
            <w:rPr>
              <w:rFonts w:hint="eastAsia" w:ascii="方正黑体_GBK" w:hAnsi="方正黑体_GBK" w:eastAsia="方正黑体_GBK" w:cs="方正黑体_GBK"/>
              <w:sz w:val="32"/>
              <w:szCs w:val="32"/>
            </w:rPr>
            <w:fldChar w:fldCharType="end"/>
          </w:r>
          <w:r>
            <w:rPr>
              <w:rFonts w:hint="eastAsia" w:ascii="方正黑体_GBK" w:hAnsi="方正黑体_GBK" w:eastAsia="方正黑体_GBK" w:cs="方正黑体_GBK"/>
              <w:sz w:val="32"/>
              <w:szCs w:val="32"/>
            </w:rPr>
            <w:fldChar w:fldCharType="end"/>
          </w:r>
        </w:p>
        <w:p w14:paraId="15944D63">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_Toc1672477597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一、 主要职责</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_Toc1672477597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1</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4B83A413">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_Toc314582770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二、机</w:t>
          </w:r>
          <w:r>
            <w:rPr>
              <w:rFonts w:hint="eastAsia" w:ascii="CESI仿宋-GB18030" w:hAnsi="CESI仿宋-GB18030" w:eastAsia="CESI仿宋-GB18030" w:cs="CESI仿宋-GB18030"/>
              <w:bCs w:val="0"/>
              <w:sz w:val="32"/>
              <w:szCs w:val="32"/>
            </w:rPr>
            <w:t>构设置</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_Toc314582770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4</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4C949440">
          <w:pPr>
            <w:pStyle w:val="36"/>
            <w:tabs>
              <w:tab w:val="right" w:leader="dot" w:pos="8306"/>
            </w:tabs>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HYPERLINK \l _Toc1414689068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第二部分  2024年度部门决算情况说明</w:t>
          </w:r>
          <w:r>
            <w:rPr>
              <w:rFonts w:hint="eastAsia" w:ascii="方正黑体_GBK" w:hAnsi="方正黑体_GBK" w:eastAsia="方正黑体_GBK" w:cs="方正黑体_GBK"/>
              <w:sz w:val="32"/>
              <w:szCs w:val="32"/>
            </w:rPr>
            <w:tab/>
          </w: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PAGEREF _Toc1414689068 \h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5</w:t>
          </w:r>
          <w:r>
            <w:rPr>
              <w:rFonts w:hint="eastAsia" w:ascii="方正黑体_GBK" w:hAnsi="方正黑体_GBK" w:eastAsia="方正黑体_GBK" w:cs="方正黑体_GBK"/>
              <w:sz w:val="32"/>
              <w:szCs w:val="32"/>
            </w:rPr>
            <w:fldChar w:fldCharType="end"/>
          </w:r>
          <w:r>
            <w:rPr>
              <w:rFonts w:hint="eastAsia" w:ascii="方正黑体_GBK" w:hAnsi="方正黑体_GBK" w:eastAsia="方正黑体_GBK" w:cs="方正黑体_GBK"/>
              <w:sz w:val="32"/>
              <w:szCs w:val="32"/>
            </w:rPr>
            <w:fldChar w:fldCharType="end"/>
          </w:r>
        </w:p>
        <w:p w14:paraId="195E53B4">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_Toc1364819168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一、收入支出决算总体情况说明</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_Toc1364819168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5</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7C80A208">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_Toc1544037252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二、收入决算情况说明</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_Toc1544037252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5</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0645F852">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_Toc1553392438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三、支出决算情况说明</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_Toc1553392438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6</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479418AF">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_Toc1807123779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四、财政拨款收入支出决算总体情况说明</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_Toc1807123779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7</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525B8AA1">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_Toc117540018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五、一般公共预算财政拨款支出决算情况说明</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_Toc117540018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7</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040FE223">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_Toc1039725907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六、一般公共预算财政拨款基本支出决算情况说明</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_Toc1039725907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12</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3A8EA260">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_Toc1397290757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七、财政拨款“三公”经费支出决算情况说明</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_Toc1397290757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12</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477ED94F">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_Toc365698427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八、政府性基金预算支出决算情况说明</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_Toc365698427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14</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2DA806C6">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_Toc236804024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九、国有资本经营预算支出决算情况说明</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_Toc236804024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14</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053FF9C0">
          <w:pPr>
            <w:pStyle w:val="37"/>
            <w:tabs>
              <w:tab w:val="right" w:leader="dot" w:pos="8306"/>
            </w:tabs>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HYPERLINK \l _Toc452967833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十、其他重要事项的情况说明</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_Toc452967833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14</w:t>
          </w: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fldChar w:fldCharType="end"/>
          </w:r>
        </w:p>
        <w:p w14:paraId="5F5BB2CA">
          <w:pPr>
            <w:pStyle w:val="36"/>
            <w:tabs>
              <w:tab w:val="right" w:leader="dot" w:pos="8306"/>
            </w:tabs>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HYPERLINK \l _Toc1529892215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第三部分  名词解释</w:t>
          </w:r>
          <w:r>
            <w:rPr>
              <w:rFonts w:hint="eastAsia" w:ascii="方正黑体_GBK" w:hAnsi="方正黑体_GBK" w:eastAsia="方正黑体_GBK" w:cs="方正黑体_GBK"/>
              <w:sz w:val="32"/>
              <w:szCs w:val="32"/>
            </w:rPr>
            <w:tab/>
          </w: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PAGEREF _Toc1529892215 \h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17</w:t>
          </w:r>
          <w:r>
            <w:rPr>
              <w:rFonts w:hint="eastAsia" w:ascii="方正黑体_GBK" w:hAnsi="方正黑体_GBK" w:eastAsia="方正黑体_GBK" w:cs="方正黑体_GBK"/>
              <w:sz w:val="32"/>
              <w:szCs w:val="32"/>
            </w:rPr>
            <w:fldChar w:fldCharType="end"/>
          </w:r>
          <w:r>
            <w:rPr>
              <w:rFonts w:hint="eastAsia" w:ascii="方正黑体_GBK" w:hAnsi="方正黑体_GBK" w:eastAsia="方正黑体_GBK" w:cs="方正黑体_GBK"/>
              <w:sz w:val="32"/>
              <w:szCs w:val="32"/>
            </w:rPr>
            <w:fldChar w:fldCharType="end"/>
          </w:r>
        </w:p>
        <w:p w14:paraId="1B2645AC">
          <w:pPr>
            <w:pStyle w:val="36"/>
            <w:tabs>
              <w:tab w:val="right" w:leader="dot" w:pos="8306"/>
            </w:tabs>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HYPERLINK \l _Toc672962521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第四部分  附件</w:t>
          </w:r>
          <w:r>
            <w:rPr>
              <w:rFonts w:hint="eastAsia" w:ascii="方正黑体_GBK" w:hAnsi="方正黑体_GBK" w:eastAsia="方正黑体_GBK" w:cs="方正黑体_GBK"/>
              <w:sz w:val="32"/>
              <w:szCs w:val="32"/>
            </w:rPr>
            <w:tab/>
          </w: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PAGEREF _Toc672962521 \h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22</w:t>
          </w:r>
          <w:r>
            <w:rPr>
              <w:rFonts w:hint="eastAsia" w:ascii="方正黑体_GBK" w:hAnsi="方正黑体_GBK" w:eastAsia="方正黑体_GBK" w:cs="方正黑体_GBK"/>
              <w:sz w:val="32"/>
              <w:szCs w:val="32"/>
            </w:rPr>
            <w:fldChar w:fldCharType="end"/>
          </w:r>
          <w:r>
            <w:rPr>
              <w:rFonts w:hint="eastAsia" w:ascii="方正黑体_GBK" w:hAnsi="方正黑体_GBK" w:eastAsia="方正黑体_GBK" w:cs="方正黑体_GBK"/>
              <w:sz w:val="32"/>
              <w:szCs w:val="32"/>
            </w:rPr>
            <w:fldChar w:fldCharType="end"/>
          </w:r>
        </w:p>
        <w:p w14:paraId="089C97C6">
          <w:pPr>
            <w:pStyle w:val="36"/>
            <w:tabs>
              <w:tab w:val="right" w:leader="dot" w:pos="8306"/>
            </w:tabs>
            <w:rPr>
              <w:rFonts w:hint="eastAsia" w:ascii="CESI仿宋-GB18030" w:hAnsi="CESI仿宋-GB18030" w:eastAsia="CESI仿宋-GB18030" w:cs="CESI仿宋-GB18030"/>
              <w:sz w:val="32"/>
              <w:szCs w:val="32"/>
            </w:rPr>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HYPERLINK \l _Toc1785471453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第五部分 附表</w:t>
          </w:r>
          <w:r>
            <w:rPr>
              <w:rFonts w:hint="eastAsia" w:ascii="方正黑体_GBK" w:hAnsi="方正黑体_GBK" w:eastAsia="方正黑体_GBK" w:cs="方正黑体_GBK"/>
              <w:sz w:val="32"/>
              <w:szCs w:val="32"/>
            </w:rPr>
            <w:tab/>
          </w: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PAGEREF _Toc1785471453 \h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23</w:t>
          </w:r>
          <w:r>
            <w:rPr>
              <w:rFonts w:hint="eastAsia" w:ascii="方正黑体_GBK" w:hAnsi="方正黑体_GBK" w:eastAsia="方正黑体_GBK" w:cs="方正黑体_GBK"/>
              <w:sz w:val="32"/>
              <w:szCs w:val="32"/>
            </w:rPr>
            <w:fldChar w:fldCharType="end"/>
          </w:r>
          <w:r>
            <w:rPr>
              <w:rFonts w:hint="eastAsia" w:ascii="方正黑体_GBK" w:hAnsi="方正黑体_GBK" w:eastAsia="方正黑体_GBK" w:cs="方正黑体_GBK"/>
              <w:sz w:val="32"/>
              <w:szCs w:val="32"/>
            </w:rPr>
            <w:fldChar w:fldCharType="end"/>
          </w:r>
        </w:p>
        <w:p w14:paraId="1D2EA023">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fldChar w:fldCharType="end"/>
          </w:r>
          <w:r>
            <w:rPr>
              <w:rFonts w:hint="eastAsia" w:ascii="CESI仿宋-GB18030" w:hAnsi="CESI仿宋-GB18030" w:eastAsia="CESI仿宋-GB18030" w:cs="CESI仿宋-GB18030"/>
              <w:sz w:val="32"/>
              <w:szCs w:val="32"/>
            </w:rPr>
            <w:t>一、收入支出决算总表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7869AD7C">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二、收入决算表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0E5A7723">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三、支出决算表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290A70F3">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四、财政拨款收入支出决算总表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7F9DAEF5">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五、财政拨款支出决算明细表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50CDB2FC">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六、一般公共预算财政拨款支出决算表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1EC29B1E">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七、一般公共预算财政拨款支出决算明细表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699DBB52">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八、一般公共预算财政拨款基本支出决算明细表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12903630">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九、一般公共预算财政拨款项目支出决算表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681CC591">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十、政府性基金预算财政拨款收入支出决算表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5AF682C4">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十一、国有资本经营预算财政拨款收入支出决算表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3E2EA6C0">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十二、国有资本经营预算财政拨款支出决算表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p w14:paraId="65613661">
          <w:pPr>
            <w:pStyle w:val="15"/>
            <w:adjustRightInd w:val="0"/>
            <w:snapToGrid w:val="0"/>
            <w:spacing w:line="560" w:lineRule="exact"/>
            <w:ind w:left="0" w:leftChars="0" w:firstLine="640" w:firstLineChars="200"/>
            <w:jc w:val="both"/>
            <w:rPr>
              <w:rFonts w:hint="eastAsia" w:ascii="CESI仿宋-GB18030" w:hAnsi="CESI仿宋-GB18030" w:eastAsia="CESI仿宋-GB18030" w:cs="CESI仿宋-GB18030"/>
              <w:sz w:val="32"/>
              <w:szCs w:val="32"/>
            </w:rPr>
          </w:pPr>
          <w:r>
            <w:rPr>
              <w:rFonts w:hint="eastAsia" w:ascii="CESI仿宋-GB18030" w:hAnsi="CESI仿宋-GB18030" w:eastAsia="CESI仿宋-GB18030" w:cs="CESI仿宋-GB18030"/>
              <w:sz w:val="32"/>
              <w:szCs w:val="32"/>
            </w:rPr>
            <w:t>十三、财政拨款“三公”经费支出决算表</w:t>
          </w:r>
          <w:r>
            <w:rPr>
              <w:rFonts w:hint="eastAsia" w:ascii="CESI仿宋-GB18030" w:hAnsi="CESI仿宋-GB18030" w:eastAsia="CESI仿宋-GB18030" w:cs="CESI仿宋-GB18030"/>
              <w:sz w:val="32"/>
              <w:szCs w:val="32"/>
            </w:rPr>
            <w:tab/>
          </w:r>
          <w:r>
            <w:rPr>
              <w:rFonts w:hint="eastAsia" w:ascii="CESI仿宋-GB18030" w:hAnsi="CESI仿宋-GB18030" w:eastAsia="CESI仿宋-GB18030" w:cs="CESI仿宋-GB18030"/>
              <w:sz w:val="32"/>
              <w:szCs w:val="32"/>
            </w:rPr>
            <w:fldChar w:fldCharType="begin"/>
          </w:r>
          <w:r>
            <w:rPr>
              <w:rFonts w:hint="eastAsia" w:ascii="CESI仿宋-GB18030" w:hAnsi="CESI仿宋-GB18030" w:eastAsia="CESI仿宋-GB18030" w:cs="CESI仿宋-GB18030"/>
              <w:sz w:val="32"/>
              <w:szCs w:val="32"/>
            </w:rPr>
            <w:instrText xml:space="preserve"> PAGEREF _Toc1785471453 \h </w:instrText>
          </w:r>
          <w:r>
            <w:rPr>
              <w:rFonts w:hint="eastAsia" w:ascii="CESI仿宋-GB18030" w:hAnsi="CESI仿宋-GB18030" w:eastAsia="CESI仿宋-GB18030" w:cs="CESI仿宋-GB18030"/>
              <w:sz w:val="32"/>
              <w:szCs w:val="32"/>
            </w:rPr>
            <w:fldChar w:fldCharType="separate"/>
          </w:r>
          <w:r>
            <w:rPr>
              <w:rFonts w:hint="eastAsia" w:ascii="CESI仿宋-GB18030" w:hAnsi="CESI仿宋-GB18030" w:eastAsia="CESI仿宋-GB18030" w:cs="CESI仿宋-GB18030"/>
              <w:sz w:val="32"/>
              <w:szCs w:val="32"/>
            </w:rPr>
            <w:t>23</w:t>
          </w:r>
          <w:r>
            <w:rPr>
              <w:rFonts w:hint="eastAsia" w:ascii="CESI仿宋-GB18030" w:hAnsi="CESI仿宋-GB18030" w:eastAsia="CESI仿宋-GB18030" w:cs="CESI仿宋-GB18030"/>
              <w:sz w:val="32"/>
              <w:szCs w:val="32"/>
            </w:rPr>
            <w:fldChar w:fldCharType="end"/>
          </w:r>
        </w:p>
      </w:sdtContent>
    </w:sdt>
    <w:p w14:paraId="05ECCF57">
      <w:pPr>
        <w:pStyle w:val="3"/>
        <w:jc w:val="center"/>
        <w:rPr>
          <w:rFonts w:hint="eastAsia" w:ascii="CESI仿宋-GB18030" w:hAnsi="CESI仿宋-GB18030" w:eastAsia="CESI仿宋-GB18030" w:cs="CESI仿宋-GB18030"/>
          <w:b w:val="0"/>
          <w:sz w:val="32"/>
          <w:szCs w:val="32"/>
        </w:rPr>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pPr>
      <w:bookmarkStart w:id="6" w:name="_Toc15396599"/>
      <w:bookmarkStart w:id="7" w:name="_Toc505961439"/>
      <w:bookmarkStart w:id="8" w:name="_Toc15377196"/>
    </w:p>
    <w:p w14:paraId="7EA548F3">
      <w:pPr>
        <w:pStyle w:val="3"/>
        <w:jc w:val="center"/>
        <w:rPr>
          <w:rFonts w:eastAsia="黑体"/>
          <w:sz w:val="32"/>
          <w:szCs w:val="32"/>
        </w:rPr>
      </w:pPr>
      <w:r>
        <w:rPr>
          <w:rFonts w:hint="eastAsia" w:eastAsia="方正小标宋简体" w:cs="方正小标宋简体"/>
          <w:b w:val="0"/>
        </w:rPr>
        <w:t xml:space="preserve">第一部分  </w:t>
      </w:r>
      <w:r>
        <w:rPr>
          <w:rStyle w:val="29"/>
          <w:rFonts w:hint="eastAsia" w:eastAsia="方正小标宋简体" w:cs="方正小标宋简体"/>
          <w:b w:val="0"/>
          <w:bCs w:val="0"/>
        </w:rPr>
        <w:t>单位概况</w:t>
      </w:r>
      <w:bookmarkEnd w:id="6"/>
      <w:bookmarkEnd w:id="7"/>
      <w:bookmarkEnd w:id="8"/>
    </w:p>
    <w:p w14:paraId="6814B092">
      <w:pPr>
        <w:pStyle w:val="4"/>
        <w:numPr>
          <w:ilvl w:val="0"/>
          <w:numId w:val="1"/>
        </w:numPr>
        <w:rPr>
          <w:rFonts w:hint="eastAsia" w:ascii="Times New Roman" w:hAnsi="Times New Roman" w:eastAsia="黑体"/>
          <w:b w:val="0"/>
        </w:rPr>
      </w:pPr>
      <w:bookmarkStart w:id="9" w:name="_Toc1672477597"/>
      <w:r>
        <w:rPr>
          <w:rFonts w:hint="eastAsia" w:ascii="Times New Roman" w:hAnsi="Times New Roman" w:eastAsia="黑体"/>
          <w:b w:val="0"/>
        </w:rPr>
        <w:t>主要职责</w:t>
      </w:r>
      <w:bookmarkEnd w:id="9"/>
    </w:p>
    <w:p w14:paraId="203BE97D">
      <w:pPr>
        <w:pageBreakBefore w:val="0"/>
        <w:widowControl w:val="0"/>
        <w:kinsoku/>
        <w:wordWrap/>
        <w:overflowPunct/>
        <w:topLinePunct w:val="0"/>
        <w:autoSpaceDE/>
        <w:autoSpaceDN/>
        <w:bidi w:val="0"/>
        <w:adjustRightInd/>
        <w:snapToGrid/>
        <w:spacing w:line="120" w:lineRule="auto"/>
        <w:ind w:firstLine="640" w:firstLineChars="200"/>
        <w:textAlignment w:val="auto"/>
        <w:rPr>
          <w:rFonts w:ascii="仿宋_GB2312" w:eastAsia="仿宋_GB2312"/>
          <w:sz w:val="32"/>
          <w:szCs w:val="32"/>
        </w:rPr>
      </w:pPr>
      <w:r>
        <w:rPr>
          <w:rFonts w:hint="eastAsia" w:ascii="仿宋_GB2312" w:eastAsia="仿宋_GB2312"/>
          <w:sz w:val="32"/>
          <w:szCs w:val="32"/>
        </w:rPr>
        <w:t>1.贯彻执行国家和省、市关于卫生计生工作的方针、政策和法律、法规以及县委、县政府关于卫生计生方面的决策部署，拟订全县卫生计生发展的战略规划和政策并组织实施，负责本系统、本部门依法行政工作，落实行政执法责任制，统筹规划全县卫生计生服务资源配置，指导全县卫生计生工作。</w:t>
      </w:r>
    </w:p>
    <w:p w14:paraId="5DBF2A0F">
      <w:pPr>
        <w:spacing w:line="600" w:lineRule="exact"/>
        <w:ind w:firstLine="640" w:firstLineChars="200"/>
        <w:rPr>
          <w:rFonts w:ascii="仿宋_GB2312" w:eastAsia="仿宋_GB2312"/>
          <w:sz w:val="32"/>
          <w:szCs w:val="32"/>
        </w:rPr>
      </w:pPr>
      <w:r>
        <w:rPr>
          <w:rFonts w:hint="eastAsia" w:ascii="仿宋_GB2312" w:eastAsia="仿宋_GB2312"/>
          <w:sz w:val="32"/>
          <w:szCs w:val="32"/>
        </w:rPr>
        <w:t>2.负责制定全县疾病预防控制规划、免疫规划、严重危害人民健康的公共卫生问题的干预措施并组织实施，根据国家检疫传染病和监测传染病目录，制定全县卫生应急和紧急医学救援预案、突发公共卫生事件监测和风险评估计划，组织和指导全县突发公共卫生事件预防控制和各类突发公共事件的医疗卫生救援，依法根据授权发布法定报告传染病疫情信息、突发公共卫生事件应急处置信息。</w:t>
      </w:r>
    </w:p>
    <w:p w14:paraId="4B2B1E9F">
      <w:pPr>
        <w:spacing w:line="600" w:lineRule="exact"/>
        <w:ind w:firstLine="640" w:firstLineChars="200"/>
        <w:rPr>
          <w:rFonts w:ascii="仿宋_GB2312" w:eastAsia="仿宋_GB2312"/>
          <w:sz w:val="32"/>
          <w:szCs w:val="32"/>
        </w:rPr>
      </w:pPr>
      <w:r>
        <w:rPr>
          <w:rFonts w:hint="eastAsia" w:ascii="仿宋_GB2312" w:eastAsia="仿宋_GB2312"/>
          <w:sz w:val="32"/>
          <w:szCs w:val="32"/>
        </w:rPr>
        <w:t>3.负责实施职责范围内的职业卫生、放射卫生、环境卫生、学校卫生、公共场所卫生、饮用水卫生管理规范、标准和政策措施，组织开展相关监测、调查、评估和监督，负责传染病防治监督，组织实施食品安全风险监测，依据授权开展食品安全企业标准备案，为食源性疾病及与食品安全事故有关的流行病学调查提供技术支持。</w:t>
      </w:r>
    </w:p>
    <w:p w14:paraId="3D5647D1">
      <w:pPr>
        <w:spacing w:line="600" w:lineRule="exact"/>
        <w:ind w:firstLine="640" w:firstLineChars="200"/>
        <w:rPr>
          <w:rFonts w:eastAsia="仿宋"/>
          <w:sz w:val="32"/>
          <w:szCs w:val="32"/>
        </w:rPr>
      </w:pPr>
      <w:r>
        <w:rPr>
          <w:rFonts w:hint="eastAsia" w:ascii="仿宋_GB2312" w:eastAsia="仿宋_GB2312"/>
          <w:sz w:val="32"/>
          <w:szCs w:val="32"/>
        </w:rPr>
        <w:t xml:space="preserve">4.负责组织拟订并实施全县基层卫生和妇幼卫生、计划生育服务发展规划和政策措施，指导全县基层卫生和妇幼卫生、计划生育服务体系建设，推进基本公共卫生计生服务均等化，完善基层运行新机制和乡村医生管理制度。   </w:t>
      </w:r>
      <w:r>
        <w:rPr>
          <w:rFonts w:hint="eastAsia" w:eastAsia="仿宋"/>
          <w:sz w:val="32"/>
          <w:szCs w:val="32"/>
        </w:rPr>
        <w:t xml:space="preserve">  </w:t>
      </w:r>
    </w:p>
    <w:p w14:paraId="7D89F272">
      <w:pPr>
        <w:spacing w:line="600" w:lineRule="exact"/>
        <w:ind w:firstLine="640" w:firstLineChars="200"/>
        <w:rPr>
          <w:rFonts w:ascii="仿宋_GB2312" w:eastAsia="仿宋_GB2312"/>
          <w:sz w:val="32"/>
          <w:szCs w:val="32"/>
        </w:rPr>
      </w:pPr>
      <w:r>
        <w:rPr>
          <w:rFonts w:hint="eastAsia" w:ascii="仿宋_GB2312" w:eastAsia="仿宋_GB2312"/>
          <w:sz w:val="32"/>
          <w:szCs w:val="32"/>
        </w:rPr>
        <w:t>5.负责制定全县医疗机构和医疗服务全行业管理办法并监督实施，制定医疗机构及其医疗服务、医疗技术、医疗质量、医疗安全以及用血机构管理的规范并组织实施，会同有关部门贯彻执行国家卫生计生专业技术人员准入、资格标准，组织实施卫生计生专业技术人员执业规则和服务规范，建立医疗服务评价和监督管理体系。</w:t>
      </w:r>
    </w:p>
    <w:p w14:paraId="5E9C1369">
      <w:pPr>
        <w:spacing w:line="600" w:lineRule="exact"/>
        <w:ind w:firstLine="640" w:firstLineChars="200"/>
        <w:rPr>
          <w:rFonts w:ascii="仿宋_GB2312" w:eastAsia="仿宋_GB2312"/>
          <w:sz w:val="32"/>
          <w:szCs w:val="32"/>
        </w:rPr>
      </w:pPr>
      <w:r>
        <w:rPr>
          <w:rFonts w:hint="eastAsia" w:ascii="仿宋_GB2312" w:eastAsia="仿宋_GB2312"/>
          <w:sz w:val="32"/>
          <w:szCs w:val="32"/>
        </w:rPr>
        <w:t>6.负责建立公益性导向的绩效考核和评价运行机制，推进和谐医患关系建设，提出医疗服务价格政策的建议。</w:t>
      </w:r>
    </w:p>
    <w:p w14:paraId="0F7208A5">
      <w:pPr>
        <w:spacing w:line="600" w:lineRule="exact"/>
        <w:ind w:firstLine="640" w:firstLineChars="200"/>
        <w:rPr>
          <w:rFonts w:ascii="仿宋_GB2312" w:eastAsia="仿宋_GB2312"/>
          <w:sz w:val="32"/>
          <w:szCs w:val="32"/>
        </w:rPr>
      </w:pPr>
      <w:r>
        <w:rPr>
          <w:rFonts w:hint="eastAsia" w:ascii="仿宋_GB2312" w:eastAsia="仿宋_GB2312"/>
          <w:sz w:val="32"/>
          <w:szCs w:val="32"/>
        </w:rPr>
        <w:t>7.贯彻落实国家药物政策和国家基本药物制度，执行国家药品法典、国家基本药物目录和四川省药品增补目录，实施基本药物采购、配送、使用的政策措施。</w:t>
      </w:r>
    </w:p>
    <w:p w14:paraId="2A3A6E72">
      <w:pPr>
        <w:spacing w:line="600" w:lineRule="exact"/>
        <w:ind w:firstLine="640" w:firstLineChars="200"/>
        <w:rPr>
          <w:rFonts w:eastAsia="仿宋"/>
          <w:sz w:val="32"/>
          <w:szCs w:val="32"/>
        </w:rPr>
      </w:pPr>
      <w:r>
        <w:rPr>
          <w:rFonts w:hint="eastAsia" w:ascii="仿宋_GB2312" w:eastAsia="仿宋_GB2312"/>
          <w:sz w:val="32"/>
          <w:szCs w:val="32"/>
        </w:rPr>
        <w:t>8.组织实施促进全县出生人口性别平衡的政策措施，组织监测计划生育发展动态，负责全县计划生育相关数据采集和分析研究，提出发布计划生育安全预警预报信息建议，制定计划生育技术服务管理制度并监督实施，制定优生优育和提高出生人口素质的政策措施并组织实施，推动实施计划生</w:t>
      </w:r>
      <w:r>
        <w:rPr>
          <w:rFonts w:hint="eastAsia" w:eastAsia="仿宋"/>
          <w:sz w:val="32"/>
          <w:szCs w:val="32"/>
        </w:rPr>
        <w:t>育生殖健康促进计划，降低出生缺陷人口数量。</w:t>
      </w:r>
    </w:p>
    <w:p w14:paraId="404F77FE">
      <w:pPr>
        <w:spacing w:line="600" w:lineRule="exact"/>
        <w:ind w:firstLine="640" w:firstLineChars="200"/>
        <w:rPr>
          <w:rFonts w:ascii="仿宋_GB2312" w:eastAsia="仿宋_GB2312"/>
          <w:sz w:val="32"/>
          <w:szCs w:val="32"/>
        </w:rPr>
      </w:pPr>
      <w:r>
        <w:rPr>
          <w:rFonts w:hint="eastAsia" w:ascii="CESI仿宋-GB2312" w:hAnsi="CESI仿宋-GB2312" w:eastAsia="CESI仿宋-GB2312" w:cs="CESI仿宋-GB2312"/>
          <w:b w:val="0"/>
          <w:bCs w:val="0"/>
          <w:sz w:val="32"/>
          <w:szCs w:val="32"/>
        </w:rPr>
        <w:t>9.</w:t>
      </w:r>
      <w:r>
        <w:rPr>
          <w:rFonts w:hint="eastAsia" w:eastAsia="仿宋"/>
          <w:sz w:val="32"/>
          <w:szCs w:val="32"/>
        </w:rPr>
        <w:t>组织建立计划生育利益导向、计划生育特殊困难家庭扶助和促进计划生育家庭发展等机制，负责协调推进有关部</w:t>
      </w:r>
      <w:r>
        <w:rPr>
          <w:rFonts w:hint="eastAsia" w:ascii="仿宋_GB2312" w:eastAsia="仿宋_GB2312"/>
          <w:sz w:val="32"/>
          <w:szCs w:val="32"/>
        </w:rPr>
        <w:t>门、群众团体履行计划生育工作相关职责，建立与经济社会发展政策的衔接机制，提出促进人口长期均衡发展的政策措施。</w:t>
      </w:r>
    </w:p>
    <w:p w14:paraId="68967E44">
      <w:pPr>
        <w:spacing w:line="600" w:lineRule="exact"/>
        <w:ind w:firstLine="640" w:firstLineChars="200"/>
        <w:rPr>
          <w:rFonts w:ascii="仿宋_GB2312" w:eastAsia="仿宋_GB2312"/>
          <w:sz w:val="32"/>
          <w:szCs w:val="32"/>
        </w:rPr>
      </w:pPr>
      <w:r>
        <w:rPr>
          <w:rFonts w:hint="eastAsia" w:ascii="仿宋_GB2312" w:eastAsia="仿宋_GB2312"/>
          <w:sz w:val="32"/>
          <w:szCs w:val="32"/>
        </w:rPr>
        <w:t>10.制定流动人口计划生育服务管理制度并组织实施，推动建立流动人口卫生计生信息共享和公共服务工作机制。</w:t>
      </w:r>
    </w:p>
    <w:p w14:paraId="6B491381">
      <w:pPr>
        <w:spacing w:line="600" w:lineRule="exact"/>
        <w:ind w:firstLine="640" w:firstLineChars="200"/>
        <w:rPr>
          <w:rFonts w:ascii="仿宋_GB2312" w:eastAsia="仿宋_GB2312"/>
          <w:sz w:val="32"/>
          <w:szCs w:val="32"/>
        </w:rPr>
      </w:pPr>
      <w:r>
        <w:rPr>
          <w:rFonts w:hint="eastAsia" w:ascii="仿宋_GB2312" w:eastAsia="仿宋_GB2312"/>
          <w:sz w:val="32"/>
          <w:szCs w:val="32"/>
        </w:rPr>
        <w:t>11.组织拟订全县卫生计生人才发展规划，指导卫生计生人才队伍建设，加强全科医生等急需紧缺专业人才培养，贯彻落实国家住院医师和专科医师规范化培训制度。</w:t>
      </w:r>
    </w:p>
    <w:p w14:paraId="43A282EE">
      <w:pPr>
        <w:spacing w:line="600" w:lineRule="exact"/>
        <w:ind w:firstLine="640" w:firstLineChars="200"/>
        <w:rPr>
          <w:rFonts w:ascii="仿宋_GB2312" w:eastAsia="仿宋_GB2312"/>
          <w:sz w:val="32"/>
          <w:szCs w:val="32"/>
        </w:rPr>
      </w:pPr>
      <w:r>
        <w:rPr>
          <w:rFonts w:hint="eastAsia" w:ascii="仿宋_GB2312" w:eastAsia="仿宋_GB2312"/>
          <w:sz w:val="32"/>
          <w:szCs w:val="32"/>
        </w:rPr>
        <w:t>12.组织拟订全县卫生计生科技发展规划；组织实施卫生计生相关科研项目，协同院校医学教育和计划生育教育；组织指导实施毕业后医学教育和继续医学教育；组织实施新技术新成果推广。</w:t>
      </w:r>
    </w:p>
    <w:p w14:paraId="3737F6DD">
      <w:pPr>
        <w:spacing w:line="600" w:lineRule="exact"/>
        <w:ind w:firstLine="640" w:firstLineChars="200"/>
        <w:rPr>
          <w:rFonts w:ascii="仿宋_GB2312" w:eastAsia="仿宋_GB2312"/>
          <w:sz w:val="32"/>
          <w:szCs w:val="32"/>
        </w:rPr>
      </w:pPr>
      <w:r>
        <w:rPr>
          <w:rFonts w:hint="eastAsia" w:ascii="仿宋_GB2312" w:eastAsia="仿宋_GB2312"/>
          <w:sz w:val="32"/>
          <w:szCs w:val="32"/>
        </w:rPr>
        <w:t>13.指导全县卫生和计划生育工作，完善综合监督执法体系，规范卫生计生行政执法行为，监督检查有关法律法规和政策措施的落实，组织查处重大违法行为；组织实施计划生育目标管理责任制的考评工作，监督落实计划生育一票否决制。</w:t>
      </w:r>
    </w:p>
    <w:p w14:paraId="4FEB3E51">
      <w:pPr>
        <w:spacing w:line="600" w:lineRule="exact"/>
        <w:ind w:firstLine="640" w:firstLineChars="200"/>
        <w:rPr>
          <w:rFonts w:ascii="仿宋_GB2312" w:eastAsia="仿宋_GB2312"/>
          <w:sz w:val="32"/>
          <w:szCs w:val="32"/>
        </w:rPr>
      </w:pPr>
      <w:r>
        <w:rPr>
          <w:rFonts w:hint="eastAsia" w:ascii="仿宋_GB2312" w:eastAsia="仿宋_GB2312"/>
          <w:sz w:val="32"/>
          <w:szCs w:val="32"/>
        </w:rPr>
        <w:t>14.拟订中医药中长期发展规划，并纳入卫生计生事业发展总体规划和战略目标。</w:t>
      </w:r>
    </w:p>
    <w:p w14:paraId="36C47ED5">
      <w:pPr>
        <w:spacing w:line="600" w:lineRule="exact"/>
        <w:ind w:firstLine="640" w:firstLineChars="200"/>
        <w:rPr>
          <w:rFonts w:ascii="仿宋_GB2312" w:eastAsia="仿宋_GB2312"/>
          <w:sz w:val="32"/>
          <w:szCs w:val="32"/>
        </w:rPr>
      </w:pPr>
      <w:r>
        <w:rPr>
          <w:rFonts w:hint="eastAsia" w:ascii="仿宋_GB2312" w:eastAsia="仿宋_GB2312"/>
          <w:sz w:val="32"/>
          <w:szCs w:val="32"/>
        </w:rPr>
        <w:t>15.负责卫生计生宣传、健康教育、健康促进和信息化建设等工作，依法组织实施统计调查，参与县人口基础信息库建设，根据国家、省、市要求，组织卫生计生对外交流合作与卫生援外工作。</w:t>
      </w:r>
    </w:p>
    <w:p w14:paraId="097E8761">
      <w:pPr>
        <w:spacing w:line="600" w:lineRule="exact"/>
        <w:ind w:firstLine="640" w:firstLineChars="200"/>
        <w:rPr>
          <w:rFonts w:ascii="仿宋_GB2312" w:eastAsia="仿宋_GB2312"/>
          <w:sz w:val="32"/>
          <w:szCs w:val="32"/>
        </w:rPr>
      </w:pPr>
      <w:r>
        <w:rPr>
          <w:rFonts w:hint="eastAsia" w:ascii="仿宋_GB2312" w:eastAsia="仿宋_GB2312"/>
          <w:sz w:val="32"/>
          <w:szCs w:val="32"/>
        </w:rPr>
        <w:t>16.承担县爱国卫生运动委员会、县地方病防治领导小组、县防治艾滋病工作委员会的日常工作，负责全县干部知识分子健康保健工作领导小组确定的保健对象的医疗保健工作，负责县重大活动与重要会议的医疗卫生保障工作。</w:t>
      </w:r>
    </w:p>
    <w:p w14:paraId="5D2D7400">
      <w:pPr>
        <w:spacing w:line="600" w:lineRule="exact"/>
        <w:ind w:firstLine="640" w:firstLineChars="200"/>
        <w:rPr>
          <w:rFonts w:ascii="仿宋_GB2312" w:eastAsia="仿宋_GB2312"/>
          <w:sz w:val="32"/>
          <w:szCs w:val="32"/>
        </w:rPr>
      </w:pPr>
      <w:r>
        <w:rPr>
          <w:rFonts w:hint="eastAsia" w:ascii="仿宋_GB2312" w:eastAsia="仿宋_GB2312"/>
          <w:sz w:val="32"/>
          <w:szCs w:val="32"/>
        </w:rPr>
        <w:t>17.承担县政府公布的有关行政审批事项。</w:t>
      </w:r>
    </w:p>
    <w:p w14:paraId="7B77832D">
      <w:pPr>
        <w:numPr>
          <w:ilvl w:val="0"/>
          <w:numId w:val="0"/>
        </w:numPr>
        <w:ind w:firstLine="640" w:firstLineChars="200"/>
      </w:pPr>
      <w:r>
        <w:rPr>
          <w:rFonts w:hint="eastAsia" w:ascii="仿宋_GB2312" w:eastAsia="仿宋_GB2312"/>
          <w:sz w:val="32"/>
          <w:szCs w:val="32"/>
        </w:rPr>
        <w:t>18.承办县政府交办的其他事项。</w:t>
      </w:r>
    </w:p>
    <w:p w14:paraId="7B99121E">
      <w:pPr>
        <w:pStyle w:val="4"/>
        <w:rPr>
          <w:rStyle w:val="30"/>
          <w:rFonts w:hint="eastAsia" w:ascii="Times New Roman" w:hAnsi="Times New Roman" w:eastAsia="黑体"/>
          <w:b w:val="0"/>
          <w:bCs w:val="0"/>
        </w:rPr>
      </w:pPr>
      <w:bookmarkStart w:id="10" w:name="_Toc15396601"/>
      <w:bookmarkStart w:id="11" w:name="_Toc314582770"/>
      <w:bookmarkStart w:id="12" w:name="_Toc15377200"/>
      <w:r>
        <w:rPr>
          <w:rFonts w:hint="eastAsia" w:ascii="Times New Roman" w:hAnsi="Times New Roman" w:eastAsia="黑体"/>
          <w:b w:val="0"/>
        </w:rPr>
        <w:t>二、机</w:t>
      </w:r>
      <w:r>
        <w:rPr>
          <w:rStyle w:val="30"/>
          <w:rFonts w:hint="eastAsia" w:ascii="Times New Roman" w:hAnsi="Times New Roman" w:eastAsia="黑体"/>
          <w:b w:val="0"/>
          <w:bCs w:val="0"/>
        </w:rPr>
        <w:t>构设置</w:t>
      </w:r>
      <w:bookmarkEnd w:id="10"/>
      <w:bookmarkEnd w:id="11"/>
      <w:bookmarkEnd w:id="12"/>
    </w:p>
    <w:p w14:paraId="24F5BFA3">
      <w:pPr>
        <w:spacing w:line="600" w:lineRule="exact"/>
        <w:ind w:firstLine="640" w:firstLineChars="200"/>
        <w:rPr>
          <w:rFonts w:ascii="仿宋_GB2312" w:eastAsia="仿宋_GB2312"/>
          <w:sz w:val="32"/>
          <w:szCs w:val="32"/>
        </w:rPr>
      </w:pPr>
      <w:r>
        <w:rPr>
          <w:rFonts w:ascii="仿宋_GB2312" w:eastAsia="仿宋_GB2312"/>
          <w:sz w:val="32"/>
          <w:szCs w:val="32"/>
        </w:rPr>
        <w:t>盐边县卫生健康局下属非独立核算单位2个，参照公务员法管理的事业单位1个，其他事业单位1个。主要包括：盐边县老龄健康服务中心、盐边县基层卫生发展促进中心（盐边县中医药传承创新发展中心）。</w:t>
      </w:r>
    </w:p>
    <w:p w14:paraId="252464DF">
      <w:pPr>
        <w:ind w:firstLine="640" w:firstLineChars="200"/>
      </w:pPr>
      <w:r>
        <w:rPr>
          <w:rFonts w:ascii="仿宋_GB2312" w:eastAsia="仿宋_GB2312"/>
          <w:sz w:val="32"/>
          <w:szCs w:val="32"/>
        </w:rPr>
        <w:t>盐边县卫生健康局内设8个行政股室，分别是局机关内设办公室（政策法规股）、医政执法监督股（医改办）、基层卫生和妇幼健康股（卫生应急办公室）、人口监测与家庭发展股、疾病预防控制股（爱国卫生办公室）、健康服务业发展股、人事与科教股和规划财务审计股。</w:t>
      </w:r>
    </w:p>
    <w:p w14:paraId="3A5A14E6">
      <w:pPr>
        <w:rPr>
          <w:rFonts w:eastAsia="黑体"/>
        </w:rPr>
      </w:pPr>
    </w:p>
    <w:p w14:paraId="3B5FF096">
      <w:pPr>
        <w:ind w:firstLine="800" w:firstLineChars="250"/>
        <w:rPr>
          <w:rFonts w:eastAsia="仿宋_GB2312" w:cs="仿宋_GB2312"/>
          <w:sz w:val="32"/>
          <w:szCs w:val="32"/>
        </w:rPr>
      </w:pPr>
    </w:p>
    <w:p w14:paraId="6CA85F4C">
      <w:pPr>
        <w:pStyle w:val="14"/>
      </w:pPr>
    </w:p>
    <w:p w14:paraId="6D8DCE9A">
      <w:pPr>
        <w:pStyle w:val="8"/>
        <w:ind w:left="420"/>
      </w:pPr>
    </w:p>
    <w:p w14:paraId="34A359C1">
      <w:pPr>
        <w:pStyle w:val="8"/>
        <w:ind w:left="420"/>
      </w:pPr>
    </w:p>
    <w:p w14:paraId="6808DA7A">
      <w:pPr>
        <w:pStyle w:val="8"/>
        <w:ind w:left="0" w:leftChars="0" w:firstLine="0" w:firstLineChars="0"/>
      </w:pPr>
    </w:p>
    <w:p w14:paraId="22286DC6">
      <w:pPr>
        <w:pStyle w:val="3"/>
        <w:jc w:val="center"/>
        <w:rPr>
          <w:rFonts w:eastAsia="方正小标宋简体" w:cs="方正小标宋简体"/>
          <w:b w:val="0"/>
        </w:rPr>
      </w:pPr>
      <w:bookmarkStart w:id="13" w:name="_Toc15396602"/>
      <w:bookmarkStart w:id="14" w:name="_Toc15377204"/>
      <w:bookmarkStart w:id="15" w:name="_Toc1414689068"/>
      <w:r>
        <w:rPr>
          <w:rFonts w:hint="eastAsia" w:eastAsia="方正小标宋简体" w:cs="方正小标宋简体"/>
          <w:b w:val="0"/>
        </w:rPr>
        <w:t>第二部分  2024年度部门决算情况说明</w:t>
      </w:r>
      <w:bookmarkEnd w:id="13"/>
      <w:bookmarkEnd w:id="14"/>
      <w:bookmarkEnd w:id="15"/>
    </w:p>
    <w:p w14:paraId="6AE2AC1C"/>
    <w:p w14:paraId="43EFC3AC">
      <w:pPr>
        <w:pStyle w:val="28"/>
        <w:spacing w:line="600" w:lineRule="exact"/>
        <w:ind w:firstLine="640"/>
        <w:outlineLvl w:val="1"/>
        <w:rPr>
          <w:rStyle w:val="30"/>
          <w:rFonts w:ascii="Times New Roman" w:hAnsi="Times New Roman" w:eastAsia="黑体"/>
          <w:b w:val="0"/>
        </w:rPr>
      </w:pPr>
      <w:bookmarkStart w:id="16" w:name="_Toc1364819168"/>
      <w:bookmarkStart w:id="17" w:name="_Toc15396603"/>
      <w:bookmarkStart w:id="18" w:name="_Toc15377205"/>
      <w:r>
        <w:rPr>
          <w:rFonts w:hint="eastAsia" w:eastAsia="黑体"/>
          <w:sz w:val="32"/>
          <w:szCs w:val="32"/>
        </w:rPr>
        <w:t>一、收</w:t>
      </w:r>
      <w:r>
        <w:rPr>
          <w:rStyle w:val="30"/>
          <w:rFonts w:hint="eastAsia" w:ascii="Times New Roman" w:hAnsi="Times New Roman" w:eastAsia="黑体"/>
          <w:b w:val="0"/>
        </w:rPr>
        <w:t>入支出决算总体情况说明</w:t>
      </w:r>
      <w:bookmarkEnd w:id="16"/>
      <w:bookmarkEnd w:id="17"/>
      <w:bookmarkEnd w:id="18"/>
    </w:p>
    <w:p w14:paraId="74E8EA33">
      <w:pPr>
        <w:pStyle w:val="28"/>
        <w:spacing w:line="600" w:lineRule="exact"/>
        <w:ind w:firstLine="640"/>
        <w:outlineLvl w:val="1"/>
        <w:rPr>
          <w:rFonts w:hint="default" w:eastAsia="仿宋_GB2312" w:cs="仿宋_GB2312"/>
          <w:sz w:val="32"/>
          <w:szCs w:val="32"/>
          <w:lang w:val="en-US" w:eastAsia="zh-CN"/>
        </w:rPr>
      </w:pPr>
      <w:bookmarkStart w:id="19" w:name="_Toc1184081290"/>
      <w:r>
        <w:rPr>
          <w:rFonts w:hint="default" w:eastAsia="仿宋_GB2312" w:cs="仿宋_GB2312"/>
          <w:sz w:val="32"/>
          <w:szCs w:val="32"/>
          <w:lang w:val="en-US" w:eastAsia="zh-CN"/>
        </w:rPr>
        <w:drawing>
          <wp:anchor distT="0" distB="0" distL="114300" distR="114300" simplePos="0" relativeHeight="251660288" behindDoc="0" locked="0" layoutInCell="1" allowOverlap="1">
            <wp:simplePos x="0" y="0"/>
            <wp:positionH relativeFrom="column">
              <wp:posOffset>164465</wp:posOffset>
            </wp:positionH>
            <wp:positionV relativeFrom="paragraph">
              <wp:posOffset>2186305</wp:posOffset>
            </wp:positionV>
            <wp:extent cx="5256530" cy="2988310"/>
            <wp:effectExtent l="5080" t="4445" r="15240" b="17145"/>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eastAsia="仿宋_GB2312" w:cs="仿宋_GB2312"/>
          <w:sz w:val="32"/>
          <w:szCs w:val="32"/>
        </w:rPr>
        <w:t>2024年度收入、支出总计均为</w:t>
      </w:r>
      <w:r>
        <w:rPr>
          <w:rFonts w:hint="eastAsia" w:eastAsia="仿宋_GB2312" w:cs="仿宋_GB2312"/>
          <w:sz w:val="32"/>
          <w:szCs w:val="32"/>
          <w:lang w:val="en-US" w:eastAsia="zh-CN"/>
        </w:rPr>
        <w:t>9815.47</w:t>
      </w:r>
      <w:r>
        <w:rPr>
          <w:rFonts w:hint="eastAsia" w:eastAsia="仿宋_GB2312" w:cs="仿宋_GB2312"/>
          <w:sz w:val="32"/>
          <w:szCs w:val="32"/>
        </w:rPr>
        <w:t>万元。与2023年度相比，收入、支出总计各增加</w:t>
      </w:r>
      <w:r>
        <w:rPr>
          <w:rFonts w:hint="eastAsia" w:eastAsia="仿宋_GB2312" w:cs="仿宋_GB2312"/>
          <w:sz w:val="32"/>
          <w:szCs w:val="32"/>
          <w:lang w:val="en-US" w:eastAsia="zh-CN"/>
        </w:rPr>
        <w:t>2556.63</w:t>
      </w:r>
      <w:r>
        <w:rPr>
          <w:rFonts w:hint="eastAsia" w:eastAsia="仿宋_GB2312" w:cs="仿宋_GB2312"/>
          <w:sz w:val="32"/>
          <w:szCs w:val="32"/>
        </w:rPr>
        <w:t>万元，增长</w:t>
      </w:r>
      <w:r>
        <w:rPr>
          <w:rFonts w:hint="eastAsia" w:eastAsia="仿宋_GB2312" w:cs="仿宋_GB2312"/>
          <w:sz w:val="32"/>
          <w:szCs w:val="32"/>
          <w:lang w:val="en-US" w:eastAsia="zh-CN"/>
        </w:rPr>
        <w:t>35.22</w:t>
      </w:r>
      <w:r>
        <w:rPr>
          <w:rFonts w:hint="eastAsia" w:eastAsia="仿宋_GB2312" w:cs="仿宋_GB2312"/>
          <w:sz w:val="32"/>
          <w:szCs w:val="32"/>
        </w:rPr>
        <w:t>%。主要变动原因是</w:t>
      </w:r>
      <w:r>
        <w:rPr>
          <w:rFonts w:hint="eastAsia" w:eastAsia="仿宋_GB2312" w:cs="仿宋_GB2312"/>
          <w:sz w:val="32"/>
          <w:szCs w:val="32"/>
          <w:lang w:val="en-US" w:eastAsia="zh-CN"/>
        </w:rPr>
        <w:t>2024年</w:t>
      </w:r>
      <w:r>
        <w:rPr>
          <w:rFonts w:hint="eastAsia" w:eastAsia="仿宋_GB2312" w:cs="仿宋_GB2312"/>
          <w:sz w:val="32"/>
          <w:szCs w:val="32"/>
        </w:rPr>
        <w:t>政府性基金预算财政拨款收入</w:t>
      </w:r>
      <w:r>
        <w:rPr>
          <w:rFonts w:hint="eastAsia" w:eastAsia="仿宋_GB2312" w:cs="仿宋_GB2312"/>
          <w:sz w:val="32"/>
          <w:szCs w:val="32"/>
          <w:lang w:eastAsia="zh-CN"/>
        </w:rPr>
        <w:t>（盐边第二人民医院二期建设项目）增加</w:t>
      </w:r>
      <w:r>
        <w:rPr>
          <w:rFonts w:hint="eastAsia" w:eastAsia="仿宋_GB2312" w:cs="仿宋_GB2312"/>
          <w:sz w:val="32"/>
          <w:szCs w:val="32"/>
          <w:lang w:val="en-US" w:eastAsia="zh-CN"/>
        </w:rPr>
        <w:t>2023.6万元，2024年市级资金增加511.98万元。</w:t>
      </w:r>
      <w:bookmarkEnd w:id="19"/>
    </w:p>
    <w:p w14:paraId="1CEBD19A">
      <w:pPr>
        <w:jc w:val="center"/>
        <w:rPr>
          <w:rFonts w:eastAsia="仿宋_GB2312" w:cs="仿宋_GB2312"/>
          <w:sz w:val="32"/>
          <w:szCs w:val="32"/>
        </w:rPr>
      </w:pPr>
      <w:r>
        <w:rPr>
          <w:rFonts w:hint="eastAsia" w:eastAsia="仿宋_GB2312" w:cs="仿宋_GB2312"/>
          <w:sz w:val="32"/>
          <w:szCs w:val="32"/>
        </w:rPr>
        <w:t>（图1：收入、支出决算总计变动情况图）</w:t>
      </w:r>
    </w:p>
    <w:p w14:paraId="13F906B9">
      <w:pPr>
        <w:pStyle w:val="28"/>
        <w:spacing w:line="600" w:lineRule="exact"/>
        <w:ind w:firstLine="640"/>
        <w:outlineLvl w:val="1"/>
        <w:rPr>
          <w:rFonts w:eastAsia="黑体"/>
          <w:sz w:val="32"/>
          <w:szCs w:val="32"/>
        </w:rPr>
      </w:pPr>
      <w:bookmarkStart w:id="20" w:name="_Toc15377206"/>
      <w:bookmarkStart w:id="21" w:name="_Toc15396604"/>
      <w:bookmarkStart w:id="22" w:name="_Toc1544037252"/>
      <w:r>
        <w:rPr>
          <w:rFonts w:hint="eastAsia" w:eastAsia="黑体"/>
          <w:sz w:val="32"/>
          <w:szCs w:val="32"/>
        </w:rPr>
        <w:t>二、收入决算情况说明</w:t>
      </w:r>
      <w:bookmarkEnd w:id="20"/>
      <w:bookmarkEnd w:id="21"/>
      <w:bookmarkEnd w:id="22"/>
    </w:p>
    <w:p w14:paraId="00E909E6">
      <w:pPr>
        <w:pStyle w:val="28"/>
        <w:spacing w:line="600" w:lineRule="exact"/>
        <w:ind w:firstLine="640"/>
        <w:jc w:val="left"/>
        <w:outlineLvl w:val="1"/>
        <w:rPr>
          <w:rFonts w:hint="eastAsia" w:eastAsia="仿宋_GB2312" w:cs="仿宋_GB2312"/>
          <w:sz w:val="32"/>
          <w:szCs w:val="32"/>
        </w:rPr>
      </w:pPr>
      <w:bookmarkStart w:id="23" w:name="_Toc1416782894"/>
      <w:r>
        <w:rPr>
          <w:rFonts w:hint="eastAsia" w:ascii="仿宋_GB2312" w:hAnsi="仿宋_GB2312" w:eastAsia="仿宋_GB2312" w:cs="仿宋_GB2312"/>
          <w:sz w:val="32"/>
          <w:szCs w:val="32"/>
        </w:rPr>
        <w:t>2024年度本年收入合计</w:t>
      </w:r>
      <w:r>
        <w:rPr>
          <w:rFonts w:hint="eastAsia" w:ascii="仿宋_GB2312" w:hAnsi="仿宋_GB2312" w:eastAsia="仿宋_GB2312" w:cs="仿宋_GB2312"/>
          <w:sz w:val="32"/>
          <w:szCs w:val="32"/>
          <w:lang w:val="en-US" w:eastAsia="zh-CN"/>
        </w:rPr>
        <w:t>9815.47</w:t>
      </w:r>
      <w:r>
        <w:rPr>
          <w:rFonts w:hint="eastAsia" w:ascii="仿宋_GB2312" w:hAnsi="仿宋_GB2312" w:eastAsia="仿宋_GB2312" w:cs="仿宋_GB2312"/>
          <w:sz w:val="32"/>
          <w:szCs w:val="32"/>
        </w:rPr>
        <w:t>万元，其中：一般公共预算财政拨款收入</w:t>
      </w:r>
      <w:r>
        <w:rPr>
          <w:rFonts w:hint="eastAsia" w:ascii="仿宋_GB2312" w:hAnsi="仿宋_GB2312" w:eastAsia="仿宋_GB2312" w:cs="仿宋_GB2312"/>
          <w:sz w:val="32"/>
          <w:szCs w:val="32"/>
          <w:lang w:val="en-US" w:eastAsia="zh-CN"/>
        </w:rPr>
        <w:t>2279.89</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23.23</w:t>
      </w:r>
      <w:r>
        <w:rPr>
          <w:rFonts w:hint="eastAsia" w:ascii="仿宋_GB2312" w:hAnsi="仿宋_GB2312" w:eastAsia="仿宋_GB2312" w:cs="仿宋_GB2312"/>
          <w:sz w:val="32"/>
          <w:szCs w:val="32"/>
        </w:rPr>
        <w:t>%；政府性基金预</w:t>
      </w:r>
      <w:r>
        <w:rPr>
          <w:rFonts w:hint="eastAsia" w:ascii="仿宋_GB2312" w:hAnsi="仿宋_GB2312" w:eastAsia="仿宋_GB2312" w:cs="仿宋_GB2312"/>
          <w:sz w:val="32"/>
          <w:szCs w:val="32"/>
          <w:lang w:eastAsia="zh-CN"/>
        </w:rPr>
        <w:drawing>
          <wp:anchor distT="0" distB="0" distL="114300" distR="114300" simplePos="0" relativeHeight="251661312" behindDoc="0" locked="0" layoutInCell="1" allowOverlap="1">
            <wp:simplePos x="0" y="0"/>
            <wp:positionH relativeFrom="column">
              <wp:posOffset>47625</wp:posOffset>
            </wp:positionH>
            <wp:positionV relativeFrom="paragraph">
              <wp:posOffset>890905</wp:posOffset>
            </wp:positionV>
            <wp:extent cx="5256530" cy="2806700"/>
            <wp:effectExtent l="4445" t="4445" r="15875" b="8255"/>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_GB2312" w:hAnsi="仿宋_GB2312" w:eastAsia="仿宋_GB2312" w:cs="仿宋_GB2312"/>
          <w:sz w:val="32"/>
          <w:szCs w:val="32"/>
        </w:rPr>
        <w:t>算财政拨款收入</w:t>
      </w:r>
      <w:r>
        <w:rPr>
          <w:rFonts w:hint="eastAsia" w:ascii="仿宋_GB2312" w:hAnsi="仿宋_GB2312" w:eastAsia="仿宋_GB2312" w:cs="仿宋_GB2312"/>
          <w:sz w:val="32"/>
          <w:szCs w:val="32"/>
          <w:lang w:val="en-US" w:eastAsia="zh-CN"/>
        </w:rPr>
        <w:t>7023.60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71.56</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511.98</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5.21</w:t>
      </w:r>
      <w:r>
        <w:rPr>
          <w:rFonts w:hint="eastAsia" w:ascii="仿宋_GB2312" w:hAnsi="仿宋_GB2312" w:eastAsia="仿宋_GB2312" w:cs="仿宋_GB2312"/>
          <w:sz w:val="32"/>
          <w:szCs w:val="32"/>
        </w:rPr>
        <w:t>%。</w:t>
      </w:r>
      <w:bookmarkEnd w:id="23"/>
    </w:p>
    <w:p w14:paraId="0645E67F">
      <w:pPr>
        <w:jc w:val="center"/>
        <w:rPr>
          <w:rFonts w:hint="eastAsia" w:eastAsia="仿宋_GB2312" w:cs="仿宋_GB2312"/>
          <w:sz w:val="32"/>
          <w:szCs w:val="32"/>
        </w:rPr>
      </w:pPr>
      <w:r>
        <w:rPr>
          <w:rFonts w:hint="eastAsia" w:eastAsia="仿宋_GB2312" w:cs="仿宋_GB2312"/>
          <w:sz w:val="32"/>
          <w:szCs w:val="32"/>
        </w:rPr>
        <w:t>（图2：收入决算结构图）</w:t>
      </w:r>
    </w:p>
    <w:p w14:paraId="7E20FF4A">
      <w:pPr>
        <w:pStyle w:val="2"/>
      </w:pPr>
    </w:p>
    <w:p w14:paraId="04725B94">
      <w:pPr>
        <w:pStyle w:val="28"/>
        <w:spacing w:line="600" w:lineRule="exact"/>
        <w:ind w:firstLine="640"/>
        <w:outlineLvl w:val="1"/>
        <w:rPr>
          <w:rStyle w:val="30"/>
          <w:rFonts w:ascii="Times New Roman" w:hAnsi="Times New Roman" w:eastAsia="黑体"/>
          <w:b w:val="0"/>
        </w:rPr>
      </w:pPr>
      <w:bookmarkStart w:id="24" w:name="_Toc1553392438"/>
      <w:bookmarkStart w:id="25" w:name="_Toc15396605"/>
      <w:bookmarkStart w:id="26" w:name="_Toc15377207"/>
      <w:r>
        <w:rPr>
          <w:rFonts w:hint="eastAsia" w:eastAsia="黑体"/>
          <w:sz w:val="32"/>
          <w:szCs w:val="32"/>
        </w:rPr>
        <w:t>三、支</w:t>
      </w:r>
      <w:r>
        <w:rPr>
          <w:rStyle w:val="30"/>
          <w:rFonts w:hint="eastAsia" w:ascii="Times New Roman" w:hAnsi="Times New Roman" w:eastAsia="黑体"/>
          <w:b w:val="0"/>
        </w:rPr>
        <w:t>出决算情况说明</w:t>
      </w:r>
      <w:bookmarkEnd w:id="24"/>
      <w:bookmarkEnd w:id="25"/>
      <w:bookmarkEnd w:id="26"/>
    </w:p>
    <w:p w14:paraId="1991088C">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2024年度本年支出合计</w:t>
      </w:r>
      <w:r>
        <w:rPr>
          <w:rFonts w:hint="eastAsia" w:ascii="仿宋_GB2312" w:hAnsi="仿宋_GB2312" w:eastAsia="仿宋_GB2312" w:cs="仿宋_GB2312"/>
          <w:sz w:val="32"/>
          <w:szCs w:val="32"/>
          <w:lang w:val="en-US" w:eastAsia="zh-CN"/>
        </w:rPr>
        <w:t>9801.78</w:t>
      </w:r>
      <w:r>
        <w:rPr>
          <w:rFonts w:hint="eastAsia" w:ascii="仿宋_GB2312" w:hAnsi="仿宋_GB2312" w:eastAsia="仿宋_GB2312" w:cs="仿宋_GB2312"/>
          <w:sz w:val="32"/>
          <w:szCs w:val="32"/>
        </w:rPr>
        <w:t>万元，其中：基本支出638.62万元，占</w:t>
      </w:r>
      <w:r>
        <w:rPr>
          <w:rFonts w:hint="eastAsia" w:ascii="仿宋_GB2312" w:hAnsi="仿宋_GB2312" w:eastAsia="仿宋_GB2312" w:cs="仿宋_GB2312"/>
          <w:sz w:val="32"/>
          <w:szCs w:val="32"/>
          <w:lang w:val="en-US" w:eastAsia="zh-CN"/>
        </w:rPr>
        <w:t>6.51</w:t>
      </w:r>
      <w:r>
        <w:rPr>
          <w:rFonts w:hint="eastAsia" w:ascii="仿宋_GB2312" w:hAnsi="仿宋_GB2312" w:eastAsia="仿宋_GB2312" w:cs="仿宋_GB2312"/>
          <w:sz w:val="32"/>
          <w:szCs w:val="32"/>
        </w:rPr>
        <w:t>%；项目支出</w:t>
      </w:r>
      <w:r>
        <w:rPr>
          <w:rFonts w:hint="default" w:ascii="仿宋_GB2312" w:hAnsi="Times New Roman" w:eastAsia="仿宋_GB2312" w:cs="仿宋_GB2312"/>
          <w:kern w:val="2"/>
          <w:sz w:val="32"/>
          <w:szCs w:val="32"/>
          <w:lang w:val="en-US" w:eastAsia="zh-CN" w:bidi="ar"/>
        </w:rPr>
        <w:t>9,163.16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93.49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14:paraId="082ED14E">
      <w:pPr>
        <w:pStyle w:val="2"/>
        <w:rPr>
          <w:rFonts w:hint="eastAsia"/>
          <w:lang w:eastAsia="zh-CN"/>
        </w:rPr>
      </w:pPr>
      <w:r>
        <w:rPr>
          <w:rFonts w:hint="eastAsia"/>
          <w:lang w:eastAsia="zh-CN"/>
        </w:rPr>
        <w:drawing>
          <wp:inline distT="0" distB="0" distL="114300" distR="114300">
            <wp:extent cx="5256530" cy="2618105"/>
            <wp:effectExtent l="4445" t="4445" r="15875" b="635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0C94225">
      <w:pPr>
        <w:ind w:firstLine="800" w:firstLineChars="250"/>
        <w:jc w:val="center"/>
        <w:rPr>
          <w:rFonts w:eastAsia="仿宋_GB2312" w:cs="仿宋_GB2312"/>
          <w:sz w:val="32"/>
          <w:szCs w:val="32"/>
        </w:rPr>
      </w:pPr>
      <w:r>
        <w:rPr>
          <w:rFonts w:hint="eastAsia" w:eastAsia="仿宋_GB2312" w:cs="仿宋_GB2312"/>
          <w:sz w:val="32"/>
          <w:szCs w:val="32"/>
        </w:rPr>
        <w:t>（图3：支出决算结构图）</w:t>
      </w:r>
    </w:p>
    <w:p w14:paraId="07B2C8C4">
      <w:pPr>
        <w:spacing w:line="600" w:lineRule="exact"/>
        <w:ind w:firstLine="640" w:firstLineChars="200"/>
        <w:outlineLvl w:val="1"/>
        <w:rPr>
          <w:rStyle w:val="30"/>
          <w:rFonts w:ascii="Times New Roman" w:hAnsi="Times New Roman" w:eastAsia="黑体"/>
          <w:b w:val="0"/>
        </w:rPr>
      </w:pPr>
      <w:bookmarkStart w:id="27" w:name="_Toc1807123779"/>
      <w:bookmarkStart w:id="28" w:name="_Toc15377208"/>
      <w:bookmarkStart w:id="29" w:name="_Toc15396606"/>
      <w:r>
        <w:rPr>
          <w:rFonts w:hint="eastAsia" w:eastAsia="黑体"/>
          <w:sz w:val="32"/>
          <w:szCs w:val="32"/>
        </w:rPr>
        <w:t>四、财</w:t>
      </w:r>
      <w:r>
        <w:rPr>
          <w:rStyle w:val="30"/>
          <w:rFonts w:hint="eastAsia" w:ascii="Times New Roman" w:hAnsi="Times New Roman" w:eastAsia="黑体"/>
          <w:b w:val="0"/>
        </w:rPr>
        <w:t>政拨款收入支出决算总体情况说明</w:t>
      </w:r>
      <w:bookmarkEnd w:id="27"/>
      <w:bookmarkEnd w:id="28"/>
      <w:bookmarkEnd w:id="29"/>
    </w:p>
    <w:p w14:paraId="3B2F381B">
      <w:pPr>
        <w:keepNext w:val="0"/>
        <w:keepLines w:val="0"/>
        <w:widowControl w:val="0"/>
        <w:suppressLineNumbers w:val="0"/>
        <w:spacing w:before="0" w:beforeAutospacing="0" w:after="0" w:afterAutospacing="0"/>
        <w:ind w:left="0" w:right="0" w:firstLine="640" w:firstLineChars="200"/>
        <w:jc w:val="both"/>
        <w:rPr>
          <w:rFonts w:hint="eastAsia" w:eastAsia="仿宋_GB2312" w:cs="仿宋_GB2312"/>
          <w:sz w:val="32"/>
          <w:szCs w:val="32"/>
          <w:lang w:eastAsia="zh-CN"/>
        </w:rPr>
      </w:pPr>
      <w:r>
        <w:rPr>
          <w:rFonts w:hint="default" w:eastAsia="仿宋_GB2312" w:cs="仿宋_GB2312"/>
          <w:sz w:val="32"/>
          <w:szCs w:val="32"/>
          <w:lang w:val="en-US" w:eastAsia="zh-CN"/>
        </w:rPr>
        <w:drawing>
          <wp:anchor distT="0" distB="0" distL="114300" distR="114300" simplePos="0" relativeHeight="251662336" behindDoc="0" locked="0" layoutInCell="1" allowOverlap="1">
            <wp:simplePos x="0" y="0"/>
            <wp:positionH relativeFrom="column">
              <wp:posOffset>13335</wp:posOffset>
            </wp:positionH>
            <wp:positionV relativeFrom="paragraph">
              <wp:posOffset>2096135</wp:posOffset>
            </wp:positionV>
            <wp:extent cx="5256530" cy="2988310"/>
            <wp:effectExtent l="5080" t="4445" r="15240" b="17145"/>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eastAsia="仿宋_GB2312" w:cs="仿宋_GB2312"/>
          <w:sz w:val="32"/>
          <w:szCs w:val="32"/>
        </w:rPr>
        <w:t>2024年度财政拨款收入、支出总计均为</w:t>
      </w:r>
      <w:r>
        <w:rPr>
          <w:rFonts w:hint="eastAsia" w:ascii="仿宋_GB2312" w:hAnsi="仿宋_GB2312" w:eastAsia="仿宋_GB2312" w:cs="仿宋_GB2312"/>
          <w:sz w:val="32"/>
          <w:szCs w:val="32"/>
          <w:lang w:val="en-US" w:eastAsia="zh-CN"/>
        </w:rPr>
        <w:t>9303.49</w:t>
      </w:r>
      <w:r>
        <w:rPr>
          <w:rFonts w:hint="eastAsia" w:eastAsia="仿宋_GB2312" w:cs="仿宋_GB2312"/>
          <w:sz w:val="32"/>
          <w:szCs w:val="32"/>
        </w:rPr>
        <w:t>万元。与2023年度相比，财政拨款收入总计、支出总计各增加</w:t>
      </w:r>
      <w:r>
        <w:rPr>
          <w:rFonts w:hint="eastAsia" w:ascii="方正仿宋_GBK" w:hAnsi="方正仿宋_GBK" w:eastAsia="方正仿宋_GBK" w:cs="方正仿宋_GBK"/>
          <w:b w:val="0"/>
          <w:bCs w:val="0"/>
          <w:sz w:val="32"/>
          <w:szCs w:val="32"/>
          <w:lang w:val="en-US" w:eastAsia="zh-CN"/>
        </w:rPr>
        <w:t>2044.65</w:t>
      </w:r>
      <w:r>
        <w:rPr>
          <w:rFonts w:hint="eastAsia" w:eastAsia="仿宋_GB2312" w:cs="仿宋_GB2312"/>
          <w:sz w:val="32"/>
          <w:szCs w:val="32"/>
        </w:rPr>
        <w:t>万元，增长</w:t>
      </w:r>
      <w:r>
        <w:rPr>
          <w:rFonts w:hint="eastAsia" w:eastAsia="仿宋_GB2312" w:cs="仿宋_GB2312"/>
          <w:sz w:val="32"/>
          <w:szCs w:val="32"/>
          <w:lang w:val="en-US" w:eastAsia="zh-CN"/>
        </w:rPr>
        <w:t>28.17</w:t>
      </w:r>
      <w:r>
        <w:rPr>
          <w:rFonts w:hint="eastAsia" w:eastAsia="仿宋_GB2312" w:cs="仿宋_GB2312"/>
          <w:sz w:val="32"/>
          <w:szCs w:val="32"/>
        </w:rPr>
        <w:t>%。主要变动原因是</w:t>
      </w:r>
      <w:r>
        <w:rPr>
          <w:rFonts w:hint="default" w:ascii="仿宋_GB2312" w:hAnsi="Times New Roman" w:eastAsia="仿宋_GB2312" w:cs="仿宋_GB2312"/>
          <w:kern w:val="2"/>
          <w:sz w:val="32"/>
          <w:szCs w:val="32"/>
          <w:lang w:val="en-US" w:eastAsia="zh-CN" w:bidi="ar"/>
        </w:rPr>
        <w:t>盐边第二人民医院二期建设项目</w:t>
      </w:r>
      <w:r>
        <w:rPr>
          <w:rFonts w:hint="eastAsia" w:ascii="仿宋_GB2312" w:eastAsia="仿宋_GB2312" w:cs="仿宋_GB2312"/>
          <w:kern w:val="2"/>
          <w:sz w:val="32"/>
          <w:szCs w:val="32"/>
          <w:lang w:val="en-US" w:eastAsia="zh-CN" w:bidi="ar"/>
        </w:rPr>
        <w:t>持续进行中，今年债券资金收入较去年增加。</w:t>
      </w:r>
    </w:p>
    <w:p w14:paraId="746C9599">
      <w:pPr>
        <w:spacing w:line="600" w:lineRule="exact"/>
        <w:ind w:firstLine="640" w:firstLineChars="200"/>
        <w:rPr>
          <w:rFonts w:hint="eastAsia" w:eastAsia="仿宋_GB2312" w:cs="仿宋_GB2312"/>
          <w:sz w:val="32"/>
          <w:szCs w:val="32"/>
        </w:rPr>
      </w:pPr>
    </w:p>
    <w:p w14:paraId="5B44B7F0">
      <w:pPr>
        <w:spacing w:line="600" w:lineRule="exact"/>
        <w:ind w:firstLine="640" w:firstLineChars="200"/>
        <w:rPr>
          <w:rFonts w:hint="eastAsia" w:eastAsia="仿宋_GB2312" w:cs="仿宋_GB2312"/>
          <w:sz w:val="32"/>
          <w:szCs w:val="32"/>
        </w:rPr>
      </w:pPr>
      <w:r>
        <w:rPr>
          <w:rFonts w:hint="eastAsia" w:eastAsia="仿宋_GB2312" w:cs="仿宋_GB2312"/>
          <w:sz w:val="32"/>
          <w:szCs w:val="32"/>
        </w:rPr>
        <w:t>（图4：财政拨款收、支决算总计变动情况）</w:t>
      </w:r>
    </w:p>
    <w:p w14:paraId="71488F35">
      <w:pPr>
        <w:pStyle w:val="2"/>
      </w:pPr>
    </w:p>
    <w:p w14:paraId="70453D3D">
      <w:pPr>
        <w:spacing w:line="600" w:lineRule="exact"/>
        <w:ind w:firstLine="640" w:firstLineChars="200"/>
        <w:outlineLvl w:val="1"/>
        <w:rPr>
          <w:rStyle w:val="30"/>
          <w:rFonts w:ascii="Times New Roman" w:hAnsi="Times New Roman" w:eastAsia="黑体"/>
          <w:b w:val="0"/>
        </w:rPr>
      </w:pPr>
      <w:bookmarkStart w:id="30" w:name="_Toc117540018"/>
      <w:bookmarkStart w:id="31" w:name="_Toc15396607"/>
      <w:bookmarkStart w:id="32" w:name="_Toc15377209"/>
      <w:r>
        <w:rPr>
          <w:rFonts w:hint="eastAsia" w:eastAsia="黑体"/>
          <w:sz w:val="32"/>
          <w:szCs w:val="32"/>
        </w:rPr>
        <w:t>五、</w:t>
      </w:r>
      <w:r>
        <w:rPr>
          <w:rFonts w:hint="eastAsia" w:eastAsia="黑体"/>
          <w:b/>
          <w:sz w:val="32"/>
          <w:szCs w:val="32"/>
        </w:rPr>
        <w:t>一</w:t>
      </w:r>
      <w:r>
        <w:rPr>
          <w:rStyle w:val="30"/>
          <w:rFonts w:hint="eastAsia" w:ascii="Times New Roman" w:hAnsi="Times New Roman" w:eastAsia="黑体"/>
          <w:b w:val="0"/>
        </w:rPr>
        <w:t>般公共预算财政拨款支出决算情况说明</w:t>
      </w:r>
      <w:bookmarkEnd w:id="30"/>
      <w:bookmarkEnd w:id="31"/>
      <w:bookmarkEnd w:id="32"/>
    </w:p>
    <w:p w14:paraId="6FE9371C">
      <w:pPr>
        <w:spacing w:line="600" w:lineRule="exact"/>
        <w:ind w:firstLine="643" w:firstLineChars="200"/>
        <w:outlineLvl w:val="2"/>
        <w:rPr>
          <w:rFonts w:eastAsia="楷体_GB2312" w:cs="楷体_GB2312"/>
          <w:b/>
          <w:sz w:val="32"/>
          <w:szCs w:val="32"/>
        </w:rPr>
      </w:pPr>
      <w:bookmarkStart w:id="33" w:name="_Toc419164286"/>
      <w:bookmarkStart w:id="34" w:name="_Toc15377210"/>
      <w:r>
        <w:rPr>
          <w:rFonts w:hint="eastAsia" w:eastAsia="楷体_GB2312" w:cs="楷体_GB2312"/>
          <w:b/>
          <w:sz w:val="32"/>
          <w:szCs w:val="32"/>
        </w:rPr>
        <w:t>（一）一般公共预算财政拨款支出决算总体情况</w:t>
      </w:r>
      <w:bookmarkEnd w:id="33"/>
      <w:bookmarkEnd w:id="34"/>
    </w:p>
    <w:p w14:paraId="062FA564">
      <w:pPr>
        <w:spacing w:line="60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2024年度一般公共预算财政拨款支出</w:t>
      </w:r>
      <w:r>
        <w:rPr>
          <w:rFonts w:hint="eastAsia" w:ascii="仿宋_GB2312" w:hAnsi="仿宋_GB2312" w:eastAsia="仿宋_GB2312" w:cs="仿宋_GB2312"/>
          <w:sz w:val="32"/>
          <w:szCs w:val="32"/>
          <w:lang w:val="en-US" w:eastAsia="zh-CN"/>
        </w:rPr>
        <w:t>2279.89</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23.23</w:t>
      </w:r>
      <w:r>
        <w:rPr>
          <w:rFonts w:hint="eastAsia" w:ascii="仿宋_GB2312" w:hAnsi="仿宋_GB2312" w:eastAsia="仿宋_GB2312" w:cs="仿宋_GB2312"/>
          <w:sz w:val="32"/>
          <w:szCs w:val="32"/>
        </w:rPr>
        <w:t>%。与2023年度相比，一般公共预算财政拨款支出</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21.05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0.93</w:t>
      </w:r>
      <w:r>
        <w:rPr>
          <w:rFonts w:hint="eastAsia" w:ascii="仿宋_GB2312" w:hAnsi="仿宋_GB2312" w:eastAsia="仿宋_GB2312" w:cs="仿宋_GB2312"/>
          <w:sz w:val="32"/>
          <w:szCs w:val="32"/>
        </w:rPr>
        <w:t>%。主要变动原因是</w:t>
      </w:r>
      <w:r>
        <w:rPr>
          <w:rFonts w:hint="default" w:eastAsia="仿宋_GB2312" w:cs="仿宋_GB2312"/>
          <w:sz w:val="32"/>
          <w:szCs w:val="32"/>
          <w:lang w:val="en-US" w:eastAsia="zh-CN"/>
        </w:rPr>
        <w:drawing>
          <wp:anchor distT="0" distB="0" distL="114300" distR="114300" simplePos="0" relativeHeight="251663360" behindDoc="0" locked="0" layoutInCell="1" allowOverlap="1">
            <wp:simplePos x="0" y="0"/>
            <wp:positionH relativeFrom="column">
              <wp:posOffset>13970</wp:posOffset>
            </wp:positionH>
            <wp:positionV relativeFrom="paragraph">
              <wp:posOffset>640715</wp:posOffset>
            </wp:positionV>
            <wp:extent cx="5256530" cy="2616200"/>
            <wp:effectExtent l="4445" t="4445" r="15875" b="8255"/>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ascii="仿宋_GB2312" w:hAnsi="仿宋_GB2312" w:eastAsia="仿宋_GB2312" w:cs="仿宋_GB2312"/>
          <w:sz w:val="32"/>
          <w:szCs w:val="32"/>
          <w:lang w:eastAsia="zh-CN"/>
        </w:rPr>
        <w:t>人员工资性支出年度正常调增。</w:t>
      </w:r>
    </w:p>
    <w:p w14:paraId="529C64FA">
      <w:pPr>
        <w:pStyle w:val="2"/>
        <w:rPr>
          <w:rFonts w:hint="eastAsia"/>
          <w:lang w:eastAsia="zh-CN"/>
        </w:rPr>
      </w:pPr>
    </w:p>
    <w:p w14:paraId="53CE1F13">
      <w:pPr>
        <w:spacing w:line="600" w:lineRule="exact"/>
        <w:ind w:firstLine="640"/>
        <w:rPr>
          <w:rFonts w:eastAsia="仿宋_GB2312" w:cs="仿宋_GB2312"/>
          <w:sz w:val="32"/>
          <w:szCs w:val="32"/>
        </w:rPr>
      </w:pPr>
      <w:r>
        <w:rPr>
          <w:rFonts w:hint="eastAsia" w:eastAsia="仿宋_GB2312" w:cs="仿宋_GB2312"/>
          <w:sz w:val="32"/>
          <w:szCs w:val="32"/>
        </w:rPr>
        <w:t>（图5：一般公共预算财政拨款支出决算变动情况）</w:t>
      </w:r>
    </w:p>
    <w:p w14:paraId="78088931">
      <w:pPr>
        <w:spacing w:line="600" w:lineRule="exact"/>
        <w:ind w:firstLine="643" w:firstLineChars="200"/>
        <w:outlineLvl w:val="2"/>
        <w:rPr>
          <w:rFonts w:eastAsia="楷体_GB2312" w:cs="楷体_GB2312"/>
          <w:b/>
          <w:sz w:val="32"/>
          <w:szCs w:val="32"/>
        </w:rPr>
      </w:pPr>
      <w:bookmarkStart w:id="35" w:name="_Toc1817490076"/>
      <w:bookmarkStart w:id="36" w:name="_Toc15377211"/>
      <w:r>
        <w:rPr>
          <w:rFonts w:hint="eastAsia" w:eastAsia="楷体_GB2312" w:cs="楷体_GB2312"/>
          <w:b/>
          <w:sz w:val="32"/>
          <w:szCs w:val="32"/>
        </w:rPr>
        <w:t>（二）一般公共预算财政拨款支出决算结构情况</w:t>
      </w:r>
      <w:bookmarkEnd w:id="35"/>
      <w:bookmarkEnd w:id="36"/>
    </w:p>
    <w:p w14:paraId="288465DE">
      <w:pPr>
        <w:spacing w:line="600" w:lineRule="exact"/>
        <w:ind w:firstLine="640"/>
        <w:rPr>
          <w:rFonts w:hint="eastAsia" w:eastAsia="仿宋_GB2312" w:cs="仿宋_GB2312"/>
          <w:sz w:val="32"/>
          <w:szCs w:val="32"/>
          <w:lang w:eastAsia="zh-CN"/>
        </w:rPr>
      </w:pPr>
      <w:r>
        <w:rPr>
          <w:rFonts w:hint="eastAsia" w:eastAsia="仿宋_GB2312" w:cs="仿宋_GB2312"/>
          <w:sz w:val="32"/>
          <w:szCs w:val="32"/>
        </w:rPr>
        <w:t>2024年度一般公共预算财政拨款支出</w:t>
      </w:r>
      <w:r>
        <w:rPr>
          <w:rFonts w:hint="eastAsia" w:ascii="仿宋_GB2312" w:hAnsi="仿宋_GB2312" w:eastAsia="仿宋_GB2312" w:cs="仿宋_GB2312"/>
          <w:b/>
          <w:bCs/>
          <w:sz w:val="32"/>
          <w:szCs w:val="32"/>
          <w:lang w:val="en-US" w:eastAsia="zh-CN"/>
        </w:rPr>
        <w:t>2279.89</w:t>
      </w:r>
      <w:r>
        <w:rPr>
          <w:rFonts w:hint="eastAsia" w:ascii="仿宋_GB2312" w:hAnsi="仿宋_GB2312" w:eastAsia="仿宋_GB2312" w:cs="仿宋_GB2312"/>
          <w:sz w:val="32"/>
          <w:szCs w:val="32"/>
        </w:rPr>
        <w:t>万元</w:t>
      </w:r>
      <w:r>
        <w:rPr>
          <w:rFonts w:hint="eastAsia" w:eastAsia="仿宋_GB2312" w:cs="仿宋_GB2312"/>
          <w:sz w:val="32"/>
          <w:szCs w:val="32"/>
        </w:rPr>
        <w:t>，主要用于以下方面：社会保障和就业支出209.55万元，占</w:t>
      </w:r>
      <w:r>
        <w:rPr>
          <w:rFonts w:hint="eastAsia" w:eastAsia="仿宋_GB2312" w:cs="仿宋_GB2312"/>
          <w:sz w:val="32"/>
          <w:szCs w:val="32"/>
          <w:lang w:val="en-US" w:eastAsia="zh-CN"/>
        </w:rPr>
        <w:t>9.19</w:t>
      </w:r>
      <w:r>
        <w:rPr>
          <w:rFonts w:hint="eastAsia" w:eastAsia="仿宋_GB2312" w:cs="仿宋_GB2312"/>
          <w:sz w:val="32"/>
          <w:szCs w:val="32"/>
        </w:rPr>
        <w:t>%；卫生健康支出</w:t>
      </w:r>
      <w:r>
        <w:rPr>
          <w:rFonts w:hint="eastAsia" w:eastAsia="仿宋_GB2312" w:cs="仿宋_GB2312"/>
          <w:sz w:val="32"/>
          <w:szCs w:val="32"/>
          <w:lang w:val="en-US" w:eastAsia="zh-CN"/>
        </w:rPr>
        <w:t>1840.03</w:t>
      </w:r>
      <w:r>
        <w:rPr>
          <w:rFonts w:hint="eastAsia" w:eastAsia="仿宋_GB2312" w:cs="仿宋_GB2312"/>
          <w:sz w:val="32"/>
          <w:szCs w:val="32"/>
        </w:rPr>
        <w:t>万元，占</w:t>
      </w:r>
      <w:r>
        <w:rPr>
          <w:rFonts w:hint="eastAsia" w:eastAsia="仿宋_GB2312" w:cs="仿宋_GB2312"/>
          <w:sz w:val="32"/>
          <w:szCs w:val="32"/>
          <w:lang w:val="en-US" w:eastAsia="zh-CN"/>
        </w:rPr>
        <w:t>80.71</w:t>
      </w:r>
      <w:r>
        <w:rPr>
          <w:rFonts w:hint="eastAsia" w:eastAsia="仿宋_GB2312" w:cs="仿宋_GB2312"/>
          <w:sz w:val="32"/>
          <w:szCs w:val="32"/>
        </w:rPr>
        <w:t>%；农林水支出196.00万元，占</w:t>
      </w:r>
      <w:r>
        <w:rPr>
          <w:rFonts w:hint="eastAsia" w:eastAsia="仿宋_GB2312" w:cs="仿宋_GB2312"/>
          <w:sz w:val="32"/>
          <w:szCs w:val="32"/>
          <w:lang w:val="en-US" w:eastAsia="zh-CN"/>
        </w:rPr>
        <w:t>8.6</w:t>
      </w:r>
      <w:r>
        <w:rPr>
          <w:rFonts w:hint="eastAsia" w:eastAsia="仿宋_GB2312" w:cs="仿宋_GB2312"/>
          <w:sz w:val="32"/>
          <w:szCs w:val="32"/>
        </w:rPr>
        <w:t>%；住房保障支出34.31万元，占</w:t>
      </w:r>
      <w:r>
        <w:rPr>
          <w:rFonts w:hint="eastAsia" w:eastAsia="仿宋_GB2312" w:cs="仿宋_GB2312"/>
          <w:sz w:val="32"/>
          <w:szCs w:val="32"/>
          <w:lang w:val="en-US" w:eastAsia="zh-CN"/>
        </w:rPr>
        <w:t>1.5</w:t>
      </w:r>
      <w:r>
        <w:rPr>
          <w:rFonts w:hint="eastAsia" w:eastAsia="仿宋_GB2312" w:cs="仿宋_GB2312"/>
          <w:sz w:val="32"/>
          <w:szCs w:val="32"/>
        </w:rPr>
        <w:t>%</w:t>
      </w:r>
      <w:r>
        <w:rPr>
          <w:rFonts w:hint="eastAsia" w:eastAsia="仿宋_GB2312" w:cs="仿宋_GB2312"/>
          <w:sz w:val="32"/>
          <w:szCs w:val="32"/>
          <w:lang w:eastAsia="zh-CN"/>
        </w:rPr>
        <w:t>。</w:t>
      </w:r>
    </w:p>
    <w:p w14:paraId="0F388DB2">
      <w:pPr>
        <w:pStyle w:val="2"/>
        <w:rPr>
          <w:rFonts w:hint="eastAsia"/>
          <w:lang w:eastAsia="zh-CN"/>
        </w:rPr>
      </w:pPr>
      <w:r>
        <w:rPr>
          <w:rFonts w:hint="eastAsia"/>
          <w:lang w:eastAsia="zh-CN"/>
        </w:rPr>
        <w:drawing>
          <wp:anchor distT="0" distB="0" distL="114300" distR="114300" simplePos="0" relativeHeight="251664384" behindDoc="0" locked="0" layoutInCell="1" allowOverlap="1">
            <wp:simplePos x="0" y="0"/>
            <wp:positionH relativeFrom="column">
              <wp:posOffset>100330</wp:posOffset>
            </wp:positionH>
            <wp:positionV relativeFrom="paragraph">
              <wp:posOffset>147955</wp:posOffset>
            </wp:positionV>
            <wp:extent cx="5066665" cy="2141220"/>
            <wp:effectExtent l="5080" t="4445" r="14605" b="6985"/>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14:paraId="3265B30F">
      <w:pPr>
        <w:spacing w:line="600" w:lineRule="exact"/>
        <w:ind w:firstLine="640"/>
        <w:rPr>
          <w:rFonts w:eastAsia="仿宋_GB2312" w:cs="仿宋_GB2312"/>
          <w:sz w:val="32"/>
          <w:szCs w:val="32"/>
        </w:rPr>
      </w:pPr>
      <w:r>
        <w:rPr>
          <w:rFonts w:hint="eastAsia" w:eastAsia="仿宋_GB2312" w:cs="仿宋_GB2312"/>
          <w:sz w:val="32"/>
          <w:szCs w:val="32"/>
        </w:rPr>
        <w:t>（图6：一般公共预算财政拨款支出决算结构）</w:t>
      </w:r>
    </w:p>
    <w:p w14:paraId="66959D6E">
      <w:pPr>
        <w:spacing w:line="600" w:lineRule="exact"/>
        <w:ind w:firstLine="643" w:firstLineChars="200"/>
        <w:outlineLvl w:val="2"/>
        <w:rPr>
          <w:rFonts w:eastAsia="楷体_GB2312" w:cs="楷体_GB2312"/>
          <w:b/>
          <w:sz w:val="32"/>
          <w:szCs w:val="32"/>
        </w:rPr>
      </w:pPr>
      <w:bookmarkStart w:id="37" w:name="_Toc15377212"/>
      <w:bookmarkStart w:id="38" w:name="_Toc2058096540"/>
      <w:r>
        <w:rPr>
          <w:rFonts w:hint="eastAsia" w:eastAsia="楷体_GB2312" w:cs="楷体_GB2312"/>
          <w:b/>
          <w:sz w:val="32"/>
          <w:szCs w:val="32"/>
        </w:rPr>
        <w:t>（三）一般公共预算财政拨款支出决算具体情况</w:t>
      </w:r>
      <w:bookmarkEnd w:id="37"/>
      <w:bookmarkEnd w:id="38"/>
    </w:p>
    <w:p w14:paraId="7314D3A2">
      <w:pPr>
        <w:keepNext w:val="0"/>
        <w:keepLines w:val="0"/>
        <w:widowControl w:val="0"/>
        <w:suppressLineNumbers w:val="0"/>
        <w:spacing w:before="0" w:beforeAutospacing="0" w:after="0" w:afterAutospacing="0"/>
        <w:ind w:left="0" w:right="0" w:firstLine="640" w:firstLineChars="200"/>
        <w:jc w:val="both"/>
        <w:rPr>
          <w:rFonts w:eastAsia="仿宋_GB2312" w:cs="仿宋_GB2312"/>
          <w:sz w:val="32"/>
          <w:szCs w:val="32"/>
        </w:rPr>
      </w:pPr>
      <w:bookmarkStart w:id="39" w:name="_Toc15377444"/>
      <w:bookmarkStart w:id="40" w:name="_Toc15378460"/>
      <w:bookmarkStart w:id="41" w:name="_Toc15377213"/>
      <w:r>
        <w:rPr>
          <w:rFonts w:hint="eastAsia" w:eastAsia="仿宋_GB2312" w:cs="仿宋_GB2312"/>
          <w:sz w:val="32"/>
          <w:szCs w:val="32"/>
        </w:rPr>
        <w:t>2024年度一般公共预算财政拨款支出决算数为</w:t>
      </w:r>
      <w:r>
        <w:rPr>
          <w:rFonts w:hint="eastAsia" w:eastAsia="仿宋_GB2312" w:cs="Times New Roman"/>
          <w:kern w:val="2"/>
          <w:sz w:val="32"/>
          <w:szCs w:val="32"/>
          <w:lang w:val="en-US" w:eastAsia="zh-CN" w:bidi="ar"/>
        </w:rPr>
        <w:t>2279.89</w:t>
      </w:r>
      <w:r>
        <w:rPr>
          <w:rFonts w:ascii="仿宋_GB2312" w:hAnsi="仿宋_GB2312" w:eastAsia="仿宋_GB2312" w:cs="仿宋_GB2312"/>
          <w:sz w:val="32"/>
          <w:szCs w:val="32"/>
        </w:rPr>
        <w:t>万元</w:t>
      </w:r>
      <w:r>
        <w:rPr>
          <w:rFonts w:hint="eastAsia" w:ascii="仿宋_GB2312" w:hAnsi="仿宋_GB2312" w:eastAsia="仿宋_GB2312" w:cs="仿宋_GB2312"/>
          <w:sz w:val="32"/>
          <w:szCs w:val="32"/>
        </w:rPr>
        <w:t>，</w:t>
      </w:r>
      <w:r>
        <w:rPr>
          <w:rFonts w:hint="eastAsia" w:eastAsia="仿宋_GB2312" w:cs="仿宋_GB2312"/>
          <w:sz w:val="32"/>
          <w:szCs w:val="32"/>
        </w:rPr>
        <w:t>完成预算</w:t>
      </w:r>
      <w:r>
        <w:rPr>
          <w:rFonts w:hint="eastAsia" w:eastAsia="仿宋_GB2312" w:cs="仿宋_GB2312"/>
          <w:sz w:val="32"/>
          <w:szCs w:val="32"/>
          <w:lang w:val="en-US" w:eastAsia="zh-CN"/>
        </w:rPr>
        <w:t>100</w:t>
      </w:r>
      <w:r>
        <w:rPr>
          <w:rFonts w:hint="eastAsia" w:eastAsia="仿宋_GB2312" w:cs="仿宋_GB2312"/>
          <w:sz w:val="32"/>
          <w:szCs w:val="32"/>
        </w:rPr>
        <w:t>%。其中：</w:t>
      </w:r>
      <w:bookmarkEnd w:id="39"/>
      <w:bookmarkEnd w:id="40"/>
      <w:bookmarkEnd w:id="41"/>
    </w:p>
    <w:p w14:paraId="33256CDE">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eastAsia" w:eastAsia="仿宋_GB2312" w:cs="仿宋_GB2312"/>
          <w:sz w:val="32"/>
          <w:szCs w:val="32"/>
        </w:rPr>
        <w:t>1.</w:t>
      </w:r>
      <w:r>
        <w:rPr>
          <w:rFonts w:hint="default" w:ascii="仿宋_GB2312" w:hAnsi="Times New Roman" w:eastAsia="仿宋_GB2312" w:cs="仿宋_GB2312"/>
          <w:kern w:val="2"/>
          <w:sz w:val="32"/>
          <w:szCs w:val="32"/>
          <w:lang w:val="en-US" w:eastAsia="zh-CN" w:bidi="ar"/>
        </w:rPr>
        <w:t>社会保障和就业（</w:t>
      </w:r>
      <w:r>
        <w:rPr>
          <w:rFonts w:hint="default" w:ascii="Times New Roman" w:hAnsi="Times New Roman" w:eastAsia="仿宋_GB2312" w:cs="Times New Roman"/>
          <w:kern w:val="2"/>
          <w:sz w:val="32"/>
          <w:szCs w:val="32"/>
          <w:lang w:val="en-US" w:eastAsia="zh-CN" w:bidi="ar"/>
        </w:rPr>
        <w:t>208</w:t>
      </w:r>
      <w:r>
        <w:rPr>
          <w:rFonts w:hint="default" w:ascii="仿宋_GB2312" w:hAnsi="Times New Roman" w:eastAsia="仿宋_GB2312" w:cs="仿宋_GB2312"/>
          <w:kern w:val="2"/>
          <w:sz w:val="32"/>
          <w:szCs w:val="32"/>
          <w:lang w:val="en-US" w:eastAsia="zh-CN" w:bidi="ar"/>
        </w:rPr>
        <w:t>类）行政事业单位养老支出（</w:t>
      </w:r>
      <w:r>
        <w:rPr>
          <w:rFonts w:hint="default" w:ascii="Times New Roman" w:hAnsi="Times New Roman" w:eastAsia="仿宋_GB2312" w:cs="Times New Roman"/>
          <w:kern w:val="2"/>
          <w:sz w:val="32"/>
          <w:szCs w:val="32"/>
          <w:lang w:val="en-US" w:eastAsia="zh-CN" w:bidi="ar"/>
        </w:rPr>
        <w:t>05</w:t>
      </w:r>
      <w:r>
        <w:rPr>
          <w:rFonts w:hint="default" w:ascii="仿宋_GB2312" w:hAnsi="Times New Roman" w:eastAsia="仿宋_GB2312" w:cs="仿宋_GB2312"/>
          <w:kern w:val="2"/>
          <w:sz w:val="32"/>
          <w:szCs w:val="32"/>
          <w:lang w:val="en-US" w:eastAsia="zh-CN" w:bidi="ar"/>
        </w:rPr>
        <w:t>款）</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143.05</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2B5EEBAF">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）行政单位离退休（</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54.95</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4076F0B2">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）事业单位离退休（</w:t>
      </w:r>
      <w:r>
        <w:rPr>
          <w:rFonts w:hint="default" w:ascii="Times New Roman" w:hAnsi="Times New Roman" w:eastAsia="仿宋_GB2312" w:cs="Times New Roman"/>
          <w:kern w:val="2"/>
          <w:sz w:val="32"/>
          <w:szCs w:val="32"/>
          <w:lang w:val="en-US" w:eastAsia="zh-CN" w:bidi="ar"/>
        </w:rPr>
        <w:t>02</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21.04</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2FF60E0F">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3</w:t>
      </w:r>
      <w:r>
        <w:rPr>
          <w:rFonts w:hint="default" w:ascii="仿宋_GB2312" w:hAnsi="Times New Roman" w:eastAsia="仿宋_GB2312" w:cs="仿宋_GB2312"/>
          <w:kern w:val="2"/>
          <w:sz w:val="32"/>
          <w:szCs w:val="32"/>
          <w:lang w:val="en-US" w:eastAsia="zh-CN" w:bidi="ar"/>
        </w:rPr>
        <w:t>）机关事业单位基本养老保险缴费支出（</w:t>
      </w:r>
      <w:r>
        <w:rPr>
          <w:rFonts w:hint="default" w:ascii="Times New Roman" w:hAnsi="Times New Roman" w:eastAsia="仿宋_GB2312" w:cs="Times New Roman"/>
          <w:kern w:val="2"/>
          <w:sz w:val="32"/>
          <w:szCs w:val="32"/>
          <w:lang w:val="en-US" w:eastAsia="zh-CN" w:bidi="ar"/>
        </w:rPr>
        <w:t>05</w:t>
      </w:r>
      <w:r>
        <w:rPr>
          <w:rFonts w:hint="default" w:ascii="仿宋_GB2312" w:hAnsi="Times New Roman" w:eastAsia="仿宋_GB2312" w:cs="仿宋_GB2312"/>
          <w:kern w:val="2"/>
          <w:sz w:val="32"/>
          <w:szCs w:val="32"/>
          <w:lang w:val="en-US" w:eastAsia="zh-CN" w:bidi="ar"/>
        </w:rPr>
        <w:t>项）：支出决算为</w:t>
      </w:r>
      <w:r>
        <w:rPr>
          <w:rFonts w:hint="eastAsia" w:eastAsia="仿宋_GB2312" w:cs="Times New Roman"/>
          <w:kern w:val="2"/>
          <w:sz w:val="32"/>
          <w:szCs w:val="32"/>
          <w:lang w:val="en-US" w:eastAsia="zh-CN" w:bidi="ar"/>
        </w:rPr>
        <w:t>42.95</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603ADCE4">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4</w:t>
      </w:r>
      <w:r>
        <w:rPr>
          <w:rFonts w:hint="default" w:ascii="仿宋_GB2312" w:hAnsi="Times New Roman" w:eastAsia="仿宋_GB2312" w:cs="仿宋_GB2312"/>
          <w:kern w:val="2"/>
          <w:sz w:val="32"/>
          <w:szCs w:val="32"/>
          <w:lang w:val="en-US" w:eastAsia="zh-CN" w:bidi="ar"/>
        </w:rPr>
        <w:t>）机关事业单位职业年金缴费支出（</w:t>
      </w:r>
      <w:r>
        <w:rPr>
          <w:rFonts w:hint="default" w:ascii="Times New Roman" w:hAnsi="Times New Roman" w:eastAsia="仿宋_GB2312" w:cs="Times New Roman"/>
          <w:kern w:val="2"/>
          <w:sz w:val="32"/>
          <w:szCs w:val="32"/>
          <w:lang w:val="en-US" w:eastAsia="zh-CN" w:bidi="ar"/>
        </w:rPr>
        <w:t>06</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21.44</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16EEB80A">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社会保障和就业（</w:t>
      </w:r>
      <w:r>
        <w:rPr>
          <w:rFonts w:hint="default" w:ascii="Times New Roman" w:hAnsi="Times New Roman" w:eastAsia="仿宋_GB2312" w:cs="Times New Roman"/>
          <w:kern w:val="2"/>
          <w:sz w:val="32"/>
          <w:szCs w:val="32"/>
          <w:lang w:val="en-US" w:eastAsia="zh-CN" w:bidi="ar"/>
        </w:rPr>
        <w:t>208</w:t>
      </w:r>
      <w:r>
        <w:rPr>
          <w:rFonts w:hint="default" w:ascii="仿宋_GB2312" w:hAnsi="Times New Roman" w:eastAsia="仿宋_GB2312" w:cs="仿宋_GB2312"/>
          <w:kern w:val="2"/>
          <w:sz w:val="32"/>
          <w:szCs w:val="32"/>
          <w:lang w:val="en-US" w:eastAsia="zh-CN" w:bidi="ar"/>
        </w:rPr>
        <w:t>类）抚恤（</w:t>
      </w:r>
      <w:r>
        <w:rPr>
          <w:rFonts w:hint="default" w:ascii="Times New Roman" w:hAnsi="Times New Roman" w:eastAsia="仿宋_GB2312" w:cs="Times New Roman"/>
          <w:kern w:val="2"/>
          <w:sz w:val="32"/>
          <w:szCs w:val="32"/>
          <w:lang w:val="en-US" w:eastAsia="zh-CN" w:bidi="ar"/>
        </w:rPr>
        <w:t>08</w:t>
      </w:r>
      <w:r>
        <w:rPr>
          <w:rFonts w:hint="default" w:ascii="仿宋_GB2312" w:hAnsi="Times New Roman" w:eastAsia="仿宋_GB2312" w:cs="仿宋_GB2312"/>
          <w:kern w:val="2"/>
          <w:sz w:val="32"/>
          <w:szCs w:val="32"/>
          <w:lang w:val="en-US" w:eastAsia="zh-CN" w:bidi="ar"/>
        </w:rPr>
        <w:t>款）</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66.51</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3E111270">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）死亡抚恤（</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项）：支出决算为</w:t>
      </w:r>
      <w:r>
        <w:rPr>
          <w:rFonts w:hint="eastAsia" w:eastAsia="仿宋_GB2312" w:cs="Times New Roman"/>
          <w:kern w:val="2"/>
          <w:sz w:val="32"/>
          <w:szCs w:val="32"/>
          <w:lang w:val="en-US" w:eastAsia="zh-CN" w:bidi="ar"/>
        </w:rPr>
        <w:t>63.27</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447D6D12">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）伤残抚恤（</w:t>
      </w:r>
      <w:r>
        <w:rPr>
          <w:rFonts w:hint="default" w:ascii="Times New Roman" w:hAnsi="Times New Roman" w:eastAsia="仿宋_GB2312" w:cs="Times New Roman"/>
          <w:kern w:val="2"/>
          <w:sz w:val="32"/>
          <w:szCs w:val="32"/>
          <w:lang w:val="en-US" w:eastAsia="zh-CN" w:bidi="ar"/>
        </w:rPr>
        <w:t>02</w:t>
      </w:r>
      <w:r>
        <w:rPr>
          <w:rFonts w:hint="default" w:ascii="仿宋_GB2312" w:hAnsi="Times New Roman" w:eastAsia="仿宋_GB2312" w:cs="仿宋_GB2312"/>
          <w:kern w:val="2"/>
          <w:sz w:val="32"/>
          <w:szCs w:val="32"/>
          <w:lang w:val="en-US" w:eastAsia="zh-CN" w:bidi="ar"/>
        </w:rPr>
        <w:t>项）：支出决算为</w:t>
      </w:r>
      <w:r>
        <w:rPr>
          <w:rFonts w:hint="eastAsia" w:eastAsia="仿宋_GB2312" w:cs="Times New Roman"/>
          <w:kern w:val="2"/>
          <w:sz w:val="32"/>
          <w:szCs w:val="32"/>
          <w:lang w:val="en-US" w:eastAsia="zh-CN" w:bidi="ar"/>
        </w:rPr>
        <w:t>3.23</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263A8F5D">
      <w:pPr>
        <w:keepNext w:val="0"/>
        <w:keepLines w:val="0"/>
        <w:widowControl w:val="0"/>
        <w:suppressLineNumbers w:val="0"/>
        <w:spacing w:before="0" w:beforeAutospacing="0" w:after="0" w:afterAutospacing="0" w:line="600" w:lineRule="exact"/>
        <w:ind w:left="0" w:right="0" w:firstLine="640" w:firstLineChars="200"/>
        <w:jc w:val="both"/>
        <w:rPr>
          <w:rFonts w:hint="default" w:ascii="仿宋_GB2312" w:hAnsi="Times New Roman" w:eastAsia="仿宋_GB2312" w:cs="仿宋_GB2312"/>
          <w:kern w:val="2"/>
          <w:sz w:val="32"/>
          <w:szCs w:val="32"/>
          <w:lang w:val="en-US" w:eastAsia="zh-CN" w:bidi="ar"/>
        </w:rPr>
      </w:pPr>
      <w:r>
        <w:rPr>
          <w:rFonts w:hint="default" w:ascii="Times New Roman" w:hAnsi="Times New Roman" w:eastAsia="仿宋_GB2312" w:cs="Times New Roman"/>
          <w:kern w:val="2"/>
          <w:sz w:val="32"/>
          <w:szCs w:val="32"/>
          <w:lang w:val="en-US" w:eastAsia="zh-CN" w:bidi="ar"/>
        </w:rPr>
        <w:t>3.</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类）卫生健康管理事务（</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款）</w:t>
      </w:r>
      <w:r>
        <w:rPr>
          <w:rFonts w:hint="eastAsia" w:ascii="仿宋_GB2312" w:eastAsia="仿宋_GB2312"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365.78</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33103E9F">
      <w:pPr>
        <w:keepNext w:val="0"/>
        <w:keepLines w:val="0"/>
        <w:widowControl w:val="0"/>
        <w:suppressLineNumbers w:val="0"/>
        <w:spacing w:before="0" w:beforeAutospacing="0" w:after="0" w:afterAutospacing="0"/>
        <w:ind w:left="0" w:right="0" w:firstLine="640" w:firstLineChars="200"/>
        <w:jc w:val="both"/>
        <w:rPr>
          <w:rFonts w:hint="default" w:ascii="仿宋_GB2312" w:hAnsi="Times New Roman" w:eastAsia="仿宋_GB2312" w:cs="仿宋_GB2312"/>
          <w:kern w:val="2"/>
          <w:sz w:val="32"/>
          <w:szCs w:val="32"/>
          <w:lang w:val="en-US" w:eastAsia="zh-CN" w:bidi="ar"/>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）行政运行（</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275.88</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6A750F04">
      <w:pPr>
        <w:pStyle w:val="2"/>
        <w:ind w:firstLine="640" w:firstLineChars="200"/>
        <w:rPr>
          <w:rFonts w:hint="default"/>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）其他卫生健康管理事务支出（</w:t>
      </w:r>
      <w:r>
        <w:rPr>
          <w:rFonts w:hint="eastAsia"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项）支出决算为</w:t>
      </w:r>
      <w:r>
        <w:rPr>
          <w:rFonts w:hint="eastAsia" w:eastAsia="仿宋_GB2312" w:cs="Times New Roman"/>
          <w:kern w:val="2"/>
          <w:sz w:val="32"/>
          <w:szCs w:val="32"/>
          <w:lang w:val="en-US" w:eastAsia="zh-CN" w:bidi="ar"/>
        </w:rPr>
        <w:t>89.91</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62263EFA">
      <w:pPr>
        <w:keepNext w:val="0"/>
        <w:keepLines w:val="0"/>
        <w:widowControl w:val="0"/>
        <w:suppressLineNumbers w:val="0"/>
        <w:spacing w:before="0" w:beforeAutospacing="0" w:after="0" w:afterAutospacing="0" w:line="600" w:lineRule="exact"/>
        <w:ind w:left="0" w:right="0" w:firstLine="640" w:firstLineChars="200"/>
        <w:jc w:val="both"/>
        <w:rPr>
          <w:rFonts w:hint="default" w:ascii="仿宋_GB2312" w:hAnsi="Times New Roman" w:eastAsia="仿宋_GB2312" w:cs="仿宋_GB2312"/>
          <w:kern w:val="2"/>
          <w:sz w:val="32"/>
          <w:szCs w:val="32"/>
          <w:lang w:val="en-US" w:eastAsia="zh-CN" w:bidi="ar"/>
        </w:rPr>
      </w:pPr>
      <w:r>
        <w:rPr>
          <w:rFonts w:hint="eastAsia" w:eastAsia="仿宋_GB2312" w:cs="Times New Roman"/>
          <w:kern w:val="2"/>
          <w:sz w:val="32"/>
          <w:szCs w:val="32"/>
          <w:lang w:val="en-US" w:eastAsia="zh-CN" w:bidi="ar"/>
        </w:rPr>
        <w:t>4</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类）公共卫生（</w:t>
      </w:r>
      <w:r>
        <w:rPr>
          <w:rFonts w:hint="default" w:ascii="Times New Roman" w:hAnsi="Times New Roman" w:eastAsia="仿宋_GB2312" w:cs="Times New Roman"/>
          <w:kern w:val="2"/>
          <w:sz w:val="32"/>
          <w:szCs w:val="32"/>
          <w:lang w:val="en-US" w:eastAsia="zh-CN" w:bidi="ar"/>
        </w:rPr>
        <w:t>04</w:t>
      </w:r>
      <w:r>
        <w:rPr>
          <w:rFonts w:hint="default" w:ascii="仿宋_GB2312" w:hAnsi="Times New Roman" w:eastAsia="仿宋_GB2312" w:cs="仿宋_GB2312"/>
          <w:kern w:val="2"/>
          <w:sz w:val="32"/>
          <w:szCs w:val="32"/>
          <w:lang w:val="en-US" w:eastAsia="zh-CN" w:bidi="ar"/>
        </w:rPr>
        <w:t>款）</w:t>
      </w:r>
      <w:r>
        <w:rPr>
          <w:rFonts w:hint="eastAsia" w:ascii="仿宋_GB2312" w:eastAsia="仿宋_GB2312"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40.36</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55E8EA8D">
      <w:pPr>
        <w:pStyle w:val="2"/>
        <w:ind w:firstLine="640" w:firstLineChars="200"/>
        <w:rPr>
          <w:rFonts w:hint="default" w:ascii="仿宋_GB2312" w:hAnsi="Times New Roman" w:eastAsia="仿宋_GB2312" w:cs="仿宋_GB2312"/>
          <w:kern w:val="2"/>
          <w:sz w:val="32"/>
          <w:szCs w:val="32"/>
          <w:lang w:val="en-US" w:eastAsia="zh-CN" w:bidi="ar"/>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）重大公共卫生服务（</w:t>
      </w:r>
      <w:r>
        <w:rPr>
          <w:rFonts w:hint="default" w:ascii="Times New Roman" w:hAnsi="Times New Roman" w:eastAsia="仿宋_GB2312" w:cs="Times New Roman"/>
          <w:kern w:val="2"/>
          <w:sz w:val="32"/>
          <w:szCs w:val="32"/>
          <w:lang w:val="en-US" w:eastAsia="zh-CN" w:bidi="ar"/>
        </w:rPr>
        <w:t>09</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40.07</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191D1807">
      <w:pPr>
        <w:ind w:firstLine="640" w:firstLineChars="200"/>
        <w:rPr>
          <w:rFonts w:hint="default"/>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）其他公共卫生支出（</w:t>
      </w:r>
      <w:r>
        <w:rPr>
          <w:rFonts w:hint="eastAsia" w:eastAsia="仿宋_GB2312" w:cs="Times New Roman"/>
          <w:kern w:val="2"/>
          <w:sz w:val="32"/>
          <w:szCs w:val="32"/>
          <w:lang w:val="en-US" w:eastAsia="zh-CN" w:bidi="ar"/>
        </w:rPr>
        <w:t>9</w:t>
      </w:r>
      <w:r>
        <w:rPr>
          <w:rFonts w:hint="default" w:ascii="Times New Roman" w:hAnsi="Times New Roman" w:eastAsia="仿宋_GB2312" w:cs="Times New Roman"/>
          <w:kern w:val="2"/>
          <w:sz w:val="32"/>
          <w:szCs w:val="32"/>
          <w:lang w:val="en-US" w:eastAsia="zh-CN" w:bidi="ar"/>
        </w:rPr>
        <w:t>9</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0.3</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3EC0B9D2">
      <w:pPr>
        <w:keepNext w:val="0"/>
        <w:keepLines w:val="0"/>
        <w:widowControl w:val="0"/>
        <w:suppressLineNumbers w:val="0"/>
        <w:spacing w:before="0" w:beforeAutospacing="0" w:after="0" w:afterAutospacing="0" w:line="600" w:lineRule="exact"/>
        <w:ind w:left="0" w:right="0" w:firstLine="640" w:firstLineChars="200"/>
        <w:jc w:val="both"/>
        <w:rPr>
          <w:rFonts w:hint="default" w:ascii="仿宋_GB2312" w:hAnsi="Times New Roman" w:eastAsia="仿宋_GB2312" w:cs="仿宋_GB2312"/>
          <w:kern w:val="2"/>
          <w:sz w:val="32"/>
          <w:szCs w:val="32"/>
          <w:lang w:val="en-US" w:eastAsia="zh-CN" w:bidi="ar"/>
        </w:rPr>
      </w:pPr>
      <w:r>
        <w:rPr>
          <w:rFonts w:hint="eastAsia" w:eastAsia="仿宋_GB2312" w:cs="Times New Roman"/>
          <w:kern w:val="2"/>
          <w:sz w:val="32"/>
          <w:szCs w:val="32"/>
          <w:lang w:val="en-US" w:eastAsia="zh-CN" w:bidi="ar"/>
        </w:rPr>
        <w:t>5</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类）计划生育事务（</w:t>
      </w:r>
      <w:r>
        <w:rPr>
          <w:rFonts w:hint="default" w:ascii="Times New Roman" w:hAnsi="Times New Roman" w:eastAsia="仿宋_GB2312" w:cs="Times New Roman"/>
          <w:kern w:val="2"/>
          <w:sz w:val="32"/>
          <w:szCs w:val="32"/>
          <w:lang w:val="en-US" w:eastAsia="zh-CN" w:bidi="ar"/>
        </w:rPr>
        <w:t>07</w:t>
      </w:r>
      <w:r>
        <w:rPr>
          <w:rFonts w:hint="default" w:ascii="仿宋_GB2312" w:hAnsi="Times New Roman" w:eastAsia="仿宋_GB2312" w:cs="仿宋_GB2312"/>
          <w:kern w:val="2"/>
          <w:sz w:val="32"/>
          <w:szCs w:val="32"/>
          <w:lang w:val="en-US" w:eastAsia="zh-CN" w:bidi="ar"/>
        </w:rPr>
        <w:t>款）</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1098.96</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3B5434B1">
      <w:pPr>
        <w:keepNext w:val="0"/>
        <w:keepLines w:val="0"/>
        <w:widowControl w:val="0"/>
        <w:suppressLineNumbers w:val="0"/>
        <w:spacing w:before="0" w:beforeAutospacing="0" w:after="0" w:afterAutospacing="0" w:line="600" w:lineRule="exact"/>
        <w:ind w:left="0" w:right="0" w:firstLine="640" w:firstLineChars="200"/>
        <w:jc w:val="both"/>
        <w:rPr>
          <w:rFonts w:hint="default"/>
          <w:lang w:val="en-US"/>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）计划生育服务（</w:t>
      </w:r>
      <w:r>
        <w:rPr>
          <w:rFonts w:hint="default" w:ascii="Times New Roman" w:hAnsi="Times New Roman" w:eastAsia="仿宋_GB2312" w:cs="Times New Roman"/>
          <w:kern w:val="2"/>
          <w:sz w:val="32"/>
          <w:szCs w:val="32"/>
          <w:lang w:val="en-US" w:eastAsia="zh-CN" w:bidi="ar"/>
        </w:rPr>
        <w:t>17</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38.26</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2A046F46">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）其他计划生育事务支出（</w:t>
      </w:r>
      <w:r>
        <w:rPr>
          <w:rFonts w:hint="default" w:ascii="Times New Roman" w:hAnsi="Times New Roman"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1060.70</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1519AB2B">
      <w:pPr>
        <w:keepNext w:val="0"/>
        <w:keepLines w:val="0"/>
        <w:widowControl w:val="0"/>
        <w:suppressLineNumbers w:val="0"/>
        <w:spacing w:before="0" w:beforeAutospacing="0" w:after="0" w:afterAutospacing="0" w:line="600" w:lineRule="exact"/>
        <w:ind w:left="0" w:right="0" w:firstLine="640" w:firstLineChars="200"/>
        <w:jc w:val="both"/>
        <w:rPr>
          <w:rFonts w:hint="default" w:ascii="仿宋_GB2312" w:hAnsi="Times New Roman" w:eastAsia="仿宋_GB2312" w:cs="仿宋_GB2312"/>
          <w:kern w:val="2"/>
          <w:sz w:val="32"/>
          <w:szCs w:val="32"/>
          <w:lang w:val="en-US" w:eastAsia="zh-CN" w:bidi="ar"/>
        </w:rPr>
      </w:pPr>
      <w:r>
        <w:rPr>
          <w:rFonts w:hint="eastAsia" w:eastAsia="仿宋_GB2312" w:cs="Times New Roman"/>
          <w:kern w:val="2"/>
          <w:sz w:val="32"/>
          <w:szCs w:val="32"/>
          <w:lang w:val="en-US" w:eastAsia="zh-CN" w:bidi="ar"/>
        </w:rPr>
        <w:t>6</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类）行政事业单位医疗（</w:t>
      </w:r>
      <w:r>
        <w:rPr>
          <w:rFonts w:hint="default" w:ascii="Times New Roman" w:hAnsi="Times New Roman" w:eastAsia="仿宋_GB2312" w:cs="Times New Roman"/>
          <w:kern w:val="2"/>
          <w:sz w:val="32"/>
          <w:szCs w:val="32"/>
          <w:lang w:val="en-US" w:eastAsia="zh-CN" w:bidi="ar"/>
        </w:rPr>
        <w:t>11</w:t>
      </w:r>
      <w:r>
        <w:rPr>
          <w:rFonts w:hint="default" w:ascii="仿宋_GB2312" w:hAnsi="Times New Roman" w:eastAsia="仿宋_GB2312" w:cs="仿宋_GB2312"/>
          <w:kern w:val="2"/>
          <w:sz w:val="32"/>
          <w:szCs w:val="32"/>
          <w:lang w:val="en-US" w:eastAsia="zh-CN" w:bidi="ar"/>
        </w:rPr>
        <w:t>款）</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37.58</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7B9A47AA">
      <w:pPr>
        <w:keepNext w:val="0"/>
        <w:keepLines w:val="0"/>
        <w:widowControl w:val="0"/>
        <w:suppressLineNumbers w:val="0"/>
        <w:spacing w:before="0" w:beforeAutospacing="0" w:after="0" w:afterAutospacing="0" w:line="600" w:lineRule="exact"/>
        <w:ind w:left="0" w:right="0" w:firstLine="640" w:firstLineChars="200"/>
        <w:jc w:val="both"/>
        <w:rPr>
          <w:rFonts w:hint="default" w:ascii="仿宋_GB2312" w:hAnsi="Times New Roman" w:eastAsia="仿宋_GB2312" w:cs="仿宋_GB2312"/>
          <w:kern w:val="2"/>
          <w:sz w:val="32"/>
          <w:szCs w:val="32"/>
          <w:lang w:val="en-US" w:eastAsia="zh-CN" w:bidi="ar"/>
        </w:rPr>
      </w:pPr>
      <w:r>
        <w:rPr>
          <w:rFonts w:hint="default"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）行政单位医疗（</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17.05</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780E2EAA">
      <w:pPr>
        <w:pStyle w:val="2"/>
        <w:ind w:firstLine="640" w:firstLineChars="200"/>
        <w:rPr>
          <w:rFonts w:hint="default"/>
        </w:rPr>
      </w:pPr>
      <w:r>
        <w:rPr>
          <w:rFonts w:hint="default" w:ascii="仿宋_GB2312" w:hAnsi="Times New Roman" w:eastAsia="仿宋_GB2312" w:cs="仿宋_GB2312"/>
          <w:kern w:val="2"/>
          <w:sz w:val="32"/>
          <w:szCs w:val="32"/>
          <w:lang w:val="en-US" w:eastAsia="zh-CN" w:bidi="ar"/>
        </w:rPr>
        <w:t>（</w:t>
      </w:r>
      <w:r>
        <w:rPr>
          <w:rFonts w:hint="eastAsia"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）事业单位医疗（</w:t>
      </w:r>
      <w:r>
        <w:rPr>
          <w:rFonts w:hint="default" w:ascii="Times New Roman" w:hAnsi="Times New Roman" w:eastAsia="仿宋_GB2312" w:cs="Times New Roman"/>
          <w:kern w:val="2"/>
          <w:sz w:val="32"/>
          <w:szCs w:val="32"/>
          <w:lang w:val="en-US" w:eastAsia="zh-CN" w:bidi="ar"/>
        </w:rPr>
        <w:t>02</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5.17</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25960A24">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eastAsia" w:eastAsia="仿宋_GB2312" w:cs="Times New Roman"/>
          <w:kern w:val="2"/>
          <w:sz w:val="32"/>
          <w:szCs w:val="32"/>
          <w:lang w:val="en-US" w:eastAsia="zh-CN" w:bidi="ar"/>
        </w:rPr>
        <w:t>（3）</w:t>
      </w:r>
      <w:r>
        <w:rPr>
          <w:rFonts w:hint="default" w:ascii="仿宋_GB2312" w:hAnsi="Times New Roman" w:eastAsia="仿宋_GB2312" w:cs="仿宋_GB2312"/>
          <w:kern w:val="2"/>
          <w:sz w:val="32"/>
          <w:szCs w:val="32"/>
          <w:lang w:val="en-US" w:eastAsia="zh-CN" w:bidi="ar"/>
        </w:rPr>
        <w:t>公务员医疗补助（</w:t>
      </w:r>
      <w:r>
        <w:rPr>
          <w:rFonts w:hint="default" w:ascii="Times New Roman" w:hAnsi="Times New Roman" w:eastAsia="仿宋_GB2312" w:cs="Times New Roman"/>
          <w:kern w:val="2"/>
          <w:sz w:val="32"/>
          <w:szCs w:val="32"/>
          <w:lang w:val="en-US" w:eastAsia="zh-CN" w:bidi="ar"/>
        </w:rPr>
        <w:t>03</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1.94</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417B760C">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eastAsia" w:ascii="仿宋_GB2312" w:eastAsia="仿宋_GB2312" w:cs="仿宋_GB2312"/>
          <w:kern w:val="2"/>
          <w:sz w:val="32"/>
          <w:szCs w:val="32"/>
          <w:lang w:val="en-US" w:eastAsia="zh-CN" w:bidi="ar"/>
        </w:rPr>
        <w:t>（</w:t>
      </w:r>
      <w:r>
        <w:rPr>
          <w:rFonts w:hint="eastAsia" w:eastAsia="仿宋_GB2312" w:cs="Times New Roman"/>
          <w:kern w:val="2"/>
          <w:sz w:val="32"/>
          <w:szCs w:val="32"/>
          <w:lang w:val="en-US" w:eastAsia="zh-CN" w:bidi="ar"/>
        </w:rPr>
        <w:t>4</w:t>
      </w:r>
      <w:r>
        <w:rPr>
          <w:rFonts w:hint="eastAsia" w:ascii="仿宋_GB2312" w:eastAsia="仿宋_GB2312"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其他行政事业单位医疗支出（</w:t>
      </w:r>
      <w:r>
        <w:rPr>
          <w:rFonts w:hint="default" w:ascii="Times New Roman" w:hAnsi="Times New Roman"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13.41</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7845BAC2">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eastAsia" w:eastAsia="仿宋_GB2312" w:cs="Times New Roman"/>
          <w:kern w:val="2"/>
          <w:sz w:val="32"/>
          <w:szCs w:val="32"/>
          <w:lang w:val="en-US" w:eastAsia="zh-CN" w:bidi="ar"/>
        </w:rPr>
        <w:t>7</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类）中医药事务（</w:t>
      </w:r>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7</w:t>
      </w:r>
      <w:r>
        <w:rPr>
          <w:rFonts w:hint="default" w:ascii="仿宋_GB2312" w:hAnsi="Times New Roman" w:eastAsia="仿宋_GB2312" w:cs="仿宋_GB2312"/>
          <w:kern w:val="2"/>
          <w:sz w:val="32"/>
          <w:szCs w:val="32"/>
          <w:lang w:val="en-US" w:eastAsia="zh-CN" w:bidi="ar"/>
        </w:rPr>
        <w:t>款）其他中医药事务支出（</w:t>
      </w:r>
      <w:r>
        <w:rPr>
          <w:rFonts w:hint="eastAsia"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款）</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0.28</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15F349B2">
      <w:pPr>
        <w:keepNext w:val="0"/>
        <w:keepLines w:val="0"/>
        <w:widowControl w:val="0"/>
        <w:suppressLineNumbers w:val="0"/>
        <w:spacing w:before="0" w:beforeAutospacing="0" w:after="0" w:afterAutospacing="0" w:line="600" w:lineRule="exact"/>
        <w:ind w:left="0" w:right="0" w:firstLine="640" w:firstLineChars="200"/>
        <w:jc w:val="both"/>
        <w:rPr>
          <w:rFonts w:hint="default" w:ascii="仿宋_GB2312" w:hAnsi="Times New Roman" w:eastAsia="仿宋_GB2312" w:cs="仿宋_GB2312"/>
          <w:kern w:val="2"/>
          <w:sz w:val="32"/>
          <w:szCs w:val="32"/>
          <w:lang w:val="en-US" w:eastAsia="zh-CN" w:bidi="ar"/>
        </w:rPr>
      </w:pPr>
      <w:r>
        <w:rPr>
          <w:rFonts w:hint="eastAsia" w:eastAsia="仿宋_GB2312" w:cs="Times New Roman"/>
          <w:kern w:val="2"/>
          <w:sz w:val="32"/>
          <w:szCs w:val="32"/>
          <w:lang w:val="en-US" w:eastAsia="zh-CN" w:bidi="ar"/>
        </w:rPr>
        <w:t>8</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w:t>
      </w:r>
      <w:r>
        <w:rPr>
          <w:rFonts w:hint="default" w:ascii="Times New Roman" w:hAnsi="Times New Roman" w:eastAsia="仿宋_GB2312" w:cs="Times New Roman"/>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疾病预防控制事务（</w:t>
      </w:r>
      <w:r>
        <w:rPr>
          <w:rFonts w:hint="eastAsia" w:eastAsia="仿宋_GB2312" w:cs="Times New Roman"/>
          <w:kern w:val="2"/>
          <w:sz w:val="32"/>
          <w:szCs w:val="32"/>
          <w:lang w:val="en-US" w:eastAsia="zh-CN" w:bidi="ar"/>
        </w:rPr>
        <w:t>18</w:t>
      </w:r>
      <w:r>
        <w:rPr>
          <w:rFonts w:hint="default" w:ascii="仿宋_GB2312" w:hAnsi="Times New Roman" w:eastAsia="仿宋_GB2312" w:cs="仿宋_GB2312"/>
          <w:kern w:val="2"/>
          <w:sz w:val="32"/>
          <w:szCs w:val="32"/>
          <w:lang w:val="en-US" w:eastAsia="zh-CN" w:bidi="ar"/>
        </w:rPr>
        <w:t>款）其他疾病预防控制事务支出（</w:t>
      </w:r>
      <w:r>
        <w:rPr>
          <w:rFonts w:hint="default" w:ascii="Times New Roman" w:hAnsi="Times New Roman"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9.97</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130A8102">
      <w:pPr>
        <w:keepNext w:val="0"/>
        <w:keepLines w:val="0"/>
        <w:widowControl w:val="0"/>
        <w:suppressLineNumbers w:val="0"/>
        <w:spacing w:before="0" w:beforeAutospacing="0" w:after="0" w:afterAutospacing="0" w:line="600" w:lineRule="exact"/>
        <w:ind w:left="0" w:right="0" w:firstLine="640" w:firstLineChars="200"/>
        <w:jc w:val="both"/>
        <w:rPr>
          <w:rFonts w:hint="default"/>
        </w:rPr>
      </w:pPr>
      <w:r>
        <w:rPr>
          <w:rFonts w:hint="eastAsia" w:eastAsia="仿宋_GB2312" w:cs="Times New Roman"/>
          <w:kern w:val="2"/>
          <w:sz w:val="32"/>
          <w:szCs w:val="32"/>
          <w:lang w:val="en-US" w:eastAsia="zh-CN" w:bidi="ar"/>
        </w:rPr>
        <w:t>9</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w:t>
      </w:r>
      <w:r>
        <w:rPr>
          <w:rFonts w:hint="default" w:ascii="Times New Roman" w:hAnsi="Times New Roman" w:eastAsia="仿宋_GB2312" w:cs="Times New Roman"/>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其他卫生健康支出（</w:t>
      </w:r>
      <w:r>
        <w:rPr>
          <w:rFonts w:hint="eastAsia"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款）其他卫生健康支出（</w:t>
      </w:r>
      <w:r>
        <w:rPr>
          <w:rFonts w:hint="default" w:ascii="Times New Roman" w:hAnsi="Times New Roman"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287.10</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3FEE8658">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0</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农林水支出（</w:t>
      </w:r>
      <w:r>
        <w:rPr>
          <w:rFonts w:hint="default" w:ascii="Times New Roman" w:hAnsi="Times New Roman" w:eastAsia="仿宋_GB2312" w:cs="Times New Roman"/>
          <w:kern w:val="2"/>
          <w:sz w:val="32"/>
          <w:szCs w:val="32"/>
          <w:lang w:val="en-US" w:eastAsia="zh-CN" w:bidi="ar"/>
        </w:rPr>
        <w:t>213</w:t>
      </w:r>
      <w:r>
        <w:rPr>
          <w:rFonts w:hint="default" w:ascii="仿宋_GB2312" w:hAnsi="Times New Roman" w:eastAsia="仿宋_GB2312" w:cs="仿宋_GB2312"/>
          <w:kern w:val="2"/>
          <w:sz w:val="32"/>
          <w:szCs w:val="32"/>
          <w:lang w:val="en-US" w:eastAsia="zh-CN" w:bidi="ar"/>
        </w:rPr>
        <w:t>类）巩固脱贫衔接乡村振兴（</w:t>
      </w:r>
      <w:r>
        <w:rPr>
          <w:rFonts w:hint="default" w:ascii="Times New Roman" w:hAnsi="Times New Roman" w:eastAsia="仿宋_GB2312" w:cs="Times New Roman"/>
          <w:kern w:val="2"/>
          <w:sz w:val="32"/>
          <w:szCs w:val="32"/>
          <w:lang w:val="en-US" w:eastAsia="zh-CN" w:bidi="ar"/>
        </w:rPr>
        <w:t>05</w:t>
      </w:r>
      <w:r>
        <w:rPr>
          <w:rFonts w:hint="default" w:ascii="仿宋_GB2312" w:hAnsi="Times New Roman" w:eastAsia="仿宋_GB2312" w:cs="仿宋_GB2312"/>
          <w:kern w:val="2"/>
          <w:sz w:val="32"/>
          <w:szCs w:val="32"/>
          <w:lang w:val="en-US" w:eastAsia="zh-CN" w:bidi="ar"/>
        </w:rPr>
        <w:t>款）其他巩固脱贫衔接乡村振兴支出（</w:t>
      </w:r>
      <w:r>
        <w:rPr>
          <w:rFonts w:hint="default" w:ascii="Times New Roman" w:hAnsi="Times New Roman"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default" w:ascii="Times New Roman" w:hAnsi="Times New Roman" w:eastAsia="仿宋_GB2312" w:cs="Times New Roman"/>
          <w:kern w:val="2"/>
          <w:sz w:val="32"/>
          <w:szCs w:val="32"/>
          <w:lang w:val="en-US" w:eastAsia="zh-CN" w:bidi="ar"/>
        </w:rPr>
        <w:t>196</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0191A306">
      <w:pPr>
        <w:keepNext w:val="0"/>
        <w:keepLines w:val="0"/>
        <w:widowControl w:val="0"/>
        <w:suppressLineNumbers w:val="0"/>
        <w:spacing w:before="0" w:beforeAutospacing="0" w:after="0" w:afterAutospacing="0" w:line="600" w:lineRule="exact"/>
        <w:ind w:left="0" w:right="0" w:firstLine="640" w:firstLineChars="200"/>
        <w:jc w:val="both"/>
        <w:rPr>
          <w:rFonts w:eastAsia="仿宋_GB2312" w:cs="仿宋_GB2312"/>
          <w:sz w:val="32"/>
          <w:szCs w:val="32"/>
        </w:rPr>
      </w:pPr>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1</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住房保障支出（</w:t>
      </w:r>
      <w:r>
        <w:rPr>
          <w:rFonts w:hint="default" w:ascii="Times New Roman" w:hAnsi="Times New Roman" w:eastAsia="仿宋_GB2312" w:cs="Times New Roman"/>
          <w:kern w:val="2"/>
          <w:sz w:val="32"/>
          <w:szCs w:val="32"/>
          <w:lang w:val="en-US" w:eastAsia="zh-CN" w:bidi="ar"/>
        </w:rPr>
        <w:t>221</w:t>
      </w:r>
      <w:r>
        <w:rPr>
          <w:rFonts w:hint="default" w:ascii="仿宋_GB2312" w:hAnsi="Times New Roman" w:eastAsia="仿宋_GB2312" w:cs="仿宋_GB2312"/>
          <w:kern w:val="2"/>
          <w:sz w:val="32"/>
          <w:szCs w:val="32"/>
          <w:lang w:val="en-US" w:eastAsia="zh-CN" w:bidi="ar"/>
        </w:rPr>
        <w:t>类）住房改革支出（</w:t>
      </w:r>
      <w:r>
        <w:rPr>
          <w:rFonts w:hint="default" w:ascii="Times New Roman" w:hAnsi="Times New Roman" w:eastAsia="仿宋_GB2312" w:cs="Times New Roman"/>
          <w:kern w:val="2"/>
          <w:sz w:val="32"/>
          <w:szCs w:val="32"/>
          <w:lang w:val="en-US" w:eastAsia="zh-CN" w:bidi="ar"/>
        </w:rPr>
        <w:t>02</w:t>
      </w:r>
      <w:r>
        <w:rPr>
          <w:rFonts w:hint="default" w:ascii="仿宋_GB2312" w:hAnsi="Times New Roman" w:eastAsia="仿宋_GB2312" w:cs="仿宋_GB2312"/>
          <w:kern w:val="2"/>
          <w:sz w:val="32"/>
          <w:szCs w:val="32"/>
          <w:lang w:val="en-US" w:eastAsia="zh-CN" w:bidi="ar"/>
        </w:rPr>
        <w:t>款）住房公积金（</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支出决算为</w:t>
      </w:r>
      <w:r>
        <w:rPr>
          <w:rFonts w:hint="eastAsia" w:eastAsia="仿宋_GB2312" w:cs="Times New Roman"/>
          <w:kern w:val="2"/>
          <w:sz w:val="32"/>
          <w:szCs w:val="32"/>
          <w:lang w:val="en-US" w:eastAsia="zh-CN" w:bidi="ar"/>
        </w:rPr>
        <w:t>34.31</w:t>
      </w:r>
      <w:r>
        <w:rPr>
          <w:rFonts w:hint="default" w:ascii="仿宋_GB2312" w:hAnsi="Times New Roman" w:eastAsia="仿宋_GB2312" w:cs="仿宋_GB2312"/>
          <w:kern w:val="2"/>
          <w:sz w:val="32"/>
          <w:szCs w:val="32"/>
          <w:lang w:val="en-US" w:eastAsia="zh-CN" w:bidi="ar"/>
        </w:rPr>
        <w:t>万元，完成预算</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，决算数等于预算数。</w:t>
      </w:r>
    </w:p>
    <w:p w14:paraId="7333CBF9">
      <w:pPr>
        <w:tabs>
          <w:tab w:val="right" w:pos="8306"/>
        </w:tabs>
        <w:spacing w:line="600" w:lineRule="exact"/>
        <w:ind w:firstLine="640"/>
        <w:outlineLvl w:val="9"/>
        <w:rPr>
          <w:rFonts w:hint="eastAsia" w:eastAsia="黑体"/>
          <w:sz w:val="32"/>
          <w:szCs w:val="32"/>
        </w:rPr>
      </w:pPr>
      <w:bookmarkStart w:id="42" w:name="_Toc15377214"/>
      <w:bookmarkStart w:id="43" w:name="_Toc15396608"/>
    </w:p>
    <w:p w14:paraId="22542D1D">
      <w:pPr>
        <w:tabs>
          <w:tab w:val="right" w:pos="8306"/>
        </w:tabs>
        <w:spacing w:line="600" w:lineRule="exact"/>
        <w:ind w:firstLine="640"/>
        <w:outlineLvl w:val="1"/>
        <w:rPr>
          <w:rStyle w:val="30"/>
          <w:rFonts w:ascii="Times New Roman" w:hAnsi="Times New Roman"/>
        </w:rPr>
      </w:pPr>
      <w:bookmarkStart w:id="44" w:name="_Toc1039725907"/>
      <w:r>
        <w:rPr>
          <w:rFonts w:hint="eastAsia" w:eastAsia="黑体"/>
          <w:sz w:val="32"/>
          <w:szCs w:val="32"/>
        </w:rPr>
        <w:t>六</w:t>
      </w:r>
      <w:r>
        <w:rPr>
          <w:rFonts w:hint="eastAsia" w:eastAsia="黑体"/>
          <w:b/>
          <w:sz w:val="32"/>
          <w:szCs w:val="32"/>
        </w:rPr>
        <w:t>、一</w:t>
      </w:r>
      <w:r>
        <w:rPr>
          <w:rStyle w:val="30"/>
          <w:rFonts w:hint="eastAsia" w:ascii="Times New Roman" w:hAnsi="Times New Roman" w:eastAsia="黑体"/>
          <w:b w:val="0"/>
        </w:rPr>
        <w:t>般公共预算财政拨款基本支出决算情况说明</w:t>
      </w:r>
      <w:bookmarkEnd w:id="42"/>
      <w:bookmarkEnd w:id="43"/>
      <w:bookmarkEnd w:id="44"/>
      <w:r>
        <w:rPr>
          <w:rStyle w:val="30"/>
          <w:rFonts w:ascii="Times New Roman" w:hAnsi="Times New Roman" w:eastAsia="黑体"/>
          <w:b w:val="0"/>
        </w:rPr>
        <w:tab/>
      </w:r>
    </w:p>
    <w:p w14:paraId="0985A3A7">
      <w:pPr>
        <w:spacing w:line="600" w:lineRule="exact"/>
        <w:ind w:firstLine="640"/>
        <w:rPr>
          <w:rFonts w:eastAsia="仿宋_GB2312" w:cs="仿宋_GB2312"/>
          <w:sz w:val="32"/>
          <w:szCs w:val="32"/>
        </w:rPr>
      </w:pPr>
      <w:r>
        <w:rPr>
          <w:rFonts w:hint="eastAsia" w:eastAsia="仿宋_GB2312" w:cs="仿宋_GB2312"/>
          <w:sz w:val="32"/>
          <w:szCs w:val="32"/>
        </w:rPr>
        <w:t>2024年度一般公共预算财政拨款基本支出</w:t>
      </w:r>
      <w:r>
        <w:rPr>
          <w:rFonts w:hint="eastAsia" w:ascii="仿宋_GB2312" w:hAnsi="仿宋_GB2312" w:eastAsia="仿宋_GB2312" w:cs="仿宋_GB2312"/>
          <w:sz w:val="32"/>
          <w:szCs w:val="32"/>
          <w:lang w:val="en-US" w:eastAsia="zh-CN"/>
        </w:rPr>
        <w:t>638.62</w:t>
      </w:r>
      <w:r>
        <w:rPr>
          <w:rFonts w:hint="eastAsia" w:ascii="仿宋_GB2312" w:hAnsi="仿宋_GB2312" w:eastAsia="仿宋_GB2312" w:cs="仿宋_GB2312"/>
          <w:sz w:val="32"/>
          <w:szCs w:val="32"/>
        </w:rPr>
        <w:t>万</w:t>
      </w:r>
      <w:r>
        <w:rPr>
          <w:rFonts w:hint="eastAsia" w:eastAsia="仿宋_GB2312" w:cs="仿宋_GB2312"/>
          <w:sz w:val="32"/>
          <w:szCs w:val="32"/>
        </w:rPr>
        <w:t>元，其中：</w:t>
      </w:r>
    </w:p>
    <w:p w14:paraId="2F766EAF">
      <w:pPr>
        <w:spacing w:line="600" w:lineRule="exact"/>
        <w:ind w:firstLine="640"/>
        <w:rPr>
          <w:rFonts w:eastAsia="仿宋_GB2312" w:cs="仿宋_GB2312"/>
          <w:sz w:val="32"/>
          <w:szCs w:val="32"/>
        </w:rPr>
      </w:pPr>
      <w:r>
        <w:rPr>
          <w:rFonts w:hint="eastAsia" w:eastAsia="仿宋_GB2312" w:cs="仿宋_GB2312"/>
          <w:sz w:val="32"/>
          <w:szCs w:val="32"/>
        </w:rPr>
        <w:t>人员经费</w:t>
      </w:r>
      <w:r>
        <w:rPr>
          <w:rFonts w:hint="eastAsia" w:ascii="仿宋_GB2312" w:hAnsi="仿宋_GB2312" w:eastAsia="仿宋_GB2312" w:cs="仿宋_GB2312"/>
          <w:sz w:val="32"/>
          <w:szCs w:val="32"/>
          <w:lang w:val="en-US" w:eastAsia="zh-CN"/>
        </w:rPr>
        <w:t>451.76</w:t>
      </w:r>
      <w:r>
        <w:rPr>
          <w:rFonts w:hint="eastAsia" w:ascii="仿宋_GB2312" w:hAnsi="仿宋_GB2312" w:eastAsia="仿宋_GB2312" w:cs="仿宋_GB2312"/>
          <w:sz w:val="32"/>
          <w:szCs w:val="32"/>
        </w:rPr>
        <w:t>万</w:t>
      </w:r>
      <w:r>
        <w:rPr>
          <w:rFonts w:hint="eastAsia" w:eastAsia="仿宋_GB2312" w:cs="仿宋_GB2312"/>
          <w:sz w:val="32"/>
          <w:szCs w:val="32"/>
        </w:rPr>
        <w:t>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eastAsia="仿宋_GB2312" w:cs="仿宋_GB2312"/>
          <w:sz w:val="32"/>
          <w:szCs w:val="32"/>
        </w:rPr>
        <w:br w:type="textWrapping"/>
      </w:r>
      <w:r>
        <w:rPr>
          <w:rFonts w:hint="eastAsia" w:eastAsia="仿宋_GB2312" w:cs="仿宋_GB2312"/>
          <w:sz w:val="32"/>
          <w:szCs w:val="32"/>
        </w:rPr>
        <w:t>　　公用经费</w:t>
      </w:r>
      <w:r>
        <w:rPr>
          <w:rFonts w:hint="eastAsia" w:ascii="仿宋_GB2312" w:hAnsi="仿宋_GB2312" w:eastAsia="仿宋_GB2312" w:cs="仿宋_GB2312"/>
          <w:sz w:val="32"/>
          <w:szCs w:val="32"/>
          <w:lang w:val="en-US" w:eastAsia="zh-CN"/>
        </w:rPr>
        <w:t>45.52</w:t>
      </w:r>
      <w:r>
        <w:rPr>
          <w:rFonts w:hint="eastAsia" w:ascii="仿宋_GB2312" w:hAnsi="仿宋_GB2312" w:eastAsia="仿宋_GB2312" w:cs="仿宋_GB2312"/>
          <w:sz w:val="32"/>
          <w:szCs w:val="32"/>
        </w:rPr>
        <w:t>万</w:t>
      </w:r>
      <w:r>
        <w:rPr>
          <w:rFonts w:hint="eastAsia" w:eastAsia="仿宋_GB2312" w:cs="仿宋_GB2312"/>
          <w:sz w:val="32"/>
          <w:szCs w:val="32"/>
        </w:rPr>
        <w:t>元，主要包括：办公费、印刷费、咨询费、水费、电费、邮电费、物业管理费、差旅费、维修（护）费、会议费、培训费、劳务费、工会经费、福利费、公务用车运行维护费、其他交通费、其他商品和服务支出。</w:t>
      </w:r>
    </w:p>
    <w:p w14:paraId="4CC4E6D8">
      <w:pPr>
        <w:spacing w:line="600" w:lineRule="exact"/>
        <w:ind w:firstLine="640"/>
        <w:outlineLvl w:val="9"/>
        <w:rPr>
          <w:rFonts w:hint="eastAsia" w:eastAsia="黑体"/>
          <w:sz w:val="32"/>
          <w:szCs w:val="32"/>
        </w:rPr>
      </w:pPr>
      <w:bookmarkStart w:id="45" w:name="_Toc15396609"/>
      <w:bookmarkStart w:id="46" w:name="_Toc15377215"/>
    </w:p>
    <w:p w14:paraId="6A2CE0FC">
      <w:pPr>
        <w:spacing w:line="600" w:lineRule="exact"/>
        <w:ind w:firstLine="640"/>
        <w:outlineLvl w:val="1"/>
        <w:rPr>
          <w:rStyle w:val="30"/>
          <w:rFonts w:ascii="Times New Roman" w:hAnsi="Times New Roman" w:eastAsia="黑体"/>
          <w:b w:val="0"/>
        </w:rPr>
      </w:pPr>
      <w:bookmarkStart w:id="47" w:name="_Toc1397290757"/>
      <w:r>
        <w:rPr>
          <w:rFonts w:hint="eastAsia" w:eastAsia="黑体"/>
          <w:sz w:val="32"/>
          <w:szCs w:val="32"/>
        </w:rPr>
        <w:t>七、</w:t>
      </w:r>
      <w:r>
        <w:rPr>
          <w:rStyle w:val="30"/>
          <w:rFonts w:hint="eastAsia" w:ascii="Times New Roman" w:hAnsi="Times New Roman" w:eastAsia="黑体"/>
          <w:b w:val="0"/>
        </w:rPr>
        <w:t>财政拨款</w:t>
      </w:r>
      <w:r>
        <w:rPr>
          <w:rStyle w:val="30"/>
          <w:rFonts w:hint="eastAsia" w:ascii="Times New Roman" w:hAnsi="Times New Roman" w:eastAsia="黑体"/>
        </w:rPr>
        <w:t>“</w:t>
      </w:r>
      <w:r>
        <w:rPr>
          <w:rStyle w:val="30"/>
          <w:rFonts w:hint="eastAsia" w:ascii="Times New Roman" w:hAnsi="Times New Roman" w:eastAsia="黑体"/>
          <w:b w:val="0"/>
        </w:rPr>
        <w:t>三公”经费支出决算情况说明</w:t>
      </w:r>
      <w:bookmarkEnd w:id="45"/>
      <w:bookmarkEnd w:id="46"/>
      <w:bookmarkEnd w:id="47"/>
    </w:p>
    <w:p w14:paraId="2C04AF5C">
      <w:pPr>
        <w:spacing w:line="600" w:lineRule="exact"/>
        <w:ind w:firstLine="643" w:firstLineChars="200"/>
        <w:outlineLvl w:val="2"/>
        <w:rPr>
          <w:rFonts w:eastAsia="楷体_GB2312" w:cs="楷体_GB2312"/>
          <w:b/>
          <w:sz w:val="32"/>
          <w:szCs w:val="32"/>
        </w:rPr>
      </w:pPr>
      <w:bookmarkStart w:id="48" w:name="_Toc15377216"/>
      <w:bookmarkStart w:id="49" w:name="_Toc1518384899"/>
      <w:r>
        <w:rPr>
          <w:rFonts w:hint="eastAsia" w:eastAsia="楷体_GB2312" w:cs="楷体_GB2312"/>
          <w:b/>
          <w:sz w:val="32"/>
          <w:szCs w:val="32"/>
        </w:rPr>
        <w:t>（一）“三公”经费财政拨款支出决算总体情况说明</w:t>
      </w:r>
      <w:bookmarkEnd w:id="48"/>
      <w:bookmarkEnd w:id="49"/>
    </w:p>
    <w:p w14:paraId="0485054C">
      <w:pPr>
        <w:keepNext w:val="0"/>
        <w:keepLines w:val="0"/>
        <w:widowControl w:val="0"/>
        <w:suppressLineNumbers w:val="0"/>
        <w:spacing w:before="0" w:beforeAutospacing="0" w:after="0" w:afterAutospacing="0"/>
        <w:ind w:left="0" w:right="0" w:firstLine="640" w:firstLineChars="200"/>
        <w:jc w:val="both"/>
        <w:rPr>
          <w:rFonts w:eastAsia="仿宋_GB2312" w:cs="仿宋_GB2312"/>
          <w:sz w:val="32"/>
          <w:szCs w:val="32"/>
        </w:rPr>
      </w:pPr>
      <w:r>
        <w:rPr>
          <w:rFonts w:hint="eastAsia" w:eastAsia="仿宋_GB2312" w:cs="仿宋_GB2312"/>
          <w:sz w:val="32"/>
          <w:szCs w:val="32"/>
        </w:rPr>
        <w:t>2024年度“三公”经费财政拨款支出决算为</w:t>
      </w:r>
      <w:r>
        <w:rPr>
          <w:rFonts w:hint="eastAsia" w:eastAsia="仿宋_GB2312" w:cs="Times New Roman"/>
          <w:kern w:val="2"/>
          <w:sz w:val="32"/>
          <w:szCs w:val="32"/>
          <w:lang w:val="en-US" w:eastAsia="zh-CN" w:bidi="ar"/>
        </w:rPr>
        <w:t>0.64</w:t>
      </w:r>
      <w:r>
        <w:rPr>
          <w:rFonts w:hint="eastAsia" w:ascii="仿宋_GB2312" w:hAnsi="仿宋_GB2312" w:eastAsia="仿宋_GB2312" w:cs="仿宋_GB2312"/>
          <w:sz w:val="32"/>
          <w:szCs w:val="32"/>
        </w:rPr>
        <w:t>万元，完成预算</w:t>
      </w:r>
      <w:r>
        <w:rPr>
          <w:rFonts w:hint="eastAsia" w:eastAsia="仿宋_GB2312" w:cs="Times New Roman"/>
          <w:kern w:val="2"/>
          <w:sz w:val="32"/>
          <w:szCs w:val="32"/>
          <w:lang w:val="en-US" w:eastAsia="zh-CN" w:bidi="ar"/>
        </w:rPr>
        <w:t>100%</w:t>
      </w:r>
      <w:r>
        <w:rPr>
          <w:rFonts w:hint="eastAsia" w:ascii="仿宋_GB2312" w:hAnsi="仿宋_GB2312" w:eastAsia="仿宋_GB2312" w:cs="仿宋_GB2312"/>
          <w:sz w:val="32"/>
          <w:szCs w:val="32"/>
        </w:rPr>
        <w:t>，</w:t>
      </w:r>
      <w:r>
        <w:rPr>
          <w:rFonts w:hint="eastAsia" w:eastAsia="仿宋_GB2312" w:cs="仿宋_GB2312"/>
          <w:sz w:val="32"/>
          <w:szCs w:val="32"/>
        </w:rPr>
        <w:t>较上年度减少</w:t>
      </w:r>
      <w:r>
        <w:rPr>
          <w:rFonts w:hint="eastAsia" w:eastAsia="仿宋_GB2312" w:cs="仿宋_GB2312"/>
          <w:sz w:val="32"/>
          <w:szCs w:val="32"/>
          <w:lang w:val="en-US" w:eastAsia="zh-CN"/>
        </w:rPr>
        <w:t>0.16</w:t>
      </w:r>
      <w:r>
        <w:rPr>
          <w:rFonts w:hint="eastAsia" w:eastAsia="仿宋_GB2312" w:cs="仿宋_GB2312"/>
          <w:sz w:val="32"/>
          <w:szCs w:val="32"/>
        </w:rPr>
        <w:t>万元，下降</w:t>
      </w:r>
      <w:r>
        <w:rPr>
          <w:rFonts w:hint="eastAsia" w:eastAsia="仿宋_GB2312" w:cs="仿宋_GB2312"/>
          <w:sz w:val="32"/>
          <w:szCs w:val="32"/>
          <w:lang w:val="en-US" w:eastAsia="zh-CN"/>
        </w:rPr>
        <w:t>20</w:t>
      </w:r>
      <w:r>
        <w:rPr>
          <w:rFonts w:hint="eastAsia" w:eastAsia="仿宋_GB2312" w:cs="仿宋_GB2312"/>
          <w:sz w:val="32"/>
          <w:szCs w:val="32"/>
        </w:rPr>
        <w:t>%</w:t>
      </w:r>
      <w:r>
        <w:rPr>
          <w:rFonts w:hint="eastAsia" w:eastAsia="仿宋_GB2312" w:cs="仿宋_GB2312"/>
          <w:sz w:val="32"/>
          <w:szCs w:val="32"/>
          <w:lang w:eastAsia="zh-CN"/>
        </w:rPr>
        <w:t>，减少的主要原因是压缩机关运行成本</w:t>
      </w:r>
      <w:r>
        <w:rPr>
          <w:rFonts w:hint="eastAsia" w:eastAsia="仿宋_GB2312" w:cs="仿宋_GB2312"/>
          <w:sz w:val="32"/>
          <w:szCs w:val="32"/>
        </w:rPr>
        <w:t>。决</w:t>
      </w:r>
      <w:r>
        <w:rPr>
          <w:rFonts w:hint="eastAsia" w:eastAsia="仿宋_GB2312" w:cs="仿宋_GB2312"/>
          <w:sz w:val="32"/>
          <w:szCs w:val="32"/>
          <w:lang w:eastAsia="zh-CN"/>
        </w:rPr>
        <w:t>算数</w:t>
      </w:r>
      <w:r>
        <w:rPr>
          <w:rFonts w:hint="eastAsia" w:eastAsia="仿宋_GB2312" w:cs="仿宋_GB2312"/>
          <w:sz w:val="32"/>
          <w:szCs w:val="32"/>
        </w:rPr>
        <w:t>与预算数持平</w:t>
      </w:r>
      <w:r>
        <w:rPr>
          <w:rFonts w:hint="eastAsia" w:eastAsia="仿宋_GB2312" w:cs="仿宋_GB2312"/>
          <w:sz w:val="32"/>
          <w:szCs w:val="32"/>
          <w:lang w:eastAsia="zh-CN"/>
        </w:rPr>
        <w:t>。</w:t>
      </w:r>
    </w:p>
    <w:p w14:paraId="6D4F5B14">
      <w:pPr>
        <w:spacing w:line="600" w:lineRule="exact"/>
        <w:ind w:firstLine="643" w:firstLineChars="200"/>
        <w:outlineLvl w:val="2"/>
        <w:rPr>
          <w:rFonts w:eastAsia="楷体_GB2312" w:cs="楷体_GB2312"/>
          <w:b/>
          <w:sz w:val="32"/>
          <w:szCs w:val="32"/>
        </w:rPr>
      </w:pPr>
      <w:bookmarkStart w:id="50" w:name="_Toc201143594"/>
      <w:bookmarkStart w:id="51" w:name="_Toc15377217"/>
      <w:r>
        <w:rPr>
          <w:rFonts w:hint="eastAsia" w:eastAsia="楷体_GB2312" w:cs="楷体_GB2312"/>
          <w:b/>
          <w:sz w:val="32"/>
          <w:szCs w:val="32"/>
        </w:rPr>
        <w:t>（二）“三公”经费财政拨款支出决算具体情况说明</w:t>
      </w:r>
      <w:bookmarkEnd w:id="50"/>
      <w:bookmarkEnd w:id="51"/>
    </w:p>
    <w:p w14:paraId="792E2E7D">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2024年度“三公”经费财政拨款支出决算中，因公出国（境）费支出决算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%；公务用车购置及运行维护费支出决算</w:t>
      </w:r>
      <w:r>
        <w:rPr>
          <w:rFonts w:hint="eastAsia" w:ascii="仿宋_GB2312" w:hAnsi="仿宋_GB2312" w:eastAsia="仿宋_GB2312" w:cs="仿宋_GB2312"/>
          <w:sz w:val="32"/>
          <w:szCs w:val="32"/>
          <w:lang w:val="en-US" w:eastAsia="zh-CN"/>
        </w:rPr>
        <w:t>0.64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%；公务接待费支出决算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%。具体情况如下：</w:t>
      </w:r>
    </w:p>
    <w:p w14:paraId="18A1CF2A">
      <w:pPr>
        <w:spacing w:line="600" w:lineRule="exact"/>
        <w:ind w:firstLine="640"/>
        <w:rPr>
          <w:rFonts w:hint="eastAsia" w:eastAsia="仿宋_GB2312" w:cs="仿宋_GB2312"/>
          <w:sz w:val="32"/>
          <w:szCs w:val="32"/>
          <w:lang w:eastAsia="zh-CN"/>
        </w:rPr>
      </w:pPr>
      <w:r>
        <w:rPr>
          <w:rFonts w:hint="eastAsia" w:eastAsia="仿宋_GB2312" w:cs="仿宋_GB2312"/>
          <w:sz w:val="32"/>
          <w:szCs w:val="32"/>
          <w:lang w:eastAsia="zh-CN"/>
        </w:rPr>
        <w:drawing>
          <wp:anchor distT="0" distB="0" distL="114300" distR="114300" simplePos="0" relativeHeight="251665408" behindDoc="0" locked="0" layoutInCell="1" allowOverlap="1">
            <wp:simplePos x="0" y="0"/>
            <wp:positionH relativeFrom="column">
              <wp:posOffset>73660</wp:posOffset>
            </wp:positionH>
            <wp:positionV relativeFrom="paragraph">
              <wp:posOffset>111760</wp:posOffset>
            </wp:positionV>
            <wp:extent cx="5256530" cy="2988310"/>
            <wp:effectExtent l="5080" t="4445" r="15240" b="17145"/>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14:paraId="494132DA">
      <w:pPr>
        <w:spacing w:line="600" w:lineRule="exact"/>
        <w:ind w:firstLine="640"/>
        <w:rPr>
          <w:rFonts w:eastAsia="仿宋_GB2312" w:cs="仿宋_GB2312"/>
          <w:sz w:val="32"/>
          <w:szCs w:val="32"/>
        </w:rPr>
      </w:pPr>
      <w:r>
        <w:rPr>
          <w:rFonts w:hint="eastAsia" w:eastAsia="仿宋_GB2312" w:cs="仿宋_GB2312"/>
          <w:sz w:val="32"/>
          <w:szCs w:val="32"/>
        </w:rPr>
        <w:t>（图7：“三公”经费财政拨款支出结构）</w:t>
      </w:r>
    </w:p>
    <w:p w14:paraId="456C5BDE">
      <w:pPr>
        <w:numPr>
          <w:ilvl w:val="0"/>
          <w:numId w:val="2"/>
        </w:numPr>
        <w:spacing w:line="600" w:lineRule="exact"/>
        <w:ind w:firstLine="640"/>
        <w:rPr>
          <w:rFonts w:hint="eastAsia" w:eastAsia="仿宋_GB2312" w:cs="仿宋_GB2312"/>
          <w:sz w:val="32"/>
          <w:szCs w:val="32"/>
          <w:lang w:eastAsia="zh-CN"/>
        </w:rPr>
      </w:pPr>
      <w:r>
        <w:rPr>
          <w:rFonts w:hint="eastAsia" w:eastAsia="仿宋_GB2312" w:cs="仿宋_GB2312"/>
          <w:b/>
          <w:bCs/>
          <w:sz w:val="32"/>
          <w:szCs w:val="32"/>
        </w:rPr>
        <w:t>因公出国（境）经费支出</w:t>
      </w:r>
      <w:r>
        <w:rPr>
          <w:rFonts w:hint="eastAsia" w:eastAsia="仿宋_GB2312" w:cs="仿宋_GB2312"/>
          <w:b w:val="0"/>
          <w:bCs w:val="0"/>
          <w:sz w:val="32"/>
          <w:szCs w:val="32"/>
          <w:lang w:val="en-US" w:eastAsia="zh-CN"/>
        </w:rPr>
        <w:t>0</w:t>
      </w:r>
      <w:r>
        <w:rPr>
          <w:rFonts w:hint="eastAsia" w:eastAsia="仿宋_GB2312" w:cs="仿宋_GB2312"/>
          <w:b/>
          <w:bCs/>
          <w:sz w:val="32"/>
          <w:szCs w:val="32"/>
        </w:rPr>
        <w:t>万元，完成预算</w:t>
      </w:r>
      <w:r>
        <w:rPr>
          <w:rFonts w:hint="eastAsia" w:eastAsia="仿宋_GB2312" w:cs="仿宋_GB2312"/>
          <w:b w:val="0"/>
          <w:bCs w:val="0"/>
          <w:sz w:val="32"/>
          <w:szCs w:val="32"/>
          <w:lang w:val="en-US" w:eastAsia="zh-CN"/>
        </w:rPr>
        <w:t>100</w:t>
      </w:r>
      <w:r>
        <w:rPr>
          <w:rFonts w:hint="eastAsia" w:eastAsia="仿宋_GB2312" w:cs="仿宋_GB2312"/>
          <w:b w:val="0"/>
          <w:bCs w:val="0"/>
          <w:sz w:val="32"/>
          <w:szCs w:val="32"/>
        </w:rPr>
        <w:t>%</w:t>
      </w:r>
      <w:r>
        <w:rPr>
          <w:rFonts w:hint="eastAsia" w:eastAsia="仿宋_GB2312" w:cs="仿宋_GB2312"/>
          <w:b/>
          <w:bCs/>
          <w:sz w:val="32"/>
          <w:szCs w:val="32"/>
        </w:rPr>
        <w:t>。</w:t>
      </w:r>
      <w:r>
        <w:rPr>
          <w:rFonts w:hint="eastAsia" w:eastAsia="仿宋_GB2312" w:cs="仿宋_GB2312"/>
          <w:sz w:val="32"/>
          <w:szCs w:val="32"/>
        </w:rPr>
        <w:t>全年</w:t>
      </w:r>
      <w:r>
        <w:rPr>
          <w:rFonts w:hint="eastAsia" w:eastAsia="仿宋_GB2312" w:cs="仿宋_GB2312"/>
          <w:sz w:val="32"/>
          <w:szCs w:val="32"/>
          <w:lang w:eastAsia="zh-CN"/>
        </w:rPr>
        <w:t>未</w:t>
      </w:r>
      <w:r>
        <w:rPr>
          <w:rFonts w:hint="eastAsia" w:eastAsia="仿宋_GB2312" w:cs="仿宋_GB2312"/>
          <w:sz w:val="32"/>
          <w:szCs w:val="32"/>
        </w:rPr>
        <w:t>安排因公出国（境）</w:t>
      </w:r>
      <w:r>
        <w:rPr>
          <w:rFonts w:hint="eastAsia" w:eastAsia="仿宋_GB2312" w:cs="仿宋_GB2312"/>
          <w:sz w:val="32"/>
          <w:szCs w:val="32"/>
          <w:lang w:eastAsia="zh-CN"/>
        </w:rPr>
        <w:t>。</w:t>
      </w:r>
    </w:p>
    <w:p w14:paraId="44A02281">
      <w:pPr>
        <w:keepNext w:val="0"/>
        <w:keepLines w:val="0"/>
        <w:widowControl w:val="0"/>
        <w:suppressLineNumbers w:val="0"/>
        <w:spacing w:before="0" w:beforeAutospacing="0" w:after="0" w:afterAutospacing="0"/>
        <w:ind w:left="0" w:right="0" w:firstLine="640" w:firstLineChars="200"/>
        <w:jc w:val="both"/>
      </w:pPr>
      <w:r>
        <w:rPr>
          <w:rFonts w:hint="eastAsia" w:eastAsia="仿宋_GB2312" w:cs="仿宋_GB2312"/>
          <w:b w:val="0"/>
          <w:bCs w:val="0"/>
          <w:sz w:val="32"/>
          <w:szCs w:val="32"/>
        </w:rPr>
        <w:t>2</w:t>
      </w:r>
      <w:r>
        <w:rPr>
          <w:rFonts w:hint="eastAsia" w:eastAsia="仿宋_GB2312" w:cs="仿宋_GB2312"/>
          <w:b/>
          <w:bCs/>
          <w:sz w:val="32"/>
          <w:szCs w:val="32"/>
        </w:rPr>
        <w:t>.公务用车购置及运行维护费支出</w:t>
      </w:r>
      <w:r>
        <w:rPr>
          <w:rFonts w:hint="eastAsia" w:ascii="仿宋_GB2312" w:hAnsi="仿宋_GB2312" w:eastAsia="仿宋_GB2312" w:cs="仿宋_GB2312"/>
          <w:b/>
          <w:bCs/>
          <w:sz w:val="32"/>
          <w:szCs w:val="32"/>
          <w:lang w:val="en-US" w:eastAsia="zh-CN"/>
        </w:rPr>
        <w:t>0.64</w:t>
      </w:r>
      <w:r>
        <w:rPr>
          <w:rFonts w:hint="eastAsia" w:ascii="仿宋_GB2312" w:hAnsi="仿宋_GB2312" w:eastAsia="仿宋_GB2312" w:cs="仿宋_GB2312"/>
          <w:b/>
          <w:bCs/>
          <w:sz w:val="32"/>
          <w:szCs w:val="32"/>
        </w:rPr>
        <w:t>万</w:t>
      </w:r>
      <w:r>
        <w:rPr>
          <w:rFonts w:hint="eastAsia" w:eastAsia="仿宋_GB2312" w:cs="仿宋_GB2312"/>
          <w:b/>
          <w:bCs/>
          <w:sz w:val="32"/>
          <w:szCs w:val="32"/>
        </w:rPr>
        <w:t>元，完成预算</w:t>
      </w:r>
      <w:r>
        <w:rPr>
          <w:rFonts w:hint="eastAsia" w:eastAsia="仿宋_GB2312" w:cs="仿宋_GB2312"/>
          <w:b w:val="0"/>
          <w:bCs w:val="0"/>
          <w:sz w:val="32"/>
          <w:szCs w:val="32"/>
          <w:lang w:val="en-US" w:eastAsia="zh-CN"/>
        </w:rPr>
        <w:t>100</w:t>
      </w:r>
      <w:r>
        <w:rPr>
          <w:rFonts w:hint="eastAsia" w:eastAsia="仿宋_GB2312" w:cs="仿宋_GB2312"/>
          <w:b/>
          <w:bCs/>
          <w:sz w:val="32"/>
          <w:szCs w:val="32"/>
        </w:rPr>
        <w:t>%。</w:t>
      </w:r>
      <w:r>
        <w:rPr>
          <w:rFonts w:hint="eastAsia" w:eastAsia="仿宋_GB2312" w:cs="仿宋_GB2312"/>
          <w:sz w:val="32"/>
          <w:szCs w:val="32"/>
        </w:rPr>
        <w:t>公务用车购置及运行维护费支出决算比2023年度减少</w:t>
      </w:r>
      <w:r>
        <w:rPr>
          <w:rFonts w:hint="eastAsia" w:eastAsia="仿宋_GB2312" w:cs="仿宋_GB2312"/>
          <w:sz w:val="32"/>
          <w:szCs w:val="32"/>
          <w:lang w:val="en-US" w:eastAsia="zh-CN"/>
        </w:rPr>
        <w:t>0.16</w:t>
      </w:r>
      <w:r>
        <w:rPr>
          <w:rFonts w:hint="eastAsia" w:eastAsia="仿宋_GB2312" w:cs="仿宋_GB2312"/>
          <w:sz w:val="32"/>
          <w:szCs w:val="32"/>
        </w:rPr>
        <w:t>万元，下降</w:t>
      </w:r>
      <w:r>
        <w:rPr>
          <w:rFonts w:hint="eastAsia" w:eastAsia="仿宋_GB2312" w:cs="仿宋_GB2312"/>
          <w:sz w:val="32"/>
          <w:szCs w:val="32"/>
          <w:lang w:val="en-US" w:eastAsia="zh-CN"/>
        </w:rPr>
        <w:t>20</w:t>
      </w:r>
      <w:r>
        <w:rPr>
          <w:rFonts w:hint="eastAsia" w:eastAsia="仿宋_GB2312" w:cs="仿宋_GB2312"/>
          <w:sz w:val="32"/>
          <w:szCs w:val="32"/>
        </w:rPr>
        <w:t>%。主要原因是</w:t>
      </w:r>
      <w:r>
        <w:rPr>
          <w:rFonts w:hint="default" w:ascii="仿宋_GB2312" w:hAnsi="Times New Roman" w:eastAsia="仿宋_GB2312" w:cs="仿宋_GB2312"/>
          <w:kern w:val="2"/>
          <w:sz w:val="32"/>
          <w:szCs w:val="32"/>
          <w:lang w:val="en-US" w:eastAsia="zh-CN" w:bidi="ar"/>
        </w:rPr>
        <w:t>压缩机关运行成本</w:t>
      </w:r>
      <w:r>
        <w:rPr>
          <w:rFonts w:hint="eastAsia" w:ascii="仿宋_GB2312" w:eastAsia="仿宋_GB2312" w:cs="仿宋_GB2312"/>
          <w:kern w:val="2"/>
          <w:sz w:val="32"/>
          <w:szCs w:val="32"/>
          <w:lang w:val="en-US" w:eastAsia="zh-CN" w:bidi="ar"/>
        </w:rPr>
        <w:t>，减少公务用车使用。</w:t>
      </w:r>
    </w:p>
    <w:p w14:paraId="4657A745">
      <w:pPr>
        <w:keepNext w:val="0"/>
        <w:keepLines w:val="0"/>
        <w:widowControl w:val="0"/>
        <w:suppressLineNumbers w:val="0"/>
        <w:spacing w:before="0" w:beforeAutospacing="0" w:after="0" w:afterAutospacing="0" w:line="600" w:lineRule="exact"/>
        <w:ind w:left="0" w:right="0" w:firstLine="640" w:firstLineChars="200"/>
        <w:jc w:val="both"/>
        <w:rPr>
          <w:rFonts w:eastAsia="仿宋_GB2312" w:cs="仿宋_GB2312"/>
          <w:sz w:val="32"/>
          <w:szCs w:val="32"/>
        </w:rPr>
      </w:pPr>
      <w:r>
        <w:rPr>
          <w:rFonts w:hint="eastAsia" w:eastAsia="仿宋_GB2312" w:cs="仿宋_GB2312"/>
          <w:sz w:val="32"/>
          <w:szCs w:val="32"/>
        </w:rPr>
        <w:t>其中：公务用车购置支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w:t>
      </w:r>
      <w:r>
        <w:rPr>
          <w:rFonts w:hint="eastAsia" w:eastAsia="仿宋_GB2312" w:cs="仿宋_GB2312"/>
          <w:sz w:val="32"/>
          <w:szCs w:val="32"/>
        </w:rPr>
        <w:t>万元。全年按规定更新购置公务用车</w:t>
      </w:r>
      <w:r>
        <w:rPr>
          <w:rFonts w:hint="eastAsia" w:eastAsia="仿宋_GB2312" w:cs="仿宋_GB2312"/>
          <w:sz w:val="32"/>
          <w:szCs w:val="32"/>
          <w:lang w:val="en-US" w:eastAsia="zh-CN"/>
        </w:rPr>
        <w:t>0</w:t>
      </w:r>
      <w:r>
        <w:rPr>
          <w:rFonts w:hint="eastAsia" w:eastAsia="仿宋_GB2312" w:cs="仿宋_GB2312"/>
          <w:sz w:val="32"/>
          <w:szCs w:val="32"/>
        </w:rPr>
        <w:t>辆</w:t>
      </w:r>
      <w:r>
        <w:rPr>
          <w:rFonts w:hint="eastAsia" w:eastAsia="仿宋_GB2312" w:cs="仿宋_GB2312"/>
          <w:sz w:val="32"/>
          <w:szCs w:val="32"/>
          <w:lang w:eastAsia="zh-CN"/>
        </w:rPr>
        <w:t>。</w:t>
      </w:r>
      <w:r>
        <w:rPr>
          <w:rFonts w:hint="eastAsia" w:eastAsia="仿宋_GB2312" w:cs="仿宋_GB2312"/>
          <w:sz w:val="32"/>
          <w:szCs w:val="32"/>
        </w:rPr>
        <w:t>截至2024年12月31日，</w:t>
      </w:r>
      <w:r>
        <w:rPr>
          <w:rFonts w:hint="default" w:ascii="仿宋_GB2312" w:hAnsi="Times New Roman" w:eastAsia="仿宋_GB2312" w:cs="仿宋_GB2312"/>
          <w:kern w:val="2"/>
          <w:sz w:val="32"/>
          <w:szCs w:val="32"/>
          <w:lang w:val="en-US" w:eastAsia="zh-CN" w:bidi="ar"/>
        </w:rPr>
        <w:t>单位共有公务用车</w:t>
      </w: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辆，其中：救护车</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辆（计划生育服务车）、其他专用车</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辆（服务车）。</w:t>
      </w:r>
    </w:p>
    <w:p w14:paraId="7611555C">
      <w:pPr>
        <w:spacing w:line="600" w:lineRule="exact"/>
        <w:ind w:firstLine="640"/>
        <w:rPr>
          <w:rFonts w:eastAsia="仿宋_GB2312" w:cs="仿宋_GB2312"/>
          <w:sz w:val="32"/>
          <w:szCs w:val="32"/>
        </w:rPr>
      </w:pPr>
      <w:r>
        <w:rPr>
          <w:rFonts w:hint="eastAsia" w:eastAsia="仿宋_GB2312" w:cs="仿宋_GB2312"/>
          <w:sz w:val="32"/>
          <w:szCs w:val="32"/>
        </w:rPr>
        <w:t>公务用车运行维护费支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0.64</w:t>
      </w:r>
      <w:r>
        <w:rPr>
          <w:rFonts w:hint="eastAsia" w:eastAsia="仿宋_GB2312" w:cs="仿宋_GB2312"/>
          <w:sz w:val="32"/>
          <w:szCs w:val="32"/>
        </w:rPr>
        <w:t>万元。主要用于</w:t>
      </w:r>
      <w:r>
        <w:rPr>
          <w:rFonts w:eastAsia="仿宋_GB2312"/>
          <w:sz w:val="32"/>
          <w:szCs w:val="32"/>
        </w:rPr>
        <w:t>开展日常工作、保障机关运转等所需的</w:t>
      </w:r>
      <w:r>
        <w:rPr>
          <w:rFonts w:hint="eastAsia" w:eastAsia="仿宋_GB2312" w:cs="仿宋_GB2312"/>
          <w:sz w:val="32"/>
          <w:szCs w:val="32"/>
        </w:rPr>
        <w:t>公务用车燃料费、维修费、过路过桥费、保险费等支出。</w:t>
      </w:r>
    </w:p>
    <w:p w14:paraId="4EA6DCA9">
      <w:pPr>
        <w:spacing w:line="600" w:lineRule="exact"/>
        <w:ind w:firstLine="640"/>
        <w:rPr>
          <w:rFonts w:eastAsia="仿宋_GB2312" w:cs="仿宋_GB2312"/>
          <w:sz w:val="32"/>
          <w:szCs w:val="32"/>
        </w:rPr>
      </w:pPr>
      <w:r>
        <w:rPr>
          <w:rFonts w:hint="eastAsia" w:eastAsia="仿宋_GB2312" w:cs="仿宋_GB2312"/>
          <w:b/>
          <w:bCs/>
          <w:sz w:val="32"/>
          <w:szCs w:val="32"/>
        </w:rPr>
        <w:t>3.公务接待费支出</w:t>
      </w:r>
      <w:r>
        <w:rPr>
          <w:rFonts w:hint="eastAsia" w:ascii="仿宋_GB2312" w:hAnsi="仿宋_GB2312" w:eastAsia="仿宋_GB2312" w:cs="仿宋_GB2312"/>
          <w:b/>
          <w:bCs/>
          <w:sz w:val="32"/>
          <w:szCs w:val="32"/>
          <w:lang w:val="en-US" w:eastAsia="zh-CN"/>
        </w:rPr>
        <w:t>0</w:t>
      </w:r>
      <w:r>
        <w:rPr>
          <w:rFonts w:hint="eastAsia" w:ascii="仿宋_GB2312" w:hAnsi="仿宋_GB2312" w:eastAsia="仿宋_GB2312" w:cs="仿宋_GB2312"/>
          <w:b/>
          <w:bCs/>
          <w:sz w:val="32"/>
          <w:szCs w:val="32"/>
        </w:rPr>
        <w:t>万</w:t>
      </w:r>
      <w:r>
        <w:rPr>
          <w:rFonts w:hint="eastAsia" w:eastAsia="仿宋_GB2312" w:cs="仿宋_GB2312"/>
          <w:b/>
          <w:bCs/>
          <w:sz w:val="32"/>
          <w:szCs w:val="32"/>
        </w:rPr>
        <w:t>元，完成预算</w:t>
      </w:r>
      <w:r>
        <w:rPr>
          <w:rFonts w:hint="eastAsia" w:eastAsia="仿宋_GB2312" w:cs="仿宋_GB2312"/>
          <w:b w:val="0"/>
          <w:bCs w:val="0"/>
          <w:sz w:val="32"/>
          <w:szCs w:val="32"/>
          <w:lang w:val="en-US" w:eastAsia="zh-CN"/>
        </w:rPr>
        <w:t>0</w:t>
      </w:r>
      <w:r>
        <w:rPr>
          <w:rFonts w:hint="eastAsia" w:eastAsia="仿宋_GB2312" w:cs="仿宋_GB2312"/>
          <w:b w:val="0"/>
          <w:bCs w:val="0"/>
          <w:sz w:val="32"/>
          <w:szCs w:val="32"/>
        </w:rPr>
        <w:t>%</w:t>
      </w:r>
      <w:r>
        <w:rPr>
          <w:rFonts w:hint="eastAsia" w:eastAsia="仿宋_GB2312" w:cs="仿宋_GB2312"/>
          <w:b/>
          <w:bCs/>
          <w:sz w:val="32"/>
          <w:szCs w:val="32"/>
        </w:rPr>
        <w:t>。</w:t>
      </w:r>
      <w:r>
        <w:rPr>
          <w:rFonts w:hint="eastAsia" w:eastAsia="仿宋_GB2312" w:cs="仿宋_GB2312"/>
          <w:sz w:val="32"/>
          <w:szCs w:val="32"/>
        </w:rPr>
        <w:t>公务接待费支出决算</w:t>
      </w:r>
      <w:r>
        <w:rPr>
          <w:rFonts w:hint="eastAsia" w:eastAsia="仿宋_GB2312" w:cs="仿宋_GB2312"/>
          <w:sz w:val="32"/>
          <w:szCs w:val="32"/>
          <w:lang w:eastAsia="zh-CN"/>
        </w:rPr>
        <w:t>与</w:t>
      </w:r>
      <w:r>
        <w:rPr>
          <w:rFonts w:hint="eastAsia" w:eastAsia="仿宋_GB2312" w:cs="仿宋_GB2312"/>
          <w:sz w:val="32"/>
          <w:szCs w:val="32"/>
        </w:rPr>
        <w:t>2023年度</w:t>
      </w:r>
      <w:r>
        <w:rPr>
          <w:rFonts w:hint="eastAsia" w:eastAsia="仿宋_GB2312" w:cs="仿宋_GB2312"/>
          <w:sz w:val="32"/>
          <w:szCs w:val="32"/>
          <w:lang w:eastAsia="zh-CN"/>
        </w:rPr>
        <w:t>持平。</w:t>
      </w:r>
      <w:r>
        <w:rPr>
          <w:rFonts w:hint="eastAsia" w:eastAsia="仿宋_GB2312" w:cs="仿宋_GB2312"/>
          <w:sz w:val="32"/>
          <w:szCs w:val="32"/>
        </w:rPr>
        <w:t>其中：</w:t>
      </w:r>
    </w:p>
    <w:p w14:paraId="26F5F4B6">
      <w:pPr>
        <w:spacing w:line="600" w:lineRule="exact"/>
        <w:ind w:firstLine="640"/>
        <w:rPr>
          <w:rFonts w:eastAsia="仿宋_GB2312" w:cs="仿宋_GB2312"/>
          <w:sz w:val="32"/>
          <w:szCs w:val="32"/>
        </w:rPr>
      </w:pPr>
      <w:r>
        <w:rPr>
          <w:rFonts w:hint="eastAsia" w:eastAsia="仿宋_GB2312" w:cs="仿宋_GB2312"/>
          <w:sz w:val="32"/>
          <w:szCs w:val="32"/>
        </w:rPr>
        <w:t>国内公务接待支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w:t>
      </w:r>
      <w:r>
        <w:rPr>
          <w:rFonts w:hint="eastAsia" w:eastAsia="仿宋_GB2312" w:cs="仿宋_GB2312"/>
          <w:sz w:val="32"/>
          <w:szCs w:val="32"/>
        </w:rPr>
        <w:t>元。</w:t>
      </w:r>
    </w:p>
    <w:p w14:paraId="1123ED79">
      <w:pPr>
        <w:spacing w:line="600" w:lineRule="exact"/>
        <w:ind w:firstLine="640"/>
        <w:rPr>
          <w:rFonts w:eastAsia="仿宋_GB2312" w:cs="仿宋_GB2312"/>
          <w:sz w:val="32"/>
          <w:szCs w:val="32"/>
        </w:rPr>
      </w:pPr>
      <w:r>
        <w:rPr>
          <w:rFonts w:hint="eastAsia" w:eastAsia="仿宋_GB2312" w:cs="仿宋_GB2312"/>
          <w:sz w:val="32"/>
          <w:szCs w:val="32"/>
        </w:rPr>
        <w:t>外事接待支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eastAsia="仿宋_GB2312" w:cs="仿宋_GB2312"/>
          <w:sz w:val="32"/>
          <w:szCs w:val="32"/>
        </w:rPr>
        <w:t>。</w:t>
      </w:r>
      <w:bookmarkStart w:id="52" w:name="_Toc15377218"/>
      <w:bookmarkStart w:id="53" w:name="_Toc15396610"/>
    </w:p>
    <w:p w14:paraId="3838639B">
      <w:pPr>
        <w:spacing w:line="600" w:lineRule="exact"/>
        <w:ind w:firstLine="640"/>
        <w:outlineLvl w:val="1"/>
        <w:rPr>
          <w:rStyle w:val="30"/>
          <w:rFonts w:ascii="Times New Roman" w:hAnsi="Times New Roman" w:eastAsia="黑体"/>
        </w:rPr>
      </w:pPr>
      <w:bookmarkStart w:id="54" w:name="_Toc365698427"/>
      <w:r>
        <w:rPr>
          <w:rFonts w:hint="eastAsia" w:eastAsia="黑体"/>
          <w:sz w:val="32"/>
          <w:szCs w:val="32"/>
        </w:rPr>
        <w:t>八、</w:t>
      </w:r>
      <w:r>
        <w:rPr>
          <w:rStyle w:val="30"/>
          <w:rFonts w:hint="eastAsia" w:ascii="Times New Roman" w:hAnsi="Times New Roman" w:eastAsia="黑体"/>
          <w:b w:val="0"/>
        </w:rPr>
        <w:t>政府性基金预算支出决算情况说明</w:t>
      </w:r>
      <w:bookmarkEnd w:id="52"/>
      <w:bookmarkEnd w:id="53"/>
      <w:bookmarkEnd w:id="54"/>
    </w:p>
    <w:p w14:paraId="17793322">
      <w:pPr>
        <w:spacing w:line="600" w:lineRule="exact"/>
        <w:ind w:firstLine="640"/>
        <w:rPr>
          <w:rFonts w:hint="eastAsia" w:eastAsia="仿宋_GB2312" w:cs="仿宋_GB2312"/>
          <w:sz w:val="32"/>
          <w:szCs w:val="32"/>
          <w:lang w:eastAsia="zh-CN"/>
        </w:rPr>
      </w:pPr>
      <w:r>
        <w:rPr>
          <w:rFonts w:hint="eastAsia" w:ascii="仿宋_GB2312" w:hAnsi="仿宋_GB2312" w:eastAsia="仿宋_GB2312" w:cs="仿宋_GB2312"/>
          <w:sz w:val="32"/>
          <w:szCs w:val="32"/>
        </w:rPr>
        <w:t>2024年度政府性基金预算财政拨款支出</w:t>
      </w:r>
      <w:r>
        <w:rPr>
          <w:rFonts w:hint="eastAsia" w:ascii="仿宋_GB2312" w:hAnsi="仿宋_GB2312" w:eastAsia="仿宋_GB2312" w:cs="仿宋_GB2312"/>
          <w:sz w:val="32"/>
          <w:szCs w:val="32"/>
          <w:lang w:val="en-US" w:eastAsia="zh-CN"/>
        </w:rPr>
        <w:t>7023.6</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71.56</w:t>
      </w:r>
      <w:r>
        <w:rPr>
          <w:rFonts w:hint="eastAsia" w:ascii="仿宋_GB2312" w:hAnsi="仿宋_GB2312" w:eastAsia="仿宋_GB2312" w:cs="仿宋_GB2312"/>
          <w:sz w:val="32"/>
          <w:szCs w:val="32"/>
        </w:rPr>
        <w:t>%</w:t>
      </w:r>
      <w:r>
        <w:rPr>
          <w:rFonts w:hint="eastAsia" w:eastAsia="仿宋_GB2312" w:cs="仿宋_GB2312"/>
          <w:sz w:val="32"/>
          <w:szCs w:val="32"/>
        </w:rPr>
        <w:t>。与2023年度相比，政府性基金预算财政拨款支出增加</w:t>
      </w:r>
      <w:r>
        <w:rPr>
          <w:rFonts w:hint="eastAsia" w:eastAsia="仿宋_GB2312" w:cs="仿宋_GB2312"/>
          <w:sz w:val="32"/>
          <w:szCs w:val="32"/>
          <w:lang w:val="en-US" w:eastAsia="zh-CN"/>
        </w:rPr>
        <w:t>2023.6</w:t>
      </w:r>
      <w:r>
        <w:rPr>
          <w:rFonts w:hint="eastAsia" w:eastAsia="仿宋_GB2312" w:cs="仿宋_GB2312"/>
          <w:sz w:val="32"/>
          <w:szCs w:val="32"/>
        </w:rPr>
        <w:t>万元，增长</w:t>
      </w:r>
      <w:r>
        <w:rPr>
          <w:rFonts w:hint="eastAsia" w:eastAsia="仿宋_GB2312" w:cs="仿宋_GB2312"/>
          <w:sz w:val="32"/>
          <w:szCs w:val="32"/>
          <w:lang w:val="en-US" w:eastAsia="zh-CN"/>
        </w:rPr>
        <w:t>40.47</w:t>
      </w:r>
      <w:r>
        <w:rPr>
          <w:rFonts w:hint="eastAsia" w:eastAsia="仿宋_GB2312" w:cs="仿宋_GB2312"/>
          <w:sz w:val="32"/>
          <w:szCs w:val="32"/>
        </w:rPr>
        <w:t>%。主要变动原因是</w:t>
      </w:r>
      <w:r>
        <w:rPr>
          <w:rFonts w:hint="eastAsia" w:eastAsia="仿宋_GB2312" w:cs="仿宋_GB2312"/>
          <w:sz w:val="32"/>
          <w:szCs w:val="32"/>
          <w:lang w:eastAsia="zh-CN"/>
        </w:rPr>
        <w:t>盐边县第二人民医院建设项目持续建设中，本年项目资金较上年增加。</w:t>
      </w:r>
    </w:p>
    <w:p w14:paraId="780081E1">
      <w:pPr>
        <w:spacing w:line="600" w:lineRule="exact"/>
        <w:ind w:left="630"/>
        <w:outlineLvl w:val="1"/>
        <w:rPr>
          <w:rStyle w:val="30"/>
          <w:rFonts w:ascii="Times New Roman" w:hAnsi="Times New Roman" w:eastAsia="黑体"/>
          <w:b w:val="0"/>
        </w:rPr>
      </w:pPr>
      <w:bookmarkStart w:id="55" w:name="_Toc15377219"/>
      <w:bookmarkStart w:id="56" w:name="_Toc236804024"/>
      <w:bookmarkStart w:id="57" w:name="_Toc15396611"/>
      <w:r>
        <w:rPr>
          <w:rStyle w:val="30"/>
          <w:rFonts w:hint="eastAsia" w:ascii="Times New Roman" w:hAnsi="Times New Roman" w:eastAsia="黑体"/>
          <w:b w:val="0"/>
        </w:rPr>
        <w:t>九、国有资本经营预算支出决算情况说明</w:t>
      </w:r>
      <w:bookmarkEnd w:id="55"/>
      <w:bookmarkEnd w:id="56"/>
      <w:bookmarkEnd w:id="57"/>
    </w:p>
    <w:p w14:paraId="1D331E0B">
      <w:pPr>
        <w:spacing w:line="600" w:lineRule="exact"/>
        <w:ind w:firstLine="640"/>
        <w:rPr>
          <w:rFonts w:eastAsia="仿宋_GB2312" w:cs="仿宋_GB2312"/>
          <w:sz w:val="32"/>
          <w:szCs w:val="32"/>
        </w:rPr>
      </w:pPr>
      <w:r>
        <w:rPr>
          <w:rFonts w:hint="eastAsia" w:eastAsia="仿宋_GB2312" w:cs="仿宋_GB2312"/>
          <w:sz w:val="32"/>
          <w:szCs w:val="32"/>
        </w:rPr>
        <w:t>2024年度国有资本经营预算财政拨款支出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r>
        <w:rPr>
          <w:rFonts w:hint="eastAsia" w:eastAsia="仿宋_GB2312" w:cs="仿宋_GB2312"/>
          <w:sz w:val="32"/>
          <w:szCs w:val="32"/>
        </w:rPr>
        <w:t>。与2023年度相比，国有资本经营预算财政拨款</w:t>
      </w:r>
      <w:r>
        <w:rPr>
          <w:rFonts w:hint="eastAsia" w:eastAsia="仿宋_GB2312" w:cs="仿宋_GB2312"/>
          <w:b w:val="0"/>
          <w:bCs w:val="0"/>
          <w:sz w:val="32"/>
          <w:szCs w:val="32"/>
        </w:rPr>
        <w:t>支出数与上年持平</w:t>
      </w:r>
      <w:r>
        <w:rPr>
          <w:rFonts w:hint="eastAsia" w:eastAsia="仿宋_GB2312" w:cs="仿宋_GB2312"/>
          <w:b/>
          <w:bCs/>
          <w:sz w:val="32"/>
          <w:szCs w:val="32"/>
          <w:lang w:eastAsia="zh-CN"/>
        </w:rPr>
        <w:t>。</w:t>
      </w:r>
    </w:p>
    <w:p w14:paraId="0CE9EAA2">
      <w:pPr>
        <w:spacing w:line="600" w:lineRule="exact"/>
        <w:ind w:left="630"/>
        <w:outlineLvl w:val="1"/>
        <w:rPr>
          <w:rStyle w:val="30"/>
          <w:rFonts w:ascii="Times New Roman" w:hAnsi="Times New Roman" w:eastAsia="黑体"/>
          <w:b w:val="0"/>
        </w:rPr>
      </w:pPr>
      <w:bookmarkStart w:id="58" w:name="_Toc452967833"/>
      <w:bookmarkStart w:id="59" w:name="_Toc15377221"/>
      <w:bookmarkStart w:id="60" w:name="_Toc15396612"/>
      <w:r>
        <w:rPr>
          <w:rStyle w:val="30"/>
          <w:rFonts w:hint="eastAsia" w:ascii="Times New Roman" w:hAnsi="Times New Roman" w:eastAsia="黑体"/>
          <w:b w:val="0"/>
        </w:rPr>
        <w:t>十、其他重要事项的情况说明</w:t>
      </w:r>
      <w:bookmarkEnd w:id="58"/>
      <w:bookmarkEnd w:id="59"/>
      <w:bookmarkEnd w:id="60"/>
    </w:p>
    <w:p w14:paraId="63404F60">
      <w:pPr>
        <w:spacing w:line="600" w:lineRule="exact"/>
        <w:ind w:firstLine="643" w:firstLineChars="200"/>
        <w:outlineLvl w:val="2"/>
        <w:rPr>
          <w:rFonts w:eastAsia="楷体_GB2312" w:cs="楷体_GB2312"/>
          <w:b/>
          <w:sz w:val="32"/>
          <w:szCs w:val="32"/>
        </w:rPr>
      </w:pPr>
      <w:bookmarkStart w:id="61" w:name="_Toc366531298"/>
      <w:bookmarkStart w:id="62" w:name="_Toc15377222"/>
      <w:r>
        <w:rPr>
          <w:rFonts w:hint="eastAsia" w:eastAsia="楷体_GB2312" w:cs="楷体_GB2312"/>
          <w:b/>
          <w:sz w:val="32"/>
          <w:szCs w:val="32"/>
        </w:rPr>
        <w:t>（一）机关运行经费支出情况</w:t>
      </w:r>
      <w:bookmarkEnd w:id="61"/>
      <w:bookmarkEnd w:id="62"/>
    </w:p>
    <w:p w14:paraId="3E22526A">
      <w:pPr>
        <w:keepNext w:val="0"/>
        <w:keepLines w:val="0"/>
        <w:widowControl w:val="0"/>
        <w:suppressLineNumbers w:val="0"/>
        <w:spacing w:before="0" w:beforeAutospacing="0" w:after="0" w:afterAutospacing="0"/>
        <w:ind w:left="0" w:right="0" w:firstLine="640" w:firstLineChars="200"/>
        <w:jc w:val="both"/>
      </w:pPr>
      <w:r>
        <w:rPr>
          <w:rFonts w:hint="eastAsia" w:eastAsia="仿宋_GB2312" w:cs="仿宋_GB2312"/>
          <w:sz w:val="32"/>
          <w:szCs w:val="32"/>
        </w:rPr>
        <w:t>2024年度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盐边县卫生健康局</w:t>
      </w:r>
      <w:r>
        <w:rPr>
          <w:rFonts w:hint="eastAsia" w:ascii="仿宋_GB2312" w:hAnsi="仿宋_GB2312" w:eastAsia="仿宋_GB2312" w:cs="仿宋_GB2312"/>
          <w:sz w:val="32"/>
          <w:szCs w:val="32"/>
        </w:rPr>
        <w:t>机关运行经费支出</w:t>
      </w:r>
      <w:r>
        <w:rPr>
          <w:rFonts w:hint="eastAsia" w:ascii="仿宋_GB2312" w:hAnsi="仿宋_GB2312" w:eastAsia="仿宋_GB2312" w:cs="仿宋_GB2312"/>
          <w:sz w:val="32"/>
          <w:szCs w:val="32"/>
          <w:lang w:val="en-US" w:eastAsia="zh-CN"/>
        </w:rPr>
        <w:t>45.52</w:t>
      </w:r>
      <w:r>
        <w:rPr>
          <w:rFonts w:hint="eastAsia" w:ascii="仿宋_GB2312" w:hAnsi="仿宋_GB2312" w:eastAsia="仿宋_GB2312" w:cs="仿宋_GB2312"/>
          <w:sz w:val="32"/>
          <w:szCs w:val="32"/>
        </w:rPr>
        <w:t>万</w:t>
      </w:r>
      <w:r>
        <w:rPr>
          <w:rFonts w:hint="eastAsia" w:eastAsia="仿宋_GB2312" w:cs="仿宋_GB2312"/>
          <w:sz w:val="32"/>
          <w:szCs w:val="32"/>
        </w:rPr>
        <w:t>元，比2023年度增加</w:t>
      </w:r>
      <w:r>
        <w:rPr>
          <w:rFonts w:hint="eastAsia" w:eastAsia="仿宋_GB2312" w:cs="仿宋_GB2312"/>
          <w:sz w:val="32"/>
          <w:szCs w:val="32"/>
          <w:lang w:val="en-US" w:eastAsia="zh-CN"/>
        </w:rPr>
        <w:t>2.08</w:t>
      </w:r>
      <w:r>
        <w:rPr>
          <w:rFonts w:hint="eastAsia" w:eastAsia="仿宋_GB2312" w:cs="仿宋_GB2312"/>
          <w:sz w:val="32"/>
          <w:szCs w:val="32"/>
        </w:rPr>
        <w:t>万元，增长</w:t>
      </w:r>
      <w:r>
        <w:rPr>
          <w:rFonts w:hint="eastAsia" w:eastAsia="仿宋_GB2312" w:cs="仿宋_GB2312"/>
          <w:sz w:val="32"/>
          <w:szCs w:val="32"/>
          <w:lang w:val="en-US" w:eastAsia="zh-CN"/>
        </w:rPr>
        <w:t>4.8</w:t>
      </w:r>
      <w:r>
        <w:rPr>
          <w:rFonts w:hint="eastAsia" w:eastAsia="仿宋_GB2312" w:cs="仿宋_GB2312"/>
          <w:sz w:val="32"/>
          <w:szCs w:val="32"/>
        </w:rPr>
        <w:t>%</w:t>
      </w:r>
      <w:r>
        <w:rPr>
          <w:rFonts w:hint="eastAsia" w:eastAsia="仿宋_GB2312" w:cs="仿宋_GB2312"/>
          <w:sz w:val="32"/>
          <w:szCs w:val="32"/>
          <w:lang w:eastAsia="zh-CN"/>
        </w:rPr>
        <w:t>。</w:t>
      </w:r>
      <w:r>
        <w:rPr>
          <w:rFonts w:hint="eastAsia" w:eastAsia="仿宋_GB2312" w:cs="仿宋_GB2312"/>
          <w:sz w:val="32"/>
          <w:szCs w:val="32"/>
        </w:rPr>
        <w:t>主要原因是</w:t>
      </w:r>
      <w:r>
        <w:rPr>
          <w:rFonts w:hint="eastAsia" w:eastAsia="仿宋_GB2312" w:cs="仿宋_GB2312"/>
          <w:sz w:val="32"/>
          <w:szCs w:val="32"/>
          <w:lang w:eastAsia="zh-CN"/>
        </w:rPr>
        <w:t>下属</w:t>
      </w:r>
      <w:r>
        <w:rPr>
          <w:rFonts w:hint="default" w:ascii="仿宋_GB2312" w:hAnsi="Times New Roman" w:eastAsia="仿宋_GB2312" w:cs="仿宋_GB2312"/>
          <w:kern w:val="2"/>
          <w:sz w:val="32"/>
          <w:szCs w:val="32"/>
          <w:lang w:val="en-US" w:eastAsia="zh-CN" w:bidi="ar"/>
        </w:rPr>
        <w:t>事业单位（盐边县基层卫生发展促进中心）</w:t>
      </w:r>
      <w:r>
        <w:rPr>
          <w:rFonts w:hint="eastAsia" w:ascii="仿宋_GB2312" w:eastAsia="仿宋_GB2312" w:cs="仿宋_GB2312"/>
          <w:kern w:val="2"/>
          <w:sz w:val="32"/>
          <w:szCs w:val="32"/>
          <w:lang w:val="en-US" w:eastAsia="zh-CN" w:bidi="ar"/>
        </w:rPr>
        <w:t>人员增加</w:t>
      </w:r>
      <w:r>
        <w:rPr>
          <w:rFonts w:hint="default" w:ascii="仿宋_GB2312" w:hAnsi="Times New Roman" w:eastAsia="仿宋_GB2312" w:cs="仿宋_GB2312"/>
          <w:kern w:val="2"/>
          <w:sz w:val="32"/>
          <w:szCs w:val="32"/>
          <w:lang w:val="en-US" w:eastAsia="zh-CN" w:bidi="ar"/>
        </w:rPr>
        <w:t>，增加了该单位公用经费</w:t>
      </w:r>
      <w:r>
        <w:rPr>
          <w:rFonts w:hint="eastAsia" w:ascii="仿宋_GB2312" w:eastAsia="仿宋_GB2312" w:cs="仿宋_GB2312"/>
          <w:kern w:val="2"/>
          <w:sz w:val="32"/>
          <w:szCs w:val="32"/>
          <w:lang w:val="en-US" w:eastAsia="zh-CN" w:bidi="ar"/>
        </w:rPr>
        <w:t>。</w:t>
      </w:r>
    </w:p>
    <w:p w14:paraId="7320D1B7">
      <w:pPr>
        <w:spacing w:line="600" w:lineRule="exact"/>
        <w:ind w:firstLine="643" w:firstLineChars="200"/>
        <w:outlineLvl w:val="2"/>
        <w:rPr>
          <w:rFonts w:eastAsia="楷体_GB2312" w:cs="楷体_GB2312"/>
          <w:b/>
          <w:sz w:val="32"/>
          <w:szCs w:val="32"/>
        </w:rPr>
      </w:pPr>
      <w:bookmarkStart w:id="63" w:name="_Toc241335222"/>
      <w:bookmarkStart w:id="64" w:name="_Toc15377223"/>
      <w:r>
        <w:rPr>
          <w:rFonts w:hint="eastAsia" w:eastAsia="楷体_GB2312" w:cs="楷体_GB2312"/>
          <w:b/>
          <w:sz w:val="32"/>
          <w:szCs w:val="32"/>
        </w:rPr>
        <w:t>（二）政府采购支出情况</w:t>
      </w:r>
      <w:bookmarkEnd w:id="63"/>
      <w:bookmarkEnd w:id="64"/>
    </w:p>
    <w:p w14:paraId="2C74383F">
      <w:pPr>
        <w:keepNext w:val="0"/>
        <w:keepLines w:val="0"/>
        <w:widowControl w:val="0"/>
        <w:suppressLineNumbers w:val="0"/>
        <w:spacing w:before="0" w:beforeAutospacing="0" w:after="0" w:afterAutospacing="0"/>
        <w:ind w:left="0" w:right="0" w:firstLine="640" w:firstLineChars="200"/>
        <w:jc w:val="both"/>
        <w:rPr>
          <w:rFonts w:eastAsia="仿宋_GB2312" w:cs="仿宋_GB2312"/>
          <w:sz w:val="32"/>
          <w:szCs w:val="32"/>
        </w:rPr>
      </w:pPr>
      <w:r>
        <w:rPr>
          <w:rFonts w:hint="eastAsia" w:ascii="仿宋_GB2312" w:hAnsi="仿宋_GB2312" w:eastAsia="仿宋_GB2312" w:cs="仿宋_GB2312"/>
          <w:sz w:val="32"/>
          <w:szCs w:val="32"/>
        </w:rPr>
        <w:t>2024年度，</w:t>
      </w:r>
      <w:r>
        <w:rPr>
          <w:rFonts w:hint="default" w:ascii="仿宋_GB2312" w:hAnsi="Times New Roman" w:eastAsia="仿宋_GB2312" w:cs="仿宋_GB2312"/>
          <w:kern w:val="2"/>
          <w:sz w:val="32"/>
          <w:szCs w:val="32"/>
          <w:lang w:val="en-US" w:eastAsia="zh-CN" w:bidi="ar"/>
        </w:rPr>
        <w:t>盐边县卫生健康局</w:t>
      </w:r>
      <w:r>
        <w:rPr>
          <w:rFonts w:hint="eastAsia" w:ascii="仿宋_GB2312" w:hAnsi="仿宋_GB2312" w:eastAsia="仿宋_GB2312" w:cs="仿宋_GB2312"/>
          <w:sz w:val="32"/>
          <w:szCs w:val="32"/>
        </w:rPr>
        <w:t>政府采购支出总额</w:t>
      </w:r>
      <w:r>
        <w:rPr>
          <w:rFonts w:hint="eastAsia" w:ascii="仿宋_GB2312" w:hAnsi="仿宋_GB2312" w:eastAsia="仿宋_GB2312" w:cs="仿宋_GB2312"/>
          <w:sz w:val="32"/>
          <w:szCs w:val="32"/>
          <w:lang w:val="en-US" w:eastAsia="zh-CN"/>
        </w:rPr>
        <w:t>2.72</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2.72</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sz w:val="32"/>
          <w:szCs w:val="32"/>
          <w:lang w:eastAsia="zh-CN"/>
        </w:rPr>
        <w:t>办公室日常办公</w:t>
      </w:r>
      <w:r>
        <w:rPr>
          <w:rFonts w:hint="eastAsia" w:ascii="仿宋_GB2312" w:hAnsi="仿宋_GB2312" w:eastAsia="仿宋_GB2312" w:cs="仿宋_GB2312"/>
          <w:sz w:val="32"/>
          <w:szCs w:val="32"/>
        </w:rPr>
        <w:t>。授予中小企业合同金额</w:t>
      </w:r>
      <w:r>
        <w:rPr>
          <w:rFonts w:hint="eastAsia" w:ascii="仿宋_GB2312" w:hAnsi="仿宋_GB2312" w:eastAsia="仿宋_GB2312" w:cs="仿宋_GB2312"/>
          <w:sz w:val="32"/>
          <w:szCs w:val="32"/>
          <w:lang w:val="en-US" w:eastAsia="zh-CN"/>
        </w:rPr>
        <w:t>2.72</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%，其中：授予小微企业合同金额</w:t>
      </w:r>
      <w:r>
        <w:rPr>
          <w:rFonts w:hint="eastAsia" w:ascii="仿宋_GB2312" w:hAnsi="仿宋_GB2312" w:eastAsia="仿宋_GB2312" w:cs="仿宋_GB2312"/>
          <w:sz w:val="32"/>
          <w:szCs w:val="32"/>
          <w:lang w:val="en-US" w:eastAsia="zh-CN"/>
        </w:rPr>
        <w:t>2.72</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14:paraId="380E2136">
      <w:pPr>
        <w:spacing w:line="600" w:lineRule="exact"/>
        <w:ind w:firstLine="643" w:firstLineChars="200"/>
        <w:outlineLvl w:val="2"/>
        <w:rPr>
          <w:rFonts w:eastAsia="楷体_GB2312" w:cs="楷体_GB2312"/>
          <w:b/>
          <w:sz w:val="32"/>
          <w:szCs w:val="32"/>
        </w:rPr>
      </w:pPr>
      <w:bookmarkStart w:id="65" w:name="_Toc1434964001"/>
      <w:bookmarkStart w:id="66" w:name="_Toc15377224"/>
      <w:r>
        <w:rPr>
          <w:rFonts w:hint="eastAsia" w:eastAsia="楷体_GB2312" w:cs="楷体_GB2312"/>
          <w:b/>
          <w:sz w:val="32"/>
          <w:szCs w:val="32"/>
        </w:rPr>
        <w:t>（三）国有资产占有使用情况</w:t>
      </w:r>
      <w:bookmarkEnd w:id="65"/>
      <w:bookmarkEnd w:id="66"/>
    </w:p>
    <w:p w14:paraId="708255D2">
      <w:pPr>
        <w:keepNext w:val="0"/>
        <w:keepLines w:val="0"/>
        <w:widowControl w:val="0"/>
        <w:suppressLineNumbers w:val="0"/>
        <w:spacing w:before="0" w:beforeAutospacing="0" w:after="0" w:afterAutospacing="0"/>
        <w:ind w:left="0" w:right="0" w:firstLine="640" w:firstLineChars="200"/>
        <w:jc w:val="both"/>
        <w:rPr>
          <w:rFonts w:eastAsia="仿宋_GB2312" w:cs="仿宋_GB2312"/>
          <w:sz w:val="32"/>
          <w:szCs w:val="32"/>
        </w:rPr>
      </w:pPr>
      <w:r>
        <w:rPr>
          <w:rFonts w:hint="eastAsia" w:ascii="仿宋_GB2312" w:hAnsi="仿宋_GB2312" w:eastAsia="仿宋_GB2312" w:cs="仿宋_GB2312"/>
          <w:sz w:val="32"/>
          <w:szCs w:val="32"/>
        </w:rPr>
        <w:t>截至2024年12月31日，</w:t>
      </w:r>
      <w:r>
        <w:rPr>
          <w:rFonts w:hint="default" w:ascii="仿宋_GB2312" w:hAnsi="Times New Roman" w:eastAsia="仿宋_GB2312" w:cs="仿宋_GB2312"/>
          <w:kern w:val="2"/>
          <w:sz w:val="32"/>
          <w:szCs w:val="32"/>
          <w:lang w:val="en-US" w:eastAsia="zh-CN" w:bidi="ar"/>
        </w:rPr>
        <w:t>盐边县卫生健康局</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本级）共有车辆</w:t>
      </w: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辆，其中：主要领导干部用车</w:t>
      </w:r>
      <w:r>
        <w:rPr>
          <w:rFonts w:hint="default" w:ascii="Times New Roman" w:hAnsi="Times New Roman" w:eastAsia="仿宋_GB2312" w:cs="Times New Roman"/>
          <w:kern w:val="2"/>
          <w:sz w:val="32"/>
          <w:szCs w:val="32"/>
          <w:lang w:val="en-US" w:eastAsia="zh-CN" w:bidi="ar"/>
        </w:rPr>
        <w:t>0</w:t>
      </w:r>
      <w:r>
        <w:rPr>
          <w:rFonts w:hint="default" w:ascii="仿宋_GB2312" w:hAnsi="Times New Roman" w:eastAsia="仿宋_GB2312" w:cs="仿宋_GB2312"/>
          <w:kern w:val="2"/>
          <w:sz w:val="32"/>
          <w:szCs w:val="32"/>
          <w:lang w:val="en-US" w:eastAsia="zh-CN" w:bidi="ar"/>
        </w:rPr>
        <w:t>辆、机要通信用车</w:t>
      </w:r>
      <w:r>
        <w:rPr>
          <w:rFonts w:hint="default" w:ascii="Times New Roman" w:hAnsi="Times New Roman" w:eastAsia="仿宋_GB2312" w:cs="Times New Roman"/>
          <w:kern w:val="2"/>
          <w:sz w:val="32"/>
          <w:szCs w:val="32"/>
          <w:lang w:val="en-US" w:eastAsia="zh-CN" w:bidi="ar"/>
        </w:rPr>
        <w:t>0</w:t>
      </w:r>
      <w:r>
        <w:rPr>
          <w:rFonts w:hint="default" w:ascii="仿宋_GB2312" w:hAnsi="Times New Roman" w:eastAsia="仿宋_GB2312" w:cs="仿宋_GB2312"/>
          <w:kern w:val="2"/>
          <w:sz w:val="32"/>
          <w:szCs w:val="32"/>
          <w:lang w:val="en-US" w:eastAsia="zh-CN" w:bidi="ar"/>
        </w:rPr>
        <w:t>辆、应急保障用车</w:t>
      </w:r>
      <w:r>
        <w:rPr>
          <w:rFonts w:hint="default" w:ascii="Times New Roman" w:hAnsi="Times New Roman" w:eastAsia="仿宋_GB2312" w:cs="Times New Roman"/>
          <w:kern w:val="2"/>
          <w:sz w:val="32"/>
          <w:szCs w:val="32"/>
          <w:lang w:val="en-US" w:eastAsia="zh-CN" w:bidi="ar"/>
        </w:rPr>
        <w:t>0</w:t>
      </w:r>
      <w:r>
        <w:rPr>
          <w:rFonts w:hint="default" w:ascii="仿宋_GB2312" w:hAnsi="Times New Roman" w:eastAsia="仿宋_GB2312" w:cs="仿宋_GB2312"/>
          <w:kern w:val="2"/>
          <w:sz w:val="32"/>
          <w:szCs w:val="32"/>
          <w:lang w:val="en-US" w:eastAsia="zh-CN" w:bidi="ar"/>
        </w:rPr>
        <w:t>辆、其他用车</w:t>
      </w: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辆，其他用车主要是用于日常工作公务用车及原计生局未报废的其他计划生育服务用车。单价</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万元以上设备（不含车辆）</w:t>
      </w:r>
      <w:r>
        <w:rPr>
          <w:rFonts w:hint="default" w:ascii="Times New Roman" w:hAnsi="Times New Roman" w:eastAsia="仿宋_GB2312" w:cs="Times New Roman"/>
          <w:kern w:val="2"/>
          <w:sz w:val="32"/>
          <w:szCs w:val="32"/>
          <w:lang w:val="en-US" w:eastAsia="zh-CN" w:bidi="ar"/>
        </w:rPr>
        <w:t>0</w:t>
      </w:r>
      <w:r>
        <w:rPr>
          <w:rFonts w:hint="default" w:ascii="仿宋_GB2312" w:hAnsi="Times New Roman" w:eastAsia="仿宋_GB2312" w:cs="仿宋_GB2312"/>
          <w:kern w:val="2"/>
          <w:sz w:val="32"/>
          <w:szCs w:val="32"/>
          <w:lang w:val="en-US" w:eastAsia="zh-CN" w:bidi="ar"/>
        </w:rPr>
        <w:t>台（套）。</w:t>
      </w:r>
    </w:p>
    <w:p w14:paraId="4F5BD62F">
      <w:pPr>
        <w:spacing w:line="600" w:lineRule="exact"/>
        <w:ind w:firstLine="643" w:firstLineChars="200"/>
        <w:outlineLvl w:val="2"/>
        <w:rPr>
          <w:rFonts w:eastAsia="楷体_GB2312" w:cs="楷体_GB2312"/>
          <w:b/>
          <w:sz w:val="32"/>
          <w:szCs w:val="32"/>
        </w:rPr>
      </w:pPr>
      <w:bookmarkStart w:id="67" w:name="_Toc1673065434"/>
      <w:r>
        <w:rPr>
          <w:rFonts w:hint="eastAsia" w:eastAsia="楷体_GB2312" w:cs="楷体_GB2312"/>
          <w:b/>
          <w:sz w:val="32"/>
          <w:szCs w:val="32"/>
        </w:rPr>
        <w:t>（四）预算绩效管理情况</w:t>
      </w:r>
      <w:bookmarkEnd w:id="67"/>
    </w:p>
    <w:p w14:paraId="1F8E65EE">
      <w:pPr>
        <w:keepNext w:val="0"/>
        <w:keepLines w:val="0"/>
        <w:widowControl w:val="0"/>
        <w:suppressLineNumbers w:val="0"/>
        <w:spacing w:before="0" w:beforeAutospacing="0" w:after="0" w:afterAutospacing="0"/>
        <w:ind w:left="0" w:right="0" w:firstLine="640" w:firstLineChars="200"/>
        <w:jc w:val="both"/>
        <w:rPr>
          <w:rFonts w:eastAsia="仿宋_GB2312" w:cs="仿宋_GB2312"/>
          <w:sz w:val="32"/>
          <w:szCs w:val="32"/>
        </w:rPr>
      </w:pPr>
      <w:r>
        <w:rPr>
          <w:rFonts w:hint="eastAsia" w:eastAsia="仿宋_GB2312" w:cs="仿宋_GB2312"/>
          <w:sz w:val="32"/>
          <w:szCs w:val="32"/>
        </w:rPr>
        <w:t>根据预算绩效管理要求，</w:t>
      </w:r>
      <w:r>
        <w:rPr>
          <w:rFonts w:hint="eastAsia" w:eastAsia="仿宋_GB2312" w:cs="仿宋_GB2312"/>
          <w:sz w:val="32"/>
          <w:szCs w:val="32"/>
          <w:lang w:eastAsia="zh-CN"/>
        </w:rPr>
        <w:t>盐边县卫生健康局</w:t>
      </w:r>
      <w:r>
        <w:rPr>
          <w:rFonts w:hint="eastAsia" w:eastAsia="仿宋_GB2312" w:cs="仿宋_GB2312"/>
          <w:sz w:val="32"/>
          <w:szCs w:val="32"/>
        </w:rPr>
        <w:t>在2024年度预算编制阶段，组织对</w:t>
      </w:r>
      <w:r>
        <w:rPr>
          <w:rFonts w:hint="default" w:ascii="仿宋_GB2312" w:hAnsi="Times New Roman" w:eastAsia="仿宋_GB2312" w:cs="仿宋_GB2312"/>
          <w:kern w:val="2"/>
          <w:sz w:val="32"/>
          <w:szCs w:val="32"/>
          <w:lang w:val="en-US" w:eastAsia="zh-CN" w:bidi="ar"/>
        </w:rPr>
        <w:t>中药材产业发展规划、独生子女父母奖励金、医疗机构国家基本公共卫生服务项目县级配套经费等</w:t>
      </w:r>
      <w:r>
        <w:rPr>
          <w:rFonts w:hint="default" w:ascii="Times New Roman" w:hAnsi="Times New Roman" w:eastAsia="仿宋_GB2312" w:cs="Times New Roman"/>
          <w:kern w:val="2"/>
          <w:sz w:val="32"/>
          <w:szCs w:val="32"/>
          <w:lang w:val="en-US" w:eastAsia="zh-CN" w:bidi="ar"/>
        </w:rPr>
        <w:t>42</w:t>
      </w:r>
      <w:r>
        <w:rPr>
          <w:rFonts w:hint="eastAsia" w:eastAsia="仿宋_GB2312" w:cs="仿宋_GB2312"/>
          <w:sz w:val="32"/>
          <w:szCs w:val="32"/>
        </w:rPr>
        <w:t>个项目开展了预算事前绩效评估，对</w:t>
      </w:r>
      <w:r>
        <w:rPr>
          <w:rFonts w:hint="eastAsia" w:eastAsia="仿宋_GB2312" w:cs="仿宋_GB2312"/>
          <w:sz w:val="32"/>
          <w:szCs w:val="32"/>
          <w:lang w:val="en-US" w:eastAsia="zh-CN"/>
        </w:rPr>
        <w:t>42</w:t>
      </w:r>
      <w:r>
        <w:rPr>
          <w:rFonts w:hint="eastAsia" w:eastAsia="仿宋_GB2312" w:cs="仿宋_GB2312"/>
          <w:sz w:val="32"/>
          <w:szCs w:val="32"/>
        </w:rPr>
        <w:t>个项目编制了绩效目标，预算执行过程中，选取</w:t>
      </w:r>
      <w:r>
        <w:rPr>
          <w:rFonts w:hint="eastAsia" w:eastAsia="仿宋_GB2312" w:cs="仿宋_GB2312"/>
          <w:sz w:val="32"/>
          <w:szCs w:val="32"/>
          <w:lang w:val="en-US" w:eastAsia="zh-CN"/>
        </w:rPr>
        <w:t>42</w:t>
      </w:r>
      <w:r>
        <w:rPr>
          <w:rFonts w:hint="eastAsia" w:eastAsia="仿宋_GB2312" w:cs="仿宋_GB2312"/>
          <w:sz w:val="32"/>
          <w:szCs w:val="32"/>
        </w:rPr>
        <w:t>个项目开展绩效监控。</w:t>
      </w:r>
    </w:p>
    <w:p w14:paraId="4502F8FA">
      <w:pPr>
        <w:keepNext w:val="0"/>
        <w:keepLines w:val="0"/>
        <w:widowControl w:val="0"/>
        <w:suppressLineNumbers w:val="0"/>
        <w:spacing w:before="0" w:beforeAutospacing="0" w:after="0" w:afterAutospacing="0"/>
        <w:ind w:left="0" w:right="0"/>
        <w:jc w:val="both"/>
      </w:pPr>
      <w:r>
        <w:rPr>
          <w:rFonts w:hint="eastAsia" w:eastAsia="仿宋_GB2312" w:cs="仿宋_GB2312"/>
          <w:sz w:val="32"/>
          <w:szCs w:val="32"/>
        </w:rPr>
        <w:t>组织对2024年度一般公共预算、政府性基金预算、以及债券资金等全面开展绩效自评，形成</w:t>
      </w:r>
      <w:r>
        <w:rPr>
          <w:rFonts w:hint="default" w:ascii="仿宋_GB2312" w:hAnsi="Times New Roman" w:eastAsia="仿宋_GB2312" w:cs="仿宋_GB2312"/>
          <w:kern w:val="2"/>
          <w:sz w:val="32"/>
          <w:szCs w:val="32"/>
          <w:lang w:val="en-US" w:eastAsia="zh-CN" w:bidi="ar"/>
        </w:rPr>
        <w:t>盐边县卫生健康局</w:t>
      </w:r>
      <w:r>
        <w:rPr>
          <w:rFonts w:hint="eastAsia" w:eastAsia="仿宋_GB2312" w:cs="仿宋_GB2312"/>
          <w:sz w:val="32"/>
          <w:szCs w:val="32"/>
        </w:rPr>
        <w:t>部门整体（含部门预算项目）绩效自评报告、</w:t>
      </w:r>
      <w:r>
        <w:rPr>
          <w:rFonts w:hint="default" w:ascii="仿宋_GB2312" w:hAnsi="Times New Roman" w:eastAsia="仿宋_GB2312" w:cs="仿宋_GB2312"/>
          <w:kern w:val="2"/>
          <w:sz w:val="32"/>
          <w:szCs w:val="32"/>
          <w:lang w:val="en-US" w:eastAsia="zh-CN" w:bidi="ar"/>
        </w:rPr>
        <w:t>中药材产业发展规划、独生子女父母奖励金、医疗机构国家基本公共卫生服务项目县级配套经费</w:t>
      </w:r>
      <w:r>
        <w:rPr>
          <w:rFonts w:hint="eastAsia" w:eastAsia="仿宋_GB2312" w:cs="仿宋_GB2312"/>
          <w:sz w:val="32"/>
          <w:szCs w:val="32"/>
        </w:rPr>
        <w:t>等专项预算项目绩效自评报告，其中，</w:t>
      </w:r>
      <w:r>
        <w:rPr>
          <w:rFonts w:hint="default" w:ascii="仿宋_GB2312" w:hAnsi="Times New Roman" w:eastAsia="仿宋_GB2312" w:cs="仿宋_GB2312"/>
          <w:kern w:val="2"/>
          <w:sz w:val="32"/>
          <w:szCs w:val="32"/>
          <w:lang w:val="en-US" w:eastAsia="zh-CN" w:bidi="ar"/>
        </w:rPr>
        <w:t>盐边县卫生健康局</w:t>
      </w:r>
      <w:r>
        <w:rPr>
          <w:rFonts w:hint="eastAsia" w:eastAsia="仿宋_GB2312" w:cs="仿宋_GB2312"/>
          <w:sz w:val="32"/>
          <w:szCs w:val="32"/>
        </w:rPr>
        <w:t>部门整体（含部门预算项目）绩效自评得分为</w:t>
      </w:r>
      <w:r>
        <w:rPr>
          <w:rFonts w:hint="eastAsia" w:eastAsia="仿宋_GB2312" w:cs="仿宋_GB2312"/>
          <w:sz w:val="32"/>
          <w:szCs w:val="32"/>
          <w:lang w:val="en-US" w:eastAsia="zh-CN"/>
        </w:rPr>
        <w:t>94.2</w:t>
      </w:r>
      <w:r>
        <w:rPr>
          <w:rFonts w:hint="eastAsia" w:eastAsia="仿宋_GB2312" w:cs="仿宋_GB2312"/>
          <w:sz w:val="32"/>
          <w:szCs w:val="32"/>
        </w:rPr>
        <w:t>分，绩效自评综述</w:t>
      </w:r>
      <w:r>
        <w:rPr>
          <w:rFonts w:hint="default" w:ascii="Times New Roman" w:hAnsi="Times New Roman" w:eastAsia="方正仿宋_GBK" w:cs="Times New Roman"/>
          <w:kern w:val="2"/>
          <w:sz w:val="32"/>
          <w:szCs w:val="32"/>
          <w:lang w:val="en-US" w:eastAsia="zh-CN" w:bidi="ar"/>
        </w:rPr>
        <w:t>2024</w:t>
      </w:r>
      <w:r>
        <w:rPr>
          <w:rFonts w:hint="eastAsia" w:ascii="方正仿宋_GBK" w:hAnsi="方正仿宋_GBK" w:eastAsia="方正仿宋_GBK" w:cs="方正仿宋_GBK"/>
          <w:kern w:val="2"/>
          <w:sz w:val="32"/>
          <w:szCs w:val="32"/>
          <w:lang w:val="en-US" w:eastAsia="zh-CN" w:bidi="ar"/>
        </w:rPr>
        <w:t>年预算项目绩效目标完成良好，大部分目标完成，不存在挤占、挪用、闲置资金情况，最大限度发挥了资金作用，服务对象满意率较高</w:t>
      </w:r>
      <w:r>
        <w:rPr>
          <w:rFonts w:hint="eastAsia" w:eastAsia="仿宋_GB2312" w:cs="仿宋_GB2312"/>
          <w:sz w:val="32"/>
          <w:szCs w:val="32"/>
        </w:rPr>
        <w:t>；</w:t>
      </w:r>
      <w:r>
        <w:rPr>
          <w:rFonts w:hint="eastAsia" w:ascii="方正仿宋_GBK" w:hAnsi="方正仿宋_GBK" w:eastAsia="方正仿宋_GBK" w:cs="方正仿宋_GBK"/>
          <w:kern w:val="2"/>
          <w:sz w:val="32"/>
          <w:szCs w:val="32"/>
          <w:lang w:val="en-US" w:eastAsia="zh-CN" w:bidi="ar"/>
        </w:rPr>
        <w:t>计划生育服务资金</w:t>
      </w:r>
      <w:r>
        <w:rPr>
          <w:rFonts w:hint="eastAsia" w:eastAsia="仿宋_GB2312" w:cs="仿宋_GB2312"/>
          <w:sz w:val="32"/>
          <w:szCs w:val="32"/>
        </w:rPr>
        <w:t>专项预算项目绩效自评得分为</w:t>
      </w:r>
      <w:r>
        <w:rPr>
          <w:rFonts w:hint="eastAsia" w:eastAsia="仿宋_GB2312" w:cs="仿宋_GB2312"/>
          <w:sz w:val="32"/>
          <w:szCs w:val="32"/>
          <w:lang w:val="en-US" w:eastAsia="zh-CN"/>
        </w:rPr>
        <w:t>100</w:t>
      </w:r>
      <w:r>
        <w:rPr>
          <w:rFonts w:hint="eastAsia" w:eastAsia="仿宋_GB2312" w:cs="仿宋_GB2312"/>
          <w:sz w:val="32"/>
          <w:szCs w:val="32"/>
        </w:rPr>
        <w:t>分，绩效自评综述</w:t>
      </w:r>
      <w:r>
        <w:rPr>
          <w:rFonts w:hint="eastAsia" w:eastAsia="仿宋_GB2312" w:cs="仿宋_GB2312"/>
          <w:sz w:val="32"/>
          <w:szCs w:val="32"/>
          <w:lang w:eastAsia="zh-CN"/>
        </w:rPr>
        <w:t>：通过项目的实施，提高了家庭发展能力，保障和改善了民生，促进了社会和谐稳定；盐边县第二人民医院建设</w:t>
      </w:r>
      <w:r>
        <w:rPr>
          <w:rFonts w:hint="eastAsia" w:eastAsia="仿宋_GB2312" w:cs="仿宋_GB2312"/>
          <w:sz w:val="32"/>
          <w:szCs w:val="32"/>
        </w:rPr>
        <w:t>专项预算项目绩效自评得分为</w:t>
      </w:r>
      <w:r>
        <w:rPr>
          <w:rFonts w:hint="eastAsia" w:eastAsia="仿宋_GB2312" w:cs="仿宋_GB2312"/>
          <w:sz w:val="32"/>
          <w:szCs w:val="32"/>
          <w:lang w:val="en-US" w:eastAsia="zh-CN"/>
        </w:rPr>
        <w:t>100</w:t>
      </w:r>
      <w:r>
        <w:rPr>
          <w:rFonts w:hint="eastAsia" w:eastAsia="仿宋_GB2312" w:cs="仿宋_GB2312"/>
          <w:sz w:val="32"/>
          <w:szCs w:val="32"/>
        </w:rPr>
        <w:t>分，绩效自评综述</w:t>
      </w:r>
      <w:r>
        <w:rPr>
          <w:rFonts w:hint="eastAsia" w:eastAsia="仿宋_GB2312" w:cs="仿宋_GB2312"/>
          <w:sz w:val="32"/>
          <w:szCs w:val="32"/>
          <w:lang w:eastAsia="zh-CN"/>
        </w:rPr>
        <w:t>：</w:t>
      </w:r>
      <w:r>
        <w:rPr>
          <w:rFonts w:hint="eastAsia" w:eastAsia="仿宋_GB2312" w:cs="仿宋_GB2312"/>
          <w:sz w:val="32"/>
          <w:szCs w:val="32"/>
        </w:rPr>
        <w:t>该项目的实施有助于完善县域公共医疗卫生基础设施，将进一步改善群众看病就医环境和医疗卫生条件，有利于提高医务工作者的积极性，有利于促进医护质量的全面提高。项目在建设期为周边群众提供就业机会，对稳定当地的社会秩序有一定的促进作用。项目按时间节点完成年度任务；盐边县紧密型医共体建设专项资金经费专项预算项目绩效自评得分为</w:t>
      </w:r>
      <w:r>
        <w:rPr>
          <w:rFonts w:hint="eastAsia" w:eastAsia="仿宋_GB2312" w:cs="仿宋_GB2312"/>
          <w:sz w:val="32"/>
          <w:szCs w:val="32"/>
          <w:lang w:val="en-US" w:eastAsia="zh-CN"/>
        </w:rPr>
        <w:t>83.3</w:t>
      </w:r>
      <w:r>
        <w:rPr>
          <w:rFonts w:hint="eastAsia" w:eastAsia="仿宋_GB2312" w:cs="仿宋_GB2312"/>
          <w:sz w:val="32"/>
          <w:szCs w:val="32"/>
        </w:rPr>
        <w:t>分，绩效自评综述2024年未做紧密型医共体建设专项资金经费预算，但从紧密型医共体建设专项资金中拨付74.16万元用于支付全职干部职工体检费用，保障了职工权益，稳定了干部职工队伍。</w:t>
      </w:r>
      <w:r>
        <w:rPr>
          <w:rFonts w:hint="default" w:ascii="仿宋_GB2312" w:hAnsi="Times New Roman" w:eastAsia="仿宋_GB2312" w:cs="仿宋_GB2312"/>
          <w:color w:val="000000"/>
          <w:kern w:val="2"/>
          <w:sz w:val="32"/>
          <w:szCs w:val="32"/>
          <w:lang w:val="en-US" w:eastAsia="zh-CN" w:bidi="ar"/>
        </w:rPr>
        <w:t>绩效自评表详见第四部分附件。</w:t>
      </w:r>
      <w:bookmarkStart w:id="112" w:name="_GoBack"/>
      <w:bookmarkEnd w:id="112"/>
    </w:p>
    <w:p w14:paraId="4FC8D709">
      <w:pPr>
        <w:keepNext w:val="0"/>
        <w:keepLines w:val="0"/>
        <w:widowControl w:val="0"/>
        <w:suppressLineNumbers w:val="0"/>
        <w:spacing w:before="0" w:beforeAutospacing="0" w:after="0" w:afterAutospacing="0" w:line="576" w:lineRule="exact"/>
        <w:ind w:left="0" w:right="0" w:firstLine="640" w:firstLineChars="200"/>
        <w:jc w:val="both"/>
        <w:rPr>
          <w:rFonts w:eastAsia="仿宋_GB2312" w:cs="仿宋_GB2312"/>
          <w:sz w:val="32"/>
          <w:szCs w:val="32"/>
        </w:rPr>
      </w:pPr>
    </w:p>
    <w:p w14:paraId="2B5DDCEA">
      <w:pPr>
        <w:spacing w:line="600" w:lineRule="exact"/>
        <w:ind w:firstLine="640"/>
        <w:rPr>
          <w:rFonts w:eastAsia="仿宋_GB2312" w:cs="仿宋_GB2312"/>
          <w:sz w:val="32"/>
          <w:szCs w:val="32"/>
        </w:rPr>
      </w:pPr>
    </w:p>
    <w:p w14:paraId="57A57415">
      <w:pPr>
        <w:pStyle w:val="14"/>
      </w:pPr>
    </w:p>
    <w:p w14:paraId="1A0056BD">
      <w:pPr>
        <w:pStyle w:val="8"/>
        <w:ind w:left="420"/>
      </w:pPr>
    </w:p>
    <w:p w14:paraId="52295BE2">
      <w:pPr>
        <w:pStyle w:val="8"/>
        <w:ind w:left="420"/>
      </w:pPr>
    </w:p>
    <w:p w14:paraId="2530C20A">
      <w:pPr>
        <w:pStyle w:val="8"/>
        <w:ind w:left="420"/>
      </w:pPr>
    </w:p>
    <w:p w14:paraId="52142CE8">
      <w:pPr>
        <w:pStyle w:val="8"/>
        <w:ind w:left="420"/>
      </w:pPr>
    </w:p>
    <w:p w14:paraId="0074E62E">
      <w:pPr>
        <w:pStyle w:val="8"/>
        <w:ind w:left="420"/>
      </w:pPr>
    </w:p>
    <w:p w14:paraId="2C3E0693">
      <w:pPr>
        <w:pStyle w:val="8"/>
        <w:ind w:left="0" w:leftChars="0" w:firstLine="0" w:firstLineChars="0"/>
      </w:pPr>
    </w:p>
    <w:p w14:paraId="6A142B73">
      <w:pPr>
        <w:spacing w:line="600" w:lineRule="exact"/>
        <w:jc w:val="center"/>
        <w:outlineLvl w:val="0"/>
        <w:rPr>
          <w:rFonts w:eastAsia="黑体"/>
          <w:sz w:val="44"/>
          <w:szCs w:val="44"/>
        </w:rPr>
      </w:pPr>
      <w:bookmarkStart w:id="68" w:name="_Toc15396613"/>
      <w:bookmarkStart w:id="69" w:name="_Toc1529892215"/>
      <w:bookmarkStart w:id="70" w:name="_Toc15377225"/>
      <w:r>
        <w:rPr>
          <w:rFonts w:hint="eastAsia" w:eastAsia="黑体"/>
          <w:sz w:val="44"/>
          <w:szCs w:val="44"/>
        </w:rPr>
        <w:t>第三部分  名词解释</w:t>
      </w:r>
      <w:bookmarkEnd w:id="68"/>
      <w:bookmarkEnd w:id="69"/>
      <w:bookmarkEnd w:id="70"/>
    </w:p>
    <w:p w14:paraId="308D596D">
      <w:pPr>
        <w:spacing w:line="600" w:lineRule="exact"/>
        <w:jc w:val="left"/>
        <w:rPr>
          <w:b/>
          <w:sz w:val="44"/>
          <w:szCs w:val="44"/>
        </w:rPr>
      </w:pPr>
    </w:p>
    <w:p w14:paraId="71EA4320">
      <w:pPr>
        <w:spacing w:line="600" w:lineRule="exact"/>
        <w:ind w:firstLine="640"/>
        <w:rPr>
          <w:rFonts w:eastAsia="仿宋_GB2312" w:cs="仿宋_GB2312"/>
          <w:sz w:val="32"/>
          <w:szCs w:val="32"/>
        </w:rPr>
      </w:pPr>
      <w:r>
        <w:rPr>
          <w:rFonts w:hint="eastAsia" w:eastAsia="仿宋_GB2312" w:cs="仿宋_GB2312"/>
          <w:sz w:val="32"/>
          <w:szCs w:val="32"/>
        </w:rPr>
        <w:t>1.财政拨款收入：指单位从同级财政部门取得的财政预算资金。</w:t>
      </w:r>
    </w:p>
    <w:p w14:paraId="4F3A6C88">
      <w:pPr>
        <w:spacing w:line="600" w:lineRule="exact"/>
        <w:ind w:firstLine="640"/>
        <w:rPr>
          <w:rFonts w:eastAsia="仿宋_GB2312" w:cs="仿宋_GB2312"/>
          <w:sz w:val="32"/>
          <w:szCs w:val="32"/>
        </w:rPr>
      </w:pPr>
      <w:r>
        <w:rPr>
          <w:rFonts w:hint="eastAsia" w:eastAsia="仿宋_GB2312" w:cs="仿宋_GB2312"/>
          <w:sz w:val="32"/>
          <w:szCs w:val="32"/>
        </w:rPr>
        <w:t xml:space="preserve">2.年初结转和结余：指以前年度尚未完成、结转到本年按有关规定继续使用的资金。 </w:t>
      </w:r>
    </w:p>
    <w:p w14:paraId="44BBD2A9">
      <w:pPr>
        <w:spacing w:line="600" w:lineRule="exact"/>
        <w:ind w:firstLine="640"/>
        <w:rPr>
          <w:rFonts w:eastAsia="仿宋_GB2312" w:cs="仿宋_GB2312"/>
          <w:sz w:val="32"/>
          <w:szCs w:val="32"/>
        </w:rPr>
      </w:pPr>
      <w:r>
        <w:rPr>
          <w:rFonts w:hint="eastAsia" w:eastAsia="仿宋_GB2312" w:cs="仿宋_GB2312"/>
          <w:sz w:val="32"/>
          <w:szCs w:val="32"/>
          <w:lang w:val="en-US" w:eastAsia="zh-CN"/>
        </w:rPr>
        <w:t>3</w:t>
      </w:r>
      <w:r>
        <w:rPr>
          <w:rFonts w:hint="eastAsia" w:eastAsia="仿宋_GB2312" w:cs="仿宋_GB2312"/>
          <w:sz w:val="32"/>
          <w:szCs w:val="32"/>
        </w:rPr>
        <w:t>.结余分配：指事业单位按照会计制度规定缴纳的所得税、提取的专用结余以及转入非财政拨款结余的金额等。</w:t>
      </w:r>
    </w:p>
    <w:p w14:paraId="2AE53279">
      <w:pPr>
        <w:spacing w:line="600" w:lineRule="exact"/>
        <w:ind w:firstLine="640"/>
        <w:rPr>
          <w:rFonts w:eastAsia="仿宋_GB2312" w:cs="仿宋_GB2312"/>
          <w:sz w:val="32"/>
          <w:szCs w:val="32"/>
        </w:rPr>
      </w:pPr>
      <w:r>
        <w:rPr>
          <w:rFonts w:hint="eastAsia" w:eastAsia="仿宋_GB2312" w:cs="仿宋_GB2312"/>
          <w:sz w:val="32"/>
          <w:szCs w:val="32"/>
          <w:lang w:val="en-US" w:eastAsia="zh-CN"/>
        </w:rPr>
        <w:t>4</w:t>
      </w:r>
      <w:r>
        <w:rPr>
          <w:rFonts w:hint="eastAsia" w:eastAsia="仿宋_GB2312" w:cs="仿宋_GB2312"/>
          <w:sz w:val="32"/>
          <w:szCs w:val="32"/>
        </w:rPr>
        <w:t>.年末结转和结余：指单位按有关规定结转到下年或以后年度继续使用的资金。</w:t>
      </w:r>
    </w:p>
    <w:p w14:paraId="46DAF53C">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eastAsia" w:eastAsia="仿宋_GB2312" w:cs="Times New Roman"/>
          <w:kern w:val="2"/>
          <w:sz w:val="32"/>
          <w:szCs w:val="32"/>
          <w:lang w:val="en-US" w:eastAsia="zh-CN" w:bidi="ar"/>
        </w:rPr>
        <w:t>5</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社会保障和就业支出（</w:t>
      </w:r>
      <w:r>
        <w:rPr>
          <w:rFonts w:hint="default" w:ascii="Times New Roman" w:hAnsi="Times New Roman" w:eastAsia="仿宋_GB2312" w:cs="Times New Roman"/>
          <w:kern w:val="2"/>
          <w:sz w:val="32"/>
          <w:szCs w:val="32"/>
          <w:lang w:val="en-US" w:eastAsia="zh-CN" w:bidi="ar"/>
        </w:rPr>
        <w:t>208</w:t>
      </w:r>
      <w:r>
        <w:rPr>
          <w:rFonts w:hint="default" w:ascii="仿宋_GB2312" w:hAnsi="Times New Roman" w:eastAsia="仿宋_GB2312" w:cs="仿宋_GB2312"/>
          <w:kern w:val="2"/>
          <w:sz w:val="32"/>
          <w:szCs w:val="32"/>
          <w:lang w:val="en-US" w:eastAsia="zh-CN" w:bidi="ar"/>
        </w:rPr>
        <w:t>类）行政事业单位养老支出（</w:t>
      </w:r>
      <w:r>
        <w:rPr>
          <w:rFonts w:hint="default" w:ascii="Times New Roman" w:hAnsi="Times New Roman" w:eastAsia="仿宋_GB2312" w:cs="Times New Roman"/>
          <w:kern w:val="2"/>
          <w:sz w:val="32"/>
          <w:szCs w:val="32"/>
          <w:lang w:val="en-US" w:eastAsia="zh-CN" w:bidi="ar"/>
        </w:rPr>
        <w:t>05</w:t>
      </w:r>
      <w:r>
        <w:rPr>
          <w:rFonts w:hint="default" w:ascii="仿宋_GB2312" w:hAnsi="Times New Roman" w:eastAsia="仿宋_GB2312" w:cs="仿宋_GB2312"/>
          <w:kern w:val="2"/>
          <w:sz w:val="32"/>
          <w:szCs w:val="32"/>
          <w:lang w:val="en-US" w:eastAsia="zh-CN" w:bidi="ar"/>
        </w:rPr>
        <w:t>款）行政单位离退休（</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项）：反映行政单位（包括实行公务员管理的事业单位）开支的离退休经费。</w:t>
      </w:r>
    </w:p>
    <w:p w14:paraId="19B6F6F5">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rPr>
          <w:rFonts w:hint="default" w:ascii="Times New Roman" w:hAnsi="Times New Roman" w:eastAsia="仿宋_GB2312" w:cs="Times New Roman"/>
          <w:kern w:val="2"/>
          <w:sz w:val="32"/>
          <w:szCs w:val="32"/>
        </w:rPr>
      </w:pPr>
      <w:r>
        <w:rPr>
          <w:rFonts w:hint="eastAsia" w:eastAsia="仿宋_GB2312" w:cs="Times New Roman"/>
          <w:kern w:val="2"/>
          <w:sz w:val="32"/>
          <w:szCs w:val="32"/>
          <w:lang w:val="en-US" w:eastAsia="zh-CN" w:bidi="ar"/>
        </w:rPr>
        <w:t>6</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社会保障和就业支出（</w:t>
      </w:r>
      <w:r>
        <w:rPr>
          <w:rFonts w:hint="default" w:ascii="Times New Roman" w:hAnsi="Times New Roman" w:eastAsia="仿宋_GB2312" w:cs="Times New Roman"/>
          <w:kern w:val="2"/>
          <w:sz w:val="32"/>
          <w:szCs w:val="32"/>
          <w:lang w:val="en-US" w:eastAsia="zh-CN" w:bidi="ar"/>
        </w:rPr>
        <w:t>208</w:t>
      </w:r>
      <w:r>
        <w:rPr>
          <w:rFonts w:hint="default" w:ascii="仿宋_GB2312" w:hAnsi="Times New Roman" w:eastAsia="仿宋_GB2312" w:cs="仿宋_GB2312"/>
          <w:kern w:val="2"/>
          <w:sz w:val="32"/>
          <w:szCs w:val="32"/>
          <w:lang w:val="en-US" w:eastAsia="zh-CN" w:bidi="ar"/>
        </w:rPr>
        <w:t>类）行政事业单位养老支出（</w:t>
      </w:r>
      <w:r>
        <w:rPr>
          <w:rFonts w:hint="default" w:ascii="Times New Roman" w:hAnsi="Times New Roman" w:eastAsia="仿宋_GB2312" w:cs="Times New Roman"/>
          <w:kern w:val="2"/>
          <w:sz w:val="32"/>
          <w:szCs w:val="32"/>
          <w:lang w:val="en-US" w:eastAsia="zh-CN" w:bidi="ar"/>
        </w:rPr>
        <w:t>05</w:t>
      </w:r>
      <w:r>
        <w:rPr>
          <w:rFonts w:hint="default" w:ascii="仿宋_GB2312" w:hAnsi="Times New Roman" w:eastAsia="仿宋_GB2312" w:cs="仿宋_GB2312"/>
          <w:kern w:val="2"/>
          <w:sz w:val="32"/>
          <w:szCs w:val="32"/>
          <w:lang w:val="en-US" w:eastAsia="zh-CN" w:bidi="ar"/>
        </w:rPr>
        <w:t>款）事业单位离退休（</w:t>
      </w:r>
      <w:r>
        <w:rPr>
          <w:rFonts w:hint="default" w:ascii="Times New Roman" w:hAnsi="Times New Roman" w:eastAsia="仿宋_GB2312" w:cs="Times New Roman"/>
          <w:kern w:val="2"/>
          <w:sz w:val="32"/>
          <w:szCs w:val="32"/>
          <w:lang w:val="en-US" w:eastAsia="zh-CN" w:bidi="ar"/>
        </w:rPr>
        <w:t>02</w:t>
      </w:r>
      <w:r>
        <w:rPr>
          <w:rFonts w:hint="default" w:ascii="仿宋_GB2312" w:hAnsi="Times New Roman" w:eastAsia="仿宋_GB2312" w:cs="仿宋_GB2312"/>
          <w:kern w:val="2"/>
          <w:sz w:val="32"/>
          <w:szCs w:val="32"/>
          <w:lang w:val="en-US" w:eastAsia="zh-CN" w:bidi="ar"/>
        </w:rPr>
        <w:t>项）：事业单位开支的离退休经费。</w:t>
      </w:r>
    </w:p>
    <w:p w14:paraId="79ED0B48">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71" w:name="_Toc924690296"/>
      <w:r>
        <w:rPr>
          <w:rFonts w:hint="eastAsia" w:eastAsia="仿宋_GB2312" w:cs="Times New Roman"/>
          <w:kern w:val="2"/>
          <w:sz w:val="32"/>
          <w:szCs w:val="32"/>
          <w:lang w:val="en-US" w:eastAsia="zh-CN" w:bidi="ar"/>
        </w:rPr>
        <w:t>7</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社会保障和就业支出（</w:t>
      </w:r>
      <w:r>
        <w:rPr>
          <w:rFonts w:hint="default" w:ascii="Times New Roman" w:hAnsi="Times New Roman" w:eastAsia="仿宋_GB2312" w:cs="Times New Roman"/>
          <w:kern w:val="2"/>
          <w:sz w:val="32"/>
          <w:szCs w:val="32"/>
          <w:lang w:val="en-US" w:eastAsia="zh-CN" w:bidi="ar"/>
        </w:rPr>
        <w:t>208</w:t>
      </w:r>
      <w:r>
        <w:rPr>
          <w:rFonts w:hint="default" w:ascii="仿宋_GB2312" w:hAnsi="Times New Roman" w:eastAsia="仿宋_GB2312" w:cs="仿宋_GB2312"/>
          <w:kern w:val="2"/>
          <w:sz w:val="32"/>
          <w:szCs w:val="32"/>
          <w:lang w:val="en-US" w:eastAsia="zh-CN" w:bidi="ar"/>
        </w:rPr>
        <w:t>类）行政事业单位养老支出（</w:t>
      </w:r>
      <w:r>
        <w:rPr>
          <w:rFonts w:hint="default" w:ascii="Times New Roman" w:hAnsi="Times New Roman" w:eastAsia="仿宋_GB2312" w:cs="Times New Roman"/>
          <w:kern w:val="2"/>
          <w:sz w:val="32"/>
          <w:szCs w:val="32"/>
          <w:lang w:val="en-US" w:eastAsia="zh-CN" w:bidi="ar"/>
        </w:rPr>
        <w:t>05</w:t>
      </w:r>
      <w:r>
        <w:rPr>
          <w:rFonts w:hint="default" w:ascii="仿宋_GB2312" w:hAnsi="Times New Roman" w:eastAsia="仿宋_GB2312" w:cs="仿宋_GB2312"/>
          <w:kern w:val="2"/>
          <w:sz w:val="32"/>
          <w:szCs w:val="32"/>
          <w:lang w:val="en-US" w:eastAsia="zh-CN" w:bidi="ar"/>
        </w:rPr>
        <w:t>款）机关事业单位基本养老保险缴费支出（</w:t>
      </w:r>
      <w:r>
        <w:rPr>
          <w:rFonts w:hint="default" w:ascii="Times New Roman" w:hAnsi="Times New Roman" w:eastAsia="仿宋_GB2312" w:cs="Times New Roman"/>
          <w:kern w:val="2"/>
          <w:sz w:val="32"/>
          <w:szCs w:val="32"/>
          <w:lang w:val="en-US" w:eastAsia="zh-CN" w:bidi="ar"/>
        </w:rPr>
        <w:t>05</w:t>
      </w:r>
      <w:r>
        <w:rPr>
          <w:rFonts w:hint="default" w:ascii="仿宋_GB2312" w:hAnsi="Times New Roman" w:eastAsia="仿宋_GB2312" w:cs="仿宋_GB2312"/>
          <w:kern w:val="2"/>
          <w:sz w:val="32"/>
          <w:szCs w:val="32"/>
          <w:lang w:val="en-US" w:eastAsia="zh-CN" w:bidi="ar"/>
        </w:rPr>
        <w:t>项）：反应机关事业单位实施养老保险制度由单位缴纳的基本养老保险费支出。</w:t>
      </w:r>
      <w:bookmarkEnd w:id="71"/>
    </w:p>
    <w:p w14:paraId="02078CB0">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72" w:name="_Toc382815278"/>
      <w:r>
        <w:rPr>
          <w:rFonts w:hint="eastAsia" w:eastAsia="仿宋_GB2312" w:cs="Times New Roman"/>
          <w:kern w:val="2"/>
          <w:sz w:val="32"/>
          <w:szCs w:val="32"/>
          <w:lang w:val="en-US" w:eastAsia="zh-CN" w:bidi="ar"/>
        </w:rPr>
        <w:t>8</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社会保障和就业支出（</w:t>
      </w:r>
      <w:r>
        <w:rPr>
          <w:rFonts w:hint="default" w:ascii="Times New Roman" w:hAnsi="Times New Roman" w:eastAsia="仿宋_GB2312" w:cs="Times New Roman"/>
          <w:kern w:val="2"/>
          <w:sz w:val="32"/>
          <w:szCs w:val="32"/>
          <w:lang w:val="en-US" w:eastAsia="zh-CN" w:bidi="ar"/>
        </w:rPr>
        <w:t>208</w:t>
      </w:r>
      <w:r>
        <w:rPr>
          <w:rFonts w:hint="default" w:ascii="仿宋_GB2312" w:hAnsi="Times New Roman" w:eastAsia="仿宋_GB2312" w:cs="仿宋_GB2312"/>
          <w:kern w:val="2"/>
          <w:sz w:val="32"/>
          <w:szCs w:val="32"/>
          <w:lang w:val="en-US" w:eastAsia="zh-CN" w:bidi="ar"/>
        </w:rPr>
        <w:t>类）行政事业单位养老支出（</w:t>
      </w:r>
      <w:r>
        <w:rPr>
          <w:rFonts w:hint="default" w:ascii="Times New Roman" w:hAnsi="Times New Roman" w:eastAsia="仿宋_GB2312" w:cs="Times New Roman"/>
          <w:kern w:val="2"/>
          <w:sz w:val="32"/>
          <w:szCs w:val="32"/>
          <w:lang w:val="en-US" w:eastAsia="zh-CN" w:bidi="ar"/>
        </w:rPr>
        <w:t>05</w:t>
      </w:r>
      <w:r>
        <w:rPr>
          <w:rFonts w:hint="default" w:ascii="仿宋_GB2312" w:hAnsi="Times New Roman" w:eastAsia="仿宋_GB2312" w:cs="仿宋_GB2312"/>
          <w:kern w:val="2"/>
          <w:sz w:val="32"/>
          <w:szCs w:val="32"/>
          <w:lang w:val="en-US" w:eastAsia="zh-CN" w:bidi="ar"/>
        </w:rPr>
        <w:t>款）机关事业单位职业年金缴费支出（</w:t>
      </w:r>
      <w:r>
        <w:rPr>
          <w:rFonts w:hint="default" w:ascii="Times New Roman" w:hAnsi="Times New Roman" w:eastAsia="仿宋_GB2312" w:cs="Times New Roman"/>
          <w:kern w:val="2"/>
          <w:sz w:val="32"/>
          <w:szCs w:val="32"/>
          <w:lang w:val="en-US" w:eastAsia="zh-CN" w:bidi="ar"/>
        </w:rPr>
        <w:t>06</w:t>
      </w:r>
      <w:r>
        <w:rPr>
          <w:rFonts w:hint="default" w:ascii="仿宋_GB2312" w:hAnsi="Times New Roman" w:eastAsia="仿宋_GB2312" w:cs="仿宋_GB2312"/>
          <w:kern w:val="2"/>
          <w:sz w:val="32"/>
          <w:szCs w:val="32"/>
          <w:lang w:val="en-US" w:eastAsia="zh-CN" w:bidi="ar"/>
        </w:rPr>
        <w:t>项）：反应机关事业单位实施养老保险制度由单位缴纳的职业年金支出（含职业年金补记支出）</w:t>
      </w:r>
      <w:bookmarkEnd w:id="72"/>
    </w:p>
    <w:p w14:paraId="1AAFFA37">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仿宋_GB2312" w:hAnsi="Times New Roman" w:eastAsia="仿宋_GB2312" w:cs="仿宋_GB2312"/>
          <w:kern w:val="2"/>
          <w:sz w:val="32"/>
          <w:szCs w:val="32"/>
          <w:lang w:val="en-US" w:eastAsia="zh-CN" w:bidi="ar"/>
        </w:rPr>
      </w:pPr>
      <w:bookmarkStart w:id="73" w:name="_Toc410606314"/>
      <w:r>
        <w:rPr>
          <w:rFonts w:hint="eastAsia" w:eastAsia="仿宋_GB2312" w:cs="Times New Roman"/>
          <w:kern w:val="2"/>
          <w:sz w:val="32"/>
          <w:szCs w:val="32"/>
          <w:lang w:val="en-US" w:eastAsia="zh-CN" w:bidi="ar"/>
        </w:rPr>
        <w:t>9</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社会保障和就业（</w:t>
      </w:r>
      <w:r>
        <w:rPr>
          <w:rFonts w:hint="default" w:ascii="Times New Roman" w:hAnsi="Times New Roman" w:eastAsia="仿宋_GB2312" w:cs="Times New Roman"/>
          <w:kern w:val="2"/>
          <w:sz w:val="32"/>
          <w:szCs w:val="32"/>
          <w:lang w:val="en-US" w:eastAsia="zh-CN" w:bidi="ar"/>
        </w:rPr>
        <w:t>208</w:t>
      </w:r>
      <w:r>
        <w:rPr>
          <w:rFonts w:hint="default" w:ascii="仿宋_GB2312" w:hAnsi="Times New Roman" w:eastAsia="仿宋_GB2312" w:cs="仿宋_GB2312"/>
          <w:kern w:val="2"/>
          <w:sz w:val="32"/>
          <w:szCs w:val="32"/>
          <w:lang w:val="en-US" w:eastAsia="zh-CN" w:bidi="ar"/>
        </w:rPr>
        <w:t>类）抚恤（</w:t>
      </w:r>
      <w:r>
        <w:rPr>
          <w:rFonts w:hint="default" w:ascii="Times New Roman" w:hAnsi="Times New Roman" w:eastAsia="仿宋_GB2312" w:cs="Times New Roman"/>
          <w:kern w:val="2"/>
          <w:sz w:val="32"/>
          <w:szCs w:val="32"/>
          <w:lang w:val="en-US" w:eastAsia="zh-CN" w:bidi="ar"/>
        </w:rPr>
        <w:t>08</w:t>
      </w:r>
      <w:r>
        <w:rPr>
          <w:rFonts w:hint="default" w:ascii="仿宋_GB2312" w:hAnsi="Times New Roman" w:eastAsia="仿宋_GB2312" w:cs="仿宋_GB2312"/>
          <w:kern w:val="2"/>
          <w:sz w:val="32"/>
          <w:szCs w:val="32"/>
          <w:lang w:val="en-US" w:eastAsia="zh-CN" w:bidi="ar"/>
        </w:rPr>
        <w:t>款）死亡抚恤（</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反映按规定用于烈士和牺牲、病故人员家属的一次性和定期抚恤金以及丧葬费补助。</w:t>
      </w:r>
      <w:bookmarkEnd w:id="73"/>
    </w:p>
    <w:p w14:paraId="59029E6A">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74" w:name="_Toc1990500904"/>
      <w:r>
        <w:rPr>
          <w:rFonts w:hint="eastAsia" w:eastAsia="仿宋_GB2312" w:cs="Times New Roman"/>
          <w:kern w:val="2"/>
          <w:sz w:val="32"/>
          <w:szCs w:val="32"/>
          <w:lang w:val="en-US" w:eastAsia="zh-CN" w:bidi="ar"/>
        </w:rPr>
        <w:t>10</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社会保障和就业（</w:t>
      </w:r>
      <w:r>
        <w:rPr>
          <w:rFonts w:hint="default" w:ascii="Times New Roman" w:hAnsi="Times New Roman" w:eastAsia="仿宋_GB2312" w:cs="Times New Roman"/>
          <w:kern w:val="2"/>
          <w:sz w:val="32"/>
          <w:szCs w:val="32"/>
          <w:lang w:val="en-US" w:eastAsia="zh-CN" w:bidi="ar"/>
        </w:rPr>
        <w:t>208</w:t>
      </w:r>
      <w:r>
        <w:rPr>
          <w:rFonts w:hint="default" w:ascii="仿宋_GB2312" w:hAnsi="Times New Roman" w:eastAsia="仿宋_GB2312" w:cs="仿宋_GB2312"/>
          <w:kern w:val="2"/>
          <w:sz w:val="32"/>
          <w:szCs w:val="32"/>
          <w:lang w:val="en-US" w:eastAsia="zh-CN" w:bidi="ar"/>
        </w:rPr>
        <w:t>类）抚恤（</w:t>
      </w:r>
      <w:r>
        <w:rPr>
          <w:rFonts w:hint="default" w:ascii="Times New Roman" w:hAnsi="Times New Roman" w:eastAsia="仿宋_GB2312" w:cs="Times New Roman"/>
          <w:kern w:val="2"/>
          <w:sz w:val="32"/>
          <w:szCs w:val="32"/>
          <w:lang w:val="en-US" w:eastAsia="zh-CN" w:bidi="ar"/>
        </w:rPr>
        <w:t>08</w:t>
      </w:r>
      <w:r>
        <w:rPr>
          <w:rFonts w:hint="default" w:ascii="仿宋_GB2312" w:hAnsi="Times New Roman" w:eastAsia="仿宋_GB2312" w:cs="仿宋_GB2312"/>
          <w:kern w:val="2"/>
          <w:sz w:val="32"/>
          <w:szCs w:val="32"/>
          <w:lang w:val="en-US" w:eastAsia="zh-CN" w:bidi="ar"/>
        </w:rPr>
        <w:t>款）伤残抚恤（</w:t>
      </w:r>
      <w:r>
        <w:rPr>
          <w:rFonts w:hint="default" w:ascii="Times New Roman" w:hAnsi="Times New Roman" w:eastAsia="仿宋_GB2312" w:cs="Times New Roman"/>
          <w:kern w:val="2"/>
          <w:sz w:val="32"/>
          <w:szCs w:val="32"/>
          <w:lang w:val="en-US" w:eastAsia="zh-CN" w:bidi="ar"/>
        </w:rPr>
        <w:t>02</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反映按规定用于伤残人员的抚恤金和按规定开支的各种伤残补助。</w:t>
      </w:r>
      <w:bookmarkEnd w:id="74"/>
    </w:p>
    <w:p w14:paraId="7D4B79B0">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75" w:name="_Toc831064688"/>
      <w:r>
        <w:rPr>
          <w:rFonts w:hint="eastAsia" w:eastAsia="仿宋_GB2312" w:cs="Times New Roman"/>
          <w:kern w:val="2"/>
          <w:sz w:val="32"/>
          <w:szCs w:val="32"/>
          <w:lang w:val="en-US" w:eastAsia="zh-CN" w:bidi="ar"/>
        </w:rPr>
        <w:t>11</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类）卫生健康管理事务（</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款）行政运行（</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项）：反应行政单位（包括实行公务员管理的事业单位）的基本支出。</w:t>
      </w:r>
      <w:bookmarkEnd w:id="75"/>
    </w:p>
    <w:p w14:paraId="71E09D18">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76" w:name="_Toc916567753"/>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2</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类）卫生健康管理事务（</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款）其他卫生健康管理事务支出（</w:t>
      </w:r>
      <w:r>
        <w:rPr>
          <w:rFonts w:hint="eastAsia"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项）：反应</w:t>
      </w:r>
      <w:r>
        <w:rPr>
          <w:rFonts w:hint="eastAsia" w:ascii="仿宋_GB2312" w:eastAsia="仿宋_GB2312" w:cs="仿宋_GB2312"/>
          <w:kern w:val="2"/>
          <w:sz w:val="32"/>
          <w:szCs w:val="32"/>
          <w:lang w:val="en-US" w:eastAsia="zh-CN" w:bidi="ar"/>
        </w:rPr>
        <w:t>其他用于卫生健康管理事务方面的</w:t>
      </w:r>
      <w:r>
        <w:rPr>
          <w:rFonts w:hint="default" w:ascii="仿宋_GB2312" w:hAnsi="Times New Roman" w:eastAsia="仿宋_GB2312" w:cs="仿宋_GB2312"/>
          <w:kern w:val="2"/>
          <w:sz w:val="32"/>
          <w:szCs w:val="32"/>
          <w:lang w:val="en-US" w:eastAsia="zh-CN" w:bidi="ar"/>
        </w:rPr>
        <w:t>支出。</w:t>
      </w:r>
      <w:bookmarkEnd w:id="76"/>
    </w:p>
    <w:p w14:paraId="068CC23B">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77" w:name="_Toc1515494853"/>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3</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类）公共卫生（</w:t>
      </w:r>
      <w:r>
        <w:rPr>
          <w:rFonts w:hint="default" w:ascii="Times New Roman" w:hAnsi="Times New Roman" w:eastAsia="仿宋_GB2312" w:cs="Times New Roman"/>
          <w:kern w:val="2"/>
          <w:sz w:val="32"/>
          <w:szCs w:val="32"/>
          <w:lang w:val="en-US" w:eastAsia="zh-CN" w:bidi="ar"/>
        </w:rPr>
        <w:t>04</w:t>
      </w:r>
      <w:r>
        <w:rPr>
          <w:rFonts w:hint="default" w:ascii="仿宋_GB2312" w:hAnsi="Times New Roman" w:eastAsia="仿宋_GB2312" w:cs="仿宋_GB2312"/>
          <w:kern w:val="2"/>
          <w:sz w:val="32"/>
          <w:szCs w:val="32"/>
          <w:lang w:val="en-US" w:eastAsia="zh-CN" w:bidi="ar"/>
        </w:rPr>
        <w:t>款）重大公共卫生服务（</w:t>
      </w:r>
      <w:r>
        <w:rPr>
          <w:rFonts w:hint="default" w:ascii="Times New Roman" w:hAnsi="Times New Roman" w:eastAsia="仿宋_GB2312" w:cs="Times New Roman"/>
          <w:kern w:val="2"/>
          <w:sz w:val="32"/>
          <w:szCs w:val="32"/>
          <w:lang w:val="en-US" w:eastAsia="zh-CN" w:bidi="ar"/>
        </w:rPr>
        <w:t>09</w:t>
      </w:r>
      <w:r>
        <w:rPr>
          <w:rFonts w:hint="default" w:ascii="仿宋_GB2312" w:hAnsi="Times New Roman" w:eastAsia="仿宋_GB2312" w:cs="仿宋_GB2312"/>
          <w:kern w:val="2"/>
          <w:sz w:val="32"/>
          <w:szCs w:val="32"/>
          <w:lang w:val="en-US" w:eastAsia="zh-CN" w:bidi="ar"/>
        </w:rPr>
        <w:t>项）：反映重大疾病、重大传染病预防控制等重大公共卫生服务项目支出。</w:t>
      </w:r>
      <w:bookmarkEnd w:id="77"/>
    </w:p>
    <w:p w14:paraId="64EA1948">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78" w:name="_Toc1145647458"/>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4</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类）公共卫生（</w:t>
      </w:r>
      <w:r>
        <w:rPr>
          <w:rFonts w:hint="default" w:ascii="Times New Roman" w:hAnsi="Times New Roman" w:eastAsia="仿宋_GB2312" w:cs="Times New Roman"/>
          <w:kern w:val="2"/>
          <w:sz w:val="32"/>
          <w:szCs w:val="32"/>
          <w:lang w:val="en-US" w:eastAsia="zh-CN" w:bidi="ar"/>
        </w:rPr>
        <w:t>04</w:t>
      </w:r>
      <w:r>
        <w:rPr>
          <w:rFonts w:hint="default" w:ascii="仿宋_GB2312" w:hAnsi="Times New Roman" w:eastAsia="仿宋_GB2312" w:cs="仿宋_GB2312"/>
          <w:kern w:val="2"/>
          <w:sz w:val="32"/>
          <w:szCs w:val="32"/>
          <w:lang w:val="en-US" w:eastAsia="zh-CN" w:bidi="ar"/>
        </w:rPr>
        <w:t>款）其他公共卫生支出（</w:t>
      </w:r>
      <w:r>
        <w:rPr>
          <w:rFonts w:hint="eastAsia" w:eastAsia="仿宋_GB2312" w:cs="Times New Roman"/>
          <w:kern w:val="2"/>
          <w:sz w:val="32"/>
          <w:szCs w:val="32"/>
          <w:lang w:val="en-US" w:eastAsia="zh-CN" w:bidi="ar"/>
        </w:rPr>
        <w:t>9</w:t>
      </w:r>
      <w:r>
        <w:rPr>
          <w:rFonts w:hint="default" w:ascii="Times New Roman" w:hAnsi="Times New Roman" w:eastAsia="仿宋_GB2312" w:cs="Times New Roman"/>
          <w:kern w:val="2"/>
          <w:sz w:val="32"/>
          <w:szCs w:val="32"/>
          <w:lang w:val="en-US" w:eastAsia="zh-CN" w:bidi="ar"/>
        </w:rPr>
        <w:t>9</w:t>
      </w:r>
      <w:r>
        <w:rPr>
          <w:rFonts w:hint="default" w:ascii="仿宋_GB2312" w:hAnsi="Times New Roman" w:eastAsia="仿宋_GB2312" w:cs="仿宋_GB2312"/>
          <w:kern w:val="2"/>
          <w:sz w:val="32"/>
          <w:szCs w:val="32"/>
          <w:lang w:val="en-US" w:eastAsia="zh-CN" w:bidi="ar"/>
        </w:rPr>
        <w:t>项）：反映</w:t>
      </w:r>
      <w:r>
        <w:rPr>
          <w:rFonts w:hint="eastAsia" w:ascii="仿宋_GB2312" w:eastAsia="仿宋_GB2312" w:cs="仿宋_GB2312"/>
          <w:kern w:val="2"/>
          <w:sz w:val="32"/>
          <w:szCs w:val="32"/>
          <w:lang w:val="en-US" w:eastAsia="zh-CN" w:bidi="ar"/>
        </w:rPr>
        <w:t>其他用于公共卫生方面的</w:t>
      </w:r>
      <w:r>
        <w:rPr>
          <w:rFonts w:hint="default" w:ascii="仿宋_GB2312" w:hAnsi="Times New Roman" w:eastAsia="仿宋_GB2312" w:cs="仿宋_GB2312"/>
          <w:kern w:val="2"/>
          <w:sz w:val="32"/>
          <w:szCs w:val="32"/>
          <w:lang w:val="en-US" w:eastAsia="zh-CN" w:bidi="ar"/>
        </w:rPr>
        <w:t>支出。</w:t>
      </w:r>
      <w:bookmarkEnd w:id="78"/>
    </w:p>
    <w:p w14:paraId="6B481971">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79" w:name="_Toc183773173"/>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5</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类）计划生育事务（</w:t>
      </w:r>
      <w:r>
        <w:rPr>
          <w:rFonts w:hint="default" w:ascii="Times New Roman" w:hAnsi="Times New Roman" w:eastAsia="仿宋_GB2312" w:cs="Times New Roman"/>
          <w:kern w:val="2"/>
          <w:sz w:val="32"/>
          <w:szCs w:val="32"/>
          <w:lang w:val="en-US" w:eastAsia="zh-CN" w:bidi="ar"/>
        </w:rPr>
        <w:t>07</w:t>
      </w:r>
      <w:r>
        <w:rPr>
          <w:rFonts w:hint="default" w:ascii="仿宋_GB2312" w:hAnsi="Times New Roman" w:eastAsia="仿宋_GB2312" w:cs="仿宋_GB2312"/>
          <w:kern w:val="2"/>
          <w:sz w:val="32"/>
          <w:szCs w:val="32"/>
          <w:lang w:val="en-US" w:eastAsia="zh-CN" w:bidi="ar"/>
        </w:rPr>
        <w:t>款）计划生育服务（</w:t>
      </w:r>
      <w:r>
        <w:rPr>
          <w:rFonts w:hint="default" w:ascii="Times New Roman" w:hAnsi="Times New Roman" w:eastAsia="仿宋_GB2312" w:cs="Times New Roman"/>
          <w:kern w:val="2"/>
          <w:sz w:val="32"/>
          <w:szCs w:val="32"/>
          <w:lang w:val="en-US" w:eastAsia="zh-CN" w:bidi="ar"/>
        </w:rPr>
        <w:t>17</w:t>
      </w:r>
      <w:r>
        <w:rPr>
          <w:rFonts w:hint="default" w:ascii="仿宋_GB2312" w:hAnsi="Times New Roman" w:eastAsia="仿宋_GB2312" w:cs="仿宋_GB2312"/>
          <w:kern w:val="2"/>
          <w:sz w:val="32"/>
          <w:szCs w:val="32"/>
          <w:lang w:val="en-US" w:eastAsia="zh-CN" w:bidi="ar"/>
        </w:rPr>
        <w:t>项）：反映计划生育服务支出。</w:t>
      </w:r>
      <w:bookmarkEnd w:id="79"/>
    </w:p>
    <w:p w14:paraId="12087A29">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80" w:name="_Toc732830373"/>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6</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类）计划生育事务（</w:t>
      </w:r>
      <w:r>
        <w:rPr>
          <w:rFonts w:hint="default" w:ascii="Times New Roman" w:hAnsi="Times New Roman" w:eastAsia="仿宋_GB2312" w:cs="Times New Roman"/>
          <w:kern w:val="2"/>
          <w:sz w:val="32"/>
          <w:szCs w:val="32"/>
          <w:lang w:val="en-US" w:eastAsia="zh-CN" w:bidi="ar"/>
        </w:rPr>
        <w:t>07</w:t>
      </w:r>
      <w:r>
        <w:rPr>
          <w:rFonts w:hint="default" w:ascii="仿宋_GB2312" w:hAnsi="Times New Roman" w:eastAsia="仿宋_GB2312" w:cs="仿宋_GB2312"/>
          <w:kern w:val="2"/>
          <w:sz w:val="32"/>
          <w:szCs w:val="32"/>
          <w:lang w:val="en-US" w:eastAsia="zh-CN" w:bidi="ar"/>
        </w:rPr>
        <w:t>款）其他计划生育事务支出（</w:t>
      </w:r>
      <w:r>
        <w:rPr>
          <w:rFonts w:hint="default" w:ascii="Times New Roman" w:hAnsi="Times New Roman"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项）：反映除上述项目以外其他用于计划生育管理事务方面的支出。</w:t>
      </w:r>
      <w:bookmarkEnd w:id="80"/>
    </w:p>
    <w:p w14:paraId="180C4F6C">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81" w:name="_Toc182245100"/>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7</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类）行政事业单位医疗（</w:t>
      </w:r>
      <w:r>
        <w:rPr>
          <w:rFonts w:hint="default" w:ascii="Times New Roman" w:hAnsi="Times New Roman" w:eastAsia="仿宋_GB2312" w:cs="Times New Roman"/>
          <w:kern w:val="2"/>
          <w:sz w:val="32"/>
          <w:szCs w:val="32"/>
          <w:lang w:val="en-US" w:eastAsia="zh-CN" w:bidi="ar"/>
        </w:rPr>
        <w:t>11</w:t>
      </w:r>
      <w:r>
        <w:rPr>
          <w:rFonts w:hint="default" w:ascii="仿宋_GB2312" w:hAnsi="Times New Roman" w:eastAsia="仿宋_GB2312" w:cs="仿宋_GB2312"/>
          <w:kern w:val="2"/>
          <w:sz w:val="32"/>
          <w:szCs w:val="32"/>
          <w:lang w:val="en-US" w:eastAsia="zh-CN" w:bidi="ar"/>
        </w:rPr>
        <w:t>款）行政单位医疗（</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项）：反应财政部门安排的行政单位（包括实行公务员管理的事业单位，下同）基本医疗保险缴费经费，未参加医疗保险的行政单位的公费医疗经费，按国家规定享受离休人员、红军老战士待遇人员的医疗经费。</w:t>
      </w:r>
      <w:bookmarkEnd w:id="81"/>
    </w:p>
    <w:p w14:paraId="3D1311C5">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82" w:name="_Toc1727810425"/>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8</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类）行政事业单位医疗（</w:t>
      </w:r>
      <w:r>
        <w:rPr>
          <w:rFonts w:hint="default" w:ascii="Times New Roman" w:hAnsi="Times New Roman" w:eastAsia="仿宋_GB2312" w:cs="Times New Roman"/>
          <w:kern w:val="2"/>
          <w:sz w:val="32"/>
          <w:szCs w:val="32"/>
          <w:lang w:val="en-US" w:eastAsia="zh-CN" w:bidi="ar"/>
        </w:rPr>
        <w:t>11</w:t>
      </w:r>
      <w:r>
        <w:rPr>
          <w:rFonts w:hint="default" w:ascii="仿宋_GB2312" w:hAnsi="Times New Roman" w:eastAsia="仿宋_GB2312" w:cs="仿宋_GB2312"/>
          <w:kern w:val="2"/>
          <w:sz w:val="32"/>
          <w:szCs w:val="32"/>
          <w:lang w:val="en-US" w:eastAsia="zh-CN" w:bidi="ar"/>
        </w:rPr>
        <w:t>款）事业单位医疗（</w:t>
      </w:r>
      <w:r>
        <w:rPr>
          <w:rFonts w:hint="default" w:ascii="Times New Roman" w:hAnsi="Times New Roman" w:eastAsia="仿宋_GB2312" w:cs="Times New Roman"/>
          <w:kern w:val="2"/>
          <w:sz w:val="32"/>
          <w:szCs w:val="32"/>
          <w:lang w:val="en-US" w:eastAsia="zh-CN" w:bidi="ar"/>
        </w:rPr>
        <w:t>02</w:t>
      </w:r>
      <w:r>
        <w:rPr>
          <w:rFonts w:hint="default" w:ascii="仿宋_GB2312" w:hAnsi="Times New Roman" w:eastAsia="仿宋_GB2312" w:cs="仿宋_GB2312"/>
          <w:kern w:val="2"/>
          <w:sz w:val="32"/>
          <w:szCs w:val="32"/>
          <w:lang w:val="en-US" w:eastAsia="zh-CN" w:bidi="ar"/>
        </w:rPr>
        <w:t>项）：反应财政部门安排的事业单位基本医疗保险缴费经费，未参加医疗保险的事业单位的公费医疗经费，按国家规定享受离休人员待遇的医疗费经费。</w:t>
      </w:r>
      <w:bookmarkEnd w:id="82"/>
    </w:p>
    <w:p w14:paraId="4CFB1FE7">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83" w:name="_Toc2129619"/>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9</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类）行政事业单位医疗（</w:t>
      </w:r>
      <w:r>
        <w:rPr>
          <w:rFonts w:hint="default" w:ascii="Times New Roman" w:hAnsi="Times New Roman" w:eastAsia="仿宋_GB2312" w:cs="Times New Roman"/>
          <w:kern w:val="2"/>
          <w:sz w:val="32"/>
          <w:szCs w:val="32"/>
          <w:lang w:val="en-US" w:eastAsia="zh-CN" w:bidi="ar"/>
        </w:rPr>
        <w:t>11</w:t>
      </w:r>
      <w:r>
        <w:rPr>
          <w:rFonts w:hint="default" w:ascii="仿宋_GB2312" w:hAnsi="Times New Roman" w:eastAsia="仿宋_GB2312" w:cs="仿宋_GB2312"/>
          <w:kern w:val="2"/>
          <w:sz w:val="32"/>
          <w:szCs w:val="32"/>
          <w:lang w:val="en-US" w:eastAsia="zh-CN" w:bidi="ar"/>
        </w:rPr>
        <w:t>款）公务员医疗补助（</w:t>
      </w:r>
      <w:r>
        <w:rPr>
          <w:rFonts w:hint="default" w:ascii="Times New Roman" w:hAnsi="Times New Roman" w:eastAsia="仿宋_GB2312" w:cs="Times New Roman"/>
          <w:kern w:val="2"/>
          <w:sz w:val="32"/>
          <w:szCs w:val="32"/>
          <w:lang w:val="en-US" w:eastAsia="zh-CN" w:bidi="ar"/>
        </w:rPr>
        <w:t>03</w:t>
      </w:r>
      <w:r>
        <w:rPr>
          <w:rFonts w:hint="default" w:ascii="仿宋_GB2312" w:hAnsi="Times New Roman" w:eastAsia="仿宋_GB2312" w:cs="仿宋_GB2312"/>
          <w:kern w:val="2"/>
          <w:sz w:val="32"/>
          <w:szCs w:val="32"/>
          <w:lang w:val="en-US" w:eastAsia="zh-CN" w:bidi="ar"/>
        </w:rPr>
        <w:t>项）：反应财政部门安排的公务员医疗补助经费。</w:t>
      </w:r>
      <w:bookmarkEnd w:id="83"/>
    </w:p>
    <w:p w14:paraId="2B39C2FF">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84" w:name="_Toc1735637538"/>
      <w:r>
        <w:rPr>
          <w:rFonts w:hint="eastAsia" w:eastAsia="仿宋_GB2312" w:cs="Times New Roman"/>
          <w:kern w:val="2"/>
          <w:sz w:val="32"/>
          <w:szCs w:val="32"/>
          <w:lang w:val="en-US" w:eastAsia="zh-CN" w:bidi="ar"/>
        </w:rPr>
        <w:t>20</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类）行政事业单位医疗（</w:t>
      </w:r>
      <w:r>
        <w:rPr>
          <w:rFonts w:hint="default" w:ascii="Times New Roman" w:hAnsi="Times New Roman" w:eastAsia="仿宋_GB2312" w:cs="Times New Roman"/>
          <w:kern w:val="2"/>
          <w:sz w:val="32"/>
          <w:szCs w:val="32"/>
          <w:lang w:val="en-US" w:eastAsia="zh-CN" w:bidi="ar"/>
        </w:rPr>
        <w:t>11</w:t>
      </w:r>
      <w:r>
        <w:rPr>
          <w:rFonts w:hint="default" w:ascii="仿宋_GB2312" w:hAnsi="Times New Roman" w:eastAsia="仿宋_GB2312" w:cs="仿宋_GB2312"/>
          <w:kern w:val="2"/>
          <w:sz w:val="32"/>
          <w:szCs w:val="32"/>
          <w:lang w:val="en-US" w:eastAsia="zh-CN" w:bidi="ar"/>
        </w:rPr>
        <w:t>款）其他行政事业单位医疗支出（</w:t>
      </w:r>
      <w:r>
        <w:rPr>
          <w:rFonts w:hint="default" w:ascii="Times New Roman" w:hAnsi="Times New Roman"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项）：反映除上述项目以外的其他用于行政事业单位医疗。</w:t>
      </w:r>
      <w:bookmarkEnd w:id="84"/>
    </w:p>
    <w:p w14:paraId="690DC103">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85" w:name="_Toc1387450556"/>
      <w:r>
        <w:rPr>
          <w:rFonts w:hint="eastAsia" w:eastAsia="仿宋_GB2312" w:cs="Times New Roman"/>
          <w:kern w:val="2"/>
          <w:sz w:val="32"/>
          <w:szCs w:val="32"/>
          <w:lang w:val="en-US" w:eastAsia="zh-CN" w:bidi="ar"/>
        </w:rPr>
        <w:t>21</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类）老龄卫生健康事务（</w:t>
      </w:r>
      <w:r>
        <w:rPr>
          <w:rFonts w:hint="default" w:ascii="Times New Roman" w:hAnsi="Times New Roman" w:eastAsia="仿宋_GB2312" w:cs="Times New Roman"/>
          <w:kern w:val="2"/>
          <w:sz w:val="32"/>
          <w:szCs w:val="32"/>
          <w:lang w:val="en-US" w:eastAsia="zh-CN" w:bidi="ar"/>
        </w:rPr>
        <w:t>1</w:t>
      </w:r>
      <w:r>
        <w:rPr>
          <w:rFonts w:hint="eastAsia" w:eastAsia="仿宋_GB2312" w:cs="Times New Roman"/>
          <w:kern w:val="2"/>
          <w:sz w:val="32"/>
          <w:szCs w:val="32"/>
          <w:lang w:val="en-US" w:eastAsia="zh-CN" w:bidi="ar"/>
        </w:rPr>
        <w:t>7</w:t>
      </w:r>
      <w:r>
        <w:rPr>
          <w:rFonts w:hint="default" w:ascii="仿宋_GB2312" w:hAnsi="Times New Roman" w:eastAsia="仿宋_GB2312" w:cs="仿宋_GB2312"/>
          <w:kern w:val="2"/>
          <w:sz w:val="32"/>
          <w:szCs w:val="32"/>
          <w:lang w:val="en-US" w:eastAsia="zh-CN" w:bidi="ar"/>
        </w:rPr>
        <w:t>款）</w:t>
      </w:r>
      <w:r>
        <w:rPr>
          <w:rFonts w:hint="eastAsia" w:ascii="仿宋_GB2312" w:eastAsia="仿宋_GB2312" w:cs="仿宋_GB2312"/>
          <w:kern w:val="2"/>
          <w:sz w:val="32"/>
          <w:szCs w:val="32"/>
          <w:lang w:val="en-US" w:eastAsia="zh-CN" w:bidi="ar"/>
        </w:rPr>
        <w:t>其他中医药事务支出</w:t>
      </w:r>
      <w:r>
        <w:rPr>
          <w:rFonts w:hint="default" w:ascii="仿宋_GB2312" w:hAnsi="Times New Roman" w:eastAsia="仿宋_GB2312" w:cs="仿宋_GB2312"/>
          <w:kern w:val="2"/>
          <w:sz w:val="32"/>
          <w:szCs w:val="32"/>
          <w:lang w:val="en-US" w:eastAsia="zh-CN" w:bidi="ar"/>
        </w:rPr>
        <w:t>（</w:t>
      </w:r>
      <w:r>
        <w:rPr>
          <w:rFonts w:hint="eastAsia"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项）：反应</w:t>
      </w:r>
      <w:r>
        <w:rPr>
          <w:rFonts w:hint="eastAsia" w:ascii="仿宋_GB2312" w:eastAsia="仿宋_GB2312" w:cs="仿宋_GB2312"/>
          <w:kern w:val="2"/>
          <w:sz w:val="32"/>
          <w:szCs w:val="32"/>
          <w:lang w:val="en-US" w:eastAsia="zh-CN" w:bidi="ar"/>
        </w:rPr>
        <w:t>其他用于中医药</w:t>
      </w:r>
      <w:r>
        <w:rPr>
          <w:rFonts w:hint="default" w:ascii="仿宋_GB2312" w:hAnsi="Times New Roman" w:eastAsia="仿宋_GB2312" w:cs="仿宋_GB2312"/>
          <w:kern w:val="2"/>
          <w:sz w:val="32"/>
          <w:szCs w:val="32"/>
          <w:lang w:val="en-US" w:eastAsia="zh-CN" w:bidi="ar"/>
        </w:rPr>
        <w:t>事务方面的支出。</w:t>
      </w:r>
      <w:bookmarkEnd w:id="85"/>
      <w:r>
        <w:rPr>
          <w:rFonts w:hint="default" w:ascii="Times New Roman" w:hAnsi="Times New Roman" w:eastAsia="仿宋_GB2312" w:cs="Times New Roman"/>
          <w:kern w:val="2"/>
          <w:sz w:val="32"/>
          <w:szCs w:val="32"/>
          <w:lang w:val="en-US" w:eastAsia="zh-CN" w:bidi="ar"/>
        </w:rPr>
        <w:t xml:space="preserve"> </w:t>
      </w:r>
    </w:p>
    <w:p w14:paraId="1F271EBE">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86" w:name="_Toc119669637"/>
      <w:r>
        <w:rPr>
          <w:rFonts w:hint="default" w:ascii="Times New Roman" w:hAnsi="Times New Roman" w:eastAsia="仿宋_GB2312" w:cs="Times New Roman"/>
          <w:kern w:val="2"/>
          <w:sz w:val="32"/>
          <w:szCs w:val="32"/>
          <w:lang w:val="en-US" w:eastAsia="zh-CN" w:bidi="ar"/>
        </w:rPr>
        <w:t>2</w:t>
      </w:r>
      <w:r>
        <w:rPr>
          <w:rFonts w:hint="eastAsia" w:eastAsia="仿宋_GB2312" w:cs="Times New Roman"/>
          <w:kern w:val="2"/>
          <w:sz w:val="32"/>
          <w:szCs w:val="32"/>
          <w:lang w:val="en-US" w:eastAsia="zh-CN" w:bidi="ar"/>
        </w:rPr>
        <w:t>2</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卫生健康支出（</w:t>
      </w:r>
      <w:r>
        <w:rPr>
          <w:rFonts w:hint="default" w:ascii="Times New Roman" w:hAnsi="Times New Roman" w:eastAsia="仿宋_GB2312" w:cs="Times New Roman"/>
          <w:kern w:val="2"/>
          <w:sz w:val="32"/>
          <w:szCs w:val="32"/>
          <w:lang w:val="en-US" w:eastAsia="zh-CN" w:bidi="ar"/>
        </w:rPr>
        <w:t>210</w:t>
      </w:r>
      <w:r>
        <w:rPr>
          <w:rFonts w:hint="default" w:ascii="仿宋_GB2312" w:hAnsi="Times New Roman" w:eastAsia="仿宋_GB2312" w:cs="仿宋_GB2312"/>
          <w:kern w:val="2"/>
          <w:sz w:val="32"/>
          <w:szCs w:val="32"/>
          <w:lang w:val="en-US" w:eastAsia="zh-CN" w:bidi="ar"/>
        </w:rPr>
        <w:t>类）其他卫生健康支出（</w:t>
      </w:r>
      <w:r>
        <w:rPr>
          <w:rFonts w:hint="default" w:ascii="Times New Roman" w:hAnsi="Times New Roman"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款）其他卫生健康支出（</w:t>
      </w:r>
      <w:r>
        <w:rPr>
          <w:rFonts w:hint="default" w:ascii="Times New Roman" w:hAnsi="Times New Roman"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项）：反应除上述项目以外其他用于卫生健康方面的支出。</w:t>
      </w:r>
      <w:bookmarkEnd w:id="86"/>
    </w:p>
    <w:p w14:paraId="5E5DDA98">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Times New Roman" w:hAnsi="Times New Roman" w:eastAsia="仿宋_GB2312" w:cs="Times New Roman"/>
          <w:kern w:val="2"/>
          <w:sz w:val="32"/>
          <w:szCs w:val="32"/>
        </w:rPr>
      </w:pPr>
      <w:bookmarkStart w:id="87" w:name="_Toc7318177"/>
      <w:r>
        <w:rPr>
          <w:rFonts w:hint="default" w:ascii="Times New Roman" w:hAnsi="Times New Roman" w:eastAsia="仿宋_GB2312" w:cs="Times New Roman"/>
          <w:kern w:val="2"/>
          <w:sz w:val="32"/>
          <w:szCs w:val="32"/>
          <w:lang w:val="en-US" w:eastAsia="zh-CN" w:bidi="ar"/>
        </w:rPr>
        <w:t>2</w:t>
      </w:r>
      <w:r>
        <w:rPr>
          <w:rFonts w:hint="eastAsia" w:eastAsia="仿宋_GB2312" w:cs="Times New Roman"/>
          <w:kern w:val="2"/>
          <w:sz w:val="32"/>
          <w:szCs w:val="32"/>
          <w:lang w:val="en-US" w:eastAsia="zh-CN" w:bidi="ar"/>
        </w:rPr>
        <w:t>3</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农林水支出（</w:t>
      </w:r>
      <w:r>
        <w:rPr>
          <w:rFonts w:hint="default" w:ascii="Times New Roman" w:hAnsi="Times New Roman" w:eastAsia="仿宋_GB2312" w:cs="Times New Roman"/>
          <w:kern w:val="2"/>
          <w:sz w:val="32"/>
          <w:szCs w:val="32"/>
          <w:lang w:val="en-US" w:eastAsia="zh-CN" w:bidi="ar"/>
        </w:rPr>
        <w:t>213</w:t>
      </w:r>
      <w:r>
        <w:rPr>
          <w:rFonts w:hint="default" w:ascii="仿宋_GB2312" w:hAnsi="Times New Roman" w:eastAsia="仿宋_GB2312" w:cs="仿宋_GB2312"/>
          <w:kern w:val="2"/>
          <w:sz w:val="32"/>
          <w:szCs w:val="32"/>
          <w:lang w:val="en-US" w:eastAsia="zh-CN" w:bidi="ar"/>
        </w:rPr>
        <w:t>类）巩固脱贫衔接乡村振兴（</w:t>
      </w:r>
      <w:r>
        <w:rPr>
          <w:rFonts w:hint="default" w:ascii="Times New Roman" w:hAnsi="Times New Roman" w:eastAsia="仿宋_GB2312" w:cs="Times New Roman"/>
          <w:kern w:val="2"/>
          <w:sz w:val="32"/>
          <w:szCs w:val="32"/>
          <w:lang w:val="en-US" w:eastAsia="zh-CN" w:bidi="ar"/>
        </w:rPr>
        <w:t>05</w:t>
      </w:r>
      <w:r>
        <w:rPr>
          <w:rFonts w:hint="default" w:ascii="仿宋_GB2312" w:hAnsi="Times New Roman" w:eastAsia="仿宋_GB2312" w:cs="仿宋_GB2312"/>
          <w:kern w:val="2"/>
          <w:sz w:val="32"/>
          <w:szCs w:val="32"/>
          <w:lang w:val="en-US" w:eastAsia="zh-CN" w:bidi="ar"/>
        </w:rPr>
        <w:t>款）其他巩固脱贫衔接乡村振兴支出（</w:t>
      </w:r>
      <w:r>
        <w:rPr>
          <w:rFonts w:hint="default" w:ascii="Times New Roman" w:hAnsi="Times New Roman" w:eastAsia="仿宋_GB2312" w:cs="Times New Roman"/>
          <w:kern w:val="2"/>
          <w:sz w:val="32"/>
          <w:szCs w:val="32"/>
          <w:lang w:val="en-US" w:eastAsia="zh-CN" w:bidi="ar"/>
        </w:rPr>
        <w:t>99</w:t>
      </w:r>
      <w:r>
        <w:rPr>
          <w:rFonts w:hint="default" w:ascii="仿宋_GB2312" w:hAnsi="Times New Roman" w:eastAsia="仿宋_GB2312" w:cs="仿宋_GB2312"/>
          <w:kern w:val="2"/>
          <w:sz w:val="32"/>
          <w:szCs w:val="32"/>
          <w:lang w:val="en-US" w:eastAsia="zh-CN" w:bidi="ar"/>
        </w:rPr>
        <w:t>项）</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反映除上述项目以外其他用于巩固拓展脱贫攻坚成果同乡村振兴有效衔接方面的支出。</w:t>
      </w:r>
      <w:bookmarkEnd w:id="87"/>
      <w:r>
        <w:rPr>
          <w:rFonts w:hint="default" w:ascii="Times New Roman" w:hAnsi="Times New Roman" w:eastAsia="仿宋_GB2312" w:cs="Times New Roman"/>
          <w:kern w:val="2"/>
          <w:sz w:val="32"/>
          <w:szCs w:val="32"/>
          <w:lang w:val="en-US" w:eastAsia="zh-CN" w:bidi="ar"/>
        </w:rPr>
        <w:t xml:space="preserve">    </w:t>
      </w:r>
    </w:p>
    <w:p w14:paraId="6A368622">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default" w:ascii="仿宋_GB2312" w:hAnsi="Times New Roman" w:eastAsia="仿宋_GB2312" w:cs="仿宋_GB2312"/>
          <w:kern w:val="2"/>
          <w:sz w:val="32"/>
          <w:szCs w:val="32"/>
          <w:lang w:val="en-US" w:eastAsia="zh-CN" w:bidi="ar"/>
        </w:rPr>
      </w:pPr>
      <w:bookmarkStart w:id="88" w:name="_Toc1057456985"/>
      <w:r>
        <w:rPr>
          <w:rFonts w:hint="default" w:ascii="Times New Roman" w:hAnsi="Times New Roman" w:eastAsia="仿宋_GB2312" w:cs="Times New Roman"/>
          <w:kern w:val="2"/>
          <w:sz w:val="32"/>
          <w:szCs w:val="32"/>
          <w:lang w:val="en-US" w:eastAsia="zh-CN" w:bidi="ar"/>
        </w:rPr>
        <w:t>2</w:t>
      </w:r>
      <w:r>
        <w:rPr>
          <w:rFonts w:hint="eastAsia" w:eastAsia="仿宋_GB2312" w:cs="Times New Roman"/>
          <w:kern w:val="2"/>
          <w:sz w:val="32"/>
          <w:szCs w:val="32"/>
          <w:lang w:val="en-US" w:eastAsia="zh-CN" w:bidi="ar"/>
        </w:rPr>
        <w:t>4</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住房保障支出（</w:t>
      </w:r>
      <w:r>
        <w:rPr>
          <w:rFonts w:hint="default" w:ascii="Times New Roman" w:hAnsi="Times New Roman" w:eastAsia="仿宋_GB2312" w:cs="Times New Roman"/>
          <w:kern w:val="2"/>
          <w:sz w:val="32"/>
          <w:szCs w:val="32"/>
          <w:lang w:val="en-US" w:eastAsia="zh-CN" w:bidi="ar"/>
        </w:rPr>
        <w:t>221</w:t>
      </w:r>
      <w:r>
        <w:rPr>
          <w:rFonts w:hint="default" w:ascii="仿宋_GB2312" w:hAnsi="Times New Roman" w:eastAsia="仿宋_GB2312" w:cs="仿宋_GB2312"/>
          <w:kern w:val="2"/>
          <w:sz w:val="32"/>
          <w:szCs w:val="32"/>
          <w:lang w:val="en-US" w:eastAsia="zh-CN" w:bidi="ar"/>
        </w:rPr>
        <w:t>类）住房改革支出（</w:t>
      </w:r>
      <w:r>
        <w:rPr>
          <w:rFonts w:hint="default" w:ascii="Times New Roman" w:hAnsi="Times New Roman" w:eastAsia="仿宋_GB2312" w:cs="Times New Roman"/>
          <w:kern w:val="2"/>
          <w:sz w:val="32"/>
          <w:szCs w:val="32"/>
          <w:lang w:val="en-US" w:eastAsia="zh-CN" w:bidi="ar"/>
        </w:rPr>
        <w:t>02</w:t>
      </w:r>
      <w:r>
        <w:rPr>
          <w:rFonts w:hint="default" w:ascii="仿宋_GB2312" w:hAnsi="Times New Roman" w:eastAsia="仿宋_GB2312" w:cs="仿宋_GB2312"/>
          <w:kern w:val="2"/>
          <w:sz w:val="32"/>
          <w:szCs w:val="32"/>
          <w:lang w:val="en-US" w:eastAsia="zh-CN" w:bidi="ar"/>
        </w:rPr>
        <w:t>款）住房公积金（</w:t>
      </w:r>
      <w:r>
        <w:rPr>
          <w:rFonts w:hint="default" w:ascii="Times New Roman" w:hAnsi="Times New Roman" w:eastAsia="仿宋_GB2312" w:cs="Times New Roman"/>
          <w:kern w:val="2"/>
          <w:sz w:val="32"/>
          <w:szCs w:val="32"/>
          <w:lang w:val="en-US" w:eastAsia="zh-CN" w:bidi="ar"/>
        </w:rPr>
        <w:t>01</w:t>
      </w:r>
      <w:r>
        <w:rPr>
          <w:rFonts w:hint="default" w:ascii="仿宋_GB2312" w:hAnsi="Times New Roman" w:eastAsia="仿宋_GB2312" w:cs="仿宋_GB2312"/>
          <w:kern w:val="2"/>
          <w:sz w:val="32"/>
          <w:szCs w:val="32"/>
          <w:lang w:val="en-US" w:eastAsia="zh-CN" w:bidi="ar"/>
        </w:rPr>
        <w:t>项）：行政事业单位按人力资源和社会保障部、财政部规定的基本工资和津贴补贴以及规定比例为职工缴纳的住房公积金。</w:t>
      </w:r>
      <w:bookmarkEnd w:id="88"/>
    </w:p>
    <w:p w14:paraId="1827BC4E">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eastAsia" w:eastAsia="仿宋_GB2312" w:cs="仿宋_GB2312"/>
          <w:sz w:val="32"/>
          <w:szCs w:val="32"/>
        </w:rPr>
      </w:pPr>
      <w:bookmarkStart w:id="89" w:name="_Toc30282530"/>
      <w:r>
        <w:rPr>
          <w:rFonts w:hint="eastAsia" w:eastAsia="仿宋_GB2312" w:cs="仿宋_GB2312"/>
          <w:sz w:val="32"/>
          <w:szCs w:val="32"/>
        </w:rPr>
        <w:t>2</w:t>
      </w:r>
      <w:r>
        <w:rPr>
          <w:rFonts w:hint="eastAsia" w:eastAsia="仿宋_GB2312" w:cs="仿宋_GB2312"/>
          <w:sz w:val="32"/>
          <w:szCs w:val="32"/>
          <w:lang w:val="en-US" w:eastAsia="zh-CN"/>
        </w:rPr>
        <w:t>5</w:t>
      </w:r>
      <w:r>
        <w:rPr>
          <w:rFonts w:hint="eastAsia" w:eastAsia="仿宋_GB2312" w:cs="仿宋_GB2312"/>
          <w:sz w:val="32"/>
          <w:szCs w:val="32"/>
        </w:rPr>
        <w:t>.基本支出：指为保障机构正常运转、完成日常工作任务而发生的人员支出和公用支出。</w:t>
      </w:r>
      <w:bookmarkEnd w:id="89"/>
    </w:p>
    <w:p w14:paraId="1EFC9050">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eastAsia" w:eastAsia="仿宋_GB2312" w:cs="仿宋_GB2312"/>
          <w:sz w:val="32"/>
          <w:szCs w:val="32"/>
        </w:rPr>
      </w:pPr>
      <w:bookmarkStart w:id="90" w:name="_Toc1047044084"/>
      <w:r>
        <w:rPr>
          <w:rFonts w:hint="eastAsia" w:eastAsia="仿宋_GB2312" w:cs="仿宋_GB2312"/>
          <w:sz w:val="32"/>
          <w:szCs w:val="32"/>
        </w:rPr>
        <w:t>2</w:t>
      </w:r>
      <w:r>
        <w:rPr>
          <w:rFonts w:hint="eastAsia" w:eastAsia="仿宋_GB2312" w:cs="仿宋_GB2312"/>
          <w:sz w:val="32"/>
          <w:szCs w:val="32"/>
          <w:lang w:val="en-US" w:eastAsia="zh-CN"/>
        </w:rPr>
        <w:t>6</w:t>
      </w:r>
      <w:r>
        <w:rPr>
          <w:rFonts w:hint="eastAsia" w:eastAsia="仿宋_GB2312" w:cs="仿宋_GB2312"/>
          <w:sz w:val="32"/>
          <w:szCs w:val="32"/>
        </w:rPr>
        <w:t>.项目支出：指在基本支出之外为完成特定行政任务和事业发展目标所发生的支出。</w:t>
      </w:r>
      <w:bookmarkEnd w:id="90"/>
      <w:r>
        <w:rPr>
          <w:rFonts w:hint="eastAsia" w:eastAsia="仿宋_GB2312" w:cs="仿宋_GB2312"/>
          <w:sz w:val="32"/>
          <w:szCs w:val="32"/>
        </w:rPr>
        <w:t xml:space="preserve"> </w:t>
      </w:r>
    </w:p>
    <w:p w14:paraId="509C8A75">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eastAsia" w:eastAsia="仿宋_GB2312" w:cs="仿宋_GB2312"/>
          <w:sz w:val="32"/>
          <w:szCs w:val="32"/>
        </w:rPr>
      </w:pPr>
      <w:bookmarkStart w:id="91" w:name="_Toc307264094"/>
      <w:r>
        <w:rPr>
          <w:rFonts w:hint="eastAsia" w:eastAsia="仿宋_GB2312" w:cs="仿宋_GB2312"/>
          <w:sz w:val="32"/>
          <w:szCs w:val="32"/>
        </w:rPr>
        <w:t>2</w:t>
      </w:r>
      <w:r>
        <w:rPr>
          <w:rFonts w:hint="eastAsia" w:eastAsia="仿宋_GB2312" w:cs="仿宋_GB2312"/>
          <w:sz w:val="32"/>
          <w:szCs w:val="32"/>
          <w:lang w:val="en-US" w:eastAsia="zh-CN"/>
        </w:rPr>
        <w:t>7</w:t>
      </w:r>
      <w:r>
        <w:rPr>
          <w:rFonts w:hint="eastAsia" w:eastAsia="仿宋_GB2312" w:cs="仿宋_GB2312"/>
          <w:sz w:val="32"/>
          <w:szCs w:val="32"/>
        </w:rPr>
        <w:t>.经营支出：指事业单位在专业业务活动及其辅助活动之外开展非独立核算经营活动发生的支出。</w:t>
      </w:r>
      <w:bookmarkEnd w:id="91"/>
    </w:p>
    <w:p w14:paraId="14BE65E6">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hint="eastAsia" w:eastAsia="仿宋_GB2312" w:cs="仿宋_GB2312"/>
          <w:sz w:val="32"/>
          <w:szCs w:val="32"/>
        </w:rPr>
      </w:pPr>
      <w:bookmarkStart w:id="92" w:name="_Toc1548667429"/>
      <w:r>
        <w:rPr>
          <w:rFonts w:hint="eastAsia" w:eastAsia="仿宋_GB2312" w:cs="仿宋_GB2312"/>
          <w:sz w:val="32"/>
          <w:szCs w:val="32"/>
          <w:lang w:val="en-US" w:eastAsia="zh-CN"/>
        </w:rPr>
        <w:t>28</w:t>
      </w:r>
      <w:r>
        <w:rPr>
          <w:rFonts w:hint="eastAsia" w:eastAsia="仿宋_GB2312" w:cs="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bookmarkEnd w:id="92"/>
    </w:p>
    <w:p w14:paraId="4F88D97F">
      <w:pPr>
        <w:keepNext w:val="0"/>
        <w:keepLines w:val="0"/>
        <w:widowControl w:val="0"/>
        <w:suppressLineNumbers w:val="0"/>
        <w:pBdr>
          <w:top w:val="single" w:color="FFFFFF" w:sz="4" w:space="0"/>
          <w:left w:val="single" w:color="FFFFFF" w:sz="4" w:space="31"/>
          <w:bottom w:val="single" w:color="FFFFFF" w:sz="4" w:space="31"/>
          <w:right w:val="single" w:color="FFFFFF" w:sz="4" w:space="31"/>
        </w:pBdr>
        <w:adjustRightInd w:val="0"/>
        <w:snapToGrid w:val="0"/>
        <w:spacing w:before="0" w:beforeAutospacing="0" w:after="0" w:afterAutospacing="0" w:line="560" w:lineRule="exact"/>
        <w:ind w:left="0" w:right="0" w:firstLine="640" w:firstLineChars="200"/>
        <w:jc w:val="both"/>
        <w:outlineLvl w:val="1"/>
        <w:rPr>
          <w:rFonts w:eastAsia="仿宋_GB2312" w:cs="仿宋_GB2312"/>
          <w:sz w:val="32"/>
          <w:szCs w:val="32"/>
        </w:rPr>
      </w:pPr>
      <w:bookmarkStart w:id="93" w:name="_Toc1248187678"/>
      <w:r>
        <w:rPr>
          <w:rFonts w:hint="eastAsia" w:eastAsia="仿宋_GB2312" w:cs="仿宋_GB2312"/>
          <w:sz w:val="32"/>
          <w:szCs w:val="32"/>
          <w:lang w:val="en-US" w:eastAsia="zh-CN"/>
        </w:rPr>
        <w:t>29</w:t>
      </w:r>
      <w:r>
        <w:rPr>
          <w:rFonts w:hint="eastAsia" w:eastAsia="仿宋_GB2312"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End w:id="93"/>
    </w:p>
    <w:p w14:paraId="761FE071">
      <w:pPr>
        <w:spacing w:line="600" w:lineRule="exact"/>
        <w:ind w:firstLine="640"/>
        <w:rPr>
          <w:rFonts w:eastAsia="仿宋_GB2312" w:cs="仿宋_GB2312"/>
          <w:b/>
          <w:bCs/>
          <w:sz w:val="32"/>
          <w:szCs w:val="32"/>
        </w:rPr>
      </w:pPr>
    </w:p>
    <w:p w14:paraId="7EE3B0C7">
      <w:pPr>
        <w:spacing w:line="600" w:lineRule="exact"/>
        <w:jc w:val="center"/>
        <w:outlineLvl w:val="0"/>
        <w:rPr>
          <w:rStyle w:val="29"/>
          <w:rFonts w:eastAsia="黑体"/>
          <w:b w:val="0"/>
        </w:rPr>
      </w:pPr>
      <w:bookmarkStart w:id="94" w:name="_Toc15377226"/>
      <w:r>
        <w:rPr>
          <w:rFonts w:hint="eastAsia" w:eastAsia="仿宋_GB2312" w:cs="仿宋_GB2312"/>
          <w:sz w:val="32"/>
          <w:szCs w:val="32"/>
        </w:rPr>
        <w:br w:type="page"/>
      </w:r>
      <w:bookmarkStart w:id="95" w:name="_Toc15396614"/>
      <w:bookmarkStart w:id="96" w:name="_Toc672962521"/>
      <w:r>
        <w:rPr>
          <w:rFonts w:hint="eastAsia" w:eastAsia="黑体"/>
          <w:sz w:val="44"/>
          <w:szCs w:val="44"/>
        </w:rPr>
        <w:t>第四部分  附件</w:t>
      </w:r>
      <w:bookmarkEnd w:id="95"/>
      <w:bookmarkEnd w:id="96"/>
    </w:p>
    <w:p w14:paraId="281F1B51">
      <w:pPr>
        <w:spacing w:line="572" w:lineRule="exact"/>
        <w:jc w:val="left"/>
        <w:outlineLvl w:val="9"/>
        <w:rPr>
          <w:rFonts w:eastAsia="黑体" w:cs="黑体"/>
          <w:sz w:val="32"/>
          <w:szCs w:val="32"/>
        </w:rPr>
      </w:pPr>
    </w:p>
    <w:p w14:paraId="4CE1BCEC">
      <w:pPr>
        <w:widowControl/>
        <w:spacing w:line="578" w:lineRule="exact"/>
        <w:contextualSpacing/>
        <w:jc w:val="center"/>
      </w:pPr>
      <w:r>
        <w:rPr>
          <w:rFonts w:hint="eastAsia" w:eastAsia="黑体" w:cs="黑体"/>
          <w:sz w:val="32"/>
          <w:szCs w:val="32"/>
        </w:rPr>
        <w:t>部门预算项目支出绩效评价表（2024年度）</w:t>
      </w:r>
    </w:p>
    <w:p w14:paraId="46542CE8">
      <w:pPr>
        <w:pStyle w:val="8"/>
        <w:spacing w:line="560" w:lineRule="exact"/>
        <w:ind w:left="0" w:leftChars="0" w:firstLine="640"/>
        <w:rPr>
          <w:rFonts w:ascii="Times New Roman" w:eastAsia="仿宋_GB2312" w:cs="仿宋_GB2312"/>
          <w:kern w:val="0"/>
          <w:sz w:val="32"/>
        </w:rPr>
      </w:pPr>
    </w:p>
    <w:p w14:paraId="0FC2ECBE">
      <w:pPr>
        <w:spacing w:line="578" w:lineRule="exact"/>
        <w:ind w:firstLine="640"/>
        <w:rPr>
          <w:rFonts w:eastAsia="仿宋_GB2312" w:cs="仿宋_GB2312"/>
          <w:kern w:val="0"/>
          <w:sz w:val="32"/>
          <w:szCs w:val="32"/>
        </w:rPr>
      </w:pPr>
      <w:bookmarkStart w:id="97" w:name="_Toc15396618"/>
      <w:r>
        <w:rPr>
          <w:rFonts w:hint="eastAsia" w:eastAsia="仿宋_GB2312" w:cs="仿宋_GB2312"/>
          <w:kern w:val="0"/>
          <w:sz w:val="32"/>
          <w:szCs w:val="32"/>
        </w:rPr>
        <w:br w:type="page"/>
      </w:r>
    </w:p>
    <w:p w14:paraId="595C228F">
      <w:pPr>
        <w:widowControl/>
        <w:jc w:val="center"/>
        <w:outlineLvl w:val="0"/>
        <w:rPr>
          <w:rFonts w:eastAsia="仿宋"/>
        </w:rPr>
      </w:pPr>
      <w:bookmarkStart w:id="98" w:name="_Toc1785471453"/>
      <w:r>
        <w:rPr>
          <w:rFonts w:hint="eastAsia" w:eastAsia="黑体"/>
          <w:sz w:val="44"/>
          <w:szCs w:val="44"/>
        </w:rPr>
        <w:t>第</w:t>
      </w:r>
      <w:r>
        <w:rPr>
          <w:rStyle w:val="29"/>
          <w:rFonts w:hint="eastAsia" w:eastAsia="黑体"/>
          <w:b w:val="0"/>
        </w:rPr>
        <w:t>五部分 附表</w:t>
      </w:r>
      <w:bookmarkEnd w:id="94"/>
      <w:bookmarkEnd w:id="97"/>
      <w:bookmarkEnd w:id="98"/>
      <w:bookmarkStart w:id="99" w:name="_Toc15396619"/>
    </w:p>
    <w:p w14:paraId="077CDF40">
      <w:pPr>
        <w:pStyle w:val="15"/>
        <w:adjustRightInd w:val="0"/>
        <w:snapToGrid w:val="0"/>
        <w:spacing w:line="560" w:lineRule="exact"/>
        <w:jc w:val="left"/>
        <w:rPr>
          <w:rFonts w:eastAsia="仿宋_GB2312" w:cs="仿宋_GB2312"/>
          <w:sz w:val="32"/>
          <w:szCs w:val="32"/>
        </w:rPr>
      </w:pPr>
    </w:p>
    <w:p w14:paraId="0AD2BEE0">
      <w:pPr>
        <w:pStyle w:val="15"/>
        <w:adjustRightInd w:val="0"/>
        <w:snapToGrid w:val="0"/>
        <w:spacing w:line="560" w:lineRule="exact"/>
        <w:jc w:val="left"/>
        <w:rPr>
          <w:rFonts w:eastAsia="仿宋_GB2312" w:cs="仿宋_GB2312"/>
          <w:sz w:val="32"/>
          <w:szCs w:val="32"/>
        </w:rPr>
      </w:pPr>
      <w:r>
        <w:rPr>
          <w:rFonts w:hint="eastAsia" w:eastAsia="仿宋_GB2312" w:cs="仿宋_GB2312"/>
          <w:sz w:val="32"/>
          <w:szCs w:val="32"/>
        </w:rPr>
        <w:t>一、收入支出决算总表</w:t>
      </w:r>
      <w:bookmarkEnd w:id="99"/>
    </w:p>
    <w:p w14:paraId="4FF63313">
      <w:pPr>
        <w:pStyle w:val="15"/>
        <w:adjustRightInd w:val="0"/>
        <w:snapToGrid w:val="0"/>
        <w:spacing w:line="560" w:lineRule="exact"/>
        <w:jc w:val="left"/>
        <w:rPr>
          <w:rFonts w:eastAsia="仿宋_GB2312" w:cs="仿宋_GB2312"/>
          <w:sz w:val="32"/>
          <w:szCs w:val="32"/>
        </w:rPr>
      </w:pPr>
      <w:bookmarkStart w:id="100" w:name="_Toc15396620"/>
      <w:r>
        <w:rPr>
          <w:rFonts w:hint="eastAsia" w:eastAsia="仿宋_GB2312" w:cs="仿宋_GB2312"/>
          <w:sz w:val="32"/>
          <w:szCs w:val="32"/>
        </w:rPr>
        <w:t>二、收入决算表</w:t>
      </w:r>
      <w:bookmarkEnd w:id="100"/>
    </w:p>
    <w:p w14:paraId="78EE0D91">
      <w:pPr>
        <w:pStyle w:val="15"/>
        <w:adjustRightInd w:val="0"/>
        <w:snapToGrid w:val="0"/>
        <w:spacing w:line="560" w:lineRule="exact"/>
        <w:jc w:val="left"/>
        <w:rPr>
          <w:rFonts w:eastAsia="仿宋_GB2312" w:cs="仿宋_GB2312"/>
          <w:sz w:val="32"/>
          <w:szCs w:val="32"/>
        </w:rPr>
      </w:pPr>
      <w:bookmarkStart w:id="101" w:name="_Toc15396621"/>
      <w:r>
        <w:rPr>
          <w:rFonts w:hint="eastAsia" w:eastAsia="仿宋_GB2312" w:cs="仿宋_GB2312"/>
          <w:sz w:val="32"/>
          <w:szCs w:val="32"/>
        </w:rPr>
        <w:t>三、支出决算表</w:t>
      </w:r>
      <w:bookmarkEnd w:id="101"/>
    </w:p>
    <w:p w14:paraId="7F1D37FD">
      <w:pPr>
        <w:pStyle w:val="15"/>
        <w:adjustRightInd w:val="0"/>
        <w:snapToGrid w:val="0"/>
        <w:spacing w:line="560" w:lineRule="exact"/>
        <w:jc w:val="left"/>
        <w:rPr>
          <w:rFonts w:eastAsia="仿宋_GB2312" w:cs="仿宋_GB2312"/>
          <w:sz w:val="32"/>
          <w:szCs w:val="32"/>
        </w:rPr>
      </w:pPr>
      <w:bookmarkStart w:id="102" w:name="_Toc15396622"/>
      <w:r>
        <w:rPr>
          <w:rFonts w:hint="eastAsia" w:eastAsia="仿宋_GB2312" w:cs="仿宋_GB2312"/>
          <w:sz w:val="32"/>
          <w:szCs w:val="32"/>
        </w:rPr>
        <w:t>四、财政拨款收入支出决算总表</w:t>
      </w:r>
      <w:bookmarkEnd w:id="102"/>
    </w:p>
    <w:p w14:paraId="3F7C2118">
      <w:pPr>
        <w:pStyle w:val="15"/>
        <w:adjustRightInd w:val="0"/>
        <w:snapToGrid w:val="0"/>
        <w:spacing w:line="560" w:lineRule="exact"/>
        <w:jc w:val="left"/>
        <w:rPr>
          <w:rFonts w:eastAsia="仿宋_GB2312" w:cs="仿宋_GB2312"/>
          <w:sz w:val="32"/>
          <w:szCs w:val="32"/>
        </w:rPr>
      </w:pPr>
      <w:bookmarkStart w:id="103" w:name="_Toc15396623"/>
      <w:r>
        <w:rPr>
          <w:rFonts w:hint="eastAsia" w:eastAsia="仿宋_GB2312" w:cs="仿宋_GB2312"/>
          <w:sz w:val="32"/>
          <w:szCs w:val="32"/>
        </w:rPr>
        <w:t>五、财政拨款支出决算明细表</w:t>
      </w:r>
      <w:bookmarkEnd w:id="103"/>
      <w:bookmarkStart w:id="104" w:name="_Toc15396624"/>
    </w:p>
    <w:p w14:paraId="620A7D30">
      <w:pPr>
        <w:pStyle w:val="15"/>
        <w:adjustRightInd w:val="0"/>
        <w:snapToGrid w:val="0"/>
        <w:spacing w:line="560" w:lineRule="exact"/>
        <w:jc w:val="left"/>
        <w:rPr>
          <w:rFonts w:eastAsia="仿宋_GB2312" w:cs="仿宋_GB2312"/>
          <w:sz w:val="32"/>
          <w:szCs w:val="32"/>
        </w:rPr>
      </w:pPr>
      <w:r>
        <w:rPr>
          <w:rFonts w:hint="eastAsia" w:eastAsia="仿宋_GB2312" w:cs="仿宋_GB2312"/>
          <w:sz w:val="32"/>
          <w:szCs w:val="32"/>
        </w:rPr>
        <w:t>六、一般公共预算财政拨款支出决算表</w:t>
      </w:r>
      <w:bookmarkEnd w:id="104"/>
    </w:p>
    <w:p w14:paraId="0F9E31BC">
      <w:pPr>
        <w:pStyle w:val="15"/>
        <w:adjustRightInd w:val="0"/>
        <w:snapToGrid w:val="0"/>
        <w:spacing w:line="560" w:lineRule="exact"/>
        <w:jc w:val="left"/>
        <w:rPr>
          <w:rFonts w:eastAsia="仿宋_GB2312" w:cs="仿宋_GB2312"/>
          <w:sz w:val="32"/>
          <w:szCs w:val="32"/>
        </w:rPr>
      </w:pPr>
      <w:bookmarkStart w:id="105" w:name="_Toc15396625"/>
      <w:r>
        <w:rPr>
          <w:rFonts w:hint="eastAsia" w:eastAsia="仿宋_GB2312" w:cs="仿宋_GB2312"/>
          <w:sz w:val="32"/>
          <w:szCs w:val="32"/>
        </w:rPr>
        <w:t>七、一般公共预算财政拨款支出决算明细表</w:t>
      </w:r>
      <w:bookmarkEnd w:id="105"/>
    </w:p>
    <w:p w14:paraId="4CD2DAF6">
      <w:pPr>
        <w:pStyle w:val="15"/>
        <w:adjustRightInd w:val="0"/>
        <w:snapToGrid w:val="0"/>
        <w:spacing w:line="560" w:lineRule="exact"/>
        <w:jc w:val="left"/>
        <w:rPr>
          <w:rFonts w:eastAsia="仿宋_GB2312" w:cs="仿宋_GB2312"/>
          <w:sz w:val="32"/>
          <w:szCs w:val="32"/>
        </w:rPr>
      </w:pPr>
      <w:bookmarkStart w:id="106" w:name="_Toc15396626"/>
      <w:r>
        <w:rPr>
          <w:rFonts w:hint="eastAsia" w:eastAsia="仿宋_GB2312" w:cs="仿宋_GB2312"/>
          <w:sz w:val="32"/>
          <w:szCs w:val="32"/>
        </w:rPr>
        <w:t>八、一般公共预算财政拨款基本支出决算表</w:t>
      </w:r>
      <w:bookmarkEnd w:id="106"/>
    </w:p>
    <w:p w14:paraId="24D9B355">
      <w:pPr>
        <w:pStyle w:val="15"/>
        <w:adjustRightInd w:val="0"/>
        <w:snapToGrid w:val="0"/>
        <w:spacing w:line="560" w:lineRule="exact"/>
        <w:jc w:val="left"/>
        <w:rPr>
          <w:rFonts w:eastAsia="仿宋_GB2312" w:cs="仿宋_GB2312"/>
          <w:sz w:val="32"/>
          <w:szCs w:val="32"/>
        </w:rPr>
      </w:pPr>
      <w:bookmarkStart w:id="107" w:name="_Toc15396627"/>
      <w:r>
        <w:rPr>
          <w:rFonts w:hint="eastAsia" w:eastAsia="仿宋_GB2312" w:cs="仿宋_GB2312"/>
          <w:sz w:val="32"/>
          <w:szCs w:val="32"/>
        </w:rPr>
        <w:t>九、一般公共预算财政拨款项目支出决算表</w:t>
      </w:r>
      <w:bookmarkEnd w:id="107"/>
    </w:p>
    <w:p w14:paraId="31EE3C0F">
      <w:pPr>
        <w:pStyle w:val="15"/>
        <w:adjustRightInd w:val="0"/>
        <w:snapToGrid w:val="0"/>
        <w:spacing w:line="560" w:lineRule="exact"/>
        <w:jc w:val="left"/>
        <w:rPr>
          <w:rFonts w:eastAsia="仿宋_GB2312" w:cs="仿宋_GB2312"/>
          <w:sz w:val="32"/>
          <w:szCs w:val="32"/>
        </w:rPr>
      </w:pPr>
      <w:bookmarkStart w:id="108" w:name="_Toc15396628"/>
      <w:r>
        <w:rPr>
          <w:rFonts w:hint="eastAsia" w:eastAsia="仿宋_GB2312" w:cs="仿宋_GB2312"/>
          <w:sz w:val="32"/>
          <w:szCs w:val="32"/>
        </w:rPr>
        <w:t>十、</w:t>
      </w:r>
      <w:bookmarkEnd w:id="108"/>
      <w:r>
        <w:rPr>
          <w:rFonts w:hint="eastAsia" w:eastAsia="仿宋_GB2312" w:cs="仿宋_GB2312"/>
          <w:sz w:val="32"/>
          <w:szCs w:val="32"/>
        </w:rPr>
        <w:t>政府性基金预算财政拨款收入支出决算表</w:t>
      </w:r>
    </w:p>
    <w:p w14:paraId="21A47CA1">
      <w:pPr>
        <w:pStyle w:val="15"/>
        <w:adjustRightInd w:val="0"/>
        <w:snapToGrid w:val="0"/>
        <w:spacing w:line="560" w:lineRule="exact"/>
        <w:jc w:val="left"/>
        <w:rPr>
          <w:rFonts w:eastAsia="仿宋_GB2312" w:cs="仿宋_GB2312"/>
          <w:sz w:val="32"/>
          <w:szCs w:val="32"/>
        </w:rPr>
      </w:pPr>
      <w:bookmarkStart w:id="109" w:name="_Toc15396629"/>
      <w:r>
        <w:rPr>
          <w:rFonts w:hint="eastAsia" w:eastAsia="仿宋_GB2312" w:cs="仿宋_GB2312"/>
          <w:sz w:val="32"/>
          <w:szCs w:val="32"/>
        </w:rPr>
        <w:t>十一、</w:t>
      </w:r>
      <w:bookmarkEnd w:id="109"/>
      <w:r>
        <w:rPr>
          <w:rFonts w:hint="eastAsia" w:eastAsia="仿宋_GB2312" w:cs="仿宋_GB2312"/>
          <w:sz w:val="32"/>
          <w:szCs w:val="32"/>
        </w:rPr>
        <w:t>国有资本经营预算财政拨款收入支出决算表</w:t>
      </w:r>
    </w:p>
    <w:p w14:paraId="5CDEC926">
      <w:pPr>
        <w:pStyle w:val="15"/>
        <w:adjustRightInd w:val="0"/>
        <w:snapToGrid w:val="0"/>
        <w:spacing w:line="560" w:lineRule="exact"/>
        <w:jc w:val="left"/>
        <w:rPr>
          <w:rFonts w:eastAsia="仿宋_GB2312" w:cs="仿宋_GB2312"/>
          <w:sz w:val="32"/>
          <w:szCs w:val="32"/>
        </w:rPr>
      </w:pPr>
      <w:bookmarkStart w:id="110" w:name="_Toc15396630"/>
      <w:r>
        <w:rPr>
          <w:rFonts w:hint="eastAsia" w:eastAsia="仿宋_GB2312" w:cs="仿宋_GB2312"/>
          <w:sz w:val="32"/>
          <w:szCs w:val="32"/>
        </w:rPr>
        <w:t>十二、</w:t>
      </w:r>
      <w:bookmarkEnd w:id="110"/>
      <w:r>
        <w:rPr>
          <w:rFonts w:hint="eastAsia" w:eastAsia="仿宋_GB2312" w:cs="仿宋_GB2312"/>
          <w:sz w:val="32"/>
          <w:szCs w:val="32"/>
        </w:rPr>
        <w:t>国有资本经营预算财政拨款支出决算表</w:t>
      </w:r>
    </w:p>
    <w:p w14:paraId="7A3E5F40">
      <w:pPr>
        <w:pStyle w:val="15"/>
        <w:adjustRightInd w:val="0"/>
        <w:snapToGrid w:val="0"/>
        <w:spacing w:line="560" w:lineRule="exact"/>
        <w:jc w:val="left"/>
        <w:rPr>
          <w:rFonts w:eastAsia="仿宋_GB2312" w:cs="仿宋_GB2312"/>
          <w:sz w:val="32"/>
          <w:szCs w:val="32"/>
        </w:rPr>
      </w:pPr>
      <w:bookmarkStart w:id="111" w:name="_Toc15396631"/>
      <w:r>
        <w:rPr>
          <w:rFonts w:hint="eastAsia" w:eastAsia="仿宋_GB2312" w:cs="仿宋_GB2312"/>
          <w:sz w:val="32"/>
          <w:szCs w:val="32"/>
        </w:rPr>
        <w:t>十三、</w:t>
      </w:r>
      <w:bookmarkEnd w:id="111"/>
      <w:r>
        <w:rPr>
          <w:rFonts w:hint="eastAsia" w:eastAsia="仿宋_GB2312" w:cs="仿宋_GB2312"/>
          <w:sz w:val="32"/>
          <w:szCs w:val="32"/>
        </w:rPr>
        <w:t>财政拨款“三公”经费支出决算表</w:t>
      </w:r>
    </w:p>
    <w:p w14:paraId="54E2896E"/>
    <w:sectPr>
      <w:footerReference r:id="rId8" w:type="first"/>
      <w:footerReference r:id="rId7"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0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
    <w:altName w:val="国标仿宋"/>
    <w:panose1 w:val="00000000000000000000"/>
    <w:charset w:val="00"/>
    <w:family w:val="roman"/>
    <w:pitch w:val="default"/>
    <w:sig w:usb0="00000000" w:usb1="00000000" w:usb2="00000000" w:usb3="00000000" w:csb0="00000000" w:csb1="00000000"/>
  </w:font>
  <w:font w:name="国标仿宋">
    <w:panose1 w:val="02000500000000000000"/>
    <w:charset w:val="86"/>
    <w:family w:val="auto"/>
    <w:pitch w:val="default"/>
    <w:sig w:usb0="A00002BF" w:usb1="38C77CFA" w:usb2="00000016" w:usb3="00000000" w:csb0="00060007" w:csb1="00000000"/>
  </w:font>
  <w:font w:name="方正小标宋简体">
    <w:panose1 w:val="02000000000000000000"/>
    <w:charset w:val="86"/>
    <w:family w:val="script"/>
    <w:pitch w:val="default"/>
    <w:sig w:usb0="A00002BF" w:usb1="184F6CFA" w:usb2="00000012" w:usb3="00000000" w:csb0="00040001" w:csb1="00000000"/>
  </w:font>
  <w:font w:name="CESI仿宋-GB18030">
    <w:panose1 w:val="02000500000000000000"/>
    <w:charset w:val="86"/>
    <w:family w:val="auto"/>
    <w:pitch w:val="default"/>
    <w:sig w:usb0="A00002BF" w:usb1="38C77CFA" w:usb2="00000016" w:usb3="00000000" w:csb0="0004000F" w:csb1="00000000"/>
  </w:font>
  <w:font w:name="CESI仿宋-GB2312">
    <w:panose1 w:val="02000500000000000000"/>
    <w:charset w:val="86"/>
    <w:family w:val="auto"/>
    <w:pitch w:val="default"/>
    <w:sig w:usb0="800002AF" w:usb1="084F6CF8" w:usb2="00000010" w:usb3="00000000" w:csb0="0004000F"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仿宋_GB2312">
    <w:altName w:val="方正仿宋_GBK"/>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3CBCC">
    <w:pPr>
      <w:pStyle w:val="11"/>
      <w:jc w:val="center"/>
    </w:pPr>
  </w:p>
  <w:p w14:paraId="7CD282D4">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FD6D7">
    <w:pPr>
      <w:pStyle w:val="11"/>
      <w:jc w:val="center"/>
    </w:pPr>
  </w:p>
  <w:p w14:paraId="00C8E8DC">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4D96A">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ABBA5">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52FFEC">
                          <w:pPr>
                            <w:pStyle w:val="11"/>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952FFEC">
                    <w:pPr>
                      <w:pStyle w:val="11"/>
                    </w:pPr>
                    <w:r>
                      <w:fldChar w:fldCharType="begin"/>
                    </w:r>
                    <w:r>
                      <w:instrText xml:space="preserve"> PAGE  \* MERGEFORMAT </w:instrText>
                    </w:r>
                    <w:r>
                      <w:fldChar w:fldCharType="separate"/>
                    </w:r>
                    <w:r>
                      <w:t>- 2 -</w:t>
                    </w:r>
                    <w:r>
                      <w:fldChar w:fldCharType="end"/>
                    </w:r>
                  </w:p>
                </w:txbxContent>
              </v:textbox>
            </v:shape>
          </w:pict>
        </mc:Fallback>
      </mc:AlternateContent>
    </w:r>
  </w:p>
  <w:p w14:paraId="118E0A27">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5DA85">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FF9952">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7FF9952">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4D22B">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FEDC94"/>
    <w:multiLevelType w:val="singleLevel"/>
    <w:tmpl w:val="A7FEDC94"/>
    <w:lvl w:ilvl="0" w:tentative="0">
      <w:start w:val="1"/>
      <w:numFmt w:val="decimal"/>
      <w:lvlText w:val="%1."/>
      <w:lvlJc w:val="left"/>
      <w:pPr>
        <w:tabs>
          <w:tab w:val="left" w:pos="312"/>
        </w:tabs>
      </w:pPr>
    </w:lvl>
  </w:abstractNum>
  <w:abstractNum w:abstractNumId="1">
    <w:nsid w:val="FFFE311F"/>
    <w:multiLevelType w:val="singleLevel"/>
    <w:tmpl w:val="FFFE311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441E"/>
    <w:rsid w:val="000E6613"/>
    <w:rsid w:val="000E7119"/>
    <w:rsid w:val="00114E9B"/>
    <w:rsid w:val="00142216"/>
    <w:rsid w:val="00144D6A"/>
    <w:rsid w:val="0014729F"/>
    <w:rsid w:val="00157BAB"/>
    <w:rsid w:val="001654D1"/>
    <w:rsid w:val="00174518"/>
    <w:rsid w:val="0018106D"/>
    <w:rsid w:val="001877A7"/>
    <w:rsid w:val="00191536"/>
    <w:rsid w:val="00196687"/>
    <w:rsid w:val="001A43E3"/>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A77D0"/>
    <w:rsid w:val="002B2613"/>
    <w:rsid w:val="002D6D05"/>
    <w:rsid w:val="002F1818"/>
    <w:rsid w:val="002F567B"/>
    <w:rsid w:val="003216A9"/>
    <w:rsid w:val="00335A74"/>
    <w:rsid w:val="0036561B"/>
    <w:rsid w:val="0037013F"/>
    <w:rsid w:val="0037413C"/>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9374F"/>
    <w:rsid w:val="004A711F"/>
    <w:rsid w:val="004B199D"/>
    <w:rsid w:val="004B4690"/>
    <w:rsid w:val="004E0A2D"/>
    <w:rsid w:val="004E206B"/>
    <w:rsid w:val="004E383C"/>
    <w:rsid w:val="004E6DF7"/>
    <w:rsid w:val="004F0FBD"/>
    <w:rsid w:val="00505A47"/>
    <w:rsid w:val="00512FDA"/>
    <w:rsid w:val="00520DA0"/>
    <w:rsid w:val="005664BB"/>
    <w:rsid w:val="00566FFA"/>
    <w:rsid w:val="0057481D"/>
    <w:rsid w:val="005817F3"/>
    <w:rsid w:val="0058486E"/>
    <w:rsid w:val="00585B33"/>
    <w:rsid w:val="0059014D"/>
    <w:rsid w:val="005B5C64"/>
    <w:rsid w:val="005C5337"/>
    <w:rsid w:val="005C6BD0"/>
    <w:rsid w:val="005D1C8B"/>
    <w:rsid w:val="005D468D"/>
    <w:rsid w:val="005D5CED"/>
    <w:rsid w:val="005F1A4C"/>
    <w:rsid w:val="00605688"/>
    <w:rsid w:val="006070AF"/>
    <w:rsid w:val="00607712"/>
    <w:rsid w:val="00607E6C"/>
    <w:rsid w:val="006101B1"/>
    <w:rsid w:val="00614E44"/>
    <w:rsid w:val="0062270A"/>
    <w:rsid w:val="00622830"/>
    <w:rsid w:val="00623DA0"/>
    <w:rsid w:val="00630AEF"/>
    <w:rsid w:val="006325F8"/>
    <w:rsid w:val="00633463"/>
    <w:rsid w:val="00634C9A"/>
    <w:rsid w:val="006440E4"/>
    <w:rsid w:val="0066343B"/>
    <w:rsid w:val="00664777"/>
    <w:rsid w:val="00672AB7"/>
    <w:rsid w:val="006748A4"/>
    <w:rsid w:val="00681A31"/>
    <w:rsid w:val="00683E73"/>
    <w:rsid w:val="006A0156"/>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65E4"/>
    <w:rsid w:val="00871F71"/>
    <w:rsid w:val="00872FD8"/>
    <w:rsid w:val="00885AF4"/>
    <w:rsid w:val="008939CD"/>
    <w:rsid w:val="008B768C"/>
    <w:rsid w:val="008C4DB1"/>
    <w:rsid w:val="008C4EAF"/>
    <w:rsid w:val="008C5176"/>
    <w:rsid w:val="008C7FD0"/>
    <w:rsid w:val="008E1DE7"/>
    <w:rsid w:val="008E707C"/>
    <w:rsid w:val="008F7702"/>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103C"/>
    <w:rsid w:val="00A91760"/>
    <w:rsid w:val="00A93B00"/>
    <w:rsid w:val="00A93C21"/>
    <w:rsid w:val="00AB64C9"/>
    <w:rsid w:val="00AC3C6A"/>
    <w:rsid w:val="00AD5620"/>
    <w:rsid w:val="00AD656B"/>
    <w:rsid w:val="00AD7C1B"/>
    <w:rsid w:val="00AE16BA"/>
    <w:rsid w:val="00AE1EBE"/>
    <w:rsid w:val="00B03C9D"/>
    <w:rsid w:val="00B060AE"/>
    <w:rsid w:val="00B10517"/>
    <w:rsid w:val="00B130BB"/>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29DB"/>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E8440E"/>
    <w:rsid w:val="1CC6347C"/>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F04E50"/>
    <w:rsid w:val="2E586DFA"/>
    <w:rsid w:val="2EF71C9D"/>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D37271"/>
    <w:rsid w:val="5DE7D9E5"/>
    <w:rsid w:val="5ECEC941"/>
    <w:rsid w:val="5F6B5ED4"/>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5648C6"/>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0B1D2B"/>
    <w:rsid w:val="76E3355F"/>
    <w:rsid w:val="76FF5125"/>
    <w:rsid w:val="776F6FFA"/>
    <w:rsid w:val="778769C8"/>
    <w:rsid w:val="77A75DCA"/>
    <w:rsid w:val="77DC22F5"/>
    <w:rsid w:val="783E271A"/>
    <w:rsid w:val="78616DE9"/>
    <w:rsid w:val="78E875D7"/>
    <w:rsid w:val="79086DAD"/>
    <w:rsid w:val="79731F5E"/>
    <w:rsid w:val="79D7FD79"/>
    <w:rsid w:val="79EE5BA4"/>
    <w:rsid w:val="7A894339"/>
    <w:rsid w:val="7AD284E8"/>
    <w:rsid w:val="7AFF7572"/>
    <w:rsid w:val="7B6C7DFB"/>
    <w:rsid w:val="7BBFBED0"/>
    <w:rsid w:val="7BC3E394"/>
    <w:rsid w:val="7BFF8ADA"/>
    <w:rsid w:val="7C1F3737"/>
    <w:rsid w:val="7CBFC87B"/>
    <w:rsid w:val="7CFE0F48"/>
    <w:rsid w:val="7D272ABC"/>
    <w:rsid w:val="7D7EC23E"/>
    <w:rsid w:val="7E8ADEBF"/>
    <w:rsid w:val="7EB90C78"/>
    <w:rsid w:val="7EEF11D3"/>
    <w:rsid w:val="7EFE4840"/>
    <w:rsid w:val="7F0971A6"/>
    <w:rsid w:val="7F1D62E7"/>
    <w:rsid w:val="7F3F679B"/>
    <w:rsid w:val="7F4FC4EF"/>
    <w:rsid w:val="7F5E4D54"/>
    <w:rsid w:val="7F5EB949"/>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BFD4E30"/>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EF10B9"/>
    <w:rsid w:val="F3F722E5"/>
    <w:rsid w:val="F4FBCD07"/>
    <w:rsid w:val="FA5F1E70"/>
    <w:rsid w:val="FA5FDB97"/>
    <w:rsid w:val="FB7F486A"/>
    <w:rsid w:val="FBFF5B2E"/>
    <w:rsid w:val="FD7FFE2B"/>
    <w:rsid w:val="FDEE196B"/>
    <w:rsid w:val="FDFE6575"/>
    <w:rsid w:val="FE7B04AC"/>
    <w:rsid w:val="FEDFDDC2"/>
    <w:rsid w:val="FEED32F6"/>
    <w:rsid w:val="FEF781DD"/>
    <w:rsid w:val="FF3F7E3F"/>
    <w:rsid w:val="FFBA12D7"/>
    <w:rsid w:val="FFCBD314"/>
    <w:rsid w:val="FFD26308"/>
    <w:rsid w:val="FFDFF91C"/>
    <w:rsid w:val="FFDFFAEE"/>
    <w:rsid w:val="FFEF6777"/>
    <w:rsid w:val="FFF9B57B"/>
    <w:rsid w:val="FFFBFEE5"/>
    <w:rsid w:val="FFFD61D9"/>
    <w:rsid w:val="FFFD8F59"/>
    <w:rsid w:val="FFFE82F2"/>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unhideWhenUsed/>
    <w:qFormat/>
    <w:uiPriority w:val="99"/>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2"/>
    <w:semiHidden/>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3"/>
    <w:qFormat/>
    <w:uiPriority w:val="9"/>
    <w:rPr>
      <w:rFonts w:ascii="Times New Roman" w:hAnsi="Times New Roman"/>
      <w:b/>
      <w:bCs/>
      <w:kern w:val="44"/>
      <w:sz w:val="44"/>
      <w:szCs w:val="44"/>
    </w:rPr>
  </w:style>
  <w:style w:type="character" w:customStyle="1" w:styleId="30">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10"/>
    <w:semiHidden/>
    <w:qFormat/>
    <w:uiPriority w:val="99"/>
    <w:rPr>
      <w:rFonts w:ascii="Times New Roman" w:hAnsi="Times New Roman"/>
      <w:kern w:val="2"/>
      <w:sz w:val="18"/>
      <w:szCs w:val="18"/>
    </w:rPr>
  </w:style>
  <w:style w:type="character" w:customStyle="1" w:styleId="33">
    <w:name w:val="标题 3 Char"/>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WPSOffice手动目录 2"/>
    <w:qFormat/>
    <w:uiPriority w:val="0"/>
    <w:pPr>
      <w:ind w:leftChars="200"/>
    </w:pPr>
    <w:rPr>
      <w:rFonts w:ascii="Times New Roman" w:hAnsi="Times New Roman" w:eastAsia="宋体" w:cs="Times New Roman"/>
      <w:sz w:val="20"/>
      <w:szCs w:val="20"/>
    </w:rPr>
  </w:style>
  <w:style w:type="paragraph" w:customStyle="1" w:styleId="38">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收入支出决算总计变动情况</a:t>
            </a:r>
          </a:p>
        </c:rich>
      </c:tx>
      <c:layout/>
      <c:overlay val="0"/>
      <c:spPr>
        <a:noFill/>
        <a:ln>
          <a:noFill/>
        </a:ln>
        <a:effectLst/>
      </c:spPr>
    </c:title>
    <c:autoTitleDeleted val="0"/>
    <c:plotArea>
      <c:layout>
        <c:manualLayout>
          <c:layoutTarget val="inner"/>
          <c:xMode val="edge"/>
          <c:yMode val="edge"/>
          <c:x val="0.0375211403720705"/>
          <c:y val="0.200382490437739"/>
          <c:w val="0.927446243053878"/>
          <c:h val="0.712154696132597"/>
        </c:manualLayout>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收入、支出总计</c:v>
                </c:pt>
              </c:strCache>
            </c:strRef>
          </c:cat>
          <c:val>
            <c:numRef>
              <c:f>Sheet1!$B$2</c:f>
              <c:numCache>
                <c:formatCode>General</c:formatCode>
                <c:ptCount val="1"/>
                <c:pt idx="0">
                  <c:v>7258.84</c:v>
                </c:pt>
              </c:numCache>
            </c:numRef>
          </c:val>
        </c:ser>
        <c:ser>
          <c:idx val="1"/>
          <c:order val="1"/>
          <c:tx>
            <c:strRef>
              <c:f>Sheet1!$C$1</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收入、支出总计</c:v>
                </c:pt>
              </c:strCache>
            </c:strRef>
          </c:cat>
          <c:val>
            <c:numRef>
              <c:f>Sheet1!$C$2</c:f>
              <c:numCache>
                <c:formatCode>General</c:formatCode>
                <c:ptCount val="1"/>
                <c:pt idx="0">
                  <c:v>9815.47</c:v>
                </c:pt>
              </c:numCache>
            </c:numRef>
          </c:val>
        </c:ser>
        <c:dLbls>
          <c:showLegendKey val="0"/>
          <c:showVal val="1"/>
          <c:showCatName val="0"/>
          <c:showSerName val="0"/>
          <c:showPercent val="0"/>
          <c:showBubbleSize val="0"/>
        </c:dLbls>
        <c:gapWidth val="246"/>
        <c:overlap val="-28"/>
        <c:axId val="705052843"/>
        <c:axId val="384825405"/>
      </c:barChart>
      <c:catAx>
        <c:axId val="705052843"/>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4825405"/>
        <c:crosses val="autoZero"/>
        <c:auto val="1"/>
        <c:lblAlgn val="ctr"/>
        <c:lblOffset val="100"/>
        <c:noMultiLvlLbl val="0"/>
      </c:catAx>
      <c:valAx>
        <c:axId val="384825405"/>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0505284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2afb800-05d1-4a52-8b85-651a77ddbc04}"/>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收入决算</a:t>
            </a:r>
          </a:p>
        </c:rich>
      </c:tx>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收入</c:v>
                </c:pt>
              </c:strCache>
            </c:strRef>
          </c:tx>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一般公共预算财政拨款收入</c:v>
                </c:pt>
                <c:pt idx="1">
                  <c:v>政府性基金预算财政拨款收入</c:v>
                </c:pt>
                <c:pt idx="2">
                  <c:v>其他收入</c:v>
                </c:pt>
              </c:strCache>
            </c:strRef>
          </c:cat>
          <c:val>
            <c:numRef>
              <c:f>Sheet1!$B$2:$B$4</c:f>
              <c:numCache>
                <c:formatCode>#,##0.00</c:formatCode>
                <c:ptCount val="3"/>
                <c:pt idx="0">
                  <c:v>2279.89</c:v>
                </c:pt>
                <c:pt idx="1">
                  <c:v>7023.6</c:v>
                </c:pt>
                <c:pt idx="2" c:formatCode="General">
                  <c:v>511.98</c:v>
                </c:pt>
              </c:numCache>
            </c:numRef>
          </c:val>
        </c:ser>
        <c:dLbls>
          <c:showLegendKey val="0"/>
          <c:showVal val="1"/>
          <c:showCatName val="0"/>
          <c:showSerName val="0"/>
          <c:showPercent val="0"/>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880b379-3263-4aa7-92e3-3f5f9c0bc81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支出决算</c:v>
                </c:pt>
              </c:strCache>
            </c:strRef>
          </c:tx>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638.62</c:v>
                </c:pt>
                <c:pt idx="1">
                  <c:v>9163.16</c:v>
                </c:pt>
              </c:numCache>
            </c:numRef>
          </c:val>
        </c:ser>
        <c:dLbls>
          <c:showLegendKey val="0"/>
          <c:showVal val="1"/>
          <c:showCatName val="0"/>
          <c:showSerName val="0"/>
          <c:showPercent val="0"/>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caeaebe6-136b-4c6a-a52c-c04e11d089f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收入支出决算总计变动情况</a:t>
            </a:r>
          </a:p>
        </c:rich>
      </c:tx>
      <c:layout>
        <c:manualLayout>
          <c:xMode val="edge"/>
          <c:yMode val="edge"/>
          <c:x val="0.290529113312394"/>
          <c:y val="0.0427114322141946"/>
        </c:manualLayout>
      </c:layout>
      <c:overlay val="0"/>
      <c:spPr>
        <a:noFill/>
        <a:ln>
          <a:noFill/>
        </a:ln>
        <a:effectLst/>
      </c:spPr>
    </c:title>
    <c:autoTitleDeleted val="0"/>
    <c:plotArea>
      <c:layout>
        <c:manualLayout>
          <c:layoutTarget val="inner"/>
          <c:xMode val="edge"/>
          <c:yMode val="edge"/>
          <c:x val="0.0375211403720705"/>
          <c:y val="0.200382490437739"/>
          <c:w val="0.927446243053878"/>
          <c:h val="0.712154696132597"/>
        </c:manualLayout>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收入、支出总计</c:v>
                </c:pt>
              </c:strCache>
            </c:strRef>
          </c:cat>
          <c:val>
            <c:numRef>
              <c:f>Sheet1!$B$2</c:f>
              <c:numCache>
                <c:formatCode>General</c:formatCode>
                <c:ptCount val="1"/>
                <c:pt idx="0">
                  <c:v>7258.84</c:v>
                </c:pt>
              </c:numCache>
            </c:numRef>
          </c:val>
        </c:ser>
        <c:ser>
          <c:idx val="1"/>
          <c:order val="1"/>
          <c:tx>
            <c:strRef>
              <c:f>Sheet1!$C$1</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收入、支出总计</c:v>
                </c:pt>
              </c:strCache>
            </c:strRef>
          </c:cat>
          <c:val>
            <c:numRef>
              <c:f>Sheet1!$C$2</c:f>
              <c:numCache>
                <c:formatCode>General</c:formatCode>
                <c:ptCount val="1"/>
                <c:pt idx="0">
                  <c:v>9815.47</c:v>
                </c:pt>
              </c:numCache>
            </c:numRef>
          </c:val>
        </c:ser>
        <c:dLbls>
          <c:showLegendKey val="0"/>
          <c:showVal val="1"/>
          <c:showCatName val="0"/>
          <c:showSerName val="0"/>
          <c:showPercent val="0"/>
          <c:showBubbleSize val="0"/>
        </c:dLbls>
        <c:gapWidth val="246"/>
        <c:overlap val="-28"/>
        <c:axId val="705052843"/>
        <c:axId val="384825405"/>
      </c:barChart>
      <c:catAx>
        <c:axId val="705052843"/>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4825405"/>
        <c:crosses val="autoZero"/>
        <c:auto val="1"/>
        <c:lblAlgn val="ctr"/>
        <c:lblOffset val="100"/>
        <c:noMultiLvlLbl val="0"/>
      </c:catAx>
      <c:valAx>
        <c:axId val="384825405"/>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0505284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156965c2-9e13-4f85-957d-783b5daba13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收入支出决算总计变动情况</a:t>
            </a:r>
          </a:p>
        </c:rich>
      </c:tx>
      <c:layout>
        <c:manualLayout>
          <c:xMode val="edge"/>
          <c:yMode val="edge"/>
          <c:x val="0.290529113312394"/>
          <c:y val="0.0427114322141946"/>
        </c:manualLayout>
      </c:layout>
      <c:overlay val="0"/>
      <c:spPr>
        <a:noFill/>
        <a:ln>
          <a:noFill/>
        </a:ln>
        <a:effectLst/>
      </c:spPr>
    </c:title>
    <c:autoTitleDeleted val="0"/>
    <c:plotArea>
      <c:layout>
        <c:manualLayout>
          <c:layoutTarget val="inner"/>
          <c:xMode val="edge"/>
          <c:yMode val="edge"/>
          <c:x val="0.0930901183860836"/>
          <c:y val="0.197535061623459"/>
          <c:w val="0.927446243053878"/>
          <c:h val="0.712154696132597"/>
        </c:manualLayout>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一般公共预算财政拨款支出支出总计</c:v>
                </c:pt>
              </c:strCache>
            </c:strRef>
          </c:cat>
          <c:val>
            <c:numRef>
              <c:f>Sheet1!$B$2</c:f>
              <c:numCache>
                <c:formatCode>General</c:formatCode>
                <c:ptCount val="1"/>
                <c:pt idx="0">
                  <c:v>2258.84</c:v>
                </c:pt>
              </c:numCache>
            </c:numRef>
          </c:val>
        </c:ser>
        <c:ser>
          <c:idx val="1"/>
          <c:order val="1"/>
          <c:tx>
            <c:strRef>
              <c:f>Sheet1!$C$1</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一般公共预算财政拨款支出支出总计</c:v>
                </c:pt>
              </c:strCache>
            </c:strRef>
          </c:cat>
          <c:val>
            <c:numRef>
              <c:f>Sheet1!$C$2</c:f>
              <c:numCache>
                <c:formatCode>General</c:formatCode>
                <c:ptCount val="1"/>
                <c:pt idx="0">
                  <c:v>2279.89</c:v>
                </c:pt>
              </c:numCache>
            </c:numRef>
          </c:val>
        </c:ser>
        <c:dLbls>
          <c:showLegendKey val="0"/>
          <c:showVal val="1"/>
          <c:showCatName val="0"/>
          <c:showSerName val="0"/>
          <c:showPercent val="0"/>
          <c:showBubbleSize val="0"/>
        </c:dLbls>
        <c:gapWidth val="246"/>
        <c:overlap val="-28"/>
        <c:axId val="705052843"/>
        <c:axId val="384825405"/>
      </c:barChart>
      <c:catAx>
        <c:axId val="705052843"/>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4825405"/>
        <c:crosses val="autoZero"/>
        <c:auto val="1"/>
        <c:lblAlgn val="ctr"/>
        <c:lblOffset val="100"/>
        <c:noMultiLvlLbl val="0"/>
      </c:catAx>
      <c:valAx>
        <c:axId val="384825405"/>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0505284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156965c2-9e13-4f85-957d-783b5daba13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manualLayout>
          <c:layoutTarget val="inner"/>
          <c:xMode val="edge"/>
          <c:yMode val="edge"/>
          <c:x val="0.0493796215064544"/>
          <c:y val="0.240806642941874"/>
          <c:w val="0.946860508835694"/>
          <c:h val="0.698695136417556"/>
        </c:manualLayout>
      </c:layout>
      <c:pie3DChart>
        <c:varyColors val="1"/>
        <c:ser>
          <c:idx val="0"/>
          <c:order val="0"/>
          <c:tx>
            <c:strRef>
              <c:f>Sheet1!$B$1</c:f>
              <c:strCache>
                <c:ptCount val="1"/>
                <c:pt idx="0">
                  <c:v>一般公共预算财政拨款支出</c:v>
                </c:pt>
              </c:strCache>
            </c:strRef>
          </c:tx>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Pt>
            <c:idx val="3"/>
            <c:bubble3D val="0"/>
            <c:spPr>
              <a:solidFill>
                <a:schemeClr val="accent4"/>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社会保障和就业支出</c:v>
                </c:pt>
                <c:pt idx="1">
                  <c:v>卫生健康支出</c:v>
                </c:pt>
                <c:pt idx="2">
                  <c:v>农林水支出</c:v>
                </c:pt>
                <c:pt idx="3">
                  <c:v>住房保障支出</c:v>
                </c:pt>
              </c:strCache>
            </c:strRef>
          </c:cat>
          <c:val>
            <c:numRef>
              <c:f>Sheet1!$B$2:$B$5</c:f>
              <c:numCache>
                <c:formatCode>General</c:formatCode>
                <c:ptCount val="4"/>
                <c:pt idx="0">
                  <c:v>209.55</c:v>
                </c:pt>
                <c:pt idx="1" c:formatCode="#,##0.00">
                  <c:v>1840.03</c:v>
                </c:pt>
                <c:pt idx="2">
                  <c:v>196</c:v>
                </c:pt>
                <c:pt idx="3">
                  <c:v>34.31</c:v>
                </c:pt>
              </c:numCache>
            </c:numRef>
          </c:val>
        </c:ser>
        <c:dLbls>
          <c:showLegendKey val="0"/>
          <c:showVal val="1"/>
          <c:showCatName val="0"/>
          <c:showSerName val="0"/>
          <c:showPercent val="0"/>
          <c:showBubbleSize val="0"/>
        </c:dLbls>
      </c:pie3DChart>
      <c:spPr>
        <a:noFill/>
        <a:ln>
          <a:noFill/>
        </a:ln>
        <a:effectLst/>
      </c:spPr>
    </c:plotArea>
    <c:legend>
      <c:legendPos val="t"/>
      <c:layout>
        <c:manualLayout>
          <c:xMode val="edge"/>
          <c:yMode val="edge"/>
          <c:x val="0.149266825416719"/>
          <c:y val="0.142941874258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0e27a9f-4b05-4735-93fd-79af59e0e13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“三公”经费财政拨款支出</c:v>
                </c:pt>
              </c:strCache>
            </c:strRef>
          </c:tx>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0.64</c:v>
                </c:pt>
                <c:pt idx="2">
                  <c:v>0</c:v>
                </c:pt>
              </c:numCache>
            </c:numRef>
          </c:val>
        </c:ser>
        <c:dLbls>
          <c:showLegendKey val="0"/>
          <c:showVal val="1"/>
          <c:showCatName val="0"/>
          <c:showSerName val="0"/>
          <c:showPercent val="0"/>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f71fce0-b797-4ae5-91eb-182efc3d0f2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9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1">
      <cs:styleClr val="auto"/>
    </cs:fillRef>
    <cs:effectRef idx="0"/>
    <cs:fontRef idx="minor">
      <a:schemeClr val="dk1"/>
    </cs:fontRef>
    <cs:spPr>
      <a:ln>
        <a:solidFill>
          <a:schemeClr val="bg1"/>
        </a:soli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9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1">
      <cs:styleClr val="auto"/>
    </cs:fillRef>
    <cs:effectRef idx="0"/>
    <cs:fontRef idx="minor">
      <a:schemeClr val="dk1"/>
    </cs:fontRef>
    <cs:spPr>
      <a:ln>
        <a:solidFill>
          <a:schemeClr val="bg1"/>
        </a:soli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9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1">
      <cs:styleClr val="auto"/>
    </cs:fillRef>
    <cs:effectRef idx="0"/>
    <cs:fontRef idx="minor">
      <a:schemeClr val="dk1"/>
    </cs:fontRef>
    <cs:spPr>
      <a:ln>
        <a:solidFill>
          <a:schemeClr val="bg1"/>
        </a:soli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9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1">
      <cs:styleClr val="auto"/>
    </cs:fillRef>
    <cs:effectRef idx="0"/>
    <cs:fontRef idx="minor">
      <a:schemeClr val="dk1"/>
    </cs:fontRef>
    <cs:spPr>
      <a:ln>
        <a:solidFill>
          <a:schemeClr val="bg1"/>
        </a:soli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26</Pages>
  <Words>927</Words>
  <Characters>5290</Characters>
  <Lines>1</Lines>
  <Paragraphs>1</Paragraphs>
  <TotalTime>5</TotalTime>
  <ScaleCrop>false</ScaleCrop>
  <LinksUpToDate>false</LinksUpToDate>
  <CharactersWithSpaces>6205</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2020-08-11T09:49:00Z</dcterms:created>
  <dc:creator>曹颖</dc:creator>
  <cp:lastModifiedBy>user</cp:lastModifiedBy>
  <cp:lastPrinted>2025-10-12T03:06:00Z</cp:lastPrinted>
  <dcterms:modified xsi:type="dcterms:W3CDTF">2025-10-27T11:16:48Z</dcterms:modified>
  <dc:title>四川省***</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04787F2533EB45DC91BCDE4AB213247F</vt:lpwstr>
  </property>
</Properties>
</file>