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464C3">
      <w:pPr>
        <w:pStyle w:val="8"/>
        <w:spacing w:before="93"/>
        <w:rPr>
          <w:rFonts w:eastAsia="方正小标宋简体"/>
          <w:sz w:val="72"/>
          <w:szCs w:val="72"/>
        </w:rPr>
      </w:pPr>
      <w:bookmarkStart w:id="0" w:name="_Toc15378441"/>
      <w:bookmarkStart w:id="1" w:name="_Toc15306267"/>
      <w:bookmarkStart w:id="2" w:name="_Toc15377193"/>
      <w:bookmarkStart w:id="3" w:name="_Toc15396597"/>
      <w:bookmarkStart w:id="4" w:name="_Toc15396475"/>
      <w:bookmarkStart w:id="5" w:name="_Toc15377425"/>
    </w:p>
    <w:p w14:paraId="3F23971D">
      <w:pPr>
        <w:pStyle w:val="8"/>
        <w:spacing w:before="93"/>
        <w:jc w:val="center"/>
        <w:rPr>
          <w:rFonts w:ascii="Times New Roman" w:eastAsia="方正小标宋简体"/>
          <w:kern w:val="2"/>
          <w:sz w:val="44"/>
          <w:szCs w:val="44"/>
        </w:rPr>
      </w:pPr>
    </w:p>
    <w:p w14:paraId="72290391">
      <w:pPr>
        <w:pStyle w:val="8"/>
        <w:spacing w:before="93"/>
        <w:jc w:val="center"/>
        <w:rPr>
          <w:rFonts w:hint="eastAsia" w:ascii="方正小标宋_GBK" w:hAnsi="方正小标宋_GBK" w:eastAsia="方正小标宋_GBK" w:cs="方正小标宋_GBK"/>
          <w:kern w:val="2"/>
          <w:sz w:val="72"/>
          <w:szCs w:val="72"/>
        </w:rPr>
      </w:pPr>
      <w:bookmarkStart w:id="6" w:name="_Toc15378442"/>
      <w:bookmarkStart w:id="7" w:name="_Toc15396476"/>
      <w:bookmarkStart w:id="8" w:name="_Toc15377194"/>
      <w:bookmarkStart w:id="9" w:name="_Toc15396598"/>
      <w:bookmarkStart w:id="10" w:name="_Toc15377426"/>
      <w:r>
        <w:rPr>
          <w:rFonts w:hint="eastAsia" w:ascii="方正小标宋_GBK" w:hAnsi="方正小标宋_GBK" w:eastAsia="方正小标宋_GBK" w:cs="方正小标宋_GBK"/>
          <w:kern w:val="2"/>
          <w:sz w:val="72"/>
          <w:szCs w:val="72"/>
        </w:rPr>
        <w:t>2024年</w:t>
      </w:r>
      <w:bookmarkStart w:id="11" w:name="_Toc15306268"/>
      <w:r>
        <w:rPr>
          <w:rFonts w:hint="eastAsia" w:ascii="方正小标宋_GBK" w:hAnsi="方正小标宋_GBK" w:eastAsia="方正小标宋_GBK" w:cs="方正小标宋_GBK"/>
          <w:kern w:val="2"/>
          <w:sz w:val="72"/>
          <w:szCs w:val="72"/>
        </w:rPr>
        <w:t>度</w:t>
      </w:r>
    </w:p>
    <w:p w14:paraId="76E07EAD">
      <w:pPr>
        <w:pStyle w:val="8"/>
        <w:spacing w:before="93"/>
        <w:jc w:val="center"/>
        <w:rPr>
          <w:rFonts w:hint="eastAsia" w:ascii="方正小标宋_GBK" w:hAnsi="方正小标宋_GBK" w:eastAsia="方正小标宋_GBK" w:cs="方正小标宋_GBK"/>
          <w:kern w:val="2"/>
          <w:sz w:val="72"/>
          <w:szCs w:val="72"/>
        </w:rPr>
      </w:pPr>
      <w:r>
        <w:rPr>
          <w:rFonts w:hint="eastAsia" w:ascii="方正小标宋_GBK" w:hAnsi="方正小标宋_GBK" w:eastAsia="方正小标宋_GBK" w:cs="方正小标宋_GBK"/>
          <w:kern w:val="2"/>
          <w:sz w:val="72"/>
          <w:szCs w:val="72"/>
        </w:rPr>
        <w:t>盐边县人民医院单位决算</w:t>
      </w:r>
      <w:bookmarkEnd w:id="6"/>
      <w:bookmarkEnd w:id="7"/>
      <w:bookmarkEnd w:id="8"/>
      <w:bookmarkEnd w:id="9"/>
      <w:bookmarkEnd w:id="10"/>
      <w:bookmarkEnd w:id="11"/>
    </w:p>
    <w:p w14:paraId="4A8BAF09">
      <w:pPr>
        <w:pStyle w:val="8"/>
        <w:spacing w:before="93"/>
        <w:jc w:val="center"/>
        <w:rPr>
          <w:rFonts w:ascii="Times New Roman" w:eastAsia="方正小标宋简体"/>
          <w:kern w:val="2"/>
          <w:sz w:val="44"/>
          <w:szCs w:val="44"/>
        </w:rPr>
      </w:pPr>
      <w:r>
        <w:rPr>
          <w:rFonts w:hint="eastAsia" w:ascii="方正小标宋_GBK" w:hAnsi="方正小标宋_GBK" w:eastAsia="方正小标宋_GBK" w:cs="方正小标宋_GBK"/>
          <w:kern w:val="2"/>
          <w:sz w:val="72"/>
          <w:szCs w:val="72"/>
        </w:rPr>
        <w:t>公开编制说明</w:t>
      </w:r>
    </w:p>
    <w:p w14:paraId="1705905E">
      <w:pPr>
        <w:pStyle w:val="19"/>
        <w:rPr>
          <w:rFonts w:ascii="Times New Roman" w:hAnsi="Times New Roman"/>
        </w:rPr>
        <w:sectPr>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p>
    <w:p w14:paraId="686C4E00"/>
    <w:bookmarkEnd w:id="0"/>
    <w:bookmarkEnd w:id="1"/>
    <w:bookmarkEnd w:id="2"/>
    <w:bookmarkEnd w:id="3"/>
    <w:bookmarkEnd w:id="4"/>
    <w:bookmarkEnd w:id="5"/>
    <w:p w14:paraId="5C656B5A">
      <w:pPr>
        <w:widowControl/>
        <w:snapToGrid/>
        <w:spacing w:beforeAutospacing="0" w:afterAutospacing="0" w:line="240" w:lineRule="auto"/>
        <w:ind w:left="0" w:leftChars="0" w:right="0" w:rightChars="0" w:firstLine="0" w:firstLineChars="0"/>
        <w:jc w:val="center"/>
        <w:rPr>
          <w:rFonts w:eastAsia="黑体" w:cstheme="minorBidi"/>
          <w:b w:val="0"/>
          <w:sz w:val="48"/>
          <w:szCs w:val="28"/>
        </w:rPr>
      </w:pPr>
      <w:r>
        <w:rPr>
          <w:rFonts w:hint="eastAsia" w:eastAsia="黑体"/>
          <w:b w:val="0"/>
          <w:sz w:val="48"/>
          <w:szCs w:val="48"/>
        </w:rPr>
        <w:t>目录</w:t>
      </w:r>
    </w:p>
    <w:p w14:paraId="34F9EEBB">
      <w:pPr>
        <w:pStyle w:val="13"/>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w:t>
      </w:r>
      <w:r>
        <w:rPr>
          <w:rFonts w:ascii="Times New Roman" w:hAnsi="Times New Roman" w:eastAsia="仿宋_GB2312" w:cs="仿宋_GB2312"/>
          <w:sz w:val="32"/>
          <w:szCs w:val="32"/>
        </w:rPr>
        <w:t>5</w:t>
      </w:r>
      <w:r>
        <w:rPr>
          <w:rFonts w:hint="eastAsia" w:ascii="Times New Roman" w:hAnsi="Times New Roman" w:eastAsia="仿宋_GB2312" w:cs="仿宋_GB2312"/>
          <w:sz w:val="32"/>
          <w:szCs w:val="32"/>
        </w:rPr>
        <w:t xml:space="preserve">年 </w:t>
      </w:r>
      <w:r>
        <w:rPr>
          <w:rFonts w:ascii="Times New Roman" w:hAnsi="Times New Roman" w:eastAsia="仿宋_GB2312" w:cs="仿宋_GB2312"/>
          <w:sz w:val="32"/>
          <w:szCs w:val="32"/>
        </w:rPr>
        <w:t>10</w:t>
      </w:r>
      <w:r>
        <w:rPr>
          <w:rFonts w:hint="eastAsia" w:ascii="Times New Roman" w:hAnsi="Times New Roman" w:eastAsia="仿宋_GB2312" w:cs="仿宋_GB2312"/>
          <w:sz w:val="32"/>
          <w:szCs w:val="32"/>
        </w:rPr>
        <w:t xml:space="preserve"> 月 </w:t>
      </w:r>
      <w:r>
        <w:rPr>
          <w:rFonts w:ascii="Times New Roman" w:hAnsi="Times New Roman" w:eastAsia="仿宋_GB2312" w:cs="仿宋_GB2312"/>
          <w:sz w:val="32"/>
          <w:szCs w:val="32"/>
        </w:rPr>
        <w:t>28</w:t>
      </w:r>
      <w:r>
        <w:rPr>
          <w:rFonts w:hint="eastAsia" w:ascii="Times New Roman" w:hAnsi="Times New Roman" w:eastAsia="仿宋_GB2312" w:cs="仿宋_GB2312"/>
          <w:sz w:val="32"/>
          <w:szCs w:val="32"/>
        </w:rPr>
        <w:t xml:space="preserve"> 日</w:t>
      </w:r>
    </w:p>
    <w:p w14:paraId="181D3FA1">
      <w:pPr>
        <w:keepNext w:val="0"/>
        <w:keepLines w:val="0"/>
        <w:pageBreakBefore w:val="0"/>
        <w:widowControl w:val="0"/>
        <w:kinsoku/>
        <w:wordWrap/>
        <w:overflowPunct/>
        <w:topLinePunct w:val="0"/>
        <w:autoSpaceDE/>
        <w:autoSpaceDN/>
        <w:bidi w:val="0"/>
        <w:ind w:left="420" w:leftChars="200" w:firstLine="0" w:firstLineChars="0"/>
        <w:textAlignment w:val="auto"/>
        <w:rPr>
          <w:rFonts w:hint="eastAsia" w:ascii="黑体" w:hAnsi="黑体" w:eastAsia="黑体" w:cs="黑体"/>
          <w:sz w:val="24"/>
          <w:szCs w:val="24"/>
        </w:rPr>
      </w:pPr>
    </w:p>
    <w:p w14:paraId="74FF65DA">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default" w:ascii="Times New Roman" w:hAnsi="Times New Roman" w:eastAsia="黑体" w:cs="Times New Roman"/>
          <w:kern w:val="2"/>
          <w:sz w:val="32"/>
          <w:szCs w:val="32"/>
          <w:lang w:val="en-US" w:eastAsia="zh-CN" w:bidi="ar-SA"/>
        </w:rPr>
      </w:pPr>
      <w:r>
        <w:rPr>
          <w:rFonts w:eastAsia="仿宋_GB2312" w:cs="仿宋_GB2312"/>
          <w:b/>
          <w:bCs/>
          <w:sz w:val="32"/>
          <w:szCs w:val="32"/>
        </w:rPr>
        <w:fldChar w:fldCharType="begin"/>
      </w:r>
      <w:r>
        <w:rPr>
          <w:rFonts w:eastAsia="仿宋_GB2312" w:cs="仿宋_GB2312"/>
          <w:b/>
          <w:bCs/>
          <w:sz w:val="32"/>
          <w:szCs w:val="32"/>
        </w:rPr>
        <w:instrText xml:space="preserve">TOC \o "1-3" \h \u </w:instrText>
      </w:r>
      <w:r>
        <w:rPr>
          <w:rFonts w:eastAsia="仿宋_GB2312" w:cs="仿宋_GB2312"/>
          <w:b/>
          <w:bCs/>
          <w:sz w:val="32"/>
          <w:szCs w:val="32"/>
        </w:rPr>
        <w:fldChar w:fldCharType="separate"/>
      </w: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HYPERLINK \l _Toc16025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第一部分  部门概况</w:t>
      </w:r>
      <w:r>
        <w:rPr>
          <w:rFonts w:hint="default" w:ascii="Times New Roman" w:hAnsi="Times New Roman" w:eastAsia="黑体" w:cs="Times New Roman"/>
          <w:kern w:val="2"/>
          <w:sz w:val="32"/>
          <w:szCs w:val="32"/>
          <w:lang w:val="en-US" w:eastAsia="zh-CN" w:bidi="ar-SA"/>
        </w:rPr>
        <w:tab/>
      </w: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PAGEREF _Toc16025 \h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1</w:t>
      </w:r>
      <w:r>
        <w:rPr>
          <w:rFonts w:hint="default" w:ascii="Times New Roman" w:hAnsi="Times New Roman" w:eastAsia="黑体" w:cs="Times New Roman"/>
          <w:kern w:val="2"/>
          <w:sz w:val="32"/>
          <w:szCs w:val="32"/>
          <w:lang w:val="en-US" w:eastAsia="zh-CN" w:bidi="ar-SA"/>
        </w:rPr>
        <w:fldChar w:fldCharType="end"/>
      </w:r>
      <w:r>
        <w:rPr>
          <w:rFonts w:hint="default" w:ascii="Times New Roman" w:hAnsi="Times New Roman" w:eastAsia="黑体" w:cs="Times New Roman"/>
          <w:kern w:val="2"/>
          <w:sz w:val="32"/>
          <w:szCs w:val="32"/>
          <w:lang w:val="en-US" w:eastAsia="zh-CN" w:bidi="ar-SA"/>
        </w:rPr>
        <w:fldChar w:fldCharType="end"/>
      </w:r>
    </w:p>
    <w:p w14:paraId="480AABBD">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_Toc29597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一、 部门职责</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_Toc29597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0437DF8A">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default" w:ascii="Times New Roman" w:hAnsi="Times New Roman" w:eastAsia="宋体" w:cs="Times New Roman"/>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_Toc4534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二、机构设置</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_Toc4534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73E552A3">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HYPERLINK \l _Toc31532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第二部分  2024年度部门决算情况说明</w:t>
      </w:r>
      <w:r>
        <w:rPr>
          <w:rFonts w:hint="default" w:ascii="Times New Roman" w:hAnsi="Times New Roman" w:eastAsia="黑体" w:cs="Times New Roman"/>
          <w:kern w:val="2"/>
          <w:sz w:val="32"/>
          <w:szCs w:val="32"/>
          <w:lang w:val="en-US" w:eastAsia="zh-CN" w:bidi="ar-SA"/>
        </w:rPr>
        <w:tab/>
      </w: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PAGEREF _Toc31532 \h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3</w:t>
      </w:r>
      <w:r>
        <w:rPr>
          <w:rFonts w:hint="default" w:ascii="Times New Roman" w:hAnsi="Times New Roman" w:eastAsia="黑体" w:cs="Times New Roman"/>
          <w:kern w:val="2"/>
          <w:sz w:val="32"/>
          <w:szCs w:val="32"/>
          <w:lang w:val="en-US" w:eastAsia="zh-CN" w:bidi="ar-SA"/>
        </w:rPr>
        <w:fldChar w:fldCharType="end"/>
      </w:r>
      <w:r>
        <w:rPr>
          <w:rFonts w:hint="default" w:ascii="Times New Roman" w:hAnsi="Times New Roman" w:eastAsia="黑体" w:cs="Times New Roman"/>
          <w:kern w:val="2"/>
          <w:sz w:val="32"/>
          <w:szCs w:val="32"/>
          <w:lang w:val="en-US" w:eastAsia="zh-CN" w:bidi="ar-SA"/>
        </w:rPr>
        <w:fldChar w:fldCharType="end"/>
      </w:r>
    </w:p>
    <w:p w14:paraId="4C7D6026">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_Toc16887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一、收入支出决算总体情况说明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_Toc16887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3</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206C8526">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_Toc14526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二、收入决算情况说明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_Toc14526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3</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2386B1EE">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_Toc13537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三、支出决算情况说明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_Toc13537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4</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1475541B">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_Toc6462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四、财政拨款收入支出决算总体情况说明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_Toc6462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5</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7EBCC49D">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_Toc13126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五、一般公共预算财政拨款支出决算情况说明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_Toc13126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5</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38844573">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_Toc23425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六、一般公共预算财政拨款基本支出决算情况说明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_Toc23425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9</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1FD1526A">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_Toc23755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七、财政拨款“三公”经费支出决算情况说明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_Toc23755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9</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459D9C6A">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_Toc5171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八、政府性基金预算支出决算情况说明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_Toc5171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10</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135D40EB">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_Toc151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九、国有资本经营预算支出决算情况说明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_Toc151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11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1FA32C1C">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default" w:ascii="Times New Roman" w:hAnsi="Times New Roman" w:eastAsia="宋体" w:cs="Times New Roman"/>
          <w:bCs/>
          <w:sz w:val="32"/>
          <w:szCs w:val="32"/>
          <w:lang w:val="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_Toc30276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十、其他重要事项的情况说明</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PAGEREF _Toc30276 \h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11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zh-CN"/>
        </w:rPr>
        <w:fldChar w:fldCharType="end"/>
      </w:r>
    </w:p>
    <w:p w14:paraId="3337E900">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HYPERLINK \l _Toc19617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第三部分  名词解释</w:t>
      </w:r>
      <w:r>
        <w:rPr>
          <w:rFonts w:hint="default" w:ascii="Times New Roman" w:hAnsi="Times New Roman" w:eastAsia="黑体" w:cs="Times New Roman"/>
          <w:kern w:val="2"/>
          <w:sz w:val="32"/>
          <w:szCs w:val="32"/>
          <w:lang w:val="en-US" w:eastAsia="zh-CN" w:bidi="ar-SA"/>
        </w:rPr>
        <w:tab/>
      </w: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PAGEREF _Toc19617 \h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13</w:t>
      </w:r>
      <w:r>
        <w:rPr>
          <w:rFonts w:hint="default" w:ascii="Times New Roman" w:hAnsi="Times New Roman" w:eastAsia="黑体" w:cs="Times New Roman"/>
          <w:kern w:val="2"/>
          <w:sz w:val="32"/>
          <w:szCs w:val="32"/>
          <w:lang w:val="en-US" w:eastAsia="zh-CN" w:bidi="ar-SA"/>
        </w:rPr>
        <w:fldChar w:fldCharType="end"/>
      </w:r>
      <w:r>
        <w:rPr>
          <w:rFonts w:hint="default" w:ascii="Times New Roman" w:hAnsi="Times New Roman" w:eastAsia="黑体" w:cs="Times New Roman"/>
          <w:kern w:val="2"/>
          <w:sz w:val="32"/>
          <w:szCs w:val="32"/>
          <w:lang w:val="en-US" w:eastAsia="zh-CN" w:bidi="ar-SA"/>
        </w:rPr>
        <w:fldChar w:fldCharType="end"/>
      </w:r>
    </w:p>
    <w:p w14:paraId="79547859">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HYPERLINK \l _Toc11149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第四部分  附件</w:t>
      </w:r>
      <w:r>
        <w:rPr>
          <w:rFonts w:hint="default" w:ascii="Times New Roman" w:hAnsi="Times New Roman" w:eastAsia="黑体" w:cs="Times New Roman"/>
          <w:kern w:val="2"/>
          <w:sz w:val="32"/>
          <w:szCs w:val="32"/>
          <w:lang w:val="en-US" w:eastAsia="zh-CN" w:bidi="ar-SA"/>
        </w:rPr>
        <w:tab/>
      </w: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PAGEREF _Toc11149 \h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15</w:t>
      </w:r>
      <w:r>
        <w:rPr>
          <w:rFonts w:hint="default" w:ascii="Times New Roman" w:hAnsi="Times New Roman" w:eastAsia="黑体" w:cs="Times New Roman"/>
          <w:kern w:val="2"/>
          <w:sz w:val="32"/>
          <w:szCs w:val="32"/>
          <w:lang w:val="en-US" w:eastAsia="zh-CN" w:bidi="ar-SA"/>
        </w:rPr>
        <w:fldChar w:fldCharType="end"/>
      </w:r>
      <w:r>
        <w:rPr>
          <w:rFonts w:hint="default" w:ascii="Times New Roman" w:hAnsi="Times New Roman" w:eastAsia="黑体" w:cs="Times New Roman"/>
          <w:kern w:val="2"/>
          <w:sz w:val="32"/>
          <w:szCs w:val="32"/>
          <w:lang w:val="en-US" w:eastAsia="zh-CN" w:bidi="ar-SA"/>
        </w:rPr>
        <w:fldChar w:fldCharType="end"/>
      </w:r>
    </w:p>
    <w:p w14:paraId="44081F99">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HYPERLINK \l _Toc4144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第五部分 附表</w:t>
      </w:r>
      <w:r>
        <w:rPr>
          <w:rFonts w:hint="default" w:ascii="Times New Roman" w:hAnsi="Times New Roman" w:eastAsia="黑体" w:cs="Times New Roman"/>
          <w:kern w:val="2"/>
          <w:sz w:val="32"/>
          <w:szCs w:val="32"/>
          <w:lang w:val="en-US" w:eastAsia="zh-CN" w:bidi="ar-SA"/>
        </w:rPr>
        <w:tab/>
      </w:r>
      <w:r>
        <w:rPr>
          <w:rFonts w:hint="default" w:ascii="Times New Roman" w:hAnsi="Times New Roman" w:eastAsia="黑体" w:cs="Times New Roman"/>
          <w:kern w:val="2"/>
          <w:sz w:val="32"/>
          <w:szCs w:val="32"/>
          <w:lang w:val="en-US" w:eastAsia="zh-CN" w:bidi="ar-SA"/>
        </w:rPr>
        <w:fldChar w:fldCharType="begin"/>
      </w:r>
      <w:r>
        <w:rPr>
          <w:rFonts w:hint="default" w:ascii="Times New Roman" w:hAnsi="Times New Roman" w:eastAsia="黑体" w:cs="Times New Roman"/>
          <w:kern w:val="2"/>
          <w:sz w:val="32"/>
          <w:szCs w:val="32"/>
          <w:lang w:val="en-US" w:eastAsia="zh-CN" w:bidi="ar-SA"/>
        </w:rPr>
        <w:instrText xml:space="preserve"> PAGEREF _Toc4144 \h </w:instrText>
      </w:r>
      <w:r>
        <w:rPr>
          <w:rFonts w:hint="default" w:ascii="Times New Roman" w:hAnsi="Times New Roman" w:eastAsia="黑体" w:cs="Times New Roman"/>
          <w:kern w:val="2"/>
          <w:sz w:val="32"/>
          <w:szCs w:val="32"/>
          <w:lang w:val="en-US" w:eastAsia="zh-CN" w:bidi="ar-SA"/>
        </w:rPr>
        <w:fldChar w:fldCharType="separate"/>
      </w:r>
      <w:r>
        <w:rPr>
          <w:rFonts w:hint="default" w:ascii="Times New Roman" w:hAnsi="Times New Roman" w:eastAsia="黑体" w:cs="Times New Roman"/>
          <w:kern w:val="2"/>
          <w:sz w:val="32"/>
          <w:szCs w:val="32"/>
          <w:lang w:val="en-US" w:eastAsia="zh-CN" w:bidi="ar-SA"/>
        </w:rPr>
        <w:t>16</w:t>
      </w:r>
      <w:r>
        <w:rPr>
          <w:rFonts w:hint="default" w:ascii="Times New Roman" w:hAnsi="Times New Roman" w:eastAsia="黑体" w:cs="Times New Roman"/>
          <w:kern w:val="2"/>
          <w:sz w:val="32"/>
          <w:szCs w:val="32"/>
          <w:lang w:val="en-US" w:eastAsia="zh-CN" w:bidi="ar-SA"/>
        </w:rPr>
        <w:fldChar w:fldCharType="end"/>
      </w:r>
      <w:r>
        <w:rPr>
          <w:rFonts w:hint="default" w:ascii="Times New Roman" w:hAnsi="Times New Roman" w:eastAsia="黑体" w:cs="Times New Roman"/>
          <w:kern w:val="2"/>
          <w:sz w:val="32"/>
          <w:szCs w:val="32"/>
          <w:lang w:val="en-US" w:eastAsia="zh-CN" w:bidi="ar-SA"/>
        </w:rPr>
        <w:fldChar w:fldCharType="end"/>
      </w:r>
    </w:p>
    <w:p w14:paraId="66704FC5">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_Toc10179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一、收入支出决算总表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70D9B24C">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_Toc29573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二、收入决算表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04712ACC">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_Toc28668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三、支出决算表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5709766B">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_Toc21972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四、财政拨款收入支出决算总表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64E1AB54">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_Toc25415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五、财政拨款支出决算明细表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5842C82F">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_Toc19436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六、一般公共预算财政拨款支出决算表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23A878D2">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_Toc13615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七、一般公共预算财政拨款支出决算明细表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5153E6E3">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_Toc19780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八、一般公共预算财政拨款基本支出决算表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03D8A97B">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_Toc4379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九、一般公共预算财政拨款项目支出决算表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3AE6D0C1">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_Toc19012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十、政府性基金预算财政拨款收入支出决算表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0965705E">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_Toc21994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十一、国有资本经营预算财政拨款收入支出决算表</w:t>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59A3576F">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CESI仿宋-GB2312" w:hAnsi="CESI仿宋-GB2312" w:eastAsia="CESI仿宋-GB2312" w:cs="CESI仿宋-GB2312"/>
          <w:bCs/>
          <w:sz w:val="32"/>
          <w:szCs w:val="32"/>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_Toc32261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十二、国有资本经营预算财政拨款支出决算表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2627C33B">
      <w:pPr>
        <w:pStyle w:val="14"/>
        <w:keepNext w:val="0"/>
        <w:keepLines w:val="0"/>
        <w:pageBreakBefore w:val="0"/>
        <w:widowControl w:val="0"/>
        <w:tabs>
          <w:tab w:val="right" w:leader="dot" w:pos="8306"/>
          <w:tab w:val="clear" w:pos="8296"/>
        </w:tabs>
        <w:kinsoku/>
        <w:wordWrap/>
        <w:overflowPunct/>
        <w:topLinePunct w:val="0"/>
        <w:autoSpaceDE/>
        <w:autoSpaceDN/>
        <w:bidi w:val="0"/>
        <w:adjustRightInd/>
        <w:snapToGrid/>
        <w:ind w:left="420" w:leftChars="200"/>
        <w:textAlignment w:val="auto"/>
        <w:rPr>
          <w:rFonts w:hint="eastAsia" w:ascii="宋体" w:hAnsi="宋体" w:eastAsia="CESI仿宋-GB2312" w:cs="宋体"/>
          <w:bCs/>
          <w:sz w:val="24"/>
          <w:szCs w:val="24"/>
          <w:lang w:val="en-US" w:eastAsia="zh-CN"/>
        </w:rPr>
      </w:pPr>
      <w:r>
        <w:rPr>
          <w:rFonts w:hint="eastAsia" w:ascii="CESI仿宋-GB2312" w:hAnsi="CESI仿宋-GB2312" w:eastAsia="CESI仿宋-GB2312" w:cs="CESI仿宋-GB2312"/>
          <w:bCs/>
          <w:sz w:val="32"/>
          <w:szCs w:val="32"/>
          <w:lang w:val="zh-CN"/>
        </w:rPr>
        <w:fldChar w:fldCharType="begin"/>
      </w:r>
      <w:r>
        <w:rPr>
          <w:rFonts w:hint="eastAsia" w:ascii="CESI仿宋-GB2312" w:hAnsi="CESI仿宋-GB2312" w:eastAsia="CESI仿宋-GB2312" w:cs="CESI仿宋-GB2312"/>
          <w:bCs/>
          <w:sz w:val="32"/>
          <w:szCs w:val="32"/>
          <w:lang w:val="zh-CN"/>
        </w:rPr>
        <w:instrText xml:space="preserve"> HYPERLINK \l _Toc4928 </w:instrText>
      </w:r>
      <w:r>
        <w:rPr>
          <w:rFonts w:hint="eastAsia" w:ascii="CESI仿宋-GB2312" w:hAnsi="CESI仿宋-GB2312" w:eastAsia="CESI仿宋-GB2312" w:cs="CESI仿宋-GB2312"/>
          <w:bCs/>
          <w:sz w:val="32"/>
          <w:szCs w:val="32"/>
          <w:lang w:val="zh-CN"/>
        </w:rPr>
        <w:fldChar w:fldCharType="separate"/>
      </w:r>
      <w:r>
        <w:rPr>
          <w:rFonts w:hint="eastAsia" w:ascii="CESI仿宋-GB2312" w:hAnsi="CESI仿宋-GB2312" w:eastAsia="CESI仿宋-GB2312" w:cs="CESI仿宋-GB2312"/>
          <w:bCs/>
          <w:sz w:val="32"/>
          <w:szCs w:val="32"/>
          <w:lang w:val="zh-CN"/>
        </w:rPr>
        <w:t>十三、财政拨款“三公”经费支出决算表</w:t>
      </w:r>
      <w:r>
        <w:rPr>
          <w:rFonts w:hint="eastAsia" w:ascii="CESI仿宋-GB2312" w:hAnsi="CESI仿宋-GB2312" w:eastAsia="CESI仿宋-GB2312" w:cs="CESI仿宋-GB2312"/>
          <w:bCs/>
          <w:sz w:val="32"/>
          <w:szCs w:val="32"/>
          <w:lang w:val="zh-CN"/>
        </w:rPr>
        <w:tab/>
      </w:r>
      <w:r>
        <w:rPr>
          <w:rFonts w:hint="eastAsia" w:ascii="CESI仿宋-GB2312" w:hAnsi="CESI仿宋-GB2312" w:eastAsia="CESI仿宋-GB2312" w:cs="CESI仿宋-GB2312"/>
          <w:bCs/>
          <w:sz w:val="32"/>
          <w:szCs w:val="32"/>
          <w:lang w:val="en-US" w:eastAsia="zh-CN"/>
        </w:rPr>
        <w:t>1</w:t>
      </w:r>
      <w:r>
        <w:rPr>
          <w:rFonts w:hint="eastAsia" w:ascii="CESI仿宋-GB2312" w:hAnsi="CESI仿宋-GB2312" w:eastAsia="CESI仿宋-GB2312" w:cs="CESI仿宋-GB2312"/>
          <w:bCs/>
          <w:sz w:val="32"/>
          <w:szCs w:val="32"/>
          <w:lang w:val="zh-CN"/>
        </w:rPr>
        <w:fldChar w:fldCharType="end"/>
      </w:r>
      <w:r>
        <w:rPr>
          <w:rFonts w:hint="eastAsia" w:ascii="CESI仿宋-GB2312" w:hAnsi="CESI仿宋-GB2312" w:eastAsia="CESI仿宋-GB2312" w:cs="CESI仿宋-GB2312"/>
          <w:bCs/>
          <w:sz w:val="32"/>
          <w:szCs w:val="32"/>
          <w:lang w:val="en-US" w:eastAsia="zh-CN"/>
        </w:rPr>
        <w:t>6</w:t>
      </w:r>
    </w:p>
    <w:p w14:paraId="269F1CCD">
      <w:pPr>
        <w:pStyle w:val="14"/>
        <w:keepNext w:val="0"/>
        <w:keepLines w:val="0"/>
        <w:pageBreakBefore w:val="0"/>
        <w:widowControl w:val="0"/>
        <w:kinsoku/>
        <w:wordWrap/>
        <w:overflowPunct/>
        <w:topLinePunct w:val="0"/>
        <w:autoSpaceDE/>
        <w:autoSpaceDN/>
        <w:bidi w:val="0"/>
        <w:adjustRightInd w:val="0"/>
        <w:snapToGrid w:val="0"/>
        <w:spacing w:line="240" w:lineRule="auto"/>
        <w:ind w:left="420" w:leftChars="200" w:firstLine="0" w:firstLineChars="0"/>
        <w:jc w:val="left"/>
        <w:textAlignment w:val="auto"/>
        <w:rPr>
          <w:rFonts w:eastAsia="仿宋_GB2312" w:cs="仿宋_GB2312"/>
          <w:b/>
          <w:bCs/>
          <w:sz w:val="32"/>
          <w:szCs w:val="32"/>
        </w:rPr>
      </w:pPr>
      <w:r>
        <w:rPr>
          <w:rFonts w:eastAsia="仿宋_GB2312" w:cs="仿宋_GB2312"/>
          <w:bCs/>
          <w:szCs w:val="32"/>
        </w:rPr>
        <w:fldChar w:fldCharType="end"/>
      </w:r>
    </w:p>
    <w:p w14:paraId="382CF255">
      <w:pPr>
        <w:pStyle w:val="5"/>
        <w:snapToGrid/>
        <w:spacing w:before="260" w:beforeAutospacing="0" w:after="260" w:afterAutospacing="0" w:line="416" w:lineRule="auto"/>
        <w:ind w:left="0" w:leftChars="0" w:right="0" w:rightChars="0" w:firstLine="0" w:firstLineChars="0"/>
        <w:jc w:val="center"/>
        <w:outlineLvl w:val="0"/>
        <w:rPr>
          <w:rFonts w:hint="eastAsia" w:ascii="宋体" w:eastAsia="宋体" w:cs="方正小标宋简体"/>
          <w:b/>
          <w:sz w:val="44"/>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bookmarkStart w:id="12" w:name="_Toc15396599"/>
      <w:bookmarkStart w:id="13" w:name="_Toc15377196"/>
    </w:p>
    <w:p w14:paraId="27DCC8C8">
      <w:pPr>
        <w:pStyle w:val="5"/>
        <w:snapToGrid/>
        <w:spacing w:before="260" w:beforeAutospacing="0" w:after="260" w:afterAutospacing="0" w:line="416" w:lineRule="auto"/>
        <w:ind w:left="0" w:leftChars="0" w:right="0" w:rightChars="0" w:firstLine="0" w:firstLineChars="0"/>
        <w:jc w:val="center"/>
        <w:outlineLvl w:val="0"/>
        <w:rPr>
          <w:rStyle w:val="28"/>
          <w:rFonts w:ascii="宋体" w:eastAsia="宋体" w:cs="方正小标宋简体"/>
          <w:b/>
          <w:bCs w:val="0"/>
          <w:sz w:val="44"/>
        </w:rPr>
      </w:pPr>
      <w:bookmarkStart w:id="14" w:name="_Toc17608"/>
      <w:bookmarkStart w:id="15" w:name="_Toc25994"/>
      <w:bookmarkStart w:id="16" w:name="_Toc16025"/>
      <w:r>
        <w:rPr>
          <w:rFonts w:hint="eastAsia" w:ascii="宋体" w:eastAsia="宋体" w:cs="方正小标宋简体"/>
          <w:b/>
          <w:sz w:val="44"/>
        </w:rPr>
        <w:t xml:space="preserve">第一部分  </w:t>
      </w:r>
      <w:r>
        <w:rPr>
          <w:rStyle w:val="28"/>
          <w:rFonts w:hint="eastAsia" w:ascii="宋体" w:eastAsia="宋体" w:cs="方正小标宋简体"/>
          <w:b/>
          <w:bCs w:val="0"/>
          <w:sz w:val="44"/>
        </w:rPr>
        <w:t>部门概况</w:t>
      </w:r>
      <w:bookmarkEnd w:id="12"/>
      <w:bookmarkEnd w:id="13"/>
      <w:bookmarkEnd w:id="14"/>
      <w:bookmarkEnd w:id="15"/>
      <w:bookmarkEnd w:id="16"/>
    </w:p>
    <w:p w14:paraId="04C3A4E0">
      <w:pPr>
        <w:widowControl/>
        <w:snapToGrid/>
        <w:spacing w:beforeAutospacing="0" w:afterAutospacing="0" w:line="360" w:lineRule="auto"/>
        <w:ind w:left="0" w:leftChars="0" w:right="0" w:rightChars="0" w:firstLine="640" w:firstLineChars="200"/>
        <w:jc w:val="both"/>
        <w:rPr>
          <w:rFonts w:ascii="Times New Roman" w:eastAsia="仿宋"/>
          <w:sz w:val="32"/>
          <w:szCs w:val="32"/>
        </w:rPr>
      </w:pPr>
    </w:p>
    <w:p w14:paraId="4B5BBF96">
      <w:pPr>
        <w:pStyle w:val="6"/>
        <w:numPr>
          <w:ilvl w:val="0"/>
          <w:numId w:val="1"/>
        </w:numPr>
        <w:snapToGrid/>
        <w:spacing w:before="0" w:beforeAutospacing="0" w:after="0" w:afterAutospacing="0" w:line="360" w:lineRule="auto"/>
        <w:ind w:left="640" w:leftChars="0" w:right="0" w:rightChars="0" w:firstLine="0" w:firstLineChars="0"/>
        <w:jc w:val="both"/>
        <w:outlineLvl w:val="1"/>
        <w:rPr>
          <w:rFonts w:ascii="Times New Roman" w:hAnsi="Times New Roman" w:eastAsia="黑体"/>
          <w:b w:val="0"/>
          <w:sz w:val="32"/>
        </w:rPr>
      </w:pPr>
      <w:bookmarkStart w:id="17" w:name="_Toc23886"/>
      <w:bookmarkStart w:id="18" w:name="_Toc29597"/>
      <w:bookmarkStart w:id="19" w:name="_Toc148"/>
      <w:r>
        <w:rPr>
          <w:rFonts w:hint="eastAsia" w:ascii="Times New Roman" w:hAnsi="Times New Roman" w:eastAsia="黑体"/>
          <w:b w:val="0"/>
          <w:sz w:val="32"/>
        </w:rPr>
        <w:t>部门职责</w:t>
      </w:r>
      <w:bookmarkEnd w:id="17"/>
      <w:bookmarkEnd w:id="18"/>
      <w:bookmarkEnd w:id="19"/>
    </w:p>
    <w:p w14:paraId="51253E8C">
      <w:pPr>
        <w:snapToGrid/>
        <w:spacing w:beforeAutospacing="0" w:afterAutospacing="0" w:line="360" w:lineRule="auto"/>
        <w:ind w:left="0" w:leftChars="0" w:right="0" w:rightChars="0" w:firstLine="640" w:firstLineChars="200"/>
        <w:jc w:val="both"/>
        <w:rPr>
          <w:rFonts w:ascii="Times New Roman" w:eastAsia="仿宋"/>
          <w:b/>
          <w:bCs/>
          <w:sz w:val="32"/>
          <w:szCs w:val="32"/>
        </w:rPr>
      </w:pPr>
      <w:r>
        <w:rPr>
          <w:rFonts w:ascii="Times New Roman" w:eastAsia="仿宋"/>
          <w:sz w:val="32"/>
          <w:szCs w:val="32"/>
        </w:rPr>
        <w:t>盐边县人民医院是盐边县域内医疗卫生中心和农村三级医疗卫生服务龙头，与市级医院分工协作，主要为县域居民提供基本医疗服务，包括运用适宜医疗技术和药物，开展常见病、多发病诊疗，危急重症病人救治，重大疑难疾病接治转诊；推广应用适宜医疗技术，为农村基层医疗卫生机构人员提供培训和技术指导；承担部分公共卫生服务，以及自然灾害和突发事件医疗救治等工作。医院以病人为中心，加强内部管理，不断完善功能，提高技术水平和服务质量满足人民群众日益增长的医疗服务需求，实现小病不出乡大病不出县，切实解决群众看病难看病贵问题。</w:t>
      </w:r>
    </w:p>
    <w:p w14:paraId="6134F36C">
      <w:pPr>
        <w:snapToGrid/>
        <w:spacing w:beforeAutospacing="0" w:afterAutospacing="0" w:line="360" w:lineRule="auto"/>
        <w:ind w:left="0" w:leftChars="0" w:right="0" w:rightChars="0" w:firstLine="640" w:firstLineChars="200"/>
        <w:jc w:val="both"/>
        <w:rPr>
          <w:rFonts w:ascii="Times New Roman" w:eastAsia="仿宋"/>
          <w:sz w:val="32"/>
        </w:rPr>
      </w:pPr>
    </w:p>
    <w:p w14:paraId="5546C8BA">
      <w:pPr>
        <w:pStyle w:val="6"/>
        <w:snapToGrid/>
        <w:spacing w:before="0" w:beforeAutospacing="0" w:after="0" w:afterAutospacing="0" w:line="360" w:lineRule="auto"/>
        <w:ind w:left="640" w:leftChars="0" w:right="0" w:rightChars="0" w:firstLine="0" w:firstLineChars="0"/>
        <w:jc w:val="both"/>
        <w:outlineLvl w:val="1"/>
        <w:rPr>
          <w:rStyle w:val="29"/>
          <w:rFonts w:ascii="Times New Roman" w:hAnsi="Times New Roman" w:eastAsia="黑体"/>
          <w:b w:val="0"/>
          <w:bCs w:val="0"/>
          <w:sz w:val="32"/>
        </w:rPr>
      </w:pPr>
      <w:bookmarkStart w:id="20" w:name="_Toc15377200"/>
      <w:bookmarkStart w:id="21" w:name="_Toc31304"/>
      <w:bookmarkStart w:id="22" w:name="_Toc4534"/>
      <w:bookmarkStart w:id="23" w:name="_Toc15396601"/>
      <w:bookmarkStart w:id="24" w:name="_Toc19384"/>
      <w:r>
        <w:rPr>
          <w:rFonts w:hint="eastAsia" w:ascii="Times New Roman" w:hAnsi="Times New Roman" w:eastAsia="黑体"/>
          <w:b w:val="0"/>
          <w:sz w:val="32"/>
        </w:rPr>
        <w:t>二、机</w:t>
      </w:r>
      <w:r>
        <w:rPr>
          <w:rStyle w:val="29"/>
          <w:rFonts w:hint="eastAsia" w:ascii="Times New Roman" w:hAnsi="Times New Roman" w:eastAsia="黑体"/>
          <w:b w:val="0"/>
          <w:bCs w:val="0"/>
          <w:sz w:val="32"/>
        </w:rPr>
        <w:t>构设置</w:t>
      </w:r>
      <w:bookmarkEnd w:id="20"/>
      <w:bookmarkEnd w:id="21"/>
      <w:bookmarkEnd w:id="22"/>
      <w:bookmarkEnd w:id="23"/>
      <w:bookmarkEnd w:id="24"/>
    </w:p>
    <w:p w14:paraId="6D3AD59E">
      <w:pPr>
        <w:snapToGrid/>
        <w:spacing w:beforeAutospacing="0" w:afterAutospacing="0" w:line="360" w:lineRule="auto"/>
        <w:ind w:left="0" w:leftChars="0" w:right="0" w:rightChars="0" w:firstLine="640" w:firstLineChars="200"/>
        <w:jc w:val="both"/>
        <w:rPr>
          <w:rFonts w:ascii="Times New Roman" w:eastAsia="仿宋" w:cs="仿宋_GB2312"/>
          <w:sz w:val="32"/>
          <w:szCs w:val="32"/>
        </w:rPr>
      </w:pPr>
      <w:r>
        <w:rPr>
          <w:rFonts w:hint="eastAsia" w:ascii="Times New Roman" w:hAnsi="仿宋_GB2312" w:eastAsia="仿宋" w:cs="仿宋_GB2312"/>
          <w:sz w:val="32"/>
          <w:szCs w:val="32"/>
        </w:rPr>
        <w:t>盐边县人民医院</w:t>
      </w:r>
      <w:r>
        <w:rPr>
          <w:rFonts w:hint="eastAsia" w:ascii="Times New Roman" w:eastAsia="仿宋" w:cs="仿宋_GB2312"/>
          <w:sz w:val="32"/>
          <w:szCs w:val="32"/>
        </w:rPr>
        <w:t>属</w:t>
      </w:r>
      <w:r>
        <w:rPr>
          <w:rFonts w:hint="eastAsia" w:eastAsia="仿宋" w:cs="仿宋_GB2312"/>
          <w:sz w:val="32"/>
          <w:szCs w:val="32"/>
          <w:lang w:eastAsia="zh-CN"/>
        </w:rPr>
        <w:t>盐边县卫生健康局下属</w:t>
      </w:r>
      <w:r>
        <w:rPr>
          <w:rFonts w:hint="eastAsia" w:ascii="Times New Roman" w:eastAsia="仿宋" w:cs="仿宋_GB2312"/>
          <w:sz w:val="32"/>
          <w:szCs w:val="32"/>
        </w:rPr>
        <w:t>二级预算单位。边县人民医院下设门诊内、外、妇、急诊、口腔、五官、中医、针炙、体检等科室；住院部设内科、儿科、妇产科、外科、中医康复科、血透室、ICU、医养结合中心八个病区；辅助科室有心电、超声、胃肠镜、药械、检验、放射、体检等部门。有专科联盟3个，分别是骨科、心内科、急诊科；县级重点在建专科内科、普外科、骨科、急诊科。</w:t>
      </w:r>
    </w:p>
    <w:p w14:paraId="068934DD">
      <w:pPr>
        <w:widowControl/>
        <w:snapToGrid/>
        <w:spacing w:beforeAutospacing="0" w:afterAutospacing="0" w:line="360" w:lineRule="auto"/>
        <w:ind w:left="0" w:leftChars="0" w:right="0" w:rightChars="0" w:firstLine="640" w:firstLineChars="200"/>
        <w:jc w:val="both"/>
        <w:rPr>
          <w:rFonts w:ascii="Times New Roman" w:eastAsia="仿宋"/>
          <w:kern w:val="0"/>
          <w:sz w:val="32"/>
          <w:szCs w:val="32"/>
        </w:rPr>
      </w:pPr>
      <w:r>
        <w:rPr>
          <w:rFonts w:ascii="Times New Roman" w:eastAsia="仿宋"/>
          <w:sz w:val="32"/>
          <w:szCs w:val="32"/>
        </w:rPr>
        <w:br w:type="page"/>
      </w:r>
    </w:p>
    <w:p w14:paraId="78253B19">
      <w:pPr>
        <w:pStyle w:val="5"/>
        <w:snapToGrid/>
        <w:spacing w:before="260" w:beforeAutospacing="0" w:after="260" w:afterAutospacing="0" w:line="416" w:lineRule="auto"/>
        <w:ind w:left="0" w:leftChars="0" w:right="0" w:rightChars="0" w:firstLine="0" w:firstLineChars="0"/>
        <w:jc w:val="center"/>
        <w:outlineLvl w:val="0"/>
        <w:rPr>
          <w:rFonts w:ascii="宋体" w:eastAsia="宋体" w:cs="方正小标宋简体"/>
          <w:b/>
          <w:sz w:val="44"/>
        </w:rPr>
      </w:pPr>
      <w:bookmarkStart w:id="25" w:name="_Toc15377204"/>
      <w:bookmarkStart w:id="26" w:name="_Toc12298"/>
      <w:bookmarkStart w:id="27" w:name="_Toc15396602"/>
      <w:bookmarkStart w:id="28" w:name="_Toc18709"/>
      <w:bookmarkStart w:id="29" w:name="_Toc31532"/>
      <w:r>
        <w:rPr>
          <w:rFonts w:hint="eastAsia" w:ascii="宋体" w:eastAsia="宋体" w:cs="方正小标宋简体"/>
          <w:b/>
          <w:sz w:val="44"/>
        </w:rPr>
        <w:t>第二部分  2024年度部门决算情况说明</w:t>
      </w:r>
      <w:bookmarkEnd w:id="25"/>
      <w:bookmarkEnd w:id="26"/>
      <w:bookmarkEnd w:id="27"/>
      <w:bookmarkEnd w:id="28"/>
      <w:bookmarkEnd w:id="29"/>
    </w:p>
    <w:p w14:paraId="09910065">
      <w:pPr>
        <w:snapToGrid/>
        <w:spacing w:beforeAutospacing="0" w:afterAutospacing="0" w:line="360" w:lineRule="auto"/>
        <w:ind w:left="0" w:leftChars="0" w:right="0" w:rightChars="0" w:firstLine="640" w:firstLineChars="200"/>
        <w:jc w:val="both"/>
        <w:rPr>
          <w:rFonts w:ascii="Times New Roman" w:eastAsia="仿宋"/>
          <w:sz w:val="32"/>
        </w:rPr>
      </w:pPr>
    </w:p>
    <w:p w14:paraId="6DB99BE5">
      <w:pPr>
        <w:pStyle w:val="27"/>
        <w:snapToGrid/>
        <w:spacing w:beforeAutospacing="0" w:afterAutospacing="0" w:line="360" w:lineRule="auto"/>
        <w:ind w:left="640" w:leftChars="0" w:right="0" w:rightChars="0" w:firstLine="0" w:firstLineChars="0"/>
        <w:jc w:val="both"/>
        <w:outlineLvl w:val="1"/>
        <w:rPr>
          <w:rStyle w:val="29"/>
          <w:rFonts w:ascii="Times New Roman" w:hAnsi="Times New Roman" w:eastAsia="黑体"/>
          <w:b w:val="0"/>
          <w:sz w:val="32"/>
        </w:rPr>
      </w:pPr>
      <w:bookmarkStart w:id="30" w:name="_Toc8032"/>
      <w:bookmarkStart w:id="31" w:name="_Toc15396603"/>
      <w:bookmarkStart w:id="32" w:name="_Toc15377205"/>
      <w:bookmarkStart w:id="33" w:name="_Toc8780"/>
      <w:bookmarkStart w:id="34" w:name="_Toc16887"/>
      <w:r>
        <w:rPr>
          <w:rFonts w:hint="eastAsia" w:ascii="Times New Roman" w:eastAsia="黑体"/>
          <w:b w:val="0"/>
          <w:sz w:val="32"/>
          <w:szCs w:val="32"/>
        </w:rPr>
        <w:t>一、收</w:t>
      </w:r>
      <w:r>
        <w:rPr>
          <w:rStyle w:val="29"/>
          <w:rFonts w:hint="eastAsia" w:ascii="Times New Roman" w:hAnsi="Times New Roman" w:eastAsia="黑体"/>
          <w:b w:val="0"/>
          <w:sz w:val="32"/>
        </w:rPr>
        <w:t>入支出决算总体情况说明</w:t>
      </w:r>
      <w:bookmarkEnd w:id="30"/>
      <w:bookmarkEnd w:id="31"/>
      <w:bookmarkEnd w:id="32"/>
      <w:bookmarkEnd w:id="33"/>
      <w:bookmarkEnd w:id="34"/>
    </w:p>
    <w:p w14:paraId="04667C9A">
      <w:pPr>
        <w:pStyle w:val="27"/>
        <w:snapToGrid/>
        <w:spacing w:beforeAutospacing="0" w:afterAutospacing="0" w:line="360" w:lineRule="auto"/>
        <w:ind w:left="0" w:leftChars="0" w:right="0" w:rightChars="0" w:firstLine="640" w:firstLineChars="200"/>
        <w:jc w:val="both"/>
        <w:outlineLvl w:val="9"/>
        <w:rPr>
          <w:rFonts w:hint="eastAsia" w:eastAsia="仿宋"/>
          <w:sz w:val="32"/>
          <w:szCs w:val="32"/>
          <w:lang w:eastAsia="zh-CN"/>
        </w:rPr>
      </w:pPr>
      <w:r>
        <w:rPr>
          <w:rFonts w:hint="eastAsia" w:ascii="Times New Roman" w:eastAsia="仿宋" w:cs="仿宋_GB2312"/>
          <w:sz w:val="32"/>
          <w:szCs w:val="32"/>
        </w:rPr>
        <w:t>2024年度收入、支出总计均为</w:t>
      </w:r>
      <w:r>
        <w:rPr>
          <w:rFonts w:hint="eastAsia" w:ascii="Times New Roman" w:hAnsi="仿宋_GB2312" w:eastAsia="仿宋" w:cs="仿宋_GB2312"/>
          <w:sz w:val="32"/>
          <w:szCs w:val="32"/>
        </w:rPr>
        <w:t>6992.74</w:t>
      </w:r>
      <w:r>
        <w:rPr>
          <w:rFonts w:hint="eastAsia" w:ascii="Times New Roman" w:eastAsia="仿宋" w:cs="仿宋_GB2312"/>
          <w:sz w:val="32"/>
          <w:szCs w:val="32"/>
        </w:rPr>
        <w:t>万元。与2023年度相比，（2</w:t>
      </w:r>
      <w:r>
        <w:rPr>
          <w:rFonts w:ascii="Times New Roman" w:eastAsia="仿宋" w:cs="仿宋_GB2312"/>
          <w:sz w:val="32"/>
          <w:szCs w:val="32"/>
        </w:rPr>
        <w:t>023</w:t>
      </w:r>
      <w:r>
        <w:rPr>
          <w:rFonts w:hint="eastAsia" w:ascii="Times New Roman" w:eastAsia="仿宋" w:cs="仿宋_GB2312"/>
          <w:sz w:val="32"/>
          <w:szCs w:val="32"/>
        </w:rPr>
        <w:t>年度收入、支出总计</w:t>
      </w:r>
      <w:r>
        <w:rPr>
          <w:rFonts w:ascii="Times New Roman" w:eastAsia="仿宋" w:cs="仿宋_GB2312"/>
          <w:sz w:val="32"/>
          <w:szCs w:val="32"/>
        </w:rPr>
        <w:t>7364.73</w:t>
      </w:r>
      <w:r>
        <w:rPr>
          <w:rFonts w:hint="eastAsia" w:ascii="Times New Roman" w:eastAsia="仿宋" w:cs="仿宋_GB2312"/>
          <w:sz w:val="32"/>
          <w:szCs w:val="32"/>
        </w:rPr>
        <w:t>万元）减少</w:t>
      </w:r>
      <w:r>
        <w:rPr>
          <w:rFonts w:ascii="Times New Roman" w:eastAsia="仿宋" w:cs="仿宋_GB2312"/>
          <w:sz w:val="32"/>
          <w:szCs w:val="32"/>
        </w:rPr>
        <w:t>371.99</w:t>
      </w:r>
      <w:r>
        <w:rPr>
          <w:rFonts w:hint="eastAsia" w:ascii="Times New Roman" w:eastAsia="仿宋" w:cs="仿宋_GB2312"/>
          <w:sz w:val="32"/>
          <w:szCs w:val="32"/>
        </w:rPr>
        <w:t>万元，下降</w:t>
      </w:r>
      <w:r>
        <w:rPr>
          <w:rFonts w:ascii="Times New Roman" w:eastAsia="仿宋" w:cs="仿宋_GB2312"/>
          <w:sz w:val="32"/>
          <w:szCs w:val="32"/>
        </w:rPr>
        <w:t>5.05</w:t>
      </w:r>
      <w:r>
        <w:rPr>
          <w:rFonts w:hint="eastAsia" w:ascii="Times New Roman" w:eastAsia="仿宋" w:cs="仿宋_GB2312"/>
          <w:sz w:val="32"/>
          <w:szCs w:val="32"/>
        </w:rPr>
        <w:t>%。主要变动原因是</w:t>
      </w:r>
      <w:r>
        <w:rPr>
          <w:rFonts w:ascii="Times New Roman" w:eastAsia="仿宋"/>
          <w:sz w:val="32"/>
          <w:szCs w:val="32"/>
        </w:rPr>
        <w:t>2024</w:t>
      </w:r>
      <w:r>
        <w:rPr>
          <w:rFonts w:hint="eastAsia" w:ascii="Times New Roman" w:eastAsia="仿宋"/>
          <w:sz w:val="32"/>
          <w:szCs w:val="32"/>
        </w:rPr>
        <w:t>年财政项目拨款收入减少</w:t>
      </w:r>
      <w:r>
        <w:rPr>
          <w:rFonts w:ascii="Times New Roman" w:eastAsia="仿宋"/>
          <w:sz w:val="32"/>
          <w:szCs w:val="32"/>
        </w:rPr>
        <w:t>371.99</w:t>
      </w:r>
      <w:r>
        <w:rPr>
          <w:rFonts w:hint="eastAsia" w:ascii="Times New Roman" w:eastAsia="仿宋"/>
          <w:sz w:val="32"/>
          <w:szCs w:val="32"/>
        </w:rPr>
        <w:t>万元造成的</w:t>
      </w:r>
      <w:r>
        <w:rPr>
          <w:rFonts w:hint="eastAsia" w:eastAsia="仿宋"/>
          <w:sz w:val="32"/>
          <w:szCs w:val="32"/>
          <w:lang w:eastAsia="zh-CN"/>
        </w:rPr>
        <w:t>。</w:t>
      </w:r>
    </w:p>
    <w:p w14:paraId="6DDF925A">
      <w:pPr>
        <w:pStyle w:val="27"/>
        <w:snapToGrid/>
        <w:spacing w:beforeAutospacing="0" w:afterAutospacing="0" w:line="360" w:lineRule="auto"/>
        <w:ind w:left="0" w:leftChars="0" w:right="0" w:rightChars="0" w:firstLine="640" w:firstLineChars="200"/>
        <w:jc w:val="both"/>
        <w:outlineLvl w:val="9"/>
        <w:rPr>
          <w:rFonts w:hint="eastAsia" w:eastAsia="仿宋"/>
          <w:sz w:val="32"/>
          <w:szCs w:val="32"/>
          <w:lang w:eastAsia="zh-CN"/>
        </w:rPr>
      </w:pPr>
    </w:p>
    <w:p w14:paraId="064F05A8">
      <w:pPr>
        <w:pStyle w:val="27"/>
        <w:snapToGrid/>
        <w:spacing w:beforeAutospacing="0" w:afterAutospacing="0" w:line="360" w:lineRule="auto"/>
        <w:ind w:left="0" w:leftChars="0" w:right="0" w:rightChars="0" w:firstLine="480" w:firstLineChars="200"/>
        <w:jc w:val="right"/>
        <w:outlineLvl w:val="9"/>
        <w:rPr>
          <w:rFonts w:hint="eastAsia" w:ascii="Times New Roman" w:eastAsia="仿宋"/>
          <w:sz w:val="32"/>
          <w:szCs w:val="32"/>
        </w:rPr>
      </w:pPr>
      <w:r>
        <w:rPr>
          <w:rFonts w:hint="eastAsia" w:ascii="仿宋_GB2312" w:eastAsia="仿宋_GB2312"/>
          <w:sz w:val="24"/>
          <w:szCs w:val="24"/>
          <w:lang w:val="en-US" w:eastAsia="zh-CN"/>
        </w:rPr>
        <w:t>单位：万元</w:t>
      </w:r>
    </w:p>
    <w:p w14:paraId="3EA3F497">
      <w:pPr>
        <w:ind w:left="0" w:leftChars="0" w:right="0" w:rightChars="0" w:firstLine="0" w:firstLineChars="0"/>
        <w:jc w:val="center"/>
        <w:rPr>
          <w:rFonts w:ascii="Times New Roman" w:eastAsia="仿宋"/>
          <w:sz w:val="32"/>
        </w:rPr>
      </w:pPr>
      <w:r>
        <w:rPr>
          <w:rFonts w:ascii="Times New Roman" w:eastAsia="仿宋"/>
          <w:sz w:val="32"/>
        </w:rPr>
        <w:drawing>
          <wp:inline distT="0" distB="0" distL="0" distR="0">
            <wp:extent cx="5057775" cy="3095625"/>
            <wp:effectExtent l="4445" t="4445" r="5080" b="508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9EF61A1">
      <w:pPr>
        <w:pStyle w:val="3"/>
        <w:ind w:left="0" w:leftChars="0" w:firstLine="0" w:firstLineChars="0"/>
        <w:jc w:val="center"/>
      </w:pPr>
      <w:r>
        <w:rPr>
          <w:rFonts w:hint="eastAsia" w:ascii="Times New Roman" w:eastAsia="仿宋" w:cs="仿宋_GB2312"/>
          <w:sz w:val="32"/>
          <w:szCs w:val="32"/>
        </w:rPr>
        <w:t>（图1：收入、支出决算总计变动情况图）</w:t>
      </w:r>
    </w:p>
    <w:p w14:paraId="23527CE1">
      <w:pPr>
        <w:pStyle w:val="27"/>
        <w:snapToGrid/>
        <w:spacing w:beforeAutospacing="0" w:afterAutospacing="0" w:line="360" w:lineRule="auto"/>
        <w:ind w:left="640" w:leftChars="0" w:right="0" w:rightChars="0" w:firstLine="0" w:firstLineChars="0"/>
        <w:jc w:val="both"/>
        <w:outlineLvl w:val="1"/>
        <w:rPr>
          <w:rFonts w:hint="eastAsia" w:ascii="Times New Roman" w:eastAsia="黑体"/>
          <w:b w:val="0"/>
          <w:sz w:val="32"/>
          <w:szCs w:val="32"/>
        </w:rPr>
      </w:pPr>
      <w:bookmarkStart w:id="35" w:name="_Toc9231"/>
      <w:bookmarkStart w:id="36" w:name="_Toc15377206"/>
      <w:bookmarkStart w:id="37" w:name="_Toc15396604"/>
      <w:bookmarkStart w:id="38" w:name="_Toc12577"/>
      <w:bookmarkStart w:id="39" w:name="_Toc14526"/>
      <w:r>
        <w:rPr>
          <w:rFonts w:hint="eastAsia" w:ascii="Times New Roman" w:eastAsia="黑体"/>
          <w:b w:val="0"/>
          <w:sz w:val="32"/>
          <w:szCs w:val="32"/>
        </w:rPr>
        <w:t>二、收入决算情况说明</w:t>
      </w:r>
      <w:bookmarkEnd w:id="35"/>
      <w:bookmarkEnd w:id="36"/>
      <w:bookmarkEnd w:id="37"/>
      <w:bookmarkEnd w:id="38"/>
      <w:bookmarkEnd w:id="39"/>
    </w:p>
    <w:p w14:paraId="04C7813E">
      <w:pPr>
        <w:pStyle w:val="27"/>
        <w:snapToGrid/>
        <w:spacing w:beforeAutospacing="0" w:afterAutospacing="0" w:line="360" w:lineRule="auto"/>
        <w:ind w:left="0" w:leftChars="0" w:right="0" w:rightChars="0" w:firstLine="640" w:firstLineChars="200"/>
        <w:jc w:val="both"/>
        <w:outlineLvl w:val="9"/>
        <w:rPr>
          <w:rFonts w:hint="eastAsia" w:ascii="Times New Roman" w:hAnsi="仿宋_GB2312" w:eastAsia="仿宋" w:cs="仿宋_GB2312"/>
          <w:sz w:val="32"/>
          <w:szCs w:val="32"/>
        </w:rPr>
      </w:pPr>
      <w:r>
        <w:rPr>
          <w:rFonts w:hint="eastAsia" w:ascii="Times New Roman" w:hAnsi="仿宋_GB2312" w:eastAsia="仿宋" w:cs="仿宋_GB2312"/>
          <w:sz w:val="32"/>
          <w:szCs w:val="32"/>
        </w:rPr>
        <w:t>2024年度本年收入合计6992.74万元，其中：一般公共预算财政拨款收入2614.74万元，占37.39%；政府性基金预算财政拨款收入0万元，占0%%；国有资本经营预算财政拨款收入0万元，占0%；上级补助收入0万元，占0%；事业收入4267.55万元，占61.02%；经营收入0万元，占0%；附属单位上缴收入0万元，占0%；其他收入110.45万元，占1.57%。</w:t>
      </w:r>
    </w:p>
    <w:p w14:paraId="34350ED6">
      <w:pPr>
        <w:pStyle w:val="27"/>
        <w:snapToGrid/>
        <w:spacing w:beforeAutospacing="0" w:afterAutospacing="0" w:line="360" w:lineRule="auto"/>
        <w:ind w:left="0" w:leftChars="0" w:right="0" w:rightChars="0" w:firstLine="640" w:firstLineChars="200"/>
        <w:jc w:val="both"/>
        <w:outlineLvl w:val="9"/>
        <w:rPr>
          <w:rFonts w:hint="eastAsia" w:ascii="Times New Roman" w:hAnsi="仿宋_GB2312" w:eastAsia="仿宋" w:cs="仿宋_GB2312"/>
          <w:sz w:val="32"/>
          <w:szCs w:val="32"/>
          <w:lang w:eastAsia="zh-CN"/>
        </w:rPr>
      </w:pPr>
    </w:p>
    <w:p w14:paraId="5290F20B">
      <w:pPr>
        <w:pStyle w:val="27"/>
        <w:snapToGrid/>
        <w:spacing w:beforeAutospacing="0" w:afterAutospacing="0" w:line="360" w:lineRule="auto"/>
        <w:ind w:left="0" w:leftChars="0" w:right="0" w:rightChars="0" w:firstLine="480" w:firstLineChars="200"/>
        <w:jc w:val="right"/>
        <w:outlineLvl w:val="9"/>
        <w:rPr>
          <w:rFonts w:hint="eastAsia" w:ascii="Times New Roman" w:hAnsi="仿宋_GB2312" w:eastAsia="仿宋" w:cs="仿宋_GB2312"/>
          <w:sz w:val="32"/>
          <w:szCs w:val="32"/>
        </w:rPr>
      </w:pPr>
      <w:r>
        <w:rPr>
          <w:rFonts w:hint="eastAsia" w:ascii="仿宋_GB2312" w:eastAsia="仿宋_GB2312"/>
          <w:sz w:val="24"/>
          <w:szCs w:val="24"/>
          <w:lang w:val="en-US" w:eastAsia="zh-CN"/>
        </w:rPr>
        <w:t>单位：万元</w:t>
      </w:r>
    </w:p>
    <w:p w14:paraId="07DA3ABF">
      <w:pPr>
        <w:pStyle w:val="2"/>
        <w:ind w:left="0" w:leftChars="0" w:right="0" w:rightChars="0" w:firstLine="0" w:firstLineChars="0"/>
        <w:jc w:val="center"/>
        <w:rPr>
          <w:rFonts w:ascii="Times New Roman" w:eastAsia="仿宋"/>
          <w:sz w:val="32"/>
        </w:rPr>
      </w:pPr>
      <w:r>
        <w:rPr>
          <w:rFonts w:ascii="Times New Roman" w:eastAsia="仿宋"/>
          <w:sz w:val="32"/>
        </w:rPr>
        <w:drawing>
          <wp:inline distT="0" distB="0" distL="0" distR="0">
            <wp:extent cx="4495165" cy="2999740"/>
            <wp:effectExtent l="4445" t="4445" r="15240" b="571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3D3F152">
      <w:pPr>
        <w:snapToGrid/>
        <w:spacing w:beforeAutospacing="0" w:afterAutospacing="0" w:line="360" w:lineRule="auto"/>
        <w:ind w:left="0" w:leftChars="0" w:right="0" w:rightChars="0" w:firstLine="640" w:firstLineChars="200"/>
        <w:jc w:val="center"/>
        <w:rPr>
          <w:rFonts w:ascii="Times New Roman" w:eastAsia="仿宋" w:cs="仿宋_GB2312"/>
          <w:sz w:val="32"/>
          <w:szCs w:val="32"/>
        </w:rPr>
      </w:pPr>
      <w:r>
        <w:rPr>
          <w:rFonts w:hint="eastAsia" w:ascii="Times New Roman" w:eastAsia="仿宋" w:cs="仿宋_GB2312"/>
          <w:sz w:val="32"/>
          <w:szCs w:val="32"/>
        </w:rPr>
        <w:t>（图2：收入决算结构图）</w:t>
      </w:r>
    </w:p>
    <w:p w14:paraId="34F4A59A">
      <w:pPr>
        <w:pStyle w:val="3"/>
      </w:pPr>
    </w:p>
    <w:p w14:paraId="003F7E14">
      <w:pPr>
        <w:pStyle w:val="27"/>
        <w:snapToGrid/>
        <w:spacing w:beforeAutospacing="0" w:afterAutospacing="0" w:line="360" w:lineRule="auto"/>
        <w:ind w:left="640" w:leftChars="0" w:right="0" w:rightChars="0" w:firstLine="0" w:firstLineChars="0"/>
        <w:jc w:val="both"/>
        <w:outlineLvl w:val="1"/>
        <w:rPr>
          <w:rFonts w:hint="eastAsia" w:ascii="Times New Roman" w:eastAsia="黑体"/>
          <w:b w:val="0"/>
          <w:sz w:val="32"/>
          <w:szCs w:val="32"/>
        </w:rPr>
      </w:pPr>
      <w:bookmarkStart w:id="40" w:name="_Toc12957"/>
      <w:bookmarkStart w:id="41" w:name="_Toc26600"/>
      <w:bookmarkStart w:id="42" w:name="_Toc15377207"/>
      <w:bookmarkStart w:id="43" w:name="_Toc13537"/>
      <w:bookmarkStart w:id="44" w:name="_Toc15396605"/>
      <w:r>
        <w:rPr>
          <w:rFonts w:hint="eastAsia" w:ascii="Times New Roman" w:eastAsia="黑体"/>
          <w:b w:val="0"/>
          <w:sz w:val="32"/>
          <w:szCs w:val="32"/>
        </w:rPr>
        <w:t>三、支出决算情况说明</w:t>
      </w:r>
      <w:bookmarkEnd w:id="40"/>
      <w:bookmarkEnd w:id="41"/>
      <w:bookmarkEnd w:id="42"/>
      <w:bookmarkEnd w:id="43"/>
      <w:bookmarkEnd w:id="44"/>
    </w:p>
    <w:p w14:paraId="1C59FE95">
      <w:pPr>
        <w:pStyle w:val="27"/>
        <w:snapToGrid/>
        <w:spacing w:beforeAutospacing="0" w:afterAutospacing="0" w:line="360" w:lineRule="auto"/>
        <w:ind w:left="0" w:leftChars="0" w:right="0" w:rightChars="0" w:firstLine="640" w:firstLineChars="200"/>
        <w:jc w:val="both"/>
        <w:outlineLvl w:val="9"/>
        <w:rPr>
          <w:rFonts w:hint="eastAsia" w:ascii="Times New Roman" w:eastAsia="仿宋"/>
          <w:sz w:val="32"/>
        </w:rPr>
      </w:pPr>
      <w:r>
        <w:rPr>
          <w:rFonts w:hint="eastAsia" w:ascii="Times New Roman" w:hAnsi="仿宋_GB2312" w:eastAsia="仿宋" w:cs="仿宋_GB2312"/>
          <w:sz w:val="32"/>
          <w:szCs w:val="32"/>
        </w:rPr>
        <w:t>2024年度本年支出合计6992.74万元，其中：基本支出6492.15万元，占92.84%；项目支出500.59万元，占7.15%；上缴上级支出0万元，占0%；经营支出0万元，占0%；对附属单位补助支出0万元，占0%。</w:t>
      </w:r>
    </w:p>
    <w:p w14:paraId="59CCBE4F">
      <w:pPr>
        <w:pStyle w:val="27"/>
        <w:spacing w:line="600" w:lineRule="exact"/>
        <w:ind w:firstLine="640"/>
        <w:jc w:val="right"/>
        <w:outlineLvl w:val="9"/>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 xml:space="preserve">  </w:t>
      </w:r>
      <w:bookmarkStart w:id="45" w:name="_Toc13089"/>
      <w:r>
        <w:rPr>
          <w:rFonts w:hint="eastAsia" w:ascii="仿宋_GB2312" w:hAnsi="Times New Roman" w:eastAsia="仿宋_GB2312" w:cs="Times New Roman"/>
          <w:kern w:val="2"/>
          <w:sz w:val="24"/>
          <w:szCs w:val="24"/>
          <w:lang w:val="en-US" w:eastAsia="zh-CN" w:bidi="ar-SA"/>
        </w:rPr>
        <w:t>单位：万元</w:t>
      </w:r>
      <w:bookmarkEnd w:id="45"/>
    </w:p>
    <w:p w14:paraId="798B4921">
      <w:pPr>
        <w:pStyle w:val="2"/>
        <w:ind w:left="0" w:leftChars="0" w:right="0" w:rightChars="0" w:firstLine="0" w:firstLineChars="0"/>
        <w:jc w:val="center"/>
        <w:rPr>
          <w:rFonts w:hint="eastAsia" w:ascii="Times New Roman" w:eastAsia="仿宋"/>
          <w:sz w:val="32"/>
        </w:rPr>
      </w:pPr>
      <w:r>
        <w:rPr>
          <w:rFonts w:hint="eastAsia" w:ascii="Times New Roman" w:eastAsia="仿宋"/>
          <w:sz w:val="32"/>
        </w:rPr>
        <w:drawing>
          <wp:inline distT="0" distB="0" distL="0" distR="0">
            <wp:extent cx="4415155" cy="2540635"/>
            <wp:effectExtent l="4445" t="4445" r="19050" b="762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48EEBD0">
      <w:pPr>
        <w:snapToGrid/>
        <w:spacing w:beforeAutospacing="0" w:afterAutospacing="0" w:line="360" w:lineRule="auto"/>
        <w:ind w:left="0" w:leftChars="0" w:right="0" w:rightChars="0" w:firstLine="640" w:firstLineChars="200"/>
        <w:jc w:val="center"/>
        <w:rPr>
          <w:rFonts w:hint="eastAsia" w:ascii="Times New Roman" w:eastAsia="仿宋" w:cs="仿宋_GB2312"/>
          <w:sz w:val="32"/>
          <w:szCs w:val="32"/>
        </w:rPr>
      </w:pPr>
      <w:r>
        <w:rPr>
          <w:rFonts w:hint="eastAsia" w:ascii="Times New Roman" w:eastAsia="仿宋" w:cs="仿宋_GB2312"/>
          <w:sz w:val="32"/>
          <w:szCs w:val="32"/>
        </w:rPr>
        <w:t>（图3：支出决算结构图）</w:t>
      </w:r>
    </w:p>
    <w:p w14:paraId="6545718D">
      <w:pPr>
        <w:pStyle w:val="2"/>
      </w:pPr>
    </w:p>
    <w:p w14:paraId="0B896BD1">
      <w:pPr>
        <w:pStyle w:val="27"/>
        <w:snapToGrid/>
        <w:spacing w:beforeAutospacing="0" w:afterAutospacing="0" w:line="360" w:lineRule="auto"/>
        <w:ind w:left="640" w:leftChars="0" w:right="0" w:rightChars="0" w:firstLine="0" w:firstLineChars="0"/>
        <w:jc w:val="both"/>
        <w:outlineLvl w:val="1"/>
        <w:rPr>
          <w:rFonts w:hint="eastAsia" w:ascii="Times New Roman" w:eastAsia="黑体"/>
          <w:b w:val="0"/>
          <w:sz w:val="32"/>
          <w:szCs w:val="32"/>
        </w:rPr>
      </w:pPr>
      <w:bookmarkStart w:id="46" w:name="_Toc15377208"/>
      <w:bookmarkStart w:id="47" w:name="_Toc15396606"/>
      <w:bookmarkStart w:id="48" w:name="_Toc6462"/>
      <w:bookmarkStart w:id="49" w:name="_Toc13821"/>
      <w:bookmarkStart w:id="50" w:name="_Toc16801"/>
      <w:r>
        <w:rPr>
          <w:rFonts w:hint="eastAsia" w:ascii="Times New Roman" w:eastAsia="黑体"/>
          <w:b w:val="0"/>
          <w:sz w:val="32"/>
          <w:szCs w:val="32"/>
        </w:rPr>
        <w:t>四、财政拨款收入支出决算总体情况说明</w:t>
      </w:r>
      <w:bookmarkEnd w:id="46"/>
      <w:bookmarkEnd w:id="47"/>
      <w:bookmarkEnd w:id="48"/>
      <w:bookmarkEnd w:id="49"/>
      <w:bookmarkEnd w:id="50"/>
    </w:p>
    <w:p w14:paraId="6F398A6C">
      <w:pPr>
        <w:snapToGrid/>
        <w:spacing w:beforeAutospacing="0" w:afterAutospacing="0" w:line="360" w:lineRule="auto"/>
        <w:ind w:left="0" w:leftChars="0" w:right="0" w:rightChars="0" w:firstLine="640" w:firstLineChars="200"/>
        <w:jc w:val="both"/>
        <w:rPr>
          <w:rFonts w:hint="eastAsia" w:ascii="Times New Roman" w:eastAsia="仿宋" w:cs="仿宋_GB2312"/>
          <w:color w:val="auto"/>
          <w:sz w:val="32"/>
          <w:szCs w:val="32"/>
        </w:rPr>
      </w:pPr>
      <w:r>
        <w:rPr>
          <w:rFonts w:hint="eastAsia" w:ascii="Times New Roman" w:eastAsia="仿宋"/>
          <w:sz w:val="32"/>
        </w:rPr>
        <w:drawing>
          <wp:anchor distT="0" distB="0" distL="0" distR="0" simplePos="0" relativeHeight="251659264" behindDoc="0" locked="0" layoutInCell="1" allowOverlap="1">
            <wp:simplePos x="0" y="0"/>
            <wp:positionH relativeFrom="column">
              <wp:posOffset>380365</wp:posOffset>
            </wp:positionH>
            <wp:positionV relativeFrom="paragraph">
              <wp:posOffset>1639570</wp:posOffset>
            </wp:positionV>
            <wp:extent cx="4403725" cy="2725420"/>
            <wp:effectExtent l="4445" t="4445" r="11430" b="13335"/>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ascii="Times New Roman" w:eastAsia="仿宋" w:cs="仿宋_GB2312"/>
          <w:color w:val="auto"/>
          <w:sz w:val="32"/>
          <w:szCs w:val="32"/>
        </w:rPr>
        <w:t>2024年度财政拨款收入、支出总计均为</w:t>
      </w:r>
      <w:r>
        <w:rPr>
          <w:rFonts w:hint="eastAsia" w:ascii="Times New Roman" w:hAnsi="仿宋_GB2312" w:eastAsia="仿宋" w:cs="仿宋_GB2312"/>
          <w:color w:val="auto"/>
          <w:sz w:val="32"/>
          <w:szCs w:val="32"/>
        </w:rPr>
        <w:t>2614.74</w:t>
      </w:r>
      <w:r>
        <w:rPr>
          <w:rFonts w:hint="eastAsia" w:ascii="Times New Roman" w:eastAsia="仿宋" w:cs="仿宋_GB2312"/>
          <w:color w:val="auto"/>
          <w:sz w:val="32"/>
          <w:szCs w:val="32"/>
        </w:rPr>
        <w:t>万元。与2023年度相比，（2</w:t>
      </w:r>
      <w:r>
        <w:rPr>
          <w:rFonts w:ascii="Times New Roman" w:eastAsia="仿宋" w:cs="仿宋_GB2312"/>
          <w:color w:val="auto"/>
          <w:sz w:val="32"/>
          <w:szCs w:val="32"/>
        </w:rPr>
        <w:t>023</w:t>
      </w:r>
      <w:r>
        <w:rPr>
          <w:rFonts w:hint="eastAsia" w:ascii="Times New Roman" w:eastAsia="仿宋" w:cs="仿宋_GB2312"/>
          <w:color w:val="auto"/>
          <w:sz w:val="32"/>
          <w:szCs w:val="32"/>
        </w:rPr>
        <w:t>年度为</w:t>
      </w:r>
      <w:r>
        <w:rPr>
          <w:rFonts w:ascii="Times New Roman" w:eastAsia="仿宋" w:cs="仿宋_GB2312"/>
          <w:color w:val="auto"/>
          <w:sz w:val="32"/>
          <w:szCs w:val="32"/>
        </w:rPr>
        <w:t>2895.54</w:t>
      </w:r>
      <w:r>
        <w:rPr>
          <w:rFonts w:hint="eastAsia" w:ascii="Times New Roman" w:eastAsia="仿宋" w:cs="仿宋_GB2312"/>
          <w:color w:val="auto"/>
          <w:sz w:val="32"/>
          <w:szCs w:val="32"/>
        </w:rPr>
        <w:t>万元）财政拨款收入总计、支出总计各减少280.8万元，下降</w:t>
      </w:r>
      <w:r>
        <w:rPr>
          <w:rFonts w:ascii="Times New Roman" w:eastAsia="仿宋" w:cs="仿宋_GB2312"/>
          <w:color w:val="auto"/>
          <w:sz w:val="32"/>
          <w:szCs w:val="32"/>
        </w:rPr>
        <w:t>9.7</w:t>
      </w:r>
      <w:r>
        <w:rPr>
          <w:rFonts w:hint="eastAsia" w:ascii="Times New Roman" w:eastAsia="仿宋" w:cs="仿宋_GB2312"/>
          <w:color w:val="auto"/>
          <w:sz w:val="32"/>
          <w:szCs w:val="32"/>
        </w:rPr>
        <w:t>%。主要变动原因是财政项目拨款收入减少280.8万元造成的。</w:t>
      </w:r>
    </w:p>
    <w:p w14:paraId="739C9865">
      <w:pPr>
        <w:pStyle w:val="27"/>
        <w:spacing w:line="600" w:lineRule="exact"/>
        <w:ind w:firstLine="640"/>
        <w:jc w:val="center"/>
        <w:outlineLvl w:val="9"/>
      </w:pPr>
      <w:r>
        <w:rPr>
          <w:rFonts w:hint="eastAsia" w:ascii="Times New Roman" w:eastAsia="仿宋" w:cs="仿宋_GB2312"/>
          <w:sz w:val="32"/>
          <w:szCs w:val="32"/>
        </w:rPr>
        <w:t>（图4：财政拨款收、支决算总计变动情况）</w:t>
      </w:r>
    </w:p>
    <w:p w14:paraId="2A78112E">
      <w:pPr>
        <w:pStyle w:val="27"/>
        <w:snapToGrid/>
        <w:spacing w:beforeAutospacing="0" w:afterAutospacing="0" w:line="360" w:lineRule="auto"/>
        <w:ind w:left="640" w:leftChars="0" w:right="0" w:rightChars="0" w:firstLine="0" w:firstLineChars="0"/>
        <w:jc w:val="both"/>
        <w:outlineLvl w:val="1"/>
        <w:rPr>
          <w:rFonts w:hint="eastAsia" w:ascii="Times New Roman" w:eastAsia="黑体"/>
          <w:b w:val="0"/>
          <w:sz w:val="32"/>
          <w:szCs w:val="32"/>
        </w:rPr>
      </w:pPr>
      <w:bookmarkStart w:id="51" w:name="_Toc13126"/>
      <w:bookmarkStart w:id="52" w:name="_Toc15396607"/>
      <w:bookmarkStart w:id="53" w:name="_Toc13240"/>
      <w:bookmarkStart w:id="54" w:name="_Toc8115"/>
      <w:bookmarkStart w:id="55" w:name="_Toc15377209"/>
      <w:r>
        <w:rPr>
          <w:rFonts w:hint="eastAsia" w:ascii="Times New Roman" w:eastAsia="黑体"/>
          <w:b w:val="0"/>
          <w:sz w:val="32"/>
          <w:szCs w:val="32"/>
        </w:rPr>
        <w:t>五、一般公共预算财政拨款支出决算情况说明</w:t>
      </w:r>
      <w:bookmarkEnd w:id="51"/>
      <w:bookmarkEnd w:id="52"/>
      <w:bookmarkEnd w:id="53"/>
      <w:bookmarkEnd w:id="54"/>
      <w:bookmarkEnd w:id="55"/>
    </w:p>
    <w:p w14:paraId="4D0E4584">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bookmarkStart w:id="56" w:name="_Toc15377210"/>
      <w:r>
        <w:rPr>
          <w:rFonts w:hint="eastAsia" w:ascii="楷体" w:eastAsia="楷体" w:cs="楷体_GB2312"/>
          <w:b w:val="0"/>
          <w:sz w:val="32"/>
          <w:szCs w:val="32"/>
        </w:rPr>
        <w:t>（一）一般公共预算财政拨款支出决算总体情况</w:t>
      </w:r>
      <w:bookmarkEnd w:id="56"/>
    </w:p>
    <w:p w14:paraId="6375E6C1">
      <w:pPr>
        <w:snapToGrid/>
        <w:spacing w:beforeAutospacing="0" w:afterAutospacing="0" w:line="360" w:lineRule="auto"/>
        <w:ind w:left="0" w:leftChars="0" w:right="0" w:rightChars="0" w:firstLine="640" w:firstLineChars="200"/>
        <w:jc w:val="both"/>
        <w:outlineLvl w:val="9"/>
        <w:rPr>
          <w:rFonts w:hint="eastAsia" w:ascii="Times New Roman" w:eastAsia="仿宋" w:cs="仿宋_GB2312"/>
          <w:sz w:val="32"/>
          <w:szCs w:val="32"/>
        </w:rPr>
      </w:pPr>
      <w:r>
        <w:rPr>
          <w:rFonts w:hint="eastAsia" w:ascii="Times New Roman" w:hAnsi="仿宋_GB2312" w:eastAsia="仿宋" w:cs="仿宋_GB2312"/>
          <w:sz w:val="32"/>
          <w:szCs w:val="32"/>
        </w:rPr>
        <w:t>2024年度一般公共预算财政拨款支出2614.74万元，占本年支出合计的37.39%。与2023年度相比，一般公共预算财政拨款支出减少</w:t>
      </w:r>
      <w:r>
        <w:rPr>
          <w:rFonts w:ascii="Times New Roman" w:hAnsi="仿宋_GB2312" w:eastAsia="仿宋" w:cs="仿宋_GB2312"/>
          <w:sz w:val="32"/>
          <w:szCs w:val="32"/>
        </w:rPr>
        <w:t>280.8</w:t>
      </w:r>
      <w:r>
        <w:rPr>
          <w:rFonts w:hint="eastAsia" w:ascii="Times New Roman" w:hAnsi="仿宋_GB2312" w:eastAsia="仿宋" w:cs="仿宋_GB2312"/>
          <w:sz w:val="32"/>
          <w:szCs w:val="32"/>
        </w:rPr>
        <w:t>万元，下降</w:t>
      </w:r>
      <w:r>
        <w:rPr>
          <w:rFonts w:ascii="Times New Roman" w:hAnsi="仿宋_GB2312" w:eastAsia="仿宋" w:cs="仿宋_GB2312"/>
          <w:sz w:val="32"/>
          <w:szCs w:val="32"/>
        </w:rPr>
        <w:t>9.7</w:t>
      </w:r>
      <w:r>
        <w:rPr>
          <w:rFonts w:hint="eastAsia" w:ascii="Times New Roman" w:hAnsi="仿宋_GB2312" w:eastAsia="仿宋" w:cs="仿宋_GB2312"/>
          <w:sz w:val="32"/>
          <w:szCs w:val="32"/>
        </w:rPr>
        <w:t>%。主要变动原因是</w:t>
      </w:r>
      <w:r>
        <w:rPr>
          <w:rFonts w:hint="eastAsia" w:ascii="Times New Roman" w:eastAsia="仿宋" w:cs="仿宋_GB2312"/>
          <w:sz w:val="32"/>
          <w:szCs w:val="32"/>
        </w:rPr>
        <w:t>财政项目拨款收入减少</w:t>
      </w:r>
      <w:r>
        <w:rPr>
          <w:rFonts w:ascii="Times New Roman" w:eastAsia="仿宋" w:cs="仿宋_GB2312"/>
          <w:sz w:val="32"/>
          <w:szCs w:val="32"/>
        </w:rPr>
        <w:t>280.8</w:t>
      </w:r>
      <w:r>
        <w:rPr>
          <w:rFonts w:hint="eastAsia" w:ascii="Times New Roman" w:eastAsia="仿宋" w:cs="仿宋_GB2312"/>
          <w:sz w:val="32"/>
          <w:szCs w:val="32"/>
        </w:rPr>
        <w:t>万元造成的。</w:t>
      </w:r>
    </w:p>
    <w:p w14:paraId="219EE05D">
      <w:pPr>
        <w:pStyle w:val="27"/>
        <w:spacing w:line="600" w:lineRule="exact"/>
        <w:ind w:firstLine="640"/>
        <w:jc w:val="right"/>
        <w:outlineLvl w:val="9"/>
      </w:pPr>
      <w:r>
        <w:rPr>
          <w:rFonts w:hint="eastAsia" w:ascii="仿宋_GB2312" w:hAnsi="Times New Roman" w:eastAsia="仿宋_GB2312" w:cs="Times New Roman"/>
          <w:kern w:val="2"/>
          <w:sz w:val="24"/>
          <w:szCs w:val="24"/>
          <w:lang w:val="en-US" w:eastAsia="zh-CN" w:bidi="ar-SA"/>
        </w:rPr>
        <w:t xml:space="preserve">  </w:t>
      </w:r>
      <w:bookmarkStart w:id="57" w:name="_Toc17895"/>
      <w:r>
        <w:rPr>
          <w:rFonts w:hint="eastAsia" w:ascii="仿宋_GB2312" w:hAnsi="Times New Roman" w:eastAsia="仿宋_GB2312" w:cs="Times New Roman"/>
          <w:kern w:val="2"/>
          <w:sz w:val="24"/>
          <w:szCs w:val="24"/>
          <w:lang w:val="en-US" w:eastAsia="zh-CN" w:bidi="ar-SA"/>
        </w:rPr>
        <w:t>单位：万元</w:t>
      </w:r>
      <w:bookmarkEnd w:id="57"/>
    </w:p>
    <w:p w14:paraId="7762048C">
      <w:pPr>
        <w:pStyle w:val="2"/>
        <w:ind w:left="0" w:leftChars="0" w:right="0" w:rightChars="0" w:firstLine="0" w:firstLineChars="0"/>
        <w:jc w:val="center"/>
        <w:outlineLvl w:val="9"/>
        <w:rPr>
          <w:rFonts w:hint="eastAsia" w:ascii="Times New Roman" w:eastAsia="仿宋"/>
          <w:sz w:val="32"/>
        </w:rPr>
      </w:pPr>
      <w:r>
        <w:rPr>
          <w:rFonts w:hint="eastAsia" w:ascii="Times New Roman" w:eastAsia="仿宋"/>
          <w:sz w:val="32"/>
        </w:rPr>
        <w:drawing>
          <wp:inline distT="0" distB="0" distL="0" distR="0">
            <wp:extent cx="4378960" cy="3091180"/>
            <wp:effectExtent l="4445" t="4445" r="17145" b="952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DCA5235">
      <w:pPr>
        <w:snapToGrid/>
        <w:spacing w:beforeAutospacing="0" w:afterAutospacing="0" w:line="360" w:lineRule="auto"/>
        <w:ind w:right="0" w:rightChars="0"/>
        <w:jc w:val="both"/>
        <w:outlineLvl w:val="9"/>
      </w:pPr>
      <w:r>
        <w:rPr>
          <w:rFonts w:hint="eastAsia" w:ascii="Times New Roman" w:eastAsia="仿宋" w:cs="仿宋_GB2312"/>
          <w:sz w:val="32"/>
          <w:szCs w:val="32"/>
        </w:rPr>
        <w:t>（图5：一般公共预算财政拨款支出决算变动情况）</w:t>
      </w:r>
    </w:p>
    <w:p w14:paraId="283BDCA5">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bookmarkStart w:id="58" w:name="_Toc15377211"/>
      <w:r>
        <w:rPr>
          <w:rFonts w:hint="eastAsia" w:ascii="楷体" w:eastAsia="楷体" w:cs="楷体_GB2312"/>
          <w:b w:val="0"/>
          <w:sz w:val="32"/>
          <w:szCs w:val="32"/>
        </w:rPr>
        <w:t>（二）一般公共预算财政拨款支出决算结构情况</w:t>
      </w:r>
      <w:bookmarkEnd w:id="58"/>
    </w:p>
    <w:p w14:paraId="7AA495B4">
      <w:pPr>
        <w:snapToGrid/>
        <w:spacing w:beforeAutospacing="0" w:afterAutospacing="0" w:line="360" w:lineRule="auto"/>
        <w:ind w:left="0" w:leftChars="0" w:right="0" w:rightChars="0" w:firstLine="640" w:firstLineChars="200"/>
        <w:jc w:val="both"/>
        <w:outlineLvl w:val="9"/>
        <w:rPr>
          <w:rFonts w:hint="eastAsia" w:ascii="Times New Roman" w:eastAsia="仿宋" w:cs="仿宋_GB2312"/>
          <w:sz w:val="32"/>
          <w:szCs w:val="32"/>
        </w:rPr>
      </w:pPr>
      <w:r>
        <w:rPr>
          <w:rFonts w:hint="eastAsia" w:ascii="Times New Roman" w:eastAsia="仿宋" w:cs="仿宋_GB2312"/>
          <w:sz w:val="32"/>
          <w:szCs w:val="32"/>
        </w:rPr>
        <w:t>2024年度一般公共预算财政拨款支出</w:t>
      </w:r>
      <w:r>
        <w:rPr>
          <w:rFonts w:hint="eastAsia" w:ascii="Times New Roman" w:hAnsi="仿宋_GB2312" w:eastAsia="仿宋" w:cs="仿宋_GB2312"/>
          <w:sz w:val="32"/>
          <w:szCs w:val="32"/>
        </w:rPr>
        <w:t>2614.74万元</w:t>
      </w:r>
      <w:r>
        <w:rPr>
          <w:rFonts w:hint="eastAsia" w:ascii="Times New Roman" w:eastAsia="仿宋" w:cs="仿宋_GB2312"/>
          <w:sz w:val="32"/>
          <w:szCs w:val="32"/>
        </w:rPr>
        <w:t>，主要用于以下方面：社会保障和就业支出5</w:t>
      </w:r>
      <w:r>
        <w:rPr>
          <w:rFonts w:ascii="Times New Roman" w:eastAsia="仿宋" w:cs="仿宋_GB2312"/>
          <w:sz w:val="32"/>
          <w:szCs w:val="32"/>
        </w:rPr>
        <w:t>97.44</w:t>
      </w:r>
      <w:r>
        <w:rPr>
          <w:rFonts w:hint="eastAsia" w:ascii="Times New Roman" w:eastAsia="仿宋" w:cs="仿宋_GB2312"/>
          <w:sz w:val="32"/>
          <w:szCs w:val="32"/>
        </w:rPr>
        <w:t>万元，占2</w:t>
      </w:r>
      <w:r>
        <w:rPr>
          <w:rFonts w:ascii="Times New Roman" w:eastAsia="仿宋" w:cs="仿宋_GB2312"/>
          <w:sz w:val="32"/>
          <w:szCs w:val="32"/>
        </w:rPr>
        <w:t>2.85</w:t>
      </w:r>
      <w:r>
        <w:rPr>
          <w:rFonts w:hint="eastAsia" w:ascii="Times New Roman" w:eastAsia="仿宋" w:cs="仿宋_GB2312"/>
          <w:sz w:val="32"/>
          <w:szCs w:val="32"/>
        </w:rPr>
        <w:t>%；卫生健康支出1</w:t>
      </w:r>
      <w:r>
        <w:rPr>
          <w:rFonts w:ascii="Times New Roman" w:eastAsia="仿宋" w:cs="仿宋_GB2312"/>
          <w:sz w:val="32"/>
          <w:szCs w:val="32"/>
        </w:rPr>
        <w:t>875.62</w:t>
      </w:r>
      <w:r>
        <w:rPr>
          <w:rFonts w:hint="eastAsia" w:ascii="Times New Roman" w:eastAsia="仿宋" w:cs="仿宋_GB2312"/>
          <w:sz w:val="32"/>
          <w:szCs w:val="32"/>
        </w:rPr>
        <w:t>万元，占7</w:t>
      </w:r>
      <w:r>
        <w:rPr>
          <w:rFonts w:ascii="Times New Roman" w:eastAsia="仿宋" w:cs="仿宋_GB2312"/>
          <w:sz w:val="32"/>
          <w:szCs w:val="32"/>
        </w:rPr>
        <w:t>1.73</w:t>
      </w:r>
      <w:r>
        <w:rPr>
          <w:rFonts w:hint="eastAsia" w:ascii="Times New Roman" w:eastAsia="仿宋" w:cs="仿宋_GB2312"/>
          <w:sz w:val="32"/>
          <w:szCs w:val="32"/>
        </w:rPr>
        <w:t>%；住房保障支出1</w:t>
      </w:r>
      <w:r>
        <w:rPr>
          <w:rFonts w:ascii="Times New Roman" w:eastAsia="仿宋" w:cs="仿宋_GB2312"/>
          <w:sz w:val="32"/>
          <w:szCs w:val="32"/>
        </w:rPr>
        <w:t>41.69</w:t>
      </w:r>
      <w:r>
        <w:rPr>
          <w:rFonts w:hint="eastAsia" w:ascii="Times New Roman" w:eastAsia="仿宋" w:cs="仿宋_GB2312"/>
          <w:sz w:val="32"/>
          <w:szCs w:val="32"/>
        </w:rPr>
        <w:t>万元，占5</w:t>
      </w:r>
      <w:r>
        <w:rPr>
          <w:rFonts w:ascii="Times New Roman" w:eastAsia="仿宋" w:cs="仿宋_GB2312"/>
          <w:sz w:val="32"/>
          <w:szCs w:val="32"/>
        </w:rPr>
        <w:t>.42</w:t>
      </w:r>
      <w:r>
        <w:rPr>
          <w:rFonts w:hint="eastAsia" w:ascii="Times New Roman" w:eastAsia="仿宋" w:cs="仿宋_GB2312"/>
          <w:sz w:val="32"/>
          <w:szCs w:val="32"/>
        </w:rPr>
        <w:t>%。</w:t>
      </w:r>
    </w:p>
    <w:p w14:paraId="1512865D">
      <w:pPr>
        <w:pStyle w:val="27"/>
        <w:spacing w:line="600" w:lineRule="exact"/>
        <w:ind w:firstLine="640"/>
        <w:jc w:val="right"/>
        <w:outlineLvl w:val="1"/>
        <w:rPr>
          <w:rFonts w:hint="eastAsia" w:ascii="仿宋_GB2312" w:hAnsi="Times New Roman" w:eastAsia="仿宋_GB2312" w:cs="Times New Roman"/>
          <w:kern w:val="2"/>
          <w:sz w:val="24"/>
          <w:szCs w:val="24"/>
          <w:lang w:val="en-US" w:eastAsia="zh-CN" w:bidi="ar-SA"/>
        </w:rPr>
      </w:pPr>
    </w:p>
    <w:p w14:paraId="7A7E303B">
      <w:pPr>
        <w:pStyle w:val="27"/>
        <w:spacing w:line="600" w:lineRule="exact"/>
        <w:ind w:firstLine="640"/>
        <w:jc w:val="right"/>
        <w:outlineLvl w:val="9"/>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 xml:space="preserve">  </w:t>
      </w:r>
      <w:bookmarkStart w:id="59" w:name="_Toc1999"/>
      <w:r>
        <w:rPr>
          <w:rFonts w:hint="eastAsia" w:ascii="仿宋_GB2312" w:hAnsi="Times New Roman" w:eastAsia="仿宋_GB2312" w:cs="Times New Roman"/>
          <w:kern w:val="2"/>
          <w:sz w:val="24"/>
          <w:szCs w:val="24"/>
          <w:lang w:val="en-US" w:eastAsia="zh-CN" w:bidi="ar-SA"/>
        </w:rPr>
        <w:t>单位：万元</w:t>
      </w:r>
      <w:bookmarkEnd w:id="59"/>
    </w:p>
    <w:p w14:paraId="41090B49">
      <w:pPr>
        <w:pStyle w:val="2"/>
      </w:pPr>
    </w:p>
    <w:p w14:paraId="1B7F841B">
      <w:pPr>
        <w:pStyle w:val="2"/>
        <w:ind w:left="0" w:leftChars="0" w:right="0" w:rightChars="0" w:firstLine="0" w:firstLineChars="0"/>
        <w:jc w:val="center"/>
        <w:outlineLvl w:val="9"/>
        <w:rPr>
          <w:rFonts w:ascii="Times New Roman" w:eastAsia="仿宋"/>
          <w:sz w:val="32"/>
        </w:rPr>
      </w:pPr>
      <w:r>
        <w:rPr>
          <w:rFonts w:hint="eastAsia" w:ascii="Times New Roman" w:eastAsia="仿宋"/>
          <w:sz w:val="32"/>
        </w:rPr>
        <w:drawing>
          <wp:inline distT="0" distB="0" distL="0" distR="0">
            <wp:extent cx="4114800" cy="2638425"/>
            <wp:effectExtent l="4445" t="4445" r="14605" b="508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6156E2F">
      <w:pPr>
        <w:snapToGrid/>
        <w:spacing w:beforeAutospacing="0" w:afterAutospacing="0" w:line="360" w:lineRule="auto"/>
        <w:ind w:left="0" w:leftChars="0" w:right="0" w:rightChars="0" w:firstLine="640" w:firstLineChars="200"/>
        <w:jc w:val="both"/>
        <w:outlineLvl w:val="9"/>
        <w:rPr>
          <w:rFonts w:hint="eastAsia" w:ascii="楷体" w:eastAsia="楷体" w:cs="楷体_GB2312"/>
          <w:b w:val="0"/>
          <w:sz w:val="32"/>
          <w:szCs w:val="32"/>
        </w:rPr>
      </w:pPr>
      <w:bookmarkStart w:id="60" w:name="_Toc15377212"/>
      <w:r>
        <w:rPr>
          <w:rFonts w:hint="eastAsia" w:ascii="Times New Roman" w:eastAsia="仿宋" w:cs="仿宋_GB2312"/>
          <w:sz w:val="32"/>
          <w:szCs w:val="32"/>
        </w:rPr>
        <w:t>（图6：一般公共预算财政拨款支出决算结构）</w:t>
      </w:r>
    </w:p>
    <w:p w14:paraId="55BBBDAF">
      <w:pPr>
        <w:snapToGrid/>
        <w:spacing w:beforeAutospacing="0" w:afterAutospacing="0" w:line="360" w:lineRule="auto"/>
        <w:ind w:left="0" w:leftChars="0" w:right="0" w:rightChars="0" w:firstLine="640" w:firstLineChars="200"/>
        <w:jc w:val="both"/>
        <w:outlineLvl w:val="9"/>
        <w:rPr>
          <w:rFonts w:hint="eastAsia" w:ascii="楷体" w:hAnsi="Times New Roman" w:eastAsia="楷体" w:cs="楷体_GB2312"/>
          <w:b w:val="0"/>
          <w:sz w:val="32"/>
          <w:szCs w:val="32"/>
        </w:rPr>
      </w:pPr>
      <w:r>
        <w:rPr>
          <w:rFonts w:hint="eastAsia" w:ascii="楷体" w:hAnsi="Times New Roman" w:eastAsia="楷体" w:cs="楷体_GB2312"/>
          <w:b w:val="0"/>
          <w:sz w:val="32"/>
          <w:szCs w:val="32"/>
        </w:rPr>
        <w:t>（三）一般公共预算财政拨款支出决算具体情况</w:t>
      </w:r>
      <w:bookmarkEnd w:id="60"/>
    </w:p>
    <w:p w14:paraId="6D138E2C">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bookmarkStart w:id="61" w:name="_Toc15377213"/>
      <w:bookmarkStart w:id="62" w:name="_Toc15377444"/>
      <w:bookmarkStart w:id="63" w:name="_Toc15378460"/>
      <w:r>
        <w:rPr>
          <w:rFonts w:hint="eastAsia" w:ascii="Times New Roman" w:eastAsia="仿宋" w:cs="仿宋_GB2312"/>
          <w:sz w:val="32"/>
          <w:szCs w:val="32"/>
        </w:rPr>
        <w:t>2024年度一般公共预算财政拨款支出决算数为</w:t>
      </w:r>
      <w:r>
        <w:rPr>
          <w:rFonts w:hint="eastAsia" w:ascii="Times New Roman" w:hAnsi="仿宋_GB2312" w:eastAsia="仿宋" w:cs="仿宋_GB2312"/>
          <w:sz w:val="32"/>
          <w:szCs w:val="32"/>
        </w:rPr>
        <w:t>2614.74万元，</w:t>
      </w:r>
      <w:r>
        <w:rPr>
          <w:rFonts w:hint="eastAsia" w:ascii="Times New Roman" w:eastAsia="仿宋" w:cs="仿宋_GB2312"/>
          <w:sz w:val="32"/>
          <w:szCs w:val="32"/>
        </w:rPr>
        <w:t>完成预算</w:t>
      </w:r>
      <w:r>
        <w:rPr>
          <w:rFonts w:ascii="Times New Roman" w:eastAsia="仿宋" w:cs="仿宋_GB2312"/>
          <w:sz w:val="32"/>
          <w:szCs w:val="32"/>
        </w:rPr>
        <w:t>100</w:t>
      </w:r>
      <w:r>
        <w:rPr>
          <w:rFonts w:hint="eastAsia" w:ascii="Times New Roman" w:eastAsia="仿宋" w:cs="仿宋_GB2312"/>
          <w:sz w:val="32"/>
          <w:szCs w:val="32"/>
        </w:rPr>
        <w:t>%</w:t>
      </w:r>
      <w:bookmarkEnd w:id="61"/>
      <w:bookmarkEnd w:id="62"/>
      <w:bookmarkEnd w:id="63"/>
      <w:r>
        <w:rPr>
          <w:rFonts w:hint="eastAsia" w:ascii="Times New Roman" w:eastAsia="仿宋" w:cs="仿宋_GB2312"/>
          <w:sz w:val="32"/>
          <w:szCs w:val="32"/>
        </w:rPr>
        <w:t>。</w:t>
      </w:r>
    </w:p>
    <w:p w14:paraId="6766FF29">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1.社会保障和就业支出（类)行政事业单位养老支出(款)事业单位离退休支出（项）：决算为 240.1万元，完成预算100%。</w:t>
      </w:r>
    </w:p>
    <w:p w14:paraId="1E483E1C">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2.社会保障和就业支出（类）行政事业单位养老支出（款）机关事业单位基本养老保险缴费支出（项）:决算为 188.43万元，完成预算100%。</w:t>
      </w:r>
    </w:p>
    <w:p w14:paraId="62A3733D">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3.社会保障和就业支出（类）行政事业单位养老支出（款）机关事业单位职业年金缴费支出（项）：决算为131.27万元，完成预算100%。</w:t>
      </w:r>
    </w:p>
    <w:p w14:paraId="7B129203">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4.社会保障和就业支出（类）抚恤（款）死亡抚恤支出（项）：决算为 33.84 万元，完成预算100%。</w:t>
      </w:r>
    </w:p>
    <w:p w14:paraId="51AAC18B">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5.社会保障和就业支出（类）抚恤（款）伤残抚恤支出（项）决算为  3.8万元，完成预算100%。</w:t>
      </w:r>
    </w:p>
    <w:p w14:paraId="3D29E12B">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6.卫生健康支出（类）公立医院（款）综合医院支出（项）决算为1222.62 万元，完成预算100%。</w:t>
      </w:r>
    </w:p>
    <w:p w14:paraId="1265EE1C">
      <w:pPr>
        <w:snapToGrid/>
        <w:spacing w:beforeAutospacing="0" w:afterAutospacing="0" w:line="360" w:lineRule="auto"/>
        <w:ind w:left="0" w:leftChars="0" w:right="0" w:rightChars="0" w:firstLine="640" w:firstLineChars="200"/>
        <w:jc w:val="both"/>
        <w:outlineLvl w:val="9"/>
        <w:rPr>
          <w:rFonts w:ascii="Times New Roman" w:eastAsia="仿宋"/>
          <w:sz w:val="32"/>
        </w:rPr>
      </w:pPr>
      <w:r>
        <w:rPr>
          <w:rFonts w:ascii="Times New Roman" w:eastAsia="仿宋"/>
          <w:sz w:val="32"/>
          <w:szCs w:val="32"/>
        </w:rPr>
        <w:t>7.卫生健康支出（类）公立医院（款）其他公立医院支出（项）决算为 224.94 万元，完成预算100%。</w:t>
      </w:r>
    </w:p>
    <w:p w14:paraId="55E33B71">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8.卫生健康支出（类）公共卫生（款）</w:t>
      </w:r>
      <w:r>
        <w:rPr>
          <w:rFonts w:hint="eastAsia" w:ascii="Times New Roman" w:eastAsia="仿宋"/>
          <w:sz w:val="32"/>
          <w:szCs w:val="32"/>
        </w:rPr>
        <w:t>基本</w:t>
      </w:r>
      <w:r>
        <w:rPr>
          <w:rFonts w:ascii="Times New Roman" w:eastAsia="仿宋"/>
          <w:sz w:val="32"/>
          <w:szCs w:val="32"/>
        </w:rPr>
        <w:t>公共卫生服务支出（项）决算为 4.48 万元，完成预算100%。</w:t>
      </w:r>
    </w:p>
    <w:p w14:paraId="4E7B4729">
      <w:pPr>
        <w:snapToGrid/>
        <w:spacing w:beforeAutospacing="0" w:afterAutospacing="0" w:line="360" w:lineRule="auto"/>
        <w:ind w:left="0" w:leftChars="0" w:right="0" w:rightChars="0" w:firstLine="640" w:firstLineChars="200"/>
        <w:jc w:val="both"/>
        <w:outlineLvl w:val="9"/>
        <w:rPr>
          <w:rFonts w:ascii="Times New Roman" w:eastAsia="仿宋"/>
          <w:sz w:val="32"/>
        </w:rPr>
      </w:pPr>
      <w:r>
        <w:rPr>
          <w:rFonts w:ascii="Times New Roman" w:eastAsia="仿宋"/>
          <w:sz w:val="32"/>
          <w:szCs w:val="32"/>
        </w:rPr>
        <w:t>9.卫生健康支出（类）公共卫生（款）重大公共卫生服务支出（项）决算为 51.94 万元，完成预算100%。</w:t>
      </w:r>
    </w:p>
    <w:p w14:paraId="62A4768E">
      <w:pPr>
        <w:pStyle w:val="3"/>
        <w:snapToGrid/>
        <w:spacing w:beforeAutospacing="0" w:after="0" w:afterAutospacing="0" w:line="360" w:lineRule="auto"/>
        <w:ind w:left="0" w:leftChars="0" w:right="0" w:rightChars="0" w:firstLine="640" w:firstLineChars="200"/>
        <w:jc w:val="both"/>
        <w:outlineLvl w:val="9"/>
        <w:rPr>
          <w:rFonts w:ascii="Times New Roman" w:eastAsia="仿宋"/>
          <w:sz w:val="32"/>
        </w:rPr>
      </w:pPr>
      <w:r>
        <w:rPr>
          <w:rFonts w:ascii="Times New Roman" w:eastAsia="仿宋"/>
          <w:sz w:val="32"/>
        </w:rPr>
        <w:t>10.卫生健康支出（类）公共卫生（款）</w:t>
      </w:r>
      <w:r>
        <w:rPr>
          <w:rFonts w:hint="eastAsia" w:ascii="Times New Roman" w:eastAsia="仿宋"/>
          <w:sz w:val="32"/>
        </w:rPr>
        <w:t>其他</w:t>
      </w:r>
      <w:r>
        <w:rPr>
          <w:rFonts w:ascii="Times New Roman" w:eastAsia="仿宋"/>
          <w:sz w:val="32"/>
        </w:rPr>
        <w:t>公共卫生服务支出（项）决算为 17.38 万元，完成预算100%</w:t>
      </w:r>
    </w:p>
    <w:p w14:paraId="5FCA1062">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11.卫生健康支出（类）行政事业单位医疗（款）事业单位医疗支出（项）决算为 93.16 万元，完成预算100%。</w:t>
      </w:r>
    </w:p>
    <w:p w14:paraId="416F6C31">
      <w:pPr>
        <w:snapToGrid/>
        <w:spacing w:beforeAutospacing="0" w:afterAutospacing="0" w:line="360" w:lineRule="auto"/>
        <w:ind w:left="0" w:leftChars="0" w:right="0" w:rightChars="0" w:firstLine="640" w:firstLineChars="200"/>
        <w:jc w:val="both"/>
        <w:outlineLvl w:val="9"/>
        <w:rPr>
          <w:rFonts w:ascii="Times New Roman" w:eastAsia="仿宋"/>
          <w:sz w:val="32"/>
        </w:rPr>
      </w:pPr>
      <w:r>
        <w:rPr>
          <w:rFonts w:ascii="Times New Roman" w:eastAsia="仿宋"/>
          <w:sz w:val="32"/>
          <w:szCs w:val="32"/>
        </w:rPr>
        <w:t>12</w:t>
      </w:r>
      <w:r>
        <w:rPr>
          <w:rFonts w:hint="eastAsia" w:ascii="Times New Roman" w:eastAsia="仿宋"/>
          <w:sz w:val="32"/>
          <w:szCs w:val="32"/>
        </w:rPr>
        <w:t>．</w:t>
      </w:r>
      <w:r>
        <w:rPr>
          <w:rFonts w:ascii="Times New Roman" w:eastAsia="仿宋"/>
          <w:sz w:val="32"/>
          <w:szCs w:val="32"/>
        </w:rPr>
        <w:t>卫生健康支出（类）行政事业单位医疗（款）其他行政事业单位医疗支出（项）决算为59.25万元，完成预算100%。</w:t>
      </w:r>
    </w:p>
    <w:p w14:paraId="1EECF83A">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13</w:t>
      </w:r>
      <w:r>
        <w:rPr>
          <w:rFonts w:hint="eastAsia" w:ascii="Times New Roman" w:eastAsia="仿宋"/>
          <w:sz w:val="32"/>
          <w:szCs w:val="32"/>
        </w:rPr>
        <w:t>．</w:t>
      </w:r>
      <w:r>
        <w:rPr>
          <w:rFonts w:ascii="Times New Roman" w:eastAsia="仿宋"/>
          <w:sz w:val="32"/>
          <w:szCs w:val="32"/>
        </w:rPr>
        <w:t>卫生健康支出（类）</w:t>
      </w:r>
      <w:r>
        <w:rPr>
          <w:rFonts w:hint="eastAsia" w:ascii="Times New Roman" w:eastAsia="仿宋"/>
          <w:sz w:val="32"/>
          <w:szCs w:val="32"/>
        </w:rPr>
        <w:t>中医药事务</w:t>
      </w:r>
      <w:r>
        <w:rPr>
          <w:rFonts w:ascii="Times New Roman" w:eastAsia="仿宋"/>
          <w:sz w:val="32"/>
          <w:szCs w:val="32"/>
        </w:rPr>
        <w:t>（款）其他</w:t>
      </w:r>
      <w:r>
        <w:rPr>
          <w:rFonts w:hint="eastAsia" w:ascii="Times New Roman" w:eastAsia="仿宋"/>
          <w:sz w:val="32"/>
          <w:szCs w:val="32"/>
        </w:rPr>
        <w:t>中医药事务</w:t>
      </w:r>
      <w:r>
        <w:rPr>
          <w:rFonts w:ascii="Times New Roman" w:eastAsia="仿宋"/>
          <w:sz w:val="32"/>
          <w:szCs w:val="32"/>
        </w:rPr>
        <w:t>支出（项）决算为16万元，完成预算100%。</w:t>
      </w:r>
    </w:p>
    <w:p w14:paraId="2F7D6E95">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14</w:t>
      </w:r>
      <w:r>
        <w:rPr>
          <w:rFonts w:hint="eastAsia" w:ascii="Times New Roman" w:eastAsia="仿宋"/>
          <w:sz w:val="32"/>
          <w:szCs w:val="32"/>
        </w:rPr>
        <w:t>．</w:t>
      </w:r>
      <w:r>
        <w:rPr>
          <w:rFonts w:ascii="Times New Roman" w:eastAsia="仿宋"/>
          <w:sz w:val="32"/>
          <w:szCs w:val="32"/>
        </w:rPr>
        <w:t>卫生健康支出（类)其他卫生健康支出(款)其他卫生健康支出(项）决算为 185.84 万元，完成预算100%。</w:t>
      </w:r>
    </w:p>
    <w:p w14:paraId="6D359E46">
      <w:pPr>
        <w:snapToGrid/>
        <w:spacing w:beforeAutospacing="0" w:afterAutospacing="0" w:line="360" w:lineRule="auto"/>
        <w:ind w:left="0" w:leftChars="0" w:right="0" w:rightChars="0" w:firstLine="640" w:firstLineChars="200"/>
        <w:jc w:val="both"/>
        <w:outlineLvl w:val="9"/>
        <w:rPr>
          <w:rFonts w:ascii="Times New Roman" w:eastAsia="仿宋"/>
          <w:sz w:val="32"/>
          <w:szCs w:val="32"/>
        </w:rPr>
      </w:pPr>
      <w:r>
        <w:rPr>
          <w:rFonts w:ascii="Times New Roman" w:eastAsia="仿宋"/>
          <w:sz w:val="32"/>
          <w:szCs w:val="32"/>
        </w:rPr>
        <w:t>15</w:t>
      </w:r>
      <w:r>
        <w:rPr>
          <w:rFonts w:hint="eastAsia" w:ascii="Times New Roman" w:eastAsia="仿宋"/>
          <w:sz w:val="32"/>
          <w:szCs w:val="32"/>
        </w:rPr>
        <w:t>．</w:t>
      </w:r>
      <w:r>
        <w:rPr>
          <w:rFonts w:ascii="Times New Roman" w:eastAsia="仿宋"/>
          <w:sz w:val="32"/>
          <w:szCs w:val="32"/>
        </w:rPr>
        <w:t>住房保障支出（类）住房改革支出（款）住房公积金支出（项）：决算为141.69万元，完成预算100%。</w:t>
      </w:r>
    </w:p>
    <w:p w14:paraId="405D0E11">
      <w:pPr>
        <w:tabs>
          <w:tab w:val="right" w:pos="8306"/>
        </w:tabs>
        <w:snapToGrid/>
        <w:spacing w:beforeAutospacing="0" w:afterAutospacing="0" w:line="360" w:lineRule="auto"/>
        <w:ind w:left="640" w:leftChars="0" w:right="0" w:rightChars="0" w:firstLine="0" w:firstLineChars="0"/>
        <w:jc w:val="both"/>
        <w:outlineLvl w:val="1"/>
        <w:rPr>
          <w:rStyle w:val="29"/>
          <w:rFonts w:ascii="Times New Roman" w:hAnsi="Times New Roman" w:eastAsia="黑体"/>
          <w:b w:val="0"/>
          <w:sz w:val="32"/>
        </w:rPr>
      </w:pPr>
      <w:bookmarkStart w:id="64" w:name="_Toc15396608"/>
      <w:bookmarkStart w:id="65" w:name="_Toc26814"/>
      <w:bookmarkStart w:id="66" w:name="_Toc13151"/>
      <w:bookmarkStart w:id="67" w:name="_Toc23425"/>
      <w:bookmarkStart w:id="68" w:name="_Toc15377214"/>
      <w:r>
        <w:rPr>
          <w:rFonts w:hint="eastAsia" w:ascii="Times New Roman" w:eastAsia="黑体"/>
          <w:b w:val="0"/>
          <w:sz w:val="32"/>
          <w:szCs w:val="32"/>
        </w:rPr>
        <w:t>六、一</w:t>
      </w:r>
      <w:r>
        <w:rPr>
          <w:rStyle w:val="29"/>
          <w:rFonts w:hint="eastAsia" w:ascii="Times New Roman" w:hAnsi="Times New Roman" w:eastAsia="黑体"/>
          <w:b w:val="0"/>
          <w:sz w:val="32"/>
        </w:rPr>
        <w:t>般公共预算财政拨款基本支出决算情况说明</w:t>
      </w:r>
      <w:bookmarkEnd w:id="64"/>
      <w:bookmarkEnd w:id="65"/>
      <w:bookmarkEnd w:id="66"/>
      <w:bookmarkEnd w:id="67"/>
      <w:bookmarkEnd w:id="68"/>
      <w:r>
        <w:rPr>
          <w:rStyle w:val="29"/>
          <w:rFonts w:ascii="Times New Roman" w:hAnsi="Times New Roman" w:eastAsia="黑体"/>
          <w:b w:val="0"/>
          <w:sz w:val="32"/>
        </w:rPr>
        <w:tab/>
      </w:r>
    </w:p>
    <w:p w14:paraId="7DC9C8B6">
      <w:pPr>
        <w:snapToGrid/>
        <w:spacing w:beforeAutospacing="0" w:afterAutospacing="0" w:line="360" w:lineRule="auto"/>
        <w:ind w:left="0" w:leftChars="0" w:right="0" w:rightChars="0" w:firstLine="640" w:firstLineChars="200"/>
        <w:jc w:val="both"/>
        <w:rPr>
          <w:rFonts w:ascii="Times New Roman" w:eastAsia="仿宋" w:cs="仿宋_GB2312"/>
          <w:sz w:val="32"/>
          <w:szCs w:val="32"/>
        </w:rPr>
      </w:pPr>
      <w:r>
        <w:rPr>
          <w:rFonts w:hint="eastAsia" w:ascii="Times New Roman" w:eastAsia="仿宋" w:cs="仿宋_GB2312"/>
          <w:sz w:val="32"/>
          <w:szCs w:val="32"/>
        </w:rPr>
        <w:t>2024年度一般公共预算财政拨款基本支出</w:t>
      </w:r>
      <w:r>
        <w:rPr>
          <w:rFonts w:hint="eastAsia" w:ascii="Times New Roman" w:hAnsi="仿宋_GB2312" w:eastAsia="仿宋" w:cs="仿宋_GB2312"/>
          <w:sz w:val="32"/>
          <w:szCs w:val="32"/>
        </w:rPr>
        <w:t>2114.15万</w:t>
      </w:r>
      <w:r>
        <w:rPr>
          <w:rFonts w:hint="eastAsia" w:ascii="Times New Roman" w:eastAsia="仿宋" w:cs="仿宋_GB2312"/>
          <w:sz w:val="32"/>
          <w:szCs w:val="32"/>
        </w:rPr>
        <w:t>元，其中：</w:t>
      </w:r>
    </w:p>
    <w:p w14:paraId="5A0581BC">
      <w:pPr>
        <w:snapToGrid/>
        <w:spacing w:beforeAutospacing="0" w:afterAutospacing="0" w:line="360" w:lineRule="auto"/>
        <w:ind w:left="0" w:leftChars="0" w:right="0" w:rightChars="0" w:firstLine="640" w:firstLineChars="200"/>
        <w:jc w:val="both"/>
        <w:rPr>
          <w:rFonts w:hint="eastAsia" w:ascii="Times New Roman" w:eastAsia="仿宋" w:cs="仿宋_GB2312"/>
          <w:sz w:val="32"/>
          <w:szCs w:val="32"/>
          <w:lang w:eastAsia="zh-CN"/>
        </w:rPr>
      </w:pPr>
      <w:r>
        <w:rPr>
          <w:rFonts w:hint="eastAsia" w:ascii="Times New Roman" w:eastAsia="仿宋" w:cs="仿宋_GB2312"/>
          <w:sz w:val="32"/>
          <w:szCs w:val="32"/>
        </w:rPr>
        <w:t>人员经费</w:t>
      </w:r>
      <w:r>
        <w:rPr>
          <w:rFonts w:hint="eastAsia" w:ascii="Times New Roman" w:hAnsi="仿宋_GB2312" w:eastAsia="仿宋" w:cs="仿宋_GB2312"/>
          <w:sz w:val="32"/>
          <w:szCs w:val="32"/>
        </w:rPr>
        <w:t>2101.44万</w:t>
      </w:r>
      <w:r>
        <w:rPr>
          <w:rFonts w:hint="eastAsia" w:ascii="Times New Roman" w:eastAsia="仿宋" w:cs="仿宋_GB2312"/>
          <w:sz w:val="32"/>
          <w:szCs w:val="32"/>
        </w:rPr>
        <w:t>元，主要包括：基本工资、津贴补贴、绩效工资、机关事业单位基本养老保险缴费、职业年金缴费、职工基本医疗保险缴费、公务员医疗补助缴费、其他社会保障缴费、住房公积金、医疗费、医疗费补助、其他对个人和家庭的补助支出、抚恤金、生活补助、奖励金。</w:t>
      </w:r>
    </w:p>
    <w:p w14:paraId="1252FDF4">
      <w:pPr>
        <w:snapToGrid/>
        <w:spacing w:beforeAutospacing="0" w:afterAutospacing="0" w:line="360" w:lineRule="auto"/>
        <w:ind w:left="0" w:leftChars="0" w:right="0" w:rightChars="0" w:firstLine="640" w:firstLineChars="200"/>
        <w:jc w:val="both"/>
        <w:rPr>
          <w:rFonts w:ascii="Times New Roman" w:eastAsia="仿宋" w:cs="仿宋_GB2312"/>
          <w:sz w:val="32"/>
          <w:szCs w:val="32"/>
        </w:rPr>
      </w:pPr>
      <w:r>
        <w:rPr>
          <w:rFonts w:hint="eastAsia" w:ascii="Times New Roman" w:eastAsia="仿宋" w:cs="仿宋_GB2312"/>
          <w:sz w:val="32"/>
          <w:szCs w:val="32"/>
        </w:rPr>
        <w:t>公用经费</w:t>
      </w:r>
      <w:r>
        <w:rPr>
          <w:rFonts w:hint="eastAsia" w:ascii="Times New Roman" w:hAnsi="仿宋_GB2312" w:eastAsia="仿宋" w:cs="仿宋_GB2312"/>
          <w:sz w:val="32"/>
          <w:szCs w:val="32"/>
        </w:rPr>
        <w:t>12.71万</w:t>
      </w:r>
      <w:r>
        <w:rPr>
          <w:rFonts w:hint="eastAsia" w:ascii="Times New Roman" w:eastAsia="仿宋" w:cs="仿宋_GB2312"/>
          <w:sz w:val="32"/>
          <w:szCs w:val="32"/>
        </w:rPr>
        <w:t>元，主要包括：办公费、印刷费、差旅费、维修（护）费、培训费、福利费、其他交通费。</w:t>
      </w:r>
    </w:p>
    <w:p w14:paraId="2BB6BEBB">
      <w:pPr>
        <w:snapToGrid/>
        <w:spacing w:beforeAutospacing="0" w:afterAutospacing="0" w:line="360" w:lineRule="auto"/>
        <w:ind w:left="640" w:leftChars="0" w:right="0" w:rightChars="0" w:firstLine="0" w:firstLineChars="0"/>
        <w:jc w:val="both"/>
        <w:outlineLvl w:val="1"/>
        <w:rPr>
          <w:rStyle w:val="29"/>
          <w:rFonts w:ascii="Times New Roman" w:hAnsi="Times New Roman" w:eastAsia="黑体"/>
          <w:b w:val="0"/>
          <w:sz w:val="32"/>
        </w:rPr>
      </w:pPr>
      <w:bookmarkStart w:id="69" w:name="_Toc15396609"/>
      <w:bookmarkStart w:id="70" w:name="_Toc15377215"/>
      <w:bookmarkStart w:id="71" w:name="_Toc17776"/>
      <w:bookmarkStart w:id="72" w:name="_Toc30613"/>
      <w:bookmarkStart w:id="73" w:name="_Toc23755"/>
      <w:r>
        <w:rPr>
          <w:rFonts w:hint="eastAsia" w:ascii="Times New Roman" w:eastAsia="黑体"/>
          <w:b w:val="0"/>
          <w:sz w:val="32"/>
          <w:szCs w:val="32"/>
        </w:rPr>
        <w:t>七、</w:t>
      </w:r>
      <w:r>
        <w:rPr>
          <w:rStyle w:val="29"/>
          <w:rFonts w:hint="eastAsia" w:ascii="Times New Roman" w:hAnsi="Times New Roman" w:eastAsia="黑体"/>
          <w:b w:val="0"/>
          <w:sz w:val="32"/>
        </w:rPr>
        <w:t>财政拨款“三公”经费支出决算情况说明</w:t>
      </w:r>
      <w:bookmarkEnd w:id="69"/>
      <w:bookmarkEnd w:id="70"/>
      <w:bookmarkEnd w:id="71"/>
      <w:bookmarkEnd w:id="72"/>
      <w:bookmarkEnd w:id="73"/>
    </w:p>
    <w:p w14:paraId="03D72DBD">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bookmarkStart w:id="74" w:name="_Toc15377216"/>
      <w:r>
        <w:rPr>
          <w:rFonts w:hint="eastAsia" w:ascii="楷体" w:eastAsia="楷体" w:cs="楷体_GB2312"/>
          <w:b w:val="0"/>
          <w:sz w:val="32"/>
          <w:szCs w:val="32"/>
        </w:rPr>
        <w:t>（一）“三公”经费财政拨款支出决算总体情况说明</w:t>
      </w:r>
      <w:bookmarkEnd w:id="74"/>
    </w:p>
    <w:p w14:paraId="5A2260AC">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r>
        <w:rPr>
          <w:rFonts w:hint="eastAsia" w:ascii="Times New Roman" w:eastAsia="仿宋" w:cs="仿宋_GB2312"/>
          <w:sz w:val="32"/>
          <w:szCs w:val="32"/>
        </w:rPr>
        <w:t>2024年度“三公”经费财政拨款支出决算为</w:t>
      </w:r>
      <w:r>
        <w:rPr>
          <w:rFonts w:hint="eastAsia" w:ascii="Times New Roman" w:hAnsi="仿宋_GB2312" w:eastAsia="仿宋" w:cs="仿宋_GB2312"/>
          <w:sz w:val="32"/>
          <w:szCs w:val="32"/>
        </w:rPr>
        <w:t>0万元，完成预算0%，</w:t>
      </w:r>
      <w:r>
        <w:rPr>
          <w:rFonts w:hint="eastAsia" w:ascii="Times New Roman" w:eastAsia="仿宋" w:cs="仿宋_GB2312"/>
          <w:sz w:val="32"/>
          <w:szCs w:val="32"/>
        </w:rPr>
        <w:t>较上年度增加</w:t>
      </w:r>
      <w:r>
        <w:rPr>
          <w:rFonts w:ascii="Times New Roman" w:eastAsia="仿宋" w:cs="仿宋_GB2312"/>
          <w:sz w:val="32"/>
          <w:szCs w:val="32"/>
        </w:rPr>
        <w:t>0</w:t>
      </w:r>
      <w:r>
        <w:rPr>
          <w:rFonts w:hint="eastAsia" w:ascii="Times New Roman" w:eastAsia="仿宋" w:cs="仿宋_GB2312"/>
          <w:sz w:val="32"/>
          <w:szCs w:val="32"/>
        </w:rPr>
        <w:t>万元，增长</w:t>
      </w:r>
      <w:r>
        <w:rPr>
          <w:rFonts w:ascii="Times New Roman" w:eastAsia="仿宋" w:cs="仿宋_GB2312"/>
          <w:sz w:val="32"/>
          <w:szCs w:val="32"/>
        </w:rPr>
        <w:t>0</w:t>
      </w:r>
      <w:r>
        <w:rPr>
          <w:rFonts w:hint="eastAsia" w:ascii="Times New Roman" w:eastAsia="仿宋" w:cs="仿宋_GB2312"/>
          <w:sz w:val="32"/>
          <w:szCs w:val="32"/>
        </w:rPr>
        <w:t>%。决算数与预算数持平。</w:t>
      </w:r>
    </w:p>
    <w:p w14:paraId="52233694">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bookmarkStart w:id="75" w:name="_Toc15377217"/>
      <w:r>
        <w:rPr>
          <w:rFonts w:hint="eastAsia" w:ascii="楷体" w:eastAsia="楷体" w:cs="楷体_GB2312"/>
          <w:b w:val="0"/>
          <w:sz w:val="32"/>
          <w:szCs w:val="32"/>
        </w:rPr>
        <w:t>（二）“三公”经费财政拨款支出决算具体情况说明</w:t>
      </w:r>
      <w:bookmarkEnd w:id="75"/>
    </w:p>
    <w:p w14:paraId="37056D74">
      <w:pPr>
        <w:snapToGrid/>
        <w:spacing w:beforeAutospacing="0" w:afterAutospacing="0" w:line="360" w:lineRule="auto"/>
        <w:ind w:left="0" w:leftChars="0" w:right="0" w:rightChars="0" w:firstLine="640" w:firstLineChars="200"/>
        <w:jc w:val="both"/>
        <w:outlineLvl w:val="9"/>
        <w:rPr>
          <w:rFonts w:ascii="Times New Roman" w:hAnsi="仿宋_GB2312" w:eastAsia="仿宋" w:cs="仿宋_GB2312"/>
          <w:sz w:val="32"/>
          <w:szCs w:val="32"/>
        </w:rPr>
      </w:pPr>
      <w:r>
        <w:rPr>
          <w:rFonts w:hint="eastAsia" w:ascii="Times New Roman" w:hAnsi="仿宋_GB2312" w:eastAsia="仿宋" w:cs="仿宋_GB2312"/>
          <w:sz w:val="32"/>
          <w:szCs w:val="32"/>
        </w:rPr>
        <w:t>2024年度“三公”经费财政拨款支出决算中，因公出国（境）费支出决算0万元，占0%；公务用车购置及运行维护费支出决算0万元，占</w:t>
      </w:r>
      <w:r>
        <w:rPr>
          <w:rFonts w:ascii="Times New Roman" w:hAnsi="仿宋_GB2312" w:eastAsia="仿宋" w:cs="仿宋_GB2312"/>
          <w:sz w:val="32"/>
          <w:szCs w:val="32"/>
        </w:rPr>
        <w:t>0</w:t>
      </w:r>
      <w:r>
        <w:rPr>
          <w:rFonts w:hint="eastAsia" w:ascii="Times New Roman" w:hAnsi="仿宋_GB2312" w:eastAsia="仿宋" w:cs="仿宋_GB2312"/>
          <w:sz w:val="32"/>
          <w:szCs w:val="32"/>
        </w:rPr>
        <w:t>%；公务接待费支出决算0万元，占0%。具体情况如下：</w:t>
      </w:r>
    </w:p>
    <w:p w14:paraId="711BC772">
      <w:pPr>
        <w:snapToGrid/>
        <w:spacing w:beforeAutospacing="0" w:afterAutospacing="0" w:line="360" w:lineRule="auto"/>
        <w:ind w:left="0" w:leftChars="0" w:right="0" w:rightChars="0" w:firstLine="643" w:firstLineChars="200"/>
        <w:jc w:val="both"/>
        <w:outlineLvl w:val="9"/>
        <w:rPr>
          <w:rFonts w:ascii="Times New Roman" w:eastAsia="仿宋" w:cs="仿宋_GB2312"/>
          <w:sz w:val="32"/>
          <w:szCs w:val="32"/>
        </w:rPr>
      </w:pPr>
      <w:r>
        <w:rPr>
          <w:rFonts w:hint="eastAsia" w:ascii="Times New Roman" w:eastAsia="仿宋" w:cs="仿宋_GB2312"/>
          <w:b/>
          <w:bCs/>
          <w:sz w:val="32"/>
          <w:szCs w:val="32"/>
        </w:rPr>
        <w:t>1.因公出国（境）经费</w:t>
      </w:r>
      <w:r>
        <w:rPr>
          <w:rFonts w:hint="eastAsia" w:ascii="Times New Roman" w:eastAsia="仿宋" w:cs="仿宋_GB2312"/>
          <w:sz w:val="32"/>
          <w:szCs w:val="32"/>
        </w:rPr>
        <w:t>支出0万元，完成预算0%。全年安排因公出国（境）团</w:t>
      </w:r>
      <w:r>
        <w:rPr>
          <w:rFonts w:hint="eastAsia" w:ascii="Times New Roman" w:hAnsi="仿宋_GB2312" w:eastAsia="仿宋" w:cs="仿宋_GB2312"/>
          <w:sz w:val="32"/>
          <w:szCs w:val="32"/>
        </w:rPr>
        <w:t>组0</w:t>
      </w:r>
      <w:r>
        <w:rPr>
          <w:rFonts w:hint="eastAsia" w:ascii="Times New Roman" w:eastAsia="仿宋" w:cs="仿宋_GB2312"/>
          <w:sz w:val="32"/>
          <w:szCs w:val="32"/>
        </w:rPr>
        <w:t>次，出国（境）</w:t>
      </w:r>
      <w:r>
        <w:rPr>
          <w:rFonts w:hint="eastAsia" w:ascii="Times New Roman" w:hAnsi="仿宋_GB2312" w:eastAsia="仿宋" w:cs="仿宋_GB2312"/>
          <w:sz w:val="32"/>
          <w:szCs w:val="32"/>
        </w:rPr>
        <w:t>0人</w:t>
      </w:r>
      <w:r>
        <w:rPr>
          <w:rFonts w:hint="eastAsia" w:ascii="Times New Roman" w:eastAsia="仿宋" w:cs="仿宋_GB2312"/>
          <w:sz w:val="32"/>
          <w:szCs w:val="32"/>
        </w:rPr>
        <w:t>。因公出国（境）支出决算比2023年增加/减少</w:t>
      </w:r>
      <w:r>
        <w:rPr>
          <w:rFonts w:ascii="Times New Roman" w:eastAsia="仿宋" w:cs="仿宋_GB2312"/>
          <w:sz w:val="32"/>
          <w:szCs w:val="32"/>
        </w:rPr>
        <w:t>0</w:t>
      </w:r>
      <w:r>
        <w:rPr>
          <w:rFonts w:hint="eastAsia" w:ascii="Times New Roman" w:eastAsia="仿宋" w:cs="仿宋_GB2312"/>
          <w:sz w:val="32"/>
          <w:szCs w:val="32"/>
        </w:rPr>
        <w:t>万元，增长</w:t>
      </w:r>
      <w:r>
        <w:rPr>
          <w:rFonts w:ascii="Times New Roman" w:eastAsia="仿宋" w:cs="仿宋_GB2312"/>
          <w:sz w:val="32"/>
          <w:szCs w:val="32"/>
        </w:rPr>
        <w:t>0</w:t>
      </w:r>
      <w:r>
        <w:rPr>
          <w:rFonts w:hint="eastAsia" w:ascii="Times New Roman" w:eastAsia="仿宋" w:cs="仿宋_GB2312"/>
          <w:sz w:val="32"/>
          <w:szCs w:val="32"/>
        </w:rPr>
        <w:t>%。</w:t>
      </w:r>
    </w:p>
    <w:p w14:paraId="3217F37E">
      <w:pPr>
        <w:snapToGrid/>
        <w:spacing w:beforeAutospacing="0" w:afterAutospacing="0" w:line="360" w:lineRule="auto"/>
        <w:ind w:left="0" w:leftChars="0" w:right="0" w:rightChars="0" w:firstLine="643" w:firstLineChars="200"/>
        <w:jc w:val="both"/>
        <w:outlineLvl w:val="9"/>
        <w:rPr>
          <w:rFonts w:ascii="Times New Roman" w:eastAsia="仿宋" w:cs="仿宋_GB2312"/>
          <w:sz w:val="32"/>
          <w:szCs w:val="32"/>
        </w:rPr>
      </w:pPr>
      <w:r>
        <w:rPr>
          <w:rFonts w:hint="eastAsia" w:ascii="Times New Roman" w:eastAsia="仿宋" w:cs="仿宋_GB2312"/>
          <w:b/>
          <w:bCs/>
          <w:sz w:val="32"/>
          <w:szCs w:val="32"/>
        </w:rPr>
        <w:t>2.公务用车购置及运行维护费</w:t>
      </w:r>
      <w:r>
        <w:rPr>
          <w:rFonts w:hint="eastAsia" w:ascii="Times New Roman" w:eastAsia="仿宋" w:cs="仿宋_GB2312"/>
          <w:sz w:val="32"/>
          <w:szCs w:val="32"/>
        </w:rPr>
        <w:t>支出0万元，完成预算0%。公务用车购置及运行维护费支出决算比2023年度增加</w:t>
      </w:r>
      <w:r>
        <w:rPr>
          <w:rFonts w:ascii="Times New Roman" w:eastAsia="仿宋" w:cs="仿宋_GB2312"/>
          <w:sz w:val="32"/>
          <w:szCs w:val="32"/>
        </w:rPr>
        <w:t>0</w:t>
      </w:r>
      <w:r>
        <w:rPr>
          <w:rFonts w:hint="eastAsia" w:ascii="Times New Roman" w:eastAsia="仿宋" w:cs="仿宋_GB2312"/>
          <w:sz w:val="32"/>
          <w:szCs w:val="32"/>
        </w:rPr>
        <w:t>万元。增长</w:t>
      </w:r>
      <w:r>
        <w:rPr>
          <w:rFonts w:ascii="Times New Roman" w:eastAsia="仿宋" w:cs="仿宋_GB2312"/>
          <w:sz w:val="32"/>
          <w:szCs w:val="32"/>
        </w:rPr>
        <w:t>0</w:t>
      </w:r>
      <w:r>
        <w:rPr>
          <w:rFonts w:hint="eastAsia" w:ascii="Times New Roman" w:eastAsia="仿宋" w:cs="仿宋_GB2312"/>
          <w:sz w:val="32"/>
          <w:szCs w:val="32"/>
        </w:rPr>
        <w:t>%。</w:t>
      </w:r>
    </w:p>
    <w:p w14:paraId="3103199D">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r>
        <w:rPr>
          <w:rFonts w:hint="eastAsia" w:ascii="Times New Roman" w:eastAsia="仿宋" w:cs="仿宋_GB2312"/>
          <w:sz w:val="32"/>
          <w:szCs w:val="32"/>
        </w:rPr>
        <w:t>其中：公务用车购置支</w:t>
      </w:r>
      <w:r>
        <w:rPr>
          <w:rFonts w:hint="eastAsia" w:ascii="Times New Roman" w:hAnsi="仿宋_GB2312" w:eastAsia="仿宋" w:cs="仿宋_GB2312"/>
          <w:sz w:val="32"/>
          <w:szCs w:val="32"/>
        </w:rPr>
        <w:t>出0</w:t>
      </w:r>
      <w:r>
        <w:rPr>
          <w:rFonts w:hint="eastAsia" w:ascii="Times New Roman" w:eastAsia="仿宋" w:cs="仿宋_GB2312"/>
          <w:sz w:val="32"/>
          <w:szCs w:val="32"/>
        </w:rPr>
        <w:t>万元。全年按规定更新购置公务用车0辆，其中：轿车</w:t>
      </w:r>
      <w:r>
        <w:rPr>
          <w:rFonts w:ascii="Times New Roman" w:eastAsia="仿宋" w:cs="仿宋_GB2312"/>
          <w:sz w:val="32"/>
          <w:szCs w:val="32"/>
        </w:rPr>
        <w:t>0</w:t>
      </w:r>
      <w:r>
        <w:rPr>
          <w:rFonts w:hint="eastAsia" w:ascii="Times New Roman" w:eastAsia="仿宋" w:cs="仿宋_GB2312"/>
          <w:sz w:val="32"/>
          <w:szCs w:val="32"/>
        </w:rPr>
        <w:t>辆、金额0万元，越野车</w:t>
      </w:r>
      <w:r>
        <w:rPr>
          <w:rFonts w:ascii="Times New Roman" w:eastAsia="仿宋" w:cs="仿宋_GB2312"/>
          <w:sz w:val="32"/>
          <w:szCs w:val="32"/>
        </w:rPr>
        <w:t>0</w:t>
      </w:r>
      <w:r>
        <w:rPr>
          <w:rFonts w:hint="eastAsia" w:ascii="Times New Roman" w:eastAsia="仿宋" w:cs="仿宋_GB2312"/>
          <w:sz w:val="32"/>
          <w:szCs w:val="32"/>
        </w:rPr>
        <w:t>辆、金额</w:t>
      </w:r>
      <w:r>
        <w:rPr>
          <w:rFonts w:ascii="Times New Roman" w:eastAsia="仿宋" w:cs="仿宋_GB2312"/>
          <w:sz w:val="32"/>
          <w:szCs w:val="32"/>
        </w:rPr>
        <w:t>0</w:t>
      </w:r>
      <w:r>
        <w:rPr>
          <w:rFonts w:hint="eastAsia" w:ascii="Times New Roman" w:eastAsia="仿宋" w:cs="仿宋_GB2312"/>
          <w:sz w:val="32"/>
          <w:szCs w:val="32"/>
        </w:rPr>
        <w:t>万元，载客汽车</w:t>
      </w:r>
      <w:r>
        <w:rPr>
          <w:rFonts w:ascii="Times New Roman" w:eastAsia="仿宋" w:cs="仿宋_GB2312"/>
          <w:sz w:val="32"/>
          <w:szCs w:val="32"/>
        </w:rPr>
        <w:t>0</w:t>
      </w:r>
      <w:r>
        <w:rPr>
          <w:rFonts w:hint="eastAsia" w:ascii="Times New Roman" w:eastAsia="仿宋" w:cs="仿宋_GB2312"/>
          <w:sz w:val="32"/>
          <w:szCs w:val="32"/>
        </w:rPr>
        <w:t>辆、金额</w:t>
      </w:r>
      <w:r>
        <w:rPr>
          <w:rFonts w:ascii="Times New Roman" w:eastAsia="仿宋" w:cs="仿宋_GB2312"/>
          <w:sz w:val="32"/>
          <w:szCs w:val="32"/>
        </w:rPr>
        <w:t>0</w:t>
      </w:r>
      <w:r>
        <w:rPr>
          <w:rFonts w:hint="eastAsia" w:ascii="Times New Roman" w:eastAsia="仿宋" w:cs="仿宋_GB2312"/>
          <w:sz w:val="32"/>
          <w:szCs w:val="32"/>
        </w:rPr>
        <w:t>万元。截至2024年12月31日，单位共有公务用车</w:t>
      </w:r>
      <w:r>
        <w:rPr>
          <w:rFonts w:ascii="Times New Roman" w:eastAsia="仿宋" w:cs="仿宋_GB2312"/>
          <w:sz w:val="32"/>
          <w:szCs w:val="32"/>
        </w:rPr>
        <w:t>6</w:t>
      </w:r>
      <w:r>
        <w:rPr>
          <w:rFonts w:hint="eastAsia" w:ascii="Times New Roman" w:eastAsia="仿宋" w:cs="仿宋_GB2312"/>
          <w:sz w:val="32"/>
          <w:szCs w:val="32"/>
        </w:rPr>
        <w:t>辆，其中：轿车</w:t>
      </w:r>
      <w:r>
        <w:rPr>
          <w:rFonts w:ascii="Times New Roman" w:eastAsia="仿宋" w:cs="仿宋_GB2312"/>
          <w:sz w:val="32"/>
          <w:szCs w:val="32"/>
        </w:rPr>
        <w:t>0</w:t>
      </w:r>
      <w:r>
        <w:rPr>
          <w:rFonts w:hint="eastAsia" w:ascii="Times New Roman" w:eastAsia="仿宋" w:cs="仿宋_GB2312"/>
          <w:sz w:val="32"/>
          <w:szCs w:val="32"/>
        </w:rPr>
        <w:t>辆、越野车</w:t>
      </w:r>
      <w:r>
        <w:rPr>
          <w:rFonts w:ascii="Times New Roman" w:eastAsia="仿宋" w:cs="仿宋_GB2312"/>
          <w:sz w:val="32"/>
          <w:szCs w:val="32"/>
        </w:rPr>
        <w:t>0</w:t>
      </w:r>
      <w:r>
        <w:rPr>
          <w:rFonts w:hint="eastAsia" w:ascii="Times New Roman" w:eastAsia="仿宋" w:cs="仿宋_GB2312"/>
          <w:sz w:val="32"/>
          <w:szCs w:val="32"/>
        </w:rPr>
        <w:t>辆、小型载客汽车1辆，其他车型5辆。</w:t>
      </w:r>
    </w:p>
    <w:p w14:paraId="2C9D3E49">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r>
        <w:rPr>
          <w:rFonts w:hint="eastAsia" w:ascii="Times New Roman" w:eastAsia="仿宋" w:cs="仿宋_GB2312"/>
          <w:sz w:val="32"/>
          <w:szCs w:val="32"/>
        </w:rPr>
        <w:t>公务用车运行维护费支</w:t>
      </w:r>
      <w:r>
        <w:rPr>
          <w:rFonts w:hint="eastAsia" w:ascii="Times New Roman" w:hAnsi="仿宋_GB2312" w:eastAsia="仿宋" w:cs="仿宋_GB2312"/>
          <w:sz w:val="32"/>
          <w:szCs w:val="32"/>
        </w:rPr>
        <w:t>出0</w:t>
      </w:r>
      <w:r>
        <w:rPr>
          <w:rFonts w:hint="eastAsia" w:ascii="Times New Roman" w:eastAsia="仿宋" w:cs="仿宋_GB2312"/>
          <w:sz w:val="32"/>
          <w:szCs w:val="32"/>
        </w:rPr>
        <w:t>万元。与2</w:t>
      </w:r>
      <w:r>
        <w:rPr>
          <w:rFonts w:ascii="Times New Roman" w:eastAsia="仿宋" w:cs="仿宋_GB2312"/>
          <w:sz w:val="32"/>
          <w:szCs w:val="32"/>
        </w:rPr>
        <w:t>023</w:t>
      </w:r>
      <w:r>
        <w:rPr>
          <w:rFonts w:hint="eastAsia" w:ascii="Times New Roman" w:eastAsia="仿宋" w:cs="仿宋_GB2312"/>
          <w:sz w:val="32"/>
          <w:szCs w:val="32"/>
        </w:rPr>
        <w:t>年相比无变动情况。</w:t>
      </w:r>
    </w:p>
    <w:p w14:paraId="29CAAED0">
      <w:pPr>
        <w:snapToGrid/>
        <w:spacing w:beforeAutospacing="0" w:afterAutospacing="0" w:line="360" w:lineRule="auto"/>
        <w:ind w:left="0" w:leftChars="0" w:right="0" w:rightChars="0" w:firstLine="643" w:firstLineChars="200"/>
        <w:jc w:val="both"/>
        <w:outlineLvl w:val="9"/>
        <w:rPr>
          <w:rFonts w:ascii="Times New Roman" w:eastAsia="仿宋" w:cs="仿宋_GB2312"/>
          <w:sz w:val="32"/>
          <w:szCs w:val="32"/>
        </w:rPr>
      </w:pPr>
      <w:r>
        <w:rPr>
          <w:rFonts w:hint="eastAsia" w:ascii="Times New Roman" w:eastAsia="仿宋" w:cs="仿宋_GB2312"/>
          <w:b/>
          <w:bCs/>
          <w:sz w:val="32"/>
          <w:szCs w:val="32"/>
        </w:rPr>
        <w:t>3.公务接待费</w:t>
      </w:r>
      <w:r>
        <w:rPr>
          <w:rFonts w:hint="eastAsia" w:ascii="Times New Roman" w:eastAsia="仿宋" w:cs="仿宋_GB2312"/>
          <w:sz w:val="32"/>
          <w:szCs w:val="32"/>
        </w:rPr>
        <w:t>支出0万元，完成预算0%。公务接待费支出决算与2023年度相比无变动情况。</w:t>
      </w:r>
    </w:p>
    <w:p w14:paraId="3669EB0B">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r>
        <w:rPr>
          <w:rFonts w:hint="eastAsia" w:ascii="Times New Roman" w:eastAsia="仿宋" w:cs="仿宋_GB2312"/>
          <w:sz w:val="32"/>
          <w:szCs w:val="32"/>
        </w:rPr>
        <w:t>国内公务接待支</w:t>
      </w:r>
      <w:r>
        <w:rPr>
          <w:rFonts w:hint="eastAsia" w:ascii="Times New Roman" w:hAnsi="仿宋_GB2312" w:eastAsia="仿宋" w:cs="仿宋_GB2312"/>
          <w:sz w:val="32"/>
          <w:szCs w:val="32"/>
        </w:rPr>
        <w:t>出0万</w:t>
      </w:r>
      <w:r>
        <w:rPr>
          <w:rFonts w:hint="eastAsia" w:ascii="Times New Roman" w:eastAsia="仿宋" w:cs="仿宋_GB2312"/>
          <w:sz w:val="32"/>
          <w:szCs w:val="32"/>
        </w:rPr>
        <w:t>元。国内公务接</w:t>
      </w:r>
      <w:r>
        <w:rPr>
          <w:rFonts w:hint="eastAsia" w:ascii="Times New Roman" w:hAnsi="仿宋_GB2312" w:eastAsia="仿宋" w:cs="仿宋_GB2312"/>
          <w:sz w:val="32"/>
          <w:szCs w:val="32"/>
        </w:rPr>
        <w:t>待0批次，0</w:t>
      </w:r>
      <w:r>
        <w:rPr>
          <w:rFonts w:hint="eastAsia" w:ascii="Times New Roman" w:eastAsia="仿宋" w:cs="仿宋_GB2312"/>
          <w:sz w:val="32"/>
          <w:szCs w:val="32"/>
        </w:rPr>
        <w:t>人次（不包括陪同人员），共计支出</w:t>
      </w:r>
      <w:r>
        <w:rPr>
          <w:rFonts w:ascii="Times New Roman" w:eastAsia="仿宋" w:cs="仿宋_GB2312"/>
          <w:sz w:val="32"/>
          <w:szCs w:val="32"/>
        </w:rPr>
        <w:t>0</w:t>
      </w:r>
      <w:r>
        <w:rPr>
          <w:rFonts w:hint="eastAsia" w:ascii="Times New Roman" w:eastAsia="仿宋" w:cs="仿宋_GB2312"/>
          <w:sz w:val="32"/>
          <w:szCs w:val="32"/>
        </w:rPr>
        <w:t>万元。</w:t>
      </w:r>
    </w:p>
    <w:p w14:paraId="6972345C">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r>
        <w:rPr>
          <w:rFonts w:hint="eastAsia" w:ascii="Times New Roman" w:eastAsia="仿宋" w:cs="仿宋_GB2312"/>
          <w:sz w:val="32"/>
          <w:szCs w:val="32"/>
        </w:rPr>
        <w:t>外事接待支</w:t>
      </w:r>
      <w:r>
        <w:rPr>
          <w:rFonts w:hint="eastAsia" w:ascii="Times New Roman" w:hAnsi="仿宋_GB2312" w:eastAsia="仿宋" w:cs="仿宋_GB2312"/>
          <w:sz w:val="32"/>
          <w:szCs w:val="32"/>
        </w:rPr>
        <w:t>出0万元。外事接待0批次，0人次（不包括陪同人员），共计支出</w:t>
      </w:r>
      <w:r>
        <w:rPr>
          <w:rFonts w:ascii="Times New Roman" w:hAnsi="仿宋_GB2312" w:eastAsia="仿宋" w:cs="仿宋_GB2312"/>
          <w:sz w:val="32"/>
          <w:szCs w:val="32"/>
        </w:rPr>
        <w:t>0</w:t>
      </w:r>
      <w:r>
        <w:rPr>
          <w:rFonts w:hint="eastAsia" w:ascii="Times New Roman" w:hAnsi="仿宋_GB2312" w:eastAsia="仿宋" w:cs="仿宋_GB2312"/>
          <w:sz w:val="32"/>
          <w:szCs w:val="32"/>
        </w:rPr>
        <w:t>万</w:t>
      </w:r>
      <w:r>
        <w:rPr>
          <w:rFonts w:hint="eastAsia" w:ascii="Times New Roman" w:eastAsia="仿宋" w:cs="仿宋_GB2312"/>
          <w:sz w:val="32"/>
          <w:szCs w:val="32"/>
        </w:rPr>
        <w:t>元。</w:t>
      </w:r>
      <w:bookmarkStart w:id="76" w:name="_Toc15396610"/>
      <w:bookmarkStart w:id="77" w:name="_Toc15377218"/>
    </w:p>
    <w:p w14:paraId="55A88900">
      <w:pPr>
        <w:snapToGrid/>
        <w:spacing w:beforeAutospacing="0" w:afterAutospacing="0" w:line="360" w:lineRule="auto"/>
        <w:ind w:left="640" w:leftChars="0" w:right="0" w:rightChars="0" w:firstLine="0" w:firstLineChars="0"/>
        <w:jc w:val="both"/>
        <w:outlineLvl w:val="1"/>
        <w:rPr>
          <w:rStyle w:val="29"/>
          <w:rFonts w:ascii="Times New Roman" w:hAnsi="Times New Roman" w:eastAsia="黑体"/>
          <w:b w:val="0"/>
          <w:sz w:val="32"/>
        </w:rPr>
      </w:pPr>
      <w:bookmarkStart w:id="78" w:name="_Toc5776"/>
      <w:bookmarkStart w:id="79" w:name="_Toc21155"/>
      <w:bookmarkStart w:id="80" w:name="_Toc5171"/>
      <w:r>
        <w:rPr>
          <w:rFonts w:hint="eastAsia" w:ascii="Times New Roman" w:eastAsia="黑体"/>
          <w:b w:val="0"/>
          <w:sz w:val="32"/>
          <w:szCs w:val="32"/>
        </w:rPr>
        <w:t>八、</w:t>
      </w:r>
      <w:r>
        <w:rPr>
          <w:rStyle w:val="29"/>
          <w:rFonts w:hint="eastAsia" w:ascii="Times New Roman" w:hAnsi="Times New Roman" w:eastAsia="黑体"/>
          <w:b w:val="0"/>
          <w:sz w:val="32"/>
        </w:rPr>
        <w:t>政府性基金预算支出决算情况说明</w:t>
      </w:r>
      <w:bookmarkEnd w:id="76"/>
      <w:bookmarkEnd w:id="77"/>
      <w:bookmarkEnd w:id="78"/>
      <w:bookmarkEnd w:id="79"/>
      <w:bookmarkEnd w:id="80"/>
    </w:p>
    <w:p w14:paraId="5304A633">
      <w:pPr>
        <w:snapToGrid/>
        <w:spacing w:beforeAutospacing="0" w:afterAutospacing="0" w:line="360" w:lineRule="auto"/>
        <w:ind w:left="0" w:leftChars="0" w:right="0" w:rightChars="0" w:firstLine="640" w:firstLineChars="200"/>
        <w:jc w:val="both"/>
        <w:rPr>
          <w:rFonts w:ascii="Times New Roman" w:eastAsia="仿宋" w:cs="仿宋_GB2312"/>
          <w:sz w:val="32"/>
          <w:szCs w:val="32"/>
        </w:rPr>
      </w:pPr>
      <w:r>
        <w:rPr>
          <w:rFonts w:hint="eastAsia" w:ascii="Times New Roman" w:hAnsi="仿宋_GB2312" w:eastAsia="仿宋" w:cs="仿宋_GB2312"/>
          <w:sz w:val="32"/>
          <w:szCs w:val="32"/>
        </w:rPr>
        <w:t>2024年度政府性基金预算财政拨款支出0万元，占本年支出合计的0%</w:t>
      </w:r>
      <w:r>
        <w:rPr>
          <w:rFonts w:hint="eastAsia" w:ascii="Times New Roman" w:eastAsia="仿宋" w:cs="仿宋_GB2312"/>
          <w:sz w:val="32"/>
          <w:szCs w:val="32"/>
        </w:rPr>
        <w:t>。政府性基金预算财政拨款支出数与2</w:t>
      </w:r>
      <w:r>
        <w:rPr>
          <w:rFonts w:ascii="Times New Roman" w:eastAsia="仿宋" w:cs="仿宋_GB2312"/>
          <w:sz w:val="32"/>
          <w:szCs w:val="32"/>
        </w:rPr>
        <w:t>023</w:t>
      </w:r>
      <w:r>
        <w:rPr>
          <w:rFonts w:hint="eastAsia" w:ascii="Times New Roman" w:eastAsia="仿宋" w:cs="仿宋_GB2312"/>
          <w:sz w:val="32"/>
          <w:szCs w:val="32"/>
        </w:rPr>
        <w:t>年持平。</w:t>
      </w:r>
    </w:p>
    <w:p w14:paraId="27698106">
      <w:pPr>
        <w:snapToGrid/>
        <w:spacing w:beforeAutospacing="0" w:afterAutospacing="0" w:line="360" w:lineRule="auto"/>
        <w:ind w:left="640" w:leftChars="0" w:right="0" w:rightChars="0" w:firstLine="0" w:firstLineChars="0"/>
        <w:jc w:val="both"/>
        <w:outlineLvl w:val="1"/>
        <w:rPr>
          <w:rStyle w:val="29"/>
          <w:rFonts w:ascii="Times New Roman" w:hAnsi="Times New Roman" w:eastAsia="黑体"/>
          <w:b w:val="0"/>
          <w:sz w:val="32"/>
        </w:rPr>
      </w:pPr>
      <w:bookmarkStart w:id="81" w:name="_Toc15396611"/>
      <w:bookmarkStart w:id="82" w:name="_Toc15377219"/>
      <w:bookmarkStart w:id="83" w:name="_Toc31865"/>
      <w:bookmarkStart w:id="84" w:name="_Toc14040"/>
      <w:bookmarkStart w:id="85" w:name="_Toc151"/>
      <w:r>
        <w:rPr>
          <w:rStyle w:val="29"/>
          <w:rFonts w:hint="eastAsia" w:ascii="Times New Roman" w:hAnsi="Times New Roman" w:eastAsia="黑体"/>
          <w:b w:val="0"/>
          <w:sz w:val="32"/>
        </w:rPr>
        <w:t>九、国有资本经营预算支出决算情况说明</w:t>
      </w:r>
      <w:bookmarkEnd w:id="81"/>
      <w:bookmarkEnd w:id="82"/>
      <w:bookmarkEnd w:id="83"/>
      <w:bookmarkEnd w:id="84"/>
      <w:bookmarkEnd w:id="85"/>
    </w:p>
    <w:p w14:paraId="65323817">
      <w:pPr>
        <w:snapToGrid/>
        <w:spacing w:beforeAutospacing="0" w:afterAutospacing="0" w:line="360" w:lineRule="auto"/>
        <w:ind w:left="0" w:leftChars="0" w:right="0" w:rightChars="0" w:firstLine="640" w:firstLineChars="200"/>
        <w:jc w:val="both"/>
        <w:rPr>
          <w:rFonts w:ascii="Times New Roman" w:eastAsia="仿宋" w:cs="仿宋_GB2312"/>
          <w:sz w:val="32"/>
          <w:szCs w:val="32"/>
        </w:rPr>
      </w:pPr>
      <w:r>
        <w:rPr>
          <w:rFonts w:hint="eastAsia" w:ascii="Times New Roman" w:eastAsia="仿宋" w:cs="仿宋_GB2312"/>
          <w:sz w:val="32"/>
          <w:szCs w:val="32"/>
        </w:rPr>
        <w:t>2024年度国有资本经营预算财政拨款支出</w:t>
      </w:r>
      <w:r>
        <w:rPr>
          <w:rFonts w:hint="eastAsia" w:ascii="Times New Roman" w:hAnsi="仿宋_GB2312" w:eastAsia="仿宋" w:cs="仿宋_GB2312"/>
          <w:sz w:val="32"/>
          <w:szCs w:val="32"/>
        </w:rPr>
        <w:t>0万元，占本年支出合计的0%</w:t>
      </w:r>
      <w:r>
        <w:rPr>
          <w:rFonts w:hint="eastAsia" w:ascii="Times New Roman" w:eastAsia="仿宋" w:cs="仿宋_GB2312"/>
          <w:sz w:val="32"/>
          <w:szCs w:val="32"/>
        </w:rPr>
        <w:t>。国有资本经营预算财政拨款支出数与2023年持平。</w:t>
      </w:r>
    </w:p>
    <w:p w14:paraId="2EE77164">
      <w:pPr>
        <w:snapToGrid/>
        <w:spacing w:beforeAutospacing="0" w:afterAutospacing="0" w:line="360" w:lineRule="auto"/>
        <w:ind w:left="640" w:leftChars="0" w:right="0" w:rightChars="0" w:firstLine="0" w:firstLineChars="0"/>
        <w:jc w:val="both"/>
        <w:outlineLvl w:val="1"/>
        <w:rPr>
          <w:rStyle w:val="29"/>
          <w:rFonts w:ascii="Times New Roman" w:hAnsi="Times New Roman" w:eastAsia="黑体"/>
          <w:b w:val="0"/>
          <w:sz w:val="32"/>
        </w:rPr>
      </w:pPr>
      <w:bookmarkStart w:id="86" w:name="_Toc15377221"/>
      <w:bookmarkStart w:id="87" w:name="_Toc21006"/>
      <w:bookmarkStart w:id="88" w:name="_Toc9421"/>
      <w:bookmarkStart w:id="89" w:name="_Toc15396612"/>
      <w:bookmarkStart w:id="90" w:name="_Toc30276"/>
      <w:r>
        <w:rPr>
          <w:rStyle w:val="29"/>
          <w:rFonts w:hint="eastAsia" w:ascii="Times New Roman" w:hAnsi="Times New Roman" w:eastAsia="黑体"/>
          <w:b w:val="0"/>
          <w:sz w:val="32"/>
        </w:rPr>
        <w:t>十、其他重要事项的情况说明</w:t>
      </w:r>
      <w:bookmarkEnd w:id="86"/>
      <w:bookmarkEnd w:id="87"/>
      <w:bookmarkEnd w:id="88"/>
      <w:bookmarkEnd w:id="89"/>
      <w:bookmarkEnd w:id="90"/>
    </w:p>
    <w:p w14:paraId="45954B64">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bookmarkStart w:id="91" w:name="_Toc15377222"/>
      <w:r>
        <w:rPr>
          <w:rFonts w:hint="eastAsia" w:ascii="楷体" w:eastAsia="楷体" w:cs="楷体_GB2312"/>
          <w:b w:val="0"/>
          <w:sz w:val="32"/>
          <w:szCs w:val="32"/>
        </w:rPr>
        <w:t>（一）机关运行经费支出情况</w:t>
      </w:r>
      <w:bookmarkEnd w:id="91"/>
    </w:p>
    <w:p w14:paraId="0D4B8FFC">
      <w:pPr>
        <w:snapToGrid/>
        <w:spacing w:beforeAutospacing="0" w:afterAutospacing="0" w:line="360" w:lineRule="auto"/>
        <w:ind w:left="0" w:leftChars="0" w:right="0" w:rightChars="0" w:firstLine="640" w:firstLineChars="200"/>
        <w:jc w:val="both"/>
        <w:rPr>
          <w:rFonts w:ascii="Times New Roman" w:eastAsia="仿宋" w:cs="仿宋_GB2312"/>
          <w:sz w:val="32"/>
          <w:szCs w:val="32"/>
        </w:rPr>
      </w:pPr>
      <w:r>
        <w:rPr>
          <w:rFonts w:hint="eastAsia" w:ascii="Times New Roman" w:eastAsia="仿宋" w:cs="仿宋_GB2312"/>
          <w:sz w:val="32"/>
          <w:szCs w:val="32"/>
        </w:rPr>
        <w:t>2024年度</w:t>
      </w:r>
      <w:r>
        <w:rPr>
          <w:rFonts w:hint="eastAsia" w:ascii="Times New Roman" w:hAnsi="仿宋_GB2312" w:eastAsia="仿宋" w:cs="仿宋_GB2312"/>
          <w:sz w:val="32"/>
          <w:szCs w:val="32"/>
        </w:rPr>
        <w:t>，盐边县人民医院机关运行经费支出0万</w:t>
      </w:r>
      <w:r>
        <w:rPr>
          <w:rFonts w:hint="eastAsia" w:ascii="Times New Roman" w:eastAsia="仿宋" w:cs="仿宋_GB2312"/>
          <w:sz w:val="32"/>
          <w:szCs w:val="32"/>
        </w:rPr>
        <w:t>元，与2023年度决算数持平。</w:t>
      </w:r>
    </w:p>
    <w:p w14:paraId="3385F65C">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bookmarkStart w:id="92" w:name="_Toc15377223"/>
      <w:r>
        <w:rPr>
          <w:rFonts w:hint="eastAsia" w:ascii="楷体" w:eastAsia="楷体" w:cs="楷体_GB2312"/>
          <w:b w:val="0"/>
          <w:sz w:val="32"/>
          <w:szCs w:val="32"/>
        </w:rPr>
        <w:t>（二）政府采购支出情况</w:t>
      </w:r>
      <w:bookmarkEnd w:id="92"/>
    </w:p>
    <w:p w14:paraId="47560AD3">
      <w:pPr>
        <w:snapToGrid/>
        <w:spacing w:beforeAutospacing="0" w:afterAutospacing="0" w:line="360" w:lineRule="auto"/>
        <w:ind w:left="0" w:leftChars="0" w:right="0" w:rightChars="0" w:firstLine="640" w:firstLineChars="200"/>
        <w:jc w:val="both"/>
        <w:outlineLvl w:val="9"/>
        <w:rPr>
          <w:rFonts w:ascii="Times New Roman" w:hAnsi="仿宋_GB2312" w:eastAsia="仿宋" w:cs="仿宋_GB2312"/>
          <w:sz w:val="32"/>
          <w:szCs w:val="32"/>
        </w:rPr>
      </w:pPr>
      <w:r>
        <w:rPr>
          <w:rFonts w:hint="eastAsia" w:ascii="Times New Roman" w:hAnsi="仿宋_GB2312" w:eastAsia="仿宋" w:cs="仿宋_GB2312"/>
          <w:sz w:val="32"/>
          <w:szCs w:val="32"/>
        </w:rPr>
        <w:t>2024年度，盐边县人民医院政府采购支出总额81.85万元，其中：政府采购货物支出81.85万元、政府采购工程支出0万元、政府采购服务支出0万元。主要用于采购空调、体外冲击波及国家传染病智能监测预警前置软件服务器、软件硬环境配置。授予中小企业合同金额81.85万元，占政府采购支出总额的100%，其中：授予小微企业合同金额81.85万元，占政府采购支出总额的100%。</w:t>
      </w:r>
    </w:p>
    <w:p w14:paraId="68724DAD">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bookmarkStart w:id="93" w:name="_Toc15377224"/>
      <w:r>
        <w:rPr>
          <w:rFonts w:hint="eastAsia" w:ascii="楷体" w:eastAsia="楷体" w:cs="楷体_GB2312"/>
          <w:b w:val="0"/>
          <w:sz w:val="32"/>
          <w:szCs w:val="32"/>
        </w:rPr>
        <w:t>（三）国有资产占有使用情况</w:t>
      </w:r>
      <w:bookmarkEnd w:id="93"/>
    </w:p>
    <w:p w14:paraId="1B462897">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r>
        <w:rPr>
          <w:rFonts w:hint="eastAsia" w:ascii="Times New Roman" w:hAnsi="仿宋_GB2312" w:eastAsia="仿宋" w:cs="仿宋_GB2312"/>
          <w:sz w:val="32"/>
          <w:szCs w:val="32"/>
        </w:rPr>
        <w:t>截至2024年12月31日，盐边县人民医院共有车辆6辆，其中：主要负责人用车0辆、机要通信用车0辆、应急保障用车1辆、其他用车（特种专业技术用车）</w:t>
      </w:r>
      <w:r>
        <w:rPr>
          <w:rFonts w:ascii="Times New Roman" w:hAnsi="仿宋_GB2312" w:eastAsia="仿宋" w:cs="仿宋_GB2312"/>
          <w:sz w:val="32"/>
          <w:szCs w:val="32"/>
        </w:rPr>
        <w:t>5</w:t>
      </w:r>
      <w:r>
        <w:rPr>
          <w:rFonts w:hint="eastAsia" w:ascii="Times New Roman" w:hAnsi="仿宋_GB2312" w:eastAsia="仿宋" w:cs="仿宋_GB2312"/>
          <w:sz w:val="32"/>
          <w:szCs w:val="32"/>
        </w:rPr>
        <w:t>辆，其他用车主要是用于为病人提供快速急救和转运服务。单价100万元（含）以上设备（不含车辆）10台（套）</w:t>
      </w:r>
      <w:r>
        <w:rPr>
          <w:rFonts w:hint="eastAsia" w:ascii="Times New Roman" w:eastAsia="仿宋" w:cs="仿宋_GB2312"/>
          <w:sz w:val="32"/>
          <w:szCs w:val="32"/>
        </w:rPr>
        <w:t>。</w:t>
      </w:r>
    </w:p>
    <w:p w14:paraId="19C2325A">
      <w:pPr>
        <w:snapToGrid/>
        <w:spacing w:beforeAutospacing="0" w:afterAutospacing="0" w:line="360" w:lineRule="auto"/>
        <w:ind w:left="0" w:leftChars="0" w:right="0" w:rightChars="0" w:firstLine="640" w:firstLineChars="200"/>
        <w:jc w:val="both"/>
        <w:outlineLvl w:val="9"/>
        <w:rPr>
          <w:rFonts w:ascii="楷体" w:eastAsia="楷体" w:cs="楷体_GB2312"/>
          <w:b w:val="0"/>
          <w:sz w:val="32"/>
          <w:szCs w:val="32"/>
        </w:rPr>
      </w:pPr>
      <w:r>
        <w:rPr>
          <w:rFonts w:hint="eastAsia" w:ascii="楷体" w:eastAsia="楷体" w:cs="楷体_GB2312"/>
          <w:b w:val="0"/>
          <w:sz w:val="32"/>
          <w:szCs w:val="32"/>
        </w:rPr>
        <w:t>（四）预算绩效管理情况</w:t>
      </w:r>
    </w:p>
    <w:p w14:paraId="49D83440">
      <w:pPr>
        <w:snapToGrid/>
        <w:spacing w:beforeAutospacing="0" w:afterAutospacing="0" w:line="360" w:lineRule="auto"/>
        <w:ind w:left="0" w:leftChars="0" w:right="0" w:rightChars="0" w:firstLine="640" w:firstLineChars="200"/>
        <w:jc w:val="both"/>
        <w:outlineLvl w:val="9"/>
        <w:rPr>
          <w:rFonts w:ascii="Times New Roman" w:eastAsia="仿宋" w:cs="仿宋_GB2312"/>
          <w:sz w:val="32"/>
          <w:szCs w:val="32"/>
        </w:rPr>
      </w:pPr>
      <w:r>
        <w:rPr>
          <w:rFonts w:hint="eastAsia" w:ascii="Times New Roman" w:eastAsia="仿宋" w:cs="仿宋_GB2312"/>
          <w:sz w:val="32"/>
          <w:szCs w:val="32"/>
        </w:rPr>
        <w:t>根据预算绩效管理要求，本单位在2024年度预算编制阶段，组织对医疗服务与保障能力提升补助资金、重大传染病防控等</w:t>
      </w:r>
      <w:r>
        <w:rPr>
          <w:rFonts w:ascii="Times New Roman" w:eastAsia="仿宋" w:cs="仿宋_GB2312"/>
          <w:sz w:val="32"/>
          <w:szCs w:val="32"/>
        </w:rPr>
        <w:t>11</w:t>
      </w:r>
      <w:r>
        <w:rPr>
          <w:rFonts w:hint="eastAsia" w:ascii="Times New Roman" w:eastAsia="仿宋" w:cs="仿宋_GB2312"/>
          <w:sz w:val="32"/>
          <w:szCs w:val="32"/>
        </w:rPr>
        <w:t>个项目开展了预算事前绩效评估，对1</w:t>
      </w:r>
      <w:r>
        <w:rPr>
          <w:rFonts w:ascii="Times New Roman" w:eastAsia="仿宋" w:cs="仿宋_GB2312"/>
          <w:sz w:val="32"/>
          <w:szCs w:val="32"/>
        </w:rPr>
        <w:t>1</w:t>
      </w:r>
      <w:r>
        <w:rPr>
          <w:rFonts w:hint="eastAsia" w:ascii="Times New Roman" w:eastAsia="仿宋" w:cs="仿宋_GB2312"/>
          <w:sz w:val="32"/>
          <w:szCs w:val="32"/>
        </w:rPr>
        <w:t>个项目编制了绩效目标，预算执行过程中，选取</w:t>
      </w:r>
      <w:r>
        <w:rPr>
          <w:rFonts w:ascii="Times New Roman" w:eastAsia="仿宋" w:cs="仿宋_GB2312"/>
          <w:sz w:val="32"/>
          <w:szCs w:val="32"/>
        </w:rPr>
        <w:t>11</w:t>
      </w:r>
      <w:r>
        <w:rPr>
          <w:rFonts w:hint="eastAsia" w:ascii="Times New Roman" w:eastAsia="仿宋" w:cs="仿宋_GB2312"/>
          <w:sz w:val="32"/>
          <w:szCs w:val="32"/>
        </w:rPr>
        <w:t>个项目开展绩效监控，</w:t>
      </w:r>
      <w:r>
        <w:rPr>
          <w:rFonts w:ascii="Times New Roman" w:eastAsia="仿宋"/>
          <w:sz w:val="32"/>
          <w:szCs w:val="32"/>
        </w:rPr>
        <w:t>组织对11个项目开展绩效自评</w:t>
      </w:r>
      <w:r>
        <w:rPr>
          <w:rFonts w:hint="eastAsia" w:ascii="Times New Roman" w:eastAsia="仿宋" w:cs="仿宋_GB2312"/>
          <w:sz w:val="32"/>
          <w:szCs w:val="32"/>
        </w:rPr>
        <w:t>。绩效自评</w:t>
      </w:r>
      <w:r>
        <w:rPr>
          <w:rFonts w:hint="eastAsia" w:eastAsia="仿宋" w:cs="仿宋_GB2312"/>
          <w:sz w:val="32"/>
          <w:szCs w:val="32"/>
          <w:lang w:eastAsia="zh-CN"/>
        </w:rPr>
        <w:t>表</w:t>
      </w:r>
      <w:r>
        <w:rPr>
          <w:rFonts w:hint="eastAsia" w:ascii="Times New Roman" w:eastAsia="仿宋" w:cs="仿宋_GB2312"/>
          <w:sz w:val="32"/>
          <w:szCs w:val="32"/>
        </w:rPr>
        <w:t>详见附件。</w:t>
      </w:r>
    </w:p>
    <w:p w14:paraId="1A2F9A30">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bookmarkStart w:id="109" w:name="_GoBack"/>
      <w:bookmarkEnd w:id="109"/>
      <w:bookmarkStart w:id="94" w:name="_Toc15396613"/>
      <w:bookmarkStart w:id="95" w:name="_Toc19617"/>
      <w:bookmarkStart w:id="96" w:name="_Toc16849"/>
      <w:bookmarkStart w:id="97" w:name="_Toc23332"/>
      <w:bookmarkStart w:id="98" w:name="_Toc15377225"/>
    </w:p>
    <w:p w14:paraId="4C067472">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p>
    <w:p w14:paraId="16607B55">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p>
    <w:p w14:paraId="4CB5B1B6">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p>
    <w:p w14:paraId="79178C66">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p>
    <w:p w14:paraId="78A35FD3">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p>
    <w:p w14:paraId="2B136BDC">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p>
    <w:p w14:paraId="1A286512">
      <w:pPr>
        <w:snapToGrid/>
        <w:spacing w:before="260" w:beforeAutospacing="0" w:after="260" w:afterAutospacing="0" w:line="416" w:lineRule="auto"/>
        <w:ind w:left="0" w:leftChars="0" w:right="0" w:rightChars="0" w:firstLine="0" w:firstLineChars="0"/>
        <w:jc w:val="center"/>
        <w:outlineLvl w:val="0"/>
        <w:rPr>
          <w:rFonts w:hint="eastAsia" w:ascii="宋体" w:eastAsia="宋体"/>
          <w:b/>
          <w:sz w:val="44"/>
          <w:szCs w:val="44"/>
        </w:rPr>
      </w:pPr>
    </w:p>
    <w:p w14:paraId="6B31C559">
      <w:pPr>
        <w:snapToGrid/>
        <w:spacing w:before="260" w:beforeAutospacing="0" w:after="260" w:afterAutospacing="0" w:line="416" w:lineRule="auto"/>
        <w:ind w:left="0" w:leftChars="0" w:right="0" w:rightChars="0" w:firstLine="0" w:firstLineChars="0"/>
        <w:jc w:val="center"/>
        <w:outlineLvl w:val="0"/>
        <w:rPr>
          <w:rFonts w:ascii="宋体" w:eastAsia="宋体"/>
          <w:b/>
          <w:sz w:val="44"/>
          <w:szCs w:val="44"/>
        </w:rPr>
      </w:pPr>
      <w:r>
        <w:rPr>
          <w:rFonts w:hint="eastAsia" w:ascii="宋体" w:eastAsia="宋体"/>
          <w:b/>
          <w:sz w:val="44"/>
          <w:szCs w:val="44"/>
        </w:rPr>
        <w:t>第三部分  名词解释</w:t>
      </w:r>
      <w:bookmarkEnd w:id="94"/>
      <w:bookmarkEnd w:id="95"/>
      <w:bookmarkEnd w:id="96"/>
      <w:bookmarkEnd w:id="97"/>
      <w:bookmarkEnd w:id="98"/>
    </w:p>
    <w:p w14:paraId="70A5332A">
      <w:pPr>
        <w:snapToGrid/>
        <w:spacing w:beforeAutospacing="0" w:afterAutospacing="0" w:line="360" w:lineRule="auto"/>
        <w:ind w:left="0" w:leftChars="0" w:right="0" w:rightChars="0" w:firstLine="643" w:firstLineChars="200"/>
        <w:jc w:val="both"/>
        <w:rPr>
          <w:rFonts w:ascii="Times New Roman" w:eastAsia="仿宋"/>
          <w:b/>
          <w:sz w:val="32"/>
          <w:szCs w:val="44"/>
        </w:rPr>
      </w:pPr>
    </w:p>
    <w:p w14:paraId="203CCC7B">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1.一般公共预算财政拨款收入：指单位从同级财政部门取得的财政预算资金。</w:t>
      </w:r>
    </w:p>
    <w:p w14:paraId="72EFABBA">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2.事业收入：指事业单位开展专业业务活动及辅助活动取得的收入。</w:t>
      </w:r>
    </w:p>
    <w:p w14:paraId="37B718D5">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3.经营收入：指事业单位在专业业务活动及其辅助活动之外开展非独立核算经营活动取得的收入。。</w:t>
      </w:r>
    </w:p>
    <w:p w14:paraId="1AFDCB5E">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4.其他收入：指单位取得的除上述收入以外的各项收入。</w:t>
      </w:r>
    </w:p>
    <w:p w14:paraId="18F85449">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 xml:space="preserve">5.年初结转和结余：指以前年度尚未完成、结转到本年按有关规定继续使用的资金。 </w:t>
      </w:r>
    </w:p>
    <w:p w14:paraId="6202F0BF">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6.结余分配：指事业单位按照会计制度规定缴纳的所得税、提取的专用结余以及转入非财政拨款结余的金额等。</w:t>
      </w:r>
    </w:p>
    <w:p w14:paraId="1EC49A90">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7.年末结转和结余：指单位按有关规定结转到下年或以后年度继续使用的资金。</w:t>
      </w:r>
    </w:p>
    <w:p w14:paraId="41833CB9">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8.社会保障和就业支出（类）行政事业单位养老支出（款）事业单位离退休（项）：反映事业单位开支的离退休经费。</w:t>
      </w:r>
    </w:p>
    <w:p w14:paraId="4D9B512C">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9.社会保障和就业支出（类）行政事业单位养老支出（款）机关事业单位基本养老保险缴费支出（项）：指机关事业单位实施养老保险制度由单位缴纳的基本养老保险费支出。</w:t>
      </w:r>
    </w:p>
    <w:p w14:paraId="13275245">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10.社会保障和就业（类）行政事业单位养老支出（款）机关事业单位职业年金缴费支出（项）</w:t>
      </w:r>
      <w:r>
        <w:rPr>
          <w:rFonts w:ascii="Times New Roman" w:eastAsia="仿宋"/>
          <w:b/>
          <w:sz w:val="32"/>
          <w:szCs w:val="32"/>
        </w:rPr>
        <w:t>:</w:t>
      </w:r>
      <w:r>
        <w:rPr>
          <w:rFonts w:ascii="Times New Roman" w:eastAsia="仿宋"/>
          <w:sz w:val="32"/>
          <w:szCs w:val="32"/>
        </w:rPr>
        <w:t>指机关事业单位实施养老保险制度由单位实际缴纳的职业年金支出。</w:t>
      </w:r>
    </w:p>
    <w:p w14:paraId="102B6093">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11、社会保障和就业（类）抚恤（款）死亡抚恤（项）：反映按规定用于烈士和牺牲、病故人员家属的一次性和定期抚恤金、丧葬补助费以及烈士褒扬金。</w:t>
      </w:r>
    </w:p>
    <w:p w14:paraId="4CB8C9FF">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12、社会保障和就业（类）抚恤（款）伤残抚恤（项）：反映按规定用于伤残人员的抚恤金的按规定开支的各类伤残补助费。</w:t>
      </w:r>
    </w:p>
    <w:p w14:paraId="4C691DDC">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13.卫生健康支出（类）公立医院（款）综合医院（项）：指卫生健康、中医部门所属的城市综合性医院、独立门诊、教学医院、疗养院和县医院的支出。</w:t>
      </w:r>
    </w:p>
    <w:p w14:paraId="1056F133">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14.卫生健康支出（类）公立医院（款）其他公立医院支出（项）：指除上述项目以外的其他用于公立医院方面的支出。</w:t>
      </w:r>
    </w:p>
    <w:p w14:paraId="788C6D9F">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15.卫生健康支出（类）公共卫生（款）重大公共卫生服务（项）：指重大疾病、重大传染病预防控制等重大公共卫生服务项目支出。</w:t>
      </w:r>
    </w:p>
    <w:p w14:paraId="7D262351">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16.卫生健康支出（类）公共卫生（款）突发公共卫生事件应急处理（项）：指用于突发公共卫生事件应急处理的支出。</w:t>
      </w:r>
    </w:p>
    <w:p w14:paraId="512FAEFB">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17.卫生健康支出（类）行政事业单位医疗（款）事业单位医疗（项）：指财政部门安排的事业单位基本医疗保险缴费经费，未参加医疗保险的事业单位的公费医疗经费，按国家规定享受离休人员待遇的医疗经费。</w:t>
      </w:r>
    </w:p>
    <w:p w14:paraId="6F58AA44">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18.卫生健康支出（类）行政事业单位医疗（款）公务员医疗补助（项）：指财政部门安排的公务员医疗补助经费。</w:t>
      </w:r>
    </w:p>
    <w:p w14:paraId="464195A3">
      <w:pPr>
        <w:snapToGrid/>
        <w:spacing w:beforeAutospacing="0" w:afterAutospacing="0" w:line="360" w:lineRule="auto"/>
        <w:ind w:left="0" w:leftChars="0" w:right="0" w:rightChars="0" w:firstLine="640" w:firstLineChars="200"/>
        <w:jc w:val="both"/>
        <w:rPr>
          <w:rFonts w:hint="eastAsia" w:ascii="Times New Roman" w:eastAsia="仿宋"/>
          <w:sz w:val="32"/>
        </w:rPr>
      </w:pPr>
      <w:r>
        <w:rPr>
          <w:rFonts w:ascii="Times New Roman" w:eastAsia="仿宋"/>
          <w:sz w:val="32"/>
          <w:szCs w:val="32"/>
        </w:rPr>
        <w:t>19.卫生健康支出（类）</w:t>
      </w:r>
      <w:r>
        <w:rPr>
          <w:rFonts w:hint="eastAsia" w:ascii="Times New Roman" w:eastAsia="仿宋"/>
          <w:sz w:val="32"/>
          <w:szCs w:val="32"/>
        </w:rPr>
        <w:t>中医药事务</w:t>
      </w:r>
      <w:r>
        <w:rPr>
          <w:rFonts w:ascii="Times New Roman" w:eastAsia="仿宋"/>
          <w:sz w:val="32"/>
          <w:szCs w:val="32"/>
        </w:rPr>
        <w:t>（款）其他</w:t>
      </w:r>
      <w:r>
        <w:rPr>
          <w:rFonts w:hint="eastAsia" w:ascii="Times New Roman" w:eastAsia="仿宋"/>
          <w:sz w:val="32"/>
          <w:szCs w:val="32"/>
        </w:rPr>
        <w:t>中医药事务</w:t>
      </w:r>
      <w:r>
        <w:rPr>
          <w:rFonts w:ascii="Times New Roman" w:eastAsia="仿宋"/>
          <w:sz w:val="32"/>
          <w:szCs w:val="32"/>
        </w:rPr>
        <w:t>支出（项）：指除上述项目以外其他用于</w:t>
      </w:r>
      <w:r>
        <w:rPr>
          <w:rFonts w:hint="eastAsia" w:ascii="Times New Roman" w:eastAsia="仿宋"/>
          <w:sz w:val="32"/>
          <w:szCs w:val="32"/>
        </w:rPr>
        <w:t>中医药事务</w:t>
      </w:r>
      <w:r>
        <w:rPr>
          <w:rFonts w:ascii="Times New Roman" w:eastAsia="仿宋"/>
          <w:sz w:val="32"/>
          <w:szCs w:val="32"/>
        </w:rPr>
        <w:t>方面的支出。</w:t>
      </w:r>
    </w:p>
    <w:p w14:paraId="1E9109BE">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20.卫生健康支出（类）其他卫生健康支出（款）其他卫生健康支出（项）：指除上述项目以外其他用于卫生健康方面的支出。</w:t>
      </w:r>
    </w:p>
    <w:p w14:paraId="508BDBEC">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21.住房保障支出（类）住房改革支出（款）住房公积金（项）：指行政事业单位按人力资源和社会保障部、财政部规定的基本工资和津贴补贴以及规定比例为职工缴纳的住房公积金。</w:t>
      </w:r>
    </w:p>
    <w:p w14:paraId="525CB0CD">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22.基本支出：指为保障机构正常运转、完成日常工作任务而发生的人员支出和公用支出。</w:t>
      </w:r>
    </w:p>
    <w:p w14:paraId="2786779A">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23.项目支出：指在基本支出之外为完成特定行政任务和事业发展目标所发生的支出。</w:t>
      </w:r>
    </w:p>
    <w:p w14:paraId="106B74FB">
      <w:pPr>
        <w:snapToGrid/>
        <w:spacing w:beforeAutospacing="0" w:afterAutospacing="0" w:line="360" w:lineRule="auto"/>
        <w:ind w:left="0" w:leftChars="0" w:right="0" w:rightChars="0" w:firstLine="640" w:firstLineChars="200"/>
        <w:jc w:val="both"/>
        <w:rPr>
          <w:rFonts w:ascii="Times New Roman" w:eastAsia="仿宋"/>
          <w:sz w:val="32"/>
          <w:szCs w:val="32"/>
        </w:rPr>
      </w:pPr>
      <w:r>
        <w:rPr>
          <w:rFonts w:ascii="Times New Roman" w:eastAsia="仿宋"/>
          <w:sz w:val="32"/>
          <w:szCs w:val="32"/>
        </w:rPr>
        <w:t>24.“三公”经费：指部门用财政拨款安排的因公出国（境）费、公务用车购置及运行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路过桥费、保险费、安全奖励费用等支出；公务接待费反映单位按规定开支的各类公务接待（含外宾接待）支出。</w:t>
      </w:r>
    </w:p>
    <w:p w14:paraId="065F1192">
      <w:pPr>
        <w:snapToGrid/>
        <w:spacing w:beforeAutospacing="0" w:afterAutospacing="0" w:line="360" w:lineRule="auto"/>
        <w:ind w:left="0" w:leftChars="0" w:right="0" w:rightChars="0" w:firstLine="640" w:firstLineChars="200"/>
        <w:jc w:val="both"/>
        <w:rPr>
          <w:rFonts w:hint="eastAsia" w:ascii="Times New Roman" w:eastAsia="仿宋"/>
          <w:sz w:val="32"/>
          <w:szCs w:val="32"/>
        </w:rPr>
      </w:pPr>
      <w:r>
        <w:rPr>
          <w:rFonts w:ascii="Times New Roman" w:eastAsia="仿宋"/>
          <w:sz w:val="32"/>
          <w:szCs w:val="32"/>
        </w:rPr>
        <w:t>25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0BAF1A11">
      <w:pPr>
        <w:pStyle w:val="3"/>
        <w:snapToGrid/>
        <w:spacing w:beforeAutospacing="0" w:after="0" w:afterAutospacing="0" w:line="360" w:lineRule="auto"/>
        <w:ind w:left="0" w:leftChars="0" w:right="0" w:rightChars="0" w:firstLine="640" w:firstLineChars="200"/>
        <w:jc w:val="both"/>
        <w:rPr>
          <w:rFonts w:ascii="Times New Roman" w:eastAsia="仿宋"/>
          <w:sz w:val="32"/>
        </w:rPr>
        <w:sectPr>
          <w:footerReference r:id="rId8" w:type="first"/>
          <w:footerReference r:id="rId7" w:type="default"/>
          <w:pgSz w:w="11906" w:h="16838"/>
          <w:pgMar w:top="1440" w:right="1800" w:bottom="1440" w:left="1800" w:header="851" w:footer="992" w:gutter="0"/>
          <w:pgNumType w:fmt="decimal" w:start="1"/>
          <w:cols w:space="425" w:num="1"/>
          <w:docGrid w:type="lines" w:linePitch="312" w:charSpace="0"/>
        </w:sectPr>
      </w:pPr>
    </w:p>
    <w:p w14:paraId="15E5F1BC">
      <w:pPr>
        <w:pStyle w:val="3"/>
        <w:snapToGrid/>
        <w:spacing w:beforeAutospacing="0" w:after="0" w:afterAutospacing="0" w:line="360" w:lineRule="auto"/>
        <w:ind w:left="0" w:leftChars="0" w:right="0" w:rightChars="0" w:firstLine="640" w:firstLineChars="200"/>
        <w:jc w:val="both"/>
        <w:rPr>
          <w:rFonts w:ascii="Times New Roman" w:eastAsia="仿宋"/>
          <w:sz w:val="32"/>
        </w:rPr>
      </w:pPr>
    </w:p>
    <w:p w14:paraId="03A98608">
      <w:pPr>
        <w:snapToGrid/>
        <w:spacing w:before="260" w:beforeAutospacing="0" w:after="260" w:afterAutospacing="0" w:line="416" w:lineRule="auto"/>
        <w:ind w:left="0" w:leftChars="0" w:right="0" w:rightChars="0" w:firstLine="0" w:firstLineChars="0"/>
        <w:jc w:val="center"/>
        <w:outlineLvl w:val="0"/>
        <w:rPr>
          <w:rStyle w:val="28"/>
          <w:rFonts w:ascii="宋体" w:eastAsia="宋体"/>
          <w:b/>
          <w:sz w:val="44"/>
        </w:rPr>
      </w:pPr>
      <w:bookmarkStart w:id="99" w:name="_Toc15396614"/>
      <w:bookmarkStart w:id="100" w:name="_Toc1964"/>
      <w:bookmarkStart w:id="101" w:name="_Toc19887"/>
      <w:bookmarkStart w:id="102" w:name="_Toc11149"/>
      <w:bookmarkStart w:id="103" w:name="_Toc15377226"/>
      <w:r>
        <w:rPr>
          <w:rFonts w:hint="eastAsia" w:ascii="宋体" w:eastAsia="宋体"/>
          <w:b/>
          <w:sz w:val="44"/>
          <w:szCs w:val="44"/>
        </w:rPr>
        <w:t>第四部分  附件</w:t>
      </w:r>
      <w:bookmarkEnd w:id="99"/>
      <w:bookmarkEnd w:id="100"/>
      <w:bookmarkEnd w:id="101"/>
      <w:bookmarkEnd w:id="102"/>
    </w:p>
    <w:p w14:paraId="7FA24CD9">
      <w:pPr>
        <w:snapToGrid/>
        <w:spacing w:beforeAutospacing="0" w:afterAutospacing="0" w:line="360" w:lineRule="auto"/>
        <w:ind w:left="0" w:leftChars="0" w:right="0" w:rightChars="0" w:firstLine="640" w:firstLineChars="200"/>
        <w:jc w:val="both"/>
        <w:outlineLvl w:val="0"/>
        <w:rPr>
          <w:rFonts w:ascii="Times New Roman" w:eastAsia="仿宋" w:cs="黑体"/>
          <w:color w:val="auto"/>
          <w:sz w:val="32"/>
          <w:szCs w:val="32"/>
        </w:rPr>
      </w:pPr>
    </w:p>
    <w:p w14:paraId="6B1973FB">
      <w:pPr>
        <w:snapToGrid/>
        <w:spacing w:beforeAutospacing="0" w:afterAutospacing="0" w:line="360" w:lineRule="auto"/>
        <w:ind w:left="0" w:leftChars="0" w:right="0" w:rightChars="0" w:firstLine="640" w:firstLineChars="200"/>
        <w:jc w:val="both"/>
        <w:outlineLvl w:val="9"/>
        <w:rPr>
          <w:rFonts w:ascii="Times New Roman" w:eastAsia="仿宋" w:cs="方正小标宋简体"/>
          <w:sz w:val="32"/>
          <w:szCs w:val="44"/>
        </w:rPr>
      </w:pPr>
      <w:r>
        <w:rPr>
          <w:rFonts w:hint="eastAsia" w:ascii="Times New Roman" w:eastAsia="仿宋"/>
          <w:sz w:val="32"/>
          <w:lang w:bidi="ar"/>
        </w:rPr>
        <w:t>部门预算项目支出绩效自评表（2024年度）见附件</w:t>
      </w:r>
    </w:p>
    <w:p w14:paraId="0095937B">
      <w:pPr>
        <w:pStyle w:val="8"/>
        <w:snapToGrid/>
        <w:spacing w:beforeLines="0" w:beforeAutospacing="0" w:afterAutospacing="0" w:line="360" w:lineRule="auto"/>
        <w:ind w:left="0" w:leftChars="0" w:right="0" w:rightChars="0" w:firstLine="640" w:firstLineChars="200"/>
        <w:jc w:val="both"/>
        <w:rPr>
          <w:rFonts w:ascii="Times New Roman" w:eastAsia="仿宋" w:cs="宋体"/>
          <w:color w:val="auto"/>
          <w:sz w:val="32"/>
          <w:szCs w:val="32"/>
          <w:highlight w:val="yellow"/>
          <w:shd w:val="clear" w:color="auto" w:fill="FFFFFF"/>
          <w:lang w:val="zh-CN"/>
        </w:rPr>
      </w:pPr>
    </w:p>
    <w:p w14:paraId="18582DBE">
      <w:pPr>
        <w:snapToGrid/>
        <w:spacing w:beforeAutospacing="0" w:afterAutospacing="0" w:line="360" w:lineRule="auto"/>
        <w:ind w:left="0" w:leftChars="0" w:right="0" w:rightChars="0" w:firstLine="640" w:firstLineChars="200"/>
        <w:jc w:val="both"/>
        <w:rPr>
          <w:rFonts w:ascii="Times New Roman" w:eastAsia="仿宋" w:cs="黑体"/>
          <w:kern w:val="0"/>
          <w:sz w:val="32"/>
          <w:szCs w:val="32"/>
          <w:shd w:val="clear" w:color="auto" w:fill="FFFFFF"/>
          <w:lang w:val="zh-CN"/>
        </w:rPr>
      </w:pPr>
      <w:r>
        <w:rPr>
          <w:rFonts w:hint="eastAsia" w:ascii="Times New Roman" w:eastAsia="仿宋" w:cs="黑体"/>
          <w:kern w:val="0"/>
          <w:sz w:val="32"/>
          <w:szCs w:val="32"/>
          <w:shd w:val="clear" w:color="auto" w:fill="FFFFFF"/>
          <w:lang w:val="zh-CN"/>
        </w:rPr>
        <w:br w:type="page"/>
      </w:r>
    </w:p>
    <w:p w14:paraId="7B076C8E">
      <w:pPr>
        <w:snapToGrid/>
        <w:spacing w:before="260" w:beforeAutospacing="0" w:after="260" w:afterAutospacing="0" w:line="416" w:lineRule="auto"/>
        <w:ind w:left="0" w:leftChars="0" w:right="0" w:rightChars="0" w:firstLine="0" w:firstLineChars="0"/>
        <w:jc w:val="center"/>
        <w:outlineLvl w:val="0"/>
        <w:rPr>
          <w:rStyle w:val="28"/>
          <w:rFonts w:hint="eastAsia" w:ascii="宋体" w:eastAsia="宋体"/>
          <w:b/>
          <w:sz w:val="44"/>
        </w:rPr>
      </w:pPr>
      <w:bookmarkStart w:id="104" w:name="_Toc21141"/>
      <w:bookmarkStart w:id="105" w:name="_Toc25308"/>
      <w:bookmarkStart w:id="106" w:name="_Toc4144"/>
      <w:bookmarkStart w:id="107" w:name="_Toc15396618"/>
      <w:r>
        <w:rPr>
          <w:rFonts w:hint="eastAsia" w:ascii="宋体" w:eastAsia="宋体"/>
          <w:b/>
          <w:sz w:val="44"/>
          <w:szCs w:val="44"/>
        </w:rPr>
        <w:t>第</w:t>
      </w:r>
      <w:r>
        <w:rPr>
          <w:rStyle w:val="28"/>
          <w:rFonts w:hint="eastAsia" w:ascii="宋体" w:eastAsia="宋体"/>
          <w:b/>
          <w:sz w:val="44"/>
        </w:rPr>
        <w:t>五部分 附表</w:t>
      </w:r>
      <w:bookmarkEnd w:id="103"/>
      <w:bookmarkEnd w:id="104"/>
      <w:bookmarkEnd w:id="105"/>
      <w:bookmarkEnd w:id="106"/>
      <w:bookmarkEnd w:id="107"/>
      <w:bookmarkStart w:id="108" w:name="_Toc15396619"/>
    </w:p>
    <w:bookmarkEnd w:id="108"/>
    <w:p w14:paraId="6B1FB23B">
      <w:pPr>
        <w:pStyle w:val="6"/>
        <w:ind w:firstLine="640" w:firstLineChars="200"/>
        <w:outlineLvl w:val="1"/>
        <w:rPr>
          <w:rFonts w:hint="eastAsia" w:ascii="仿宋" w:hAnsi="仿宋" w:eastAsia="仿宋"/>
          <w:b w:val="0"/>
        </w:rPr>
      </w:pPr>
      <w:r>
        <w:rPr>
          <w:rFonts w:hint="eastAsia" w:ascii="仿宋" w:hAnsi="仿宋" w:eastAsia="仿宋"/>
          <w:b w:val="0"/>
        </w:rPr>
        <w:t>一、收入支出决算总表</w:t>
      </w:r>
    </w:p>
    <w:p w14:paraId="1562D7B4">
      <w:pPr>
        <w:pStyle w:val="6"/>
        <w:ind w:firstLine="640" w:firstLineChars="200"/>
        <w:outlineLvl w:val="1"/>
        <w:rPr>
          <w:rFonts w:hint="eastAsia" w:ascii="仿宋" w:hAnsi="仿宋" w:eastAsia="仿宋"/>
          <w:b w:val="0"/>
        </w:rPr>
      </w:pPr>
      <w:r>
        <w:rPr>
          <w:rFonts w:hint="eastAsia" w:ascii="仿宋" w:hAnsi="仿宋" w:eastAsia="仿宋"/>
          <w:b w:val="0"/>
        </w:rPr>
        <w:t>二、收入决算表</w:t>
      </w:r>
    </w:p>
    <w:p w14:paraId="6914B553">
      <w:pPr>
        <w:pStyle w:val="6"/>
        <w:ind w:firstLine="640" w:firstLineChars="200"/>
        <w:outlineLvl w:val="1"/>
        <w:rPr>
          <w:rFonts w:hint="eastAsia" w:ascii="仿宋" w:hAnsi="仿宋" w:eastAsia="仿宋"/>
          <w:b w:val="0"/>
        </w:rPr>
      </w:pPr>
      <w:r>
        <w:rPr>
          <w:rFonts w:hint="eastAsia" w:ascii="仿宋" w:hAnsi="仿宋" w:eastAsia="仿宋"/>
          <w:b w:val="0"/>
        </w:rPr>
        <w:t>三、支出决算表</w:t>
      </w:r>
    </w:p>
    <w:p w14:paraId="2737678F">
      <w:pPr>
        <w:pStyle w:val="6"/>
        <w:ind w:firstLine="640" w:firstLineChars="200"/>
        <w:outlineLvl w:val="1"/>
        <w:rPr>
          <w:rFonts w:hint="eastAsia" w:ascii="仿宋" w:hAnsi="仿宋" w:eastAsia="仿宋"/>
          <w:b w:val="0"/>
        </w:rPr>
      </w:pPr>
      <w:r>
        <w:rPr>
          <w:rFonts w:hint="eastAsia" w:ascii="仿宋" w:hAnsi="仿宋" w:eastAsia="仿宋"/>
          <w:b w:val="0"/>
        </w:rPr>
        <w:t>四、财政拨款收入支出决算总表</w:t>
      </w:r>
    </w:p>
    <w:p w14:paraId="70A90EDF">
      <w:pPr>
        <w:pStyle w:val="6"/>
        <w:ind w:firstLine="640" w:firstLineChars="200"/>
        <w:outlineLvl w:val="1"/>
        <w:rPr>
          <w:rFonts w:hint="eastAsia" w:ascii="仿宋" w:hAnsi="仿宋" w:eastAsia="仿宋"/>
          <w:b w:val="0"/>
        </w:rPr>
      </w:pPr>
      <w:r>
        <w:rPr>
          <w:rFonts w:hint="eastAsia" w:ascii="仿宋" w:hAnsi="仿宋" w:eastAsia="仿宋"/>
          <w:b w:val="0"/>
        </w:rPr>
        <w:t>五、财政拨款支出决算明细表</w:t>
      </w:r>
    </w:p>
    <w:p w14:paraId="0E93D51F">
      <w:pPr>
        <w:pStyle w:val="6"/>
        <w:ind w:firstLine="640" w:firstLineChars="200"/>
        <w:outlineLvl w:val="1"/>
        <w:rPr>
          <w:rFonts w:hint="eastAsia" w:ascii="仿宋" w:hAnsi="仿宋" w:eastAsia="仿宋"/>
          <w:b w:val="0"/>
        </w:rPr>
      </w:pPr>
      <w:r>
        <w:rPr>
          <w:rFonts w:hint="eastAsia" w:ascii="仿宋" w:hAnsi="仿宋" w:eastAsia="仿宋"/>
          <w:b w:val="0"/>
        </w:rPr>
        <w:t>六、一般公共预算财政拨款支出决算表</w:t>
      </w:r>
    </w:p>
    <w:p w14:paraId="783F6631">
      <w:pPr>
        <w:pStyle w:val="6"/>
        <w:ind w:firstLine="640" w:firstLineChars="200"/>
        <w:outlineLvl w:val="1"/>
        <w:rPr>
          <w:rFonts w:hint="eastAsia" w:ascii="仿宋" w:hAnsi="仿宋" w:eastAsia="仿宋"/>
          <w:b w:val="0"/>
        </w:rPr>
      </w:pPr>
      <w:r>
        <w:rPr>
          <w:rFonts w:hint="eastAsia" w:ascii="仿宋" w:hAnsi="仿宋" w:eastAsia="仿宋"/>
          <w:b w:val="0"/>
        </w:rPr>
        <w:t>七、一般公共预算财政拨款支出决算明细表</w:t>
      </w:r>
    </w:p>
    <w:p w14:paraId="431C3577">
      <w:pPr>
        <w:pStyle w:val="6"/>
        <w:ind w:firstLine="640" w:firstLineChars="200"/>
        <w:outlineLvl w:val="1"/>
        <w:rPr>
          <w:rFonts w:hint="eastAsia" w:ascii="仿宋" w:hAnsi="仿宋" w:eastAsia="仿宋"/>
          <w:b w:val="0"/>
        </w:rPr>
      </w:pPr>
      <w:r>
        <w:rPr>
          <w:rFonts w:hint="eastAsia" w:ascii="仿宋" w:hAnsi="仿宋" w:eastAsia="仿宋"/>
          <w:b w:val="0"/>
        </w:rPr>
        <w:t>八、一般公共预算财政拨款基本支出决算表</w:t>
      </w:r>
    </w:p>
    <w:p w14:paraId="234FC87F">
      <w:pPr>
        <w:pStyle w:val="6"/>
        <w:ind w:firstLine="640" w:firstLineChars="200"/>
        <w:outlineLvl w:val="1"/>
        <w:rPr>
          <w:rFonts w:hint="eastAsia" w:ascii="仿宋" w:hAnsi="仿宋" w:eastAsia="仿宋"/>
          <w:b w:val="0"/>
        </w:rPr>
      </w:pPr>
      <w:r>
        <w:rPr>
          <w:rFonts w:hint="eastAsia" w:ascii="仿宋" w:hAnsi="仿宋" w:eastAsia="仿宋"/>
          <w:b w:val="0"/>
        </w:rPr>
        <w:t>九、一般公共预算财政拨款项目支出决算表</w:t>
      </w:r>
    </w:p>
    <w:p w14:paraId="03FBE97E">
      <w:pPr>
        <w:pStyle w:val="6"/>
        <w:ind w:firstLine="640" w:firstLineChars="200"/>
        <w:outlineLvl w:val="1"/>
        <w:rPr>
          <w:rFonts w:hint="eastAsia" w:ascii="仿宋" w:hAnsi="仿宋" w:eastAsia="仿宋"/>
          <w:b w:val="0"/>
        </w:rPr>
      </w:pPr>
      <w:r>
        <w:rPr>
          <w:rFonts w:hint="eastAsia" w:ascii="仿宋" w:hAnsi="仿宋" w:eastAsia="仿宋"/>
          <w:b w:val="0"/>
        </w:rPr>
        <w:t>十、政府性基金预算财政拨款收入支出决算表</w:t>
      </w:r>
    </w:p>
    <w:p w14:paraId="762F3DFD">
      <w:pPr>
        <w:pStyle w:val="6"/>
        <w:ind w:firstLine="640" w:firstLineChars="200"/>
        <w:outlineLvl w:val="1"/>
        <w:rPr>
          <w:rFonts w:hint="eastAsia" w:ascii="仿宋" w:hAnsi="仿宋" w:eastAsia="仿宋"/>
          <w:b w:val="0"/>
        </w:rPr>
      </w:pPr>
      <w:r>
        <w:rPr>
          <w:rFonts w:hint="eastAsia" w:ascii="仿宋" w:hAnsi="仿宋" w:eastAsia="仿宋"/>
          <w:b w:val="0"/>
        </w:rPr>
        <w:t>十一、国有资本经营预算财政拨款收入支出决算表</w:t>
      </w:r>
    </w:p>
    <w:p w14:paraId="7AAE3BCB">
      <w:pPr>
        <w:pStyle w:val="6"/>
        <w:ind w:firstLine="640" w:firstLineChars="200"/>
        <w:outlineLvl w:val="1"/>
        <w:rPr>
          <w:rFonts w:hint="eastAsia" w:ascii="仿宋" w:hAnsi="仿宋" w:eastAsia="仿宋"/>
          <w:b w:val="0"/>
        </w:rPr>
      </w:pPr>
      <w:r>
        <w:rPr>
          <w:rFonts w:hint="eastAsia" w:ascii="仿宋" w:hAnsi="仿宋" w:eastAsia="仿宋"/>
          <w:b w:val="0"/>
        </w:rPr>
        <w:t>十二、国有资本经营预算财政拨款支出决算表</w:t>
      </w:r>
    </w:p>
    <w:p w14:paraId="3B2C6E26">
      <w:pPr>
        <w:pStyle w:val="6"/>
        <w:ind w:firstLine="640" w:firstLineChars="200"/>
        <w:outlineLvl w:val="1"/>
        <w:rPr>
          <w:rFonts w:hint="eastAsia" w:ascii="仿宋" w:hAnsi="仿宋" w:eastAsia="仿宋"/>
          <w:b w:val="0"/>
        </w:rPr>
      </w:pPr>
      <w:r>
        <w:rPr>
          <w:rFonts w:hint="eastAsia" w:ascii="仿宋" w:hAnsi="仿宋" w:eastAsia="仿宋"/>
          <w:b w:val="0"/>
        </w:rPr>
        <w:t>十三、财政拨款“三公”经费支出决算表</w:t>
      </w:r>
    </w:p>
    <w:p w14:paraId="41F052AF">
      <w:pPr>
        <w:pStyle w:val="6"/>
        <w:rPr>
          <w:rFonts w:hint="eastAsia" w:ascii="仿宋" w:hAnsi="仿宋" w:eastAsia="仿宋"/>
          <w:b w:val="0"/>
        </w:rPr>
      </w:pPr>
    </w:p>
    <w:sectPr>
      <w:footerReference r:id="rId10" w:type="first"/>
      <w:footerReference r:id="rId9" w:type="default"/>
      <w:pgSz w:w="11906" w:h="16838"/>
      <w:pgMar w:top="1440" w:right="1800" w:bottom="1440" w:left="1800" w:header="851" w:footer="992" w:gutter="0"/>
      <w:pgNumType w:fmt="decimal" w:start="15"/>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
    <w:altName w:val="国标仿宋"/>
    <w:panose1 w:val="00000000000000000000"/>
    <w:charset w:val="00"/>
    <w:family w:val="roman"/>
    <w:pitch w:val="default"/>
    <w:sig w:usb0="00000000" w:usb1="00000000" w:usb2="00000000" w:usb3="00000000" w:csb0="00000000" w:csb1="00000000"/>
  </w:font>
  <w:font w:name="国标仿宋">
    <w:panose1 w:val="02000500000000000000"/>
    <w:charset w:val="86"/>
    <w:family w:val="auto"/>
    <w:pitch w:val="default"/>
    <w:sig w:usb0="A00002BF" w:usb1="38C77CFA" w:usb2="00000016" w:usb3="00000000" w:csb0="00060007"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53467">
    <w:pPr>
      <w:pStyle w:val="11"/>
      <w:jc w:val="center"/>
    </w:pPr>
  </w:p>
  <w:p w14:paraId="7B9231AF">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0105D">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A2B5E">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DD7A3">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FDCE1BA">
                          <w:pPr>
                            <w:pStyle w:val="11"/>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tZlUyAgAAY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W1mVTICAABjBAAADgAAAAAAAAABACAAAAAfAQAAZHJzL2Uyb0RvYy54bWxQSwUG&#10;AAAAAAYABgBZAQAAwwUAAAAA&#10;">
              <v:fill on="f" focussize="0,0"/>
              <v:stroke on="f" weight="0.5pt"/>
              <v:imagedata o:title=""/>
              <o:lock v:ext="edit" aspectratio="f"/>
              <v:textbox inset="0mm,0mm,0mm,0mm" style="mso-fit-shape-to-text:t;">
                <w:txbxContent>
                  <w:p w14:paraId="3FDCE1BA">
                    <w:pPr>
                      <w:pStyle w:val="11"/>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3F6C0">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5C990D7">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14:paraId="65C990D7">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CD3D9">
    <w:pPr>
      <w:pStyle w:val="11"/>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85AF41">
                          <w:pPr>
                            <w:pStyle w:val="11"/>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3985AF41">
                    <w:pPr>
                      <w:pStyle w:val="11"/>
                    </w:pPr>
                    <w:r>
                      <w:fldChar w:fldCharType="begin"/>
                    </w:r>
                    <w:r>
                      <w:instrText xml:space="preserve"> PAGE  \* MERGEFORMAT </w:instrText>
                    </w:r>
                    <w:r>
                      <w:fldChar w:fldCharType="separate"/>
                    </w:r>
                    <w:r>
                      <w:t>16</w:t>
                    </w:r>
                    <w:r>
                      <w:fldChar w:fldCharType="end"/>
                    </w:r>
                  </w:p>
                </w:txbxContent>
              </v:textbox>
            </v:shape>
          </w:pict>
        </mc:Fallback>
      </mc:AlternateContent>
    </w:r>
  </w:p>
  <w:p w14:paraId="55B914AF">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45E31C">
    <w:pPr>
      <w:pStyle w:val="11"/>
      <w:rPr>
        <w:rFonts w:hint="default"/>
        <w:lang w:val="en-US"/>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9EDCD6">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29EDCD6">
                    <w:pPr>
                      <w:pStyle w:val="11"/>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B9A191">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A424D"/>
    <w:multiLevelType w:val="multilevel"/>
    <w:tmpl w:val="63EA424D"/>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0A51"/>
    <w:rsid w:val="00005E0A"/>
    <w:rsid w:val="00006F21"/>
    <w:rsid w:val="000222C6"/>
    <w:rsid w:val="0002549F"/>
    <w:rsid w:val="000468DB"/>
    <w:rsid w:val="0006487A"/>
    <w:rsid w:val="00065F8F"/>
    <w:rsid w:val="00070A43"/>
    <w:rsid w:val="000768F2"/>
    <w:rsid w:val="000830BF"/>
    <w:rsid w:val="00091651"/>
    <w:rsid w:val="0009184B"/>
    <w:rsid w:val="00094236"/>
    <w:rsid w:val="0009593C"/>
    <w:rsid w:val="00097322"/>
    <w:rsid w:val="000A6A92"/>
    <w:rsid w:val="000B047F"/>
    <w:rsid w:val="000B5923"/>
    <w:rsid w:val="000B5A48"/>
    <w:rsid w:val="000B6FF3"/>
    <w:rsid w:val="000C3467"/>
    <w:rsid w:val="000C3CA6"/>
    <w:rsid w:val="000D0BA4"/>
    <w:rsid w:val="000D1267"/>
    <w:rsid w:val="000D1D50"/>
    <w:rsid w:val="000D4FC9"/>
    <w:rsid w:val="000D5782"/>
    <w:rsid w:val="000E6613"/>
    <w:rsid w:val="000E7119"/>
    <w:rsid w:val="000F4215"/>
    <w:rsid w:val="00112FEF"/>
    <w:rsid w:val="00114E9B"/>
    <w:rsid w:val="00142216"/>
    <w:rsid w:val="00144D6A"/>
    <w:rsid w:val="0014729F"/>
    <w:rsid w:val="00157BAB"/>
    <w:rsid w:val="001654D1"/>
    <w:rsid w:val="00174518"/>
    <w:rsid w:val="0018106D"/>
    <w:rsid w:val="001877A7"/>
    <w:rsid w:val="00191536"/>
    <w:rsid w:val="001938D0"/>
    <w:rsid w:val="00196687"/>
    <w:rsid w:val="001C0962"/>
    <w:rsid w:val="001D7531"/>
    <w:rsid w:val="001E737D"/>
    <w:rsid w:val="001F0592"/>
    <w:rsid w:val="001F7506"/>
    <w:rsid w:val="002006CD"/>
    <w:rsid w:val="00202B36"/>
    <w:rsid w:val="0020386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FE"/>
    <w:rsid w:val="002D6D05"/>
    <w:rsid w:val="002D73CE"/>
    <w:rsid w:val="002F1818"/>
    <w:rsid w:val="002F567B"/>
    <w:rsid w:val="00305095"/>
    <w:rsid w:val="00317590"/>
    <w:rsid w:val="003216A9"/>
    <w:rsid w:val="00335A74"/>
    <w:rsid w:val="0036561B"/>
    <w:rsid w:val="0037013F"/>
    <w:rsid w:val="00380C92"/>
    <w:rsid w:val="003A484F"/>
    <w:rsid w:val="003A4883"/>
    <w:rsid w:val="003B0BE0"/>
    <w:rsid w:val="003B0C1B"/>
    <w:rsid w:val="003B4A9C"/>
    <w:rsid w:val="003B688C"/>
    <w:rsid w:val="003C0291"/>
    <w:rsid w:val="003C39AE"/>
    <w:rsid w:val="003C7B60"/>
    <w:rsid w:val="003D0C0F"/>
    <w:rsid w:val="003D1FB2"/>
    <w:rsid w:val="003D66DA"/>
    <w:rsid w:val="003E1310"/>
    <w:rsid w:val="003E6F55"/>
    <w:rsid w:val="00402B71"/>
    <w:rsid w:val="00406254"/>
    <w:rsid w:val="0040779D"/>
    <w:rsid w:val="004223DE"/>
    <w:rsid w:val="00427DEB"/>
    <w:rsid w:val="00434489"/>
    <w:rsid w:val="00437085"/>
    <w:rsid w:val="00443880"/>
    <w:rsid w:val="004464F4"/>
    <w:rsid w:val="004629D4"/>
    <w:rsid w:val="00471401"/>
    <w:rsid w:val="00473F31"/>
    <w:rsid w:val="0048263A"/>
    <w:rsid w:val="00487E5D"/>
    <w:rsid w:val="004A2BEE"/>
    <w:rsid w:val="004A711F"/>
    <w:rsid w:val="004B199D"/>
    <w:rsid w:val="004B4690"/>
    <w:rsid w:val="004E0A2D"/>
    <w:rsid w:val="004E206B"/>
    <w:rsid w:val="004E3B38"/>
    <w:rsid w:val="004E6DF7"/>
    <w:rsid w:val="004F0FBD"/>
    <w:rsid w:val="00505A47"/>
    <w:rsid w:val="00512FDA"/>
    <w:rsid w:val="00520DA0"/>
    <w:rsid w:val="00522D49"/>
    <w:rsid w:val="005664BB"/>
    <w:rsid w:val="00566FFA"/>
    <w:rsid w:val="0057481D"/>
    <w:rsid w:val="0058486E"/>
    <w:rsid w:val="00585B33"/>
    <w:rsid w:val="0059014D"/>
    <w:rsid w:val="00595804"/>
    <w:rsid w:val="005B5C64"/>
    <w:rsid w:val="005B64D0"/>
    <w:rsid w:val="005C5337"/>
    <w:rsid w:val="005C6BD0"/>
    <w:rsid w:val="005C7218"/>
    <w:rsid w:val="005D1C8B"/>
    <w:rsid w:val="005D468D"/>
    <w:rsid w:val="005D5CED"/>
    <w:rsid w:val="005E13D9"/>
    <w:rsid w:val="005F1A4C"/>
    <w:rsid w:val="00605688"/>
    <w:rsid w:val="006070AF"/>
    <w:rsid w:val="00607E6C"/>
    <w:rsid w:val="006101B1"/>
    <w:rsid w:val="00612B0E"/>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1817"/>
    <w:rsid w:val="007127B7"/>
    <w:rsid w:val="0071798E"/>
    <w:rsid w:val="007416B6"/>
    <w:rsid w:val="00746F48"/>
    <w:rsid w:val="0075404D"/>
    <w:rsid w:val="0076182A"/>
    <w:rsid w:val="007627A7"/>
    <w:rsid w:val="00767B7E"/>
    <w:rsid w:val="007770C3"/>
    <w:rsid w:val="00784D24"/>
    <w:rsid w:val="00785FBA"/>
    <w:rsid w:val="00786E4A"/>
    <w:rsid w:val="007875EB"/>
    <w:rsid w:val="0079426B"/>
    <w:rsid w:val="007D1682"/>
    <w:rsid w:val="007D312A"/>
    <w:rsid w:val="007D3F19"/>
    <w:rsid w:val="007D4F02"/>
    <w:rsid w:val="007E23B0"/>
    <w:rsid w:val="007E23E5"/>
    <w:rsid w:val="007F1991"/>
    <w:rsid w:val="007F2C2F"/>
    <w:rsid w:val="007F55FC"/>
    <w:rsid w:val="007F5665"/>
    <w:rsid w:val="00800112"/>
    <w:rsid w:val="00813348"/>
    <w:rsid w:val="00815B59"/>
    <w:rsid w:val="00822537"/>
    <w:rsid w:val="008253BB"/>
    <w:rsid w:val="0083706E"/>
    <w:rsid w:val="008408F6"/>
    <w:rsid w:val="008423A5"/>
    <w:rsid w:val="00850625"/>
    <w:rsid w:val="00853718"/>
    <w:rsid w:val="00855221"/>
    <w:rsid w:val="00860645"/>
    <w:rsid w:val="00871F71"/>
    <w:rsid w:val="00872FD8"/>
    <w:rsid w:val="00885AF4"/>
    <w:rsid w:val="008939CD"/>
    <w:rsid w:val="008B768C"/>
    <w:rsid w:val="008C3BF8"/>
    <w:rsid w:val="008C4DB1"/>
    <w:rsid w:val="008C4EAF"/>
    <w:rsid w:val="008C5176"/>
    <w:rsid w:val="008C7FD0"/>
    <w:rsid w:val="008E1DE7"/>
    <w:rsid w:val="008E707C"/>
    <w:rsid w:val="008F5E2C"/>
    <w:rsid w:val="00900B08"/>
    <w:rsid w:val="00902155"/>
    <w:rsid w:val="00902FA3"/>
    <w:rsid w:val="009215C7"/>
    <w:rsid w:val="00923564"/>
    <w:rsid w:val="0092392E"/>
    <w:rsid w:val="009315F9"/>
    <w:rsid w:val="00933499"/>
    <w:rsid w:val="00935C98"/>
    <w:rsid w:val="00945B7B"/>
    <w:rsid w:val="00945D5E"/>
    <w:rsid w:val="00946945"/>
    <w:rsid w:val="00951248"/>
    <w:rsid w:val="0095152F"/>
    <w:rsid w:val="00954C49"/>
    <w:rsid w:val="00955E37"/>
    <w:rsid w:val="0097099F"/>
    <w:rsid w:val="00971997"/>
    <w:rsid w:val="00971FFC"/>
    <w:rsid w:val="0098660A"/>
    <w:rsid w:val="00987B97"/>
    <w:rsid w:val="009931C3"/>
    <w:rsid w:val="009A21C7"/>
    <w:rsid w:val="009B2C43"/>
    <w:rsid w:val="009B4EAE"/>
    <w:rsid w:val="009B7573"/>
    <w:rsid w:val="009C22F4"/>
    <w:rsid w:val="009C2A4B"/>
    <w:rsid w:val="009C2E98"/>
    <w:rsid w:val="009C3D4A"/>
    <w:rsid w:val="009D3447"/>
    <w:rsid w:val="009D4711"/>
    <w:rsid w:val="009F0ADE"/>
    <w:rsid w:val="009F1185"/>
    <w:rsid w:val="009F18CD"/>
    <w:rsid w:val="009F2A13"/>
    <w:rsid w:val="009F7527"/>
    <w:rsid w:val="00A00B9A"/>
    <w:rsid w:val="00A04EB0"/>
    <w:rsid w:val="00A13CC1"/>
    <w:rsid w:val="00A16847"/>
    <w:rsid w:val="00A237D8"/>
    <w:rsid w:val="00A268C4"/>
    <w:rsid w:val="00A307CD"/>
    <w:rsid w:val="00A331C8"/>
    <w:rsid w:val="00A33E7F"/>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23C72"/>
    <w:rsid w:val="00B310B9"/>
    <w:rsid w:val="00B35F3F"/>
    <w:rsid w:val="00B36CBB"/>
    <w:rsid w:val="00B425E0"/>
    <w:rsid w:val="00B43102"/>
    <w:rsid w:val="00B440AA"/>
    <w:rsid w:val="00B44B70"/>
    <w:rsid w:val="00B53C56"/>
    <w:rsid w:val="00B55143"/>
    <w:rsid w:val="00B57DAF"/>
    <w:rsid w:val="00B77EA6"/>
    <w:rsid w:val="00B81598"/>
    <w:rsid w:val="00B841F1"/>
    <w:rsid w:val="00B944D6"/>
    <w:rsid w:val="00BB4DF0"/>
    <w:rsid w:val="00BC289F"/>
    <w:rsid w:val="00BC2D50"/>
    <w:rsid w:val="00BC5361"/>
    <w:rsid w:val="00BC5460"/>
    <w:rsid w:val="00BC6B50"/>
    <w:rsid w:val="00BD0E25"/>
    <w:rsid w:val="00BF4F49"/>
    <w:rsid w:val="00BF5BD6"/>
    <w:rsid w:val="00C03E31"/>
    <w:rsid w:val="00C22E01"/>
    <w:rsid w:val="00C33E72"/>
    <w:rsid w:val="00C354B2"/>
    <w:rsid w:val="00C35554"/>
    <w:rsid w:val="00C42709"/>
    <w:rsid w:val="00C533CC"/>
    <w:rsid w:val="00C5751C"/>
    <w:rsid w:val="00C61BFC"/>
    <w:rsid w:val="00C62B85"/>
    <w:rsid w:val="00C65438"/>
    <w:rsid w:val="00C87FD8"/>
    <w:rsid w:val="00C91381"/>
    <w:rsid w:val="00C91CBB"/>
    <w:rsid w:val="00C933A7"/>
    <w:rsid w:val="00CA7BB5"/>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0260"/>
    <w:rsid w:val="00D51276"/>
    <w:rsid w:val="00D65921"/>
    <w:rsid w:val="00D7035F"/>
    <w:rsid w:val="00D8082F"/>
    <w:rsid w:val="00D82E3E"/>
    <w:rsid w:val="00DA62E1"/>
    <w:rsid w:val="00DA634F"/>
    <w:rsid w:val="00DA65AC"/>
    <w:rsid w:val="00DB1913"/>
    <w:rsid w:val="00DC32AC"/>
    <w:rsid w:val="00DC410D"/>
    <w:rsid w:val="00DC5A81"/>
    <w:rsid w:val="00DC68CA"/>
    <w:rsid w:val="00DC7CBA"/>
    <w:rsid w:val="00DD73B7"/>
    <w:rsid w:val="00DF28BC"/>
    <w:rsid w:val="00DF34B9"/>
    <w:rsid w:val="00E01053"/>
    <w:rsid w:val="00E072ED"/>
    <w:rsid w:val="00E07ACF"/>
    <w:rsid w:val="00E331A1"/>
    <w:rsid w:val="00E33202"/>
    <w:rsid w:val="00E336A9"/>
    <w:rsid w:val="00E472B1"/>
    <w:rsid w:val="00E5058F"/>
    <w:rsid w:val="00E50624"/>
    <w:rsid w:val="00E54633"/>
    <w:rsid w:val="00E568DF"/>
    <w:rsid w:val="00E641FB"/>
    <w:rsid w:val="00E64269"/>
    <w:rsid w:val="00E82267"/>
    <w:rsid w:val="00E853CE"/>
    <w:rsid w:val="00E867B6"/>
    <w:rsid w:val="00EA010F"/>
    <w:rsid w:val="00EC7515"/>
    <w:rsid w:val="00ED1B63"/>
    <w:rsid w:val="00ED3C1F"/>
    <w:rsid w:val="00ED4085"/>
    <w:rsid w:val="00ED420E"/>
    <w:rsid w:val="00ED6FBE"/>
    <w:rsid w:val="00EE2F57"/>
    <w:rsid w:val="00EF4C34"/>
    <w:rsid w:val="00EF77C6"/>
    <w:rsid w:val="00F00BB3"/>
    <w:rsid w:val="00F05438"/>
    <w:rsid w:val="00F06302"/>
    <w:rsid w:val="00F1361C"/>
    <w:rsid w:val="00F156F0"/>
    <w:rsid w:val="00F160C7"/>
    <w:rsid w:val="00F2408F"/>
    <w:rsid w:val="00F240E9"/>
    <w:rsid w:val="00F36D8F"/>
    <w:rsid w:val="00F417B1"/>
    <w:rsid w:val="00F45853"/>
    <w:rsid w:val="00F602DF"/>
    <w:rsid w:val="00F60BFA"/>
    <w:rsid w:val="00F66872"/>
    <w:rsid w:val="00F754A1"/>
    <w:rsid w:val="00F81FD9"/>
    <w:rsid w:val="00F841AA"/>
    <w:rsid w:val="00F84A94"/>
    <w:rsid w:val="00F87E96"/>
    <w:rsid w:val="00FA23E8"/>
    <w:rsid w:val="00FD3CC1"/>
    <w:rsid w:val="00FF1E02"/>
    <w:rsid w:val="00FF30B4"/>
    <w:rsid w:val="012A5EC2"/>
    <w:rsid w:val="015975B8"/>
    <w:rsid w:val="02FEBE30"/>
    <w:rsid w:val="033E4BBF"/>
    <w:rsid w:val="04916F1E"/>
    <w:rsid w:val="061E35DE"/>
    <w:rsid w:val="066E0107"/>
    <w:rsid w:val="07996F6E"/>
    <w:rsid w:val="07DFD8BA"/>
    <w:rsid w:val="09867E8F"/>
    <w:rsid w:val="0A2032A3"/>
    <w:rsid w:val="0ACA1294"/>
    <w:rsid w:val="0CA8290A"/>
    <w:rsid w:val="0D35B1ED"/>
    <w:rsid w:val="0E254B6B"/>
    <w:rsid w:val="0F98263C"/>
    <w:rsid w:val="101860EC"/>
    <w:rsid w:val="101F47CC"/>
    <w:rsid w:val="10C055FF"/>
    <w:rsid w:val="11694EBD"/>
    <w:rsid w:val="11772AA4"/>
    <w:rsid w:val="118107EC"/>
    <w:rsid w:val="11AC0F46"/>
    <w:rsid w:val="12E24EE2"/>
    <w:rsid w:val="13D50BC4"/>
    <w:rsid w:val="141C0605"/>
    <w:rsid w:val="14B17F78"/>
    <w:rsid w:val="165E0673"/>
    <w:rsid w:val="16B831D5"/>
    <w:rsid w:val="16BB723D"/>
    <w:rsid w:val="17E50567"/>
    <w:rsid w:val="186504BB"/>
    <w:rsid w:val="19A445FC"/>
    <w:rsid w:val="19EB4760"/>
    <w:rsid w:val="1BE8440E"/>
    <w:rsid w:val="1D155CEE"/>
    <w:rsid w:val="1D1638FE"/>
    <w:rsid w:val="1D5B5751"/>
    <w:rsid w:val="1E312DEB"/>
    <w:rsid w:val="1E740ACF"/>
    <w:rsid w:val="1E95493A"/>
    <w:rsid w:val="1FF35744"/>
    <w:rsid w:val="1FF6BC77"/>
    <w:rsid w:val="2186353C"/>
    <w:rsid w:val="2346766E"/>
    <w:rsid w:val="23860B96"/>
    <w:rsid w:val="240371BF"/>
    <w:rsid w:val="244F3473"/>
    <w:rsid w:val="24C97D99"/>
    <w:rsid w:val="25A718F0"/>
    <w:rsid w:val="25BB59F6"/>
    <w:rsid w:val="260F557C"/>
    <w:rsid w:val="26970054"/>
    <w:rsid w:val="26D20FF7"/>
    <w:rsid w:val="281408E2"/>
    <w:rsid w:val="286345FC"/>
    <w:rsid w:val="29FD04D3"/>
    <w:rsid w:val="2A1831C5"/>
    <w:rsid w:val="2BFF7BC6"/>
    <w:rsid w:val="2C8A61B5"/>
    <w:rsid w:val="2DA84860"/>
    <w:rsid w:val="2DF04E50"/>
    <w:rsid w:val="2E586DFA"/>
    <w:rsid w:val="2F040D46"/>
    <w:rsid w:val="2F6B035B"/>
    <w:rsid w:val="2FAE5751"/>
    <w:rsid w:val="2FB1A395"/>
    <w:rsid w:val="2FD9A7D8"/>
    <w:rsid w:val="2FDBF714"/>
    <w:rsid w:val="30AB6865"/>
    <w:rsid w:val="319F7F4E"/>
    <w:rsid w:val="32BD1EF1"/>
    <w:rsid w:val="3304709D"/>
    <w:rsid w:val="33A773CB"/>
    <w:rsid w:val="33EA7947"/>
    <w:rsid w:val="349D6851"/>
    <w:rsid w:val="36AA5135"/>
    <w:rsid w:val="36BE0DA7"/>
    <w:rsid w:val="376B6AA6"/>
    <w:rsid w:val="376D39B2"/>
    <w:rsid w:val="37E16F03"/>
    <w:rsid w:val="37F53A3B"/>
    <w:rsid w:val="389B6C89"/>
    <w:rsid w:val="38D469F0"/>
    <w:rsid w:val="39627CCD"/>
    <w:rsid w:val="397BAF1F"/>
    <w:rsid w:val="3A371445"/>
    <w:rsid w:val="3AB79AF3"/>
    <w:rsid w:val="3AE834C0"/>
    <w:rsid w:val="3B7EF35A"/>
    <w:rsid w:val="3B9FDB6C"/>
    <w:rsid w:val="3BF5BC2F"/>
    <w:rsid w:val="3CEBA265"/>
    <w:rsid w:val="3D98207C"/>
    <w:rsid w:val="3DDB1447"/>
    <w:rsid w:val="3DEE7CF3"/>
    <w:rsid w:val="3E740A63"/>
    <w:rsid w:val="3E78745D"/>
    <w:rsid w:val="3EE17838"/>
    <w:rsid w:val="3F55381A"/>
    <w:rsid w:val="3F7F7599"/>
    <w:rsid w:val="3FBB78B9"/>
    <w:rsid w:val="3FF4CAE0"/>
    <w:rsid w:val="3FF7B227"/>
    <w:rsid w:val="44E268DA"/>
    <w:rsid w:val="450D13D7"/>
    <w:rsid w:val="45506656"/>
    <w:rsid w:val="486A6C7A"/>
    <w:rsid w:val="49543DC1"/>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4770964"/>
    <w:rsid w:val="55170BA8"/>
    <w:rsid w:val="553218C9"/>
    <w:rsid w:val="567E1AA5"/>
    <w:rsid w:val="56E47B74"/>
    <w:rsid w:val="57175D52"/>
    <w:rsid w:val="575669BA"/>
    <w:rsid w:val="57BD3DD4"/>
    <w:rsid w:val="5963331B"/>
    <w:rsid w:val="59EA1BD8"/>
    <w:rsid w:val="5A56101C"/>
    <w:rsid w:val="5AF92295"/>
    <w:rsid w:val="5B250254"/>
    <w:rsid w:val="5B493BB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3BE65AF"/>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7CE4E1"/>
    <w:rsid w:val="6F8731EA"/>
    <w:rsid w:val="6FCE6052"/>
    <w:rsid w:val="6FD57C00"/>
    <w:rsid w:val="6FEFFFD8"/>
    <w:rsid w:val="6FF5CC65"/>
    <w:rsid w:val="6FFB47EC"/>
    <w:rsid w:val="6FFF034A"/>
    <w:rsid w:val="70484440"/>
    <w:rsid w:val="712A28F1"/>
    <w:rsid w:val="715C0E4B"/>
    <w:rsid w:val="717A4A65"/>
    <w:rsid w:val="71992E7C"/>
    <w:rsid w:val="71C07997"/>
    <w:rsid w:val="72233669"/>
    <w:rsid w:val="72734D90"/>
    <w:rsid w:val="73160E6D"/>
    <w:rsid w:val="7332FE48"/>
    <w:rsid w:val="73AB61DA"/>
    <w:rsid w:val="73AD73D5"/>
    <w:rsid w:val="73B6EB34"/>
    <w:rsid w:val="73F676A0"/>
    <w:rsid w:val="73FA497D"/>
    <w:rsid w:val="744731E5"/>
    <w:rsid w:val="74BBD01D"/>
    <w:rsid w:val="74ED5379"/>
    <w:rsid w:val="75DEEEC2"/>
    <w:rsid w:val="75E32345"/>
    <w:rsid w:val="763307BC"/>
    <w:rsid w:val="76E3355F"/>
    <w:rsid w:val="76FD1A04"/>
    <w:rsid w:val="76FF5125"/>
    <w:rsid w:val="776F6FFA"/>
    <w:rsid w:val="77872FBE"/>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64EF2"/>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76F6E8B"/>
    <w:rsid w:val="99FF2014"/>
    <w:rsid w:val="A6DD0D7F"/>
    <w:rsid w:val="ACFF4FBB"/>
    <w:rsid w:val="ADC6F725"/>
    <w:rsid w:val="B7CF06AB"/>
    <w:rsid w:val="B7CFA926"/>
    <w:rsid w:val="B7F8786B"/>
    <w:rsid w:val="BABB6AA1"/>
    <w:rsid w:val="BB2F4199"/>
    <w:rsid w:val="BCFFB442"/>
    <w:rsid w:val="BD079C78"/>
    <w:rsid w:val="BD733540"/>
    <w:rsid w:val="BF3735D5"/>
    <w:rsid w:val="BF6F24BD"/>
    <w:rsid w:val="BF7F09AC"/>
    <w:rsid w:val="BFD475C3"/>
    <w:rsid w:val="BFDE5EA6"/>
    <w:rsid w:val="C9FFDD77"/>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9BF069F"/>
    <w:rsid w:val="E9DB5952"/>
    <w:rsid w:val="EB2E368B"/>
    <w:rsid w:val="ECFED1BC"/>
    <w:rsid w:val="ED1D69BB"/>
    <w:rsid w:val="ED7FD312"/>
    <w:rsid w:val="EDF52B8E"/>
    <w:rsid w:val="EF2E1AC6"/>
    <w:rsid w:val="EF53993F"/>
    <w:rsid w:val="EF6FD633"/>
    <w:rsid w:val="EFBFB2F4"/>
    <w:rsid w:val="EFBFFA21"/>
    <w:rsid w:val="F2BEBCB8"/>
    <w:rsid w:val="F36FB518"/>
    <w:rsid w:val="F3DE1A04"/>
    <w:rsid w:val="F3F722E5"/>
    <w:rsid w:val="F4FBCD07"/>
    <w:rsid w:val="F93F2771"/>
    <w:rsid w:val="FA5F1E70"/>
    <w:rsid w:val="FA5FDB97"/>
    <w:rsid w:val="FB7F486A"/>
    <w:rsid w:val="FBFF5B2E"/>
    <w:rsid w:val="FD7FFE2B"/>
    <w:rsid w:val="FDEE196B"/>
    <w:rsid w:val="FDFE6575"/>
    <w:rsid w:val="FEDFDDC2"/>
    <w:rsid w:val="FEED32F6"/>
    <w:rsid w:val="FEF781DD"/>
    <w:rsid w:val="FF3F7E3F"/>
    <w:rsid w:val="FF7F0CD9"/>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200" w:leftChars="200"/>
    </w:pPr>
    <w:rPr>
      <w:rFonts w:ascii="仿宋_GB2312"/>
      <w:szCs w:val="32"/>
    </w:rPr>
  </w:style>
  <w:style w:type="paragraph" w:styleId="8">
    <w:name w:val="Body Text"/>
    <w:basedOn w:val="1"/>
    <w:link w:val="25"/>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2"/>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11"/>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8"/>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5"/>
    <w:qFormat/>
    <w:uiPriority w:val="9"/>
    <w:rPr>
      <w:rFonts w:ascii="Times New Roman" w:hAnsi="Times New Roman"/>
      <w:b/>
      <w:bCs/>
      <w:kern w:val="44"/>
      <w:sz w:val="44"/>
      <w:szCs w:val="44"/>
    </w:rPr>
  </w:style>
  <w:style w:type="character" w:customStyle="1" w:styleId="29">
    <w:name w:val="标题 2 字符"/>
    <w:basedOn w:val="16"/>
    <w:link w:val="6"/>
    <w:qFormat/>
    <w:uiPriority w:val="9"/>
    <w:rPr>
      <w:rFonts w:asciiTheme="majorHAnsi" w:hAnsiTheme="majorHAnsi" w:eastAsiaTheme="majorEastAsia" w:cstheme="majorBidi"/>
      <w:b/>
      <w:bCs/>
      <w:kern w:val="2"/>
      <w:sz w:val="32"/>
      <w:szCs w:val="32"/>
    </w:rPr>
  </w:style>
  <w:style w:type="paragraph" w:customStyle="1" w:styleId="30">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10"/>
    <w:semiHidden/>
    <w:qFormat/>
    <w:uiPriority w:val="99"/>
    <w:rPr>
      <w:rFonts w:ascii="Times New Roman" w:hAnsi="Times New Roman"/>
      <w:kern w:val="2"/>
      <w:sz w:val="18"/>
      <w:szCs w:val="18"/>
    </w:rPr>
  </w:style>
  <w:style w:type="character" w:customStyle="1" w:styleId="32">
    <w:name w:val="标题 3 字符"/>
    <w:basedOn w:val="16"/>
    <w:link w:val="7"/>
    <w:qFormat/>
    <w:uiPriority w:val="9"/>
    <w:rPr>
      <w:rFonts w:ascii="Times New Roman" w:hAnsi="Times New Roman"/>
      <w:b/>
      <w:bCs/>
      <w:kern w:val="2"/>
      <w:sz w:val="32"/>
      <w:szCs w:val="32"/>
    </w:rPr>
  </w:style>
  <w:style w:type="paragraph" w:customStyle="1" w:styleId="33">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收、支决算总计变动情况图</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总收入</c:v>
                </c:pt>
                <c:pt idx="1">
                  <c:v>总支出</c:v>
                </c:pt>
              </c:strCache>
            </c:strRef>
          </c:cat>
          <c:val>
            <c:numRef>
              <c:f>Sheet1!$B$2:$B$3</c:f>
              <c:numCache>
                <c:formatCode>General</c:formatCode>
                <c:ptCount val="2"/>
                <c:pt idx="0">
                  <c:v>7364.73</c:v>
                </c:pt>
                <c:pt idx="1">
                  <c:v>7364.73</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总收入</c:v>
                </c:pt>
                <c:pt idx="1">
                  <c:v>总支出</c:v>
                </c:pt>
              </c:strCache>
            </c:strRef>
          </c:cat>
          <c:val>
            <c:numRef>
              <c:f>Sheet1!$C$2:$C$3</c:f>
              <c:numCache>
                <c:formatCode>General</c:formatCode>
                <c:ptCount val="2"/>
                <c:pt idx="0">
                  <c:v>6992.74</c:v>
                </c:pt>
                <c:pt idx="1">
                  <c:v>6992.74</c:v>
                </c:pt>
              </c:numCache>
            </c:numRef>
          </c:val>
        </c:ser>
        <c:dLbls>
          <c:showLegendKey val="0"/>
          <c:showVal val="1"/>
          <c:showCatName val="0"/>
          <c:showSerName val="0"/>
          <c:showPercent val="0"/>
          <c:showBubbleSize val="0"/>
        </c:dLbls>
        <c:gapWidth val="219"/>
        <c:overlap val="-27"/>
        <c:axId val="1934293823"/>
        <c:axId val="1934292991"/>
      </c:barChart>
      <c:catAx>
        <c:axId val="19342938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92991"/>
        <c:crosses val="autoZero"/>
        <c:auto val="1"/>
        <c:lblAlgn val="ctr"/>
        <c:lblOffset val="100"/>
        <c:noMultiLvlLbl val="0"/>
      </c:catAx>
      <c:valAx>
        <c:axId val="1934292991"/>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93823"/>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5fec669-7140-40d6-9d99-295fd31a7b6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2024</a:t>
            </a:r>
            <a:r>
              <a:rPr lang="zh-CN" altLang="en-US"/>
              <a:t>年收入金额百分比</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Pt>
            <c:idx val="2"/>
            <c:bubble3D val="0"/>
            <c:spPr>
              <a:solidFill>
                <a:schemeClr val="accent4"/>
              </a:solidFill>
              <a:ln w="19050">
                <a:solidFill>
                  <a:schemeClr val="lt1"/>
                </a:solidFill>
              </a:ln>
              <a:effectLst/>
            </c:spPr>
          </c:dPt>
          <c:dLbls>
            <c:numFmt formatCode="0.00%" sourceLinked="0"/>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lang="zh-CN" sz="900" b="0" i="0" u="none" strike="noStrike" kern="1200" baseline="0">
                    <a:solidFill>
                      <a:schemeClr val="dk1">
                        <a:lumMod val="65000"/>
                        <a:lumOff val="35000"/>
                      </a:schemeClr>
                    </a:solidFill>
                    <a:latin typeface="+mn-lt"/>
                    <a:ea typeface="+mn-ea"/>
                    <a:cs typeface="+mn-cs"/>
                  </a:defRPr>
                </a:pPr>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事业收入</c:v>
                </c:pt>
                <c:pt idx="1">
                  <c:v>其他收入</c:v>
                </c:pt>
                <c:pt idx="2">
                  <c:v>一般公共预算财政拨款收入</c:v>
                </c:pt>
              </c:strCache>
            </c:strRef>
          </c:cat>
          <c:val>
            <c:numRef>
              <c:f>Sheet1!$B$2:$B$4</c:f>
              <c:numCache>
                <c:formatCode>General</c:formatCode>
                <c:ptCount val="3"/>
                <c:pt idx="0">
                  <c:v>61.02</c:v>
                </c:pt>
                <c:pt idx="1">
                  <c:v>1.57</c:v>
                </c:pt>
                <c:pt idx="2">
                  <c:v>37.39</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669064579063423"/>
          <c:y val="0.322748185888529"/>
          <c:w val="0.330935385885753"/>
          <c:h val="0.339963490722829"/>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692a0cb-7908-4c15-8312-f67a52a473b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支出决算百分比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92.84</c:v>
                </c:pt>
                <c:pt idx="1">
                  <c:v>7.15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371598939008136"/>
          <c:y val="0.875000284407174"/>
          <c:w val="0.266433713604244"/>
          <c:h val="0.10023191373524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d80fbcc-acea-419a-b800-90b8a0fd585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财政拨款收、支决算总计变动情况（万元）</a:t>
            </a:r>
            <a:endParaRPr lang="zh-CN" altLang="en-US"/>
          </a:p>
        </c:rich>
      </c:tx>
      <c:layout>
        <c:manualLayout>
          <c:xMode val="edge"/>
          <c:yMode val="edge"/>
          <c:x val="0.104325883201154"/>
          <c:y val="0.0279589934762349"/>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2023</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财政拨款收入</c:v>
                </c:pt>
                <c:pt idx="1">
                  <c:v>财政拨款支出</c:v>
                </c:pt>
              </c:strCache>
            </c:strRef>
          </c:cat>
          <c:val>
            <c:numRef>
              <c:f>Sheet1!$B$2:$B$3</c:f>
              <c:numCache>
                <c:formatCode>General</c:formatCode>
                <c:ptCount val="2"/>
                <c:pt idx="0">
                  <c:v>2895.54</c:v>
                </c:pt>
                <c:pt idx="1">
                  <c:v>2895.54</c:v>
                </c:pt>
              </c:numCache>
            </c:numRef>
          </c:val>
        </c:ser>
        <c:ser>
          <c:idx val="1"/>
          <c:order val="1"/>
          <c:tx>
            <c:strRef>
              <c:f>Sheet1!$C$1</c:f>
              <c:strCache>
                <c:ptCount val="1"/>
                <c:pt idx="0">
                  <c:v>2024</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财政拨款收入</c:v>
                </c:pt>
                <c:pt idx="1">
                  <c:v>财政拨款支出</c:v>
                </c:pt>
              </c:strCache>
            </c:strRef>
          </c:cat>
          <c:val>
            <c:numRef>
              <c:f>Sheet1!$C$2:$C$3</c:f>
              <c:numCache>
                <c:formatCode>General</c:formatCode>
                <c:ptCount val="2"/>
                <c:pt idx="0">
                  <c:v>2614.74</c:v>
                </c:pt>
                <c:pt idx="1">
                  <c:v>2614.74</c:v>
                </c:pt>
              </c:numCache>
            </c:numRef>
          </c:val>
        </c:ser>
        <c:dLbls>
          <c:showLegendKey val="0"/>
          <c:showVal val="1"/>
          <c:showCatName val="0"/>
          <c:showSerName val="0"/>
          <c:showPercent val="0"/>
          <c:showBubbleSize val="0"/>
        </c:dLbls>
        <c:gapWidth val="219"/>
        <c:overlap val="-27"/>
        <c:axId val="1934290495"/>
        <c:axId val="1934286335"/>
      </c:barChart>
      <c:catAx>
        <c:axId val="19342904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86335"/>
        <c:crosses val="autoZero"/>
        <c:auto val="1"/>
        <c:lblAlgn val="ctr"/>
        <c:lblOffset val="100"/>
        <c:noMultiLvlLbl val="0"/>
      </c:catAx>
      <c:valAx>
        <c:axId val="1934286335"/>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90495"/>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4eba287-0916-45f8-90dd-d72bbf7eac5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t>一般公共预算财政拨款支出决算变动情况（万元）</a:t>
            </a:r>
            <a:endParaRPr lang="zh-CN"/>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2895.54</c:v>
                </c:pt>
              </c:numCache>
            </c:numRef>
          </c:val>
        </c:ser>
        <c:ser>
          <c:idx val="1"/>
          <c:order val="1"/>
          <c:tx>
            <c:strRef>
              <c:f>Sheet1!$C$1</c:f>
              <c:strCache>
                <c:ptCount val="1"/>
                <c:pt idx="0">
                  <c:v>2024</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2614.74</c:v>
                </c:pt>
              </c:numCache>
            </c:numRef>
          </c:val>
        </c:ser>
        <c:dLbls>
          <c:showLegendKey val="0"/>
          <c:showVal val="1"/>
          <c:showCatName val="0"/>
          <c:showSerName val="0"/>
          <c:showPercent val="0"/>
          <c:showBubbleSize val="0"/>
        </c:dLbls>
        <c:gapWidth val="219"/>
        <c:overlap val="-27"/>
        <c:axId val="450141423"/>
        <c:axId val="450141839"/>
      </c:barChart>
      <c:catAx>
        <c:axId val="450141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0141839"/>
        <c:crosses val="autoZero"/>
        <c:auto val="1"/>
        <c:lblAlgn val="ctr"/>
        <c:lblOffset val="100"/>
        <c:noMultiLvlLbl val="0"/>
      </c:catAx>
      <c:valAx>
        <c:axId val="450141839"/>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0141423"/>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71379e2-806c-47f0-9630-e9f17765850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2024</a:t>
            </a:r>
            <a:r>
              <a:rPr lang="zh-CN" altLang="en-US"/>
              <a:t>年一般公共预算财政拨款支出决算结构百分比</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2023年一般公共预算财政拨款支出决算结构百分比</c:v>
                </c:pt>
              </c:strCache>
            </c:strRef>
          </c:tx>
          <c:spPr/>
          <c:explosion val="0"/>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Pt>
            <c:idx val="2"/>
            <c:bubble3D val="0"/>
            <c:spPr>
              <a:solidFill>
                <a:schemeClr val="accent4"/>
              </a:solidFill>
              <a:ln w="19050">
                <a:solidFill>
                  <a:schemeClr val="lt1"/>
                </a:solidFill>
              </a:ln>
              <a:effectLst/>
            </c:spPr>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0.2285</c:v>
                </c:pt>
                <c:pt idx="1">
                  <c:v>0.7173</c:v>
                </c:pt>
                <c:pt idx="2">
                  <c:v>0.0542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4e56e44-df7e-4233-806b-965c4d3c6e5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AE7002-39BC-4D73-A0AA-55B7D0DB85C7}">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21</Pages>
  <Words>5610</Words>
  <Characters>6148</Characters>
  <Lines>1</Lines>
  <Paragraphs>1</Paragraphs>
  <TotalTime>2</TotalTime>
  <ScaleCrop>false</ScaleCrop>
  <LinksUpToDate>false</LinksUpToDate>
  <CharactersWithSpaces>6222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2025-10-21T08:08:00Z</dcterms:created>
  <dc:creator>曹颖</dc:creator>
  <cp:lastModifiedBy>user</cp:lastModifiedBy>
  <cp:lastPrinted>2025-08-07T17:34:00Z</cp:lastPrinted>
  <dcterms:modified xsi:type="dcterms:W3CDTF">2025-10-27T11:17:09Z</dcterms:modified>
  <dc:title>四川省***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04787F2533EB45DC91BCDE4AB213247F</vt:lpwstr>
  </property>
  <property fmtid="{D5CDD505-2E9C-101B-9397-08002B2CF9AE}" pid="4" name="KSOTemplateDocerSaveRecord">
    <vt:lpwstr>eyJoZGlkIjoiZTAwZTAwZWQzYTk5ZWRiNWQ4MmIwNWI4MDI3MmQ4YzkiLCJ1c2VySWQiOiIzMTM3Nzg2MTQifQ==</vt:lpwstr>
  </property>
</Properties>
</file>