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AAD58C">
      <w:pPr>
        <w:pStyle w:val="6"/>
        <w:spacing w:before="93"/>
        <w:rPr>
          <w:rFonts w:ascii="Times New Roman" w:eastAsia="方正小标宋简体"/>
          <w:kern w:val="2"/>
          <w:sz w:val="72"/>
          <w:szCs w:val="72"/>
        </w:rPr>
      </w:pPr>
      <w:bookmarkStart w:id="0" w:name="_Toc15396475"/>
      <w:bookmarkStart w:id="1" w:name="_Toc15378441"/>
      <w:bookmarkStart w:id="2" w:name="_Toc15306267"/>
      <w:bookmarkStart w:id="3" w:name="_Toc15396597"/>
      <w:bookmarkStart w:id="4" w:name="_Toc15377193"/>
      <w:bookmarkStart w:id="5" w:name="_Toc15377425"/>
    </w:p>
    <w:p w14:paraId="6472B62E">
      <w:pPr>
        <w:pStyle w:val="6"/>
        <w:spacing w:before="93"/>
        <w:rPr>
          <w:rFonts w:ascii="Times New Roman" w:eastAsia="方正小标宋简体"/>
          <w:kern w:val="2"/>
          <w:sz w:val="72"/>
          <w:szCs w:val="72"/>
        </w:rPr>
      </w:pPr>
    </w:p>
    <w:p w14:paraId="3C6BC5EF">
      <w:pPr>
        <w:pStyle w:val="6"/>
        <w:spacing w:before="93"/>
        <w:rPr>
          <w:rFonts w:ascii="Times New Roman" w:eastAsia="方正小标宋简体"/>
          <w:kern w:val="2"/>
          <w:sz w:val="72"/>
          <w:szCs w:val="72"/>
        </w:rPr>
      </w:pPr>
    </w:p>
    <w:p w14:paraId="27132DC8">
      <w:pPr>
        <w:pStyle w:val="6"/>
        <w:spacing w:before="93"/>
        <w:jc w:val="center"/>
        <w:rPr>
          <w:rFonts w:ascii="Times New Roman" w:eastAsia="方正小标宋简体"/>
          <w:kern w:val="2"/>
          <w:sz w:val="72"/>
          <w:szCs w:val="72"/>
        </w:rPr>
      </w:pPr>
      <w:r>
        <w:rPr>
          <w:rFonts w:hint="eastAsia" w:ascii="Times New Roman" w:eastAsia="方正小标宋简体"/>
          <w:kern w:val="2"/>
          <w:sz w:val="72"/>
          <w:szCs w:val="72"/>
        </w:rPr>
        <w:t>2024年度</w:t>
      </w:r>
    </w:p>
    <w:p w14:paraId="533C82A4">
      <w:pPr>
        <w:pStyle w:val="6"/>
        <w:spacing w:before="93"/>
        <w:jc w:val="center"/>
        <w:rPr>
          <w:rFonts w:ascii="Times New Roman" w:eastAsia="方正小标宋简体"/>
          <w:kern w:val="2"/>
          <w:sz w:val="72"/>
          <w:szCs w:val="72"/>
        </w:rPr>
      </w:pPr>
      <w:r>
        <w:rPr>
          <w:rFonts w:hint="eastAsia" w:ascii="Times New Roman" w:eastAsia="方正小标宋简体"/>
          <w:kern w:val="2"/>
          <w:sz w:val="72"/>
          <w:szCs w:val="72"/>
        </w:rPr>
        <w:t>盐边县信访局部门决算</w:t>
      </w:r>
    </w:p>
    <w:p w14:paraId="45681C51">
      <w:pPr>
        <w:pStyle w:val="6"/>
        <w:spacing w:before="93"/>
        <w:jc w:val="center"/>
        <w:rPr>
          <w:rFonts w:ascii="Times New Roman" w:eastAsia="方正小标宋简体"/>
          <w:kern w:val="2"/>
          <w:sz w:val="72"/>
          <w:szCs w:val="72"/>
        </w:rPr>
      </w:pPr>
      <w:r>
        <w:rPr>
          <w:rFonts w:hint="eastAsia" w:ascii="Times New Roman" w:eastAsia="方正小标宋简体"/>
          <w:kern w:val="2"/>
          <w:sz w:val="72"/>
          <w:szCs w:val="72"/>
        </w:rPr>
        <w:t>公开编制说明</w:t>
      </w:r>
    </w:p>
    <w:p w14:paraId="2541F517">
      <w:pPr>
        <w:spacing w:line="600" w:lineRule="exact"/>
        <w:jc w:val="center"/>
        <w:outlineLvl w:val="0"/>
        <w:rPr>
          <w:rFonts w:eastAsia="方正小标宋简体"/>
          <w:sz w:val="72"/>
          <w:szCs w:val="72"/>
        </w:rPr>
      </w:pPr>
    </w:p>
    <w:p w14:paraId="4A75ECBA">
      <w:pPr>
        <w:pStyle w:val="2"/>
        <w:rPr>
          <w:rFonts w:ascii="Times New Roman" w:hAnsi="Times New Roman"/>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decimal"/>
          <w:cols w:space="425" w:num="1"/>
          <w:docGrid w:type="lines" w:linePitch="312" w:charSpace="0"/>
        </w:sectPr>
      </w:pPr>
    </w:p>
    <w:p w14:paraId="3DEA95D1"/>
    <w:bookmarkEnd w:id="0"/>
    <w:bookmarkEnd w:id="1"/>
    <w:bookmarkEnd w:id="2"/>
    <w:bookmarkEnd w:id="3"/>
    <w:bookmarkEnd w:id="4"/>
    <w:bookmarkEnd w:id="5"/>
    <w:p w14:paraId="498D6DE2">
      <w:pPr>
        <w:widowControl/>
        <w:jc w:val="center"/>
        <w:rPr>
          <w:rFonts w:eastAsia="黑体"/>
          <w:sz w:val="48"/>
          <w:szCs w:val="48"/>
        </w:rPr>
      </w:pPr>
      <w:r>
        <w:rPr>
          <w:rFonts w:hint="eastAsia" w:eastAsia="黑体"/>
          <w:sz w:val="48"/>
          <w:szCs w:val="48"/>
        </w:rPr>
        <w:t>目录</w:t>
      </w:r>
    </w:p>
    <w:p w14:paraId="1F154EC3">
      <w:pPr>
        <w:widowControl/>
        <w:jc w:val="center"/>
        <w:rPr>
          <w:rFonts w:eastAsia="黑体" w:cstheme="minorBidi"/>
          <w:sz w:val="28"/>
          <w:szCs w:val="28"/>
        </w:rPr>
      </w:pPr>
    </w:p>
    <w:p w14:paraId="6AE15FD5">
      <w:pPr>
        <w:pStyle w:val="13"/>
        <w:rPr>
          <w:rFonts w:ascii="Times New Roman" w:hAnsi="Times New Roman" w:eastAsia="仿宋_GB2312" w:cs="仿宋_GB2312"/>
          <w:sz w:val="32"/>
          <w:szCs w:val="32"/>
        </w:rPr>
      </w:pPr>
      <w:r>
        <w:rPr>
          <w:rFonts w:hint="eastAsia" w:ascii="Times New Roman" w:hAnsi="Times New Roman" w:eastAsia="仿宋_GB2312" w:cs="仿宋_GB2312"/>
          <w:sz w:val="32"/>
          <w:szCs w:val="32"/>
        </w:rPr>
        <w:t>公开时间：2025年 10 月 28 日</w:t>
      </w:r>
    </w:p>
    <w:p w14:paraId="14C81757"/>
    <w:p w14:paraId="347B174C">
      <w:pPr>
        <w:pStyle w:val="13"/>
        <w:keepNext w:val="0"/>
        <w:keepLines w:val="0"/>
        <w:pageBreakBefore w:val="0"/>
        <w:kinsoku/>
        <w:wordWrap/>
        <w:overflowPunct/>
        <w:topLinePunct w:val="0"/>
        <w:autoSpaceDE/>
        <w:autoSpaceDN/>
        <w:bidi w:val="0"/>
        <w:adjustRightInd w:val="0"/>
        <w:snapToGrid w:val="0"/>
        <w:spacing w:before="0" w:line="560" w:lineRule="exact"/>
        <w:ind w:left="0" w:leftChars="0" w:firstLine="640" w:firstLineChars="200"/>
        <w:jc w:val="left"/>
        <w:textAlignment w:val="auto"/>
        <w:rPr>
          <w:rFonts w:ascii="Times New Roman" w:hAnsi="Times New Roman" w:eastAsia="黑体" w:cs="黑体"/>
          <w:sz w:val="32"/>
          <w:szCs w:val="32"/>
        </w:rPr>
      </w:pPr>
      <w:r>
        <w:rPr>
          <w:rFonts w:hint="eastAsia" w:ascii="Times New Roman" w:hAnsi="Times New Roman" w:eastAsia="黑体" w:cs="黑体"/>
          <w:sz w:val="32"/>
          <w:szCs w:val="32"/>
        </w:rPr>
        <w:t>第一部分 部门概况</w:t>
      </w:r>
      <w:r>
        <w:rPr>
          <w:rFonts w:hint="eastAsia" w:ascii="仿宋_GB2312" w:hAnsi="仿宋_GB2312" w:eastAsia="仿宋_GB2312" w:cs="仿宋_GB2312"/>
          <w:sz w:val="24"/>
          <w:szCs w:val="24"/>
          <w:lang w:val="en-US" w:eastAsia="zh-CN"/>
        </w:rPr>
        <w:t>............................................4</w:t>
      </w:r>
    </w:p>
    <w:p w14:paraId="67DB68A4">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一、部门职责</w:t>
      </w:r>
      <w:r>
        <w:rPr>
          <w:rFonts w:hint="eastAsia" w:ascii="仿宋_GB2312" w:hAnsi="仿宋_GB2312" w:eastAsia="仿宋_GB2312" w:cs="仿宋_GB2312"/>
          <w:sz w:val="24"/>
          <w:szCs w:val="24"/>
          <w:lang w:val="en-US" w:eastAsia="zh-CN"/>
        </w:rPr>
        <w:t>....................................................4</w:t>
      </w:r>
    </w:p>
    <w:p w14:paraId="644EDC0D">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二、机构设置</w:t>
      </w:r>
      <w:r>
        <w:rPr>
          <w:rFonts w:hint="eastAsia" w:ascii="仿宋_GB2312" w:hAnsi="仿宋_GB2312" w:eastAsia="仿宋_GB2312" w:cs="仿宋_GB2312"/>
          <w:sz w:val="24"/>
          <w:szCs w:val="24"/>
          <w:lang w:val="en-US" w:eastAsia="zh-CN"/>
        </w:rPr>
        <w:t>....................................................5</w:t>
      </w:r>
    </w:p>
    <w:p w14:paraId="312C0690">
      <w:pPr>
        <w:pStyle w:val="13"/>
        <w:adjustRightInd w:val="0"/>
        <w:snapToGrid w:val="0"/>
        <w:spacing w:before="0" w:line="560" w:lineRule="exact"/>
        <w:ind w:firstLine="640" w:firstLineChars="200"/>
        <w:jc w:val="left"/>
        <w:rPr>
          <w:rFonts w:hint="default" w:ascii="Times New Roman" w:hAnsi="Times New Roman" w:eastAsia="黑体" w:cs="黑体"/>
          <w:sz w:val="32"/>
          <w:szCs w:val="32"/>
          <w:lang w:val="en-US"/>
        </w:rPr>
      </w:pPr>
      <w:r>
        <w:rPr>
          <w:rFonts w:hint="eastAsia" w:ascii="Times New Roman" w:hAnsi="Times New Roman" w:eastAsia="黑体" w:cs="黑体"/>
          <w:sz w:val="32"/>
          <w:szCs w:val="32"/>
        </w:rPr>
        <w:t>第二部分 2024年度部门决算情况说明</w:t>
      </w:r>
      <w:r>
        <w:rPr>
          <w:rFonts w:hint="eastAsia" w:ascii="仿宋_GB2312" w:hAnsi="仿宋_GB2312" w:eastAsia="仿宋_GB2312" w:cs="仿宋_GB2312"/>
          <w:sz w:val="24"/>
          <w:szCs w:val="24"/>
          <w:lang w:val="en-US" w:eastAsia="zh-CN"/>
        </w:rPr>
        <w:t>.......................6</w:t>
      </w:r>
    </w:p>
    <w:p w14:paraId="74A53AF5">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一、收入支出决算总体情况说明</w:t>
      </w:r>
      <w:r>
        <w:rPr>
          <w:rFonts w:hint="eastAsia" w:ascii="仿宋_GB2312" w:hAnsi="仿宋_GB2312" w:eastAsia="仿宋_GB2312" w:cs="仿宋_GB2312"/>
          <w:sz w:val="24"/>
          <w:szCs w:val="24"/>
          <w:lang w:val="en-US" w:eastAsia="zh-CN"/>
        </w:rPr>
        <w:t>...............................6</w:t>
      </w:r>
    </w:p>
    <w:p w14:paraId="47B18181">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二、收入决算情况说明</w:t>
      </w:r>
      <w:r>
        <w:rPr>
          <w:rFonts w:hint="eastAsia" w:ascii="仿宋_GB2312" w:hAnsi="仿宋_GB2312" w:eastAsia="仿宋_GB2312" w:cs="仿宋_GB2312"/>
          <w:sz w:val="24"/>
          <w:szCs w:val="24"/>
          <w:lang w:val="en-US" w:eastAsia="zh-CN"/>
        </w:rPr>
        <w:t>..........................................6</w:t>
      </w:r>
    </w:p>
    <w:p w14:paraId="52814E7A">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三、支出决算情况说明</w:t>
      </w:r>
      <w:r>
        <w:rPr>
          <w:rFonts w:hint="eastAsia" w:ascii="仿宋_GB2312" w:hAnsi="仿宋_GB2312" w:eastAsia="仿宋_GB2312" w:cs="仿宋_GB2312"/>
          <w:sz w:val="24"/>
          <w:szCs w:val="24"/>
          <w:lang w:val="en-US" w:eastAsia="zh-CN"/>
        </w:rPr>
        <w:t>..........................................7</w:t>
      </w:r>
    </w:p>
    <w:p w14:paraId="22E891E7">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四、财政拨款收入支出决算总体情况说明</w:t>
      </w:r>
      <w:r>
        <w:rPr>
          <w:rFonts w:hint="eastAsia" w:ascii="仿宋_GB2312" w:hAnsi="仿宋_GB2312" w:eastAsia="仿宋_GB2312" w:cs="仿宋_GB2312"/>
          <w:sz w:val="24"/>
          <w:szCs w:val="24"/>
          <w:lang w:val="en-US" w:eastAsia="zh-CN"/>
        </w:rPr>
        <w:t>....................7</w:t>
      </w:r>
    </w:p>
    <w:p w14:paraId="75E7ED92">
      <w:pPr>
        <w:pStyle w:val="15"/>
        <w:adjustRightInd w:val="0"/>
        <w:snapToGrid w:val="0"/>
        <w:spacing w:line="560" w:lineRule="exact"/>
        <w:ind w:left="0" w:leftChars="0" w:firstLine="640" w:firstLineChars="200"/>
        <w:jc w:val="left"/>
        <w:rPr>
          <w:rFonts w:hint="default" w:ascii="仿宋_GB2312" w:hAnsi="仿宋_GB2312" w:eastAsia="仿宋_GB2312" w:cs="仿宋_GB2312"/>
          <w:sz w:val="24"/>
          <w:szCs w:val="24"/>
          <w:lang w:val="en-US" w:eastAsia="zh-CN"/>
        </w:rPr>
      </w:pPr>
      <w:r>
        <w:rPr>
          <w:rFonts w:hint="eastAsia" w:eastAsia="仿宋_GB2312" w:cs="仿宋_GB2312"/>
          <w:sz w:val="32"/>
          <w:szCs w:val="32"/>
        </w:rPr>
        <w:t>五、一般公共预算财政拨款支出决算情况说明</w:t>
      </w:r>
      <w:r>
        <w:rPr>
          <w:rFonts w:hint="eastAsia" w:ascii="仿宋_GB2312" w:hAnsi="仿宋_GB2312" w:eastAsia="仿宋_GB2312" w:cs="仿宋_GB2312"/>
          <w:sz w:val="24"/>
          <w:szCs w:val="24"/>
          <w:lang w:val="en-US" w:eastAsia="zh-CN"/>
        </w:rPr>
        <w:t>...............8</w:t>
      </w:r>
    </w:p>
    <w:p w14:paraId="1BA33EBA">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六、一般公共预算财政拨款基本支出决算情况说明</w:t>
      </w:r>
      <w:r>
        <w:rPr>
          <w:rFonts w:hint="eastAsia" w:ascii="仿宋_GB2312" w:hAnsi="仿宋_GB2312" w:eastAsia="仿宋_GB2312" w:cs="仿宋_GB2312"/>
          <w:sz w:val="24"/>
          <w:szCs w:val="24"/>
          <w:lang w:val="en-US" w:eastAsia="zh-CN"/>
        </w:rPr>
        <w:t>.........11</w:t>
      </w:r>
    </w:p>
    <w:p w14:paraId="346FE772">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七、财政拨款“三公”经费支出决算情况说明</w:t>
      </w:r>
      <w:r>
        <w:rPr>
          <w:rFonts w:hint="eastAsia" w:ascii="仿宋_GB2312" w:hAnsi="仿宋_GB2312" w:eastAsia="仿宋_GB2312" w:cs="仿宋_GB2312"/>
          <w:sz w:val="24"/>
          <w:szCs w:val="24"/>
          <w:lang w:val="en-US" w:eastAsia="zh-CN"/>
        </w:rPr>
        <w:t>.................12</w:t>
      </w:r>
    </w:p>
    <w:p w14:paraId="2C2139DA">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八、政府性基金预算支出决算情况说明</w:t>
      </w:r>
      <w:r>
        <w:rPr>
          <w:rFonts w:hint="eastAsia" w:ascii="仿宋_GB2312" w:hAnsi="仿宋_GB2312" w:eastAsia="仿宋_GB2312" w:cs="仿宋_GB2312"/>
          <w:sz w:val="24"/>
          <w:szCs w:val="24"/>
          <w:lang w:val="en-US" w:eastAsia="zh-CN"/>
        </w:rPr>
        <w:t>......................14</w:t>
      </w:r>
    </w:p>
    <w:p w14:paraId="6A9EC404">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九、国有资本经营预算支出决算情况说明</w:t>
      </w:r>
      <w:r>
        <w:rPr>
          <w:rFonts w:hint="eastAsia" w:ascii="仿宋_GB2312" w:hAnsi="仿宋_GB2312" w:eastAsia="仿宋_GB2312" w:cs="仿宋_GB2312"/>
          <w:sz w:val="24"/>
          <w:szCs w:val="24"/>
          <w:lang w:val="en-US" w:eastAsia="zh-CN"/>
        </w:rPr>
        <w:t>...................14</w:t>
      </w:r>
    </w:p>
    <w:p w14:paraId="0B1DC5C3">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十、其他重要事项的情况说明</w:t>
      </w:r>
      <w:r>
        <w:rPr>
          <w:rFonts w:hint="eastAsia" w:ascii="仿宋_GB2312" w:hAnsi="仿宋_GB2312" w:eastAsia="仿宋_GB2312" w:cs="仿宋_GB2312"/>
          <w:sz w:val="24"/>
          <w:szCs w:val="24"/>
          <w:lang w:val="en-US" w:eastAsia="zh-CN"/>
        </w:rPr>
        <w:t>.................................17</w:t>
      </w:r>
    </w:p>
    <w:p w14:paraId="0DC034FA">
      <w:pPr>
        <w:pStyle w:val="13"/>
        <w:adjustRightInd w:val="0"/>
        <w:snapToGrid w:val="0"/>
        <w:spacing w:before="0" w:line="560" w:lineRule="exact"/>
        <w:ind w:firstLine="640" w:firstLineChars="200"/>
        <w:jc w:val="left"/>
        <w:rPr>
          <w:rFonts w:hint="default" w:ascii="Times New Roman" w:hAnsi="Times New Roman" w:eastAsia="黑体" w:cs="黑体"/>
          <w:sz w:val="32"/>
          <w:szCs w:val="32"/>
          <w:lang w:val="en-US"/>
        </w:rPr>
      </w:pPr>
      <w:r>
        <w:rPr>
          <w:rFonts w:hint="eastAsia" w:ascii="Times New Roman" w:hAnsi="Times New Roman" w:eastAsia="黑体" w:cs="黑体"/>
          <w:sz w:val="32"/>
          <w:szCs w:val="32"/>
        </w:rPr>
        <w:t>第三部分名词解释</w:t>
      </w:r>
      <w:r>
        <w:rPr>
          <w:rFonts w:hint="eastAsia" w:ascii="仿宋_GB2312" w:hAnsi="仿宋_GB2312" w:eastAsia="仿宋_GB2312" w:cs="仿宋_GB2312"/>
          <w:sz w:val="24"/>
          <w:szCs w:val="24"/>
          <w:lang w:val="en-US" w:eastAsia="zh-CN"/>
        </w:rPr>
        <w:t>.............................................21</w:t>
      </w:r>
    </w:p>
    <w:p w14:paraId="2BFC7F14">
      <w:pPr>
        <w:pStyle w:val="13"/>
        <w:adjustRightInd w:val="0"/>
        <w:snapToGrid w:val="0"/>
        <w:spacing w:before="0" w:line="560" w:lineRule="exact"/>
        <w:ind w:firstLine="640" w:firstLineChars="200"/>
        <w:jc w:val="left"/>
        <w:rPr>
          <w:rFonts w:hint="default" w:ascii="Times New Roman" w:hAnsi="Times New Roman" w:eastAsia="黑体" w:cs="黑体"/>
          <w:sz w:val="32"/>
          <w:szCs w:val="32"/>
          <w:lang w:val="en-US"/>
        </w:rPr>
      </w:pPr>
      <w:r>
        <w:rPr>
          <w:rFonts w:hint="eastAsia" w:ascii="Times New Roman" w:hAnsi="Times New Roman" w:eastAsia="黑体" w:cs="黑体"/>
          <w:sz w:val="32"/>
          <w:szCs w:val="32"/>
        </w:rPr>
        <w:t>第四部分 附件</w:t>
      </w:r>
      <w:r>
        <w:rPr>
          <w:rFonts w:hint="eastAsia" w:ascii="仿宋_GB2312" w:hAnsi="仿宋_GB2312" w:eastAsia="仿宋_GB2312" w:cs="仿宋_GB2312"/>
          <w:sz w:val="24"/>
          <w:szCs w:val="24"/>
          <w:lang w:val="en-US" w:eastAsia="zh-CN"/>
        </w:rPr>
        <w:t>.................................................39</w:t>
      </w:r>
    </w:p>
    <w:p w14:paraId="32279F7B">
      <w:pPr>
        <w:pStyle w:val="13"/>
        <w:adjustRightInd w:val="0"/>
        <w:snapToGrid w:val="0"/>
        <w:spacing w:before="0" w:line="560" w:lineRule="exact"/>
        <w:ind w:firstLine="640" w:firstLineChars="200"/>
        <w:jc w:val="left"/>
        <w:rPr>
          <w:rFonts w:hint="default" w:ascii="Times New Roman" w:hAnsi="Times New Roman" w:eastAsia="黑体" w:cs="黑体"/>
          <w:sz w:val="32"/>
          <w:szCs w:val="32"/>
          <w:lang w:val="en-US"/>
        </w:rPr>
      </w:pPr>
      <w:r>
        <w:rPr>
          <w:rFonts w:hint="eastAsia" w:ascii="Times New Roman" w:hAnsi="Times New Roman" w:eastAsia="黑体" w:cs="黑体"/>
          <w:sz w:val="32"/>
          <w:szCs w:val="32"/>
        </w:rPr>
        <w:t>第五部分 附表</w:t>
      </w:r>
      <w:r>
        <w:rPr>
          <w:rFonts w:hint="eastAsia" w:ascii="仿宋_GB2312" w:hAnsi="仿宋_GB2312" w:eastAsia="仿宋_GB2312" w:cs="仿宋_GB2312"/>
          <w:sz w:val="24"/>
          <w:szCs w:val="24"/>
          <w:lang w:val="en-US" w:eastAsia="zh-CN"/>
        </w:rPr>
        <w:t>.................................................40</w:t>
      </w:r>
    </w:p>
    <w:p w14:paraId="56928F47">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一、收入支出决算总表</w:t>
      </w:r>
      <w:r>
        <w:rPr>
          <w:rFonts w:hint="eastAsia" w:ascii="仿宋_GB2312" w:hAnsi="仿宋_GB2312" w:eastAsia="仿宋_GB2312" w:cs="仿宋_GB2312"/>
          <w:sz w:val="24"/>
          <w:szCs w:val="24"/>
          <w:lang w:val="en-US" w:eastAsia="zh-CN"/>
        </w:rPr>
        <w:t>.........................................40</w:t>
      </w:r>
    </w:p>
    <w:p w14:paraId="1C3C14AF">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二、收入决算表</w:t>
      </w:r>
      <w:r>
        <w:rPr>
          <w:rFonts w:hint="eastAsia" w:ascii="仿宋_GB2312" w:hAnsi="仿宋_GB2312" w:eastAsia="仿宋_GB2312" w:cs="仿宋_GB2312"/>
          <w:sz w:val="24"/>
          <w:szCs w:val="24"/>
          <w:lang w:val="en-US" w:eastAsia="zh-CN"/>
        </w:rPr>
        <w:t>.................................................40</w:t>
      </w:r>
    </w:p>
    <w:p w14:paraId="02967958">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三、支出决算表</w:t>
      </w:r>
      <w:r>
        <w:rPr>
          <w:rFonts w:hint="eastAsia" w:ascii="仿宋_GB2312" w:hAnsi="仿宋_GB2312" w:eastAsia="仿宋_GB2312" w:cs="仿宋_GB2312"/>
          <w:sz w:val="24"/>
          <w:szCs w:val="24"/>
          <w:lang w:val="en-US" w:eastAsia="zh-CN"/>
        </w:rPr>
        <w:t>................................................40</w:t>
      </w:r>
    </w:p>
    <w:p w14:paraId="73F39928">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四、财政拨款收入支出决算总表</w:t>
      </w:r>
      <w:r>
        <w:rPr>
          <w:rFonts w:hint="eastAsia" w:ascii="仿宋_GB2312" w:hAnsi="仿宋_GB2312" w:eastAsia="仿宋_GB2312" w:cs="仿宋_GB2312"/>
          <w:sz w:val="24"/>
          <w:szCs w:val="24"/>
          <w:lang w:val="en-US" w:eastAsia="zh-CN"/>
        </w:rPr>
        <w:t>..............................40</w:t>
      </w:r>
    </w:p>
    <w:p w14:paraId="5F16BAE7">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五、财政拨款支出决算明细表</w:t>
      </w:r>
      <w:r>
        <w:rPr>
          <w:rFonts w:hint="eastAsia" w:ascii="仿宋_GB2312" w:hAnsi="仿宋_GB2312" w:eastAsia="仿宋_GB2312" w:cs="仿宋_GB2312"/>
          <w:sz w:val="24"/>
          <w:szCs w:val="24"/>
          <w:lang w:val="en-US" w:eastAsia="zh-CN"/>
        </w:rPr>
        <w:t>.................................40</w:t>
      </w:r>
    </w:p>
    <w:p w14:paraId="35D471BB">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六、一般公共预算财政拨款支出决算表</w:t>
      </w:r>
      <w:r>
        <w:rPr>
          <w:rFonts w:hint="eastAsia" w:ascii="仿宋_GB2312" w:hAnsi="仿宋_GB2312" w:eastAsia="仿宋_GB2312" w:cs="仿宋_GB2312"/>
          <w:sz w:val="24"/>
          <w:szCs w:val="24"/>
          <w:lang w:val="en-US" w:eastAsia="zh-CN"/>
        </w:rPr>
        <w:t>......................40</w:t>
      </w:r>
    </w:p>
    <w:p w14:paraId="2C95B855">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七、一般公共预算财政拨款支出决算明细表</w:t>
      </w:r>
      <w:r>
        <w:rPr>
          <w:rFonts w:hint="eastAsia" w:ascii="仿宋_GB2312" w:hAnsi="仿宋_GB2312" w:eastAsia="仿宋_GB2312" w:cs="仿宋_GB2312"/>
          <w:sz w:val="24"/>
          <w:szCs w:val="24"/>
          <w:lang w:val="en-US" w:eastAsia="zh-CN"/>
        </w:rPr>
        <w:t>.................40</w:t>
      </w:r>
    </w:p>
    <w:p w14:paraId="10A0872C">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八、一般公共预算财政拨款基本支出决算明细表</w:t>
      </w:r>
      <w:r>
        <w:rPr>
          <w:rFonts w:hint="eastAsia" w:ascii="仿宋_GB2312" w:hAnsi="仿宋_GB2312" w:eastAsia="仿宋_GB2312" w:cs="仿宋_GB2312"/>
          <w:sz w:val="24"/>
          <w:szCs w:val="24"/>
          <w:lang w:val="en-US" w:eastAsia="zh-CN"/>
        </w:rPr>
        <w:t>...........40</w:t>
      </w:r>
    </w:p>
    <w:p w14:paraId="36E99380">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九、一般公共预算财政拨款项目支出决算表</w:t>
      </w:r>
      <w:r>
        <w:rPr>
          <w:rFonts w:hint="eastAsia" w:ascii="仿宋_GB2312" w:hAnsi="仿宋_GB2312" w:eastAsia="仿宋_GB2312" w:cs="仿宋_GB2312"/>
          <w:sz w:val="24"/>
          <w:szCs w:val="24"/>
          <w:lang w:val="en-US" w:eastAsia="zh-CN"/>
        </w:rPr>
        <w:t>.................40</w:t>
      </w:r>
    </w:p>
    <w:p w14:paraId="0D0D3E94">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十、政府性基金预算财政拨款收入支出决算表</w:t>
      </w:r>
      <w:r>
        <w:rPr>
          <w:rFonts w:hint="eastAsia" w:ascii="仿宋_GB2312" w:hAnsi="仿宋_GB2312" w:eastAsia="仿宋_GB2312" w:cs="仿宋_GB2312"/>
          <w:sz w:val="24"/>
          <w:szCs w:val="24"/>
          <w:lang w:val="en-US" w:eastAsia="zh-CN"/>
        </w:rPr>
        <w:t>..............40</w:t>
      </w:r>
    </w:p>
    <w:p w14:paraId="17D968FE">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十一、国有资本经营预算财政拨款收入支出决算表</w:t>
      </w:r>
      <w:r>
        <w:rPr>
          <w:rFonts w:hint="eastAsia" w:ascii="仿宋_GB2312" w:hAnsi="仿宋_GB2312" w:eastAsia="仿宋_GB2312" w:cs="仿宋_GB2312"/>
          <w:sz w:val="24"/>
          <w:szCs w:val="24"/>
          <w:lang w:val="en-US" w:eastAsia="zh-CN"/>
        </w:rPr>
        <w:t>.........40</w:t>
      </w:r>
    </w:p>
    <w:p w14:paraId="4486E7DA">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十二、国有资本经营预算财政拨款支出决算表</w:t>
      </w:r>
      <w:r>
        <w:rPr>
          <w:rFonts w:hint="eastAsia" w:ascii="仿宋_GB2312" w:hAnsi="仿宋_GB2312" w:eastAsia="仿宋_GB2312" w:cs="仿宋_GB2312"/>
          <w:sz w:val="24"/>
          <w:szCs w:val="24"/>
          <w:lang w:val="en-US" w:eastAsia="zh-CN"/>
        </w:rPr>
        <w:t>..............40</w:t>
      </w:r>
    </w:p>
    <w:p w14:paraId="518EE1F0">
      <w:pPr>
        <w:pStyle w:val="15"/>
        <w:adjustRightInd w:val="0"/>
        <w:snapToGrid w:val="0"/>
        <w:spacing w:line="560" w:lineRule="exact"/>
        <w:ind w:left="0" w:leftChars="0" w:firstLine="640" w:firstLineChars="200"/>
        <w:jc w:val="left"/>
        <w:rPr>
          <w:rFonts w:hint="default" w:eastAsia="仿宋_GB2312" w:cs="仿宋_GB2312"/>
          <w:sz w:val="32"/>
          <w:szCs w:val="32"/>
          <w:lang w:val="en-US"/>
        </w:rPr>
      </w:pPr>
      <w:r>
        <w:rPr>
          <w:rFonts w:hint="eastAsia" w:eastAsia="仿宋_GB2312" w:cs="仿宋_GB2312"/>
          <w:sz w:val="32"/>
          <w:szCs w:val="32"/>
        </w:rPr>
        <w:t>十三、财政拨款“三公”经费支出决算表</w:t>
      </w:r>
      <w:r>
        <w:rPr>
          <w:rFonts w:hint="eastAsia" w:ascii="仿宋_GB2312" w:hAnsi="仿宋_GB2312" w:eastAsia="仿宋_GB2312" w:cs="仿宋_GB2312"/>
          <w:sz w:val="24"/>
          <w:szCs w:val="24"/>
          <w:lang w:val="en-US" w:eastAsia="zh-CN"/>
        </w:rPr>
        <w:t>......................40</w:t>
      </w:r>
    </w:p>
    <w:p w14:paraId="1A732A1E">
      <w:pPr>
        <w:pStyle w:val="15"/>
        <w:adjustRightInd w:val="0"/>
        <w:snapToGrid w:val="0"/>
        <w:spacing w:line="560" w:lineRule="exact"/>
        <w:ind w:left="0" w:leftChars="0" w:firstLine="640" w:firstLineChars="200"/>
        <w:jc w:val="left"/>
        <w:rPr>
          <w:rFonts w:eastAsia="仿宋_GB2312" w:cs="仿宋_GB2312"/>
          <w:b w:val="0"/>
          <w:bCs w:val="0"/>
          <w:sz w:val="32"/>
          <w:szCs w:val="32"/>
        </w:rPr>
      </w:pPr>
      <w:r>
        <w:rPr>
          <w:rFonts w:hint="eastAsia" w:eastAsia="仿宋_GB2312" w:cs="仿宋_GB2312"/>
          <w:b w:val="0"/>
          <w:bCs w:val="0"/>
          <w:sz w:val="32"/>
          <w:szCs w:val="32"/>
        </w:rPr>
        <w:t>（注：请部门根据实际注明页码）</w:t>
      </w:r>
    </w:p>
    <w:p w14:paraId="56A58A67">
      <w:pPr>
        <w:widowControl/>
        <w:spacing w:line="560" w:lineRule="exact"/>
        <w:jc w:val="left"/>
        <w:rPr>
          <w:rFonts w:eastAsia="仿宋_GB2312" w:cs="仿宋_GB2312"/>
          <w:b w:val="0"/>
          <w:bCs w:val="0"/>
          <w:kern w:val="44"/>
          <w:sz w:val="32"/>
          <w:szCs w:val="32"/>
        </w:rPr>
      </w:pPr>
      <w:bookmarkStart w:id="6" w:name="_Toc15377196"/>
      <w:bookmarkStart w:id="7" w:name="_Toc15396599"/>
      <w:r>
        <w:rPr>
          <w:rFonts w:hint="eastAsia" w:eastAsia="仿宋_GB2312" w:cs="仿宋_GB2312"/>
          <w:b w:val="0"/>
          <w:bCs w:val="0"/>
          <w:sz w:val="32"/>
          <w:szCs w:val="32"/>
        </w:rPr>
        <w:br w:type="page"/>
      </w:r>
    </w:p>
    <w:p w14:paraId="3816786C">
      <w:pPr>
        <w:pStyle w:val="3"/>
        <w:jc w:val="center"/>
        <w:rPr>
          <w:rFonts w:eastAsia="黑体"/>
          <w:sz w:val="32"/>
          <w:szCs w:val="32"/>
        </w:rPr>
      </w:pPr>
      <w:r>
        <w:rPr>
          <w:rFonts w:hint="eastAsia" w:eastAsia="方正小标宋简体" w:cs="方正小标宋简体"/>
          <w:b w:val="0"/>
        </w:rPr>
        <w:t xml:space="preserve">第一部分  </w:t>
      </w:r>
      <w:r>
        <w:rPr>
          <w:rStyle w:val="29"/>
          <w:rFonts w:hint="eastAsia" w:eastAsia="方正小标宋简体" w:cs="方正小标宋简体"/>
          <w:b w:val="0"/>
          <w:bCs w:val="0"/>
        </w:rPr>
        <w:t>部门概况</w:t>
      </w:r>
      <w:bookmarkEnd w:id="6"/>
      <w:bookmarkEnd w:id="7"/>
    </w:p>
    <w:p w14:paraId="1CB3E837">
      <w:pPr>
        <w:pStyle w:val="4"/>
        <w:pageBreakBefore w:val="0"/>
        <w:widowControl w:val="0"/>
        <w:numPr>
          <w:ilvl w:val="0"/>
          <w:numId w:val="0"/>
        </w:numPr>
        <w:kinsoku/>
        <w:wordWrap/>
        <w:overflowPunct/>
        <w:topLinePunct w:val="0"/>
        <w:autoSpaceDE/>
        <w:autoSpaceDN/>
        <w:bidi w:val="0"/>
        <w:spacing w:before="0" w:after="0" w:line="560" w:lineRule="exact"/>
        <w:ind w:leftChars="200"/>
        <w:textAlignment w:val="auto"/>
        <w:rPr>
          <w:rFonts w:ascii="Times New Roman" w:hAnsi="Times New Roman" w:eastAsia="黑体"/>
          <w:b w:val="0"/>
        </w:rPr>
      </w:pPr>
      <w:r>
        <w:rPr>
          <w:rFonts w:hint="eastAsia" w:ascii="Times New Roman" w:hAnsi="Times New Roman" w:eastAsia="黑体"/>
          <w:b w:val="0"/>
          <w:lang w:val="en-US" w:eastAsia="zh-CN"/>
        </w:rPr>
        <w:t>一、</w:t>
      </w:r>
      <w:r>
        <w:rPr>
          <w:rFonts w:hint="eastAsia" w:ascii="Times New Roman" w:hAnsi="Times New Roman" w:eastAsia="黑体"/>
          <w:b w:val="0"/>
        </w:rPr>
        <w:t>部门职责</w:t>
      </w:r>
    </w:p>
    <w:p w14:paraId="1CA8F26E">
      <w:pPr>
        <w:pageBreakBefore w:val="0"/>
        <w:widowControl w:val="0"/>
        <w:kinsoku/>
        <w:wordWrap/>
        <w:overflowPunct/>
        <w:topLinePunct w:val="0"/>
        <w:autoSpaceDE/>
        <w:autoSpaceDN/>
        <w:bidi w:val="0"/>
        <w:snapToGrid w:val="0"/>
        <w:spacing w:line="560" w:lineRule="exact"/>
        <w:ind w:left="0" w:firstLine="640" w:firstLineChars="200"/>
        <w:textAlignment w:val="auto"/>
        <w:rPr>
          <w:rFonts w:ascii="仿宋_GB2312" w:hAnsi="仿宋" w:eastAsia="仿宋_GB2312" w:cs="仿宋_GB2312"/>
          <w:sz w:val="32"/>
          <w:szCs w:val="32"/>
        </w:rPr>
      </w:pPr>
      <w:r>
        <w:rPr>
          <w:rStyle w:val="19"/>
          <w:rFonts w:hint="eastAsia" w:ascii="仿宋_GB2312" w:hAnsi="仿宋" w:eastAsia="仿宋_GB2312" w:cs="仿宋_GB2312"/>
          <w:b w:val="0"/>
          <w:bCs/>
          <w:sz w:val="32"/>
          <w:szCs w:val="32"/>
          <w:shd w:val="clear" w:color="auto" w:fill="FFFFFF"/>
        </w:rPr>
        <w:t>信访局</w:t>
      </w:r>
      <w:r>
        <w:rPr>
          <w:rFonts w:hint="eastAsia" w:ascii="仿宋_GB2312" w:hAnsi="仿宋" w:eastAsia="仿宋_GB2312" w:cs="仿宋_GB2312"/>
          <w:kern w:val="0"/>
          <w:sz w:val="32"/>
          <w:szCs w:val="32"/>
          <w:shd w:val="clear" w:color="auto" w:fill="FFFFFF"/>
          <w:lang w:val="zh-CN"/>
        </w:rPr>
        <w:t>属县政府派出机构，主要职责和职能是处理群众来信，接待群众来访；宣传党和政府群众工作的各项方针、政策、法律法规；收集社情民意，综合分析群众意见、建议和对突出问题的反映，及时向县委、县政府领导反映；承办、督促县委、县政府领导同志交办的信访事项；排查县内矛盾纠纷，落实化解责任；协调处理跨县、区、部门的重要信访事项，协调处理群众集体到市委、市政府的上访事项及赴省进京非正常上访的相关事项；指导、协调县级部门和乡（镇）党政机关的群众（信访）工作；检查、协调、指导乡（镇）、县级部门的群众工作，对县级部门和乡（镇）党政机关的群众（信访）工作进行目标管理考核，配合协助相关部门及乡（镇）开展群众思想政治工作。承办县委、县政府和省、市政府群众（信访）工作局批办、交办的其他事项。</w:t>
      </w:r>
      <w:r>
        <w:rPr>
          <w:rFonts w:hint="eastAsia" w:ascii="仿宋_GB2312" w:hAnsi="仿宋" w:eastAsia="仿宋_GB2312" w:cs="仿宋_GB2312"/>
          <w:kern w:val="0"/>
          <w:sz w:val="32"/>
          <w:szCs w:val="32"/>
          <w:shd w:val="clear" w:color="auto" w:fill="FFFFFF"/>
        </w:rPr>
        <w:t>具体的职能职责为</w:t>
      </w:r>
      <w:r>
        <w:rPr>
          <w:rFonts w:hint="eastAsia" w:ascii="仿宋_GB2312" w:hAnsi="仿宋" w:eastAsia="仿宋_GB2312" w:cs="仿宋_GB2312"/>
          <w:kern w:val="0"/>
          <w:sz w:val="32"/>
          <w:szCs w:val="32"/>
          <w:shd w:val="clear" w:color="auto" w:fill="FFFFFF"/>
          <w:lang w:eastAsia="zh-CN"/>
        </w:rPr>
        <w:t>：</w:t>
      </w:r>
      <w:r>
        <w:rPr>
          <w:rFonts w:hint="eastAsia" w:ascii="仿宋_GB2312" w:hAnsi="仿宋" w:eastAsia="仿宋_GB2312" w:cs="仿宋_GB2312"/>
          <w:kern w:val="0"/>
          <w:sz w:val="32"/>
          <w:szCs w:val="32"/>
          <w:shd w:val="clear" w:color="auto" w:fill="FFFFFF"/>
          <w:lang w:val="zh-CN"/>
        </w:rPr>
        <w:t>综合股（政策法规股）。负责机关人事、保密、文电、目标管理、财务、会务、宣传、政务公开、政务接待、档案、机要、资产管理、后勤保障、应急、安全保卫等工作。承担机关党建、党风廉政和反腐败建设、群团和文化建设等工作。组织协</w:t>
      </w:r>
      <w:r>
        <w:rPr>
          <w:rFonts w:hint="eastAsia" w:ascii="仿宋_GB2312" w:hAnsi="仿宋" w:eastAsia="仿宋_GB2312" w:cs="仿宋_GB2312"/>
          <w:color w:val="000000"/>
          <w:sz w:val="32"/>
          <w:szCs w:val="32"/>
          <w:lang w:val="zh-CN"/>
        </w:rPr>
        <w:t>调、督促检查机关政务、业务等工作。总结推广信访工作经验，组织开展全县</w:t>
      </w:r>
      <w:r>
        <w:rPr>
          <w:rFonts w:hint="eastAsia" w:ascii="仿宋_GB2312" w:hAnsi="仿宋" w:eastAsia="仿宋_GB2312" w:cs="仿宋_GB2312"/>
          <w:kern w:val="0"/>
          <w:sz w:val="32"/>
          <w:szCs w:val="32"/>
          <w:shd w:val="clear" w:color="auto" w:fill="FFFFFF"/>
          <w:lang w:val="zh-CN"/>
        </w:rPr>
        <w:t>信访工作业务指导、教育培训工作。负责机关退休人员管理服务工作。承担县信访工作联席会议办公室日常工作。承担本部门规范性文件合法性审查、备案和清理；业务股负责办理网上投诉信访事项。综合分析网上信访情况，提出工作建议。承担全县信访信息系统、四川省网上信访信息系统、各级党政领导信箱、人民网地方领导人留言、县信访局门户网站等应用系统的建设、运行、维护工作。承担网上信访相关业务的推广应用培训工作。办理上级转办交办的来信事项和群众给县委、县政府领导来信。承担社情民意的汇集分析工作，提出工作建议。承担县政府信访事项复查委员会办公室日常工作，负责接待群众到县委、县政府来访，综合分析来访情况提出工作建议。承办上级转办、交办来访事项，协助县领导开展接访下访工作。负责重大活动、重要会议等敏感时段的值班值守工作。组织协调进京赴省到市到县非接待场所有关人员</w:t>
      </w:r>
      <w:r>
        <w:rPr>
          <w:rFonts w:hint="eastAsia" w:ascii="仿宋_GB2312" w:hAnsi="仿宋" w:eastAsia="仿宋_GB2312" w:cs="仿宋_GB2312"/>
          <w:sz w:val="32"/>
          <w:szCs w:val="32"/>
        </w:rPr>
        <w:t>接访劝返协调处理工作。</w:t>
      </w:r>
    </w:p>
    <w:p w14:paraId="77493CE4">
      <w:pPr>
        <w:pStyle w:val="4"/>
        <w:pageBreakBefore w:val="0"/>
        <w:widowControl w:val="0"/>
        <w:kinsoku/>
        <w:wordWrap/>
        <w:overflowPunct/>
        <w:topLinePunct w:val="0"/>
        <w:autoSpaceDE/>
        <w:autoSpaceDN/>
        <w:bidi w:val="0"/>
        <w:spacing w:before="0" w:after="0" w:line="560" w:lineRule="exact"/>
        <w:ind w:left="0" w:firstLine="640" w:firstLineChars="200"/>
        <w:textAlignment w:val="auto"/>
        <w:rPr>
          <w:rStyle w:val="30"/>
          <w:rFonts w:ascii="Times New Roman" w:hAnsi="Times New Roman"/>
          <w:b w:val="0"/>
          <w:bCs w:val="0"/>
        </w:rPr>
      </w:pPr>
      <w:bookmarkStart w:id="8" w:name="_Toc15377200"/>
      <w:bookmarkStart w:id="9" w:name="_Toc15396601"/>
      <w:r>
        <w:rPr>
          <w:rFonts w:hint="eastAsia" w:ascii="Times New Roman" w:hAnsi="Times New Roman" w:eastAsia="黑体"/>
          <w:b w:val="0"/>
        </w:rPr>
        <w:t>二、机</w:t>
      </w:r>
      <w:r>
        <w:rPr>
          <w:rStyle w:val="30"/>
          <w:rFonts w:hint="eastAsia" w:ascii="Times New Roman" w:hAnsi="Times New Roman" w:eastAsia="黑体"/>
          <w:b w:val="0"/>
          <w:bCs w:val="0"/>
        </w:rPr>
        <w:t>构设置</w:t>
      </w:r>
      <w:bookmarkEnd w:id="8"/>
      <w:bookmarkEnd w:id="9"/>
    </w:p>
    <w:p w14:paraId="3866E7B4">
      <w:pPr>
        <w:pageBreakBefore w:val="0"/>
        <w:widowControl w:val="0"/>
        <w:kinsoku/>
        <w:wordWrap/>
        <w:overflowPunct/>
        <w:topLinePunct w:val="0"/>
        <w:autoSpaceDE/>
        <w:autoSpaceDN/>
        <w:bidi w:val="0"/>
        <w:spacing w:line="560" w:lineRule="exact"/>
        <w:ind w:left="0" w:firstLine="640" w:firstLineChars="200"/>
        <w:textAlignment w:val="auto"/>
        <w:rPr>
          <w:rFonts w:eastAsia="仿宋_GB2312" w:cs="仿宋_GB2312"/>
          <w:sz w:val="32"/>
          <w:szCs w:val="32"/>
        </w:rPr>
      </w:pPr>
      <w:r>
        <w:rPr>
          <w:rFonts w:hint="eastAsia" w:ascii="仿宋_GB2312" w:hAnsi="仿宋_GB2312" w:eastAsia="仿宋_GB2312" w:cs="仿宋_GB2312"/>
          <w:sz w:val="32"/>
          <w:szCs w:val="32"/>
        </w:rPr>
        <w:t>盐边县信访局</w:t>
      </w:r>
      <w:r>
        <w:rPr>
          <w:rFonts w:hint="eastAsia" w:eastAsia="仿宋_GB2312" w:cs="仿宋_GB2312"/>
          <w:sz w:val="32"/>
          <w:szCs w:val="32"/>
        </w:rPr>
        <w:t>下属二级预算单位0个，其中行政单位1个，参照公务员法管理的事业单位</w:t>
      </w:r>
      <w:r>
        <w:rPr>
          <w:rFonts w:hint="eastAsia" w:eastAsia="仿宋_GB2312" w:cs="仿宋_GB2312"/>
          <w:bCs/>
          <w:sz w:val="32"/>
          <w:szCs w:val="32"/>
        </w:rPr>
        <w:t>0</w:t>
      </w:r>
      <w:r>
        <w:rPr>
          <w:rFonts w:hint="eastAsia" w:eastAsia="仿宋_GB2312" w:cs="仿宋_GB2312"/>
          <w:sz w:val="32"/>
          <w:szCs w:val="32"/>
        </w:rPr>
        <w:t>个，其他事业单位0个。</w:t>
      </w:r>
    </w:p>
    <w:p w14:paraId="79E9B1DD">
      <w:pPr>
        <w:pStyle w:val="6"/>
        <w:pageBreakBefore w:val="0"/>
        <w:widowControl w:val="0"/>
        <w:kinsoku/>
        <w:wordWrap/>
        <w:overflowPunct/>
        <w:topLinePunct w:val="0"/>
        <w:autoSpaceDE/>
        <w:autoSpaceDN/>
        <w:bidi w:val="0"/>
        <w:adjustRightInd w:val="0"/>
        <w:snapToGrid w:val="0"/>
        <w:spacing w:beforeLines="0" w:line="560" w:lineRule="exact"/>
        <w:ind w:left="0" w:firstLine="640" w:firstLineChars="200"/>
        <w:textAlignment w:val="auto"/>
        <w:rPr>
          <w:rFonts w:eastAsia="仿宋"/>
          <w:sz w:val="32"/>
          <w:szCs w:val="32"/>
        </w:rPr>
      </w:pPr>
      <w:r>
        <w:rPr>
          <w:rFonts w:eastAsia="仿宋"/>
          <w:sz w:val="32"/>
          <w:szCs w:val="32"/>
        </w:rPr>
        <w:br w:type="page"/>
      </w:r>
    </w:p>
    <w:p w14:paraId="7EC70508">
      <w:pPr>
        <w:pStyle w:val="3"/>
        <w:jc w:val="center"/>
      </w:pPr>
      <w:bookmarkStart w:id="10" w:name="_Toc15377204"/>
      <w:bookmarkStart w:id="11" w:name="_Toc15396602"/>
      <w:r>
        <w:rPr>
          <w:rFonts w:hint="eastAsia" w:eastAsia="方正小标宋简体" w:cs="方正小标宋简体"/>
          <w:b w:val="0"/>
        </w:rPr>
        <w:t>第二部分  2024年度部门决算情况说明</w:t>
      </w:r>
      <w:bookmarkEnd w:id="10"/>
      <w:bookmarkEnd w:id="11"/>
    </w:p>
    <w:p w14:paraId="5A7AB5FF">
      <w:pPr>
        <w:pStyle w:val="28"/>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1"/>
        <w:rPr>
          <w:rStyle w:val="30"/>
          <w:rFonts w:ascii="Times New Roman" w:hAnsi="Times New Roman" w:eastAsia="黑体"/>
          <w:b w:val="0"/>
        </w:rPr>
      </w:pPr>
      <w:bookmarkStart w:id="12" w:name="_Toc15377205"/>
      <w:bookmarkStart w:id="13" w:name="_Toc15396603"/>
      <w:r>
        <w:rPr>
          <w:rFonts w:hint="eastAsia" w:eastAsia="黑体"/>
          <w:sz w:val="32"/>
          <w:szCs w:val="32"/>
        </w:rPr>
        <w:t>一、收</w:t>
      </w:r>
      <w:r>
        <w:rPr>
          <w:rStyle w:val="30"/>
          <w:rFonts w:hint="eastAsia" w:ascii="Times New Roman" w:hAnsi="Times New Roman" w:eastAsia="黑体"/>
          <w:b w:val="0"/>
        </w:rPr>
        <w:t>入支出决算总体情况说明</w:t>
      </w:r>
      <w:bookmarkEnd w:id="12"/>
      <w:bookmarkEnd w:id="13"/>
    </w:p>
    <w:p w14:paraId="3DAAE209">
      <w:pPr>
        <w:pStyle w:val="28"/>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1"/>
        <w:rPr>
          <w:rFonts w:hint="eastAsia" w:eastAsia="仿宋_GB2312" w:cs="仿宋_GB2312"/>
          <w:sz w:val="32"/>
          <w:szCs w:val="32"/>
        </w:rPr>
      </w:pPr>
      <w:r>
        <w:rPr>
          <w:rFonts w:hint="eastAsia" w:eastAsia="仿宋_GB2312" w:cs="仿宋_GB2312"/>
          <w:color w:val="auto"/>
          <w:sz w:val="32"/>
          <w:szCs w:val="32"/>
        </w:rPr>
        <w:t>2024年度收入、支出总计均为451.88万元。</w:t>
      </w:r>
      <w:r>
        <w:rPr>
          <w:rFonts w:hint="eastAsia" w:eastAsia="仿宋_GB2312" w:cs="仿宋_GB2312"/>
          <w:sz w:val="32"/>
          <w:szCs w:val="32"/>
        </w:rPr>
        <w:t>与2023年度相比，收入、支出总计各增加51.20万元，增长12.78%。主要变动原因为人员正常工资晋升、退休人员职业年金及项目增加。</w:t>
      </w:r>
    </w:p>
    <w:p w14:paraId="610ECCE2">
      <w:pPr>
        <w:pStyle w:val="28"/>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1"/>
        <w:rPr>
          <w:rFonts w:hint="eastAsia" w:eastAsia="仿宋_GB2312" w:cs="仿宋_GB2312"/>
          <w:sz w:val="32"/>
          <w:szCs w:val="32"/>
        </w:rPr>
      </w:pPr>
      <w:r>
        <w:rPr>
          <w:rFonts w:hint="eastAsia" w:eastAsia="仿宋_GB2312" w:cs="仿宋_GB2312"/>
          <w:sz w:val="32"/>
          <w:szCs w:val="32"/>
        </w:rPr>
        <w:t>（图1：收入、支出决算总计变动情况图）（柱状图）</w:t>
      </w:r>
    </w:p>
    <w:p w14:paraId="21C7D013">
      <w:pPr>
        <w:pStyle w:val="2"/>
        <w:rPr>
          <w:rFonts w:hint="eastAsia"/>
        </w:rPr>
      </w:pPr>
      <w:r>
        <w:drawing>
          <wp:inline distT="0" distB="0" distL="0" distR="0">
            <wp:extent cx="5274310" cy="2514600"/>
            <wp:effectExtent l="19050" t="0" r="2159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D956B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eastAsia="黑体"/>
          <w:sz w:val="32"/>
          <w:szCs w:val="32"/>
        </w:rPr>
      </w:pPr>
      <w:bookmarkStart w:id="14" w:name="_Toc15396604"/>
      <w:bookmarkStart w:id="15" w:name="_Toc15377206"/>
      <w:r>
        <w:rPr>
          <w:rFonts w:hint="eastAsia" w:eastAsia="黑体"/>
          <w:sz w:val="32"/>
          <w:szCs w:val="32"/>
        </w:rPr>
        <w:t>二、收入决算情况说明</w:t>
      </w:r>
      <w:bookmarkEnd w:id="14"/>
      <w:bookmarkEnd w:id="15"/>
    </w:p>
    <w:p w14:paraId="786B6E96">
      <w:pPr>
        <w:pStyle w:val="28"/>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1"/>
        <w:rPr>
          <w:rFonts w:hint="eastAsia" w:eastAsia="仿宋_GB2312" w:cs="仿宋_GB2312"/>
          <w:sz w:val="32"/>
          <w:szCs w:val="32"/>
        </w:rPr>
      </w:pPr>
      <w:r>
        <w:rPr>
          <w:rFonts w:hint="eastAsia" w:ascii="仿宋_GB2312" w:hAnsi="仿宋_GB2312" w:eastAsia="仿宋_GB2312" w:cs="仿宋_GB2312"/>
          <w:sz w:val="32"/>
          <w:szCs w:val="32"/>
        </w:rPr>
        <w:t>2</w:t>
      </w:r>
      <w:r>
        <w:rPr>
          <w:rFonts w:hint="eastAsia" w:eastAsia="仿宋_GB2312" w:cs="仿宋_GB2312"/>
          <w:sz w:val="32"/>
          <w:szCs w:val="32"/>
        </w:rPr>
        <w:t>024年度本年收入合计451.88万元，其中：一般公共预算财政拨款收入446.88万元，占98.90%；政府性基金预算财政拨款收入0万元，占0%；国有资本经营预算财政拨款收入0万元，占0%；上级补助收入0万元，占0%；事业收入0万元，占0%；经营收入0万元，占0%；附属单位上缴收入0万元，占0%；其他收入5万元，占1.10%。（注：仅罗列本部门涉及的收入）</w:t>
      </w:r>
    </w:p>
    <w:p w14:paraId="264C2BBC">
      <w:pPr>
        <w:pStyle w:val="28"/>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1"/>
        <w:rPr>
          <w:rFonts w:hint="eastAsia" w:eastAsia="仿宋_GB2312" w:cs="仿宋_GB2312"/>
          <w:sz w:val="32"/>
          <w:szCs w:val="32"/>
        </w:rPr>
      </w:pPr>
      <w:r>
        <w:rPr>
          <w:rFonts w:hint="eastAsia" w:eastAsia="仿宋_GB2312" w:cs="仿宋_GB2312"/>
          <w:sz w:val="32"/>
          <w:szCs w:val="32"/>
        </w:rPr>
        <w:t>（图2：收入决算结构图）（饼状图）</w:t>
      </w:r>
    </w:p>
    <w:p w14:paraId="7F7157B1">
      <w:pPr>
        <w:pStyle w:val="2"/>
      </w:pPr>
      <w:r>
        <w:drawing>
          <wp:inline distT="0" distB="0" distL="0" distR="0">
            <wp:extent cx="5274310" cy="2200275"/>
            <wp:effectExtent l="19050" t="0" r="2159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196116A">
      <w:pPr>
        <w:pStyle w:val="28"/>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1"/>
        <w:rPr>
          <w:rStyle w:val="30"/>
          <w:rFonts w:ascii="Times New Roman" w:hAnsi="Times New Roman" w:eastAsia="黑体"/>
          <w:b w:val="0"/>
        </w:rPr>
      </w:pPr>
      <w:bookmarkStart w:id="16" w:name="_Toc15396605"/>
      <w:bookmarkStart w:id="17" w:name="_Toc15377207"/>
      <w:r>
        <w:rPr>
          <w:rFonts w:hint="eastAsia" w:eastAsia="黑体"/>
          <w:sz w:val="32"/>
          <w:szCs w:val="32"/>
        </w:rPr>
        <w:t>三、支</w:t>
      </w:r>
      <w:r>
        <w:rPr>
          <w:rStyle w:val="30"/>
          <w:rFonts w:hint="eastAsia" w:ascii="Times New Roman" w:hAnsi="Times New Roman" w:eastAsia="黑体"/>
          <w:b w:val="0"/>
        </w:rPr>
        <w:t>出决算情况说明</w:t>
      </w:r>
      <w:bookmarkEnd w:id="16"/>
      <w:bookmarkEnd w:id="17"/>
    </w:p>
    <w:p w14:paraId="0F52529D">
      <w:pPr>
        <w:pStyle w:val="28"/>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1"/>
        <w:rPr>
          <w:rFonts w:hint="eastAsia" w:eastAsia="仿宋_GB2312" w:cs="仿宋_GB2312"/>
          <w:b w:val="0"/>
          <w:bCs w:val="0"/>
          <w:sz w:val="32"/>
          <w:szCs w:val="32"/>
        </w:rPr>
      </w:pPr>
      <w:r>
        <w:rPr>
          <w:rFonts w:hint="eastAsia" w:eastAsia="仿宋_GB2312" w:cs="仿宋_GB2312"/>
          <w:sz w:val="32"/>
          <w:szCs w:val="32"/>
        </w:rPr>
        <w:t>2024年度本年支出合计451.88万元，其中：基本支出228.63万元，占50.59%；项目支出223.25万元，占49.4%；上缴上级支出0万元，占0%；经营支出0万元，占0%；对附属单位补助支出0万元，占0%。</w:t>
      </w:r>
      <w:r>
        <w:rPr>
          <w:rFonts w:hint="eastAsia" w:eastAsia="仿宋_GB2312" w:cs="仿宋_GB2312"/>
          <w:b w:val="0"/>
          <w:bCs w:val="0"/>
          <w:sz w:val="32"/>
          <w:szCs w:val="32"/>
        </w:rPr>
        <w:t>（注：仅罗列本部门涉及的支出）</w:t>
      </w:r>
    </w:p>
    <w:p w14:paraId="50CD8044">
      <w:pPr>
        <w:pStyle w:val="28"/>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1"/>
        <w:rPr>
          <w:rFonts w:hint="eastAsia" w:eastAsia="仿宋_GB2312" w:cs="仿宋_GB2312"/>
          <w:sz w:val="32"/>
          <w:szCs w:val="32"/>
        </w:rPr>
      </w:pPr>
      <w:r>
        <w:rPr>
          <w:rFonts w:hint="eastAsia" w:eastAsia="仿宋_GB2312" w:cs="仿宋_GB2312"/>
          <w:sz w:val="32"/>
          <w:szCs w:val="32"/>
        </w:rPr>
        <w:t>（图3：支出决算结构图）（饼状图）</w:t>
      </w:r>
    </w:p>
    <w:p w14:paraId="6B0628CB">
      <w:pPr>
        <w:ind w:firstLine="800" w:firstLineChars="250"/>
        <w:rPr>
          <w:rFonts w:eastAsia="仿宋_GB2312" w:cs="仿宋_GB2312"/>
          <w:sz w:val="32"/>
          <w:szCs w:val="32"/>
        </w:rPr>
      </w:pPr>
      <w:r>
        <w:rPr>
          <w:rFonts w:eastAsia="仿宋_GB2312" w:cs="仿宋_GB2312"/>
          <w:sz w:val="32"/>
          <w:szCs w:val="32"/>
        </w:rPr>
        <w:drawing>
          <wp:inline distT="0" distB="0" distL="0" distR="0">
            <wp:extent cx="5274310" cy="2107565"/>
            <wp:effectExtent l="4445" t="4445" r="17145" b="2159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F61B2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Style w:val="30"/>
          <w:rFonts w:ascii="Times New Roman" w:hAnsi="Times New Roman" w:eastAsia="黑体"/>
          <w:b w:val="0"/>
        </w:rPr>
      </w:pPr>
      <w:bookmarkStart w:id="18" w:name="_Toc15377208"/>
      <w:bookmarkStart w:id="19" w:name="_Toc15396606"/>
      <w:r>
        <w:rPr>
          <w:rFonts w:hint="eastAsia" w:eastAsia="黑体"/>
          <w:sz w:val="32"/>
          <w:szCs w:val="32"/>
        </w:rPr>
        <w:t>四、财</w:t>
      </w:r>
      <w:r>
        <w:rPr>
          <w:rStyle w:val="30"/>
          <w:rFonts w:hint="eastAsia" w:ascii="Times New Roman" w:hAnsi="Times New Roman" w:eastAsia="黑体"/>
          <w:b w:val="0"/>
        </w:rPr>
        <w:t>政拨款收入支出决算总体情况说明</w:t>
      </w:r>
      <w:bookmarkEnd w:id="18"/>
      <w:bookmarkEnd w:id="19"/>
    </w:p>
    <w:p w14:paraId="284B043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2024年度财政拨款收入、支出总计均为446.88万元。与2023年度相比，财政拨款收入总计、支出总计各增加51.20万元，增长12.78%。主要变动原因为人员正常工资晋升、退休人员职业年金及项目增加。</w:t>
      </w:r>
    </w:p>
    <w:p w14:paraId="7AC52F7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（图4：财政拨款收、支决算总计变动情况）（柱状图）</w:t>
      </w:r>
    </w:p>
    <w:p w14:paraId="496A04E0">
      <w:pPr>
        <w:pStyle w:val="2"/>
      </w:pPr>
      <w:r>
        <w:drawing>
          <wp:inline distT="0" distB="0" distL="0" distR="0">
            <wp:extent cx="5274310" cy="2749550"/>
            <wp:effectExtent l="19050" t="0" r="2159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9C4AA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Style w:val="30"/>
          <w:rFonts w:ascii="Times New Roman" w:hAnsi="Times New Roman" w:eastAsia="黑体"/>
          <w:b w:val="0"/>
        </w:rPr>
      </w:pPr>
      <w:bookmarkStart w:id="20" w:name="_Toc15396607"/>
      <w:bookmarkStart w:id="21" w:name="_Toc15377209"/>
      <w:r>
        <w:rPr>
          <w:rFonts w:hint="eastAsia" w:eastAsia="黑体"/>
          <w:sz w:val="32"/>
          <w:szCs w:val="32"/>
        </w:rPr>
        <w:t>五、</w:t>
      </w:r>
      <w:r>
        <w:rPr>
          <w:rFonts w:hint="eastAsia" w:eastAsia="黑体"/>
          <w:b/>
          <w:sz w:val="32"/>
          <w:szCs w:val="32"/>
        </w:rPr>
        <w:t>一</w:t>
      </w:r>
      <w:r>
        <w:rPr>
          <w:rStyle w:val="30"/>
          <w:rFonts w:hint="eastAsia" w:ascii="Times New Roman" w:hAnsi="Times New Roman" w:eastAsia="黑体"/>
          <w:b w:val="0"/>
        </w:rPr>
        <w:t>般公共预算财政拨款支出决算情况说明</w:t>
      </w:r>
      <w:bookmarkEnd w:id="20"/>
      <w:bookmarkEnd w:id="21"/>
    </w:p>
    <w:p w14:paraId="2F6F6E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eastAsia="楷体_GB2312" w:cs="楷体_GB2312"/>
          <w:b w:val="0"/>
          <w:bCs/>
          <w:sz w:val="32"/>
          <w:szCs w:val="32"/>
        </w:rPr>
      </w:pPr>
      <w:bookmarkStart w:id="22" w:name="_Toc15377210"/>
      <w:r>
        <w:rPr>
          <w:rFonts w:hint="eastAsia" w:eastAsia="楷体_GB2312" w:cs="楷体_GB2312"/>
          <w:b w:val="0"/>
          <w:bCs/>
          <w:sz w:val="32"/>
          <w:szCs w:val="32"/>
        </w:rPr>
        <w:t>（一）一般公共预算财政拨款支出决算总体情况</w:t>
      </w:r>
      <w:bookmarkEnd w:id="22"/>
    </w:p>
    <w:p w14:paraId="0B62A32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2024年度一般公共预算财政拨款支出446.88万元，占本年支出合计的98.89%。与2023年度相比，一般公共预算财政拨款支出增加56.20万元，增长14.39%。主要变动原因是项目增加。</w:t>
      </w:r>
    </w:p>
    <w:p w14:paraId="4F016C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（图5：一般公共预算财政拨款支出决算变动情况）（柱状图）</w:t>
      </w:r>
    </w:p>
    <w:p w14:paraId="69EE685B">
      <w:pPr>
        <w:spacing w:line="600" w:lineRule="exact"/>
        <w:ind w:firstLine="640"/>
        <w:rPr>
          <w:rFonts w:hint="eastAsia" w:eastAsia="仿宋_GB2312" w:cs="仿宋_GB2312"/>
          <w:sz w:val="32"/>
          <w:szCs w:val="32"/>
        </w:rPr>
      </w:pPr>
    </w:p>
    <w:p w14:paraId="35E4964C">
      <w:pPr>
        <w:pStyle w:val="2"/>
        <w:rPr>
          <w:rFonts w:hint="eastAsia" w:eastAsia="楷体_GB2312" w:cs="楷体_GB2312"/>
          <w:b/>
          <w:sz w:val="32"/>
          <w:szCs w:val="32"/>
        </w:rPr>
      </w:pPr>
      <w:r>
        <w:drawing>
          <wp:inline distT="0" distB="0" distL="0" distR="0">
            <wp:extent cx="5274310" cy="2400300"/>
            <wp:effectExtent l="19050" t="0" r="2159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bookmarkStart w:id="23" w:name="_Toc15377211"/>
    </w:p>
    <w:p w14:paraId="0DFF2D2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eastAsia="楷体_GB2312" w:cs="楷体_GB2312"/>
          <w:b w:val="0"/>
          <w:bCs/>
          <w:sz w:val="32"/>
          <w:szCs w:val="32"/>
        </w:rPr>
      </w:pPr>
      <w:r>
        <w:rPr>
          <w:rFonts w:hint="eastAsia" w:eastAsia="楷体_GB2312" w:cs="楷体_GB2312"/>
          <w:b w:val="0"/>
          <w:bCs/>
          <w:sz w:val="32"/>
          <w:szCs w:val="32"/>
        </w:rPr>
        <w:t>（二）一般公共预算财政拨款支出决算结构情况</w:t>
      </w:r>
      <w:bookmarkEnd w:id="23"/>
    </w:p>
    <w:p w14:paraId="7ED13B8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2024年度一般公共预算财政拨款支出446.88万元，主要用于以下方面：一般公共服务支出377.60万元，占84.50%；社会保障和就业支出34.77万元，占7.78%；卫生健康支出18.03万元，占4.03%；住房保障支出16.49万元，占3.69%。（注：仅罗列本部门涉及的全部功能分类科目，至类级）</w:t>
      </w:r>
    </w:p>
    <w:p w14:paraId="3DDE47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（图6：一般公共预算财政拨款支出决算结构）（饼状图）</w:t>
      </w:r>
    </w:p>
    <w:p w14:paraId="7A09277C">
      <w:r>
        <w:drawing>
          <wp:inline distT="0" distB="0" distL="0" distR="0">
            <wp:extent cx="5140960" cy="2114550"/>
            <wp:effectExtent l="4445" t="4445" r="17145" b="1460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651500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eastAsia="楷体_GB2312" w:cs="楷体_GB2312"/>
          <w:b w:val="0"/>
          <w:bCs/>
          <w:sz w:val="32"/>
          <w:szCs w:val="32"/>
        </w:rPr>
      </w:pPr>
      <w:bookmarkStart w:id="24" w:name="_Toc15377212"/>
      <w:r>
        <w:rPr>
          <w:rFonts w:hint="eastAsia" w:eastAsia="楷体_GB2312" w:cs="楷体_GB2312"/>
          <w:b w:val="0"/>
          <w:bCs/>
          <w:sz w:val="32"/>
          <w:szCs w:val="32"/>
        </w:rPr>
        <w:t>（三）一般公共预算财政拨款支出决算具体情况</w:t>
      </w:r>
      <w:bookmarkEnd w:id="24"/>
    </w:p>
    <w:p w14:paraId="06B2FEB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bookmarkStart w:id="25" w:name="_Toc15377213"/>
      <w:bookmarkStart w:id="26" w:name="_Toc15377444"/>
      <w:bookmarkStart w:id="27" w:name="_Toc15378460"/>
      <w:r>
        <w:rPr>
          <w:rFonts w:hint="eastAsia" w:ascii="Times New Roman" w:hAnsi="Times New Roman" w:eastAsia="仿宋_GB2312" w:cs="仿宋_GB2312"/>
          <w:b w:val="0"/>
          <w:bCs w:val="0"/>
          <w:kern w:val="2"/>
          <w:sz w:val="32"/>
          <w:szCs w:val="32"/>
          <w:lang w:val="en-US" w:eastAsia="zh-CN" w:bidi="ar-SA"/>
        </w:rPr>
        <w:t>2024年度一般公共预算财政拨款支出决算数为446.88</w:t>
      </w:r>
      <w:r>
        <w:rPr>
          <w:rFonts w:hint="eastAsia" w:eastAsia="仿宋_GB2312" w:cs="仿宋_GB2312"/>
          <w:b w:val="0"/>
          <w:bCs w:val="0"/>
          <w:kern w:val="2"/>
          <w:sz w:val="32"/>
          <w:szCs w:val="32"/>
          <w:lang w:val="en-US" w:eastAsia="zh-CN" w:bidi="ar-SA"/>
        </w:rPr>
        <w:t>万元</w:t>
      </w:r>
      <w:r>
        <w:rPr>
          <w:rFonts w:hint="eastAsia" w:ascii="Times New Roman" w:hAnsi="Times New Roman" w:eastAsia="仿宋_GB2312" w:cs="仿宋_GB2312"/>
          <w:b w:val="0"/>
          <w:bCs w:val="0"/>
          <w:kern w:val="2"/>
          <w:sz w:val="32"/>
          <w:szCs w:val="32"/>
          <w:lang w:val="en-US" w:eastAsia="zh-CN" w:bidi="ar-SA"/>
        </w:rPr>
        <w:t>，完成预算100%。其中：</w:t>
      </w:r>
      <w:bookmarkEnd w:id="25"/>
      <w:bookmarkEnd w:id="26"/>
      <w:bookmarkEnd w:id="27"/>
    </w:p>
    <w:p w14:paraId="634254B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1.一般公共服务（类）政府办公厅（室）及相关机构事务（款）行政运行（项）</w:t>
      </w:r>
      <w:r>
        <w:rPr>
          <w:rFonts w:hint="eastAsia" w:eastAsia="仿宋_GB2312" w:cs="仿宋_GB2312"/>
          <w:b/>
          <w:bCs/>
          <w:kern w:val="2"/>
          <w:sz w:val="32"/>
          <w:szCs w:val="32"/>
          <w:lang w:val="en-US" w:eastAsia="zh-CN" w:bidi="ar-SA"/>
        </w:rPr>
        <w:t>：</w:t>
      </w:r>
      <w:r>
        <w:rPr>
          <w:rFonts w:hint="eastAsia" w:ascii="Times New Roman" w:hAnsi="Times New Roman" w:eastAsia="仿宋_GB2312" w:cs="仿宋_GB2312"/>
          <w:b w:val="0"/>
          <w:bCs w:val="0"/>
          <w:kern w:val="2"/>
          <w:sz w:val="32"/>
          <w:szCs w:val="32"/>
          <w:lang w:val="en-US" w:eastAsia="zh-CN" w:bidi="ar-SA"/>
        </w:rPr>
        <w:t xml:space="preserve"> 支出决算为44.86万元，完成预算100%，决算数等于预算数。</w:t>
      </w:r>
    </w:p>
    <w:p w14:paraId="2B5707D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2.一般公共服务（类）政府办公厅（室）及相关机构事务（款）信访事务（项）</w:t>
      </w:r>
      <w:r>
        <w:rPr>
          <w:rFonts w:hint="eastAsia" w:eastAsia="仿宋_GB2312" w:cs="仿宋_GB2312"/>
          <w:b/>
          <w:bCs/>
          <w:kern w:val="2"/>
          <w:sz w:val="32"/>
          <w:szCs w:val="32"/>
          <w:lang w:val="en-US" w:eastAsia="zh-CN" w:bidi="ar-SA"/>
        </w:rPr>
        <w:t>：</w:t>
      </w:r>
      <w:r>
        <w:rPr>
          <w:rFonts w:hint="eastAsia" w:ascii="Times New Roman" w:hAnsi="Times New Roman" w:eastAsia="仿宋_GB2312" w:cs="仿宋_GB2312"/>
          <w:b w:val="0"/>
          <w:bCs w:val="0"/>
          <w:kern w:val="2"/>
          <w:sz w:val="32"/>
          <w:szCs w:val="32"/>
          <w:lang w:val="en-US" w:eastAsia="zh-CN" w:bidi="ar-SA"/>
        </w:rPr>
        <w:t xml:space="preserve"> 支出决算为216.07万元，完成预算100%，决算数等于预算数。</w:t>
      </w:r>
    </w:p>
    <w:p w14:paraId="57FBE5C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3.一般公共服务（类）政府办公厅（室）及相关机构事务（款）其他信访事务支出（项）</w:t>
      </w:r>
      <w:r>
        <w:rPr>
          <w:rFonts w:hint="eastAsia" w:eastAsia="仿宋_GB2312" w:cs="仿宋_GB2312"/>
          <w:b/>
          <w:bCs/>
          <w:kern w:val="2"/>
          <w:sz w:val="32"/>
          <w:szCs w:val="32"/>
          <w:lang w:val="en-US" w:eastAsia="zh-CN" w:bidi="ar-SA"/>
        </w:rPr>
        <w:t>：</w:t>
      </w:r>
      <w:r>
        <w:rPr>
          <w:rFonts w:hint="eastAsia" w:ascii="Times New Roman" w:hAnsi="Times New Roman" w:eastAsia="仿宋_GB2312" w:cs="仿宋_GB2312"/>
          <w:b/>
          <w:bCs/>
          <w:kern w:val="2"/>
          <w:sz w:val="32"/>
          <w:szCs w:val="32"/>
          <w:lang w:val="en-US" w:eastAsia="zh-CN" w:bidi="ar-SA"/>
        </w:rPr>
        <w:t xml:space="preserve"> </w:t>
      </w:r>
      <w:r>
        <w:rPr>
          <w:rFonts w:hint="eastAsia" w:ascii="Times New Roman" w:hAnsi="Times New Roman" w:eastAsia="仿宋_GB2312" w:cs="仿宋_GB2312"/>
          <w:b w:val="0"/>
          <w:bCs w:val="0"/>
          <w:kern w:val="2"/>
          <w:sz w:val="32"/>
          <w:szCs w:val="32"/>
          <w:lang w:val="en-US" w:eastAsia="zh-CN" w:bidi="ar-SA"/>
        </w:rPr>
        <w:t>支出决算为116.68万元，完成预算100%，决算数等于预算数。</w:t>
      </w:r>
    </w:p>
    <w:p w14:paraId="4FCFE3E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4.社会保障和就业（类）行政事业单位养老支出（款）行政单位离退休（项）</w:t>
      </w:r>
      <w:r>
        <w:rPr>
          <w:rFonts w:hint="eastAsia" w:eastAsia="仿宋_GB2312" w:cs="仿宋_GB2312"/>
          <w:b/>
          <w:bCs/>
          <w:kern w:val="2"/>
          <w:sz w:val="32"/>
          <w:szCs w:val="32"/>
          <w:lang w:val="en-US" w:eastAsia="zh-CN" w:bidi="ar-SA"/>
        </w:rPr>
        <w:t>：</w:t>
      </w:r>
      <w:r>
        <w:rPr>
          <w:rFonts w:hint="eastAsia" w:ascii="Times New Roman" w:hAnsi="Times New Roman" w:eastAsia="仿宋_GB2312" w:cs="仿宋_GB2312"/>
          <w:b/>
          <w:bCs/>
          <w:kern w:val="2"/>
          <w:sz w:val="32"/>
          <w:szCs w:val="32"/>
          <w:lang w:val="en-US" w:eastAsia="zh-CN" w:bidi="ar-SA"/>
        </w:rPr>
        <w:t xml:space="preserve"> </w:t>
      </w:r>
      <w:r>
        <w:rPr>
          <w:rFonts w:hint="eastAsia" w:ascii="Times New Roman" w:hAnsi="Times New Roman" w:eastAsia="仿宋_GB2312" w:cs="仿宋_GB2312"/>
          <w:b w:val="0"/>
          <w:bCs w:val="0"/>
          <w:kern w:val="2"/>
          <w:sz w:val="32"/>
          <w:szCs w:val="32"/>
          <w:lang w:val="en-US" w:eastAsia="zh-CN" w:bidi="ar-SA"/>
        </w:rPr>
        <w:t>支出决算为5.03万元，完成预算100%，决算数等于预算数。</w:t>
      </w:r>
    </w:p>
    <w:p w14:paraId="3DBC974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5.社会保障和就业（类）行政事业单位养老支出（款）机关事业单位基本养老保险缴费支出（项）</w:t>
      </w:r>
      <w:r>
        <w:rPr>
          <w:rFonts w:hint="eastAsia" w:eastAsia="仿宋_GB2312" w:cs="仿宋_GB2312"/>
          <w:b/>
          <w:bCs/>
          <w:kern w:val="2"/>
          <w:sz w:val="32"/>
          <w:szCs w:val="32"/>
          <w:lang w:val="en-US" w:eastAsia="zh-CN" w:bidi="ar-SA"/>
        </w:rPr>
        <w:t>：</w:t>
      </w:r>
      <w:r>
        <w:rPr>
          <w:rFonts w:hint="eastAsia" w:ascii="Times New Roman" w:hAnsi="Times New Roman" w:eastAsia="仿宋_GB2312" w:cs="仿宋_GB2312"/>
          <w:b/>
          <w:bCs/>
          <w:kern w:val="2"/>
          <w:sz w:val="32"/>
          <w:szCs w:val="32"/>
          <w:lang w:val="en-US" w:eastAsia="zh-CN" w:bidi="ar-SA"/>
        </w:rPr>
        <w:t xml:space="preserve"> </w:t>
      </w:r>
      <w:r>
        <w:rPr>
          <w:rFonts w:hint="eastAsia" w:ascii="Times New Roman" w:hAnsi="Times New Roman" w:eastAsia="仿宋_GB2312" w:cs="仿宋_GB2312"/>
          <w:b w:val="0"/>
          <w:bCs w:val="0"/>
          <w:kern w:val="2"/>
          <w:sz w:val="32"/>
          <w:szCs w:val="32"/>
          <w:lang w:val="en-US" w:eastAsia="zh-CN" w:bidi="ar-SA"/>
        </w:rPr>
        <w:t>支出决算为19.28万元，完成预算100%，决算数等于预算数。</w:t>
      </w:r>
    </w:p>
    <w:p w14:paraId="3C5C069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6.社会保障和就业（类）行政事业单位养老支出（款）机关事业单位职业年金缴费支出（项）</w:t>
      </w:r>
      <w:r>
        <w:rPr>
          <w:rFonts w:hint="eastAsia" w:eastAsia="仿宋_GB2312" w:cs="仿宋_GB2312"/>
          <w:b/>
          <w:bCs/>
          <w:kern w:val="2"/>
          <w:sz w:val="32"/>
          <w:szCs w:val="32"/>
          <w:lang w:val="en-US" w:eastAsia="zh-CN" w:bidi="ar-SA"/>
        </w:rPr>
        <w:t>：</w:t>
      </w:r>
      <w:r>
        <w:rPr>
          <w:rFonts w:hint="eastAsia" w:ascii="Times New Roman" w:hAnsi="Times New Roman" w:eastAsia="仿宋_GB2312" w:cs="仿宋_GB2312"/>
          <w:b w:val="0"/>
          <w:bCs w:val="0"/>
          <w:kern w:val="2"/>
          <w:sz w:val="32"/>
          <w:szCs w:val="32"/>
          <w:lang w:val="en-US" w:eastAsia="zh-CN" w:bidi="ar-SA"/>
        </w:rPr>
        <w:t>支出决算为9.32万元，完成预算100%，决算数等于预算数。</w:t>
      </w:r>
    </w:p>
    <w:p w14:paraId="663EA8C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7.社会保障和就业（类）抚恤（款）伤残抚恤（项）</w:t>
      </w:r>
      <w:r>
        <w:rPr>
          <w:rFonts w:hint="eastAsia" w:eastAsia="仿宋_GB2312" w:cs="仿宋_GB2312"/>
          <w:b/>
          <w:bCs/>
          <w:kern w:val="2"/>
          <w:sz w:val="32"/>
          <w:szCs w:val="32"/>
          <w:lang w:val="en-US" w:eastAsia="zh-CN" w:bidi="ar-SA"/>
        </w:rPr>
        <w:t>：</w:t>
      </w:r>
      <w:r>
        <w:rPr>
          <w:rFonts w:hint="eastAsia" w:ascii="Times New Roman" w:hAnsi="Times New Roman" w:eastAsia="仿宋_GB2312" w:cs="仿宋_GB2312"/>
          <w:b w:val="0"/>
          <w:bCs w:val="0"/>
          <w:kern w:val="2"/>
          <w:sz w:val="32"/>
          <w:szCs w:val="32"/>
          <w:lang w:val="en-US" w:eastAsia="zh-CN" w:bidi="ar-SA"/>
        </w:rPr>
        <w:t>支出决算为1.14万元，完成预算100%，决算数等于预算数。</w:t>
      </w:r>
    </w:p>
    <w:p w14:paraId="0A2625D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8.卫生健康（类）行政事业单位医疗（款）行政单位医疗项）</w:t>
      </w:r>
      <w:r>
        <w:rPr>
          <w:rFonts w:hint="eastAsia" w:eastAsia="仿宋_GB2312" w:cs="仿宋_GB2312"/>
          <w:b/>
          <w:bCs/>
          <w:kern w:val="2"/>
          <w:sz w:val="32"/>
          <w:szCs w:val="32"/>
          <w:lang w:val="en-US" w:eastAsia="zh-CN" w:bidi="ar-SA"/>
        </w:rPr>
        <w:t>：</w:t>
      </w:r>
      <w:r>
        <w:rPr>
          <w:rFonts w:hint="eastAsia" w:ascii="Times New Roman" w:hAnsi="Times New Roman" w:eastAsia="仿宋_GB2312" w:cs="仿宋_GB2312"/>
          <w:b w:val="0"/>
          <w:bCs w:val="0"/>
          <w:kern w:val="2"/>
          <w:sz w:val="32"/>
          <w:szCs w:val="32"/>
          <w:lang w:val="en-US" w:eastAsia="zh-CN" w:bidi="ar-SA"/>
        </w:rPr>
        <w:t>支出决算为2.77万元，完成预算100%，决算数等于预算数。</w:t>
      </w:r>
    </w:p>
    <w:p w14:paraId="11E7935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9.卫生健康（类）行政事业单位医疗（款）事业单位医疗</w:t>
      </w:r>
      <w:r>
        <w:rPr>
          <w:rFonts w:hint="eastAsia" w:eastAsia="仿宋_GB2312" w:cs="仿宋_GB2312"/>
          <w:b/>
          <w:bCs/>
          <w:kern w:val="2"/>
          <w:sz w:val="32"/>
          <w:szCs w:val="32"/>
          <w:lang w:val="en-US" w:eastAsia="zh-CN" w:bidi="ar-SA"/>
        </w:rPr>
        <w:t>（</w:t>
      </w:r>
      <w:r>
        <w:rPr>
          <w:rFonts w:hint="eastAsia" w:ascii="Times New Roman" w:hAnsi="Times New Roman" w:eastAsia="仿宋_GB2312" w:cs="仿宋_GB2312"/>
          <w:b/>
          <w:bCs/>
          <w:kern w:val="2"/>
          <w:sz w:val="32"/>
          <w:szCs w:val="32"/>
          <w:lang w:val="en-US" w:eastAsia="zh-CN" w:bidi="ar-SA"/>
        </w:rPr>
        <w:t>项）</w:t>
      </w:r>
      <w:r>
        <w:rPr>
          <w:rFonts w:hint="eastAsia" w:eastAsia="仿宋_GB2312" w:cs="仿宋_GB2312"/>
          <w:b/>
          <w:bCs/>
          <w:kern w:val="2"/>
          <w:sz w:val="32"/>
          <w:szCs w:val="32"/>
          <w:lang w:val="en-US" w:eastAsia="zh-CN" w:bidi="ar-SA"/>
        </w:rPr>
        <w:t>：</w:t>
      </w:r>
      <w:r>
        <w:rPr>
          <w:rFonts w:hint="eastAsia" w:ascii="Times New Roman" w:hAnsi="Times New Roman" w:eastAsia="仿宋_GB2312" w:cs="仿宋_GB2312"/>
          <w:b w:val="0"/>
          <w:bCs w:val="0"/>
          <w:kern w:val="2"/>
          <w:sz w:val="32"/>
          <w:szCs w:val="32"/>
          <w:lang w:val="en-US" w:eastAsia="zh-CN" w:bidi="ar-SA"/>
        </w:rPr>
        <w:t>支出决算为7.82万元，完成预算100%，决算数等于预算数。</w:t>
      </w:r>
    </w:p>
    <w:p w14:paraId="5DA6028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10.卫生健康（类）行政事业单位医疗（款）公务员医疗补助</w:t>
      </w:r>
      <w:r>
        <w:rPr>
          <w:rFonts w:hint="eastAsia" w:eastAsia="仿宋_GB2312" w:cs="仿宋_GB2312"/>
          <w:b/>
          <w:bCs/>
          <w:kern w:val="2"/>
          <w:sz w:val="32"/>
          <w:szCs w:val="32"/>
          <w:lang w:val="en-US" w:eastAsia="zh-CN" w:bidi="ar-SA"/>
        </w:rPr>
        <w:t>（</w:t>
      </w:r>
      <w:r>
        <w:rPr>
          <w:rFonts w:hint="eastAsia" w:ascii="Times New Roman" w:hAnsi="Times New Roman" w:eastAsia="仿宋_GB2312" w:cs="仿宋_GB2312"/>
          <w:b/>
          <w:bCs/>
          <w:kern w:val="2"/>
          <w:sz w:val="32"/>
          <w:szCs w:val="32"/>
          <w:lang w:val="en-US" w:eastAsia="zh-CN" w:bidi="ar-SA"/>
        </w:rPr>
        <w:t>项）</w:t>
      </w:r>
      <w:r>
        <w:rPr>
          <w:rFonts w:hint="eastAsia" w:eastAsia="仿宋_GB2312" w:cs="仿宋_GB2312"/>
          <w:b/>
          <w:bCs/>
          <w:kern w:val="2"/>
          <w:sz w:val="32"/>
          <w:szCs w:val="32"/>
          <w:lang w:val="en-US" w:eastAsia="zh-CN" w:bidi="ar-SA"/>
        </w:rPr>
        <w:t>：</w:t>
      </w:r>
      <w:r>
        <w:rPr>
          <w:rFonts w:hint="eastAsia" w:ascii="Times New Roman" w:hAnsi="Times New Roman" w:eastAsia="仿宋_GB2312" w:cs="仿宋_GB2312"/>
          <w:b w:val="0"/>
          <w:bCs w:val="0"/>
          <w:kern w:val="2"/>
          <w:sz w:val="32"/>
          <w:szCs w:val="32"/>
          <w:lang w:val="en-US" w:eastAsia="zh-CN" w:bidi="ar-SA"/>
        </w:rPr>
        <w:t>支出决算为0.25万元，完成预算100%，决算数等于预算数。</w:t>
      </w:r>
    </w:p>
    <w:p w14:paraId="684F54C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11.卫生健康（类）行政事业单位医疗（款）其他行政事业单位医疗支出</w:t>
      </w:r>
      <w:r>
        <w:rPr>
          <w:rFonts w:hint="eastAsia" w:eastAsia="仿宋_GB2312" w:cs="仿宋_GB2312"/>
          <w:b/>
          <w:bCs/>
          <w:kern w:val="2"/>
          <w:sz w:val="32"/>
          <w:szCs w:val="32"/>
          <w:lang w:val="en-US" w:eastAsia="zh-CN" w:bidi="ar-SA"/>
        </w:rPr>
        <w:t>（</w:t>
      </w:r>
      <w:r>
        <w:rPr>
          <w:rFonts w:hint="eastAsia" w:ascii="Times New Roman" w:hAnsi="Times New Roman" w:eastAsia="仿宋_GB2312" w:cs="仿宋_GB2312"/>
          <w:b/>
          <w:bCs/>
          <w:kern w:val="2"/>
          <w:sz w:val="32"/>
          <w:szCs w:val="32"/>
          <w:lang w:val="en-US" w:eastAsia="zh-CN" w:bidi="ar-SA"/>
        </w:rPr>
        <w:t>项）</w:t>
      </w:r>
      <w:r>
        <w:rPr>
          <w:rFonts w:hint="eastAsia" w:eastAsia="仿宋_GB2312" w:cs="仿宋_GB2312"/>
          <w:b/>
          <w:bCs/>
          <w:kern w:val="2"/>
          <w:sz w:val="32"/>
          <w:szCs w:val="32"/>
          <w:lang w:val="en-US" w:eastAsia="zh-CN" w:bidi="ar-SA"/>
        </w:rPr>
        <w:t>：</w:t>
      </w:r>
      <w:r>
        <w:rPr>
          <w:rFonts w:hint="eastAsia" w:ascii="Times New Roman" w:hAnsi="Times New Roman" w:eastAsia="仿宋_GB2312" w:cs="仿宋_GB2312"/>
          <w:b w:val="0"/>
          <w:bCs w:val="0"/>
          <w:kern w:val="2"/>
          <w:sz w:val="32"/>
          <w:szCs w:val="32"/>
          <w:lang w:val="en-US" w:eastAsia="zh-CN" w:bidi="ar-SA"/>
        </w:rPr>
        <w:t>支出决算为7.18万元，完成预算100%，决算数等于预算数。</w:t>
      </w:r>
    </w:p>
    <w:p w14:paraId="6071375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12.住房保障支出（类）住房改革支出（款）其住房公积金</w:t>
      </w:r>
      <w:r>
        <w:rPr>
          <w:rFonts w:hint="eastAsia" w:eastAsia="仿宋_GB2312" w:cs="仿宋_GB2312"/>
          <w:b/>
          <w:bCs/>
          <w:kern w:val="2"/>
          <w:sz w:val="32"/>
          <w:szCs w:val="32"/>
          <w:lang w:val="en-US" w:eastAsia="zh-CN" w:bidi="ar-SA"/>
        </w:rPr>
        <w:t>（</w:t>
      </w:r>
      <w:r>
        <w:rPr>
          <w:rFonts w:hint="eastAsia" w:ascii="Times New Roman" w:hAnsi="Times New Roman" w:eastAsia="仿宋_GB2312" w:cs="仿宋_GB2312"/>
          <w:b/>
          <w:bCs/>
          <w:kern w:val="2"/>
          <w:sz w:val="32"/>
          <w:szCs w:val="32"/>
          <w:lang w:val="en-US" w:eastAsia="zh-CN" w:bidi="ar-SA"/>
        </w:rPr>
        <w:t>项）</w:t>
      </w:r>
      <w:r>
        <w:rPr>
          <w:rFonts w:hint="eastAsia" w:eastAsia="仿宋_GB2312" w:cs="仿宋_GB2312"/>
          <w:b/>
          <w:bCs/>
          <w:kern w:val="2"/>
          <w:sz w:val="32"/>
          <w:szCs w:val="32"/>
          <w:lang w:val="en-US" w:eastAsia="zh-CN" w:bidi="ar-SA"/>
        </w:rPr>
        <w:t>：</w:t>
      </w:r>
      <w:r>
        <w:rPr>
          <w:rFonts w:hint="eastAsia" w:ascii="Times New Roman" w:hAnsi="Times New Roman" w:eastAsia="仿宋_GB2312" w:cs="仿宋_GB2312"/>
          <w:b w:val="0"/>
          <w:bCs w:val="0"/>
          <w:kern w:val="2"/>
          <w:sz w:val="32"/>
          <w:szCs w:val="32"/>
          <w:lang w:val="en-US" w:eastAsia="zh-CN" w:bidi="ar-SA"/>
        </w:rPr>
        <w:t>支出决算为16.49万元，完成预算100%，决算等于预算数。</w:t>
      </w:r>
    </w:p>
    <w:p w14:paraId="1503598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（注：仅罗列本部门涉及的全部功能分类科目，至项级。上述“预算”口径为全年预算数。增减变动原因为决算数&lt;项级&gt;和全年预算数&lt;项级&gt;比较，与预算数持平可以不写原因）</w:t>
      </w:r>
    </w:p>
    <w:p w14:paraId="662ED88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bookmarkStart w:id="28" w:name="_Toc15377214"/>
      <w:bookmarkStart w:id="29" w:name="_Toc15396608"/>
      <w:r>
        <w:rPr>
          <w:rFonts w:hint="eastAsia" w:ascii="黑体" w:hAnsi="黑体" w:eastAsia="黑体" w:cs="黑体"/>
          <w:b w:val="0"/>
          <w:bCs w:val="0"/>
          <w:kern w:val="2"/>
          <w:sz w:val="32"/>
          <w:szCs w:val="32"/>
          <w:lang w:val="en-US" w:eastAsia="zh-CN" w:bidi="ar-SA"/>
        </w:rPr>
        <w:t>六、一般公共预算财政拨款基本支出决算情况说明</w:t>
      </w:r>
      <w:bookmarkEnd w:id="28"/>
      <w:bookmarkEnd w:id="29"/>
      <w:r>
        <w:rPr>
          <w:rFonts w:hint="eastAsia" w:ascii="黑体" w:hAnsi="黑体" w:eastAsia="黑体" w:cs="黑体"/>
          <w:b w:val="0"/>
          <w:bCs w:val="0"/>
          <w:kern w:val="2"/>
          <w:sz w:val="32"/>
          <w:szCs w:val="32"/>
          <w:lang w:val="en-US" w:eastAsia="zh-CN" w:bidi="ar-SA"/>
        </w:rPr>
        <w:tab/>
      </w:r>
    </w:p>
    <w:p w14:paraId="7A6E1F4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2024年度一般公共预算财政拨款基本支出228.63万元，其中：</w:t>
      </w:r>
    </w:p>
    <w:p w14:paraId="04240D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人员经费214.58万元，主要包括：基本工资47.35万元、津贴补贴20.28万元、奖金12.87万元、绩效工资55.46万元、机关事业单位基本养老保险缴费19.28万元、职业年金缴费9.32万元、职工基本医疗保险缴费10.60万元、公务员医疗补助缴费6.49万元、其他社会保障缴费0.73万元、住房公积金16.49万元、医疗费0.94万元、其他工资福利支出7.28万元、抚恤金1.14万元、生活补助5.64万元、医疗费补助0.72万元、奖励金0.01万元等。</w:t>
      </w:r>
      <w:r>
        <w:rPr>
          <w:rFonts w:hint="eastAsia" w:ascii="Times New Roman" w:hAnsi="Times New Roman" w:eastAsia="仿宋_GB2312" w:cs="仿宋_GB2312"/>
          <w:b w:val="0"/>
          <w:bCs w:val="0"/>
          <w:kern w:val="2"/>
          <w:sz w:val="32"/>
          <w:szCs w:val="32"/>
          <w:lang w:val="en-US" w:eastAsia="zh-CN" w:bidi="ar-SA"/>
        </w:rPr>
        <w:br w:type="textWrapping"/>
      </w:r>
      <w:r>
        <w:rPr>
          <w:rFonts w:hint="eastAsia" w:ascii="Times New Roman" w:hAnsi="Times New Roman" w:eastAsia="仿宋_GB2312" w:cs="仿宋_GB2312"/>
          <w:b w:val="0"/>
          <w:bCs w:val="0"/>
          <w:kern w:val="2"/>
          <w:sz w:val="32"/>
          <w:szCs w:val="32"/>
          <w:lang w:val="en-US" w:eastAsia="zh-CN" w:bidi="ar-SA"/>
        </w:rPr>
        <w:t>　　公用经费14.05万元，主要包括：办公费2.64万元、水费0.07万元、电费0.69万元、邮电费0.64万元、差旅费1.52万元、维修（护）费0</w:t>
      </w:r>
      <w:r>
        <w:rPr>
          <w:rFonts w:hint="eastAsia" w:eastAsia="仿宋_GB2312" w:cs="仿宋_GB2312"/>
          <w:b w:val="0"/>
          <w:bCs w:val="0"/>
          <w:kern w:val="2"/>
          <w:sz w:val="32"/>
          <w:szCs w:val="32"/>
          <w:lang w:val="en-US" w:eastAsia="zh-CN" w:bidi="ar-SA"/>
        </w:rPr>
        <w:t>.</w:t>
      </w:r>
      <w:r>
        <w:rPr>
          <w:rFonts w:hint="eastAsia" w:ascii="Times New Roman" w:hAnsi="Times New Roman" w:eastAsia="仿宋_GB2312" w:cs="仿宋_GB2312"/>
          <w:b w:val="0"/>
          <w:bCs w:val="0"/>
          <w:kern w:val="2"/>
          <w:sz w:val="32"/>
          <w:szCs w:val="32"/>
          <w:lang w:val="en-US" w:eastAsia="zh-CN" w:bidi="ar-SA"/>
        </w:rPr>
        <w:t>5万元、会议费0.11万元、培训费0.36万元、公务接待费0.06万元、劳务费0.77万元、工会经费2.68万元、福利费0.75万元、其他交通费3.18万元、其他商品和服务支出0.10万元等。</w:t>
      </w:r>
    </w:p>
    <w:p w14:paraId="45358A3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（注：仅罗列本部门实际支出涉及的经济分类科目）</w:t>
      </w:r>
    </w:p>
    <w:p w14:paraId="69BC874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2"/>
          <w:sz w:val="32"/>
          <w:szCs w:val="32"/>
          <w:lang w:val="en-US" w:eastAsia="zh-CN" w:bidi="ar-SA"/>
        </w:rPr>
      </w:pPr>
      <w:bookmarkStart w:id="30" w:name="_Toc15396609"/>
      <w:bookmarkStart w:id="31" w:name="_Toc15377215"/>
      <w:r>
        <w:rPr>
          <w:rFonts w:hint="eastAsia" w:ascii="黑体" w:hAnsi="黑体" w:eastAsia="黑体" w:cs="黑体"/>
          <w:b w:val="0"/>
          <w:bCs w:val="0"/>
          <w:kern w:val="2"/>
          <w:sz w:val="32"/>
          <w:szCs w:val="32"/>
          <w:lang w:val="en-US" w:eastAsia="zh-CN" w:bidi="ar-SA"/>
        </w:rPr>
        <w:t>七、财政拨款“三公”经费支出决算情况说明</w:t>
      </w:r>
      <w:bookmarkEnd w:id="30"/>
      <w:bookmarkEnd w:id="31"/>
    </w:p>
    <w:p w14:paraId="0B5EC4A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eastAsia" w:eastAsia="楷体_GB2312" w:cs="楷体_GB2312"/>
          <w:b w:val="0"/>
          <w:bCs/>
          <w:sz w:val="32"/>
          <w:szCs w:val="32"/>
          <w:lang w:val="en-US" w:eastAsia="zh-CN"/>
        </w:rPr>
      </w:pPr>
      <w:bookmarkStart w:id="32" w:name="_Toc15377216"/>
      <w:r>
        <w:rPr>
          <w:rFonts w:hint="eastAsia" w:eastAsia="楷体_GB2312" w:cs="楷体_GB2312"/>
          <w:b w:val="0"/>
          <w:bCs/>
          <w:sz w:val="32"/>
          <w:szCs w:val="32"/>
          <w:lang w:val="en-US" w:eastAsia="zh-CN"/>
        </w:rPr>
        <w:t>（一）“三公”经费财政拨款支出决算总体情况说明</w:t>
      </w:r>
      <w:bookmarkEnd w:id="32"/>
    </w:p>
    <w:p w14:paraId="4C771F6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2024年度“三公”经费财政拨款支出决算为0.06万元，完成预算100%，较上年度增加/减少0万元，增长/下降0%。与预算数持平。</w:t>
      </w:r>
    </w:p>
    <w:p w14:paraId="2ED1C9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（注：上述“预算”口径为全年预算数，包括一般公共预算和政府性基金预算财政拨款支出决算情况）</w:t>
      </w:r>
    </w:p>
    <w:p w14:paraId="4C66662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eastAsia" w:eastAsia="楷体_GB2312" w:cs="楷体_GB2312"/>
          <w:b w:val="0"/>
          <w:bCs/>
          <w:sz w:val="32"/>
          <w:szCs w:val="32"/>
          <w:lang w:val="en-US" w:eastAsia="zh-CN"/>
        </w:rPr>
      </w:pPr>
      <w:bookmarkStart w:id="33" w:name="_Toc15377217"/>
      <w:r>
        <w:rPr>
          <w:rFonts w:hint="eastAsia" w:eastAsia="楷体_GB2312" w:cs="楷体_GB2312"/>
          <w:b w:val="0"/>
          <w:bCs/>
          <w:sz w:val="32"/>
          <w:szCs w:val="32"/>
          <w:lang w:val="en-US" w:eastAsia="zh-CN"/>
        </w:rPr>
        <w:t>（二）“三公”经费财政拨款支出决算具体情况说明</w:t>
      </w:r>
      <w:bookmarkEnd w:id="33"/>
    </w:p>
    <w:p w14:paraId="5173AE4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2024年度“三公”经费财政拨款支出决算中，因公出国（境）费支出决算0万元，占0%；公务用车购置及运行维护费支出决算0万元，占0%；公务接待费支出决算0.06万元，占100%。具体情况如下：</w:t>
      </w:r>
    </w:p>
    <w:p w14:paraId="6BE35AB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（图7：“三公”经费财政拨款支出结构）（饼状图）</w:t>
      </w:r>
    </w:p>
    <w:p w14:paraId="47E324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1.因公出国（境）经费支出0万元，完成预算0%。全年安排因公出国（境）团组0次，出国（境）0人。因公出国（境）支出决算比2023年增加/减少0万元，增长/下降0%。未安排因公出国（境）。</w:t>
      </w:r>
    </w:p>
    <w:p w14:paraId="7B3291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2.公务用车购置及运行维护费支出0万元，完成预算0%。公务用车购置及运行维护费支出决算比2023年度增加/减少0万元，增长/下降0%。</w:t>
      </w:r>
    </w:p>
    <w:p w14:paraId="7ADE6FF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其中：公务用车购置支出0万元。全年按规定更新购置公务用车0辆，其中：轿车0辆、金额0万元，越野车0辆、金额0万元，载客汽车0辆、金额0万元。截至2024年12月31日，单位共有公务用车0辆，其中：轿车0辆、越野车0辆、载客汽车0辆。</w:t>
      </w:r>
    </w:p>
    <w:p w14:paraId="1B4985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公务用车运行维护费支出0万元。</w:t>
      </w:r>
    </w:p>
    <w:p w14:paraId="51566A1B">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公务接待费支出0.06万元，完成预算100%。公务接待费支出决算比2023年度增加/减少0万元，增长/下降0%。</w:t>
      </w:r>
      <w:r>
        <w:rPr>
          <w:rFonts w:hint="eastAsia" w:eastAsia="仿宋_GB2312" w:cs="仿宋_GB2312"/>
          <w:b w:val="0"/>
          <w:bCs w:val="0"/>
          <w:kern w:val="2"/>
          <w:sz w:val="32"/>
          <w:szCs w:val="32"/>
          <w:lang w:val="en-US" w:eastAsia="zh-CN" w:bidi="ar-SA"/>
        </w:rPr>
        <w:t xml:space="preserve">           </w:t>
      </w:r>
    </w:p>
    <w:p w14:paraId="1D65392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其中：国内公务接待支出0.06万元，主要用于开展业务活动开支用餐费。国内公务接待1批次，8人次，共计支出0.06万元，具体内容包括：本年公务接待费0.06万元，国内公务接待1次共计8人次。</w:t>
      </w:r>
    </w:p>
    <w:p w14:paraId="374EAB1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外事接待支出0万元。外事接待0批次，0人次（不包括陪同人员），共计支出0万元。</w:t>
      </w:r>
      <w:bookmarkStart w:id="34" w:name="_Toc15396610"/>
      <w:bookmarkStart w:id="35" w:name="_Toc15377218"/>
    </w:p>
    <w:p w14:paraId="4406E23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八、政府性基金预算支出决算情况说明</w:t>
      </w:r>
      <w:bookmarkEnd w:id="34"/>
      <w:bookmarkEnd w:id="35"/>
    </w:p>
    <w:p w14:paraId="01898B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2024年度政府性基金预算财政拨款支出0万元，占本年支出合计的0%。与2023年度相比，政府性基金预算财政拨款支出增加/减少0万元，增长/下降0%。（注：支出数与上年持平可以不写原因）</w:t>
      </w:r>
    </w:p>
    <w:p w14:paraId="052F92D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2"/>
          <w:sz w:val="32"/>
          <w:szCs w:val="32"/>
          <w:lang w:val="en-US" w:eastAsia="zh-CN" w:bidi="ar-SA"/>
        </w:rPr>
      </w:pPr>
      <w:bookmarkStart w:id="36" w:name="_Toc15377219"/>
      <w:bookmarkStart w:id="37" w:name="_Toc15396611"/>
      <w:r>
        <w:rPr>
          <w:rFonts w:hint="eastAsia" w:ascii="黑体" w:hAnsi="黑体" w:eastAsia="黑体" w:cs="黑体"/>
          <w:b w:val="0"/>
          <w:bCs w:val="0"/>
          <w:kern w:val="2"/>
          <w:sz w:val="32"/>
          <w:szCs w:val="32"/>
          <w:lang w:val="en-US" w:eastAsia="zh-CN" w:bidi="ar-SA"/>
        </w:rPr>
        <w:t>九、国有资本经营预算支出决算情况说明</w:t>
      </w:r>
      <w:bookmarkEnd w:id="36"/>
      <w:bookmarkEnd w:id="37"/>
    </w:p>
    <w:p w14:paraId="478084F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2024年度国有资本经营预算财政拨款支出0万元，占本年支出合计的0%。与2023年度相比，国有资本经营预算财政拨款支出增加/减少0万元，增长/下降0%。（注：支出数与上年持平可以不写原因）</w:t>
      </w:r>
    </w:p>
    <w:p w14:paraId="05D92B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2"/>
          <w:sz w:val="32"/>
          <w:szCs w:val="32"/>
          <w:lang w:val="en-US" w:eastAsia="zh-CN" w:bidi="ar-SA"/>
        </w:rPr>
      </w:pPr>
      <w:bookmarkStart w:id="38" w:name="_Toc15396612"/>
      <w:bookmarkStart w:id="39" w:name="_Toc15377221"/>
      <w:r>
        <w:rPr>
          <w:rFonts w:hint="eastAsia" w:ascii="黑体" w:hAnsi="黑体" w:eastAsia="黑体" w:cs="黑体"/>
          <w:b w:val="0"/>
          <w:bCs w:val="0"/>
          <w:kern w:val="2"/>
          <w:sz w:val="32"/>
          <w:szCs w:val="32"/>
          <w:lang w:val="en-US" w:eastAsia="zh-CN" w:bidi="ar-SA"/>
        </w:rPr>
        <w:t>十、其他重要事项的情况说明</w:t>
      </w:r>
      <w:bookmarkEnd w:id="38"/>
      <w:bookmarkEnd w:id="39"/>
    </w:p>
    <w:p w14:paraId="31D623E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eastAsia" w:eastAsia="楷体_GB2312" w:cs="楷体_GB2312"/>
          <w:b w:val="0"/>
          <w:bCs/>
          <w:sz w:val="32"/>
          <w:szCs w:val="32"/>
          <w:lang w:val="en-US" w:eastAsia="zh-CN"/>
        </w:rPr>
      </w:pPr>
      <w:bookmarkStart w:id="40" w:name="_Toc15377222"/>
      <w:r>
        <w:rPr>
          <w:rFonts w:hint="eastAsia" w:eastAsia="楷体_GB2312" w:cs="楷体_GB2312"/>
          <w:b w:val="0"/>
          <w:bCs/>
          <w:sz w:val="32"/>
          <w:szCs w:val="32"/>
          <w:lang w:val="en-US" w:eastAsia="zh-CN"/>
        </w:rPr>
        <w:t>（一）机关运行经费支出情况</w:t>
      </w:r>
      <w:bookmarkEnd w:id="40"/>
    </w:p>
    <w:p w14:paraId="5BEF3F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2024年度，盐边县信访局机关运行经费支出14.05万元，比2023年度减少1.64万元，下降10.46%。主要原因是厉行节约、减少开支。</w:t>
      </w:r>
    </w:p>
    <w:p w14:paraId="15D315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eastAsia" w:eastAsia="楷体_GB2312" w:cs="楷体_GB2312"/>
          <w:b w:val="0"/>
          <w:bCs/>
          <w:sz w:val="32"/>
          <w:szCs w:val="32"/>
          <w:lang w:val="en-US" w:eastAsia="zh-CN"/>
        </w:rPr>
      </w:pPr>
      <w:bookmarkStart w:id="41" w:name="_Toc15377223"/>
      <w:r>
        <w:rPr>
          <w:rFonts w:hint="eastAsia" w:eastAsia="楷体_GB2312" w:cs="楷体_GB2312"/>
          <w:b w:val="0"/>
          <w:bCs/>
          <w:sz w:val="32"/>
          <w:szCs w:val="32"/>
          <w:lang w:val="en-US" w:eastAsia="zh-CN"/>
        </w:rPr>
        <w:t>（二）政府采购支出情况</w:t>
      </w:r>
      <w:bookmarkEnd w:id="41"/>
    </w:p>
    <w:p w14:paraId="343F52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2024年度，盐边县信访局政府采购支出总额2.04万元，其中：政府采购货物支出2.04万元、政府采购工程支出0万元、政府采购服务支出0万元。主要保证机关工作正常开展，提高机关办公室效率。授予中小企业合同金额2.04万元，占政府采购支出总额的100%，其中：授予小微企业合同金额2.04万元，占政府采购支出总额的100%。</w:t>
      </w:r>
    </w:p>
    <w:p w14:paraId="36ACCFE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eastAsia" w:eastAsia="楷体_GB2312" w:cs="楷体_GB2312"/>
          <w:b w:val="0"/>
          <w:bCs/>
          <w:sz w:val="32"/>
          <w:szCs w:val="32"/>
          <w:lang w:val="en-US" w:eastAsia="zh-CN"/>
        </w:rPr>
      </w:pPr>
      <w:bookmarkStart w:id="42" w:name="_Toc15377224"/>
      <w:r>
        <w:rPr>
          <w:rFonts w:hint="eastAsia" w:eastAsia="楷体_GB2312" w:cs="楷体_GB2312"/>
          <w:b w:val="0"/>
          <w:bCs/>
          <w:sz w:val="32"/>
          <w:szCs w:val="32"/>
          <w:lang w:val="en-US" w:eastAsia="zh-CN"/>
        </w:rPr>
        <w:t>（三）国有资产占有使用情况</w:t>
      </w:r>
      <w:bookmarkEnd w:id="42"/>
    </w:p>
    <w:p w14:paraId="0A0C81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截至2024年12月31日，盐边县信访局共有车辆0辆，其中：主要负责人用车0辆、机要通信用车0辆、应急保障用车0辆、其他用车0辆。单价100万元（含）以上设备（不含车辆）0台（套）。</w:t>
      </w:r>
    </w:p>
    <w:p w14:paraId="1BFA675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eastAsia" w:eastAsia="楷体_GB2312" w:cs="楷体_GB2312"/>
          <w:b w:val="0"/>
          <w:bCs/>
          <w:sz w:val="32"/>
          <w:szCs w:val="32"/>
          <w:lang w:val="en-US" w:eastAsia="zh-CN"/>
        </w:rPr>
      </w:pPr>
      <w:r>
        <w:rPr>
          <w:rFonts w:hint="eastAsia" w:eastAsia="楷体_GB2312" w:cs="楷体_GB2312"/>
          <w:b w:val="0"/>
          <w:bCs/>
          <w:sz w:val="32"/>
          <w:szCs w:val="32"/>
          <w:lang w:val="en-US" w:eastAsia="zh-CN"/>
        </w:rPr>
        <w:t>（四）预算绩效管理情况</w:t>
      </w:r>
    </w:p>
    <w:p w14:paraId="7B8B667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根据预算绩效管理要求，盐边县信访局在2024年度预算编制阶段，组织对信访业务经费、2024年成都工作站经费、盐边县特殊疑难信访事项化解专项、盐边县信访局进京进省值班专项、2024年信访业务经费、2024年办公设备购置等6个项目开展了预算事前绩效评估，对6个项目编制了绩效目标</w:t>
      </w:r>
      <w:r>
        <w:rPr>
          <w:rFonts w:hint="eastAsia" w:eastAsia="仿宋_GB2312" w:cs="仿宋_GB2312"/>
          <w:b w:val="0"/>
          <w:bCs w:val="0"/>
          <w:kern w:val="2"/>
          <w:sz w:val="32"/>
          <w:szCs w:val="32"/>
          <w:lang w:val="en-US" w:eastAsia="zh-CN" w:bidi="ar-SA"/>
        </w:rPr>
        <w:t>，在</w:t>
      </w:r>
      <w:r>
        <w:rPr>
          <w:rFonts w:hint="eastAsia" w:ascii="Times New Roman" w:hAnsi="Times New Roman" w:eastAsia="仿宋_GB2312" w:cs="仿宋_GB2312"/>
          <w:b w:val="0"/>
          <w:bCs w:val="0"/>
          <w:kern w:val="2"/>
          <w:sz w:val="32"/>
          <w:szCs w:val="32"/>
          <w:lang w:val="en-US" w:eastAsia="zh-CN" w:bidi="ar-SA"/>
        </w:rPr>
        <w:t>预算执行过程中，选取6个项目开展绩效监控。组织对2024年度一般公共预算、政府性基金预算、国有资本经营预算、社会保险基金预算以及资本资产等全面开展绩效自评，形成盐边县信访局部门整体（含部门预算项目）绩效自评报告、信访业务经费、2024年成都工作站经费、盐边县特殊疑难信访事项化解专项、盐边县信访局进京进省值班专项、2024年信访业务经费项目绩效自评报告、2024年办公设备购置项目绩效自评报告等专项预算项目绩效自评报告，其中，盐边县信访局部门整体（含部门预算项目）绩效自评得分为98分，绩效自评综述除了正常的信访</w:t>
      </w:r>
      <w:r>
        <w:rPr>
          <w:rFonts w:hint="eastAsia" w:eastAsia="仿宋_GB2312" w:cs="仿宋_GB2312"/>
          <w:b w:val="0"/>
          <w:bCs w:val="0"/>
          <w:kern w:val="2"/>
          <w:sz w:val="32"/>
          <w:szCs w:val="32"/>
          <w:lang w:val="en-US" w:eastAsia="zh-CN" w:bidi="ar-SA"/>
        </w:rPr>
        <w:t>事项</w:t>
      </w:r>
      <w:r>
        <w:rPr>
          <w:rFonts w:hint="eastAsia" w:ascii="Times New Roman" w:hAnsi="Times New Roman" w:eastAsia="仿宋_GB2312" w:cs="仿宋_GB2312"/>
          <w:b w:val="0"/>
          <w:bCs w:val="0"/>
          <w:kern w:val="2"/>
          <w:sz w:val="32"/>
          <w:szCs w:val="32"/>
          <w:lang w:val="en-US" w:eastAsia="zh-CN" w:bidi="ar-SA"/>
        </w:rPr>
        <w:t>化解工作以外，每年均有部分特殊疑难信访案件的化解存在，多为无责任主体、无政策依据支持但又确实严重影响上访群众生活水平的信访</w:t>
      </w:r>
      <w:r>
        <w:rPr>
          <w:rFonts w:hint="eastAsia" w:eastAsia="仿宋_GB2312" w:cs="仿宋_GB2312"/>
          <w:b w:val="0"/>
          <w:bCs w:val="0"/>
          <w:kern w:val="2"/>
          <w:sz w:val="32"/>
          <w:szCs w:val="32"/>
          <w:lang w:val="en-US" w:eastAsia="zh-CN" w:bidi="ar-SA"/>
        </w:rPr>
        <w:t>事项</w:t>
      </w:r>
      <w:r>
        <w:rPr>
          <w:rFonts w:hint="eastAsia" w:ascii="Times New Roman" w:hAnsi="Times New Roman" w:eastAsia="仿宋_GB2312" w:cs="仿宋_GB2312"/>
          <w:b w:val="0"/>
          <w:bCs w:val="0"/>
          <w:kern w:val="2"/>
          <w:sz w:val="32"/>
          <w:szCs w:val="32"/>
          <w:lang w:val="en-US" w:eastAsia="zh-CN" w:bidi="ar-SA"/>
        </w:rPr>
        <w:t>，因为此类信访案情况复杂，常常导致成为重复信访积案、上级督办案件，因此做好此类信访案的化解工作是信访工作的重要部分。通过困难救助、就地稳控、途中劝返等化解方式，进一步提高信访事项“三率”巩固“两降两升”，有效预防和及时化解、防止极端恶性和群体性事件发生。2024年拟进一步规范全县信访积案、特殊疑难信访案件化解资金集中使用，更好</w:t>
      </w:r>
      <w:r>
        <w:rPr>
          <w:rFonts w:hint="eastAsia" w:eastAsia="仿宋_GB2312" w:cs="仿宋_GB2312"/>
          <w:b w:val="0"/>
          <w:bCs w:val="0"/>
          <w:kern w:val="2"/>
          <w:sz w:val="32"/>
          <w:szCs w:val="32"/>
          <w:lang w:val="en-US" w:eastAsia="zh-CN" w:bidi="ar-SA"/>
        </w:rPr>
        <w:t>地</w:t>
      </w:r>
      <w:r>
        <w:rPr>
          <w:rFonts w:hint="eastAsia" w:ascii="Times New Roman" w:hAnsi="Times New Roman" w:eastAsia="仿宋_GB2312" w:cs="仿宋_GB2312"/>
          <w:b w:val="0"/>
          <w:bCs w:val="0"/>
          <w:kern w:val="2"/>
          <w:sz w:val="32"/>
          <w:szCs w:val="32"/>
          <w:lang w:val="en-US" w:eastAsia="zh-CN" w:bidi="ar-SA"/>
        </w:rPr>
        <w:t>完成年度信访工作目标。2024年专项预算项目绩效自评得分为100分，绩效自评综述做好群众来信来访，网络投诉等基础信访业务工作， 引导信访群众依法解决信访诉求，提高信访事项“三率”巩固“两降两升”，建立多功能、多形式、多渠道的信访网络平台弥补传统信访方式的缺陷，满足人民群众的信访要求，畅通群众信访绿色通道。按照上级维稳的要求和决策部署，负责上访群众到县到市到省进京上访劝返处置，有效预防和及时化解、防止极端恶性和群体性事件发生。推进信访法制工作建设，建立健全律师咨询、参与信访事项化解工作。推动心理咨询师参与化解信访事项工作，进一步为群众服务，促进社会和谐稳定。加强信访接待场所安保措施，有序安全开展接访工作。做好群众来信来访，网络投诉等基础信访业务工作，引导信访群众依法解决信访诉求，提高信访事项“三率”巩固“两降两升”，建立多功能、多形式、多渠道的信访网络平台弥补传统信访方式的缺陷，满足人民群众的信访要求，畅通群众信访绿色通道。按照上级维稳的要求和决策部署，负责上访群众到县到市到省进京上访劝返处置，有效预防和及时化解、防止极端恶性和群体性事件发生。推进信访法制工作建设，建立健全律师咨询、参与信访事项化解工作。推动心理咨询师参与化解信访事项工作，进一步为群众服务，促进社会和谐稳定。加强信访接待场所安保措施，有序安全开展接访工作。绩效自评报告详见附件。（注：如不涉及</w:t>
      </w:r>
      <w:r>
        <w:rPr>
          <w:rFonts w:hint="eastAsia" w:eastAsia="仿宋_GB2312" w:cs="仿宋_GB2312"/>
          <w:b w:val="0"/>
          <w:bCs w:val="0"/>
          <w:kern w:val="2"/>
          <w:sz w:val="32"/>
          <w:szCs w:val="32"/>
          <w:lang w:val="en-US" w:eastAsia="zh-CN" w:bidi="ar-SA"/>
        </w:rPr>
        <w:t>，</w:t>
      </w:r>
      <w:r>
        <w:rPr>
          <w:rFonts w:hint="eastAsia" w:ascii="Times New Roman" w:hAnsi="Times New Roman" w:eastAsia="仿宋_GB2312" w:cs="仿宋_GB2312"/>
          <w:b w:val="0"/>
          <w:bCs w:val="0"/>
          <w:kern w:val="2"/>
          <w:sz w:val="32"/>
          <w:szCs w:val="32"/>
          <w:lang w:val="en-US" w:eastAsia="zh-CN" w:bidi="ar-SA"/>
        </w:rPr>
        <w:t>可根据实际修改表述。）</w:t>
      </w:r>
    </w:p>
    <w:p w14:paraId="1CD946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p>
    <w:p w14:paraId="2B11C20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kern w:val="2"/>
          <w:sz w:val="32"/>
          <w:szCs w:val="32"/>
          <w:lang w:val="en-US" w:eastAsia="zh-CN" w:bidi="ar-SA"/>
        </w:rPr>
      </w:pPr>
    </w:p>
    <w:p w14:paraId="48B744FF">
      <w:pPr>
        <w:spacing w:line="600" w:lineRule="exact"/>
        <w:ind w:firstLine="640"/>
        <w:rPr>
          <w:rFonts w:hint="eastAsia" w:ascii="Times New Roman" w:hAnsi="Times New Roman" w:eastAsia="仿宋_GB2312" w:cs="仿宋_GB2312"/>
          <w:b w:val="0"/>
          <w:bCs w:val="0"/>
          <w:kern w:val="2"/>
          <w:sz w:val="32"/>
          <w:szCs w:val="32"/>
          <w:lang w:val="en-US" w:eastAsia="zh-CN" w:bidi="ar-SA"/>
        </w:rPr>
      </w:pPr>
    </w:p>
    <w:p w14:paraId="371E5ACB">
      <w:pPr>
        <w:rPr>
          <w:rFonts w:hint="eastAsia"/>
        </w:rPr>
      </w:pPr>
    </w:p>
    <w:p w14:paraId="42F1322D">
      <w:pPr>
        <w:pStyle w:val="2"/>
        <w:rPr>
          <w:rFonts w:hint="eastAsia"/>
        </w:rPr>
      </w:pPr>
    </w:p>
    <w:p w14:paraId="53801F5D">
      <w:pPr>
        <w:rPr>
          <w:rFonts w:hint="eastAsia"/>
        </w:rPr>
      </w:pPr>
    </w:p>
    <w:p w14:paraId="750ABDC7">
      <w:pPr>
        <w:pStyle w:val="2"/>
        <w:rPr>
          <w:rFonts w:hint="eastAsia"/>
        </w:rPr>
      </w:pPr>
    </w:p>
    <w:p w14:paraId="585F99F4">
      <w:pPr>
        <w:rPr>
          <w:rFonts w:hint="eastAsia"/>
        </w:rPr>
      </w:pPr>
    </w:p>
    <w:p w14:paraId="707F5B2F">
      <w:pPr>
        <w:pStyle w:val="2"/>
        <w:rPr>
          <w:rFonts w:hint="eastAsia"/>
        </w:rPr>
      </w:pPr>
    </w:p>
    <w:p w14:paraId="23C58251">
      <w:pPr>
        <w:rPr>
          <w:rFonts w:hint="eastAsia"/>
        </w:rPr>
      </w:pPr>
    </w:p>
    <w:p w14:paraId="675D3D76">
      <w:pPr>
        <w:pStyle w:val="2"/>
        <w:rPr>
          <w:rFonts w:hint="eastAsia"/>
        </w:rPr>
      </w:pPr>
    </w:p>
    <w:p w14:paraId="74F97E84">
      <w:pPr>
        <w:rPr>
          <w:rFonts w:hint="eastAsia"/>
        </w:rPr>
      </w:pPr>
    </w:p>
    <w:p w14:paraId="56961F3C">
      <w:pPr>
        <w:pStyle w:val="2"/>
        <w:rPr>
          <w:rFonts w:hint="eastAsia"/>
        </w:rPr>
      </w:pPr>
    </w:p>
    <w:p w14:paraId="0D0080C7">
      <w:pPr>
        <w:rPr>
          <w:rFonts w:hint="eastAsia"/>
        </w:rPr>
      </w:pPr>
    </w:p>
    <w:p w14:paraId="487F1C9A">
      <w:pPr>
        <w:rPr>
          <w:rFonts w:hint="eastAsia"/>
        </w:rPr>
      </w:pPr>
    </w:p>
    <w:p w14:paraId="3AD5BA18">
      <w:pPr>
        <w:spacing w:line="600" w:lineRule="exact"/>
        <w:jc w:val="both"/>
        <w:outlineLvl w:val="0"/>
        <w:rPr>
          <w:rFonts w:hint="eastAsia" w:eastAsia="黑体"/>
          <w:sz w:val="44"/>
          <w:szCs w:val="44"/>
        </w:rPr>
      </w:pPr>
      <w:bookmarkStart w:id="43" w:name="_Toc15396613"/>
      <w:bookmarkStart w:id="44" w:name="_Toc15377225"/>
    </w:p>
    <w:p w14:paraId="4A9BF7C4">
      <w:pPr>
        <w:spacing w:line="600" w:lineRule="exact"/>
        <w:jc w:val="center"/>
        <w:outlineLvl w:val="0"/>
        <w:rPr>
          <w:rFonts w:hint="eastAsia" w:eastAsia="黑体"/>
          <w:sz w:val="44"/>
          <w:szCs w:val="44"/>
        </w:rPr>
      </w:pPr>
    </w:p>
    <w:p w14:paraId="2DF012E2">
      <w:pPr>
        <w:spacing w:line="600" w:lineRule="exact"/>
        <w:jc w:val="center"/>
        <w:outlineLvl w:val="0"/>
        <w:rPr>
          <w:rFonts w:eastAsia="黑体"/>
          <w:sz w:val="44"/>
          <w:szCs w:val="44"/>
        </w:rPr>
      </w:pPr>
      <w:r>
        <w:rPr>
          <w:rFonts w:hint="eastAsia" w:eastAsia="黑体"/>
          <w:sz w:val="44"/>
          <w:szCs w:val="44"/>
        </w:rPr>
        <w:t>第三部分  名词解释</w:t>
      </w:r>
      <w:bookmarkEnd w:id="43"/>
      <w:bookmarkEnd w:id="44"/>
    </w:p>
    <w:p w14:paraId="3B73BAEC">
      <w:pPr>
        <w:spacing w:line="600" w:lineRule="exact"/>
        <w:jc w:val="left"/>
        <w:rPr>
          <w:b/>
          <w:sz w:val="44"/>
          <w:szCs w:val="44"/>
        </w:rPr>
      </w:pPr>
    </w:p>
    <w:p w14:paraId="5F5CE03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1.财政拨款收入：指单位从同级财政部门取得的财政预算资金。</w:t>
      </w:r>
    </w:p>
    <w:p w14:paraId="1F10BF4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2.事业收入：指事业单位开展专业业务活动及辅助活动取得的收入。</w:t>
      </w:r>
    </w:p>
    <w:p w14:paraId="19ECE2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3.经营收入：指事业单位在专业业务活动及其辅助活动之外开展非独立核算经营活动取得的收入。</w:t>
      </w:r>
    </w:p>
    <w:p w14:paraId="325BFCE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4.其他收入：指单位取得的除上述收入以外的各项收入。</w:t>
      </w:r>
    </w:p>
    <w:p w14:paraId="4ECAF57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 xml:space="preserve">5.使用非财政拨款结余（含专用结余）：指事业单位使用以前年度积累的非财政拨款结余弥补当年收支差额的金额。 </w:t>
      </w:r>
    </w:p>
    <w:p w14:paraId="11ED821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 xml:space="preserve">6.年初结转和结余：指以前年度尚未完成、结转到本年按有关规定继续使用的资金。 </w:t>
      </w:r>
    </w:p>
    <w:p w14:paraId="480D53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7.结余分配：指事业单位按照会计制度规定缴纳的所得税、提取的专用结余以及转入非财政拨款结余的金额等。</w:t>
      </w:r>
    </w:p>
    <w:p w14:paraId="0E8B07E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8.年末结转和结余：指单位按有关规定结转到下年或以后年度继续使用的资金。</w:t>
      </w:r>
    </w:p>
    <w:p w14:paraId="7063AE7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9.一般公共服务支出（类201）信访事务（款40）行政运行（项01）反映行政单位（包括实行公务员管理的事业单位）的基本支出。</w:t>
      </w:r>
    </w:p>
    <w:p w14:paraId="6E611A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10.一般公共服务支出（类201）信访事务（款40）信访事务（项04），反映各级政府用于接待群众来信来访方面的支出。</w:t>
      </w:r>
    </w:p>
    <w:p w14:paraId="24D5C8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11.一般公共服务支出（类201）信访事务（款40）其他信访事务支出（项99），反映上述项目以外的其他信访事务支出。</w:t>
      </w:r>
    </w:p>
    <w:p w14:paraId="319552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12</w:t>
      </w:r>
      <w:r>
        <w:rPr>
          <w:rFonts w:hint="eastAsia" w:eastAsia="仿宋_GB2312" w:cs="仿宋_GB2312"/>
          <w:sz w:val="32"/>
          <w:szCs w:val="32"/>
          <w:lang w:eastAsia="zh-CN"/>
        </w:rPr>
        <w:t>.</w:t>
      </w:r>
      <w:r>
        <w:rPr>
          <w:rFonts w:hint="eastAsia" w:eastAsia="仿宋_GB2312" w:cs="仿宋_GB2312"/>
          <w:sz w:val="32"/>
          <w:szCs w:val="32"/>
        </w:rPr>
        <w:t>社会保障和就业支出（类208）行政事业单位养老支出（款05）行政单位离退休（项01），反映行政单位（包括实行公务员管理的事业单位）开支的离退休经费。</w:t>
      </w:r>
    </w:p>
    <w:p w14:paraId="3F2C435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13</w:t>
      </w:r>
      <w:r>
        <w:rPr>
          <w:rFonts w:hint="eastAsia" w:eastAsia="仿宋_GB2312" w:cs="仿宋_GB2312"/>
          <w:sz w:val="32"/>
          <w:szCs w:val="32"/>
          <w:lang w:eastAsia="zh-CN"/>
        </w:rPr>
        <w:t>.</w:t>
      </w:r>
      <w:r>
        <w:rPr>
          <w:rFonts w:hint="eastAsia" w:eastAsia="仿宋_GB2312" w:cs="仿宋_GB2312"/>
          <w:sz w:val="32"/>
          <w:szCs w:val="32"/>
        </w:rPr>
        <w:t>社会保障和就业支出（类208）行政事业单位养老支出（款05）机关事业单位基本养老保险缴费支出（项05），反映机关事业单位实施养老保险制度由单位缴纳的基本养老保险费支出。</w:t>
      </w:r>
    </w:p>
    <w:p w14:paraId="745F8FF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14.社会保障和就业支出（类208）行政事业单位养老支出（款05）机关事业单位职业年金缴费支出（项05），反映机关事业单位实施养老保险制度由单位缴纳的职业年金支出（含职业年金补记支出）。</w:t>
      </w:r>
    </w:p>
    <w:p w14:paraId="7BC26B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15.社会保障和就业（208类）抚恤（08款）伤残抚恤（02项），反映按规定用于伤残人员的抚恤</w:t>
      </w:r>
      <w:r>
        <w:rPr>
          <w:rFonts w:hint="eastAsia" w:eastAsia="仿宋_GB2312" w:cs="仿宋_GB2312"/>
          <w:sz w:val="32"/>
          <w:szCs w:val="32"/>
        </w:rPr>
        <w:tab/>
      </w:r>
      <w:r>
        <w:rPr>
          <w:rFonts w:hint="eastAsia" w:eastAsia="仿宋_GB2312" w:cs="仿宋_GB2312"/>
          <w:sz w:val="32"/>
          <w:szCs w:val="32"/>
        </w:rPr>
        <w:t>金</w:t>
      </w:r>
      <w:r>
        <w:rPr>
          <w:rFonts w:hint="eastAsia" w:eastAsia="仿宋_GB2312" w:cs="仿宋_GB2312"/>
          <w:sz w:val="32"/>
          <w:szCs w:val="32"/>
        </w:rPr>
        <w:tab/>
      </w:r>
      <w:r>
        <w:rPr>
          <w:rFonts w:hint="eastAsia" w:eastAsia="仿宋_GB2312" w:cs="仿宋_GB2312"/>
          <w:sz w:val="32"/>
          <w:szCs w:val="32"/>
        </w:rPr>
        <w:t>和</w:t>
      </w:r>
      <w:r>
        <w:rPr>
          <w:rFonts w:hint="eastAsia" w:eastAsia="仿宋_GB2312" w:cs="仿宋_GB2312"/>
          <w:sz w:val="32"/>
          <w:szCs w:val="32"/>
        </w:rPr>
        <w:tab/>
      </w:r>
      <w:r>
        <w:rPr>
          <w:rFonts w:hint="eastAsia" w:eastAsia="仿宋_GB2312" w:cs="仿宋_GB2312"/>
          <w:sz w:val="32"/>
          <w:szCs w:val="32"/>
        </w:rPr>
        <w:t>按规定开支的各项伤残补助。</w:t>
      </w:r>
    </w:p>
    <w:p w14:paraId="7D4E4D8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16.卫生健康支出（类210）行政事业单位医疗（款11）行政单位医疗（项01），反映财政部门安排的行政单位（包括实行公务员管理的事业单位，下同）基本医疗保险缴费经费，未参加医疗保险的行政单位的公费医疗经费，按国家规定享受离休人员、红军老战士待遇人员的医疗经费。</w:t>
      </w:r>
    </w:p>
    <w:p w14:paraId="6D6D1B1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17.卫生健康支出（类210）行政事业单位医疗（款11）事业单位医疗（项02），反映财政部门安排的事业单位基本医疗保险缴费经费，未参加医疗保险的事业单位的公费医疗经费，按国家规定享受离休人员待遇的医疗经费。</w:t>
      </w:r>
    </w:p>
    <w:p w14:paraId="0933E56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18.卫生健康支出（类210）行政事业单位医疗（款11）公务员医疗补助（项03），反映财政部门安排的公务员医疗补助经费。</w:t>
      </w:r>
    </w:p>
    <w:p w14:paraId="65F43A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19.卫生健康支出（类210）行政事业单位医疗（款11）其他行政事业单位医疗支出（项99），反映出上述项目以外的其他用于行政事业单位医疗方面的支出。</w:t>
      </w:r>
    </w:p>
    <w:p w14:paraId="479EE66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20.住房保障支出（类221）住房改革支出（款02）住房公积金（项01），反映行政事业单位按人力资源和社会保障部、财政部规定的基本工资和津贴补贴以及规定比例为职工缴纳的住房公积金。</w:t>
      </w:r>
    </w:p>
    <w:p w14:paraId="3F13F4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21.基本支出：指为保障机构正常运转、完成日常工作任务而发生的人员支出和公用支出。</w:t>
      </w:r>
    </w:p>
    <w:p w14:paraId="7B4FDA1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 xml:space="preserve">22.项目支出：指在基本支出之外为完成特定行政任务和事业发展目标所发生的支出。 </w:t>
      </w:r>
    </w:p>
    <w:p w14:paraId="4AD131E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23.经营支出：指事业单位在专业业务活动及其辅助活动之外开展非独立核算经营活动发生的支出。</w:t>
      </w:r>
    </w:p>
    <w:p w14:paraId="4A9745D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24.“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74E6934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25.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E4B01A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s="仿宋_GB2312"/>
          <w:sz w:val="32"/>
          <w:szCs w:val="32"/>
        </w:rPr>
      </w:pPr>
      <w:r>
        <w:rPr>
          <w:rFonts w:hint="eastAsia" w:eastAsia="仿宋_GB2312" w:cs="仿宋_GB2312"/>
          <w:sz w:val="32"/>
          <w:szCs w:val="32"/>
        </w:rPr>
        <w:t>（注：名词解释部分请根据各部门实际列支情况罗列，并根据本部门职责职能增减名词解释内容）</w:t>
      </w:r>
    </w:p>
    <w:p w14:paraId="5D101A9F">
      <w:pPr>
        <w:spacing w:line="600" w:lineRule="exact"/>
        <w:jc w:val="center"/>
        <w:outlineLvl w:val="0"/>
        <w:rPr>
          <w:rFonts w:hint="eastAsia" w:eastAsia="黑体"/>
          <w:sz w:val="44"/>
          <w:szCs w:val="44"/>
          <w:lang w:val="en-US" w:eastAsia="zh-CN"/>
        </w:rPr>
      </w:pPr>
      <w:bookmarkStart w:id="45" w:name="_Toc15377226"/>
      <w:r>
        <w:rPr>
          <w:rFonts w:hint="eastAsia" w:eastAsia="仿宋_GB2312" w:cs="仿宋_GB2312"/>
          <w:sz w:val="32"/>
          <w:szCs w:val="32"/>
        </w:rPr>
        <w:br w:type="page"/>
      </w:r>
      <w:bookmarkStart w:id="46" w:name="_Toc15396614"/>
      <w:r>
        <w:rPr>
          <w:rFonts w:hint="eastAsia" w:eastAsia="黑体"/>
          <w:sz w:val="44"/>
          <w:szCs w:val="44"/>
        </w:rPr>
        <w:t>第</w:t>
      </w:r>
      <w:r>
        <w:rPr>
          <w:rFonts w:hint="eastAsia" w:eastAsia="黑体"/>
          <w:sz w:val="44"/>
          <w:szCs w:val="44"/>
          <w:lang w:val="en-US" w:eastAsia="zh-CN"/>
        </w:rPr>
        <w:t>四</w:t>
      </w:r>
      <w:r>
        <w:rPr>
          <w:rFonts w:hint="eastAsia" w:eastAsia="黑体"/>
          <w:sz w:val="44"/>
          <w:szCs w:val="44"/>
        </w:rPr>
        <w:t xml:space="preserve">部分  </w:t>
      </w:r>
      <w:r>
        <w:rPr>
          <w:rFonts w:hint="eastAsia" w:eastAsia="黑体"/>
          <w:sz w:val="44"/>
          <w:szCs w:val="44"/>
          <w:lang w:val="en-US" w:eastAsia="zh-CN"/>
        </w:rPr>
        <w:t>附件</w:t>
      </w:r>
    </w:p>
    <w:p w14:paraId="7B8D408D">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eastAsia="黑体" w:cs="方正小标宋简体"/>
          <w:sz w:val="44"/>
          <w:szCs w:val="44"/>
        </w:rPr>
      </w:pPr>
      <w:r>
        <w:rPr>
          <w:rFonts w:hint="eastAsia" w:eastAsia="黑体"/>
          <w:sz w:val="44"/>
          <w:szCs w:val="44"/>
        </w:rPr>
        <w:t xml:space="preserve"> </w:t>
      </w:r>
      <w:bookmarkEnd w:id="46"/>
      <w:r>
        <w:rPr>
          <w:rFonts w:hint="eastAsia" w:eastAsia="黑体" w:cs="黑体"/>
          <w:sz w:val="32"/>
          <w:szCs w:val="32"/>
        </w:rPr>
        <w:t>附件1</w:t>
      </w:r>
    </w:p>
    <w:p w14:paraId="47105E03">
      <w:pPr>
        <w:widowControl/>
        <w:spacing w:line="578" w:lineRule="exact"/>
        <w:contextualSpacing/>
        <w:jc w:val="center"/>
        <w:rPr>
          <w:rFonts w:eastAsia="方正小标宋简体"/>
          <w:bCs/>
          <w:sz w:val="44"/>
          <w:szCs w:val="44"/>
          <w:shd w:val="clear" w:color="auto" w:fill="FFFFFF"/>
        </w:rPr>
      </w:pPr>
    </w:p>
    <w:p w14:paraId="0FC1A8B6">
      <w:pPr>
        <w:pageBreakBefore w:val="0"/>
        <w:kinsoku/>
        <w:wordWrap/>
        <w:overflowPunct/>
        <w:topLinePunct w:val="0"/>
        <w:autoSpaceDE/>
        <w:autoSpaceDN/>
        <w:bidi w:val="0"/>
        <w:spacing w:line="600" w:lineRule="exact"/>
        <w:jc w:val="center"/>
        <w:textAlignment w:val="auto"/>
        <w:outlineLvl w:val="0"/>
        <w:rPr>
          <w:rFonts w:hint="eastAsia" w:eastAsia="黑体"/>
          <w:sz w:val="44"/>
          <w:szCs w:val="44"/>
        </w:rPr>
      </w:pPr>
      <w:r>
        <w:rPr>
          <w:rFonts w:hint="eastAsia" w:eastAsia="黑体"/>
          <w:sz w:val="44"/>
          <w:szCs w:val="44"/>
        </w:rPr>
        <w:t>部门预算绩效评价报告</w:t>
      </w:r>
    </w:p>
    <w:p w14:paraId="68BD6B93">
      <w:pPr>
        <w:pStyle w:val="2"/>
      </w:pPr>
    </w:p>
    <w:p w14:paraId="2276924C">
      <w:pPr>
        <w:keepNext w:val="0"/>
        <w:keepLines w:val="0"/>
        <w:pageBreakBefore w:val="0"/>
        <w:widowControl/>
        <w:kinsoku/>
        <w:wordWrap/>
        <w:overflowPunct/>
        <w:topLinePunct w:val="0"/>
        <w:autoSpaceDE/>
        <w:autoSpaceDN/>
        <w:bidi w:val="0"/>
        <w:adjustRightInd w:val="0"/>
        <w:snapToGrid w:val="0"/>
        <w:spacing w:beforeAutospacing="0" w:afterAutospacing="0" w:line="600" w:lineRule="exact"/>
        <w:ind w:firstLine="640" w:firstLineChars="200"/>
        <w:contextualSpacing/>
        <w:jc w:val="left"/>
        <w:textAlignment w:val="auto"/>
        <w:rPr>
          <w:rFonts w:eastAsia="黑体"/>
          <w:kern w:val="0"/>
          <w:sz w:val="32"/>
          <w:szCs w:val="32"/>
          <w:shd w:val="clear" w:color="auto" w:fill="FFFFFF"/>
          <w:lang w:val="zh-CN"/>
        </w:rPr>
      </w:pPr>
      <w:r>
        <w:rPr>
          <w:rFonts w:hint="eastAsia" w:eastAsia="黑体"/>
          <w:kern w:val="0"/>
          <w:sz w:val="32"/>
          <w:szCs w:val="32"/>
          <w:shd w:val="clear" w:color="auto" w:fill="FFFFFF"/>
          <w:lang w:val="zh-CN"/>
        </w:rPr>
        <w:t>一、</w:t>
      </w:r>
      <w:r>
        <w:rPr>
          <w:rFonts w:eastAsia="黑体"/>
          <w:kern w:val="0"/>
          <w:sz w:val="32"/>
          <w:szCs w:val="32"/>
          <w:shd w:val="clear" w:color="auto" w:fill="FFFFFF"/>
          <w:lang w:val="zh-CN"/>
        </w:rPr>
        <w:t>部门（单位）基本情况</w:t>
      </w:r>
    </w:p>
    <w:p w14:paraId="51C9BCCB">
      <w:pPr>
        <w:keepNext w:val="0"/>
        <w:keepLines w:val="0"/>
        <w:pageBreakBefore w:val="0"/>
        <w:widowControl/>
        <w:kinsoku/>
        <w:wordWrap/>
        <w:overflowPunct/>
        <w:topLinePunct w:val="0"/>
        <w:autoSpaceDE/>
        <w:autoSpaceDN/>
        <w:bidi w:val="0"/>
        <w:adjustRightInd w:val="0"/>
        <w:snapToGrid w:val="0"/>
        <w:spacing w:beforeAutospacing="0" w:afterAutospacing="0" w:line="560" w:lineRule="exact"/>
        <w:ind w:firstLine="640" w:firstLineChars="200"/>
        <w:contextualSpacing/>
        <w:jc w:val="left"/>
        <w:textAlignment w:val="auto"/>
        <w:rPr>
          <w:rFonts w:hint="eastAsia" w:eastAsia="仿宋_GB2312" w:cs="仿宋_GB2312"/>
          <w:sz w:val="32"/>
          <w:szCs w:val="32"/>
        </w:rPr>
      </w:pPr>
      <w:r>
        <w:rPr>
          <w:rFonts w:hint="eastAsia" w:eastAsia="楷体_GB2312" w:cs="楷体_GB2312"/>
          <w:b w:val="0"/>
          <w:bCs/>
          <w:sz w:val="32"/>
          <w:szCs w:val="32"/>
          <w:lang w:val="zh-CN"/>
        </w:rPr>
        <w:t>（一）</w:t>
      </w:r>
      <w:r>
        <w:rPr>
          <w:rFonts w:eastAsia="楷体_GB2312" w:cs="楷体_GB2312"/>
          <w:b w:val="0"/>
          <w:bCs/>
          <w:sz w:val="32"/>
          <w:szCs w:val="32"/>
          <w:lang w:val="zh-CN"/>
        </w:rPr>
        <w:t>机构组成。</w:t>
      </w:r>
      <w:r>
        <w:rPr>
          <w:rFonts w:hint="eastAsia" w:eastAsia="仿宋_GB2312" w:cs="仿宋_GB2312"/>
          <w:sz w:val="32"/>
          <w:szCs w:val="32"/>
        </w:rPr>
        <w:t>盐边县信访局内设股室3个；下属二级预算单位0个，其中：行政单位1个，参照公务员法管理的事业单位0个，其他事业单位0个。</w:t>
      </w:r>
    </w:p>
    <w:p w14:paraId="003D6D27">
      <w:pPr>
        <w:keepNext w:val="0"/>
        <w:keepLines w:val="0"/>
        <w:pageBreakBefore w:val="0"/>
        <w:widowControl/>
        <w:shd w:val="clear" w:color="auto" w:fill="FFFFFF"/>
        <w:tabs>
          <w:tab w:val="left" w:pos="312"/>
        </w:tabs>
        <w:kinsoku/>
        <w:wordWrap/>
        <w:overflowPunct/>
        <w:topLinePunct w:val="0"/>
        <w:autoSpaceDE/>
        <w:autoSpaceDN/>
        <w:bidi w:val="0"/>
        <w:spacing w:beforeAutospacing="0" w:afterAutospacing="0" w:line="560" w:lineRule="exact"/>
        <w:ind w:firstLine="640" w:firstLineChars="200"/>
        <w:textAlignment w:val="auto"/>
        <w:rPr>
          <w:rFonts w:hint="eastAsia" w:eastAsia="仿宋_GB2312" w:cs="仿宋_GB2312"/>
          <w:sz w:val="32"/>
          <w:szCs w:val="32"/>
        </w:rPr>
      </w:pPr>
      <w:r>
        <w:rPr>
          <w:rFonts w:eastAsia="楷体_GB2312" w:cs="楷体_GB2312"/>
          <w:b w:val="0"/>
          <w:bCs/>
          <w:sz w:val="32"/>
          <w:szCs w:val="32"/>
          <w:lang w:val="zh-CN"/>
        </w:rPr>
        <w:t>（二）机构职能</w:t>
      </w:r>
      <w:r>
        <w:rPr>
          <w:rFonts w:hint="eastAsia" w:eastAsia="楷体_GB2312" w:cs="楷体_GB2312"/>
          <w:b w:val="0"/>
          <w:bCs/>
          <w:sz w:val="32"/>
          <w:szCs w:val="32"/>
          <w:lang w:val="zh-CN"/>
        </w:rPr>
        <w:t>。</w:t>
      </w:r>
      <w:r>
        <w:rPr>
          <w:rFonts w:hint="eastAsia" w:eastAsia="仿宋_GB2312" w:cs="仿宋_GB2312"/>
          <w:sz w:val="32"/>
          <w:szCs w:val="32"/>
          <w:lang w:val="zh-CN"/>
        </w:rPr>
        <w:t>盐边县信访局属县政府派出机构，主要职责和职能是处理群众来信，接待群众来访；宣传党和政府群众工作的各项方针、政策、法律法规；收集社情民意，综合分析群众意见、建议和对突出问题的反映，及时向县委、县政府领导反映；承办、督促县委、县政府领导同志交办的信访事项；排查县内矛盾纠纷，落实化解责任；协调处理跨县、区、部门的重要信访事项，协调处理群众集体到市委、市政府的上访事项及赴省进京非正常上访的相关事项；指导、协调县级部门和乡（镇）党政机关的群众信访工作；检查、协调、指导乡（镇）、县级部门的群众工作，对县级部门和乡（镇）党政机关的信访工作进行目标管理考核，配合协助相关部门及乡（镇）开展群众思想政治工作。承办县委、县政府和省、市信访局批办、交办的其他事项。</w:t>
      </w:r>
      <w:r>
        <w:rPr>
          <w:rFonts w:hint="eastAsia" w:eastAsia="仿宋_GB2312" w:cs="仿宋_GB2312"/>
          <w:sz w:val="32"/>
          <w:szCs w:val="32"/>
        </w:rPr>
        <w:t>具体的职能职责为</w:t>
      </w:r>
      <w:r>
        <w:rPr>
          <w:rFonts w:hint="eastAsia" w:eastAsia="仿宋_GB2312" w:cs="仿宋_GB2312"/>
          <w:sz w:val="32"/>
          <w:szCs w:val="32"/>
          <w:lang w:eastAsia="zh-CN"/>
        </w:rPr>
        <w:t>：</w:t>
      </w:r>
      <w:r>
        <w:rPr>
          <w:rFonts w:hint="eastAsia" w:eastAsia="仿宋_GB2312" w:cs="仿宋_GB2312"/>
          <w:sz w:val="32"/>
          <w:szCs w:val="32"/>
          <w:lang w:val="zh-CN"/>
        </w:rPr>
        <w:t>综合股（政策法规股）。负责机关人事、保密、文电、目标管理、财务、会务、宣传、政务公开、政务接待、档案、机要、资产管理、后勤保障、应急、安全保卫等工作。承担机关党建、党风廉政和反腐败建设、群团和文化建设等工作。组织协调、督促检查机关政务、业务等工作。总结推广信访工作经验，组织开展全县信访工作业务指导、教育培训工作。负责机关退休人员管理服务工作。承担县信访工作联席会议办公室日常工作。承担本部门规范性文件合法性审查、备案和清理；业务股负责办理网上投诉信访事项。综合分析网上信访情况，提出工作建议。承担全县信访信息系统、四川省网上信访信息系统、各级党政领导信箱、人民网地方领导人留言、县信访局门户网站等应用系统的建设、运行、维护工作。承担网上信访相关业务的推广应用培训工作。办理上级转办交办的来信事项和群众给县委、县政府领导来信。承担社情民意的汇集分析工作，提出工作建议。承担县政府信访事项复查委员会办公室日常工作，负责接待群众到县委、县政府来访，综合分析来访情况提出工作建议。承办上级转办、交办来访事项，协助县领导开展接访下访工作。负责重大活动、重要会议等敏感时段的值班值守工作。组织协调进京赴省到市到县非接待场所有关人员</w:t>
      </w:r>
      <w:r>
        <w:rPr>
          <w:rFonts w:hint="eastAsia" w:eastAsia="仿宋_GB2312" w:cs="仿宋_GB2312"/>
          <w:sz w:val="32"/>
          <w:szCs w:val="32"/>
        </w:rPr>
        <w:t>接访劝返协调处理工作。</w:t>
      </w:r>
    </w:p>
    <w:p w14:paraId="2D453918">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eastAsia" w:eastAsia="仿宋_GB2312" w:cs="仿宋_GB2312"/>
          <w:sz w:val="32"/>
          <w:szCs w:val="32"/>
          <w:lang w:val="zh-CN"/>
        </w:rPr>
      </w:pPr>
      <w:r>
        <w:rPr>
          <w:rFonts w:eastAsia="楷体_GB2312"/>
          <w:b w:val="0"/>
          <w:bCs w:val="0"/>
          <w:kern w:val="0"/>
          <w:sz w:val="32"/>
          <w:szCs w:val="32"/>
          <w:shd w:val="clear" w:color="auto" w:fill="FFFFFF"/>
          <w:lang w:val="zh-CN"/>
        </w:rPr>
        <w:t>（</w:t>
      </w:r>
      <w:r>
        <w:rPr>
          <w:rFonts w:hint="eastAsia" w:eastAsia="楷体_GB2312"/>
          <w:b w:val="0"/>
          <w:bCs w:val="0"/>
          <w:kern w:val="0"/>
          <w:sz w:val="32"/>
          <w:szCs w:val="32"/>
          <w:shd w:val="clear" w:color="auto" w:fill="FFFFFF"/>
          <w:lang w:val="zh-CN"/>
        </w:rPr>
        <w:t>三</w:t>
      </w:r>
      <w:r>
        <w:rPr>
          <w:rFonts w:eastAsia="楷体_GB2312"/>
          <w:b w:val="0"/>
          <w:bCs w:val="0"/>
          <w:kern w:val="0"/>
          <w:sz w:val="32"/>
          <w:szCs w:val="32"/>
          <w:shd w:val="clear" w:color="auto" w:fill="FFFFFF"/>
          <w:lang w:val="zh-CN"/>
        </w:rPr>
        <w:t>）人员概况</w:t>
      </w:r>
      <w:r>
        <w:rPr>
          <w:rFonts w:hint="eastAsia" w:eastAsia="楷体_GB2312"/>
          <w:b w:val="0"/>
          <w:bCs w:val="0"/>
          <w:kern w:val="0"/>
          <w:sz w:val="32"/>
          <w:szCs w:val="32"/>
          <w:shd w:val="clear" w:color="auto" w:fill="FFFFFF"/>
          <w:lang w:val="zh-CN"/>
        </w:rPr>
        <w:t>。</w:t>
      </w:r>
      <w:r>
        <w:rPr>
          <w:rFonts w:hint="eastAsia" w:eastAsia="仿宋_GB2312" w:cs="仿宋_GB2312"/>
          <w:sz w:val="32"/>
          <w:szCs w:val="32"/>
          <w:lang w:val="zh-CN"/>
        </w:rPr>
        <w:t>截至2024年末，盐边县信访局及下属单位编制数</w:t>
      </w:r>
      <w:r>
        <w:rPr>
          <w:rFonts w:hint="eastAsia" w:eastAsia="仿宋_GB2312" w:cs="仿宋_GB2312"/>
          <w:sz w:val="32"/>
          <w:szCs w:val="32"/>
          <w:lang w:val="en-US" w:eastAsia="zh-CN"/>
        </w:rPr>
        <w:t>11</w:t>
      </w:r>
      <w:r>
        <w:rPr>
          <w:rFonts w:hint="eastAsia" w:eastAsia="仿宋_GB2312" w:cs="仿宋_GB2312"/>
          <w:sz w:val="32"/>
          <w:szCs w:val="32"/>
          <w:lang w:val="zh-CN"/>
        </w:rPr>
        <w:t>个，在职人员总数9人，其中：行政人员2人，参照公务员法管理的事业人员0人，其他事业人员7人；离（退）休人员1人。</w:t>
      </w:r>
    </w:p>
    <w:p w14:paraId="7FABFE34">
      <w:pPr>
        <w:keepNext w:val="0"/>
        <w:keepLines w:val="0"/>
        <w:pageBreakBefore w:val="0"/>
        <w:widowControl/>
        <w:kinsoku/>
        <w:wordWrap/>
        <w:overflowPunct/>
        <w:topLinePunct w:val="0"/>
        <w:autoSpaceDE/>
        <w:autoSpaceDN/>
        <w:bidi w:val="0"/>
        <w:adjustRightInd w:val="0"/>
        <w:snapToGrid w:val="0"/>
        <w:spacing w:beforeAutospacing="0" w:afterAutospacing="0" w:line="560" w:lineRule="exact"/>
        <w:ind w:firstLine="640" w:firstLineChars="200"/>
        <w:contextualSpacing/>
        <w:jc w:val="left"/>
        <w:textAlignment w:val="auto"/>
        <w:rPr>
          <w:rFonts w:eastAsia="黑体"/>
          <w:kern w:val="0"/>
          <w:sz w:val="32"/>
          <w:szCs w:val="32"/>
          <w:shd w:val="clear" w:color="auto" w:fill="FFFFFF"/>
          <w:lang w:val="zh-CN"/>
        </w:rPr>
      </w:pPr>
      <w:r>
        <w:rPr>
          <w:rFonts w:eastAsia="黑体"/>
          <w:kern w:val="0"/>
          <w:sz w:val="32"/>
          <w:szCs w:val="32"/>
          <w:shd w:val="clear" w:color="auto" w:fill="FFFFFF"/>
          <w:lang w:val="zh-CN"/>
        </w:rPr>
        <w:t>二、部门资金收支情况</w:t>
      </w:r>
    </w:p>
    <w:p w14:paraId="7361251C">
      <w:pPr>
        <w:keepNext w:val="0"/>
        <w:keepLines w:val="0"/>
        <w:pageBreakBefore w:val="0"/>
        <w:widowControl/>
        <w:kinsoku/>
        <w:wordWrap/>
        <w:overflowPunct/>
        <w:topLinePunct w:val="0"/>
        <w:autoSpaceDE/>
        <w:autoSpaceDN/>
        <w:bidi w:val="0"/>
        <w:adjustRightInd w:val="0"/>
        <w:snapToGrid w:val="0"/>
        <w:spacing w:beforeAutospacing="0" w:afterAutospacing="0" w:line="560" w:lineRule="exact"/>
        <w:ind w:firstLine="640" w:firstLineChars="200"/>
        <w:contextualSpacing/>
        <w:jc w:val="left"/>
        <w:textAlignment w:val="auto"/>
        <w:rPr>
          <w:rFonts w:hint="eastAsia" w:eastAsia="仿宋_GB2312" w:cs="仿宋_GB2312"/>
          <w:b w:val="0"/>
          <w:bCs w:val="0"/>
          <w:sz w:val="32"/>
          <w:szCs w:val="32"/>
          <w:lang w:val="zh-CN"/>
        </w:rPr>
      </w:pPr>
      <w:r>
        <w:rPr>
          <w:rFonts w:eastAsia="楷体_GB2312"/>
          <w:b w:val="0"/>
          <w:bCs w:val="0"/>
          <w:kern w:val="0"/>
          <w:sz w:val="32"/>
          <w:szCs w:val="32"/>
          <w:shd w:val="clear" w:color="auto" w:fill="FFFFFF"/>
          <w:lang w:val="zh-CN"/>
        </w:rPr>
        <w:t>（一）</w:t>
      </w:r>
      <w:r>
        <w:rPr>
          <w:rFonts w:hint="eastAsia" w:eastAsia="楷体_GB2312"/>
          <w:b w:val="0"/>
          <w:bCs w:val="0"/>
          <w:kern w:val="0"/>
          <w:sz w:val="32"/>
          <w:szCs w:val="32"/>
          <w:shd w:val="clear" w:color="auto" w:fill="FFFFFF"/>
          <w:lang w:val="zh-CN"/>
        </w:rPr>
        <w:t>收入情况</w:t>
      </w:r>
      <w:r>
        <w:rPr>
          <w:rFonts w:eastAsia="楷体_GB2312"/>
          <w:b w:val="0"/>
          <w:bCs w:val="0"/>
          <w:kern w:val="0"/>
          <w:sz w:val="32"/>
          <w:szCs w:val="32"/>
          <w:shd w:val="clear" w:color="auto" w:fill="FFFFFF"/>
          <w:lang w:val="zh-CN"/>
        </w:rPr>
        <w:t>。</w:t>
      </w:r>
      <w:r>
        <w:rPr>
          <w:rFonts w:hint="eastAsia" w:eastAsia="仿宋_GB2312" w:cs="仿宋_GB2312"/>
          <w:sz w:val="32"/>
          <w:szCs w:val="32"/>
          <w:lang w:val="zh-CN"/>
        </w:rPr>
        <w:t>2024年初预算收入375</w:t>
      </w:r>
      <w:r>
        <w:rPr>
          <w:rFonts w:hint="eastAsia" w:eastAsia="仿宋_GB2312" w:cs="仿宋_GB2312"/>
          <w:sz w:val="32"/>
          <w:szCs w:val="32"/>
          <w:lang w:val="en-US" w:eastAsia="zh-CN"/>
        </w:rPr>
        <w:t>.</w:t>
      </w:r>
      <w:r>
        <w:rPr>
          <w:rFonts w:hint="eastAsia" w:eastAsia="仿宋_GB2312" w:cs="仿宋_GB2312"/>
          <w:sz w:val="32"/>
          <w:szCs w:val="32"/>
          <w:lang w:val="zh-CN"/>
        </w:rPr>
        <w:t>4</w:t>
      </w:r>
      <w:r>
        <w:rPr>
          <w:rFonts w:hint="eastAsia" w:eastAsia="仿宋_GB2312" w:cs="仿宋_GB2312"/>
          <w:sz w:val="32"/>
          <w:szCs w:val="32"/>
          <w:lang w:val="en-US" w:eastAsia="zh-CN"/>
        </w:rPr>
        <w:t>2万</w:t>
      </w:r>
      <w:r>
        <w:rPr>
          <w:rFonts w:hint="eastAsia" w:eastAsia="仿宋_GB2312" w:cs="仿宋_GB2312"/>
          <w:sz w:val="32"/>
          <w:szCs w:val="32"/>
          <w:lang w:val="zh-CN"/>
        </w:rPr>
        <w:t>元，决算报表收入451</w:t>
      </w:r>
      <w:r>
        <w:rPr>
          <w:rFonts w:hint="eastAsia" w:eastAsia="仿宋_GB2312" w:cs="仿宋_GB2312"/>
          <w:sz w:val="32"/>
          <w:szCs w:val="32"/>
          <w:lang w:val="en-US" w:eastAsia="zh-CN"/>
        </w:rPr>
        <w:t>.9万</w:t>
      </w:r>
      <w:r>
        <w:rPr>
          <w:rFonts w:hint="eastAsia" w:eastAsia="仿宋_GB2312" w:cs="仿宋_GB2312"/>
          <w:sz w:val="32"/>
          <w:szCs w:val="32"/>
          <w:lang w:val="zh-CN"/>
        </w:rPr>
        <w:t>元，其中财政拨款预算收入为446</w:t>
      </w:r>
      <w:r>
        <w:rPr>
          <w:rFonts w:hint="eastAsia" w:eastAsia="仿宋_GB2312" w:cs="仿宋_GB2312"/>
          <w:sz w:val="32"/>
          <w:szCs w:val="32"/>
          <w:lang w:val="en-US" w:eastAsia="zh-CN"/>
        </w:rPr>
        <w:t>.9万</w:t>
      </w:r>
      <w:r>
        <w:rPr>
          <w:rFonts w:hint="eastAsia" w:eastAsia="仿宋_GB2312" w:cs="仿宋_GB2312"/>
          <w:sz w:val="32"/>
          <w:szCs w:val="32"/>
          <w:lang w:val="zh-CN"/>
        </w:rPr>
        <w:t>元，占总收入的99%，非同级财政拨款预算收入为5</w:t>
      </w:r>
      <w:r>
        <w:rPr>
          <w:rFonts w:hint="eastAsia" w:eastAsia="仿宋_GB2312" w:cs="仿宋_GB2312"/>
          <w:sz w:val="32"/>
          <w:szCs w:val="32"/>
          <w:lang w:val="en-US" w:eastAsia="zh-CN"/>
        </w:rPr>
        <w:t>万</w:t>
      </w:r>
      <w:r>
        <w:rPr>
          <w:rFonts w:hint="eastAsia" w:eastAsia="仿宋_GB2312" w:cs="仿宋_GB2312"/>
          <w:sz w:val="32"/>
          <w:szCs w:val="32"/>
          <w:lang w:val="zh-CN"/>
        </w:rPr>
        <w:t>元，占总收入的</w:t>
      </w:r>
      <w:r>
        <w:rPr>
          <w:rFonts w:hint="eastAsia" w:eastAsia="仿宋_GB2312" w:cs="仿宋_GB2312"/>
          <w:b w:val="0"/>
          <w:bCs w:val="0"/>
          <w:sz w:val="32"/>
          <w:szCs w:val="32"/>
          <w:lang w:val="zh-CN"/>
        </w:rPr>
        <w:t>1%。</w:t>
      </w:r>
    </w:p>
    <w:p w14:paraId="77C53333">
      <w:pPr>
        <w:keepNext w:val="0"/>
        <w:keepLines w:val="0"/>
        <w:pageBreakBefore w:val="0"/>
        <w:widowControl/>
        <w:kinsoku/>
        <w:wordWrap/>
        <w:overflowPunct/>
        <w:topLinePunct w:val="0"/>
        <w:autoSpaceDE/>
        <w:autoSpaceDN/>
        <w:bidi w:val="0"/>
        <w:spacing w:beforeAutospacing="0" w:afterAutospacing="0" w:line="560" w:lineRule="exact"/>
        <w:ind w:firstLine="640" w:firstLineChars="200"/>
        <w:textAlignment w:val="auto"/>
        <w:rPr>
          <w:rFonts w:ascii="仿宋_GB2312" w:hAnsi="仿宋_GB2312" w:eastAsia="仿宋_GB2312" w:cs="仿宋_GB2312"/>
          <w:kern w:val="0"/>
          <w:sz w:val="32"/>
          <w:szCs w:val="32"/>
        </w:rPr>
      </w:pPr>
      <w:r>
        <w:rPr>
          <w:rFonts w:eastAsia="楷体_GB2312"/>
          <w:b w:val="0"/>
          <w:bCs w:val="0"/>
          <w:kern w:val="0"/>
          <w:sz w:val="32"/>
          <w:szCs w:val="32"/>
          <w:shd w:val="clear" w:color="auto" w:fill="FFFFFF"/>
          <w:lang w:val="zh-CN"/>
        </w:rPr>
        <w:t>（</w:t>
      </w:r>
      <w:r>
        <w:rPr>
          <w:rFonts w:hint="eastAsia" w:eastAsia="楷体_GB2312"/>
          <w:b w:val="0"/>
          <w:bCs w:val="0"/>
          <w:kern w:val="0"/>
          <w:sz w:val="32"/>
          <w:szCs w:val="32"/>
          <w:shd w:val="clear" w:color="auto" w:fill="FFFFFF"/>
          <w:lang w:val="zh-CN"/>
        </w:rPr>
        <w:t>二</w:t>
      </w:r>
      <w:r>
        <w:rPr>
          <w:rFonts w:eastAsia="楷体_GB2312"/>
          <w:b w:val="0"/>
          <w:bCs w:val="0"/>
          <w:kern w:val="0"/>
          <w:sz w:val="32"/>
          <w:szCs w:val="32"/>
          <w:shd w:val="clear" w:color="auto" w:fill="FFFFFF"/>
          <w:lang w:val="zh-CN"/>
        </w:rPr>
        <w:t>）</w:t>
      </w:r>
      <w:r>
        <w:rPr>
          <w:rFonts w:hint="eastAsia" w:eastAsia="楷体_GB2312"/>
          <w:b w:val="0"/>
          <w:bCs w:val="0"/>
          <w:kern w:val="0"/>
          <w:sz w:val="32"/>
          <w:szCs w:val="32"/>
          <w:shd w:val="clear" w:color="auto" w:fill="FFFFFF"/>
          <w:lang w:val="zh-CN"/>
        </w:rPr>
        <w:t>支出情况</w:t>
      </w:r>
      <w:r>
        <w:rPr>
          <w:rFonts w:eastAsia="楷体_GB2312"/>
          <w:b w:val="0"/>
          <w:bCs w:val="0"/>
          <w:kern w:val="0"/>
          <w:sz w:val="32"/>
          <w:szCs w:val="32"/>
          <w:shd w:val="clear" w:color="auto" w:fill="FFFFFF"/>
          <w:lang w:val="zh-CN"/>
        </w:rPr>
        <w:t>。</w:t>
      </w:r>
      <w:r>
        <w:rPr>
          <w:rFonts w:hint="eastAsia" w:ascii="仿宋_GB2312" w:hAnsi="仿宋" w:eastAsia="仿宋_GB2312" w:cs="仿宋_GB2312"/>
          <w:kern w:val="0"/>
          <w:sz w:val="32"/>
          <w:szCs w:val="32"/>
        </w:rPr>
        <w:t>2024年初预算支出375</w:t>
      </w:r>
      <w:r>
        <w:rPr>
          <w:rFonts w:hint="eastAsia" w:ascii="仿宋_GB2312" w:hAnsi="仿宋" w:eastAsia="仿宋_GB2312" w:cs="仿宋_GB2312"/>
          <w:kern w:val="0"/>
          <w:sz w:val="32"/>
          <w:szCs w:val="32"/>
          <w:lang w:val="en-US" w:eastAsia="zh-CN"/>
        </w:rPr>
        <w:t>.</w:t>
      </w:r>
      <w:r>
        <w:rPr>
          <w:rFonts w:hint="eastAsia" w:ascii="仿宋_GB2312" w:hAnsi="仿宋" w:eastAsia="仿宋_GB2312" w:cs="仿宋_GB2312"/>
          <w:kern w:val="0"/>
          <w:sz w:val="32"/>
          <w:szCs w:val="32"/>
        </w:rPr>
        <w:t>4</w:t>
      </w:r>
      <w:r>
        <w:rPr>
          <w:rFonts w:hint="eastAsia" w:ascii="仿宋_GB2312" w:hAnsi="仿宋" w:eastAsia="仿宋_GB2312" w:cs="仿宋_GB2312"/>
          <w:kern w:val="0"/>
          <w:sz w:val="32"/>
          <w:szCs w:val="32"/>
          <w:lang w:val="en-US" w:eastAsia="zh-CN"/>
        </w:rPr>
        <w:t>2万</w:t>
      </w:r>
      <w:r>
        <w:rPr>
          <w:rFonts w:hint="eastAsia" w:ascii="仿宋_GB2312" w:hAnsi="仿宋" w:eastAsia="仿宋_GB2312" w:cs="仿宋_GB2312"/>
          <w:kern w:val="0"/>
          <w:sz w:val="32"/>
          <w:szCs w:val="32"/>
        </w:rPr>
        <w:t>元，决算报表</w:t>
      </w:r>
      <w:r>
        <w:rPr>
          <w:rFonts w:hint="eastAsia" w:ascii="仿宋_GB2312" w:hAnsi="仿宋_GB2312" w:eastAsia="仿宋_GB2312" w:cs="仿宋_GB2312"/>
          <w:kern w:val="0"/>
          <w:sz w:val="32"/>
          <w:szCs w:val="32"/>
        </w:rPr>
        <w:t>支出451</w:t>
      </w:r>
      <w:r>
        <w:rPr>
          <w:rFonts w:hint="eastAsia" w:ascii="仿宋_GB2312" w:hAnsi="仿宋_GB2312" w:eastAsia="仿宋_GB2312" w:cs="仿宋_GB2312"/>
          <w:kern w:val="0"/>
          <w:sz w:val="32"/>
          <w:szCs w:val="32"/>
          <w:lang w:val="en-US" w:eastAsia="zh-CN"/>
        </w:rPr>
        <w:t>.9万</w:t>
      </w:r>
      <w:r>
        <w:rPr>
          <w:rFonts w:hint="eastAsia" w:ascii="仿宋_GB2312" w:hAnsi="仿宋_GB2312" w:eastAsia="仿宋_GB2312" w:cs="仿宋_GB2312"/>
          <w:kern w:val="0"/>
          <w:sz w:val="32"/>
          <w:szCs w:val="32"/>
        </w:rPr>
        <w:t>元，其中财政拨款预算收入为446</w:t>
      </w:r>
      <w:r>
        <w:rPr>
          <w:rFonts w:hint="eastAsia" w:ascii="仿宋_GB2312" w:hAnsi="仿宋_GB2312" w:eastAsia="仿宋_GB2312" w:cs="仿宋_GB2312"/>
          <w:kern w:val="0"/>
          <w:sz w:val="32"/>
          <w:szCs w:val="32"/>
          <w:lang w:val="en-US" w:eastAsia="zh-CN"/>
        </w:rPr>
        <w:t>.9万</w:t>
      </w:r>
      <w:r>
        <w:rPr>
          <w:rFonts w:hint="eastAsia" w:ascii="仿宋_GB2312" w:hAnsi="仿宋_GB2312" w:eastAsia="仿宋_GB2312" w:cs="仿宋_GB2312"/>
          <w:kern w:val="0"/>
          <w:sz w:val="32"/>
          <w:szCs w:val="32"/>
        </w:rPr>
        <w:t>元，占总收入的99%，其中：基本支出</w:t>
      </w:r>
      <w:r>
        <w:rPr>
          <w:rFonts w:hint="eastAsia" w:ascii="仿宋_GB2312" w:hAnsi="仿宋" w:eastAsia="仿宋_GB2312" w:cs="宋体"/>
          <w:color w:val="000000"/>
          <w:kern w:val="0"/>
          <w:sz w:val="32"/>
          <w:szCs w:val="32"/>
        </w:rPr>
        <w:t>228</w:t>
      </w:r>
      <w:r>
        <w:rPr>
          <w:rFonts w:hint="eastAsia" w:ascii="仿宋_GB2312" w:hAnsi="仿宋" w:eastAsia="仿宋_GB2312" w:cs="宋体"/>
          <w:color w:val="000000"/>
          <w:kern w:val="0"/>
          <w:sz w:val="32"/>
          <w:szCs w:val="32"/>
          <w:lang w:val="en-US" w:eastAsia="zh-CN"/>
        </w:rPr>
        <w:t>.</w:t>
      </w:r>
      <w:r>
        <w:rPr>
          <w:rFonts w:hint="eastAsia" w:ascii="仿宋_GB2312" w:hAnsi="仿宋" w:eastAsia="仿宋_GB2312" w:cs="宋体"/>
          <w:color w:val="000000"/>
          <w:kern w:val="0"/>
          <w:sz w:val="32"/>
          <w:szCs w:val="32"/>
        </w:rPr>
        <w:t>6</w:t>
      </w:r>
      <w:r>
        <w:rPr>
          <w:rFonts w:hint="eastAsia" w:ascii="仿宋_GB2312" w:hAnsi="仿宋" w:eastAsia="仿宋_GB2312" w:cs="宋体"/>
          <w:color w:val="000000"/>
          <w:kern w:val="0"/>
          <w:sz w:val="32"/>
          <w:szCs w:val="32"/>
          <w:lang w:val="en-US" w:eastAsia="zh-CN"/>
        </w:rPr>
        <w:t>万</w:t>
      </w:r>
      <w:r>
        <w:rPr>
          <w:rFonts w:hint="eastAsia" w:ascii="仿宋_GB2312" w:hAnsi="仿宋_GB2312" w:eastAsia="仿宋_GB2312" w:cs="仿宋_GB2312"/>
          <w:kern w:val="0"/>
          <w:sz w:val="32"/>
          <w:szCs w:val="32"/>
        </w:rPr>
        <w:t>元，占总支出的50.60%。项目支出</w:t>
      </w:r>
      <w:r>
        <w:rPr>
          <w:rFonts w:hint="eastAsia" w:ascii="仿宋_GB2312" w:hAnsi="仿宋" w:eastAsia="仿宋_GB2312" w:cs="宋体"/>
          <w:color w:val="000000"/>
          <w:kern w:val="0"/>
          <w:sz w:val="32"/>
          <w:szCs w:val="32"/>
        </w:rPr>
        <w:t>218</w:t>
      </w:r>
      <w:r>
        <w:rPr>
          <w:rFonts w:hint="eastAsia" w:ascii="仿宋_GB2312" w:hAnsi="仿宋" w:eastAsia="仿宋_GB2312" w:cs="宋体"/>
          <w:color w:val="000000"/>
          <w:kern w:val="0"/>
          <w:sz w:val="32"/>
          <w:szCs w:val="32"/>
          <w:lang w:val="en-US" w:eastAsia="zh-CN"/>
        </w:rPr>
        <w:t>.</w:t>
      </w:r>
      <w:r>
        <w:rPr>
          <w:rFonts w:hint="eastAsia" w:ascii="仿宋_GB2312" w:hAnsi="仿宋" w:eastAsia="仿宋_GB2312" w:cs="宋体"/>
          <w:color w:val="000000"/>
          <w:kern w:val="0"/>
          <w:sz w:val="32"/>
          <w:szCs w:val="32"/>
        </w:rPr>
        <w:t>2</w:t>
      </w:r>
      <w:r>
        <w:rPr>
          <w:rFonts w:hint="eastAsia" w:ascii="仿宋_GB2312" w:hAnsi="仿宋" w:eastAsia="仿宋_GB2312" w:cs="宋体"/>
          <w:color w:val="000000"/>
          <w:kern w:val="0"/>
          <w:sz w:val="32"/>
          <w:szCs w:val="32"/>
          <w:lang w:val="en-US" w:eastAsia="zh-CN"/>
        </w:rPr>
        <w:t>万</w:t>
      </w:r>
      <w:r>
        <w:rPr>
          <w:rFonts w:hint="eastAsia" w:ascii="仿宋_GB2312" w:hAnsi="仿宋_GB2312" w:eastAsia="仿宋_GB2312" w:cs="仿宋_GB2312"/>
          <w:kern w:val="0"/>
          <w:sz w:val="32"/>
          <w:szCs w:val="32"/>
        </w:rPr>
        <w:t>元，占总支出的49.40%。非同级财政拨款预算收入为5</w:t>
      </w:r>
      <w:r>
        <w:rPr>
          <w:rFonts w:hint="eastAsia" w:ascii="仿宋_GB2312" w:hAnsi="仿宋_GB2312" w:eastAsia="仿宋_GB2312" w:cs="仿宋_GB2312"/>
          <w:kern w:val="0"/>
          <w:sz w:val="32"/>
          <w:szCs w:val="32"/>
          <w:lang w:val="en-US" w:eastAsia="zh-CN"/>
        </w:rPr>
        <w:t>万</w:t>
      </w:r>
      <w:r>
        <w:rPr>
          <w:rFonts w:hint="eastAsia" w:ascii="仿宋_GB2312" w:hAnsi="仿宋_GB2312" w:eastAsia="仿宋_GB2312" w:cs="仿宋_GB2312"/>
          <w:kern w:val="0"/>
          <w:sz w:val="32"/>
          <w:szCs w:val="32"/>
        </w:rPr>
        <w:t>元，占总收入的1%，均为项目支出。</w:t>
      </w:r>
      <w:r>
        <w:rPr>
          <w:rFonts w:hint="eastAsia" w:ascii="仿宋_GB2312" w:eastAsia="仿宋_GB2312"/>
          <w:sz w:val="32"/>
          <w:szCs w:val="32"/>
          <w:shd w:val="clear" w:color="auto" w:fill="FFFFFF"/>
        </w:rPr>
        <w:t>按照职能职责按时完成上级部门下达的各项任务。保证财政资金安全，按时发放职工工资，节约办公，保障机构正常运行；有序推进其他各项业务工作，服务群众。</w:t>
      </w:r>
    </w:p>
    <w:p w14:paraId="22E46073">
      <w:pPr>
        <w:keepNext w:val="0"/>
        <w:keepLines w:val="0"/>
        <w:pageBreakBefore w:val="0"/>
        <w:widowControl/>
        <w:kinsoku/>
        <w:wordWrap/>
        <w:overflowPunct/>
        <w:topLinePunct w:val="0"/>
        <w:autoSpaceDE/>
        <w:autoSpaceDN/>
        <w:bidi w:val="0"/>
        <w:adjustRightInd w:val="0"/>
        <w:snapToGrid w:val="0"/>
        <w:spacing w:beforeAutospacing="0" w:afterAutospacing="0" w:line="560" w:lineRule="exact"/>
        <w:ind w:firstLine="640" w:firstLineChars="200"/>
        <w:contextualSpacing/>
        <w:jc w:val="left"/>
        <w:textAlignment w:val="auto"/>
        <w:rPr>
          <w:rFonts w:eastAsia="仿宋_GB2312"/>
          <w:kern w:val="0"/>
          <w:szCs w:val="32"/>
          <w:shd w:val="clear" w:color="auto" w:fill="FFFFFF"/>
          <w:lang w:val="zh-CN"/>
        </w:rPr>
      </w:pPr>
      <w:r>
        <w:rPr>
          <w:rFonts w:eastAsia="楷体_GB2312"/>
          <w:b w:val="0"/>
          <w:bCs w:val="0"/>
          <w:kern w:val="0"/>
          <w:sz w:val="32"/>
          <w:szCs w:val="32"/>
          <w:shd w:val="clear" w:color="auto" w:fill="FFFFFF"/>
          <w:lang w:val="zh-CN"/>
        </w:rPr>
        <w:t>（</w:t>
      </w:r>
      <w:r>
        <w:rPr>
          <w:rFonts w:hint="eastAsia" w:eastAsia="楷体_GB2312"/>
          <w:b w:val="0"/>
          <w:bCs w:val="0"/>
          <w:kern w:val="0"/>
          <w:sz w:val="32"/>
          <w:szCs w:val="32"/>
          <w:shd w:val="clear" w:color="auto" w:fill="FFFFFF"/>
          <w:lang w:val="zh-CN"/>
        </w:rPr>
        <w:t>三</w:t>
      </w:r>
      <w:r>
        <w:rPr>
          <w:rFonts w:eastAsia="楷体_GB2312"/>
          <w:b w:val="0"/>
          <w:bCs w:val="0"/>
          <w:kern w:val="0"/>
          <w:sz w:val="32"/>
          <w:szCs w:val="32"/>
          <w:shd w:val="clear" w:color="auto" w:fill="FFFFFF"/>
          <w:lang w:val="zh-CN"/>
        </w:rPr>
        <w:t>）结余分配和结转结余情况</w:t>
      </w:r>
      <w:r>
        <w:rPr>
          <w:rFonts w:hint="eastAsia" w:eastAsia="楷体_GB2312"/>
          <w:b w:val="0"/>
          <w:bCs w:val="0"/>
          <w:kern w:val="0"/>
          <w:sz w:val="32"/>
          <w:szCs w:val="32"/>
          <w:shd w:val="clear" w:color="auto" w:fill="FFFFFF"/>
          <w:lang w:val="zh-CN"/>
        </w:rPr>
        <w:t>。</w:t>
      </w:r>
      <w:r>
        <w:rPr>
          <w:rFonts w:hint="eastAsia" w:eastAsia="仿宋_GB2312" w:cs="仿宋_GB2312"/>
          <w:sz w:val="32"/>
          <w:szCs w:val="32"/>
        </w:rPr>
        <w:t>盐边县信访局</w:t>
      </w:r>
      <w:r>
        <w:rPr>
          <w:rFonts w:hint="eastAsia" w:eastAsia="仿宋_GB2312"/>
          <w:sz w:val="32"/>
          <w:szCs w:val="32"/>
        </w:rPr>
        <w:t>2024年决算无</w:t>
      </w:r>
      <w:r>
        <w:rPr>
          <w:rFonts w:eastAsia="仿宋_GB2312"/>
          <w:sz w:val="32"/>
          <w:szCs w:val="32"/>
        </w:rPr>
        <w:t>结转结余。</w:t>
      </w:r>
    </w:p>
    <w:p w14:paraId="6F83B05D">
      <w:pPr>
        <w:keepNext w:val="0"/>
        <w:keepLines w:val="0"/>
        <w:pageBreakBefore w:val="0"/>
        <w:widowControl/>
        <w:kinsoku/>
        <w:wordWrap/>
        <w:overflowPunct/>
        <w:topLinePunct w:val="0"/>
        <w:autoSpaceDE/>
        <w:autoSpaceDN/>
        <w:bidi w:val="0"/>
        <w:adjustRightInd w:val="0"/>
        <w:snapToGrid w:val="0"/>
        <w:spacing w:beforeAutospacing="0" w:afterAutospacing="0" w:line="560" w:lineRule="exact"/>
        <w:ind w:firstLine="640" w:firstLineChars="200"/>
        <w:contextualSpacing/>
        <w:jc w:val="left"/>
        <w:textAlignment w:val="auto"/>
        <w:rPr>
          <w:rFonts w:eastAsia="黑体"/>
          <w:kern w:val="0"/>
          <w:sz w:val="32"/>
          <w:szCs w:val="32"/>
          <w:shd w:val="clear" w:color="auto" w:fill="FFFFFF"/>
          <w:lang w:val="zh-CN"/>
        </w:rPr>
      </w:pPr>
      <w:r>
        <w:rPr>
          <w:rFonts w:eastAsia="黑体"/>
          <w:kern w:val="0"/>
          <w:sz w:val="32"/>
          <w:szCs w:val="32"/>
          <w:shd w:val="clear" w:color="auto" w:fill="FFFFFF"/>
          <w:lang w:val="zh-CN"/>
        </w:rPr>
        <w:t>三、部门预算绩效分析</w:t>
      </w:r>
    </w:p>
    <w:p w14:paraId="336EA71A">
      <w:pPr>
        <w:pStyle w:val="16"/>
        <w:keepNext w:val="0"/>
        <w:keepLines w:val="0"/>
        <w:pageBreakBefore w:val="0"/>
        <w:kinsoku/>
        <w:wordWrap/>
        <w:overflowPunct/>
        <w:topLinePunct w:val="0"/>
        <w:autoSpaceDE/>
        <w:autoSpaceDN/>
        <w:bidi w:val="0"/>
        <w:spacing w:before="0" w:beforeAutospacing="0" w:after="0" w:afterAutospacing="0" w:line="560" w:lineRule="exact"/>
        <w:ind w:firstLine="640" w:firstLineChars="200"/>
        <w:textAlignment w:val="auto"/>
        <w:rPr>
          <w:rFonts w:eastAsia="楷体_GB2312"/>
          <w:b w:val="0"/>
          <w:bCs w:val="0"/>
          <w:color w:val="000000" w:themeColor="text1"/>
          <w:shd w:val="clear" w:color="auto" w:fill="FFFFFF"/>
          <w:lang w:val="zh-CN"/>
        </w:rPr>
      </w:pPr>
      <w:r>
        <w:rPr>
          <w:rFonts w:eastAsia="楷体_GB2312"/>
          <w:b w:val="0"/>
          <w:bCs w:val="0"/>
          <w:color w:val="000000" w:themeColor="text1"/>
          <w:shd w:val="clear" w:color="auto" w:fill="FFFFFF"/>
          <w:lang w:val="zh-CN"/>
        </w:rPr>
        <w:t>（一）</w:t>
      </w:r>
      <w:r>
        <w:rPr>
          <w:rFonts w:hint="eastAsia" w:eastAsia="楷体_GB2312"/>
          <w:b w:val="0"/>
          <w:bCs w:val="0"/>
          <w:color w:val="000000" w:themeColor="text1"/>
          <w:shd w:val="clear" w:color="auto" w:fill="FFFFFF"/>
          <w:lang w:val="zh-CN"/>
        </w:rPr>
        <w:t>部门预算</w:t>
      </w:r>
      <w:r>
        <w:rPr>
          <w:rFonts w:eastAsia="楷体_GB2312"/>
          <w:b w:val="0"/>
          <w:bCs w:val="0"/>
          <w:color w:val="000000" w:themeColor="text1"/>
          <w:shd w:val="clear" w:color="auto" w:fill="FFFFFF"/>
          <w:lang w:val="zh-CN"/>
        </w:rPr>
        <w:t>总体绩效分析</w:t>
      </w:r>
    </w:p>
    <w:p w14:paraId="4022704E">
      <w:pPr>
        <w:pStyle w:val="16"/>
        <w:keepNext w:val="0"/>
        <w:keepLines w:val="0"/>
        <w:pageBreakBefore w:val="0"/>
        <w:kinsoku/>
        <w:wordWrap/>
        <w:overflowPunct/>
        <w:topLinePunct w:val="0"/>
        <w:autoSpaceDE/>
        <w:autoSpaceDN/>
        <w:bidi w:val="0"/>
        <w:spacing w:before="0" w:beforeAutospacing="0" w:after="0" w:afterAutospacing="0" w:line="560" w:lineRule="exact"/>
        <w:ind w:firstLine="643" w:firstLineChars="200"/>
        <w:textAlignment w:val="auto"/>
        <w:rPr>
          <w:rFonts w:cs="微软雅黑"/>
          <w:b/>
        </w:rPr>
      </w:pPr>
      <w:r>
        <w:rPr>
          <w:rFonts w:hint="eastAsia" w:hAnsi="宋体" w:cs="微软雅黑"/>
          <w:b/>
          <w:shd w:val="clear" w:color="auto" w:fill="FFFFFF"/>
        </w:rPr>
        <w:t>1.</w:t>
      </w:r>
      <w:r>
        <w:rPr>
          <w:rFonts w:hint="eastAsia" w:hAnsi="宋体"/>
          <w:b/>
          <w:shd w:val="clear" w:color="auto" w:fill="FFFFFF"/>
        </w:rPr>
        <w:t>总体绩效。</w:t>
      </w:r>
      <w:r>
        <w:rPr>
          <w:rFonts w:hint="eastAsia" w:hAnsi="微软雅黑" w:cs="微软雅黑"/>
          <w:shd w:val="clear" w:color="auto" w:fill="FFFFFF"/>
        </w:rPr>
        <w:t>2</w:t>
      </w:r>
      <w:r>
        <w:rPr>
          <w:rFonts w:hint="eastAsia"/>
          <w:shd w:val="clear" w:color="auto" w:fill="FFFFFF"/>
        </w:rPr>
        <w:t>024年总体目标：在县委县政府的领导下，按照职能职责按时完成上级部门下达的各项任务。保证财政资金安全，按时发放职工工资，节约办公，保障机构正常运行；有序推进其他各项业务工作，服务群众。信访项目经费总体目标：切实维护辖区社会和谐安定，妥善处理好各类信访案件，推动信访积案有效化解，减少积案存量；畅通信访渠道、规范信访秩序，妥善解决群众合理诉求，促进问题解决，维护社会稳定。</w:t>
      </w:r>
    </w:p>
    <w:p w14:paraId="05DBF0DD">
      <w:pPr>
        <w:pStyle w:val="16"/>
        <w:keepNext w:val="0"/>
        <w:keepLines w:val="0"/>
        <w:pageBreakBefore w:val="0"/>
        <w:kinsoku/>
        <w:wordWrap/>
        <w:overflowPunct/>
        <w:topLinePunct w:val="0"/>
        <w:autoSpaceDE/>
        <w:autoSpaceDN/>
        <w:bidi w:val="0"/>
        <w:spacing w:before="0" w:beforeAutospacing="0" w:after="0" w:afterAutospacing="0" w:line="560" w:lineRule="exact"/>
        <w:ind w:firstLine="643" w:firstLineChars="200"/>
        <w:textAlignment w:val="auto"/>
        <w:rPr>
          <w:rFonts w:hint="eastAsia"/>
          <w:shd w:val="clear" w:color="auto" w:fill="FFFFFF"/>
        </w:rPr>
      </w:pPr>
      <w:r>
        <w:rPr>
          <w:rFonts w:hint="eastAsia"/>
          <w:b/>
          <w:shd w:val="clear" w:color="auto" w:fill="FFFFFF"/>
        </w:rPr>
        <w:t>2.主要目标绩效完成情况。</w:t>
      </w:r>
      <w:r>
        <w:rPr>
          <w:rFonts w:hint="eastAsia"/>
          <w:shd w:val="clear" w:color="auto" w:fill="FFFFFF"/>
        </w:rPr>
        <w:t>2024年度全年资金拨付和使用均按计划进度完成，全年经费的拨付和使用均及时、合理，按照项目资金管理办法实行专款专用，未发生因经费影响工作的情况。坚决执行国家有关</w:t>
      </w:r>
      <w:r>
        <w:rPr>
          <w:rFonts w:hint="eastAsia"/>
          <w:shd w:val="clear" w:color="auto" w:fill="FFFFFF"/>
          <w:lang w:eastAsia="zh-CN"/>
        </w:rPr>
        <w:t>法律法规</w:t>
      </w:r>
      <w:r>
        <w:rPr>
          <w:rFonts w:hint="eastAsia"/>
          <w:shd w:val="clear" w:color="auto" w:fill="FFFFFF"/>
        </w:rPr>
        <w:t>和财务规章制度，厉行节约，制止奢侈浪费，量入为出，保证重点，兼顾一般，严格专款专用，</w:t>
      </w:r>
      <w:r>
        <w:rPr>
          <w:rFonts w:hint="eastAsia"/>
          <w:shd w:val="clear" w:color="auto" w:fill="FFFFFF"/>
          <w:lang w:eastAsia="zh-CN"/>
        </w:rPr>
        <w:t>防止</w:t>
      </w:r>
      <w:r>
        <w:rPr>
          <w:rFonts w:hint="eastAsia"/>
          <w:shd w:val="clear" w:color="auto" w:fill="FFFFFF"/>
        </w:rPr>
        <w:t>截留、挤占、挪用等问题发生，确保资金安全、规范、有效使用。</w:t>
      </w:r>
    </w:p>
    <w:p w14:paraId="771A70EA">
      <w:pPr>
        <w:pStyle w:val="16"/>
        <w:keepNext w:val="0"/>
        <w:keepLines w:val="0"/>
        <w:pageBreakBefore w:val="0"/>
        <w:kinsoku/>
        <w:wordWrap/>
        <w:overflowPunct/>
        <w:topLinePunct w:val="0"/>
        <w:autoSpaceDE/>
        <w:autoSpaceDN/>
        <w:bidi w:val="0"/>
        <w:spacing w:before="0" w:beforeAutospacing="0" w:after="0" w:afterAutospacing="0" w:line="560" w:lineRule="exact"/>
        <w:ind w:firstLine="640" w:firstLineChars="200"/>
        <w:textAlignment w:val="auto"/>
        <w:rPr>
          <w:rFonts w:hint="eastAsia"/>
          <w:shd w:val="clear" w:color="auto" w:fill="FFFFFF"/>
        </w:rPr>
      </w:pPr>
      <w:r>
        <w:rPr>
          <w:rFonts w:hint="eastAsia"/>
          <w:shd w:val="clear" w:color="auto" w:fill="FFFFFF"/>
        </w:rPr>
        <w:t>2024年无资金结余，资金结余了0元。</w:t>
      </w:r>
    </w:p>
    <w:p w14:paraId="1DAC453C">
      <w:pPr>
        <w:pStyle w:val="16"/>
        <w:keepNext w:val="0"/>
        <w:keepLines w:val="0"/>
        <w:pageBreakBefore w:val="0"/>
        <w:kinsoku/>
        <w:wordWrap/>
        <w:overflowPunct/>
        <w:topLinePunct w:val="0"/>
        <w:autoSpaceDE/>
        <w:autoSpaceDN/>
        <w:bidi w:val="0"/>
        <w:spacing w:before="0" w:beforeAutospacing="0" w:after="0" w:afterAutospacing="0" w:line="560" w:lineRule="exact"/>
        <w:ind w:firstLine="640" w:firstLineChars="200"/>
        <w:textAlignment w:val="auto"/>
        <w:rPr>
          <w:rFonts w:hint="eastAsia" w:ascii="仿宋_GB2312" w:hAnsi="仿宋_GB2312" w:eastAsia="楷体_GB2312" w:cs="仿宋_GB2312"/>
          <w:b w:val="0"/>
          <w:bCs w:val="0"/>
          <w:color w:val="000000" w:themeColor="text1"/>
          <w:kern w:val="0"/>
          <w:sz w:val="32"/>
          <w:szCs w:val="32"/>
          <w:shd w:val="clear" w:color="auto" w:fill="FFFFFF"/>
          <w:lang w:val="zh-CN" w:eastAsia="zh-CN" w:bidi="ar-SA"/>
        </w:rPr>
      </w:pPr>
      <w:r>
        <w:rPr>
          <w:rFonts w:hint="eastAsia" w:ascii="仿宋_GB2312" w:hAnsi="仿宋_GB2312" w:eastAsia="楷体_GB2312" w:cs="仿宋_GB2312"/>
          <w:b w:val="0"/>
          <w:bCs w:val="0"/>
          <w:color w:val="000000" w:themeColor="text1"/>
          <w:kern w:val="0"/>
          <w:sz w:val="32"/>
          <w:szCs w:val="32"/>
          <w:shd w:val="clear" w:color="auto" w:fill="FFFFFF"/>
          <w:lang w:val="zh-CN" w:eastAsia="zh-CN" w:bidi="ar-SA"/>
        </w:rPr>
        <w:t>（</w:t>
      </w:r>
      <w:r>
        <w:rPr>
          <w:rFonts w:hint="eastAsia" w:ascii="仿宋_GB2312" w:hAnsi="仿宋_GB2312" w:eastAsia="楷体_GB2312" w:cs="仿宋_GB2312"/>
          <w:b w:val="0"/>
          <w:bCs w:val="0"/>
          <w:color w:val="000000" w:themeColor="text1"/>
          <w:kern w:val="0"/>
          <w:sz w:val="32"/>
          <w:szCs w:val="32"/>
          <w:shd w:val="clear" w:color="auto" w:fill="FFFFFF"/>
          <w:lang w:val="en-US" w:eastAsia="zh-CN" w:bidi="ar-SA"/>
        </w:rPr>
        <w:t>二</w:t>
      </w:r>
      <w:r>
        <w:rPr>
          <w:rFonts w:hint="eastAsia" w:ascii="仿宋_GB2312" w:hAnsi="仿宋_GB2312" w:eastAsia="楷体_GB2312" w:cs="仿宋_GB2312"/>
          <w:b w:val="0"/>
          <w:bCs w:val="0"/>
          <w:color w:val="000000" w:themeColor="text1"/>
          <w:kern w:val="0"/>
          <w:sz w:val="32"/>
          <w:szCs w:val="32"/>
          <w:shd w:val="clear" w:color="auto" w:fill="FFFFFF"/>
          <w:lang w:val="zh-CN" w:eastAsia="zh-CN" w:bidi="ar-SA"/>
        </w:rPr>
        <w:t>）部门预算总体绩效分析</w:t>
      </w:r>
    </w:p>
    <w:p w14:paraId="52F49B8C">
      <w:pPr>
        <w:keepNext w:val="0"/>
        <w:keepLines w:val="0"/>
        <w:pageBreakBefore w:val="0"/>
        <w:numPr>
          <w:ilvl w:val="0"/>
          <w:numId w:val="0"/>
        </w:numPr>
        <w:kinsoku/>
        <w:wordWrap/>
        <w:overflowPunct/>
        <w:topLinePunct w:val="0"/>
        <w:autoSpaceDE/>
        <w:autoSpaceDN/>
        <w:bidi w:val="0"/>
        <w:spacing w:beforeAutospacing="0" w:afterAutospacing="0"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根据部门预算绩效评价指标体系“总体绩效”涉及二、三级指标进行逐项绩效分析并评分，依次包括履职效能、预算管理、财务管理、资产管理、采购管理等情况。</w:t>
      </w:r>
    </w:p>
    <w:p w14:paraId="2FDA8C74">
      <w:pPr>
        <w:keepNext w:val="0"/>
        <w:keepLines w:val="0"/>
        <w:pageBreakBefore w:val="0"/>
        <w:numPr>
          <w:ilvl w:val="0"/>
          <w:numId w:val="0"/>
        </w:numPr>
        <w:kinsoku/>
        <w:wordWrap/>
        <w:overflowPunct/>
        <w:topLinePunct w:val="0"/>
        <w:autoSpaceDE/>
        <w:autoSpaceDN/>
        <w:bidi w:val="0"/>
        <w:spacing w:beforeAutospacing="0" w:afterAutospacing="0" w:line="560" w:lineRule="exact"/>
        <w:ind w:firstLine="643" w:firstLineChars="200"/>
        <w:textAlignment w:val="auto"/>
        <w:rPr>
          <w:rFonts w:hint="eastAsia" w:ascii="仿宋_GB2312" w:eastAsia="仿宋_GB2312"/>
          <w:sz w:val="32"/>
          <w:szCs w:val="32"/>
        </w:rPr>
      </w:pPr>
      <w:r>
        <w:rPr>
          <w:rFonts w:hint="eastAsia" w:ascii="仿宋_GB2312" w:eastAsia="仿宋_GB2312"/>
          <w:b/>
          <w:bCs/>
          <w:sz w:val="32"/>
          <w:szCs w:val="32"/>
        </w:rPr>
        <w:t>1.履职效能。</w:t>
      </w:r>
      <w:r>
        <w:rPr>
          <w:rFonts w:hint="eastAsia" w:ascii="仿宋_GB2312" w:eastAsia="仿宋_GB2312"/>
          <w:sz w:val="32"/>
          <w:szCs w:val="32"/>
        </w:rPr>
        <w:t>（1）人员类。2024年度</w:t>
      </w:r>
      <w:r>
        <w:rPr>
          <w:rFonts w:hint="eastAsia" w:ascii="仿宋_GB2312" w:eastAsia="仿宋_GB2312"/>
          <w:sz w:val="32"/>
          <w:szCs w:val="32"/>
          <w:lang w:eastAsia="zh-CN"/>
        </w:rPr>
        <w:t>，</w:t>
      </w:r>
      <w:r>
        <w:rPr>
          <w:rFonts w:hint="eastAsia" w:ascii="仿宋_GB2312" w:eastAsia="仿宋_GB2312"/>
          <w:sz w:val="32"/>
          <w:szCs w:val="32"/>
        </w:rPr>
        <w:t>使用一般公共预算财政拨款安排的职工工资支出、住房公积金支出等基本支出保障有力，未将工资福利支出等</w:t>
      </w:r>
      <w:r>
        <w:rPr>
          <w:rFonts w:hint="eastAsia" w:ascii="仿宋_GB2312" w:eastAsia="仿宋_GB2312"/>
          <w:sz w:val="32"/>
          <w:szCs w:val="32"/>
          <w:lang w:eastAsia="zh-CN"/>
        </w:rPr>
        <w:t>挪作他用</w:t>
      </w:r>
      <w:r>
        <w:rPr>
          <w:rFonts w:hint="eastAsia" w:ascii="仿宋_GB2312" w:eastAsia="仿宋_GB2312"/>
          <w:sz w:val="32"/>
          <w:szCs w:val="32"/>
        </w:rPr>
        <w:t>，确保全年平稳保障职工工资支出，维持基本行政运转。人员经费支出 214</w:t>
      </w:r>
      <w:r>
        <w:rPr>
          <w:rFonts w:hint="eastAsia" w:ascii="仿宋_GB2312" w:eastAsia="仿宋_GB2312"/>
          <w:sz w:val="32"/>
          <w:szCs w:val="32"/>
          <w:lang w:val="en-US" w:eastAsia="zh-CN"/>
        </w:rPr>
        <w:t>.6万</w:t>
      </w:r>
      <w:r>
        <w:rPr>
          <w:rFonts w:hint="eastAsia" w:ascii="仿宋_GB2312" w:eastAsia="仿宋_GB2312"/>
          <w:sz w:val="32"/>
          <w:szCs w:val="32"/>
        </w:rPr>
        <w:t>元，主要用于职工工资及福利待遇支出，干部职工工资及对个人和家庭补助支出足额按月及时进行拨付，预算执行率100%。（2）运转类。2024年度</w:t>
      </w:r>
      <w:r>
        <w:rPr>
          <w:rFonts w:hint="eastAsia" w:ascii="仿宋_GB2312" w:eastAsia="仿宋_GB2312"/>
          <w:sz w:val="32"/>
          <w:szCs w:val="32"/>
          <w:lang w:eastAsia="zh-CN"/>
        </w:rPr>
        <w:t>，</w:t>
      </w:r>
      <w:r>
        <w:rPr>
          <w:rFonts w:hint="eastAsia" w:ascii="仿宋_GB2312" w:eastAsia="仿宋_GB2312"/>
          <w:sz w:val="32"/>
          <w:szCs w:val="32"/>
        </w:rPr>
        <w:t>在履行一般行政管理职能、维持机关日常运转而开支的机关运行经费呈下降趋势，全局厉行节约，杜绝各类非必要业务培训及差旅费支出；办公设备维护、耗材选购均货比三家，注重性价比，通过采取多种措施，切实严控各类公用经费支出。公用经费支出14</w:t>
      </w:r>
      <w:r>
        <w:rPr>
          <w:rFonts w:hint="eastAsia" w:ascii="仿宋_GB2312" w:eastAsia="仿宋_GB2312"/>
          <w:sz w:val="32"/>
          <w:szCs w:val="32"/>
          <w:lang w:val="en-US" w:eastAsia="zh-CN"/>
        </w:rPr>
        <w:t>.</w:t>
      </w:r>
      <w:r>
        <w:rPr>
          <w:rFonts w:hint="eastAsia" w:ascii="仿宋_GB2312" w:eastAsia="仿宋_GB2312"/>
          <w:sz w:val="32"/>
          <w:szCs w:val="32"/>
        </w:rPr>
        <w:t>0</w:t>
      </w:r>
      <w:r>
        <w:rPr>
          <w:rFonts w:hint="eastAsia" w:ascii="仿宋_GB2312" w:eastAsia="仿宋_GB2312"/>
          <w:sz w:val="32"/>
          <w:szCs w:val="32"/>
          <w:lang w:val="en-US" w:eastAsia="zh-CN"/>
        </w:rPr>
        <w:t>5万</w:t>
      </w:r>
      <w:r>
        <w:rPr>
          <w:rFonts w:hint="eastAsia" w:ascii="仿宋_GB2312" w:eastAsia="仿宋_GB2312"/>
          <w:sz w:val="32"/>
          <w:szCs w:val="32"/>
        </w:rPr>
        <w:t>元，主要用于办公费、印刷费、水电费、车辆运行及维护费、差旅费、维修（护）费等日常公用经费，严格按照资金用途申报、使用资金，均已足额按时支付，有力保障了各项业务的顺利开展，预算执行率100%。（3）特定目标类。2024年项目支出223</w:t>
      </w:r>
      <w:r>
        <w:rPr>
          <w:rFonts w:hint="eastAsia" w:ascii="仿宋_GB2312" w:eastAsia="仿宋_GB2312"/>
          <w:sz w:val="32"/>
          <w:szCs w:val="32"/>
          <w:lang w:val="en-US" w:eastAsia="zh-CN"/>
        </w:rPr>
        <w:t>.</w:t>
      </w:r>
      <w:r>
        <w:rPr>
          <w:rFonts w:hint="eastAsia" w:ascii="仿宋_GB2312" w:eastAsia="仿宋_GB2312"/>
          <w:sz w:val="32"/>
          <w:szCs w:val="32"/>
        </w:rPr>
        <w:t>2</w:t>
      </w:r>
      <w:r>
        <w:rPr>
          <w:rFonts w:hint="eastAsia" w:ascii="仿宋_GB2312" w:eastAsia="仿宋_GB2312"/>
          <w:sz w:val="32"/>
          <w:szCs w:val="32"/>
          <w:lang w:val="en-US" w:eastAsia="zh-CN"/>
        </w:rPr>
        <w:t>万</w:t>
      </w:r>
      <w:r>
        <w:rPr>
          <w:rFonts w:hint="eastAsia" w:ascii="仿宋_GB2312" w:eastAsia="仿宋_GB2312"/>
          <w:sz w:val="32"/>
          <w:szCs w:val="32"/>
        </w:rPr>
        <w:t>元，主要用于信访业务及特殊疑难信访事项维稳化解的办理，预算执行率100%。</w:t>
      </w:r>
    </w:p>
    <w:p w14:paraId="1AF4BAE6">
      <w:pPr>
        <w:keepNext w:val="0"/>
        <w:keepLines w:val="0"/>
        <w:pageBreakBefore w:val="0"/>
        <w:numPr>
          <w:ilvl w:val="0"/>
          <w:numId w:val="0"/>
        </w:numPr>
        <w:kinsoku/>
        <w:wordWrap/>
        <w:overflowPunct/>
        <w:topLinePunct w:val="0"/>
        <w:autoSpaceDE/>
        <w:autoSpaceDN/>
        <w:bidi w:val="0"/>
        <w:spacing w:beforeAutospacing="0" w:afterAutospacing="0" w:line="560" w:lineRule="exact"/>
        <w:ind w:firstLine="643" w:firstLineChars="200"/>
        <w:textAlignment w:val="auto"/>
        <w:rPr>
          <w:rFonts w:hint="eastAsia" w:ascii="仿宋_GB2312" w:eastAsia="仿宋_GB2312"/>
          <w:sz w:val="32"/>
          <w:szCs w:val="32"/>
        </w:rPr>
      </w:pPr>
      <w:r>
        <w:rPr>
          <w:rFonts w:hint="eastAsia" w:ascii="仿宋_GB2312" w:eastAsia="仿宋_GB2312"/>
          <w:b/>
          <w:bCs/>
          <w:sz w:val="32"/>
          <w:szCs w:val="32"/>
        </w:rPr>
        <w:t>2.预算管理。</w:t>
      </w:r>
      <w:r>
        <w:rPr>
          <w:rFonts w:hint="eastAsia" w:ascii="仿宋_GB2312" w:eastAsia="仿宋_GB2312"/>
          <w:sz w:val="32"/>
          <w:szCs w:val="32"/>
        </w:rPr>
        <w:t>我单位深入贯彻各级相关文件精神，认真开展预算绩效管理和绩效运行相关工作，不断提高预算绩效管理的质量和水平。收入、支出全部纳入本统一核算，严格遵循先有预算，后有支出的原则，确保预算编制完整，执行经费预算和资产配置标准严格。严格按上级部门要求在规定时间在指定网站进行了预决算信息公开。全年的绩效目标任务按照年初制定的计划和指标基本完成，年终支出执行进度100%，预算年终无结余。</w:t>
      </w:r>
    </w:p>
    <w:p w14:paraId="378D265D">
      <w:pPr>
        <w:keepNext w:val="0"/>
        <w:keepLines w:val="0"/>
        <w:pageBreakBefore w:val="0"/>
        <w:numPr>
          <w:ilvl w:val="0"/>
          <w:numId w:val="0"/>
        </w:numPr>
        <w:kinsoku/>
        <w:wordWrap/>
        <w:overflowPunct/>
        <w:topLinePunct w:val="0"/>
        <w:autoSpaceDE/>
        <w:autoSpaceDN/>
        <w:bidi w:val="0"/>
        <w:spacing w:beforeAutospacing="0" w:afterAutospacing="0" w:line="560" w:lineRule="exact"/>
        <w:ind w:firstLine="643" w:firstLineChars="200"/>
        <w:textAlignment w:val="auto"/>
        <w:rPr>
          <w:rFonts w:hint="eastAsia" w:ascii="仿宋_GB2312" w:eastAsia="仿宋_GB2312"/>
          <w:sz w:val="32"/>
          <w:szCs w:val="32"/>
        </w:rPr>
      </w:pPr>
      <w:r>
        <w:rPr>
          <w:rFonts w:hint="eastAsia" w:ascii="仿宋_GB2312" w:eastAsia="仿宋_GB2312"/>
          <w:b/>
          <w:bCs/>
          <w:sz w:val="32"/>
          <w:szCs w:val="32"/>
        </w:rPr>
        <w:t>3.财务管理。</w:t>
      </w:r>
      <w:r>
        <w:rPr>
          <w:rFonts w:hint="eastAsia" w:ascii="仿宋_GB2312" w:eastAsia="仿宋_GB2312"/>
          <w:sz w:val="32"/>
          <w:szCs w:val="32"/>
        </w:rPr>
        <w:t>单位严格遵守各项财务管理制度，严格按照“先定项目再定预算”的原则，所有预算支出全部纳入预算项目库，项目严格设定绩效目标，明确资金用途。为保障资金安全，我单位严格把控项目资金申请、使用等环节，资金拨付严格审批程序，使用规范，会计核算结果真实、准确。专项资金严格专款专用，无截留、挤占、挪用项目资金的情况。</w:t>
      </w:r>
    </w:p>
    <w:p w14:paraId="3F01A6FC">
      <w:pPr>
        <w:keepNext w:val="0"/>
        <w:keepLines w:val="0"/>
        <w:pageBreakBefore w:val="0"/>
        <w:numPr>
          <w:ilvl w:val="0"/>
          <w:numId w:val="0"/>
        </w:numPr>
        <w:kinsoku/>
        <w:wordWrap/>
        <w:overflowPunct/>
        <w:topLinePunct w:val="0"/>
        <w:autoSpaceDE/>
        <w:autoSpaceDN/>
        <w:bidi w:val="0"/>
        <w:spacing w:beforeAutospacing="0" w:afterAutospacing="0" w:line="560" w:lineRule="exact"/>
        <w:ind w:firstLine="643" w:firstLineChars="200"/>
        <w:textAlignment w:val="auto"/>
        <w:rPr>
          <w:rFonts w:hint="eastAsia" w:ascii="仿宋_GB2312" w:eastAsia="仿宋_GB2312"/>
          <w:sz w:val="32"/>
          <w:szCs w:val="32"/>
        </w:rPr>
      </w:pPr>
      <w:r>
        <w:rPr>
          <w:rFonts w:hint="eastAsia" w:ascii="仿宋_GB2312" w:eastAsia="仿宋_GB2312"/>
          <w:b/>
          <w:bCs/>
          <w:sz w:val="32"/>
          <w:szCs w:val="32"/>
        </w:rPr>
        <w:t>4.资产管理。</w:t>
      </w:r>
      <w:r>
        <w:rPr>
          <w:rFonts w:hint="eastAsia" w:ascii="仿宋_GB2312" w:eastAsia="仿宋_GB2312"/>
          <w:sz w:val="32"/>
          <w:szCs w:val="32"/>
        </w:rPr>
        <w:t>我单位对照《行政事业性国有资产管理条例》相关标准，专人负责对资产配置、资产更新和购置程序、资产保管、资产报废与核销等方面进行管理，做到了账实相符，报批手续完整，固定资产及时登记入账。2024年我单位没有闲置资产。</w:t>
      </w:r>
    </w:p>
    <w:p w14:paraId="3FADB09D">
      <w:pPr>
        <w:keepNext w:val="0"/>
        <w:keepLines w:val="0"/>
        <w:pageBreakBefore w:val="0"/>
        <w:numPr>
          <w:ilvl w:val="0"/>
          <w:numId w:val="0"/>
        </w:numPr>
        <w:kinsoku/>
        <w:wordWrap/>
        <w:overflowPunct/>
        <w:topLinePunct w:val="0"/>
        <w:autoSpaceDE/>
        <w:autoSpaceDN/>
        <w:bidi w:val="0"/>
        <w:spacing w:beforeAutospacing="0" w:afterAutospacing="0" w:line="560" w:lineRule="exact"/>
        <w:ind w:firstLine="643" w:firstLineChars="200"/>
        <w:textAlignment w:val="auto"/>
        <w:rPr>
          <w:rFonts w:hint="eastAsia" w:ascii="仿宋_GB2312" w:eastAsia="仿宋_GB2312"/>
          <w:sz w:val="32"/>
          <w:szCs w:val="32"/>
        </w:rPr>
      </w:pPr>
      <w:r>
        <w:rPr>
          <w:rFonts w:hint="eastAsia" w:ascii="仿宋_GB2312" w:eastAsia="仿宋_GB2312"/>
          <w:b/>
          <w:bCs/>
          <w:sz w:val="32"/>
          <w:szCs w:val="32"/>
        </w:rPr>
        <w:t>5.采购管理。</w:t>
      </w:r>
      <w:r>
        <w:rPr>
          <w:rFonts w:hint="eastAsia" w:ascii="仿宋_GB2312" w:eastAsia="仿宋_GB2312"/>
          <w:sz w:val="32"/>
          <w:szCs w:val="32"/>
        </w:rPr>
        <w:t>按照政府采购目录及采购限额标准编制政府采购预算，做到应编尽编。2024年政府采购办公设备金额2</w:t>
      </w:r>
      <w:r>
        <w:rPr>
          <w:rFonts w:hint="eastAsia" w:ascii="仿宋_GB2312" w:eastAsia="仿宋_GB2312"/>
          <w:sz w:val="32"/>
          <w:szCs w:val="32"/>
          <w:lang w:val="en-US" w:eastAsia="zh-CN"/>
        </w:rPr>
        <w:t>.</w:t>
      </w:r>
      <w:r>
        <w:rPr>
          <w:rFonts w:hint="eastAsia" w:ascii="仿宋_GB2312" w:eastAsia="仿宋_GB2312"/>
          <w:sz w:val="32"/>
          <w:szCs w:val="32"/>
        </w:rPr>
        <w:t>0</w:t>
      </w:r>
      <w:r>
        <w:rPr>
          <w:rFonts w:hint="eastAsia" w:ascii="仿宋_GB2312" w:eastAsia="仿宋_GB2312"/>
          <w:sz w:val="32"/>
          <w:szCs w:val="32"/>
          <w:lang w:val="en-US" w:eastAsia="zh-CN"/>
        </w:rPr>
        <w:t>4万</w:t>
      </w:r>
      <w:r>
        <w:rPr>
          <w:rFonts w:hint="eastAsia" w:ascii="仿宋_GB2312" w:eastAsia="仿宋_GB2312"/>
          <w:sz w:val="32"/>
          <w:szCs w:val="32"/>
        </w:rPr>
        <w:t>元。</w:t>
      </w:r>
    </w:p>
    <w:p w14:paraId="71A427ED">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eastAsia" w:ascii="仿宋_GB2312" w:hAnsi="仿宋_GB2312" w:eastAsia="楷体_GB2312" w:cs="仿宋_GB2312"/>
          <w:b w:val="0"/>
          <w:bCs w:val="0"/>
          <w:color w:val="000000"/>
          <w:kern w:val="0"/>
          <w:sz w:val="32"/>
          <w:szCs w:val="32"/>
          <w:shd w:val="clear" w:color="auto" w:fill="FFFFFF"/>
          <w:lang w:val="zh-CN" w:eastAsia="zh-CN" w:bidi="ar-SA"/>
        </w:rPr>
      </w:pPr>
      <w:r>
        <w:rPr>
          <w:rFonts w:hint="eastAsia" w:ascii="仿宋_GB2312" w:hAnsi="仿宋_GB2312" w:eastAsia="楷体_GB2312" w:cs="仿宋_GB2312"/>
          <w:b w:val="0"/>
          <w:bCs w:val="0"/>
          <w:color w:val="000000"/>
          <w:kern w:val="0"/>
          <w:sz w:val="32"/>
          <w:szCs w:val="32"/>
          <w:shd w:val="clear" w:color="auto" w:fill="FFFFFF"/>
          <w:lang w:val="zh-CN" w:eastAsia="zh-CN" w:bidi="ar-SA"/>
        </w:rPr>
        <w:t>（</w:t>
      </w:r>
      <w:r>
        <w:rPr>
          <w:rFonts w:hint="eastAsia" w:ascii="仿宋_GB2312" w:hAnsi="仿宋_GB2312" w:eastAsia="楷体_GB2312" w:cs="仿宋_GB2312"/>
          <w:b w:val="0"/>
          <w:bCs w:val="0"/>
          <w:color w:val="000000"/>
          <w:kern w:val="0"/>
          <w:sz w:val="32"/>
          <w:szCs w:val="32"/>
          <w:shd w:val="clear" w:color="auto" w:fill="FFFFFF"/>
          <w:lang w:val="en-US" w:eastAsia="zh-CN" w:bidi="ar-SA"/>
        </w:rPr>
        <w:t>三</w:t>
      </w:r>
      <w:r>
        <w:rPr>
          <w:rFonts w:hint="eastAsia" w:ascii="仿宋_GB2312" w:hAnsi="仿宋_GB2312" w:eastAsia="楷体_GB2312" w:cs="仿宋_GB2312"/>
          <w:b w:val="0"/>
          <w:bCs w:val="0"/>
          <w:color w:val="000000"/>
          <w:kern w:val="0"/>
          <w:sz w:val="32"/>
          <w:szCs w:val="32"/>
          <w:shd w:val="clear" w:color="auto" w:fill="FFFFFF"/>
          <w:lang w:val="zh-CN" w:eastAsia="zh-CN" w:bidi="ar-SA"/>
        </w:rPr>
        <w:t>）部门预算项目绩效分析</w:t>
      </w:r>
    </w:p>
    <w:p w14:paraId="1B40B76A">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eastAsia" w:ascii="仿宋_GB2312" w:eastAsia="仿宋_GB2312" w:hAnsiTheme="minorEastAsia"/>
          <w:sz w:val="32"/>
          <w:szCs w:val="32"/>
        </w:rPr>
      </w:pPr>
      <w:r>
        <w:rPr>
          <w:rFonts w:hint="eastAsia" w:ascii="仿宋_GB2312" w:eastAsia="仿宋_GB2312" w:hAnsiTheme="minorEastAsia"/>
          <w:sz w:val="32"/>
          <w:szCs w:val="32"/>
          <w:lang w:val="zh-CN"/>
        </w:rPr>
        <w:t>填报以下数据，并根据部门预算绩效评价指标体系“项目绩效”涉及二、三级指标进行逐项绩效分析并评分，依次包括项目</w:t>
      </w:r>
      <w:r>
        <w:rPr>
          <w:rFonts w:hint="eastAsia" w:ascii="仿宋_GB2312" w:eastAsia="仿宋_GB2312" w:hAnsiTheme="minorEastAsia"/>
          <w:sz w:val="32"/>
          <w:szCs w:val="32"/>
        </w:rPr>
        <w:t>决策、项目执行、目标实现等情况。</w:t>
      </w:r>
    </w:p>
    <w:p w14:paraId="7F69A5C3">
      <w:pPr>
        <w:keepNext w:val="0"/>
        <w:keepLines w:val="0"/>
        <w:pageBreakBefore w:val="0"/>
        <w:kinsoku/>
        <w:wordWrap/>
        <w:overflowPunct/>
        <w:topLinePunct w:val="0"/>
        <w:autoSpaceDE/>
        <w:autoSpaceDN/>
        <w:bidi w:val="0"/>
        <w:spacing w:beforeAutospacing="0" w:afterAutospacing="0" w:line="560" w:lineRule="exact"/>
        <w:ind w:firstLine="643" w:firstLineChars="200"/>
        <w:textAlignment w:val="auto"/>
        <w:rPr>
          <w:rFonts w:hint="eastAsia" w:ascii="仿宋_GB2312" w:eastAsia="仿宋_GB2312" w:hAnsiTheme="minorEastAsia"/>
          <w:sz w:val="32"/>
          <w:szCs w:val="32"/>
        </w:rPr>
      </w:pPr>
      <w:r>
        <w:rPr>
          <w:rFonts w:hint="eastAsia" w:ascii="仿宋_GB2312" w:eastAsia="仿宋_GB2312" w:hAnsiTheme="minorEastAsia"/>
          <w:b/>
          <w:bCs/>
          <w:sz w:val="32"/>
          <w:szCs w:val="32"/>
        </w:rPr>
        <w:t>常年项目绩效分析。</w:t>
      </w:r>
      <w:r>
        <w:rPr>
          <w:rFonts w:hint="eastAsia" w:ascii="仿宋_GB2312" w:eastAsia="仿宋_GB2312" w:hAnsiTheme="minorEastAsia"/>
          <w:sz w:val="32"/>
          <w:szCs w:val="32"/>
        </w:rPr>
        <w:t>该类项目总数7个，涉及预算总金额228.63万元，1</w:t>
      </w:r>
      <w:r>
        <w:rPr>
          <w:rFonts w:hint="eastAsia" w:ascii="仿宋_GB2312" w:eastAsia="仿宋_GB2312" w:hAnsiTheme="minorEastAsia"/>
          <w:sz w:val="32"/>
          <w:szCs w:val="32"/>
          <w:lang w:val="en-US" w:eastAsia="zh-CN"/>
        </w:rPr>
        <w:t>-</w:t>
      </w:r>
      <w:r>
        <w:rPr>
          <w:rFonts w:hint="eastAsia" w:ascii="仿宋_GB2312" w:eastAsia="仿宋_GB2312" w:hAnsiTheme="minorEastAsia"/>
          <w:sz w:val="32"/>
          <w:szCs w:val="32"/>
        </w:rPr>
        <w:t>12月预算执行总体进度为100%，其中：预算结余率大于10%的项目共计0个。</w:t>
      </w:r>
    </w:p>
    <w:p w14:paraId="7BCFE898">
      <w:pPr>
        <w:keepNext w:val="0"/>
        <w:keepLines w:val="0"/>
        <w:pageBreakBefore w:val="0"/>
        <w:kinsoku/>
        <w:wordWrap/>
        <w:overflowPunct/>
        <w:topLinePunct w:val="0"/>
        <w:autoSpaceDE/>
        <w:autoSpaceDN/>
        <w:bidi w:val="0"/>
        <w:spacing w:beforeAutospacing="0" w:afterAutospacing="0" w:line="560" w:lineRule="exact"/>
        <w:ind w:firstLine="643" w:firstLineChars="200"/>
        <w:textAlignment w:val="auto"/>
        <w:rPr>
          <w:rFonts w:hint="eastAsia" w:ascii="仿宋_GB2312" w:eastAsia="仿宋_GB2312" w:hAnsiTheme="minorEastAsia"/>
          <w:sz w:val="32"/>
          <w:szCs w:val="32"/>
        </w:rPr>
      </w:pPr>
      <w:r>
        <w:rPr>
          <w:rFonts w:hint="eastAsia" w:ascii="仿宋_GB2312" w:eastAsia="仿宋_GB2312" w:hAnsiTheme="minorEastAsia"/>
          <w:b/>
          <w:bCs/>
          <w:sz w:val="32"/>
          <w:szCs w:val="32"/>
        </w:rPr>
        <w:t>阶段（含一次性）项目绩效分析。</w:t>
      </w:r>
      <w:r>
        <w:rPr>
          <w:rFonts w:hint="eastAsia" w:ascii="仿宋_GB2312" w:eastAsia="仿宋_GB2312" w:hAnsiTheme="minorEastAsia"/>
          <w:sz w:val="32"/>
          <w:szCs w:val="32"/>
        </w:rPr>
        <w:t>该类项目总数2个，涉及预算总金额7.18万元，1</w:t>
      </w:r>
      <w:r>
        <w:rPr>
          <w:rFonts w:hint="eastAsia" w:ascii="仿宋_GB2312" w:eastAsia="仿宋_GB2312" w:hAnsiTheme="minorEastAsia"/>
          <w:sz w:val="32"/>
          <w:szCs w:val="32"/>
          <w:lang w:val="en-US" w:eastAsia="zh-CN"/>
        </w:rPr>
        <w:t>-</w:t>
      </w:r>
      <w:r>
        <w:rPr>
          <w:rFonts w:hint="eastAsia" w:ascii="仿宋_GB2312" w:eastAsia="仿宋_GB2312" w:hAnsiTheme="minorEastAsia"/>
          <w:sz w:val="32"/>
          <w:szCs w:val="32"/>
        </w:rPr>
        <w:t>12月预算执行总体进度为100%，其中：预算结余率大于10%的项目共计0个。</w:t>
      </w:r>
    </w:p>
    <w:p w14:paraId="7947E7F8">
      <w:pPr>
        <w:keepNext w:val="0"/>
        <w:keepLines w:val="0"/>
        <w:pageBreakBefore w:val="0"/>
        <w:kinsoku/>
        <w:wordWrap/>
        <w:overflowPunct/>
        <w:topLinePunct w:val="0"/>
        <w:autoSpaceDE/>
        <w:autoSpaceDN/>
        <w:bidi w:val="0"/>
        <w:spacing w:beforeAutospacing="0" w:afterAutospacing="0" w:line="560" w:lineRule="exact"/>
        <w:ind w:firstLine="643" w:firstLineChars="200"/>
        <w:textAlignment w:val="auto"/>
        <w:rPr>
          <w:rFonts w:hint="eastAsia" w:ascii="仿宋_GB2312" w:eastAsia="仿宋_GB2312" w:hAnsiTheme="minorEastAsia"/>
          <w:sz w:val="32"/>
          <w:szCs w:val="32"/>
        </w:rPr>
      </w:pPr>
      <w:r>
        <w:rPr>
          <w:rFonts w:hint="eastAsia" w:ascii="仿宋_GB2312" w:eastAsia="仿宋_GB2312" w:hAnsiTheme="minorEastAsia"/>
          <w:b/>
          <w:bCs/>
          <w:sz w:val="32"/>
          <w:szCs w:val="32"/>
          <w:lang w:val="en-US" w:eastAsia="zh-CN"/>
        </w:rPr>
        <w:t>1.</w:t>
      </w:r>
      <w:r>
        <w:rPr>
          <w:rFonts w:hint="eastAsia" w:ascii="仿宋_GB2312" w:eastAsia="仿宋_GB2312" w:hAnsiTheme="minorEastAsia"/>
          <w:b/>
          <w:bCs/>
          <w:sz w:val="32"/>
          <w:szCs w:val="32"/>
        </w:rPr>
        <w:t>项目决策。</w:t>
      </w:r>
      <w:r>
        <w:rPr>
          <w:rFonts w:hint="eastAsia" w:ascii="仿宋_GB2312" w:eastAsia="仿宋_GB2312" w:hAnsiTheme="minorEastAsia"/>
          <w:sz w:val="32"/>
          <w:szCs w:val="32"/>
        </w:rPr>
        <w:t>围绕决策程序、目标设置、项目入库进行绩效分析。从严从紧控制项目申报和预算安排，非必要项目可压尽压、应压尽压，项目决算、目标设置符合我单位工作实际。</w:t>
      </w:r>
    </w:p>
    <w:p w14:paraId="0F49451A">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eastAsia" w:ascii="仿宋_GB2312" w:eastAsia="仿宋_GB2312" w:hAnsiTheme="minorEastAsia"/>
          <w:sz w:val="32"/>
          <w:szCs w:val="32"/>
        </w:rPr>
      </w:pPr>
      <w:r>
        <w:rPr>
          <w:rFonts w:hint="eastAsia" w:ascii="仿宋_GB2312" w:eastAsia="仿宋_GB2312" w:hAnsiTheme="minorEastAsia"/>
          <w:sz w:val="32"/>
          <w:szCs w:val="32"/>
        </w:rPr>
        <w:t>通过事前绩效评估为项目设立和预算安排提供重要参考依据，提高项目预算编制科学性、合理性。优化财政支出结构，从源头上防控财政资源配置的低效无效，提高财政资源配置效率和财政资金使用效益。</w:t>
      </w:r>
    </w:p>
    <w:p w14:paraId="0EB1641D">
      <w:pPr>
        <w:keepNext w:val="0"/>
        <w:keepLines w:val="0"/>
        <w:pageBreakBefore w:val="0"/>
        <w:kinsoku/>
        <w:wordWrap/>
        <w:overflowPunct/>
        <w:topLinePunct w:val="0"/>
        <w:autoSpaceDE/>
        <w:autoSpaceDN/>
        <w:bidi w:val="0"/>
        <w:spacing w:beforeAutospacing="0" w:afterAutospacing="0" w:line="560" w:lineRule="exact"/>
        <w:ind w:firstLine="643" w:firstLineChars="200"/>
        <w:textAlignment w:val="auto"/>
        <w:rPr>
          <w:rFonts w:hint="eastAsia" w:ascii="仿宋_GB2312" w:eastAsia="仿宋_GB2312" w:hAnsiTheme="minorEastAsia"/>
          <w:sz w:val="32"/>
          <w:szCs w:val="32"/>
        </w:rPr>
      </w:pPr>
      <w:r>
        <w:rPr>
          <w:rFonts w:hint="eastAsia" w:ascii="仿宋_GB2312" w:eastAsia="仿宋_GB2312" w:hAnsiTheme="minorEastAsia"/>
          <w:b/>
          <w:bCs/>
          <w:sz w:val="32"/>
          <w:szCs w:val="32"/>
          <w:lang w:val="en-US" w:eastAsia="zh-CN"/>
        </w:rPr>
        <w:t>2.</w:t>
      </w:r>
      <w:r>
        <w:rPr>
          <w:rFonts w:hint="eastAsia" w:ascii="仿宋_GB2312" w:eastAsia="仿宋_GB2312" w:hAnsiTheme="minorEastAsia"/>
          <w:b/>
          <w:bCs/>
          <w:sz w:val="32"/>
          <w:szCs w:val="32"/>
        </w:rPr>
        <w:t>项目执行。</w:t>
      </w:r>
      <w:r>
        <w:rPr>
          <w:rFonts w:hint="eastAsia" w:ascii="仿宋_GB2312" w:eastAsia="仿宋_GB2312" w:hAnsiTheme="minorEastAsia"/>
          <w:sz w:val="32"/>
          <w:szCs w:val="32"/>
        </w:rPr>
        <w:t>围绕资金执行同向、项目调整、执行结果进行绩效分析。2024年，我单位项目按需预算，项目按进度完成，资金下达及时，支付及时，完成较好。</w:t>
      </w:r>
    </w:p>
    <w:p w14:paraId="1F846EAC">
      <w:pPr>
        <w:keepNext w:val="0"/>
        <w:keepLines w:val="0"/>
        <w:pageBreakBefore w:val="0"/>
        <w:kinsoku/>
        <w:wordWrap/>
        <w:overflowPunct/>
        <w:topLinePunct w:val="0"/>
        <w:autoSpaceDE/>
        <w:autoSpaceDN/>
        <w:bidi w:val="0"/>
        <w:spacing w:beforeAutospacing="0" w:afterAutospacing="0" w:line="560" w:lineRule="exact"/>
        <w:ind w:firstLine="643" w:firstLineChars="200"/>
        <w:textAlignment w:val="auto"/>
        <w:rPr>
          <w:rFonts w:hint="eastAsia" w:ascii="仿宋_GB2312" w:eastAsia="仿宋_GB2312" w:hAnsiTheme="minorEastAsia"/>
          <w:sz w:val="32"/>
          <w:szCs w:val="32"/>
        </w:rPr>
      </w:pPr>
      <w:r>
        <w:rPr>
          <w:rFonts w:hint="eastAsia" w:ascii="仿宋_GB2312" w:eastAsia="仿宋_GB2312" w:hAnsiTheme="minorEastAsia"/>
          <w:b/>
          <w:bCs/>
          <w:sz w:val="32"/>
          <w:szCs w:val="32"/>
        </w:rPr>
        <w:t>3.目标实现。</w:t>
      </w:r>
      <w:r>
        <w:rPr>
          <w:rFonts w:hint="eastAsia" w:ascii="仿宋_GB2312" w:eastAsia="仿宋_GB2312" w:hAnsiTheme="minorEastAsia"/>
          <w:sz w:val="32"/>
          <w:szCs w:val="32"/>
        </w:rPr>
        <w:t>围绕目标完成、目标偏离、实现效果进行绩效分析。</w:t>
      </w:r>
    </w:p>
    <w:p w14:paraId="23BA9871">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eastAsia" w:ascii="仿宋_GB2312" w:eastAsia="仿宋_GB2312" w:hAnsiTheme="minorEastAsia"/>
          <w:sz w:val="32"/>
          <w:szCs w:val="32"/>
        </w:rPr>
      </w:pPr>
      <w:r>
        <w:rPr>
          <w:rFonts w:hint="eastAsia" w:ascii="仿宋_GB2312" w:eastAsia="仿宋_GB2312" w:hAnsiTheme="minorEastAsia"/>
          <w:sz w:val="32"/>
          <w:szCs w:val="32"/>
        </w:rPr>
        <w:t>县级部门对2024年度一般公共预算、政府性基金预算、国有资本经营预算安排的常年项目、阶段项目绩效目标完成情况，以及债券资金、政府购买服务有关情况进行梳理阐述。</w:t>
      </w:r>
    </w:p>
    <w:p w14:paraId="234C4F93">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eastAsia" w:ascii="仿宋_GB2312" w:eastAsia="仿宋_GB2312" w:hAnsiTheme="minorEastAsia"/>
          <w:sz w:val="32"/>
          <w:szCs w:val="32"/>
          <w:lang w:val="zh-CN"/>
        </w:rPr>
      </w:pPr>
      <w:r>
        <w:rPr>
          <w:rFonts w:hint="eastAsia" w:ascii="仿宋_GB2312" w:hAnsi="仿宋_GB2312" w:eastAsia="楷体_GB2312" w:cs="仿宋_GB2312"/>
          <w:b w:val="0"/>
          <w:bCs w:val="0"/>
          <w:color w:val="000000"/>
          <w:kern w:val="0"/>
          <w:sz w:val="32"/>
          <w:szCs w:val="32"/>
          <w:shd w:val="clear" w:color="auto" w:fill="FFFFFF"/>
          <w:lang w:val="zh-CN" w:eastAsia="zh-CN" w:bidi="ar-SA"/>
        </w:rPr>
        <w:t>（三）绩效结果应用情况。</w:t>
      </w:r>
      <w:r>
        <w:rPr>
          <w:rFonts w:hint="eastAsia" w:ascii="仿宋_GB2312" w:eastAsia="仿宋_GB2312" w:hAnsiTheme="minorEastAsia"/>
          <w:sz w:val="32"/>
          <w:szCs w:val="32"/>
          <w:lang w:val="zh-CN"/>
        </w:rPr>
        <w:t>围绕内部应用情况、信息公开情况、整改反馈情况进行分析。</w:t>
      </w:r>
    </w:p>
    <w:p w14:paraId="3BE3CC9C">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eastAsia" w:ascii="仿宋_GB2312" w:eastAsia="仿宋_GB2312" w:hAnsiTheme="minorEastAsia"/>
          <w:sz w:val="32"/>
          <w:szCs w:val="32"/>
        </w:rPr>
      </w:pPr>
      <w:r>
        <w:rPr>
          <w:rFonts w:hint="eastAsia" w:ascii="仿宋_GB2312" w:eastAsia="仿宋_GB2312" w:hAnsiTheme="minorEastAsia"/>
          <w:sz w:val="32"/>
          <w:szCs w:val="32"/>
        </w:rPr>
        <w:t>1.完善绩效评价体系，加强监督检查和考核工作。进一步探索完善项目绩效评价指标体系、研究、关注绩效管理与实践发展的新思路、新动向，进一步完善项目绩效指标体系，增强绩效评价结果的可比性、可信度。加强对绩效管理工作的跟踪督查，做到绩效管理有依据、按程序、有奖惩，实现绩效管理的规范化、常态化。</w:t>
      </w:r>
    </w:p>
    <w:p w14:paraId="3FBF1D47">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eastAsia" w:ascii="仿宋_GB2312" w:eastAsia="仿宋_GB2312" w:hAnsiTheme="minorEastAsia"/>
          <w:sz w:val="32"/>
          <w:szCs w:val="32"/>
        </w:rPr>
      </w:pPr>
      <w:r>
        <w:rPr>
          <w:rFonts w:hint="eastAsia" w:ascii="仿宋_GB2312" w:eastAsia="仿宋_GB2312" w:hAnsiTheme="minorEastAsia"/>
          <w:sz w:val="32"/>
          <w:szCs w:val="32"/>
        </w:rPr>
        <w:t>2.2024年，本部门年初部门预算、年终部门决算、年初部门预算绩效目标申报表等信息均在信息公开截止时间内通过盐边县公众信息网向社会公开。</w:t>
      </w:r>
    </w:p>
    <w:p w14:paraId="75416332">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eastAsia" w:ascii="仿宋_GB2312" w:eastAsia="仿宋_GB2312" w:hAnsiTheme="minorEastAsia"/>
          <w:sz w:val="32"/>
          <w:szCs w:val="32"/>
        </w:rPr>
      </w:pPr>
      <w:r>
        <w:rPr>
          <w:rFonts w:hint="eastAsia" w:ascii="仿宋_GB2312" w:eastAsia="仿宋_GB2312" w:hAnsiTheme="minorEastAsia"/>
          <w:sz w:val="32"/>
          <w:szCs w:val="32"/>
        </w:rPr>
        <w:t>3.绩效评价结果将作为以后年度项目立项和经费支持的重要依据。</w:t>
      </w:r>
    </w:p>
    <w:p w14:paraId="38699DEC">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eastAsia" w:ascii="黑体" w:hAnsi="黑体" w:eastAsia="黑体" w:cs="黑体"/>
          <w:sz w:val="32"/>
          <w:szCs w:val="32"/>
          <w:lang w:val="zh-CN"/>
        </w:rPr>
      </w:pPr>
      <w:r>
        <w:rPr>
          <w:rFonts w:hint="eastAsia" w:ascii="黑体" w:hAnsi="黑体" w:eastAsia="黑体" w:cs="黑体"/>
          <w:sz w:val="32"/>
          <w:szCs w:val="32"/>
          <w:lang w:val="zh-CN"/>
        </w:rPr>
        <w:t>四、评价结论及建议</w:t>
      </w:r>
    </w:p>
    <w:p w14:paraId="48451CB7">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eastAsia" w:ascii="仿宋_GB2312" w:hAnsi="仿宋_GB2312" w:eastAsia="楷体_GB2312" w:cs="仿宋_GB2312"/>
          <w:b w:val="0"/>
          <w:bCs w:val="0"/>
          <w:color w:val="000000"/>
          <w:kern w:val="0"/>
          <w:sz w:val="32"/>
          <w:szCs w:val="32"/>
          <w:shd w:val="clear" w:color="auto" w:fill="FFFFFF"/>
          <w:lang w:val="zh-CN" w:eastAsia="zh-CN" w:bidi="ar-SA"/>
        </w:rPr>
      </w:pPr>
      <w:r>
        <w:rPr>
          <w:rFonts w:hint="eastAsia" w:ascii="仿宋_GB2312" w:hAnsi="仿宋_GB2312" w:eastAsia="楷体_GB2312" w:cs="仿宋_GB2312"/>
          <w:b w:val="0"/>
          <w:bCs w:val="0"/>
          <w:color w:val="000000"/>
          <w:kern w:val="0"/>
          <w:sz w:val="32"/>
          <w:szCs w:val="32"/>
          <w:shd w:val="clear" w:color="auto" w:fill="FFFFFF"/>
          <w:lang w:val="zh-CN" w:eastAsia="zh-CN" w:bidi="ar-SA"/>
        </w:rPr>
        <w:t>（一）评价结论</w:t>
      </w:r>
    </w:p>
    <w:p w14:paraId="5B5B859A">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eastAsia" w:ascii="仿宋_GB2312" w:eastAsia="仿宋_GB2312" w:hAnsiTheme="minorEastAsia"/>
          <w:sz w:val="32"/>
          <w:szCs w:val="32"/>
        </w:rPr>
      </w:pPr>
      <w:r>
        <w:rPr>
          <w:rFonts w:hint="eastAsia" w:ascii="仿宋_GB2312" w:eastAsia="仿宋_GB2312" w:hAnsiTheme="minorEastAsia"/>
          <w:sz w:val="32"/>
          <w:szCs w:val="32"/>
        </w:rPr>
        <w:t>信访局在预算编制、执行和支出绩效方面都严格按照规定执行，合理安排支出，部门预算编制规范、准确，各项经费足额纳入预算安排，确保了部门正常运转和专项工作的顺利开展，积极开通诉求表达新渠道，进一步畅通和拓宽了群众诉求表达渠道，推进及时就地解决信访问题，信访秩序进一步好转，较好</w:t>
      </w:r>
      <w:r>
        <w:rPr>
          <w:rFonts w:hint="eastAsia" w:ascii="仿宋_GB2312" w:eastAsia="仿宋_GB2312" w:hAnsiTheme="minorEastAsia"/>
          <w:sz w:val="32"/>
          <w:szCs w:val="32"/>
          <w:lang w:eastAsia="zh-CN"/>
        </w:rPr>
        <w:t>地</w:t>
      </w:r>
      <w:r>
        <w:rPr>
          <w:rFonts w:hint="eastAsia" w:ascii="仿宋_GB2312" w:eastAsia="仿宋_GB2312" w:hAnsiTheme="minorEastAsia"/>
          <w:sz w:val="32"/>
          <w:szCs w:val="32"/>
        </w:rPr>
        <w:t>完成了年初绩效目标任务。本单位2024年</w:t>
      </w:r>
      <w:r>
        <w:rPr>
          <w:rFonts w:hint="eastAsia" w:ascii="仿宋_GB2312" w:eastAsia="仿宋_GB2312" w:hAnsiTheme="minorEastAsia"/>
          <w:sz w:val="32"/>
          <w:szCs w:val="32"/>
          <w:lang w:eastAsia="zh-CN"/>
        </w:rPr>
        <w:t>部门</w:t>
      </w:r>
      <w:r>
        <w:rPr>
          <w:rFonts w:hint="eastAsia" w:ascii="仿宋_GB2312" w:eastAsia="仿宋_GB2312" w:hAnsiTheme="minorEastAsia"/>
          <w:sz w:val="32"/>
          <w:szCs w:val="32"/>
        </w:rPr>
        <w:t>绩效评价打分为98分。</w:t>
      </w:r>
    </w:p>
    <w:p w14:paraId="5B5F0547">
      <w:pPr>
        <w:keepNext w:val="0"/>
        <w:keepLines w:val="0"/>
        <w:pageBreakBefore w:val="0"/>
        <w:numPr>
          <w:ilvl w:val="0"/>
          <w:numId w:val="2"/>
        </w:numPr>
        <w:kinsoku/>
        <w:wordWrap/>
        <w:overflowPunct/>
        <w:topLinePunct w:val="0"/>
        <w:autoSpaceDE/>
        <w:autoSpaceDN/>
        <w:bidi w:val="0"/>
        <w:spacing w:beforeAutospacing="0" w:afterAutospacing="0" w:line="560" w:lineRule="exact"/>
        <w:ind w:firstLine="640" w:firstLineChars="200"/>
        <w:textAlignment w:val="auto"/>
        <w:rPr>
          <w:rFonts w:hint="eastAsia" w:ascii="仿宋_GB2312" w:hAnsi="仿宋_GB2312" w:eastAsia="楷体_GB2312" w:cs="仿宋_GB2312"/>
          <w:b w:val="0"/>
          <w:bCs w:val="0"/>
          <w:color w:val="000000"/>
          <w:kern w:val="0"/>
          <w:sz w:val="32"/>
          <w:szCs w:val="32"/>
          <w:shd w:val="clear" w:color="auto" w:fill="FFFFFF"/>
          <w:lang w:val="zh-CN" w:eastAsia="zh-CN" w:bidi="ar-SA"/>
        </w:rPr>
      </w:pPr>
      <w:r>
        <w:rPr>
          <w:rFonts w:hint="eastAsia" w:ascii="仿宋_GB2312" w:hAnsi="仿宋_GB2312" w:eastAsia="楷体_GB2312" w:cs="仿宋_GB2312"/>
          <w:b w:val="0"/>
          <w:bCs w:val="0"/>
          <w:color w:val="000000"/>
          <w:kern w:val="0"/>
          <w:sz w:val="32"/>
          <w:szCs w:val="32"/>
          <w:shd w:val="clear" w:color="auto" w:fill="FFFFFF"/>
          <w:lang w:val="zh-CN" w:eastAsia="zh-CN" w:bidi="ar-SA"/>
        </w:rPr>
        <w:t>存在问题</w:t>
      </w:r>
    </w:p>
    <w:p w14:paraId="2FEF1310">
      <w:pPr>
        <w:keepNext w:val="0"/>
        <w:keepLines w:val="0"/>
        <w:pageBreakBefore w:val="0"/>
        <w:numPr>
          <w:ilvl w:val="0"/>
          <w:numId w:val="0"/>
        </w:numPr>
        <w:kinsoku/>
        <w:wordWrap/>
        <w:overflowPunct/>
        <w:topLinePunct w:val="0"/>
        <w:autoSpaceDE/>
        <w:autoSpaceDN/>
        <w:bidi w:val="0"/>
        <w:spacing w:beforeAutospacing="0" w:afterAutospacing="0" w:line="560" w:lineRule="exact"/>
        <w:ind w:firstLine="640" w:firstLineChars="200"/>
        <w:textAlignment w:val="auto"/>
        <w:rPr>
          <w:rFonts w:hint="eastAsia" w:ascii="仿宋_GB2312" w:eastAsia="仿宋_GB2312" w:hAnsiTheme="minorEastAsia"/>
          <w:sz w:val="32"/>
          <w:szCs w:val="32"/>
        </w:rPr>
      </w:pPr>
      <w:r>
        <w:rPr>
          <w:rFonts w:hint="eastAsia" w:ascii="仿宋_GB2312" w:eastAsia="仿宋_GB2312" w:hAnsiTheme="minorEastAsia"/>
          <w:sz w:val="32"/>
          <w:szCs w:val="32"/>
        </w:rPr>
        <w:t xml:space="preserve">内部控制制度不够健全，风险意识不强。在建立健全内控制度过程中，虽然基本明确了相关业务岗位的有关风险等级和风险防控措施，但目前领会认识深度不够，存在平铺式理解，尚局限于内控制度实践，没有提升到全局“一盘棋”的高度。  </w:t>
      </w:r>
    </w:p>
    <w:p w14:paraId="50658D72">
      <w:pPr>
        <w:keepNext w:val="0"/>
        <w:keepLines w:val="0"/>
        <w:pageBreakBefore w:val="0"/>
        <w:numPr>
          <w:ilvl w:val="0"/>
          <w:numId w:val="2"/>
        </w:numPr>
        <w:kinsoku/>
        <w:wordWrap/>
        <w:overflowPunct/>
        <w:topLinePunct w:val="0"/>
        <w:autoSpaceDE/>
        <w:autoSpaceDN/>
        <w:bidi w:val="0"/>
        <w:spacing w:beforeAutospacing="0" w:afterAutospacing="0" w:line="560" w:lineRule="exact"/>
        <w:ind w:left="0" w:leftChars="0" w:firstLine="640" w:firstLineChars="200"/>
        <w:textAlignment w:val="auto"/>
        <w:rPr>
          <w:rFonts w:hint="eastAsia" w:ascii="仿宋_GB2312" w:eastAsia="仿宋_GB2312" w:hAnsiTheme="minorEastAsia"/>
          <w:sz w:val="32"/>
          <w:szCs w:val="32"/>
        </w:rPr>
      </w:pPr>
      <w:r>
        <w:rPr>
          <w:rFonts w:hint="eastAsia" w:ascii="仿宋_GB2312" w:hAnsi="仿宋_GB2312" w:eastAsia="楷体_GB2312" w:cs="仿宋_GB2312"/>
          <w:b w:val="0"/>
          <w:bCs w:val="0"/>
          <w:color w:val="000000"/>
          <w:kern w:val="0"/>
          <w:sz w:val="32"/>
          <w:szCs w:val="32"/>
          <w:shd w:val="clear" w:color="auto" w:fill="FFFFFF"/>
          <w:lang w:val="zh-CN" w:eastAsia="zh-CN" w:bidi="ar-SA"/>
        </w:rPr>
        <w:t>改进建议</w:t>
      </w:r>
    </w:p>
    <w:p w14:paraId="50C82B33">
      <w:pPr>
        <w:keepNext w:val="0"/>
        <w:keepLines w:val="0"/>
        <w:pageBreakBefore w:val="0"/>
        <w:numPr>
          <w:ilvl w:val="0"/>
          <w:numId w:val="0"/>
        </w:numPr>
        <w:kinsoku/>
        <w:wordWrap/>
        <w:overflowPunct/>
        <w:topLinePunct w:val="0"/>
        <w:autoSpaceDE/>
        <w:autoSpaceDN/>
        <w:bidi w:val="0"/>
        <w:spacing w:beforeAutospacing="0" w:afterAutospacing="0" w:line="560" w:lineRule="exact"/>
        <w:ind w:firstLine="640" w:firstLineChars="200"/>
        <w:textAlignment w:val="auto"/>
        <w:rPr>
          <w:rFonts w:hint="eastAsia" w:ascii="仿宋_GB2312" w:eastAsia="仿宋_GB2312" w:hAnsiTheme="minorEastAsia"/>
          <w:sz w:val="32"/>
          <w:szCs w:val="32"/>
        </w:rPr>
      </w:pPr>
      <w:r>
        <w:rPr>
          <w:rFonts w:hint="eastAsia" w:ascii="仿宋_GB2312" w:eastAsia="仿宋_GB2312" w:hAnsiTheme="minorEastAsia"/>
          <w:sz w:val="32"/>
          <w:szCs w:val="32"/>
        </w:rPr>
        <w:t>需要进一步加强财务管理制度，严格财务审核，规范财务行为，提高预算编制精确度，进一步规范管理。</w:t>
      </w:r>
    </w:p>
    <w:p w14:paraId="50E8A831">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eastAsia" w:ascii="仿宋_GB2312" w:eastAsia="仿宋_GB2312" w:hAnsiTheme="minorEastAsia"/>
          <w:sz w:val="32"/>
          <w:szCs w:val="32"/>
        </w:rPr>
      </w:pPr>
    </w:p>
    <w:p w14:paraId="30D6949B">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eastAsia" w:ascii="仿宋_GB2312" w:eastAsia="仿宋_GB2312" w:hAnsiTheme="minorEastAsia"/>
          <w:sz w:val="32"/>
          <w:szCs w:val="32"/>
          <w:lang w:val="zh-CN"/>
        </w:rPr>
      </w:pPr>
      <w:r>
        <w:rPr>
          <w:rFonts w:hint="eastAsia" w:ascii="仿宋_GB2312" w:eastAsia="仿宋_GB2312" w:hAnsiTheme="minorEastAsia"/>
          <w:sz w:val="32"/>
          <w:szCs w:val="32"/>
          <w:lang w:val="zh-CN"/>
        </w:rPr>
        <w:t>附表：</w:t>
      </w:r>
      <w:r>
        <w:rPr>
          <w:rFonts w:hint="eastAsia" w:ascii="仿宋_GB2312" w:eastAsia="仿宋_GB2312" w:hAnsiTheme="minorEastAsia"/>
          <w:sz w:val="32"/>
          <w:szCs w:val="32"/>
        </w:rPr>
        <w:t>部门预算项目支出绩效自评表（2024年度）</w:t>
      </w:r>
    </w:p>
    <w:p w14:paraId="0424953F">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ascii="方正黑体_GBK" w:eastAsia="方正黑体_GBK"/>
          <w:sz w:val="32"/>
        </w:rPr>
      </w:pPr>
      <w:r>
        <w:rPr>
          <w:rFonts w:hint="eastAsia" w:ascii="仿宋_GB2312" w:eastAsia="仿宋_GB2312" w:hAnsiTheme="minorEastAsia"/>
          <w:b w:val="0"/>
          <w:bCs w:val="0"/>
          <w:sz w:val="32"/>
          <w:szCs w:val="32"/>
        </w:rPr>
        <w:t>（注：按照绩效自评工作安排，各部门已在预算管理一体化系统绩效自评模块上传“部门预算项目支出绩效自评表（2024年度）”，该表格应作为附表予以公开）</w:t>
      </w:r>
    </w:p>
    <w:p w14:paraId="79C66D58">
      <w:pPr>
        <w:pStyle w:val="8"/>
        <w:spacing w:line="560" w:lineRule="exact"/>
        <w:ind w:left="0" w:leftChars="0" w:firstLine="0" w:firstLineChars="0"/>
        <w:rPr>
          <w:rFonts w:hint="eastAsia" w:ascii="方正黑体_GBK" w:eastAsia="方正黑体_GBK"/>
          <w:sz w:val="32"/>
        </w:rPr>
      </w:pPr>
    </w:p>
    <w:p w14:paraId="1BEC3128">
      <w:pPr>
        <w:pStyle w:val="8"/>
        <w:spacing w:line="560" w:lineRule="exact"/>
        <w:ind w:left="0" w:leftChars="0" w:firstLine="0" w:firstLineChars="0"/>
        <w:rPr>
          <w:rFonts w:ascii="Times New Roman"/>
          <w:sz w:val="32"/>
          <w:highlight w:val="yellow"/>
          <w:lang w:val="zh-CN"/>
        </w:rPr>
      </w:pPr>
      <w:r>
        <w:rPr>
          <w:rFonts w:hint="eastAsia" w:ascii="方正黑体_GBK" w:eastAsia="方正黑体_GBK"/>
          <w:sz w:val="32"/>
        </w:rPr>
        <w:t>附表</w:t>
      </w:r>
    </w:p>
    <w:tbl>
      <w:tblPr>
        <w:tblStyle w:val="17"/>
        <w:tblW w:w="10560" w:type="dxa"/>
        <w:jc w:val="center"/>
        <w:tblLayout w:type="fixed"/>
        <w:tblCellMar>
          <w:top w:w="15" w:type="dxa"/>
          <w:left w:w="15" w:type="dxa"/>
          <w:bottom w:w="15" w:type="dxa"/>
          <w:right w:w="15" w:type="dxa"/>
        </w:tblCellMar>
      </w:tblPr>
      <w:tblGrid>
        <w:gridCol w:w="1308"/>
        <w:gridCol w:w="1347"/>
        <w:gridCol w:w="844"/>
        <w:gridCol w:w="1800"/>
        <w:gridCol w:w="874"/>
        <w:gridCol w:w="1289"/>
        <w:gridCol w:w="1058"/>
        <w:gridCol w:w="2040"/>
      </w:tblGrid>
      <w:tr w14:paraId="64124548">
        <w:tblPrEx>
          <w:tblCellMar>
            <w:top w:w="15" w:type="dxa"/>
            <w:left w:w="15" w:type="dxa"/>
            <w:bottom w:w="15" w:type="dxa"/>
            <w:right w:w="15" w:type="dxa"/>
          </w:tblCellMar>
        </w:tblPrEx>
        <w:trPr>
          <w:trHeight w:val="762" w:hRule="exact"/>
          <w:jc w:val="center"/>
        </w:trPr>
        <w:tc>
          <w:tcPr>
            <w:tcW w:w="10560" w:type="dxa"/>
            <w:gridSpan w:val="8"/>
            <w:shd w:val="clear" w:color="auto" w:fill="auto"/>
            <w:vAlign w:val="center"/>
          </w:tcPr>
          <w:p w14:paraId="482C4EB2">
            <w:pPr>
              <w:widowControl/>
              <w:spacing w:line="600" w:lineRule="exact"/>
              <w:jc w:val="center"/>
              <w:textAlignment w:val="center"/>
              <w:rPr>
                <w:rFonts w:ascii="方正小标宋_GBK" w:eastAsia="方正小标宋_GBK"/>
                <w:b/>
                <w:color w:val="000000"/>
                <w:sz w:val="28"/>
                <w:szCs w:val="28"/>
              </w:rPr>
            </w:pPr>
            <w:r>
              <w:rPr>
                <w:rFonts w:hint="eastAsia" w:ascii="方正小标宋_GBK" w:eastAsia="方正小标宋_GBK"/>
                <w:b/>
                <w:color w:val="000000"/>
                <w:kern w:val="0"/>
                <w:sz w:val="44"/>
                <w:szCs w:val="44"/>
              </w:rPr>
              <w:t>部门预算项目支出绩效自评表</w:t>
            </w:r>
          </w:p>
        </w:tc>
      </w:tr>
      <w:tr w14:paraId="74997AA6">
        <w:tblPrEx>
          <w:tblCellMar>
            <w:top w:w="15" w:type="dxa"/>
            <w:left w:w="15" w:type="dxa"/>
            <w:bottom w:w="15" w:type="dxa"/>
            <w:right w:w="15" w:type="dxa"/>
          </w:tblCellMar>
        </w:tblPrEx>
        <w:trPr>
          <w:trHeight w:val="23" w:hRule="atLeast"/>
          <w:jc w:val="center"/>
        </w:trPr>
        <w:tc>
          <w:tcPr>
            <w:tcW w:w="10560" w:type="dxa"/>
            <w:gridSpan w:val="8"/>
            <w:shd w:val="clear" w:color="auto" w:fill="auto"/>
            <w:vAlign w:val="center"/>
          </w:tcPr>
          <w:p w14:paraId="728A6666">
            <w:pPr>
              <w:widowControl/>
              <w:spacing w:line="300" w:lineRule="exact"/>
              <w:jc w:val="center"/>
              <w:textAlignment w:val="center"/>
              <w:rPr>
                <w:rFonts w:ascii="方正楷体_GBK" w:eastAsia="方正楷体_GBK"/>
                <w:b/>
                <w:color w:val="000000"/>
                <w:szCs w:val="32"/>
              </w:rPr>
            </w:pPr>
            <w:r>
              <w:rPr>
                <w:rFonts w:hint="eastAsia" w:ascii="Times New Roman" w:hAnsi="Times New Roman" w:eastAsia="宋体" w:cs="Times New Roman"/>
                <w:color w:val="000000"/>
                <w:kern w:val="2"/>
                <w:sz w:val="24"/>
                <w:szCs w:val="24"/>
                <w:lang w:val="en-US" w:eastAsia="zh-CN" w:bidi="ar-SA"/>
              </w:rPr>
              <w:t>（2024年度）</w:t>
            </w:r>
          </w:p>
        </w:tc>
      </w:tr>
      <w:tr w14:paraId="06C48500">
        <w:tblPrEx>
          <w:tblCellMar>
            <w:top w:w="15" w:type="dxa"/>
            <w:left w:w="15" w:type="dxa"/>
            <w:bottom w:w="15" w:type="dxa"/>
            <w:right w:w="15" w:type="dxa"/>
          </w:tblCellMar>
        </w:tblPrEx>
        <w:trPr>
          <w:trHeight w:val="23" w:hRule="atLeast"/>
          <w:jc w:val="center"/>
        </w:trPr>
        <w:tc>
          <w:tcPr>
            <w:tcW w:w="10560" w:type="dxa"/>
            <w:gridSpan w:val="8"/>
            <w:tcBorders>
              <w:bottom w:val="single" w:color="000000" w:sz="4" w:space="0"/>
            </w:tcBorders>
            <w:shd w:val="clear" w:color="auto" w:fill="auto"/>
            <w:vAlign w:val="center"/>
          </w:tcPr>
          <w:p w14:paraId="20BEEA35">
            <w:pPr>
              <w:widowControl/>
              <w:spacing w:line="300" w:lineRule="exact"/>
              <w:jc w:val="right"/>
              <w:textAlignment w:val="center"/>
              <w:rPr>
                <w:color w:val="000000"/>
                <w:szCs w:val="21"/>
              </w:rPr>
            </w:pPr>
            <w:r>
              <w:rPr>
                <w:color w:val="000000"/>
                <w:kern w:val="0"/>
                <w:szCs w:val="21"/>
              </w:rPr>
              <w:t>单位：万元</w:t>
            </w:r>
          </w:p>
        </w:tc>
      </w:tr>
      <w:tr w14:paraId="17B5780F">
        <w:tblPrEx>
          <w:tblCellMar>
            <w:top w:w="15" w:type="dxa"/>
            <w:left w:w="15" w:type="dxa"/>
            <w:bottom w:w="15" w:type="dxa"/>
            <w:right w:w="15" w:type="dxa"/>
          </w:tblCellMar>
        </w:tblPrEx>
        <w:trPr>
          <w:trHeight w:val="416" w:hRule="atLeast"/>
          <w:jc w:val="center"/>
        </w:trPr>
        <w:tc>
          <w:tcPr>
            <w:tcW w:w="34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12ACE4">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部门名称</w:t>
            </w:r>
          </w:p>
        </w:tc>
        <w:tc>
          <w:tcPr>
            <w:tcW w:w="706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698215C">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盐边县信访局</w:t>
            </w:r>
          </w:p>
        </w:tc>
      </w:tr>
      <w:tr w14:paraId="21516854">
        <w:tblPrEx>
          <w:tblCellMar>
            <w:top w:w="15" w:type="dxa"/>
            <w:left w:w="15" w:type="dxa"/>
            <w:bottom w:w="15" w:type="dxa"/>
            <w:right w:w="15" w:type="dxa"/>
          </w:tblCellMar>
        </w:tblPrEx>
        <w:trPr>
          <w:trHeight w:val="452" w:hRule="atLeast"/>
          <w:jc w:val="center"/>
        </w:trPr>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E27F3C">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年度部门整体支出预算</w:t>
            </w: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39121D">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资金总额</w:t>
            </w:r>
          </w:p>
        </w:tc>
        <w:tc>
          <w:tcPr>
            <w:tcW w:w="26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80363E">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财政拨款</w:t>
            </w:r>
          </w:p>
        </w:tc>
        <w:tc>
          <w:tcPr>
            <w:tcW w:w="438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76820A">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其他资金</w:t>
            </w:r>
          </w:p>
        </w:tc>
      </w:tr>
      <w:tr w14:paraId="773EA175">
        <w:tblPrEx>
          <w:tblCellMar>
            <w:top w:w="15" w:type="dxa"/>
            <w:left w:w="15" w:type="dxa"/>
            <w:bottom w:w="15" w:type="dxa"/>
            <w:right w:w="15" w:type="dxa"/>
          </w:tblCellMar>
        </w:tblPrEx>
        <w:trPr>
          <w:trHeight w:val="524" w:hRule="atLeast"/>
          <w:jc w:val="center"/>
        </w:trPr>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1EC757">
            <w:pPr>
              <w:widowControl/>
              <w:spacing w:line="300" w:lineRule="exact"/>
              <w:jc w:val="center"/>
              <w:rPr>
                <w:rFonts w:hint="eastAsia" w:ascii="Times New Roman" w:hAnsi="Times New Roman" w:eastAsia="宋体" w:cs="Times New Roman"/>
                <w:color w:val="000000"/>
                <w:kern w:val="2"/>
                <w:sz w:val="24"/>
                <w:szCs w:val="24"/>
                <w:lang w:val="en-US" w:eastAsia="zh-CN" w:bidi="ar-SA"/>
              </w:rPr>
            </w:pP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C00471">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451.88</w:t>
            </w:r>
          </w:p>
        </w:tc>
        <w:tc>
          <w:tcPr>
            <w:tcW w:w="26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AA9E40">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446.88</w:t>
            </w:r>
          </w:p>
        </w:tc>
        <w:tc>
          <w:tcPr>
            <w:tcW w:w="438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D1676D">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5</w:t>
            </w:r>
          </w:p>
        </w:tc>
      </w:tr>
      <w:tr w14:paraId="2DF5BD40">
        <w:tblPrEx>
          <w:tblCellMar>
            <w:top w:w="15" w:type="dxa"/>
            <w:left w:w="15" w:type="dxa"/>
            <w:bottom w:w="15" w:type="dxa"/>
            <w:right w:w="15" w:type="dxa"/>
          </w:tblCellMar>
        </w:tblPrEx>
        <w:trPr>
          <w:trHeight w:val="1088" w:hRule="atLeast"/>
          <w:jc w:val="center"/>
        </w:trPr>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3C40D">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年度总体</w:t>
            </w:r>
          </w:p>
          <w:p w14:paraId="7498F781">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目标</w:t>
            </w:r>
          </w:p>
        </w:tc>
        <w:tc>
          <w:tcPr>
            <w:tcW w:w="925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72491D7">
            <w:pPr>
              <w:pStyle w:val="16"/>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在县委县政府的领导下，按照职能职责按时完成上级部门下达的各项任务。保证财政资金安全，按时发放职工工资，节约办公，保障机构正常运行；有序推进其他各项业务工作，服务群众。信访项目经费总体目标是：切实维护辖区社会和谐安定，妥善处理好各类信访案件，推动信访积案有效化解，减少积案存量；畅通信访渠道、规范信访秩序，妥善解决群众合理诉求，促进问题解决，维护社会稳定。</w:t>
            </w:r>
          </w:p>
          <w:p w14:paraId="3DBC0656">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p>
        </w:tc>
      </w:tr>
      <w:tr w14:paraId="1F9F0B40">
        <w:tblPrEx>
          <w:tblCellMar>
            <w:top w:w="15" w:type="dxa"/>
            <w:left w:w="15" w:type="dxa"/>
            <w:bottom w:w="15" w:type="dxa"/>
            <w:right w:w="15" w:type="dxa"/>
          </w:tblCellMar>
        </w:tblPrEx>
        <w:trPr>
          <w:trHeight w:val="23" w:hRule="atLeast"/>
          <w:jc w:val="center"/>
        </w:trPr>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B8CE02">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年度主要</w:t>
            </w:r>
          </w:p>
          <w:p w14:paraId="66AC6B1E">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任务</w:t>
            </w: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2258D6">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任务名称</w:t>
            </w:r>
          </w:p>
        </w:tc>
        <w:tc>
          <w:tcPr>
            <w:tcW w:w="706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C033F02">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主要内容</w:t>
            </w:r>
          </w:p>
        </w:tc>
      </w:tr>
      <w:tr w14:paraId="5DB3F2D1">
        <w:tblPrEx>
          <w:tblCellMar>
            <w:top w:w="15" w:type="dxa"/>
            <w:left w:w="15" w:type="dxa"/>
            <w:bottom w:w="15" w:type="dxa"/>
            <w:right w:w="15" w:type="dxa"/>
          </w:tblCellMar>
        </w:tblPrEx>
        <w:trPr>
          <w:trHeight w:val="23" w:hRule="atLeast"/>
          <w:jc w:val="center"/>
        </w:trPr>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FF6141">
            <w:pPr>
              <w:widowControl/>
              <w:spacing w:line="300" w:lineRule="exact"/>
              <w:jc w:val="center"/>
              <w:rPr>
                <w:rFonts w:hint="eastAsia" w:ascii="Times New Roman" w:hAnsi="Times New Roman" w:eastAsia="宋体" w:cs="Times New Roman"/>
                <w:color w:val="000000"/>
                <w:kern w:val="2"/>
                <w:sz w:val="24"/>
                <w:szCs w:val="24"/>
                <w:lang w:val="en-US" w:eastAsia="zh-CN" w:bidi="ar-SA"/>
              </w:rPr>
            </w:pP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04AFE0">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保运转</w:t>
            </w:r>
          </w:p>
        </w:tc>
        <w:tc>
          <w:tcPr>
            <w:tcW w:w="706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B8CEA14">
            <w:pPr>
              <w:widowControl/>
              <w:spacing w:line="300" w:lineRule="exact"/>
              <w:jc w:val="left"/>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严格执行相关政策，保障工资及时、足额发放或社保及时、足额缴纳，预算编制科学合理，减少结余资金。</w:t>
            </w:r>
          </w:p>
        </w:tc>
      </w:tr>
      <w:tr w14:paraId="019EE7CD">
        <w:tblPrEx>
          <w:tblCellMar>
            <w:top w:w="15" w:type="dxa"/>
            <w:left w:w="15" w:type="dxa"/>
            <w:bottom w:w="15" w:type="dxa"/>
            <w:right w:w="15" w:type="dxa"/>
          </w:tblCellMar>
        </w:tblPrEx>
        <w:trPr>
          <w:trHeight w:val="725" w:hRule="atLeast"/>
          <w:jc w:val="center"/>
        </w:trPr>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FB6699">
            <w:pPr>
              <w:widowControl/>
              <w:spacing w:line="300" w:lineRule="exact"/>
              <w:jc w:val="center"/>
              <w:rPr>
                <w:rFonts w:hint="eastAsia" w:ascii="Times New Roman" w:hAnsi="Times New Roman" w:eastAsia="宋体" w:cs="Times New Roman"/>
                <w:color w:val="000000"/>
                <w:kern w:val="2"/>
                <w:sz w:val="24"/>
                <w:szCs w:val="24"/>
                <w:lang w:val="en-US" w:eastAsia="zh-CN" w:bidi="ar-SA"/>
              </w:rPr>
            </w:pP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BA96D3">
            <w:pPr>
              <w:jc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信访业务工作经费、特殊疑难信访事项维稳化解</w:t>
            </w:r>
          </w:p>
          <w:p w14:paraId="08B185CE">
            <w:pPr>
              <w:widowControl/>
              <w:spacing w:line="300" w:lineRule="exact"/>
              <w:jc w:val="left"/>
              <w:rPr>
                <w:rFonts w:hint="eastAsia" w:ascii="Times New Roman" w:hAnsi="Times New Roman" w:eastAsia="宋体" w:cs="Times New Roman"/>
                <w:color w:val="000000"/>
                <w:kern w:val="2"/>
                <w:sz w:val="24"/>
                <w:szCs w:val="24"/>
                <w:lang w:val="en-US" w:eastAsia="zh-CN" w:bidi="ar-SA"/>
              </w:rPr>
            </w:pPr>
          </w:p>
        </w:tc>
        <w:tc>
          <w:tcPr>
            <w:tcW w:w="706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2B1CDAF">
            <w:pPr>
              <w:widowControl/>
              <w:spacing w:line="300" w:lineRule="exact"/>
              <w:jc w:val="left"/>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做好群众来信来访，网络投诉等基础信访业务工作， 引导信访群众依法解决信访诉求，提高信访事项“三率”，巩固“两降两升”，建立多功能、多形式、多渠道的信访网络平台弥补传统信访方式的缺陷，满足人民群众的信访要求，畅通群众信访绿色通道。按照上级维稳的要求和决策部署，负责上访群众到县到市到省进京上访劝返处置，有效预防和及时化解、防止极端恶性和群体性事件发生。推进信访法制工作建设，建立健全律师咨询、参与信访事项化解工作。推动心理咨询师参与化解信访事项工作，进一步为群众服务，促进社会和谐稳定。加强信访接待场所安保措施，有序安全开展接访工作。做好群众来信来访，网络投诉等基础信访业务工作， 引导信访群众依法解决信访诉求，提高信访事项“三率”，巩固“两降两升”， 建立多功能、多形式、多渠道的信访网络平台弥补传统信访方式的缺陷，满足人民群众的信访要求，畅通群众信访绿色通道。按照上级维稳的要求和决策部署，负责上访群众到县到市到省进京上访劝返处置，有效预防和及时化解、防止极端恶性和群体性事件发生。推进信访法制工作建设，建立健全律师咨询、参与信访事项化解工作。推动心理咨询师参与化解信访事项工作，进一步为群众服务，促进社会和谐稳定。加强信访接待场所安保措施，有序安全开展接访工作。</w:t>
            </w:r>
            <w:r>
              <w:rPr>
                <w:rFonts w:hint="eastAsia" w:ascii="Times New Roman" w:hAnsi="Times New Roman" w:eastAsia="宋体" w:cs="Times New Roman"/>
                <w:color w:val="000000"/>
                <w:kern w:val="2"/>
                <w:sz w:val="24"/>
                <w:szCs w:val="24"/>
                <w:lang w:val="en-US" w:eastAsia="zh-CN" w:bidi="ar-SA"/>
              </w:rPr>
              <w:tab/>
            </w:r>
            <w:r>
              <w:rPr>
                <w:rFonts w:hint="eastAsia" w:ascii="Times New Roman" w:hAnsi="Times New Roman" w:eastAsia="宋体" w:cs="Times New Roman"/>
                <w:color w:val="000000"/>
                <w:kern w:val="2"/>
                <w:sz w:val="24"/>
                <w:szCs w:val="24"/>
                <w:lang w:val="en-US" w:eastAsia="zh-CN" w:bidi="ar-SA"/>
              </w:rPr>
              <w:tab/>
            </w:r>
            <w:r>
              <w:rPr>
                <w:rFonts w:hint="eastAsia" w:ascii="Times New Roman" w:hAnsi="Times New Roman" w:eastAsia="宋体" w:cs="Times New Roman"/>
                <w:color w:val="000000"/>
                <w:kern w:val="2"/>
                <w:sz w:val="24"/>
                <w:szCs w:val="24"/>
                <w:lang w:val="en-US" w:eastAsia="zh-CN" w:bidi="ar-SA"/>
              </w:rPr>
              <w:tab/>
            </w:r>
          </w:p>
        </w:tc>
      </w:tr>
      <w:tr w14:paraId="713A6363">
        <w:tblPrEx>
          <w:tblCellMar>
            <w:top w:w="15" w:type="dxa"/>
            <w:left w:w="15" w:type="dxa"/>
            <w:bottom w:w="15" w:type="dxa"/>
            <w:right w:w="15" w:type="dxa"/>
          </w:tblCellMar>
        </w:tblPrEx>
        <w:trPr>
          <w:trHeight w:val="23" w:hRule="atLeast"/>
          <w:jc w:val="center"/>
        </w:trPr>
        <w:tc>
          <w:tcPr>
            <w:tcW w:w="13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FF3A1D">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年度绩效</w:t>
            </w:r>
          </w:p>
          <w:p w14:paraId="235287B8">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指标</w:t>
            </w:r>
          </w:p>
        </w:tc>
        <w:tc>
          <w:tcPr>
            <w:tcW w:w="1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E961C">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一级指标</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C30F1">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二级指标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6066D">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三级指标</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42298">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绩效指标</w:t>
            </w:r>
          </w:p>
          <w:p w14:paraId="162E20B3">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性质</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62F27">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绩效指标值</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F1A30">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绩效度量单位</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260E2">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实际完成</w:t>
            </w:r>
          </w:p>
          <w:p w14:paraId="1888379A">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指标值</w:t>
            </w:r>
          </w:p>
        </w:tc>
      </w:tr>
      <w:tr w14:paraId="3127ADC2">
        <w:tblPrEx>
          <w:tblCellMar>
            <w:top w:w="15" w:type="dxa"/>
            <w:left w:w="15" w:type="dxa"/>
            <w:bottom w:w="15" w:type="dxa"/>
            <w:right w:w="15" w:type="dxa"/>
          </w:tblCellMar>
        </w:tblPrEx>
        <w:trPr>
          <w:trHeight w:val="23" w:hRule="atLeast"/>
          <w:jc w:val="center"/>
        </w:trPr>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B4C4D7">
            <w:pPr>
              <w:widowControl/>
              <w:spacing w:line="300" w:lineRule="exact"/>
              <w:jc w:val="center"/>
              <w:rPr>
                <w:rFonts w:hint="eastAsia" w:ascii="Times New Roman" w:hAnsi="Times New Roman" w:eastAsia="宋体" w:cs="Times New Roman"/>
                <w:color w:val="000000"/>
                <w:kern w:val="2"/>
                <w:sz w:val="24"/>
                <w:szCs w:val="24"/>
                <w:lang w:val="en-US" w:eastAsia="zh-CN" w:bidi="ar-SA"/>
              </w:rPr>
            </w:pPr>
          </w:p>
        </w:tc>
        <w:tc>
          <w:tcPr>
            <w:tcW w:w="13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DB094C">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产出指标</w:t>
            </w:r>
          </w:p>
        </w:tc>
        <w:tc>
          <w:tcPr>
            <w:tcW w:w="844" w:type="dxa"/>
            <w:vMerge w:val="restart"/>
            <w:tcBorders>
              <w:top w:val="single" w:color="000000" w:sz="4" w:space="0"/>
              <w:left w:val="single" w:color="000000" w:sz="4" w:space="0"/>
              <w:right w:val="single" w:color="000000" w:sz="4" w:space="0"/>
            </w:tcBorders>
            <w:shd w:val="clear" w:color="auto" w:fill="auto"/>
            <w:vAlign w:val="center"/>
          </w:tcPr>
          <w:p w14:paraId="479C19B9">
            <w:pPr>
              <w:widowControl/>
              <w:spacing w:line="300" w:lineRule="exact"/>
              <w:jc w:val="left"/>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数量指标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5EC84">
            <w:pPr>
              <w:widowControl/>
              <w:jc w:val="left"/>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发放（缴纳）覆盖率</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5283C">
            <w:pPr>
              <w:widowControl/>
              <w:spacing w:line="300" w:lineRule="exact"/>
              <w:jc w:val="left"/>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04810">
            <w:pPr>
              <w:widowControl/>
              <w:spacing w:line="300" w:lineRule="exact"/>
              <w:jc w:val="left"/>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100</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E2C29">
            <w:pPr>
              <w:widowControl/>
              <w:spacing w:line="300" w:lineRule="exact"/>
              <w:jc w:val="left"/>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F59D2">
            <w:pPr>
              <w:widowControl/>
              <w:spacing w:line="300" w:lineRule="exact"/>
              <w:jc w:val="left"/>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228.63</w:t>
            </w:r>
          </w:p>
        </w:tc>
      </w:tr>
      <w:tr w14:paraId="215AF418">
        <w:tblPrEx>
          <w:tblCellMar>
            <w:top w:w="15" w:type="dxa"/>
            <w:left w:w="15" w:type="dxa"/>
            <w:bottom w:w="15" w:type="dxa"/>
            <w:right w:w="15" w:type="dxa"/>
          </w:tblCellMar>
        </w:tblPrEx>
        <w:trPr>
          <w:trHeight w:val="23" w:hRule="atLeast"/>
          <w:jc w:val="center"/>
        </w:trPr>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F1C0FB">
            <w:pPr>
              <w:widowControl/>
              <w:spacing w:line="300" w:lineRule="exact"/>
              <w:jc w:val="center"/>
              <w:rPr>
                <w:rFonts w:hint="eastAsia" w:ascii="Times New Roman" w:hAnsi="Times New Roman" w:eastAsia="宋体" w:cs="Times New Roman"/>
                <w:color w:val="000000"/>
                <w:kern w:val="2"/>
                <w:sz w:val="24"/>
                <w:szCs w:val="24"/>
                <w:lang w:val="en-US" w:eastAsia="zh-CN" w:bidi="ar-SA"/>
              </w:rPr>
            </w:pPr>
          </w:p>
        </w:tc>
        <w:tc>
          <w:tcPr>
            <w:tcW w:w="13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1130B4">
            <w:pPr>
              <w:widowControl/>
              <w:spacing w:line="300" w:lineRule="exact"/>
              <w:jc w:val="center"/>
              <w:rPr>
                <w:rFonts w:hint="eastAsia" w:ascii="Times New Roman" w:hAnsi="Times New Roman" w:eastAsia="宋体" w:cs="Times New Roman"/>
                <w:color w:val="000000"/>
                <w:kern w:val="2"/>
                <w:sz w:val="24"/>
                <w:szCs w:val="24"/>
                <w:lang w:val="en-US" w:eastAsia="zh-CN" w:bidi="ar-SA"/>
              </w:rPr>
            </w:pPr>
          </w:p>
        </w:tc>
        <w:tc>
          <w:tcPr>
            <w:tcW w:w="844" w:type="dxa"/>
            <w:vMerge w:val="continue"/>
            <w:tcBorders>
              <w:left w:val="single" w:color="000000" w:sz="4" w:space="0"/>
              <w:right w:val="single" w:color="000000" w:sz="4" w:space="0"/>
            </w:tcBorders>
            <w:shd w:val="clear" w:color="auto" w:fill="auto"/>
            <w:vAlign w:val="center"/>
          </w:tcPr>
          <w:p w14:paraId="569611F2">
            <w:pPr>
              <w:widowControl/>
              <w:spacing w:line="300" w:lineRule="exact"/>
              <w:jc w:val="left"/>
              <w:rPr>
                <w:rFonts w:hint="eastAsia" w:ascii="Times New Roman" w:hAnsi="Times New Roman" w:eastAsia="宋体" w:cs="Times New Roman"/>
                <w:color w:val="000000"/>
                <w:kern w:val="2"/>
                <w:sz w:val="24"/>
                <w:szCs w:val="24"/>
                <w:lang w:val="en-US" w:eastAsia="zh-CN" w:bidi="ar-SA"/>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C7CC3">
            <w:pPr>
              <w:widowControl/>
              <w:spacing w:line="300" w:lineRule="exact"/>
              <w:jc w:val="left"/>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按期办结2024年信访业务经费</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68BD1">
            <w:pPr>
              <w:widowControl/>
              <w:spacing w:line="300" w:lineRule="exact"/>
              <w:jc w:val="left"/>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322B0">
            <w:pPr>
              <w:widowControl/>
              <w:spacing w:line="300" w:lineRule="exact"/>
              <w:jc w:val="left"/>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95</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E5349">
            <w:pPr>
              <w:widowControl/>
              <w:spacing w:line="300" w:lineRule="exact"/>
              <w:jc w:val="left"/>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13860">
            <w:pPr>
              <w:widowControl/>
              <w:spacing w:line="300" w:lineRule="exact"/>
              <w:jc w:val="left"/>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223.25</w:t>
            </w:r>
          </w:p>
        </w:tc>
      </w:tr>
      <w:tr w14:paraId="71B760ED">
        <w:tblPrEx>
          <w:tblCellMar>
            <w:top w:w="15" w:type="dxa"/>
            <w:left w:w="15" w:type="dxa"/>
            <w:bottom w:w="15" w:type="dxa"/>
            <w:right w:w="15" w:type="dxa"/>
          </w:tblCellMar>
        </w:tblPrEx>
        <w:trPr>
          <w:trHeight w:val="428" w:hRule="atLeast"/>
          <w:jc w:val="center"/>
        </w:trPr>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05D960">
            <w:pPr>
              <w:widowControl/>
              <w:spacing w:line="300" w:lineRule="exact"/>
              <w:jc w:val="center"/>
              <w:rPr>
                <w:rFonts w:hint="eastAsia" w:ascii="Times New Roman" w:hAnsi="Times New Roman" w:eastAsia="宋体" w:cs="Times New Roman"/>
                <w:color w:val="000000"/>
                <w:kern w:val="2"/>
                <w:sz w:val="24"/>
                <w:szCs w:val="24"/>
                <w:lang w:val="en-US" w:eastAsia="zh-CN" w:bidi="ar-SA"/>
              </w:rPr>
            </w:pPr>
          </w:p>
        </w:tc>
        <w:tc>
          <w:tcPr>
            <w:tcW w:w="13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B2F7BE">
            <w:pPr>
              <w:widowControl/>
              <w:spacing w:line="300" w:lineRule="exact"/>
              <w:jc w:val="center"/>
              <w:rPr>
                <w:rFonts w:hint="eastAsia" w:ascii="Times New Roman" w:hAnsi="Times New Roman" w:eastAsia="宋体" w:cs="Times New Roman"/>
                <w:color w:val="000000"/>
                <w:kern w:val="2"/>
                <w:sz w:val="24"/>
                <w:szCs w:val="24"/>
                <w:lang w:val="en-US" w:eastAsia="zh-CN" w:bidi="ar-SA"/>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BF126">
            <w:pPr>
              <w:widowControl/>
              <w:spacing w:line="300" w:lineRule="exact"/>
              <w:jc w:val="left"/>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质量指标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2AF1A">
            <w:pPr>
              <w:widowControl/>
              <w:spacing w:line="300" w:lineRule="exact"/>
              <w:jc w:val="left"/>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有效预防和及时化解、防止极端恶性和群体性事件发生</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7A8DF">
            <w:pPr>
              <w:widowControl/>
              <w:jc w:val="left"/>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定性</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C3FC3">
            <w:pPr>
              <w:widowControl/>
              <w:jc w:val="left"/>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良</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344FF">
            <w:pPr>
              <w:widowControl/>
              <w:spacing w:line="300" w:lineRule="exact"/>
              <w:jc w:val="left"/>
              <w:rPr>
                <w:rFonts w:hint="eastAsia" w:ascii="Times New Roman" w:hAnsi="Times New Roman" w:eastAsia="宋体" w:cs="Times New Roman"/>
                <w:color w:val="000000"/>
                <w:kern w:val="2"/>
                <w:sz w:val="24"/>
                <w:szCs w:val="24"/>
                <w:lang w:val="en-US" w:eastAsia="zh-CN" w:bidi="ar-SA"/>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07D0D">
            <w:pPr>
              <w:widowControl/>
              <w:spacing w:line="300" w:lineRule="exact"/>
              <w:jc w:val="left"/>
              <w:rPr>
                <w:rFonts w:hint="eastAsia" w:ascii="Times New Roman" w:hAnsi="Times New Roman" w:eastAsia="宋体" w:cs="Times New Roman"/>
                <w:color w:val="000000"/>
                <w:kern w:val="2"/>
                <w:sz w:val="24"/>
                <w:szCs w:val="24"/>
                <w:lang w:val="en-US" w:eastAsia="zh-CN" w:bidi="ar-SA"/>
              </w:rPr>
            </w:pPr>
          </w:p>
        </w:tc>
      </w:tr>
      <w:tr w14:paraId="6A939D8F">
        <w:tblPrEx>
          <w:tblCellMar>
            <w:top w:w="15" w:type="dxa"/>
            <w:left w:w="15" w:type="dxa"/>
            <w:bottom w:w="15" w:type="dxa"/>
            <w:right w:w="15" w:type="dxa"/>
          </w:tblCellMar>
        </w:tblPrEx>
        <w:trPr>
          <w:trHeight w:val="416" w:hRule="atLeast"/>
          <w:jc w:val="center"/>
        </w:trPr>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066D2D">
            <w:pPr>
              <w:widowControl/>
              <w:spacing w:line="300" w:lineRule="exact"/>
              <w:jc w:val="center"/>
              <w:rPr>
                <w:rFonts w:hint="eastAsia" w:ascii="Times New Roman" w:hAnsi="Times New Roman" w:eastAsia="宋体" w:cs="Times New Roman"/>
                <w:color w:val="000000"/>
                <w:kern w:val="2"/>
                <w:sz w:val="24"/>
                <w:szCs w:val="24"/>
                <w:lang w:val="en-US" w:eastAsia="zh-CN" w:bidi="ar-SA"/>
              </w:rPr>
            </w:pPr>
          </w:p>
        </w:tc>
        <w:tc>
          <w:tcPr>
            <w:tcW w:w="13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0D2773">
            <w:pPr>
              <w:widowControl/>
              <w:spacing w:line="300" w:lineRule="exact"/>
              <w:jc w:val="center"/>
              <w:rPr>
                <w:rFonts w:hint="eastAsia" w:ascii="Times New Roman" w:hAnsi="Times New Roman" w:eastAsia="宋体" w:cs="Times New Roman"/>
                <w:color w:val="000000"/>
                <w:kern w:val="2"/>
                <w:sz w:val="24"/>
                <w:szCs w:val="24"/>
                <w:lang w:val="en-US" w:eastAsia="zh-CN" w:bidi="ar-SA"/>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C7516">
            <w:pPr>
              <w:widowControl/>
              <w:spacing w:line="300" w:lineRule="exact"/>
              <w:jc w:val="left"/>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时效指标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CB7DA">
            <w:pPr>
              <w:widowControl/>
              <w:spacing w:line="300" w:lineRule="exact"/>
              <w:jc w:val="left"/>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2024年</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5C654">
            <w:pPr>
              <w:widowControl/>
              <w:spacing w:line="300" w:lineRule="exact"/>
              <w:jc w:val="left"/>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57BBA">
            <w:pPr>
              <w:widowControl/>
              <w:spacing w:line="300" w:lineRule="exact"/>
              <w:jc w:val="left"/>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1</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A0A52">
            <w:pPr>
              <w:widowControl/>
              <w:spacing w:line="300" w:lineRule="exact"/>
              <w:jc w:val="left"/>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年</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362FE">
            <w:pPr>
              <w:widowControl/>
              <w:spacing w:line="300" w:lineRule="exact"/>
              <w:jc w:val="left"/>
              <w:rPr>
                <w:rFonts w:hint="eastAsia" w:ascii="Times New Roman" w:hAnsi="Times New Roman" w:eastAsia="宋体" w:cs="Times New Roman"/>
                <w:color w:val="000000"/>
                <w:kern w:val="2"/>
                <w:sz w:val="24"/>
                <w:szCs w:val="24"/>
                <w:lang w:val="en-US" w:eastAsia="zh-CN" w:bidi="ar-SA"/>
              </w:rPr>
            </w:pPr>
          </w:p>
        </w:tc>
      </w:tr>
      <w:tr w14:paraId="6257EF4B">
        <w:tblPrEx>
          <w:tblCellMar>
            <w:top w:w="15" w:type="dxa"/>
            <w:left w:w="15" w:type="dxa"/>
            <w:bottom w:w="15" w:type="dxa"/>
            <w:right w:w="15" w:type="dxa"/>
          </w:tblCellMar>
        </w:tblPrEx>
        <w:trPr>
          <w:trHeight w:val="462" w:hRule="atLeast"/>
          <w:jc w:val="center"/>
        </w:trPr>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6C2415">
            <w:pPr>
              <w:widowControl/>
              <w:spacing w:line="300" w:lineRule="exact"/>
              <w:jc w:val="center"/>
              <w:rPr>
                <w:rFonts w:hint="eastAsia" w:ascii="Times New Roman" w:hAnsi="Times New Roman" w:eastAsia="宋体" w:cs="Times New Roman"/>
                <w:color w:val="000000"/>
                <w:kern w:val="2"/>
                <w:sz w:val="24"/>
                <w:szCs w:val="24"/>
                <w:lang w:val="en-US" w:eastAsia="zh-CN" w:bidi="ar-SA"/>
              </w:rPr>
            </w:pPr>
          </w:p>
        </w:tc>
        <w:tc>
          <w:tcPr>
            <w:tcW w:w="13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8A28CD">
            <w:pPr>
              <w:widowControl/>
              <w:spacing w:line="300" w:lineRule="exact"/>
              <w:jc w:val="center"/>
              <w:rPr>
                <w:rFonts w:hint="eastAsia" w:ascii="Times New Roman" w:hAnsi="Times New Roman" w:eastAsia="宋体" w:cs="Times New Roman"/>
                <w:color w:val="000000"/>
                <w:kern w:val="2"/>
                <w:sz w:val="24"/>
                <w:szCs w:val="24"/>
                <w:lang w:val="en-US" w:eastAsia="zh-CN" w:bidi="ar-SA"/>
              </w:rPr>
            </w:pPr>
          </w:p>
        </w:tc>
        <w:tc>
          <w:tcPr>
            <w:tcW w:w="844" w:type="dxa"/>
            <w:tcBorders>
              <w:top w:val="single" w:color="000000" w:sz="4" w:space="0"/>
              <w:left w:val="single" w:color="000000" w:sz="4" w:space="0"/>
              <w:right w:val="single" w:color="000000" w:sz="4" w:space="0"/>
            </w:tcBorders>
            <w:shd w:val="clear" w:color="auto" w:fill="auto"/>
            <w:vAlign w:val="center"/>
          </w:tcPr>
          <w:p w14:paraId="6D99A318">
            <w:pPr>
              <w:widowControl/>
              <w:spacing w:line="300" w:lineRule="exact"/>
              <w:jc w:val="left"/>
              <w:rPr>
                <w:rFonts w:hint="eastAsia" w:ascii="Times New Roman" w:hAnsi="Times New Roman" w:eastAsia="宋体" w:cs="Times New Roman"/>
                <w:color w:val="000000"/>
                <w:kern w:val="2"/>
                <w:sz w:val="24"/>
                <w:szCs w:val="24"/>
                <w:lang w:val="en-US" w:eastAsia="zh-CN" w:bidi="ar-SA"/>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B24BD">
            <w:pPr>
              <w:widowControl/>
              <w:jc w:val="left"/>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推进信访法制工作建设，建立健全律师咨询、参与信访事项化解工作。</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20639">
            <w:pPr>
              <w:widowControl/>
              <w:jc w:val="left"/>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定性</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27BB6">
            <w:pPr>
              <w:widowControl/>
              <w:spacing w:line="300" w:lineRule="exact"/>
              <w:jc w:val="left"/>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100</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B7831">
            <w:pPr>
              <w:widowControl/>
              <w:spacing w:line="300" w:lineRule="exact"/>
              <w:jc w:val="left"/>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364B7">
            <w:pPr>
              <w:widowControl/>
              <w:spacing w:line="300" w:lineRule="exact"/>
              <w:jc w:val="left"/>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100</w:t>
            </w:r>
          </w:p>
        </w:tc>
      </w:tr>
      <w:tr w14:paraId="59AC6914">
        <w:tblPrEx>
          <w:tblCellMar>
            <w:top w:w="15" w:type="dxa"/>
            <w:left w:w="15" w:type="dxa"/>
            <w:bottom w:w="15" w:type="dxa"/>
            <w:right w:w="15" w:type="dxa"/>
          </w:tblCellMar>
        </w:tblPrEx>
        <w:trPr>
          <w:trHeight w:val="822" w:hRule="atLeast"/>
          <w:jc w:val="center"/>
        </w:trPr>
        <w:tc>
          <w:tcPr>
            <w:tcW w:w="13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ECD6FE">
            <w:pPr>
              <w:widowControl/>
              <w:spacing w:line="300" w:lineRule="exact"/>
              <w:jc w:val="center"/>
              <w:rPr>
                <w:rFonts w:hint="eastAsia" w:ascii="Times New Roman" w:hAnsi="Times New Roman" w:eastAsia="宋体" w:cs="Times New Roman"/>
                <w:color w:val="000000"/>
                <w:kern w:val="2"/>
                <w:sz w:val="24"/>
                <w:szCs w:val="24"/>
                <w:lang w:val="en-US" w:eastAsia="zh-CN" w:bidi="ar-SA"/>
              </w:rPr>
            </w:pPr>
          </w:p>
        </w:tc>
        <w:tc>
          <w:tcPr>
            <w:tcW w:w="1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68CCD">
            <w:pPr>
              <w:widowControl/>
              <w:spacing w:line="300" w:lineRule="exact"/>
              <w:jc w:val="center"/>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满意度指标</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9B8F4">
            <w:pPr>
              <w:widowControl/>
              <w:spacing w:line="300" w:lineRule="exact"/>
              <w:jc w:val="left"/>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满意度指标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3ED1E">
            <w:pPr>
              <w:widowControl/>
              <w:jc w:val="left"/>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信访事项处理满意率</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FEBE9">
            <w:pPr>
              <w:widowControl/>
              <w:jc w:val="left"/>
              <w:textAlignment w:val="center"/>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w:t>
            </w:r>
          </w:p>
        </w:tc>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085BD">
            <w:pPr>
              <w:widowControl/>
              <w:spacing w:line="300" w:lineRule="exact"/>
              <w:jc w:val="left"/>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95</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0BFF4">
            <w:pPr>
              <w:widowControl/>
              <w:spacing w:line="300" w:lineRule="exact"/>
              <w:jc w:val="left"/>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D4A47">
            <w:pPr>
              <w:widowControl/>
              <w:spacing w:line="300" w:lineRule="exact"/>
              <w:jc w:val="left"/>
              <w:rPr>
                <w:rFonts w:hint="eastAsia"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95</w:t>
            </w:r>
          </w:p>
        </w:tc>
      </w:tr>
    </w:tbl>
    <w:p w14:paraId="11666940">
      <w:pPr>
        <w:pStyle w:val="8"/>
        <w:spacing w:line="560" w:lineRule="exact"/>
        <w:ind w:left="0" w:leftChars="0" w:firstLine="0" w:firstLineChars="0"/>
        <w:rPr>
          <w:rFonts w:hint="eastAsia" w:ascii="Times New Roman" w:hAnsi="Times New Roman" w:eastAsia="宋体" w:cs="Times New Roman"/>
          <w:color w:val="000000"/>
          <w:kern w:val="2"/>
          <w:sz w:val="24"/>
          <w:szCs w:val="24"/>
          <w:lang w:val="zh-CN" w:eastAsia="zh-CN" w:bidi="ar-SA"/>
        </w:rPr>
      </w:pPr>
    </w:p>
    <w:p w14:paraId="321ED768">
      <w:pPr>
        <w:pStyle w:val="6"/>
        <w:spacing w:before="93"/>
        <w:rPr>
          <w:rFonts w:hint="eastAsia" w:ascii="Times New Roman" w:hAnsi="Times New Roman" w:eastAsia="宋体" w:cs="Times New Roman"/>
          <w:color w:val="000000"/>
          <w:kern w:val="2"/>
          <w:sz w:val="24"/>
          <w:szCs w:val="24"/>
          <w:lang w:val="zh-CN" w:eastAsia="zh-CN" w:bidi="ar-SA"/>
        </w:rPr>
      </w:pPr>
    </w:p>
    <w:p w14:paraId="2B234AA2">
      <w:pPr>
        <w:rPr>
          <w:rFonts w:eastAsia="黑体" w:cs="黑体"/>
          <w:kern w:val="0"/>
          <w:sz w:val="32"/>
          <w:szCs w:val="32"/>
          <w:shd w:val="clear" w:color="auto" w:fill="FFFFFF"/>
          <w:lang w:val="zh-CN"/>
        </w:rPr>
      </w:pPr>
      <w:r>
        <w:rPr>
          <w:rFonts w:hint="eastAsia" w:ascii="Times New Roman" w:hAnsi="Times New Roman" w:eastAsia="宋体" w:cs="Times New Roman"/>
          <w:color w:val="000000"/>
          <w:kern w:val="2"/>
          <w:sz w:val="24"/>
          <w:szCs w:val="24"/>
          <w:lang w:val="zh-CN" w:eastAsia="zh-CN" w:bidi="ar-SA"/>
        </w:rPr>
        <w:br w:type="page"/>
      </w:r>
    </w:p>
    <w:p w14:paraId="6D5143AF">
      <w:pPr>
        <w:pStyle w:val="6"/>
        <w:spacing w:before="93"/>
        <w:rPr>
          <w:rFonts w:hint="eastAsia" w:ascii="Times New Roman" w:eastAsia="黑体" w:cs="黑体"/>
          <w:sz w:val="32"/>
          <w:szCs w:val="32"/>
          <w:shd w:val="clear" w:color="auto" w:fill="FFFFFF"/>
        </w:rPr>
      </w:pPr>
      <w:r>
        <w:rPr>
          <w:rFonts w:hint="eastAsia" w:ascii="Times New Roman" w:eastAsia="黑体" w:cs="黑体"/>
          <w:sz w:val="32"/>
          <w:szCs w:val="32"/>
          <w:shd w:val="clear" w:color="auto" w:fill="FFFFFF"/>
          <w:lang w:val="zh-CN"/>
        </w:rPr>
        <w:t>附件</w:t>
      </w:r>
      <w:r>
        <w:rPr>
          <w:rFonts w:hint="eastAsia" w:ascii="Times New Roman" w:eastAsia="黑体" w:cs="黑体"/>
          <w:sz w:val="32"/>
          <w:szCs w:val="32"/>
          <w:shd w:val="clear" w:color="auto" w:fill="FFFFFF"/>
        </w:rPr>
        <w:t>2</w:t>
      </w:r>
    </w:p>
    <w:p w14:paraId="6B8781B9">
      <w:pPr>
        <w:pStyle w:val="6"/>
        <w:spacing w:before="93"/>
        <w:rPr>
          <w:rFonts w:hint="eastAsia" w:ascii="Times New Roman" w:eastAsia="黑体" w:cs="黑体"/>
          <w:sz w:val="32"/>
          <w:szCs w:val="32"/>
          <w:shd w:val="clear" w:color="auto" w:fill="FFFFFF"/>
          <w:lang w:val="en-US"/>
        </w:rPr>
      </w:pPr>
    </w:p>
    <w:p w14:paraId="2C44D413">
      <w:pPr>
        <w:pStyle w:val="35"/>
        <w:spacing w:line="600" w:lineRule="exact"/>
        <w:ind w:left="420"/>
        <w:jc w:val="center"/>
        <w:rPr>
          <w:rFonts w:ascii="方正小标宋_GBK" w:hAnsi="Times New Roman" w:eastAsia="方正小标宋_GBK"/>
          <w:color w:val="auto"/>
          <w:kern w:val="2"/>
          <w:sz w:val="44"/>
          <w:szCs w:val="44"/>
          <w:lang w:val="en-US"/>
        </w:rPr>
      </w:pPr>
      <w:r>
        <w:rPr>
          <w:rFonts w:hint="eastAsia" w:ascii="方正小标宋_GBK" w:hAnsi="Times New Roman" w:eastAsia="方正小标宋_GBK"/>
          <w:color w:val="auto"/>
          <w:kern w:val="2"/>
          <w:sz w:val="44"/>
          <w:szCs w:val="44"/>
          <w:lang w:val="en-US"/>
        </w:rPr>
        <w:t>2024年度</w:t>
      </w:r>
      <w:r>
        <w:rPr>
          <w:rFonts w:hint="eastAsia" w:ascii="方正小标宋_GBK" w:eastAsia="方正小标宋_GBK"/>
          <w:sz w:val="44"/>
          <w:szCs w:val="44"/>
        </w:rPr>
        <w:t>专项预算项目绩效自评报告</w:t>
      </w:r>
    </w:p>
    <w:p w14:paraId="254F29D1">
      <w:pPr>
        <w:pStyle w:val="35"/>
        <w:spacing w:line="578" w:lineRule="exact"/>
        <w:ind w:firstLine="640"/>
        <w:jc w:val="center"/>
        <w:rPr>
          <w:rFonts w:ascii="仿宋_GB2312" w:hAnsi="仿宋_GB2312" w:eastAsia="仿宋_GB2312" w:cs="仿宋_GB2312"/>
          <w:color w:val="auto"/>
          <w:kern w:val="2"/>
          <w:sz w:val="32"/>
          <w:szCs w:val="32"/>
          <w:lang w:val="en-US"/>
        </w:rPr>
      </w:pPr>
    </w:p>
    <w:p w14:paraId="3DA3B0B6">
      <w:pPr>
        <w:keepNext w:val="0"/>
        <w:keepLines w:val="0"/>
        <w:pageBreakBefore w:val="0"/>
        <w:numPr>
          <w:ilvl w:val="0"/>
          <w:numId w:val="3"/>
        </w:numPr>
        <w:kinsoku/>
        <w:wordWrap/>
        <w:overflowPunct/>
        <w:topLinePunct w:val="0"/>
        <w:autoSpaceDE/>
        <w:autoSpaceDN/>
        <w:bidi w:val="0"/>
        <w:adjustRightInd w:val="0"/>
        <w:snapToGrid w:val="0"/>
        <w:spacing w:beforeAutospacing="0" w:afterAutospacing="0" w:line="560" w:lineRule="exact"/>
        <w:ind w:left="0" w:leftChars="0" w:firstLine="640" w:firstLineChars="200"/>
        <w:textAlignment w:val="auto"/>
        <w:rPr>
          <w:rFonts w:hint="eastAsia" w:ascii="黑体" w:hAnsi="黑体" w:eastAsia="黑体" w:cs="黑体"/>
          <w:sz w:val="32"/>
          <w:szCs w:val="32"/>
          <w:lang w:val="zh-CN"/>
        </w:rPr>
      </w:pPr>
      <w:r>
        <w:rPr>
          <w:rFonts w:hint="eastAsia" w:ascii="黑体" w:hAnsi="黑体" w:eastAsia="黑体" w:cs="黑体"/>
          <w:sz w:val="32"/>
          <w:szCs w:val="32"/>
          <w:lang w:val="zh-CN"/>
        </w:rPr>
        <w:t>项目概况</w:t>
      </w:r>
    </w:p>
    <w:p w14:paraId="6BDD7A29">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leftChars="200"/>
        <w:textAlignment w:val="auto"/>
        <w:rPr>
          <w:rFonts w:hint="eastAsia" w:ascii="仿宋_GB2312" w:hAnsi="仿宋_GB2312" w:eastAsia="楷体_GB2312" w:cs="仿宋_GB2312"/>
          <w:b w:val="0"/>
          <w:bCs w:val="0"/>
          <w:color w:val="000000"/>
          <w:kern w:val="0"/>
          <w:sz w:val="32"/>
          <w:szCs w:val="32"/>
          <w:shd w:val="clear" w:color="auto" w:fill="FFFFFF"/>
          <w:lang w:val="zh-CN" w:eastAsia="zh-CN" w:bidi="ar-SA"/>
        </w:rPr>
      </w:pPr>
      <w:r>
        <w:rPr>
          <w:rFonts w:hint="eastAsia" w:ascii="仿宋_GB2312" w:hAnsi="仿宋_GB2312" w:eastAsia="楷体_GB2312" w:cs="仿宋_GB2312"/>
          <w:b w:val="0"/>
          <w:bCs w:val="0"/>
          <w:color w:val="000000"/>
          <w:kern w:val="0"/>
          <w:sz w:val="32"/>
          <w:szCs w:val="32"/>
          <w:shd w:val="clear" w:color="auto" w:fill="FFFFFF"/>
          <w:lang w:val="zh-CN" w:eastAsia="zh-CN" w:bidi="ar-SA"/>
        </w:rPr>
        <w:t>（一）项目基本情况</w:t>
      </w:r>
    </w:p>
    <w:p w14:paraId="21C50284">
      <w:pPr>
        <w:keepNext w:val="0"/>
        <w:keepLines w:val="0"/>
        <w:pageBreakBefore w:val="0"/>
        <w:kinsoku/>
        <w:wordWrap/>
        <w:overflowPunct/>
        <w:topLinePunct w:val="0"/>
        <w:autoSpaceDE/>
        <w:autoSpaceDN/>
        <w:bidi w:val="0"/>
        <w:spacing w:beforeAutospacing="0" w:afterAutospacing="0" w:line="560" w:lineRule="exact"/>
        <w:ind w:left="0" w:leftChars="0" w:firstLine="643" w:firstLineChars="200"/>
        <w:textAlignment w:val="auto"/>
        <w:rPr>
          <w:rFonts w:hint="eastAsia" w:ascii="仿宋_GB2312" w:eastAsia="仿宋_GB2312"/>
          <w:kern w:val="0"/>
          <w:sz w:val="32"/>
          <w:szCs w:val="32"/>
          <w:shd w:val="clear" w:color="auto" w:fill="FFFFFF"/>
        </w:rPr>
      </w:pPr>
      <w:r>
        <w:rPr>
          <w:rFonts w:hint="eastAsia" w:ascii="仿宋_GB2312" w:eastAsia="仿宋_GB2312"/>
          <w:b/>
          <w:kern w:val="0"/>
          <w:sz w:val="32"/>
          <w:szCs w:val="32"/>
          <w:shd w:val="clear" w:color="auto" w:fill="FFFFFF"/>
        </w:rPr>
        <w:t>1.县信访局项目管理职能。</w:t>
      </w:r>
      <w:r>
        <w:rPr>
          <w:rFonts w:hint="eastAsia" w:ascii="仿宋_GB2312" w:eastAsia="仿宋_GB2312"/>
          <w:kern w:val="0"/>
          <w:sz w:val="32"/>
          <w:szCs w:val="32"/>
          <w:shd w:val="clear" w:color="auto" w:fill="FFFFFF"/>
        </w:rPr>
        <w:t>县信访局</w:t>
      </w:r>
      <w:r>
        <w:rPr>
          <w:rFonts w:hint="eastAsia" w:ascii="仿宋_GB2312" w:eastAsia="仿宋_GB2312"/>
          <w:kern w:val="0"/>
          <w:sz w:val="32"/>
          <w:szCs w:val="32"/>
          <w:shd w:val="clear" w:color="auto" w:fill="FFFFFF"/>
          <w:lang w:val="zh-CN"/>
        </w:rPr>
        <w:t>承担县信访工作联席会议办公室日常工作。承担本部门规范性文件合法性审查、备案和清理；负责办理网上投诉信访事项。综合分析网上信访情况，提出工作建议。承担全县信访信息系统、四川省网上信访信息系统、各级党政领导信箱、人民网地方领导人留言、县信访局门户网站等应用系统的建设、运行、维护工作。承担网上信访相关业务的推广应用培训工作。办理上级转办交办的来信事项和群众给县委、县政府领导来信。承担社情民意的汇集分析工作，提出工作建议。承担县政府信访事项复查委员会办公室日常工作，负责接待群众到县委、县政府来访，综合分析来访情况提出工作建议。承办上级转办、交办来访事项，协助县领导开展接访下访工作。负责重大活动、重要会议等敏感时段的值班值守工作。组织协调进京赴省到市到县非接待场所有关人员</w:t>
      </w:r>
      <w:r>
        <w:rPr>
          <w:rFonts w:hint="eastAsia" w:ascii="仿宋_GB2312" w:eastAsia="仿宋_GB2312"/>
          <w:kern w:val="0"/>
          <w:sz w:val="32"/>
          <w:szCs w:val="32"/>
          <w:shd w:val="clear" w:color="auto" w:fill="FFFFFF"/>
        </w:rPr>
        <w:t>接访劝返协调处理工作。</w:t>
      </w:r>
    </w:p>
    <w:p w14:paraId="306796CE">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3"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b/>
          <w:bCs/>
          <w:kern w:val="0"/>
          <w:sz w:val="32"/>
          <w:szCs w:val="32"/>
          <w:shd w:val="clear" w:color="auto" w:fill="FFFFFF"/>
          <w:lang w:val="zh-CN"/>
        </w:rPr>
        <w:t>2.立项、资金申报依据。</w:t>
      </w:r>
      <w:r>
        <w:rPr>
          <w:rFonts w:hint="eastAsia" w:ascii="仿宋_GB2312" w:eastAsia="仿宋_GB2312"/>
          <w:kern w:val="0"/>
          <w:sz w:val="32"/>
          <w:szCs w:val="32"/>
          <w:shd w:val="clear" w:color="auto" w:fill="FFFFFF"/>
          <w:lang w:val="zh-CN"/>
        </w:rPr>
        <w:t>根据信访工作需要，信访局承办上级转办、交办来访事项，协助县领导开展接访下访工作。负责重大活动、重要会议等敏感时段的值班值守工作。组织协调进京赴省到市到县非接待场所有关人员接访劝返协调处理工作。做好群众来信来访、网络投诉等基础信访业务工作，按规定及时办理各类信访案件，加强信访法治化建设，提高信访事项“三率”巩固“两降两升”；开展矛盾纠纷排查和信访积案化解，做好群众到县到市到省进京上访的劝返处置和“两会”、特殊敏感时期的信访维稳工作， 对诉求合理的信访积案逐步化解，对生活困难的信访人给予帮扶救助，对诉求无理的信访人进行教育疏导稳控，防止发生越级访、集体访、非访和极端恶性事件。</w:t>
      </w:r>
    </w:p>
    <w:p w14:paraId="21FDE10C">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3"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b/>
          <w:bCs/>
          <w:kern w:val="0"/>
          <w:sz w:val="32"/>
          <w:szCs w:val="32"/>
          <w:shd w:val="clear" w:color="auto" w:fill="FFFFFF"/>
          <w:lang w:val="zh-CN"/>
        </w:rPr>
        <w:t>3.资金管理办法制定、支持具体项目条件、范围、支持方式。</w:t>
      </w:r>
      <w:r>
        <w:rPr>
          <w:rFonts w:hint="eastAsia" w:ascii="仿宋_GB2312" w:eastAsia="仿宋_GB2312"/>
          <w:kern w:val="0"/>
          <w:sz w:val="32"/>
          <w:szCs w:val="32"/>
          <w:shd w:val="clear" w:color="auto" w:fill="FFFFFF"/>
          <w:lang w:val="zh-CN"/>
        </w:rPr>
        <w:t xml:space="preserve"> 资金使用按照财务管理制度执行，重点资金使用中坚持责任部门提出申请，信访局经局务会研究提出具体方案后报请上级分管领导审批再支出的管理方式。重点用于一些无责任主体信访案件等诉求合理但无相应政策规定的、生活确有困难的信访人，根据“三到位一处理”的要求，本着实事求是、解决问题的原则，给予适当救助，做到解决、帮扶到位。将特殊疑难信访积案及时主动化解，信访人息诉罢访、案结事了。</w:t>
      </w:r>
    </w:p>
    <w:p w14:paraId="79834F60">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3"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b/>
          <w:bCs/>
          <w:kern w:val="0"/>
          <w:sz w:val="32"/>
          <w:szCs w:val="32"/>
          <w:shd w:val="clear" w:color="auto" w:fill="FFFFFF"/>
          <w:lang w:val="zh-CN"/>
        </w:rPr>
        <w:t>4.资金分配原则及考虑因素。</w:t>
      </w:r>
      <w:r>
        <w:rPr>
          <w:rFonts w:hint="eastAsia" w:ascii="仿宋_GB2312" w:eastAsia="仿宋_GB2312"/>
          <w:kern w:val="0"/>
          <w:sz w:val="32"/>
          <w:szCs w:val="32"/>
          <w:shd w:val="clear" w:color="auto" w:fill="FFFFFF"/>
          <w:lang w:val="zh-CN"/>
        </w:rPr>
        <w:t>根据各乡镇、部门涉及的信访事项按照信访积案较多的乡镇重点支持，重点关注长期未化解的特殊疑难信访案件，中央、省市督查督办信访案件。</w:t>
      </w:r>
    </w:p>
    <w:p w14:paraId="4E624886">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leftChars="200"/>
        <w:textAlignment w:val="auto"/>
        <w:rPr>
          <w:rFonts w:hint="eastAsia" w:ascii="仿宋_GB2312" w:hAnsi="仿宋_GB2312" w:eastAsia="楷体_GB2312" w:cs="仿宋_GB2312"/>
          <w:b w:val="0"/>
          <w:bCs w:val="0"/>
          <w:color w:val="000000"/>
          <w:kern w:val="0"/>
          <w:sz w:val="32"/>
          <w:szCs w:val="32"/>
          <w:shd w:val="clear" w:color="auto" w:fill="FFFFFF"/>
          <w:lang w:val="zh-CN" w:eastAsia="zh-CN" w:bidi="ar-SA"/>
        </w:rPr>
      </w:pPr>
      <w:r>
        <w:rPr>
          <w:rFonts w:hint="eastAsia" w:ascii="仿宋_GB2312" w:hAnsi="仿宋_GB2312" w:eastAsia="楷体_GB2312" w:cs="仿宋_GB2312"/>
          <w:b w:val="0"/>
          <w:bCs w:val="0"/>
          <w:color w:val="000000"/>
          <w:kern w:val="0"/>
          <w:sz w:val="32"/>
          <w:szCs w:val="32"/>
          <w:shd w:val="clear" w:color="auto" w:fill="FFFFFF"/>
          <w:lang w:val="zh-CN" w:eastAsia="zh-CN" w:bidi="ar-SA"/>
        </w:rPr>
        <w:t>（二）项目绩效目标</w:t>
      </w:r>
    </w:p>
    <w:p w14:paraId="4BC3DD86">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3"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b/>
          <w:bCs/>
          <w:kern w:val="0"/>
          <w:sz w:val="32"/>
          <w:szCs w:val="32"/>
          <w:shd w:val="clear" w:color="auto" w:fill="FFFFFF"/>
          <w:lang w:val="zh-CN"/>
        </w:rPr>
        <w:t>1.项目主要内容。</w:t>
      </w:r>
    </w:p>
    <w:p w14:paraId="3FA872A3">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1）项目主要内容是做好群众来信来访，网络投诉等基础信访业务工作，信访群众依法依规解决信访诉求，提高信访事项“三率”巩固“两降两升”政府部门对网络信访工作的高度重视，建立多功能、多形式、多渠道的信访网络平台弥补传统信访方式的缺陷，满足人民群众的信访要求，可以有效避免信访工作中人为因素的干扰，为群众信访的绿色通道。符合中央、省、市维稳的要求和决策部署，负责上访群众到县到市到省进京上访劝返处置，有效预防和及时化解、防止极端恶性和群体性事件发生。推进信访法制工作建设，建立健全律师咨询、参与信访事项化解工作。</w:t>
      </w:r>
    </w:p>
    <w:p w14:paraId="0EA179EF">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（2）项目具体目标任务。</w:t>
      </w:r>
    </w:p>
    <w:p w14:paraId="3DAC45BE">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数量目标：进京进省信访工作值班2批、特殊疑难信访事项维稳化解、成都信访工作站负责盐边县在成都的信访维稳、人才引进、招商引资及与省级部门联系等相关工作。</w:t>
      </w:r>
    </w:p>
    <w:p w14:paraId="4286A6AC">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质量目标：维护依法上访秩序、有效预防和及时化解、防止极端恶性和群体性事件发生。</w:t>
      </w:r>
    </w:p>
    <w:p w14:paraId="0496205B">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时效目标：2024年</w:t>
      </w:r>
    </w:p>
    <w:p w14:paraId="6791B569">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成本目标：预算编制、财务支出合理、可控。</w:t>
      </w:r>
    </w:p>
    <w:p w14:paraId="30588400">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3）项目应实现的具体绩效目标。做好群众来信来访，网络投诉等基础信访业务工作，引导信访群众依法解决信访诉求，提高信访事项“三率”巩固“两降两升”建立多功能、多形式、多渠道的信访网络平台弥补传统信访方式的缺陷，满足人民群众的信访要求，畅通群众信访绿色通道。按照上级维稳的要求和决策部署，负责上访群众到县到市到省进京上访劝返处置，有效预防和及时化解、防止极端恶性和群体性事件发生。推进信访法制工作建设，建立健全律师咨询、参与信访事项化解工作。推动心理咨询师参与化解信访事项工作，进一步为群众服务，促进社会和谐稳定。加强信访接待场所安保措施，有序安全开展接访工作。除了正常的信访事项化解工作以外，每年均有部分特殊疑难信访案件的化解存在，多为无责任主体、无政策依据支持但又确实严重影响上访群众生活水平的信访事项，因为此类信访案情况复杂，常常导致成为重复信访积案、上级督办案件，因此做好此类信访案的化解工作是信访工作的重要部分。通过困难救助、就地稳控、途中劝返等化解方式，进一步提高信访事项“三率”巩固“两降两升”有效预防和及时化解、防止极端恶性和群体性事件发生。2024年拟进一步规范全县信访积案、特殊疑难信访案件化解资金集中使用，更好地完成年度信访工作目标。信访局派工作人员进京负责全市群众到京上访的劝返处置协助工作。在省政府值班两个月，每期1人。在值班期间规范攀枝花市群众进京进省上访行为，维护依法上访秩序，协助公安机关依法处置非法上访事项，预防和及时化解极端恶性事件发生。</w:t>
      </w:r>
      <w:r>
        <w:rPr>
          <w:rFonts w:hint="eastAsia" w:ascii="仿宋_GB2312" w:eastAsia="仿宋_GB2312"/>
          <w:kern w:val="0"/>
          <w:sz w:val="32"/>
          <w:szCs w:val="32"/>
          <w:shd w:val="clear" w:color="auto" w:fill="FFFFFF"/>
          <w:lang w:val="zh-CN"/>
        </w:rPr>
        <w:tab/>
      </w:r>
      <w:r>
        <w:rPr>
          <w:rFonts w:hint="eastAsia" w:ascii="仿宋_GB2312" w:eastAsia="仿宋_GB2312"/>
          <w:kern w:val="0"/>
          <w:sz w:val="32"/>
          <w:szCs w:val="32"/>
          <w:shd w:val="clear" w:color="auto" w:fill="FFFFFF"/>
          <w:lang w:val="zh-CN"/>
        </w:rPr>
        <w:tab/>
      </w:r>
      <w:r>
        <w:rPr>
          <w:rFonts w:hint="eastAsia" w:ascii="仿宋_GB2312" w:eastAsia="仿宋_GB2312"/>
          <w:kern w:val="0"/>
          <w:sz w:val="32"/>
          <w:szCs w:val="32"/>
          <w:shd w:val="clear" w:color="auto" w:fill="FFFFFF"/>
          <w:lang w:val="zh-CN"/>
        </w:rPr>
        <w:tab/>
      </w:r>
    </w:p>
    <w:p w14:paraId="1AE4A4E7">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（4）申报内容与工作年度计划相符，申报目标合理可行。全年按时按质完成各项工作目标任务，有效维护全县社会和谐稳定。</w:t>
      </w:r>
    </w:p>
    <w:p w14:paraId="12276FF7">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leftChars="200"/>
        <w:textAlignment w:val="auto"/>
        <w:rPr>
          <w:rFonts w:hint="eastAsia" w:ascii="仿宋_GB2312" w:hAnsi="仿宋_GB2312" w:eastAsia="楷体_GB2312" w:cs="仿宋_GB2312"/>
          <w:b w:val="0"/>
          <w:bCs w:val="0"/>
          <w:color w:val="000000"/>
          <w:kern w:val="0"/>
          <w:sz w:val="32"/>
          <w:szCs w:val="32"/>
          <w:shd w:val="clear" w:color="auto" w:fill="FFFFFF"/>
          <w:lang w:val="zh-CN" w:eastAsia="zh-CN" w:bidi="ar-SA"/>
        </w:rPr>
      </w:pPr>
      <w:r>
        <w:rPr>
          <w:rFonts w:hint="eastAsia" w:ascii="仿宋_GB2312" w:hAnsi="仿宋_GB2312" w:eastAsia="楷体_GB2312" w:cs="仿宋_GB2312"/>
          <w:b w:val="0"/>
          <w:bCs w:val="0"/>
          <w:color w:val="000000"/>
          <w:kern w:val="0"/>
          <w:sz w:val="32"/>
          <w:szCs w:val="32"/>
          <w:shd w:val="clear" w:color="auto" w:fill="FFFFFF"/>
          <w:lang w:val="zh-CN" w:eastAsia="zh-CN" w:bidi="ar-SA"/>
        </w:rPr>
        <w:t>（三）项目自评步骤及方法</w:t>
      </w:r>
    </w:p>
    <w:p w14:paraId="0771F82C">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由项目负责人根据项目绩效申报指标逐个核对、比对，是否完成申报指标，计算完成率。</w:t>
      </w:r>
    </w:p>
    <w:p w14:paraId="0C0E0800">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黑体" w:hAnsi="黑体" w:eastAsia="黑体" w:cs="黑体"/>
          <w:kern w:val="0"/>
          <w:sz w:val="32"/>
          <w:szCs w:val="32"/>
          <w:shd w:val="clear" w:color="auto" w:fill="FFFFFF"/>
          <w:lang w:val="zh-CN"/>
        </w:rPr>
      </w:pPr>
      <w:r>
        <w:rPr>
          <w:rFonts w:hint="eastAsia" w:ascii="黑体" w:hAnsi="黑体" w:eastAsia="黑体" w:cs="黑体"/>
          <w:kern w:val="0"/>
          <w:sz w:val="32"/>
          <w:szCs w:val="32"/>
          <w:shd w:val="clear" w:color="auto" w:fill="FFFFFF"/>
          <w:lang w:val="zh-CN"/>
        </w:rPr>
        <w:t>二、项目资金申报及使用情况</w:t>
      </w:r>
    </w:p>
    <w:p w14:paraId="6B3C78AE">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leftChars="200"/>
        <w:textAlignment w:val="auto"/>
        <w:rPr>
          <w:rFonts w:hint="eastAsia" w:ascii="仿宋_GB2312" w:hAnsi="仿宋_GB2312" w:eastAsia="楷体_GB2312" w:cs="仿宋_GB2312"/>
          <w:b w:val="0"/>
          <w:bCs w:val="0"/>
          <w:color w:val="000000"/>
          <w:kern w:val="0"/>
          <w:sz w:val="32"/>
          <w:szCs w:val="32"/>
          <w:shd w:val="clear" w:color="auto" w:fill="FFFFFF"/>
          <w:lang w:val="zh-CN" w:eastAsia="zh-CN" w:bidi="ar-SA"/>
        </w:rPr>
      </w:pPr>
      <w:r>
        <w:rPr>
          <w:rFonts w:hint="eastAsia" w:ascii="仿宋_GB2312" w:hAnsi="仿宋_GB2312" w:eastAsia="楷体_GB2312" w:cs="仿宋_GB2312"/>
          <w:b w:val="0"/>
          <w:bCs w:val="0"/>
          <w:color w:val="000000"/>
          <w:kern w:val="0"/>
          <w:sz w:val="32"/>
          <w:szCs w:val="32"/>
          <w:shd w:val="clear" w:color="auto" w:fill="FFFFFF"/>
          <w:lang w:val="zh-CN" w:eastAsia="zh-CN" w:bidi="ar-SA"/>
        </w:rPr>
        <w:t>（一）项目资金申报及批复情况</w:t>
      </w:r>
    </w:p>
    <w:p w14:paraId="712099D3">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该项目资金在年初预算时纳入预算申报，盐财资预</w:t>
      </w:r>
      <w:r>
        <w:rPr>
          <w:rFonts w:hint="eastAsia" w:ascii="仿宋_GB2312" w:hAnsi="仿宋_GB2312" w:eastAsia="仿宋_GB2312" w:cs="仿宋_GB2312"/>
          <w:kern w:val="0"/>
          <w:sz w:val="32"/>
          <w:szCs w:val="32"/>
          <w:shd w:val="clear" w:color="auto" w:fill="FFFFFF"/>
          <w:lang w:val="zh-CN"/>
        </w:rPr>
        <w:t>〔</w:t>
      </w:r>
      <w:r>
        <w:rPr>
          <w:rFonts w:hint="eastAsia" w:ascii="仿宋_GB2312" w:eastAsia="仿宋_GB2312"/>
          <w:kern w:val="0"/>
          <w:sz w:val="32"/>
          <w:szCs w:val="32"/>
          <w:shd w:val="clear" w:color="auto" w:fill="FFFFFF"/>
          <w:lang w:val="zh-CN"/>
        </w:rPr>
        <w:t>2024</w:t>
      </w:r>
      <w:r>
        <w:rPr>
          <w:rFonts w:hint="eastAsia" w:ascii="仿宋_GB2312" w:hAnsi="仿宋_GB2312" w:eastAsia="仿宋_GB2312" w:cs="仿宋_GB2312"/>
          <w:kern w:val="0"/>
          <w:sz w:val="32"/>
          <w:szCs w:val="32"/>
          <w:shd w:val="clear" w:color="auto" w:fill="FFFFFF"/>
          <w:lang w:val="zh-CN"/>
        </w:rPr>
        <w:t>〕</w:t>
      </w:r>
      <w:bookmarkStart w:id="61" w:name="_GoBack"/>
      <w:bookmarkEnd w:id="61"/>
      <w:r>
        <w:rPr>
          <w:rFonts w:hint="eastAsia" w:ascii="仿宋_GB2312" w:eastAsia="仿宋_GB2312"/>
          <w:kern w:val="0"/>
          <w:sz w:val="32"/>
          <w:szCs w:val="32"/>
          <w:shd w:val="clear" w:color="auto" w:fill="FFFFFF"/>
          <w:lang w:val="zh-CN"/>
        </w:rPr>
        <w:t>22号、盐财资预</w:t>
      </w:r>
      <w:r>
        <w:rPr>
          <w:rFonts w:hint="eastAsia" w:ascii="仿宋_GB2312" w:hAnsi="仿宋_GB2312" w:eastAsia="仿宋_GB2312" w:cs="仿宋_GB2312"/>
          <w:kern w:val="0"/>
          <w:sz w:val="32"/>
          <w:szCs w:val="32"/>
          <w:shd w:val="clear" w:color="auto" w:fill="FFFFFF"/>
          <w:lang w:val="zh-CN"/>
        </w:rPr>
        <w:t>〔</w:t>
      </w:r>
      <w:r>
        <w:rPr>
          <w:rFonts w:hint="eastAsia" w:ascii="仿宋_GB2312" w:eastAsia="仿宋_GB2312"/>
          <w:kern w:val="0"/>
          <w:sz w:val="32"/>
          <w:szCs w:val="32"/>
          <w:shd w:val="clear" w:color="auto" w:fill="FFFFFF"/>
          <w:lang w:val="zh-CN"/>
        </w:rPr>
        <w:t>2024</w:t>
      </w:r>
      <w:r>
        <w:rPr>
          <w:rFonts w:hint="eastAsia" w:ascii="仿宋_GB2312" w:hAnsi="仿宋_GB2312" w:eastAsia="仿宋_GB2312" w:cs="仿宋_GB2312"/>
          <w:kern w:val="0"/>
          <w:sz w:val="32"/>
          <w:szCs w:val="32"/>
          <w:shd w:val="clear" w:color="auto" w:fill="FFFFFF"/>
          <w:lang w:val="zh-CN"/>
        </w:rPr>
        <w:t>〕</w:t>
      </w:r>
      <w:r>
        <w:rPr>
          <w:rFonts w:hint="eastAsia" w:ascii="仿宋_GB2312" w:eastAsia="仿宋_GB2312"/>
          <w:kern w:val="0"/>
          <w:sz w:val="32"/>
          <w:szCs w:val="32"/>
          <w:shd w:val="clear" w:color="auto" w:fill="FFFFFF"/>
          <w:lang w:val="zh-CN"/>
        </w:rPr>
        <w:t>41号及盐财资行</w:t>
      </w:r>
      <w:r>
        <w:rPr>
          <w:rFonts w:hint="eastAsia" w:ascii="仿宋_GB2312" w:hAnsi="仿宋_GB2312" w:eastAsia="仿宋_GB2312" w:cs="仿宋_GB2312"/>
          <w:kern w:val="0"/>
          <w:sz w:val="32"/>
          <w:szCs w:val="32"/>
          <w:shd w:val="clear" w:color="auto" w:fill="FFFFFF"/>
          <w:lang w:val="zh-CN"/>
        </w:rPr>
        <w:t>〔</w:t>
      </w:r>
      <w:r>
        <w:rPr>
          <w:rFonts w:hint="eastAsia" w:ascii="仿宋_GB2312" w:eastAsia="仿宋_GB2312"/>
          <w:kern w:val="0"/>
          <w:sz w:val="32"/>
          <w:szCs w:val="32"/>
          <w:shd w:val="clear" w:color="auto" w:fill="FFFFFF"/>
          <w:lang w:val="zh-CN"/>
        </w:rPr>
        <w:t>2024</w:t>
      </w:r>
      <w:r>
        <w:rPr>
          <w:rFonts w:hint="eastAsia" w:ascii="仿宋_GB2312" w:hAnsi="仿宋_GB2312" w:eastAsia="仿宋_GB2312" w:cs="仿宋_GB2312"/>
          <w:kern w:val="0"/>
          <w:sz w:val="32"/>
          <w:szCs w:val="32"/>
          <w:shd w:val="clear" w:color="auto" w:fill="FFFFFF"/>
          <w:lang w:val="zh-CN"/>
        </w:rPr>
        <w:t>〕</w:t>
      </w:r>
      <w:r>
        <w:rPr>
          <w:rFonts w:hint="eastAsia" w:ascii="仿宋_GB2312" w:eastAsia="仿宋_GB2312"/>
          <w:kern w:val="0"/>
          <w:sz w:val="32"/>
          <w:szCs w:val="32"/>
          <w:shd w:val="clear" w:color="auto" w:fill="FFFFFF"/>
          <w:lang w:val="zh-CN"/>
        </w:rPr>
        <w:t>335号批复，用于信访工作专项经费。2024年县级财政下达盐边县信访局重点信访工作经费221.07万元，其中特殊疑难信访问题专项145.53万元、进京进省值班专项15万元、2024年成都工作站经费27.59万元、2024年办公设备购置2.18万元。</w:t>
      </w:r>
    </w:p>
    <w:p w14:paraId="0AC9F1BA">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leftChars="200"/>
        <w:textAlignment w:val="auto"/>
        <w:rPr>
          <w:rFonts w:hint="eastAsia" w:ascii="仿宋_GB2312" w:hAnsi="仿宋_GB2312" w:eastAsia="楷体_GB2312" w:cs="仿宋_GB2312"/>
          <w:b w:val="0"/>
          <w:bCs w:val="0"/>
          <w:color w:val="000000"/>
          <w:kern w:val="0"/>
          <w:sz w:val="32"/>
          <w:szCs w:val="32"/>
          <w:shd w:val="clear" w:color="auto" w:fill="FFFFFF"/>
          <w:lang w:val="zh-CN" w:eastAsia="zh-CN" w:bidi="ar-SA"/>
        </w:rPr>
      </w:pPr>
      <w:r>
        <w:rPr>
          <w:rFonts w:hint="eastAsia" w:ascii="仿宋_GB2312" w:hAnsi="仿宋_GB2312" w:eastAsia="楷体_GB2312" w:cs="仿宋_GB2312"/>
          <w:b w:val="0"/>
          <w:bCs w:val="0"/>
          <w:color w:val="000000"/>
          <w:kern w:val="0"/>
          <w:sz w:val="32"/>
          <w:szCs w:val="32"/>
          <w:shd w:val="clear" w:color="auto" w:fill="FFFFFF"/>
          <w:lang w:val="zh-CN" w:eastAsia="zh-CN" w:bidi="ar-SA"/>
        </w:rPr>
        <w:t>（二）资金计划、到位及使用情况</w:t>
      </w:r>
    </w:p>
    <w:p w14:paraId="74DF0C9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1.资金计划。该项目为中央、县级财政资金。</w:t>
      </w:r>
    </w:p>
    <w:p w14:paraId="5EC33F41">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2.资金到位。及时、足额到位。2024年县级财政下达盐边县信访局重点信访工作经费221.07万元。</w:t>
      </w:r>
    </w:p>
    <w:p w14:paraId="079D57B0">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3.资金使用。下达项目预算后及时报告单位向业务部门反馈，根据工作实际及时安排项目资金支出，涉及重点资金使用坚持责任部门提出申请，信访局经局务会研究提出具体方案后报请上级分管领导审批再支出的管理方式。项目资金支出时，对责任部门进行资金使用规范提醒，明确管理责任，督促责任部门依法依规使用资金。业务部门对资金使用的具体情况主动获取反馈，对化解信访案件进行资料收集，了解项目实施的绩效情况。</w:t>
      </w:r>
    </w:p>
    <w:p w14:paraId="37AD5EC1">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leftChars="200"/>
        <w:textAlignment w:val="auto"/>
        <w:rPr>
          <w:rFonts w:hint="eastAsia" w:ascii="仿宋_GB2312" w:hAnsi="仿宋_GB2312" w:eastAsia="楷体_GB2312" w:cs="仿宋_GB2312"/>
          <w:b w:val="0"/>
          <w:bCs w:val="0"/>
          <w:color w:val="000000"/>
          <w:kern w:val="0"/>
          <w:sz w:val="32"/>
          <w:szCs w:val="32"/>
          <w:shd w:val="clear" w:color="auto" w:fill="FFFFFF"/>
          <w:lang w:val="zh-CN" w:eastAsia="zh-CN" w:bidi="ar-SA"/>
        </w:rPr>
      </w:pPr>
      <w:r>
        <w:rPr>
          <w:rFonts w:hint="eastAsia" w:ascii="仿宋_GB2312" w:hAnsi="仿宋_GB2312" w:eastAsia="楷体_GB2312" w:cs="仿宋_GB2312"/>
          <w:b w:val="0"/>
          <w:bCs w:val="0"/>
          <w:color w:val="000000"/>
          <w:kern w:val="0"/>
          <w:sz w:val="32"/>
          <w:szCs w:val="32"/>
          <w:shd w:val="clear" w:color="auto" w:fill="FFFFFF"/>
          <w:lang w:val="zh-CN" w:eastAsia="zh-CN" w:bidi="ar-SA"/>
        </w:rPr>
        <w:t>（三）项目财务管理情况</w:t>
      </w:r>
    </w:p>
    <w:p w14:paraId="5B0E7AA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总体评价各项目实施单位财务管理制度是否健全，是否严格执行财务管理制度，账务处理是否及时，会计核算是否规范等。</w:t>
      </w:r>
    </w:p>
    <w:p w14:paraId="55754143">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黑体" w:hAnsi="黑体" w:eastAsia="黑体" w:cs="黑体"/>
          <w:kern w:val="0"/>
          <w:sz w:val="32"/>
          <w:szCs w:val="32"/>
          <w:shd w:val="clear" w:color="auto" w:fill="FFFFFF"/>
          <w:lang w:val="zh-CN"/>
        </w:rPr>
      </w:pPr>
      <w:r>
        <w:rPr>
          <w:rFonts w:hint="eastAsia" w:ascii="黑体" w:hAnsi="黑体" w:eastAsia="黑体" w:cs="黑体"/>
          <w:kern w:val="0"/>
          <w:sz w:val="32"/>
          <w:szCs w:val="32"/>
          <w:shd w:val="clear" w:color="auto" w:fill="FFFFFF"/>
          <w:lang w:val="zh-CN"/>
        </w:rPr>
        <w:t>三、项目实施及管理情况</w:t>
      </w:r>
    </w:p>
    <w:p w14:paraId="629AB1AD">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项目实施单位财务管理制度健全，严格执行财务管理制度，账务处理及时，会计核算规范。</w:t>
      </w:r>
    </w:p>
    <w:p w14:paraId="7EFDED23">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leftChars="200"/>
        <w:textAlignment w:val="auto"/>
        <w:rPr>
          <w:rFonts w:hint="eastAsia" w:ascii="仿宋_GB2312" w:hAnsi="仿宋_GB2312" w:eastAsia="楷体_GB2312" w:cs="仿宋_GB2312"/>
          <w:b w:val="0"/>
          <w:bCs w:val="0"/>
          <w:color w:val="000000"/>
          <w:kern w:val="0"/>
          <w:sz w:val="32"/>
          <w:szCs w:val="32"/>
          <w:shd w:val="clear" w:color="auto" w:fill="FFFFFF"/>
          <w:lang w:val="zh-CN" w:eastAsia="zh-CN" w:bidi="ar-SA"/>
        </w:rPr>
      </w:pPr>
      <w:r>
        <w:rPr>
          <w:rFonts w:hint="eastAsia" w:ascii="仿宋_GB2312" w:hAnsi="仿宋_GB2312" w:eastAsia="楷体_GB2312" w:cs="仿宋_GB2312"/>
          <w:b w:val="0"/>
          <w:bCs w:val="0"/>
          <w:color w:val="000000"/>
          <w:kern w:val="0"/>
          <w:sz w:val="32"/>
          <w:szCs w:val="32"/>
          <w:shd w:val="clear" w:color="auto" w:fill="FFFFFF"/>
          <w:lang w:val="zh-CN" w:eastAsia="zh-CN" w:bidi="ar-SA"/>
        </w:rPr>
        <w:t>（</w:t>
      </w:r>
      <w:r>
        <w:rPr>
          <w:rFonts w:hint="eastAsia" w:ascii="仿宋_GB2312" w:hAnsi="仿宋_GB2312" w:eastAsia="楷体_GB2312" w:cs="仿宋_GB2312"/>
          <w:b w:val="0"/>
          <w:bCs w:val="0"/>
          <w:color w:val="000000"/>
          <w:kern w:val="0"/>
          <w:sz w:val="32"/>
          <w:szCs w:val="32"/>
          <w:shd w:val="clear" w:color="auto" w:fill="FFFFFF"/>
          <w:lang w:val="en-US" w:eastAsia="zh-CN" w:bidi="ar-SA"/>
        </w:rPr>
        <w:t>一</w:t>
      </w:r>
      <w:r>
        <w:rPr>
          <w:rFonts w:hint="eastAsia" w:ascii="仿宋_GB2312" w:hAnsi="仿宋_GB2312" w:eastAsia="楷体_GB2312" w:cs="仿宋_GB2312"/>
          <w:b w:val="0"/>
          <w:bCs w:val="0"/>
          <w:color w:val="000000"/>
          <w:kern w:val="0"/>
          <w:sz w:val="32"/>
          <w:szCs w:val="32"/>
          <w:shd w:val="clear" w:color="auto" w:fill="FFFFFF"/>
          <w:lang w:val="zh-CN" w:eastAsia="zh-CN" w:bidi="ar-SA"/>
        </w:rPr>
        <w:t>）项目组织架构及实施流程</w:t>
      </w:r>
    </w:p>
    <w:p w14:paraId="4CDEFA02">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信访局根据全县信访工作情况综合考虑，由信访局经党组会审议进行预算项目申报，根据各乡镇、部门涉及的信访事项按照信访积案较多的乡镇重点支持，资金使用按照财务管理制度执行，资金支付形式为直接支付和授权支付，严禁现金支出。重点资金使用中坚持责任部门提出申请，信访局经局务会研究提出具体方案后报请上级分管领导审批再支出的管理方式。重点关注长期未化解的特殊疑难信访案件，中央、省市督查督办信访案件。</w:t>
      </w:r>
    </w:p>
    <w:p w14:paraId="4F38959F">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leftChars="200"/>
        <w:textAlignment w:val="auto"/>
        <w:rPr>
          <w:rFonts w:hint="eastAsia" w:ascii="仿宋_GB2312" w:hAnsi="仿宋_GB2312" w:eastAsia="楷体_GB2312" w:cs="仿宋_GB2312"/>
          <w:b w:val="0"/>
          <w:bCs w:val="0"/>
          <w:color w:val="000000"/>
          <w:kern w:val="0"/>
          <w:sz w:val="32"/>
          <w:szCs w:val="32"/>
          <w:shd w:val="clear" w:color="auto" w:fill="FFFFFF"/>
          <w:lang w:val="zh-CN" w:eastAsia="zh-CN" w:bidi="ar-SA"/>
        </w:rPr>
      </w:pPr>
      <w:r>
        <w:rPr>
          <w:rFonts w:hint="eastAsia" w:ascii="仿宋_GB2312" w:hAnsi="仿宋_GB2312" w:eastAsia="楷体_GB2312" w:cs="仿宋_GB2312"/>
          <w:b w:val="0"/>
          <w:bCs w:val="0"/>
          <w:color w:val="000000"/>
          <w:kern w:val="0"/>
          <w:sz w:val="32"/>
          <w:szCs w:val="32"/>
          <w:shd w:val="clear" w:color="auto" w:fill="FFFFFF"/>
          <w:lang w:val="zh-CN" w:eastAsia="zh-CN" w:bidi="ar-SA"/>
        </w:rPr>
        <w:t>（二）项目管理情况</w:t>
      </w:r>
    </w:p>
    <w:p w14:paraId="290C389A">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信访业务工作的开展重点在于根据工作需要解决实际问题，如特殊疑难信访积案资金使用坚持责任部门提出申请，信访局经局务会研究提出具体方案后报请上级分管领导审批再支出的管理方式。</w:t>
      </w:r>
    </w:p>
    <w:p w14:paraId="61FBE7FD">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leftChars="200"/>
        <w:textAlignment w:val="auto"/>
        <w:rPr>
          <w:rFonts w:hint="eastAsia" w:ascii="仿宋_GB2312" w:hAnsi="仿宋_GB2312" w:eastAsia="楷体_GB2312" w:cs="仿宋_GB2312"/>
          <w:b w:val="0"/>
          <w:bCs w:val="0"/>
          <w:color w:val="000000"/>
          <w:kern w:val="0"/>
          <w:sz w:val="32"/>
          <w:szCs w:val="32"/>
          <w:shd w:val="clear" w:color="auto" w:fill="FFFFFF"/>
          <w:lang w:val="zh-CN" w:eastAsia="zh-CN" w:bidi="ar-SA"/>
        </w:rPr>
      </w:pPr>
      <w:r>
        <w:rPr>
          <w:rFonts w:hint="eastAsia" w:ascii="仿宋_GB2312" w:hAnsi="仿宋_GB2312" w:eastAsia="楷体_GB2312" w:cs="仿宋_GB2312"/>
          <w:b w:val="0"/>
          <w:bCs w:val="0"/>
          <w:color w:val="000000"/>
          <w:kern w:val="0"/>
          <w:sz w:val="32"/>
          <w:szCs w:val="32"/>
          <w:shd w:val="clear" w:color="auto" w:fill="FFFFFF"/>
          <w:lang w:val="zh-CN" w:eastAsia="zh-CN" w:bidi="ar-SA"/>
        </w:rPr>
        <w:t>（三）项目监管情况</w:t>
      </w:r>
    </w:p>
    <w:p w14:paraId="24F3BD19">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项目资金支出时，对责任部门行文进行资金使用规范提醒，明确管理责任，督促责任部门依法依规使用资金。业务部门对资金使用的具体情况主动获取反馈，对化解信访案件进行资料收集，了解项目实施的绩效情况</w:t>
      </w:r>
    </w:p>
    <w:p w14:paraId="078C5CB2">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leftChars="200"/>
        <w:textAlignment w:val="auto"/>
        <w:rPr>
          <w:rFonts w:hint="eastAsia" w:ascii="仿宋_GB2312" w:hAnsi="仿宋_GB2312" w:eastAsia="楷体_GB2312" w:cs="仿宋_GB2312"/>
          <w:b w:val="0"/>
          <w:bCs w:val="0"/>
          <w:color w:val="000000"/>
          <w:kern w:val="0"/>
          <w:sz w:val="32"/>
          <w:szCs w:val="32"/>
          <w:shd w:val="clear" w:color="auto" w:fill="FFFFFF"/>
          <w:lang w:val="zh-CN" w:eastAsia="zh-CN" w:bidi="ar-SA"/>
        </w:rPr>
      </w:pPr>
      <w:r>
        <w:rPr>
          <w:rFonts w:hint="eastAsia" w:ascii="仿宋_GB2312" w:hAnsi="仿宋_GB2312" w:eastAsia="楷体_GB2312" w:cs="仿宋_GB2312"/>
          <w:b w:val="0"/>
          <w:bCs w:val="0"/>
          <w:color w:val="000000"/>
          <w:kern w:val="0"/>
          <w:sz w:val="32"/>
          <w:szCs w:val="32"/>
          <w:shd w:val="clear" w:color="auto" w:fill="FFFFFF"/>
          <w:lang w:val="zh-CN" w:eastAsia="zh-CN" w:bidi="ar-SA"/>
        </w:rPr>
        <w:t>（四）项目自评步骤及方法</w:t>
      </w:r>
    </w:p>
    <w:p w14:paraId="2897A9D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由项目负责人根据项目绩效申报指标逐个核对、比对，是否完成申报指标，计算完成率。</w:t>
      </w:r>
    </w:p>
    <w:p w14:paraId="1554F31C">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四、项目绩效情况</w:t>
      </w:r>
      <w:r>
        <w:rPr>
          <w:rFonts w:hint="eastAsia" w:ascii="仿宋_GB2312" w:eastAsia="仿宋_GB2312"/>
          <w:kern w:val="0"/>
          <w:sz w:val="32"/>
          <w:szCs w:val="32"/>
          <w:shd w:val="clear" w:color="auto" w:fill="FFFFFF"/>
          <w:lang w:val="zh-CN"/>
        </w:rPr>
        <w:tab/>
      </w:r>
    </w:p>
    <w:p w14:paraId="0B5E7B9D">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leftChars="200"/>
        <w:textAlignment w:val="auto"/>
        <w:rPr>
          <w:rFonts w:hint="eastAsia" w:ascii="仿宋_GB2312" w:hAnsi="仿宋_GB2312" w:eastAsia="楷体_GB2312" w:cs="仿宋_GB2312"/>
          <w:b w:val="0"/>
          <w:bCs w:val="0"/>
          <w:color w:val="000000"/>
          <w:kern w:val="0"/>
          <w:sz w:val="32"/>
          <w:szCs w:val="32"/>
          <w:shd w:val="clear" w:color="auto" w:fill="FFFFFF"/>
          <w:lang w:val="zh-CN" w:eastAsia="zh-CN" w:bidi="ar-SA"/>
        </w:rPr>
      </w:pPr>
      <w:r>
        <w:rPr>
          <w:rFonts w:hint="eastAsia" w:ascii="仿宋_GB2312" w:hAnsi="仿宋_GB2312" w:eastAsia="楷体_GB2312" w:cs="仿宋_GB2312"/>
          <w:b w:val="0"/>
          <w:bCs w:val="0"/>
          <w:color w:val="000000"/>
          <w:kern w:val="0"/>
          <w:sz w:val="32"/>
          <w:szCs w:val="32"/>
          <w:shd w:val="clear" w:color="auto" w:fill="FFFFFF"/>
          <w:lang w:val="zh-CN" w:eastAsia="zh-CN" w:bidi="ar-SA"/>
        </w:rPr>
        <w:t>（一）项目完成情况</w:t>
      </w:r>
    </w:p>
    <w:p w14:paraId="0F22B6E7">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2024年县信访局共接待群众来访224批600人次，同比下降批次14.5%、人次39.16%，其中，初访126批347人次，重复访98批253人次，已经化解147件（初访97件），剩余案件正在推进化解中；县级领导在县群众工作中心信访值班32人次，共接待来访群众63批145人次。全县受理网电信访412件，同比上升13.8%。其中：初信初访193件，重复信访219件，其中：初信初访已经化解189件，未化解4件，剩余4件正在推进化解中。本级网投平台录入230件。其中：初信初访230件，已化解230件。本级网投平台满意度评价228件，其中：228件满意，上级网投平台转办满意度评价24件，其中：15件满意，1件不满意，3件超期未评价。2024年1月1日至2024年10月31日，盐边县辖区群众到国家信访局走访纯人次为2人次，未超过辖区人口数的十万分之一，较去年同期批次下降77.77%。按上级要求参加信访业务知识培训学习，成都信访工作站相关工作正常开展。</w:t>
      </w:r>
    </w:p>
    <w:p w14:paraId="629326F9">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leftChars="200"/>
        <w:textAlignment w:val="auto"/>
        <w:rPr>
          <w:rFonts w:hint="eastAsia" w:ascii="仿宋_GB2312" w:hAnsi="仿宋_GB2312" w:eastAsia="楷体_GB2312" w:cs="仿宋_GB2312"/>
          <w:b w:val="0"/>
          <w:bCs w:val="0"/>
          <w:color w:val="000000"/>
          <w:kern w:val="0"/>
          <w:sz w:val="32"/>
          <w:szCs w:val="32"/>
          <w:shd w:val="clear" w:color="auto" w:fill="FFFFFF"/>
          <w:lang w:val="zh-CN" w:eastAsia="zh-CN" w:bidi="ar-SA"/>
        </w:rPr>
      </w:pPr>
      <w:r>
        <w:rPr>
          <w:rFonts w:hint="eastAsia" w:ascii="仿宋_GB2312" w:hAnsi="仿宋_GB2312" w:eastAsia="楷体_GB2312" w:cs="仿宋_GB2312"/>
          <w:b w:val="0"/>
          <w:bCs w:val="0"/>
          <w:color w:val="000000"/>
          <w:kern w:val="0"/>
          <w:sz w:val="32"/>
          <w:szCs w:val="32"/>
          <w:shd w:val="clear" w:color="auto" w:fill="FFFFFF"/>
          <w:lang w:val="zh-CN" w:eastAsia="zh-CN" w:bidi="ar-SA"/>
        </w:rPr>
        <w:t>（二）项目效益情况</w:t>
      </w:r>
    </w:p>
    <w:p w14:paraId="035DA599">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社会效益： 涉及信访事项上访群众息诉罢访。</w:t>
      </w:r>
    </w:p>
    <w:p w14:paraId="7F2DF38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经济成本效益：预算编制、财务支出合理、可控。</w:t>
      </w:r>
    </w:p>
    <w:p w14:paraId="7D76D786">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黑体" w:hAnsi="黑体" w:eastAsia="黑体" w:cs="黑体"/>
          <w:kern w:val="0"/>
          <w:sz w:val="32"/>
          <w:szCs w:val="32"/>
          <w:shd w:val="clear" w:color="auto" w:fill="FFFFFF"/>
          <w:lang w:val="zh-CN"/>
        </w:rPr>
      </w:pPr>
      <w:r>
        <w:rPr>
          <w:rFonts w:hint="eastAsia" w:ascii="黑体" w:hAnsi="黑体" w:eastAsia="黑体" w:cs="黑体"/>
          <w:kern w:val="0"/>
          <w:sz w:val="32"/>
          <w:szCs w:val="32"/>
          <w:shd w:val="clear" w:color="auto" w:fill="FFFFFF"/>
          <w:lang w:val="zh-CN"/>
        </w:rPr>
        <w:t>五、评价结论及建议</w:t>
      </w:r>
    </w:p>
    <w:p w14:paraId="34B4BAB7">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严格按照国家、省、市有关专项资金使用文件精神，认真落实专项资金使用范围和标准，资金用于保障信访业务工作的正常开展，根据实际工作情况，在财政资金的支持下重点化解一些无责任主体信访案件、一些诉求合理但无相应政策规定的、生活确有困难的信访案件， 根据信访工作“三到位一处理”的要求，本着实事求是、解决问题的原则，给予适当救助，做到解决、帮扶到位，使用规范，档案清晰。案件办结，息诉息访，群众满意。</w:t>
      </w:r>
    </w:p>
    <w:p w14:paraId="44BE7B00">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leftChars="200"/>
        <w:textAlignment w:val="auto"/>
        <w:rPr>
          <w:rFonts w:hint="eastAsia" w:ascii="仿宋_GB2312" w:hAnsi="仿宋_GB2312" w:eastAsia="楷体_GB2312" w:cs="仿宋_GB2312"/>
          <w:b w:val="0"/>
          <w:bCs w:val="0"/>
          <w:color w:val="000000"/>
          <w:kern w:val="0"/>
          <w:sz w:val="32"/>
          <w:szCs w:val="32"/>
          <w:shd w:val="clear" w:color="auto" w:fill="FFFFFF"/>
          <w:lang w:val="zh-CN" w:eastAsia="zh-CN" w:bidi="ar-SA"/>
        </w:rPr>
      </w:pPr>
      <w:r>
        <w:rPr>
          <w:rFonts w:hint="eastAsia" w:ascii="仿宋_GB2312" w:hAnsi="仿宋_GB2312" w:eastAsia="楷体_GB2312" w:cs="仿宋_GB2312"/>
          <w:b w:val="0"/>
          <w:bCs w:val="0"/>
          <w:color w:val="000000"/>
          <w:kern w:val="0"/>
          <w:sz w:val="32"/>
          <w:szCs w:val="32"/>
          <w:shd w:val="clear" w:color="auto" w:fill="FFFFFF"/>
          <w:lang w:val="zh-CN" w:eastAsia="zh-CN" w:bidi="ar-SA"/>
        </w:rPr>
        <w:t>（一）存在的问题</w:t>
      </w:r>
    </w:p>
    <w:p w14:paraId="4E2B6242">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eastAsia="zh-CN"/>
        </w:rPr>
      </w:pPr>
      <w:r>
        <w:rPr>
          <w:rFonts w:hint="eastAsia" w:ascii="仿宋_GB2312" w:eastAsia="仿宋_GB2312"/>
          <w:kern w:val="0"/>
          <w:sz w:val="32"/>
          <w:szCs w:val="32"/>
          <w:shd w:val="clear" w:color="auto" w:fill="FFFFFF"/>
          <w:lang w:val="zh-CN"/>
        </w:rPr>
        <w:t>单位在绩效管理工作中，对绩效指标的理解不足，申报绩效目标与实际实施内容有差距，再加之信访工作的特殊性</w:t>
      </w:r>
      <w:r>
        <w:rPr>
          <w:rFonts w:hint="eastAsia" w:ascii="仿宋_GB2312" w:eastAsia="仿宋_GB2312"/>
          <w:kern w:val="0"/>
          <w:sz w:val="32"/>
          <w:szCs w:val="32"/>
          <w:shd w:val="clear" w:color="auto" w:fill="FFFFFF"/>
          <w:lang w:val="zh-CN" w:eastAsia="zh-CN"/>
        </w:rPr>
        <w:t>增加了项目绩效目标实现难度。</w:t>
      </w:r>
    </w:p>
    <w:p w14:paraId="5ABE0EB8">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leftChars="200"/>
        <w:textAlignment w:val="auto"/>
        <w:rPr>
          <w:rFonts w:hint="eastAsia" w:ascii="仿宋_GB2312" w:hAnsi="仿宋_GB2312" w:eastAsia="楷体_GB2312" w:cs="仿宋_GB2312"/>
          <w:b w:val="0"/>
          <w:bCs w:val="0"/>
          <w:color w:val="000000"/>
          <w:kern w:val="0"/>
          <w:sz w:val="32"/>
          <w:szCs w:val="32"/>
          <w:shd w:val="clear" w:color="auto" w:fill="FFFFFF"/>
          <w:lang w:val="zh-CN" w:eastAsia="zh-CN" w:bidi="ar-SA"/>
        </w:rPr>
      </w:pPr>
      <w:r>
        <w:rPr>
          <w:rFonts w:hint="eastAsia" w:ascii="仿宋_GB2312" w:hAnsi="仿宋_GB2312" w:eastAsia="楷体_GB2312" w:cs="仿宋_GB2312"/>
          <w:b w:val="0"/>
          <w:bCs w:val="0"/>
          <w:color w:val="000000"/>
          <w:kern w:val="0"/>
          <w:sz w:val="32"/>
          <w:szCs w:val="32"/>
          <w:shd w:val="clear" w:color="auto" w:fill="FFFFFF"/>
          <w:lang w:val="zh-CN" w:eastAsia="zh-CN" w:bidi="ar-SA"/>
        </w:rPr>
        <w:t>（二）相关建议</w:t>
      </w:r>
    </w:p>
    <w:p w14:paraId="2D07F31D">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加强资金绩效管理相关制度、文件的学习，强化绩效目标管理，结合单位实际情况做好绩效管理工作。</w:t>
      </w:r>
    </w:p>
    <w:p w14:paraId="536C1F2A">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r>
        <w:rPr>
          <w:rFonts w:hint="eastAsia" w:ascii="仿宋_GB2312" w:eastAsia="仿宋_GB2312"/>
          <w:kern w:val="0"/>
          <w:sz w:val="32"/>
          <w:szCs w:val="32"/>
          <w:shd w:val="clear" w:color="auto" w:fill="FFFFFF"/>
          <w:lang w:val="zh-CN"/>
        </w:rPr>
        <w:t>（注：以上绩效自评报告，除涉密敏感内容外，原则上都应予以公开）</w:t>
      </w:r>
    </w:p>
    <w:p w14:paraId="701327D1">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p>
    <w:p w14:paraId="6FC95659">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p>
    <w:p w14:paraId="7B28DCF6">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eastAsia="仿宋_GB2312"/>
          <w:kern w:val="0"/>
          <w:sz w:val="32"/>
          <w:szCs w:val="32"/>
          <w:shd w:val="clear" w:color="auto" w:fill="FFFFFF"/>
          <w:lang w:val="zh-CN"/>
        </w:rPr>
      </w:pPr>
      <w:bookmarkStart w:id="47" w:name="_Toc15396618"/>
      <w:r>
        <w:rPr>
          <w:rFonts w:hint="eastAsia" w:ascii="仿宋_GB2312" w:eastAsia="仿宋_GB2312"/>
          <w:kern w:val="0"/>
          <w:sz w:val="32"/>
          <w:szCs w:val="32"/>
          <w:shd w:val="clear" w:color="auto" w:fill="FFFFFF"/>
          <w:lang w:val="zh-CN"/>
        </w:rPr>
        <w:br w:type="page"/>
      </w:r>
    </w:p>
    <w:p w14:paraId="33E1288B">
      <w:pPr>
        <w:widowControl/>
        <w:jc w:val="center"/>
        <w:rPr>
          <w:rFonts w:eastAsia="仿宋"/>
        </w:rPr>
      </w:pPr>
      <w:r>
        <w:rPr>
          <w:rFonts w:hint="eastAsia" w:eastAsia="黑体"/>
          <w:sz w:val="44"/>
          <w:szCs w:val="44"/>
        </w:rPr>
        <w:t>第</w:t>
      </w:r>
      <w:r>
        <w:rPr>
          <w:rStyle w:val="29"/>
          <w:rFonts w:hint="eastAsia" w:eastAsia="黑体"/>
          <w:b w:val="0"/>
        </w:rPr>
        <w:t>五部分 附表</w:t>
      </w:r>
      <w:bookmarkEnd w:id="45"/>
      <w:bookmarkEnd w:id="47"/>
      <w:bookmarkStart w:id="48" w:name="_Toc15396619"/>
    </w:p>
    <w:p w14:paraId="748D9163">
      <w:pPr>
        <w:pStyle w:val="15"/>
        <w:adjustRightInd w:val="0"/>
        <w:snapToGrid w:val="0"/>
        <w:spacing w:line="560" w:lineRule="exact"/>
        <w:jc w:val="left"/>
        <w:rPr>
          <w:rFonts w:eastAsia="仿宋_GB2312" w:cs="仿宋_GB2312"/>
          <w:sz w:val="32"/>
          <w:szCs w:val="32"/>
        </w:rPr>
      </w:pPr>
    </w:p>
    <w:p w14:paraId="60F698CD">
      <w:pPr>
        <w:pStyle w:val="15"/>
        <w:adjustRightInd w:val="0"/>
        <w:snapToGrid w:val="0"/>
        <w:spacing w:line="560" w:lineRule="exact"/>
        <w:jc w:val="left"/>
        <w:rPr>
          <w:rFonts w:hint="eastAsia" w:eastAsia="仿宋_GB2312" w:cs="仿宋_GB2312"/>
          <w:sz w:val="32"/>
          <w:szCs w:val="32"/>
        </w:rPr>
      </w:pPr>
      <w:r>
        <w:rPr>
          <w:rFonts w:hint="eastAsia" w:eastAsia="仿宋_GB2312" w:cs="仿宋_GB2312"/>
          <w:sz w:val="32"/>
          <w:szCs w:val="32"/>
        </w:rPr>
        <w:t>一、收入支出决算总表</w:t>
      </w:r>
      <w:bookmarkEnd w:id="48"/>
    </w:p>
    <w:p w14:paraId="0A052834">
      <w:pPr>
        <w:pStyle w:val="15"/>
        <w:adjustRightInd w:val="0"/>
        <w:snapToGrid w:val="0"/>
        <w:spacing w:line="560" w:lineRule="exact"/>
        <w:jc w:val="left"/>
        <w:rPr>
          <w:rFonts w:hint="eastAsia" w:eastAsia="仿宋_GB2312" w:cs="仿宋_GB2312"/>
          <w:sz w:val="32"/>
          <w:szCs w:val="32"/>
        </w:rPr>
      </w:pPr>
      <w:bookmarkStart w:id="49" w:name="_Toc15396620"/>
      <w:r>
        <w:rPr>
          <w:rFonts w:hint="eastAsia" w:eastAsia="仿宋_GB2312" w:cs="仿宋_GB2312"/>
          <w:sz w:val="32"/>
          <w:szCs w:val="32"/>
        </w:rPr>
        <w:t>二、收入决算表</w:t>
      </w:r>
      <w:bookmarkEnd w:id="49"/>
    </w:p>
    <w:p w14:paraId="219DC490">
      <w:pPr>
        <w:pStyle w:val="15"/>
        <w:adjustRightInd w:val="0"/>
        <w:snapToGrid w:val="0"/>
        <w:spacing w:line="560" w:lineRule="exact"/>
        <w:jc w:val="left"/>
        <w:rPr>
          <w:rFonts w:hint="eastAsia" w:eastAsia="仿宋_GB2312" w:cs="仿宋_GB2312"/>
          <w:sz w:val="32"/>
          <w:szCs w:val="32"/>
        </w:rPr>
      </w:pPr>
      <w:bookmarkStart w:id="50" w:name="_Toc15396621"/>
      <w:r>
        <w:rPr>
          <w:rFonts w:hint="eastAsia" w:eastAsia="仿宋_GB2312" w:cs="仿宋_GB2312"/>
          <w:sz w:val="32"/>
          <w:szCs w:val="32"/>
        </w:rPr>
        <w:t>三、支出决算表</w:t>
      </w:r>
      <w:bookmarkEnd w:id="50"/>
    </w:p>
    <w:p w14:paraId="1412DCC7">
      <w:pPr>
        <w:pStyle w:val="15"/>
        <w:adjustRightInd w:val="0"/>
        <w:snapToGrid w:val="0"/>
        <w:spacing w:line="560" w:lineRule="exact"/>
        <w:jc w:val="left"/>
        <w:rPr>
          <w:rFonts w:hint="eastAsia" w:eastAsia="仿宋_GB2312" w:cs="仿宋_GB2312"/>
          <w:sz w:val="32"/>
          <w:szCs w:val="32"/>
        </w:rPr>
      </w:pPr>
      <w:bookmarkStart w:id="51" w:name="_Toc15396622"/>
      <w:r>
        <w:rPr>
          <w:rFonts w:hint="eastAsia" w:eastAsia="仿宋_GB2312" w:cs="仿宋_GB2312"/>
          <w:sz w:val="32"/>
          <w:szCs w:val="32"/>
        </w:rPr>
        <w:t>四、财政拨款收入支出决算总表</w:t>
      </w:r>
      <w:bookmarkEnd w:id="51"/>
    </w:p>
    <w:p w14:paraId="37C38D78">
      <w:pPr>
        <w:pStyle w:val="15"/>
        <w:adjustRightInd w:val="0"/>
        <w:snapToGrid w:val="0"/>
        <w:spacing w:line="560" w:lineRule="exact"/>
        <w:jc w:val="left"/>
        <w:rPr>
          <w:rFonts w:hint="eastAsia" w:eastAsia="仿宋_GB2312" w:cs="仿宋_GB2312"/>
          <w:sz w:val="32"/>
          <w:szCs w:val="32"/>
        </w:rPr>
      </w:pPr>
      <w:bookmarkStart w:id="52" w:name="_Toc15396623"/>
      <w:r>
        <w:rPr>
          <w:rFonts w:hint="eastAsia" w:eastAsia="仿宋_GB2312" w:cs="仿宋_GB2312"/>
          <w:sz w:val="32"/>
          <w:szCs w:val="32"/>
        </w:rPr>
        <w:t>五、财政拨款支出决算明细表</w:t>
      </w:r>
      <w:bookmarkEnd w:id="52"/>
      <w:bookmarkStart w:id="53" w:name="_Toc15396624"/>
    </w:p>
    <w:p w14:paraId="591CA50C">
      <w:pPr>
        <w:pStyle w:val="15"/>
        <w:adjustRightInd w:val="0"/>
        <w:snapToGrid w:val="0"/>
        <w:spacing w:line="560" w:lineRule="exact"/>
        <w:jc w:val="left"/>
        <w:rPr>
          <w:rFonts w:hint="eastAsia" w:eastAsia="仿宋_GB2312" w:cs="仿宋_GB2312"/>
          <w:sz w:val="32"/>
          <w:szCs w:val="32"/>
        </w:rPr>
      </w:pPr>
      <w:r>
        <w:rPr>
          <w:rFonts w:hint="eastAsia" w:eastAsia="仿宋_GB2312" w:cs="仿宋_GB2312"/>
          <w:sz w:val="32"/>
          <w:szCs w:val="32"/>
        </w:rPr>
        <w:t>六、一般公共预算财政拨款支出决算表</w:t>
      </w:r>
      <w:bookmarkEnd w:id="53"/>
    </w:p>
    <w:p w14:paraId="2EC6B982">
      <w:pPr>
        <w:pStyle w:val="15"/>
        <w:adjustRightInd w:val="0"/>
        <w:snapToGrid w:val="0"/>
        <w:spacing w:line="560" w:lineRule="exact"/>
        <w:jc w:val="left"/>
        <w:rPr>
          <w:rFonts w:hint="eastAsia" w:eastAsia="仿宋_GB2312" w:cs="仿宋_GB2312"/>
          <w:sz w:val="32"/>
          <w:szCs w:val="32"/>
        </w:rPr>
      </w:pPr>
      <w:bookmarkStart w:id="54" w:name="_Toc15396625"/>
      <w:r>
        <w:rPr>
          <w:rFonts w:hint="eastAsia" w:eastAsia="仿宋_GB2312" w:cs="仿宋_GB2312"/>
          <w:sz w:val="32"/>
          <w:szCs w:val="32"/>
        </w:rPr>
        <w:t>七、一般公共预算财政拨款支出决算明细表</w:t>
      </w:r>
      <w:bookmarkEnd w:id="54"/>
    </w:p>
    <w:p w14:paraId="038F31AA">
      <w:pPr>
        <w:pStyle w:val="15"/>
        <w:adjustRightInd w:val="0"/>
        <w:snapToGrid w:val="0"/>
        <w:spacing w:line="560" w:lineRule="exact"/>
        <w:jc w:val="left"/>
        <w:rPr>
          <w:rFonts w:hint="eastAsia" w:eastAsia="仿宋_GB2312" w:cs="仿宋_GB2312"/>
          <w:sz w:val="32"/>
          <w:szCs w:val="32"/>
        </w:rPr>
      </w:pPr>
      <w:bookmarkStart w:id="55" w:name="_Toc15396626"/>
      <w:r>
        <w:rPr>
          <w:rFonts w:hint="eastAsia" w:eastAsia="仿宋_GB2312" w:cs="仿宋_GB2312"/>
          <w:sz w:val="32"/>
          <w:szCs w:val="32"/>
        </w:rPr>
        <w:t>八、一般公共预算财政拨款基本支出决算表</w:t>
      </w:r>
      <w:bookmarkEnd w:id="55"/>
    </w:p>
    <w:p w14:paraId="67D7CC5A">
      <w:pPr>
        <w:pStyle w:val="15"/>
        <w:adjustRightInd w:val="0"/>
        <w:snapToGrid w:val="0"/>
        <w:spacing w:line="560" w:lineRule="exact"/>
        <w:jc w:val="left"/>
        <w:rPr>
          <w:rFonts w:hint="eastAsia" w:eastAsia="仿宋_GB2312" w:cs="仿宋_GB2312"/>
          <w:sz w:val="32"/>
          <w:szCs w:val="32"/>
        </w:rPr>
      </w:pPr>
      <w:bookmarkStart w:id="56" w:name="_Toc15396627"/>
      <w:r>
        <w:rPr>
          <w:rFonts w:hint="eastAsia" w:eastAsia="仿宋_GB2312" w:cs="仿宋_GB2312"/>
          <w:sz w:val="32"/>
          <w:szCs w:val="32"/>
        </w:rPr>
        <w:t>九、一般公共预算财政拨款项目支出决算表</w:t>
      </w:r>
      <w:bookmarkEnd w:id="56"/>
    </w:p>
    <w:p w14:paraId="6E30063D">
      <w:pPr>
        <w:pStyle w:val="15"/>
        <w:adjustRightInd w:val="0"/>
        <w:snapToGrid w:val="0"/>
        <w:spacing w:line="560" w:lineRule="exact"/>
        <w:jc w:val="left"/>
        <w:rPr>
          <w:rFonts w:hint="eastAsia" w:eastAsia="仿宋_GB2312" w:cs="仿宋_GB2312"/>
          <w:sz w:val="32"/>
          <w:szCs w:val="32"/>
        </w:rPr>
      </w:pPr>
      <w:bookmarkStart w:id="57" w:name="_Toc15396628"/>
      <w:r>
        <w:rPr>
          <w:rFonts w:hint="eastAsia" w:eastAsia="仿宋_GB2312" w:cs="仿宋_GB2312"/>
          <w:sz w:val="32"/>
          <w:szCs w:val="32"/>
        </w:rPr>
        <w:t>十、</w:t>
      </w:r>
      <w:bookmarkEnd w:id="57"/>
      <w:r>
        <w:rPr>
          <w:rFonts w:hint="eastAsia" w:eastAsia="仿宋_GB2312" w:cs="仿宋_GB2312"/>
          <w:sz w:val="32"/>
          <w:szCs w:val="32"/>
        </w:rPr>
        <w:t>政府性基金预算财政拨款收入支出决算表</w:t>
      </w:r>
    </w:p>
    <w:p w14:paraId="3D687A71">
      <w:pPr>
        <w:pStyle w:val="15"/>
        <w:adjustRightInd w:val="0"/>
        <w:snapToGrid w:val="0"/>
        <w:spacing w:line="560" w:lineRule="exact"/>
        <w:jc w:val="left"/>
        <w:rPr>
          <w:rFonts w:hint="eastAsia" w:eastAsia="仿宋_GB2312" w:cs="仿宋_GB2312"/>
          <w:sz w:val="32"/>
          <w:szCs w:val="32"/>
        </w:rPr>
      </w:pPr>
      <w:bookmarkStart w:id="58" w:name="_Toc15396629"/>
      <w:r>
        <w:rPr>
          <w:rFonts w:hint="eastAsia" w:eastAsia="仿宋_GB2312" w:cs="仿宋_GB2312"/>
          <w:sz w:val="32"/>
          <w:szCs w:val="32"/>
        </w:rPr>
        <w:t>十一、</w:t>
      </w:r>
      <w:bookmarkEnd w:id="58"/>
      <w:r>
        <w:rPr>
          <w:rFonts w:hint="eastAsia" w:eastAsia="仿宋_GB2312" w:cs="仿宋_GB2312"/>
          <w:sz w:val="32"/>
          <w:szCs w:val="32"/>
        </w:rPr>
        <w:t>国有资本经营预算财政拨款收入支出决算表</w:t>
      </w:r>
    </w:p>
    <w:p w14:paraId="537E7664">
      <w:pPr>
        <w:pStyle w:val="15"/>
        <w:adjustRightInd w:val="0"/>
        <w:snapToGrid w:val="0"/>
        <w:spacing w:line="560" w:lineRule="exact"/>
        <w:jc w:val="left"/>
        <w:rPr>
          <w:rFonts w:hint="eastAsia" w:eastAsia="仿宋_GB2312" w:cs="仿宋_GB2312"/>
          <w:sz w:val="32"/>
          <w:szCs w:val="32"/>
        </w:rPr>
      </w:pPr>
      <w:bookmarkStart w:id="59" w:name="_Toc15396630"/>
      <w:r>
        <w:rPr>
          <w:rFonts w:hint="eastAsia" w:eastAsia="仿宋_GB2312" w:cs="仿宋_GB2312"/>
          <w:sz w:val="32"/>
          <w:szCs w:val="32"/>
        </w:rPr>
        <w:t>十二、</w:t>
      </w:r>
      <w:bookmarkEnd w:id="59"/>
      <w:r>
        <w:rPr>
          <w:rFonts w:hint="eastAsia" w:eastAsia="仿宋_GB2312" w:cs="仿宋_GB2312"/>
          <w:sz w:val="32"/>
          <w:szCs w:val="32"/>
        </w:rPr>
        <w:t>国有资本经营预算财政拨款支出决算表</w:t>
      </w:r>
    </w:p>
    <w:p w14:paraId="26E93760">
      <w:pPr>
        <w:pStyle w:val="15"/>
        <w:adjustRightInd w:val="0"/>
        <w:snapToGrid w:val="0"/>
        <w:spacing w:line="560" w:lineRule="exact"/>
        <w:jc w:val="left"/>
        <w:rPr>
          <w:rFonts w:hint="eastAsia" w:eastAsia="仿宋_GB2312" w:cs="仿宋_GB2312"/>
          <w:sz w:val="32"/>
          <w:szCs w:val="32"/>
        </w:rPr>
      </w:pPr>
      <w:bookmarkStart w:id="60" w:name="_Toc15396631"/>
      <w:r>
        <w:rPr>
          <w:rFonts w:hint="eastAsia" w:eastAsia="仿宋_GB2312" w:cs="仿宋_GB2312"/>
          <w:sz w:val="32"/>
          <w:szCs w:val="32"/>
        </w:rPr>
        <w:t>十三、</w:t>
      </w:r>
      <w:bookmarkEnd w:id="60"/>
      <w:r>
        <w:rPr>
          <w:rFonts w:hint="eastAsia" w:eastAsia="仿宋_GB2312" w:cs="仿宋_GB2312"/>
          <w:sz w:val="32"/>
          <w:szCs w:val="32"/>
        </w:rPr>
        <w:t>财政拨款“三公”经费支出决算表</w:t>
      </w:r>
    </w:p>
    <w:p w14:paraId="66F6A0C7"/>
    <w:sectPr>
      <w:footerReference r:id="rId10" w:type="first"/>
      <w:footerReference r:id="rId9" w:type="default"/>
      <w:pgSz w:w="11906" w:h="16838"/>
      <w:pgMar w:top="2098" w:right="1474" w:bottom="1984" w:left="1587" w:header="851" w:footer="992" w:gutter="0"/>
      <w:pgNumType w:fmt="decimal"/>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749C64">
    <w:pPr>
      <w:pStyle w:val="11"/>
      <w:jc w:val="center"/>
    </w:pPr>
    <w:r>
      <w:rPr>
        <w:sz w:val="18"/>
      </w:rP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7F6AAA65">
                <w:pPr>
                  <w:pStyle w:val="11"/>
                </w:pPr>
                <w:r>
                  <w:fldChar w:fldCharType="begin"/>
                </w:r>
                <w:r>
                  <w:instrText xml:space="preserve"> PAGE  \* MERGEFORMAT </w:instrText>
                </w:r>
                <w:r>
                  <w:fldChar w:fldCharType="separate"/>
                </w:r>
                <w:r>
                  <w:t>- 1 -</w:t>
                </w:r>
                <w:r>
                  <w:fldChar w:fldCharType="end"/>
                </w:r>
              </w:p>
            </w:txbxContent>
          </v:textbox>
        </v:shape>
      </w:pict>
    </w:r>
  </w:p>
  <w:p w14:paraId="11AAEDC3">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78D30B">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CC8366">
    <w:pPr>
      <w:pStyle w:val="11"/>
    </w:pPr>
    <w:r>
      <w:rPr>
        <w:sz w:val="18"/>
      </w:rPr>
      <w:pict>
        <v:shape id="_x0000_s4097"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3937B0FD">
                <w:pPr>
                  <w:pStyle w:val="11"/>
                </w:pPr>
                <w:r>
                  <w:fldChar w:fldCharType="begin"/>
                </w:r>
                <w:r>
                  <w:instrText xml:space="preserve"> PAGE  \* MERGEFORMAT </w:instrText>
                </w:r>
                <w:r>
                  <w:fldChar w:fldCharType="separate"/>
                </w:r>
                <w:r>
                  <w:t>1</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D02631">
    <w:pPr>
      <w:pStyle w:val="11"/>
      <w:jc w:val="center"/>
    </w:pPr>
    <w:r>
      <w:rPr>
        <w:sz w:val="18"/>
      </w:rPr>
      <w:pict>
        <v:shape id="_x0000_s4100" o:spid="_x0000_s4100"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72F00707">
                <w:pPr>
                  <w:pStyle w:val="11"/>
                </w:pPr>
                <w:r>
                  <w:fldChar w:fldCharType="begin"/>
                </w:r>
                <w:r>
                  <w:instrText xml:space="preserve"> PAGE  \* MERGEFORMAT </w:instrText>
                </w:r>
                <w:r>
                  <w:fldChar w:fldCharType="separate"/>
                </w:r>
                <w:r>
                  <w:t>2</w:t>
                </w:r>
                <w:r>
                  <w:fldChar w:fldCharType="end"/>
                </w:r>
              </w:p>
            </w:txbxContent>
          </v:textbox>
        </v:shape>
      </w:pict>
    </w:r>
  </w:p>
  <w:p w14:paraId="1BFA6B3B">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57F942">
    <w:pPr>
      <w:pStyle w:val="11"/>
    </w:pPr>
    <w:r>
      <w:rPr>
        <w:sz w:val="18"/>
      </w:rPr>
      <w:pict>
        <v:shape id="_x0000_s4099" o:spid="_x0000_s4099"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14:paraId="0EC3E16A">
                <w:pPr>
                  <w:pStyle w:val="11"/>
                </w:pPr>
                <w:r>
                  <w:fldChar w:fldCharType="begin"/>
                </w:r>
                <w:r>
                  <w:instrText xml:space="preserve"> PAGE  \* MERGEFORMAT </w:instrText>
                </w:r>
                <w:r>
                  <w:fldChar w:fldCharType="separate"/>
                </w:r>
                <w:r>
                  <w:t>2</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E56880">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B8C83B">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0D78B6">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C993D2"/>
    <w:multiLevelType w:val="singleLevel"/>
    <w:tmpl w:val="9CC993D2"/>
    <w:lvl w:ilvl="0" w:tentative="0">
      <w:start w:val="2"/>
      <w:numFmt w:val="chineseCounting"/>
      <w:suff w:val="nothing"/>
      <w:lvlText w:val="（%1）"/>
      <w:lvlJc w:val="left"/>
      <w:rPr>
        <w:rFonts w:hint="eastAsia"/>
      </w:rPr>
    </w:lvl>
  </w:abstractNum>
  <w:abstractNum w:abstractNumId="1">
    <w:nsid w:val="C48114B5"/>
    <w:multiLevelType w:val="singleLevel"/>
    <w:tmpl w:val="C48114B5"/>
    <w:lvl w:ilvl="0" w:tentative="0">
      <w:start w:val="3"/>
      <w:numFmt w:val="decimal"/>
      <w:lvlText w:val="%1."/>
      <w:lvlJc w:val="left"/>
      <w:pPr>
        <w:tabs>
          <w:tab w:val="left" w:pos="312"/>
        </w:tabs>
      </w:pPr>
    </w:lvl>
  </w:abstractNum>
  <w:abstractNum w:abstractNumId="2">
    <w:nsid w:val="4196DE34"/>
    <w:multiLevelType w:val="singleLevel"/>
    <w:tmpl w:val="4196DE34"/>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F1361C"/>
    <w:rsid w:val="000222C6"/>
    <w:rsid w:val="0002549F"/>
    <w:rsid w:val="000468DB"/>
    <w:rsid w:val="0006487A"/>
    <w:rsid w:val="00065F8F"/>
    <w:rsid w:val="00070A43"/>
    <w:rsid w:val="000768F2"/>
    <w:rsid w:val="000854F9"/>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38A4"/>
    <w:rsid w:val="00174518"/>
    <w:rsid w:val="0018106D"/>
    <w:rsid w:val="001877A7"/>
    <w:rsid w:val="00191536"/>
    <w:rsid w:val="00196687"/>
    <w:rsid w:val="001C0962"/>
    <w:rsid w:val="001D1D8B"/>
    <w:rsid w:val="001D6EB5"/>
    <w:rsid w:val="001D7531"/>
    <w:rsid w:val="001E737D"/>
    <w:rsid w:val="001F0592"/>
    <w:rsid w:val="001F7506"/>
    <w:rsid w:val="002006CD"/>
    <w:rsid w:val="00202B36"/>
    <w:rsid w:val="00204B7A"/>
    <w:rsid w:val="00204CDE"/>
    <w:rsid w:val="0021101A"/>
    <w:rsid w:val="00220536"/>
    <w:rsid w:val="00235629"/>
    <w:rsid w:val="00237509"/>
    <w:rsid w:val="00260C38"/>
    <w:rsid w:val="002616C0"/>
    <w:rsid w:val="00265372"/>
    <w:rsid w:val="002662AA"/>
    <w:rsid w:val="00280496"/>
    <w:rsid w:val="00294DC9"/>
    <w:rsid w:val="00295495"/>
    <w:rsid w:val="002A31DE"/>
    <w:rsid w:val="002B2613"/>
    <w:rsid w:val="002D6D05"/>
    <w:rsid w:val="002D734E"/>
    <w:rsid w:val="002F1818"/>
    <w:rsid w:val="002F567B"/>
    <w:rsid w:val="003216A9"/>
    <w:rsid w:val="00335A74"/>
    <w:rsid w:val="00357965"/>
    <w:rsid w:val="0036561B"/>
    <w:rsid w:val="0037013F"/>
    <w:rsid w:val="0037413C"/>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5057"/>
    <w:rsid w:val="00437085"/>
    <w:rsid w:val="00443880"/>
    <w:rsid w:val="004464F4"/>
    <w:rsid w:val="00471401"/>
    <w:rsid w:val="00473F31"/>
    <w:rsid w:val="0048263A"/>
    <w:rsid w:val="00487E5D"/>
    <w:rsid w:val="004A711F"/>
    <w:rsid w:val="004B199D"/>
    <w:rsid w:val="004B4690"/>
    <w:rsid w:val="004B6FEA"/>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B61CA"/>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A2"/>
    <w:rsid w:val="0066343B"/>
    <w:rsid w:val="00664777"/>
    <w:rsid w:val="006748A4"/>
    <w:rsid w:val="00681A31"/>
    <w:rsid w:val="00683E73"/>
    <w:rsid w:val="006A0156"/>
    <w:rsid w:val="006A3141"/>
    <w:rsid w:val="006A5E34"/>
    <w:rsid w:val="006B2422"/>
    <w:rsid w:val="006B2B9A"/>
    <w:rsid w:val="006C1937"/>
    <w:rsid w:val="006F020C"/>
    <w:rsid w:val="007127B7"/>
    <w:rsid w:val="0071539F"/>
    <w:rsid w:val="0071798E"/>
    <w:rsid w:val="007416B6"/>
    <w:rsid w:val="00746BD5"/>
    <w:rsid w:val="00746F48"/>
    <w:rsid w:val="00752579"/>
    <w:rsid w:val="0075311B"/>
    <w:rsid w:val="0075404D"/>
    <w:rsid w:val="0076182A"/>
    <w:rsid w:val="00763A57"/>
    <w:rsid w:val="00767B7E"/>
    <w:rsid w:val="007770C3"/>
    <w:rsid w:val="00784D24"/>
    <w:rsid w:val="00785FBA"/>
    <w:rsid w:val="00786E4A"/>
    <w:rsid w:val="007875EB"/>
    <w:rsid w:val="00791E48"/>
    <w:rsid w:val="0079426B"/>
    <w:rsid w:val="007D1682"/>
    <w:rsid w:val="007D312A"/>
    <w:rsid w:val="007D3F19"/>
    <w:rsid w:val="007E23B0"/>
    <w:rsid w:val="007E23E5"/>
    <w:rsid w:val="007F1991"/>
    <w:rsid w:val="007F2C2F"/>
    <w:rsid w:val="007F55FC"/>
    <w:rsid w:val="007F5665"/>
    <w:rsid w:val="00800112"/>
    <w:rsid w:val="00801C10"/>
    <w:rsid w:val="00813348"/>
    <w:rsid w:val="008253BB"/>
    <w:rsid w:val="00834A4E"/>
    <w:rsid w:val="0083706E"/>
    <w:rsid w:val="008408F6"/>
    <w:rsid w:val="008423A5"/>
    <w:rsid w:val="00850625"/>
    <w:rsid w:val="00853718"/>
    <w:rsid w:val="00855221"/>
    <w:rsid w:val="00860645"/>
    <w:rsid w:val="00871F71"/>
    <w:rsid w:val="00872FD8"/>
    <w:rsid w:val="00875013"/>
    <w:rsid w:val="00885AF4"/>
    <w:rsid w:val="008939CD"/>
    <w:rsid w:val="008B768C"/>
    <w:rsid w:val="008C4DB1"/>
    <w:rsid w:val="008C4EAF"/>
    <w:rsid w:val="008C5176"/>
    <w:rsid w:val="008C7FD0"/>
    <w:rsid w:val="008E199B"/>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34588"/>
    <w:rsid w:val="00A40A00"/>
    <w:rsid w:val="00A4142F"/>
    <w:rsid w:val="00A422EB"/>
    <w:rsid w:val="00A45BB7"/>
    <w:rsid w:val="00A56DF2"/>
    <w:rsid w:val="00A56E6E"/>
    <w:rsid w:val="00A61AA0"/>
    <w:rsid w:val="00A67AB5"/>
    <w:rsid w:val="00A733B2"/>
    <w:rsid w:val="00A741C2"/>
    <w:rsid w:val="00A8103C"/>
    <w:rsid w:val="00A91760"/>
    <w:rsid w:val="00A93B00"/>
    <w:rsid w:val="00A93C21"/>
    <w:rsid w:val="00AB64C9"/>
    <w:rsid w:val="00AC3C6A"/>
    <w:rsid w:val="00AC74B6"/>
    <w:rsid w:val="00AD5620"/>
    <w:rsid w:val="00AD656B"/>
    <w:rsid w:val="00AD7C1B"/>
    <w:rsid w:val="00AE16BA"/>
    <w:rsid w:val="00AE1EBE"/>
    <w:rsid w:val="00AE5B72"/>
    <w:rsid w:val="00B03C9D"/>
    <w:rsid w:val="00B060AE"/>
    <w:rsid w:val="00B10517"/>
    <w:rsid w:val="00B14E76"/>
    <w:rsid w:val="00B161B8"/>
    <w:rsid w:val="00B2048C"/>
    <w:rsid w:val="00B30C21"/>
    <w:rsid w:val="00B310B9"/>
    <w:rsid w:val="00B35F3F"/>
    <w:rsid w:val="00B36CBB"/>
    <w:rsid w:val="00B425E0"/>
    <w:rsid w:val="00B440AA"/>
    <w:rsid w:val="00B44B70"/>
    <w:rsid w:val="00B53C56"/>
    <w:rsid w:val="00B57DAF"/>
    <w:rsid w:val="00B6081F"/>
    <w:rsid w:val="00B77EA6"/>
    <w:rsid w:val="00B81598"/>
    <w:rsid w:val="00B841F1"/>
    <w:rsid w:val="00B944D6"/>
    <w:rsid w:val="00BB4DF0"/>
    <w:rsid w:val="00BB6A8B"/>
    <w:rsid w:val="00BC289F"/>
    <w:rsid w:val="00BC2D50"/>
    <w:rsid w:val="00BC4940"/>
    <w:rsid w:val="00BC5361"/>
    <w:rsid w:val="00BC5460"/>
    <w:rsid w:val="00BC6B50"/>
    <w:rsid w:val="00BD0E25"/>
    <w:rsid w:val="00BD1D4A"/>
    <w:rsid w:val="00BF5BD6"/>
    <w:rsid w:val="00C03E31"/>
    <w:rsid w:val="00C170E2"/>
    <w:rsid w:val="00C33E72"/>
    <w:rsid w:val="00C354B2"/>
    <w:rsid w:val="00C35554"/>
    <w:rsid w:val="00C42709"/>
    <w:rsid w:val="00C533CC"/>
    <w:rsid w:val="00C5751C"/>
    <w:rsid w:val="00C61BFC"/>
    <w:rsid w:val="00C62B85"/>
    <w:rsid w:val="00C65438"/>
    <w:rsid w:val="00C87FD8"/>
    <w:rsid w:val="00C91381"/>
    <w:rsid w:val="00C91CBB"/>
    <w:rsid w:val="00CA5663"/>
    <w:rsid w:val="00CB4E70"/>
    <w:rsid w:val="00CC09B6"/>
    <w:rsid w:val="00CC666F"/>
    <w:rsid w:val="00CD1E3F"/>
    <w:rsid w:val="00CE44F6"/>
    <w:rsid w:val="00CE49DA"/>
    <w:rsid w:val="00CE7B61"/>
    <w:rsid w:val="00D00095"/>
    <w:rsid w:val="00D114F0"/>
    <w:rsid w:val="00D2061B"/>
    <w:rsid w:val="00D20620"/>
    <w:rsid w:val="00D254F7"/>
    <w:rsid w:val="00D26091"/>
    <w:rsid w:val="00D2685C"/>
    <w:rsid w:val="00D34E7C"/>
    <w:rsid w:val="00D35489"/>
    <w:rsid w:val="00D36AFE"/>
    <w:rsid w:val="00D51276"/>
    <w:rsid w:val="00D56015"/>
    <w:rsid w:val="00D7035F"/>
    <w:rsid w:val="00D929DB"/>
    <w:rsid w:val="00DA634F"/>
    <w:rsid w:val="00DA65AC"/>
    <w:rsid w:val="00DB1913"/>
    <w:rsid w:val="00DC410D"/>
    <w:rsid w:val="00DC5A81"/>
    <w:rsid w:val="00DC68CA"/>
    <w:rsid w:val="00DC7A2C"/>
    <w:rsid w:val="00DC7CBA"/>
    <w:rsid w:val="00DD73B7"/>
    <w:rsid w:val="00DF28BC"/>
    <w:rsid w:val="00DF34B9"/>
    <w:rsid w:val="00E01053"/>
    <w:rsid w:val="00E07ACF"/>
    <w:rsid w:val="00E11161"/>
    <w:rsid w:val="00E331A1"/>
    <w:rsid w:val="00E33202"/>
    <w:rsid w:val="00E336A9"/>
    <w:rsid w:val="00E472B1"/>
    <w:rsid w:val="00E50624"/>
    <w:rsid w:val="00E54633"/>
    <w:rsid w:val="00E568DF"/>
    <w:rsid w:val="00E64269"/>
    <w:rsid w:val="00E82267"/>
    <w:rsid w:val="00E853CE"/>
    <w:rsid w:val="00E867B6"/>
    <w:rsid w:val="00EA010F"/>
    <w:rsid w:val="00ED1B63"/>
    <w:rsid w:val="00ED1C02"/>
    <w:rsid w:val="00ED3C1F"/>
    <w:rsid w:val="00ED4085"/>
    <w:rsid w:val="00ED420E"/>
    <w:rsid w:val="00ED6FBE"/>
    <w:rsid w:val="00EE2F57"/>
    <w:rsid w:val="00EF4C34"/>
    <w:rsid w:val="00EF77C6"/>
    <w:rsid w:val="00F05438"/>
    <w:rsid w:val="00F1361C"/>
    <w:rsid w:val="00F156F0"/>
    <w:rsid w:val="00F160C7"/>
    <w:rsid w:val="00F17821"/>
    <w:rsid w:val="00F22188"/>
    <w:rsid w:val="00F2408F"/>
    <w:rsid w:val="00F240E9"/>
    <w:rsid w:val="00F36D8F"/>
    <w:rsid w:val="00F417B1"/>
    <w:rsid w:val="00F45853"/>
    <w:rsid w:val="00F602DF"/>
    <w:rsid w:val="00F754A1"/>
    <w:rsid w:val="00F81FD9"/>
    <w:rsid w:val="00F841AA"/>
    <w:rsid w:val="00F84A94"/>
    <w:rsid w:val="00F87E96"/>
    <w:rsid w:val="00F93663"/>
    <w:rsid w:val="00FA23E8"/>
    <w:rsid w:val="00FD3CC1"/>
    <w:rsid w:val="00FF1E02"/>
    <w:rsid w:val="00FF30B4"/>
    <w:rsid w:val="012A5EC2"/>
    <w:rsid w:val="015975B8"/>
    <w:rsid w:val="02FEBE30"/>
    <w:rsid w:val="03563436"/>
    <w:rsid w:val="03916C4C"/>
    <w:rsid w:val="04916F1E"/>
    <w:rsid w:val="04D12B91"/>
    <w:rsid w:val="061E35DE"/>
    <w:rsid w:val="066D76E9"/>
    <w:rsid w:val="066E0107"/>
    <w:rsid w:val="07996F6E"/>
    <w:rsid w:val="07BC60B3"/>
    <w:rsid w:val="07DFD8BA"/>
    <w:rsid w:val="08FA1588"/>
    <w:rsid w:val="09867E8F"/>
    <w:rsid w:val="09E85885"/>
    <w:rsid w:val="0A2032A3"/>
    <w:rsid w:val="0CA8290A"/>
    <w:rsid w:val="0CD042A4"/>
    <w:rsid w:val="0D1C2169"/>
    <w:rsid w:val="0D35B1ED"/>
    <w:rsid w:val="0E254B6B"/>
    <w:rsid w:val="0F98263C"/>
    <w:rsid w:val="101860EC"/>
    <w:rsid w:val="101F47CC"/>
    <w:rsid w:val="108F6A5A"/>
    <w:rsid w:val="10C055FF"/>
    <w:rsid w:val="11694EBD"/>
    <w:rsid w:val="11772AA4"/>
    <w:rsid w:val="118107EC"/>
    <w:rsid w:val="12B96010"/>
    <w:rsid w:val="12E24EE2"/>
    <w:rsid w:val="13D50BC4"/>
    <w:rsid w:val="13D824C6"/>
    <w:rsid w:val="14B17F78"/>
    <w:rsid w:val="155A55F5"/>
    <w:rsid w:val="165E0673"/>
    <w:rsid w:val="16B831D5"/>
    <w:rsid w:val="16BB723D"/>
    <w:rsid w:val="17485BB5"/>
    <w:rsid w:val="17E50567"/>
    <w:rsid w:val="186504BB"/>
    <w:rsid w:val="19A075E2"/>
    <w:rsid w:val="19A445FC"/>
    <w:rsid w:val="1BAD4F97"/>
    <w:rsid w:val="1BE8440E"/>
    <w:rsid w:val="1CC6347C"/>
    <w:rsid w:val="1D155CEE"/>
    <w:rsid w:val="1D1638FE"/>
    <w:rsid w:val="1DFE521F"/>
    <w:rsid w:val="1E312DEB"/>
    <w:rsid w:val="1E740ACF"/>
    <w:rsid w:val="1FF35744"/>
    <w:rsid w:val="1FF6BC77"/>
    <w:rsid w:val="20BE48C0"/>
    <w:rsid w:val="21524603"/>
    <w:rsid w:val="2186353C"/>
    <w:rsid w:val="225670CD"/>
    <w:rsid w:val="23860B96"/>
    <w:rsid w:val="240371BF"/>
    <w:rsid w:val="244F3473"/>
    <w:rsid w:val="24C97D99"/>
    <w:rsid w:val="25A718F0"/>
    <w:rsid w:val="25BB59F6"/>
    <w:rsid w:val="260F557C"/>
    <w:rsid w:val="26970054"/>
    <w:rsid w:val="281408E2"/>
    <w:rsid w:val="29FD04D3"/>
    <w:rsid w:val="2BFF7BC6"/>
    <w:rsid w:val="2C8A61B5"/>
    <w:rsid w:val="2DF04E50"/>
    <w:rsid w:val="2E586DFA"/>
    <w:rsid w:val="2EF96E1E"/>
    <w:rsid w:val="2F040D46"/>
    <w:rsid w:val="2F6B035B"/>
    <w:rsid w:val="2FAE5751"/>
    <w:rsid w:val="2FB1A395"/>
    <w:rsid w:val="2FB87278"/>
    <w:rsid w:val="2FD9A7D8"/>
    <w:rsid w:val="2FDBF714"/>
    <w:rsid w:val="2FDE0B4A"/>
    <w:rsid w:val="30AB6865"/>
    <w:rsid w:val="319F7F4E"/>
    <w:rsid w:val="32BD1EF1"/>
    <w:rsid w:val="3304709D"/>
    <w:rsid w:val="33A773CB"/>
    <w:rsid w:val="349D6851"/>
    <w:rsid w:val="36AA5135"/>
    <w:rsid w:val="36BE0DA7"/>
    <w:rsid w:val="36C941C4"/>
    <w:rsid w:val="37346E22"/>
    <w:rsid w:val="376B6AA6"/>
    <w:rsid w:val="376D39B2"/>
    <w:rsid w:val="37E16F03"/>
    <w:rsid w:val="37F53A3B"/>
    <w:rsid w:val="38211DDE"/>
    <w:rsid w:val="389B6C89"/>
    <w:rsid w:val="38D469F0"/>
    <w:rsid w:val="39047736"/>
    <w:rsid w:val="39627CCD"/>
    <w:rsid w:val="397BAF1F"/>
    <w:rsid w:val="39972358"/>
    <w:rsid w:val="3AB79AF3"/>
    <w:rsid w:val="3ADD023E"/>
    <w:rsid w:val="3AE834C0"/>
    <w:rsid w:val="3B7EF35A"/>
    <w:rsid w:val="3B9FDB6C"/>
    <w:rsid w:val="3BF5BC2F"/>
    <w:rsid w:val="3C2D6FA3"/>
    <w:rsid w:val="3CEBA265"/>
    <w:rsid w:val="3D0C24DC"/>
    <w:rsid w:val="3D4B4D98"/>
    <w:rsid w:val="3D98207C"/>
    <w:rsid w:val="3DEE7CF3"/>
    <w:rsid w:val="3DF17B5D"/>
    <w:rsid w:val="3E740A63"/>
    <w:rsid w:val="3E78745D"/>
    <w:rsid w:val="3EE17838"/>
    <w:rsid w:val="3F55381A"/>
    <w:rsid w:val="3F7F7599"/>
    <w:rsid w:val="3FF4CAE0"/>
    <w:rsid w:val="3FF7B227"/>
    <w:rsid w:val="40B758A5"/>
    <w:rsid w:val="40DC2D46"/>
    <w:rsid w:val="41782A6F"/>
    <w:rsid w:val="43CC351F"/>
    <w:rsid w:val="44731817"/>
    <w:rsid w:val="44E268DA"/>
    <w:rsid w:val="450D13D7"/>
    <w:rsid w:val="45506656"/>
    <w:rsid w:val="479F4433"/>
    <w:rsid w:val="47DD7AD0"/>
    <w:rsid w:val="486A6C7A"/>
    <w:rsid w:val="4A627F82"/>
    <w:rsid w:val="4B0E749A"/>
    <w:rsid w:val="4B2477C4"/>
    <w:rsid w:val="4B4F25DA"/>
    <w:rsid w:val="4BE068DB"/>
    <w:rsid w:val="4D577224"/>
    <w:rsid w:val="4DBF1CEB"/>
    <w:rsid w:val="4DF0007C"/>
    <w:rsid w:val="4EAB630A"/>
    <w:rsid w:val="4ECE2238"/>
    <w:rsid w:val="4F833267"/>
    <w:rsid w:val="4FE9BD67"/>
    <w:rsid w:val="4FFB052F"/>
    <w:rsid w:val="50BB2978"/>
    <w:rsid w:val="53660A6A"/>
    <w:rsid w:val="537E6D0A"/>
    <w:rsid w:val="53F74C96"/>
    <w:rsid w:val="545D78A2"/>
    <w:rsid w:val="55170BA8"/>
    <w:rsid w:val="553218C9"/>
    <w:rsid w:val="567E1AA5"/>
    <w:rsid w:val="56E47B74"/>
    <w:rsid w:val="57175D52"/>
    <w:rsid w:val="57BC4905"/>
    <w:rsid w:val="57BD3DD4"/>
    <w:rsid w:val="5AF92295"/>
    <w:rsid w:val="5B250254"/>
    <w:rsid w:val="5BDD79E6"/>
    <w:rsid w:val="5BF561CA"/>
    <w:rsid w:val="5BFF5DFC"/>
    <w:rsid w:val="5CD71FC4"/>
    <w:rsid w:val="5D0C5D98"/>
    <w:rsid w:val="5D1F11B5"/>
    <w:rsid w:val="5D695134"/>
    <w:rsid w:val="5DAE1B18"/>
    <w:rsid w:val="5DE7D9E5"/>
    <w:rsid w:val="5ECEC941"/>
    <w:rsid w:val="5FBF9FF3"/>
    <w:rsid w:val="5FCD4E2C"/>
    <w:rsid w:val="5FEF394A"/>
    <w:rsid w:val="5FF67715"/>
    <w:rsid w:val="62BF3928"/>
    <w:rsid w:val="62EA7DAC"/>
    <w:rsid w:val="63B3701E"/>
    <w:rsid w:val="647F5392"/>
    <w:rsid w:val="65E66580"/>
    <w:rsid w:val="664B1D71"/>
    <w:rsid w:val="664B4E8E"/>
    <w:rsid w:val="67256946"/>
    <w:rsid w:val="67277B67"/>
    <w:rsid w:val="67AA3209"/>
    <w:rsid w:val="698D0931"/>
    <w:rsid w:val="6A7FE5F3"/>
    <w:rsid w:val="6B053271"/>
    <w:rsid w:val="6BDD78B3"/>
    <w:rsid w:val="6C4A05C8"/>
    <w:rsid w:val="6C8742B8"/>
    <w:rsid w:val="6DBF5E93"/>
    <w:rsid w:val="6DFF077E"/>
    <w:rsid w:val="6E714EF0"/>
    <w:rsid w:val="6E7E3605"/>
    <w:rsid w:val="6E7FDCC7"/>
    <w:rsid w:val="6ED6A62E"/>
    <w:rsid w:val="6EE00B15"/>
    <w:rsid w:val="6F6FB3EB"/>
    <w:rsid w:val="6F8731EA"/>
    <w:rsid w:val="6FAC25D0"/>
    <w:rsid w:val="6FCE6052"/>
    <w:rsid w:val="6FD57C00"/>
    <w:rsid w:val="6FEFFFD8"/>
    <w:rsid w:val="6FF5CC65"/>
    <w:rsid w:val="6FFB47EC"/>
    <w:rsid w:val="6FFF034A"/>
    <w:rsid w:val="70484440"/>
    <w:rsid w:val="712A28F1"/>
    <w:rsid w:val="715C0E4B"/>
    <w:rsid w:val="71992E7C"/>
    <w:rsid w:val="719B7F30"/>
    <w:rsid w:val="72233669"/>
    <w:rsid w:val="72734D90"/>
    <w:rsid w:val="73160E6D"/>
    <w:rsid w:val="7332FE48"/>
    <w:rsid w:val="73881AD7"/>
    <w:rsid w:val="73AB61DA"/>
    <w:rsid w:val="73AD73D5"/>
    <w:rsid w:val="73B6EB34"/>
    <w:rsid w:val="73FA497D"/>
    <w:rsid w:val="744731E5"/>
    <w:rsid w:val="74BBD01D"/>
    <w:rsid w:val="74ED5379"/>
    <w:rsid w:val="75DEEEC2"/>
    <w:rsid w:val="75E32345"/>
    <w:rsid w:val="75F15D6C"/>
    <w:rsid w:val="76133898"/>
    <w:rsid w:val="76E3355F"/>
    <w:rsid w:val="76FF5125"/>
    <w:rsid w:val="772B0904"/>
    <w:rsid w:val="776F6FFA"/>
    <w:rsid w:val="778769C8"/>
    <w:rsid w:val="77A75DCA"/>
    <w:rsid w:val="77DC22F5"/>
    <w:rsid w:val="783E271A"/>
    <w:rsid w:val="78616DE9"/>
    <w:rsid w:val="78E875D7"/>
    <w:rsid w:val="78EF7714"/>
    <w:rsid w:val="79086DAD"/>
    <w:rsid w:val="79D7FD79"/>
    <w:rsid w:val="79EE5BA4"/>
    <w:rsid w:val="7A894339"/>
    <w:rsid w:val="7AD284E8"/>
    <w:rsid w:val="7AFF7572"/>
    <w:rsid w:val="7B6C7DFB"/>
    <w:rsid w:val="7BBFBED0"/>
    <w:rsid w:val="7BC3E394"/>
    <w:rsid w:val="7C1F3737"/>
    <w:rsid w:val="7CBFC87B"/>
    <w:rsid w:val="7CFE0F48"/>
    <w:rsid w:val="7D272ABC"/>
    <w:rsid w:val="7D7EC23E"/>
    <w:rsid w:val="7E525E1A"/>
    <w:rsid w:val="7E8ADEBF"/>
    <w:rsid w:val="7EEF11D3"/>
    <w:rsid w:val="7EFE4840"/>
    <w:rsid w:val="7F0971A6"/>
    <w:rsid w:val="7F1D62E7"/>
    <w:rsid w:val="7F3F679B"/>
    <w:rsid w:val="7F4067B2"/>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6"/>
    <w:qFormat/>
    <w:uiPriority w:val="99"/>
    <w:pPr>
      <w:spacing w:beforeLines="30"/>
    </w:pPr>
    <w:rPr>
      <w:rFonts w:ascii="仿宋_GB2312" w:eastAsia="仿宋_GB2312"/>
      <w:kern w:val="0"/>
      <w:sz w:val="30"/>
    </w:rPr>
  </w:style>
  <w:style w:type="paragraph" w:styleId="7">
    <w:name w:val="Body Text Indent"/>
    <w:basedOn w:val="1"/>
    <w:next w:val="8"/>
    <w:qFormat/>
    <w:uiPriority w:val="0"/>
    <w:pPr>
      <w:spacing w:after="120"/>
      <w:ind w:left="200" w:leftChars="200"/>
    </w:pPr>
    <w:rPr>
      <w:rFonts w:ascii="仿宋_GB2312"/>
      <w:szCs w:val="32"/>
    </w:rPr>
  </w:style>
  <w:style w:type="paragraph" w:styleId="8">
    <w:name w:val="Body Text First Indent 2"/>
    <w:basedOn w:val="7"/>
    <w:unhideWhenUsed/>
    <w:qFormat/>
    <w:uiPriority w:val="99"/>
    <w:pPr>
      <w:ind w:firstLine="420" w:firstLineChars="200"/>
    </w:p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2"/>
    <w:semiHidden/>
    <w:unhideWhenUsed/>
    <w:qFormat/>
    <w:uiPriority w:val="99"/>
    <w:rPr>
      <w:sz w:val="18"/>
      <w:szCs w:val="18"/>
    </w:rPr>
  </w:style>
  <w:style w:type="paragraph" w:styleId="11">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footnote text"/>
    <w:basedOn w:val="1"/>
    <w:next w:val="8"/>
    <w:semiHidden/>
    <w:qFormat/>
    <w:uiPriority w:val="0"/>
    <w:pPr>
      <w:snapToGrid w:val="0"/>
      <w:jc w:val="left"/>
    </w:pPr>
    <w:rPr>
      <w:sz w:val="18"/>
      <w:szCs w:val="18"/>
    </w:rPr>
  </w:style>
  <w:style w:type="paragraph" w:styleId="15">
    <w:name w:val="toc 2"/>
    <w:basedOn w:val="1"/>
    <w:next w:val="1"/>
    <w:unhideWhenUsed/>
    <w:qFormat/>
    <w:uiPriority w:val="39"/>
    <w:pPr>
      <w:tabs>
        <w:tab w:val="right" w:leader="dot" w:pos="8296"/>
      </w:tabs>
      <w:ind w:left="420" w:leftChars="200"/>
    </w:pPr>
  </w:style>
  <w:style w:type="paragraph" w:styleId="16">
    <w:name w:val="Normal (Web)"/>
    <w:basedOn w:val="1"/>
    <w:autoRedefine/>
    <w:qFormat/>
    <w:uiPriority w:val="0"/>
    <w:pPr>
      <w:widowControl/>
      <w:spacing w:before="100" w:beforeAutospacing="1" w:after="100" w:afterAutospacing="1"/>
      <w:ind w:firstLine="640" w:firstLineChars="200"/>
      <w:jc w:val="left"/>
    </w:pPr>
    <w:rPr>
      <w:rFonts w:ascii="仿宋_GB2312" w:hAnsi="仿宋_GB2312" w:eastAsia="仿宋_GB2312" w:cs="仿宋_GB2312"/>
      <w:color w:val="000000"/>
      <w:kern w:val="0"/>
      <w:sz w:val="32"/>
      <w:szCs w:val="32"/>
    </w:rPr>
  </w:style>
  <w:style w:type="character" w:styleId="19">
    <w:name w:val="Strong"/>
    <w:basedOn w:val="18"/>
    <w:qFormat/>
    <w:uiPriority w:val="99"/>
    <w:rPr>
      <w:b/>
    </w:rPr>
  </w:style>
  <w:style w:type="character" w:styleId="20">
    <w:name w:val="Hyperlink"/>
    <w:basedOn w:val="18"/>
    <w:unhideWhenUsed/>
    <w:qFormat/>
    <w:uiPriority w:val="99"/>
    <w:rPr>
      <w:color w:val="0000FF" w:themeColor="hyperlink"/>
      <w:u w:val="single"/>
    </w:rPr>
  </w:style>
  <w:style w:type="character" w:customStyle="1" w:styleId="21">
    <w:name w:val="Header Char"/>
    <w:basedOn w:val="18"/>
    <w:semiHidden/>
    <w:qFormat/>
    <w:uiPriority w:val="99"/>
    <w:rPr>
      <w:rFonts w:ascii="Times New Roman" w:hAnsi="Times New Roman"/>
      <w:sz w:val="18"/>
      <w:szCs w:val="18"/>
    </w:rPr>
  </w:style>
  <w:style w:type="character" w:customStyle="1" w:styleId="22">
    <w:name w:val="页眉 Char"/>
    <w:link w:val="12"/>
    <w:semiHidden/>
    <w:qFormat/>
    <w:locked/>
    <w:uiPriority w:val="99"/>
    <w:rPr>
      <w:sz w:val="18"/>
    </w:rPr>
  </w:style>
  <w:style w:type="character" w:customStyle="1" w:styleId="23">
    <w:name w:val="Footer Char"/>
    <w:basedOn w:val="18"/>
    <w:semiHidden/>
    <w:qFormat/>
    <w:uiPriority w:val="99"/>
    <w:rPr>
      <w:rFonts w:ascii="Times New Roman" w:hAnsi="Times New Roman"/>
      <w:sz w:val="18"/>
      <w:szCs w:val="18"/>
    </w:rPr>
  </w:style>
  <w:style w:type="character" w:customStyle="1" w:styleId="24">
    <w:name w:val="页脚 Char"/>
    <w:link w:val="11"/>
    <w:qFormat/>
    <w:locked/>
    <w:uiPriority w:val="99"/>
    <w:rPr>
      <w:sz w:val="18"/>
    </w:rPr>
  </w:style>
  <w:style w:type="character" w:customStyle="1" w:styleId="25">
    <w:name w:val="Body Text Char"/>
    <w:basedOn w:val="18"/>
    <w:semiHidden/>
    <w:qFormat/>
    <w:uiPriority w:val="99"/>
    <w:rPr>
      <w:rFonts w:ascii="Times New Roman" w:hAnsi="Times New Roman"/>
      <w:szCs w:val="24"/>
    </w:rPr>
  </w:style>
  <w:style w:type="character" w:customStyle="1" w:styleId="26">
    <w:name w:val="正文文本 Char"/>
    <w:link w:val="6"/>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99"/>
    <w:pPr>
      <w:ind w:firstLine="420" w:firstLineChars="200"/>
    </w:pPr>
  </w:style>
  <w:style w:type="character" w:customStyle="1" w:styleId="29">
    <w:name w:val="标题 1 Char"/>
    <w:basedOn w:val="18"/>
    <w:link w:val="3"/>
    <w:qFormat/>
    <w:uiPriority w:val="9"/>
    <w:rPr>
      <w:rFonts w:ascii="Times New Roman" w:hAnsi="Times New Roman"/>
      <w:b/>
      <w:bCs/>
      <w:kern w:val="44"/>
      <w:sz w:val="44"/>
      <w:szCs w:val="44"/>
    </w:rPr>
  </w:style>
  <w:style w:type="character" w:customStyle="1" w:styleId="30">
    <w:name w:val="标题 2 Char"/>
    <w:basedOn w:val="18"/>
    <w:link w:val="4"/>
    <w:qFormat/>
    <w:uiPriority w:val="9"/>
    <w:rPr>
      <w:rFonts w:asciiTheme="majorHAnsi" w:hAnsiTheme="majorHAnsi" w:eastAsiaTheme="majorEastAsia" w:cstheme="majorBidi"/>
      <w:b/>
      <w:bCs/>
      <w:kern w:val="2"/>
      <w:sz w:val="32"/>
      <w:szCs w:val="32"/>
    </w:rPr>
  </w:style>
  <w:style w:type="paragraph" w:customStyle="1" w:styleId="31">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2">
    <w:name w:val="批注框文本 Char"/>
    <w:basedOn w:val="18"/>
    <w:link w:val="10"/>
    <w:semiHidden/>
    <w:qFormat/>
    <w:uiPriority w:val="99"/>
    <w:rPr>
      <w:rFonts w:ascii="Times New Roman" w:hAnsi="Times New Roman"/>
      <w:kern w:val="2"/>
      <w:sz w:val="18"/>
      <w:szCs w:val="18"/>
    </w:rPr>
  </w:style>
  <w:style w:type="character" w:customStyle="1" w:styleId="33">
    <w:name w:val="标题 3 Char"/>
    <w:basedOn w:val="18"/>
    <w:link w:val="5"/>
    <w:qFormat/>
    <w:uiPriority w:val="9"/>
    <w:rPr>
      <w:rFonts w:ascii="Times New Roman" w:hAnsi="Times New Roman"/>
      <w:b/>
      <w:bCs/>
      <w:kern w:val="2"/>
      <w:sz w:val="32"/>
      <w:szCs w:val="32"/>
    </w:rPr>
  </w:style>
  <w:style w:type="paragraph" w:customStyle="1" w:styleId="34">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5">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chart" Target="charts/chart6.xml"/><Relationship Id="rId16" Type="http://schemas.openxmlformats.org/officeDocument/2006/relationships/chart" Target="charts/chart5.xml"/><Relationship Id="rId15" Type="http://schemas.openxmlformats.org/officeDocument/2006/relationships/chart" Target="charts/chart4.xml"/><Relationship Id="rId14" Type="http://schemas.openxmlformats.org/officeDocument/2006/relationships/chart" Target="charts/chart3.xml"/><Relationship Id="rId13" Type="http://schemas.openxmlformats.org/officeDocument/2006/relationships/chart" Target="charts/chart2.xml"/><Relationship Id="rId12" Type="http://schemas.openxmlformats.org/officeDocument/2006/relationships/chart" Target="charts/chart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F:\2024-202570\2025\2024&#24180;&#20915;&#31639;&#20844;&#24320;\2024&#20915;&#31639;&#20844;&#24320;&#22270;&#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F:\2024-202570\2025\2024&#24180;&#20915;&#31639;&#20844;&#24320;\2024&#20915;&#31639;&#20844;&#24320;&#22270;&#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F:\2024-202570\2025\2024&#24180;&#20915;&#31639;&#20844;&#24320;\2024&#20915;&#31639;&#20844;&#24320;&#22270;&#3492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F:\2024-202570\2025\2024&#24180;&#20915;&#31639;&#20844;&#24320;\2024&#20915;&#31639;&#20844;&#24320;&#22270;&#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F:\2024-202570\2025\2024&#24180;&#20915;&#31639;&#20844;&#24320;\2024&#20915;&#31639;&#20844;&#24320;&#22270;&#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F:\2024-202570\2025\2024&#24180;&#20915;&#31639;&#20844;&#24320;\2024&#20915;&#31639;&#20844;&#24320;&#2227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图</a:t>
            </a:r>
            <a:r>
              <a:rPr lang="en-US" altLang="zh-CN"/>
              <a:t>1   </a:t>
            </a:r>
            <a:r>
              <a:rPr lang="zh-CN" altLang="en-US"/>
              <a:t>收入、支出决算总计变动情况</a:t>
            </a:r>
            <a:endParaRPr lang="zh-CN" altLang="en-US"/>
          </a:p>
        </c:rich>
      </c:tx>
      <c:layout>
        <c:manualLayout>
          <c:xMode val="edge"/>
          <c:yMode val="edge"/>
          <c:x val="0.275216289606451"/>
          <c:y val="0.0317848410757946"/>
        </c:manualLayout>
      </c:layout>
      <c:overlay val="0"/>
      <c:spPr>
        <a:noFill/>
        <a:ln w="25400">
          <a:noFill/>
        </a:ln>
      </c:spPr>
    </c:title>
    <c:autoTitleDeleted val="0"/>
    <c:plotArea>
      <c:layout>
        <c:manualLayout>
          <c:layoutTarget val="inner"/>
          <c:xMode val="edge"/>
          <c:yMode val="edge"/>
          <c:x val="0.169616763482848"/>
          <c:y val="0.317848790219083"/>
          <c:w val="0.610620348538251"/>
          <c:h val="0.491443129492581"/>
        </c:manualLayout>
      </c:layout>
      <c:barChart>
        <c:barDir val="col"/>
        <c:grouping val="clustered"/>
        <c:varyColors val="0"/>
        <c:ser>
          <c:idx val="0"/>
          <c:order val="0"/>
          <c:tx>
            <c:strRef>
              <c:f>Sheet1!$A$58</c:f>
              <c:strCache>
                <c:ptCount val="1"/>
                <c:pt idx="0">
                  <c:v>收入、支出总计</c:v>
                </c:pt>
              </c:strCache>
            </c:strRef>
          </c:tx>
          <c:spPr>
            <a:solidFill>
              <a:srgbClr val="9999FF"/>
            </a:solidFill>
            <a:ln w="12700">
              <a:solidFill>
                <a:srgbClr val="000000"/>
              </a:solidFill>
              <a:prstDash val="solid"/>
            </a:ln>
          </c:spPr>
          <c:invertIfNegative val="0"/>
          <c:dLbls>
            <c:spPr>
              <a:noFill/>
              <a:ln w="25400">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Sheet1!$B$58:$C$58</c:f>
              <c:numCache>
                <c:formatCode>General</c:formatCode>
                <c:ptCount val="2"/>
                <c:pt idx="0">
                  <c:v>2023</c:v>
                </c:pt>
                <c:pt idx="1">
                  <c:v>2024</c:v>
                </c:pt>
              </c:numCache>
            </c:numRef>
          </c:cat>
          <c:val>
            <c:numRef>
              <c:f>Sheet1!$B$59:$C$59</c:f>
              <c:numCache>
                <c:formatCode>General</c:formatCode>
                <c:ptCount val="2"/>
                <c:pt idx="0">
                  <c:v>400.68</c:v>
                </c:pt>
                <c:pt idx="1">
                  <c:v>451.88</c:v>
                </c:pt>
              </c:numCache>
            </c:numRef>
          </c:val>
        </c:ser>
        <c:dLbls>
          <c:showLegendKey val="0"/>
          <c:showVal val="1"/>
          <c:showCatName val="0"/>
          <c:showSerName val="0"/>
          <c:showPercent val="0"/>
          <c:showBubbleSize val="0"/>
        </c:dLbls>
        <c:gapWidth val="150"/>
        <c:axId val="178369280"/>
        <c:axId val="197535232"/>
      </c:barChart>
      <c:catAx>
        <c:axId val="178369280"/>
        <c:scaling>
          <c:orientation val="minMax"/>
        </c:scaling>
        <c:delete val="0"/>
        <c:axPos val="b"/>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97535232"/>
        <c:crosses val="autoZero"/>
        <c:auto val="1"/>
        <c:lblAlgn val="ctr"/>
        <c:lblOffset val="100"/>
        <c:tickLblSkip val="1"/>
        <c:noMultiLvlLbl val="0"/>
      </c:catAx>
      <c:valAx>
        <c:axId val="197535232"/>
        <c:scaling>
          <c:orientation val="minMax"/>
        </c:scaling>
        <c:delete val="0"/>
        <c:axPos val="l"/>
        <c:majorGridlines>
          <c:spPr>
            <a:ln w="3175" cap="flat" cmpd="sng" algn="ctr">
              <a:solidFill>
                <a:srgbClr val="000000"/>
              </a:solidFill>
              <a:prstDash val="solid"/>
              <a:round/>
            </a:ln>
          </c:spPr>
        </c:majorGridlines>
        <c:numFmt formatCode="General"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78369280"/>
        <c:crosses val="autoZero"/>
        <c:crossBetween val="between"/>
      </c:valAx>
      <c:spPr>
        <a:solidFill>
          <a:srgbClr val="C0C0C0"/>
        </a:solidFill>
        <a:ln w="12700">
          <a:solidFill>
            <a:srgbClr val="808080"/>
          </a:solidFill>
          <a:prstDash val="solid"/>
        </a:ln>
      </c:spPr>
    </c:plotArea>
    <c:legend>
      <c:legendPos val="r"/>
      <c:layout>
        <c:manualLayout>
          <c:xMode val="edge"/>
          <c:yMode val="edge"/>
          <c:x val="0.7955"/>
          <c:y val="0.507"/>
          <c:w val="0.193832599118943"/>
          <c:h val="0.0513517614464659"/>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01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111ddc39-c03e-449b-a285-c967da61a1de}"/>
      </c:ext>
    </c:extLst>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6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图</a:t>
            </a:r>
            <a:r>
              <a:rPr lang="en-US" altLang="zh-CN"/>
              <a:t>2    </a:t>
            </a:r>
            <a:r>
              <a:rPr lang="zh-CN" altLang="en-US"/>
              <a:t>收入决算结构图</a:t>
            </a:r>
            <a:endParaRPr lang="zh-CN" altLang="en-US"/>
          </a:p>
        </c:rich>
      </c:tx>
      <c:layout>
        <c:manualLayout>
          <c:xMode val="edge"/>
          <c:yMode val="edge"/>
          <c:x val="0.337607286268704"/>
          <c:y val="0.0332409972299169"/>
        </c:manualLayout>
      </c:layout>
      <c:overlay val="0"/>
      <c:spPr>
        <a:noFill/>
        <a:ln w="25400">
          <a:noFill/>
        </a:ln>
      </c:spPr>
    </c:title>
    <c:autoTitleDeleted val="0"/>
    <c:plotArea>
      <c:layout>
        <c:manualLayout>
          <c:layoutTarget val="inner"/>
          <c:xMode val="edge"/>
          <c:yMode val="edge"/>
          <c:x val="0.23538045301714"/>
          <c:y val="0.437673722182472"/>
          <c:w val="0.195906712449048"/>
          <c:h val="0.371191637800324"/>
        </c:manualLayout>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Pt>
            <c:idx val="5"/>
            <c:bubble3D val="0"/>
            <c:spPr>
              <a:solidFill>
                <a:srgbClr val="FF8080"/>
              </a:solidFill>
              <a:ln w="12700">
                <a:solidFill>
                  <a:srgbClr val="000000"/>
                </a:solidFill>
                <a:prstDash val="solid"/>
              </a:ln>
            </c:spPr>
          </c:dPt>
          <c:dLbls>
            <c:dLbl>
              <c:idx val="2"/>
              <c:layout>
                <c:manualLayout>
                  <c:x val="0.0244091437427354"/>
                  <c:y val="-0.159919028340081"/>
                </c:manualLayout>
              </c:layout>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3"/>
              <c:layout>
                <c:manualLayout>
                  <c:x val="0.222006974041069"/>
                  <c:y val="0.255060728744939"/>
                </c:manualLayout>
              </c:layout>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4"/>
              <c:layout>
                <c:manualLayout>
                  <c:x val="0.259201859744285"/>
                  <c:y val="-0.0485829959514171"/>
                </c:manualLayout>
              </c:layout>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5"/>
              <c:layout>
                <c:manualLayout>
                  <c:x val="-0.169701666020922"/>
                  <c:y val="-0.097165991902834"/>
                </c:manualLayout>
              </c:layout>
              <c:tx>
                <c:rich>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en-US" altLang="en-US"/>
                      <a:t>5, 1.10%</a:t>
                    </a:r>
                    <a:endParaRPr lang="en-US" altLang="en-US"/>
                  </a:p>
                </c:rich>
              </c:tx>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numFmt formatCode="0%" sourceLinked="0"/>
            <c:spPr>
              <a:noFill/>
              <a:ln w="25400">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3175" cap="flat" cmpd="sng" algn="ctr">
                      <a:solidFill>
                        <a:srgbClr val="000000"/>
                      </a:solidFill>
                      <a:prstDash val="solid"/>
                      <a:round/>
                    </a:ln>
                  </c:spPr>
                </c15:leaderLines>
              </c:ext>
            </c:extLst>
          </c:dLbls>
          <c:cat>
            <c:strRef>
              <c:f>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Sheet1!$C$3:$C$8</c:f>
              <c:numCache>
                <c:formatCode>General</c:formatCode>
                <c:ptCount val="6"/>
                <c:pt idx="0">
                  <c:v>446.88</c:v>
                </c:pt>
                <c:pt idx="1">
                  <c:v>0</c:v>
                </c:pt>
                <c:pt idx="2">
                  <c:v>0</c:v>
                </c:pt>
                <c:pt idx="3">
                  <c:v>0</c:v>
                </c:pt>
                <c:pt idx="4">
                  <c:v>0</c:v>
                </c:pt>
                <c:pt idx="5">
                  <c:v>5</c:v>
                </c:pt>
              </c:numCache>
            </c:numRef>
          </c:val>
        </c:ser>
        <c:ser>
          <c:idx val="1"/>
          <c:order val="1"/>
          <c:spPr>
            <a:solidFill>
              <a:srgbClr val="993366"/>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Pt>
            <c:idx val="5"/>
            <c:bubble3D val="0"/>
            <c:spPr>
              <a:solidFill>
                <a:srgbClr val="FF8080"/>
              </a:solidFill>
              <a:ln w="12700">
                <a:solidFill>
                  <a:srgbClr val="000000"/>
                </a:solidFill>
                <a:prstDash val="solid"/>
              </a:ln>
            </c:spPr>
          </c:dPt>
          <c:dLbls>
            <c:delete val="1"/>
          </c:dLbls>
          <c:cat>
            <c:strRef>
              <c:f>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Sheet1!$D$3:$D$8</c:f>
              <c:numCache>
                <c:formatCode>0.00%</c:formatCode>
                <c:ptCount val="6"/>
                <c:pt idx="0">
                  <c:v>0.989</c:v>
                </c:pt>
                <c:pt idx="1">
                  <c:v>0</c:v>
                </c:pt>
                <c:pt idx="2">
                  <c:v>0</c:v>
                </c:pt>
                <c:pt idx="3">
                  <c:v>0</c:v>
                </c:pt>
                <c:pt idx="4">
                  <c:v>0</c:v>
                </c:pt>
                <c:pt idx="5">
                  <c:v>0.011</c:v>
                </c:pt>
              </c:numCache>
            </c:numRef>
          </c:val>
        </c:ser>
        <c:dLbls>
          <c:showLegendKey val="0"/>
          <c:showVal val="0"/>
          <c:showCatName val="0"/>
          <c:showSerName val="0"/>
          <c:showPercent val="0"/>
          <c:showBubbleSize val="0"/>
          <c:showLeaderLines val="1"/>
        </c:dLbls>
        <c:firstSliceAng val="0"/>
      </c:pieChart>
      <c:spPr>
        <a:noFill/>
        <a:ln w="25400">
          <a:noFill/>
        </a:ln>
      </c:spPr>
    </c:plotArea>
    <c:legend>
      <c:legendPos val="r"/>
      <c:layout>
        <c:manualLayout>
          <c:xMode val="edge"/>
          <c:yMode val="edge"/>
          <c:x val="0.659750000000001"/>
          <c:y val="0.2355"/>
          <c:w val="0.329329719110877"/>
          <c:h val="0.647773292691278"/>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01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13ddef02-14f5-443b-9186-de497173c0c0}"/>
      </c:ext>
    </c:extLst>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图</a:t>
            </a:r>
            <a:r>
              <a:rPr lang="en-US" altLang="zh-CN"/>
              <a:t>3    </a:t>
            </a:r>
            <a:r>
              <a:rPr lang="zh-CN" altLang="en-US"/>
              <a:t>支出决算结构图</a:t>
            </a:r>
            <a:endParaRPr lang="zh-CN" altLang="en-US"/>
          </a:p>
        </c:rich>
      </c:tx>
      <c:layout>
        <c:manualLayout>
          <c:xMode val="edge"/>
          <c:yMode val="edge"/>
          <c:x val="0.355648974840488"/>
          <c:y val="0.0332409972299169"/>
        </c:manualLayout>
      </c:layout>
      <c:overlay val="0"/>
      <c:spPr>
        <a:noFill/>
        <a:ln w="25400">
          <a:noFill/>
        </a:ln>
      </c:spPr>
    </c:title>
    <c:autoTitleDeleted val="0"/>
    <c:plotArea>
      <c:layout>
        <c:manualLayout>
          <c:layoutTarget val="inner"/>
          <c:xMode val="edge"/>
          <c:yMode val="edge"/>
          <c:x val="0.300000443892703"/>
          <c:y val="0.462026030375468"/>
          <c:w val="0.162121452002622"/>
          <c:h val="0.338608118151884"/>
        </c:manualLayout>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Lbls>
            <c:dLbl>
              <c:idx val="3"/>
              <c:layout>
                <c:manualLayout>
                  <c:x val="0.262432252543501"/>
                  <c:y val="-0.00834347297062403"/>
                </c:manualLayout>
              </c:layout>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220214890177807"/>
                  <c:y val="-0.0458891013384321"/>
                </c:manualLayout>
              </c:layout>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25400">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3175" cap="flat" cmpd="sng" algn="ctr">
                      <a:solidFill>
                        <a:srgbClr val="000000"/>
                      </a:solidFill>
                      <a:prstDash val="solid"/>
                      <a:round/>
                    </a:ln>
                  </c:spPr>
                </c15:leaderLines>
              </c:ext>
            </c:extLst>
          </c:dLbls>
          <c:cat>
            <c:strRef>
              <c:f>Sheet1!$B$34:$B$38</c:f>
              <c:strCache>
                <c:ptCount val="5"/>
                <c:pt idx="0">
                  <c:v>基本支出</c:v>
                </c:pt>
                <c:pt idx="1">
                  <c:v>项目支出</c:v>
                </c:pt>
                <c:pt idx="2">
                  <c:v>上缴上级支出</c:v>
                </c:pt>
                <c:pt idx="3">
                  <c:v>经营支出</c:v>
                </c:pt>
                <c:pt idx="4">
                  <c:v>对附属单位补助支出</c:v>
                </c:pt>
              </c:strCache>
            </c:strRef>
          </c:cat>
          <c:val>
            <c:numRef>
              <c:f>Sheet1!$C$34:$C$38</c:f>
              <c:numCache>
                <c:formatCode>General</c:formatCode>
                <c:ptCount val="5"/>
                <c:pt idx="0">
                  <c:v>228.63</c:v>
                </c:pt>
                <c:pt idx="1">
                  <c:v>223.25</c:v>
                </c:pt>
                <c:pt idx="2">
                  <c:v>0</c:v>
                </c:pt>
                <c:pt idx="3">
                  <c:v>0</c:v>
                </c:pt>
                <c:pt idx="4">
                  <c:v>0</c:v>
                </c:pt>
              </c:numCache>
            </c:numRef>
          </c:val>
        </c:ser>
        <c:ser>
          <c:idx val="1"/>
          <c:order val="1"/>
          <c:spPr>
            <a:solidFill>
              <a:srgbClr val="993366"/>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Lbls>
            <c:delete val="1"/>
          </c:dLbls>
          <c:cat>
            <c:strRef>
              <c:f>Sheet1!$B$34:$B$38</c:f>
              <c:strCache>
                <c:ptCount val="5"/>
                <c:pt idx="0">
                  <c:v>基本支出</c:v>
                </c:pt>
                <c:pt idx="1">
                  <c:v>项目支出</c:v>
                </c:pt>
                <c:pt idx="2">
                  <c:v>上缴上级支出</c:v>
                </c:pt>
                <c:pt idx="3">
                  <c:v>经营支出</c:v>
                </c:pt>
                <c:pt idx="4">
                  <c:v>对附属单位补助支出</c:v>
                </c:pt>
              </c:strCache>
            </c:strRef>
          </c:cat>
          <c:val>
            <c:numRef>
              <c:f>Sheet1!$D$34:$D$38</c:f>
              <c:numCache>
                <c:formatCode>0.00%</c:formatCode>
                <c:ptCount val="5"/>
                <c:pt idx="0">
                  <c:v>0.506</c:v>
                </c:pt>
                <c:pt idx="1">
                  <c:v>0.494</c:v>
                </c:pt>
                <c:pt idx="2" c:formatCode="General">
                  <c:v>0</c:v>
                </c:pt>
                <c:pt idx="3" c:formatCode="General">
                  <c:v>0</c:v>
                </c:pt>
                <c:pt idx="4" c:formatCode="General">
                  <c:v>0</c:v>
                </c:pt>
              </c:numCache>
            </c:numRef>
          </c:val>
        </c:ser>
        <c:dLbls>
          <c:showLegendKey val="0"/>
          <c:showVal val="0"/>
          <c:showCatName val="0"/>
          <c:showSerName val="0"/>
          <c:showPercent val="0"/>
          <c:showBubbleSize val="0"/>
          <c:showLeaderLines val="1"/>
        </c:dLbls>
        <c:firstSliceAng val="0"/>
      </c:pieChart>
      <c:spPr>
        <a:noFill/>
        <a:ln w="25400">
          <a:noFill/>
        </a:ln>
      </c:spPr>
    </c:plotArea>
    <c:legend>
      <c:legendPos val="r"/>
      <c:layout>
        <c:manualLayout>
          <c:xMode val="edge"/>
          <c:yMode val="edge"/>
          <c:x val="0.757"/>
          <c:y val="0.4175"/>
          <c:w val="0.232005328751682"/>
          <c:h val="0.288545113023256"/>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01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fa3cbfae-c2d7-4191-92c0-5f2c3a55acdc}"/>
      </c:ext>
    </c:extLst>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图</a:t>
            </a:r>
            <a:r>
              <a:rPr lang="en-US" altLang="zh-CN"/>
              <a:t>5      </a:t>
            </a:r>
            <a:r>
              <a:rPr lang="zh-CN" altLang="en-US"/>
              <a:t>财政拨款收、支出决算总计变动情况</a:t>
            </a:r>
            <a:endParaRPr lang="zh-CN" altLang="en-US"/>
          </a:p>
        </c:rich>
      </c:tx>
      <c:layout>
        <c:manualLayout>
          <c:xMode val="edge"/>
          <c:yMode val="edge"/>
          <c:x val="0.189818133885406"/>
          <c:y val="0.0332409865197446"/>
        </c:manualLayout>
      </c:layout>
      <c:overlay val="0"/>
      <c:spPr>
        <a:noFill/>
        <a:ln w="25400">
          <a:noFill/>
        </a:ln>
      </c:spPr>
    </c:title>
    <c:autoTitleDeleted val="0"/>
    <c:plotArea>
      <c:layout>
        <c:manualLayout>
          <c:layoutTarget val="inner"/>
          <c:xMode val="edge"/>
          <c:yMode val="edge"/>
          <c:x val="0.138847858197932"/>
          <c:y val="0.351274787535411"/>
          <c:w val="0.521418020679468"/>
          <c:h val="0.430594900849859"/>
        </c:manualLayout>
      </c:layout>
      <c:barChart>
        <c:barDir val="col"/>
        <c:grouping val="clustered"/>
        <c:varyColors val="0"/>
        <c:ser>
          <c:idx val="0"/>
          <c:order val="0"/>
          <c:tx>
            <c:strRef>
              <c:f>Sheet1!$A$85</c:f>
              <c:strCache>
                <c:ptCount val="1"/>
                <c:pt idx="0">
                  <c:v>一般公共预算财政拨款支出</c:v>
                </c:pt>
              </c:strCache>
            </c:strRef>
          </c:tx>
          <c:spPr>
            <a:solidFill>
              <a:srgbClr val="9999FF"/>
            </a:solidFill>
            <a:ln w="12700">
              <a:solidFill>
                <a:srgbClr val="000000"/>
              </a:solidFill>
              <a:prstDash val="solid"/>
            </a:ln>
          </c:spPr>
          <c:invertIfNegative val="0"/>
          <c:dLbls>
            <c:spPr>
              <a:noFill/>
              <a:ln w="25400">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Sheet1!$B$84:$C$84</c:f>
              <c:numCache>
                <c:formatCode>General</c:formatCode>
                <c:ptCount val="2"/>
                <c:pt idx="0">
                  <c:v>2023</c:v>
                </c:pt>
                <c:pt idx="1">
                  <c:v>2024</c:v>
                </c:pt>
              </c:numCache>
            </c:numRef>
          </c:cat>
          <c:val>
            <c:numRef>
              <c:f>Sheet1!$B$85:$C$85</c:f>
              <c:numCache>
                <c:formatCode>General</c:formatCode>
                <c:ptCount val="2"/>
                <c:pt idx="0">
                  <c:v>390.68</c:v>
                </c:pt>
                <c:pt idx="1">
                  <c:v>446.88</c:v>
                </c:pt>
              </c:numCache>
            </c:numRef>
          </c:val>
        </c:ser>
        <c:dLbls>
          <c:showLegendKey val="0"/>
          <c:showVal val="1"/>
          <c:showCatName val="0"/>
          <c:showSerName val="0"/>
          <c:showPercent val="0"/>
          <c:showBubbleSize val="0"/>
        </c:dLbls>
        <c:gapWidth val="150"/>
        <c:axId val="199402624"/>
        <c:axId val="199404160"/>
      </c:barChart>
      <c:catAx>
        <c:axId val="199402624"/>
        <c:scaling>
          <c:orientation val="minMax"/>
        </c:scaling>
        <c:delete val="0"/>
        <c:axPos val="b"/>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99404160"/>
        <c:crosses val="autoZero"/>
        <c:auto val="1"/>
        <c:lblAlgn val="ctr"/>
        <c:lblOffset val="100"/>
        <c:tickLblSkip val="1"/>
        <c:noMultiLvlLbl val="0"/>
      </c:catAx>
      <c:valAx>
        <c:axId val="199404160"/>
        <c:scaling>
          <c:orientation val="minMax"/>
        </c:scaling>
        <c:delete val="0"/>
        <c:axPos val="l"/>
        <c:majorGridlines>
          <c:spPr>
            <a:ln w="3175" cap="flat" cmpd="sng" algn="ctr">
              <a:solidFill>
                <a:srgbClr val="000000"/>
              </a:solidFill>
              <a:prstDash val="solid"/>
              <a:round/>
            </a:ln>
          </c:spPr>
        </c:majorGridlines>
        <c:numFmt formatCode="General"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99402624"/>
        <c:crosses val="autoZero"/>
        <c:crossBetween val="between"/>
      </c:valAx>
      <c:spPr>
        <a:solidFill>
          <a:srgbClr val="C0C0C0"/>
        </a:solidFill>
        <a:ln w="12700">
          <a:solidFill>
            <a:srgbClr val="808080"/>
          </a:solidFill>
          <a:prstDash val="solid"/>
        </a:ln>
      </c:spPr>
    </c:plotArea>
    <c:legend>
      <c:legendPos val="r"/>
      <c:layout>
        <c:manualLayout>
          <c:xMode val="edge"/>
          <c:yMode val="edge"/>
          <c:x val="0.678750000000001"/>
          <c:y val="0.5055"/>
          <c:w val="0.309591462397168"/>
          <c:h val="0.057588076476100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01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61912de3-6a3b-4852-bcf7-e043be055189}"/>
      </c:ext>
    </c:extLst>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图</a:t>
            </a:r>
            <a:r>
              <a:rPr lang="en-US" altLang="zh-CN"/>
              <a:t>5</a:t>
            </a:r>
            <a:r>
              <a:rPr lang="zh-CN" altLang="en-US" sz="1400" b="0" i="0" u="none" strike="noStrike" baseline="0"/>
              <a:t>一般公共预算</a:t>
            </a:r>
            <a:r>
              <a:rPr lang="zh-CN" altLang="en-US"/>
              <a:t>财政拨款支出决算变动情况</a:t>
            </a:r>
            <a:endParaRPr lang="zh-CN" altLang="en-US"/>
          </a:p>
        </c:rich>
      </c:tx>
      <c:layout>
        <c:manualLayout>
          <c:xMode val="edge"/>
          <c:yMode val="edge"/>
          <c:x val="0.189818133885406"/>
          <c:y val="0.0332409865197446"/>
        </c:manualLayout>
      </c:layout>
      <c:overlay val="0"/>
      <c:spPr>
        <a:noFill/>
        <a:ln w="25400">
          <a:noFill/>
        </a:ln>
      </c:spPr>
    </c:title>
    <c:autoTitleDeleted val="0"/>
    <c:plotArea>
      <c:layout>
        <c:manualLayout>
          <c:layoutTarget val="inner"/>
          <c:xMode val="edge"/>
          <c:yMode val="edge"/>
          <c:x val="0.138847858197932"/>
          <c:y val="0.351274787535411"/>
          <c:w val="0.521418020679468"/>
          <c:h val="0.430594900849859"/>
        </c:manualLayout>
      </c:layout>
      <c:barChart>
        <c:barDir val="col"/>
        <c:grouping val="clustered"/>
        <c:varyColors val="0"/>
        <c:ser>
          <c:idx val="0"/>
          <c:order val="0"/>
          <c:tx>
            <c:strRef>
              <c:f>Sheet1!$A$85</c:f>
              <c:strCache>
                <c:ptCount val="1"/>
                <c:pt idx="0">
                  <c:v>一般公共预算财政拨款支出</c:v>
                </c:pt>
              </c:strCache>
            </c:strRef>
          </c:tx>
          <c:spPr>
            <a:solidFill>
              <a:srgbClr val="9999FF"/>
            </a:solidFill>
            <a:ln w="12700">
              <a:solidFill>
                <a:srgbClr val="000000"/>
              </a:solidFill>
              <a:prstDash val="solid"/>
            </a:ln>
          </c:spPr>
          <c:invertIfNegative val="0"/>
          <c:dLbls>
            <c:spPr>
              <a:noFill/>
              <a:ln w="25400">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Sheet1!$B$84:$C$84</c:f>
              <c:numCache>
                <c:formatCode>General</c:formatCode>
                <c:ptCount val="2"/>
                <c:pt idx="0">
                  <c:v>2023</c:v>
                </c:pt>
                <c:pt idx="1">
                  <c:v>2024</c:v>
                </c:pt>
              </c:numCache>
            </c:numRef>
          </c:cat>
          <c:val>
            <c:numRef>
              <c:f>Sheet1!$B$85:$C$85</c:f>
              <c:numCache>
                <c:formatCode>General</c:formatCode>
                <c:ptCount val="2"/>
                <c:pt idx="0">
                  <c:v>390.68</c:v>
                </c:pt>
                <c:pt idx="1">
                  <c:v>446.88</c:v>
                </c:pt>
              </c:numCache>
            </c:numRef>
          </c:val>
        </c:ser>
        <c:dLbls>
          <c:showLegendKey val="0"/>
          <c:showVal val="1"/>
          <c:showCatName val="0"/>
          <c:showSerName val="0"/>
          <c:showPercent val="0"/>
          <c:showBubbleSize val="0"/>
        </c:dLbls>
        <c:gapWidth val="150"/>
        <c:axId val="199424640"/>
        <c:axId val="199856512"/>
      </c:barChart>
      <c:catAx>
        <c:axId val="199424640"/>
        <c:scaling>
          <c:orientation val="minMax"/>
        </c:scaling>
        <c:delete val="0"/>
        <c:axPos val="b"/>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99856512"/>
        <c:crosses val="autoZero"/>
        <c:auto val="1"/>
        <c:lblAlgn val="ctr"/>
        <c:lblOffset val="100"/>
        <c:tickLblSkip val="1"/>
        <c:noMultiLvlLbl val="0"/>
      </c:catAx>
      <c:valAx>
        <c:axId val="199856512"/>
        <c:scaling>
          <c:orientation val="minMax"/>
        </c:scaling>
        <c:delete val="0"/>
        <c:axPos val="l"/>
        <c:majorGridlines>
          <c:spPr>
            <a:ln w="3175" cap="flat" cmpd="sng" algn="ctr">
              <a:solidFill>
                <a:srgbClr val="000000"/>
              </a:solidFill>
              <a:prstDash val="solid"/>
              <a:round/>
            </a:ln>
          </c:spPr>
        </c:majorGridlines>
        <c:numFmt formatCode="General"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99424640"/>
        <c:crosses val="autoZero"/>
        <c:crossBetween val="between"/>
      </c:valAx>
      <c:spPr>
        <a:solidFill>
          <a:srgbClr val="C0C0C0"/>
        </a:solidFill>
        <a:ln w="12700">
          <a:solidFill>
            <a:srgbClr val="808080"/>
          </a:solidFill>
          <a:prstDash val="solid"/>
        </a:ln>
      </c:spPr>
    </c:plotArea>
    <c:legend>
      <c:legendPos val="r"/>
      <c:layout>
        <c:manualLayout>
          <c:xMode val="edge"/>
          <c:yMode val="edge"/>
          <c:x val="0.678750000000001"/>
          <c:y val="0.5055"/>
          <c:w val="0.309591462397168"/>
          <c:h val="0.057588076476100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01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53f1df81-50f5-483c-8036-ad93acf199ab}"/>
      </c:ext>
    </c:extLst>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2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图</a:t>
            </a:r>
            <a:r>
              <a:rPr lang="en-US" altLang="zh-CN"/>
              <a:t>6    </a:t>
            </a:r>
            <a:r>
              <a:rPr lang="zh-CN" altLang="en-US"/>
              <a:t>一般公共预算财政拨款支出决算结构</a:t>
            </a:r>
            <a:endParaRPr lang="zh-CN" altLang="en-US"/>
          </a:p>
        </c:rich>
      </c:tx>
      <c:layout>
        <c:manualLayout>
          <c:xMode val="edge"/>
          <c:yMode val="edge"/>
          <c:x val="0.23562412342216"/>
          <c:y val="0.0289855072463768"/>
        </c:manualLayout>
      </c:layout>
      <c:overlay val="0"/>
      <c:spPr>
        <a:noFill/>
        <a:ln w="25400">
          <a:noFill/>
        </a:ln>
      </c:spPr>
    </c:title>
    <c:autoTitleDeleted val="0"/>
    <c:plotArea>
      <c:layout>
        <c:manualLayout>
          <c:layoutTarget val="inner"/>
          <c:xMode val="edge"/>
          <c:yMode val="edge"/>
          <c:x val="0.325179856115108"/>
          <c:y val="0.486302183055609"/>
          <c:w val="0.110791366906475"/>
          <c:h val="0.263699071093534"/>
        </c:manualLayout>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Lbls>
            <c:dLbl>
              <c:idx val="1"/>
              <c:layout>
                <c:manualLayout>
                  <c:x val="-0.0326534143218442"/>
                  <c:y val="0.0517679466727275"/>
                </c:manualLayout>
              </c:layout>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00151264850677116"/>
                  <c:y val="-0.0547394923582748"/>
                </c:manualLayout>
              </c:layout>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153033126263483"/>
                  <c:y val="0.00469500594437568"/>
                </c:manualLayout>
              </c:layout>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25400">
                <a:noFill/>
              </a:ln>
              <a:effectLst/>
            </c:spPr>
            <c:txPr>
              <a:bodyPr rot="0" spcFirstLastPara="0" vertOverflow="ellipsis" vert="horz" wrap="square" lIns="38100" tIns="19050" rIns="38100" bIns="19050" anchor="ctr" anchorCtr="1"/>
              <a:lstStyle/>
              <a:p>
                <a:pPr>
                  <a:defRPr lang="zh-CN" sz="102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3175" cap="flat" cmpd="sng" algn="ctr">
                      <a:solidFill>
                        <a:srgbClr val="000000"/>
                      </a:solidFill>
                      <a:prstDash val="solid"/>
                      <a:round/>
                    </a:ln>
                  </c:spPr>
                </c15:leaderLines>
              </c:ext>
            </c:extLst>
          </c:dLbls>
          <c:cat>
            <c:strRef>
              <c:f>Sheet1!$A$110:$A$113</c:f>
              <c:strCache>
                <c:ptCount val="4"/>
                <c:pt idx="0">
                  <c:v>一般公共服务支出</c:v>
                </c:pt>
                <c:pt idx="1">
                  <c:v>卫生健康支出</c:v>
                </c:pt>
                <c:pt idx="2">
                  <c:v>社会保障和就业支出</c:v>
                </c:pt>
                <c:pt idx="3">
                  <c:v>住房保障支出</c:v>
                </c:pt>
              </c:strCache>
            </c:strRef>
          </c:cat>
          <c:val>
            <c:numRef>
              <c:f>Sheet1!$B$110:$B$113</c:f>
              <c:numCache>
                <c:formatCode>General</c:formatCode>
                <c:ptCount val="4"/>
                <c:pt idx="0">
                  <c:v>377.6</c:v>
                </c:pt>
                <c:pt idx="1">
                  <c:v>34.77</c:v>
                </c:pt>
                <c:pt idx="2">
                  <c:v>18.03</c:v>
                </c:pt>
                <c:pt idx="3">
                  <c:v>16.49</c:v>
                </c:pt>
              </c:numCache>
            </c:numRef>
          </c:val>
        </c:ser>
        <c:ser>
          <c:idx val="1"/>
          <c:order val="1"/>
          <c:spPr>
            <a:solidFill>
              <a:srgbClr val="993366"/>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Lbls>
            <c:delete val="1"/>
          </c:dLbls>
          <c:cat>
            <c:strRef>
              <c:f>Sheet1!$A$110:$A$113</c:f>
              <c:strCache>
                <c:ptCount val="4"/>
                <c:pt idx="0">
                  <c:v>一般公共服务支出</c:v>
                </c:pt>
                <c:pt idx="1">
                  <c:v>卫生健康支出</c:v>
                </c:pt>
                <c:pt idx="2">
                  <c:v>社会保障和就业支出</c:v>
                </c:pt>
                <c:pt idx="3">
                  <c:v>住房保障支出</c:v>
                </c:pt>
              </c:strCache>
            </c:strRef>
          </c:cat>
          <c:val>
            <c:numRef>
              <c:f>Sheet1!$C$110:$C$113</c:f>
              <c:numCache>
                <c:formatCode>0.00%</c:formatCode>
                <c:ptCount val="4"/>
                <c:pt idx="0">
                  <c:v>0.844950658998859</c:v>
                </c:pt>
                <c:pt idx="1">
                  <c:v>0.0778043813913939</c:v>
                </c:pt>
                <c:pt idx="2">
                  <c:v>0.0403454988923449</c:v>
                </c:pt>
                <c:pt idx="3">
                  <c:v>0.0368994607174025</c:v>
                </c:pt>
              </c:numCache>
            </c:numRef>
          </c:val>
        </c:ser>
        <c:dLbls>
          <c:showLegendKey val="0"/>
          <c:showVal val="0"/>
          <c:showCatName val="0"/>
          <c:showSerName val="0"/>
          <c:showPercent val="0"/>
          <c:showBubbleSize val="0"/>
          <c:showLeaderLines val="1"/>
        </c:dLbls>
        <c:firstSliceAng val="0"/>
      </c:pieChart>
      <c:spPr>
        <a:noFill/>
        <a:ln w="25400">
          <a:noFill/>
        </a:ln>
      </c:spPr>
    </c:plotArea>
    <c:legend>
      <c:legendPos val="r"/>
      <c:layout>
        <c:manualLayout>
          <c:xMode val="edge"/>
          <c:yMode val="edge"/>
          <c:x val="0.757189125011993"/>
          <c:y val="0.42175"/>
          <c:w val="0.234867291802097"/>
          <c:h val="0.259282567652612"/>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01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dd434caa-aa1e-4f65-ab1a-28d869fdfa2d}"/>
      </c:ext>
    </c:extLst>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textRotate="1"/>
    <customShpInfo spid="_x0000_s4097" textRotate="1"/>
    <customShpInfo spid="_x0000_s4100" textRotate="1"/>
    <customShpInfo spid="_x0000_s409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40</Pages>
  <Words>7420</Words>
  <Characters>8966</Characters>
  <Lines>130</Lines>
  <Paragraphs>36</Paragraphs>
  <TotalTime>6</TotalTime>
  <ScaleCrop>false</ScaleCrop>
  <LinksUpToDate>false</LinksUpToDate>
  <CharactersWithSpaces>9010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崽崽</cp:lastModifiedBy>
  <cp:lastPrinted>2025-10-27T01:57:00Z</cp:lastPrinted>
  <dcterms:modified xsi:type="dcterms:W3CDTF">2025-10-28T01:09:07Z</dcterms:modified>
  <dc:title>四川省***</dc:title>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04787F2533EB45DC91BCDE4AB213247F</vt:lpwstr>
  </property>
  <property fmtid="{D5CDD505-2E9C-101B-9397-08002B2CF9AE}" pid="4" name="KSOTemplateDocerSaveRecord">
    <vt:lpwstr>eyJoZGlkIjoiMjA3NmY4MmM1ZjQ4OGNhMDQ1MjhhMGJkNDIwNTAzNDQiLCJ1c2VySWQiOiI3NzgwNTYyMjcifQ==</vt:lpwstr>
  </property>
</Properties>
</file>