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bookmarkStart w:id="0" w:name="_Toc15396597"/>
      <w:bookmarkStart w:id="1" w:name="_Toc15396475"/>
      <w:bookmarkStart w:id="2" w:name="_Toc15378441"/>
      <w:bookmarkStart w:id="3" w:name="_Toc15377425"/>
      <w:bookmarkStart w:id="4" w:name="_Toc15377193"/>
      <w:bookmarkStart w:id="5" w:name="_Toc15306267"/>
    </w:p>
    <w:p>
      <w:pPr>
        <w:pStyle w:val="6"/>
        <w:spacing w:before="93"/>
        <w:jc w:val="center"/>
        <w:rPr>
          <w:rFonts w:ascii="Times New Roman" w:eastAsia="方正小标宋简体"/>
          <w:kern w:val="2"/>
          <w:sz w:val="44"/>
          <w:szCs w:val="44"/>
        </w:rPr>
      </w:pPr>
    </w:p>
    <w:p>
      <w:pPr>
        <w:pStyle w:val="6"/>
        <w:spacing w:before="93"/>
        <w:rPr>
          <w:rFonts w:ascii="Times New Roman" w:eastAsia="方正小标宋简体"/>
          <w:kern w:val="2"/>
          <w:sz w:val="44"/>
          <w:szCs w:val="44"/>
        </w:rPr>
      </w:pPr>
    </w:p>
    <w:p>
      <w:pPr>
        <w:pStyle w:val="6"/>
        <w:spacing w:before="93"/>
        <w:rPr>
          <w:rFonts w:ascii="Times New Roman" w:eastAsia="方正小标宋简体"/>
          <w:kern w:val="2"/>
          <w:sz w:val="44"/>
          <w:szCs w:val="44"/>
        </w:rPr>
      </w:pPr>
    </w:p>
    <w:bookmarkEnd w:id="0"/>
    <w:bookmarkEnd w:id="1"/>
    <w:bookmarkEnd w:id="2"/>
    <w:bookmarkEnd w:id="3"/>
    <w:bookmarkEnd w:id="4"/>
    <w:p>
      <w:pPr>
        <w:pStyle w:val="6"/>
        <w:spacing w:before="93"/>
        <w:jc w:val="center"/>
        <w:rPr>
          <w:rFonts w:hint="eastAsia" w:ascii="Times New Roman" w:eastAsia="方正小标宋简体"/>
          <w:kern w:val="2"/>
          <w:sz w:val="56"/>
          <w:szCs w:val="56"/>
        </w:rPr>
      </w:pPr>
      <w:bookmarkStart w:id="6" w:name="_Toc15396598"/>
      <w:bookmarkStart w:id="7" w:name="_Toc15396476"/>
      <w:bookmarkStart w:id="8" w:name="_Toc15377194"/>
      <w:bookmarkStart w:id="9" w:name="_Toc15377426"/>
      <w:bookmarkStart w:id="10" w:name="_Toc15378442"/>
      <w:r>
        <w:rPr>
          <w:rFonts w:hint="eastAsia" w:ascii="Times New Roman" w:eastAsia="方正小标宋简体"/>
          <w:kern w:val="2"/>
          <w:sz w:val="56"/>
          <w:szCs w:val="56"/>
        </w:rPr>
        <w:t>2024年度</w:t>
      </w:r>
      <w:bookmarkEnd w:id="5"/>
      <w:bookmarkStart w:id="11" w:name="_Toc15306268"/>
    </w:p>
    <w:p>
      <w:pPr>
        <w:pStyle w:val="6"/>
        <w:spacing w:before="93"/>
        <w:jc w:val="center"/>
        <w:rPr>
          <w:rFonts w:hint="eastAsia" w:ascii="Times New Roman" w:eastAsia="方正小标宋简体"/>
          <w:kern w:val="2"/>
          <w:sz w:val="56"/>
          <w:szCs w:val="56"/>
        </w:rPr>
      </w:pPr>
      <w:r>
        <w:rPr>
          <w:rFonts w:hint="eastAsia" w:ascii="Times New Roman" w:eastAsia="方正小标宋简体"/>
          <w:kern w:val="2"/>
          <w:sz w:val="56"/>
          <w:szCs w:val="56"/>
        </w:rPr>
        <w:t>盐边县市场监督管理局</w:t>
      </w:r>
      <w:r>
        <w:rPr>
          <w:rFonts w:hint="eastAsia" w:ascii="Times New Roman" w:eastAsia="方正小标宋简体"/>
          <w:kern w:val="2"/>
          <w:sz w:val="56"/>
          <w:szCs w:val="56"/>
          <w:lang w:val="en-US" w:eastAsia="zh-CN"/>
        </w:rPr>
        <w:t>部门</w:t>
      </w:r>
      <w:r>
        <w:rPr>
          <w:rFonts w:hint="eastAsia" w:ascii="Times New Roman" w:eastAsia="方正小标宋简体"/>
          <w:kern w:val="2"/>
          <w:sz w:val="56"/>
          <w:szCs w:val="56"/>
        </w:rPr>
        <w:t>决算</w:t>
      </w:r>
      <w:bookmarkEnd w:id="6"/>
      <w:bookmarkEnd w:id="7"/>
      <w:bookmarkEnd w:id="8"/>
      <w:bookmarkEnd w:id="9"/>
      <w:bookmarkEnd w:id="10"/>
      <w:bookmarkEnd w:id="11"/>
    </w:p>
    <w:p>
      <w:pPr>
        <w:pStyle w:val="6"/>
        <w:spacing w:before="93"/>
        <w:jc w:val="center"/>
        <w:rPr>
          <w:rFonts w:hint="eastAsia" w:ascii="Times New Roman" w:eastAsia="方正小标宋简体"/>
          <w:kern w:val="2"/>
          <w:sz w:val="56"/>
          <w:szCs w:val="56"/>
          <w:lang w:val="en-US" w:eastAsia="zh-CN"/>
        </w:rPr>
      </w:pPr>
      <w:r>
        <w:rPr>
          <w:rFonts w:hint="eastAsia" w:ascii="Times New Roman" w:eastAsia="方正小标宋简体"/>
          <w:kern w:val="2"/>
          <w:sz w:val="56"/>
          <w:szCs w:val="56"/>
          <w:lang w:val="en-US" w:eastAsia="zh-CN"/>
        </w:rPr>
        <w:t>公开编制说明</w:t>
      </w:r>
    </w:p>
    <w:p>
      <w:pPr>
        <w:widowControl/>
        <w:jc w:val="center"/>
        <w:rPr>
          <w:rFonts w:eastAsia="方正小标宋简体"/>
          <w:sz w:val="36"/>
          <w:szCs w:val="36"/>
        </w:rPr>
      </w:pPr>
    </w:p>
    <w:p>
      <w:pPr>
        <w:widowControl/>
        <w:jc w:val="center"/>
        <w:rPr>
          <w:rFonts w:eastAsia="黑体"/>
          <w:sz w:val="48"/>
          <w:szCs w:val="48"/>
        </w:rPr>
        <w:sectPr>
          <w:footerReference r:id="rId3" w:type="default"/>
          <w:pgSz w:w="11906" w:h="16838"/>
          <w:pgMar w:top="1440" w:right="1800" w:bottom="1440" w:left="1800" w:header="851" w:footer="992" w:gutter="0"/>
          <w:pgNumType w:fmt="numberInDash" w:start="1"/>
          <w:cols w:space="425" w:num="1"/>
          <w:titlePg/>
          <w:docGrid w:type="lines" w:linePitch="312" w:charSpace="0"/>
        </w:sectPr>
      </w:pPr>
    </w:p>
    <w:p>
      <w:pPr>
        <w:widowControl/>
        <w:jc w:val="center"/>
        <w:rPr>
          <w:rFonts w:eastAsia="黑体"/>
          <w:sz w:val="48"/>
          <w:szCs w:val="48"/>
        </w:rPr>
      </w:pPr>
      <w:r>
        <w:rPr>
          <w:rFonts w:hint="eastAsia" w:eastAsia="黑体"/>
          <w:sz w:val="48"/>
          <w:szCs w:val="48"/>
        </w:rPr>
        <w:t>目录</w:t>
      </w:r>
    </w:p>
    <w:p>
      <w:pPr>
        <w:widowControl/>
        <w:jc w:val="center"/>
        <w:rPr>
          <w:rFonts w:eastAsia="黑体" w:cstheme="minorBidi"/>
          <w:sz w:val="28"/>
          <w:szCs w:val="28"/>
        </w:rPr>
      </w:pPr>
    </w:p>
    <w:p>
      <w:pPr>
        <w:pStyle w:val="13"/>
        <w:rPr>
          <w:rFonts w:ascii="Times New Roman" w:hAnsi="Times New Roman" w:eastAsia="仿宋_GB2312" w:cs="仿宋_GB2312"/>
          <w:sz w:val="32"/>
          <w:szCs w:val="32"/>
        </w:rPr>
      </w:pPr>
      <w:r>
        <w:rPr>
          <w:rFonts w:hint="eastAsia" w:ascii="Times New Roman" w:hAnsi="Times New Roman" w:eastAsia="仿宋_GB2312" w:cs="仿宋_GB2312"/>
          <w:sz w:val="32"/>
          <w:szCs w:val="32"/>
        </w:rPr>
        <w:t>公开时间：2025年10月28日</w:t>
      </w:r>
    </w:p>
    <w:p/>
    <w:p>
      <w:pPr>
        <w:pStyle w:val="13"/>
        <w:adjustRightInd w:val="0"/>
        <w:snapToGrid w:val="0"/>
        <w:spacing w:before="0" w:line="560" w:lineRule="exact"/>
        <w:jc w:val="left"/>
        <w:rPr>
          <w:rFonts w:ascii="Times New Roman" w:hAnsi="Times New Roman" w:eastAsia="黑体" w:cs="黑体"/>
          <w:sz w:val="32"/>
          <w:szCs w:val="32"/>
        </w:rPr>
      </w:pPr>
      <w:r>
        <w:rPr>
          <w:rFonts w:hint="eastAsia" w:ascii="Times New Roman" w:hAnsi="Times New Roman" w:eastAsia="黑体" w:cs="黑体"/>
          <w:sz w:val="32"/>
          <w:szCs w:val="32"/>
        </w:rPr>
        <w:t>第一部分 部门概况</w:t>
      </w:r>
      <w:r>
        <w:rPr>
          <w:rFonts w:hint="default" w:ascii="Times New Roman" w:hAnsi="Times New Roman" w:cs="Times New Roman"/>
        </w:rPr>
        <w:ptab w:relativeTo="margin" w:alignment="right" w:leader="dot"/>
      </w:r>
      <w:r>
        <w:rPr>
          <w:rFonts w:hint="eastAsia" w:ascii="Times New Roman" w:hAnsi="Times New Roman"/>
        </w:rPr>
        <w:t>1</w:t>
      </w:r>
    </w:p>
    <w:p>
      <w:pPr>
        <w:pStyle w:val="15"/>
        <w:adjustRightInd w:val="0"/>
        <w:snapToGrid w:val="0"/>
        <w:spacing w:line="560" w:lineRule="exact"/>
        <w:ind w:left="0" w:leftChars="0" w:firstLine="640" w:firstLineChars="200"/>
        <w:jc w:val="left"/>
        <w:rPr>
          <w:rFonts w:eastAsia="仿宋_GB2312" w:cs="仿宋_GB2312"/>
          <w:sz w:val="32"/>
          <w:szCs w:val="32"/>
        </w:rPr>
      </w:pPr>
      <w:r>
        <w:rPr>
          <w:rFonts w:hint="eastAsia" w:eastAsia="仿宋_GB2312" w:cs="仿宋_GB2312"/>
          <w:sz w:val="32"/>
          <w:szCs w:val="32"/>
        </w:rPr>
        <w:t>一、部门职责</w:t>
      </w:r>
      <w:r>
        <w:rPr>
          <w:rFonts w:hint="default" w:ascii="Times New Roman" w:hAnsi="Times New Roman" w:cs="Times New Roman"/>
        </w:rPr>
        <w:ptab w:relativeTo="margin" w:alignment="right" w:leader="dot"/>
      </w:r>
      <w:r>
        <w:rPr>
          <w:rFonts w:hint="eastAsia" w:ascii="Times New Roman" w:hAnsi="Times New Roman" w:eastAsia="仿宋" w:cs="Times New Roman"/>
          <w:kern w:val="2"/>
          <w:sz w:val="28"/>
          <w:szCs w:val="28"/>
          <w:lang w:val="en-US" w:eastAsia="zh-CN" w:bidi="ar-SA"/>
        </w:rPr>
        <w:t>1</w:t>
      </w:r>
    </w:p>
    <w:p>
      <w:pPr>
        <w:pStyle w:val="15"/>
        <w:adjustRightInd w:val="0"/>
        <w:snapToGrid w:val="0"/>
        <w:spacing w:line="560" w:lineRule="exact"/>
        <w:ind w:left="0" w:leftChars="0" w:firstLine="640" w:firstLineChars="200"/>
        <w:jc w:val="left"/>
        <w:rPr>
          <w:rFonts w:hint="eastAsia" w:ascii="Times New Roman" w:hAnsi="Times New Roman" w:eastAsia="仿宋" w:cs="Times New Roman"/>
          <w:kern w:val="2"/>
          <w:sz w:val="28"/>
          <w:szCs w:val="28"/>
          <w:lang w:val="en-US" w:eastAsia="zh-CN" w:bidi="ar-SA"/>
        </w:rPr>
      </w:pPr>
      <w:r>
        <w:rPr>
          <w:rFonts w:hint="eastAsia" w:eastAsia="仿宋_GB2312" w:cs="仿宋_GB2312"/>
          <w:sz w:val="32"/>
          <w:szCs w:val="32"/>
        </w:rPr>
        <w:t>二、机构设置</w:t>
      </w:r>
      <w:r>
        <w:rPr>
          <w:rFonts w:hint="default" w:ascii="Times New Roman" w:hAnsi="Times New Roman" w:cs="Times New Roman"/>
        </w:rPr>
        <w:ptab w:relativeTo="margin" w:alignment="right" w:leader="dot"/>
      </w:r>
      <w:r>
        <w:rPr>
          <w:rFonts w:hint="eastAsia" w:ascii="Times New Roman" w:hAnsi="Times New Roman" w:eastAsia="仿宋" w:cs="Times New Roman"/>
          <w:kern w:val="2"/>
          <w:sz w:val="28"/>
          <w:szCs w:val="28"/>
          <w:lang w:val="en-US" w:eastAsia="zh-CN" w:bidi="ar-SA"/>
        </w:rPr>
        <w:t>4</w:t>
      </w:r>
    </w:p>
    <w:p>
      <w:pPr>
        <w:pStyle w:val="13"/>
        <w:adjustRightInd w:val="0"/>
        <w:snapToGrid w:val="0"/>
        <w:spacing w:before="0" w:line="560" w:lineRule="exact"/>
        <w:jc w:val="left"/>
        <w:rPr>
          <w:rFonts w:ascii="Times New Roman" w:hAnsi="Times New Roman" w:eastAsia="黑体" w:cs="黑体"/>
          <w:sz w:val="32"/>
          <w:szCs w:val="32"/>
        </w:rPr>
      </w:pPr>
      <w:r>
        <w:rPr>
          <w:rFonts w:hint="eastAsia" w:ascii="Times New Roman" w:hAnsi="Times New Roman" w:eastAsia="黑体" w:cs="黑体"/>
          <w:sz w:val="32"/>
          <w:szCs w:val="32"/>
        </w:rPr>
        <w:t>第二部分 2024年度部门决算情况说明</w:t>
      </w:r>
      <w:r>
        <w:rPr>
          <w:rFonts w:hint="default" w:ascii="Times New Roman" w:hAnsi="Times New Roman" w:cs="Times New Roman"/>
        </w:rPr>
        <w:ptab w:relativeTo="margin" w:alignment="right" w:leader="dot"/>
      </w:r>
      <w:r>
        <w:rPr>
          <w:rFonts w:hint="eastAsia" w:ascii="Times New Roman" w:hAnsi="Times New Roman"/>
        </w:rPr>
        <w:t>5</w:t>
      </w:r>
    </w:p>
    <w:p>
      <w:pPr>
        <w:pStyle w:val="15"/>
        <w:adjustRightInd w:val="0"/>
        <w:snapToGrid w:val="0"/>
        <w:spacing w:line="560" w:lineRule="exact"/>
        <w:ind w:left="0" w:leftChars="0" w:firstLine="640" w:firstLineChars="200"/>
        <w:jc w:val="left"/>
        <w:rPr>
          <w:rFonts w:hint="eastAsia" w:ascii="Times New Roman" w:hAnsi="Times New Roman" w:eastAsia="仿宋" w:cs="Times New Roman"/>
          <w:kern w:val="2"/>
          <w:sz w:val="28"/>
          <w:szCs w:val="28"/>
          <w:lang w:val="en-US" w:eastAsia="zh-CN" w:bidi="ar-SA"/>
        </w:rPr>
      </w:pPr>
      <w:r>
        <w:rPr>
          <w:rFonts w:hint="eastAsia" w:eastAsia="仿宋_GB2312" w:cs="仿宋_GB2312"/>
          <w:sz w:val="32"/>
          <w:szCs w:val="32"/>
        </w:rPr>
        <w:t>一、收入支出决算总体情况说明</w:t>
      </w:r>
      <w:r>
        <w:rPr>
          <w:rFonts w:hint="default" w:ascii="Times New Roman" w:hAnsi="Times New Roman" w:cs="Times New Roman"/>
        </w:rPr>
        <w:ptab w:relativeTo="margin" w:alignment="right" w:leader="dot"/>
      </w:r>
      <w:r>
        <w:rPr>
          <w:rFonts w:hint="eastAsia" w:ascii="Times New Roman" w:hAnsi="Times New Roman" w:eastAsia="仿宋" w:cs="Times New Roman"/>
          <w:kern w:val="2"/>
          <w:sz w:val="28"/>
          <w:szCs w:val="28"/>
          <w:lang w:val="en-US" w:eastAsia="zh-CN" w:bidi="ar-SA"/>
        </w:rPr>
        <w:t>5</w:t>
      </w:r>
    </w:p>
    <w:p>
      <w:pPr>
        <w:pStyle w:val="15"/>
        <w:adjustRightInd w:val="0"/>
        <w:snapToGrid w:val="0"/>
        <w:spacing w:line="560" w:lineRule="exact"/>
        <w:ind w:left="0" w:leftChars="0" w:firstLine="640" w:firstLineChars="200"/>
        <w:jc w:val="left"/>
        <w:rPr>
          <w:rFonts w:hint="eastAsia" w:ascii="Times New Roman" w:hAnsi="Times New Roman" w:eastAsia="仿宋" w:cs="Times New Roman"/>
          <w:kern w:val="2"/>
          <w:sz w:val="28"/>
          <w:szCs w:val="28"/>
          <w:lang w:val="en-US" w:eastAsia="zh-CN" w:bidi="ar-SA"/>
        </w:rPr>
      </w:pPr>
      <w:r>
        <w:rPr>
          <w:rFonts w:hint="eastAsia" w:eastAsia="仿宋_GB2312" w:cs="仿宋_GB2312"/>
          <w:sz w:val="32"/>
          <w:szCs w:val="32"/>
        </w:rPr>
        <w:t>二、收入决算情况说明</w:t>
      </w:r>
      <w:r>
        <w:rPr>
          <w:rFonts w:hint="default" w:ascii="Times New Roman" w:hAnsi="Times New Roman" w:cs="Times New Roman"/>
        </w:rPr>
        <w:ptab w:relativeTo="margin" w:alignment="right" w:leader="dot"/>
      </w:r>
      <w:r>
        <w:rPr>
          <w:rFonts w:hint="eastAsia" w:ascii="Times New Roman" w:hAnsi="Times New Roman" w:eastAsia="仿宋" w:cs="Times New Roman"/>
          <w:kern w:val="2"/>
          <w:sz w:val="28"/>
          <w:szCs w:val="28"/>
          <w:lang w:val="en-US" w:eastAsia="zh-CN" w:bidi="ar-SA"/>
        </w:rPr>
        <w:t>5</w:t>
      </w:r>
    </w:p>
    <w:p>
      <w:pPr>
        <w:pStyle w:val="15"/>
        <w:adjustRightInd w:val="0"/>
        <w:snapToGrid w:val="0"/>
        <w:spacing w:line="560" w:lineRule="exact"/>
        <w:ind w:left="0" w:leftChars="0" w:firstLine="640" w:firstLineChars="200"/>
        <w:jc w:val="left"/>
        <w:rPr>
          <w:rFonts w:eastAsia="仿宋_GB2312" w:cs="仿宋_GB2312"/>
          <w:sz w:val="32"/>
          <w:szCs w:val="32"/>
        </w:rPr>
      </w:pPr>
      <w:r>
        <w:rPr>
          <w:rFonts w:hint="eastAsia" w:eastAsia="仿宋_GB2312" w:cs="仿宋_GB2312"/>
          <w:sz w:val="32"/>
          <w:szCs w:val="32"/>
        </w:rPr>
        <w:t>三、支出决算情况说明</w:t>
      </w:r>
      <w:r>
        <w:rPr>
          <w:rFonts w:hint="default" w:ascii="Times New Roman" w:hAnsi="Times New Roman" w:cs="Times New Roman"/>
        </w:rPr>
        <w:ptab w:relativeTo="margin" w:alignment="right" w:leader="dot"/>
      </w:r>
      <w:r>
        <w:rPr>
          <w:rFonts w:hint="eastAsia" w:ascii="Times New Roman" w:hAnsi="Times New Roman" w:eastAsia="仿宋" w:cs="Times New Roman"/>
          <w:kern w:val="2"/>
          <w:sz w:val="28"/>
          <w:szCs w:val="28"/>
          <w:lang w:val="en-US" w:eastAsia="zh-CN" w:bidi="ar-SA"/>
        </w:rPr>
        <w:t>6</w:t>
      </w:r>
    </w:p>
    <w:p>
      <w:pPr>
        <w:pStyle w:val="15"/>
        <w:adjustRightInd w:val="0"/>
        <w:snapToGrid w:val="0"/>
        <w:spacing w:line="560" w:lineRule="exact"/>
        <w:ind w:left="0" w:leftChars="0" w:firstLine="640" w:firstLineChars="200"/>
        <w:jc w:val="left"/>
        <w:rPr>
          <w:rFonts w:hint="eastAsia" w:ascii="Times New Roman" w:hAnsi="Times New Roman" w:eastAsia="仿宋" w:cs="Times New Roman"/>
          <w:kern w:val="2"/>
          <w:sz w:val="28"/>
          <w:szCs w:val="28"/>
          <w:lang w:val="en-US" w:eastAsia="zh-CN" w:bidi="ar-SA"/>
        </w:rPr>
      </w:pPr>
      <w:r>
        <w:rPr>
          <w:rFonts w:hint="eastAsia" w:eastAsia="仿宋_GB2312" w:cs="仿宋_GB2312"/>
          <w:sz w:val="32"/>
          <w:szCs w:val="32"/>
        </w:rPr>
        <w:t>四、财政拨款收入支出决算总体情况说明</w:t>
      </w:r>
      <w:r>
        <w:rPr>
          <w:rFonts w:hint="default" w:ascii="Times New Roman" w:hAnsi="Times New Roman" w:cs="Times New Roman"/>
        </w:rPr>
        <w:ptab w:relativeTo="margin" w:alignment="right" w:leader="dot"/>
      </w:r>
      <w:r>
        <w:rPr>
          <w:rFonts w:hint="eastAsia" w:ascii="Times New Roman" w:hAnsi="Times New Roman" w:eastAsia="仿宋" w:cs="Times New Roman"/>
          <w:kern w:val="2"/>
          <w:sz w:val="28"/>
          <w:szCs w:val="28"/>
          <w:lang w:val="en-US" w:eastAsia="zh-CN" w:bidi="ar-SA"/>
        </w:rPr>
        <w:t>7</w:t>
      </w:r>
    </w:p>
    <w:p>
      <w:pPr>
        <w:pStyle w:val="15"/>
        <w:adjustRightInd w:val="0"/>
        <w:snapToGrid w:val="0"/>
        <w:spacing w:line="560" w:lineRule="exact"/>
        <w:ind w:left="0" w:leftChars="0" w:firstLine="640" w:firstLineChars="200"/>
        <w:jc w:val="left"/>
        <w:rPr>
          <w:rFonts w:hint="eastAsia" w:ascii="Times New Roman" w:hAnsi="Times New Roman" w:eastAsia="仿宋" w:cs="Times New Roman"/>
          <w:kern w:val="2"/>
          <w:sz w:val="28"/>
          <w:szCs w:val="28"/>
          <w:lang w:val="en-US" w:eastAsia="zh-CN" w:bidi="ar-SA"/>
        </w:rPr>
      </w:pPr>
      <w:r>
        <w:rPr>
          <w:rFonts w:hint="eastAsia" w:eastAsia="仿宋_GB2312" w:cs="仿宋_GB2312"/>
          <w:sz w:val="32"/>
          <w:szCs w:val="32"/>
        </w:rPr>
        <w:t>五、一般公共预算财政拨款支出决算情况说明</w:t>
      </w:r>
      <w:r>
        <w:rPr>
          <w:rFonts w:hint="default" w:ascii="Times New Roman" w:hAnsi="Times New Roman" w:cs="Times New Roman"/>
        </w:rPr>
        <w:ptab w:relativeTo="margin" w:alignment="right" w:leader="dot"/>
      </w:r>
      <w:r>
        <w:rPr>
          <w:rFonts w:hint="eastAsia" w:ascii="Times New Roman" w:hAnsi="Times New Roman" w:eastAsia="仿宋" w:cs="Times New Roman"/>
          <w:kern w:val="2"/>
          <w:sz w:val="28"/>
          <w:szCs w:val="28"/>
          <w:lang w:val="en-US" w:eastAsia="zh-CN" w:bidi="ar-SA"/>
        </w:rPr>
        <w:t>7</w:t>
      </w:r>
    </w:p>
    <w:p>
      <w:pPr>
        <w:pStyle w:val="15"/>
        <w:adjustRightInd w:val="0"/>
        <w:snapToGrid w:val="0"/>
        <w:spacing w:line="560" w:lineRule="exact"/>
        <w:ind w:left="0" w:leftChars="0" w:firstLine="640" w:firstLineChars="200"/>
        <w:jc w:val="left"/>
        <w:rPr>
          <w:rFonts w:hint="eastAsia" w:ascii="Times New Roman" w:hAnsi="Times New Roman" w:eastAsia="仿宋" w:cs="Times New Roman"/>
          <w:kern w:val="2"/>
          <w:sz w:val="28"/>
          <w:szCs w:val="28"/>
          <w:lang w:val="en-US" w:eastAsia="zh-CN" w:bidi="ar-SA"/>
        </w:rPr>
      </w:pPr>
      <w:r>
        <w:rPr>
          <w:rFonts w:hint="eastAsia" w:eastAsia="仿宋_GB2312" w:cs="仿宋_GB2312"/>
          <w:sz w:val="32"/>
          <w:szCs w:val="32"/>
        </w:rPr>
        <w:t>六、一般公共预算财政拨款基本支出决算情况说明</w:t>
      </w:r>
      <w:r>
        <w:rPr>
          <w:rFonts w:hint="default" w:ascii="Times New Roman" w:hAnsi="Times New Roman" w:cs="Times New Roman"/>
        </w:rPr>
        <w:ptab w:relativeTo="margin" w:alignment="right" w:leader="dot"/>
      </w:r>
      <w:r>
        <w:rPr>
          <w:rFonts w:hint="eastAsia" w:ascii="Times New Roman" w:hAnsi="Times New Roman" w:eastAsia="仿宋" w:cs="Times New Roman"/>
          <w:kern w:val="2"/>
          <w:sz w:val="28"/>
          <w:szCs w:val="28"/>
          <w:lang w:val="en-US" w:eastAsia="zh-CN" w:bidi="ar-SA"/>
        </w:rPr>
        <w:t>11</w:t>
      </w:r>
    </w:p>
    <w:p>
      <w:pPr>
        <w:pStyle w:val="15"/>
        <w:adjustRightInd w:val="0"/>
        <w:snapToGrid w:val="0"/>
        <w:spacing w:line="560" w:lineRule="exact"/>
        <w:ind w:left="0" w:leftChars="0" w:firstLine="640" w:firstLineChars="200"/>
        <w:jc w:val="left"/>
        <w:rPr>
          <w:rFonts w:hint="eastAsia" w:ascii="Times New Roman" w:hAnsi="Times New Roman" w:eastAsia="仿宋" w:cs="Times New Roman"/>
          <w:kern w:val="2"/>
          <w:sz w:val="28"/>
          <w:szCs w:val="28"/>
          <w:lang w:val="en-US" w:eastAsia="zh-CN" w:bidi="ar-SA"/>
        </w:rPr>
      </w:pPr>
      <w:r>
        <w:rPr>
          <w:rFonts w:hint="eastAsia" w:eastAsia="仿宋_GB2312" w:cs="仿宋_GB2312"/>
          <w:sz w:val="32"/>
          <w:szCs w:val="32"/>
        </w:rPr>
        <w:t>七、财政拨款“三公”经费支出决算情况说明</w:t>
      </w:r>
      <w:r>
        <w:rPr>
          <w:rFonts w:hint="default" w:ascii="Times New Roman" w:hAnsi="Times New Roman" w:cs="Times New Roman"/>
        </w:rPr>
        <w:ptab w:relativeTo="margin" w:alignment="right" w:leader="dot"/>
      </w:r>
      <w:r>
        <w:rPr>
          <w:rFonts w:hint="eastAsia" w:ascii="Times New Roman" w:hAnsi="Times New Roman" w:eastAsia="仿宋" w:cs="Times New Roman"/>
          <w:kern w:val="2"/>
          <w:sz w:val="28"/>
          <w:szCs w:val="28"/>
          <w:lang w:val="en-US" w:eastAsia="zh-CN" w:bidi="ar-SA"/>
        </w:rPr>
        <w:t>11</w:t>
      </w:r>
    </w:p>
    <w:p>
      <w:pPr>
        <w:pStyle w:val="15"/>
        <w:adjustRightInd w:val="0"/>
        <w:snapToGrid w:val="0"/>
        <w:spacing w:line="560" w:lineRule="exact"/>
        <w:ind w:left="0" w:leftChars="0" w:firstLine="640" w:firstLineChars="200"/>
        <w:jc w:val="left"/>
        <w:rPr>
          <w:rFonts w:hint="eastAsia" w:ascii="Times New Roman" w:hAnsi="Times New Roman" w:eastAsia="仿宋" w:cs="Times New Roman"/>
          <w:kern w:val="2"/>
          <w:sz w:val="28"/>
          <w:szCs w:val="28"/>
          <w:lang w:val="en-US" w:eastAsia="zh-CN" w:bidi="ar-SA"/>
        </w:rPr>
      </w:pPr>
      <w:r>
        <w:rPr>
          <w:rFonts w:hint="eastAsia" w:eastAsia="仿宋_GB2312" w:cs="仿宋_GB2312"/>
          <w:sz w:val="32"/>
          <w:szCs w:val="32"/>
        </w:rPr>
        <w:t>八、政府性基金预算支出决算情况说明</w:t>
      </w:r>
      <w:r>
        <w:rPr>
          <w:rFonts w:hint="default" w:ascii="Times New Roman" w:hAnsi="Times New Roman" w:cs="Times New Roman"/>
        </w:rPr>
        <w:ptab w:relativeTo="margin" w:alignment="right" w:leader="dot"/>
      </w:r>
      <w:r>
        <w:rPr>
          <w:rFonts w:hint="eastAsia" w:ascii="Times New Roman" w:hAnsi="Times New Roman" w:eastAsia="仿宋" w:cs="Times New Roman"/>
          <w:kern w:val="2"/>
          <w:sz w:val="28"/>
          <w:szCs w:val="28"/>
          <w:lang w:val="en-US" w:eastAsia="zh-CN" w:bidi="ar-SA"/>
        </w:rPr>
        <w:t>14</w:t>
      </w:r>
    </w:p>
    <w:p>
      <w:pPr>
        <w:pStyle w:val="15"/>
        <w:adjustRightInd w:val="0"/>
        <w:snapToGrid w:val="0"/>
        <w:spacing w:line="560" w:lineRule="exact"/>
        <w:ind w:left="0" w:leftChars="0" w:firstLine="640" w:firstLineChars="200"/>
        <w:jc w:val="left"/>
        <w:rPr>
          <w:rFonts w:hint="eastAsia" w:ascii="Times New Roman" w:hAnsi="Times New Roman" w:eastAsia="仿宋" w:cs="Times New Roman"/>
          <w:kern w:val="2"/>
          <w:sz w:val="28"/>
          <w:szCs w:val="28"/>
          <w:lang w:val="en-US" w:eastAsia="zh-CN" w:bidi="ar-SA"/>
        </w:rPr>
      </w:pPr>
      <w:r>
        <w:rPr>
          <w:rFonts w:hint="eastAsia" w:eastAsia="仿宋_GB2312" w:cs="仿宋_GB2312"/>
          <w:sz w:val="32"/>
          <w:szCs w:val="32"/>
        </w:rPr>
        <w:t>九、国有资本经营预算支出决算情况说明</w:t>
      </w:r>
      <w:r>
        <w:rPr>
          <w:rFonts w:hint="default" w:ascii="Times New Roman" w:hAnsi="Times New Roman" w:cs="Times New Roman"/>
        </w:rPr>
        <w:ptab w:relativeTo="margin" w:alignment="right" w:leader="dot"/>
      </w:r>
      <w:r>
        <w:rPr>
          <w:rFonts w:hint="eastAsia" w:ascii="Times New Roman" w:hAnsi="Times New Roman" w:eastAsia="仿宋" w:cs="Times New Roman"/>
          <w:kern w:val="2"/>
          <w:sz w:val="28"/>
          <w:szCs w:val="28"/>
          <w:lang w:val="en-US" w:eastAsia="zh-CN" w:bidi="ar-SA"/>
        </w:rPr>
        <w:t>14</w:t>
      </w:r>
    </w:p>
    <w:p>
      <w:pPr>
        <w:pStyle w:val="15"/>
        <w:adjustRightInd w:val="0"/>
        <w:snapToGrid w:val="0"/>
        <w:spacing w:line="560" w:lineRule="exact"/>
        <w:ind w:left="0" w:leftChars="0" w:firstLine="640" w:firstLineChars="200"/>
        <w:jc w:val="left"/>
        <w:rPr>
          <w:rFonts w:hint="eastAsia" w:ascii="Times New Roman" w:hAnsi="Times New Roman" w:eastAsia="仿宋" w:cs="Times New Roman"/>
          <w:kern w:val="2"/>
          <w:sz w:val="28"/>
          <w:szCs w:val="28"/>
          <w:lang w:val="en-US" w:eastAsia="zh-CN" w:bidi="ar-SA"/>
        </w:rPr>
      </w:pPr>
      <w:r>
        <w:rPr>
          <w:rFonts w:hint="eastAsia" w:eastAsia="仿宋_GB2312" w:cs="仿宋_GB2312"/>
          <w:sz w:val="32"/>
          <w:szCs w:val="32"/>
        </w:rPr>
        <w:t>十、其他重要事项的情况说明</w:t>
      </w:r>
      <w:r>
        <w:rPr>
          <w:rFonts w:hint="default" w:ascii="Times New Roman" w:hAnsi="Times New Roman" w:cs="Times New Roman"/>
        </w:rPr>
        <w:ptab w:relativeTo="margin" w:alignment="right" w:leader="dot"/>
      </w:r>
      <w:r>
        <w:rPr>
          <w:rFonts w:hint="eastAsia" w:ascii="Times New Roman" w:hAnsi="Times New Roman" w:eastAsia="仿宋" w:cs="Times New Roman"/>
          <w:kern w:val="2"/>
          <w:sz w:val="28"/>
          <w:szCs w:val="28"/>
          <w:lang w:val="en-US" w:eastAsia="zh-CN" w:bidi="ar-SA"/>
        </w:rPr>
        <w:t>14</w:t>
      </w:r>
    </w:p>
    <w:p>
      <w:pPr>
        <w:pStyle w:val="13"/>
        <w:adjustRightInd w:val="0"/>
        <w:snapToGrid w:val="0"/>
        <w:spacing w:before="0" w:line="560" w:lineRule="exact"/>
        <w:jc w:val="left"/>
        <w:rPr>
          <w:rFonts w:ascii="Times New Roman" w:hAnsi="Times New Roman" w:eastAsia="黑体" w:cs="黑体"/>
          <w:sz w:val="32"/>
          <w:szCs w:val="32"/>
        </w:rPr>
      </w:pPr>
      <w:r>
        <w:rPr>
          <w:rFonts w:hint="eastAsia" w:ascii="Times New Roman" w:hAnsi="Times New Roman" w:eastAsia="黑体" w:cs="黑体"/>
          <w:sz w:val="32"/>
          <w:szCs w:val="32"/>
        </w:rPr>
        <w:t>第三部分 名词解释</w:t>
      </w:r>
      <w:r>
        <w:rPr>
          <w:rFonts w:hint="default" w:ascii="Times New Roman" w:hAnsi="Times New Roman" w:cs="Times New Roman"/>
        </w:rPr>
        <w:ptab w:relativeTo="margin" w:alignment="right" w:leader="dot"/>
      </w:r>
      <w:r>
        <w:rPr>
          <w:rFonts w:hint="eastAsia" w:ascii="Times New Roman" w:hAnsi="Times New Roman"/>
        </w:rPr>
        <w:t>17</w:t>
      </w:r>
    </w:p>
    <w:p>
      <w:pPr>
        <w:pStyle w:val="13"/>
        <w:adjustRightInd w:val="0"/>
        <w:snapToGrid w:val="0"/>
        <w:spacing w:before="0" w:line="560" w:lineRule="exact"/>
        <w:jc w:val="left"/>
        <w:rPr>
          <w:rFonts w:ascii="Times New Roman" w:hAnsi="Times New Roman" w:eastAsia="黑体" w:cs="黑体"/>
          <w:sz w:val="32"/>
          <w:szCs w:val="32"/>
        </w:rPr>
      </w:pPr>
      <w:r>
        <w:rPr>
          <w:rFonts w:hint="eastAsia" w:ascii="Times New Roman" w:hAnsi="Times New Roman" w:eastAsia="黑体" w:cs="黑体"/>
          <w:sz w:val="32"/>
          <w:szCs w:val="32"/>
        </w:rPr>
        <w:t>第四部分 附件</w:t>
      </w:r>
      <w:r>
        <w:rPr>
          <w:rFonts w:hint="default" w:ascii="Times New Roman" w:hAnsi="Times New Roman" w:cs="Times New Roman"/>
        </w:rPr>
        <w:ptab w:relativeTo="margin" w:alignment="right" w:leader="dot"/>
      </w:r>
      <w:r>
        <w:rPr>
          <w:rFonts w:hint="eastAsia" w:ascii="Times New Roman" w:hAnsi="Times New Roman"/>
        </w:rPr>
        <w:t>2</w:t>
      </w:r>
      <w:r>
        <w:rPr>
          <w:rFonts w:hint="eastAsia" w:ascii="Times New Roman" w:hAnsi="Times New Roman"/>
          <w:lang w:val="en-US" w:eastAsia="zh-CN"/>
        </w:rPr>
        <w:t>2</w:t>
      </w:r>
    </w:p>
    <w:p>
      <w:pPr>
        <w:pStyle w:val="13"/>
        <w:adjustRightInd w:val="0"/>
        <w:snapToGrid w:val="0"/>
        <w:spacing w:before="0" w:line="560" w:lineRule="exact"/>
        <w:jc w:val="left"/>
        <w:rPr>
          <w:rFonts w:ascii="Times New Roman" w:hAnsi="Times New Roman" w:eastAsia="黑体" w:cs="黑体"/>
          <w:sz w:val="32"/>
          <w:szCs w:val="32"/>
        </w:rPr>
      </w:pPr>
      <w:r>
        <w:rPr>
          <w:rFonts w:hint="eastAsia" w:ascii="Times New Roman" w:hAnsi="Times New Roman" w:eastAsia="黑体" w:cs="黑体"/>
          <w:sz w:val="32"/>
          <w:szCs w:val="32"/>
        </w:rPr>
        <w:t>第五部分 附表</w:t>
      </w:r>
      <w:r>
        <w:rPr>
          <w:rFonts w:hint="default" w:ascii="Times New Roman" w:hAnsi="Times New Roman" w:cs="Times New Roman"/>
        </w:rPr>
        <w:ptab w:relativeTo="margin" w:alignment="right" w:leader="dot"/>
      </w:r>
      <w:r>
        <w:rPr>
          <w:rFonts w:hint="eastAsia" w:ascii="Times New Roman" w:hAnsi="Times New Roman"/>
          <w:lang w:val="en-US" w:eastAsia="zh-CN"/>
        </w:rPr>
        <w:t>88</w:t>
      </w:r>
    </w:p>
    <w:p>
      <w:pPr>
        <w:pStyle w:val="15"/>
        <w:adjustRightInd w:val="0"/>
        <w:snapToGrid w:val="0"/>
        <w:spacing w:line="560" w:lineRule="exact"/>
        <w:ind w:left="0" w:leftChars="0" w:firstLine="640" w:firstLineChars="200"/>
        <w:jc w:val="left"/>
        <w:rPr>
          <w:rFonts w:eastAsia="仿宋_GB2312" w:cs="仿宋_GB2312"/>
          <w:sz w:val="32"/>
          <w:szCs w:val="32"/>
        </w:rPr>
      </w:pPr>
      <w:r>
        <w:rPr>
          <w:rFonts w:hint="eastAsia" w:eastAsia="仿宋_GB2312" w:cs="仿宋_GB2312"/>
          <w:sz w:val="32"/>
          <w:szCs w:val="32"/>
        </w:rPr>
        <w:t>一、收入支出决算总表</w:t>
      </w:r>
    </w:p>
    <w:p>
      <w:pPr>
        <w:pStyle w:val="15"/>
        <w:adjustRightInd w:val="0"/>
        <w:snapToGrid w:val="0"/>
        <w:spacing w:line="560" w:lineRule="exact"/>
        <w:ind w:left="0" w:leftChars="0" w:firstLine="640" w:firstLineChars="200"/>
        <w:jc w:val="left"/>
        <w:rPr>
          <w:rFonts w:eastAsia="仿宋_GB2312" w:cs="仿宋_GB2312"/>
          <w:sz w:val="32"/>
          <w:szCs w:val="32"/>
        </w:rPr>
      </w:pPr>
      <w:r>
        <w:rPr>
          <w:rFonts w:hint="eastAsia" w:eastAsia="仿宋_GB2312" w:cs="仿宋_GB2312"/>
          <w:sz w:val="32"/>
          <w:szCs w:val="32"/>
        </w:rPr>
        <w:t>二、收入决算表</w:t>
      </w:r>
    </w:p>
    <w:p>
      <w:pPr>
        <w:pStyle w:val="15"/>
        <w:adjustRightInd w:val="0"/>
        <w:snapToGrid w:val="0"/>
        <w:spacing w:line="560" w:lineRule="exact"/>
        <w:ind w:left="0" w:leftChars="0" w:firstLine="640" w:firstLineChars="200"/>
        <w:jc w:val="left"/>
        <w:rPr>
          <w:rFonts w:eastAsia="仿宋_GB2312" w:cs="仿宋_GB2312"/>
          <w:sz w:val="32"/>
          <w:szCs w:val="32"/>
        </w:rPr>
      </w:pPr>
      <w:r>
        <w:rPr>
          <w:rFonts w:hint="eastAsia" w:eastAsia="仿宋_GB2312" w:cs="仿宋_GB2312"/>
          <w:sz w:val="32"/>
          <w:szCs w:val="32"/>
        </w:rPr>
        <w:t>三、支出决算表</w:t>
      </w:r>
    </w:p>
    <w:p>
      <w:pPr>
        <w:pStyle w:val="15"/>
        <w:adjustRightInd w:val="0"/>
        <w:snapToGrid w:val="0"/>
        <w:spacing w:line="560" w:lineRule="exact"/>
        <w:ind w:left="0" w:leftChars="0" w:firstLine="640" w:firstLineChars="200"/>
        <w:jc w:val="left"/>
        <w:rPr>
          <w:rFonts w:eastAsia="仿宋_GB2312" w:cs="仿宋_GB2312"/>
          <w:sz w:val="32"/>
          <w:szCs w:val="32"/>
        </w:rPr>
        <w:sectPr>
          <w:footerReference r:id="rId5" w:type="first"/>
          <w:footerReference r:id="rId4" w:type="default"/>
          <w:pgSz w:w="11906" w:h="16838"/>
          <w:pgMar w:top="1440" w:right="1800" w:bottom="1440" w:left="1800" w:header="851" w:footer="992" w:gutter="0"/>
          <w:pgNumType w:fmt="numberInDash" w:start="1"/>
          <w:cols w:space="425" w:num="1"/>
          <w:docGrid w:type="lines" w:linePitch="312" w:charSpace="0"/>
        </w:sectPr>
      </w:pPr>
    </w:p>
    <w:p>
      <w:pPr>
        <w:pStyle w:val="15"/>
        <w:adjustRightInd w:val="0"/>
        <w:snapToGrid w:val="0"/>
        <w:spacing w:line="560" w:lineRule="exact"/>
        <w:ind w:left="0" w:leftChars="0" w:firstLine="640" w:firstLineChars="200"/>
        <w:jc w:val="left"/>
        <w:rPr>
          <w:rFonts w:eastAsia="仿宋_GB2312" w:cs="仿宋_GB2312"/>
          <w:sz w:val="32"/>
          <w:szCs w:val="32"/>
        </w:rPr>
      </w:pPr>
      <w:r>
        <w:rPr>
          <w:rFonts w:hint="eastAsia" w:eastAsia="仿宋_GB2312" w:cs="仿宋_GB2312"/>
          <w:sz w:val="32"/>
          <w:szCs w:val="32"/>
        </w:rPr>
        <w:t>四、财政拨款收入支出决算总表</w:t>
      </w:r>
    </w:p>
    <w:p>
      <w:pPr>
        <w:pStyle w:val="15"/>
        <w:adjustRightInd w:val="0"/>
        <w:snapToGrid w:val="0"/>
        <w:spacing w:line="560" w:lineRule="exact"/>
        <w:ind w:left="0" w:leftChars="0" w:firstLine="640" w:firstLineChars="200"/>
        <w:jc w:val="left"/>
        <w:rPr>
          <w:rFonts w:eastAsia="仿宋_GB2312" w:cs="仿宋_GB2312"/>
          <w:sz w:val="32"/>
          <w:szCs w:val="32"/>
        </w:rPr>
      </w:pPr>
      <w:r>
        <w:rPr>
          <w:rFonts w:hint="eastAsia" w:eastAsia="仿宋_GB2312" w:cs="仿宋_GB2312"/>
          <w:sz w:val="32"/>
          <w:szCs w:val="32"/>
        </w:rPr>
        <w:t>五、财政拨款支出决算明细表</w:t>
      </w:r>
    </w:p>
    <w:p>
      <w:pPr>
        <w:pStyle w:val="15"/>
        <w:adjustRightInd w:val="0"/>
        <w:snapToGrid w:val="0"/>
        <w:spacing w:line="560" w:lineRule="exact"/>
        <w:ind w:left="0" w:leftChars="0" w:firstLine="640" w:firstLineChars="200"/>
        <w:jc w:val="left"/>
        <w:rPr>
          <w:rFonts w:eastAsia="仿宋_GB2312" w:cs="仿宋_GB2312"/>
          <w:sz w:val="32"/>
          <w:szCs w:val="32"/>
        </w:rPr>
      </w:pPr>
      <w:r>
        <w:rPr>
          <w:rFonts w:hint="eastAsia" w:eastAsia="仿宋_GB2312" w:cs="仿宋_GB2312"/>
          <w:sz w:val="32"/>
          <w:szCs w:val="32"/>
        </w:rPr>
        <w:t>六、一般公共预算财政拨款支出决算表</w:t>
      </w:r>
    </w:p>
    <w:p>
      <w:pPr>
        <w:pStyle w:val="15"/>
        <w:adjustRightInd w:val="0"/>
        <w:snapToGrid w:val="0"/>
        <w:spacing w:line="560" w:lineRule="exact"/>
        <w:ind w:left="0" w:leftChars="0" w:firstLine="640" w:firstLineChars="200"/>
        <w:jc w:val="left"/>
        <w:rPr>
          <w:rFonts w:eastAsia="仿宋_GB2312" w:cs="仿宋_GB2312"/>
          <w:sz w:val="32"/>
          <w:szCs w:val="32"/>
        </w:rPr>
      </w:pPr>
      <w:r>
        <w:rPr>
          <w:rFonts w:hint="eastAsia" w:eastAsia="仿宋_GB2312" w:cs="仿宋_GB2312"/>
          <w:sz w:val="32"/>
          <w:szCs w:val="32"/>
        </w:rPr>
        <w:t>七、一般公共预算财政拨款支出决算明细表</w:t>
      </w:r>
    </w:p>
    <w:p>
      <w:pPr>
        <w:pStyle w:val="15"/>
        <w:adjustRightInd w:val="0"/>
        <w:snapToGrid w:val="0"/>
        <w:spacing w:line="560" w:lineRule="exact"/>
        <w:ind w:left="0" w:leftChars="0" w:firstLine="640" w:firstLineChars="200"/>
        <w:jc w:val="left"/>
        <w:rPr>
          <w:rFonts w:eastAsia="仿宋_GB2312" w:cs="仿宋_GB2312"/>
          <w:sz w:val="32"/>
          <w:szCs w:val="32"/>
        </w:rPr>
      </w:pPr>
      <w:r>
        <w:rPr>
          <w:rFonts w:hint="eastAsia" w:eastAsia="仿宋_GB2312" w:cs="仿宋_GB2312"/>
          <w:sz w:val="32"/>
          <w:szCs w:val="32"/>
        </w:rPr>
        <w:t>八、一般公共预算财政拨款基本支出决算明细表</w:t>
      </w:r>
    </w:p>
    <w:p>
      <w:pPr>
        <w:pStyle w:val="15"/>
        <w:adjustRightInd w:val="0"/>
        <w:snapToGrid w:val="0"/>
        <w:spacing w:line="560" w:lineRule="exact"/>
        <w:ind w:left="0" w:leftChars="0" w:firstLine="640" w:firstLineChars="200"/>
        <w:jc w:val="left"/>
        <w:rPr>
          <w:rFonts w:eastAsia="仿宋_GB2312" w:cs="仿宋_GB2312"/>
          <w:sz w:val="32"/>
          <w:szCs w:val="32"/>
        </w:rPr>
      </w:pPr>
      <w:r>
        <w:rPr>
          <w:rFonts w:hint="eastAsia" w:eastAsia="仿宋_GB2312" w:cs="仿宋_GB2312"/>
          <w:sz w:val="32"/>
          <w:szCs w:val="32"/>
        </w:rPr>
        <w:t>九、一般公共预算财政拨款项目支出决算表</w:t>
      </w:r>
    </w:p>
    <w:p>
      <w:pPr>
        <w:pStyle w:val="15"/>
        <w:adjustRightInd w:val="0"/>
        <w:snapToGrid w:val="0"/>
        <w:spacing w:line="560" w:lineRule="exact"/>
        <w:ind w:left="0" w:leftChars="0" w:firstLine="640" w:firstLineChars="200"/>
        <w:jc w:val="left"/>
        <w:rPr>
          <w:rFonts w:eastAsia="仿宋_GB2312" w:cs="仿宋_GB2312"/>
          <w:sz w:val="32"/>
          <w:szCs w:val="32"/>
        </w:rPr>
      </w:pPr>
      <w:r>
        <w:rPr>
          <w:rFonts w:hint="eastAsia" w:eastAsia="仿宋_GB2312" w:cs="仿宋_GB2312"/>
          <w:sz w:val="32"/>
          <w:szCs w:val="32"/>
        </w:rPr>
        <w:t>十、政府性基金预算财政拨款收入支出决算表</w:t>
      </w:r>
    </w:p>
    <w:p>
      <w:pPr>
        <w:pStyle w:val="15"/>
        <w:adjustRightInd w:val="0"/>
        <w:snapToGrid w:val="0"/>
        <w:spacing w:line="560" w:lineRule="exact"/>
        <w:ind w:left="0" w:leftChars="0" w:firstLine="640" w:firstLineChars="200"/>
        <w:jc w:val="left"/>
        <w:rPr>
          <w:rFonts w:eastAsia="仿宋_GB2312" w:cs="仿宋_GB2312"/>
          <w:sz w:val="32"/>
          <w:szCs w:val="32"/>
        </w:rPr>
      </w:pPr>
      <w:r>
        <w:rPr>
          <w:rFonts w:hint="eastAsia" w:eastAsia="仿宋_GB2312" w:cs="仿宋_GB2312"/>
          <w:sz w:val="32"/>
          <w:szCs w:val="32"/>
        </w:rPr>
        <w:t>十一、国有资本经营预算财政拨款收入支出决算表</w:t>
      </w:r>
    </w:p>
    <w:p>
      <w:pPr>
        <w:pStyle w:val="15"/>
        <w:adjustRightInd w:val="0"/>
        <w:snapToGrid w:val="0"/>
        <w:spacing w:line="560" w:lineRule="exact"/>
        <w:ind w:left="0" w:leftChars="0" w:firstLine="640" w:firstLineChars="200"/>
        <w:jc w:val="left"/>
        <w:rPr>
          <w:rFonts w:eastAsia="仿宋_GB2312" w:cs="仿宋_GB2312"/>
          <w:sz w:val="32"/>
          <w:szCs w:val="32"/>
        </w:rPr>
      </w:pPr>
      <w:r>
        <w:rPr>
          <w:rFonts w:hint="eastAsia" w:eastAsia="仿宋_GB2312" w:cs="仿宋_GB2312"/>
          <w:sz w:val="32"/>
          <w:szCs w:val="32"/>
        </w:rPr>
        <w:t>十二、国有资本经营预算财政拨款支出决算表</w:t>
      </w:r>
    </w:p>
    <w:p>
      <w:pPr>
        <w:pStyle w:val="15"/>
        <w:adjustRightInd w:val="0"/>
        <w:snapToGrid w:val="0"/>
        <w:spacing w:line="560" w:lineRule="exact"/>
        <w:ind w:left="0" w:leftChars="0" w:firstLine="640" w:firstLineChars="200"/>
        <w:jc w:val="left"/>
        <w:rPr>
          <w:rFonts w:eastAsia="仿宋_GB2312" w:cs="仿宋_GB2312"/>
          <w:sz w:val="32"/>
          <w:szCs w:val="32"/>
        </w:rPr>
      </w:pPr>
      <w:r>
        <w:rPr>
          <w:rFonts w:hint="eastAsia" w:eastAsia="仿宋_GB2312" w:cs="仿宋_GB2312"/>
          <w:sz w:val="32"/>
          <w:szCs w:val="32"/>
        </w:rPr>
        <w:t>十三、财政拨款“三公”经费支出决算表</w:t>
      </w:r>
    </w:p>
    <w:p>
      <w:pPr>
        <w:pStyle w:val="3"/>
        <w:jc w:val="center"/>
        <w:rPr>
          <w:rFonts w:eastAsia="方正小标宋简体" w:cs="方正小标宋简体"/>
          <w:b w:val="0"/>
        </w:rPr>
        <w:sectPr>
          <w:footerReference r:id="rId6" w:type="default"/>
          <w:pgSz w:w="11906" w:h="16838"/>
          <w:pgMar w:top="1440" w:right="1800" w:bottom="1440" w:left="1800" w:header="851" w:footer="992" w:gutter="0"/>
          <w:pgNumType w:fmt="numberInDash" w:start="1"/>
          <w:cols w:space="425" w:num="1"/>
          <w:docGrid w:type="lines" w:linePitch="312" w:charSpace="0"/>
        </w:sectPr>
      </w:pPr>
      <w:bookmarkStart w:id="12" w:name="_Toc15377196"/>
      <w:bookmarkStart w:id="13" w:name="_Toc15396599"/>
    </w:p>
    <w:p>
      <w:pPr>
        <w:pStyle w:val="3"/>
        <w:jc w:val="center"/>
        <w:rPr>
          <w:rStyle w:val="29"/>
          <w:rFonts w:hint="eastAsia" w:eastAsia="方正小标宋简体" w:cs="方正小标宋简体"/>
          <w:b w:val="0"/>
          <w:bCs w:val="0"/>
        </w:rPr>
      </w:pPr>
      <w:r>
        <w:rPr>
          <w:rFonts w:hint="eastAsia" w:eastAsia="方正小标宋简体" w:cs="方正小标宋简体"/>
          <w:b w:val="0"/>
        </w:rPr>
        <w:t xml:space="preserve">第一部分  </w:t>
      </w:r>
      <w:r>
        <w:rPr>
          <w:rStyle w:val="29"/>
          <w:rFonts w:hint="eastAsia" w:eastAsia="方正小标宋简体" w:cs="方正小标宋简体"/>
          <w:b w:val="0"/>
          <w:bCs w:val="0"/>
        </w:rPr>
        <w:t>部门概况</w:t>
      </w:r>
      <w:bookmarkEnd w:id="12"/>
      <w:bookmarkEnd w:id="13"/>
    </w:p>
    <w:p/>
    <w:p>
      <w:pPr>
        <w:pStyle w:val="4"/>
        <w:rPr>
          <w:rFonts w:ascii="Times New Roman" w:hAnsi="Times New Roman" w:eastAsia="黑体"/>
          <w:b w:val="0"/>
        </w:rPr>
      </w:pPr>
      <w:bookmarkStart w:id="14" w:name="_Toc15396600"/>
      <w:bookmarkStart w:id="15" w:name="_Toc15377197"/>
      <w:r>
        <w:rPr>
          <w:rFonts w:hint="eastAsia" w:ascii="Times New Roman" w:hAnsi="Times New Roman" w:eastAsia="黑体"/>
          <w:b w:val="0"/>
        </w:rPr>
        <w:t>一、</w:t>
      </w:r>
      <w:bookmarkEnd w:id="14"/>
      <w:bookmarkEnd w:id="15"/>
      <w:r>
        <w:rPr>
          <w:rFonts w:hint="eastAsia" w:ascii="Times New Roman" w:hAnsi="Times New Roman" w:eastAsia="黑体"/>
          <w:b w:val="0"/>
        </w:rPr>
        <w:t>部门职责</w:t>
      </w:r>
    </w:p>
    <w:p>
      <w:pPr>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1.负责全县市场综合监督管理。起草市场监督管理有关规章草案、规范性文件。组织实施质量强县、食品安全、标准化和知识产权战略，拟订并组织实施有关规划，规范和维护市场秩序，营造诚实守信、公平竞争的市场环境。</w:t>
      </w:r>
    </w:p>
    <w:p>
      <w:pPr>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2.负责全县市场主体统一登记注册。负责指导全县各类企业、农民专业合作社和从事经营活动的单位、个体工商户以及外国（地区）企业、常驻代表机构等市场主体的登记注册和监督管理工作。建立市场主体信息公示和共享机制，依法公示和共享有关信息，加强信用监管，推动市场主体信用体系建设。配合协助党委组织部门开展小微企业、个体工商户、专业市场的党建工作。</w:t>
      </w:r>
    </w:p>
    <w:p>
      <w:pPr>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3.负责市场监管领域综合行政执法工作。</w:t>
      </w:r>
    </w:p>
    <w:p>
      <w:pPr>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4.负责监督管理全县市场秩序。依法监督管理市场交易、网络商品交易及有关服务的行为。协助开展有关反垄断调查工作。组织指导查处价格收费违法违规、不正当竞争、违法直销、传销、侵犯商标专利知识产权和制售假冒伪劣行为。依法实施合同、拍卖行为的监督管理。开展动产抵押物登记。指导广告业的发展，监督管理广告活动。依法查处无照生产经营和相关无证生产经营行为。组织指导消费环境建设，指导县保护消费者权益委员会开展消费维权工作。</w:t>
      </w:r>
    </w:p>
    <w:p>
      <w:pPr>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5.负责全县宏观质量管理。拟订并组织实施质量发展的制度措施。统筹全县质量基础设施建设与应用。会同有关部门组织实施重大工程设备质量监理制度，组织重大产品质量事故调查，贯彻实施缺陷产品召回制度，监督管理产品防伪工作。</w:t>
      </w:r>
    </w:p>
    <w:p>
      <w:pPr>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6.负责全县产品质量安全监督管理。负责产品质量监督抽查和风险监控工作，组织实施质量分级制度、质量安全追溯制度。负责工业产品生产许可证管理。负责纤维质量监督工作。</w:t>
      </w:r>
    </w:p>
    <w:p>
      <w:pPr>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7.负责全县特种设备安全监督管理。综合管理特种设备安全监察、监督工作，监督检查高耗能特种设备节能标准和锅炉产品环境保护标准的执行情况。</w:t>
      </w:r>
    </w:p>
    <w:p>
      <w:pPr>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8.负责全县食品安全监督管理综合协调。统筹指导全县食品安全工作。负责食品安全应急体系建设，组织指导重大食品安全事件应急处置和调查处理工作。落实食品安全重要信息直报制度。承担县食品安全委员会日常工作。</w:t>
      </w:r>
    </w:p>
    <w:p>
      <w:pPr>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9.负责全县食品安全监督管理。建立覆盖食品生产、流通、消费全过程的监督检查制度和隐患排查治理机制并组织实施，防范区域性、系统性食品安全风险。推动建立食品生产经营者落实主体责任的机制，健全食品安全追溯体系。指导督促食品生产经营企业的相关安全生产工作。组织开展食品安全监督抽检、风险监测、核查处置和风险预警、风险交流工作。组织实施特殊食品监督管理。</w:t>
      </w:r>
    </w:p>
    <w:p>
      <w:pPr>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10.负责药品、化妆品和医疗器械的质量管理、风险管理、安全监督和安全应急管理。承担全县药品零售、医疗器械经营的检查和处罚，以及化妆品经营和药品、医疗器械使用环节质量的安全监测、检查和处罚。参与市市场监管局组织的监督检查。监督实施问题产品召回和处置工作。参与执业药师注册及相关工作。</w:t>
      </w:r>
    </w:p>
    <w:p>
      <w:pPr>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11.负责统一管理全县计量工作。推行法定计量单位，执行国家计量制度，管理计量器具及量值传递和比对工作。规范、监督商品量和计量行为。</w:t>
      </w:r>
    </w:p>
    <w:p>
      <w:pPr>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12.负责统一管理全县标准化工作。依法承担地方标准立项、编号和发布等工作。协调指导团体标准制定工作。推行企业标准自我声明公开。依法对标准制定和实施情况开展监督。</w:t>
      </w:r>
    </w:p>
    <w:p>
      <w:pPr>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13.负责统一管理全县检验检测工作。规范检验检测市场，完善检验检测体系，指导协调检验检测行业发展。</w:t>
      </w:r>
    </w:p>
    <w:p>
      <w:pPr>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14.负责统一管理认证认可工作。监督管理认证认可和合格评定工作。</w:t>
      </w:r>
    </w:p>
    <w:p>
      <w:pPr>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15.负责全县知识产权战略、规划的制定，负责知识产权保护、管理，指导知识产权创造、运用和服务促进工作，负责商标、专利执法工作。</w:t>
      </w:r>
    </w:p>
    <w:p>
      <w:pPr>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16.负责市场监督管理科技和信息化建设。</w:t>
      </w:r>
    </w:p>
    <w:p>
      <w:pPr>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17.负责职责范围内的安全生产和职业健康、生态环境保护、审批服务便民化等工作。</w:t>
      </w:r>
    </w:p>
    <w:p>
      <w:pPr>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18.完成县委、县政府交办的其他任务。</w:t>
      </w:r>
    </w:p>
    <w:p>
      <w:pPr>
        <w:pStyle w:val="4"/>
        <w:rPr>
          <w:rStyle w:val="30"/>
          <w:rFonts w:ascii="Times New Roman" w:hAnsi="Times New Roman"/>
          <w:b w:val="0"/>
          <w:bCs w:val="0"/>
        </w:rPr>
      </w:pPr>
      <w:bookmarkStart w:id="16" w:name="_Toc15377200"/>
      <w:bookmarkStart w:id="17" w:name="_Toc15396601"/>
      <w:r>
        <w:rPr>
          <w:rFonts w:hint="eastAsia" w:ascii="Times New Roman" w:hAnsi="Times New Roman" w:eastAsia="黑体"/>
          <w:b w:val="0"/>
        </w:rPr>
        <w:t>二、机</w:t>
      </w:r>
      <w:r>
        <w:rPr>
          <w:rStyle w:val="30"/>
          <w:rFonts w:hint="eastAsia" w:ascii="Times New Roman" w:hAnsi="Times New Roman" w:eastAsia="黑体"/>
          <w:b w:val="0"/>
          <w:bCs w:val="0"/>
        </w:rPr>
        <w:t>构设置</w:t>
      </w:r>
      <w:bookmarkEnd w:id="16"/>
      <w:bookmarkEnd w:id="17"/>
    </w:p>
    <w:p>
      <w:pPr>
        <w:ind w:firstLine="800" w:firstLineChars="250"/>
        <w:rPr>
          <w:rFonts w:eastAsia="仿宋_GB2312" w:cs="仿宋_GB2312"/>
          <w:sz w:val="32"/>
          <w:szCs w:val="32"/>
        </w:rPr>
      </w:pPr>
      <w:r>
        <w:rPr>
          <w:rFonts w:hint="eastAsia" w:ascii="仿宋_GB2312" w:hAnsi="仿宋_GB2312" w:eastAsia="仿宋_GB2312" w:cs="仿宋_GB2312"/>
          <w:sz w:val="32"/>
          <w:szCs w:val="32"/>
        </w:rPr>
        <w:t>盐边县市场监督管理局</w:t>
      </w:r>
      <w:r>
        <w:rPr>
          <w:rFonts w:hint="eastAsia" w:eastAsia="仿宋_GB2312" w:cs="仿宋_GB2312"/>
          <w:sz w:val="32"/>
          <w:szCs w:val="32"/>
        </w:rPr>
        <w:t>下属二级预算单位0个，其中行政单位0个，参照公务员法管理的事业单位</w:t>
      </w:r>
      <w:r>
        <w:rPr>
          <w:rFonts w:hint="eastAsia" w:eastAsia="仿宋_GB2312" w:cs="仿宋_GB2312"/>
          <w:bCs/>
          <w:sz w:val="32"/>
          <w:szCs w:val="32"/>
        </w:rPr>
        <w:t>0</w:t>
      </w:r>
      <w:r>
        <w:rPr>
          <w:rFonts w:hint="eastAsia" w:eastAsia="仿宋_GB2312" w:cs="仿宋_GB2312"/>
          <w:sz w:val="32"/>
          <w:szCs w:val="32"/>
        </w:rPr>
        <w:t>个，其他事业单位0个。</w:t>
      </w:r>
    </w:p>
    <w:p>
      <w:pPr>
        <w:widowControl/>
        <w:jc w:val="left"/>
        <w:rPr>
          <w:rFonts w:eastAsia="仿宋"/>
          <w:color w:val="FF0000"/>
          <w:sz w:val="32"/>
          <w:szCs w:val="32"/>
        </w:rPr>
      </w:pPr>
    </w:p>
    <w:p>
      <w:pPr>
        <w:widowControl/>
        <w:jc w:val="left"/>
        <w:rPr>
          <w:rFonts w:eastAsia="仿宋"/>
          <w:color w:val="FF0000"/>
          <w:kern w:val="0"/>
          <w:sz w:val="32"/>
          <w:szCs w:val="32"/>
        </w:rPr>
      </w:pPr>
      <w:r>
        <w:rPr>
          <w:rFonts w:eastAsia="仿宋"/>
          <w:color w:val="FF0000"/>
          <w:sz w:val="32"/>
          <w:szCs w:val="32"/>
        </w:rPr>
        <w:br w:type="page"/>
      </w:r>
    </w:p>
    <w:p>
      <w:pPr>
        <w:pStyle w:val="3"/>
        <w:jc w:val="center"/>
        <w:rPr>
          <w:rFonts w:eastAsia="方正小标宋简体" w:cs="方正小标宋简体"/>
          <w:b w:val="0"/>
        </w:rPr>
      </w:pPr>
      <w:bookmarkStart w:id="18" w:name="_Toc15396602"/>
      <w:bookmarkStart w:id="19" w:name="_Toc15377204"/>
      <w:r>
        <w:rPr>
          <w:rFonts w:hint="eastAsia" w:eastAsia="方正小标宋简体" w:cs="方正小标宋简体"/>
          <w:b w:val="0"/>
        </w:rPr>
        <w:t>第二部分  2024年度部门决算情况说明</w:t>
      </w:r>
      <w:bookmarkEnd w:id="18"/>
      <w:bookmarkEnd w:id="19"/>
    </w:p>
    <w:p/>
    <w:p>
      <w:pPr>
        <w:pStyle w:val="28"/>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1"/>
        <w:rPr>
          <w:rStyle w:val="30"/>
          <w:rFonts w:ascii="Times New Roman" w:hAnsi="Times New Roman" w:eastAsia="黑体"/>
          <w:b w:val="0"/>
        </w:rPr>
      </w:pPr>
      <w:bookmarkStart w:id="20" w:name="_Toc15377205"/>
      <w:bookmarkStart w:id="21" w:name="_Toc15396603"/>
      <w:r>
        <w:rPr>
          <w:rFonts w:hint="eastAsia" w:eastAsia="黑体"/>
          <w:sz w:val="32"/>
          <w:szCs w:val="32"/>
        </w:rPr>
        <w:t>一、收</w:t>
      </w:r>
      <w:r>
        <w:rPr>
          <w:rStyle w:val="30"/>
          <w:rFonts w:hint="eastAsia" w:ascii="Times New Roman" w:hAnsi="Times New Roman" w:eastAsia="黑体"/>
          <w:b w:val="0"/>
        </w:rPr>
        <w:t>入支出决算总体情况说明</w:t>
      </w:r>
      <w:bookmarkEnd w:id="20"/>
      <w:bookmarkEnd w:id="21"/>
    </w:p>
    <w:p>
      <w:pPr>
        <w:pStyle w:val="28"/>
        <w:spacing w:line="600" w:lineRule="exact"/>
        <w:ind w:firstLine="640"/>
        <w:outlineLvl w:val="1"/>
        <w:rPr>
          <w:rFonts w:eastAsia="仿宋_GB2312" w:cs="仿宋_GB2312"/>
          <w:sz w:val="32"/>
          <w:szCs w:val="32"/>
        </w:rPr>
      </w:pPr>
      <w:r>
        <w:rPr>
          <w:rFonts w:hint="eastAsia" w:eastAsia="仿宋_GB2312" w:cs="仿宋_GB2312"/>
          <w:sz w:val="32"/>
          <w:szCs w:val="32"/>
        </w:rPr>
        <w:t>2024年度收入、支出总计均为</w:t>
      </w:r>
      <w:r>
        <w:rPr>
          <w:rFonts w:hint="eastAsia" w:ascii="仿宋_GB2312" w:hAnsi="仿宋_GB2312" w:eastAsia="仿宋_GB2312" w:cs="仿宋_GB2312"/>
          <w:sz w:val="32"/>
          <w:szCs w:val="32"/>
        </w:rPr>
        <w:t>2181.84</w:t>
      </w:r>
      <w:r>
        <w:rPr>
          <w:rFonts w:hint="eastAsia" w:eastAsia="仿宋_GB2312" w:cs="仿宋_GB2312"/>
          <w:sz w:val="32"/>
          <w:szCs w:val="32"/>
        </w:rPr>
        <w:t>万元。与2023年度相比，收入、支出总计各增加128.2万元，增长6.24%。主要变动原因是</w:t>
      </w:r>
      <w:r>
        <w:rPr>
          <w:rFonts w:hint="eastAsia" w:eastAsia="仿宋_GB2312" w:cs="仿宋_GB2312"/>
          <w:color w:val="auto"/>
          <w:sz w:val="32"/>
          <w:szCs w:val="32"/>
        </w:rPr>
        <w:t>项目收入、支出</w:t>
      </w:r>
      <w:r>
        <w:rPr>
          <w:rFonts w:hint="eastAsia" w:eastAsia="仿宋_GB2312" w:cs="仿宋_GB2312"/>
          <w:color w:val="auto"/>
          <w:sz w:val="32"/>
          <w:szCs w:val="32"/>
          <w:lang w:eastAsia="zh-CN"/>
        </w:rPr>
        <w:t>增加</w:t>
      </w:r>
      <w:r>
        <w:rPr>
          <w:rFonts w:hint="eastAsia" w:eastAsia="仿宋_GB2312" w:cs="仿宋_GB2312"/>
          <w:color w:val="auto"/>
          <w:sz w:val="32"/>
          <w:szCs w:val="32"/>
        </w:rPr>
        <w:t>。</w:t>
      </w:r>
    </w:p>
    <w:p>
      <w:pPr>
        <w:pStyle w:val="28"/>
        <w:spacing w:line="600" w:lineRule="exact"/>
        <w:ind w:firstLine="640"/>
        <w:outlineLvl w:val="1"/>
        <w:rPr>
          <w:rFonts w:eastAsia="仿宋_GB2312" w:cs="仿宋_GB2312"/>
          <w:sz w:val="32"/>
          <w:szCs w:val="32"/>
        </w:rPr>
      </w:pPr>
      <w:r>
        <w:rPr>
          <w:rFonts w:hint="eastAsia" w:eastAsia="仿宋_GB2312" w:cs="仿宋_GB2312"/>
          <w:sz w:val="32"/>
          <w:szCs w:val="32"/>
          <w:lang w:eastAsia="zh-CN"/>
        </w:rPr>
        <w:t>（</w:t>
      </w:r>
      <w:r>
        <w:rPr>
          <w:rFonts w:hint="eastAsia" w:eastAsia="仿宋_GB2312" w:cs="仿宋_GB2312"/>
          <w:sz w:val="32"/>
          <w:szCs w:val="32"/>
        </w:rPr>
        <w:t>图1：收入、支出决算总计变动情况图</w:t>
      </w:r>
      <w:r>
        <w:rPr>
          <w:rFonts w:hint="eastAsia" w:eastAsia="仿宋_GB2312" w:cs="仿宋_GB2312"/>
          <w:sz w:val="32"/>
          <w:szCs w:val="32"/>
          <w:lang w:eastAsia="zh-CN"/>
        </w:rPr>
        <w:t>）</w:t>
      </w:r>
    </w:p>
    <w:p>
      <w:pPr>
        <w:pStyle w:val="28"/>
        <w:spacing w:line="600" w:lineRule="exact"/>
        <w:outlineLvl w:val="1"/>
        <w:rPr>
          <w:rFonts w:eastAsia="仿宋_GB2312" w:cs="仿宋_GB2312"/>
          <w:sz w:val="32"/>
          <w:szCs w:val="32"/>
        </w:rPr>
      </w:pPr>
      <w:r>
        <w:drawing>
          <wp:anchor distT="0" distB="0" distL="114300" distR="114300" simplePos="0" relativeHeight="251661312" behindDoc="0" locked="0" layoutInCell="1" allowOverlap="1">
            <wp:simplePos x="0" y="0"/>
            <wp:positionH relativeFrom="column">
              <wp:posOffset>59690</wp:posOffset>
            </wp:positionH>
            <wp:positionV relativeFrom="paragraph">
              <wp:posOffset>59055</wp:posOffset>
            </wp:positionV>
            <wp:extent cx="5271770" cy="2633980"/>
            <wp:effectExtent l="0" t="0" r="5080" b="13970"/>
            <wp:wrapNone/>
            <wp:docPr id="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
                    <pic:cNvPicPr>
                      <a:picLocks noChangeAspect="1"/>
                    </pic:cNvPicPr>
                  </pic:nvPicPr>
                  <pic:blipFill>
                    <a:blip r:embed="rId9"/>
                    <a:stretch>
                      <a:fillRect/>
                    </a:stretch>
                  </pic:blipFill>
                  <pic:spPr>
                    <a:xfrm>
                      <a:off x="0" y="0"/>
                      <a:ext cx="5271770" cy="2633980"/>
                    </a:xfrm>
                    <a:prstGeom prst="rect">
                      <a:avLst/>
                    </a:prstGeom>
                    <a:noFill/>
                    <a:ln>
                      <a:noFill/>
                    </a:ln>
                  </pic:spPr>
                </pic:pic>
              </a:graphicData>
            </a:graphic>
          </wp:anchor>
        </w:drawing>
      </w:r>
    </w:p>
    <w:p>
      <w:pPr>
        <w:pStyle w:val="28"/>
        <w:spacing w:line="600" w:lineRule="exact"/>
        <w:ind w:firstLine="643"/>
        <w:outlineLvl w:val="1"/>
        <w:rPr>
          <w:rFonts w:eastAsia="仿宋_GB2312" w:cs="仿宋_GB2312"/>
          <w:b/>
          <w:bCs/>
          <w:sz w:val="32"/>
          <w:szCs w:val="32"/>
        </w:rPr>
      </w:pPr>
    </w:p>
    <w:p>
      <w:pPr>
        <w:pStyle w:val="28"/>
        <w:spacing w:line="600" w:lineRule="exact"/>
        <w:ind w:firstLine="640"/>
        <w:outlineLvl w:val="1"/>
        <w:rPr>
          <w:rFonts w:eastAsia="仿宋_GB2312" w:cs="仿宋_GB2312"/>
          <w:sz w:val="32"/>
          <w:szCs w:val="32"/>
        </w:rPr>
      </w:pPr>
    </w:p>
    <w:p>
      <w:pPr>
        <w:pStyle w:val="28"/>
        <w:spacing w:line="600" w:lineRule="exact"/>
        <w:ind w:firstLine="640"/>
        <w:outlineLvl w:val="1"/>
        <w:rPr>
          <w:rFonts w:eastAsia="仿宋_GB2312" w:cs="仿宋_GB2312"/>
          <w:sz w:val="32"/>
          <w:szCs w:val="32"/>
        </w:rPr>
      </w:pPr>
    </w:p>
    <w:p>
      <w:pPr>
        <w:pStyle w:val="28"/>
        <w:spacing w:line="600" w:lineRule="exact"/>
        <w:ind w:firstLine="640"/>
        <w:outlineLvl w:val="1"/>
        <w:rPr>
          <w:rFonts w:eastAsia="仿宋_GB2312" w:cs="仿宋_GB2312"/>
          <w:sz w:val="32"/>
          <w:szCs w:val="32"/>
        </w:rPr>
      </w:pPr>
    </w:p>
    <w:p>
      <w:pPr>
        <w:pStyle w:val="28"/>
        <w:spacing w:line="600" w:lineRule="exact"/>
        <w:ind w:firstLine="640"/>
        <w:outlineLvl w:val="1"/>
        <w:rPr>
          <w:rFonts w:eastAsia="仿宋_GB2312" w:cs="仿宋_GB2312"/>
          <w:sz w:val="32"/>
          <w:szCs w:val="32"/>
        </w:rPr>
      </w:pPr>
    </w:p>
    <w:p>
      <w:pPr>
        <w:pStyle w:val="28"/>
        <w:spacing w:line="600" w:lineRule="exact"/>
        <w:ind w:firstLine="0" w:firstLineChars="0"/>
        <w:outlineLvl w:val="1"/>
        <w:rPr>
          <w:rFonts w:eastAsia="仿宋_GB2312" w:cs="仿宋_GB2312"/>
          <w:sz w:val="32"/>
          <w:szCs w:val="32"/>
        </w:rPr>
      </w:pPr>
    </w:p>
    <w:p>
      <w:pPr>
        <w:ind w:firstLine="640" w:firstLineChars="200"/>
        <w:rPr>
          <w:rFonts w:eastAsia="仿宋_GB2312" w:cs="仿宋_GB2312"/>
          <w:sz w:val="32"/>
          <w:szCs w:val="32"/>
        </w:rPr>
      </w:pPr>
    </w:p>
    <w:p>
      <w:pPr>
        <w:pStyle w:val="28"/>
        <w:spacing w:line="600" w:lineRule="exact"/>
        <w:ind w:firstLine="640"/>
        <w:outlineLvl w:val="1"/>
        <w:rPr>
          <w:rFonts w:eastAsia="黑体"/>
          <w:sz w:val="32"/>
          <w:szCs w:val="32"/>
        </w:rPr>
      </w:pPr>
      <w:bookmarkStart w:id="22" w:name="_Toc15396604"/>
      <w:bookmarkStart w:id="23" w:name="_Toc15377206"/>
      <w:r>
        <w:rPr>
          <w:rFonts w:hint="eastAsia" w:eastAsia="黑体"/>
          <w:sz w:val="32"/>
          <w:szCs w:val="32"/>
        </w:rPr>
        <w:t>二、收入决算情况说明</w:t>
      </w:r>
      <w:bookmarkEnd w:id="22"/>
      <w:bookmarkEnd w:id="23"/>
    </w:p>
    <w:p>
      <w:pPr>
        <w:pStyle w:val="28"/>
        <w:spacing w:line="600" w:lineRule="exact"/>
        <w:ind w:firstLine="640"/>
        <w:jc w:val="left"/>
        <w:outlineLvl w:val="1"/>
        <w:rPr>
          <w:rFonts w:ascii="仿宋_GB2312" w:hAnsi="仿宋_GB2312" w:eastAsia="仿宋_GB2312" w:cs="仿宋_GB2312"/>
          <w:sz w:val="32"/>
          <w:szCs w:val="32"/>
        </w:rPr>
      </w:pPr>
      <w:r>
        <w:rPr>
          <w:rFonts w:hint="eastAsia" w:ascii="仿宋_GB2312" w:hAnsi="仿宋_GB2312" w:eastAsia="仿宋_GB2312" w:cs="仿宋_GB2312"/>
          <w:sz w:val="32"/>
          <w:szCs w:val="32"/>
        </w:rPr>
        <w:t>2024年度本年收入合计2158.02万元，其中：一般公共预算财政拨款收入2149.46万元，占99.6%；政府性基金预算财政拨款收入0万元，占0%；国有资本经营预算财政拨款收入0万元，占0%；上级补助收入0万元，占0%；事业收入0万元，占0%；经营收入0万元，占0%；附属单位上缴收入0万元，占0%；其他收入8.56万元，占0.39%。</w:t>
      </w:r>
    </w:p>
    <w:p>
      <w:pPr>
        <w:ind w:firstLine="800" w:firstLineChars="250"/>
        <w:rPr>
          <w:rFonts w:ascii="仿宋_GB2312" w:hAnsi="仿宋_GB2312" w:eastAsia="仿宋_GB2312" w:cs="仿宋_GB2312"/>
          <w:sz w:val="32"/>
          <w:szCs w:val="32"/>
        </w:rPr>
      </w:pPr>
      <w:r>
        <w:rPr>
          <w:rFonts w:hint="eastAsia" w:eastAsia="仿宋_GB2312" w:cs="仿宋_GB2312"/>
          <w:sz w:val="32"/>
          <w:szCs w:val="32"/>
          <w:lang w:eastAsia="zh-CN"/>
        </w:rPr>
        <w:t>（</w:t>
      </w:r>
      <w:r>
        <w:rPr>
          <w:rFonts w:hint="eastAsia" w:eastAsia="仿宋_GB2312" w:cs="仿宋_GB2312"/>
          <w:sz w:val="32"/>
          <w:szCs w:val="32"/>
        </w:rPr>
        <w:t>图2：收入决算结构图</w:t>
      </w:r>
      <w:r>
        <w:rPr>
          <w:rFonts w:hint="eastAsia" w:eastAsia="仿宋_GB2312" w:cs="仿宋_GB2312"/>
          <w:sz w:val="32"/>
          <w:szCs w:val="32"/>
          <w:lang w:eastAsia="zh-CN"/>
        </w:rPr>
        <w:t>）</w:t>
      </w:r>
    </w:p>
    <w:p>
      <w:pPr>
        <w:pStyle w:val="28"/>
        <w:spacing w:line="600" w:lineRule="exact"/>
        <w:ind w:firstLine="0" w:firstLineChars="0"/>
        <w:jc w:val="left"/>
        <w:outlineLvl w:val="1"/>
        <w:rPr>
          <w:rFonts w:ascii="仿宋_GB2312" w:hAnsi="仿宋_GB2312" w:eastAsia="仿宋_GB2312" w:cs="仿宋_GB2312"/>
          <w:sz w:val="32"/>
          <w:szCs w:val="32"/>
        </w:rPr>
      </w:pPr>
      <w:r>
        <w:drawing>
          <wp:anchor distT="0" distB="0" distL="114300" distR="114300" simplePos="0" relativeHeight="251659264" behindDoc="0" locked="0" layoutInCell="1" allowOverlap="1">
            <wp:simplePos x="0" y="0"/>
            <wp:positionH relativeFrom="column">
              <wp:posOffset>-24765</wp:posOffset>
            </wp:positionH>
            <wp:positionV relativeFrom="paragraph">
              <wp:posOffset>67310</wp:posOffset>
            </wp:positionV>
            <wp:extent cx="5269230" cy="2639060"/>
            <wp:effectExtent l="0" t="0" r="7620" b="8890"/>
            <wp:wrapNone/>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10"/>
                    <a:stretch>
                      <a:fillRect/>
                    </a:stretch>
                  </pic:blipFill>
                  <pic:spPr>
                    <a:xfrm>
                      <a:off x="0" y="0"/>
                      <a:ext cx="5269230" cy="2639060"/>
                    </a:xfrm>
                    <a:prstGeom prst="rect">
                      <a:avLst/>
                    </a:prstGeom>
                    <a:noFill/>
                    <a:ln>
                      <a:noFill/>
                    </a:ln>
                  </pic:spPr>
                </pic:pic>
              </a:graphicData>
            </a:graphic>
          </wp:anchor>
        </w:drawing>
      </w:r>
    </w:p>
    <w:p>
      <w:pPr>
        <w:pStyle w:val="28"/>
        <w:spacing w:line="600" w:lineRule="exact"/>
        <w:ind w:firstLine="0" w:firstLineChars="0"/>
        <w:jc w:val="left"/>
        <w:outlineLvl w:val="1"/>
        <w:rPr>
          <w:rFonts w:ascii="仿宋_GB2312" w:hAnsi="仿宋_GB2312" w:eastAsia="仿宋_GB2312" w:cs="仿宋_GB2312"/>
          <w:sz w:val="32"/>
          <w:szCs w:val="32"/>
        </w:rPr>
      </w:pPr>
    </w:p>
    <w:p>
      <w:pPr>
        <w:pStyle w:val="28"/>
        <w:spacing w:line="600" w:lineRule="exact"/>
        <w:ind w:firstLine="0" w:firstLineChars="0"/>
        <w:jc w:val="left"/>
        <w:outlineLvl w:val="1"/>
        <w:rPr>
          <w:rFonts w:ascii="仿宋_GB2312" w:hAnsi="仿宋_GB2312" w:eastAsia="仿宋_GB2312" w:cs="仿宋_GB2312"/>
          <w:sz w:val="32"/>
          <w:szCs w:val="32"/>
        </w:rPr>
      </w:pPr>
    </w:p>
    <w:p>
      <w:pPr>
        <w:pStyle w:val="28"/>
        <w:spacing w:line="600" w:lineRule="exact"/>
        <w:ind w:firstLine="640"/>
        <w:jc w:val="left"/>
        <w:outlineLvl w:val="1"/>
        <w:rPr>
          <w:rFonts w:ascii="仿宋_GB2312" w:hAnsi="仿宋_GB2312" w:eastAsia="仿宋_GB2312" w:cs="仿宋_GB2312"/>
          <w:sz w:val="32"/>
          <w:szCs w:val="32"/>
        </w:rPr>
      </w:pPr>
    </w:p>
    <w:p>
      <w:pPr>
        <w:pStyle w:val="28"/>
        <w:spacing w:line="600" w:lineRule="exact"/>
        <w:ind w:firstLine="640"/>
        <w:jc w:val="left"/>
        <w:outlineLvl w:val="1"/>
        <w:rPr>
          <w:rFonts w:ascii="仿宋_GB2312" w:hAnsi="仿宋_GB2312" w:eastAsia="仿宋_GB2312" w:cs="仿宋_GB2312"/>
          <w:sz w:val="32"/>
          <w:szCs w:val="32"/>
        </w:rPr>
      </w:pPr>
    </w:p>
    <w:p>
      <w:pPr>
        <w:pStyle w:val="28"/>
        <w:spacing w:line="600" w:lineRule="exact"/>
        <w:ind w:firstLine="640"/>
        <w:jc w:val="left"/>
        <w:outlineLvl w:val="1"/>
        <w:rPr>
          <w:rFonts w:ascii="仿宋_GB2312" w:hAnsi="仿宋_GB2312" w:eastAsia="仿宋_GB2312" w:cs="仿宋_GB2312"/>
          <w:sz w:val="32"/>
          <w:szCs w:val="32"/>
        </w:rPr>
      </w:pPr>
    </w:p>
    <w:p>
      <w:pPr>
        <w:pStyle w:val="28"/>
        <w:spacing w:line="600" w:lineRule="exact"/>
        <w:ind w:firstLine="0" w:firstLineChars="0"/>
        <w:jc w:val="left"/>
        <w:outlineLvl w:val="1"/>
        <w:rPr>
          <w:rFonts w:ascii="仿宋_GB2312" w:hAnsi="仿宋_GB2312" w:eastAsia="仿宋_GB2312" w:cs="仿宋_GB2312"/>
          <w:sz w:val="32"/>
          <w:szCs w:val="32"/>
        </w:rPr>
      </w:pPr>
    </w:p>
    <w:p>
      <w:pPr>
        <w:pStyle w:val="28"/>
        <w:spacing w:line="600" w:lineRule="exact"/>
        <w:ind w:firstLine="640"/>
        <w:outlineLvl w:val="1"/>
        <w:rPr>
          <w:rStyle w:val="30"/>
          <w:rFonts w:ascii="Times New Roman" w:hAnsi="Times New Roman" w:eastAsia="黑体"/>
          <w:b w:val="0"/>
        </w:rPr>
      </w:pPr>
      <w:bookmarkStart w:id="24" w:name="_Toc15396605"/>
      <w:bookmarkStart w:id="25" w:name="_Toc15377207"/>
      <w:r>
        <w:rPr>
          <w:rFonts w:hint="eastAsia" w:eastAsia="黑体"/>
          <w:sz w:val="32"/>
          <w:szCs w:val="32"/>
        </w:rPr>
        <w:t>三、支</w:t>
      </w:r>
      <w:r>
        <w:rPr>
          <w:rStyle w:val="30"/>
          <w:rFonts w:hint="eastAsia" w:ascii="Times New Roman" w:hAnsi="Times New Roman" w:eastAsia="黑体"/>
          <w:b w:val="0"/>
        </w:rPr>
        <w:t>出决算情况说明</w:t>
      </w:r>
      <w:bookmarkEnd w:id="24"/>
      <w:bookmarkEnd w:id="25"/>
    </w:p>
    <w:p>
      <w:pPr>
        <w:ind w:firstLine="800" w:firstLineChars="250"/>
        <w:rPr>
          <w:rFonts w:ascii="仿宋_GB2312" w:hAnsi="仿宋_GB2312" w:eastAsia="仿宋_GB2312" w:cs="仿宋_GB2312"/>
          <w:sz w:val="32"/>
          <w:szCs w:val="32"/>
        </w:rPr>
      </w:pPr>
      <w:r>
        <w:rPr>
          <w:rFonts w:hint="eastAsia" w:ascii="仿宋_GB2312" w:hAnsi="仿宋_GB2312" w:eastAsia="仿宋_GB2312" w:cs="仿宋_GB2312"/>
          <w:sz w:val="32"/>
          <w:szCs w:val="32"/>
        </w:rPr>
        <w:t>2024年度本年支出合计2175.52万元，其中：基本支出1721.83万元，占79.14%；项目支出453.7万元，占20.85%；上缴上级支出0万元，占0%；经营支出0万元，占0%；对附属单位补助支出0万元，占0%。</w:t>
      </w:r>
    </w:p>
    <w:p>
      <w:pPr>
        <w:ind w:firstLine="800" w:firstLineChars="250"/>
        <w:rPr>
          <w:rFonts w:ascii="仿宋_GB2312" w:hAnsi="仿宋_GB2312" w:eastAsia="仿宋_GB2312" w:cs="仿宋_GB2312"/>
          <w:sz w:val="32"/>
          <w:szCs w:val="32"/>
        </w:rPr>
      </w:pPr>
      <w:r>
        <w:rPr>
          <w:rFonts w:hint="eastAsia" w:eastAsia="仿宋_GB2312" w:cs="仿宋_GB2312"/>
          <w:sz w:val="32"/>
          <w:szCs w:val="32"/>
          <w:lang w:eastAsia="zh-CN"/>
        </w:rPr>
        <w:t>（</w:t>
      </w:r>
      <w:r>
        <w:rPr>
          <w:rFonts w:hint="eastAsia" w:eastAsia="仿宋_GB2312" w:cs="仿宋_GB2312"/>
          <w:sz w:val="32"/>
          <w:szCs w:val="32"/>
        </w:rPr>
        <w:t>图3：支出决算结构图</w:t>
      </w:r>
      <w:r>
        <w:rPr>
          <w:rFonts w:hint="eastAsia" w:eastAsia="仿宋_GB2312" w:cs="仿宋_GB2312"/>
          <w:sz w:val="32"/>
          <w:szCs w:val="32"/>
          <w:lang w:eastAsia="zh-CN"/>
        </w:rPr>
        <w:t>）</w:t>
      </w:r>
    </w:p>
    <w:p>
      <w:pPr>
        <w:pStyle w:val="28"/>
        <w:spacing w:line="600" w:lineRule="exact"/>
        <w:jc w:val="left"/>
        <w:outlineLvl w:val="1"/>
      </w:pPr>
      <w:r>
        <w:drawing>
          <wp:anchor distT="0" distB="0" distL="114300" distR="114300" simplePos="0" relativeHeight="251660288" behindDoc="0" locked="0" layoutInCell="1" allowOverlap="1">
            <wp:simplePos x="0" y="0"/>
            <wp:positionH relativeFrom="column">
              <wp:posOffset>51435</wp:posOffset>
            </wp:positionH>
            <wp:positionV relativeFrom="paragraph">
              <wp:posOffset>127000</wp:posOffset>
            </wp:positionV>
            <wp:extent cx="5266055" cy="2611120"/>
            <wp:effectExtent l="0" t="0" r="10795" b="17780"/>
            <wp:wrapNone/>
            <wp:docPr id="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pic:cNvPicPr>
                      <a:picLocks noChangeAspect="1"/>
                    </pic:cNvPicPr>
                  </pic:nvPicPr>
                  <pic:blipFill>
                    <a:blip r:embed="rId11"/>
                    <a:stretch>
                      <a:fillRect/>
                    </a:stretch>
                  </pic:blipFill>
                  <pic:spPr>
                    <a:xfrm>
                      <a:off x="0" y="0"/>
                      <a:ext cx="5266055" cy="2611120"/>
                    </a:xfrm>
                    <a:prstGeom prst="rect">
                      <a:avLst/>
                    </a:prstGeom>
                    <a:noFill/>
                    <a:ln>
                      <a:noFill/>
                    </a:ln>
                  </pic:spPr>
                </pic:pic>
              </a:graphicData>
            </a:graphic>
          </wp:anchor>
        </w:drawing>
      </w:r>
    </w:p>
    <w:p>
      <w:pPr>
        <w:pStyle w:val="28"/>
        <w:spacing w:line="600" w:lineRule="exact"/>
        <w:jc w:val="left"/>
        <w:outlineLvl w:val="1"/>
      </w:pPr>
    </w:p>
    <w:p>
      <w:pPr>
        <w:pStyle w:val="28"/>
        <w:spacing w:line="600" w:lineRule="exact"/>
        <w:jc w:val="left"/>
        <w:outlineLvl w:val="1"/>
      </w:pPr>
    </w:p>
    <w:p>
      <w:pPr>
        <w:pStyle w:val="28"/>
        <w:spacing w:line="600" w:lineRule="exact"/>
        <w:jc w:val="left"/>
        <w:outlineLvl w:val="1"/>
      </w:pPr>
    </w:p>
    <w:p>
      <w:pPr>
        <w:pStyle w:val="28"/>
        <w:spacing w:line="600" w:lineRule="exact"/>
        <w:jc w:val="left"/>
        <w:outlineLvl w:val="1"/>
      </w:pPr>
    </w:p>
    <w:p>
      <w:pPr>
        <w:pStyle w:val="28"/>
        <w:spacing w:line="600" w:lineRule="exact"/>
        <w:jc w:val="left"/>
        <w:outlineLvl w:val="1"/>
      </w:pPr>
    </w:p>
    <w:p>
      <w:pPr>
        <w:pStyle w:val="28"/>
        <w:spacing w:line="600" w:lineRule="exact"/>
        <w:jc w:val="left"/>
        <w:outlineLvl w:val="1"/>
      </w:pPr>
    </w:p>
    <w:p>
      <w:pPr>
        <w:pStyle w:val="28"/>
        <w:spacing w:line="600" w:lineRule="exact"/>
        <w:ind w:firstLine="640"/>
        <w:jc w:val="left"/>
        <w:outlineLvl w:val="1"/>
        <w:rPr>
          <w:rFonts w:ascii="仿宋_GB2312" w:hAnsi="仿宋_GB2312" w:eastAsia="仿宋_GB2312" w:cs="仿宋_GB2312"/>
          <w:sz w:val="32"/>
          <w:szCs w:val="32"/>
        </w:rPr>
      </w:pPr>
    </w:p>
    <w:p>
      <w:pPr>
        <w:ind w:firstLine="800" w:firstLineChars="250"/>
        <w:rPr>
          <w:rFonts w:eastAsia="仿宋_GB2312" w:cs="仿宋_GB2312"/>
          <w:sz w:val="32"/>
          <w:szCs w:val="32"/>
        </w:rPr>
      </w:pPr>
    </w:p>
    <w:p>
      <w:pPr>
        <w:spacing w:line="600" w:lineRule="exact"/>
        <w:ind w:firstLine="640" w:firstLineChars="200"/>
        <w:outlineLvl w:val="1"/>
        <w:rPr>
          <w:rStyle w:val="30"/>
          <w:rFonts w:ascii="Times New Roman" w:hAnsi="Times New Roman" w:eastAsia="黑体"/>
          <w:b w:val="0"/>
        </w:rPr>
      </w:pPr>
      <w:bookmarkStart w:id="26" w:name="_Toc15377208"/>
      <w:bookmarkStart w:id="27" w:name="_Toc15396606"/>
      <w:r>
        <w:rPr>
          <w:rFonts w:hint="eastAsia" w:eastAsia="黑体"/>
          <w:sz w:val="32"/>
          <w:szCs w:val="32"/>
        </w:rPr>
        <w:t>四、财</w:t>
      </w:r>
      <w:r>
        <w:rPr>
          <w:rStyle w:val="30"/>
          <w:rFonts w:hint="eastAsia" w:ascii="Times New Roman" w:hAnsi="Times New Roman" w:eastAsia="黑体"/>
          <w:b w:val="0"/>
        </w:rPr>
        <w:t>政拨款收入支出决算总体情况说明</w:t>
      </w:r>
      <w:bookmarkEnd w:id="26"/>
      <w:bookmarkEnd w:id="27"/>
    </w:p>
    <w:p>
      <w:pPr>
        <w:spacing w:line="600" w:lineRule="exact"/>
        <w:ind w:firstLine="640" w:firstLineChars="200"/>
        <w:rPr>
          <w:rFonts w:eastAsia="仿宋_GB2312" w:cs="仿宋_GB2312"/>
          <w:sz w:val="32"/>
          <w:szCs w:val="32"/>
        </w:rPr>
      </w:pPr>
      <w:r>
        <w:rPr>
          <w:rFonts w:hint="eastAsia" w:eastAsia="仿宋_GB2312" w:cs="仿宋_GB2312"/>
          <w:sz w:val="32"/>
          <w:szCs w:val="32"/>
        </w:rPr>
        <w:t>2024年度财政拨款收入、支出总计均为</w:t>
      </w:r>
      <w:r>
        <w:rPr>
          <w:rFonts w:hint="eastAsia" w:ascii="仿宋_GB2312" w:hAnsi="仿宋_GB2312" w:eastAsia="仿宋_GB2312" w:cs="仿宋_GB2312"/>
          <w:sz w:val="32"/>
          <w:szCs w:val="32"/>
        </w:rPr>
        <w:t>2149.46</w:t>
      </w:r>
      <w:r>
        <w:rPr>
          <w:rFonts w:hint="eastAsia" w:eastAsia="仿宋_GB2312" w:cs="仿宋_GB2312"/>
          <w:sz w:val="32"/>
          <w:szCs w:val="32"/>
        </w:rPr>
        <w:t>万元。与2023年度相比，财政拨款收入总计、支出总计各增加144.08万元，增长7.18%。主要变动原因是项目收入、支出增多。</w:t>
      </w:r>
    </w:p>
    <w:p>
      <w:pPr>
        <w:spacing w:line="600" w:lineRule="exact"/>
        <w:ind w:firstLine="640" w:firstLineChars="200"/>
        <w:rPr>
          <w:rFonts w:eastAsia="仿宋_GB2312" w:cs="仿宋_GB2312"/>
          <w:sz w:val="32"/>
          <w:szCs w:val="32"/>
        </w:rPr>
      </w:pPr>
      <w:r>
        <w:rPr>
          <w:rFonts w:hint="eastAsia" w:eastAsia="仿宋_GB2312" w:cs="仿宋_GB2312"/>
          <w:sz w:val="32"/>
          <w:szCs w:val="32"/>
          <w:lang w:eastAsia="zh-CN"/>
        </w:rPr>
        <w:t>（</w:t>
      </w:r>
      <w:r>
        <w:rPr>
          <w:rFonts w:hint="eastAsia" w:eastAsia="仿宋_GB2312" w:cs="仿宋_GB2312"/>
          <w:sz w:val="32"/>
          <w:szCs w:val="32"/>
        </w:rPr>
        <w:t>图4：财政拨款收、支决算总计变动情况</w:t>
      </w:r>
      <w:r>
        <w:rPr>
          <w:rFonts w:hint="eastAsia" w:eastAsia="仿宋_GB2312" w:cs="仿宋_GB2312"/>
          <w:sz w:val="32"/>
          <w:szCs w:val="32"/>
          <w:lang w:eastAsia="zh-CN"/>
        </w:rPr>
        <w:t>）</w:t>
      </w:r>
    </w:p>
    <w:p>
      <w:pPr>
        <w:pStyle w:val="10"/>
        <w:rPr>
          <w:rFonts w:eastAsia="仿宋_GB2312" w:cs="仿宋_GB2312"/>
          <w:sz w:val="32"/>
          <w:szCs w:val="32"/>
        </w:rPr>
      </w:pPr>
      <w:r>
        <w:drawing>
          <wp:inline distT="0" distB="0" distL="114300" distR="114300">
            <wp:extent cx="5265420" cy="2629535"/>
            <wp:effectExtent l="0" t="0" r="11430" b="18415"/>
            <wp:docPr id="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pic:cNvPicPr>
                      <a:picLocks noChangeAspect="1"/>
                    </pic:cNvPicPr>
                  </pic:nvPicPr>
                  <pic:blipFill>
                    <a:blip r:embed="rId12"/>
                    <a:stretch>
                      <a:fillRect/>
                    </a:stretch>
                  </pic:blipFill>
                  <pic:spPr>
                    <a:xfrm>
                      <a:off x="0" y="0"/>
                      <a:ext cx="5265420" cy="2629535"/>
                    </a:xfrm>
                    <a:prstGeom prst="rect">
                      <a:avLst/>
                    </a:prstGeom>
                    <a:noFill/>
                    <a:ln>
                      <a:noFill/>
                    </a:ln>
                  </pic:spPr>
                </pic:pic>
              </a:graphicData>
            </a:graphic>
          </wp:inline>
        </w:drawing>
      </w:r>
    </w:p>
    <w:p>
      <w:pPr>
        <w:spacing w:line="600" w:lineRule="exact"/>
        <w:ind w:firstLine="640" w:firstLineChars="200"/>
        <w:outlineLvl w:val="1"/>
        <w:rPr>
          <w:rFonts w:eastAsia="黑体"/>
          <w:sz w:val="32"/>
          <w:szCs w:val="32"/>
        </w:rPr>
      </w:pPr>
      <w:bookmarkStart w:id="28" w:name="_Toc15377209"/>
      <w:bookmarkStart w:id="29" w:name="_Toc15396607"/>
    </w:p>
    <w:p>
      <w:pPr>
        <w:spacing w:line="600" w:lineRule="exact"/>
        <w:ind w:firstLine="640" w:firstLineChars="200"/>
        <w:outlineLvl w:val="1"/>
        <w:rPr>
          <w:rStyle w:val="30"/>
          <w:rFonts w:ascii="Times New Roman" w:hAnsi="Times New Roman" w:eastAsia="黑体"/>
          <w:b w:val="0"/>
        </w:rPr>
      </w:pPr>
      <w:r>
        <w:rPr>
          <w:rFonts w:hint="eastAsia" w:eastAsia="黑体"/>
          <w:sz w:val="32"/>
          <w:szCs w:val="32"/>
        </w:rPr>
        <w:t>五、</w:t>
      </w:r>
      <w:r>
        <w:rPr>
          <w:rFonts w:hint="eastAsia" w:eastAsia="黑体"/>
          <w:b/>
          <w:sz w:val="32"/>
          <w:szCs w:val="32"/>
        </w:rPr>
        <w:t>一</w:t>
      </w:r>
      <w:r>
        <w:rPr>
          <w:rStyle w:val="30"/>
          <w:rFonts w:hint="eastAsia" w:ascii="Times New Roman" w:hAnsi="Times New Roman" w:eastAsia="黑体"/>
          <w:b w:val="0"/>
        </w:rPr>
        <w:t>般公共预算财政拨款支出决算情况说明</w:t>
      </w:r>
      <w:bookmarkEnd w:id="28"/>
      <w:bookmarkEnd w:id="29"/>
    </w:p>
    <w:p>
      <w:pPr>
        <w:spacing w:line="600" w:lineRule="exact"/>
        <w:ind w:firstLine="643" w:firstLineChars="200"/>
        <w:outlineLvl w:val="2"/>
        <w:rPr>
          <w:rFonts w:eastAsia="楷体_GB2312" w:cs="楷体_GB2312"/>
          <w:b/>
          <w:sz w:val="32"/>
          <w:szCs w:val="32"/>
        </w:rPr>
      </w:pPr>
      <w:bookmarkStart w:id="30" w:name="_Toc15377210"/>
      <w:r>
        <w:rPr>
          <w:rFonts w:hint="eastAsia" w:eastAsia="楷体_GB2312" w:cs="楷体_GB2312"/>
          <w:b/>
          <w:sz w:val="32"/>
          <w:szCs w:val="32"/>
        </w:rPr>
        <w:t>（一）一般公共预算财政拨款支出决算总体情况</w:t>
      </w:r>
      <w:bookmarkEnd w:id="30"/>
    </w:p>
    <w:p>
      <w:pPr>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2024年度一般公共预算财政拨款支出2149.46万元，占本年支出合计的98.8%。与2023年度相比，一般公共预算财政拨款支出增加144.08万元，增长7.18%。主要变动原因是项目支出增多。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pPr>
      <w:r>
        <w:rPr>
          <w:rFonts w:hint="eastAsia" w:eastAsia="仿宋_GB2312" w:cs="仿宋_GB2312"/>
          <w:sz w:val="32"/>
          <w:szCs w:val="32"/>
          <w:lang w:eastAsia="zh-CN"/>
        </w:rPr>
        <w:t>（</w:t>
      </w:r>
      <w:r>
        <w:rPr>
          <w:rFonts w:hint="eastAsia" w:eastAsia="仿宋_GB2312" w:cs="仿宋_GB2312"/>
          <w:sz w:val="32"/>
          <w:szCs w:val="32"/>
        </w:rPr>
        <w:t>图5：一般公共预算财政拨款支出决算变动情况</w:t>
      </w:r>
      <w:r>
        <w:rPr>
          <w:rFonts w:hint="eastAsia" w:eastAsia="仿宋_GB2312" w:cs="仿宋_GB2312"/>
          <w:sz w:val="32"/>
          <w:szCs w:val="32"/>
          <w:lang w:eastAsia="zh-CN"/>
        </w:rPr>
        <w:t>）</w:t>
      </w:r>
    </w:p>
    <w:p>
      <w:pPr>
        <w:pStyle w:val="10"/>
        <w:rPr>
          <w:rFonts w:ascii="仿宋_GB2312" w:hAnsi="仿宋_GB2312" w:eastAsia="仿宋_GB2312" w:cs="仿宋_GB2312"/>
          <w:sz w:val="32"/>
          <w:szCs w:val="32"/>
        </w:rPr>
      </w:pPr>
    </w:p>
    <w:p>
      <w:pPr>
        <w:pStyle w:val="10"/>
        <w:rPr>
          <w:rFonts w:ascii="仿宋_GB2312" w:hAnsi="仿宋_GB2312" w:eastAsia="仿宋_GB2312" w:cs="仿宋_GB2312"/>
          <w:sz w:val="32"/>
          <w:szCs w:val="32"/>
        </w:rPr>
      </w:pPr>
      <w:r>
        <w:drawing>
          <wp:inline distT="0" distB="0" distL="114300" distR="114300">
            <wp:extent cx="5267325" cy="2614930"/>
            <wp:effectExtent l="0" t="0" r="9525" b="13970"/>
            <wp:docPr id="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7"/>
                    <pic:cNvPicPr>
                      <a:picLocks noChangeAspect="1"/>
                    </pic:cNvPicPr>
                  </pic:nvPicPr>
                  <pic:blipFill>
                    <a:blip r:embed="rId13"/>
                    <a:stretch>
                      <a:fillRect/>
                    </a:stretch>
                  </pic:blipFill>
                  <pic:spPr>
                    <a:xfrm>
                      <a:off x="0" y="0"/>
                      <a:ext cx="5267325" cy="2614930"/>
                    </a:xfrm>
                    <a:prstGeom prst="rect">
                      <a:avLst/>
                    </a:prstGeom>
                    <a:noFill/>
                    <a:ln>
                      <a:noFill/>
                    </a:ln>
                  </pic:spPr>
                </pic:pic>
              </a:graphicData>
            </a:graphic>
          </wp:inline>
        </w:drawing>
      </w:r>
    </w:p>
    <w:p>
      <w:pPr>
        <w:spacing w:line="600" w:lineRule="exact"/>
        <w:ind w:firstLine="643" w:firstLineChars="200"/>
        <w:outlineLvl w:val="2"/>
        <w:rPr>
          <w:rFonts w:eastAsia="楷体_GB2312" w:cs="楷体_GB2312"/>
          <w:b/>
          <w:sz w:val="32"/>
          <w:szCs w:val="32"/>
        </w:rPr>
      </w:pPr>
      <w:bookmarkStart w:id="31" w:name="_Toc15377211"/>
      <w:r>
        <w:rPr>
          <w:rFonts w:hint="eastAsia" w:eastAsia="楷体_GB2312" w:cs="楷体_GB2312"/>
          <w:b/>
          <w:sz w:val="32"/>
          <w:szCs w:val="32"/>
        </w:rPr>
        <w:t>（二）一般公共预算财政拨款支出决算结构情况</w:t>
      </w:r>
      <w:bookmarkEnd w:id="31"/>
    </w:p>
    <w:p>
      <w:pPr>
        <w:spacing w:line="600" w:lineRule="exact"/>
        <w:ind w:firstLine="640"/>
        <w:rPr>
          <w:rFonts w:eastAsia="仿宋_GB2312" w:cs="仿宋_GB2312"/>
          <w:sz w:val="32"/>
          <w:szCs w:val="32"/>
        </w:rPr>
      </w:pPr>
      <w:r>
        <w:rPr>
          <w:rFonts w:hint="eastAsia" w:eastAsia="仿宋_GB2312" w:cs="仿宋_GB2312"/>
          <w:sz w:val="32"/>
          <w:szCs w:val="32"/>
        </w:rPr>
        <w:t>2024年度一般公共预算财政拨款支出</w:t>
      </w:r>
      <w:r>
        <w:rPr>
          <w:rFonts w:hint="eastAsia" w:ascii="仿宋_GB2312" w:hAnsi="仿宋_GB2312" w:eastAsia="仿宋_GB2312" w:cs="仿宋_GB2312"/>
          <w:sz w:val="32"/>
          <w:szCs w:val="32"/>
        </w:rPr>
        <w:t>2149.46万元</w:t>
      </w:r>
      <w:r>
        <w:rPr>
          <w:rFonts w:hint="eastAsia" w:eastAsia="仿宋_GB2312" w:cs="仿宋_GB2312"/>
          <w:sz w:val="32"/>
          <w:szCs w:val="32"/>
        </w:rPr>
        <w:t>，主要用于以下方面：一般公共服务支出1622.48万元，占75.48%；社会保障和就业支出302.58万元，占14.08%；卫生健康支出128.76万元，占5.99%；住房保障支出117.27万元，占5.46%。</w:t>
      </w:r>
    </w:p>
    <w:p>
      <w:pPr>
        <w:spacing w:line="600" w:lineRule="exact"/>
        <w:ind w:firstLine="640"/>
      </w:pPr>
      <w:r>
        <w:rPr>
          <w:rFonts w:hint="eastAsia" w:eastAsia="仿宋_GB2312" w:cs="仿宋_GB2312"/>
          <w:sz w:val="32"/>
          <w:szCs w:val="32"/>
          <w:lang w:eastAsia="zh-CN"/>
        </w:rPr>
        <w:t>（</w:t>
      </w:r>
      <w:r>
        <w:rPr>
          <w:rFonts w:hint="eastAsia" w:eastAsia="仿宋_GB2312" w:cs="仿宋_GB2312"/>
          <w:sz w:val="32"/>
          <w:szCs w:val="32"/>
        </w:rPr>
        <w:t>图6：一般公共预算财政拨款支出决算结构</w:t>
      </w:r>
      <w:r>
        <w:rPr>
          <w:rFonts w:hint="eastAsia" w:eastAsia="仿宋_GB2312" w:cs="仿宋_GB2312"/>
          <w:sz w:val="32"/>
          <w:szCs w:val="32"/>
          <w:lang w:eastAsia="zh-CN"/>
        </w:rPr>
        <w:t>）</w:t>
      </w:r>
    </w:p>
    <w:p>
      <w:pPr>
        <w:pStyle w:val="10"/>
        <w:rPr>
          <w:rFonts w:eastAsia="仿宋_GB2312" w:cs="仿宋_GB2312"/>
          <w:sz w:val="32"/>
          <w:szCs w:val="32"/>
        </w:rPr>
      </w:pPr>
      <w:r>
        <w:drawing>
          <wp:inline distT="0" distB="0" distL="114300" distR="114300">
            <wp:extent cx="5267960" cy="2629535"/>
            <wp:effectExtent l="0" t="0" r="8890" b="18415"/>
            <wp:docPr id="1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8"/>
                    <pic:cNvPicPr>
                      <a:picLocks noChangeAspect="1"/>
                    </pic:cNvPicPr>
                  </pic:nvPicPr>
                  <pic:blipFill>
                    <a:blip r:embed="rId14"/>
                    <a:stretch>
                      <a:fillRect/>
                    </a:stretch>
                  </pic:blipFill>
                  <pic:spPr>
                    <a:xfrm>
                      <a:off x="0" y="0"/>
                      <a:ext cx="5267960" cy="2629535"/>
                    </a:xfrm>
                    <a:prstGeom prst="rect">
                      <a:avLst/>
                    </a:prstGeom>
                    <a:noFill/>
                    <a:ln>
                      <a:noFill/>
                    </a:ln>
                  </pic:spPr>
                </pic:pic>
              </a:graphicData>
            </a:graphic>
          </wp:inline>
        </w:drawing>
      </w:r>
    </w:p>
    <w:p>
      <w:pPr>
        <w:spacing w:line="600" w:lineRule="exact"/>
        <w:ind w:firstLine="643" w:firstLineChars="200"/>
        <w:outlineLvl w:val="2"/>
        <w:rPr>
          <w:rFonts w:eastAsia="楷体_GB2312" w:cs="楷体_GB2312"/>
          <w:b/>
          <w:sz w:val="32"/>
          <w:szCs w:val="32"/>
        </w:rPr>
      </w:pPr>
      <w:bookmarkStart w:id="32" w:name="_Toc15377212"/>
      <w:r>
        <w:rPr>
          <w:rFonts w:hint="eastAsia" w:eastAsia="楷体_GB2312" w:cs="楷体_GB2312"/>
          <w:b/>
          <w:sz w:val="32"/>
          <w:szCs w:val="32"/>
        </w:rPr>
        <w:t>（三）一般公共预算财政拨款支出决算具体情况</w:t>
      </w:r>
      <w:bookmarkEnd w:id="32"/>
    </w:p>
    <w:p>
      <w:pPr>
        <w:spacing w:line="600" w:lineRule="exact"/>
        <w:ind w:firstLine="640"/>
        <w:rPr>
          <w:rFonts w:eastAsia="仿宋_GB2312" w:cs="仿宋_GB2312"/>
          <w:sz w:val="32"/>
          <w:szCs w:val="32"/>
        </w:rPr>
      </w:pPr>
      <w:bookmarkStart w:id="33" w:name="_Toc15378460"/>
      <w:bookmarkStart w:id="34" w:name="_Toc15377213"/>
      <w:bookmarkStart w:id="35" w:name="_Toc15377444"/>
      <w:r>
        <w:rPr>
          <w:rFonts w:hint="eastAsia" w:eastAsia="仿宋_GB2312" w:cs="仿宋_GB2312"/>
          <w:sz w:val="32"/>
          <w:szCs w:val="32"/>
        </w:rPr>
        <w:t>2024年度一般公共预算财政拨款支出决算数为</w:t>
      </w:r>
      <w:r>
        <w:rPr>
          <w:rFonts w:hint="eastAsia" w:ascii="仿宋_GB2312" w:hAnsi="仿宋_GB2312" w:eastAsia="仿宋_GB2312" w:cs="仿宋_GB2312"/>
          <w:sz w:val="32"/>
          <w:szCs w:val="32"/>
        </w:rPr>
        <w:t>2149.46万元，</w:t>
      </w:r>
      <w:r>
        <w:rPr>
          <w:rFonts w:hint="eastAsia" w:eastAsia="仿宋_GB2312" w:cs="仿宋_GB2312"/>
          <w:sz w:val="32"/>
          <w:szCs w:val="32"/>
        </w:rPr>
        <w:t>完成预算100%。其中：</w:t>
      </w:r>
      <w:bookmarkEnd w:id="33"/>
      <w:bookmarkEnd w:id="34"/>
      <w:bookmarkEnd w:id="35"/>
    </w:p>
    <w:p>
      <w:pPr>
        <w:spacing w:line="600" w:lineRule="exact"/>
        <w:ind w:firstLine="640"/>
        <w:rPr>
          <w:rFonts w:eastAsia="仿宋_GB2312" w:cs="仿宋_GB2312"/>
          <w:sz w:val="32"/>
          <w:szCs w:val="32"/>
        </w:rPr>
      </w:pPr>
      <w:r>
        <w:rPr>
          <w:rFonts w:hint="eastAsia" w:eastAsia="仿宋_GB2312" w:cs="仿宋_GB2312"/>
          <w:sz w:val="32"/>
          <w:szCs w:val="32"/>
        </w:rPr>
        <w:t>1.一般公共服务（201类）宣传事务（33款）一般行政管理事务（02项）：支出决算为1.32万元，完成预算100%。</w:t>
      </w:r>
    </w:p>
    <w:p>
      <w:pPr>
        <w:spacing w:line="600" w:lineRule="exact"/>
        <w:ind w:firstLine="640" w:firstLineChars="200"/>
        <w:rPr>
          <w:rFonts w:eastAsia="仿宋_GB2312" w:cs="仿宋_GB2312"/>
          <w:sz w:val="32"/>
          <w:szCs w:val="32"/>
        </w:rPr>
      </w:pPr>
      <w:r>
        <w:rPr>
          <w:rFonts w:eastAsia="仿宋_GB2312" w:cs="仿宋_GB2312"/>
          <w:sz w:val="32"/>
          <w:szCs w:val="32"/>
        </w:rPr>
        <w:t>2.一般公共服务（</w:t>
      </w:r>
      <w:r>
        <w:rPr>
          <w:rFonts w:hint="eastAsia" w:eastAsia="仿宋_GB2312" w:cs="仿宋_GB2312"/>
          <w:sz w:val="32"/>
          <w:szCs w:val="32"/>
        </w:rPr>
        <w:t>201</w:t>
      </w:r>
      <w:r>
        <w:rPr>
          <w:rFonts w:eastAsia="仿宋_GB2312" w:cs="仿宋_GB2312"/>
          <w:sz w:val="32"/>
          <w:szCs w:val="32"/>
        </w:rPr>
        <w:t>类）市场监督管理事务（</w:t>
      </w:r>
      <w:r>
        <w:rPr>
          <w:rFonts w:hint="eastAsia" w:eastAsia="仿宋_GB2312" w:cs="仿宋_GB2312"/>
          <w:sz w:val="32"/>
          <w:szCs w:val="32"/>
        </w:rPr>
        <w:t>38</w:t>
      </w:r>
      <w:r>
        <w:rPr>
          <w:rFonts w:eastAsia="仿宋_GB2312" w:cs="仿宋_GB2312"/>
          <w:sz w:val="32"/>
          <w:szCs w:val="32"/>
        </w:rPr>
        <w:t>款）</w:t>
      </w:r>
      <w:r>
        <w:rPr>
          <w:rFonts w:hint="eastAsia" w:eastAsia="仿宋_GB2312" w:cs="仿宋_GB2312"/>
          <w:sz w:val="32"/>
          <w:szCs w:val="32"/>
        </w:rPr>
        <w:t>行政</w:t>
      </w:r>
      <w:r>
        <w:rPr>
          <w:rFonts w:eastAsia="仿宋_GB2312" w:cs="仿宋_GB2312"/>
          <w:sz w:val="32"/>
          <w:szCs w:val="32"/>
        </w:rPr>
        <w:t>运行（</w:t>
      </w:r>
      <w:r>
        <w:rPr>
          <w:rFonts w:hint="eastAsia" w:eastAsia="仿宋_GB2312" w:cs="仿宋_GB2312"/>
          <w:sz w:val="32"/>
          <w:szCs w:val="32"/>
        </w:rPr>
        <w:t>01</w:t>
      </w:r>
      <w:r>
        <w:rPr>
          <w:rFonts w:eastAsia="仿宋_GB2312" w:cs="仿宋_GB2312"/>
          <w:sz w:val="32"/>
          <w:szCs w:val="32"/>
        </w:rPr>
        <w:t>项）</w:t>
      </w:r>
      <w:r>
        <w:rPr>
          <w:rFonts w:hint="eastAsia" w:eastAsia="仿宋_GB2312" w:cs="仿宋_GB2312"/>
          <w:sz w:val="32"/>
          <w:szCs w:val="32"/>
          <w:lang w:eastAsia="zh-CN"/>
        </w:rPr>
        <w:t>：</w:t>
      </w:r>
      <w:r>
        <w:rPr>
          <w:rFonts w:eastAsia="仿宋_GB2312" w:cs="仿宋_GB2312"/>
          <w:sz w:val="32"/>
          <w:szCs w:val="32"/>
        </w:rPr>
        <w:t>支出决算为</w:t>
      </w:r>
      <w:r>
        <w:rPr>
          <w:rFonts w:hint="eastAsia" w:eastAsia="仿宋_GB2312" w:cs="仿宋_GB2312"/>
          <w:sz w:val="32"/>
          <w:szCs w:val="32"/>
        </w:rPr>
        <w:t>1067.28</w:t>
      </w:r>
      <w:r>
        <w:rPr>
          <w:rFonts w:eastAsia="仿宋_GB2312" w:cs="仿宋_GB2312"/>
          <w:sz w:val="32"/>
          <w:szCs w:val="32"/>
        </w:rPr>
        <w:t>万元，完成预算100%。</w:t>
      </w:r>
    </w:p>
    <w:p>
      <w:pPr>
        <w:spacing w:line="600" w:lineRule="exact"/>
        <w:ind w:firstLine="640" w:firstLineChars="200"/>
        <w:rPr>
          <w:rFonts w:eastAsia="仿宋_GB2312" w:cs="仿宋_GB2312"/>
          <w:sz w:val="32"/>
          <w:szCs w:val="32"/>
        </w:rPr>
      </w:pPr>
      <w:r>
        <w:rPr>
          <w:rFonts w:eastAsia="仿宋_GB2312" w:cs="仿宋_GB2312"/>
          <w:sz w:val="32"/>
          <w:szCs w:val="32"/>
        </w:rPr>
        <w:t>3.一般公共服务（</w:t>
      </w:r>
      <w:r>
        <w:rPr>
          <w:rFonts w:hint="eastAsia" w:eastAsia="仿宋_GB2312" w:cs="仿宋_GB2312"/>
          <w:sz w:val="32"/>
          <w:szCs w:val="32"/>
        </w:rPr>
        <w:t>201</w:t>
      </w:r>
      <w:r>
        <w:rPr>
          <w:rFonts w:eastAsia="仿宋_GB2312" w:cs="仿宋_GB2312"/>
          <w:sz w:val="32"/>
          <w:szCs w:val="32"/>
        </w:rPr>
        <w:t>类）市场监督管理事务（</w:t>
      </w:r>
      <w:r>
        <w:rPr>
          <w:rFonts w:hint="eastAsia" w:eastAsia="仿宋_GB2312" w:cs="仿宋_GB2312"/>
          <w:sz w:val="32"/>
          <w:szCs w:val="32"/>
        </w:rPr>
        <w:t>38</w:t>
      </w:r>
      <w:r>
        <w:rPr>
          <w:rFonts w:eastAsia="仿宋_GB2312" w:cs="仿宋_GB2312"/>
          <w:sz w:val="32"/>
          <w:szCs w:val="32"/>
        </w:rPr>
        <w:t>款）药品事务（</w:t>
      </w:r>
      <w:r>
        <w:rPr>
          <w:rFonts w:hint="eastAsia" w:eastAsia="仿宋_GB2312" w:cs="仿宋_GB2312"/>
          <w:sz w:val="32"/>
          <w:szCs w:val="32"/>
        </w:rPr>
        <w:t>12</w:t>
      </w:r>
      <w:r>
        <w:rPr>
          <w:rFonts w:eastAsia="仿宋_GB2312" w:cs="仿宋_GB2312"/>
          <w:sz w:val="32"/>
          <w:szCs w:val="32"/>
        </w:rPr>
        <w:t>项）</w:t>
      </w:r>
      <w:r>
        <w:rPr>
          <w:rFonts w:hint="eastAsia" w:eastAsia="仿宋_GB2312" w:cs="仿宋_GB2312"/>
          <w:sz w:val="32"/>
          <w:szCs w:val="32"/>
          <w:lang w:eastAsia="zh-CN"/>
        </w:rPr>
        <w:t>：</w:t>
      </w:r>
      <w:r>
        <w:rPr>
          <w:rFonts w:eastAsia="仿宋_GB2312" w:cs="仿宋_GB2312"/>
          <w:sz w:val="32"/>
          <w:szCs w:val="32"/>
        </w:rPr>
        <w:t>支出决算为6万元，完成预算100%。</w:t>
      </w:r>
    </w:p>
    <w:p>
      <w:pPr>
        <w:spacing w:line="600" w:lineRule="exact"/>
        <w:ind w:firstLine="640" w:firstLineChars="200"/>
        <w:rPr>
          <w:rFonts w:eastAsia="仿宋_GB2312" w:cs="仿宋_GB2312"/>
          <w:sz w:val="32"/>
          <w:szCs w:val="32"/>
        </w:rPr>
      </w:pPr>
      <w:r>
        <w:rPr>
          <w:rFonts w:hint="eastAsia" w:eastAsia="仿宋_GB2312" w:cs="仿宋_GB2312"/>
          <w:sz w:val="32"/>
          <w:szCs w:val="32"/>
        </w:rPr>
        <w:t>4</w:t>
      </w:r>
      <w:r>
        <w:rPr>
          <w:rFonts w:eastAsia="仿宋_GB2312" w:cs="仿宋_GB2312"/>
          <w:sz w:val="32"/>
          <w:szCs w:val="32"/>
        </w:rPr>
        <w:t>.一般公共服务（</w:t>
      </w:r>
      <w:r>
        <w:rPr>
          <w:rFonts w:hint="eastAsia" w:eastAsia="仿宋_GB2312" w:cs="仿宋_GB2312"/>
          <w:sz w:val="32"/>
          <w:szCs w:val="32"/>
        </w:rPr>
        <w:t>201</w:t>
      </w:r>
      <w:r>
        <w:rPr>
          <w:rFonts w:eastAsia="仿宋_GB2312" w:cs="仿宋_GB2312"/>
          <w:sz w:val="32"/>
          <w:szCs w:val="32"/>
        </w:rPr>
        <w:t>类）市场监督管理事务（</w:t>
      </w:r>
      <w:r>
        <w:rPr>
          <w:rFonts w:hint="eastAsia" w:eastAsia="仿宋_GB2312" w:cs="仿宋_GB2312"/>
          <w:sz w:val="32"/>
          <w:szCs w:val="32"/>
        </w:rPr>
        <w:t>38</w:t>
      </w:r>
      <w:r>
        <w:rPr>
          <w:rFonts w:eastAsia="仿宋_GB2312" w:cs="仿宋_GB2312"/>
          <w:sz w:val="32"/>
          <w:szCs w:val="32"/>
        </w:rPr>
        <w:t>款）</w:t>
      </w:r>
      <w:r>
        <w:rPr>
          <w:rFonts w:hint="eastAsia" w:eastAsia="仿宋_GB2312" w:cs="仿宋_GB2312"/>
          <w:sz w:val="32"/>
          <w:szCs w:val="32"/>
        </w:rPr>
        <w:t>质量</w:t>
      </w:r>
      <w:r>
        <w:rPr>
          <w:rFonts w:eastAsia="仿宋_GB2312" w:cs="仿宋_GB2312"/>
          <w:sz w:val="32"/>
          <w:szCs w:val="32"/>
        </w:rPr>
        <w:t>安全监管（</w:t>
      </w:r>
      <w:r>
        <w:rPr>
          <w:rFonts w:hint="eastAsia" w:eastAsia="仿宋_GB2312" w:cs="仿宋_GB2312"/>
          <w:sz w:val="32"/>
          <w:szCs w:val="32"/>
        </w:rPr>
        <w:t>15</w:t>
      </w:r>
      <w:r>
        <w:rPr>
          <w:rFonts w:eastAsia="仿宋_GB2312" w:cs="仿宋_GB2312"/>
          <w:sz w:val="32"/>
          <w:szCs w:val="32"/>
        </w:rPr>
        <w:t>项）</w:t>
      </w:r>
      <w:r>
        <w:rPr>
          <w:rFonts w:hint="eastAsia" w:eastAsia="仿宋_GB2312" w:cs="仿宋_GB2312"/>
          <w:sz w:val="32"/>
          <w:szCs w:val="32"/>
          <w:lang w:eastAsia="zh-CN"/>
        </w:rPr>
        <w:t>：</w:t>
      </w:r>
      <w:r>
        <w:rPr>
          <w:rFonts w:eastAsia="仿宋_GB2312" w:cs="仿宋_GB2312"/>
          <w:sz w:val="32"/>
          <w:szCs w:val="32"/>
        </w:rPr>
        <w:t>支出决算为</w:t>
      </w:r>
      <w:r>
        <w:rPr>
          <w:rFonts w:hint="eastAsia" w:eastAsia="仿宋_GB2312" w:cs="仿宋_GB2312"/>
          <w:sz w:val="32"/>
          <w:szCs w:val="32"/>
        </w:rPr>
        <w:t>4.84</w:t>
      </w:r>
      <w:r>
        <w:rPr>
          <w:rFonts w:eastAsia="仿宋_GB2312" w:cs="仿宋_GB2312"/>
          <w:sz w:val="32"/>
          <w:szCs w:val="32"/>
        </w:rPr>
        <w:t>万元，完成预算100%。</w:t>
      </w:r>
    </w:p>
    <w:p>
      <w:pPr>
        <w:spacing w:line="600" w:lineRule="exact"/>
        <w:ind w:firstLine="640" w:firstLineChars="200"/>
        <w:rPr>
          <w:rFonts w:eastAsia="仿宋_GB2312" w:cs="仿宋_GB2312"/>
          <w:sz w:val="32"/>
          <w:szCs w:val="32"/>
        </w:rPr>
      </w:pPr>
      <w:r>
        <w:rPr>
          <w:rFonts w:hint="eastAsia" w:eastAsia="仿宋_GB2312" w:cs="仿宋_GB2312"/>
          <w:sz w:val="32"/>
          <w:szCs w:val="32"/>
        </w:rPr>
        <w:t>5</w:t>
      </w:r>
      <w:r>
        <w:rPr>
          <w:rFonts w:eastAsia="仿宋_GB2312" w:cs="仿宋_GB2312"/>
          <w:sz w:val="32"/>
          <w:szCs w:val="32"/>
        </w:rPr>
        <w:t>.一般公共服务（</w:t>
      </w:r>
      <w:r>
        <w:rPr>
          <w:rFonts w:hint="eastAsia" w:eastAsia="仿宋_GB2312" w:cs="仿宋_GB2312"/>
          <w:sz w:val="32"/>
          <w:szCs w:val="32"/>
        </w:rPr>
        <w:t>201</w:t>
      </w:r>
      <w:r>
        <w:rPr>
          <w:rFonts w:eastAsia="仿宋_GB2312" w:cs="仿宋_GB2312"/>
          <w:sz w:val="32"/>
          <w:szCs w:val="32"/>
        </w:rPr>
        <w:t>类）市场监督管理事务（</w:t>
      </w:r>
      <w:r>
        <w:rPr>
          <w:rFonts w:hint="eastAsia" w:eastAsia="仿宋_GB2312" w:cs="仿宋_GB2312"/>
          <w:sz w:val="32"/>
          <w:szCs w:val="32"/>
        </w:rPr>
        <w:t>38</w:t>
      </w:r>
      <w:r>
        <w:rPr>
          <w:rFonts w:eastAsia="仿宋_GB2312" w:cs="仿宋_GB2312"/>
          <w:sz w:val="32"/>
          <w:szCs w:val="32"/>
        </w:rPr>
        <w:t>款）食品安全监管（</w:t>
      </w:r>
      <w:r>
        <w:rPr>
          <w:rFonts w:hint="eastAsia" w:eastAsia="仿宋_GB2312" w:cs="仿宋_GB2312"/>
          <w:sz w:val="32"/>
          <w:szCs w:val="32"/>
        </w:rPr>
        <w:t>16</w:t>
      </w:r>
      <w:r>
        <w:rPr>
          <w:rFonts w:eastAsia="仿宋_GB2312" w:cs="仿宋_GB2312"/>
          <w:sz w:val="32"/>
          <w:szCs w:val="32"/>
        </w:rPr>
        <w:t>项）</w:t>
      </w:r>
      <w:r>
        <w:rPr>
          <w:rFonts w:hint="eastAsia" w:eastAsia="仿宋_GB2312" w:cs="仿宋_GB2312"/>
          <w:sz w:val="32"/>
          <w:szCs w:val="32"/>
          <w:lang w:eastAsia="zh-CN"/>
        </w:rPr>
        <w:t>：</w:t>
      </w:r>
      <w:r>
        <w:rPr>
          <w:rFonts w:eastAsia="仿宋_GB2312" w:cs="仿宋_GB2312"/>
          <w:sz w:val="32"/>
          <w:szCs w:val="32"/>
        </w:rPr>
        <w:t>支出决算为</w:t>
      </w:r>
      <w:r>
        <w:rPr>
          <w:rFonts w:hint="eastAsia" w:eastAsia="仿宋_GB2312" w:cs="仿宋_GB2312"/>
          <w:sz w:val="32"/>
          <w:szCs w:val="32"/>
        </w:rPr>
        <w:t>1112.21</w:t>
      </w:r>
      <w:r>
        <w:rPr>
          <w:rFonts w:eastAsia="仿宋_GB2312" w:cs="仿宋_GB2312"/>
          <w:sz w:val="32"/>
          <w:szCs w:val="32"/>
        </w:rPr>
        <w:t>万元，完成预算100%。</w:t>
      </w:r>
    </w:p>
    <w:p>
      <w:pPr>
        <w:spacing w:line="600" w:lineRule="exact"/>
        <w:ind w:firstLine="640" w:firstLineChars="200"/>
        <w:rPr>
          <w:rFonts w:eastAsia="仿宋_GB2312" w:cs="仿宋_GB2312"/>
          <w:sz w:val="32"/>
          <w:szCs w:val="32"/>
        </w:rPr>
      </w:pPr>
      <w:r>
        <w:rPr>
          <w:rFonts w:hint="eastAsia" w:eastAsia="仿宋_GB2312" w:cs="仿宋_GB2312"/>
          <w:sz w:val="32"/>
          <w:szCs w:val="32"/>
        </w:rPr>
        <w:t>6</w:t>
      </w:r>
      <w:r>
        <w:rPr>
          <w:rFonts w:eastAsia="仿宋_GB2312" w:cs="仿宋_GB2312"/>
          <w:sz w:val="32"/>
          <w:szCs w:val="32"/>
        </w:rPr>
        <w:t>.一般公共服务（</w:t>
      </w:r>
      <w:r>
        <w:rPr>
          <w:rFonts w:hint="eastAsia" w:eastAsia="仿宋_GB2312" w:cs="仿宋_GB2312"/>
          <w:sz w:val="32"/>
          <w:szCs w:val="32"/>
        </w:rPr>
        <w:t>201</w:t>
      </w:r>
      <w:r>
        <w:rPr>
          <w:rFonts w:eastAsia="仿宋_GB2312" w:cs="仿宋_GB2312"/>
          <w:sz w:val="32"/>
          <w:szCs w:val="32"/>
        </w:rPr>
        <w:t>类）市场监督管理事务（</w:t>
      </w:r>
      <w:r>
        <w:rPr>
          <w:rFonts w:hint="eastAsia" w:eastAsia="仿宋_GB2312" w:cs="仿宋_GB2312"/>
          <w:sz w:val="32"/>
          <w:szCs w:val="32"/>
        </w:rPr>
        <w:t>38</w:t>
      </w:r>
      <w:r>
        <w:rPr>
          <w:rFonts w:eastAsia="仿宋_GB2312" w:cs="仿宋_GB2312"/>
          <w:sz w:val="32"/>
          <w:szCs w:val="32"/>
        </w:rPr>
        <w:t>款）事业运行（</w:t>
      </w:r>
      <w:r>
        <w:rPr>
          <w:rFonts w:hint="eastAsia" w:eastAsia="仿宋_GB2312" w:cs="仿宋_GB2312"/>
          <w:sz w:val="32"/>
          <w:szCs w:val="32"/>
        </w:rPr>
        <w:t>50</w:t>
      </w:r>
      <w:r>
        <w:rPr>
          <w:rFonts w:eastAsia="仿宋_GB2312" w:cs="仿宋_GB2312"/>
          <w:sz w:val="32"/>
          <w:szCs w:val="32"/>
        </w:rPr>
        <w:t>项）</w:t>
      </w:r>
      <w:r>
        <w:rPr>
          <w:rFonts w:hint="eastAsia" w:eastAsia="仿宋_GB2312" w:cs="仿宋_GB2312"/>
          <w:sz w:val="32"/>
          <w:szCs w:val="32"/>
          <w:lang w:eastAsia="zh-CN"/>
        </w:rPr>
        <w:t>：</w:t>
      </w:r>
      <w:r>
        <w:rPr>
          <w:rFonts w:eastAsia="仿宋_GB2312" w:cs="仿宋_GB2312"/>
          <w:sz w:val="32"/>
          <w:szCs w:val="32"/>
        </w:rPr>
        <w:t>支出决算为</w:t>
      </w:r>
      <w:r>
        <w:rPr>
          <w:rFonts w:hint="eastAsia" w:eastAsia="仿宋_GB2312" w:cs="仿宋_GB2312"/>
          <w:sz w:val="32"/>
          <w:szCs w:val="32"/>
        </w:rPr>
        <w:t>129.26</w:t>
      </w:r>
      <w:r>
        <w:rPr>
          <w:rFonts w:eastAsia="仿宋_GB2312" w:cs="仿宋_GB2312"/>
          <w:sz w:val="32"/>
          <w:szCs w:val="32"/>
        </w:rPr>
        <w:t>万元，完成预算100%。</w:t>
      </w:r>
    </w:p>
    <w:p>
      <w:pPr>
        <w:spacing w:line="600" w:lineRule="exact"/>
        <w:ind w:firstLine="640" w:firstLineChars="200"/>
        <w:rPr>
          <w:rFonts w:eastAsia="仿宋_GB2312" w:cs="仿宋_GB2312"/>
          <w:sz w:val="32"/>
          <w:szCs w:val="32"/>
        </w:rPr>
      </w:pPr>
      <w:r>
        <w:rPr>
          <w:rFonts w:hint="eastAsia" w:eastAsia="仿宋_GB2312" w:cs="仿宋_GB2312"/>
          <w:sz w:val="32"/>
          <w:szCs w:val="32"/>
        </w:rPr>
        <w:t>7</w:t>
      </w:r>
      <w:r>
        <w:rPr>
          <w:rFonts w:eastAsia="仿宋_GB2312" w:cs="仿宋_GB2312"/>
          <w:sz w:val="32"/>
          <w:szCs w:val="32"/>
        </w:rPr>
        <w:t>.一般公共服务（</w:t>
      </w:r>
      <w:r>
        <w:rPr>
          <w:rFonts w:hint="eastAsia" w:eastAsia="仿宋_GB2312" w:cs="仿宋_GB2312"/>
          <w:sz w:val="32"/>
          <w:szCs w:val="32"/>
        </w:rPr>
        <w:t>201</w:t>
      </w:r>
      <w:r>
        <w:rPr>
          <w:rFonts w:eastAsia="仿宋_GB2312" w:cs="仿宋_GB2312"/>
          <w:sz w:val="32"/>
          <w:szCs w:val="32"/>
        </w:rPr>
        <w:t>类）市场监督管理事务（</w:t>
      </w:r>
      <w:r>
        <w:rPr>
          <w:rFonts w:hint="eastAsia" w:eastAsia="仿宋_GB2312" w:cs="仿宋_GB2312"/>
          <w:sz w:val="32"/>
          <w:szCs w:val="32"/>
        </w:rPr>
        <w:t>38</w:t>
      </w:r>
      <w:r>
        <w:rPr>
          <w:rFonts w:eastAsia="仿宋_GB2312" w:cs="仿宋_GB2312"/>
          <w:sz w:val="32"/>
          <w:szCs w:val="32"/>
        </w:rPr>
        <w:t>款）其他市场监督管理事务（</w:t>
      </w:r>
      <w:r>
        <w:rPr>
          <w:rFonts w:hint="eastAsia" w:eastAsia="仿宋_GB2312" w:cs="仿宋_GB2312"/>
          <w:sz w:val="32"/>
          <w:szCs w:val="32"/>
        </w:rPr>
        <w:t>99</w:t>
      </w:r>
      <w:r>
        <w:rPr>
          <w:rFonts w:eastAsia="仿宋_GB2312" w:cs="仿宋_GB2312"/>
          <w:sz w:val="32"/>
          <w:szCs w:val="32"/>
        </w:rPr>
        <w:t>项）</w:t>
      </w:r>
      <w:r>
        <w:rPr>
          <w:rFonts w:hint="eastAsia" w:eastAsia="仿宋_GB2312" w:cs="仿宋_GB2312"/>
          <w:sz w:val="32"/>
          <w:szCs w:val="32"/>
          <w:lang w:eastAsia="zh-CN"/>
        </w:rPr>
        <w:t>：</w:t>
      </w:r>
      <w:r>
        <w:rPr>
          <w:rFonts w:eastAsia="仿宋_GB2312" w:cs="仿宋_GB2312"/>
          <w:sz w:val="32"/>
          <w:szCs w:val="32"/>
        </w:rPr>
        <w:t>支出决算为</w:t>
      </w:r>
      <w:r>
        <w:rPr>
          <w:rFonts w:hint="eastAsia" w:eastAsia="仿宋_GB2312" w:cs="仿宋_GB2312"/>
          <w:sz w:val="32"/>
          <w:szCs w:val="32"/>
        </w:rPr>
        <w:t>302.58</w:t>
      </w:r>
      <w:r>
        <w:rPr>
          <w:rFonts w:eastAsia="仿宋_GB2312" w:cs="仿宋_GB2312"/>
          <w:sz w:val="32"/>
          <w:szCs w:val="32"/>
        </w:rPr>
        <w:t>万元，完成预算100%。</w:t>
      </w:r>
    </w:p>
    <w:p>
      <w:pPr>
        <w:spacing w:line="600" w:lineRule="exact"/>
        <w:ind w:firstLine="640" w:firstLineChars="200"/>
        <w:rPr>
          <w:rFonts w:eastAsia="仿宋_GB2312" w:cs="仿宋_GB2312"/>
          <w:sz w:val="32"/>
          <w:szCs w:val="32"/>
        </w:rPr>
      </w:pPr>
      <w:r>
        <w:rPr>
          <w:rFonts w:hint="eastAsia" w:eastAsia="仿宋_GB2312" w:cs="仿宋_GB2312"/>
          <w:sz w:val="32"/>
          <w:szCs w:val="32"/>
        </w:rPr>
        <w:t>8</w:t>
      </w:r>
      <w:r>
        <w:rPr>
          <w:rFonts w:eastAsia="仿宋_GB2312" w:cs="仿宋_GB2312"/>
          <w:sz w:val="32"/>
          <w:szCs w:val="32"/>
        </w:rPr>
        <w:t>.社会保障和就业（</w:t>
      </w:r>
      <w:r>
        <w:rPr>
          <w:rFonts w:hint="eastAsia" w:eastAsia="仿宋_GB2312" w:cs="仿宋_GB2312"/>
          <w:sz w:val="32"/>
          <w:szCs w:val="32"/>
        </w:rPr>
        <w:t>208</w:t>
      </w:r>
      <w:r>
        <w:rPr>
          <w:rFonts w:eastAsia="仿宋_GB2312" w:cs="仿宋_GB2312"/>
          <w:sz w:val="32"/>
          <w:szCs w:val="32"/>
        </w:rPr>
        <w:t>类）行政事业单位养老（</w:t>
      </w:r>
      <w:r>
        <w:rPr>
          <w:rFonts w:hint="eastAsia" w:eastAsia="仿宋_GB2312" w:cs="仿宋_GB2312"/>
          <w:sz w:val="32"/>
          <w:szCs w:val="32"/>
        </w:rPr>
        <w:t>05</w:t>
      </w:r>
      <w:r>
        <w:rPr>
          <w:rFonts w:eastAsia="仿宋_GB2312" w:cs="仿宋_GB2312"/>
          <w:sz w:val="32"/>
          <w:szCs w:val="32"/>
        </w:rPr>
        <w:t>款）行政单位离退休（</w:t>
      </w:r>
      <w:r>
        <w:rPr>
          <w:rFonts w:hint="eastAsia" w:eastAsia="仿宋_GB2312" w:cs="仿宋_GB2312"/>
          <w:sz w:val="32"/>
          <w:szCs w:val="32"/>
        </w:rPr>
        <w:t>01</w:t>
      </w:r>
      <w:r>
        <w:rPr>
          <w:rFonts w:eastAsia="仿宋_GB2312" w:cs="仿宋_GB2312"/>
          <w:sz w:val="32"/>
          <w:szCs w:val="32"/>
        </w:rPr>
        <w:t>项）</w:t>
      </w:r>
      <w:r>
        <w:rPr>
          <w:rFonts w:hint="eastAsia" w:eastAsia="仿宋_GB2312" w:cs="仿宋_GB2312"/>
          <w:sz w:val="32"/>
          <w:szCs w:val="32"/>
          <w:lang w:eastAsia="zh-CN"/>
        </w:rPr>
        <w:t>：</w:t>
      </w:r>
      <w:r>
        <w:rPr>
          <w:rFonts w:eastAsia="仿宋_GB2312" w:cs="仿宋_GB2312"/>
          <w:sz w:val="32"/>
          <w:szCs w:val="32"/>
        </w:rPr>
        <w:t>支出决算为</w:t>
      </w:r>
      <w:r>
        <w:rPr>
          <w:rFonts w:hint="eastAsia" w:eastAsia="仿宋_GB2312" w:cs="仿宋_GB2312"/>
          <w:sz w:val="32"/>
          <w:szCs w:val="32"/>
        </w:rPr>
        <w:t>96.5</w:t>
      </w:r>
      <w:r>
        <w:rPr>
          <w:rFonts w:eastAsia="仿宋_GB2312" w:cs="仿宋_GB2312"/>
          <w:sz w:val="32"/>
          <w:szCs w:val="32"/>
        </w:rPr>
        <w:t>万元，完成预算100%。</w:t>
      </w:r>
    </w:p>
    <w:p>
      <w:pPr>
        <w:spacing w:line="600" w:lineRule="exact"/>
        <w:ind w:firstLine="640" w:firstLineChars="200"/>
        <w:rPr>
          <w:rFonts w:eastAsia="仿宋_GB2312" w:cs="仿宋_GB2312"/>
          <w:sz w:val="32"/>
          <w:szCs w:val="32"/>
        </w:rPr>
      </w:pPr>
      <w:r>
        <w:rPr>
          <w:rFonts w:hint="eastAsia" w:eastAsia="仿宋_GB2312" w:cs="仿宋_GB2312"/>
          <w:sz w:val="32"/>
          <w:szCs w:val="32"/>
        </w:rPr>
        <w:t>9</w:t>
      </w:r>
      <w:r>
        <w:rPr>
          <w:rFonts w:eastAsia="仿宋_GB2312" w:cs="仿宋_GB2312"/>
          <w:sz w:val="32"/>
          <w:szCs w:val="32"/>
        </w:rPr>
        <w:t>.社会保障和就业（</w:t>
      </w:r>
      <w:r>
        <w:rPr>
          <w:rFonts w:hint="eastAsia" w:eastAsia="仿宋_GB2312" w:cs="仿宋_GB2312"/>
          <w:sz w:val="32"/>
          <w:szCs w:val="32"/>
        </w:rPr>
        <w:t>208</w:t>
      </w:r>
      <w:r>
        <w:rPr>
          <w:rFonts w:eastAsia="仿宋_GB2312" w:cs="仿宋_GB2312"/>
          <w:sz w:val="32"/>
          <w:szCs w:val="32"/>
        </w:rPr>
        <w:t>类）行政事业单位养老（</w:t>
      </w:r>
      <w:r>
        <w:rPr>
          <w:rFonts w:hint="eastAsia" w:eastAsia="仿宋_GB2312" w:cs="仿宋_GB2312"/>
          <w:sz w:val="32"/>
          <w:szCs w:val="32"/>
        </w:rPr>
        <w:t>05</w:t>
      </w:r>
      <w:r>
        <w:rPr>
          <w:rFonts w:eastAsia="仿宋_GB2312" w:cs="仿宋_GB2312"/>
          <w:sz w:val="32"/>
          <w:szCs w:val="32"/>
        </w:rPr>
        <w:t>款）事业单位离退休（</w:t>
      </w:r>
      <w:r>
        <w:rPr>
          <w:rFonts w:hint="eastAsia" w:eastAsia="仿宋_GB2312" w:cs="仿宋_GB2312"/>
          <w:sz w:val="32"/>
          <w:szCs w:val="32"/>
        </w:rPr>
        <w:t>02</w:t>
      </w:r>
      <w:r>
        <w:rPr>
          <w:rFonts w:eastAsia="仿宋_GB2312" w:cs="仿宋_GB2312"/>
          <w:sz w:val="32"/>
          <w:szCs w:val="32"/>
        </w:rPr>
        <w:t>项）</w:t>
      </w:r>
      <w:r>
        <w:rPr>
          <w:rFonts w:hint="eastAsia" w:eastAsia="仿宋_GB2312" w:cs="仿宋_GB2312"/>
          <w:sz w:val="32"/>
          <w:szCs w:val="32"/>
          <w:lang w:eastAsia="zh-CN"/>
        </w:rPr>
        <w:t>：</w:t>
      </w:r>
      <w:r>
        <w:rPr>
          <w:rFonts w:eastAsia="仿宋_GB2312" w:cs="仿宋_GB2312"/>
          <w:sz w:val="32"/>
          <w:szCs w:val="32"/>
        </w:rPr>
        <w:t>支出决算为</w:t>
      </w:r>
      <w:r>
        <w:rPr>
          <w:rFonts w:hint="eastAsia" w:eastAsia="仿宋_GB2312" w:cs="仿宋_GB2312"/>
          <w:sz w:val="32"/>
          <w:szCs w:val="32"/>
        </w:rPr>
        <w:t>9.11</w:t>
      </w:r>
      <w:r>
        <w:rPr>
          <w:rFonts w:eastAsia="仿宋_GB2312" w:cs="仿宋_GB2312"/>
          <w:sz w:val="32"/>
          <w:szCs w:val="32"/>
        </w:rPr>
        <w:t>万元，完成预算100%。</w:t>
      </w:r>
    </w:p>
    <w:p>
      <w:pPr>
        <w:spacing w:line="600" w:lineRule="exact"/>
        <w:ind w:firstLine="640" w:firstLineChars="200"/>
        <w:rPr>
          <w:rFonts w:eastAsia="仿宋_GB2312" w:cs="仿宋_GB2312"/>
          <w:sz w:val="32"/>
          <w:szCs w:val="32"/>
        </w:rPr>
      </w:pPr>
      <w:r>
        <w:rPr>
          <w:rFonts w:hint="eastAsia" w:eastAsia="仿宋_GB2312" w:cs="仿宋_GB2312"/>
          <w:sz w:val="32"/>
          <w:szCs w:val="32"/>
        </w:rPr>
        <w:t>10</w:t>
      </w:r>
      <w:r>
        <w:rPr>
          <w:rFonts w:eastAsia="仿宋_GB2312" w:cs="仿宋_GB2312"/>
          <w:sz w:val="32"/>
          <w:szCs w:val="32"/>
        </w:rPr>
        <w:t>.社会保障和就业（</w:t>
      </w:r>
      <w:r>
        <w:rPr>
          <w:rFonts w:hint="eastAsia" w:eastAsia="仿宋_GB2312" w:cs="仿宋_GB2312"/>
          <w:sz w:val="32"/>
          <w:szCs w:val="32"/>
        </w:rPr>
        <w:t>208</w:t>
      </w:r>
      <w:r>
        <w:rPr>
          <w:rFonts w:eastAsia="仿宋_GB2312" w:cs="仿宋_GB2312"/>
          <w:sz w:val="32"/>
          <w:szCs w:val="32"/>
        </w:rPr>
        <w:t>类）行政事业单位养老（</w:t>
      </w:r>
      <w:r>
        <w:rPr>
          <w:rFonts w:hint="eastAsia" w:eastAsia="仿宋_GB2312" w:cs="仿宋_GB2312"/>
          <w:sz w:val="32"/>
          <w:szCs w:val="32"/>
        </w:rPr>
        <w:t>05</w:t>
      </w:r>
      <w:r>
        <w:rPr>
          <w:rFonts w:eastAsia="仿宋_GB2312" w:cs="仿宋_GB2312"/>
          <w:sz w:val="32"/>
          <w:szCs w:val="32"/>
        </w:rPr>
        <w:t>款）机关事业单位基本养老保险缴费支出（</w:t>
      </w:r>
      <w:r>
        <w:rPr>
          <w:rFonts w:hint="eastAsia" w:eastAsia="仿宋_GB2312" w:cs="仿宋_GB2312"/>
          <w:sz w:val="32"/>
          <w:szCs w:val="32"/>
        </w:rPr>
        <w:t>05</w:t>
      </w:r>
      <w:r>
        <w:rPr>
          <w:rFonts w:eastAsia="仿宋_GB2312" w:cs="仿宋_GB2312"/>
          <w:sz w:val="32"/>
          <w:szCs w:val="32"/>
        </w:rPr>
        <w:t>项）</w:t>
      </w:r>
      <w:r>
        <w:rPr>
          <w:rFonts w:hint="eastAsia" w:eastAsia="仿宋_GB2312" w:cs="仿宋_GB2312"/>
          <w:sz w:val="32"/>
          <w:szCs w:val="32"/>
          <w:lang w:eastAsia="zh-CN"/>
        </w:rPr>
        <w:t>：</w:t>
      </w:r>
      <w:r>
        <w:rPr>
          <w:rFonts w:eastAsia="仿宋_GB2312" w:cs="仿宋_GB2312"/>
          <w:sz w:val="32"/>
          <w:szCs w:val="32"/>
        </w:rPr>
        <w:t>支出决算为</w:t>
      </w:r>
      <w:r>
        <w:rPr>
          <w:rFonts w:hint="eastAsia" w:eastAsia="仿宋_GB2312" w:cs="仿宋_GB2312"/>
          <w:sz w:val="32"/>
          <w:szCs w:val="32"/>
        </w:rPr>
        <w:t>141.45</w:t>
      </w:r>
      <w:r>
        <w:rPr>
          <w:rFonts w:eastAsia="仿宋_GB2312" w:cs="仿宋_GB2312"/>
          <w:sz w:val="32"/>
          <w:szCs w:val="32"/>
        </w:rPr>
        <w:t>万元，完成预算100%。</w:t>
      </w:r>
    </w:p>
    <w:p>
      <w:pPr>
        <w:spacing w:line="600" w:lineRule="exact"/>
        <w:ind w:firstLine="640" w:firstLineChars="200"/>
        <w:rPr>
          <w:rFonts w:eastAsia="仿宋_GB2312" w:cs="仿宋_GB2312"/>
          <w:sz w:val="32"/>
          <w:szCs w:val="32"/>
        </w:rPr>
      </w:pPr>
      <w:r>
        <w:rPr>
          <w:rFonts w:eastAsia="仿宋_GB2312" w:cs="仿宋_GB2312"/>
          <w:sz w:val="32"/>
          <w:szCs w:val="32"/>
        </w:rPr>
        <w:t>1</w:t>
      </w:r>
      <w:r>
        <w:rPr>
          <w:rFonts w:hint="eastAsia" w:eastAsia="仿宋_GB2312" w:cs="仿宋_GB2312"/>
          <w:sz w:val="32"/>
          <w:szCs w:val="32"/>
        </w:rPr>
        <w:t>1</w:t>
      </w:r>
      <w:r>
        <w:rPr>
          <w:rFonts w:eastAsia="仿宋_GB2312" w:cs="仿宋_GB2312"/>
          <w:sz w:val="32"/>
          <w:szCs w:val="32"/>
        </w:rPr>
        <w:t>.社会保障和就业（</w:t>
      </w:r>
      <w:r>
        <w:rPr>
          <w:rFonts w:hint="eastAsia" w:eastAsia="仿宋_GB2312" w:cs="仿宋_GB2312"/>
          <w:sz w:val="32"/>
          <w:szCs w:val="32"/>
        </w:rPr>
        <w:t>208</w:t>
      </w:r>
      <w:r>
        <w:rPr>
          <w:rFonts w:eastAsia="仿宋_GB2312" w:cs="仿宋_GB2312"/>
          <w:sz w:val="32"/>
          <w:szCs w:val="32"/>
        </w:rPr>
        <w:t>类）行政事业单位养老（</w:t>
      </w:r>
      <w:r>
        <w:rPr>
          <w:rFonts w:hint="eastAsia" w:eastAsia="仿宋_GB2312" w:cs="仿宋_GB2312"/>
          <w:sz w:val="32"/>
          <w:szCs w:val="32"/>
        </w:rPr>
        <w:t>05</w:t>
      </w:r>
      <w:r>
        <w:rPr>
          <w:rFonts w:eastAsia="仿宋_GB2312" w:cs="仿宋_GB2312"/>
          <w:sz w:val="32"/>
          <w:szCs w:val="32"/>
        </w:rPr>
        <w:t>款）机关事业单位职业年金缴费支出（</w:t>
      </w:r>
      <w:r>
        <w:rPr>
          <w:rFonts w:hint="eastAsia" w:eastAsia="仿宋_GB2312" w:cs="仿宋_GB2312"/>
          <w:sz w:val="32"/>
          <w:szCs w:val="32"/>
        </w:rPr>
        <w:t>06</w:t>
      </w:r>
      <w:r>
        <w:rPr>
          <w:rFonts w:eastAsia="仿宋_GB2312" w:cs="仿宋_GB2312"/>
          <w:sz w:val="32"/>
          <w:szCs w:val="32"/>
        </w:rPr>
        <w:t>项）</w:t>
      </w:r>
      <w:r>
        <w:rPr>
          <w:rFonts w:hint="eastAsia" w:eastAsia="仿宋_GB2312" w:cs="仿宋_GB2312"/>
          <w:sz w:val="32"/>
          <w:szCs w:val="32"/>
          <w:lang w:eastAsia="zh-CN"/>
        </w:rPr>
        <w:t>：</w:t>
      </w:r>
      <w:r>
        <w:rPr>
          <w:rFonts w:eastAsia="仿宋_GB2312" w:cs="仿宋_GB2312"/>
          <w:sz w:val="32"/>
          <w:szCs w:val="32"/>
        </w:rPr>
        <w:t>支出决算为</w:t>
      </w:r>
      <w:r>
        <w:rPr>
          <w:rFonts w:hint="eastAsia" w:eastAsia="仿宋_GB2312" w:cs="仿宋_GB2312"/>
          <w:sz w:val="32"/>
          <w:szCs w:val="32"/>
        </w:rPr>
        <w:t>26.1</w:t>
      </w:r>
      <w:r>
        <w:rPr>
          <w:rFonts w:eastAsia="仿宋_GB2312" w:cs="仿宋_GB2312"/>
          <w:sz w:val="32"/>
          <w:szCs w:val="32"/>
        </w:rPr>
        <w:t>万元，完成预算100%。</w:t>
      </w:r>
    </w:p>
    <w:p>
      <w:pPr>
        <w:spacing w:line="600" w:lineRule="exact"/>
        <w:ind w:firstLine="640" w:firstLineChars="200"/>
        <w:rPr>
          <w:rFonts w:eastAsia="仿宋_GB2312" w:cs="仿宋_GB2312"/>
          <w:sz w:val="32"/>
          <w:szCs w:val="32"/>
        </w:rPr>
      </w:pPr>
      <w:r>
        <w:rPr>
          <w:rFonts w:eastAsia="仿宋_GB2312" w:cs="仿宋_GB2312"/>
          <w:sz w:val="32"/>
          <w:szCs w:val="32"/>
        </w:rPr>
        <w:t>12.社会保障和就业（</w:t>
      </w:r>
      <w:r>
        <w:rPr>
          <w:rFonts w:hint="eastAsia" w:eastAsia="仿宋_GB2312" w:cs="仿宋_GB2312"/>
          <w:sz w:val="32"/>
          <w:szCs w:val="32"/>
        </w:rPr>
        <w:t>208</w:t>
      </w:r>
      <w:r>
        <w:rPr>
          <w:rFonts w:eastAsia="仿宋_GB2312" w:cs="仿宋_GB2312"/>
          <w:sz w:val="32"/>
          <w:szCs w:val="32"/>
        </w:rPr>
        <w:t>类）抚恤（</w:t>
      </w:r>
      <w:r>
        <w:rPr>
          <w:rFonts w:hint="eastAsia" w:eastAsia="仿宋_GB2312" w:cs="仿宋_GB2312"/>
          <w:sz w:val="32"/>
          <w:szCs w:val="32"/>
        </w:rPr>
        <w:t>08</w:t>
      </w:r>
      <w:r>
        <w:rPr>
          <w:rFonts w:eastAsia="仿宋_GB2312" w:cs="仿宋_GB2312"/>
          <w:sz w:val="32"/>
          <w:szCs w:val="32"/>
        </w:rPr>
        <w:t>款）伤残抚恤（</w:t>
      </w:r>
      <w:r>
        <w:rPr>
          <w:rFonts w:hint="eastAsia" w:eastAsia="仿宋_GB2312" w:cs="仿宋_GB2312"/>
          <w:sz w:val="32"/>
          <w:szCs w:val="32"/>
        </w:rPr>
        <w:t>02</w:t>
      </w:r>
      <w:r>
        <w:rPr>
          <w:rFonts w:eastAsia="仿宋_GB2312" w:cs="仿宋_GB2312"/>
          <w:sz w:val="32"/>
          <w:szCs w:val="32"/>
        </w:rPr>
        <w:t>项）</w:t>
      </w:r>
      <w:r>
        <w:rPr>
          <w:rFonts w:hint="eastAsia" w:eastAsia="仿宋_GB2312" w:cs="仿宋_GB2312"/>
          <w:sz w:val="32"/>
          <w:szCs w:val="32"/>
          <w:lang w:eastAsia="zh-CN"/>
        </w:rPr>
        <w:t>：</w:t>
      </w:r>
      <w:r>
        <w:rPr>
          <w:rFonts w:eastAsia="仿宋_GB2312" w:cs="仿宋_GB2312"/>
          <w:sz w:val="32"/>
          <w:szCs w:val="32"/>
        </w:rPr>
        <w:t>支出决算为</w:t>
      </w:r>
      <w:r>
        <w:rPr>
          <w:rFonts w:hint="eastAsia" w:eastAsia="仿宋_GB2312" w:cs="仿宋_GB2312"/>
          <w:sz w:val="32"/>
          <w:szCs w:val="32"/>
        </w:rPr>
        <w:t>7.8</w:t>
      </w:r>
      <w:r>
        <w:rPr>
          <w:rFonts w:eastAsia="仿宋_GB2312" w:cs="仿宋_GB2312"/>
          <w:sz w:val="32"/>
          <w:szCs w:val="32"/>
        </w:rPr>
        <w:t>万元，完成预算100%。</w:t>
      </w:r>
    </w:p>
    <w:p>
      <w:pPr>
        <w:spacing w:line="600" w:lineRule="exact"/>
        <w:ind w:firstLine="640" w:firstLineChars="200"/>
        <w:rPr>
          <w:rFonts w:eastAsia="仿宋_GB2312" w:cs="仿宋_GB2312"/>
          <w:sz w:val="32"/>
          <w:szCs w:val="32"/>
        </w:rPr>
      </w:pPr>
      <w:r>
        <w:rPr>
          <w:rFonts w:eastAsia="仿宋_GB2312" w:cs="仿宋_GB2312"/>
          <w:sz w:val="32"/>
          <w:szCs w:val="32"/>
        </w:rPr>
        <w:t>13.卫生健康（</w:t>
      </w:r>
      <w:r>
        <w:rPr>
          <w:rFonts w:hint="eastAsia" w:eastAsia="仿宋_GB2312" w:cs="仿宋_GB2312"/>
          <w:sz w:val="32"/>
          <w:szCs w:val="32"/>
        </w:rPr>
        <w:t>210</w:t>
      </w:r>
      <w:r>
        <w:rPr>
          <w:rFonts w:eastAsia="仿宋_GB2312" w:cs="仿宋_GB2312"/>
          <w:sz w:val="32"/>
          <w:szCs w:val="32"/>
        </w:rPr>
        <w:t>类）公共卫生（</w:t>
      </w:r>
      <w:r>
        <w:rPr>
          <w:rFonts w:hint="eastAsia" w:eastAsia="仿宋_GB2312" w:cs="仿宋_GB2312"/>
          <w:sz w:val="32"/>
          <w:szCs w:val="32"/>
        </w:rPr>
        <w:t>11</w:t>
      </w:r>
      <w:r>
        <w:rPr>
          <w:rFonts w:eastAsia="仿宋_GB2312" w:cs="仿宋_GB2312"/>
          <w:sz w:val="32"/>
          <w:szCs w:val="32"/>
        </w:rPr>
        <w:t>款）行政事业单位医疗（</w:t>
      </w:r>
      <w:r>
        <w:rPr>
          <w:rFonts w:hint="eastAsia" w:eastAsia="仿宋_GB2312" w:cs="仿宋_GB2312"/>
          <w:sz w:val="32"/>
          <w:szCs w:val="32"/>
        </w:rPr>
        <w:t>01</w:t>
      </w:r>
      <w:r>
        <w:rPr>
          <w:rFonts w:eastAsia="仿宋_GB2312" w:cs="仿宋_GB2312"/>
          <w:sz w:val="32"/>
          <w:szCs w:val="32"/>
        </w:rPr>
        <w:t>款）行政单位医疗（</w:t>
      </w:r>
      <w:r>
        <w:rPr>
          <w:rFonts w:hint="eastAsia" w:eastAsia="仿宋_GB2312" w:cs="仿宋_GB2312"/>
          <w:sz w:val="32"/>
          <w:szCs w:val="32"/>
        </w:rPr>
        <w:t>01</w:t>
      </w:r>
      <w:r>
        <w:rPr>
          <w:rFonts w:eastAsia="仿宋_GB2312" w:cs="仿宋_GB2312"/>
          <w:sz w:val="32"/>
          <w:szCs w:val="32"/>
        </w:rPr>
        <w:t>项）</w:t>
      </w:r>
      <w:r>
        <w:rPr>
          <w:rFonts w:hint="eastAsia" w:eastAsia="仿宋_GB2312" w:cs="仿宋_GB2312"/>
          <w:sz w:val="32"/>
          <w:szCs w:val="32"/>
          <w:lang w:eastAsia="zh-CN"/>
        </w:rPr>
        <w:t>：</w:t>
      </w:r>
      <w:r>
        <w:rPr>
          <w:rFonts w:eastAsia="仿宋_GB2312" w:cs="仿宋_GB2312"/>
          <w:sz w:val="32"/>
          <w:szCs w:val="32"/>
        </w:rPr>
        <w:t>支出决算为</w:t>
      </w:r>
      <w:r>
        <w:rPr>
          <w:rFonts w:hint="eastAsia" w:eastAsia="仿宋_GB2312" w:cs="仿宋_GB2312"/>
          <w:sz w:val="32"/>
          <w:szCs w:val="32"/>
        </w:rPr>
        <w:t>68.82</w:t>
      </w:r>
      <w:r>
        <w:rPr>
          <w:rFonts w:eastAsia="仿宋_GB2312" w:cs="仿宋_GB2312"/>
          <w:sz w:val="32"/>
          <w:szCs w:val="32"/>
        </w:rPr>
        <w:t>万元，完成预算100%。</w:t>
      </w:r>
    </w:p>
    <w:p>
      <w:pPr>
        <w:spacing w:line="600" w:lineRule="exact"/>
        <w:ind w:firstLine="640" w:firstLineChars="200"/>
        <w:rPr>
          <w:rFonts w:eastAsia="仿宋_GB2312" w:cs="仿宋_GB2312"/>
          <w:sz w:val="32"/>
          <w:szCs w:val="32"/>
        </w:rPr>
      </w:pPr>
      <w:r>
        <w:rPr>
          <w:rFonts w:eastAsia="仿宋_GB2312" w:cs="仿宋_GB2312"/>
          <w:sz w:val="32"/>
          <w:szCs w:val="32"/>
        </w:rPr>
        <w:t>1</w:t>
      </w:r>
      <w:r>
        <w:rPr>
          <w:rFonts w:hint="eastAsia" w:eastAsia="仿宋_GB2312" w:cs="仿宋_GB2312"/>
          <w:sz w:val="32"/>
          <w:szCs w:val="32"/>
        </w:rPr>
        <w:t>4</w:t>
      </w:r>
      <w:r>
        <w:rPr>
          <w:rFonts w:eastAsia="仿宋_GB2312" w:cs="仿宋_GB2312"/>
          <w:sz w:val="32"/>
          <w:szCs w:val="32"/>
        </w:rPr>
        <w:t>.卫生健康（</w:t>
      </w:r>
      <w:r>
        <w:rPr>
          <w:rFonts w:hint="eastAsia" w:eastAsia="仿宋_GB2312" w:cs="仿宋_GB2312"/>
          <w:sz w:val="32"/>
          <w:szCs w:val="32"/>
        </w:rPr>
        <w:t>210</w:t>
      </w:r>
      <w:r>
        <w:rPr>
          <w:rFonts w:eastAsia="仿宋_GB2312" w:cs="仿宋_GB2312"/>
          <w:sz w:val="32"/>
          <w:szCs w:val="32"/>
        </w:rPr>
        <w:t>类）行政事业单位医疗（</w:t>
      </w:r>
      <w:r>
        <w:rPr>
          <w:rFonts w:hint="eastAsia" w:eastAsia="仿宋_GB2312" w:cs="仿宋_GB2312"/>
          <w:sz w:val="32"/>
          <w:szCs w:val="32"/>
        </w:rPr>
        <w:t>11</w:t>
      </w:r>
      <w:r>
        <w:rPr>
          <w:rFonts w:eastAsia="仿宋_GB2312" w:cs="仿宋_GB2312"/>
          <w:sz w:val="32"/>
          <w:szCs w:val="32"/>
        </w:rPr>
        <w:t>款）事业单位医疗（</w:t>
      </w:r>
      <w:r>
        <w:rPr>
          <w:rFonts w:hint="eastAsia" w:eastAsia="仿宋_GB2312" w:cs="仿宋_GB2312"/>
          <w:sz w:val="32"/>
          <w:szCs w:val="32"/>
        </w:rPr>
        <w:t>02</w:t>
      </w:r>
      <w:r>
        <w:rPr>
          <w:rFonts w:eastAsia="仿宋_GB2312" w:cs="仿宋_GB2312"/>
          <w:sz w:val="32"/>
          <w:szCs w:val="32"/>
        </w:rPr>
        <w:t>项）</w:t>
      </w:r>
      <w:r>
        <w:rPr>
          <w:rFonts w:hint="eastAsia" w:eastAsia="仿宋_GB2312" w:cs="仿宋_GB2312"/>
          <w:sz w:val="32"/>
          <w:szCs w:val="32"/>
          <w:lang w:eastAsia="zh-CN"/>
        </w:rPr>
        <w:t>：</w:t>
      </w:r>
      <w:r>
        <w:rPr>
          <w:rFonts w:eastAsia="仿宋_GB2312" w:cs="仿宋_GB2312"/>
          <w:sz w:val="32"/>
          <w:szCs w:val="32"/>
        </w:rPr>
        <w:t>支出决算为</w:t>
      </w:r>
      <w:r>
        <w:rPr>
          <w:rFonts w:hint="eastAsia" w:eastAsia="仿宋_GB2312" w:cs="仿宋_GB2312"/>
          <w:sz w:val="32"/>
          <w:szCs w:val="32"/>
        </w:rPr>
        <w:t>9.17</w:t>
      </w:r>
      <w:r>
        <w:rPr>
          <w:rFonts w:eastAsia="仿宋_GB2312" w:cs="仿宋_GB2312"/>
          <w:sz w:val="32"/>
          <w:szCs w:val="32"/>
        </w:rPr>
        <w:t>万元，完成预算100%。</w:t>
      </w:r>
    </w:p>
    <w:p>
      <w:pPr>
        <w:spacing w:before="72" w:after="120"/>
        <w:ind w:firstLine="640" w:firstLineChars="200"/>
        <w:rPr>
          <w:rFonts w:eastAsia="仿宋_GB2312" w:cs="仿宋_GB2312"/>
          <w:sz w:val="32"/>
          <w:szCs w:val="32"/>
        </w:rPr>
      </w:pPr>
      <w:r>
        <w:rPr>
          <w:rFonts w:eastAsia="仿宋_GB2312" w:cs="仿宋_GB2312"/>
          <w:sz w:val="32"/>
          <w:szCs w:val="32"/>
        </w:rPr>
        <w:t>1</w:t>
      </w:r>
      <w:r>
        <w:rPr>
          <w:rFonts w:hint="eastAsia" w:eastAsia="仿宋_GB2312" w:cs="仿宋_GB2312"/>
          <w:sz w:val="32"/>
          <w:szCs w:val="32"/>
        </w:rPr>
        <w:t>5</w:t>
      </w:r>
      <w:r>
        <w:rPr>
          <w:rFonts w:eastAsia="仿宋_GB2312" w:cs="仿宋_GB2312"/>
          <w:sz w:val="32"/>
          <w:szCs w:val="32"/>
        </w:rPr>
        <w:t>.卫生健康（</w:t>
      </w:r>
      <w:r>
        <w:rPr>
          <w:rFonts w:hint="eastAsia" w:eastAsia="仿宋_GB2312" w:cs="仿宋_GB2312"/>
          <w:sz w:val="32"/>
          <w:szCs w:val="32"/>
        </w:rPr>
        <w:t>210</w:t>
      </w:r>
      <w:r>
        <w:rPr>
          <w:rFonts w:eastAsia="仿宋_GB2312" w:cs="仿宋_GB2312"/>
          <w:sz w:val="32"/>
          <w:szCs w:val="32"/>
        </w:rPr>
        <w:t>类）行政事业单位医疗（</w:t>
      </w:r>
      <w:r>
        <w:rPr>
          <w:rFonts w:hint="eastAsia" w:eastAsia="仿宋_GB2312" w:cs="仿宋_GB2312"/>
          <w:sz w:val="32"/>
          <w:szCs w:val="32"/>
        </w:rPr>
        <w:t>11</w:t>
      </w:r>
      <w:r>
        <w:rPr>
          <w:rFonts w:eastAsia="仿宋_GB2312" w:cs="仿宋_GB2312"/>
          <w:sz w:val="32"/>
          <w:szCs w:val="32"/>
        </w:rPr>
        <w:t>款）公务员医疗补助（</w:t>
      </w:r>
      <w:r>
        <w:rPr>
          <w:rFonts w:hint="eastAsia" w:eastAsia="仿宋_GB2312" w:cs="仿宋_GB2312"/>
          <w:sz w:val="32"/>
          <w:szCs w:val="32"/>
        </w:rPr>
        <w:t>03</w:t>
      </w:r>
      <w:r>
        <w:rPr>
          <w:rFonts w:eastAsia="仿宋_GB2312" w:cs="仿宋_GB2312"/>
          <w:sz w:val="32"/>
          <w:szCs w:val="32"/>
        </w:rPr>
        <w:t>项）</w:t>
      </w:r>
      <w:r>
        <w:rPr>
          <w:rFonts w:hint="eastAsia" w:eastAsia="仿宋_GB2312" w:cs="仿宋_GB2312"/>
          <w:sz w:val="32"/>
          <w:szCs w:val="32"/>
          <w:lang w:eastAsia="zh-CN"/>
        </w:rPr>
        <w:t>：</w:t>
      </w:r>
      <w:r>
        <w:rPr>
          <w:rFonts w:eastAsia="仿宋_GB2312" w:cs="仿宋_GB2312"/>
          <w:sz w:val="32"/>
          <w:szCs w:val="32"/>
        </w:rPr>
        <w:t>支出决算为</w:t>
      </w:r>
      <w:r>
        <w:rPr>
          <w:rFonts w:hint="eastAsia" w:eastAsia="仿宋_GB2312" w:cs="仿宋_GB2312"/>
          <w:sz w:val="32"/>
          <w:szCs w:val="32"/>
        </w:rPr>
        <w:t>7.84</w:t>
      </w:r>
      <w:r>
        <w:rPr>
          <w:rFonts w:eastAsia="仿宋_GB2312" w:cs="仿宋_GB2312"/>
          <w:sz w:val="32"/>
          <w:szCs w:val="32"/>
        </w:rPr>
        <w:t>万元，完成预算100%。</w:t>
      </w:r>
    </w:p>
    <w:p>
      <w:pPr>
        <w:spacing w:before="72" w:after="120"/>
        <w:ind w:firstLine="640" w:firstLineChars="200"/>
        <w:rPr>
          <w:rFonts w:eastAsia="仿宋_GB2312" w:cs="仿宋_GB2312"/>
          <w:sz w:val="32"/>
          <w:szCs w:val="32"/>
        </w:rPr>
      </w:pPr>
      <w:r>
        <w:rPr>
          <w:rFonts w:eastAsia="仿宋_GB2312" w:cs="仿宋_GB2312"/>
          <w:sz w:val="32"/>
          <w:szCs w:val="32"/>
        </w:rPr>
        <w:t>1</w:t>
      </w:r>
      <w:r>
        <w:rPr>
          <w:rFonts w:hint="eastAsia" w:eastAsia="仿宋_GB2312" w:cs="仿宋_GB2312"/>
          <w:sz w:val="32"/>
          <w:szCs w:val="32"/>
        </w:rPr>
        <w:t>6</w:t>
      </w:r>
      <w:r>
        <w:rPr>
          <w:rFonts w:eastAsia="仿宋_GB2312" w:cs="仿宋_GB2312"/>
          <w:sz w:val="32"/>
          <w:szCs w:val="32"/>
        </w:rPr>
        <w:t>.卫生健康（</w:t>
      </w:r>
      <w:r>
        <w:rPr>
          <w:rFonts w:hint="eastAsia" w:eastAsia="仿宋_GB2312" w:cs="仿宋_GB2312"/>
          <w:sz w:val="32"/>
          <w:szCs w:val="32"/>
        </w:rPr>
        <w:t>210</w:t>
      </w:r>
      <w:r>
        <w:rPr>
          <w:rFonts w:eastAsia="仿宋_GB2312" w:cs="仿宋_GB2312"/>
          <w:sz w:val="32"/>
          <w:szCs w:val="32"/>
        </w:rPr>
        <w:t>类）行政事业单位医疗（</w:t>
      </w:r>
      <w:r>
        <w:rPr>
          <w:rFonts w:hint="eastAsia" w:eastAsia="仿宋_GB2312" w:cs="仿宋_GB2312"/>
          <w:sz w:val="32"/>
          <w:szCs w:val="32"/>
        </w:rPr>
        <w:t>11</w:t>
      </w:r>
      <w:r>
        <w:rPr>
          <w:rFonts w:eastAsia="仿宋_GB2312" w:cs="仿宋_GB2312"/>
          <w:sz w:val="32"/>
          <w:szCs w:val="32"/>
        </w:rPr>
        <w:t>款）其他行政事业单位医疗支出（</w:t>
      </w:r>
      <w:r>
        <w:rPr>
          <w:rFonts w:hint="eastAsia" w:eastAsia="仿宋_GB2312" w:cs="仿宋_GB2312"/>
          <w:sz w:val="32"/>
          <w:szCs w:val="32"/>
        </w:rPr>
        <w:t>99</w:t>
      </w:r>
      <w:r>
        <w:rPr>
          <w:rFonts w:eastAsia="仿宋_GB2312" w:cs="仿宋_GB2312"/>
          <w:sz w:val="32"/>
          <w:szCs w:val="32"/>
        </w:rPr>
        <w:t>项）</w:t>
      </w:r>
      <w:r>
        <w:rPr>
          <w:rFonts w:hint="eastAsia" w:eastAsia="仿宋_GB2312" w:cs="仿宋_GB2312"/>
          <w:sz w:val="32"/>
          <w:szCs w:val="32"/>
          <w:lang w:eastAsia="zh-CN"/>
        </w:rPr>
        <w:t>：</w:t>
      </w:r>
      <w:r>
        <w:rPr>
          <w:rFonts w:eastAsia="仿宋_GB2312" w:cs="仿宋_GB2312"/>
          <w:sz w:val="32"/>
          <w:szCs w:val="32"/>
        </w:rPr>
        <w:t>支出决算为</w:t>
      </w:r>
      <w:r>
        <w:rPr>
          <w:rFonts w:hint="eastAsia" w:eastAsia="仿宋_GB2312" w:cs="仿宋_GB2312"/>
          <w:sz w:val="32"/>
          <w:szCs w:val="32"/>
        </w:rPr>
        <w:t>41.24</w:t>
      </w:r>
      <w:r>
        <w:rPr>
          <w:rFonts w:eastAsia="仿宋_GB2312" w:cs="仿宋_GB2312"/>
          <w:sz w:val="32"/>
          <w:szCs w:val="32"/>
        </w:rPr>
        <w:t>万元，完成预算100%。</w:t>
      </w:r>
    </w:p>
    <w:p>
      <w:pPr>
        <w:spacing w:before="72" w:after="120"/>
        <w:ind w:firstLine="640" w:firstLineChars="200"/>
        <w:rPr>
          <w:rFonts w:eastAsia="仿宋_GB2312" w:cs="仿宋_GB2312"/>
          <w:sz w:val="32"/>
          <w:szCs w:val="32"/>
        </w:rPr>
      </w:pPr>
      <w:r>
        <w:rPr>
          <w:rFonts w:eastAsia="仿宋_GB2312" w:cs="仿宋_GB2312"/>
          <w:sz w:val="32"/>
          <w:szCs w:val="32"/>
        </w:rPr>
        <w:t>1</w:t>
      </w:r>
      <w:r>
        <w:rPr>
          <w:rFonts w:hint="eastAsia" w:eastAsia="仿宋_GB2312" w:cs="仿宋_GB2312"/>
          <w:sz w:val="32"/>
          <w:szCs w:val="32"/>
        </w:rPr>
        <w:t>7</w:t>
      </w:r>
      <w:r>
        <w:rPr>
          <w:rFonts w:eastAsia="仿宋_GB2312" w:cs="仿宋_GB2312"/>
          <w:sz w:val="32"/>
          <w:szCs w:val="32"/>
        </w:rPr>
        <w:t>.卫生健康（</w:t>
      </w:r>
      <w:r>
        <w:rPr>
          <w:rFonts w:hint="eastAsia" w:eastAsia="仿宋_GB2312" w:cs="仿宋_GB2312"/>
          <w:sz w:val="32"/>
          <w:szCs w:val="32"/>
        </w:rPr>
        <w:t>210</w:t>
      </w:r>
      <w:r>
        <w:rPr>
          <w:rFonts w:eastAsia="仿宋_GB2312" w:cs="仿宋_GB2312"/>
          <w:sz w:val="32"/>
          <w:szCs w:val="32"/>
        </w:rPr>
        <w:t>类）行政事业单位医疗（</w:t>
      </w:r>
      <w:r>
        <w:rPr>
          <w:rFonts w:hint="eastAsia" w:eastAsia="仿宋_GB2312" w:cs="仿宋_GB2312"/>
          <w:sz w:val="32"/>
          <w:szCs w:val="32"/>
        </w:rPr>
        <w:t>99</w:t>
      </w:r>
      <w:r>
        <w:rPr>
          <w:rFonts w:eastAsia="仿宋_GB2312" w:cs="仿宋_GB2312"/>
          <w:sz w:val="32"/>
          <w:szCs w:val="32"/>
        </w:rPr>
        <w:t>款）其他</w:t>
      </w:r>
      <w:r>
        <w:rPr>
          <w:rFonts w:hint="eastAsia" w:eastAsia="仿宋_GB2312" w:cs="仿宋_GB2312"/>
          <w:sz w:val="32"/>
          <w:szCs w:val="32"/>
        </w:rPr>
        <w:t>卫生</w:t>
      </w:r>
      <w:r>
        <w:rPr>
          <w:rFonts w:eastAsia="仿宋_GB2312" w:cs="仿宋_GB2312"/>
          <w:sz w:val="32"/>
          <w:szCs w:val="32"/>
        </w:rPr>
        <w:t>健康支出（</w:t>
      </w:r>
      <w:r>
        <w:rPr>
          <w:rFonts w:hint="eastAsia" w:eastAsia="仿宋_GB2312" w:cs="仿宋_GB2312"/>
          <w:sz w:val="32"/>
          <w:szCs w:val="32"/>
        </w:rPr>
        <w:t>99</w:t>
      </w:r>
      <w:r>
        <w:rPr>
          <w:rFonts w:eastAsia="仿宋_GB2312" w:cs="仿宋_GB2312"/>
          <w:sz w:val="32"/>
          <w:szCs w:val="32"/>
        </w:rPr>
        <w:t>项）</w:t>
      </w:r>
      <w:r>
        <w:rPr>
          <w:rFonts w:hint="eastAsia" w:eastAsia="仿宋_GB2312" w:cs="仿宋_GB2312"/>
          <w:sz w:val="32"/>
          <w:szCs w:val="32"/>
          <w:lang w:eastAsia="zh-CN"/>
        </w:rPr>
        <w:t>：</w:t>
      </w:r>
      <w:r>
        <w:rPr>
          <w:rFonts w:eastAsia="仿宋_GB2312" w:cs="仿宋_GB2312"/>
          <w:sz w:val="32"/>
          <w:szCs w:val="32"/>
        </w:rPr>
        <w:t>支出决算为</w:t>
      </w:r>
      <w:r>
        <w:rPr>
          <w:rFonts w:hint="eastAsia" w:eastAsia="仿宋_GB2312" w:cs="仿宋_GB2312"/>
          <w:sz w:val="32"/>
          <w:szCs w:val="32"/>
        </w:rPr>
        <w:t>1.69</w:t>
      </w:r>
      <w:r>
        <w:rPr>
          <w:rFonts w:eastAsia="仿宋_GB2312" w:cs="仿宋_GB2312"/>
          <w:sz w:val="32"/>
          <w:szCs w:val="32"/>
        </w:rPr>
        <w:t>万元，完成预算100%。</w:t>
      </w:r>
    </w:p>
    <w:p>
      <w:pPr>
        <w:spacing w:before="72" w:after="120"/>
        <w:ind w:firstLine="640" w:firstLineChars="200"/>
        <w:rPr>
          <w:rFonts w:eastAsia="仿宋_GB2312" w:cs="仿宋_GB2312"/>
          <w:sz w:val="32"/>
          <w:szCs w:val="32"/>
        </w:rPr>
      </w:pPr>
      <w:r>
        <w:rPr>
          <w:rFonts w:eastAsia="仿宋_GB2312" w:cs="仿宋_GB2312"/>
          <w:sz w:val="32"/>
          <w:szCs w:val="32"/>
        </w:rPr>
        <w:t>1</w:t>
      </w:r>
      <w:r>
        <w:rPr>
          <w:rFonts w:hint="eastAsia" w:eastAsia="仿宋_GB2312" w:cs="仿宋_GB2312"/>
          <w:sz w:val="32"/>
          <w:szCs w:val="32"/>
        </w:rPr>
        <w:t>8</w:t>
      </w:r>
      <w:r>
        <w:rPr>
          <w:rFonts w:eastAsia="仿宋_GB2312" w:cs="仿宋_GB2312"/>
          <w:sz w:val="32"/>
          <w:szCs w:val="32"/>
        </w:rPr>
        <w:t>.住房保障（</w:t>
      </w:r>
      <w:r>
        <w:rPr>
          <w:rFonts w:hint="eastAsia" w:eastAsia="仿宋_GB2312" w:cs="仿宋_GB2312"/>
          <w:sz w:val="32"/>
          <w:szCs w:val="32"/>
        </w:rPr>
        <w:t>221</w:t>
      </w:r>
      <w:r>
        <w:rPr>
          <w:rFonts w:eastAsia="仿宋_GB2312" w:cs="仿宋_GB2312"/>
          <w:sz w:val="32"/>
          <w:szCs w:val="32"/>
        </w:rPr>
        <w:t>类）住房改革（</w:t>
      </w:r>
      <w:r>
        <w:rPr>
          <w:rFonts w:hint="eastAsia" w:eastAsia="仿宋_GB2312" w:cs="仿宋_GB2312"/>
          <w:sz w:val="32"/>
          <w:szCs w:val="32"/>
        </w:rPr>
        <w:t>02</w:t>
      </w:r>
      <w:r>
        <w:rPr>
          <w:rFonts w:eastAsia="仿宋_GB2312" w:cs="仿宋_GB2312"/>
          <w:sz w:val="32"/>
          <w:szCs w:val="32"/>
        </w:rPr>
        <w:t>款）住房公积金（</w:t>
      </w:r>
      <w:r>
        <w:rPr>
          <w:rFonts w:hint="eastAsia" w:eastAsia="仿宋_GB2312" w:cs="仿宋_GB2312"/>
          <w:sz w:val="32"/>
          <w:szCs w:val="32"/>
        </w:rPr>
        <w:t>01</w:t>
      </w:r>
      <w:r>
        <w:rPr>
          <w:rFonts w:eastAsia="仿宋_GB2312" w:cs="仿宋_GB2312"/>
          <w:sz w:val="32"/>
          <w:szCs w:val="32"/>
        </w:rPr>
        <w:t>项）</w:t>
      </w:r>
      <w:r>
        <w:rPr>
          <w:rFonts w:hint="eastAsia" w:eastAsia="仿宋_GB2312" w:cs="仿宋_GB2312"/>
          <w:sz w:val="32"/>
          <w:szCs w:val="32"/>
          <w:lang w:eastAsia="zh-CN"/>
        </w:rPr>
        <w:t>：</w:t>
      </w:r>
      <w:r>
        <w:rPr>
          <w:rFonts w:eastAsia="仿宋_GB2312" w:cs="仿宋_GB2312"/>
          <w:sz w:val="32"/>
          <w:szCs w:val="32"/>
        </w:rPr>
        <w:t>支出决算为</w:t>
      </w:r>
      <w:r>
        <w:rPr>
          <w:rFonts w:hint="eastAsia" w:eastAsia="仿宋_GB2312" w:cs="仿宋_GB2312"/>
          <w:sz w:val="32"/>
          <w:szCs w:val="32"/>
        </w:rPr>
        <w:t>117.27</w:t>
      </w:r>
      <w:r>
        <w:rPr>
          <w:rFonts w:eastAsia="仿宋_GB2312" w:cs="仿宋_GB2312"/>
          <w:sz w:val="32"/>
          <w:szCs w:val="32"/>
        </w:rPr>
        <w:t>万元，完成预算100%。</w:t>
      </w:r>
    </w:p>
    <w:p>
      <w:pPr>
        <w:tabs>
          <w:tab w:val="right" w:pos="8306"/>
        </w:tabs>
        <w:spacing w:line="600" w:lineRule="exact"/>
        <w:ind w:firstLine="640" w:firstLineChars="200"/>
        <w:outlineLvl w:val="1"/>
        <w:rPr>
          <w:rStyle w:val="30"/>
          <w:rFonts w:hint="eastAsia" w:ascii="Times New Roman" w:hAnsi="Times New Roman" w:eastAsia="黑体"/>
          <w:lang w:eastAsia="zh-CN"/>
        </w:rPr>
      </w:pPr>
      <w:bookmarkStart w:id="36" w:name="_Toc15377214"/>
      <w:bookmarkStart w:id="37" w:name="_Toc15396608"/>
      <w:r>
        <w:rPr>
          <w:rFonts w:hint="eastAsia" w:eastAsia="黑体"/>
          <w:sz w:val="32"/>
          <w:szCs w:val="32"/>
        </w:rPr>
        <w:t>六</w:t>
      </w:r>
      <w:r>
        <w:rPr>
          <w:rFonts w:hint="eastAsia" w:eastAsia="黑体"/>
          <w:b/>
          <w:sz w:val="32"/>
          <w:szCs w:val="32"/>
        </w:rPr>
        <w:t>、一</w:t>
      </w:r>
      <w:r>
        <w:rPr>
          <w:rStyle w:val="30"/>
          <w:rFonts w:hint="eastAsia" w:ascii="Times New Roman" w:hAnsi="Times New Roman" w:eastAsia="黑体"/>
          <w:b w:val="0"/>
        </w:rPr>
        <w:t>般公共预算财政拨款基本支出决算情况说明</w:t>
      </w:r>
      <w:bookmarkEnd w:id="36"/>
      <w:bookmarkEnd w:id="37"/>
    </w:p>
    <w:p>
      <w:pPr>
        <w:spacing w:line="600" w:lineRule="exact"/>
        <w:ind w:firstLine="640"/>
        <w:rPr>
          <w:rFonts w:eastAsia="仿宋_GB2312" w:cs="仿宋_GB2312"/>
          <w:sz w:val="32"/>
          <w:szCs w:val="32"/>
        </w:rPr>
      </w:pPr>
      <w:r>
        <w:rPr>
          <w:rFonts w:hint="eastAsia" w:eastAsia="仿宋_GB2312" w:cs="仿宋_GB2312"/>
          <w:sz w:val="32"/>
          <w:szCs w:val="32"/>
        </w:rPr>
        <w:t>2024年度一般公共预算财政拨款基本支出</w:t>
      </w:r>
      <w:r>
        <w:rPr>
          <w:rFonts w:hint="eastAsia" w:ascii="仿宋_GB2312" w:hAnsi="仿宋_GB2312" w:eastAsia="仿宋_GB2312" w:cs="仿宋_GB2312"/>
          <w:sz w:val="32"/>
          <w:szCs w:val="32"/>
        </w:rPr>
        <w:t>1721.83万</w:t>
      </w:r>
      <w:r>
        <w:rPr>
          <w:rFonts w:hint="eastAsia" w:eastAsia="仿宋_GB2312" w:cs="仿宋_GB2312"/>
          <w:sz w:val="32"/>
          <w:szCs w:val="32"/>
        </w:rPr>
        <w:t>元，其中：</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eastAsia="仿宋_GB2312" w:cs="仿宋_GB2312"/>
          <w:sz w:val="32"/>
          <w:szCs w:val="32"/>
        </w:rPr>
      </w:pPr>
      <w:r>
        <w:rPr>
          <w:rFonts w:hint="eastAsia" w:eastAsia="仿宋_GB2312" w:cs="仿宋_GB2312"/>
          <w:sz w:val="32"/>
          <w:szCs w:val="32"/>
        </w:rPr>
        <w:t>人员经费</w:t>
      </w:r>
      <w:r>
        <w:rPr>
          <w:rFonts w:hint="eastAsia" w:ascii="仿宋_GB2312" w:hAnsi="仿宋_GB2312" w:eastAsia="仿宋_GB2312" w:cs="仿宋_GB2312"/>
          <w:sz w:val="32"/>
          <w:szCs w:val="32"/>
        </w:rPr>
        <w:t>1572.4万</w:t>
      </w:r>
      <w:r>
        <w:rPr>
          <w:rFonts w:hint="eastAsia" w:eastAsia="仿宋_GB2312" w:cs="仿宋_GB2312"/>
          <w:sz w:val="32"/>
          <w:szCs w:val="32"/>
        </w:rPr>
        <w:t>元，主要包括：基本工资、津贴补贴、奖金、绩效工资、机关事业单位基本养老保险缴费、职业年金缴费、其他社会保障缴费、其他工资福利支出、离休费、退休费、抚恤金、生活补助、医疗费补助、奖励金、住房公积金、其他对个人和家庭的补助支出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eastAsia="仿宋_GB2312" w:cs="仿宋_GB2312"/>
          <w:sz w:val="32"/>
          <w:szCs w:val="32"/>
        </w:rPr>
      </w:pPr>
      <w:r>
        <w:rPr>
          <w:rFonts w:hint="eastAsia" w:eastAsia="仿宋_GB2312" w:cs="仿宋_GB2312"/>
          <w:sz w:val="32"/>
          <w:szCs w:val="32"/>
        </w:rPr>
        <w:t>公用经费</w:t>
      </w:r>
      <w:r>
        <w:rPr>
          <w:rFonts w:hint="eastAsia" w:ascii="仿宋_GB2312" w:hAnsi="仿宋_GB2312" w:eastAsia="仿宋_GB2312" w:cs="仿宋_GB2312"/>
          <w:sz w:val="32"/>
          <w:szCs w:val="32"/>
        </w:rPr>
        <w:t>149.43</w:t>
      </w:r>
      <w:r>
        <w:rPr>
          <w:rFonts w:hint="eastAsia" w:eastAsia="仿宋_GB2312" w:cs="仿宋_GB2312"/>
          <w:sz w:val="32"/>
          <w:szCs w:val="32"/>
        </w:rPr>
        <w:t>万元，主要包括：办公费、印刷费、水费、电费、邮电费、差旅费、维修（护）费、会议费、培训费、公务接待费、劳务费、委托业务费、工会经费、福利费、公务用车运行维护费、其他交通费、其他商品和服务支出、办公设备购置等。</w:t>
      </w:r>
    </w:p>
    <w:p>
      <w:pPr>
        <w:spacing w:line="600" w:lineRule="exact"/>
        <w:ind w:firstLine="640"/>
        <w:outlineLvl w:val="1"/>
        <w:rPr>
          <w:rStyle w:val="30"/>
          <w:rFonts w:ascii="Times New Roman" w:hAnsi="Times New Roman" w:eastAsia="黑体"/>
          <w:b w:val="0"/>
        </w:rPr>
      </w:pPr>
      <w:bookmarkStart w:id="38" w:name="_Toc15396609"/>
      <w:bookmarkStart w:id="39" w:name="_Toc15377215"/>
      <w:r>
        <w:rPr>
          <w:rFonts w:hint="eastAsia" w:eastAsia="黑体"/>
          <w:sz w:val="32"/>
          <w:szCs w:val="32"/>
        </w:rPr>
        <w:t>七、</w:t>
      </w:r>
      <w:r>
        <w:rPr>
          <w:rStyle w:val="30"/>
          <w:rFonts w:hint="eastAsia" w:ascii="Times New Roman" w:hAnsi="Times New Roman" w:eastAsia="黑体"/>
          <w:b w:val="0"/>
        </w:rPr>
        <w:t>财政拨款</w:t>
      </w:r>
      <w:r>
        <w:rPr>
          <w:rStyle w:val="30"/>
          <w:rFonts w:hint="eastAsia" w:ascii="Times New Roman" w:hAnsi="Times New Roman" w:eastAsia="黑体"/>
        </w:rPr>
        <w:t>“</w:t>
      </w:r>
      <w:r>
        <w:rPr>
          <w:rStyle w:val="30"/>
          <w:rFonts w:hint="eastAsia" w:ascii="Times New Roman" w:hAnsi="Times New Roman" w:eastAsia="黑体"/>
          <w:b w:val="0"/>
        </w:rPr>
        <w:t>三公”经费支出决算情况说明</w:t>
      </w:r>
      <w:bookmarkEnd w:id="38"/>
      <w:bookmarkEnd w:id="39"/>
    </w:p>
    <w:p>
      <w:pPr>
        <w:spacing w:line="600" w:lineRule="exact"/>
        <w:ind w:firstLine="643" w:firstLineChars="200"/>
        <w:outlineLvl w:val="2"/>
        <w:rPr>
          <w:rFonts w:eastAsia="楷体_GB2312" w:cs="楷体_GB2312"/>
          <w:b/>
          <w:sz w:val="32"/>
          <w:szCs w:val="32"/>
        </w:rPr>
      </w:pPr>
      <w:bookmarkStart w:id="40" w:name="_Toc15377216"/>
      <w:r>
        <w:rPr>
          <w:rFonts w:hint="eastAsia" w:eastAsia="楷体_GB2312" w:cs="楷体_GB2312"/>
          <w:b/>
          <w:sz w:val="32"/>
          <w:szCs w:val="32"/>
        </w:rPr>
        <w:t>（一）“三公”经费财政拨款支出决算总体情况说明</w:t>
      </w:r>
      <w:bookmarkEnd w:id="40"/>
    </w:p>
    <w:p>
      <w:pPr>
        <w:spacing w:line="600" w:lineRule="exact"/>
        <w:ind w:firstLine="640"/>
        <w:rPr>
          <w:rFonts w:eastAsia="仿宋_GB2312" w:cs="仿宋_GB2312"/>
          <w:sz w:val="32"/>
          <w:szCs w:val="32"/>
        </w:rPr>
      </w:pPr>
      <w:r>
        <w:rPr>
          <w:rFonts w:hint="eastAsia" w:eastAsia="仿宋_GB2312" w:cs="仿宋_GB2312"/>
          <w:sz w:val="32"/>
          <w:szCs w:val="32"/>
        </w:rPr>
        <w:t>2024年度“三公”经费财政拨款支出决算为</w:t>
      </w:r>
      <w:r>
        <w:rPr>
          <w:rFonts w:hint="eastAsia" w:ascii="仿宋_GB2312" w:hAnsi="仿宋_GB2312" w:eastAsia="仿宋_GB2312" w:cs="仿宋_GB2312"/>
          <w:sz w:val="32"/>
          <w:szCs w:val="32"/>
        </w:rPr>
        <w:t>3.47万元，完成预算100%，</w:t>
      </w:r>
      <w:r>
        <w:rPr>
          <w:rFonts w:hint="eastAsia" w:eastAsia="仿宋_GB2312" w:cs="仿宋_GB2312"/>
          <w:sz w:val="32"/>
          <w:szCs w:val="32"/>
        </w:rPr>
        <w:t>较上年度减少0.33万元，下降8.68%。决算数与预算数持平的主要原因是我局认真</w:t>
      </w:r>
      <w:r>
        <w:rPr>
          <w:rFonts w:hint="eastAsia" w:eastAsia="仿宋_GB2312" w:cs="仿宋_GB2312"/>
          <w:sz w:val="32"/>
          <w:szCs w:val="32"/>
          <w:lang w:eastAsia="zh-CN"/>
        </w:rPr>
        <w:t>贯彻落实中央八项规定</w:t>
      </w:r>
      <w:r>
        <w:rPr>
          <w:rFonts w:hint="eastAsia" w:eastAsia="仿宋_GB2312" w:cs="仿宋_GB2312"/>
          <w:sz w:val="32"/>
          <w:szCs w:val="32"/>
        </w:rPr>
        <w:t>要求，厉行节约，严格控制支出。</w:t>
      </w:r>
    </w:p>
    <w:p>
      <w:pPr>
        <w:spacing w:line="600" w:lineRule="exact"/>
        <w:ind w:firstLine="643" w:firstLineChars="200"/>
        <w:outlineLvl w:val="2"/>
        <w:rPr>
          <w:rFonts w:eastAsia="楷体_GB2312" w:cs="楷体_GB2312"/>
          <w:b/>
          <w:sz w:val="32"/>
          <w:szCs w:val="32"/>
        </w:rPr>
      </w:pPr>
      <w:bookmarkStart w:id="41" w:name="_Toc15377217"/>
      <w:r>
        <w:rPr>
          <w:rFonts w:hint="eastAsia" w:eastAsia="楷体_GB2312" w:cs="楷体_GB2312"/>
          <w:b/>
          <w:sz w:val="32"/>
          <w:szCs w:val="32"/>
        </w:rPr>
        <w:t>（二）“三公”经费财政拨款支出决算具体情况说明</w:t>
      </w:r>
      <w:bookmarkEnd w:id="41"/>
    </w:p>
    <w:p>
      <w:pPr>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2024年度“三公”经费财政拨款支出决算中，因公出国（境）费支出决算0万元；公务用车购置及运行维护费支出决算3万元，占86.46%；公务接待费支出决算0.47万元，占13.54%。具体情况如下：</w:t>
      </w:r>
    </w:p>
    <w:p>
      <w:pPr>
        <w:spacing w:line="600" w:lineRule="exact"/>
        <w:ind w:firstLine="640"/>
        <w:rPr>
          <w:rFonts w:ascii="仿宋_GB2312" w:hAnsi="仿宋_GB2312" w:eastAsia="仿宋_GB2312" w:cs="仿宋_GB2312"/>
          <w:sz w:val="32"/>
          <w:szCs w:val="32"/>
        </w:rPr>
      </w:pPr>
      <w:r>
        <w:rPr>
          <w:rFonts w:hint="eastAsia" w:eastAsia="仿宋_GB2312" w:cs="仿宋_GB2312"/>
          <w:sz w:val="32"/>
          <w:szCs w:val="32"/>
          <w:lang w:eastAsia="zh-CN"/>
        </w:rPr>
        <w:t>（</w:t>
      </w:r>
      <w:r>
        <w:rPr>
          <w:rFonts w:hint="eastAsia" w:eastAsia="仿宋_GB2312" w:cs="仿宋_GB2312"/>
          <w:sz w:val="32"/>
          <w:szCs w:val="32"/>
        </w:rPr>
        <w:t>图7：“三公”经费财政拨款支出结构</w:t>
      </w:r>
      <w:r>
        <w:rPr>
          <w:rFonts w:hint="eastAsia" w:eastAsia="仿宋_GB2312" w:cs="仿宋_GB2312"/>
          <w:sz w:val="32"/>
          <w:szCs w:val="32"/>
          <w:lang w:eastAsia="zh-CN"/>
        </w:rPr>
        <w:t>）</w:t>
      </w:r>
    </w:p>
    <w:p>
      <w:pPr>
        <w:pStyle w:val="10"/>
      </w:pPr>
      <w:r>
        <w:drawing>
          <wp:inline distT="0" distB="0" distL="114300" distR="114300">
            <wp:extent cx="5266055" cy="3446145"/>
            <wp:effectExtent l="0" t="0" r="10795" b="19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5"/>
                    <a:stretch>
                      <a:fillRect/>
                    </a:stretch>
                  </pic:blipFill>
                  <pic:spPr>
                    <a:xfrm>
                      <a:off x="0" y="0"/>
                      <a:ext cx="5266055" cy="3446145"/>
                    </a:xfrm>
                    <a:prstGeom prst="rect">
                      <a:avLst/>
                    </a:prstGeom>
                    <a:noFill/>
                    <a:ln>
                      <a:noFill/>
                    </a:ln>
                  </pic:spPr>
                </pic:pic>
              </a:graphicData>
            </a:graphic>
          </wp:inline>
        </w:drawing>
      </w:r>
    </w:p>
    <w:p>
      <w:pPr>
        <w:spacing w:line="600" w:lineRule="exact"/>
        <w:ind w:firstLine="640"/>
        <w:rPr>
          <w:rFonts w:eastAsia="仿宋_GB2312" w:cs="仿宋_GB2312"/>
          <w:sz w:val="32"/>
          <w:szCs w:val="32"/>
        </w:rPr>
      </w:pPr>
      <w:r>
        <w:rPr>
          <w:rFonts w:hint="eastAsia" w:eastAsia="仿宋_GB2312" w:cs="仿宋_GB2312"/>
          <w:b/>
          <w:bCs/>
          <w:sz w:val="32"/>
          <w:szCs w:val="32"/>
        </w:rPr>
        <w:t>1.因公出国（境）经费支出0万元，完成预算0%。</w:t>
      </w:r>
      <w:r>
        <w:rPr>
          <w:rFonts w:hint="eastAsia" w:eastAsia="仿宋_GB2312" w:cs="仿宋_GB2312"/>
          <w:sz w:val="32"/>
          <w:szCs w:val="32"/>
        </w:rPr>
        <w:t>全年安排因公出国（境）团</w:t>
      </w:r>
      <w:r>
        <w:rPr>
          <w:rFonts w:hint="eastAsia" w:ascii="仿宋_GB2312" w:hAnsi="仿宋_GB2312" w:eastAsia="仿宋_GB2312" w:cs="仿宋_GB2312"/>
          <w:sz w:val="32"/>
          <w:szCs w:val="32"/>
        </w:rPr>
        <w:t>组0</w:t>
      </w:r>
      <w:r>
        <w:rPr>
          <w:rFonts w:hint="eastAsia" w:eastAsia="仿宋_GB2312" w:cs="仿宋_GB2312"/>
          <w:sz w:val="32"/>
          <w:szCs w:val="32"/>
        </w:rPr>
        <w:t>次，出国（境）</w:t>
      </w:r>
      <w:r>
        <w:rPr>
          <w:rFonts w:hint="eastAsia" w:ascii="仿宋_GB2312" w:hAnsi="仿宋_GB2312" w:eastAsia="仿宋_GB2312" w:cs="仿宋_GB2312"/>
          <w:sz w:val="32"/>
          <w:szCs w:val="32"/>
        </w:rPr>
        <w:t>0人</w:t>
      </w:r>
      <w:r>
        <w:rPr>
          <w:rFonts w:hint="eastAsia" w:eastAsia="仿宋_GB2312" w:cs="仿宋_GB2312"/>
          <w:sz w:val="32"/>
          <w:szCs w:val="32"/>
        </w:rPr>
        <w:t>。因公出国（境）支出决算与2023年持平。主要原因是无因公出国（境）团组。</w:t>
      </w:r>
    </w:p>
    <w:p>
      <w:pPr>
        <w:spacing w:line="600" w:lineRule="exact"/>
        <w:ind w:firstLine="640"/>
        <w:rPr>
          <w:rFonts w:eastAsia="仿宋_GB2312" w:cs="仿宋_GB2312"/>
          <w:sz w:val="32"/>
          <w:szCs w:val="32"/>
        </w:rPr>
      </w:pPr>
      <w:r>
        <w:rPr>
          <w:rFonts w:hint="eastAsia" w:eastAsia="仿宋_GB2312" w:cs="仿宋_GB2312"/>
          <w:b/>
          <w:bCs/>
          <w:sz w:val="32"/>
          <w:szCs w:val="32"/>
        </w:rPr>
        <w:t>2.公务用车购置及运行维护费支出</w:t>
      </w:r>
      <w:r>
        <w:rPr>
          <w:rFonts w:hint="eastAsia" w:ascii="仿宋_GB2312" w:hAnsi="仿宋_GB2312" w:eastAsia="仿宋_GB2312" w:cs="仿宋_GB2312"/>
          <w:b/>
          <w:bCs/>
          <w:sz w:val="32"/>
          <w:szCs w:val="32"/>
        </w:rPr>
        <w:t>3万</w:t>
      </w:r>
      <w:r>
        <w:rPr>
          <w:rFonts w:hint="eastAsia" w:eastAsia="仿宋_GB2312" w:cs="仿宋_GB2312"/>
          <w:b/>
          <w:bCs/>
          <w:sz w:val="32"/>
          <w:szCs w:val="32"/>
        </w:rPr>
        <w:t>元，完成预算100%。</w:t>
      </w:r>
      <w:r>
        <w:rPr>
          <w:rFonts w:hint="eastAsia" w:eastAsia="仿宋_GB2312" w:cs="仿宋_GB2312"/>
          <w:sz w:val="32"/>
          <w:szCs w:val="32"/>
        </w:rPr>
        <w:t>公务用车购置及运行维护费支出决算比2023年度增加/减少0.44万元，下降12.79%。主要原因是我局认真</w:t>
      </w:r>
      <w:r>
        <w:rPr>
          <w:rFonts w:hint="eastAsia" w:eastAsia="仿宋_GB2312" w:cs="仿宋_GB2312"/>
          <w:sz w:val="32"/>
          <w:szCs w:val="32"/>
          <w:lang w:eastAsia="zh-CN"/>
        </w:rPr>
        <w:t>贯彻落实中央八项规定</w:t>
      </w:r>
      <w:r>
        <w:rPr>
          <w:rFonts w:hint="eastAsia" w:eastAsia="仿宋_GB2312" w:cs="仿宋_GB2312"/>
          <w:sz w:val="32"/>
          <w:szCs w:val="32"/>
        </w:rPr>
        <w:t>要求，厉行节约，严格控制支出。</w:t>
      </w:r>
    </w:p>
    <w:p>
      <w:pPr>
        <w:spacing w:line="600" w:lineRule="exact"/>
        <w:ind w:firstLine="640"/>
        <w:rPr>
          <w:rFonts w:eastAsia="仿宋_GB2312" w:cs="仿宋_GB2312"/>
          <w:sz w:val="32"/>
          <w:szCs w:val="32"/>
        </w:rPr>
      </w:pPr>
      <w:r>
        <w:rPr>
          <w:rFonts w:hint="eastAsia" w:eastAsia="仿宋_GB2312" w:cs="仿宋_GB2312"/>
          <w:sz w:val="32"/>
          <w:szCs w:val="32"/>
        </w:rPr>
        <w:t>其中：公务用车购置支</w:t>
      </w:r>
      <w:r>
        <w:rPr>
          <w:rFonts w:hint="eastAsia" w:ascii="仿宋_GB2312" w:hAnsi="仿宋_GB2312" w:eastAsia="仿宋_GB2312" w:cs="仿宋_GB2312"/>
          <w:sz w:val="32"/>
          <w:szCs w:val="32"/>
        </w:rPr>
        <w:t>出0</w:t>
      </w:r>
      <w:r>
        <w:rPr>
          <w:rFonts w:hint="eastAsia" w:eastAsia="仿宋_GB2312" w:cs="仿宋_GB2312"/>
          <w:sz w:val="32"/>
          <w:szCs w:val="32"/>
        </w:rPr>
        <w:t>万元。全年按规定更新购置公务用车0辆。截至2024年12月31日，单位共有公务用车7辆，其中：轿车4辆、越野车2辆、载客汽车（食品安全快检车）1辆。</w:t>
      </w:r>
    </w:p>
    <w:p>
      <w:pPr>
        <w:spacing w:line="600" w:lineRule="exact"/>
        <w:ind w:firstLine="640"/>
        <w:rPr>
          <w:rFonts w:eastAsia="仿宋_GB2312" w:cs="仿宋_GB2312"/>
          <w:sz w:val="32"/>
          <w:szCs w:val="32"/>
        </w:rPr>
      </w:pPr>
      <w:r>
        <w:rPr>
          <w:rFonts w:hint="eastAsia" w:eastAsia="仿宋_GB2312" w:cs="仿宋_GB2312"/>
          <w:sz w:val="32"/>
          <w:szCs w:val="32"/>
        </w:rPr>
        <w:t>公务用车运行维护费支</w:t>
      </w:r>
      <w:r>
        <w:rPr>
          <w:rFonts w:hint="eastAsia" w:ascii="仿宋_GB2312" w:hAnsi="仿宋_GB2312" w:eastAsia="仿宋_GB2312" w:cs="仿宋_GB2312"/>
          <w:sz w:val="32"/>
          <w:szCs w:val="32"/>
        </w:rPr>
        <w:t>出3</w:t>
      </w:r>
      <w:r>
        <w:rPr>
          <w:rFonts w:hint="eastAsia" w:eastAsia="仿宋_GB2312" w:cs="仿宋_GB2312"/>
          <w:sz w:val="32"/>
          <w:szCs w:val="32"/>
        </w:rPr>
        <w:t>万元。主要用于市场监管相关的食品、药品、质量、价格、知识产权等监管工作所需的公务用车燃料费、维修费、过路过桥费、保险费等支出。</w:t>
      </w:r>
    </w:p>
    <w:p>
      <w:pPr>
        <w:spacing w:line="600" w:lineRule="exact"/>
        <w:ind w:firstLine="640"/>
        <w:rPr>
          <w:rFonts w:eastAsia="仿宋_GB2312" w:cs="仿宋_GB2312"/>
          <w:sz w:val="32"/>
          <w:szCs w:val="32"/>
        </w:rPr>
      </w:pPr>
      <w:r>
        <w:rPr>
          <w:rFonts w:hint="eastAsia" w:eastAsia="仿宋_GB2312" w:cs="仿宋_GB2312"/>
          <w:b/>
          <w:bCs/>
          <w:sz w:val="32"/>
          <w:szCs w:val="32"/>
        </w:rPr>
        <w:t>3.公务接待费支出</w:t>
      </w:r>
      <w:r>
        <w:rPr>
          <w:rFonts w:hint="eastAsia" w:ascii="仿宋_GB2312" w:hAnsi="仿宋_GB2312" w:eastAsia="仿宋_GB2312" w:cs="仿宋_GB2312"/>
          <w:b/>
          <w:bCs/>
          <w:sz w:val="32"/>
          <w:szCs w:val="32"/>
        </w:rPr>
        <w:t>0.47万</w:t>
      </w:r>
      <w:r>
        <w:rPr>
          <w:rFonts w:hint="eastAsia" w:eastAsia="仿宋_GB2312" w:cs="仿宋_GB2312"/>
          <w:b/>
          <w:bCs/>
          <w:sz w:val="32"/>
          <w:szCs w:val="32"/>
        </w:rPr>
        <w:t>元，完成预算100%。</w:t>
      </w:r>
      <w:r>
        <w:rPr>
          <w:rFonts w:hint="eastAsia" w:eastAsia="仿宋_GB2312" w:cs="仿宋_GB2312"/>
          <w:sz w:val="32"/>
          <w:szCs w:val="32"/>
        </w:rPr>
        <w:t>公务接待费支出决算比2023年度增加0.11万元，增长30.56%。主要原因是公务接待次数增加。其中：</w:t>
      </w:r>
    </w:p>
    <w:p>
      <w:pPr>
        <w:spacing w:line="600" w:lineRule="exact"/>
        <w:ind w:firstLine="640"/>
        <w:rPr>
          <w:rFonts w:eastAsia="仿宋_GB2312" w:cs="仿宋_GB2312"/>
          <w:sz w:val="32"/>
          <w:szCs w:val="32"/>
        </w:rPr>
      </w:pPr>
      <w:r>
        <w:rPr>
          <w:rFonts w:hint="eastAsia" w:eastAsia="仿宋_GB2312" w:cs="仿宋_GB2312"/>
          <w:sz w:val="32"/>
          <w:szCs w:val="32"/>
        </w:rPr>
        <w:t>国内公务接待支</w:t>
      </w:r>
      <w:r>
        <w:rPr>
          <w:rFonts w:hint="eastAsia" w:ascii="仿宋_GB2312" w:hAnsi="仿宋_GB2312" w:eastAsia="仿宋_GB2312" w:cs="仿宋_GB2312"/>
          <w:sz w:val="32"/>
          <w:szCs w:val="32"/>
        </w:rPr>
        <w:t>出0.47万</w:t>
      </w:r>
      <w:r>
        <w:rPr>
          <w:rFonts w:hint="eastAsia" w:eastAsia="仿宋_GB2312" w:cs="仿宋_GB2312"/>
          <w:sz w:val="32"/>
          <w:szCs w:val="32"/>
        </w:rPr>
        <w:t>元，主要用于接待省局</w:t>
      </w:r>
      <w:r>
        <w:rPr>
          <w:rFonts w:eastAsia="仿宋_GB2312" w:cs="仿宋_GB2312"/>
          <w:sz w:val="32"/>
          <w:szCs w:val="32"/>
        </w:rPr>
        <w:t>放心舒心消费环境建设调研、食品生产企业随机交叉检查、2023、</w:t>
      </w:r>
      <w:r>
        <w:rPr>
          <w:rFonts w:hint="eastAsia" w:eastAsia="仿宋_GB2312" w:cs="仿宋_GB2312"/>
          <w:sz w:val="32"/>
          <w:szCs w:val="32"/>
        </w:rPr>
        <w:t>2024</w:t>
      </w:r>
      <w:r>
        <w:rPr>
          <w:rFonts w:eastAsia="仿宋_GB2312" w:cs="仿宋_GB2312"/>
          <w:sz w:val="32"/>
          <w:szCs w:val="32"/>
        </w:rPr>
        <w:t>特种设备证后监督检查、调研组开展农村食品安全治理工作、2024年四川省景区食品安全交叉检查</w:t>
      </w:r>
      <w:r>
        <w:rPr>
          <w:rFonts w:hint="eastAsia" w:eastAsia="仿宋_GB2312" w:cs="仿宋_GB2312"/>
          <w:sz w:val="32"/>
          <w:szCs w:val="32"/>
          <w:lang w:eastAsia="zh-CN"/>
        </w:rPr>
        <w:t>；</w:t>
      </w:r>
      <w:r>
        <w:rPr>
          <w:rFonts w:eastAsia="仿宋_GB2312" w:cs="仿宋_GB2312"/>
          <w:sz w:val="32"/>
          <w:szCs w:val="32"/>
        </w:rPr>
        <w:t>2024年省联合抽查开展学校食品安全</w:t>
      </w:r>
      <w:r>
        <w:rPr>
          <w:rFonts w:hint="eastAsia" w:eastAsia="仿宋_GB2312" w:cs="仿宋_GB2312"/>
          <w:sz w:val="32"/>
          <w:szCs w:val="32"/>
        </w:rPr>
        <w:t>检查等活动开支的用餐费。国内公务接待7批次，71人次，共计支出0.47万元，具体内容包括：</w:t>
      </w:r>
    </w:p>
    <w:p>
      <w:pPr>
        <w:spacing w:line="600" w:lineRule="exact"/>
        <w:ind w:firstLine="640"/>
        <w:rPr>
          <w:rFonts w:eastAsia="仿宋_GB2312" w:cs="仿宋_GB2312"/>
          <w:sz w:val="32"/>
          <w:szCs w:val="32"/>
        </w:rPr>
      </w:pPr>
      <w:r>
        <w:rPr>
          <w:rFonts w:hint="eastAsia" w:eastAsia="仿宋_GB2312" w:cs="仿宋_GB2312"/>
          <w:sz w:val="32"/>
          <w:szCs w:val="32"/>
        </w:rPr>
        <w:t>省局</w:t>
      </w:r>
      <w:r>
        <w:rPr>
          <w:rFonts w:eastAsia="仿宋_GB2312" w:cs="仿宋_GB2312"/>
          <w:sz w:val="32"/>
          <w:szCs w:val="32"/>
        </w:rPr>
        <w:t>放心舒心消费环境建设调研，金额：</w:t>
      </w:r>
      <w:r>
        <w:rPr>
          <w:rFonts w:hint="eastAsia" w:eastAsia="仿宋_GB2312" w:cs="仿宋_GB2312"/>
          <w:sz w:val="32"/>
          <w:szCs w:val="32"/>
        </w:rPr>
        <w:t>757.12元；</w:t>
      </w:r>
    </w:p>
    <w:p>
      <w:pPr>
        <w:spacing w:line="600" w:lineRule="exact"/>
        <w:ind w:firstLine="640"/>
        <w:rPr>
          <w:rFonts w:eastAsia="仿宋_GB2312" w:cs="仿宋_GB2312"/>
          <w:sz w:val="32"/>
          <w:szCs w:val="32"/>
        </w:rPr>
      </w:pPr>
      <w:r>
        <w:rPr>
          <w:rFonts w:eastAsia="仿宋_GB2312" w:cs="仿宋_GB2312"/>
          <w:sz w:val="32"/>
          <w:szCs w:val="32"/>
        </w:rPr>
        <w:t>食品生产企业随机交叉检查，金额：</w:t>
      </w:r>
      <w:r>
        <w:rPr>
          <w:rFonts w:hint="eastAsia" w:eastAsia="仿宋_GB2312" w:cs="仿宋_GB2312"/>
          <w:sz w:val="32"/>
          <w:szCs w:val="32"/>
        </w:rPr>
        <w:t>1080.00元；</w:t>
      </w:r>
    </w:p>
    <w:p>
      <w:pPr>
        <w:spacing w:line="600" w:lineRule="exact"/>
        <w:ind w:firstLine="640"/>
        <w:rPr>
          <w:rFonts w:eastAsia="仿宋_GB2312" w:cs="仿宋_GB2312"/>
          <w:sz w:val="32"/>
          <w:szCs w:val="32"/>
        </w:rPr>
      </w:pPr>
      <w:r>
        <w:rPr>
          <w:rFonts w:hint="eastAsia" w:eastAsia="仿宋_GB2312" w:cs="仿宋_GB2312"/>
          <w:sz w:val="32"/>
          <w:szCs w:val="32"/>
        </w:rPr>
        <w:t>省局2023</w:t>
      </w:r>
      <w:r>
        <w:rPr>
          <w:rFonts w:eastAsia="仿宋_GB2312" w:cs="仿宋_GB2312"/>
          <w:sz w:val="32"/>
          <w:szCs w:val="32"/>
        </w:rPr>
        <w:t>特种设备证后监督检查，金额：</w:t>
      </w:r>
      <w:r>
        <w:rPr>
          <w:rFonts w:hint="eastAsia" w:eastAsia="仿宋_GB2312" w:cs="仿宋_GB2312"/>
          <w:sz w:val="32"/>
          <w:szCs w:val="32"/>
        </w:rPr>
        <w:t>360.00元；</w:t>
      </w:r>
    </w:p>
    <w:p>
      <w:pPr>
        <w:spacing w:line="600" w:lineRule="exact"/>
        <w:ind w:firstLine="640"/>
        <w:rPr>
          <w:rFonts w:eastAsia="仿宋_GB2312" w:cs="仿宋_GB2312"/>
          <w:sz w:val="32"/>
          <w:szCs w:val="32"/>
        </w:rPr>
      </w:pPr>
      <w:r>
        <w:rPr>
          <w:rFonts w:eastAsia="仿宋_GB2312" w:cs="仿宋_GB2312"/>
          <w:sz w:val="32"/>
          <w:szCs w:val="32"/>
        </w:rPr>
        <w:t>省局调研组开展农村食品安全治理工作，金额：</w:t>
      </w:r>
      <w:r>
        <w:rPr>
          <w:rFonts w:hint="eastAsia" w:eastAsia="仿宋_GB2312" w:cs="仿宋_GB2312"/>
          <w:sz w:val="32"/>
          <w:szCs w:val="32"/>
        </w:rPr>
        <w:t>360.00元；</w:t>
      </w:r>
    </w:p>
    <w:p>
      <w:pPr>
        <w:spacing w:line="600" w:lineRule="exact"/>
        <w:ind w:firstLine="640"/>
        <w:rPr>
          <w:rFonts w:eastAsia="仿宋_GB2312" w:cs="仿宋_GB2312"/>
          <w:sz w:val="32"/>
          <w:szCs w:val="32"/>
        </w:rPr>
      </w:pPr>
      <w:r>
        <w:rPr>
          <w:rFonts w:hint="eastAsia" w:eastAsia="仿宋_GB2312" w:cs="仿宋_GB2312"/>
          <w:sz w:val="32"/>
          <w:szCs w:val="32"/>
        </w:rPr>
        <w:t>省局2024</w:t>
      </w:r>
      <w:r>
        <w:rPr>
          <w:rFonts w:eastAsia="仿宋_GB2312" w:cs="仿宋_GB2312"/>
          <w:sz w:val="32"/>
          <w:szCs w:val="32"/>
        </w:rPr>
        <w:t>特种设备证后监督检查，金额：</w:t>
      </w:r>
      <w:r>
        <w:rPr>
          <w:rFonts w:hint="eastAsia" w:eastAsia="仿宋_GB2312" w:cs="仿宋_GB2312"/>
          <w:sz w:val="32"/>
          <w:szCs w:val="32"/>
        </w:rPr>
        <w:t>600.00元；</w:t>
      </w:r>
    </w:p>
    <w:p>
      <w:pPr>
        <w:spacing w:line="600" w:lineRule="exact"/>
        <w:ind w:firstLine="640"/>
        <w:rPr>
          <w:rFonts w:eastAsia="仿宋_GB2312" w:cs="仿宋_GB2312"/>
          <w:sz w:val="32"/>
          <w:szCs w:val="32"/>
        </w:rPr>
      </w:pPr>
      <w:r>
        <w:rPr>
          <w:rFonts w:eastAsia="仿宋_GB2312" w:cs="仿宋_GB2312"/>
          <w:sz w:val="32"/>
          <w:szCs w:val="32"/>
        </w:rPr>
        <w:t>2024年四川省景区食品安全交叉检查，金额</w:t>
      </w:r>
      <w:r>
        <w:rPr>
          <w:rFonts w:hint="eastAsia" w:eastAsia="仿宋_GB2312" w:cs="仿宋_GB2312"/>
          <w:sz w:val="32"/>
          <w:szCs w:val="32"/>
        </w:rPr>
        <w:t>660.00元</w:t>
      </w:r>
      <w:r>
        <w:rPr>
          <w:rFonts w:eastAsia="仿宋_GB2312" w:cs="仿宋_GB2312"/>
          <w:sz w:val="32"/>
          <w:szCs w:val="32"/>
        </w:rPr>
        <w:t>：</w:t>
      </w:r>
    </w:p>
    <w:p>
      <w:pPr>
        <w:spacing w:line="600" w:lineRule="exact"/>
        <w:ind w:firstLine="640"/>
        <w:rPr>
          <w:rFonts w:hint="eastAsia" w:eastAsia="仿宋_GB2312" w:cs="仿宋_GB2312"/>
          <w:sz w:val="32"/>
          <w:szCs w:val="32"/>
        </w:rPr>
      </w:pPr>
      <w:r>
        <w:rPr>
          <w:rFonts w:eastAsia="仿宋_GB2312" w:cs="仿宋_GB2312"/>
          <w:sz w:val="32"/>
          <w:szCs w:val="32"/>
        </w:rPr>
        <w:t>2024年省联合抽查开展学校食品安全</w:t>
      </w:r>
      <w:r>
        <w:rPr>
          <w:rFonts w:hint="eastAsia" w:eastAsia="仿宋_GB2312" w:cs="仿宋_GB2312"/>
          <w:sz w:val="32"/>
          <w:szCs w:val="32"/>
        </w:rPr>
        <w:t>检查，金额：900.00元。</w:t>
      </w:r>
    </w:p>
    <w:p>
      <w:pPr>
        <w:spacing w:line="600" w:lineRule="exact"/>
        <w:ind w:firstLine="640"/>
        <w:rPr>
          <w:rFonts w:hint="eastAsia" w:eastAsia="仿宋_GB2312" w:cs="仿宋_GB2312"/>
          <w:sz w:val="32"/>
          <w:szCs w:val="32"/>
        </w:rPr>
      </w:pPr>
      <w:r>
        <w:rPr>
          <w:rFonts w:hint="eastAsia" w:eastAsia="仿宋_GB2312" w:cs="仿宋_GB2312"/>
          <w:sz w:val="32"/>
          <w:szCs w:val="32"/>
        </w:rPr>
        <w:t>外事接待支出0万元。外事接待0批次，0人次（不包括陪同人员），共计支出0万元。</w:t>
      </w:r>
    </w:p>
    <w:p>
      <w:pPr>
        <w:spacing w:line="600" w:lineRule="exact"/>
        <w:ind w:firstLine="640"/>
        <w:rPr>
          <w:rFonts w:eastAsia="仿宋_GB2312" w:cs="仿宋_GB2312"/>
          <w:sz w:val="32"/>
          <w:szCs w:val="32"/>
        </w:rPr>
      </w:pPr>
      <w:bookmarkStart w:id="42" w:name="_Toc15396610"/>
      <w:bookmarkStart w:id="43" w:name="_Toc15377218"/>
    </w:p>
    <w:p>
      <w:pPr>
        <w:spacing w:line="600" w:lineRule="exact"/>
        <w:ind w:firstLine="640"/>
        <w:outlineLvl w:val="1"/>
        <w:rPr>
          <w:rStyle w:val="30"/>
          <w:rFonts w:ascii="Times New Roman" w:hAnsi="Times New Roman" w:eastAsia="黑体"/>
        </w:rPr>
      </w:pPr>
      <w:r>
        <w:rPr>
          <w:rFonts w:hint="eastAsia" w:eastAsia="黑体"/>
          <w:sz w:val="32"/>
          <w:szCs w:val="32"/>
        </w:rPr>
        <w:t>八、</w:t>
      </w:r>
      <w:r>
        <w:rPr>
          <w:rStyle w:val="30"/>
          <w:rFonts w:hint="eastAsia" w:ascii="Times New Roman" w:hAnsi="Times New Roman" w:eastAsia="黑体"/>
          <w:b w:val="0"/>
        </w:rPr>
        <w:t>政府性基金预算支出决算情况说明</w:t>
      </w:r>
      <w:bookmarkEnd w:id="42"/>
      <w:bookmarkEnd w:id="43"/>
    </w:p>
    <w:p>
      <w:pPr>
        <w:spacing w:line="600" w:lineRule="exact"/>
        <w:ind w:firstLine="640"/>
        <w:rPr>
          <w:rFonts w:eastAsia="仿宋_GB2312" w:cs="仿宋_GB2312"/>
          <w:b/>
          <w:bCs/>
          <w:sz w:val="32"/>
          <w:szCs w:val="32"/>
        </w:rPr>
      </w:pPr>
      <w:r>
        <w:rPr>
          <w:rFonts w:hint="eastAsia" w:ascii="仿宋_GB2312" w:hAnsi="仿宋_GB2312" w:eastAsia="仿宋_GB2312" w:cs="仿宋_GB2312"/>
          <w:sz w:val="32"/>
          <w:szCs w:val="32"/>
        </w:rPr>
        <w:t>2024年度政府性基金预算财政拨款支出0万元，占本年支出合计的0%</w:t>
      </w:r>
      <w:r>
        <w:rPr>
          <w:rFonts w:hint="eastAsia" w:eastAsia="仿宋_GB2312" w:cs="仿宋_GB2312"/>
          <w:sz w:val="32"/>
          <w:szCs w:val="32"/>
        </w:rPr>
        <w:t>。与2023年度持平。</w:t>
      </w:r>
    </w:p>
    <w:p>
      <w:pPr>
        <w:spacing w:line="600" w:lineRule="exact"/>
        <w:ind w:firstLine="640"/>
        <w:rPr>
          <w:rFonts w:eastAsia="仿宋_GB2312" w:cs="仿宋_GB2312"/>
          <w:sz w:val="32"/>
          <w:szCs w:val="32"/>
        </w:rPr>
      </w:pPr>
    </w:p>
    <w:p>
      <w:pPr>
        <w:spacing w:line="600" w:lineRule="exact"/>
        <w:ind w:left="630"/>
        <w:outlineLvl w:val="1"/>
        <w:rPr>
          <w:rStyle w:val="30"/>
          <w:rFonts w:ascii="Times New Roman" w:hAnsi="Times New Roman" w:eastAsia="黑体"/>
          <w:b w:val="0"/>
        </w:rPr>
      </w:pPr>
      <w:bookmarkStart w:id="44" w:name="_Toc15396611"/>
      <w:bookmarkStart w:id="45" w:name="_Toc15377219"/>
      <w:r>
        <w:rPr>
          <w:rStyle w:val="30"/>
          <w:rFonts w:hint="eastAsia" w:ascii="Times New Roman" w:hAnsi="Times New Roman" w:eastAsia="黑体"/>
          <w:b w:val="0"/>
        </w:rPr>
        <w:t>九、国有资本经营预算支出决算情况说明</w:t>
      </w:r>
      <w:bookmarkEnd w:id="44"/>
      <w:bookmarkEnd w:id="45"/>
    </w:p>
    <w:p>
      <w:pPr>
        <w:spacing w:line="600" w:lineRule="exact"/>
        <w:ind w:firstLine="640"/>
        <w:rPr>
          <w:rFonts w:eastAsia="仿宋_GB2312" w:cs="仿宋_GB2312"/>
          <w:b/>
          <w:bCs/>
          <w:sz w:val="32"/>
          <w:szCs w:val="32"/>
        </w:rPr>
      </w:pPr>
      <w:r>
        <w:rPr>
          <w:rFonts w:hint="eastAsia" w:eastAsia="仿宋_GB2312" w:cs="仿宋_GB2312"/>
          <w:sz w:val="32"/>
          <w:szCs w:val="32"/>
        </w:rPr>
        <w:t>2024年度国有资本经营预算财政拨款支出</w:t>
      </w:r>
      <w:r>
        <w:rPr>
          <w:rFonts w:hint="eastAsia" w:ascii="仿宋_GB2312" w:hAnsi="仿宋_GB2312" w:eastAsia="仿宋_GB2312" w:cs="仿宋_GB2312"/>
          <w:sz w:val="32"/>
          <w:szCs w:val="32"/>
        </w:rPr>
        <w:t>0万元，占本年支出合计的0%</w:t>
      </w:r>
      <w:r>
        <w:rPr>
          <w:rFonts w:hint="eastAsia" w:eastAsia="仿宋_GB2312" w:cs="仿宋_GB2312"/>
          <w:sz w:val="32"/>
          <w:szCs w:val="32"/>
        </w:rPr>
        <w:t>。与2023年度持平。</w:t>
      </w:r>
    </w:p>
    <w:p>
      <w:pPr>
        <w:spacing w:line="600" w:lineRule="exact"/>
        <w:ind w:firstLine="640"/>
        <w:rPr>
          <w:rFonts w:eastAsia="仿宋_GB2312" w:cs="仿宋_GB2312"/>
          <w:sz w:val="32"/>
          <w:szCs w:val="32"/>
        </w:rPr>
      </w:pPr>
    </w:p>
    <w:p>
      <w:pPr>
        <w:spacing w:line="600" w:lineRule="exact"/>
        <w:ind w:left="630"/>
        <w:outlineLvl w:val="1"/>
        <w:rPr>
          <w:rStyle w:val="30"/>
          <w:rFonts w:ascii="Times New Roman" w:hAnsi="Times New Roman" w:eastAsia="黑体"/>
          <w:b w:val="0"/>
        </w:rPr>
      </w:pPr>
      <w:bookmarkStart w:id="46" w:name="_Toc15396612"/>
      <w:bookmarkStart w:id="47" w:name="_Toc15377221"/>
      <w:r>
        <w:rPr>
          <w:rStyle w:val="30"/>
          <w:rFonts w:hint="eastAsia" w:ascii="Times New Roman" w:hAnsi="Times New Roman" w:eastAsia="黑体"/>
          <w:b w:val="0"/>
        </w:rPr>
        <w:t>十、其他重要事项的情况说明</w:t>
      </w:r>
      <w:bookmarkEnd w:id="46"/>
      <w:bookmarkEnd w:id="47"/>
    </w:p>
    <w:p>
      <w:pPr>
        <w:spacing w:line="600" w:lineRule="exact"/>
        <w:ind w:firstLine="643" w:firstLineChars="200"/>
        <w:outlineLvl w:val="2"/>
        <w:rPr>
          <w:rFonts w:eastAsia="楷体_GB2312" w:cs="楷体_GB2312"/>
          <w:b/>
          <w:sz w:val="32"/>
          <w:szCs w:val="32"/>
        </w:rPr>
      </w:pPr>
      <w:bookmarkStart w:id="48" w:name="_Toc15377222"/>
      <w:r>
        <w:rPr>
          <w:rFonts w:hint="eastAsia" w:eastAsia="楷体_GB2312" w:cs="楷体_GB2312"/>
          <w:b/>
          <w:sz w:val="32"/>
          <w:szCs w:val="32"/>
        </w:rPr>
        <w:t>（一）机关运行经费支出情况</w:t>
      </w:r>
      <w:bookmarkEnd w:id="48"/>
    </w:p>
    <w:p>
      <w:pPr>
        <w:spacing w:line="600" w:lineRule="exact"/>
        <w:ind w:firstLine="640"/>
        <w:rPr>
          <w:rFonts w:eastAsia="仿宋_GB2312" w:cs="仿宋_GB2312"/>
          <w:sz w:val="32"/>
          <w:szCs w:val="32"/>
        </w:rPr>
      </w:pPr>
      <w:r>
        <w:rPr>
          <w:rFonts w:hint="eastAsia" w:eastAsia="仿宋_GB2312" w:cs="仿宋_GB2312"/>
          <w:sz w:val="32"/>
          <w:szCs w:val="32"/>
        </w:rPr>
        <w:t>2024年度</w:t>
      </w:r>
      <w:r>
        <w:rPr>
          <w:rFonts w:hint="eastAsia" w:ascii="仿宋_GB2312" w:hAnsi="仿宋_GB2312" w:eastAsia="仿宋_GB2312" w:cs="仿宋_GB2312"/>
          <w:sz w:val="32"/>
          <w:szCs w:val="32"/>
        </w:rPr>
        <w:t>，盐边县市场监督管理局机关运行经费支出149.43万</w:t>
      </w:r>
      <w:r>
        <w:rPr>
          <w:rFonts w:hint="eastAsia" w:eastAsia="仿宋_GB2312" w:cs="仿宋_GB2312"/>
          <w:sz w:val="32"/>
          <w:szCs w:val="32"/>
        </w:rPr>
        <w:t>元，比2023年度减少9.89万元，下降6.21%。主要原因是未开展春雷行动，差旅费减少。</w:t>
      </w:r>
    </w:p>
    <w:p>
      <w:pPr>
        <w:spacing w:line="600" w:lineRule="exact"/>
        <w:ind w:firstLine="643" w:firstLineChars="200"/>
        <w:outlineLvl w:val="2"/>
        <w:rPr>
          <w:rFonts w:eastAsia="楷体_GB2312" w:cs="楷体_GB2312"/>
          <w:b/>
          <w:sz w:val="32"/>
          <w:szCs w:val="32"/>
        </w:rPr>
      </w:pPr>
      <w:bookmarkStart w:id="49" w:name="_Toc15377223"/>
      <w:r>
        <w:rPr>
          <w:rFonts w:hint="eastAsia" w:eastAsia="楷体_GB2312" w:cs="楷体_GB2312"/>
          <w:b/>
          <w:sz w:val="32"/>
          <w:szCs w:val="32"/>
        </w:rPr>
        <w:t>（二）政府采购支出情况</w:t>
      </w:r>
      <w:bookmarkEnd w:id="49"/>
    </w:p>
    <w:p>
      <w:pPr>
        <w:spacing w:line="600" w:lineRule="exact"/>
        <w:ind w:firstLine="640"/>
        <w:rPr>
          <w:rFonts w:eastAsia="仿宋_GB2312" w:cs="仿宋_GB2312"/>
          <w:sz w:val="32"/>
          <w:szCs w:val="32"/>
        </w:rPr>
      </w:pPr>
      <w:r>
        <w:rPr>
          <w:rFonts w:hint="eastAsia" w:ascii="仿宋_GB2312" w:hAnsi="仿宋_GB2312" w:eastAsia="仿宋_GB2312" w:cs="仿宋_GB2312"/>
          <w:sz w:val="32"/>
          <w:szCs w:val="32"/>
        </w:rPr>
        <w:t>2024年度，盐边县市场监督管理局政府采购支出总额13.68万元，其中：政府采购货物支出13.57万元、政府采购工程支出0万元、政府采购服务支出0.11万元。主要用于办公电脑更换及车辆加油。授予中小企业合同金额13.68万元，占政府采购支出总额的100%，其中：授予小微企业合同金额13.57万元，占政府采购支出总额的99.2%。</w:t>
      </w:r>
    </w:p>
    <w:p>
      <w:pPr>
        <w:spacing w:line="600" w:lineRule="exact"/>
        <w:ind w:firstLine="643" w:firstLineChars="200"/>
        <w:outlineLvl w:val="2"/>
        <w:rPr>
          <w:rFonts w:eastAsia="楷体_GB2312" w:cs="楷体_GB2312"/>
          <w:b/>
          <w:sz w:val="32"/>
          <w:szCs w:val="32"/>
        </w:rPr>
      </w:pPr>
      <w:bookmarkStart w:id="50" w:name="_Toc15377224"/>
      <w:r>
        <w:rPr>
          <w:rFonts w:hint="eastAsia" w:eastAsia="楷体_GB2312" w:cs="楷体_GB2312"/>
          <w:b/>
          <w:sz w:val="32"/>
          <w:szCs w:val="32"/>
        </w:rPr>
        <w:t>（三）国有资产占有使用情况</w:t>
      </w:r>
      <w:bookmarkEnd w:id="50"/>
    </w:p>
    <w:p>
      <w:pPr>
        <w:spacing w:line="600" w:lineRule="exact"/>
        <w:ind w:firstLine="640"/>
        <w:rPr>
          <w:rFonts w:eastAsia="仿宋_GB2312" w:cs="仿宋_GB2312"/>
          <w:sz w:val="32"/>
          <w:szCs w:val="32"/>
        </w:rPr>
      </w:pPr>
      <w:r>
        <w:rPr>
          <w:rFonts w:hint="eastAsia" w:ascii="仿宋_GB2312" w:hAnsi="仿宋_GB2312" w:eastAsia="仿宋_GB2312" w:cs="仿宋_GB2312"/>
          <w:sz w:val="32"/>
          <w:szCs w:val="32"/>
        </w:rPr>
        <w:t>截至2024年12月31日，盐边县市场监督管理局共有车辆7辆，其中：一般执法执勤用车5辆，执法执勤特专车2辆，非执法执勤特种专业技术用车1辆。单价100万元（含）以上设备（不含车辆）0台（套）</w:t>
      </w:r>
      <w:r>
        <w:rPr>
          <w:rFonts w:hint="eastAsia" w:eastAsia="仿宋_GB2312" w:cs="仿宋_GB2312"/>
          <w:sz w:val="32"/>
          <w:szCs w:val="32"/>
        </w:rPr>
        <w:t>。</w:t>
      </w:r>
    </w:p>
    <w:p>
      <w:pPr>
        <w:spacing w:line="600" w:lineRule="exact"/>
        <w:ind w:firstLine="643" w:firstLineChars="200"/>
        <w:outlineLvl w:val="2"/>
        <w:rPr>
          <w:rFonts w:eastAsia="楷体_GB2312" w:cs="楷体_GB2312"/>
          <w:b/>
          <w:sz w:val="32"/>
          <w:szCs w:val="32"/>
        </w:rPr>
      </w:pPr>
      <w:r>
        <w:rPr>
          <w:rFonts w:hint="eastAsia" w:eastAsia="楷体_GB2312" w:cs="楷体_GB2312"/>
          <w:b/>
          <w:sz w:val="32"/>
          <w:szCs w:val="32"/>
        </w:rPr>
        <w:t>（四）预算绩效管理情况</w:t>
      </w:r>
    </w:p>
    <w:p>
      <w:pPr>
        <w:spacing w:line="600" w:lineRule="exact"/>
        <w:ind w:firstLine="640"/>
        <w:rPr>
          <w:rFonts w:eastAsia="仿宋_GB2312" w:cs="仿宋_GB2312"/>
          <w:sz w:val="32"/>
          <w:szCs w:val="32"/>
        </w:rPr>
      </w:pPr>
      <w:r>
        <w:rPr>
          <w:rFonts w:hint="eastAsia" w:eastAsia="仿宋_GB2312" w:cs="仿宋_GB2312"/>
          <w:sz w:val="32"/>
          <w:szCs w:val="32"/>
        </w:rPr>
        <w:t>根据预算绩效管理要求，盐边县市场监督管理局在2024年度预算编制阶段，组织对食品、药品、重点产（商）品抽检等6个项目开展了预算事前绩效评估，对9个项目编制了绩效目标，预算执行过程中，选取9个项目开展绩效监控。</w:t>
      </w:r>
    </w:p>
    <w:p>
      <w:pPr>
        <w:spacing w:line="600" w:lineRule="exact"/>
        <w:ind w:firstLine="640"/>
        <w:rPr>
          <w:rFonts w:eastAsia="仿宋_GB2312" w:cs="仿宋_GB2312"/>
          <w:sz w:val="32"/>
          <w:szCs w:val="32"/>
        </w:rPr>
      </w:pPr>
      <w:r>
        <w:rPr>
          <w:rFonts w:hint="eastAsia" w:eastAsia="仿宋_GB2312" w:cs="仿宋_GB2312"/>
          <w:sz w:val="32"/>
          <w:szCs w:val="32"/>
        </w:rPr>
        <w:t>组织对2024年度一般公共预算资金等全面开展绩效自评，形成盐边县市场监督管理部门整体（含部门预算项目）绩效自评报告、2024年食品安全监督抽检、2024年药品监督抽检、2024年重点产（商）品及地理标志产品监督抽检、创建国家食品安全示范城市和省级食品安全示范县专项、2024年购买台式水压泵检定设备专项、2024年通用办公设备采购、2023年“个转企”财政激励资金、迎接国家卫生县复审专项经费、2024年农贸市场优化提升项目、有机产品认证奖补资金、电动汽车充电枪计量检定专项资金、渔门市场监管所办公用房租赁项目、盐边县市场监督管理局（所）“两化”建设、省级财政知识产权专项资金等专项预算项目绩效自评报告，其中，盐边县市场监督管理局部门整体（含部门预算项目）绩效自评得分为</w:t>
      </w:r>
      <w:r>
        <w:rPr>
          <w:rFonts w:hint="eastAsia" w:eastAsia="仿宋_GB2312" w:cs="仿宋_GB2312"/>
          <w:color w:val="auto"/>
          <w:sz w:val="32"/>
          <w:szCs w:val="32"/>
        </w:rPr>
        <w:t>100分；盐边县市场监督管理局专项预算项目绩效自评得分为100分。</w:t>
      </w:r>
      <w:r>
        <w:rPr>
          <w:rFonts w:hint="eastAsia" w:eastAsia="仿宋_GB2312" w:cs="仿宋_GB2312"/>
          <w:sz w:val="32"/>
          <w:szCs w:val="32"/>
        </w:rPr>
        <w:t>绩效自评报告详见附件。</w:t>
      </w:r>
    </w:p>
    <w:p>
      <w:pPr>
        <w:spacing w:line="600" w:lineRule="exact"/>
        <w:ind w:firstLine="640"/>
        <w:rPr>
          <w:rFonts w:eastAsia="仿宋_GB2312" w:cs="仿宋_GB2312"/>
          <w:sz w:val="32"/>
          <w:szCs w:val="32"/>
        </w:rPr>
      </w:pPr>
    </w:p>
    <w:p>
      <w:pPr>
        <w:pStyle w:val="10"/>
        <w:rPr>
          <w:rFonts w:eastAsia="仿宋_GB2312" w:cs="仿宋_GB2312"/>
          <w:sz w:val="32"/>
          <w:szCs w:val="32"/>
        </w:rPr>
      </w:pPr>
    </w:p>
    <w:p>
      <w:pPr>
        <w:pStyle w:val="10"/>
        <w:rPr>
          <w:rFonts w:eastAsia="仿宋_GB2312" w:cs="仿宋_GB2312"/>
          <w:sz w:val="32"/>
          <w:szCs w:val="32"/>
        </w:rPr>
      </w:pPr>
    </w:p>
    <w:p>
      <w:pPr>
        <w:pStyle w:val="10"/>
        <w:rPr>
          <w:rFonts w:eastAsia="仿宋_GB2312" w:cs="仿宋_GB2312"/>
          <w:sz w:val="32"/>
          <w:szCs w:val="32"/>
        </w:rPr>
      </w:pPr>
    </w:p>
    <w:p>
      <w:pPr>
        <w:pStyle w:val="10"/>
        <w:rPr>
          <w:rFonts w:eastAsia="仿宋_GB2312" w:cs="仿宋_GB2312"/>
          <w:sz w:val="32"/>
          <w:szCs w:val="32"/>
        </w:rPr>
      </w:pPr>
    </w:p>
    <w:p>
      <w:pPr>
        <w:pStyle w:val="10"/>
        <w:rPr>
          <w:rFonts w:eastAsia="仿宋_GB2312" w:cs="仿宋_GB2312"/>
          <w:sz w:val="32"/>
          <w:szCs w:val="32"/>
        </w:rPr>
      </w:pPr>
    </w:p>
    <w:p>
      <w:pPr>
        <w:pStyle w:val="10"/>
        <w:rPr>
          <w:rFonts w:eastAsia="仿宋_GB2312" w:cs="仿宋_GB2312"/>
          <w:sz w:val="32"/>
          <w:szCs w:val="32"/>
        </w:rPr>
      </w:pPr>
    </w:p>
    <w:p>
      <w:pPr>
        <w:pStyle w:val="10"/>
        <w:rPr>
          <w:rFonts w:eastAsia="仿宋_GB2312" w:cs="仿宋_GB2312"/>
          <w:sz w:val="32"/>
          <w:szCs w:val="32"/>
        </w:rPr>
      </w:pPr>
    </w:p>
    <w:p>
      <w:pPr>
        <w:pStyle w:val="10"/>
        <w:rPr>
          <w:rFonts w:eastAsia="仿宋_GB2312" w:cs="仿宋_GB2312"/>
          <w:sz w:val="32"/>
          <w:szCs w:val="32"/>
        </w:rPr>
      </w:pPr>
    </w:p>
    <w:p>
      <w:pPr>
        <w:pStyle w:val="10"/>
        <w:rPr>
          <w:rFonts w:eastAsia="仿宋_GB2312" w:cs="仿宋_GB2312"/>
          <w:sz w:val="32"/>
          <w:szCs w:val="32"/>
        </w:rPr>
      </w:pPr>
    </w:p>
    <w:p>
      <w:pPr>
        <w:pStyle w:val="10"/>
        <w:rPr>
          <w:rFonts w:eastAsia="仿宋_GB2312" w:cs="仿宋_GB2312"/>
          <w:sz w:val="32"/>
          <w:szCs w:val="32"/>
        </w:rPr>
      </w:pPr>
    </w:p>
    <w:p>
      <w:pPr>
        <w:pStyle w:val="10"/>
        <w:rPr>
          <w:rFonts w:eastAsia="仿宋_GB2312" w:cs="仿宋_GB2312"/>
          <w:sz w:val="32"/>
          <w:szCs w:val="32"/>
        </w:rPr>
      </w:pPr>
    </w:p>
    <w:p>
      <w:pPr>
        <w:pStyle w:val="10"/>
        <w:rPr>
          <w:rFonts w:eastAsia="仿宋_GB2312" w:cs="仿宋_GB2312"/>
          <w:sz w:val="32"/>
          <w:szCs w:val="32"/>
        </w:rPr>
      </w:pPr>
    </w:p>
    <w:p>
      <w:pPr>
        <w:pStyle w:val="10"/>
        <w:rPr>
          <w:rFonts w:eastAsia="仿宋_GB2312" w:cs="仿宋_GB2312"/>
          <w:sz w:val="32"/>
          <w:szCs w:val="32"/>
        </w:rPr>
      </w:pPr>
    </w:p>
    <w:p>
      <w:pPr>
        <w:pStyle w:val="10"/>
        <w:rPr>
          <w:rFonts w:eastAsia="仿宋_GB2312" w:cs="仿宋_GB2312"/>
          <w:sz w:val="32"/>
          <w:szCs w:val="32"/>
        </w:rPr>
      </w:pPr>
    </w:p>
    <w:p>
      <w:pPr>
        <w:pStyle w:val="10"/>
        <w:rPr>
          <w:rFonts w:eastAsia="仿宋_GB2312" w:cs="仿宋_GB2312"/>
          <w:sz w:val="32"/>
          <w:szCs w:val="32"/>
        </w:rPr>
      </w:pPr>
    </w:p>
    <w:p>
      <w:pPr>
        <w:spacing w:line="600" w:lineRule="exact"/>
        <w:jc w:val="center"/>
        <w:outlineLvl w:val="0"/>
        <w:rPr>
          <w:rFonts w:eastAsia="黑体"/>
          <w:sz w:val="44"/>
          <w:szCs w:val="44"/>
        </w:rPr>
      </w:pPr>
      <w:bookmarkStart w:id="51" w:name="_Toc15396613"/>
      <w:bookmarkStart w:id="52" w:name="_Toc15377225"/>
      <w:r>
        <w:rPr>
          <w:rFonts w:hint="eastAsia" w:eastAsia="黑体"/>
          <w:sz w:val="44"/>
          <w:szCs w:val="44"/>
        </w:rPr>
        <w:t>第三部分  名词解释</w:t>
      </w:r>
      <w:bookmarkEnd w:id="51"/>
      <w:bookmarkEnd w:id="52"/>
    </w:p>
    <w:p>
      <w:pPr>
        <w:spacing w:line="600" w:lineRule="exact"/>
        <w:jc w:val="left"/>
        <w:rPr>
          <w:b/>
          <w:sz w:val="44"/>
          <w:szCs w:val="44"/>
        </w:rPr>
      </w:pPr>
    </w:p>
    <w:p>
      <w:pPr>
        <w:spacing w:line="600" w:lineRule="exact"/>
        <w:ind w:firstLine="640"/>
        <w:rPr>
          <w:rFonts w:eastAsia="仿宋_GB2312" w:cs="仿宋_GB2312"/>
          <w:sz w:val="32"/>
          <w:szCs w:val="32"/>
        </w:rPr>
      </w:pPr>
      <w:r>
        <w:rPr>
          <w:rFonts w:hint="eastAsia" w:eastAsia="仿宋_GB2312" w:cs="仿宋_GB2312"/>
          <w:sz w:val="32"/>
          <w:szCs w:val="32"/>
        </w:rPr>
        <w:t>1.财政拨款收入：指单位从同级财政部门取得的财政预算资金。</w:t>
      </w:r>
    </w:p>
    <w:p>
      <w:pPr>
        <w:spacing w:line="600" w:lineRule="exact"/>
        <w:ind w:firstLine="640"/>
        <w:rPr>
          <w:rFonts w:eastAsia="仿宋_GB2312" w:cs="仿宋_GB2312"/>
          <w:sz w:val="32"/>
          <w:szCs w:val="32"/>
        </w:rPr>
      </w:pPr>
      <w:r>
        <w:rPr>
          <w:rFonts w:hint="eastAsia" w:eastAsia="仿宋_GB2312" w:cs="仿宋_GB2312"/>
          <w:sz w:val="32"/>
          <w:szCs w:val="32"/>
        </w:rPr>
        <w:t>2.事业收入：指事业单位开展专业业务活动及辅助活动取得的收入。</w:t>
      </w:r>
    </w:p>
    <w:p>
      <w:pPr>
        <w:spacing w:line="600" w:lineRule="exact"/>
        <w:ind w:firstLine="640"/>
        <w:rPr>
          <w:rFonts w:eastAsia="仿宋_GB2312" w:cs="仿宋_GB2312"/>
          <w:sz w:val="32"/>
          <w:szCs w:val="32"/>
        </w:rPr>
      </w:pPr>
      <w:r>
        <w:rPr>
          <w:rFonts w:hint="eastAsia" w:eastAsia="仿宋_GB2312" w:cs="仿宋_GB2312"/>
          <w:sz w:val="32"/>
          <w:szCs w:val="32"/>
        </w:rPr>
        <w:t>3.经营收入：指事业单位在专业业务活动及其辅助活动之外开展非独立核算经营活动取得的收入。</w:t>
      </w:r>
    </w:p>
    <w:p>
      <w:pPr>
        <w:spacing w:line="600" w:lineRule="exact"/>
        <w:ind w:firstLine="640"/>
        <w:rPr>
          <w:rFonts w:eastAsia="仿宋_GB2312" w:cs="仿宋_GB2312"/>
          <w:sz w:val="32"/>
          <w:szCs w:val="32"/>
        </w:rPr>
      </w:pPr>
      <w:r>
        <w:rPr>
          <w:rFonts w:hint="eastAsia" w:eastAsia="仿宋_GB2312" w:cs="仿宋_GB2312"/>
          <w:sz w:val="32"/>
          <w:szCs w:val="32"/>
        </w:rPr>
        <w:t>4.其他收入：指单位取得的除上述收入以外的各项收入。</w:t>
      </w:r>
    </w:p>
    <w:p>
      <w:pPr>
        <w:spacing w:line="600" w:lineRule="exact"/>
        <w:ind w:firstLine="640"/>
        <w:rPr>
          <w:rFonts w:hint="eastAsia" w:eastAsia="仿宋_GB2312" w:cs="仿宋_GB2312"/>
          <w:sz w:val="32"/>
          <w:szCs w:val="32"/>
        </w:rPr>
      </w:pPr>
      <w:r>
        <w:rPr>
          <w:rFonts w:hint="eastAsia" w:eastAsia="仿宋_GB2312" w:cs="仿宋_GB2312"/>
          <w:sz w:val="32"/>
          <w:szCs w:val="32"/>
        </w:rPr>
        <w:t>5.使用非财政拨款结余（含专用结余）：指事业单位使用以前年度积累的非财政拨款结余弥补当年收支差额的金额。</w:t>
      </w:r>
    </w:p>
    <w:p>
      <w:pPr>
        <w:spacing w:line="600" w:lineRule="exact"/>
        <w:ind w:firstLine="640"/>
        <w:rPr>
          <w:rFonts w:hint="eastAsia" w:eastAsia="仿宋_GB2312" w:cs="仿宋_GB2312"/>
          <w:sz w:val="32"/>
          <w:szCs w:val="32"/>
        </w:rPr>
      </w:pPr>
      <w:r>
        <w:rPr>
          <w:rFonts w:hint="eastAsia" w:eastAsia="仿宋_GB2312" w:cs="仿宋_GB2312"/>
          <w:sz w:val="32"/>
          <w:szCs w:val="32"/>
        </w:rPr>
        <w:t xml:space="preserve">6.年初结转和结余：指以前年度尚未完成、结转到本年按有关规定继续使用的资金。 </w:t>
      </w:r>
    </w:p>
    <w:p>
      <w:pPr>
        <w:spacing w:line="600" w:lineRule="exact"/>
        <w:ind w:firstLine="640"/>
        <w:rPr>
          <w:rFonts w:hint="eastAsia" w:eastAsia="仿宋_GB2312" w:cs="仿宋_GB2312"/>
          <w:sz w:val="32"/>
          <w:szCs w:val="32"/>
        </w:rPr>
      </w:pPr>
      <w:r>
        <w:rPr>
          <w:rFonts w:hint="eastAsia" w:eastAsia="仿宋_GB2312" w:cs="仿宋_GB2312"/>
          <w:sz w:val="32"/>
          <w:szCs w:val="32"/>
        </w:rPr>
        <w:t>7.结余分配：指事业单位按照会计制度规定缴纳的所得税、提取的专用结余以及转入非财政拨款结余的金额等。</w:t>
      </w:r>
    </w:p>
    <w:p>
      <w:pPr>
        <w:spacing w:line="600" w:lineRule="exact"/>
        <w:ind w:firstLine="640"/>
        <w:rPr>
          <w:rFonts w:hint="eastAsia" w:eastAsia="仿宋_GB2312" w:cs="仿宋_GB2312"/>
          <w:sz w:val="32"/>
          <w:szCs w:val="32"/>
        </w:rPr>
      </w:pPr>
      <w:r>
        <w:rPr>
          <w:rFonts w:hint="eastAsia" w:eastAsia="仿宋_GB2312" w:cs="仿宋_GB2312"/>
          <w:sz w:val="32"/>
          <w:szCs w:val="32"/>
        </w:rPr>
        <w:t>8.年末结转和结余：指单位按有关规定结转到下年或以后年度继续使用的资金。</w:t>
      </w:r>
    </w:p>
    <w:p>
      <w:pPr>
        <w:spacing w:line="600" w:lineRule="exact"/>
        <w:ind w:firstLine="640"/>
        <w:rPr>
          <w:rFonts w:hint="eastAsia" w:eastAsia="仿宋_GB2312" w:cs="仿宋_GB2312"/>
          <w:sz w:val="32"/>
          <w:szCs w:val="32"/>
        </w:rPr>
      </w:pPr>
      <w:r>
        <w:rPr>
          <w:rFonts w:hint="eastAsia" w:eastAsia="仿宋_GB2312" w:cs="仿宋_GB2312"/>
          <w:sz w:val="32"/>
          <w:szCs w:val="32"/>
        </w:rPr>
        <w:t>9.一般公共服务（201类）宣传事务（33款）行政运行（01项）：指反映行政单位（包括实行公务员管理的事业单位）的基本支出</w:t>
      </w:r>
    </w:p>
    <w:p>
      <w:pPr>
        <w:spacing w:line="600" w:lineRule="exact"/>
        <w:ind w:firstLine="640"/>
        <w:rPr>
          <w:rFonts w:eastAsia="仿宋_GB2312"/>
          <w:kern w:val="0"/>
          <w:sz w:val="32"/>
          <w:szCs w:val="32"/>
        </w:rPr>
      </w:pPr>
      <w:r>
        <w:rPr>
          <w:rFonts w:hint="eastAsia" w:eastAsia="仿宋_GB2312" w:cs="仿宋_GB2312"/>
          <w:sz w:val="32"/>
          <w:szCs w:val="32"/>
        </w:rPr>
        <w:t>10.一般公共服务（201类）市场监督管理事务（38款）</w:t>
      </w:r>
      <w:r>
        <w:rPr>
          <w:rFonts w:eastAsia="仿宋_GB2312"/>
          <w:kern w:val="0"/>
          <w:sz w:val="32"/>
          <w:szCs w:val="32"/>
        </w:rPr>
        <w:t>行政运行（01项）</w:t>
      </w:r>
      <w:r>
        <w:rPr>
          <w:rFonts w:hint="eastAsia" w:eastAsia="仿宋_GB2312"/>
          <w:kern w:val="0"/>
          <w:sz w:val="32"/>
          <w:szCs w:val="32"/>
          <w:lang w:eastAsia="zh-CN"/>
        </w:rPr>
        <w:t>：</w:t>
      </w:r>
      <w:r>
        <w:rPr>
          <w:rFonts w:eastAsia="仿宋_GB2312"/>
          <w:kern w:val="0"/>
          <w:sz w:val="32"/>
          <w:szCs w:val="32"/>
        </w:rPr>
        <w:t>指反映行政单位（包括实行公务员管理的事业单位）的基本支出</w:t>
      </w:r>
    </w:p>
    <w:p>
      <w:pPr>
        <w:spacing w:line="600" w:lineRule="exact"/>
        <w:ind w:firstLine="640" w:firstLineChars="200"/>
        <w:rPr>
          <w:rFonts w:eastAsia="仿宋_GB2312"/>
          <w:kern w:val="0"/>
          <w:sz w:val="32"/>
          <w:szCs w:val="32"/>
        </w:rPr>
      </w:pPr>
      <w:r>
        <w:rPr>
          <w:rFonts w:eastAsia="仿宋_GB2312"/>
          <w:kern w:val="0"/>
          <w:sz w:val="32"/>
          <w:szCs w:val="32"/>
        </w:rPr>
        <w:t>1</w:t>
      </w:r>
      <w:r>
        <w:rPr>
          <w:rFonts w:hint="eastAsia" w:eastAsia="仿宋_GB2312"/>
          <w:kern w:val="0"/>
          <w:sz w:val="32"/>
          <w:szCs w:val="32"/>
        </w:rPr>
        <w:t>1</w:t>
      </w:r>
      <w:r>
        <w:rPr>
          <w:rFonts w:eastAsia="仿宋_GB2312"/>
          <w:kern w:val="0"/>
          <w:sz w:val="32"/>
          <w:szCs w:val="32"/>
        </w:rPr>
        <w:t>.一般公共服务（201类）市场监督管理事务（38款）市场秩序执法（05项）</w:t>
      </w:r>
      <w:r>
        <w:rPr>
          <w:rFonts w:hint="eastAsia" w:eastAsia="仿宋_GB2312"/>
          <w:kern w:val="0"/>
          <w:sz w:val="32"/>
          <w:szCs w:val="32"/>
          <w:lang w:eastAsia="zh-CN"/>
        </w:rPr>
        <w:t>：</w:t>
      </w:r>
      <w:r>
        <w:rPr>
          <w:rFonts w:eastAsia="仿宋_GB2312"/>
          <w:kern w:val="0"/>
          <w:sz w:val="32"/>
          <w:szCs w:val="32"/>
        </w:rPr>
        <w:t>指反映反垄断、价格监督、反不正当竞争、规范直销与打击传销、网络交易监管、广告监管、消费者权益保护、综合执法等市场秩序执法专项工作支出。</w:t>
      </w:r>
    </w:p>
    <w:p>
      <w:pPr>
        <w:spacing w:line="600" w:lineRule="exact"/>
        <w:ind w:firstLine="640" w:firstLineChars="200"/>
        <w:rPr>
          <w:rFonts w:eastAsia="仿宋_GB2312"/>
          <w:kern w:val="0"/>
          <w:sz w:val="32"/>
          <w:szCs w:val="32"/>
        </w:rPr>
      </w:pPr>
      <w:r>
        <w:rPr>
          <w:rFonts w:eastAsia="仿宋_GB2312"/>
          <w:kern w:val="0"/>
          <w:sz w:val="32"/>
          <w:szCs w:val="32"/>
        </w:rPr>
        <w:t>1</w:t>
      </w:r>
      <w:r>
        <w:rPr>
          <w:rFonts w:hint="eastAsia" w:eastAsia="仿宋_GB2312"/>
          <w:kern w:val="0"/>
          <w:sz w:val="32"/>
          <w:szCs w:val="32"/>
        </w:rPr>
        <w:t>2</w:t>
      </w:r>
      <w:r>
        <w:rPr>
          <w:rFonts w:eastAsia="仿宋_GB2312"/>
          <w:kern w:val="0"/>
          <w:sz w:val="32"/>
          <w:szCs w:val="32"/>
        </w:rPr>
        <w:t>.一般公共服务（201类）市场监督管理事务（38款）药品事务（12项）</w:t>
      </w:r>
      <w:r>
        <w:rPr>
          <w:rFonts w:hint="eastAsia" w:eastAsia="仿宋_GB2312"/>
          <w:kern w:val="0"/>
          <w:sz w:val="32"/>
          <w:szCs w:val="32"/>
          <w:lang w:eastAsia="zh-CN"/>
        </w:rPr>
        <w:t>：</w:t>
      </w:r>
      <w:r>
        <w:rPr>
          <w:rFonts w:eastAsia="仿宋_GB2312"/>
          <w:kern w:val="0"/>
          <w:sz w:val="32"/>
          <w:szCs w:val="32"/>
        </w:rPr>
        <w:t>指反映用于药品（含中药、民族药）监督管理方面的支出。</w:t>
      </w:r>
    </w:p>
    <w:p>
      <w:pPr>
        <w:spacing w:line="600" w:lineRule="exact"/>
        <w:ind w:firstLine="640" w:firstLineChars="200"/>
        <w:rPr>
          <w:rFonts w:eastAsia="仿宋_GB2312"/>
          <w:kern w:val="0"/>
          <w:sz w:val="32"/>
          <w:szCs w:val="32"/>
        </w:rPr>
      </w:pPr>
      <w:r>
        <w:rPr>
          <w:rFonts w:eastAsia="仿宋_GB2312"/>
          <w:kern w:val="0"/>
          <w:sz w:val="32"/>
          <w:szCs w:val="32"/>
        </w:rPr>
        <w:t>1</w:t>
      </w:r>
      <w:r>
        <w:rPr>
          <w:rFonts w:hint="eastAsia" w:eastAsia="仿宋_GB2312"/>
          <w:kern w:val="0"/>
          <w:sz w:val="32"/>
          <w:szCs w:val="32"/>
        </w:rPr>
        <w:t>3</w:t>
      </w:r>
      <w:r>
        <w:rPr>
          <w:rFonts w:eastAsia="仿宋_GB2312"/>
          <w:kern w:val="0"/>
          <w:sz w:val="32"/>
          <w:szCs w:val="32"/>
        </w:rPr>
        <w:t>.一般公共服务（201类）市场监督管理事务（38款）质量安全监管（15项）</w:t>
      </w:r>
      <w:r>
        <w:rPr>
          <w:rFonts w:hint="eastAsia" w:eastAsia="仿宋_GB2312"/>
          <w:kern w:val="0"/>
          <w:sz w:val="32"/>
          <w:szCs w:val="32"/>
          <w:lang w:eastAsia="zh-CN"/>
        </w:rPr>
        <w:t>：</w:t>
      </w:r>
      <w:r>
        <w:rPr>
          <w:rFonts w:eastAsia="仿宋_GB2312"/>
          <w:kern w:val="0"/>
          <w:sz w:val="32"/>
          <w:szCs w:val="32"/>
        </w:rPr>
        <w:t>指反映产品质量安全监管、特种设备安全监管等质量监管专项工作支出。</w:t>
      </w:r>
    </w:p>
    <w:p>
      <w:pPr>
        <w:spacing w:line="600" w:lineRule="exact"/>
        <w:ind w:firstLine="640" w:firstLineChars="200"/>
        <w:rPr>
          <w:rFonts w:eastAsia="仿宋_GB2312"/>
          <w:kern w:val="0"/>
          <w:sz w:val="32"/>
          <w:szCs w:val="32"/>
        </w:rPr>
      </w:pPr>
      <w:r>
        <w:rPr>
          <w:rFonts w:eastAsia="仿宋_GB2312"/>
          <w:kern w:val="0"/>
          <w:sz w:val="32"/>
          <w:szCs w:val="32"/>
        </w:rPr>
        <w:t>1</w:t>
      </w:r>
      <w:r>
        <w:rPr>
          <w:rFonts w:hint="eastAsia" w:eastAsia="仿宋_GB2312"/>
          <w:kern w:val="0"/>
          <w:sz w:val="32"/>
          <w:szCs w:val="32"/>
        </w:rPr>
        <w:t>4</w:t>
      </w:r>
      <w:r>
        <w:rPr>
          <w:rFonts w:eastAsia="仿宋_GB2312"/>
          <w:kern w:val="0"/>
          <w:sz w:val="32"/>
          <w:szCs w:val="32"/>
        </w:rPr>
        <w:t>.一般公共服务（201类）市场监督管理事务（38款）食品安全监管（16项）</w:t>
      </w:r>
      <w:r>
        <w:rPr>
          <w:rFonts w:hint="eastAsia" w:eastAsia="仿宋_GB2312"/>
          <w:kern w:val="0"/>
          <w:sz w:val="32"/>
          <w:szCs w:val="32"/>
          <w:lang w:eastAsia="zh-CN"/>
        </w:rPr>
        <w:t>：</w:t>
      </w:r>
      <w:r>
        <w:rPr>
          <w:rFonts w:eastAsia="仿宋_GB2312"/>
          <w:kern w:val="0"/>
          <w:sz w:val="32"/>
          <w:szCs w:val="32"/>
        </w:rPr>
        <w:t>指反映食品安全监管等专项工作支出。</w:t>
      </w:r>
    </w:p>
    <w:p>
      <w:pPr>
        <w:spacing w:line="600" w:lineRule="exact"/>
        <w:ind w:firstLine="640" w:firstLineChars="200"/>
        <w:rPr>
          <w:rFonts w:eastAsia="仿宋_GB2312"/>
          <w:kern w:val="0"/>
          <w:sz w:val="32"/>
          <w:szCs w:val="32"/>
        </w:rPr>
      </w:pPr>
      <w:r>
        <w:rPr>
          <w:rFonts w:eastAsia="仿宋_GB2312"/>
          <w:kern w:val="0"/>
          <w:sz w:val="32"/>
          <w:szCs w:val="32"/>
        </w:rPr>
        <w:t>1</w:t>
      </w:r>
      <w:r>
        <w:rPr>
          <w:rFonts w:hint="eastAsia" w:eastAsia="仿宋_GB2312"/>
          <w:kern w:val="0"/>
          <w:sz w:val="32"/>
          <w:szCs w:val="32"/>
        </w:rPr>
        <w:t>5</w:t>
      </w:r>
      <w:r>
        <w:rPr>
          <w:rFonts w:eastAsia="仿宋_GB2312"/>
          <w:kern w:val="0"/>
          <w:sz w:val="32"/>
          <w:szCs w:val="32"/>
        </w:rPr>
        <w:t>.一般公共服务（201类）市场监督管理事务（38款）事业运行（50项）</w:t>
      </w:r>
      <w:r>
        <w:rPr>
          <w:rFonts w:hint="eastAsia" w:eastAsia="仿宋_GB2312"/>
          <w:kern w:val="0"/>
          <w:sz w:val="32"/>
          <w:szCs w:val="32"/>
          <w:lang w:eastAsia="zh-CN"/>
        </w:rPr>
        <w:t>：</w:t>
      </w:r>
      <w:r>
        <w:rPr>
          <w:rFonts w:eastAsia="仿宋_GB2312"/>
          <w:kern w:val="0"/>
          <w:sz w:val="32"/>
          <w:szCs w:val="32"/>
        </w:rPr>
        <w:t>指反映事业单位的基本支出，不包括行政单位（包括实行公务员管理的事业单位）后勤服务中心、医务室等附属事业单位。</w:t>
      </w:r>
    </w:p>
    <w:p>
      <w:pPr>
        <w:spacing w:line="600" w:lineRule="exact"/>
        <w:ind w:firstLine="640" w:firstLineChars="200"/>
        <w:rPr>
          <w:rFonts w:eastAsia="仿宋_GB2312"/>
          <w:kern w:val="0"/>
          <w:sz w:val="32"/>
          <w:szCs w:val="32"/>
        </w:rPr>
      </w:pPr>
      <w:r>
        <w:rPr>
          <w:rFonts w:eastAsia="仿宋_GB2312"/>
          <w:kern w:val="0"/>
          <w:sz w:val="32"/>
          <w:szCs w:val="32"/>
        </w:rPr>
        <w:t>1</w:t>
      </w:r>
      <w:r>
        <w:rPr>
          <w:rFonts w:hint="eastAsia" w:eastAsia="仿宋_GB2312"/>
          <w:kern w:val="0"/>
          <w:sz w:val="32"/>
          <w:szCs w:val="32"/>
        </w:rPr>
        <w:t>6</w:t>
      </w:r>
      <w:r>
        <w:rPr>
          <w:rFonts w:eastAsia="仿宋_GB2312"/>
          <w:kern w:val="0"/>
          <w:sz w:val="32"/>
          <w:szCs w:val="32"/>
        </w:rPr>
        <w:t>.一般公共服务（201类）市场监督管理事务（38款）其他市场监督管理事务（99项）</w:t>
      </w:r>
      <w:r>
        <w:rPr>
          <w:rFonts w:hint="eastAsia" w:eastAsia="仿宋_GB2312"/>
          <w:kern w:val="0"/>
          <w:sz w:val="32"/>
          <w:szCs w:val="32"/>
          <w:lang w:eastAsia="zh-CN"/>
        </w:rPr>
        <w:t>：</w:t>
      </w:r>
      <w:r>
        <w:rPr>
          <w:rFonts w:eastAsia="仿宋_GB2312"/>
          <w:kern w:val="0"/>
          <w:sz w:val="32"/>
          <w:szCs w:val="32"/>
        </w:rPr>
        <w:t xml:space="preserve"> 指反映用于除上述项目以外其他市场监督管理事务方面的支出。</w:t>
      </w:r>
    </w:p>
    <w:p>
      <w:pPr>
        <w:ind w:firstLine="640" w:firstLineChars="200"/>
        <w:rPr>
          <w:rFonts w:eastAsia="仿宋_GB2312"/>
          <w:sz w:val="32"/>
          <w:szCs w:val="32"/>
        </w:rPr>
      </w:pPr>
      <w:r>
        <w:rPr>
          <w:rFonts w:eastAsia="仿宋_GB2312"/>
          <w:sz w:val="32"/>
          <w:szCs w:val="32"/>
        </w:rPr>
        <w:t>1</w:t>
      </w:r>
      <w:r>
        <w:rPr>
          <w:rFonts w:hint="eastAsia" w:eastAsia="仿宋_GB2312"/>
          <w:sz w:val="32"/>
          <w:szCs w:val="32"/>
        </w:rPr>
        <w:t>7</w:t>
      </w:r>
      <w:r>
        <w:rPr>
          <w:rFonts w:eastAsia="仿宋_GB2312"/>
          <w:sz w:val="32"/>
          <w:szCs w:val="32"/>
        </w:rPr>
        <w:t>.社会保障和就业（208类）</w:t>
      </w:r>
      <w:r>
        <w:rPr>
          <w:rFonts w:eastAsia="仿宋_GB2312"/>
          <w:color w:val="000000"/>
          <w:sz w:val="32"/>
          <w:szCs w:val="32"/>
        </w:rPr>
        <w:t>行政事业单位养老支出</w:t>
      </w:r>
      <w:r>
        <w:rPr>
          <w:rFonts w:eastAsia="仿宋_GB2312"/>
          <w:sz w:val="32"/>
          <w:szCs w:val="32"/>
        </w:rPr>
        <w:t>（05款）</w:t>
      </w:r>
      <w:r>
        <w:rPr>
          <w:rFonts w:eastAsia="仿宋_GB2312"/>
          <w:color w:val="000000"/>
          <w:sz w:val="32"/>
          <w:szCs w:val="32"/>
        </w:rPr>
        <w:t>行政单位离退休</w:t>
      </w:r>
      <w:r>
        <w:rPr>
          <w:rFonts w:eastAsia="仿宋_GB2312"/>
          <w:sz w:val="32"/>
          <w:szCs w:val="32"/>
        </w:rPr>
        <w:t>（01项）：</w:t>
      </w:r>
      <w:r>
        <w:rPr>
          <w:rFonts w:eastAsia="仿宋_GB2312"/>
          <w:color w:val="000000"/>
          <w:sz w:val="32"/>
          <w:szCs w:val="32"/>
        </w:rPr>
        <w:t>指行政单位（包括实行公务员管理的事业单位）开支的离退休经费</w:t>
      </w:r>
      <w:r>
        <w:rPr>
          <w:rFonts w:eastAsia="仿宋_GB2312"/>
          <w:sz w:val="32"/>
          <w:szCs w:val="32"/>
        </w:rPr>
        <w:t>。</w:t>
      </w:r>
    </w:p>
    <w:p>
      <w:pPr>
        <w:spacing w:line="600" w:lineRule="exact"/>
        <w:ind w:firstLine="640"/>
        <w:rPr>
          <w:rFonts w:eastAsia="仿宋_GB2312"/>
          <w:color w:val="000000"/>
          <w:sz w:val="32"/>
          <w:szCs w:val="32"/>
        </w:rPr>
      </w:pPr>
      <w:r>
        <w:rPr>
          <w:rFonts w:eastAsia="仿宋_GB2312"/>
          <w:color w:val="000000"/>
          <w:sz w:val="32"/>
          <w:szCs w:val="32"/>
        </w:rPr>
        <w:t>1</w:t>
      </w:r>
      <w:r>
        <w:rPr>
          <w:rFonts w:hint="eastAsia" w:eastAsia="仿宋_GB2312"/>
          <w:color w:val="000000"/>
          <w:sz w:val="32"/>
          <w:szCs w:val="32"/>
        </w:rPr>
        <w:t>8</w:t>
      </w:r>
      <w:r>
        <w:rPr>
          <w:rFonts w:eastAsia="仿宋_GB2312"/>
          <w:color w:val="000000"/>
          <w:sz w:val="32"/>
          <w:szCs w:val="32"/>
        </w:rPr>
        <w:t>.社会保障和就业（208类）行政事业单位养老支出（05款）事业单位离退休（02项）：指事业单位开支的离退休经费。</w:t>
      </w:r>
    </w:p>
    <w:p>
      <w:pPr>
        <w:spacing w:line="600" w:lineRule="exact"/>
        <w:ind w:firstLine="640"/>
        <w:rPr>
          <w:rFonts w:eastAsia="仿宋_GB2312"/>
          <w:color w:val="000000"/>
          <w:sz w:val="32"/>
          <w:szCs w:val="32"/>
        </w:rPr>
      </w:pPr>
      <w:r>
        <w:rPr>
          <w:rFonts w:eastAsia="仿宋_GB2312"/>
          <w:color w:val="000000"/>
          <w:sz w:val="32"/>
          <w:szCs w:val="32"/>
        </w:rPr>
        <w:t>1</w:t>
      </w:r>
      <w:r>
        <w:rPr>
          <w:rFonts w:hint="eastAsia" w:eastAsia="仿宋_GB2312"/>
          <w:color w:val="000000"/>
          <w:sz w:val="32"/>
          <w:szCs w:val="32"/>
        </w:rPr>
        <w:t>9</w:t>
      </w:r>
      <w:r>
        <w:rPr>
          <w:rFonts w:eastAsia="仿宋_GB2312"/>
          <w:color w:val="000000"/>
          <w:sz w:val="32"/>
          <w:szCs w:val="32"/>
        </w:rPr>
        <w:t>.社会保障和就业（208类）行政事业单位养老支出（05款）机关事业单位基本养老保险缴费支出（05项）：指机关事业单位实施养老保险制度由单位缴纳的基本养老保险费支出。</w:t>
      </w:r>
    </w:p>
    <w:p>
      <w:pPr>
        <w:spacing w:line="600" w:lineRule="exact"/>
        <w:ind w:firstLine="640"/>
        <w:rPr>
          <w:rFonts w:eastAsia="仿宋_GB2312"/>
          <w:color w:val="000000"/>
          <w:sz w:val="32"/>
          <w:szCs w:val="32"/>
        </w:rPr>
      </w:pPr>
      <w:r>
        <w:rPr>
          <w:rFonts w:hint="eastAsia" w:eastAsia="仿宋_GB2312"/>
          <w:color w:val="000000"/>
          <w:sz w:val="32"/>
          <w:szCs w:val="32"/>
        </w:rPr>
        <w:t>20</w:t>
      </w:r>
      <w:r>
        <w:rPr>
          <w:rFonts w:eastAsia="仿宋_GB2312"/>
          <w:color w:val="000000"/>
          <w:sz w:val="32"/>
          <w:szCs w:val="32"/>
        </w:rPr>
        <w:t>. 社会保障和就业（208类）行政事业单位养老支出（05款）机关事业单位职业年金缴费支出（06项）：指机关事业单位实施养老保险制度由单位缴纳的职业年金支出（含职业</w:t>
      </w:r>
      <w:r>
        <w:rPr>
          <w:rFonts w:hint="eastAsia" w:eastAsia="仿宋_GB2312"/>
          <w:color w:val="000000"/>
          <w:sz w:val="32"/>
          <w:szCs w:val="32"/>
          <w:lang w:eastAsia="zh-CN"/>
        </w:rPr>
        <w:t>年金</w:t>
      </w:r>
      <w:r>
        <w:rPr>
          <w:rFonts w:eastAsia="仿宋_GB2312"/>
          <w:color w:val="000000"/>
          <w:sz w:val="32"/>
          <w:szCs w:val="32"/>
        </w:rPr>
        <w:t>补记支出）。</w:t>
      </w:r>
    </w:p>
    <w:p>
      <w:pPr>
        <w:spacing w:line="600" w:lineRule="exact"/>
        <w:ind w:firstLine="640"/>
        <w:rPr>
          <w:rFonts w:eastAsia="仿宋_GB2312"/>
          <w:color w:val="000000"/>
          <w:sz w:val="32"/>
          <w:szCs w:val="32"/>
        </w:rPr>
      </w:pPr>
      <w:r>
        <w:rPr>
          <w:rFonts w:eastAsia="仿宋_GB2312"/>
          <w:color w:val="000000"/>
          <w:sz w:val="32"/>
          <w:szCs w:val="32"/>
        </w:rPr>
        <w:t>2</w:t>
      </w:r>
      <w:r>
        <w:rPr>
          <w:rFonts w:hint="eastAsia" w:eastAsia="仿宋_GB2312"/>
          <w:color w:val="000000"/>
          <w:sz w:val="32"/>
          <w:szCs w:val="32"/>
        </w:rPr>
        <w:t>1</w:t>
      </w:r>
      <w:r>
        <w:rPr>
          <w:rFonts w:eastAsia="仿宋_GB2312"/>
          <w:color w:val="000000"/>
          <w:sz w:val="32"/>
          <w:szCs w:val="32"/>
        </w:rPr>
        <w:t>.社会保障和就业支出（208类）抚恤（08款）死亡抚恤（0</w:t>
      </w:r>
      <w:r>
        <w:rPr>
          <w:rFonts w:hint="eastAsia" w:eastAsia="仿宋_GB2312"/>
          <w:color w:val="000000"/>
          <w:sz w:val="32"/>
          <w:szCs w:val="32"/>
        </w:rPr>
        <w:t>2</w:t>
      </w:r>
      <w:r>
        <w:rPr>
          <w:rFonts w:eastAsia="仿宋_GB2312"/>
          <w:color w:val="000000"/>
          <w:sz w:val="32"/>
          <w:szCs w:val="32"/>
        </w:rPr>
        <w:t>项）</w:t>
      </w:r>
      <w:r>
        <w:rPr>
          <w:rFonts w:hint="eastAsia" w:eastAsia="仿宋_GB2312"/>
          <w:color w:val="000000"/>
          <w:sz w:val="32"/>
          <w:szCs w:val="32"/>
          <w:lang w:eastAsia="zh-CN"/>
        </w:rPr>
        <w:t>：</w:t>
      </w:r>
      <w:r>
        <w:rPr>
          <w:rFonts w:eastAsia="仿宋_GB2312"/>
          <w:color w:val="000000"/>
          <w:sz w:val="32"/>
          <w:szCs w:val="32"/>
        </w:rPr>
        <w:t>指按规定用于伤残人员的抚恤金和按规定开支的各种伤残补助费。</w:t>
      </w:r>
    </w:p>
    <w:p>
      <w:pPr>
        <w:spacing w:line="600" w:lineRule="exact"/>
        <w:ind w:firstLine="640"/>
        <w:rPr>
          <w:rFonts w:eastAsia="仿宋_GB2312"/>
          <w:color w:val="000000"/>
          <w:sz w:val="32"/>
          <w:szCs w:val="32"/>
        </w:rPr>
      </w:pPr>
      <w:r>
        <w:rPr>
          <w:rFonts w:eastAsia="仿宋_GB2312"/>
          <w:color w:val="000000"/>
          <w:sz w:val="32"/>
          <w:szCs w:val="32"/>
        </w:rPr>
        <w:t>2</w:t>
      </w:r>
      <w:r>
        <w:rPr>
          <w:rFonts w:hint="eastAsia" w:eastAsia="仿宋_GB2312"/>
          <w:color w:val="000000"/>
          <w:sz w:val="32"/>
          <w:szCs w:val="32"/>
        </w:rPr>
        <w:t>2</w:t>
      </w:r>
      <w:r>
        <w:rPr>
          <w:rFonts w:eastAsia="仿宋_GB2312"/>
          <w:color w:val="000000"/>
          <w:sz w:val="32"/>
          <w:szCs w:val="32"/>
        </w:rPr>
        <w:t>.卫生健康（210类）行政事业单位医疗（11款）行政单位医疗（01项）：指财政部门安排的行政单位（包括实行公务员管理的事业单位）基本医疗保险缴费经费，未参加医疗保险的行政单位的公费医疗经费，按国家规定享受离休人员、红军老战士待遇人员的医疗经费。</w:t>
      </w:r>
    </w:p>
    <w:p>
      <w:pPr>
        <w:spacing w:line="600" w:lineRule="exact"/>
        <w:ind w:firstLine="640"/>
        <w:rPr>
          <w:rFonts w:eastAsia="仿宋_GB2312"/>
          <w:color w:val="000000"/>
          <w:sz w:val="32"/>
          <w:szCs w:val="32"/>
        </w:rPr>
      </w:pPr>
      <w:r>
        <w:rPr>
          <w:rFonts w:eastAsia="仿宋_GB2312"/>
          <w:color w:val="000000"/>
          <w:sz w:val="32"/>
          <w:szCs w:val="32"/>
        </w:rPr>
        <w:t>2</w:t>
      </w:r>
      <w:r>
        <w:rPr>
          <w:rFonts w:hint="eastAsia" w:eastAsia="仿宋_GB2312"/>
          <w:color w:val="000000"/>
          <w:sz w:val="32"/>
          <w:szCs w:val="32"/>
        </w:rPr>
        <w:t>3</w:t>
      </w:r>
      <w:r>
        <w:rPr>
          <w:rFonts w:eastAsia="仿宋_GB2312"/>
          <w:color w:val="000000"/>
          <w:sz w:val="32"/>
          <w:szCs w:val="32"/>
        </w:rPr>
        <w:t>.卫生健康（210类）行政事业单位医疗（11款）事业单位医疗（02项）：指财政部门安排的事业单位基本医疗保险缴费经费，未参加医疗保险的事业单位的公费医疗经费，按国家规定享受离休人员待遇人员的医疗经费。</w:t>
      </w:r>
    </w:p>
    <w:p>
      <w:pPr>
        <w:spacing w:line="600" w:lineRule="exact"/>
        <w:ind w:firstLine="640"/>
        <w:rPr>
          <w:rFonts w:eastAsia="仿宋_GB2312"/>
          <w:color w:val="000000"/>
          <w:sz w:val="32"/>
          <w:szCs w:val="32"/>
        </w:rPr>
      </w:pPr>
      <w:r>
        <w:rPr>
          <w:rFonts w:eastAsia="仿宋_GB2312"/>
          <w:color w:val="000000"/>
          <w:sz w:val="32"/>
          <w:szCs w:val="32"/>
        </w:rPr>
        <w:t>2</w:t>
      </w:r>
      <w:r>
        <w:rPr>
          <w:rFonts w:hint="eastAsia" w:eastAsia="仿宋_GB2312"/>
          <w:color w:val="000000"/>
          <w:sz w:val="32"/>
          <w:szCs w:val="32"/>
        </w:rPr>
        <w:t>4</w:t>
      </w:r>
      <w:r>
        <w:rPr>
          <w:rFonts w:eastAsia="仿宋_GB2312"/>
          <w:color w:val="000000"/>
          <w:sz w:val="32"/>
          <w:szCs w:val="32"/>
        </w:rPr>
        <w:t>.卫生健康（210类）行政事业单位医疗（11款）公务员医疗补助（03项）：指财政部门安排的公务员医疗补助经费。</w:t>
      </w:r>
    </w:p>
    <w:p>
      <w:pPr>
        <w:spacing w:line="600" w:lineRule="exact"/>
        <w:ind w:firstLine="640"/>
        <w:rPr>
          <w:rFonts w:eastAsia="仿宋_GB2312"/>
          <w:color w:val="000000"/>
          <w:sz w:val="32"/>
          <w:szCs w:val="32"/>
        </w:rPr>
      </w:pPr>
      <w:r>
        <w:rPr>
          <w:rFonts w:eastAsia="仿宋_GB2312"/>
          <w:color w:val="000000"/>
          <w:sz w:val="32"/>
          <w:szCs w:val="32"/>
        </w:rPr>
        <w:t>2</w:t>
      </w:r>
      <w:r>
        <w:rPr>
          <w:rFonts w:hint="eastAsia" w:eastAsia="仿宋_GB2312"/>
          <w:color w:val="000000"/>
          <w:sz w:val="32"/>
          <w:szCs w:val="32"/>
        </w:rPr>
        <w:t>5</w:t>
      </w:r>
      <w:r>
        <w:rPr>
          <w:rFonts w:eastAsia="仿宋_GB2312"/>
          <w:color w:val="000000"/>
          <w:sz w:val="32"/>
          <w:szCs w:val="32"/>
        </w:rPr>
        <w:t>.卫生健康（210类）行政事业单位医疗（11款）其他行政事业单位医疗支出（99项）：其他用于行政事业单位医疗方面的支出。</w:t>
      </w:r>
    </w:p>
    <w:p>
      <w:pPr>
        <w:spacing w:line="600" w:lineRule="exact"/>
        <w:ind w:firstLine="640"/>
        <w:rPr>
          <w:rFonts w:eastAsia="仿宋_GB2312"/>
          <w:color w:val="000000"/>
          <w:sz w:val="32"/>
          <w:szCs w:val="32"/>
        </w:rPr>
      </w:pPr>
      <w:r>
        <w:rPr>
          <w:rFonts w:hint="eastAsia" w:eastAsia="仿宋_GB2312"/>
          <w:color w:val="000000"/>
          <w:sz w:val="32"/>
          <w:szCs w:val="32"/>
        </w:rPr>
        <w:t>26.</w:t>
      </w:r>
      <w:r>
        <w:rPr>
          <w:rFonts w:eastAsia="仿宋_GB2312"/>
          <w:color w:val="000000"/>
          <w:sz w:val="32"/>
          <w:szCs w:val="32"/>
        </w:rPr>
        <w:t>卫生健康（210类）</w:t>
      </w:r>
      <w:r>
        <w:rPr>
          <w:rFonts w:hint="eastAsia" w:eastAsia="仿宋_GB2312"/>
          <w:color w:val="000000"/>
          <w:sz w:val="32"/>
          <w:szCs w:val="32"/>
        </w:rPr>
        <w:t>其他</w:t>
      </w:r>
      <w:r>
        <w:rPr>
          <w:rFonts w:eastAsia="仿宋_GB2312"/>
          <w:color w:val="000000"/>
          <w:sz w:val="32"/>
          <w:szCs w:val="32"/>
        </w:rPr>
        <w:t>卫生健康支出（</w:t>
      </w:r>
      <w:r>
        <w:rPr>
          <w:rFonts w:hint="eastAsia" w:eastAsia="仿宋_GB2312"/>
          <w:color w:val="000000"/>
          <w:sz w:val="32"/>
          <w:szCs w:val="32"/>
        </w:rPr>
        <w:t>99</w:t>
      </w:r>
      <w:r>
        <w:rPr>
          <w:rFonts w:eastAsia="仿宋_GB2312"/>
          <w:color w:val="000000"/>
          <w:sz w:val="32"/>
          <w:szCs w:val="32"/>
        </w:rPr>
        <w:t>款）</w:t>
      </w:r>
      <w:r>
        <w:rPr>
          <w:rFonts w:hint="eastAsia" w:eastAsia="仿宋_GB2312"/>
          <w:color w:val="000000"/>
          <w:sz w:val="32"/>
          <w:szCs w:val="32"/>
        </w:rPr>
        <w:t>其他</w:t>
      </w:r>
      <w:r>
        <w:rPr>
          <w:rFonts w:eastAsia="仿宋_GB2312"/>
          <w:color w:val="000000"/>
          <w:sz w:val="32"/>
          <w:szCs w:val="32"/>
        </w:rPr>
        <w:t>卫生健康支出（99项）：其他用于</w:t>
      </w:r>
      <w:r>
        <w:rPr>
          <w:rFonts w:hint="eastAsia" w:eastAsia="仿宋_GB2312"/>
          <w:color w:val="000000"/>
          <w:sz w:val="32"/>
          <w:szCs w:val="32"/>
        </w:rPr>
        <w:t>卫生</w:t>
      </w:r>
      <w:r>
        <w:rPr>
          <w:rFonts w:eastAsia="仿宋_GB2312"/>
          <w:color w:val="000000"/>
          <w:sz w:val="32"/>
          <w:szCs w:val="32"/>
        </w:rPr>
        <w:t>健康方面的支出</w:t>
      </w:r>
    </w:p>
    <w:p>
      <w:pPr>
        <w:spacing w:line="600" w:lineRule="exact"/>
        <w:ind w:firstLine="640"/>
      </w:pPr>
      <w:r>
        <w:rPr>
          <w:rFonts w:eastAsia="仿宋_GB2312"/>
          <w:color w:val="000000"/>
          <w:sz w:val="32"/>
          <w:szCs w:val="32"/>
        </w:rPr>
        <w:t>2</w:t>
      </w:r>
      <w:r>
        <w:rPr>
          <w:rFonts w:hint="eastAsia" w:eastAsia="仿宋_GB2312"/>
          <w:color w:val="000000"/>
          <w:sz w:val="32"/>
          <w:szCs w:val="32"/>
        </w:rPr>
        <w:t>7</w:t>
      </w:r>
      <w:r>
        <w:rPr>
          <w:rFonts w:eastAsia="仿宋_GB2312"/>
          <w:color w:val="000000"/>
          <w:sz w:val="32"/>
          <w:szCs w:val="32"/>
        </w:rPr>
        <w:t>.住房保障支出（221类）住房改革支出（02款）住房公积金（01项）：指行政事业单位按人力资源和社会保障部、财政部规定的基本工资和津贴补贴以及规定比例为职工缴纳的住房公积金。</w:t>
      </w:r>
    </w:p>
    <w:p>
      <w:pPr>
        <w:spacing w:line="600" w:lineRule="exact"/>
        <w:ind w:firstLine="640"/>
        <w:rPr>
          <w:rFonts w:eastAsia="仿宋_GB2312" w:cs="仿宋_GB2312"/>
          <w:sz w:val="32"/>
          <w:szCs w:val="32"/>
        </w:rPr>
      </w:pPr>
      <w:r>
        <w:rPr>
          <w:rFonts w:hint="eastAsia" w:eastAsia="仿宋_GB2312" w:cs="仿宋_GB2312"/>
          <w:sz w:val="32"/>
          <w:szCs w:val="32"/>
        </w:rPr>
        <w:t>28.基本支出：指为保障机构正常运转、完成日常工作任务而发生的人员支出和公用支出。</w:t>
      </w:r>
    </w:p>
    <w:p>
      <w:pPr>
        <w:spacing w:line="600" w:lineRule="exact"/>
        <w:ind w:firstLine="640"/>
        <w:rPr>
          <w:rFonts w:eastAsia="仿宋_GB2312" w:cs="仿宋_GB2312"/>
          <w:sz w:val="32"/>
          <w:szCs w:val="32"/>
        </w:rPr>
      </w:pPr>
      <w:r>
        <w:rPr>
          <w:rFonts w:hint="eastAsia" w:eastAsia="仿宋_GB2312" w:cs="仿宋_GB2312"/>
          <w:sz w:val="32"/>
          <w:szCs w:val="32"/>
        </w:rPr>
        <w:t xml:space="preserve">29.项目支出：指在基本支出之外为完成特定行政任务和事业发展目标所发生的支出。 </w:t>
      </w:r>
    </w:p>
    <w:p>
      <w:pPr>
        <w:spacing w:line="600" w:lineRule="exact"/>
        <w:ind w:firstLine="640"/>
        <w:rPr>
          <w:rFonts w:eastAsia="仿宋_GB2312" w:cs="仿宋_GB2312"/>
          <w:sz w:val="32"/>
          <w:szCs w:val="32"/>
        </w:rPr>
      </w:pPr>
      <w:r>
        <w:rPr>
          <w:rFonts w:hint="eastAsia" w:eastAsia="仿宋_GB2312" w:cs="仿宋_GB2312"/>
          <w:sz w:val="32"/>
          <w:szCs w:val="32"/>
        </w:rPr>
        <w:t>30.“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spacing w:line="600" w:lineRule="exact"/>
        <w:ind w:firstLine="640"/>
        <w:rPr>
          <w:rFonts w:eastAsia="仿宋_GB2312" w:cs="仿宋_GB2312"/>
          <w:sz w:val="32"/>
          <w:szCs w:val="32"/>
        </w:rPr>
      </w:pPr>
      <w:r>
        <w:rPr>
          <w:rFonts w:hint="eastAsia" w:eastAsia="仿宋_GB2312" w:cs="仿宋_GB2312"/>
          <w:sz w:val="32"/>
          <w:szCs w:val="32"/>
        </w:rPr>
        <w:t>31.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jc w:val="center"/>
        <w:rPr>
          <w:rStyle w:val="29"/>
          <w:rFonts w:eastAsia="黑体"/>
          <w:b w:val="0"/>
        </w:rPr>
      </w:pPr>
      <w:bookmarkStart w:id="53" w:name="_Toc15377226"/>
      <w:r>
        <w:rPr>
          <w:rFonts w:hint="eastAsia" w:eastAsia="仿宋_GB2312" w:cs="仿宋_GB2312"/>
          <w:sz w:val="32"/>
          <w:szCs w:val="32"/>
        </w:rPr>
        <w:br w:type="page"/>
      </w:r>
      <w:bookmarkStart w:id="54" w:name="_Toc15396614"/>
      <w:r>
        <w:rPr>
          <w:rFonts w:hint="eastAsia" w:eastAsia="黑体"/>
          <w:sz w:val="44"/>
          <w:szCs w:val="44"/>
        </w:rPr>
        <w:t>第四部分  附件</w:t>
      </w:r>
      <w:bookmarkEnd w:id="54"/>
    </w:p>
    <w:p>
      <w:pPr>
        <w:spacing w:line="572" w:lineRule="exact"/>
        <w:jc w:val="left"/>
        <w:outlineLvl w:val="0"/>
        <w:rPr>
          <w:rFonts w:eastAsia="黑体" w:cs="黑体"/>
          <w:color w:val="FF0000"/>
          <w:sz w:val="32"/>
          <w:szCs w:val="32"/>
        </w:rPr>
      </w:pPr>
    </w:p>
    <w:p>
      <w:pPr>
        <w:spacing w:line="572" w:lineRule="exact"/>
        <w:jc w:val="left"/>
        <w:outlineLvl w:val="0"/>
        <w:rPr>
          <w:rFonts w:eastAsia="黑体" w:cs="方正小标宋简体"/>
          <w:sz w:val="44"/>
          <w:szCs w:val="44"/>
        </w:rPr>
      </w:pPr>
      <w:r>
        <w:rPr>
          <w:rFonts w:hint="eastAsia" w:eastAsia="黑体" w:cs="黑体"/>
          <w:sz w:val="32"/>
          <w:szCs w:val="32"/>
        </w:rPr>
        <w:t>附件1</w:t>
      </w:r>
    </w:p>
    <w:p>
      <w:pPr>
        <w:widowControl/>
        <w:spacing w:line="578" w:lineRule="exact"/>
        <w:contextualSpacing/>
        <w:jc w:val="center"/>
        <w:rPr>
          <w:rFonts w:eastAsia="方正小标宋简体"/>
          <w:bCs/>
          <w:sz w:val="44"/>
          <w:szCs w:val="44"/>
          <w:shd w:val="clear" w:color="auto" w:fill="FFFFFF"/>
        </w:rPr>
      </w:pPr>
    </w:p>
    <w:p>
      <w:pPr>
        <w:widowControl/>
        <w:spacing w:line="578" w:lineRule="exact"/>
        <w:contextualSpacing/>
        <w:jc w:val="center"/>
        <w:rPr>
          <w:rFonts w:eastAsia="方正小标宋简体"/>
          <w:bCs/>
          <w:sz w:val="44"/>
          <w:szCs w:val="44"/>
          <w:shd w:val="clear" w:color="auto" w:fill="FFFFFF"/>
        </w:rPr>
      </w:pPr>
      <w:r>
        <w:rPr>
          <w:rFonts w:eastAsia="方正小标宋简体"/>
          <w:bCs/>
          <w:sz w:val="44"/>
          <w:szCs w:val="44"/>
          <w:shd w:val="clear" w:color="auto" w:fill="FFFFFF"/>
        </w:rPr>
        <w:t>部门预算绩效</w:t>
      </w:r>
      <w:r>
        <w:rPr>
          <w:rFonts w:hint="eastAsia" w:eastAsia="方正小标宋简体"/>
          <w:bCs/>
          <w:sz w:val="44"/>
          <w:szCs w:val="44"/>
          <w:shd w:val="clear" w:color="auto" w:fill="FFFFFF"/>
        </w:rPr>
        <w:t>评价</w:t>
      </w:r>
      <w:r>
        <w:rPr>
          <w:rFonts w:eastAsia="方正小标宋简体"/>
          <w:bCs/>
          <w:sz w:val="44"/>
          <w:szCs w:val="44"/>
          <w:shd w:val="clear" w:color="auto" w:fill="FFFFFF"/>
        </w:rPr>
        <w:t>报告</w:t>
      </w:r>
    </w:p>
    <w:p>
      <w:pPr>
        <w:widowControl/>
        <w:adjustRightInd w:val="0"/>
        <w:snapToGrid w:val="0"/>
        <w:spacing w:line="578" w:lineRule="exact"/>
        <w:ind w:firstLine="480" w:firstLineChars="200"/>
        <w:contextualSpacing/>
        <w:jc w:val="left"/>
        <w:rPr>
          <w:rFonts w:eastAsia="黑体"/>
          <w:color w:val="000000"/>
          <w:kern w:val="0"/>
          <w:sz w:val="24"/>
          <w:szCs w:val="32"/>
          <w:shd w:val="clear" w:color="auto" w:fill="FFFFFF"/>
        </w:rPr>
      </w:pPr>
    </w:p>
    <w:p>
      <w:pPr>
        <w:widowControl/>
        <w:adjustRightInd w:val="0"/>
        <w:snapToGrid w:val="0"/>
        <w:spacing w:line="578" w:lineRule="exact"/>
        <w:ind w:firstLine="640" w:firstLineChars="200"/>
        <w:contextualSpacing/>
        <w:jc w:val="left"/>
        <w:rPr>
          <w:rFonts w:eastAsia="黑体"/>
          <w:color w:val="000000"/>
          <w:kern w:val="0"/>
          <w:sz w:val="32"/>
          <w:szCs w:val="32"/>
          <w:shd w:val="clear" w:color="auto" w:fill="FFFFFF"/>
          <w:lang w:val="zh-CN"/>
        </w:rPr>
      </w:pPr>
      <w:r>
        <w:rPr>
          <w:rFonts w:hint="eastAsia" w:eastAsia="黑体"/>
          <w:color w:val="000000"/>
          <w:kern w:val="0"/>
          <w:sz w:val="32"/>
          <w:szCs w:val="32"/>
          <w:shd w:val="clear" w:color="auto" w:fill="FFFFFF"/>
          <w:lang w:val="zh-CN"/>
        </w:rPr>
        <w:t>一、</w:t>
      </w:r>
      <w:r>
        <w:rPr>
          <w:rFonts w:eastAsia="黑体"/>
          <w:color w:val="000000"/>
          <w:kern w:val="0"/>
          <w:sz w:val="32"/>
          <w:szCs w:val="32"/>
          <w:shd w:val="clear" w:color="auto" w:fill="FFFFFF"/>
          <w:lang w:val="zh-CN"/>
        </w:rPr>
        <w:t>部门（单位）基本情况</w:t>
      </w:r>
    </w:p>
    <w:p>
      <w:pPr>
        <w:widowControl/>
        <w:ind w:firstLine="643" w:firstLineChars="200"/>
        <w:jc w:val="left"/>
        <w:rPr>
          <w:rFonts w:eastAsia="楷体_GB2312" w:cs="楷体_GB2312"/>
          <w:b/>
          <w:sz w:val="32"/>
          <w:szCs w:val="32"/>
          <w:lang w:val="zh-CN"/>
        </w:rPr>
      </w:pPr>
      <w:r>
        <w:rPr>
          <w:rFonts w:hint="eastAsia" w:eastAsia="楷体_GB2312" w:cs="楷体_GB2312"/>
          <w:b/>
          <w:sz w:val="32"/>
          <w:szCs w:val="32"/>
          <w:lang w:val="zh-CN"/>
        </w:rPr>
        <w:t>（一）</w:t>
      </w:r>
      <w:r>
        <w:rPr>
          <w:rFonts w:eastAsia="楷体_GB2312" w:cs="楷体_GB2312"/>
          <w:b/>
          <w:sz w:val="32"/>
          <w:szCs w:val="32"/>
          <w:lang w:val="zh-CN"/>
        </w:rPr>
        <w:t>机构组成。</w:t>
      </w:r>
    </w:p>
    <w:p>
      <w:pPr>
        <w:widowControl/>
        <w:ind w:firstLine="640" w:firstLineChars="200"/>
        <w:jc w:val="left"/>
        <w:rPr>
          <w:rFonts w:eastAsia="仿宋_GB2312"/>
          <w:sz w:val="32"/>
          <w:szCs w:val="32"/>
        </w:rPr>
      </w:pPr>
      <w:r>
        <w:rPr>
          <w:rFonts w:hint="eastAsia" w:eastAsia="仿宋_GB2312"/>
          <w:sz w:val="32"/>
          <w:szCs w:val="32"/>
        </w:rPr>
        <w:t>盐边县</w:t>
      </w:r>
      <w:r>
        <w:rPr>
          <w:rFonts w:eastAsia="仿宋_GB2312"/>
          <w:sz w:val="32"/>
          <w:szCs w:val="32"/>
        </w:rPr>
        <w:t>市场监督管理局下设内设机构如下：办公室、政策法规股、行政审批与信用监督管理股、交易秩序监督管理股、消保股、食品安全协调股、食品安全监督管理股、药械化监督股、知识产权股、质量发展与认证认可股、特种设备安全监察股、</w:t>
      </w:r>
      <w:r>
        <w:rPr>
          <w:rFonts w:eastAsia="仿宋_GB2312"/>
          <w:color w:val="000000" w:themeColor="text1"/>
          <w:sz w:val="32"/>
          <w:szCs w:val="32"/>
          <w14:textFill>
            <w14:solidFill>
              <w14:schemeClr w14:val="tx1"/>
            </w14:solidFill>
          </w14:textFill>
        </w:rPr>
        <w:t>行政执法监督股</w:t>
      </w:r>
      <w:r>
        <w:rPr>
          <w:rFonts w:eastAsia="仿宋_GB2312"/>
          <w:sz w:val="32"/>
          <w:szCs w:val="32"/>
        </w:rPr>
        <w:t>12个内设机构；桐子林市场监管所、红格市场监管所、渔门市场监管所、格萨拉市场监管所、永兴市场监管所、红果市场监管所、国胜市场监管所、惠民市场监管所8个派出机构。</w:t>
      </w:r>
    </w:p>
    <w:p>
      <w:pPr>
        <w:widowControl/>
        <w:adjustRightInd w:val="0"/>
        <w:snapToGrid w:val="0"/>
        <w:spacing w:line="578" w:lineRule="exact"/>
        <w:ind w:firstLine="643" w:firstLineChars="200"/>
        <w:contextualSpacing/>
        <w:jc w:val="left"/>
        <w:rPr>
          <w:rFonts w:eastAsia="仿宋_GB2312"/>
          <w:sz w:val="32"/>
          <w:szCs w:val="32"/>
        </w:rPr>
      </w:pPr>
      <w:r>
        <w:rPr>
          <w:rFonts w:eastAsia="楷体_GB2312" w:cs="楷体_GB2312"/>
          <w:b/>
          <w:sz w:val="32"/>
          <w:szCs w:val="32"/>
          <w:lang w:val="zh-CN"/>
        </w:rPr>
        <w:t>（二）机构职能</w:t>
      </w:r>
      <w:r>
        <w:rPr>
          <w:rFonts w:hint="eastAsia" w:eastAsia="楷体_GB2312" w:cs="楷体_GB2312"/>
          <w:b/>
          <w:sz w:val="32"/>
          <w:szCs w:val="32"/>
          <w:lang w:val="zh-CN"/>
        </w:rPr>
        <w:t>。</w:t>
      </w:r>
    </w:p>
    <w:p>
      <w:pPr>
        <w:widowControl/>
        <w:ind w:firstLine="640" w:firstLineChars="200"/>
        <w:jc w:val="left"/>
        <w:rPr>
          <w:rFonts w:hint="eastAsia" w:eastAsia="仿宋_GB2312"/>
          <w:sz w:val="32"/>
          <w:szCs w:val="32"/>
        </w:rPr>
      </w:pPr>
      <w:r>
        <w:rPr>
          <w:rFonts w:hint="eastAsia" w:eastAsia="仿宋_GB2312"/>
          <w:sz w:val="32"/>
          <w:szCs w:val="32"/>
        </w:rPr>
        <w:t>1.负责全县市场综合监督管理。起草市场监督管理有关规章草案、规范性文件。组织实施质量强县、食品安全、标准化和知识产权战略，拟订并组织实施有关规划，规范和维护市场秩序，营造诚实守信、公平竞争的市场环境。</w:t>
      </w:r>
    </w:p>
    <w:p>
      <w:pPr>
        <w:widowControl/>
        <w:ind w:firstLine="640" w:firstLineChars="200"/>
        <w:jc w:val="left"/>
        <w:rPr>
          <w:rFonts w:hint="eastAsia" w:eastAsia="仿宋_GB2312"/>
          <w:sz w:val="32"/>
          <w:szCs w:val="32"/>
        </w:rPr>
      </w:pPr>
      <w:r>
        <w:rPr>
          <w:rFonts w:hint="eastAsia" w:eastAsia="仿宋_GB2312"/>
          <w:sz w:val="32"/>
          <w:szCs w:val="32"/>
        </w:rPr>
        <w:t>2.负责全县市场主体统一登记注册。负责指导全县各类企业、农民专业合作社和从事经营活动的单位、个体工商户以及外国（地区）企业、常驻代表机构等市场主体的登记注册和监督管理工作。建立市场主体信息公示和共享机制，依法公示和共享有关信息，加强信用监管，推动市场主体信用体系建设。配合协助党委组织部门开展小微企业、个体工商户、专业市场的党建工作。</w:t>
      </w:r>
    </w:p>
    <w:p>
      <w:pPr>
        <w:widowControl/>
        <w:ind w:firstLine="640" w:firstLineChars="200"/>
        <w:jc w:val="left"/>
        <w:rPr>
          <w:rFonts w:hint="eastAsia" w:eastAsia="仿宋_GB2312"/>
          <w:sz w:val="32"/>
          <w:szCs w:val="32"/>
        </w:rPr>
      </w:pPr>
      <w:r>
        <w:rPr>
          <w:rFonts w:hint="eastAsia" w:eastAsia="仿宋_GB2312"/>
          <w:sz w:val="32"/>
          <w:szCs w:val="32"/>
        </w:rPr>
        <w:t>3.负责市场监管领域综合行政执法工作。</w:t>
      </w:r>
    </w:p>
    <w:p>
      <w:pPr>
        <w:widowControl/>
        <w:ind w:firstLine="640" w:firstLineChars="200"/>
        <w:jc w:val="left"/>
        <w:rPr>
          <w:rFonts w:hint="eastAsia" w:eastAsia="仿宋_GB2312"/>
          <w:sz w:val="32"/>
          <w:szCs w:val="32"/>
        </w:rPr>
      </w:pPr>
      <w:r>
        <w:rPr>
          <w:rFonts w:hint="eastAsia" w:eastAsia="仿宋_GB2312"/>
          <w:sz w:val="32"/>
          <w:szCs w:val="32"/>
        </w:rPr>
        <w:t>4.负责监督管理全县市场秩序。依法监督管理市场交易、网络商品交易及有关服务的行为。协助开展有关反垄断调查工作。组织指导查处价格收费违法违规、不正当竞争、违法直销、传销、侵犯商标专利知识产权和制售假冒伪劣行为。依法实施合同、拍卖行为的监督管理。开展动产抵押物登记。指导广告业的发展，监督管理广告活动。依法查处无照生产经营和相关无证生产经营行为。组织指导消费环境建设，指导县保护消费者权益委员会开展消费维权工作。</w:t>
      </w:r>
    </w:p>
    <w:p>
      <w:pPr>
        <w:widowControl/>
        <w:ind w:firstLine="640" w:firstLineChars="200"/>
        <w:jc w:val="left"/>
        <w:rPr>
          <w:rFonts w:hint="eastAsia" w:eastAsia="仿宋_GB2312"/>
          <w:sz w:val="32"/>
          <w:szCs w:val="32"/>
        </w:rPr>
      </w:pPr>
      <w:r>
        <w:rPr>
          <w:rFonts w:hint="eastAsia" w:eastAsia="仿宋_GB2312"/>
          <w:sz w:val="32"/>
          <w:szCs w:val="32"/>
        </w:rPr>
        <w:t>5.负责全县宏观质量管理。拟订并组织实施质量发展的制度措施。统筹全县质量基础设施建设与应用。会同有关部门组织实施重大工程设备质量监理制度，组织重大产品质量事故调查，贯彻实施缺陷产品召回制度，监督管理产品防伪工作。</w:t>
      </w:r>
    </w:p>
    <w:p>
      <w:pPr>
        <w:widowControl/>
        <w:ind w:firstLine="640" w:firstLineChars="200"/>
        <w:jc w:val="left"/>
        <w:rPr>
          <w:rFonts w:hint="eastAsia" w:eastAsia="仿宋_GB2312"/>
          <w:sz w:val="32"/>
          <w:szCs w:val="32"/>
        </w:rPr>
      </w:pPr>
      <w:r>
        <w:rPr>
          <w:rFonts w:hint="eastAsia" w:eastAsia="仿宋_GB2312"/>
          <w:sz w:val="32"/>
          <w:szCs w:val="32"/>
        </w:rPr>
        <w:t>6.负责全县产品质量安全监督管理。负责产品质量监督抽查和风险监控工作，组织实施质量分级制度、质量安全追溯制度。负责工业产品生产许可证管理。负责纤维质量监督工作。</w:t>
      </w:r>
    </w:p>
    <w:p>
      <w:pPr>
        <w:widowControl/>
        <w:ind w:firstLine="640" w:firstLineChars="200"/>
        <w:jc w:val="left"/>
        <w:rPr>
          <w:rFonts w:hint="eastAsia" w:eastAsia="仿宋_GB2312"/>
          <w:sz w:val="32"/>
          <w:szCs w:val="32"/>
        </w:rPr>
      </w:pPr>
      <w:r>
        <w:rPr>
          <w:rFonts w:hint="eastAsia" w:eastAsia="仿宋_GB2312"/>
          <w:sz w:val="32"/>
          <w:szCs w:val="32"/>
        </w:rPr>
        <w:t>7.负责全县特种设备安全监督管理。综合管理特种设备安全监察、监督工作，监督检查高耗能特种设备节能标准和锅炉产品环境保护标准的执行情况。</w:t>
      </w:r>
    </w:p>
    <w:p>
      <w:pPr>
        <w:widowControl/>
        <w:ind w:firstLine="640" w:firstLineChars="200"/>
        <w:jc w:val="left"/>
        <w:rPr>
          <w:rFonts w:hint="eastAsia" w:eastAsia="仿宋_GB2312"/>
          <w:sz w:val="32"/>
          <w:szCs w:val="32"/>
        </w:rPr>
      </w:pPr>
      <w:r>
        <w:rPr>
          <w:rFonts w:hint="eastAsia" w:eastAsia="仿宋_GB2312"/>
          <w:sz w:val="32"/>
          <w:szCs w:val="32"/>
        </w:rPr>
        <w:t>8.负责全县食品安全监督管理综合协调。统筹指导全县食品安全工作。负责食品安全应急体系建设，组织指导重大食品安全事件应急处置和调查处理工作。落实食品安全重要信息直报制度。承担县食品安全委员会日常工作。</w:t>
      </w:r>
    </w:p>
    <w:p>
      <w:pPr>
        <w:widowControl/>
        <w:ind w:firstLine="640" w:firstLineChars="200"/>
        <w:jc w:val="left"/>
        <w:rPr>
          <w:rFonts w:hint="eastAsia" w:eastAsia="仿宋_GB2312"/>
          <w:sz w:val="32"/>
          <w:szCs w:val="32"/>
        </w:rPr>
      </w:pPr>
      <w:r>
        <w:rPr>
          <w:rFonts w:hint="eastAsia" w:eastAsia="仿宋_GB2312"/>
          <w:sz w:val="32"/>
          <w:szCs w:val="32"/>
        </w:rPr>
        <w:t>9.负责全县食品安全监督管理。建立覆盖食品生产、流通、消费全过程的监督检查制度和隐患排查治理机制并组织实施，防范区域性、系统性食品安全风险。推动建立食品生产经营者落实主体责任的机制，健全食品安全追溯体系。指导督促食品生产经营企业的相关安全生产工作。组织开展食品安全监督抽检、风险监测、核查处置和风险预警、风险交流工作。组织实施特殊食品监督管理。</w:t>
      </w:r>
    </w:p>
    <w:p>
      <w:pPr>
        <w:widowControl/>
        <w:ind w:firstLine="640" w:firstLineChars="200"/>
        <w:jc w:val="left"/>
        <w:rPr>
          <w:rFonts w:hint="eastAsia" w:eastAsia="仿宋_GB2312"/>
          <w:sz w:val="32"/>
          <w:szCs w:val="32"/>
        </w:rPr>
      </w:pPr>
      <w:r>
        <w:rPr>
          <w:rFonts w:hint="eastAsia" w:eastAsia="仿宋_GB2312"/>
          <w:sz w:val="32"/>
          <w:szCs w:val="32"/>
        </w:rPr>
        <w:t>10.负责药品、化妆品和医疗器械的质量管理、风险管理、安全监督和安全应急管理。承担全县药品零售、医疗器械经营的检查和处罚，以及化妆品经营和药品、医疗器械使用环节质量的安全监测、检查和处罚。参与市市场监管局组织的监督检查。监督实施问题产品召回和处置工作。参与执业药师注册及相关工作。</w:t>
      </w:r>
    </w:p>
    <w:p>
      <w:pPr>
        <w:widowControl/>
        <w:ind w:firstLine="640" w:firstLineChars="200"/>
        <w:jc w:val="left"/>
        <w:rPr>
          <w:rFonts w:hint="eastAsia" w:eastAsia="仿宋_GB2312"/>
          <w:sz w:val="32"/>
          <w:szCs w:val="32"/>
        </w:rPr>
      </w:pPr>
      <w:r>
        <w:rPr>
          <w:rFonts w:hint="eastAsia" w:eastAsia="仿宋_GB2312"/>
          <w:sz w:val="32"/>
          <w:szCs w:val="32"/>
        </w:rPr>
        <w:t>11.负责统一管理全县计量工作。推行法定计量单位，执行国家计量制度，管理计量器具及量值传递和比对工作。规范、监督商品量和计量行为。</w:t>
      </w:r>
    </w:p>
    <w:p>
      <w:pPr>
        <w:widowControl/>
        <w:ind w:firstLine="640" w:firstLineChars="200"/>
        <w:jc w:val="left"/>
        <w:rPr>
          <w:rFonts w:hint="eastAsia" w:eastAsia="仿宋_GB2312"/>
          <w:sz w:val="32"/>
          <w:szCs w:val="32"/>
        </w:rPr>
      </w:pPr>
      <w:r>
        <w:rPr>
          <w:rFonts w:hint="eastAsia" w:eastAsia="仿宋_GB2312"/>
          <w:sz w:val="32"/>
          <w:szCs w:val="32"/>
        </w:rPr>
        <w:t>12.负责统一管理全县标准化工作。依法承担地方标准立项、编号和发布等工作。协调指导团体标准制定工作。推行企业标准自我声明公开。依法对标准制定和实施情况开展监督。</w:t>
      </w:r>
    </w:p>
    <w:p>
      <w:pPr>
        <w:widowControl/>
        <w:ind w:firstLine="640" w:firstLineChars="200"/>
        <w:jc w:val="left"/>
        <w:rPr>
          <w:rFonts w:hint="eastAsia" w:eastAsia="仿宋_GB2312"/>
          <w:sz w:val="32"/>
          <w:szCs w:val="32"/>
        </w:rPr>
      </w:pPr>
      <w:r>
        <w:rPr>
          <w:rFonts w:hint="eastAsia" w:eastAsia="仿宋_GB2312"/>
          <w:sz w:val="32"/>
          <w:szCs w:val="32"/>
        </w:rPr>
        <w:t>13.负责统一管理全县检验检测工作。规范检验检测市场，完善检验检测体系，指导协调检验检测行业发展。</w:t>
      </w:r>
    </w:p>
    <w:p>
      <w:pPr>
        <w:widowControl/>
        <w:ind w:firstLine="640" w:firstLineChars="200"/>
        <w:jc w:val="left"/>
        <w:rPr>
          <w:rFonts w:hint="eastAsia" w:eastAsia="仿宋_GB2312"/>
          <w:sz w:val="32"/>
          <w:szCs w:val="32"/>
        </w:rPr>
      </w:pPr>
      <w:r>
        <w:rPr>
          <w:rFonts w:hint="eastAsia" w:eastAsia="仿宋_GB2312"/>
          <w:sz w:val="32"/>
          <w:szCs w:val="32"/>
        </w:rPr>
        <w:t>14.负责统一管理认证认可工作。监督管理认证认可和合格评定工作。</w:t>
      </w:r>
    </w:p>
    <w:p>
      <w:pPr>
        <w:widowControl/>
        <w:ind w:firstLine="640" w:firstLineChars="200"/>
        <w:jc w:val="left"/>
        <w:rPr>
          <w:rFonts w:hint="eastAsia" w:eastAsia="仿宋_GB2312"/>
          <w:sz w:val="32"/>
          <w:szCs w:val="32"/>
        </w:rPr>
      </w:pPr>
      <w:r>
        <w:rPr>
          <w:rFonts w:hint="eastAsia" w:eastAsia="仿宋_GB2312"/>
          <w:sz w:val="32"/>
          <w:szCs w:val="32"/>
        </w:rPr>
        <w:t>15.负责全县知识产权战略、规划的制定，负责知识产权保护、管理，指导知识产权创造、运用和服务促进工作，负责商标、专利执法工作。</w:t>
      </w:r>
    </w:p>
    <w:p>
      <w:pPr>
        <w:widowControl/>
        <w:ind w:firstLine="640" w:firstLineChars="200"/>
        <w:jc w:val="left"/>
        <w:rPr>
          <w:rFonts w:hint="eastAsia" w:eastAsia="仿宋_GB2312"/>
          <w:sz w:val="32"/>
          <w:szCs w:val="32"/>
        </w:rPr>
      </w:pPr>
      <w:r>
        <w:rPr>
          <w:rFonts w:hint="eastAsia" w:eastAsia="仿宋_GB2312"/>
          <w:sz w:val="32"/>
          <w:szCs w:val="32"/>
        </w:rPr>
        <w:t>16.负责市场监督管理科技和信息化建设。</w:t>
      </w:r>
    </w:p>
    <w:p>
      <w:pPr>
        <w:widowControl/>
        <w:ind w:firstLine="640" w:firstLineChars="200"/>
        <w:jc w:val="left"/>
        <w:rPr>
          <w:rFonts w:hint="eastAsia" w:eastAsia="仿宋_GB2312"/>
          <w:sz w:val="32"/>
          <w:szCs w:val="32"/>
        </w:rPr>
      </w:pPr>
      <w:r>
        <w:rPr>
          <w:rFonts w:hint="eastAsia" w:eastAsia="仿宋_GB2312"/>
          <w:sz w:val="32"/>
          <w:szCs w:val="32"/>
        </w:rPr>
        <w:t>17.负责职责范围内的安全生产和职业健康、生态环境保护、审批服务便民化等工作。</w:t>
      </w:r>
    </w:p>
    <w:p>
      <w:pPr>
        <w:widowControl/>
        <w:ind w:firstLine="640" w:firstLineChars="200"/>
        <w:jc w:val="left"/>
        <w:rPr>
          <w:rFonts w:hint="eastAsia" w:eastAsia="仿宋_GB2312"/>
          <w:sz w:val="32"/>
          <w:szCs w:val="32"/>
        </w:rPr>
      </w:pPr>
      <w:r>
        <w:rPr>
          <w:rFonts w:hint="eastAsia" w:eastAsia="仿宋_GB2312"/>
          <w:sz w:val="32"/>
          <w:szCs w:val="32"/>
        </w:rPr>
        <w:t>18.完成县委、县政府交办的其他任务。</w:t>
      </w:r>
    </w:p>
    <w:p>
      <w:pPr>
        <w:pStyle w:val="14"/>
      </w:pPr>
    </w:p>
    <w:p>
      <w:pPr>
        <w:widowControl/>
        <w:adjustRightInd w:val="0"/>
        <w:snapToGrid w:val="0"/>
        <w:spacing w:line="578" w:lineRule="exact"/>
        <w:ind w:firstLine="643" w:firstLineChars="200"/>
        <w:contextualSpacing/>
        <w:jc w:val="left"/>
        <w:rPr>
          <w:rFonts w:hint="eastAsia" w:eastAsia="楷体_GB2312" w:cs="楷体_GB2312"/>
          <w:b/>
          <w:sz w:val="32"/>
          <w:szCs w:val="32"/>
          <w:lang w:val="zh-CN"/>
        </w:rPr>
      </w:pPr>
      <w:r>
        <w:rPr>
          <w:rFonts w:hint="eastAsia" w:eastAsia="楷体_GB2312" w:cs="楷体_GB2312"/>
          <w:b/>
          <w:sz w:val="32"/>
          <w:szCs w:val="32"/>
          <w:lang w:val="zh-CN"/>
        </w:rPr>
        <w:t>（三）</w:t>
      </w:r>
      <w:r>
        <w:rPr>
          <w:rFonts w:eastAsia="楷体_GB2312" w:cs="楷体_GB2312"/>
          <w:b/>
          <w:sz w:val="32"/>
          <w:szCs w:val="32"/>
          <w:lang w:val="zh-CN"/>
        </w:rPr>
        <w:t>人员概况</w:t>
      </w:r>
    </w:p>
    <w:p>
      <w:pPr>
        <w:pStyle w:val="6"/>
        <w:keepNext w:val="0"/>
        <w:keepLines w:val="0"/>
        <w:pageBreakBefore w:val="0"/>
        <w:widowControl w:val="0"/>
        <w:numPr>
          <w:ilvl w:val="0"/>
          <w:numId w:val="0"/>
        </w:numPr>
        <w:kinsoku/>
        <w:wordWrap/>
        <w:overflowPunct/>
        <w:topLinePunct w:val="0"/>
        <w:autoSpaceDE/>
        <w:autoSpaceDN/>
        <w:bidi w:val="0"/>
        <w:adjustRightInd/>
        <w:snapToGrid/>
        <w:spacing w:beforeLines="0"/>
        <w:ind w:leftChars="200" w:firstLine="640" w:firstLineChars="200"/>
        <w:textAlignment w:val="auto"/>
        <w:rPr>
          <w:rFonts w:ascii="Times New Roman"/>
          <w:kern w:val="2"/>
          <w:sz w:val="32"/>
          <w:szCs w:val="32"/>
        </w:rPr>
      </w:pPr>
      <w:r>
        <w:rPr>
          <w:rFonts w:ascii="Times New Roman"/>
          <w:kern w:val="2"/>
          <w:sz w:val="32"/>
          <w:szCs w:val="32"/>
        </w:rPr>
        <w:t>截至202</w:t>
      </w:r>
      <w:r>
        <w:rPr>
          <w:rFonts w:hint="eastAsia" w:ascii="Times New Roman"/>
          <w:kern w:val="2"/>
          <w:sz w:val="32"/>
          <w:szCs w:val="32"/>
        </w:rPr>
        <w:t>4</w:t>
      </w:r>
      <w:r>
        <w:rPr>
          <w:rFonts w:ascii="Times New Roman"/>
          <w:kern w:val="2"/>
          <w:sz w:val="32"/>
          <w:szCs w:val="32"/>
        </w:rPr>
        <w:t>年末，盐边县市场监督管理局及下属单位共有编制99名，其中行政编制60名、机关工勤8个，（参公）编制19名、事业编制12名。年末实有人数7</w:t>
      </w:r>
      <w:r>
        <w:rPr>
          <w:rFonts w:hint="eastAsia" w:ascii="Times New Roman"/>
          <w:kern w:val="2"/>
          <w:sz w:val="32"/>
          <w:szCs w:val="32"/>
        </w:rPr>
        <w:t>5</w:t>
      </w:r>
      <w:r>
        <w:rPr>
          <w:rFonts w:ascii="Times New Roman"/>
          <w:kern w:val="2"/>
          <w:sz w:val="32"/>
          <w:szCs w:val="32"/>
        </w:rPr>
        <w:t>人，其中行政公务员</w:t>
      </w:r>
      <w:r>
        <w:rPr>
          <w:rFonts w:hint="eastAsia" w:ascii="Times New Roman"/>
          <w:kern w:val="2"/>
          <w:sz w:val="32"/>
          <w:szCs w:val="32"/>
        </w:rPr>
        <w:t>46</w:t>
      </w:r>
      <w:r>
        <w:rPr>
          <w:rFonts w:ascii="Times New Roman"/>
          <w:kern w:val="2"/>
          <w:sz w:val="32"/>
          <w:szCs w:val="32"/>
        </w:rPr>
        <w:t>人，机关后勤服务人员</w:t>
      </w:r>
      <w:r>
        <w:rPr>
          <w:rFonts w:hint="eastAsia" w:ascii="Times New Roman"/>
          <w:kern w:val="2"/>
          <w:sz w:val="32"/>
          <w:szCs w:val="32"/>
        </w:rPr>
        <w:t>6</w:t>
      </w:r>
      <w:r>
        <w:rPr>
          <w:rFonts w:ascii="Times New Roman"/>
          <w:kern w:val="2"/>
          <w:sz w:val="32"/>
          <w:szCs w:val="32"/>
        </w:rPr>
        <w:t>人，参照公务员法管理人员13人，事业单</w:t>
      </w:r>
      <w:r>
        <w:rPr>
          <w:rFonts w:ascii="Times New Roman"/>
          <w:sz w:val="32"/>
          <w:szCs w:val="32"/>
        </w:rPr>
        <w:t>位人员</w:t>
      </w:r>
      <w:r>
        <w:rPr>
          <w:rFonts w:hint="eastAsia" w:ascii="Times New Roman"/>
          <w:sz w:val="32"/>
          <w:szCs w:val="32"/>
        </w:rPr>
        <w:t>10</w:t>
      </w:r>
      <w:r>
        <w:rPr>
          <w:rFonts w:ascii="Times New Roman"/>
          <w:sz w:val="32"/>
          <w:szCs w:val="32"/>
        </w:rPr>
        <w:t>人。</w:t>
      </w:r>
    </w:p>
    <w:p>
      <w:pPr>
        <w:widowControl/>
        <w:adjustRightInd w:val="0"/>
        <w:snapToGrid w:val="0"/>
        <w:spacing w:line="578" w:lineRule="exact"/>
        <w:ind w:firstLine="640" w:firstLineChars="200"/>
        <w:contextualSpacing/>
        <w:jc w:val="left"/>
        <w:rPr>
          <w:rFonts w:eastAsia="黑体"/>
          <w:color w:val="000000"/>
          <w:kern w:val="0"/>
          <w:sz w:val="32"/>
          <w:szCs w:val="32"/>
          <w:shd w:val="clear" w:color="auto" w:fill="FFFFFF"/>
          <w:lang w:val="zh-CN"/>
        </w:rPr>
      </w:pPr>
      <w:r>
        <w:rPr>
          <w:rFonts w:eastAsia="黑体"/>
          <w:color w:val="000000"/>
          <w:kern w:val="0"/>
          <w:sz w:val="32"/>
          <w:szCs w:val="32"/>
          <w:shd w:val="clear" w:color="auto" w:fill="FFFFFF"/>
          <w:lang w:val="zh-CN"/>
        </w:rPr>
        <w:t>二、部门资金收支情况</w:t>
      </w:r>
    </w:p>
    <w:p>
      <w:pPr>
        <w:widowControl/>
        <w:adjustRightInd w:val="0"/>
        <w:snapToGrid w:val="0"/>
        <w:spacing w:line="578" w:lineRule="exact"/>
        <w:ind w:firstLine="643" w:firstLineChars="200"/>
        <w:contextualSpacing/>
        <w:jc w:val="left"/>
        <w:rPr>
          <w:rFonts w:eastAsia="楷体_GB2312"/>
          <w:b/>
          <w:bCs/>
          <w:color w:val="000000"/>
          <w:kern w:val="0"/>
          <w:sz w:val="32"/>
          <w:szCs w:val="32"/>
          <w:shd w:val="clear" w:color="auto" w:fill="FFFFFF"/>
          <w:lang w:val="zh-CN"/>
        </w:rPr>
      </w:pPr>
      <w:r>
        <w:rPr>
          <w:rFonts w:eastAsia="楷体_GB2312"/>
          <w:b/>
          <w:bCs/>
          <w:color w:val="000000"/>
          <w:kern w:val="0"/>
          <w:sz w:val="32"/>
          <w:szCs w:val="32"/>
          <w:shd w:val="clear" w:color="auto" w:fill="FFFFFF"/>
          <w:lang w:val="zh-CN"/>
        </w:rPr>
        <w:t>（一）</w:t>
      </w:r>
      <w:r>
        <w:rPr>
          <w:rFonts w:hint="eastAsia" w:eastAsia="楷体_GB2312"/>
          <w:b/>
          <w:bCs/>
          <w:color w:val="000000"/>
          <w:kern w:val="0"/>
          <w:sz w:val="32"/>
          <w:szCs w:val="32"/>
          <w:shd w:val="clear" w:color="auto" w:fill="FFFFFF"/>
          <w:lang w:val="zh-CN"/>
        </w:rPr>
        <w:t>收入情况</w:t>
      </w:r>
      <w:r>
        <w:rPr>
          <w:rFonts w:eastAsia="楷体_GB2312"/>
          <w:b/>
          <w:bCs/>
          <w:color w:val="000000"/>
          <w:kern w:val="0"/>
          <w:sz w:val="32"/>
          <w:szCs w:val="32"/>
          <w:shd w:val="clear" w:color="auto" w:fill="FFFFFF"/>
          <w:lang w:val="zh-CN"/>
        </w:rPr>
        <w:t>。</w:t>
      </w:r>
    </w:p>
    <w:p>
      <w:pPr>
        <w:widowControl/>
        <w:adjustRightInd w:val="0"/>
        <w:snapToGrid w:val="0"/>
        <w:spacing w:line="578" w:lineRule="exact"/>
        <w:ind w:firstLine="640" w:firstLineChars="200"/>
        <w:contextualSpacing/>
        <w:jc w:val="left"/>
        <w:rPr>
          <w:rFonts w:eastAsia="楷体_GB2312"/>
          <w:b/>
          <w:bCs/>
          <w:color w:val="000000"/>
          <w:kern w:val="0"/>
          <w:szCs w:val="32"/>
          <w:shd w:val="clear" w:color="auto" w:fill="FFFFFF"/>
        </w:rPr>
      </w:pPr>
      <w:r>
        <w:rPr>
          <w:rFonts w:hint="eastAsia" w:eastAsia="仿宋_GB2312" w:cs="仿宋_GB2312"/>
          <w:sz w:val="32"/>
          <w:szCs w:val="32"/>
        </w:rPr>
        <w:t>盐边县市场监督管理局2024年年初预算收入合</w:t>
      </w:r>
      <w:r>
        <w:rPr>
          <w:rFonts w:hint="eastAsia" w:eastAsia="仿宋_GB2312" w:cs="仿宋_GB2312"/>
          <w:sz w:val="32"/>
          <w:szCs w:val="32"/>
          <w:lang w:eastAsia="zh-CN"/>
        </w:rPr>
        <w:t>计</w:t>
      </w:r>
      <w:r>
        <w:rPr>
          <w:rFonts w:hint="eastAsia" w:eastAsia="仿宋_GB2312" w:cs="仿宋_GB2312"/>
          <w:sz w:val="32"/>
          <w:szCs w:val="32"/>
        </w:rPr>
        <w:t>1927.28万元，决算报表收入2158.02万元。</w:t>
      </w:r>
    </w:p>
    <w:p>
      <w:pPr>
        <w:widowControl/>
        <w:adjustRightInd w:val="0"/>
        <w:snapToGrid w:val="0"/>
        <w:spacing w:line="578" w:lineRule="exact"/>
        <w:ind w:firstLine="643" w:firstLineChars="200"/>
        <w:contextualSpacing/>
        <w:jc w:val="left"/>
        <w:rPr>
          <w:rFonts w:eastAsia="楷体_GB2312"/>
          <w:b/>
          <w:bCs/>
          <w:color w:val="000000"/>
          <w:kern w:val="0"/>
          <w:sz w:val="32"/>
          <w:szCs w:val="32"/>
          <w:shd w:val="clear" w:color="auto" w:fill="FFFFFF"/>
          <w:lang w:val="zh-CN"/>
        </w:rPr>
      </w:pPr>
      <w:r>
        <w:rPr>
          <w:rFonts w:eastAsia="楷体_GB2312"/>
          <w:b/>
          <w:bCs/>
          <w:color w:val="000000"/>
          <w:kern w:val="0"/>
          <w:sz w:val="32"/>
          <w:szCs w:val="32"/>
          <w:shd w:val="clear" w:color="auto" w:fill="FFFFFF"/>
          <w:lang w:val="zh-CN"/>
        </w:rPr>
        <w:t>（</w:t>
      </w:r>
      <w:r>
        <w:rPr>
          <w:rFonts w:hint="eastAsia" w:eastAsia="楷体_GB2312"/>
          <w:b/>
          <w:bCs/>
          <w:color w:val="000000"/>
          <w:kern w:val="0"/>
          <w:sz w:val="32"/>
          <w:szCs w:val="32"/>
          <w:shd w:val="clear" w:color="auto" w:fill="FFFFFF"/>
          <w:lang w:val="zh-CN"/>
        </w:rPr>
        <w:t>二</w:t>
      </w:r>
      <w:r>
        <w:rPr>
          <w:rFonts w:eastAsia="楷体_GB2312"/>
          <w:b/>
          <w:bCs/>
          <w:color w:val="000000"/>
          <w:kern w:val="0"/>
          <w:sz w:val="32"/>
          <w:szCs w:val="32"/>
          <w:shd w:val="clear" w:color="auto" w:fill="FFFFFF"/>
          <w:lang w:val="zh-CN"/>
        </w:rPr>
        <w:t>）</w:t>
      </w:r>
      <w:r>
        <w:rPr>
          <w:rFonts w:hint="eastAsia" w:eastAsia="楷体_GB2312"/>
          <w:b/>
          <w:bCs/>
          <w:color w:val="000000"/>
          <w:kern w:val="0"/>
          <w:sz w:val="32"/>
          <w:szCs w:val="32"/>
          <w:shd w:val="clear" w:color="auto" w:fill="FFFFFF"/>
          <w:lang w:val="zh-CN"/>
        </w:rPr>
        <w:t>支出情况</w:t>
      </w:r>
      <w:r>
        <w:rPr>
          <w:rFonts w:eastAsia="楷体_GB2312"/>
          <w:b/>
          <w:bCs/>
          <w:color w:val="000000"/>
          <w:kern w:val="0"/>
          <w:sz w:val="32"/>
          <w:szCs w:val="32"/>
          <w:shd w:val="clear" w:color="auto" w:fill="FFFFFF"/>
          <w:lang w:val="zh-CN"/>
        </w:rPr>
        <w:t>。</w:t>
      </w:r>
    </w:p>
    <w:p>
      <w:pPr>
        <w:widowControl/>
        <w:adjustRightInd w:val="0"/>
        <w:snapToGrid w:val="0"/>
        <w:spacing w:line="578" w:lineRule="exact"/>
        <w:ind w:firstLine="640" w:firstLineChars="200"/>
        <w:contextualSpacing/>
        <w:jc w:val="left"/>
        <w:rPr>
          <w:rFonts w:eastAsia="仿宋_GB2312" w:cs="仿宋_GB2312"/>
          <w:sz w:val="32"/>
          <w:szCs w:val="32"/>
        </w:rPr>
      </w:pPr>
      <w:r>
        <w:rPr>
          <w:rFonts w:hint="eastAsia" w:eastAsia="仿宋_GB2312" w:cs="仿宋_GB2312"/>
          <w:sz w:val="32"/>
          <w:szCs w:val="32"/>
        </w:rPr>
        <w:t>盐边县市场监督管理局</w:t>
      </w:r>
      <w:r>
        <w:rPr>
          <w:rFonts w:eastAsia="仿宋_GB2312" w:cs="仿宋_GB2312"/>
          <w:sz w:val="32"/>
          <w:szCs w:val="32"/>
        </w:rPr>
        <w:t>2024年度年初预算支出1927</w:t>
      </w:r>
      <w:r>
        <w:rPr>
          <w:rFonts w:hint="eastAsia" w:eastAsia="仿宋_GB2312" w:cs="仿宋_GB2312"/>
          <w:sz w:val="32"/>
          <w:szCs w:val="32"/>
        </w:rPr>
        <w:t>.</w:t>
      </w:r>
      <w:r>
        <w:rPr>
          <w:rFonts w:eastAsia="仿宋_GB2312" w:cs="仿宋_GB2312"/>
          <w:sz w:val="32"/>
          <w:szCs w:val="32"/>
        </w:rPr>
        <w:t>2</w:t>
      </w:r>
      <w:r>
        <w:rPr>
          <w:rFonts w:hint="eastAsia" w:eastAsia="仿宋_GB2312" w:cs="仿宋_GB2312"/>
          <w:sz w:val="32"/>
          <w:szCs w:val="32"/>
        </w:rPr>
        <w:t>8万</w:t>
      </w:r>
      <w:r>
        <w:rPr>
          <w:rFonts w:eastAsia="仿宋_GB2312" w:cs="仿宋_GB2312"/>
          <w:sz w:val="32"/>
          <w:szCs w:val="32"/>
        </w:rPr>
        <w:t>元，决算报表支出2175</w:t>
      </w:r>
      <w:r>
        <w:rPr>
          <w:rFonts w:hint="eastAsia" w:eastAsia="仿宋_GB2312" w:cs="仿宋_GB2312"/>
          <w:sz w:val="32"/>
          <w:szCs w:val="32"/>
        </w:rPr>
        <w:t>.</w:t>
      </w:r>
      <w:r>
        <w:rPr>
          <w:rFonts w:eastAsia="仿宋_GB2312" w:cs="仿宋_GB2312"/>
          <w:sz w:val="32"/>
          <w:szCs w:val="32"/>
        </w:rPr>
        <w:t>52万元。</w:t>
      </w:r>
    </w:p>
    <w:p>
      <w:pPr>
        <w:widowControl/>
        <w:adjustRightInd w:val="0"/>
        <w:snapToGrid w:val="0"/>
        <w:spacing w:line="578" w:lineRule="exact"/>
        <w:ind w:firstLine="643" w:firstLineChars="200"/>
        <w:contextualSpacing/>
        <w:jc w:val="left"/>
        <w:rPr>
          <w:rFonts w:eastAsia="楷体_GB2312"/>
          <w:b/>
          <w:bCs/>
          <w:color w:val="000000"/>
          <w:kern w:val="0"/>
          <w:sz w:val="32"/>
          <w:szCs w:val="32"/>
          <w:shd w:val="clear" w:color="auto" w:fill="FFFFFF"/>
          <w:lang w:val="zh-CN"/>
        </w:rPr>
      </w:pPr>
      <w:r>
        <w:rPr>
          <w:rFonts w:eastAsia="楷体_GB2312"/>
          <w:b/>
          <w:bCs/>
          <w:color w:val="000000"/>
          <w:kern w:val="0"/>
          <w:sz w:val="32"/>
          <w:szCs w:val="32"/>
          <w:shd w:val="clear" w:color="auto" w:fill="FFFFFF"/>
          <w:lang w:val="zh-CN"/>
        </w:rPr>
        <w:t>（</w:t>
      </w:r>
      <w:r>
        <w:rPr>
          <w:rFonts w:hint="eastAsia" w:eastAsia="楷体_GB2312"/>
          <w:b/>
          <w:bCs/>
          <w:color w:val="000000"/>
          <w:kern w:val="0"/>
          <w:sz w:val="32"/>
          <w:szCs w:val="32"/>
          <w:shd w:val="clear" w:color="auto" w:fill="FFFFFF"/>
          <w:lang w:val="zh-CN"/>
        </w:rPr>
        <w:t>三</w:t>
      </w:r>
      <w:r>
        <w:rPr>
          <w:rFonts w:eastAsia="楷体_GB2312"/>
          <w:b/>
          <w:bCs/>
          <w:color w:val="000000"/>
          <w:kern w:val="0"/>
          <w:sz w:val="32"/>
          <w:szCs w:val="32"/>
          <w:shd w:val="clear" w:color="auto" w:fill="FFFFFF"/>
          <w:lang w:val="zh-CN"/>
        </w:rPr>
        <w:t>）结余分配和结转结余情况</w:t>
      </w:r>
      <w:r>
        <w:rPr>
          <w:rFonts w:hint="eastAsia" w:eastAsia="楷体_GB2312"/>
          <w:b/>
          <w:bCs/>
          <w:color w:val="000000"/>
          <w:kern w:val="0"/>
          <w:sz w:val="32"/>
          <w:szCs w:val="32"/>
          <w:shd w:val="clear" w:color="auto" w:fill="FFFFFF"/>
          <w:lang w:val="zh-CN"/>
        </w:rPr>
        <w:t>。</w:t>
      </w:r>
    </w:p>
    <w:p>
      <w:pPr>
        <w:widowControl/>
        <w:adjustRightInd w:val="0"/>
        <w:snapToGrid w:val="0"/>
        <w:spacing w:line="578" w:lineRule="exact"/>
        <w:ind w:firstLine="640" w:firstLineChars="200"/>
        <w:contextualSpacing/>
        <w:jc w:val="left"/>
        <w:rPr>
          <w:rFonts w:eastAsia="仿宋_GB2312" w:cs="仿宋_GB2312"/>
          <w:sz w:val="32"/>
          <w:szCs w:val="32"/>
        </w:rPr>
      </w:pPr>
      <w:r>
        <w:rPr>
          <w:rFonts w:hint="eastAsia" w:eastAsia="仿宋_GB2312" w:cs="仿宋_GB2312"/>
          <w:sz w:val="32"/>
          <w:szCs w:val="32"/>
        </w:rPr>
        <w:t>盐边县市场监督管理局2024年决算报表</w:t>
      </w:r>
      <w:r>
        <w:rPr>
          <w:rFonts w:eastAsia="仿宋_GB2312" w:cs="仿宋_GB2312"/>
          <w:sz w:val="32"/>
          <w:szCs w:val="32"/>
        </w:rPr>
        <w:t>年末结转6</w:t>
      </w:r>
      <w:r>
        <w:rPr>
          <w:rFonts w:hint="eastAsia" w:eastAsia="仿宋_GB2312" w:cs="仿宋_GB2312"/>
          <w:sz w:val="32"/>
          <w:szCs w:val="32"/>
        </w:rPr>
        <w:t>.32万</w:t>
      </w:r>
      <w:r>
        <w:rPr>
          <w:rFonts w:eastAsia="仿宋_GB2312" w:cs="仿宋_GB2312"/>
          <w:sz w:val="32"/>
          <w:szCs w:val="32"/>
        </w:rPr>
        <w:t>元。</w:t>
      </w:r>
    </w:p>
    <w:p>
      <w:pPr>
        <w:widowControl/>
        <w:adjustRightInd w:val="0"/>
        <w:snapToGrid w:val="0"/>
        <w:spacing w:line="578" w:lineRule="exact"/>
        <w:ind w:firstLine="643" w:firstLineChars="200"/>
        <w:contextualSpacing/>
        <w:jc w:val="left"/>
        <w:rPr>
          <w:rFonts w:eastAsia="楷体_GB2312" w:cs="楷体_GB2312"/>
          <w:b/>
          <w:sz w:val="32"/>
          <w:szCs w:val="32"/>
          <w:lang w:val="zh-CN"/>
        </w:rPr>
      </w:pPr>
      <w:r>
        <w:rPr>
          <w:rFonts w:eastAsia="楷体_GB2312" w:cs="楷体_GB2312"/>
          <w:b/>
          <w:sz w:val="32"/>
          <w:szCs w:val="32"/>
          <w:lang w:val="zh-CN"/>
        </w:rPr>
        <w:t>三、部门预算绩效分析</w:t>
      </w:r>
    </w:p>
    <w:p>
      <w:pPr>
        <w:adjustRightInd w:val="0"/>
        <w:snapToGrid w:val="0"/>
        <w:spacing w:line="578" w:lineRule="exact"/>
        <w:ind w:firstLine="643" w:firstLineChars="200"/>
        <w:contextualSpacing/>
        <w:jc w:val="left"/>
        <w:rPr>
          <w:rFonts w:eastAsia="仿宋_GB2312" w:cs="仿宋_GB2312"/>
          <w:sz w:val="32"/>
          <w:szCs w:val="32"/>
          <w:lang w:val="zh-CN"/>
        </w:rPr>
      </w:pPr>
      <w:r>
        <w:rPr>
          <w:rFonts w:eastAsia="楷体_GB2312"/>
          <w:b/>
          <w:bCs/>
          <w:color w:val="000000"/>
          <w:kern w:val="0"/>
          <w:sz w:val="32"/>
          <w:szCs w:val="32"/>
          <w:shd w:val="clear" w:color="auto" w:fill="FFFFFF"/>
          <w:lang w:val="zh-CN"/>
        </w:rPr>
        <w:t>（一）</w:t>
      </w:r>
      <w:r>
        <w:rPr>
          <w:rFonts w:hint="eastAsia" w:eastAsia="楷体_GB2312"/>
          <w:b/>
          <w:bCs/>
          <w:color w:val="000000"/>
          <w:kern w:val="0"/>
          <w:sz w:val="32"/>
          <w:szCs w:val="32"/>
          <w:shd w:val="clear" w:color="auto" w:fill="FFFFFF"/>
          <w:lang w:val="zh-CN"/>
        </w:rPr>
        <w:t>部门预算</w:t>
      </w:r>
      <w:r>
        <w:rPr>
          <w:rFonts w:eastAsia="楷体_GB2312"/>
          <w:b/>
          <w:bCs/>
          <w:color w:val="000000"/>
          <w:kern w:val="0"/>
          <w:sz w:val="32"/>
          <w:szCs w:val="32"/>
          <w:shd w:val="clear" w:color="auto" w:fill="FFFFFF"/>
          <w:lang w:val="zh-CN"/>
        </w:rPr>
        <w:t>总体绩效分析。</w:t>
      </w:r>
      <w:r>
        <w:rPr>
          <w:rFonts w:eastAsia="仿宋_GB2312" w:cs="仿宋_GB2312"/>
          <w:sz w:val="32"/>
          <w:szCs w:val="32"/>
          <w:lang w:val="zh-CN"/>
        </w:rPr>
        <w:t>根据部门预算绩效评价指标体系</w:t>
      </w:r>
      <w:r>
        <w:rPr>
          <w:rFonts w:hint="eastAsia" w:eastAsia="仿宋_GB2312" w:cs="仿宋_GB2312"/>
          <w:sz w:val="32"/>
          <w:szCs w:val="32"/>
          <w:lang w:val="zh-CN"/>
        </w:rPr>
        <w:t>“</w:t>
      </w:r>
      <w:r>
        <w:rPr>
          <w:rFonts w:eastAsia="仿宋_GB2312" w:cs="仿宋_GB2312"/>
          <w:sz w:val="32"/>
          <w:szCs w:val="32"/>
          <w:lang w:val="zh-CN"/>
        </w:rPr>
        <w:t>总体绩效</w:t>
      </w:r>
      <w:r>
        <w:rPr>
          <w:rFonts w:hint="eastAsia" w:eastAsia="仿宋_GB2312" w:cs="仿宋_GB2312"/>
          <w:sz w:val="32"/>
          <w:szCs w:val="32"/>
          <w:lang w:val="zh-CN"/>
        </w:rPr>
        <w:t>”</w:t>
      </w:r>
      <w:r>
        <w:rPr>
          <w:rFonts w:eastAsia="仿宋_GB2312" w:cs="仿宋_GB2312"/>
          <w:sz w:val="32"/>
          <w:szCs w:val="32"/>
          <w:lang w:val="zh-CN"/>
        </w:rPr>
        <w:t>涉及</w:t>
      </w:r>
      <w:r>
        <w:rPr>
          <w:rFonts w:hint="eastAsia" w:eastAsia="仿宋_GB2312" w:cs="仿宋_GB2312"/>
          <w:sz w:val="32"/>
          <w:szCs w:val="32"/>
          <w:lang w:val="zh-CN"/>
        </w:rPr>
        <w:t>二、三级</w:t>
      </w:r>
      <w:r>
        <w:rPr>
          <w:rFonts w:eastAsia="仿宋_GB2312" w:cs="仿宋_GB2312"/>
          <w:sz w:val="32"/>
          <w:szCs w:val="32"/>
          <w:lang w:val="zh-CN"/>
        </w:rPr>
        <w:t>指标进行</w:t>
      </w:r>
      <w:r>
        <w:rPr>
          <w:rFonts w:hint="eastAsia" w:eastAsia="仿宋_GB2312" w:cs="仿宋_GB2312"/>
          <w:sz w:val="32"/>
          <w:szCs w:val="32"/>
          <w:lang w:val="zh-CN"/>
        </w:rPr>
        <w:t>逐项</w:t>
      </w:r>
      <w:r>
        <w:rPr>
          <w:rFonts w:eastAsia="仿宋_GB2312" w:cs="仿宋_GB2312"/>
          <w:sz w:val="32"/>
          <w:szCs w:val="32"/>
          <w:lang w:val="zh-CN"/>
        </w:rPr>
        <w:t>绩效分析</w:t>
      </w:r>
      <w:r>
        <w:rPr>
          <w:rFonts w:hint="eastAsia" w:eastAsia="仿宋_GB2312" w:cs="仿宋_GB2312"/>
          <w:sz w:val="32"/>
          <w:szCs w:val="32"/>
          <w:lang w:val="zh-CN"/>
        </w:rPr>
        <w:t>并评分</w:t>
      </w:r>
      <w:r>
        <w:rPr>
          <w:rFonts w:eastAsia="仿宋_GB2312" w:cs="仿宋_GB2312"/>
          <w:sz w:val="32"/>
          <w:szCs w:val="32"/>
          <w:lang w:val="zh-CN"/>
        </w:rPr>
        <w:t>，依次包括履职效能、预算管理、财务管理、资产管理、采购管理等情况，评分</w:t>
      </w:r>
      <w:r>
        <w:rPr>
          <w:rFonts w:hint="eastAsia" w:eastAsia="仿宋_GB2312" w:cs="仿宋_GB2312"/>
          <w:color w:val="auto"/>
          <w:sz w:val="32"/>
          <w:szCs w:val="32"/>
          <w:lang w:val="zh-CN"/>
        </w:rPr>
        <w:t>100分</w:t>
      </w:r>
      <w:r>
        <w:rPr>
          <w:rFonts w:eastAsia="仿宋_GB2312" w:cs="仿宋_GB2312"/>
          <w:sz w:val="32"/>
          <w:szCs w:val="32"/>
          <w:lang w:val="zh-CN"/>
        </w:rPr>
        <w:t>。</w:t>
      </w:r>
    </w:p>
    <w:p>
      <w:pPr>
        <w:adjustRightInd w:val="0"/>
        <w:snapToGrid w:val="0"/>
        <w:spacing w:line="578" w:lineRule="exact"/>
        <w:ind w:firstLine="640" w:firstLineChars="200"/>
        <w:contextualSpacing/>
        <w:jc w:val="left"/>
        <w:rPr>
          <w:rFonts w:eastAsia="仿宋_GB2312" w:cs="仿宋_GB2312"/>
          <w:sz w:val="32"/>
          <w:szCs w:val="32"/>
          <w:lang w:val="zh-CN"/>
        </w:rPr>
      </w:pPr>
      <w:r>
        <w:rPr>
          <w:rFonts w:hint="eastAsia" w:eastAsia="仿宋_GB2312" w:cs="仿宋_GB2312"/>
          <w:sz w:val="32"/>
          <w:szCs w:val="32"/>
        </w:rPr>
        <w:t>1.</w:t>
      </w:r>
      <w:r>
        <w:rPr>
          <w:rFonts w:hint="eastAsia" w:eastAsia="仿宋_GB2312" w:cs="仿宋_GB2312"/>
          <w:sz w:val="32"/>
          <w:szCs w:val="32"/>
          <w:lang w:val="zh-CN"/>
        </w:rPr>
        <w:t>履职效能。</w:t>
      </w:r>
      <w:r>
        <w:rPr>
          <w:rFonts w:eastAsia="仿宋_GB2312" w:cs="仿宋_GB2312"/>
          <w:sz w:val="32"/>
          <w:szCs w:val="32"/>
          <w:lang w:val="zh-CN"/>
        </w:rPr>
        <w:t>（1）2024年食品安全监督抽检绩效分析：盐边县市场监督管理局负责制定《盐边县2024年度食品安全抽检监测实施方案》；通过比选程序确定第三方承检机构四川省轻工业研究设计院有限公司，并与其签订服务合同；负责食品及食用农产品抽检结果公示；负责核对项目完成情况进行抽查；负责完成不合格食品和食用农产品核查处置。</w:t>
      </w:r>
    </w:p>
    <w:p>
      <w:pPr>
        <w:adjustRightInd w:val="0"/>
        <w:snapToGrid w:val="0"/>
        <w:spacing w:line="578" w:lineRule="exact"/>
        <w:ind w:firstLine="640" w:firstLineChars="200"/>
        <w:contextualSpacing/>
        <w:jc w:val="left"/>
        <w:rPr>
          <w:rFonts w:eastAsia="仿宋_GB2312" w:cs="仿宋_GB2312"/>
          <w:sz w:val="32"/>
          <w:szCs w:val="32"/>
          <w:lang w:val="zh-CN"/>
        </w:rPr>
      </w:pPr>
      <w:r>
        <w:rPr>
          <w:rFonts w:eastAsia="仿宋_GB2312" w:cs="仿宋_GB2312"/>
          <w:sz w:val="32"/>
          <w:szCs w:val="32"/>
          <w:lang w:val="zh-CN"/>
        </w:rPr>
        <w:t>依据《中华人民共和国食品安全法》第八十七条规定县级以上人民政府食品药品监督管理部门应当对食品进行定期或者不定期的抽样检验，并依据有关规定公布检验结果，不得免检。</w:t>
      </w:r>
    </w:p>
    <w:p>
      <w:pPr>
        <w:adjustRightInd w:val="0"/>
        <w:snapToGrid w:val="0"/>
        <w:spacing w:line="578" w:lineRule="exact"/>
        <w:ind w:firstLine="640" w:firstLineChars="200"/>
        <w:contextualSpacing/>
        <w:jc w:val="left"/>
        <w:rPr>
          <w:rFonts w:eastAsia="仿宋_GB2312" w:cs="仿宋_GB2312"/>
          <w:sz w:val="32"/>
          <w:szCs w:val="32"/>
          <w:lang w:val="zh-CN"/>
        </w:rPr>
      </w:pPr>
      <w:r>
        <w:rPr>
          <w:rFonts w:eastAsia="仿宋_GB2312" w:cs="仿宋_GB2312"/>
          <w:sz w:val="32"/>
          <w:szCs w:val="32"/>
          <w:lang w:val="zh-CN"/>
        </w:rPr>
        <w:t>按照《盐边县2024年度食品安全抽检监测实施方案》及抽检工作完成进度支付抽检检测机构产生的检测费用。</w:t>
      </w:r>
    </w:p>
    <w:p>
      <w:pPr>
        <w:adjustRightInd w:val="0"/>
        <w:snapToGrid w:val="0"/>
        <w:spacing w:line="578" w:lineRule="exact"/>
        <w:ind w:firstLine="640" w:firstLineChars="200"/>
        <w:contextualSpacing/>
        <w:jc w:val="left"/>
        <w:rPr>
          <w:rFonts w:eastAsia="仿宋_GB2312" w:cs="仿宋_GB2312"/>
          <w:sz w:val="32"/>
          <w:szCs w:val="32"/>
          <w:lang w:val="zh-CN"/>
        </w:rPr>
      </w:pPr>
      <w:r>
        <w:rPr>
          <w:rFonts w:eastAsia="仿宋_GB2312" w:cs="仿宋_GB2312"/>
          <w:sz w:val="32"/>
          <w:szCs w:val="32"/>
          <w:lang w:val="zh-CN"/>
        </w:rPr>
        <w:t>项目主要内容为：在我县辖区内开展300批次食品安全抽检，其中食品180批次，食用农产品120批次。</w:t>
      </w:r>
    </w:p>
    <w:p>
      <w:pPr>
        <w:adjustRightInd w:val="0"/>
        <w:snapToGrid w:val="0"/>
        <w:spacing w:line="578" w:lineRule="exact"/>
        <w:ind w:firstLine="640" w:firstLineChars="200"/>
        <w:contextualSpacing/>
        <w:jc w:val="left"/>
        <w:rPr>
          <w:rFonts w:eastAsia="仿宋_GB2312" w:cs="仿宋_GB2312"/>
          <w:sz w:val="32"/>
          <w:szCs w:val="32"/>
          <w:lang w:val="zh-CN"/>
        </w:rPr>
      </w:pPr>
      <w:r>
        <w:rPr>
          <w:rFonts w:eastAsia="仿宋_GB2312" w:cs="仿宋_GB2312"/>
          <w:sz w:val="32"/>
          <w:szCs w:val="32"/>
          <w:lang w:val="zh-CN"/>
        </w:rPr>
        <w:t>项目实施进度计划：县级抽检监测任务上半年完成量不低于总任务数45%，7-9月完成总任务数的75%，10-11月完成总任务数的100%。</w:t>
      </w:r>
    </w:p>
    <w:p>
      <w:pPr>
        <w:adjustRightInd w:val="0"/>
        <w:snapToGrid w:val="0"/>
        <w:spacing w:line="578" w:lineRule="exact"/>
        <w:ind w:firstLine="640" w:firstLineChars="200"/>
        <w:contextualSpacing/>
        <w:jc w:val="left"/>
        <w:rPr>
          <w:rFonts w:eastAsia="仿宋_GB2312" w:cs="仿宋_GB2312"/>
          <w:sz w:val="32"/>
          <w:szCs w:val="32"/>
          <w:lang w:val="zh-CN"/>
        </w:rPr>
      </w:pPr>
      <w:r>
        <w:rPr>
          <w:rFonts w:eastAsia="仿宋_GB2312" w:cs="仿宋_GB2312"/>
          <w:sz w:val="32"/>
          <w:szCs w:val="32"/>
          <w:lang w:val="zh-CN"/>
        </w:rPr>
        <w:t>我局在项目实施过程中严格加强专项经费和支付制度管理，实行专款专用。做好预算执行，加快预算支出进度，促进资金及时足额拨付。专项资金财政拨款到位后及时进行了项目开展和资金投入。同时注重提高资金项目的安全性，严格执行“收支两条线”的规定，防止截留、坐支、挪用和私设“小金库”，防止数据不实、虚假立项、骗取套取、挤占挪用财政资金等行为。年初县本级预算30万元，</w:t>
      </w:r>
      <w:r>
        <w:rPr>
          <w:rFonts w:hint="eastAsia" w:eastAsia="仿宋_GB2312" w:cs="仿宋_GB2312"/>
          <w:sz w:val="32"/>
          <w:szCs w:val="32"/>
          <w:lang w:val="zh-CN"/>
        </w:rPr>
        <w:t>截至</w:t>
      </w:r>
      <w:r>
        <w:rPr>
          <w:rFonts w:eastAsia="仿宋_GB2312" w:cs="仿宋_GB2312"/>
          <w:sz w:val="32"/>
          <w:szCs w:val="32"/>
          <w:lang w:val="zh-CN"/>
        </w:rPr>
        <w:t>2024年年末县级资金下达20万元。</w:t>
      </w:r>
      <w:r>
        <w:rPr>
          <w:rFonts w:hint="eastAsia" w:eastAsia="仿宋_GB2312" w:cs="仿宋_GB2312"/>
          <w:sz w:val="32"/>
          <w:szCs w:val="32"/>
          <w:lang w:val="zh-CN"/>
        </w:rPr>
        <w:t>截至</w:t>
      </w:r>
      <w:r>
        <w:rPr>
          <w:rFonts w:eastAsia="仿宋_GB2312" w:cs="仿宋_GB2312"/>
          <w:sz w:val="32"/>
          <w:szCs w:val="32"/>
          <w:lang w:val="zh-CN"/>
        </w:rPr>
        <w:t>2024年年末该专项资金共计使用20万元。我单位严格按照相关财务管理制度，对项目资金的申请、拨付、管理和使用严格按专项资金管理要求执行，专项资金严格按照“统筹兼顾、突出重点、促进发展、注重绩效”的原则进行分配和使用，各项制度执行落实较好，资金使用安全规范，未发现截留、挪用、挤占、虚列资金等现象。</w:t>
      </w:r>
    </w:p>
    <w:p>
      <w:pPr>
        <w:adjustRightInd w:val="0"/>
        <w:snapToGrid w:val="0"/>
        <w:spacing w:line="578" w:lineRule="exact"/>
        <w:ind w:firstLine="640" w:firstLineChars="200"/>
        <w:contextualSpacing/>
        <w:jc w:val="left"/>
        <w:rPr>
          <w:rFonts w:eastAsia="仿宋_GB2312" w:cs="仿宋_GB2312"/>
          <w:sz w:val="32"/>
          <w:szCs w:val="32"/>
          <w:lang w:val="zh-CN"/>
        </w:rPr>
      </w:pPr>
      <w:r>
        <w:rPr>
          <w:rFonts w:eastAsia="仿宋_GB2312" w:cs="仿宋_GB2312"/>
          <w:sz w:val="32"/>
          <w:szCs w:val="32"/>
          <w:lang w:val="zh-CN"/>
        </w:rPr>
        <w:t>该项目实施过程全程入网监管，该项目通过国家食品安全抽样检验系统对食品及食用农产品抽检工作进行计划制定、计划部署、抽样过程、抽检结果录入和公示等全过程录入，确保抽样品种、数量、检验项目保质保量完成；二是市市场监管局每季度对抽样数据进行审核，督促第三方承检机构及时对不规范的数据进行整改；三是该项目纳入年底食品安全考核，通过对完成数量、不合格率等指标进行评估，确保食品及食用农产品抽检工作达到预期目标。</w:t>
      </w:r>
    </w:p>
    <w:p>
      <w:pPr>
        <w:adjustRightInd w:val="0"/>
        <w:snapToGrid w:val="0"/>
        <w:spacing w:line="578" w:lineRule="exact"/>
        <w:ind w:firstLine="640" w:firstLineChars="200"/>
        <w:contextualSpacing/>
        <w:jc w:val="left"/>
        <w:rPr>
          <w:rFonts w:eastAsia="仿宋_GB2312" w:cs="仿宋_GB2312"/>
          <w:sz w:val="32"/>
          <w:szCs w:val="32"/>
          <w:lang w:val="zh-CN"/>
        </w:rPr>
      </w:pPr>
      <w:r>
        <w:rPr>
          <w:rFonts w:eastAsia="仿宋_GB2312" w:cs="仿宋_GB2312"/>
          <w:sz w:val="32"/>
          <w:szCs w:val="32"/>
          <w:lang w:val="zh-CN"/>
        </w:rPr>
        <w:t>我局在2024年11月31日前在盐边辖区内完成了食品抽检180批次和食用农产品抽检120批次。通过开展食品和食用农产品抽检工作，食品生产经营秩序得到有效规范，生产经营者落实进货查验、索票索证自觉性得到提高。从抽检结果来看，我县食品安全状况总体良好，但也反映出我们的监管重点应该放在食品添加剂的监管上，通过对不合格食品开展核查处置，严厉打击生产经营不合格食品行为，提高了群众对食品安全的满意度。</w:t>
      </w:r>
    </w:p>
    <w:p>
      <w:pPr>
        <w:adjustRightInd w:val="0"/>
        <w:snapToGrid w:val="0"/>
        <w:spacing w:line="578" w:lineRule="exact"/>
        <w:ind w:firstLine="640" w:firstLineChars="200"/>
        <w:contextualSpacing/>
        <w:jc w:val="left"/>
        <w:rPr>
          <w:rFonts w:eastAsia="仿宋_GB2312" w:cs="仿宋_GB2312"/>
          <w:sz w:val="32"/>
          <w:szCs w:val="32"/>
          <w:lang w:val="zh-CN"/>
        </w:rPr>
      </w:pPr>
      <w:r>
        <w:rPr>
          <w:rFonts w:hint="eastAsia" w:eastAsia="仿宋_GB2312" w:cs="仿宋_GB2312"/>
          <w:sz w:val="32"/>
          <w:szCs w:val="32"/>
          <w:lang w:val="zh-CN"/>
        </w:rPr>
        <w:t>（2）</w:t>
      </w:r>
      <w:r>
        <w:rPr>
          <w:rFonts w:eastAsia="仿宋_GB2312" w:cs="仿宋_GB2312"/>
          <w:sz w:val="32"/>
          <w:szCs w:val="32"/>
          <w:lang w:val="zh-CN"/>
        </w:rPr>
        <w:t>2024年药品监督抽检绩效分析：根据《中华人民共和国药品管理法》（2019修订版）第九条“县级以上地方人民政府对本行政区域内的药品监督管理工作负责，统一领导、组织、协调本行政区域内的药品监督管理工作”，第十条“县级以上人民政府应当将药品安全工作纳入本级国民经济和社会发展规划，将药品安全工作经费列入本级政府预算，加强药品监督管理能力建设，为药品安全工作提供保障”的规定以及省局《关于做好药品抽查检验经费争取工作的通知》（川药监发〔2019〕131号）精神，积极争取地方财政经费支持。依据《2024年攀枝花市药品抽检工作实施方案》（攀市监办〔2024〕21号）文件成立该项目。项目主要内容为开展药品区域性抽检20批次。要充分发挥药品抽检工作在发现药品质量问题及风险防控方面的技术支撑作用。一是提高被抽样单位覆盖率。应尽量扩大抽样的覆盖面，增强监管抽检的威慑力，原则上一个经营使用单位仅抽一批次样品。县以下零售和使用环节抽样覆盖率应不低于45%。零售和使用环节的抽样中，抽取本省药品上市许可持有人/药品生产企业生产的药品不低于抽样任务量的40%。二是坚持以问题为导向，提高抽检的针对性。将2023年国家和省级（含省外）药品抽检不合格的产品（含防疫药品、儿童用药品、老年用慢病药品、国家组织集中带量采购药品、省际联盟中成药等）作为抽样重点。区域性药品抽检县级20批次，区域性抽检中药饮片抽样批次应不小于抽样总批次的40%，妇女儿童用药品抽样批次应不小于抽样总批次的20%。经分析评价，盐边县2024年度药品安全抽检监测申报内容与实际相符。申报目标根据《中华人民共和国药品管理法》和省、市抽检任务分解及我县实际经济水平、监管对象、人口基数依法设定，合理可行。</w:t>
      </w:r>
    </w:p>
    <w:p>
      <w:pPr>
        <w:adjustRightInd w:val="0"/>
        <w:snapToGrid w:val="0"/>
        <w:spacing w:line="578" w:lineRule="exact"/>
        <w:ind w:firstLine="640" w:firstLineChars="200"/>
        <w:contextualSpacing/>
        <w:jc w:val="left"/>
        <w:rPr>
          <w:rFonts w:eastAsia="仿宋_GB2312" w:cs="仿宋_GB2312"/>
          <w:sz w:val="32"/>
          <w:szCs w:val="32"/>
          <w:lang w:val="zh-CN"/>
        </w:rPr>
      </w:pPr>
      <w:r>
        <w:rPr>
          <w:rFonts w:eastAsia="仿宋_GB2312" w:cs="仿宋_GB2312"/>
          <w:sz w:val="32"/>
          <w:szCs w:val="32"/>
          <w:lang w:val="zh-CN"/>
        </w:rPr>
        <w:t>药品抽检年初预算6万元。</w:t>
      </w:r>
      <w:r>
        <w:rPr>
          <w:rFonts w:hint="eastAsia" w:eastAsia="仿宋_GB2312" w:cs="仿宋_GB2312"/>
          <w:sz w:val="32"/>
          <w:szCs w:val="32"/>
          <w:lang w:val="zh-CN"/>
        </w:rPr>
        <w:t>截至</w:t>
      </w:r>
      <w:r>
        <w:rPr>
          <w:rFonts w:eastAsia="仿宋_GB2312" w:cs="仿宋_GB2312"/>
          <w:sz w:val="32"/>
          <w:szCs w:val="32"/>
          <w:lang w:val="zh-CN"/>
        </w:rPr>
        <w:t>2024年年末，累计下达预算6万元，药品抽检共支出6万元。</w:t>
      </w:r>
    </w:p>
    <w:p>
      <w:pPr>
        <w:adjustRightInd w:val="0"/>
        <w:snapToGrid w:val="0"/>
        <w:spacing w:line="578" w:lineRule="exact"/>
        <w:ind w:firstLine="640" w:firstLineChars="200"/>
        <w:contextualSpacing/>
        <w:jc w:val="left"/>
        <w:rPr>
          <w:rFonts w:eastAsia="仿宋_GB2312" w:cs="仿宋_GB2312"/>
          <w:sz w:val="32"/>
          <w:szCs w:val="32"/>
          <w:lang w:val="zh-CN"/>
        </w:rPr>
      </w:pPr>
      <w:r>
        <w:rPr>
          <w:rFonts w:eastAsia="仿宋_GB2312" w:cs="仿宋_GB2312"/>
          <w:sz w:val="32"/>
          <w:szCs w:val="32"/>
          <w:lang w:val="zh-CN"/>
        </w:rPr>
        <w:t>项目实施流程：制定《盐边县2024年药品抽检工作实施方案》→签订抽检合同→开展抽样检验。</w:t>
      </w:r>
    </w:p>
    <w:p>
      <w:pPr>
        <w:adjustRightInd w:val="0"/>
        <w:snapToGrid w:val="0"/>
        <w:spacing w:line="578" w:lineRule="exact"/>
        <w:ind w:firstLine="640" w:firstLineChars="200"/>
        <w:contextualSpacing/>
        <w:jc w:val="left"/>
        <w:rPr>
          <w:rFonts w:eastAsia="仿宋_GB2312" w:cs="仿宋_GB2312"/>
          <w:sz w:val="32"/>
          <w:szCs w:val="32"/>
          <w:lang w:val="zh-CN"/>
        </w:rPr>
      </w:pPr>
      <w:r>
        <w:rPr>
          <w:rFonts w:eastAsia="仿宋_GB2312" w:cs="仿宋_GB2312"/>
          <w:sz w:val="32"/>
          <w:szCs w:val="32"/>
          <w:lang w:val="zh-CN"/>
        </w:rPr>
        <w:t>项目抽检单位由攀枝花市市场监管局在《2024年攀枝花市药品抽检工作实施方案》中指定。此项工作纳入年底药品安全考核，通过对完成数量、不合格率等指标进行评估，确保药品抽检工作达到预期目标。</w:t>
      </w:r>
    </w:p>
    <w:p>
      <w:pPr>
        <w:adjustRightInd w:val="0"/>
        <w:snapToGrid w:val="0"/>
        <w:spacing w:line="578" w:lineRule="exact"/>
        <w:ind w:firstLine="640" w:firstLineChars="200"/>
        <w:contextualSpacing/>
        <w:jc w:val="left"/>
        <w:rPr>
          <w:rFonts w:eastAsia="仿宋_GB2312" w:cs="仿宋_GB2312"/>
          <w:sz w:val="32"/>
          <w:szCs w:val="32"/>
          <w:lang w:val="zh-CN"/>
        </w:rPr>
      </w:pPr>
      <w:r>
        <w:rPr>
          <w:rFonts w:eastAsia="仿宋_GB2312" w:cs="仿宋_GB2312"/>
          <w:sz w:val="32"/>
          <w:szCs w:val="32"/>
          <w:lang w:val="zh-CN"/>
        </w:rPr>
        <w:t>项目完成情况：2024年9月30日前完成药品抽样，10月30前完成样品检验，完成率为100%。检验完成后出具完整的检验报告。</w:t>
      </w:r>
    </w:p>
    <w:p>
      <w:pPr>
        <w:adjustRightInd w:val="0"/>
        <w:snapToGrid w:val="0"/>
        <w:spacing w:line="578" w:lineRule="exact"/>
        <w:ind w:firstLine="640" w:firstLineChars="200"/>
        <w:contextualSpacing/>
        <w:jc w:val="left"/>
        <w:rPr>
          <w:rFonts w:eastAsia="仿宋_GB2312" w:cs="仿宋_GB2312"/>
          <w:sz w:val="32"/>
          <w:szCs w:val="32"/>
          <w:lang w:val="zh-CN"/>
        </w:rPr>
      </w:pPr>
      <w:r>
        <w:rPr>
          <w:rFonts w:eastAsia="仿宋_GB2312" w:cs="仿宋_GB2312"/>
          <w:sz w:val="32"/>
          <w:szCs w:val="32"/>
          <w:lang w:val="zh-CN"/>
        </w:rPr>
        <w:t>通过开展药品抽检工作，药品经营、使用主体得到有效规范，主体责任意识有所提高。从抽检结果来看，我县药品安全状况总体良好，样品检验合格率100%，群众满意度全市第二。</w:t>
      </w:r>
    </w:p>
    <w:p>
      <w:pPr>
        <w:adjustRightInd w:val="0"/>
        <w:snapToGrid w:val="0"/>
        <w:spacing w:line="578" w:lineRule="exact"/>
        <w:ind w:firstLine="640" w:firstLineChars="200"/>
        <w:contextualSpacing/>
        <w:jc w:val="left"/>
        <w:rPr>
          <w:rFonts w:eastAsia="仿宋_GB2312" w:cs="仿宋_GB2312"/>
          <w:sz w:val="32"/>
          <w:szCs w:val="32"/>
          <w:lang w:val="zh-CN"/>
        </w:rPr>
      </w:pPr>
      <w:r>
        <w:rPr>
          <w:rFonts w:eastAsia="仿宋_GB2312" w:cs="仿宋_GB2312"/>
          <w:sz w:val="32"/>
          <w:szCs w:val="32"/>
          <w:lang w:val="zh-CN"/>
        </w:rPr>
        <w:t>2.预算管理。一是严格按要求科学、准确地编制年初部门预算；二是通过事前绩效评估核减低效无效预算，将成本指标列为绩效目标一级指标，增强目标的可操作性和约束力；三是将预决算信息公开，主动接受社会监督，提升公众对财政资金使用的知情权；四是严格按照支出进度执行；四是厉行节约、执行中央八项规定，对</w:t>
      </w:r>
      <w:r>
        <w:rPr>
          <w:rFonts w:hint="eastAsia" w:eastAsia="仿宋_GB2312" w:cs="仿宋_GB2312"/>
          <w:sz w:val="32"/>
          <w:szCs w:val="32"/>
          <w:lang w:val="zh-CN"/>
        </w:rPr>
        <w:t>“三公”经费</w:t>
      </w:r>
      <w:r>
        <w:rPr>
          <w:rFonts w:eastAsia="仿宋_GB2312" w:cs="仿宋_GB2312"/>
          <w:sz w:val="32"/>
          <w:szCs w:val="32"/>
          <w:lang w:val="zh-CN"/>
        </w:rPr>
        <w:t>严格审批、规范管理。</w:t>
      </w:r>
    </w:p>
    <w:p>
      <w:pPr>
        <w:adjustRightInd w:val="0"/>
        <w:snapToGrid w:val="0"/>
        <w:spacing w:line="578" w:lineRule="exact"/>
        <w:ind w:firstLine="640" w:firstLineChars="200"/>
        <w:contextualSpacing/>
        <w:jc w:val="left"/>
        <w:rPr>
          <w:rFonts w:eastAsia="仿宋_GB2312" w:cs="仿宋_GB2312"/>
          <w:sz w:val="32"/>
          <w:szCs w:val="32"/>
          <w:lang w:val="zh-CN"/>
        </w:rPr>
      </w:pPr>
      <w:r>
        <w:rPr>
          <w:rFonts w:eastAsia="仿宋_GB2312" w:cs="仿宋_GB2312"/>
          <w:sz w:val="32"/>
          <w:szCs w:val="32"/>
          <w:lang w:val="zh-CN"/>
        </w:rPr>
        <w:t>3.财务管理。一是定期更新财务制度，确保符合最新财政政策；二是清晰岗位职责，明确各岗位权限，对关键岗位实施轮岗制度；三是资金使用均符合相关财务管理制度规定。</w:t>
      </w:r>
    </w:p>
    <w:p>
      <w:pPr>
        <w:adjustRightInd w:val="0"/>
        <w:snapToGrid w:val="0"/>
        <w:spacing w:line="578" w:lineRule="exact"/>
        <w:ind w:firstLine="640" w:firstLineChars="200"/>
        <w:contextualSpacing/>
        <w:jc w:val="left"/>
        <w:rPr>
          <w:rFonts w:eastAsia="仿宋_GB2312" w:cs="仿宋_GB2312"/>
          <w:sz w:val="32"/>
          <w:szCs w:val="32"/>
          <w:lang w:val="zh-CN"/>
        </w:rPr>
      </w:pPr>
      <w:r>
        <w:rPr>
          <w:rFonts w:eastAsia="仿宋_GB2312" w:cs="仿宋_GB2312"/>
          <w:sz w:val="32"/>
          <w:szCs w:val="32"/>
          <w:lang w:val="zh-CN"/>
        </w:rPr>
        <w:t>4.资产管理。资产登记数量、规格、位置与实际情况匹配，定期进行盘点，无账实不符的情况。</w:t>
      </w:r>
    </w:p>
    <w:p>
      <w:pPr>
        <w:adjustRightInd w:val="0"/>
        <w:snapToGrid w:val="0"/>
        <w:spacing w:line="578" w:lineRule="exact"/>
        <w:ind w:firstLine="640" w:firstLineChars="200"/>
        <w:contextualSpacing/>
        <w:jc w:val="left"/>
        <w:rPr>
          <w:rFonts w:eastAsia="仿宋_GB2312" w:cs="仿宋_GB2312"/>
          <w:sz w:val="32"/>
          <w:szCs w:val="32"/>
          <w:lang w:val="zh-CN"/>
        </w:rPr>
      </w:pPr>
      <w:r>
        <w:rPr>
          <w:rFonts w:eastAsia="仿宋_GB2312" w:cs="仿宋_GB2312"/>
          <w:sz w:val="32"/>
          <w:szCs w:val="32"/>
          <w:lang w:val="zh-CN"/>
        </w:rPr>
        <w:t>5.采购管理。严格执行政府采购促进中小企业发展相关管理办法，采购执行率达到100%。</w:t>
      </w:r>
    </w:p>
    <w:p>
      <w:pPr>
        <w:adjustRightInd w:val="0"/>
        <w:snapToGrid w:val="0"/>
        <w:spacing w:line="578" w:lineRule="exact"/>
        <w:ind w:firstLine="643" w:firstLineChars="200"/>
        <w:contextualSpacing/>
        <w:jc w:val="left"/>
        <w:rPr>
          <w:rFonts w:eastAsia="楷体_GB2312"/>
          <w:b/>
          <w:bCs/>
          <w:color w:val="000000"/>
          <w:kern w:val="0"/>
          <w:sz w:val="32"/>
          <w:szCs w:val="32"/>
          <w:shd w:val="clear" w:color="auto" w:fill="FFFFFF"/>
          <w:lang w:val="zh-CN"/>
        </w:rPr>
      </w:pPr>
      <w:r>
        <w:rPr>
          <w:rFonts w:eastAsia="楷体_GB2312"/>
          <w:b/>
          <w:bCs/>
          <w:color w:val="000000"/>
          <w:kern w:val="0"/>
          <w:sz w:val="32"/>
          <w:szCs w:val="32"/>
          <w:shd w:val="clear" w:color="auto" w:fill="FFFFFF"/>
          <w:lang w:val="zh-CN"/>
        </w:rPr>
        <w:t>（二）部门预算项目绩效分析。</w:t>
      </w:r>
    </w:p>
    <w:p>
      <w:pPr>
        <w:adjustRightInd w:val="0"/>
        <w:snapToGrid w:val="0"/>
        <w:spacing w:line="578" w:lineRule="exact"/>
        <w:ind w:firstLine="640" w:firstLineChars="200"/>
        <w:contextualSpacing/>
        <w:jc w:val="left"/>
        <w:rPr>
          <w:rFonts w:eastAsia="仿宋_GB2312"/>
          <w:sz w:val="32"/>
          <w:szCs w:val="32"/>
          <w:lang w:val="zh-CN" w:bidi="ar"/>
        </w:rPr>
      </w:pPr>
      <w:r>
        <w:rPr>
          <w:rFonts w:eastAsia="仿宋_GB2312"/>
          <w:sz w:val="32"/>
          <w:szCs w:val="32"/>
          <w:lang w:val="zh-CN" w:bidi="ar"/>
        </w:rPr>
        <w:t>常年项目绩效分析。该类项目总数40个，涉及预算总金额1701.81万元，1—12月预算执行总体进度为100%，其中：预算结余率大于10%的项目共计0个。</w:t>
      </w:r>
    </w:p>
    <w:p>
      <w:pPr>
        <w:adjustRightInd w:val="0"/>
        <w:snapToGrid w:val="0"/>
        <w:spacing w:line="578" w:lineRule="exact"/>
        <w:ind w:firstLine="640" w:firstLineChars="200"/>
        <w:contextualSpacing/>
        <w:jc w:val="left"/>
        <w:rPr>
          <w:rFonts w:eastAsia="仿宋_GB2312"/>
          <w:sz w:val="32"/>
          <w:szCs w:val="32"/>
          <w:lang w:val="zh-CN" w:bidi="ar"/>
        </w:rPr>
      </w:pPr>
      <w:r>
        <w:rPr>
          <w:rFonts w:eastAsia="仿宋_GB2312"/>
          <w:sz w:val="32"/>
          <w:szCs w:val="32"/>
          <w:lang w:val="zh-CN" w:bidi="ar"/>
        </w:rPr>
        <w:t>阶段（含一次性）项目绩效分析。该类项目总数14个，涉及预算总金额447.65万元，1—12月预算执行总体进度为100%，其中：预算结余率大于10%的项目共计0个。</w:t>
      </w:r>
    </w:p>
    <w:p>
      <w:pPr>
        <w:adjustRightInd w:val="0"/>
        <w:snapToGrid w:val="0"/>
        <w:spacing w:line="578" w:lineRule="exact"/>
        <w:ind w:firstLine="640" w:firstLineChars="200"/>
        <w:contextualSpacing/>
        <w:jc w:val="left"/>
        <w:rPr>
          <w:rFonts w:eastAsia="仿宋_GB2312"/>
          <w:sz w:val="32"/>
          <w:szCs w:val="32"/>
          <w:lang w:val="zh-CN" w:bidi="ar"/>
        </w:rPr>
      </w:pPr>
      <w:r>
        <w:rPr>
          <w:rFonts w:eastAsia="仿宋_GB2312"/>
          <w:sz w:val="32"/>
          <w:szCs w:val="32"/>
          <w:lang w:val="zh-CN" w:bidi="ar"/>
        </w:rPr>
        <w:t>1.项目决策。项目决策程序符合国家政策、行业规范及组织内部制度，决策周期合理，不存在流程冗余或关键节点缺失，决策过程可追溯，信息公开。实际成果与初期设定目标偏差度低于10%；项目入库优先支持重点领域，入库前均充分评估政策风险、市场风险及技术风险，实现资源投入与</w:t>
      </w:r>
      <w:r>
        <w:rPr>
          <w:rFonts w:hint="eastAsia" w:eastAsia="仿宋_GB2312"/>
          <w:sz w:val="32"/>
          <w:szCs w:val="32"/>
          <w:lang w:val="zh-CN" w:bidi="ar"/>
        </w:rPr>
        <w:t>产出</w:t>
      </w:r>
      <w:r>
        <w:rPr>
          <w:rFonts w:eastAsia="仿宋_GB2312"/>
          <w:sz w:val="32"/>
          <w:szCs w:val="32"/>
          <w:lang w:val="zh-CN" w:bidi="ar"/>
        </w:rPr>
        <w:t>的最大化。</w:t>
      </w:r>
    </w:p>
    <w:p>
      <w:pPr>
        <w:adjustRightInd w:val="0"/>
        <w:snapToGrid w:val="0"/>
        <w:spacing w:line="578" w:lineRule="exact"/>
        <w:ind w:firstLine="640" w:firstLineChars="200"/>
        <w:contextualSpacing/>
        <w:jc w:val="left"/>
        <w:rPr>
          <w:rFonts w:eastAsia="仿宋_GB2312"/>
          <w:sz w:val="32"/>
          <w:szCs w:val="32"/>
          <w:lang w:val="zh-CN" w:bidi="ar"/>
        </w:rPr>
      </w:pPr>
      <w:r>
        <w:rPr>
          <w:rFonts w:eastAsia="仿宋_GB2312"/>
          <w:sz w:val="32"/>
          <w:szCs w:val="32"/>
          <w:lang w:val="zh-CN" w:bidi="ar"/>
        </w:rPr>
        <w:t>2.项目执行。资金使用符合预算批复用途，遵守财经法规，无挪用截留情况，资金拨付进度与项目进度匹配，无资金沉淀或超支现象。在预算执行过程中项目调整严格履行变更审批程序，按期、按质、按量完成项目。</w:t>
      </w:r>
    </w:p>
    <w:p>
      <w:pPr>
        <w:adjustRightInd w:val="0"/>
        <w:snapToGrid w:val="0"/>
        <w:spacing w:line="578" w:lineRule="exact"/>
        <w:ind w:firstLine="640" w:firstLineChars="200"/>
        <w:contextualSpacing/>
        <w:jc w:val="left"/>
        <w:rPr>
          <w:rFonts w:eastAsia="仿宋_GB2312"/>
          <w:sz w:val="32"/>
          <w:szCs w:val="32"/>
          <w:lang w:val="zh-CN" w:bidi="ar"/>
        </w:rPr>
      </w:pPr>
      <w:r>
        <w:rPr>
          <w:rFonts w:eastAsia="仿宋_GB2312"/>
          <w:sz w:val="32"/>
          <w:szCs w:val="32"/>
          <w:lang w:val="zh-CN" w:bidi="ar"/>
        </w:rPr>
        <w:t>3.目标实现。2024年，我局均在计划时间内完成预设目标，产出成果符合技术标准或行业规范，目标实现过程中资源消耗合理。</w:t>
      </w:r>
    </w:p>
    <w:p>
      <w:pPr>
        <w:snapToGrid w:val="0"/>
        <w:spacing w:line="600" w:lineRule="exact"/>
        <w:ind w:firstLine="643" w:firstLineChars="200"/>
        <w:rPr>
          <w:rFonts w:eastAsia="仿宋_GB2312"/>
          <w:sz w:val="32"/>
          <w:szCs w:val="32"/>
          <w:lang w:bidi="ar"/>
        </w:rPr>
      </w:pPr>
      <w:r>
        <w:rPr>
          <w:rFonts w:eastAsia="楷体_GB2312"/>
          <w:b/>
          <w:bCs/>
          <w:color w:val="000000"/>
          <w:kern w:val="0"/>
          <w:sz w:val="32"/>
          <w:szCs w:val="32"/>
          <w:shd w:val="clear" w:color="auto" w:fill="FFFFFF"/>
          <w:lang w:val="zh-CN"/>
        </w:rPr>
        <w:t>（</w:t>
      </w:r>
      <w:r>
        <w:rPr>
          <w:rFonts w:hint="eastAsia" w:eastAsia="楷体_GB2312"/>
          <w:b/>
          <w:bCs/>
          <w:color w:val="000000"/>
          <w:kern w:val="0"/>
          <w:sz w:val="32"/>
          <w:szCs w:val="32"/>
          <w:shd w:val="clear" w:color="auto" w:fill="FFFFFF"/>
        </w:rPr>
        <w:t>三</w:t>
      </w:r>
      <w:r>
        <w:rPr>
          <w:rFonts w:eastAsia="楷体_GB2312"/>
          <w:b/>
          <w:bCs/>
          <w:color w:val="000000"/>
          <w:kern w:val="0"/>
          <w:sz w:val="32"/>
          <w:szCs w:val="32"/>
          <w:shd w:val="clear" w:color="auto" w:fill="FFFFFF"/>
          <w:lang w:val="zh-CN"/>
        </w:rPr>
        <w:t>）绩效结果应用情况</w:t>
      </w:r>
      <w:r>
        <w:rPr>
          <w:rFonts w:hint="eastAsia" w:eastAsia="楷体_GB2312"/>
          <w:b/>
          <w:bCs/>
          <w:color w:val="000000"/>
          <w:kern w:val="0"/>
          <w:sz w:val="32"/>
          <w:szCs w:val="32"/>
          <w:shd w:val="clear" w:color="auto" w:fill="FFFFFF"/>
          <w:lang w:val="zh-CN"/>
        </w:rPr>
        <w:t>。</w:t>
      </w:r>
      <w:r>
        <w:rPr>
          <w:rFonts w:hint="eastAsia" w:eastAsia="仿宋_GB2312"/>
          <w:sz w:val="32"/>
          <w:szCs w:val="32"/>
          <w:lang w:val="zh-CN" w:bidi="ar"/>
        </w:rPr>
        <w:t>围绕内部应用情况、</w:t>
      </w:r>
      <w:r>
        <w:rPr>
          <w:rFonts w:eastAsia="仿宋_GB2312"/>
          <w:sz w:val="32"/>
          <w:szCs w:val="32"/>
          <w:lang w:val="zh-CN" w:bidi="ar"/>
        </w:rPr>
        <w:t>信息公开情况</w:t>
      </w:r>
      <w:r>
        <w:rPr>
          <w:rFonts w:hint="eastAsia" w:eastAsia="仿宋_GB2312"/>
          <w:sz w:val="32"/>
          <w:szCs w:val="32"/>
          <w:lang w:val="zh-CN" w:bidi="ar"/>
        </w:rPr>
        <w:t>、</w:t>
      </w:r>
      <w:r>
        <w:rPr>
          <w:rFonts w:eastAsia="仿宋_GB2312"/>
          <w:sz w:val="32"/>
          <w:szCs w:val="32"/>
          <w:lang w:val="zh-CN" w:bidi="ar"/>
        </w:rPr>
        <w:t>整改反馈情况</w:t>
      </w:r>
      <w:r>
        <w:rPr>
          <w:rFonts w:hint="eastAsia" w:eastAsia="仿宋_GB2312"/>
          <w:sz w:val="32"/>
          <w:szCs w:val="32"/>
          <w:lang w:val="zh-CN" w:bidi="ar"/>
        </w:rPr>
        <w:t>进行分析。</w:t>
      </w:r>
    </w:p>
    <w:p>
      <w:pPr>
        <w:widowControl/>
        <w:adjustRightInd w:val="0"/>
        <w:snapToGrid w:val="0"/>
        <w:spacing w:line="578" w:lineRule="exact"/>
        <w:ind w:firstLine="640" w:firstLineChars="200"/>
        <w:contextualSpacing/>
        <w:jc w:val="left"/>
        <w:rPr>
          <w:rFonts w:eastAsia="黑体"/>
          <w:color w:val="000000"/>
          <w:kern w:val="0"/>
          <w:sz w:val="32"/>
          <w:szCs w:val="32"/>
          <w:shd w:val="clear" w:color="auto" w:fill="FFFFFF"/>
          <w:lang w:val="zh-CN"/>
        </w:rPr>
      </w:pPr>
      <w:r>
        <w:rPr>
          <w:rFonts w:eastAsia="黑体"/>
          <w:color w:val="000000"/>
          <w:kern w:val="0"/>
          <w:sz w:val="32"/>
          <w:szCs w:val="32"/>
          <w:shd w:val="clear" w:color="auto" w:fill="FFFFFF"/>
          <w:lang w:val="zh-CN"/>
        </w:rPr>
        <w:t>四、评价结论及建议</w:t>
      </w:r>
    </w:p>
    <w:p>
      <w:pPr>
        <w:widowControl/>
        <w:adjustRightInd w:val="0"/>
        <w:snapToGrid w:val="0"/>
        <w:spacing w:line="578" w:lineRule="exact"/>
        <w:ind w:firstLine="643" w:firstLineChars="200"/>
        <w:contextualSpacing/>
        <w:jc w:val="left"/>
        <w:rPr>
          <w:rFonts w:eastAsia="仿宋_GB2312"/>
          <w:sz w:val="32"/>
          <w:szCs w:val="32"/>
          <w:lang w:val="zh-CN" w:bidi="ar"/>
        </w:rPr>
      </w:pPr>
      <w:r>
        <w:rPr>
          <w:rFonts w:eastAsia="楷体_GB2312"/>
          <w:b/>
          <w:bCs/>
          <w:color w:val="000000"/>
          <w:kern w:val="0"/>
          <w:sz w:val="32"/>
          <w:szCs w:val="32"/>
          <w:shd w:val="clear" w:color="auto" w:fill="FFFFFF"/>
          <w:lang w:val="zh-CN"/>
        </w:rPr>
        <w:t>（一）评价结论。</w:t>
      </w:r>
      <w:r>
        <w:rPr>
          <w:rFonts w:eastAsia="仿宋_GB2312"/>
          <w:sz w:val="32"/>
          <w:szCs w:val="32"/>
          <w:lang w:bidi="ar"/>
        </w:rPr>
        <w:t>盐</w:t>
      </w:r>
      <w:r>
        <w:rPr>
          <w:rFonts w:eastAsia="仿宋_GB2312"/>
          <w:sz w:val="32"/>
          <w:szCs w:val="32"/>
          <w:lang w:val="zh-CN" w:bidi="ar"/>
        </w:rPr>
        <w:t>边县市场监管局认真贯彻落实县委、县政府和市局的安排部署，围绕中心、服务大局、履职尽责、开拓创新，保障了各项工作有序推进。食品、药品、产商品质量、特种设备“四大安全”监管实现“零事故”。2024年部门预算资金基本实现了预期目标，自评得分</w:t>
      </w:r>
      <w:r>
        <w:rPr>
          <w:rFonts w:hint="eastAsia" w:eastAsia="仿宋_GB2312"/>
          <w:sz w:val="32"/>
          <w:szCs w:val="32"/>
          <w:lang w:val="en-US" w:eastAsia="zh-CN" w:bidi="ar"/>
        </w:rPr>
        <w:t>98</w:t>
      </w:r>
      <w:r>
        <w:rPr>
          <w:rFonts w:eastAsia="仿宋_GB2312"/>
          <w:sz w:val="32"/>
          <w:szCs w:val="32"/>
          <w:lang w:val="zh-CN" w:bidi="ar"/>
        </w:rPr>
        <w:t>分。</w:t>
      </w:r>
    </w:p>
    <w:p>
      <w:pPr>
        <w:widowControl/>
        <w:adjustRightInd w:val="0"/>
        <w:snapToGrid w:val="0"/>
        <w:spacing w:line="578" w:lineRule="exact"/>
        <w:ind w:firstLine="643" w:firstLineChars="200"/>
        <w:contextualSpacing/>
        <w:jc w:val="left"/>
        <w:rPr>
          <w:rFonts w:eastAsia="仿宋_GB2312"/>
          <w:sz w:val="32"/>
          <w:szCs w:val="32"/>
          <w:lang w:bidi="ar"/>
        </w:rPr>
      </w:pPr>
      <w:r>
        <w:rPr>
          <w:rFonts w:eastAsia="楷体_GB2312"/>
          <w:b/>
          <w:bCs/>
          <w:color w:val="000000"/>
          <w:kern w:val="0"/>
          <w:sz w:val="32"/>
          <w:szCs w:val="32"/>
          <w:shd w:val="clear" w:color="auto" w:fill="FFFFFF"/>
          <w:lang w:val="zh-CN"/>
        </w:rPr>
        <w:t>（二）存在问题。</w:t>
      </w:r>
      <w:r>
        <w:rPr>
          <w:rFonts w:eastAsia="仿宋_GB2312"/>
          <w:sz w:val="32"/>
          <w:szCs w:val="32"/>
          <w:lang w:val="zh-CN" w:bidi="ar"/>
        </w:rPr>
        <w:t>一是对全局职工绩效评价宣传培训工作做得不够；二是中央、省级监管补助资金下达时间滞后，许多项目无法及时开展，资金无法及时支付。</w:t>
      </w:r>
    </w:p>
    <w:p>
      <w:pPr>
        <w:widowControl/>
        <w:adjustRightInd w:val="0"/>
        <w:snapToGrid w:val="0"/>
        <w:spacing w:line="578" w:lineRule="exact"/>
        <w:ind w:firstLine="643" w:firstLineChars="200"/>
        <w:contextualSpacing/>
        <w:jc w:val="left"/>
        <w:rPr>
          <w:rFonts w:eastAsia="仿宋_GB2312"/>
          <w:sz w:val="32"/>
          <w:szCs w:val="32"/>
          <w:lang w:val="zh-CN" w:bidi="ar"/>
        </w:rPr>
      </w:pPr>
      <w:r>
        <w:rPr>
          <w:rFonts w:eastAsia="楷体_GB2312"/>
          <w:b/>
          <w:bCs/>
          <w:color w:val="000000"/>
          <w:kern w:val="0"/>
          <w:sz w:val="32"/>
          <w:szCs w:val="32"/>
          <w:shd w:val="clear" w:color="auto" w:fill="FFFFFF"/>
          <w:lang w:val="zh-CN"/>
        </w:rPr>
        <w:t>（三）改进建议。</w:t>
      </w:r>
      <w:bookmarkStart w:id="55" w:name="_Hlk110546638"/>
      <w:r>
        <w:rPr>
          <w:rFonts w:eastAsia="仿宋_GB2312"/>
          <w:sz w:val="32"/>
          <w:szCs w:val="32"/>
          <w:lang w:val="zh-CN" w:bidi="ar"/>
        </w:rPr>
        <w:t>一是强化项目实施各股室对资金绩效实现情况的责任约束。对专项资金偏离预算绩效目标的支出，及时采取有效措施予以纠正，让资金管理人、使用人皆知自身的责任，进一步规范专项资金使用绩效。二是加强资金监管。针对资金绩效运行状况，及时查找资金使用和管理过程中的薄弱环节，提出纠正措施；加快资金执行进度，确保后续绩效目标的有效实现。三是加强与财政沟通协调。加大资金保障力度，加快资金执行进度，及时跟踪问效，实现全程可查询、可追溯、可控制。</w:t>
      </w:r>
    </w:p>
    <w:bookmarkEnd w:id="55"/>
    <w:p>
      <w:pPr>
        <w:widowControl/>
        <w:adjustRightInd w:val="0"/>
        <w:snapToGrid w:val="0"/>
        <w:spacing w:line="578" w:lineRule="exact"/>
        <w:ind w:firstLine="640" w:firstLineChars="200"/>
        <w:contextualSpacing/>
        <w:jc w:val="left"/>
        <w:rPr>
          <w:rFonts w:eastAsia="仿宋_GB2312"/>
          <w:sz w:val="32"/>
          <w:lang w:val="zh-CN" w:bidi="ar"/>
        </w:rPr>
      </w:pPr>
    </w:p>
    <w:p>
      <w:pPr>
        <w:pStyle w:val="6"/>
        <w:spacing w:before="93"/>
        <w:rPr>
          <w:rFonts w:ascii="Times New Roman" w:cs="宋体"/>
          <w:color w:val="FF0000"/>
          <w:sz w:val="32"/>
          <w:szCs w:val="32"/>
          <w:highlight w:val="yellow"/>
          <w:shd w:val="clear" w:color="auto" w:fill="FFFFFF"/>
          <w:lang w:val="zh-CN"/>
        </w:rPr>
      </w:pPr>
    </w:p>
    <w:p>
      <w:pPr>
        <w:pStyle w:val="6"/>
        <w:spacing w:before="93"/>
        <w:rPr>
          <w:rFonts w:ascii="Times New Roman" w:cs="宋体"/>
          <w:color w:val="FF0000"/>
          <w:sz w:val="32"/>
          <w:szCs w:val="32"/>
          <w:highlight w:val="yellow"/>
          <w:shd w:val="clear" w:color="auto" w:fill="FFFFFF"/>
          <w:lang w:val="zh-CN"/>
        </w:rPr>
      </w:pPr>
    </w:p>
    <w:p>
      <w:pPr>
        <w:pStyle w:val="6"/>
        <w:spacing w:before="93"/>
        <w:rPr>
          <w:rFonts w:ascii="Times New Roman" w:cs="宋体"/>
          <w:color w:val="FF0000"/>
          <w:sz w:val="32"/>
          <w:szCs w:val="32"/>
          <w:highlight w:val="yellow"/>
          <w:shd w:val="clear" w:color="auto" w:fill="FFFFFF"/>
          <w:lang w:val="zh-CN"/>
        </w:rPr>
      </w:pPr>
    </w:p>
    <w:p>
      <w:pPr>
        <w:pStyle w:val="6"/>
        <w:spacing w:before="93"/>
        <w:rPr>
          <w:rFonts w:ascii="Times New Roman" w:eastAsia="黑体" w:cs="黑体"/>
          <w:sz w:val="32"/>
          <w:szCs w:val="32"/>
        </w:rPr>
      </w:pPr>
      <w:r>
        <w:rPr>
          <w:rFonts w:hint="eastAsia" w:ascii="Times New Roman" w:eastAsia="黑体" w:cs="黑体"/>
          <w:sz w:val="32"/>
          <w:szCs w:val="32"/>
          <w:shd w:val="clear" w:color="auto" w:fill="FFFFFF"/>
          <w:lang w:val="zh-CN"/>
        </w:rPr>
        <w:t>附件</w:t>
      </w:r>
      <w:r>
        <w:rPr>
          <w:rFonts w:hint="eastAsia" w:ascii="Times New Roman" w:eastAsia="黑体" w:cs="黑体"/>
          <w:sz w:val="32"/>
          <w:szCs w:val="32"/>
          <w:shd w:val="clear" w:color="auto" w:fill="FFFFFF"/>
        </w:rPr>
        <w:t>2</w:t>
      </w:r>
    </w:p>
    <w:p>
      <w:pPr>
        <w:pStyle w:val="35"/>
        <w:spacing w:line="578" w:lineRule="exact"/>
        <w:jc w:val="center"/>
        <w:rPr>
          <w:rFonts w:ascii="Times New Roman" w:hAnsi="Times New Roman" w:eastAsia="方正小标宋简体" w:cs="方正小标宋简体"/>
          <w:color w:val="auto"/>
          <w:kern w:val="2"/>
          <w:sz w:val="44"/>
          <w:szCs w:val="44"/>
          <w:lang w:val="en-US"/>
        </w:rPr>
      </w:pPr>
    </w:p>
    <w:p>
      <w:pPr>
        <w:pStyle w:val="35"/>
        <w:spacing w:line="578" w:lineRule="exact"/>
        <w:jc w:val="center"/>
        <w:rPr>
          <w:rFonts w:ascii="Times New Roman" w:hAnsi="Times New Roman" w:eastAsia="方正小标宋简体" w:cs="方正小标宋简体"/>
          <w:color w:val="auto"/>
          <w:kern w:val="2"/>
          <w:sz w:val="44"/>
          <w:szCs w:val="44"/>
          <w:lang w:val="en-US"/>
        </w:rPr>
      </w:pPr>
      <w:r>
        <w:rPr>
          <w:rFonts w:hint="eastAsia" w:ascii="Times New Roman" w:hAnsi="Times New Roman" w:eastAsia="方正小标宋简体" w:cs="方正小标宋简体"/>
          <w:color w:val="auto"/>
          <w:kern w:val="2"/>
          <w:sz w:val="44"/>
          <w:szCs w:val="44"/>
          <w:lang w:val="en-US"/>
        </w:rPr>
        <w:t>2024年药品抽检专项预算项目</w:t>
      </w:r>
    </w:p>
    <w:p>
      <w:pPr>
        <w:pStyle w:val="35"/>
        <w:spacing w:line="578" w:lineRule="exact"/>
        <w:jc w:val="center"/>
        <w:rPr>
          <w:rFonts w:ascii="Times New Roman" w:hAnsi="Times New Roman" w:eastAsia="方正小标宋简体" w:cs="方正小标宋简体"/>
          <w:color w:val="auto"/>
          <w:kern w:val="2"/>
          <w:sz w:val="44"/>
          <w:szCs w:val="44"/>
          <w:lang w:val="en-US"/>
        </w:rPr>
      </w:pPr>
      <w:r>
        <w:rPr>
          <w:rFonts w:hint="eastAsia" w:ascii="Times New Roman" w:hAnsi="Times New Roman" w:eastAsia="方正小标宋简体" w:cs="方正小标宋简体"/>
          <w:color w:val="auto"/>
          <w:kern w:val="2"/>
          <w:sz w:val="44"/>
          <w:szCs w:val="44"/>
          <w:lang w:val="en-US"/>
        </w:rPr>
        <w:t>绩效评价报告</w:t>
      </w:r>
    </w:p>
    <w:p>
      <w:pPr>
        <w:pStyle w:val="35"/>
        <w:spacing w:line="578" w:lineRule="exact"/>
        <w:ind w:firstLine="640"/>
        <w:jc w:val="center"/>
        <w:rPr>
          <w:rFonts w:ascii="Times New Roman" w:hAnsi="Times New Roman"/>
          <w:color w:val="auto"/>
          <w:kern w:val="2"/>
          <w:sz w:val="32"/>
          <w:szCs w:val="32"/>
        </w:rPr>
      </w:pPr>
    </w:p>
    <w:p>
      <w:pPr>
        <w:adjustRightInd w:val="0"/>
        <w:snapToGrid w:val="0"/>
        <w:spacing w:line="578" w:lineRule="exact"/>
        <w:ind w:firstLine="640" w:firstLineChars="200"/>
        <w:rPr>
          <w:rFonts w:eastAsia="黑体"/>
          <w:sz w:val="32"/>
          <w:szCs w:val="32"/>
          <w:lang w:val="zh-CN"/>
        </w:rPr>
      </w:pPr>
      <w:r>
        <w:rPr>
          <w:rFonts w:hint="eastAsia" w:eastAsia="黑体"/>
          <w:sz w:val="32"/>
          <w:szCs w:val="32"/>
        </w:rPr>
        <w:t>一、</w:t>
      </w:r>
      <w:r>
        <w:rPr>
          <w:rFonts w:hint="eastAsia" w:eastAsia="黑体"/>
          <w:sz w:val="32"/>
          <w:szCs w:val="32"/>
          <w:lang w:val="zh-CN"/>
        </w:rPr>
        <w:t>项目概况</w:t>
      </w:r>
    </w:p>
    <w:p>
      <w:pPr>
        <w:adjustRightInd w:val="0"/>
        <w:snapToGrid w:val="0"/>
        <w:spacing w:line="600" w:lineRule="exact"/>
        <w:ind w:firstLine="720"/>
        <w:rPr>
          <w:rFonts w:eastAsia="仿宋_GB2312" w:cs="仿宋_GB2312"/>
          <w:kern w:val="0"/>
          <w:sz w:val="32"/>
          <w:szCs w:val="32"/>
          <w:shd w:val="clear" w:color="auto" w:fill="FFFFFF"/>
          <w:lang w:val="zh-CN"/>
        </w:rPr>
      </w:pPr>
      <w:r>
        <w:rPr>
          <w:rFonts w:hint="eastAsia" w:eastAsia="楷体_GB2312"/>
          <w:b/>
          <w:sz w:val="32"/>
          <w:szCs w:val="32"/>
          <w:lang w:val="zh-CN"/>
        </w:rPr>
        <w:t>（一）设立背景及基本情况。</w:t>
      </w:r>
      <w:r>
        <w:rPr>
          <w:rFonts w:eastAsia="仿宋_GB2312"/>
          <w:color w:val="000000"/>
          <w:sz w:val="32"/>
          <w:szCs w:val="32"/>
        </w:rPr>
        <w:t>根据《中华人民共和国药品管理法》（2019 修订版） 第九条“县级以上地方人民政府对本行政区域内的药品监督管理工作负责， 统一领导、 组织、 协调本行政区域内的药品监督管理工作”，第十条“县级以上人民政府应当将药品安全工作纳入本级国民经济和社会发展规划， 将药品安全工作经费列入本级政府预算， 加强药品监督管理能力建设， 为药品安全工作提供保障”的规定</w:t>
      </w:r>
      <w:r>
        <w:rPr>
          <w:rFonts w:hint="eastAsia" w:eastAsia="仿宋_GB2312"/>
          <w:color w:val="000000"/>
          <w:sz w:val="32"/>
          <w:szCs w:val="32"/>
        </w:rPr>
        <w:t>以及省局《关于做好药品抽查检验经费争取工作的通知》（川药监发〔2019〕131 号）精神，积极争取地方财政经费支持。</w:t>
      </w:r>
    </w:p>
    <w:p>
      <w:pPr>
        <w:ind w:firstLine="640" w:firstLineChars="200"/>
        <w:rPr>
          <w:rFonts w:eastAsia="仿宋_GB2312"/>
          <w:sz w:val="32"/>
          <w:szCs w:val="32"/>
        </w:rPr>
      </w:pPr>
      <w:r>
        <w:rPr>
          <w:rFonts w:eastAsia="仿宋_GB2312"/>
          <w:sz w:val="32"/>
          <w:szCs w:val="32"/>
          <w:lang w:val="zh-CN"/>
        </w:rPr>
        <w:t>根据历年市级主管部门下达区域性药品抽检任务数，结合辖区实际，确定202</w:t>
      </w:r>
      <w:r>
        <w:rPr>
          <w:rFonts w:hint="eastAsia" w:eastAsia="仿宋_GB2312"/>
          <w:sz w:val="32"/>
          <w:szCs w:val="32"/>
        </w:rPr>
        <w:t>4</w:t>
      </w:r>
      <w:r>
        <w:rPr>
          <w:rFonts w:eastAsia="仿宋_GB2312"/>
          <w:sz w:val="32"/>
          <w:szCs w:val="32"/>
          <w:lang w:val="zh-CN"/>
        </w:rPr>
        <w:t>年度药品区域性抽检20批次任务</w:t>
      </w:r>
      <w:r>
        <w:rPr>
          <w:rFonts w:hint="eastAsia" w:eastAsia="仿宋_GB2312"/>
          <w:sz w:val="32"/>
          <w:szCs w:val="32"/>
          <w:lang w:val="zh-CN"/>
        </w:rPr>
        <w:t>，项目资金</w:t>
      </w:r>
      <w:r>
        <w:rPr>
          <w:rFonts w:hint="eastAsia" w:eastAsia="仿宋_GB2312"/>
          <w:sz w:val="32"/>
          <w:szCs w:val="32"/>
        </w:rPr>
        <w:t>6万元。</w:t>
      </w:r>
    </w:p>
    <w:p>
      <w:pPr>
        <w:snapToGrid w:val="0"/>
        <w:spacing w:line="560" w:lineRule="exact"/>
        <w:ind w:firstLine="643" w:firstLineChars="200"/>
        <w:jc w:val="left"/>
        <w:rPr>
          <w:rFonts w:eastAsia="仿宋_GB2312"/>
          <w:sz w:val="32"/>
          <w:szCs w:val="32"/>
        </w:rPr>
      </w:pPr>
      <w:r>
        <w:rPr>
          <w:rFonts w:hint="eastAsia" w:eastAsia="楷体_GB2312"/>
          <w:b/>
          <w:sz w:val="32"/>
          <w:szCs w:val="32"/>
        </w:rPr>
        <w:t>（二）</w:t>
      </w:r>
      <w:r>
        <w:rPr>
          <w:rFonts w:eastAsia="楷体_GB2312"/>
          <w:b/>
          <w:sz w:val="32"/>
          <w:szCs w:val="32"/>
        </w:rPr>
        <w:t>实施目的及支持方向</w:t>
      </w:r>
      <w:r>
        <w:rPr>
          <w:rFonts w:hint="eastAsia" w:eastAsia="楷体_GB2312"/>
          <w:b/>
          <w:sz w:val="32"/>
          <w:szCs w:val="32"/>
        </w:rPr>
        <w:t>。</w:t>
      </w:r>
      <w:r>
        <w:rPr>
          <w:rFonts w:eastAsia="仿宋_GB2312"/>
          <w:sz w:val="32"/>
          <w:szCs w:val="32"/>
          <w:lang w:val="zh-CN"/>
        </w:rPr>
        <w:t>通过药品抽检，旨在掌握我县药品质量安全情况，及时发现药品风险，努力防范区域性、系统性药品安全风险，保障人民用药安全，同时为药品上市后评价工作做好数据支撑。</w:t>
      </w:r>
      <w:r>
        <w:rPr>
          <w:rFonts w:hint="eastAsia" w:ascii="CESI仿宋-GB2312" w:hAnsi="CESI仿宋-GB2312" w:eastAsia="CESI仿宋-GB2312" w:cs="CESI仿宋-GB2312"/>
          <w:bCs/>
          <w:sz w:val="32"/>
          <w:szCs w:val="32"/>
        </w:rPr>
        <w:t>《2024年攀枝花市药品抽检工作实施方案》（攀市监办〔2024〕21号）。</w:t>
      </w:r>
    </w:p>
    <w:p>
      <w:pPr>
        <w:ind w:firstLine="643" w:firstLineChars="200"/>
        <w:rPr>
          <w:rFonts w:ascii="CESI仿宋-GB2312" w:hAnsi="CESI仿宋-GB2312" w:eastAsia="CESI仿宋-GB2312" w:cs="CESI仿宋-GB2312"/>
          <w:bCs/>
          <w:sz w:val="32"/>
          <w:szCs w:val="32"/>
          <w:lang w:val="zh-CN"/>
        </w:rPr>
      </w:pPr>
      <w:r>
        <w:rPr>
          <w:rFonts w:hint="eastAsia" w:eastAsia="楷体_GB2312"/>
          <w:b/>
          <w:sz w:val="32"/>
          <w:szCs w:val="32"/>
          <w:lang w:val="zh-CN"/>
        </w:rPr>
        <w:t>（三）</w:t>
      </w:r>
      <w:r>
        <w:rPr>
          <w:rFonts w:eastAsia="楷体_GB2312"/>
          <w:b/>
          <w:sz w:val="32"/>
          <w:szCs w:val="32"/>
        </w:rPr>
        <w:t>预算安排及分配管理</w:t>
      </w:r>
      <w:r>
        <w:rPr>
          <w:rFonts w:hint="eastAsia" w:eastAsia="楷体_GB2312"/>
          <w:b/>
          <w:sz w:val="32"/>
          <w:szCs w:val="32"/>
          <w:lang w:val="zh-CN"/>
        </w:rPr>
        <w:t>。</w:t>
      </w:r>
      <w:r>
        <w:rPr>
          <w:rFonts w:eastAsia="仿宋_GB2312"/>
          <w:sz w:val="32"/>
          <w:szCs w:val="32"/>
          <w:lang w:val="zh-CN"/>
        </w:rPr>
        <w:t>202</w:t>
      </w:r>
      <w:r>
        <w:rPr>
          <w:rFonts w:hint="eastAsia" w:eastAsia="仿宋_GB2312"/>
          <w:sz w:val="32"/>
          <w:szCs w:val="32"/>
        </w:rPr>
        <w:t>4</w:t>
      </w:r>
      <w:r>
        <w:rPr>
          <w:rFonts w:eastAsia="仿宋_GB2312"/>
          <w:sz w:val="32"/>
          <w:szCs w:val="32"/>
          <w:lang w:val="zh-CN"/>
        </w:rPr>
        <w:t>年度区域性药品抽检任务数暂为20批次，抽检费用为3000元/批次，合计6万元。</w:t>
      </w:r>
      <w:r>
        <w:rPr>
          <w:rFonts w:hint="eastAsia" w:eastAsia="方正仿宋_GBK"/>
          <w:sz w:val="32"/>
          <w:szCs w:val="32"/>
          <w:lang w:val="zh-CN"/>
        </w:rPr>
        <w:t>按照抽检方案支付抽检检测机构产生的检测费用。</w:t>
      </w:r>
    </w:p>
    <w:p>
      <w:pPr>
        <w:ind w:firstLine="643" w:firstLineChars="200"/>
        <w:rPr>
          <w:rFonts w:ascii="CESI仿宋-GB2312" w:hAnsi="CESI仿宋-GB2312" w:eastAsia="CESI仿宋-GB2312" w:cs="CESI仿宋-GB2312"/>
          <w:kern w:val="0"/>
          <w:sz w:val="32"/>
          <w:szCs w:val="32"/>
          <w:lang w:val="zh-CN"/>
        </w:rPr>
      </w:pPr>
      <w:r>
        <w:rPr>
          <w:rFonts w:hint="eastAsia" w:eastAsia="楷体_GB2312"/>
          <w:b/>
          <w:sz w:val="32"/>
          <w:szCs w:val="32"/>
          <w:lang w:val="zh-CN"/>
        </w:rPr>
        <w:t>（四）项目绩效目标设置。</w:t>
      </w:r>
      <w:r>
        <w:rPr>
          <w:rFonts w:eastAsia="仿宋_GB2312"/>
          <w:sz w:val="32"/>
          <w:szCs w:val="32"/>
          <w:lang w:val="zh-CN"/>
        </w:rPr>
        <w:t>充分发挥药品抽检工作在发现药品质量问题及风险防控方面的技术支撑作用。202</w:t>
      </w:r>
      <w:r>
        <w:rPr>
          <w:rFonts w:hint="eastAsia" w:eastAsia="仿宋_GB2312"/>
          <w:sz w:val="32"/>
          <w:szCs w:val="32"/>
        </w:rPr>
        <w:t>4</w:t>
      </w:r>
      <w:r>
        <w:rPr>
          <w:rFonts w:eastAsia="仿宋_GB2312"/>
          <w:sz w:val="32"/>
          <w:szCs w:val="32"/>
          <w:lang w:val="zh-CN"/>
        </w:rPr>
        <w:t>年9月30日前完成药品抽样，10月30前完成样品检验，完成率为100%。检验完成后出具完整的检验报告。</w:t>
      </w:r>
    </w:p>
    <w:p>
      <w:pPr>
        <w:adjustRightInd w:val="0"/>
        <w:snapToGrid w:val="0"/>
        <w:spacing w:line="578" w:lineRule="exact"/>
        <w:ind w:firstLine="640" w:firstLineChars="200"/>
        <w:rPr>
          <w:rFonts w:eastAsia="黑体"/>
          <w:sz w:val="32"/>
          <w:szCs w:val="32"/>
        </w:rPr>
      </w:pPr>
      <w:r>
        <w:rPr>
          <w:rFonts w:hint="eastAsia" w:eastAsia="黑体"/>
          <w:sz w:val="32"/>
          <w:szCs w:val="32"/>
        </w:rPr>
        <w:t>二、评价实施</w:t>
      </w:r>
    </w:p>
    <w:p>
      <w:pPr>
        <w:ind w:firstLine="643" w:firstLineChars="200"/>
        <w:rPr>
          <w:rFonts w:eastAsia="仿宋_GB2312" w:cs="仿宋_GB2312"/>
          <w:kern w:val="0"/>
          <w:sz w:val="32"/>
          <w:szCs w:val="32"/>
          <w:lang w:val="zh-CN"/>
        </w:rPr>
      </w:pPr>
      <w:r>
        <w:rPr>
          <w:rFonts w:hint="eastAsia" w:eastAsia="楷体_GB2312"/>
          <w:b/>
          <w:sz w:val="32"/>
          <w:szCs w:val="32"/>
          <w:lang w:val="zh-CN"/>
        </w:rPr>
        <w:t>（一）评价目的。</w:t>
      </w:r>
      <w:r>
        <w:rPr>
          <w:rFonts w:eastAsia="仿宋_GB2312"/>
          <w:sz w:val="32"/>
          <w:szCs w:val="32"/>
          <w:lang w:val="zh-CN"/>
        </w:rPr>
        <w:t>为全面实施预算绩效管理，建立科学、合理的项目支出绩效评价管理体系，提高财政资源配置效率和使用效益，顺利推进项目实施。</w:t>
      </w:r>
    </w:p>
    <w:p>
      <w:pPr>
        <w:spacing w:line="560" w:lineRule="exact"/>
        <w:ind w:firstLine="643" w:firstLineChars="200"/>
        <w:rPr>
          <w:rFonts w:eastAsia="仿宋_GB2312" w:cs="仿宋_GB2312"/>
          <w:kern w:val="0"/>
          <w:sz w:val="32"/>
          <w:szCs w:val="32"/>
          <w:lang w:val="zh-CN"/>
        </w:rPr>
      </w:pPr>
      <w:r>
        <w:rPr>
          <w:rFonts w:hint="eastAsia" w:eastAsia="楷体_GB2312"/>
          <w:b/>
          <w:sz w:val="32"/>
          <w:szCs w:val="32"/>
          <w:lang w:val="zh-CN"/>
        </w:rPr>
        <w:t>（二）预设问题及评价重点。</w:t>
      </w:r>
      <w:r>
        <w:rPr>
          <w:rFonts w:hint="eastAsia" w:ascii="方正楷体_GBK" w:eastAsia="方正楷体_GBK"/>
          <w:color w:val="000000"/>
          <w:sz w:val="32"/>
          <w:szCs w:val="32"/>
        </w:rPr>
        <w:t>一是提高被抽样单位覆盖率。</w:t>
      </w:r>
      <w:r>
        <w:rPr>
          <w:rFonts w:eastAsia="仿宋_GB2312"/>
          <w:color w:val="000000"/>
          <w:sz w:val="32"/>
          <w:szCs w:val="32"/>
        </w:rPr>
        <w:t>应尽量扩大抽样的覆盖面，增强监管抽检的威慑力，原则上一个经营使用单位仅抽一批次样品。</w:t>
      </w:r>
      <w:r>
        <w:rPr>
          <w:rFonts w:eastAsia="仿宋_GB2312"/>
          <w:sz w:val="32"/>
          <w:szCs w:val="32"/>
        </w:rPr>
        <w:t>县以下零售和使用环节抽样覆盖率应不低于 45%。</w:t>
      </w:r>
      <w:r>
        <w:rPr>
          <w:rFonts w:hint="eastAsia" w:eastAsia="仿宋_GB2312"/>
          <w:sz w:val="32"/>
          <w:szCs w:val="32"/>
        </w:rPr>
        <w:t>零售和使用环节的抽样中，抽取本省药品上市许可持有人/药品生产企业生产的药品不低于抽样任务量的 40%。</w:t>
      </w:r>
      <w:r>
        <w:rPr>
          <w:rFonts w:hint="eastAsia"/>
          <w:sz w:val="32"/>
          <w:szCs w:val="32"/>
        </w:rPr>
        <w:t>二是</w:t>
      </w:r>
      <w:r>
        <w:rPr>
          <w:rFonts w:hint="eastAsia" w:ascii="方正楷体_GBK" w:eastAsia="方正楷体_GBK"/>
          <w:color w:val="000000"/>
          <w:sz w:val="32"/>
          <w:szCs w:val="32"/>
        </w:rPr>
        <w:t>坚持以问题为导向，提高抽检的针对性。</w:t>
      </w:r>
      <w:r>
        <w:rPr>
          <w:rFonts w:hint="eastAsia" w:eastAsia="仿宋_GB2312"/>
          <w:sz w:val="32"/>
          <w:szCs w:val="32"/>
        </w:rPr>
        <w:t>将 202</w:t>
      </w:r>
      <w:r>
        <w:rPr>
          <w:rFonts w:hint="eastAsia"/>
          <w:sz w:val="32"/>
          <w:szCs w:val="32"/>
        </w:rPr>
        <w:t>3</w:t>
      </w:r>
      <w:r>
        <w:rPr>
          <w:rFonts w:hint="eastAsia" w:eastAsia="仿宋_GB2312"/>
          <w:sz w:val="32"/>
          <w:szCs w:val="32"/>
        </w:rPr>
        <w:t>年国家和省级（含省外）药品抽检不合格的产品（含防疫药品、儿童用药品、老年用慢病药品、国家组织集中带量采购药品、省际联盟中成药等）作为抽样重点。</w:t>
      </w:r>
      <w:r>
        <w:rPr>
          <w:rFonts w:eastAsia="仿宋_GB2312"/>
          <w:sz w:val="32"/>
          <w:szCs w:val="32"/>
        </w:rPr>
        <w:t>区域性药品抽检</w:t>
      </w:r>
      <w:r>
        <w:rPr>
          <w:rFonts w:hint="eastAsia" w:eastAsia="仿宋_GB2312"/>
          <w:sz w:val="32"/>
          <w:szCs w:val="32"/>
        </w:rPr>
        <w:t>县级</w:t>
      </w:r>
      <w:r>
        <w:rPr>
          <w:rFonts w:eastAsia="仿宋_GB2312"/>
          <w:sz w:val="32"/>
          <w:szCs w:val="32"/>
        </w:rPr>
        <w:t>20批次，区域性抽检中药饮片抽样批次应不小于抽样总批次的 40%</w:t>
      </w:r>
      <w:r>
        <w:rPr>
          <w:rFonts w:hint="eastAsia" w:eastAsia="仿宋_GB2312"/>
          <w:sz w:val="32"/>
          <w:szCs w:val="32"/>
        </w:rPr>
        <w:t>，妇女儿童用药品抽样</w:t>
      </w:r>
      <w:r>
        <w:rPr>
          <w:rFonts w:eastAsia="仿宋_GB2312"/>
          <w:sz w:val="32"/>
          <w:szCs w:val="32"/>
        </w:rPr>
        <w:t xml:space="preserve">批次应不小于抽样总批次的 </w:t>
      </w:r>
      <w:r>
        <w:rPr>
          <w:rFonts w:hint="eastAsia" w:eastAsia="仿宋_GB2312"/>
          <w:sz w:val="32"/>
          <w:szCs w:val="32"/>
        </w:rPr>
        <w:t>20</w:t>
      </w:r>
      <w:r>
        <w:rPr>
          <w:rFonts w:eastAsia="仿宋_GB2312"/>
          <w:sz w:val="32"/>
          <w:szCs w:val="32"/>
        </w:rPr>
        <w:t>%</w:t>
      </w:r>
      <w:r>
        <w:rPr>
          <w:rFonts w:hint="eastAsia" w:eastAsia="仿宋_GB2312"/>
          <w:sz w:val="32"/>
          <w:szCs w:val="32"/>
        </w:rPr>
        <w:t>。</w:t>
      </w:r>
    </w:p>
    <w:p>
      <w:pPr>
        <w:ind w:firstLine="643" w:firstLineChars="200"/>
        <w:outlineLvl w:val="2"/>
        <w:rPr>
          <w:rFonts w:eastAsia="仿宋_GB2312"/>
          <w:sz w:val="32"/>
          <w:szCs w:val="32"/>
          <w:lang w:val="zh-CN"/>
        </w:rPr>
      </w:pPr>
      <w:r>
        <w:rPr>
          <w:rFonts w:hint="eastAsia" w:eastAsia="楷体_GB2312"/>
          <w:b/>
          <w:sz w:val="32"/>
          <w:szCs w:val="32"/>
          <w:lang w:val="zh-CN"/>
        </w:rPr>
        <w:t>（三）评价选点。</w:t>
      </w:r>
      <w:r>
        <w:rPr>
          <w:rFonts w:eastAsia="仿宋_GB2312"/>
          <w:sz w:val="32"/>
          <w:szCs w:val="32"/>
          <w:lang w:val="zh-CN"/>
        </w:rPr>
        <w:t>选点为不合格抽检样品。</w:t>
      </w:r>
    </w:p>
    <w:p>
      <w:pPr>
        <w:ind w:firstLine="643" w:firstLineChars="200"/>
        <w:rPr>
          <w:rFonts w:ascii="CESI仿宋-GB2312" w:hAnsi="CESI仿宋-GB2312" w:eastAsia="CESI仿宋-GB2312" w:cs="CESI仿宋-GB2312"/>
          <w:bCs/>
          <w:sz w:val="32"/>
          <w:szCs w:val="32"/>
        </w:rPr>
      </w:pPr>
      <w:r>
        <w:rPr>
          <w:rFonts w:hint="eastAsia" w:eastAsia="楷体_GB2312"/>
          <w:b/>
          <w:sz w:val="32"/>
          <w:szCs w:val="32"/>
          <w:lang w:val="zh-CN"/>
        </w:rPr>
        <w:t>（四）评价方法。</w:t>
      </w:r>
      <w:r>
        <w:rPr>
          <w:rFonts w:hint="eastAsia" w:eastAsia="仿宋_GB2312"/>
          <w:sz w:val="32"/>
          <w:szCs w:val="32"/>
          <w:lang w:val="zh-CN"/>
        </w:rPr>
        <w:t>通</w:t>
      </w:r>
      <w:r>
        <w:rPr>
          <w:rFonts w:eastAsia="仿宋_GB2312"/>
          <w:sz w:val="32"/>
          <w:szCs w:val="32"/>
          <w:lang w:val="zh-CN"/>
        </w:rPr>
        <w:t>过</w:t>
      </w:r>
      <w:r>
        <w:rPr>
          <w:rFonts w:eastAsia="仿宋_GB2312"/>
          <w:sz w:val="32"/>
          <w:szCs w:val="32"/>
          <w:lang w:val="zh-CN"/>
        </w:rPr>
        <w:t>单位自评法，评价该项目是否完成202</w:t>
      </w:r>
      <w:r>
        <w:rPr>
          <w:rFonts w:hint="eastAsia" w:eastAsia="仿宋_GB2312"/>
          <w:sz w:val="32"/>
          <w:szCs w:val="32"/>
        </w:rPr>
        <w:t>4</w:t>
      </w:r>
      <w:r>
        <w:rPr>
          <w:rFonts w:eastAsia="仿宋_GB2312"/>
          <w:sz w:val="32"/>
          <w:szCs w:val="32"/>
          <w:lang w:val="zh-CN"/>
        </w:rPr>
        <w:t>年药品安全考核中药品监督抽检任务，达到项目决策的目的。</w:t>
      </w:r>
    </w:p>
    <w:p>
      <w:pPr>
        <w:adjustRightInd w:val="0"/>
        <w:snapToGrid w:val="0"/>
        <w:spacing w:line="578" w:lineRule="exact"/>
        <w:ind w:firstLine="643" w:firstLineChars="200"/>
        <w:rPr>
          <w:rFonts w:ascii="CESI仿宋-GB2312" w:hAnsi="CESI仿宋-GB2312" w:eastAsia="CESI仿宋-GB2312" w:cs="CESI仿宋-GB2312"/>
          <w:bCs/>
          <w:sz w:val="32"/>
          <w:szCs w:val="32"/>
        </w:rPr>
      </w:pPr>
      <w:r>
        <w:rPr>
          <w:rFonts w:hint="eastAsia" w:eastAsia="楷体_GB2312"/>
          <w:b/>
          <w:sz w:val="32"/>
          <w:szCs w:val="32"/>
          <w:lang w:val="zh-CN"/>
        </w:rPr>
        <w:t>（五）评价组织。</w:t>
      </w:r>
      <w:r>
        <w:rPr>
          <w:rFonts w:hint="eastAsia" w:ascii="CESI仿宋-GB2312" w:hAnsi="CESI仿宋-GB2312" w:eastAsia="CESI仿宋-GB2312" w:cs="CESI仿宋-GB2312"/>
          <w:bCs/>
          <w:sz w:val="32"/>
          <w:szCs w:val="32"/>
          <w:lang w:val="zh-CN"/>
        </w:rPr>
        <w:t>组长：党组成员、副局长付云，负责</w:t>
      </w:r>
      <w:r>
        <w:rPr>
          <w:rFonts w:hint="eastAsia" w:ascii="CESI仿宋-GB2312" w:hAnsi="CESI仿宋-GB2312" w:eastAsia="CESI仿宋-GB2312" w:cs="CESI仿宋-GB2312"/>
          <w:bCs/>
          <w:sz w:val="32"/>
          <w:szCs w:val="32"/>
        </w:rPr>
        <w:t>2024年药品抽检的自评总牵头工作</w:t>
      </w:r>
      <w:r>
        <w:rPr>
          <w:rFonts w:hint="eastAsia" w:ascii="CESI仿宋-GB2312" w:hAnsi="CESI仿宋-GB2312" w:eastAsia="CESI仿宋-GB2312" w:cs="CESI仿宋-GB2312"/>
          <w:bCs/>
          <w:sz w:val="32"/>
          <w:szCs w:val="32"/>
          <w:lang w:val="zh-CN"/>
        </w:rPr>
        <w:t>；成员：药械化监管股，负责</w:t>
      </w:r>
      <w:r>
        <w:rPr>
          <w:rFonts w:hint="eastAsia" w:ascii="CESI仿宋-GB2312" w:hAnsi="CESI仿宋-GB2312" w:eastAsia="CESI仿宋-GB2312" w:cs="CESI仿宋-GB2312"/>
          <w:sz w:val="32"/>
          <w:szCs w:val="32"/>
        </w:rPr>
        <w:t>按照实施方案开展项目和资金投入</w:t>
      </w:r>
      <w:r>
        <w:rPr>
          <w:rFonts w:hint="eastAsia" w:ascii="CESI仿宋-GB2312" w:hAnsi="CESI仿宋-GB2312" w:eastAsia="CESI仿宋-GB2312" w:cs="CESI仿宋-GB2312"/>
          <w:bCs/>
          <w:sz w:val="32"/>
          <w:szCs w:val="32"/>
          <w:lang w:val="zh-CN"/>
        </w:rPr>
        <w:t>使用</w:t>
      </w:r>
      <w:r>
        <w:rPr>
          <w:rFonts w:hint="eastAsia" w:ascii="CESI仿宋-GB2312" w:hAnsi="CESI仿宋-GB2312" w:eastAsia="CESI仿宋-GB2312" w:cs="CESI仿宋-GB2312"/>
          <w:bCs/>
          <w:sz w:val="32"/>
          <w:szCs w:val="32"/>
        </w:rPr>
        <w:t>专项资金。</w:t>
      </w:r>
      <w:r>
        <w:rPr>
          <w:rFonts w:hint="eastAsia" w:ascii="CESI仿宋-GB2312" w:hAnsi="CESI仿宋-GB2312" w:eastAsia="CESI仿宋-GB2312" w:cs="CESI仿宋-GB2312"/>
          <w:sz w:val="32"/>
          <w:szCs w:val="32"/>
        </w:rPr>
        <w:t>强化专项经费和支付制度管理，促进资金及时足额拨付</w:t>
      </w:r>
      <w:r>
        <w:rPr>
          <w:rFonts w:hint="eastAsia" w:ascii="CESI仿宋-GB2312" w:hAnsi="CESI仿宋-GB2312" w:eastAsia="CESI仿宋-GB2312" w:cs="CESI仿宋-GB2312"/>
          <w:bCs/>
          <w:sz w:val="32"/>
          <w:szCs w:val="32"/>
        </w:rPr>
        <w:t>工作。</w:t>
      </w:r>
    </w:p>
    <w:p>
      <w:pPr>
        <w:adjustRightInd w:val="0"/>
        <w:snapToGrid w:val="0"/>
        <w:spacing w:line="578" w:lineRule="exact"/>
        <w:ind w:firstLine="640" w:firstLineChars="200"/>
        <w:rPr>
          <w:sz w:val="32"/>
          <w:szCs w:val="32"/>
          <w:lang w:val="zh-CN"/>
        </w:rPr>
      </w:pPr>
      <w:r>
        <w:rPr>
          <w:rFonts w:hint="eastAsia" w:eastAsia="黑体"/>
          <w:sz w:val="32"/>
          <w:szCs w:val="32"/>
        </w:rPr>
        <w:t>三、绩效分析</w:t>
      </w:r>
    </w:p>
    <w:p>
      <w:pPr>
        <w:spacing w:line="578" w:lineRule="exact"/>
        <w:ind w:firstLine="640"/>
        <w:rPr>
          <w:rFonts w:eastAsia="仿宋_GB2312" w:cs="仿宋_GB2312"/>
          <w:kern w:val="0"/>
          <w:sz w:val="32"/>
          <w:szCs w:val="32"/>
        </w:rPr>
      </w:pPr>
      <w:r>
        <w:rPr>
          <w:rFonts w:eastAsia="仿宋_GB2312" w:cs="仿宋_GB2312"/>
          <w:kern w:val="0"/>
          <w:sz w:val="32"/>
          <w:szCs w:val="32"/>
          <w:lang w:val="zh-CN"/>
        </w:rPr>
        <w:t>根据</w:t>
      </w:r>
      <w:r>
        <w:rPr>
          <w:rFonts w:hint="eastAsia" w:eastAsia="仿宋_GB2312" w:cs="仿宋_GB2312"/>
          <w:kern w:val="0"/>
          <w:sz w:val="32"/>
          <w:szCs w:val="32"/>
          <w:lang w:val="zh-CN"/>
        </w:rPr>
        <w:t>项目</w:t>
      </w:r>
      <w:r>
        <w:rPr>
          <w:rFonts w:eastAsia="仿宋_GB2312" w:cs="仿宋_GB2312"/>
          <w:kern w:val="0"/>
          <w:sz w:val="32"/>
          <w:szCs w:val="32"/>
          <w:lang w:val="zh-CN"/>
        </w:rPr>
        <w:t>预算绩效评价指标体系</w:t>
      </w:r>
      <w:r>
        <w:rPr>
          <w:rFonts w:hint="eastAsia" w:eastAsia="仿宋_GB2312" w:cs="仿宋_GB2312"/>
          <w:kern w:val="0"/>
          <w:sz w:val="32"/>
          <w:szCs w:val="32"/>
          <w:lang w:val="zh-CN"/>
        </w:rPr>
        <w:t>通用指标、专用指标、个性指标</w:t>
      </w:r>
      <w:r>
        <w:rPr>
          <w:rFonts w:eastAsia="仿宋_GB2312" w:cs="仿宋_GB2312"/>
          <w:kern w:val="0"/>
          <w:sz w:val="32"/>
          <w:szCs w:val="32"/>
          <w:lang w:val="zh-CN"/>
        </w:rPr>
        <w:t>涉及</w:t>
      </w:r>
      <w:r>
        <w:rPr>
          <w:rFonts w:hint="eastAsia" w:eastAsia="仿宋_GB2312" w:cs="仿宋_GB2312"/>
          <w:kern w:val="0"/>
          <w:sz w:val="32"/>
          <w:szCs w:val="32"/>
          <w:lang w:val="zh-CN"/>
        </w:rPr>
        <w:t>二、三级</w:t>
      </w:r>
      <w:r>
        <w:rPr>
          <w:rFonts w:eastAsia="仿宋_GB2312" w:cs="仿宋_GB2312"/>
          <w:kern w:val="0"/>
          <w:sz w:val="32"/>
          <w:szCs w:val="32"/>
          <w:lang w:val="zh-CN"/>
        </w:rPr>
        <w:t>指标进行</w:t>
      </w:r>
      <w:r>
        <w:rPr>
          <w:rFonts w:hint="eastAsia" w:eastAsia="仿宋_GB2312" w:cs="仿宋_GB2312"/>
          <w:kern w:val="0"/>
          <w:sz w:val="32"/>
          <w:szCs w:val="32"/>
          <w:lang w:val="zh-CN"/>
        </w:rPr>
        <w:t>逐项</w:t>
      </w:r>
      <w:r>
        <w:rPr>
          <w:rFonts w:eastAsia="仿宋_GB2312" w:cs="仿宋_GB2312"/>
          <w:kern w:val="0"/>
          <w:sz w:val="32"/>
          <w:szCs w:val="32"/>
          <w:lang w:val="zh-CN"/>
        </w:rPr>
        <w:t>绩效分析</w:t>
      </w:r>
      <w:r>
        <w:rPr>
          <w:rFonts w:hint="eastAsia" w:eastAsia="仿宋_GB2312" w:cs="仿宋_GB2312"/>
          <w:kern w:val="0"/>
          <w:sz w:val="32"/>
          <w:szCs w:val="32"/>
          <w:lang w:val="zh-CN"/>
        </w:rPr>
        <w:t>并评分</w:t>
      </w:r>
      <w:r>
        <w:rPr>
          <w:rFonts w:hint="eastAsia" w:eastAsia="仿宋_GB2312" w:cs="仿宋_GB2312"/>
          <w:kern w:val="0"/>
          <w:sz w:val="32"/>
          <w:szCs w:val="32"/>
        </w:rPr>
        <w:t>。</w:t>
      </w:r>
    </w:p>
    <w:p>
      <w:pPr>
        <w:spacing w:line="578" w:lineRule="exact"/>
        <w:ind w:firstLine="640"/>
        <w:rPr>
          <w:rFonts w:eastAsia="楷体_GB2312"/>
          <w:b/>
          <w:sz w:val="32"/>
          <w:szCs w:val="32"/>
        </w:rPr>
      </w:pPr>
      <w:r>
        <w:rPr>
          <w:rFonts w:hint="eastAsia" w:eastAsia="楷体_GB2312"/>
          <w:b/>
          <w:sz w:val="32"/>
          <w:szCs w:val="32"/>
          <w:lang w:val="zh-CN"/>
        </w:rPr>
        <w:t>（一）</w:t>
      </w:r>
      <w:r>
        <w:rPr>
          <w:rFonts w:hint="eastAsia" w:eastAsia="楷体_GB2312"/>
          <w:b/>
          <w:sz w:val="32"/>
          <w:szCs w:val="32"/>
        </w:rPr>
        <w:t>通用指标</w:t>
      </w:r>
      <w:r>
        <w:rPr>
          <w:rFonts w:eastAsia="楷体_GB2312"/>
          <w:b/>
          <w:bCs/>
          <w:color w:val="000000"/>
          <w:kern w:val="0"/>
          <w:sz w:val="32"/>
          <w:szCs w:val="32"/>
          <w:shd w:val="clear" w:color="auto" w:fill="FFFFFF"/>
          <w:lang w:val="zh-CN"/>
        </w:rPr>
        <w:t>绩效分析。</w:t>
      </w:r>
    </w:p>
    <w:p>
      <w:pPr>
        <w:ind w:firstLine="640" w:firstLineChars="200"/>
        <w:rPr>
          <w:rFonts w:eastAsia="仿宋_GB2312"/>
          <w:sz w:val="32"/>
          <w:szCs w:val="32"/>
          <w:lang w:val="zh-CN"/>
        </w:rPr>
      </w:pPr>
      <w:r>
        <w:rPr>
          <w:rFonts w:hint="eastAsia" w:eastAsia="仿宋_GB2312" w:cs="仿宋_GB2312"/>
          <w:kern w:val="0"/>
          <w:sz w:val="32"/>
          <w:szCs w:val="32"/>
        </w:rPr>
        <w:t>1.</w:t>
      </w:r>
      <w:r>
        <w:rPr>
          <w:rFonts w:hint="eastAsia" w:eastAsia="仿宋_GB2312" w:cs="仿宋_GB2312"/>
          <w:kern w:val="0"/>
          <w:sz w:val="32"/>
          <w:szCs w:val="32"/>
          <w:lang w:val="zh-CN"/>
        </w:rPr>
        <w:t>项目决策。</w:t>
      </w:r>
      <w:r>
        <w:rPr>
          <w:rFonts w:eastAsia="仿宋_GB2312"/>
          <w:sz w:val="32"/>
          <w:szCs w:val="32"/>
          <w:lang w:val="zh-CN"/>
        </w:rPr>
        <w:t>项目严格按照《202</w:t>
      </w:r>
      <w:r>
        <w:rPr>
          <w:rFonts w:hint="eastAsia" w:eastAsia="仿宋_GB2312"/>
          <w:sz w:val="32"/>
          <w:szCs w:val="32"/>
        </w:rPr>
        <w:t>4</w:t>
      </w:r>
      <w:r>
        <w:rPr>
          <w:rFonts w:eastAsia="仿宋_GB2312"/>
          <w:sz w:val="32"/>
          <w:szCs w:val="32"/>
          <w:lang w:val="zh-CN"/>
        </w:rPr>
        <w:t>年攀枝花市药品抽检工作实施方案》（攀市监办〔202</w:t>
      </w:r>
      <w:r>
        <w:rPr>
          <w:rFonts w:hint="eastAsia" w:eastAsia="仿宋_GB2312"/>
          <w:sz w:val="32"/>
          <w:szCs w:val="32"/>
        </w:rPr>
        <w:t>4</w:t>
      </w:r>
      <w:r>
        <w:rPr>
          <w:rFonts w:eastAsia="仿宋_GB2312"/>
          <w:sz w:val="32"/>
          <w:szCs w:val="32"/>
          <w:lang w:val="zh-CN"/>
        </w:rPr>
        <w:t>〕2</w:t>
      </w:r>
      <w:r>
        <w:rPr>
          <w:rFonts w:hint="eastAsia" w:eastAsia="仿宋_GB2312"/>
          <w:sz w:val="32"/>
          <w:szCs w:val="32"/>
        </w:rPr>
        <w:t>1</w:t>
      </w:r>
      <w:r>
        <w:rPr>
          <w:rFonts w:eastAsia="仿宋_GB2312"/>
          <w:sz w:val="32"/>
          <w:szCs w:val="32"/>
          <w:lang w:val="zh-CN"/>
        </w:rPr>
        <w:t>号）、《盐边县202</w:t>
      </w:r>
      <w:r>
        <w:rPr>
          <w:rFonts w:hint="eastAsia" w:eastAsia="仿宋_GB2312"/>
          <w:sz w:val="32"/>
          <w:szCs w:val="32"/>
        </w:rPr>
        <w:t>4</w:t>
      </w:r>
      <w:r>
        <w:rPr>
          <w:rFonts w:eastAsia="仿宋_GB2312"/>
          <w:sz w:val="32"/>
          <w:szCs w:val="32"/>
          <w:lang w:val="zh-CN"/>
        </w:rPr>
        <w:t>年药品抽检工作实施方案》，项目立项依据充分，决策程序规范，符合相关政策法规要求。</w:t>
      </w:r>
    </w:p>
    <w:p>
      <w:pPr>
        <w:ind w:firstLine="640" w:firstLineChars="200"/>
        <w:rPr>
          <w:rFonts w:eastAsia="仿宋_GB2312"/>
          <w:sz w:val="32"/>
          <w:szCs w:val="32"/>
          <w:lang w:val="zh-CN"/>
        </w:rPr>
      </w:pPr>
      <w:r>
        <w:rPr>
          <w:rFonts w:hint="eastAsia" w:eastAsia="仿宋_GB2312" w:cs="仿宋_GB2312"/>
          <w:kern w:val="0"/>
          <w:sz w:val="32"/>
          <w:szCs w:val="32"/>
        </w:rPr>
        <w:t>2.</w:t>
      </w:r>
      <w:r>
        <w:rPr>
          <w:rFonts w:hint="eastAsia" w:eastAsia="仿宋_GB2312" w:cs="仿宋_GB2312"/>
          <w:kern w:val="0"/>
          <w:sz w:val="32"/>
          <w:szCs w:val="32"/>
          <w:lang w:val="zh-CN"/>
        </w:rPr>
        <w:t>项目管理。</w:t>
      </w:r>
      <w:r>
        <w:rPr>
          <w:rFonts w:eastAsia="仿宋_GB2312"/>
          <w:sz w:val="32"/>
          <w:szCs w:val="32"/>
          <w:lang w:val="zh-CN"/>
        </w:rPr>
        <w:t>此项工作纳入年底药品安全考核，通过对完成数量、不合格率等指标进行评估，确保药品抽检工作达到预期目标。</w:t>
      </w:r>
    </w:p>
    <w:p>
      <w:pPr>
        <w:ind w:firstLine="640" w:firstLineChars="200"/>
        <w:rPr>
          <w:rFonts w:eastAsia="仿宋_GB2312" w:cs="仿宋_GB2312"/>
          <w:kern w:val="0"/>
          <w:sz w:val="32"/>
          <w:szCs w:val="32"/>
          <w:lang w:val="zh-CN"/>
        </w:rPr>
      </w:pPr>
      <w:r>
        <w:rPr>
          <w:rFonts w:hint="eastAsia" w:eastAsia="仿宋_GB2312" w:cs="仿宋_GB2312"/>
          <w:kern w:val="0"/>
          <w:sz w:val="32"/>
          <w:szCs w:val="32"/>
        </w:rPr>
        <w:t>3.项目实施。</w:t>
      </w:r>
      <w:r>
        <w:rPr>
          <w:rFonts w:eastAsia="仿宋_GB2312"/>
          <w:sz w:val="32"/>
          <w:szCs w:val="32"/>
          <w:lang w:val="zh-CN"/>
        </w:rPr>
        <w:t>制定《盐边县202</w:t>
      </w:r>
      <w:r>
        <w:rPr>
          <w:rFonts w:hint="eastAsia" w:eastAsia="仿宋_GB2312"/>
          <w:sz w:val="32"/>
          <w:szCs w:val="32"/>
        </w:rPr>
        <w:t>4</w:t>
      </w:r>
      <w:r>
        <w:rPr>
          <w:rFonts w:eastAsia="仿宋_GB2312"/>
          <w:sz w:val="32"/>
          <w:szCs w:val="32"/>
          <w:lang w:val="zh-CN"/>
        </w:rPr>
        <w:t>年药品抽检工作实施方案》→签订抽检合同→开展抽样检验。202</w:t>
      </w:r>
      <w:r>
        <w:rPr>
          <w:rFonts w:hint="eastAsia" w:eastAsia="仿宋_GB2312"/>
          <w:sz w:val="32"/>
          <w:szCs w:val="32"/>
        </w:rPr>
        <w:t>4</w:t>
      </w:r>
      <w:r>
        <w:rPr>
          <w:rFonts w:eastAsia="仿宋_GB2312"/>
          <w:sz w:val="32"/>
          <w:szCs w:val="32"/>
          <w:lang w:val="zh-CN"/>
        </w:rPr>
        <w:t>年9月30日前完成药品抽样，10月30前完成样品检验，完成率为100%。检验完成后出具完整的检验报告。</w:t>
      </w:r>
    </w:p>
    <w:p>
      <w:pPr>
        <w:ind w:firstLine="640" w:firstLineChars="200"/>
        <w:rPr>
          <w:rFonts w:eastAsia="仿宋_GB2312"/>
          <w:sz w:val="32"/>
          <w:szCs w:val="32"/>
          <w:lang w:val="zh-CN"/>
        </w:rPr>
      </w:pPr>
      <w:r>
        <w:rPr>
          <w:rFonts w:hint="eastAsia" w:eastAsia="仿宋_GB2312" w:cs="仿宋_GB2312"/>
          <w:kern w:val="0"/>
          <w:sz w:val="32"/>
          <w:szCs w:val="32"/>
        </w:rPr>
        <w:t>4.项目结果。</w:t>
      </w:r>
      <w:r>
        <w:rPr>
          <w:rFonts w:eastAsia="仿宋_GB2312"/>
          <w:sz w:val="32"/>
          <w:szCs w:val="32"/>
          <w:lang w:val="zh-CN"/>
        </w:rPr>
        <w:t>通过开展药品抽检工作，药品经营、使用主体得到有效规范，主体责任意识有所提高。从抽检结果来看，我县药品安全状况总体良好，样品检验合格率100%，群众满意度全市第二。</w:t>
      </w:r>
    </w:p>
    <w:p>
      <w:pPr>
        <w:spacing w:line="578" w:lineRule="exact"/>
        <w:ind w:firstLine="640"/>
        <w:rPr>
          <w:rFonts w:eastAsia="仿宋_GB2312" w:cs="仿宋_GB2312"/>
          <w:kern w:val="0"/>
          <w:sz w:val="32"/>
          <w:szCs w:val="32"/>
          <w:lang w:val="zh-CN"/>
        </w:rPr>
      </w:pPr>
      <w:r>
        <w:rPr>
          <w:rFonts w:hint="eastAsia" w:eastAsia="楷体_GB2312"/>
          <w:b/>
          <w:sz w:val="32"/>
          <w:szCs w:val="32"/>
          <w:lang w:val="zh-CN"/>
        </w:rPr>
        <w:t>（二）</w:t>
      </w:r>
      <w:r>
        <w:rPr>
          <w:rFonts w:hint="eastAsia" w:eastAsia="楷体_GB2312"/>
          <w:b/>
          <w:sz w:val="32"/>
          <w:szCs w:val="32"/>
        </w:rPr>
        <w:t>专用指标</w:t>
      </w:r>
      <w:r>
        <w:rPr>
          <w:rFonts w:eastAsia="楷体_GB2312"/>
          <w:b/>
          <w:bCs/>
          <w:color w:val="000000"/>
          <w:kern w:val="0"/>
          <w:sz w:val="32"/>
          <w:szCs w:val="32"/>
          <w:shd w:val="clear" w:color="auto" w:fill="FFFFFF"/>
          <w:lang w:val="zh-CN"/>
        </w:rPr>
        <w:t>绩效分析。</w:t>
      </w:r>
      <w:r>
        <w:rPr>
          <w:rFonts w:hint="eastAsia" w:eastAsia="仿宋_GB2312" w:cs="仿宋_GB2312"/>
          <w:kern w:val="0"/>
          <w:sz w:val="32"/>
          <w:szCs w:val="32"/>
          <w:lang w:val="zh-CN"/>
        </w:rPr>
        <w:t>根据</w:t>
      </w:r>
      <w:r>
        <w:rPr>
          <w:rFonts w:hint="eastAsia" w:eastAsia="仿宋_GB2312" w:cs="仿宋_GB2312"/>
          <w:kern w:val="0"/>
          <w:sz w:val="32"/>
          <w:szCs w:val="32"/>
        </w:rPr>
        <w:t>专项预算项目资金支持对象选择所属指标进行绩效分析。支持对象</w:t>
      </w:r>
      <w:r>
        <w:rPr>
          <w:rFonts w:hint="eastAsia" w:eastAsia="仿宋_GB2312" w:cs="仿宋_GB2312"/>
          <w:kern w:val="0"/>
          <w:sz w:val="32"/>
          <w:szCs w:val="32"/>
          <w:lang w:val="zh-CN"/>
        </w:rPr>
        <w:t>包括产业发展、民生保障、基础设施、行政运转等方面。</w:t>
      </w:r>
    </w:p>
    <w:p>
      <w:pPr>
        <w:spacing w:line="578" w:lineRule="exact"/>
        <w:ind w:firstLine="640"/>
        <w:rPr>
          <w:rFonts w:eastAsia="仿宋_GB2312"/>
          <w:sz w:val="32"/>
          <w:szCs w:val="32"/>
          <w:lang w:val="zh-CN"/>
        </w:rPr>
      </w:pPr>
      <w:r>
        <w:rPr>
          <w:rFonts w:hint="eastAsia" w:eastAsia="仿宋_GB2312" w:cs="仿宋_GB2312"/>
          <w:kern w:val="0"/>
          <w:sz w:val="32"/>
          <w:szCs w:val="32"/>
        </w:rPr>
        <w:t>1.产业发展。</w:t>
      </w:r>
      <w:r>
        <w:rPr>
          <w:rFonts w:eastAsia="仿宋_GB2312"/>
          <w:sz w:val="32"/>
          <w:szCs w:val="32"/>
          <w:lang w:val="zh-CN"/>
        </w:rPr>
        <w:t>符合我县药品经营使用现状，设定抽检数量合理，对经济社会发展进行把脉诊断，促进相关产业健康发展。</w:t>
      </w:r>
    </w:p>
    <w:p>
      <w:pPr>
        <w:ind w:firstLine="640" w:firstLineChars="200"/>
        <w:rPr>
          <w:rFonts w:eastAsia="仿宋_GB2312"/>
          <w:sz w:val="32"/>
          <w:szCs w:val="32"/>
          <w:lang w:val="zh-CN"/>
        </w:rPr>
      </w:pPr>
      <w:r>
        <w:rPr>
          <w:rFonts w:hint="eastAsia" w:eastAsia="仿宋_GB2312" w:cs="仿宋_GB2312"/>
          <w:kern w:val="0"/>
          <w:sz w:val="32"/>
          <w:szCs w:val="32"/>
        </w:rPr>
        <w:t>2.</w:t>
      </w:r>
      <w:r>
        <w:rPr>
          <w:rFonts w:hint="eastAsia" w:eastAsia="仿宋_GB2312" w:cs="仿宋_GB2312"/>
          <w:kern w:val="0"/>
          <w:sz w:val="32"/>
          <w:szCs w:val="32"/>
          <w:lang w:val="zh-CN"/>
        </w:rPr>
        <w:t>民生保障。</w:t>
      </w:r>
      <w:r>
        <w:rPr>
          <w:rFonts w:eastAsia="仿宋_GB2312"/>
          <w:sz w:val="32"/>
          <w:szCs w:val="32"/>
          <w:lang w:val="zh-CN"/>
        </w:rPr>
        <w:t>通过开展药品抽检工作，药品经营秩序得到有效规范，经营、使用者落实进货查验、索票索证自觉性得到提高。从抽检结果来看，我县药品安全状况总体良好，未发生药品安全事故，年度群众满意度有所提升，位居全市第二。</w:t>
      </w:r>
    </w:p>
    <w:p>
      <w:pPr>
        <w:spacing w:line="578" w:lineRule="exact"/>
        <w:ind w:firstLine="640"/>
        <w:rPr>
          <w:rFonts w:eastAsia="仿宋_GB2312"/>
          <w:sz w:val="32"/>
          <w:szCs w:val="32"/>
          <w:lang w:val="zh-CN"/>
        </w:rPr>
      </w:pPr>
      <w:r>
        <w:rPr>
          <w:rFonts w:hint="eastAsia" w:eastAsia="仿宋_GB2312" w:cs="仿宋_GB2312"/>
          <w:kern w:val="0"/>
          <w:sz w:val="32"/>
          <w:szCs w:val="32"/>
        </w:rPr>
        <w:t>3.基础设施。</w:t>
      </w:r>
      <w:r>
        <w:rPr>
          <w:rFonts w:eastAsia="仿宋_GB2312"/>
          <w:sz w:val="32"/>
          <w:szCs w:val="32"/>
          <w:lang w:val="zh-CN"/>
        </w:rPr>
        <w:t>项目按预期目标完成，完成情况良好。</w:t>
      </w:r>
    </w:p>
    <w:p>
      <w:pPr>
        <w:ind w:firstLine="640" w:firstLineChars="200"/>
        <w:rPr>
          <w:rFonts w:eastAsia="仿宋_GB2312"/>
          <w:sz w:val="32"/>
          <w:szCs w:val="32"/>
          <w:lang w:val="zh-CN"/>
        </w:rPr>
      </w:pPr>
      <w:r>
        <w:rPr>
          <w:rFonts w:hint="eastAsia" w:eastAsia="仿宋_GB2312" w:cs="仿宋_GB2312"/>
          <w:kern w:val="0"/>
          <w:sz w:val="32"/>
          <w:szCs w:val="32"/>
        </w:rPr>
        <w:t>4.</w:t>
      </w:r>
      <w:r>
        <w:rPr>
          <w:rFonts w:hint="eastAsia" w:eastAsia="仿宋_GB2312" w:cs="仿宋_GB2312"/>
          <w:kern w:val="0"/>
          <w:sz w:val="32"/>
          <w:szCs w:val="32"/>
          <w:lang w:val="zh-CN"/>
        </w:rPr>
        <w:t>行政运转。</w:t>
      </w:r>
      <w:r>
        <w:rPr>
          <w:rFonts w:eastAsia="仿宋_GB2312"/>
          <w:sz w:val="32"/>
          <w:szCs w:val="32"/>
          <w:lang w:val="zh-CN"/>
        </w:rPr>
        <w:t>严格按照相关财务管理制度，对项目资金的申请、拨付、管理和使用严格按专项资金管理要求执行，专项资金严格按照“统筹兼顾、突出重点、促进发展、注重绩效”的原则进行分配和使用，各项制度执行落实较好，资金使用安全规范，未发现截留、挪用、挤占、虚列资金等现象。</w:t>
      </w:r>
    </w:p>
    <w:p>
      <w:pPr>
        <w:spacing w:line="578" w:lineRule="exact"/>
        <w:ind w:firstLine="640"/>
        <w:rPr>
          <w:rFonts w:eastAsia="仿宋_GB2312" w:cs="仿宋_GB2312"/>
          <w:kern w:val="0"/>
          <w:sz w:val="32"/>
          <w:szCs w:val="32"/>
        </w:rPr>
      </w:pPr>
      <w:r>
        <w:rPr>
          <w:rFonts w:hint="eastAsia" w:eastAsia="楷体_GB2312"/>
          <w:b/>
          <w:sz w:val="32"/>
          <w:szCs w:val="32"/>
          <w:lang w:val="zh-CN"/>
        </w:rPr>
        <w:t>（三）</w:t>
      </w:r>
      <w:r>
        <w:rPr>
          <w:rFonts w:hint="eastAsia" w:eastAsia="楷体_GB2312"/>
          <w:b/>
          <w:sz w:val="32"/>
          <w:szCs w:val="32"/>
        </w:rPr>
        <w:t>个性指标</w:t>
      </w:r>
      <w:r>
        <w:rPr>
          <w:rFonts w:eastAsia="楷体_GB2312"/>
          <w:b/>
          <w:bCs/>
          <w:color w:val="000000"/>
          <w:kern w:val="0"/>
          <w:sz w:val="32"/>
          <w:szCs w:val="32"/>
          <w:shd w:val="clear" w:color="auto" w:fill="FFFFFF"/>
          <w:lang w:val="zh-CN"/>
        </w:rPr>
        <w:t>绩效分析。</w:t>
      </w:r>
      <w:r>
        <w:rPr>
          <w:rFonts w:hint="eastAsia" w:eastAsia="仿宋_GB2312" w:cs="仿宋_GB2312"/>
          <w:kern w:val="0"/>
          <w:sz w:val="32"/>
          <w:szCs w:val="32"/>
          <w:lang w:val="zh-CN"/>
        </w:rPr>
        <w:t>无。</w:t>
      </w:r>
    </w:p>
    <w:p>
      <w:pPr>
        <w:spacing w:line="578" w:lineRule="exact"/>
        <w:ind w:firstLine="640"/>
        <w:rPr>
          <w:rFonts w:ascii="黑体" w:hAnsi="黑体" w:eastAsia="黑体" w:cs="黑体"/>
          <w:kern w:val="0"/>
          <w:sz w:val="32"/>
          <w:szCs w:val="32"/>
        </w:rPr>
      </w:pPr>
      <w:r>
        <w:rPr>
          <w:rFonts w:hint="eastAsia" w:ascii="黑体" w:hAnsi="黑体" w:eastAsia="黑体" w:cs="黑体"/>
          <w:kern w:val="0"/>
          <w:sz w:val="32"/>
          <w:szCs w:val="32"/>
        </w:rPr>
        <w:t>四、评价结论</w:t>
      </w:r>
    </w:p>
    <w:p>
      <w:pPr>
        <w:ind w:firstLine="640" w:firstLineChars="200"/>
        <w:rPr>
          <w:rFonts w:eastAsia="仿宋_GB2312"/>
          <w:sz w:val="32"/>
          <w:szCs w:val="32"/>
          <w:lang w:val="zh-CN"/>
        </w:rPr>
      </w:pPr>
      <w:r>
        <w:rPr>
          <w:rFonts w:eastAsia="仿宋_GB2312"/>
          <w:sz w:val="32"/>
          <w:szCs w:val="32"/>
          <w:lang w:val="zh-CN"/>
        </w:rPr>
        <w:t>该项目自评</w:t>
      </w:r>
      <w:r>
        <w:rPr>
          <w:rFonts w:eastAsia="仿宋_GB2312"/>
          <w:sz w:val="32"/>
          <w:szCs w:val="32"/>
        </w:rPr>
        <w:t>100分。</w:t>
      </w:r>
      <w:r>
        <w:rPr>
          <w:rFonts w:eastAsia="仿宋_GB2312"/>
          <w:sz w:val="32"/>
          <w:szCs w:val="32"/>
          <w:lang w:val="zh-CN"/>
        </w:rPr>
        <w:t>盐边县202</w:t>
      </w:r>
      <w:r>
        <w:rPr>
          <w:rFonts w:hint="eastAsia" w:eastAsia="仿宋_GB2312"/>
          <w:sz w:val="32"/>
          <w:szCs w:val="32"/>
        </w:rPr>
        <w:t>4</w:t>
      </w:r>
      <w:r>
        <w:rPr>
          <w:rFonts w:eastAsia="仿宋_GB2312"/>
          <w:sz w:val="32"/>
          <w:szCs w:val="32"/>
          <w:lang w:val="zh-CN"/>
        </w:rPr>
        <w:t>年度药品安全抽检监测申报内容与实际相符。申报目标根据《中华人民共和国药品管理法》和省、市抽检任务分解及我县实际经济水平、监管对象、人口基数依法设定，合理可行。202</w:t>
      </w:r>
      <w:r>
        <w:rPr>
          <w:rFonts w:hint="eastAsia" w:eastAsia="仿宋_GB2312"/>
          <w:sz w:val="32"/>
          <w:szCs w:val="32"/>
        </w:rPr>
        <w:t>4</w:t>
      </w:r>
      <w:r>
        <w:rPr>
          <w:rFonts w:eastAsia="仿宋_GB2312"/>
          <w:sz w:val="32"/>
          <w:szCs w:val="32"/>
          <w:lang w:val="zh-CN"/>
        </w:rPr>
        <w:t>年药品监督抽检目标的实现完成202</w:t>
      </w:r>
      <w:r>
        <w:rPr>
          <w:rFonts w:hint="eastAsia" w:eastAsia="仿宋_GB2312"/>
          <w:sz w:val="32"/>
          <w:szCs w:val="32"/>
        </w:rPr>
        <w:t>4</w:t>
      </w:r>
      <w:r>
        <w:rPr>
          <w:rFonts w:eastAsia="仿宋_GB2312"/>
          <w:sz w:val="32"/>
          <w:szCs w:val="32"/>
          <w:lang w:val="zh-CN"/>
        </w:rPr>
        <w:t>年药品安全考核中药品监督抽检任务，达到了项目决策的目的，项目管理贯通抽检全过程，实现了经济效应、社会效应、可持续影响等绩效目标。</w:t>
      </w:r>
    </w:p>
    <w:p>
      <w:pPr>
        <w:spacing w:line="578" w:lineRule="exact"/>
        <w:ind w:firstLine="640"/>
        <w:rPr>
          <w:rFonts w:ascii="黑体" w:hAnsi="黑体" w:eastAsia="黑体" w:cs="黑体"/>
          <w:kern w:val="0"/>
          <w:sz w:val="32"/>
          <w:szCs w:val="32"/>
        </w:rPr>
      </w:pPr>
      <w:r>
        <w:rPr>
          <w:rFonts w:hint="eastAsia" w:ascii="黑体" w:hAnsi="黑体" w:eastAsia="黑体" w:cs="黑体"/>
          <w:kern w:val="0"/>
          <w:sz w:val="32"/>
          <w:szCs w:val="32"/>
        </w:rPr>
        <w:t>五、存在主要问题</w:t>
      </w:r>
    </w:p>
    <w:p>
      <w:pPr>
        <w:spacing w:line="578" w:lineRule="exact"/>
        <w:ind w:firstLine="640"/>
        <w:rPr>
          <w:rFonts w:eastAsia="仿宋_GB2312" w:cs="仿宋_GB2312"/>
          <w:kern w:val="0"/>
          <w:sz w:val="32"/>
          <w:szCs w:val="32"/>
        </w:rPr>
      </w:pPr>
      <w:r>
        <w:rPr>
          <w:rFonts w:hint="eastAsia" w:eastAsia="仿宋_GB2312" w:cs="仿宋_GB2312"/>
          <w:kern w:val="0"/>
          <w:sz w:val="32"/>
          <w:szCs w:val="32"/>
        </w:rPr>
        <w:t>无。</w:t>
      </w:r>
    </w:p>
    <w:p>
      <w:pPr>
        <w:spacing w:line="578" w:lineRule="exact"/>
        <w:ind w:firstLine="640"/>
        <w:rPr>
          <w:rFonts w:ascii="黑体" w:hAnsi="黑体" w:eastAsia="黑体" w:cs="黑体"/>
          <w:kern w:val="0"/>
          <w:sz w:val="32"/>
          <w:szCs w:val="32"/>
          <w:lang w:val="zh-CN"/>
        </w:rPr>
      </w:pPr>
      <w:r>
        <w:rPr>
          <w:rFonts w:hint="eastAsia" w:ascii="黑体" w:hAnsi="黑体" w:eastAsia="黑体" w:cs="黑体"/>
          <w:kern w:val="0"/>
          <w:sz w:val="32"/>
          <w:szCs w:val="32"/>
          <w:lang w:val="zh-CN"/>
        </w:rPr>
        <w:t>六、改进建议</w:t>
      </w:r>
    </w:p>
    <w:p>
      <w:pPr>
        <w:ind w:firstLine="640" w:firstLineChars="200"/>
        <w:rPr>
          <w:rFonts w:eastAsia="仿宋_GB2312"/>
          <w:sz w:val="32"/>
          <w:szCs w:val="32"/>
          <w:lang w:val="zh-CN"/>
        </w:rPr>
      </w:pPr>
      <w:r>
        <w:rPr>
          <w:rFonts w:eastAsia="仿宋_GB2312"/>
          <w:sz w:val="32"/>
          <w:szCs w:val="32"/>
          <w:lang w:val="zh-CN"/>
        </w:rPr>
        <w:t>及时拨付项目资金，避免合同逾期。</w:t>
      </w: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jc w:val="center"/>
        <w:rPr>
          <w:rFonts w:ascii="Times New Roman" w:hAnsi="Times New Roman" w:eastAsia="方正小标宋简体" w:cs="方正小标宋简体"/>
          <w:color w:val="auto"/>
          <w:kern w:val="2"/>
          <w:sz w:val="44"/>
          <w:szCs w:val="44"/>
          <w:lang w:val="en-US"/>
        </w:rPr>
      </w:pPr>
    </w:p>
    <w:p>
      <w:pPr>
        <w:pStyle w:val="35"/>
        <w:spacing w:line="578" w:lineRule="exact"/>
        <w:ind w:firstLine="640"/>
        <w:jc w:val="center"/>
        <w:rPr>
          <w:rFonts w:ascii="Times New Roman" w:hAnsi="Times New Roman"/>
          <w:color w:val="auto"/>
          <w:kern w:val="2"/>
          <w:sz w:val="32"/>
          <w:szCs w:val="32"/>
        </w:rPr>
      </w:pPr>
      <w:r>
        <w:rPr>
          <w:rFonts w:hint="eastAsia" w:ascii="Times New Roman" w:hAnsi="Times New Roman" w:eastAsia="方正小标宋简体" w:cs="方正小标宋简体"/>
          <w:color w:val="auto"/>
          <w:kern w:val="2"/>
          <w:sz w:val="44"/>
          <w:szCs w:val="44"/>
          <w:lang w:val="en-US"/>
        </w:rPr>
        <w:t>国卫复审鑫盛市场环境卫生整治专项预算项目绩效评价报告</w:t>
      </w:r>
    </w:p>
    <w:p>
      <w:pPr>
        <w:adjustRightInd w:val="0"/>
        <w:snapToGrid w:val="0"/>
        <w:spacing w:line="578" w:lineRule="exact"/>
        <w:ind w:firstLine="640" w:firstLineChars="200"/>
        <w:rPr>
          <w:rFonts w:eastAsia="黑体"/>
          <w:sz w:val="32"/>
          <w:szCs w:val="32"/>
          <w:lang w:val="zh-CN"/>
        </w:rPr>
      </w:pPr>
      <w:r>
        <w:rPr>
          <w:rFonts w:hint="eastAsia" w:eastAsia="黑体"/>
          <w:sz w:val="32"/>
          <w:szCs w:val="32"/>
        </w:rPr>
        <w:t>一、</w:t>
      </w:r>
      <w:r>
        <w:rPr>
          <w:rFonts w:hint="eastAsia" w:eastAsia="黑体"/>
          <w:sz w:val="32"/>
          <w:szCs w:val="32"/>
          <w:lang w:val="zh-CN"/>
        </w:rPr>
        <w:t>项目概况</w:t>
      </w:r>
    </w:p>
    <w:p>
      <w:pPr>
        <w:widowControl/>
        <w:adjustRightInd w:val="0"/>
        <w:snapToGrid w:val="0"/>
        <w:spacing w:line="578" w:lineRule="exact"/>
        <w:ind w:firstLine="643" w:firstLineChars="200"/>
        <w:contextualSpacing/>
        <w:jc w:val="left"/>
        <w:rPr>
          <w:rFonts w:eastAsia="仿宋_GB2312" w:cs="仿宋_GB2312"/>
          <w:kern w:val="0"/>
          <w:sz w:val="32"/>
          <w:szCs w:val="32"/>
          <w:shd w:val="clear" w:color="auto" w:fill="FFFFFF"/>
          <w:lang w:val="zh-CN"/>
        </w:rPr>
      </w:pPr>
      <w:r>
        <w:rPr>
          <w:rFonts w:hint="eastAsia" w:eastAsia="楷体_GB2312"/>
          <w:b/>
          <w:sz w:val="32"/>
          <w:szCs w:val="32"/>
          <w:lang w:val="zh-CN"/>
        </w:rPr>
        <w:t>（一）设立背景及基本情况。</w:t>
      </w:r>
      <w:r>
        <w:rPr>
          <w:rFonts w:hint="eastAsia" w:eastAsia="仿宋_GB2312" w:cs="仿宋_GB2312"/>
          <w:kern w:val="0"/>
          <w:sz w:val="32"/>
          <w:szCs w:val="32"/>
          <w:lang w:val="zh-CN"/>
        </w:rPr>
        <w:t>为解决</w:t>
      </w:r>
      <w:r>
        <w:rPr>
          <w:rFonts w:hint="eastAsia" w:eastAsia="仿宋_GB2312" w:cs="仿宋_GB2312"/>
          <w:kern w:val="0"/>
          <w:sz w:val="32"/>
          <w:szCs w:val="32"/>
        </w:rPr>
        <w:t>鑫盛农贸市场及周边存在的环境卫生问题，包括但不限于乱停乱放、乱搭乱建、乱堆乱放、乱贴乱画、乱倒垃圾等。同时，针对消防设施不规范、消防通道堵塞、店铺占道经营等问题进行专项治理。</w:t>
      </w:r>
      <w:r>
        <w:rPr>
          <w:rFonts w:hint="eastAsia" w:eastAsia="仿宋_GB2312" w:cs="仿宋_GB2312"/>
          <w:kern w:val="0"/>
          <w:sz w:val="32"/>
          <w:szCs w:val="32"/>
          <w:shd w:val="clear" w:color="auto" w:fill="FFFFFF"/>
          <w:lang w:val="zh-CN"/>
        </w:rPr>
        <w:t>针对这些问题进行集中治理，是提升城市文明程度、增强市民获得感和幸福感的迫切需要。</w:t>
      </w:r>
    </w:p>
    <w:p>
      <w:pPr>
        <w:adjustRightInd w:val="0"/>
        <w:snapToGrid w:val="0"/>
        <w:spacing w:line="578" w:lineRule="exact"/>
        <w:ind w:firstLine="643" w:firstLineChars="200"/>
        <w:rPr>
          <w:rFonts w:eastAsia="仿宋_GB2312" w:cs="仿宋_GB2312"/>
          <w:kern w:val="0"/>
          <w:sz w:val="32"/>
          <w:szCs w:val="32"/>
          <w:lang w:val="zh-CN"/>
        </w:rPr>
      </w:pPr>
      <w:r>
        <w:rPr>
          <w:rFonts w:hint="eastAsia" w:eastAsia="楷体_GB2312"/>
          <w:b/>
          <w:sz w:val="32"/>
          <w:szCs w:val="32"/>
          <w:lang w:val="zh-CN"/>
        </w:rPr>
        <w:t>（二）</w:t>
      </w:r>
      <w:r>
        <w:rPr>
          <w:rFonts w:eastAsia="楷体_GB2312"/>
          <w:b/>
          <w:sz w:val="32"/>
          <w:szCs w:val="32"/>
        </w:rPr>
        <w:t>实施目的及支持方向</w:t>
      </w:r>
      <w:r>
        <w:rPr>
          <w:rFonts w:hint="eastAsia" w:eastAsia="楷体_GB2312"/>
          <w:b/>
          <w:sz w:val="32"/>
          <w:szCs w:val="32"/>
        </w:rPr>
        <w:t>。</w:t>
      </w:r>
      <w:r>
        <w:rPr>
          <w:rFonts w:hint="eastAsia" w:eastAsia="仿宋_GB2312" w:cs="仿宋_GB2312"/>
          <w:kern w:val="0"/>
          <w:sz w:val="32"/>
          <w:szCs w:val="32"/>
        </w:rPr>
        <w:t>通过实施本项目，旨在改善市场内部环境卫生状况，解决市场内路面积水、油污、菜叶等垃圾问题，确保垃圾清运及时，提升市场整体环境水平。项目还将关注楼体、墙面的清洁与修复，整治缆线杂乱、照明不足等问题</w:t>
      </w:r>
      <w:r>
        <w:rPr>
          <w:rFonts w:hint="eastAsia" w:eastAsia="仿宋_GB2312" w:cs="仿宋_GB2312"/>
          <w:kern w:val="0"/>
          <w:sz w:val="32"/>
          <w:szCs w:val="32"/>
          <w:shd w:val="clear" w:color="auto" w:fill="FFFFFF"/>
          <w:lang w:val="zh-CN"/>
        </w:rPr>
        <w:t>。</w:t>
      </w:r>
    </w:p>
    <w:p>
      <w:pPr>
        <w:widowControl/>
        <w:adjustRightInd w:val="0"/>
        <w:snapToGrid w:val="0"/>
        <w:spacing w:line="578" w:lineRule="exact"/>
        <w:ind w:firstLine="643" w:firstLineChars="200"/>
        <w:contextualSpacing/>
        <w:jc w:val="left"/>
        <w:rPr>
          <w:rFonts w:eastAsia="仿宋_GB2312" w:cs="仿宋_GB2312"/>
          <w:kern w:val="0"/>
          <w:sz w:val="32"/>
          <w:szCs w:val="32"/>
          <w:lang w:val="zh-CN"/>
        </w:rPr>
      </w:pPr>
      <w:r>
        <w:rPr>
          <w:rFonts w:hint="eastAsia" w:eastAsia="楷体_GB2312"/>
          <w:b/>
          <w:sz w:val="32"/>
          <w:szCs w:val="32"/>
          <w:lang w:val="zh-CN"/>
        </w:rPr>
        <w:t>（三）</w:t>
      </w:r>
      <w:r>
        <w:rPr>
          <w:rFonts w:eastAsia="楷体_GB2312"/>
          <w:b/>
          <w:sz w:val="32"/>
          <w:szCs w:val="32"/>
        </w:rPr>
        <w:t>预算安排及分配管理</w:t>
      </w:r>
      <w:r>
        <w:rPr>
          <w:rFonts w:hint="eastAsia" w:eastAsia="楷体_GB2312"/>
          <w:b/>
          <w:sz w:val="32"/>
          <w:szCs w:val="32"/>
          <w:lang w:val="zh-CN"/>
        </w:rPr>
        <w:t>。</w:t>
      </w:r>
      <w:r>
        <w:rPr>
          <w:rFonts w:hint="eastAsia" w:eastAsia="仿宋_GB2312" w:cs="仿宋_GB2312"/>
          <w:kern w:val="0"/>
          <w:sz w:val="32"/>
          <w:szCs w:val="32"/>
          <w:lang w:val="zh-CN"/>
        </w:rPr>
        <w:t>项目预算安排</w:t>
      </w:r>
      <w:r>
        <w:rPr>
          <w:rFonts w:hint="eastAsia" w:eastAsia="仿宋_GB2312" w:cs="仿宋_GB2312"/>
          <w:kern w:val="0"/>
          <w:sz w:val="32"/>
          <w:szCs w:val="32"/>
        </w:rPr>
        <w:t>5.3744万元</w:t>
      </w:r>
      <w:r>
        <w:rPr>
          <w:rFonts w:hint="eastAsia" w:eastAsia="仿宋_GB2312" w:cs="仿宋_GB2312"/>
          <w:kern w:val="0"/>
          <w:sz w:val="32"/>
          <w:szCs w:val="32"/>
          <w:lang w:val="zh-CN"/>
        </w:rPr>
        <w:t>，清理市场内地面油污、积水、冲洗排水沟等，维修楼体、墙面。</w:t>
      </w:r>
    </w:p>
    <w:p>
      <w:pPr>
        <w:adjustRightInd w:val="0"/>
        <w:snapToGrid w:val="0"/>
        <w:spacing w:line="578" w:lineRule="exact"/>
        <w:ind w:firstLine="643" w:firstLineChars="200"/>
        <w:rPr>
          <w:rFonts w:eastAsia="仿宋_GB2312" w:cs="仿宋_GB2312"/>
          <w:kern w:val="0"/>
          <w:sz w:val="32"/>
          <w:szCs w:val="32"/>
          <w:lang w:val="zh-CN"/>
        </w:rPr>
      </w:pPr>
      <w:r>
        <w:rPr>
          <w:rFonts w:hint="eastAsia" w:eastAsia="楷体_GB2312"/>
          <w:b/>
          <w:sz w:val="32"/>
          <w:szCs w:val="32"/>
          <w:lang w:val="zh-CN"/>
        </w:rPr>
        <w:t>（四）项目绩效目标设置。</w:t>
      </w:r>
      <w:r>
        <w:rPr>
          <w:rFonts w:hint="eastAsia" w:eastAsia="仿宋_GB2312" w:cs="仿宋_GB2312"/>
          <w:kern w:val="0"/>
          <w:sz w:val="32"/>
          <w:szCs w:val="32"/>
          <w:lang w:val="zh-CN"/>
        </w:rPr>
        <w:t>鑫盛农贸市场内地面、摊位整洁、排水沟通畅、干净。</w:t>
      </w:r>
    </w:p>
    <w:p>
      <w:pPr>
        <w:adjustRightInd w:val="0"/>
        <w:snapToGrid w:val="0"/>
        <w:spacing w:line="578" w:lineRule="exact"/>
        <w:ind w:firstLine="640" w:firstLineChars="200"/>
        <w:rPr>
          <w:rFonts w:eastAsia="黑体"/>
          <w:sz w:val="32"/>
          <w:szCs w:val="32"/>
        </w:rPr>
      </w:pPr>
      <w:r>
        <w:rPr>
          <w:rFonts w:hint="eastAsia" w:eastAsia="黑体"/>
          <w:sz w:val="32"/>
          <w:szCs w:val="32"/>
        </w:rPr>
        <w:t>二、评价实施</w:t>
      </w:r>
    </w:p>
    <w:p>
      <w:pPr>
        <w:spacing w:line="578" w:lineRule="exact"/>
        <w:ind w:firstLine="640"/>
        <w:rPr>
          <w:rFonts w:eastAsia="仿宋_GB2312" w:cs="仿宋_GB2312"/>
          <w:kern w:val="0"/>
          <w:sz w:val="32"/>
          <w:szCs w:val="32"/>
          <w:lang w:val="zh-CN"/>
        </w:rPr>
      </w:pPr>
      <w:r>
        <w:rPr>
          <w:rFonts w:hint="eastAsia" w:eastAsia="楷体_GB2312"/>
          <w:b/>
          <w:sz w:val="32"/>
          <w:szCs w:val="32"/>
          <w:lang w:val="zh-CN"/>
        </w:rPr>
        <w:t>（一）评价目的。</w:t>
      </w:r>
      <w:r>
        <w:rPr>
          <w:rFonts w:hint="eastAsia" w:eastAsia="仿宋_GB2312" w:cs="仿宋_GB2312"/>
          <w:kern w:val="0"/>
          <w:sz w:val="32"/>
          <w:szCs w:val="32"/>
          <w:lang w:val="zh-CN"/>
        </w:rPr>
        <w:t>鑫盛农贸市场内地面、摊位已打扫干净、排水沟已冲洗通畅、干净。</w:t>
      </w:r>
    </w:p>
    <w:p>
      <w:pPr>
        <w:adjustRightInd w:val="0"/>
        <w:snapToGrid w:val="0"/>
        <w:spacing w:line="578" w:lineRule="exact"/>
        <w:ind w:firstLine="643" w:firstLineChars="200"/>
        <w:rPr>
          <w:rFonts w:eastAsia="仿宋_GB2312" w:cs="仿宋_GB2312"/>
          <w:kern w:val="0"/>
          <w:sz w:val="32"/>
          <w:szCs w:val="32"/>
          <w:lang w:val="zh-CN"/>
        </w:rPr>
      </w:pPr>
      <w:r>
        <w:rPr>
          <w:rFonts w:hint="eastAsia" w:eastAsia="楷体_GB2312"/>
          <w:b/>
          <w:sz w:val="32"/>
          <w:szCs w:val="32"/>
          <w:lang w:val="zh-CN"/>
        </w:rPr>
        <w:t>（二）预设问题及评价重点。</w:t>
      </w:r>
      <w:r>
        <w:rPr>
          <w:rFonts w:hint="eastAsia" w:eastAsia="仿宋_GB2312" w:cs="仿宋_GB2312"/>
          <w:kern w:val="0"/>
          <w:sz w:val="32"/>
          <w:szCs w:val="32"/>
          <w:lang w:val="zh-CN"/>
        </w:rPr>
        <w:t>重点在于项目申报内容与具体实施内容是否相符、申报目标是否合理可行。</w:t>
      </w:r>
    </w:p>
    <w:p>
      <w:pPr>
        <w:spacing w:line="578" w:lineRule="exact"/>
        <w:ind w:firstLine="640"/>
        <w:rPr>
          <w:rFonts w:eastAsia="楷体_GB2312"/>
          <w:b/>
          <w:sz w:val="32"/>
          <w:szCs w:val="32"/>
          <w:lang w:val="zh-CN"/>
        </w:rPr>
      </w:pPr>
      <w:r>
        <w:rPr>
          <w:rFonts w:hint="eastAsia" w:eastAsia="楷体_GB2312"/>
          <w:b/>
          <w:sz w:val="32"/>
          <w:szCs w:val="32"/>
          <w:lang w:val="zh-CN"/>
        </w:rPr>
        <w:t>（三）评价选点。</w:t>
      </w:r>
      <w:r>
        <w:rPr>
          <w:rFonts w:hint="eastAsia" w:eastAsia="仿宋_GB2312" w:cs="仿宋_GB2312"/>
          <w:kern w:val="0"/>
          <w:sz w:val="32"/>
          <w:szCs w:val="32"/>
          <w:lang w:val="zh-CN"/>
        </w:rPr>
        <w:t>项目绩效自评所抽样点位符合。</w:t>
      </w:r>
    </w:p>
    <w:p>
      <w:pPr>
        <w:spacing w:line="578" w:lineRule="exact"/>
        <w:ind w:firstLine="640"/>
        <w:rPr>
          <w:rFonts w:eastAsia="仿宋_GB2312" w:cs="仿宋_GB2312"/>
          <w:kern w:val="0"/>
          <w:sz w:val="32"/>
          <w:szCs w:val="32"/>
          <w:lang w:val="zh-CN"/>
        </w:rPr>
      </w:pPr>
      <w:r>
        <w:rPr>
          <w:rFonts w:hint="eastAsia" w:eastAsia="楷体_GB2312"/>
          <w:b/>
          <w:sz w:val="32"/>
          <w:szCs w:val="32"/>
          <w:lang w:val="zh-CN"/>
        </w:rPr>
        <w:t>（四）评价方法。</w:t>
      </w:r>
      <w:r>
        <w:rPr>
          <w:rFonts w:hint="eastAsia" w:eastAsia="仿宋_GB2312" w:cs="仿宋_GB2312"/>
          <w:kern w:val="0"/>
          <w:sz w:val="32"/>
          <w:szCs w:val="32"/>
          <w:lang w:val="zh-CN"/>
        </w:rPr>
        <w:t>根据项目情况和评价重点，采用单位自评法。</w:t>
      </w:r>
    </w:p>
    <w:p>
      <w:pPr>
        <w:spacing w:line="578" w:lineRule="exact"/>
        <w:ind w:firstLine="640"/>
        <w:rPr>
          <w:rFonts w:eastAsia="仿宋_GB2312"/>
          <w:bCs/>
        </w:rPr>
      </w:pPr>
      <w:r>
        <w:rPr>
          <w:rFonts w:hint="eastAsia" w:eastAsia="楷体_GB2312"/>
          <w:b/>
          <w:sz w:val="32"/>
          <w:szCs w:val="32"/>
          <w:lang w:val="zh-CN"/>
        </w:rPr>
        <w:t>（五）评价组织。</w:t>
      </w:r>
      <w:r>
        <w:rPr>
          <w:rFonts w:hint="eastAsia" w:eastAsia="仿宋_GB2312" w:cs="仿宋_GB2312"/>
          <w:kern w:val="0"/>
          <w:sz w:val="32"/>
          <w:szCs w:val="32"/>
          <w:lang w:val="zh-CN"/>
        </w:rPr>
        <w:t>评价组人员由市场监督管理局交易秩序监督管理股4人构成。</w:t>
      </w:r>
    </w:p>
    <w:p>
      <w:pPr>
        <w:adjustRightInd w:val="0"/>
        <w:snapToGrid w:val="0"/>
        <w:spacing w:line="578" w:lineRule="exact"/>
        <w:ind w:firstLine="640" w:firstLineChars="200"/>
        <w:rPr>
          <w:sz w:val="32"/>
          <w:szCs w:val="32"/>
          <w:lang w:val="zh-CN"/>
        </w:rPr>
      </w:pPr>
      <w:r>
        <w:rPr>
          <w:rFonts w:hint="eastAsia" w:eastAsia="黑体"/>
          <w:sz w:val="32"/>
          <w:szCs w:val="32"/>
        </w:rPr>
        <w:t>三、绩效分析</w:t>
      </w:r>
    </w:p>
    <w:p>
      <w:pPr>
        <w:spacing w:line="578" w:lineRule="exact"/>
        <w:ind w:firstLine="640"/>
        <w:rPr>
          <w:rFonts w:eastAsia="仿宋_GB2312" w:cs="仿宋_GB2312"/>
          <w:kern w:val="0"/>
          <w:sz w:val="32"/>
          <w:szCs w:val="32"/>
        </w:rPr>
      </w:pPr>
      <w:r>
        <w:rPr>
          <w:rFonts w:eastAsia="仿宋_GB2312" w:cs="仿宋_GB2312"/>
          <w:kern w:val="0"/>
          <w:sz w:val="32"/>
          <w:szCs w:val="32"/>
          <w:lang w:val="zh-CN"/>
        </w:rPr>
        <w:t>根据</w:t>
      </w:r>
      <w:r>
        <w:rPr>
          <w:rFonts w:hint="eastAsia" w:eastAsia="仿宋_GB2312" w:cs="仿宋_GB2312"/>
          <w:kern w:val="0"/>
          <w:sz w:val="32"/>
          <w:szCs w:val="32"/>
          <w:lang w:val="zh-CN"/>
        </w:rPr>
        <w:t>项目</w:t>
      </w:r>
      <w:r>
        <w:rPr>
          <w:rFonts w:eastAsia="仿宋_GB2312" w:cs="仿宋_GB2312"/>
          <w:kern w:val="0"/>
          <w:sz w:val="32"/>
          <w:szCs w:val="32"/>
          <w:lang w:val="zh-CN"/>
        </w:rPr>
        <w:t>预算绩效评价指标体系</w:t>
      </w:r>
      <w:r>
        <w:rPr>
          <w:rFonts w:hint="eastAsia" w:eastAsia="仿宋_GB2312" w:cs="仿宋_GB2312"/>
          <w:kern w:val="0"/>
          <w:sz w:val="32"/>
          <w:szCs w:val="32"/>
          <w:lang w:val="zh-CN"/>
        </w:rPr>
        <w:t>通用指标、专用指标、个性指标</w:t>
      </w:r>
      <w:r>
        <w:rPr>
          <w:rFonts w:eastAsia="仿宋_GB2312" w:cs="仿宋_GB2312"/>
          <w:kern w:val="0"/>
          <w:sz w:val="32"/>
          <w:szCs w:val="32"/>
          <w:lang w:val="zh-CN"/>
        </w:rPr>
        <w:t>涉及</w:t>
      </w:r>
      <w:r>
        <w:rPr>
          <w:rFonts w:hint="eastAsia" w:eastAsia="仿宋_GB2312" w:cs="仿宋_GB2312"/>
          <w:kern w:val="0"/>
          <w:sz w:val="32"/>
          <w:szCs w:val="32"/>
          <w:lang w:val="zh-CN"/>
        </w:rPr>
        <w:t>二、三级</w:t>
      </w:r>
      <w:r>
        <w:rPr>
          <w:rFonts w:eastAsia="仿宋_GB2312" w:cs="仿宋_GB2312"/>
          <w:kern w:val="0"/>
          <w:sz w:val="32"/>
          <w:szCs w:val="32"/>
          <w:lang w:val="zh-CN"/>
        </w:rPr>
        <w:t>指标进行</w:t>
      </w:r>
      <w:r>
        <w:rPr>
          <w:rFonts w:hint="eastAsia" w:eastAsia="仿宋_GB2312" w:cs="仿宋_GB2312"/>
          <w:kern w:val="0"/>
          <w:sz w:val="32"/>
          <w:szCs w:val="32"/>
          <w:lang w:val="zh-CN"/>
        </w:rPr>
        <w:t>逐项</w:t>
      </w:r>
      <w:r>
        <w:rPr>
          <w:rFonts w:eastAsia="仿宋_GB2312" w:cs="仿宋_GB2312"/>
          <w:kern w:val="0"/>
          <w:sz w:val="32"/>
          <w:szCs w:val="32"/>
          <w:lang w:val="zh-CN"/>
        </w:rPr>
        <w:t>绩效分析</w:t>
      </w:r>
      <w:r>
        <w:rPr>
          <w:rFonts w:hint="eastAsia" w:eastAsia="仿宋_GB2312" w:cs="仿宋_GB2312"/>
          <w:kern w:val="0"/>
          <w:sz w:val="32"/>
          <w:szCs w:val="32"/>
          <w:lang w:val="zh-CN"/>
        </w:rPr>
        <w:t>并评分</w:t>
      </w:r>
      <w:r>
        <w:rPr>
          <w:rFonts w:hint="eastAsia" w:eastAsia="仿宋_GB2312" w:cs="仿宋_GB2312"/>
          <w:kern w:val="0"/>
          <w:sz w:val="32"/>
          <w:szCs w:val="32"/>
        </w:rPr>
        <w:t>。</w:t>
      </w:r>
    </w:p>
    <w:p>
      <w:pPr>
        <w:spacing w:line="578" w:lineRule="exact"/>
        <w:ind w:firstLine="640"/>
        <w:rPr>
          <w:rFonts w:eastAsia="楷体_GB2312"/>
          <w:b/>
          <w:sz w:val="32"/>
          <w:szCs w:val="32"/>
        </w:rPr>
      </w:pPr>
      <w:r>
        <w:rPr>
          <w:rFonts w:hint="eastAsia" w:eastAsia="楷体_GB2312"/>
          <w:b/>
          <w:sz w:val="32"/>
          <w:szCs w:val="32"/>
          <w:lang w:val="zh-CN"/>
        </w:rPr>
        <w:t>（一）</w:t>
      </w:r>
      <w:r>
        <w:rPr>
          <w:rFonts w:hint="eastAsia" w:eastAsia="楷体_GB2312"/>
          <w:b/>
          <w:sz w:val="32"/>
          <w:szCs w:val="32"/>
        </w:rPr>
        <w:t>通用指标</w:t>
      </w:r>
      <w:r>
        <w:rPr>
          <w:rFonts w:eastAsia="楷体_GB2312"/>
          <w:b/>
          <w:bCs/>
          <w:color w:val="000000"/>
          <w:kern w:val="0"/>
          <w:sz w:val="32"/>
          <w:szCs w:val="32"/>
          <w:shd w:val="clear" w:color="auto" w:fill="FFFFFF"/>
          <w:lang w:val="zh-CN"/>
        </w:rPr>
        <w:t>绩效分析。</w:t>
      </w:r>
    </w:p>
    <w:p>
      <w:pPr>
        <w:spacing w:line="578" w:lineRule="exact"/>
        <w:ind w:firstLine="640"/>
        <w:rPr>
          <w:rFonts w:eastAsia="仿宋_GB2312" w:cs="仿宋_GB2312"/>
          <w:kern w:val="0"/>
          <w:sz w:val="32"/>
          <w:szCs w:val="32"/>
          <w:lang w:val="zh-CN"/>
        </w:rPr>
      </w:pPr>
      <w:r>
        <w:rPr>
          <w:rFonts w:hint="eastAsia" w:eastAsia="仿宋_GB2312" w:cs="仿宋_GB2312"/>
          <w:kern w:val="0"/>
          <w:sz w:val="32"/>
          <w:szCs w:val="32"/>
        </w:rPr>
        <w:t>1.</w:t>
      </w:r>
      <w:r>
        <w:rPr>
          <w:rFonts w:hint="eastAsia" w:eastAsia="仿宋_GB2312" w:cs="仿宋_GB2312"/>
          <w:kern w:val="0"/>
          <w:sz w:val="32"/>
          <w:szCs w:val="32"/>
          <w:lang w:val="zh-CN"/>
        </w:rPr>
        <w:t>项目决策。按有关文件对鑫盛农贸市场内地面、摊位打扫整洁、排水沟冲洗通畅、干净，合理分配使用资金。项目立项依据充分，决策程序规范，符合相关政策法规要求。</w:t>
      </w:r>
    </w:p>
    <w:p>
      <w:pPr>
        <w:spacing w:line="578" w:lineRule="exact"/>
        <w:ind w:firstLine="640"/>
        <w:rPr>
          <w:rFonts w:eastAsia="仿宋_GB2312" w:cs="仿宋_GB2312"/>
          <w:kern w:val="0"/>
          <w:sz w:val="32"/>
          <w:szCs w:val="32"/>
          <w:lang w:val="zh-CN"/>
        </w:rPr>
      </w:pPr>
      <w:r>
        <w:rPr>
          <w:rFonts w:hint="eastAsia" w:eastAsia="仿宋_GB2312" w:cs="仿宋_GB2312"/>
          <w:kern w:val="0"/>
          <w:sz w:val="32"/>
          <w:szCs w:val="32"/>
        </w:rPr>
        <w:t>2.</w:t>
      </w:r>
      <w:r>
        <w:rPr>
          <w:rFonts w:hint="eastAsia" w:eastAsia="仿宋_GB2312" w:cs="仿宋_GB2312"/>
          <w:kern w:val="0"/>
          <w:sz w:val="32"/>
          <w:szCs w:val="32"/>
          <w:lang w:val="zh-CN"/>
        </w:rPr>
        <w:t>项目管理。我单位加强对财政专项资金管理，严格按预算进度支付费用，各项经费支出严格按照政府采购、国库集中支付等有关规定执行，预算执行完成和控制较好。根据有关要求，成立绩效评价工作小组。专门负责该项经费的规范使用和日常监督工作。</w:t>
      </w:r>
    </w:p>
    <w:p>
      <w:pPr>
        <w:spacing w:line="578" w:lineRule="exact"/>
        <w:ind w:firstLine="640"/>
        <w:rPr>
          <w:rFonts w:eastAsia="仿宋_GB2312" w:cs="仿宋_GB2312"/>
          <w:kern w:val="0"/>
          <w:sz w:val="32"/>
          <w:szCs w:val="32"/>
          <w:lang w:val="zh-CN"/>
        </w:rPr>
      </w:pPr>
      <w:r>
        <w:rPr>
          <w:rFonts w:hint="eastAsia" w:eastAsia="仿宋_GB2312" w:cs="仿宋_GB2312"/>
          <w:kern w:val="0"/>
          <w:sz w:val="32"/>
          <w:szCs w:val="32"/>
        </w:rPr>
        <w:t>3.项目实施。</w:t>
      </w:r>
      <w:r>
        <w:rPr>
          <w:rFonts w:hint="eastAsia" w:eastAsia="仿宋_GB2312" w:cs="仿宋_GB2312"/>
          <w:kern w:val="0"/>
          <w:sz w:val="32"/>
          <w:szCs w:val="32"/>
          <w:lang w:val="zh-CN"/>
        </w:rPr>
        <w:t>预算执行为</w:t>
      </w:r>
      <w:r>
        <w:rPr>
          <w:rFonts w:hint="eastAsia" w:eastAsia="仿宋_GB2312" w:cs="仿宋_GB2312"/>
          <w:kern w:val="0"/>
          <w:sz w:val="32"/>
          <w:szCs w:val="32"/>
        </w:rPr>
        <w:t>1.69</w:t>
      </w:r>
      <w:r>
        <w:rPr>
          <w:rFonts w:hint="eastAsia" w:eastAsia="仿宋_GB2312" w:cs="仿宋_GB2312"/>
          <w:kern w:val="0"/>
          <w:sz w:val="32"/>
          <w:szCs w:val="32"/>
          <w:lang w:val="zh-CN"/>
        </w:rPr>
        <w:t>万元，预算执行率100%。</w:t>
      </w:r>
    </w:p>
    <w:p>
      <w:pPr>
        <w:spacing w:line="578" w:lineRule="exact"/>
        <w:ind w:firstLine="640"/>
        <w:rPr>
          <w:rFonts w:eastAsia="仿宋_GB2312" w:cs="仿宋_GB2312"/>
          <w:kern w:val="0"/>
          <w:sz w:val="32"/>
          <w:szCs w:val="32"/>
          <w:lang w:val="zh-CN"/>
        </w:rPr>
      </w:pPr>
      <w:r>
        <w:rPr>
          <w:rFonts w:hint="eastAsia" w:eastAsia="仿宋_GB2312" w:cs="仿宋_GB2312"/>
          <w:kern w:val="0"/>
          <w:sz w:val="32"/>
          <w:szCs w:val="32"/>
        </w:rPr>
        <w:t>4.项目结果。按照国卫复审要求对鑫盛农贸市场内地面、摊位打扫整洁、排水沟冲洗通畅、干净</w:t>
      </w:r>
      <w:r>
        <w:rPr>
          <w:rFonts w:hint="eastAsia" w:eastAsia="仿宋_GB2312" w:cs="仿宋_GB2312"/>
          <w:kern w:val="0"/>
          <w:sz w:val="32"/>
          <w:szCs w:val="32"/>
          <w:lang w:val="zh-CN"/>
        </w:rPr>
        <w:t>。</w:t>
      </w:r>
    </w:p>
    <w:p>
      <w:pPr>
        <w:spacing w:line="578" w:lineRule="exact"/>
        <w:ind w:firstLine="640"/>
        <w:rPr>
          <w:rFonts w:eastAsia="仿宋_GB2312" w:cs="仿宋_GB2312"/>
          <w:kern w:val="0"/>
          <w:sz w:val="32"/>
          <w:szCs w:val="32"/>
          <w:lang w:val="zh-CN"/>
        </w:rPr>
      </w:pPr>
      <w:r>
        <w:rPr>
          <w:rFonts w:hint="eastAsia" w:eastAsia="楷体_GB2312"/>
          <w:b/>
          <w:sz w:val="32"/>
          <w:szCs w:val="32"/>
          <w:lang w:val="zh-CN"/>
        </w:rPr>
        <w:t>（二）</w:t>
      </w:r>
      <w:r>
        <w:rPr>
          <w:rFonts w:hint="eastAsia" w:eastAsia="楷体_GB2312"/>
          <w:b/>
          <w:sz w:val="32"/>
          <w:szCs w:val="32"/>
        </w:rPr>
        <w:t>专用指标</w:t>
      </w:r>
      <w:r>
        <w:rPr>
          <w:rFonts w:eastAsia="楷体_GB2312"/>
          <w:b/>
          <w:bCs/>
          <w:color w:val="000000"/>
          <w:kern w:val="0"/>
          <w:sz w:val="32"/>
          <w:szCs w:val="32"/>
          <w:shd w:val="clear" w:color="auto" w:fill="FFFFFF"/>
          <w:lang w:val="zh-CN"/>
        </w:rPr>
        <w:t>绩效分析。</w:t>
      </w:r>
      <w:r>
        <w:rPr>
          <w:rFonts w:hint="eastAsia" w:eastAsia="仿宋_GB2312" w:cs="仿宋_GB2312"/>
          <w:kern w:val="0"/>
          <w:sz w:val="32"/>
          <w:szCs w:val="32"/>
          <w:lang w:val="zh-CN"/>
        </w:rPr>
        <w:t>根据</w:t>
      </w:r>
      <w:r>
        <w:rPr>
          <w:rFonts w:hint="eastAsia" w:eastAsia="仿宋_GB2312" w:cs="仿宋_GB2312"/>
          <w:kern w:val="0"/>
          <w:sz w:val="32"/>
          <w:szCs w:val="32"/>
        </w:rPr>
        <w:t>专项预算项目资金支持对象选择所属指标进行绩效分析。支持对象</w:t>
      </w:r>
      <w:r>
        <w:rPr>
          <w:rFonts w:hint="eastAsia" w:eastAsia="仿宋_GB2312" w:cs="仿宋_GB2312"/>
          <w:kern w:val="0"/>
          <w:sz w:val="32"/>
          <w:szCs w:val="32"/>
          <w:lang w:val="zh-CN"/>
        </w:rPr>
        <w:t>包括产业发展、民生保障、基础设施、行政运转等方面。</w:t>
      </w:r>
    </w:p>
    <w:p>
      <w:pPr>
        <w:spacing w:line="578" w:lineRule="exact"/>
        <w:ind w:firstLine="640"/>
        <w:rPr>
          <w:rFonts w:eastAsia="仿宋_GB2312" w:cs="仿宋_GB2312"/>
          <w:kern w:val="0"/>
          <w:sz w:val="32"/>
          <w:szCs w:val="32"/>
        </w:rPr>
      </w:pPr>
      <w:r>
        <w:rPr>
          <w:rFonts w:hint="eastAsia" w:eastAsia="仿宋_GB2312" w:cs="仿宋_GB2312"/>
          <w:kern w:val="0"/>
          <w:sz w:val="32"/>
          <w:szCs w:val="32"/>
        </w:rPr>
        <w:t>1.产业发展。整洁的市场环境、完善的环卫设施，能显著增强城市对文旅项目、外来投资的吸引力，形成环境优势、资源聚集、产业升级</w:t>
      </w:r>
      <w:r>
        <w:rPr>
          <w:rFonts w:hint="eastAsia" w:eastAsia="仿宋_GB2312" w:cs="仿宋_GB2312"/>
          <w:kern w:val="0"/>
          <w:sz w:val="32"/>
          <w:szCs w:val="32"/>
          <w:lang w:eastAsia="zh-CN"/>
        </w:rPr>
        <w:t>，提</w:t>
      </w:r>
      <w:r>
        <w:rPr>
          <w:rFonts w:hint="eastAsia" w:eastAsia="仿宋_GB2312" w:cs="仿宋_GB2312"/>
          <w:kern w:val="0"/>
          <w:sz w:val="32"/>
          <w:szCs w:val="32"/>
        </w:rPr>
        <w:t>升城市文明程度、增强市民获得感和幸福感。</w:t>
      </w:r>
    </w:p>
    <w:p>
      <w:pPr>
        <w:spacing w:line="578" w:lineRule="exact"/>
        <w:ind w:firstLine="640"/>
        <w:rPr>
          <w:rFonts w:eastAsia="仿宋_GB2312" w:cs="仿宋_GB2312"/>
          <w:kern w:val="0"/>
          <w:sz w:val="32"/>
          <w:szCs w:val="32"/>
        </w:rPr>
      </w:pPr>
      <w:r>
        <w:rPr>
          <w:rFonts w:hint="eastAsia" w:eastAsia="仿宋_GB2312" w:cs="仿宋_GB2312"/>
          <w:kern w:val="0"/>
          <w:sz w:val="32"/>
          <w:szCs w:val="32"/>
        </w:rPr>
        <w:t>2.</w:t>
      </w:r>
      <w:r>
        <w:rPr>
          <w:rFonts w:hint="eastAsia" w:eastAsia="仿宋_GB2312" w:cs="仿宋_GB2312"/>
          <w:kern w:val="0"/>
          <w:sz w:val="32"/>
          <w:szCs w:val="32"/>
          <w:lang w:val="zh-CN"/>
        </w:rPr>
        <w:t>民生保障。</w:t>
      </w:r>
      <w:r>
        <w:rPr>
          <w:rFonts w:hint="eastAsia" w:eastAsia="仿宋_GB2312" w:cs="仿宋_GB2312"/>
          <w:kern w:val="0"/>
          <w:sz w:val="32"/>
          <w:szCs w:val="32"/>
        </w:rPr>
        <w:t>推动农贸市场内清洁卫生能从源头降低传染病传播风险，让市场“干净、整洁、有序”，直接提升群众的生活幸福感和获得感。</w:t>
      </w:r>
    </w:p>
    <w:p>
      <w:pPr>
        <w:spacing w:line="578" w:lineRule="exact"/>
        <w:ind w:firstLine="640"/>
        <w:rPr>
          <w:rFonts w:eastAsia="仿宋_GB2312" w:cs="仿宋_GB2312"/>
          <w:kern w:val="0"/>
          <w:sz w:val="32"/>
          <w:szCs w:val="32"/>
        </w:rPr>
      </w:pPr>
      <w:r>
        <w:rPr>
          <w:rFonts w:hint="eastAsia" w:eastAsia="仿宋_GB2312" w:cs="仿宋_GB2312"/>
          <w:kern w:val="0"/>
          <w:sz w:val="32"/>
          <w:szCs w:val="32"/>
        </w:rPr>
        <w:t>3.基础设施。该项目未涉及基础设施</w:t>
      </w:r>
      <w:r>
        <w:rPr>
          <w:rFonts w:hint="eastAsia" w:eastAsia="仿宋_GB2312" w:cs="仿宋_GB2312"/>
          <w:kern w:val="0"/>
          <w:sz w:val="32"/>
          <w:szCs w:val="32"/>
          <w:lang w:val="zh-CN"/>
        </w:rPr>
        <w:t>。</w:t>
      </w:r>
    </w:p>
    <w:p>
      <w:pPr>
        <w:spacing w:line="578" w:lineRule="exact"/>
        <w:ind w:firstLine="640"/>
        <w:rPr>
          <w:rFonts w:eastAsia="仿宋_GB2312" w:cs="仿宋_GB2312"/>
          <w:kern w:val="0"/>
          <w:sz w:val="32"/>
          <w:szCs w:val="32"/>
          <w:lang w:val="zh-CN"/>
        </w:rPr>
      </w:pPr>
      <w:r>
        <w:rPr>
          <w:rFonts w:hint="eastAsia" w:eastAsia="仿宋_GB2312" w:cs="仿宋_GB2312"/>
          <w:kern w:val="0"/>
          <w:sz w:val="32"/>
          <w:szCs w:val="32"/>
        </w:rPr>
        <w:t>4.</w:t>
      </w:r>
      <w:r>
        <w:rPr>
          <w:rFonts w:hint="eastAsia" w:eastAsia="仿宋_GB2312" w:cs="仿宋_GB2312"/>
          <w:kern w:val="0"/>
          <w:sz w:val="32"/>
          <w:szCs w:val="32"/>
          <w:lang w:val="zh-CN"/>
        </w:rPr>
        <w:t>行政运转。项目申报内容与具体实施内容相符、申报目标合理可行。</w:t>
      </w:r>
    </w:p>
    <w:p>
      <w:pPr>
        <w:spacing w:line="578" w:lineRule="exact"/>
        <w:ind w:firstLine="640"/>
        <w:rPr>
          <w:rFonts w:eastAsia="仿宋_GB2312" w:cs="仿宋_GB2312"/>
          <w:kern w:val="0"/>
          <w:sz w:val="32"/>
          <w:szCs w:val="32"/>
        </w:rPr>
      </w:pPr>
      <w:r>
        <w:rPr>
          <w:rFonts w:hint="eastAsia" w:eastAsia="楷体_GB2312"/>
          <w:b/>
          <w:sz w:val="32"/>
          <w:szCs w:val="32"/>
          <w:lang w:val="zh-CN"/>
        </w:rPr>
        <w:t>（三）</w:t>
      </w:r>
      <w:r>
        <w:rPr>
          <w:rFonts w:hint="eastAsia" w:eastAsia="楷体_GB2312"/>
          <w:b/>
          <w:sz w:val="32"/>
          <w:szCs w:val="32"/>
        </w:rPr>
        <w:t>个性指标</w:t>
      </w:r>
      <w:r>
        <w:rPr>
          <w:rFonts w:eastAsia="楷体_GB2312"/>
          <w:b/>
          <w:bCs/>
          <w:color w:val="000000"/>
          <w:kern w:val="0"/>
          <w:sz w:val="32"/>
          <w:szCs w:val="32"/>
          <w:shd w:val="clear" w:color="auto" w:fill="FFFFFF"/>
          <w:lang w:val="zh-CN"/>
        </w:rPr>
        <w:t>绩效分析。</w:t>
      </w:r>
      <w:r>
        <w:rPr>
          <w:rFonts w:hint="eastAsia" w:eastAsia="仿宋_GB2312" w:cs="仿宋_GB2312"/>
          <w:kern w:val="0"/>
          <w:sz w:val="32"/>
          <w:szCs w:val="32"/>
          <w:lang w:val="zh-CN"/>
        </w:rPr>
        <w:t>国卫复审鑫盛市场环境卫生整治费用到位</w:t>
      </w:r>
      <w:r>
        <w:rPr>
          <w:rFonts w:hint="eastAsia" w:eastAsia="仿宋_GB2312" w:cs="仿宋_GB2312"/>
          <w:kern w:val="0"/>
          <w:sz w:val="32"/>
          <w:szCs w:val="32"/>
        </w:rPr>
        <w:t>1.69万元，到位率100%。</w:t>
      </w:r>
      <w:r>
        <w:rPr>
          <w:rFonts w:hint="eastAsia" w:eastAsia="仿宋_GB2312" w:cs="仿宋_GB2312"/>
          <w:kern w:val="0"/>
          <w:sz w:val="32"/>
          <w:szCs w:val="32"/>
          <w:lang w:val="zh-CN"/>
        </w:rPr>
        <w:t>。</w:t>
      </w:r>
    </w:p>
    <w:p>
      <w:pPr>
        <w:spacing w:line="578" w:lineRule="exact"/>
        <w:ind w:firstLine="640"/>
        <w:rPr>
          <w:rFonts w:ascii="黑体" w:hAnsi="黑体" w:eastAsia="黑体" w:cs="黑体"/>
          <w:kern w:val="0"/>
          <w:sz w:val="32"/>
          <w:szCs w:val="32"/>
        </w:rPr>
      </w:pPr>
      <w:r>
        <w:rPr>
          <w:rFonts w:hint="eastAsia" w:ascii="黑体" w:hAnsi="黑体" w:eastAsia="黑体" w:cs="黑体"/>
          <w:kern w:val="0"/>
          <w:sz w:val="32"/>
          <w:szCs w:val="32"/>
        </w:rPr>
        <w:t>四、评价结论</w:t>
      </w:r>
    </w:p>
    <w:p>
      <w:pPr>
        <w:spacing w:line="578" w:lineRule="exact"/>
        <w:ind w:firstLine="640"/>
        <w:rPr>
          <w:rFonts w:eastAsia="仿宋_GB2312" w:cs="仿宋_GB2312"/>
          <w:kern w:val="0"/>
          <w:sz w:val="32"/>
          <w:szCs w:val="32"/>
        </w:rPr>
      </w:pPr>
      <w:r>
        <w:rPr>
          <w:rFonts w:hint="eastAsia" w:eastAsia="仿宋_GB2312" w:cs="仿宋_GB2312"/>
          <w:kern w:val="0"/>
          <w:sz w:val="32"/>
          <w:szCs w:val="32"/>
        </w:rPr>
        <w:t>该项目自评总分100分。达到预期项目效益，通过清理市场内地面油污、积水、冲洗排水沟等，维修楼体、墙面，让市场从“无序”走向“有序”，让消费者“买</w:t>
      </w:r>
      <w:r>
        <w:rPr>
          <w:rFonts w:hint="eastAsia" w:eastAsia="仿宋_GB2312" w:cs="仿宋_GB2312"/>
          <w:kern w:val="0"/>
          <w:sz w:val="32"/>
          <w:szCs w:val="32"/>
          <w:lang w:eastAsia="zh-CN"/>
        </w:rPr>
        <w:t>得</w:t>
      </w:r>
      <w:r>
        <w:rPr>
          <w:rFonts w:hint="eastAsia" w:eastAsia="仿宋_GB2312" w:cs="仿宋_GB2312"/>
          <w:kern w:val="0"/>
          <w:sz w:val="32"/>
          <w:szCs w:val="32"/>
        </w:rPr>
        <w:t>放心、舒心”“吃得安心”，消除消费顾虑。</w:t>
      </w:r>
    </w:p>
    <w:p>
      <w:pPr>
        <w:spacing w:line="578" w:lineRule="exact"/>
        <w:ind w:firstLine="640"/>
        <w:rPr>
          <w:rFonts w:ascii="黑体" w:hAnsi="黑体" w:eastAsia="黑体" w:cs="黑体"/>
          <w:kern w:val="0"/>
          <w:sz w:val="32"/>
          <w:szCs w:val="32"/>
        </w:rPr>
      </w:pPr>
      <w:r>
        <w:rPr>
          <w:rFonts w:hint="eastAsia" w:ascii="黑体" w:hAnsi="黑体" w:eastAsia="黑体" w:cs="黑体"/>
          <w:kern w:val="0"/>
          <w:sz w:val="32"/>
          <w:szCs w:val="32"/>
        </w:rPr>
        <w:t>五、存在主要问题</w:t>
      </w:r>
    </w:p>
    <w:p>
      <w:pPr>
        <w:spacing w:line="578" w:lineRule="exact"/>
        <w:ind w:firstLine="640"/>
        <w:rPr>
          <w:rFonts w:eastAsia="仿宋_GB2312" w:cs="仿宋_GB2312"/>
          <w:kern w:val="0"/>
          <w:sz w:val="32"/>
          <w:szCs w:val="32"/>
        </w:rPr>
      </w:pPr>
      <w:r>
        <w:rPr>
          <w:rFonts w:hint="eastAsia" w:eastAsia="仿宋_GB2312" w:cs="仿宋_GB2312"/>
          <w:kern w:val="0"/>
          <w:sz w:val="32"/>
          <w:szCs w:val="32"/>
        </w:rPr>
        <w:t>无。</w:t>
      </w:r>
    </w:p>
    <w:p>
      <w:pPr>
        <w:spacing w:line="578" w:lineRule="exact"/>
        <w:ind w:firstLine="640"/>
        <w:rPr>
          <w:rFonts w:ascii="黑体" w:hAnsi="黑体" w:eastAsia="黑体" w:cs="黑体"/>
          <w:kern w:val="0"/>
          <w:sz w:val="32"/>
          <w:szCs w:val="32"/>
          <w:lang w:val="zh-CN"/>
        </w:rPr>
      </w:pPr>
      <w:r>
        <w:rPr>
          <w:rFonts w:hint="eastAsia" w:ascii="黑体" w:hAnsi="黑体" w:eastAsia="黑体" w:cs="黑体"/>
          <w:kern w:val="0"/>
          <w:sz w:val="32"/>
          <w:szCs w:val="32"/>
          <w:lang w:val="zh-CN"/>
        </w:rPr>
        <w:t>六、改进建议</w:t>
      </w:r>
    </w:p>
    <w:p>
      <w:pPr>
        <w:spacing w:line="578" w:lineRule="exact"/>
        <w:ind w:firstLine="640"/>
        <w:rPr>
          <w:rFonts w:eastAsia="仿宋_GB2312" w:cs="仿宋_GB2312"/>
          <w:kern w:val="0"/>
          <w:sz w:val="32"/>
          <w:szCs w:val="32"/>
        </w:rPr>
      </w:pPr>
      <w:r>
        <w:rPr>
          <w:rFonts w:hint="eastAsia" w:eastAsia="仿宋_GB2312" w:cs="仿宋_GB2312"/>
          <w:kern w:val="0"/>
          <w:sz w:val="32"/>
          <w:szCs w:val="32"/>
        </w:rPr>
        <w:t>无。</w:t>
      </w: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eastAsia="方正小标宋简体" w:cs="方正小标宋简体"/>
          <w:color w:val="auto"/>
          <w:kern w:val="2"/>
          <w:sz w:val="44"/>
          <w:szCs w:val="44"/>
          <w:lang w:val="en-US"/>
        </w:rPr>
      </w:pPr>
      <w:r>
        <w:rPr>
          <w:rFonts w:hint="eastAsia" w:ascii="Times New Roman" w:hAnsi="Times New Roman" w:eastAsia="方正小标宋简体" w:cs="方正小标宋简体"/>
          <w:color w:val="auto"/>
          <w:kern w:val="2"/>
          <w:sz w:val="44"/>
          <w:szCs w:val="44"/>
          <w:lang w:val="en-US"/>
        </w:rPr>
        <w:t>农贸市场提升改造专项预算项目</w:t>
      </w:r>
    </w:p>
    <w:p>
      <w:pPr>
        <w:pStyle w:val="35"/>
        <w:spacing w:line="578" w:lineRule="exact"/>
        <w:ind w:firstLine="640"/>
        <w:jc w:val="center"/>
        <w:rPr>
          <w:rFonts w:ascii="Times New Roman" w:hAnsi="Times New Roman"/>
          <w:color w:val="auto"/>
          <w:kern w:val="2"/>
          <w:sz w:val="32"/>
          <w:szCs w:val="32"/>
        </w:rPr>
      </w:pPr>
      <w:r>
        <w:rPr>
          <w:rFonts w:hint="eastAsia" w:ascii="Times New Roman" w:hAnsi="Times New Roman" w:eastAsia="方正小标宋简体" w:cs="方正小标宋简体"/>
          <w:color w:val="auto"/>
          <w:kern w:val="2"/>
          <w:sz w:val="44"/>
          <w:szCs w:val="44"/>
          <w:lang w:val="en-US"/>
        </w:rPr>
        <w:t>绩效评价报告</w:t>
      </w:r>
    </w:p>
    <w:p>
      <w:pPr>
        <w:adjustRightInd w:val="0"/>
        <w:snapToGrid w:val="0"/>
        <w:spacing w:line="578" w:lineRule="exact"/>
        <w:ind w:firstLine="640" w:firstLineChars="200"/>
        <w:rPr>
          <w:rFonts w:eastAsia="黑体"/>
          <w:sz w:val="32"/>
          <w:szCs w:val="32"/>
          <w:lang w:val="zh-CN"/>
        </w:rPr>
      </w:pPr>
      <w:r>
        <w:rPr>
          <w:rFonts w:hint="eastAsia" w:eastAsia="黑体"/>
          <w:sz w:val="32"/>
          <w:szCs w:val="32"/>
        </w:rPr>
        <w:t>一、</w:t>
      </w:r>
      <w:r>
        <w:rPr>
          <w:rFonts w:hint="eastAsia" w:eastAsia="黑体"/>
          <w:sz w:val="32"/>
          <w:szCs w:val="32"/>
          <w:lang w:val="zh-CN"/>
        </w:rPr>
        <w:t>项目概况</w:t>
      </w:r>
    </w:p>
    <w:p>
      <w:pPr>
        <w:widowControl/>
        <w:adjustRightInd w:val="0"/>
        <w:snapToGrid w:val="0"/>
        <w:spacing w:line="578" w:lineRule="exact"/>
        <w:ind w:firstLine="643" w:firstLineChars="200"/>
        <w:contextualSpacing/>
        <w:jc w:val="left"/>
        <w:rPr>
          <w:rFonts w:eastAsia="仿宋_GB2312" w:cs="仿宋_GB2312"/>
          <w:kern w:val="0"/>
          <w:sz w:val="32"/>
          <w:szCs w:val="32"/>
          <w:shd w:val="clear" w:color="auto" w:fill="FFFFFF"/>
          <w:lang w:val="zh-CN"/>
        </w:rPr>
      </w:pPr>
      <w:r>
        <w:rPr>
          <w:rFonts w:hint="eastAsia" w:eastAsia="楷体_GB2312"/>
          <w:b/>
          <w:sz w:val="32"/>
          <w:szCs w:val="32"/>
          <w:lang w:val="zh-CN"/>
        </w:rPr>
        <w:t>（一）设立背景及基本情况。</w:t>
      </w:r>
      <w:r>
        <w:rPr>
          <w:rFonts w:hint="eastAsia" w:eastAsia="仿宋_GB2312" w:cs="仿宋_GB2312"/>
          <w:kern w:val="0"/>
          <w:sz w:val="32"/>
          <w:szCs w:val="32"/>
          <w:lang w:val="zh-CN"/>
        </w:rPr>
        <w:t>为解决</w:t>
      </w:r>
      <w:r>
        <w:rPr>
          <w:rFonts w:hint="eastAsia" w:eastAsia="仿宋_GB2312" w:cs="仿宋_GB2312"/>
          <w:kern w:val="0"/>
          <w:sz w:val="32"/>
          <w:szCs w:val="32"/>
        </w:rPr>
        <w:t>我县农贸市场及周边存在的环境卫生问题，包括但不限于乱停乱放、乱搭乱建、乱堆乱放、乱贴乱画、乱倒垃圾及补充完善标识标牌宣传栏等。同时，针对消防设施不规范、消防通道堵塞、店铺占道经营等问题进行专项治理。</w:t>
      </w:r>
      <w:r>
        <w:rPr>
          <w:rFonts w:hint="eastAsia" w:eastAsia="仿宋_GB2312" w:cs="仿宋_GB2312"/>
          <w:kern w:val="0"/>
          <w:sz w:val="32"/>
          <w:szCs w:val="32"/>
          <w:shd w:val="clear" w:color="auto" w:fill="FFFFFF"/>
          <w:lang w:val="zh-CN"/>
        </w:rPr>
        <w:t>针对这些问题进行集中治理，是提升城市文明程度、增强市民获得感和幸福感的迫切需要。</w:t>
      </w:r>
    </w:p>
    <w:p>
      <w:pPr>
        <w:adjustRightInd w:val="0"/>
        <w:snapToGrid w:val="0"/>
        <w:spacing w:line="578" w:lineRule="exact"/>
        <w:ind w:firstLine="643" w:firstLineChars="200"/>
        <w:rPr>
          <w:rFonts w:eastAsia="仿宋_GB2312" w:cs="仿宋_GB2312"/>
          <w:kern w:val="0"/>
          <w:sz w:val="32"/>
          <w:szCs w:val="32"/>
          <w:lang w:val="zh-CN"/>
        </w:rPr>
      </w:pPr>
      <w:r>
        <w:rPr>
          <w:rFonts w:hint="eastAsia" w:eastAsia="楷体_GB2312"/>
          <w:b/>
          <w:sz w:val="32"/>
          <w:szCs w:val="32"/>
          <w:lang w:val="zh-CN"/>
        </w:rPr>
        <w:t>（二）</w:t>
      </w:r>
      <w:r>
        <w:rPr>
          <w:rFonts w:eastAsia="楷体_GB2312"/>
          <w:b/>
          <w:sz w:val="32"/>
          <w:szCs w:val="32"/>
        </w:rPr>
        <w:t>实施目的及支持方向</w:t>
      </w:r>
      <w:r>
        <w:rPr>
          <w:rFonts w:hint="eastAsia" w:eastAsia="楷体_GB2312"/>
          <w:b/>
          <w:sz w:val="32"/>
          <w:szCs w:val="32"/>
        </w:rPr>
        <w:t>。</w:t>
      </w:r>
      <w:r>
        <w:rPr>
          <w:rFonts w:hint="eastAsia" w:eastAsia="仿宋_GB2312" w:cs="仿宋_GB2312"/>
          <w:kern w:val="0"/>
          <w:sz w:val="32"/>
          <w:szCs w:val="32"/>
        </w:rPr>
        <w:t>通过实施本项目，旨在改善市场内部环境卫生状况，解决市场内路面积水、油污、菜叶等垃圾问题，确保垃圾清运及时，提升市场整体环境水平。项目还将关注楼体、墙面的清洁与修复，增设公平秤，整治缆线杂乱、照明不足等问题，并规范广告招牌及公益广告的设置</w:t>
      </w:r>
      <w:r>
        <w:rPr>
          <w:rFonts w:hint="eastAsia" w:eastAsia="仿宋_GB2312" w:cs="仿宋_GB2312"/>
          <w:kern w:val="0"/>
          <w:sz w:val="32"/>
          <w:szCs w:val="32"/>
          <w:shd w:val="clear" w:color="auto" w:fill="FFFFFF"/>
          <w:lang w:val="zh-CN"/>
        </w:rPr>
        <w:t>。</w:t>
      </w:r>
    </w:p>
    <w:p>
      <w:pPr>
        <w:widowControl/>
        <w:adjustRightInd w:val="0"/>
        <w:snapToGrid w:val="0"/>
        <w:spacing w:line="578" w:lineRule="exact"/>
        <w:ind w:firstLine="643" w:firstLineChars="200"/>
        <w:contextualSpacing/>
        <w:jc w:val="left"/>
        <w:rPr>
          <w:rFonts w:eastAsia="仿宋_GB2312" w:cs="仿宋_GB2312"/>
          <w:kern w:val="0"/>
          <w:sz w:val="32"/>
          <w:szCs w:val="32"/>
          <w:lang w:val="zh-CN"/>
        </w:rPr>
      </w:pPr>
      <w:r>
        <w:rPr>
          <w:rFonts w:hint="eastAsia" w:eastAsia="楷体_GB2312"/>
          <w:b/>
          <w:sz w:val="32"/>
          <w:szCs w:val="32"/>
          <w:lang w:val="zh-CN"/>
        </w:rPr>
        <w:t>（三）</w:t>
      </w:r>
      <w:r>
        <w:rPr>
          <w:rFonts w:eastAsia="楷体_GB2312"/>
          <w:b/>
          <w:sz w:val="32"/>
          <w:szCs w:val="32"/>
        </w:rPr>
        <w:t>预算安排及分配管理</w:t>
      </w:r>
      <w:r>
        <w:rPr>
          <w:rFonts w:hint="eastAsia" w:eastAsia="楷体_GB2312"/>
          <w:b/>
          <w:sz w:val="32"/>
          <w:szCs w:val="32"/>
          <w:lang w:val="zh-CN"/>
        </w:rPr>
        <w:t>。</w:t>
      </w:r>
      <w:r>
        <w:rPr>
          <w:rFonts w:hint="eastAsia" w:eastAsia="仿宋_GB2312" w:cs="仿宋_GB2312"/>
          <w:kern w:val="0"/>
          <w:sz w:val="32"/>
          <w:szCs w:val="32"/>
          <w:lang w:val="zh-CN"/>
        </w:rPr>
        <w:t>项目预算安排</w:t>
      </w:r>
      <w:r>
        <w:rPr>
          <w:rFonts w:hint="eastAsia" w:eastAsia="仿宋_GB2312" w:cs="仿宋_GB2312"/>
          <w:kern w:val="0"/>
          <w:sz w:val="32"/>
          <w:szCs w:val="32"/>
        </w:rPr>
        <w:t>3万元</w:t>
      </w:r>
      <w:r>
        <w:rPr>
          <w:rFonts w:hint="eastAsia" w:eastAsia="仿宋_GB2312" w:cs="仿宋_GB2312"/>
          <w:kern w:val="0"/>
          <w:sz w:val="32"/>
          <w:szCs w:val="32"/>
          <w:lang w:val="zh-CN"/>
        </w:rPr>
        <w:t>，清理市场内地面油污、积水等，维修楼体、墙面，焕新市场周围公益广告。</w:t>
      </w:r>
    </w:p>
    <w:p>
      <w:pPr>
        <w:adjustRightInd w:val="0"/>
        <w:snapToGrid w:val="0"/>
        <w:spacing w:line="578" w:lineRule="exact"/>
        <w:ind w:firstLine="643" w:firstLineChars="200"/>
        <w:rPr>
          <w:rFonts w:eastAsia="仿宋_GB2312" w:cs="仿宋_GB2312"/>
          <w:kern w:val="0"/>
          <w:sz w:val="32"/>
          <w:szCs w:val="32"/>
          <w:lang w:val="zh-CN"/>
        </w:rPr>
      </w:pPr>
      <w:r>
        <w:rPr>
          <w:rFonts w:hint="eastAsia" w:eastAsia="楷体_GB2312"/>
          <w:b/>
          <w:sz w:val="32"/>
          <w:szCs w:val="32"/>
          <w:lang w:val="zh-CN"/>
        </w:rPr>
        <w:t>（四）项目绩效目标设置。</w:t>
      </w:r>
      <w:r>
        <w:rPr>
          <w:rFonts w:hint="eastAsia" w:eastAsia="仿宋_GB2312" w:cs="仿宋_GB2312"/>
          <w:kern w:val="0"/>
          <w:sz w:val="32"/>
          <w:szCs w:val="32"/>
          <w:lang w:val="zh-CN"/>
        </w:rPr>
        <w:t>辖区内农贸市场周边公益广告宣传按市容市貌管理要求更新、安装。</w:t>
      </w:r>
    </w:p>
    <w:p>
      <w:pPr>
        <w:adjustRightInd w:val="0"/>
        <w:snapToGrid w:val="0"/>
        <w:spacing w:line="578" w:lineRule="exact"/>
        <w:ind w:firstLine="640" w:firstLineChars="200"/>
        <w:rPr>
          <w:rFonts w:eastAsia="黑体"/>
          <w:sz w:val="32"/>
          <w:szCs w:val="32"/>
        </w:rPr>
      </w:pPr>
      <w:r>
        <w:rPr>
          <w:rFonts w:hint="eastAsia" w:eastAsia="黑体"/>
          <w:sz w:val="32"/>
          <w:szCs w:val="32"/>
        </w:rPr>
        <w:t>二、评价实施</w:t>
      </w:r>
    </w:p>
    <w:p>
      <w:pPr>
        <w:spacing w:line="578" w:lineRule="exact"/>
        <w:ind w:firstLine="640"/>
        <w:rPr>
          <w:rFonts w:eastAsia="仿宋_GB2312" w:cs="仿宋_GB2312"/>
          <w:kern w:val="0"/>
          <w:sz w:val="32"/>
          <w:szCs w:val="32"/>
          <w:lang w:val="zh-CN"/>
        </w:rPr>
      </w:pPr>
      <w:r>
        <w:rPr>
          <w:rFonts w:hint="eastAsia" w:eastAsia="楷体_GB2312"/>
          <w:b/>
          <w:sz w:val="32"/>
          <w:szCs w:val="32"/>
          <w:lang w:val="zh-CN"/>
        </w:rPr>
        <w:t>（一）评价目的。</w:t>
      </w:r>
      <w:r>
        <w:rPr>
          <w:rFonts w:hint="eastAsia" w:eastAsia="仿宋_GB2312" w:cs="仿宋_GB2312"/>
          <w:kern w:val="0"/>
          <w:sz w:val="32"/>
          <w:szCs w:val="32"/>
          <w:lang w:val="zh-CN"/>
        </w:rPr>
        <w:t>辖区内农贸市场周边公益广告宣传按市容市貌管理要求更新、安装。</w:t>
      </w:r>
    </w:p>
    <w:p>
      <w:pPr>
        <w:adjustRightInd w:val="0"/>
        <w:snapToGrid w:val="0"/>
        <w:spacing w:line="578" w:lineRule="exact"/>
        <w:ind w:firstLine="643" w:firstLineChars="200"/>
        <w:rPr>
          <w:rFonts w:eastAsia="仿宋_GB2312" w:cs="仿宋_GB2312"/>
          <w:kern w:val="0"/>
          <w:sz w:val="32"/>
          <w:szCs w:val="32"/>
          <w:lang w:val="zh-CN"/>
        </w:rPr>
      </w:pPr>
      <w:r>
        <w:rPr>
          <w:rFonts w:hint="eastAsia" w:eastAsia="楷体_GB2312"/>
          <w:b/>
          <w:sz w:val="32"/>
          <w:szCs w:val="32"/>
          <w:lang w:val="zh-CN"/>
        </w:rPr>
        <w:t>（二）预设问题及评价重点。</w:t>
      </w:r>
      <w:r>
        <w:rPr>
          <w:rFonts w:hint="eastAsia" w:eastAsia="仿宋_GB2312" w:cs="仿宋_GB2312"/>
          <w:kern w:val="0"/>
          <w:sz w:val="32"/>
          <w:szCs w:val="32"/>
          <w:lang w:val="zh-CN"/>
        </w:rPr>
        <w:t>重点在于项目申报内容与具体实施内容是否相符、申报目标是否合理可行。</w:t>
      </w:r>
    </w:p>
    <w:p>
      <w:pPr>
        <w:spacing w:line="578" w:lineRule="exact"/>
        <w:ind w:firstLine="640"/>
        <w:rPr>
          <w:rFonts w:eastAsia="楷体_GB2312"/>
          <w:b/>
          <w:sz w:val="32"/>
          <w:szCs w:val="32"/>
          <w:lang w:val="zh-CN"/>
        </w:rPr>
      </w:pPr>
      <w:r>
        <w:rPr>
          <w:rFonts w:hint="eastAsia" w:eastAsia="楷体_GB2312"/>
          <w:b/>
          <w:sz w:val="32"/>
          <w:szCs w:val="32"/>
          <w:lang w:val="zh-CN"/>
        </w:rPr>
        <w:t>（三）评价选点。</w:t>
      </w:r>
      <w:r>
        <w:rPr>
          <w:rFonts w:hint="eastAsia" w:eastAsia="仿宋_GB2312" w:cs="仿宋_GB2312"/>
          <w:kern w:val="0"/>
          <w:sz w:val="32"/>
          <w:szCs w:val="32"/>
          <w:lang w:val="zh-CN"/>
        </w:rPr>
        <w:t>项目绩效自评所抽样点位符合。</w:t>
      </w:r>
    </w:p>
    <w:p>
      <w:pPr>
        <w:spacing w:line="578" w:lineRule="exact"/>
        <w:ind w:firstLine="640"/>
        <w:rPr>
          <w:rFonts w:eastAsia="仿宋_GB2312" w:cs="仿宋_GB2312"/>
          <w:kern w:val="0"/>
          <w:sz w:val="32"/>
          <w:szCs w:val="32"/>
          <w:lang w:val="zh-CN"/>
        </w:rPr>
      </w:pPr>
      <w:r>
        <w:rPr>
          <w:rFonts w:hint="eastAsia" w:eastAsia="楷体_GB2312"/>
          <w:b/>
          <w:sz w:val="32"/>
          <w:szCs w:val="32"/>
          <w:lang w:val="zh-CN"/>
        </w:rPr>
        <w:t>（四）评价方法。</w:t>
      </w:r>
      <w:r>
        <w:rPr>
          <w:rFonts w:hint="eastAsia" w:eastAsia="仿宋_GB2312" w:cs="仿宋_GB2312"/>
          <w:kern w:val="0"/>
          <w:sz w:val="32"/>
          <w:szCs w:val="32"/>
          <w:lang w:val="zh-CN"/>
        </w:rPr>
        <w:t>根据项目情况和评价重点，采用单位自评法。</w:t>
      </w:r>
    </w:p>
    <w:p>
      <w:pPr>
        <w:spacing w:line="578" w:lineRule="exact"/>
        <w:ind w:firstLine="640"/>
        <w:rPr>
          <w:rFonts w:eastAsia="仿宋_GB2312"/>
          <w:bCs/>
        </w:rPr>
      </w:pPr>
      <w:r>
        <w:rPr>
          <w:rFonts w:hint="eastAsia" w:eastAsia="楷体_GB2312"/>
          <w:b/>
          <w:sz w:val="32"/>
          <w:szCs w:val="32"/>
          <w:lang w:val="zh-CN"/>
        </w:rPr>
        <w:t>（五）评价组织。</w:t>
      </w:r>
      <w:r>
        <w:rPr>
          <w:rFonts w:hint="eastAsia" w:eastAsia="仿宋_GB2312" w:cs="仿宋_GB2312"/>
          <w:kern w:val="0"/>
          <w:sz w:val="32"/>
          <w:szCs w:val="32"/>
          <w:lang w:val="zh-CN"/>
        </w:rPr>
        <w:t>评价组人员由市场监督管理局交易秩序监督管理股4人构成。</w:t>
      </w:r>
    </w:p>
    <w:p>
      <w:pPr>
        <w:adjustRightInd w:val="0"/>
        <w:snapToGrid w:val="0"/>
        <w:spacing w:line="578" w:lineRule="exact"/>
        <w:ind w:firstLine="640" w:firstLineChars="200"/>
        <w:rPr>
          <w:sz w:val="32"/>
          <w:szCs w:val="32"/>
          <w:lang w:val="zh-CN"/>
        </w:rPr>
      </w:pPr>
      <w:r>
        <w:rPr>
          <w:rFonts w:hint="eastAsia" w:eastAsia="黑体"/>
          <w:sz w:val="32"/>
          <w:szCs w:val="32"/>
        </w:rPr>
        <w:t>三、绩效分析</w:t>
      </w:r>
    </w:p>
    <w:p>
      <w:pPr>
        <w:spacing w:line="578" w:lineRule="exact"/>
        <w:ind w:firstLine="640"/>
        <w:rPr>
          <w:rFonts w:eastAsia="仿宋_GB2312" w:cs="仿宋_GB2312"/>
          <w:kern w:val="0"/>
          <w:sz w:val="32"/>
          <w:szCs w:val="32"/>
        </w:rPr>
      </w:pPr>
      <w:r>
        <w:rPr>
          <w:rFonts w:eastAsia="仿宋_GB2312" w:cs="仿宋_GB2312"/>
          <w:kern w:val="0"/>
          <w:sz w:val="32"/>
          <w:szCs w:val="32"/>
          <w:lang w:val="zh-CN"/>
        </w:rPr>
        <w:t>根据</w:t>
      </w:r>
      <w:r>
        <w:rPr>
          <w:rFonts w:hint="eastAsia" w:eastAsia="仿宋_GB2312" w:cs="仿宋_GB2312"/>
          <w:kern w:val="0"/>
          <w:sz w:val="32"/>
          <w:szCs w:val="32"/>
          <w:lang w:val="zh-CN"/>
        </w:rPr>
        <w:t>项目</w:t>
      </w:r>
      <w:r>
        <w:rPr>
          <w:rFonts w:eastAsia="仿宋_GB2312" w:cs="仿宋_GB2312"/>
          <w:kern w:val="0"/>
          <w:sz w:val="32"/>
          <w:szCs w:val="32"/>
          <w:lang w:val="zh-CN"/>
        </w:rPr>
        <w:t>预算绩效评价指标体系</w:t>
      </w:r>
      <w:r>
        <w:rPr>
          <w:rFonts w:hint="eastAsia" w:eastAsia="仿宋_GB2312" w:cs="仿宋_GB2312"/>
          <w:kern w:val="0"/>
          <w:sz w:val="32"/>
          <w:szCs w:val="32"/>
          <w:lang w:val="zh-CN"/>
        </w:rPr>
        <w:t>通用指标、专用指标、个性指标</w:t>
      </w:r>
      <w:r>
        <w:rPr>
          <w:rFonts w:eastAsia="仿宋_GB2312" w:cs="仿宋_GB2312"/>
          <w:kern w:val="0"/>
          <w:sz w:val="32"/>
          <w:szCs w:val="32"/>
          <w:lang w:val="zh-CN"/>
        </w:rPr>
        <w:t>涉及</w:t>
      </w:r>
      <w:r>
        <w:rPr>
          <w:rFonts w:hint="eastAsia" w:eastAsia="仿宋_GB2312" w:cs="仿宋_GB2312"/>
          <w:kern w:val="0"/>
          <w:sz w:val="32"/>
          <w:szCs w:val="32"/>
          <w:lang w:val="zh-CN"/>
        </w:rPr>
        <w:t>二、三级</w:t>
      </w:r>
      <w:r>
        <w:rPr>
          <w:rFonts w:eastAsia="仿宋_GB2312" w:cs="仿宋_GB2312"/>
          <w:kern w:val="0"/>
          <w:sz w:val="32"/>
          <w:szCs w:val="32"/>
          <w:lang w:val="zh-CN"/>
        </w:rPr>
        <w:t>指标进行</w:t>
      </w:r>
      <w:r>
        <w:rPr>
          <w:rFonts w:hint="eastAsia" w:eastAsia="仿宋_GB2312" w:cs="仿宋_GB2312"/>
          <w:kern w:val="0"/>
          <w:sz w:val="32"/>
          <w:szCs w:val="32"/>
          <w:lang w:val="zh-CN"/>
        </w:rPr>
        <w:t>逐项</w:t>
      </w:r>
      <w:r>
        <w:rPr>
          <w:rFonts w:eastAsia="仿宋_GB2312" w:cs="仿宋_GB2312"/>
          <w:kern w:val="0"/>
          <w:sz w:val="32"/>
          <w:szCs w:val="32"/>
          <w:lang w:val="zh-CN"/>
        </w:rPr>
        <w:t>绩效分析</w:t>
      </w:r>
      <w:r>
        <w:rPr>
          <w:rFonts w:hint="eastAsia" w:eastAsia="仿宋_GB2312" w:cs="仿宋_GB2312"/>
          <w:kern w:val="0"/>
          <w:sz w:val="32"/>
          <w:szCs w:val="32"/>
          <w:lang w:val="zh-CN"/>
        </w:rPr>
        <w:t>并评分</w:t>
      </w:r>
      <w:r>
        <w:rPr>
          <w:rFonts w:hint="eastAsia" w:eastAsia="仿宋_GB2312" w:cs="仿宋_GB2312"/>
          <w:kern w:val="0"/>
          <w:sz w:val="32"/>
          <w:szCs w:val="32"/>
        </w:rPr>
        <w:t>。</w:t>
      </w:r>
    </w:p>
    <w:p>
      <w:pPr>
        <w:spacing w:line="578" w:lineRule="exact"/>
        <w:ind w:firstLine="640"/>
        <w:rPr>
          <w:rFonts w:eastAsia="楷体_GB2312"/>
          <w:b/>
          <w:sz w:val="32"/>
          <w:szCs w:val="32"/>
        </w:rPr>
      </w:pPr>
      <w:r>
        <w:rPr>
          <w:rFonts w:hint="eastAsia" w:eastAsia="楷体_GB2312"/>
          <w:b/>
          <w:sz w:val="32"/>
          <w:szCs w:val="32"/>
          <w:lang w:val="zh-CN"/>
        </w:rPr>
        <w:t>（一）</w:t>
      </w:r>
      <w:r>
        <w:rPr>
          <w:rFonts w:hint="eastAsia" w:eastAsia="楷体_GB2312"/>
          <w:b/>
          <w:sz w:val="32"/>
          <w:szCs w:val="32"/>
        </w:rPr>
        <w:t>通用指标</w:t>
      </w:r>
      <w:r>
        <w:rPr>
          <w:rFonts w:eastAsia="楷体_GB2312"/>
          <w:b/>
          <w:bCs/>
          <w:color w:val="000000"/>
          <w:kern w:val="0"/>
          <w:sz w:val="32"/>
          <w:szCs w:val="32"/>
          <w:shd w:val="clear" w:color="auto" w:fill="FFFFFF"/>
          <w:lang w:val="zh-CN"/>
        </w:rPr>
        <w:t>绩效分析。</w:t>
      </w:r>
    </w:p>
    <w:p>
      <w:pPr>
        <w:spacing w:line="578" w:lineRule="exact"/>
        <w:ind w:firstLine="640"/>
        <w:rPr>
          <w:rFonts w:eastAsia="仿宋_GB2312" w:cs="仿宋_GB2312"/>
          <w:kern w:val="0"/>
          <w:sz w:val="32"/>
          <w:szCs w:val="32"/>
          <w:lang w:val="zh-CN"/>
        </w:rPr>
      </w:pPr>
      <w:r>
        <w:rPr>
          <w:rFonts w:hint="eastAsia" w:eastAsia="仿宋_GB2312" w:cs="仿宋_GB2312"/>
          <w:kern w:val="0"/>
          <w:sz w:val="32"/>
          <w:szCs w:val="32"/>
        </w:rPr>
        <w:t>1.</w:t>
      </w:r>
      <w:r>
        <w:rPr>
          <w:rFonts w:hint="eastAsia" w:eastAsia="仿宋_GB2312" w:cs="仿宋_GB2312"/>
          <w:kern w:val="0"/>
          <w:sz w:val="32"/>
          <w:szCs w:val="32"/>
          <w:lang w:val="zh-CN"/>
        </w:rPr>
        <w:t>项目决策。按有关文件对辖区内农贸市场周边公益广告宣传画进行实时更新，合理分配使用资金。项目立项依据充分，决策程序规范，符合相关政策法规要求。</w:t>
      </w:r>
    </w:p>
    <w:p>
      <w:pPr>
        <w:spacing w:line="578" w:lineRule="exact"/>
        <w:ind w:firstLine="640"/>
        <w:rPr>
          <w:rFonts w:eastAsia="仿宋_GB2312" w:cs="仿宋_GB2312"/>
          <w:kern w:val="0"/>
          <w:sz w:val="32"/>
          <w:szCs w:val="32"/>
          <w:lang w:val="zh-CN"/>
        </w:rPr>
      </w:pPr>
      <w:r>
        <w:rPr>
          <w:rFonts w:hint="eastAsia" w:eastAsia="仿宋_GB2312" w:cs="仿宋_GB2312"/>
          <w:kern w:val="0"/>
          <w:sz w:val="32"/>
          <w:szCs w:val="32"/>
        </w:rPr>
        <w:t>2.</w:t>
      </w:r>
      <w:r>
        <w:rPr>
          <w:rFonts w:hint="eastAsia" w:eastAsia="仿宋_GB2312" w:cs="仿宋_GB2312"/>
          <w:kern w:val="0"/>
          <w:sz w:val="32"/>
          <w:szCs w:val="32"/>
          <w:lang w:val="zh-CN"/>
        </w:rPr>
        <w:t>项目管理。我单位加强对财政专项资金管理，严格按预算进度支付费用，各项经费支出严格按照政府采购、国库集中支付等有关规定执行，预算执行完成和控制较好。根据有关要求，成立绩效评价工作小组。专门负责该项经费的规范使用和日常监督工作。</w:t>
      </w:r>
    </w:p>
    <w:p>
      <w:pPr>
        <w:spacing w:line="578" w:lineRule="exact"/>
        <w:ind w:firstLine="640"/>
        <w:rPr>
          <w:rFonts w:eastAsia="仿宋_GB2312" w:cs="仿宋_GB2312"/>
          <w:kern w:val="0"/>
          <w:sz w:val="32"/>
          <w:szCs w:val="32"/>
          <w:lang w:val="zh-CN"/>
        </w:rPr>
      </w:pPr>
      <w:r>
        <w:rPr>
          <w:rFonts w:hint="eastAsia" w:eastAsia="仿宋_GB2312" w:cs="仿宋_GB2312"/>
          <w:kern w:val="0"/>
          <w:sz w:val="32"/>
          <w:szCs w:val="32"/>
        </w:rPr>
        <w:t>3.项目实施。</w:t>
      </w:r>
      <w:r>
        <w:rPr>
          <w:rFonts w:hint="eastAsia" w:eastAsia="仿宋_GB2312" w:cs="仿宋_GB2312"/>
          <w:kern w:val="0"/>
          <w:sz w:val="32"/>
          <w:szCs w:val="32"/>
          <w:lang w:val="zh-CN"/>
        </w:rPr>
        <w:t>预算执行为</w:t>
      </w:r>
      <w:r>
        <w:rPr>
          <w:rFonts w:hint="eastAsia" w:eastAsia="仿宋_GB2312" w:cs="仿宋_GB2312"/>
          <w:kern w:val="0"/>
          <w:sz w:val="32"/>
          <w:szCs w:val="32"/>
        </w:rPr>
        <w:t>1.3157</w:t>
      </w:r>
      <w:r>
        <w:rPr>
          <w:rFonts w:hint="eastAsia" w:eastAsia="仿宋_GB2312" w:cs="仿宋_GB2312"/>
          <w:kern w:val="0"/>
          <w:sz w:val="32"/>
          <w:szCs w:val="32"/>
          <w:lang w:val="zh-CN"/>
        </w:rPr>
        <w:t>万元，预算执行率100%。</w:t>
      </w:r>
    </w:p>
    <w:p>
      <w:pPr>
        <w:spacing w:line="578" w:lineRule="exact"/>
        <w:ind w:firstLine="640"/>
        <w:rPr>
          <w:rFonts w:eastAsia="仿宋_GB2312" w:cs="仿宋_GB2312"/>
          <w:kern w:val="0"/>
          <w:sz w:val="32"/>
          <w:szCs w:val="32"/>
          <w:lang w:val="zh-CN"/>
        </w:rPr>
      </w:pPr>
      <w:r>
        <w:rPr>
          <w:rFonts w:hint="eastAsia" w:eastAsia="仿宋_GB2312" w:cs="仿宋_GB2312"/>
          <w:kern w:val="0"/>
          <w:sz w:val="32"/>
          <w:szCs w:val="32"/>
        </w:rPr>
        <w:t>4.项目结果。按照市容市貌对农贸市场广告宣传的要求实时更新完毕</w:t>
      </w:r>
      <w:r>
        <w:rPr>
          <w:rFonts w:hint="eastAsia" w:eastAsia="仿宋_GB2312" w:cs="仿宋_GB2312"/>
          <w:kern w:val="0"/>
          <w:sz w:val="32"/>
          <w:szCs w:val="32"/>
          <w:lang w:val="zh-CN"/>
        </w:rPr>
        <w:t>。</w:t>
      </w:r>
    </w:p>
    <w:p>
      <w:pPr>
        <w:spacing w:line="578" w:lineRule="exact"/>
        <w:ind w:firstLine="640"/>
        <w:rPr>
          <w:rFonts w:eastAsia="仿宋_GB2312" w:cs="仿宋_GB2312"/>
          <w:kern w:val="0"/>
          <w:sz w:val="32"/>
          <w:szCs w:val="32"/>
          <w:lang w:val="zh-CN"/>
        </w:rPr>
      </w:pPr>
      <w:r>
        <w:rPr>
          <w:rFonts w:hint="eastAsia" w:eastAsia="楷体_GB2312"/>
          <w:b/>
          <w:sz w:val="32"/>
          <w:szCs w:val="32"/>
          <w:lang w:val="zh-CN"/>
        </w:rPr>
        <w:t>（二）</w:t>
      </w:r>
      <w:r>
        <w:rPr>
          <w:rFonts w:hint="eastAsia" w:eastAsia="楷体_GB2312"/>
          <w:b/>
          <w:sz w:val="32"/>
          <w:szCs w:val="32"/>
        </w:rPr>
        <w:t>专用指标</w:t>
      </w:r>
      <w:r>
        <w:rPr>
          <w:rFonts w:eastAsia="楷体_GB2312"/>
          <w:b/>
          <w:bCs/>
          <w:color w:val="000000"/>
          <w:kern w:val="0"/>
          <w:sz w:val="32"/>
          <w:szCs w:val="32"/>
          <w:shd w:val="clear" w:color="auto" w:fill="FFFFFF"/>
          <w:lang w:val="zh-CN"/>
        </w:rPr>
        <w:t>绩效分析。</w:t>
      </w:r>
      <w:r>
        <w:rPr>
          <w:rFonts w:hint="eastAsia" w:eastAsia="仿宋_GB2312" w:cs="仿宋_GB2312"/>
          <w:kern w:val="0"/>
          <w:sz w:val="32"/>
          <w:szCs w:val="32"/>
          <w:lang w:val="zh-CN"/>
        </w:rPr>
        <w:t>根据</w:t>
      </w:r>
      <w:r>
        <w:rPr>
          <w:rFonts w:hint="eastAsia" w:eastAsia="仿宋_GB2312" w:cs="仿宋_GB2312"/>
          <w:kern w:val="0"/>
          <w:sz w:val="32"/>
          <w:szCs w:val="32"/>
        </w:rPr>
        <w:t>专项预算项目资金支持对象选择所属指标进行绩效分析。支持对象</w:t>
      </w:r>
      <w:r>
        <w:rPr>
          <w:rFonts w:hint="eastAsia" w:eastAsia="仿宋_GB2312" w:cs="仿宋_GB2312"/>
          <w:kern w:val="0"/>
          <w:sz w:val="32"/>
          <w:szCs w:val="32"/>
          <w:lang w:val="zh-CN"/>
        </w:rPr>
        <w:t>包括产业发展、民生保障、基础设施、行政运转等方面。</w:t>
      </w:r>
    </w:p>
    <w:p>
      <w:pPr>
        <w:spacing w:line="578" w:lineRule="exact"/>
        <w:ind w:firstLine="640"/>
        <w:rPr>
          <w:rFonts w:eastAsia="仿宋_GB2312" w:cs="仿宋_GB2312"/>
          <w:kern w:val="0"/>
          <w:sz w:val="32"/>
          <w:szCs w:val="32"/>
        </w:rPr>
      </w:pPr>
      <w:r>
        <w:rPr>
          <w:rFonts w:hint="eastAsia" w:eastAsia="仿宋_GB2312" w:cs="仿宋_GB2312"/>
          <w:kern w:val="0"/>
          <w:sz w:val="32"/>
          <w:szCs w:val="32"/>
        </w:rPr>
        <w:t>1.产业发展。通过张贴宣传诚信经营、文明摆摊、保供稳价、特色农</w:t>
      </w:r>
      <w:r>
        <w:rPr>
          <w:rFonts w:hint="eastAsia" w:eastAsia="仿宋_GB2312" w:cs="仿宋_GB2312"/>
          <w:kern w:val="0"/>
          <w:sz w:val="32"/>
          <w:szCs w:val="32"/>
          <w:lang w:eastAsia="zh-CN"/>
        </w:rPr>
        <w:t>产品</w:t>
      </w:r>
      <w:r>
        <w:rPr>
          <w:rFonts w:hint="eastAsia" w:eastAsia="仿宋_GB2312" w:cs="仿宋_GB2312"/>
          <w:kern w:val="0"/>
          <w:sz w:val="32"/>
          <w:szCs w:val="32"/>
        </w:rPr>
        <w:t>等公益广告，配合业主方管理规定形成合力，让市场从“无序”走向“有序”。</w:t>
      </w:r>
    </w:p>
    <w:p>
      <w:pPr>
        <w:spacing w:line="578" w:lineRule="exact"/>
        <w:ind w:firstLine="640"/>
        <w:rPr>
          <w:rFonts w:eastAsia="仿宋_GB2312" w:cs="仿宋_GB2312"/>
          <w:kern w:val="0"/>
          <w:sz w:val="32"/>
          <w:szCs w:val="32"/>
        </w:rPr>
      </w:pPr>
      <w:r>
        <w:rPr>
          <w:rFonts w:hint="eastAsia" w:eastAsia="仿宋_GB2312" w:cs="仿宋_GB2312"/>
          <w:kern w:val="0"/>
          <w:sz w:val="32"/>
          <w:szCs w:val="32"/>
        </w:rPr>
        <w:t>2.</w:t>
      </w:r>
      <w:r>
        <w:rPr>
          <w:rFonts w:hint="eastAsia" w:eastAsia="仿宋_GB2312" w:cs="仿宋_GB2312"/>
          <w:kern w:val="0"/>
          <w:sz w:val="32"/>
          <w:szCs w:val="32"/>
          <w:lang w:val="zh-CN"/>
        </w:rPr>
        <w:t>民生保障。</w:t>
      </w:r>
      <w:r>
        <w:rPr>
          <w:rFonts w:hint="eastAsia" w:eastAsia="仿宋_GB2312" w:cs="仿宋_GB2312"/>
          <w:kern w:val="0"/>
          <w:sz w:val="32"/>
          <w:szCs w:val="32"/>
        </w:rPr>
        <w:t>以生动案例、公益宣传科普相关知识，让消费者“买</w:t>
      </w:r>
      <w:r>
        <w:rPr>
          <w:rFonts w:hint="eastAsia" w:eastAsia="仿宋_GB2312" w:cs="仿宋_GB2312"/>
          <w:kern w:val="0"/>
          <w:sz w:val="32"/>
          <w:szCs w:val="32"/>
          <w:lang w:eastAsia="zh-CN"/>
        </w:rPr>
        <w:t>得</w:t>
      </w:r>
      <w:r>
        <w:rPr>
          <w:rFonts w:hint="eastAsia" w:eastAsia="仿宋_GB2312" w:cs="仿宋_GB2312"/>
          <w:kern w:val="0"/>
          <w:sz w:val="32"/>
          <w:szCs w:val="32"/>
        </w:rPr>
        <w:t>放心、舒心”“吃得安心”，消除消费顾虑。</w:t>
      </w:r>
    </w:p>
    <w:p>
      <w:pPr>
        <w:spacing w:line="578" w:lineRule="exact"/>
        <w:ind w:firstLine="640"/>
        <w:rPr>
          <w:rFonts w:eastAsia="仿宋_GB2312" w:cs="仿宋_GB2312"/>
          <w:kern w:val="0"/>
          <w:sz w:val="32"/>
          <w:szCs w:val="32"/>
        </w:rPr>
      </w:pPr>
      <w:r>
        <w:rPr>
          <w:rFonts w:hint="eastAsia" w:eastAsia="仿宋_GB2312" w:cs="仿宋_GB2312"/>
          <w:kern w:val="0"/>
          <w:sz w:val="32"/>
          <w:szCs w:val="32"/>
        </w:rPr>
        <w:t>3.基础设施。该项目未涉及基础设施</w:t>
      </w:r>
      <w:r>
        <w:rPr>
          <w:rFonts w:hint="eastAsia" w:eastAsia="仿宋_GB2312" w:cs="仿宋_GB2312"/>
          <w:kern w:val="0"/>
          <w:sz w:val="32"/>
          <w:szCs w:val="32"/>
          <w:lang w:val="zh-CN"/>
        </w:rPr>
        <w:t>。</w:t>
      </w:r>
    </w:p>
    <w:p>
      <w:pPr>
        <w:spacing w:line="578" w:lineRule="exact"/>
        <w:ind w:firstLine="640"/>
        <w:rPr>
          <w:rFonts w:eastAsia="仿宋_GB2312" w:cs="仿宋_GB2312"/>
          <w:kern w:val="0"/>
          <w:sz w:val="32"/>
          <w:szCs w:val="32"/>
          <w:lang w:val="zh-CN"/>
        </w:rPr>
      </w:pPr>
      <w:r>
        <w:rPr>
          <w:rFonts w:hint="eastAsia" w:eastAsia="仿宋_GB2312" w:cs="仿宋_GB2312"/>
          <w:kern w:val="0"/>
          <w:sz w:val="32"/>
          <w:szCs w:val="32"/>
        </w:rPr>
        <w:t>4.</w:t>
      </w:r>
      <w:r>
        <w:rPr>
          <w:rFonts w:hint="eastAsia" w:eastAsia="仿宋_GB2312" w:cs="仿宋_GB2312"/>
          <w:kern w:val="0"/>
          <w:sz w:val="32"/>
          <w:szCs w:val="32"/>
          <w:lang w:val="zh-CN"/>
        </w:rPr>
        <w:t>行政运转。项目申报内容与具体实施内容相符、申报目标合理可行。</w:t>
      </w:r>
    </w:p>
    <w:p>
      <w:pPr>
        <w:spacing w:line="578" w:lineRule="exact"/>
        <w:ind w:firstLine="640"/>
        <w:rPr>
          <w:rFonts w:eastAsia="仿宋_GB2312" w:cs="仿宋_GB2312"/>
          <w:kern w:val="0"/>
          <w:sz w:val="32"/>
          <w:szCs w:val="32"/>
        </w:rPr>
      </w:pPr>
      <w:r>
        <w:rPr>
          <w:rFonts w:hint="eastAsia" w:eastAsia="楷体_GB2312"/>
          <w:b/>
          <w:sz w:val="32"/>
          <w:szCs w:val="32"/>
          <w:lang w:val="zh-CN"/>
        </w:rPr>
        <w:t>（三）</w:t>
      </w:r>
      <w:r>
        <w:rPr>
          <w:rFonts w:hint="eastAsia" w:eastAsia="楷体_GB2312"/>
          <w:b/>
          <w:sz w:val="32"/>
          <w:szCs w:val="32"/>
        </w:rPr>
        <w:t>个性指标</w:t>
      </w:r>
      <w:r>
        <w:rPr>
          <w:rFonts w:eastAsia="楷体_GB2312"/>
          <w:b/>
          <w:bCs/>
          <w:color w:val="000000"/>
          <w:kern w:val="0"/>
          <w:sz w:val="32"/>
          <w:szCs w:val="32"/>
          <w:shd w:val="clear" w:color="auto" w:fill="FFFFFF"/>
          <w:lang w:val="zh-CN"/>
        </w:rPr>
        <w:t>绩效分析。</w:t>
      </w:r>
      <w:r>
        <w:rPr>
          <w:rFonts w:hint="eastAsia" w:eastAsia="仿宋_GB2312" w:cs="仿宋_GB2312"/>
          <w:kern w:val="0"/>
          <w:sz w:val="32"/>
          <w:szCs w:val="32"/>
          <w:lang w:val="zh-CN"/>
        </w:rPr>
        <w:t>农贸市场提升改造广告宣传制作费用到位</w:t>
      </w:r>
      <w:r>
        <w:rPr>
          <w:rFonts w:hint="eastAsia" w:eastAsia="仿宋_GB2312" w:cs="仿宋_GB2312"/>
          <w:kern w:val="0"/>
          <w:sz w:val="32"/>
          <w:szCs w:val="32"/>
        </w:rPr>
        <w:t>1.3157万元，到位率100%。</w:t>
      </w:r>
      <w:r>
        <w:rPr>
          <w:rFonts w:hint="eastAsia" w:eastAsia="仿宋_GB2312" w:cs="仿宋_GB2312"/>
          <w:kern w:val="0"/>
          <w:sz w:val="32"/>
          <w:szCs w:val="32"/>
          <w:lang w:val="zh-CN"/>
        </w:rPr>
        <w:t>。</w:t>
      </w:r>
    </w:p>
    <w:p>
      <w:pPr>
        <w:spacing w:line="578" w:lineRule="exact"/>
        <w:ind w:firstLine="640"/>
        <w:rPr>
          <w:rFonts w:ascii="黑体" w:hAnsi="黑体" w:eastAsia="黑体" w:cs="黑体"/>
          <w:kern w:val="0"/>
          <w:sz w:val="32"/>
          <w:szCs w:val="32"/>
        </w:rPr>
      </w:pPr>
      <w:r>
        <w:rPr>
          <w:rFonts w:hint="eastAsia" w:ascii="黑体" w:hAnsi="黑体" w:eastAsia="黑体" w:cs="黑体"/>
          <w:kern w:val="0"/>
          <w:sz w:val="32"/>
          <w:szCs w:val="32"/>
        </w:rPr>
        <w:t>四、评价结论</w:t>
      </w:r>
    </w:p>
    <w:p>
      <w:pPr>
        <w:spacing w:line="578" w:lineRule="exact"/>
        <w:ind w:firstLine="640"/>
        <w:rPr>
          <w:rFonts w:eastAsia="仿宋_GB2312" w:cs="仿宋_GB2312"/>
          <w:kern w:val="0"/>
          <w:sz w:val="32"/>
          <w:szCs w:val="32"/>
        </w:rPr>
      </w:pPr>
      <w:r>
        <w:rPr>
          <w:rFonts w:hint="eastAsia" w:eastAsia="仿宋_GB2312" w:cs="仿宋_GB2312"/>
          <w:kern w:val="0"/>
          <w:sz w:val="32"/>
          <w:szCs w:val="32"/>
        </w:rPr>
        <w:t>该项目自评总分100分。达到预期项目效益，通过张贴宣传诚信经营、文明摆摊、保供稳价、特色农</w:t>
      </w:r>
      <w:r>
        <w:rPr>
          <w:rFonts w:hint="eastAsia" w:eastAsia="仿宋_GB2312" w:cs="仿宋_GB2312"/>
          <w:kern w:val="0"/>
          <w:sz w:val="32"/>
          <w:szCs w:val="32"/>
          <w:lang w:eastAsia="zh-CN"/>
        </w:rPr>
        <w:t>产品</w:t>
      </w:r>
      <w:r>
        <w:rPr>
          <w:rFonts w:hint="eastAsia" w:eastAsia="仿宋_GB2312" w:cs="仿宋_GB2312"/>
          <w:kern w:val="0"/>
          <w:sz w:val="32"/>
          <w:szCs w:val="32"/>
        </w:rPr>
        <w:t>等公益广告，配合业主方管理规定形成合力，让市场从“无序”走向“有序”，让消费者“</w:t>
      </w:r>
      <w:r>
        <w:rPr>
          <w:rFonts w:hint="eastAsia" w:eastAsia="仿宋_GB2312" w:cs="仿宋_GB2312"/>
          <w:kern w:val="0"/>
          <w:sz w:val="32"/>
          <w:szCs w:val="32"/>
          <w:lang w:eastAsia="zh-CN"/>
        </w:rPr>
        <w:t>买得</w:t>
      </w:r>
      <w:r>
        <w:rPr>
          <w:rFonts w:hint="eastAsia" w:eastAsia="仿宋_GB2312" w:cs="仿宋_GB2312"/>
          <w:kern w:val="0"/>
          <w:sz w:val="32"/>
          <w:szCs w:val="32"/>
        </w:rPr>
        <w:t>放心、舒心”“吃得安心”，消除消费顾虑。</w:t>
      </w:r>
    </w:p>
    <w:p>
      <w:pPr>
        <w:spacing w:line="578" w:lineRule="exact"/>
        <w:ind w:firstLine="640"/>
        <w:rPr>
          <w:rFonts w:ascii="黑体" w:hAnsi="黑体" w:eastAsia="黑体" w:cs="黑体"/>
          <w:kern w:val="0"/>
          <w:sz w:val="32"/>
          <w:szCs w:val="32"/>
        </w:rPr>
      </w:pPr>
      <w:r>
        <w:rPr>
          <w:rFonts w:hint="eastAsia" w:ascii="黑体" w:hAnsi="黑体" w:eastAsia="黑体" w:cs="黑体"/>
          <w:kern w:val="0"/>
          <w:sz w:val="32"/>
          <w:szCs w:val="32"/>
        </w:rPr>
        <w:t>五、存在主要问题</w:t>
      </w:r>
    </w:p>
    <w:p>
      <w:pPr>
        <w:spacing w:line="578" w:lineRule="exact"/>
        <w:ind w:firstLine="640"/>
        <w:rPr>
          <w:rFonts w:eastAsia="仿宋_GB2312" w:cs="仿宋_GB2312"/>
          <w:kern w:val="0"/>
          <w:sz w:val="32"/>
          <w:szCs w:val="32"/>
        </w:rPr>
      </w:pPr>
      <w:r>
        <w:rPr>
          <w:rFonts w:hint="eastAsia" w:eastAsia="仿宋_GB2312" w:cs="仿宋_GB2312"/>
          <w:kern w:val="0"/>
          <w:sz w:val="32"/>
          <w:szCs w:val="32"/>
        </w:rPr>
        <w:t>无。</w:t>
      </w:r>
    </w:p>
    <w:p>
      <w:pPr>
        <w:spacing w:line="578" w:lineRule="exact"/>
        <w:ind w:firstLine="640"/>
        <w:rPr>
          <w:rFonts w:ascii="黑体" w:hAnsi="黑体" w:eastAsia="黑体" w:cs="黑体"/>
          <w:kern w:val="0"/>
          <w:sz w:val="32"/>
          <w:szCs w:val="32"/>
          <w:lang w:val="zh-CN"/>
        </w:rPr>
      </w:pPr>
      <w:r>
        <w:rPr>
          <w:rFonts w:hint="eastAsia" w:ascii="黑体" w:hAnsi="黑体" w:eastAsia="黑体" w:cs="黑体"/>
          <w:kern w:val="0"/>
          <w:sz w:val="32"/>
          <w:szCs w:val="32"/>
          <w:lang w:val="zh-CN"/>
        </w:rPr>
        <w:t>六、改进建议</w:t>
      </w:r>
    </w:p>
    <w:p>
      <w:pPr>
        <w:spacing w:line="578" w:lineRule="exact"/>
        <w:ind w:firstLine="640"/>
        <w:rPr>
          <w:rFonts w:eastAsia="仿宋_GB2312" w:cs="仿宋_GB2312"/>
          <w:kern w:val="0"/>
          <w:sz w:val="32"/>
          <w:szCs w:val="32"/>
        </w:rPr>
      </w:pPr>
      <w:r>
        <w:rPr>
          <w:rFonts w:hint="eastAsia" w:eastAsia="仿宋_GB2312" w:cs="仿宋_GB2312"/>
          <w:kern w:val="0"/>
          <w:sz w:val="32"/>
          <w:szCs w:val="32"/>
        </w:rPr>
        <w:t>无。</w:t>
      </w:r>
    </w:p>
    <w:p>
      <w:pPr>
        <w:pStyle w:val="10"/>
        <w:rPr>
          <w:rFonts w:eastAsia="仿宋_GB2312" w:cs="仿宋_GB2312"/>
          <w:kern w:val="0"/>
          <w:sz w:val="32"/>
          <w:szCs w:val="32"/>
        </w:rPr>
      </w:pPr>
    </w:p>
    <w:p>
      <w:pPr>
        <w:pStyle w:val="10"/>
        <w:rPr>
          <w:rFonts w:eastAsia="仿宋_GB2312" w:cs="仿宋_GB2312"/>
          <w:kern w:val="0"/>
          <w:sz w:val="32"/>
          <w:szCs w:val="32"/>
        </w:rPr>
      </w:pPr>
    </w:p>
    <w:p>
      <w:pPr>
        <w:pStyle w:val="10"/>
        <w:rPr>
          <w:rFonts w:eastAsia="仿宋_GB2312" w:cs="仿宋_GB2312"/>
          <w:kern w:val="0"/>
          <w:sz w:val="32"/>
          <w:szCs w:val="32"/>
        </w:rPr>
      </w:pPr>
    </w:p>
    <w:p>
      <w:pPr>
        <w:pStyle w:val="10"/>
        <w:rPr>
          <w:rFonts w:eastAsia="仿宋_GB2312" w:cs="仿宋_GB2312"/>
          <w:kern w:val="0"/>
          <w:sz w:val="32"/>
          <w:szCs w:val="32"/>
        </w:rPr>
      </w:pPr>
    </w:p>
    <w:p>
      <w:pPr>
        <w:pStyle w:val="35"/>
        <w:spacing w:line="0" w:lineRule="atLeast"/>
        <w:jc w:val="center"/>
        <w:rPr>
          <w:rFonts w:ascii="Times New Roman" w:hAnsi="Times New Roman" w:eastAsia="方正小标宋简体" w:cs="方正小标宋简体"/>
          <w:color w:val="auto"/>
          <w:kern w:val="2"/>
          <w:sz w:val="44"/>
          <w:szCs w:val="44"/>
          <w:lang w:val="en-US"/>
        </w:rPr>
      </w:pPr>
      <w:r>
        <w:rPr>
          <w:rFonts w:ascii="Times New Roman" w:hAnsi="Times New Roman" w:eastAsia="方正小标宋简体"/>
          <w:sz w:val="44"/>
          <w:szCs w:val="44"/>
        </w:rPr>
        <w:t>首批投入运营的电动汽车充电枪计量检定专项预算项目绩效评价报告</w:t>
      </w:r>
    </w:p>
    <w:p>
      <w:pPr>
        <w:pStyle w:val="35"/>
        <w:spacing w:line="0" w:lineRule="atLeast"/>
        <w:jc w:val="center"/>
        <w:rPr>
          <w:rFonts w:ascii="Times New Roman" w:hAnsi="Times New Roman"/>
          <w:color w:val="auto"/>
          <w:kern w:val="2"/>
          <w:sz w:val="32"/>
          <w:szCs w:val="32"/>
        </w:rPr>
      </w:pPr>
    </w:p>
    <w:p>
      <w:pPr>
        <w:adjustRightInd w:val="0"/>
        <w:snapToGrid w:val="0"/>
        <w:spacing w:line="578" w:lineRule="exact"/>
        <w:ind w:firstLine="640" w:firstLineChars="200"/>
        <w:rPr>
          <w:rFonts w:eastAsia="黑体"/>
          <w:sz w:val="32"/>
          <w:szCs w:val="32"/>
          <w:lang w:val="zh-CN"/>
        </w:rPr>
      </w:pPr>
      <w:r>
        <w:rPr>
          <w:rFonts w:hint="eastAsia" w:eastAsia="黑体"/>
          <w:sz w:val="32"/>
          <w:szCs w:val="32"/>
        </w:rPr>
        <w:t>一、</w:t>
      </w:r>
      <w:r>
        <w:rPr>
          <w:rFonts w:hint="eastAsia" w:eastAsia="黑体"/>
          <w:sz w:val="32"/>
          <w:szCs w:val="32"/>
          <w:lang w:val="zh-CN"/>
        </w:rPr>
        <w:t>项目概况</w:t>
      </w:r>
    </w:p>
    <w:p>
      <w:pPr>
        <w:widowControl/>
        <w:spacing w:line="560" w:lineRule="exact"/>
        <w:ind w:firstLine="643" w:firstLineChars="200"/>
        <w:jc w:val="left"/>
        <w:rPr>
          <w:rFonts w:eastAsia="仿宋_GB2312" w:cs="仿宋_GB2312"/>
          <w:kern w:val="0"/>
          <w:sz w:val="32"/>
          <w:szCs w:val="32"/>
          <w:shd w:val="clear" w:color="auto" w:fill="FFFFFF"/>
          <w:lang w:val="zh-CN"/>
        </w:rPr>
      </w:pPr>
      <w:r>
        <w:rPr>
          <w:rFonts w:hint="eastAsia" w:eastAsia="楷体_GB2312"/>
          <w:b/>
          <w:sz w:val="32"/>
          <w:szCs w:val="32"/>
          <w:lang w:val="zh-CN"/>
        </w:rPr>
        <w:t>（一）设立背景及基本情况。</w:t>
      </w:r>
      <w:r>
        <w:rPr>
          <w:rFonts w:eastAsia="仿宋_GB2312"/>
          <w:sz w:val="32"/>
          <w:szCs w:val="32"/>
          <w:lang w:val="zh-CN"/>
        </w:rPr>
        <w:t>盐边</w:t>
      </w:r>
      <w:r>
        <w:rPr>
          <w:rFonts w:hint="eastAsia" w:eastAsia="仿宋_GB2312"/>
          <w:sz w:val="32"/>
          <w:szCs w:val="32"/>
          <w:lang w:val="zh-CN"/>
        </w:rPr>
        <w:t>县</w:t>
      </w:r>
      <w:r>
        <w:rPr>
          <w:rFonts w:eastAsia="仿宋_GB2312"/>
          <w:sz w:val="32"/>
          <w:szCs w:val="32"/>
          <w:lang w:val="zh-CN"/>
        </w:rPr>
        <w:t>市场监督管理局为认真贯彻落实</w:t>
      </w:r>
      <w:r>
        <w:rPr>
          <w:rFonts w:eastAsia="仿宋_GB2312"/>
          <w:sz w:val="32"/>
          <w:szCs w:val="32"/>
        </w:rPr>
        <w:t>《四川省市场监督管理局办公室关于印发&lt;四川省电动汽车充电桩计量检定实施方案&gt;的通知》</w:t>
      </w:r>
      <w:r>
        <w:rPr>
          <w:rFonts w:hint="eastAsia" w:eastAsia="仿宋_GB2312"/>
          <w:sz w:val="32"/>
          <w:szCs w:val="32"/>
        </w:rPr>
        <w:t>（川市监办〔2022〕107号）</w:t>
      </w:r>
      <w:r>
        <w:rPr>
          <w:rFonts w:eastAsia="仿宋_GB2312"/>
          <w:sz w:val="32"/>
          <w:szCs w:val="32"/>
        </w:rPr>
        <w:t>要求</w:t>
      </w:r>
      <w:r>
        <w:rPr>
          <w:rFonts w:hint="eastAsia" w:eastAsia="仿宋_GB2312"/>
          <w:sz w:val="32"/>
          <w:szCs w:val="32"/>
        </w:rPr>
        <w:t>：“</w:t>
      </w:r>
      <w:r>
        <w:rPr>
          <w:rFonts w:eastAsia="仿宋_GB2312"/>
          <w:sz w:val="32"/>
          <w:szCs w:val="32"/>
        </w:rPr>
        <w:t>自2023年1月1日起，用1</w:t>
      </w:r>
      <w:r>
        <w:rPr>
          <w:rFonts w:hint="eastAsia" w:eastAsia="仿宋_GB2312"/>
          <w:sz w:val="32"/>
          <w:szCs w:val="32"/>
        </w:rPr>
        <w:t>—</w:t>
      </w:r>
      <w:r>
        <w:rPr>
          <w:rFonts w:eastAsia="仿宋_GB2312"/>
          <w:sz w:val="32"/>
          <w:szCs w:val="32"/>
        </w:rPr>
        <w:t>3年时间完成全省存量</w:t>
      </w:r>
      <w:r>
        <w:rPr>
          <w:rFonts w:hint="eastAsia" w:eastAsia="仿宋_GB2312"/>
          <w:sz w:val="32"/>
          <w:szCs w:val="32"/>
        </w:rPr>
        <w:t>电动汽车</w:t>
      </w:r>
      <w:r>
        <w:rPr>
          <w:rFonts w:eastAsia="仿宋_GB2312"/>
          <w:sz w:val="32"/>
          <w:szCs w:val="32"/>
        </w:rPr>
        <w:t>充电桩的首次计量检定工作</w:t>
      </w:r>
      <w:r>
        <w:rPr>
          <w:rFonts w:hint="eastAsia" w:eastAsia="仿宋_GB2312"/>
          <w:sz w:val="32"/>
          <w:szCs w:val="32"/>
        </w:rPr>
        <w:t>。数量在1000只以下的地区原则上1年内完成检定工作。”，电动汽车充电桩属于强制管理的计量器具，按职责需由属地政府开展计量检定，经统计，我</w:t>
      </w:r>
      <w:r>
        <w:rPr>
          <w:rFonts w:eastAsia="仿宋_GB2312"/>
          <w:sz w:val="32"/>
          <w:szCs w:val="32"/>
        </w:rPr>
        <w:t>县</w:t>
      </w:r>
      <w:r>
        <w:rPr>
          <w:rFonts w:hint="eastAsia" w:eastAsia="仿宋_GB2312"/>
          <w:sz w:val="32"/>
          <w:szCs w:val="32"/>
        </w:rPr>
        <w:t>首批投入运营的充电枪共82只，现需将82只充电枪全部完成检定。</w:t>
      </w:r>
    </w:p>
    <w:p>
      <w:pPr>
        <w:adjustRightInd w:val="0"/>
        <w:snapToGrid w:val="0"/>
        <w:spacing w:line="578" w:lineRule="exact"/>
        <w:ind w:firstLine="643" w:firstLineChars="200"/>
        <w:rPr>
          <w:rFonts w:eastAsia="楷体_GB2312" w:cs="仿宋_GB2312"/>
          <w:kern w:val="0"/>
          <w:sz w:val="32"/>
          <w:szCs w:val="32"/>
          <w:lang w:val="zh-CN"/>
        </w:rPr>
      </w:pPr>
      <w:r>
        <w:rPr>
          <w:rFonts w:hint="eastAsia" w:eastAsia="楷体_GB2312"/>
          <w:b/>
          <w:sz w:val="32"/>
          <w:szCs w:val="32"/>
          <w:lang w:val="zh-CN"/>
        </w:rPr>
        <w:t>（二）</w:t>
      </w:r>
      <w:r>
        <w:rPr>
          <w:rFonts w:eastAsia="楷体_GB2312"/>
          <w:b/>
          <w:sz w:val="32"/>
          <w:szCs w:val="32"/>
        </w:rPr>
        <w:t>实施目的及支持方向</w:t>
      </w:r>
      <w:r>
        <w:rPr>
          <w:rFonts w:hint="eastAsia" w:eastAsia="楷体_GB2312"/>
          <w:b/>
          <w:sz w:val="32"/>
          <w:szCs w:val="32"/>
        </w:rPr>
        <w:t>。</w:t>
      </w:r>
      <w:r>
        <w:rPr>
          <w:rFonts w:hint="eastAsia" w:eastAsia="仿宋_GB2312" w:cs="仿宋_GB2312"/>
          <w:kern w:val="0"/>
          <w:sz w:val="32"/>
          <w:szCs w:val="32"/>
        </w:rPr>
        <w:t>该项目旨在</w:t>
      </w:r>
      <w:r>
        <w:rPr>
          <w:rFonts w:hint="eastAsia" w:eastAsia="仿宋_GB2312"/>
          <w:sz w:val="32"/>
          <w:szCs w:val="32"/>
        </w:rPr>
        <w:t>保障我县新能源</w:t>
      </w:r>
      <w:r>
        <w:rPr>
          <w:rFonts w:eastAsia="仿宋_GB2312"/>
          <w:sz w:val="32"/>
          <w:szCs w:val="32"/>
        </w:rPr>
        <w:t>汽车充电桩的</w:t>
      </w:r>
      <w:r>
        <w:rPr>
          <w:rFonts w:hint="eastAsia" w:eastAsia="仿宋_GB2312"/>
          <w:sz w:val="32"/>
          <w:szCs w:val="32"/>
        </w:rPr>
        <w:t>安全运行和正常使用</w:t>
      </w:r>
      <w:r>
        <w:rPr>
          <w:rFonts w:eastAsia="仿宋_GB2312"/>
          <w:sz w:val="32"/>
          <w:szCs w:val="32"/>
        </w:rPr>
        <w:t>，确保充电桩的</w:t>
      </w:r>
      <w:r>
        <w:rPr>
          <w:rFonts w:hint="eastAsia" w:eastAsia="仿宋_GB2312"/>
          <w:sz w:val="32"/>
          <w:szCs w:val="32"/>
        </w:rPr>
        <w:t>计量准确</w:t>
      </w:r>
      <w:r>
        <w:rPr>
          <w:rFonts w:eastAsia="仿宋_GB2312"/>
          <w:sz w:val="32"/>
          <w:szCs w:val="32"/>
        </w:rPr>
        <w:t>和交易的公平公正</w:t>
      </w:r>
      <w:r>
        <w:rPr>
          <w:rFonts w:hint="eastAsia" w:eastAsia="仿宋_GB2312"/>
          <w:sz w:val="32"/>
          <w:szCs w:val="32"/>
        </w:rPr>
        <w:t>，</w:t>
      </w:r>
      <w:r>
        <w:rPr>
          <w:rFonts w:eastAsia="仿宋_GB2312"/>
          <w:sz w:val="32"/>
          <w:szCs w:val="32"/>
          <w:lang w:val="zh-CN"/>
        </w:rPr>
        <w:t>保护消费者的合法权益</w:t>
      </w:r>
      <w:r>
        <w:rPr>
          <w:rFonts w:hint="eastAsia" w:eastAsia="仿宋_GB2312"/>
          <w:sz w:val="32"/>
          <w:szCs w:val="32"/>
          <w:lang w:val="zh-CN"/>
        </w:rPr>
        <w:t>。</w:t>
      </w:r>
    </w:p>
    <w:p>
      <w:pPr>
        <w:widowControl/>
        <w:adjustRightInd w:val="0"/>
        <w:snapToGrid w:val="0"/>
        <w:spacing w:line="578" w:lineRule="exact"/>
        <w:ind w:firstLine="643" w:firstLineChars="200"/>
        <w:contextualSpacing/>
        <w:jc w:val="left"/>
        <w:rPr>
          <w:rFonts w:eastAsia="仿宋_GB2312" w:cs="仿宋_GB2312"/>
          <w:kern w:val="0"/>
          <w:sz w:val="32"/>
          <w:szCs w:val="32"/>
          <w:lang w:val="zh-CN"/>
        </w:rPr>
      </w:pPr>
      <w:r>
        <w:rPr>
          <w:rFonts w:hint="eastAsia" w:eastAsia="楷体_GB2312"/>
          <w:b/>
          <w:sz w:val="32"/>
          <w:szCs w:val="32"/>
          <w:lang w:val="zh-CN"/>
        </w:rPr>
        <w:t>（三）</w:t>
      </w:r>
      <w:r>
        <w:rPr>
          <w:rFonts w:eastAsia="楷体_GB2312"/>
          <w:b/>
          <w:sz w:val="32"/>
          <w:szCs w:val="32"/>
        </w:rPr>
        <w:t>预算安排及分配管理</w:t>
      </w:r>
      <w:r>
        <w:rPr>
          <w:rFonts w:hint="eastAsia" w:eastAsia="楷体_GB2312"/>
          <w:b/>
          <w:sz w:val="32"/>
          <w:szCs w:val="32"/>
          <w:lang w:val="zh-CN"/>
        </w:rPr>
        <w:t>。</w:t>
      </w:r>
      <w:r>
        <w:rPr>
          <w:rFonts w:eastAsia="仿宋_GB2312"/>
          <w:sz w:val="32"/>
          <w:szCs w:val="32"/>
          <w:lang w:val="zh-CN"/>
        </w:rPr>
        <w:t>202</w:t>
      </w:r>
      <w:r>
        <w:rPr>
          <w:rFonts w:hint="eastAsia" w:eastAsia="仿宋_GB2312"/>
          <w:sz w:val="32"/>
          <w:szCs w:val="32"/>
        </w:rPr>
        <w:t>4</w:t>
      </w:r>
      <w:r>
        <w:rPr>
          <w:rFonts w:eastAsia="仿宋_GB2312"/>
          <w:sz w:val="32"/>
          <w:szCs w:val="32"/>
          <w:lang w:val="zh-CN"/>
        </w:rPr>
        <w:t>年项目预算总资金为</w:t>
      </w:r>
      <w:r>
        <w:rPr>
          <w:rFonts w:hint="eastAsia" w:eastAsia="仿宋_GB2312"/>
          <w:sz w:val="32"/>
          <w:szCs w:val="32"/>
        </w:rPr>
        <w:t>3.28</w:t>
      </w:r>
      <w:r>
        <w:rPr>
          <w:rFonts w:eastAsia="仿宋_GB2312"/>
          <w:sz w:val="32"/>
          <w:szCs w:val="32"/>
          <w:lang w:val="zh-CN"/>
        </w:rPr>
        <w:t>万元，下达我单位</w:t>
      </w:r>
      <w:r>
        <w:rPr>
          <w:rFonts w:hint="eastAsia" w:eastAsia="仿宋_GB2312"/>
          <w:sz w:val="32"/>
          <w:szCs w:val="32"/>
          <w:lang w:val="zh-CN"/>
        </w:rPr>
        <w:t>充电枪检定</w:t>
      </w:r>
      <w:r>
        <w:rPr>
          <w:rFonts w:eastAsia="仿宋_GB2312"/>
          <w:sz w:val="32"/>
          <w:szCs w:val="32"/>
          <w:lang w:val="zh-CN"/>
        </w:rPr>
        <w:t>项目经费共计</w:t>
      </w:r>
      <w:r>
        <w:rPr>
          <w:rFonts w:hint="eastAsia" w:eastAsia="仿宋_GB2312"/>
          <w:sz w:val="32"/>
          <w:szCs w:val="32"/>
        </w:rPr>
        <w:t>3.28</w:t>
      </w:r>
      <w:r>
        <w:rPr>
          <w:rFonts w:eastAsia="仿宋_GB2312"/>
          <w:sz w:val="32"/>
          <w:szCs w:val="32"/>
          <w:lang w:val="zh-CN"/>
        </w:rPr>
        <w:t>万元。</w:t>
      </w:r>
    </w:p>
    <w:p>
      <w:pPr>
        <w:adjustRightInd w:val="0"/>
        <w:snapToGrid w:val="0"/>
        <w:spacing w:line="578" w:lineRule="exact"/>
        <w:ind w:firstLine="643" w:firstLineChars="200"/>
        <w:rPr>
          <w:rFonts w:eastAsia="仿宋_GB2312" w:cs="仿宋_GB2312"/>
          <w:kern w:val="0"/>
          <w:sz w:val="32"/>
          <w:szCs w:val="32"/>
          <w:lang w:val="zh-CN"/>
        </w:rPr>
      </w:pPr>
      <w:r>
        <w:rPr>
          <w:rFonts w:hint="eastAsia" w:eastAsia="楷体_GB2312"/>
          <w:b/>
          <w:sz w:val="32"/>
          <w:szCs w:val="32"/>
          <w:lang w:val="zh-CN"/>
        </w:rPr>
        <w:t>（四）项目绩效目标设置。</w:t>
      </w:r>
      <w:r>
        <w:rPr>
          <w:rFonts w:hint="eastAsia" w:eastAsia="仿宋_GB2312" w:cs="仿宋_GB2312"/>
          <w:kern w:val="0"/>
          <w:sz w:val="32"/>
          <w:szCs w:val="32"/>
          <w:lang w:val="zh-CN"/>
        </w:rPr>
        <w:t>根据我县</w:t>
      </w:r>
      <w:r>
        <w:rPr>
          <w:rFonts w:hint="eastAsia" w:eastAsia="仿宋_GB2312"/>
          <w:sz w:val="32"/>
          <w:szCs w:val="32"/>
        </w:rPr>
        <w:t>首批投入运营的充电枪实际运营情况，需完成82</w:t>
      </w:r>
      <w:r>
        <w:rPr>
          <w:rFonts w:hint="eastAsia" w:eastAsia="仿宋_GB2312"/>
          <w:sz w:val="32"/>
          <w:szCs w:val="32"/>
          <w:lang w:eastAsia="zh-CN"/>
        </w:rPr>
        <w:t>支</w:t>
      </w:r>
      <w:r>
        <w:rPr>
          <w:rFonts w:hint="eastAsia" w:eastAsia="仿宋_GB2312"/>
          <w:sz w:val="32"/>
          <w:szCs w:val="32"/>
        </w:rPr>
        <w:t>充电枪的检定任务。</w:t>
      </w:r>
    </w:p>
    <w:p>
      <w:pPr>
        <w:adjustRightInd w:val="0"/>
        <w:snapToGrid w:val="0"/>
        <w:spacing w:line="578" w:lineRule="exact"/>
        <w:ind w:firstLine="640" w:firstLineChars="200"/>
        <w:rPr>
          <w:rFonts w:eastAsia="黑体"/>
          <w:sz w:val="32"/>
          <w:szCs w:val="32"/>
        </w:rPr>
      </w:pPr>
      <w:r>
        <w:rPr>
          <w:rFonts w:hint="eastAsia" w:eastAsia="黑体"/>
          <w:sz w:val="32"/>
          <w:szCs w:val="32"/>
        </w:rPr>
        <w:t>二、评价实施</w:t>
      </w:r>
    </w:p>
    <w:p>
      <w:pPr>
        <w:spacing w:line="578" w:lineRule="exact"/>
        <w:ind w:firstLine="640"/>
        <w:rPr>
          <w:rFonts w:eastAsia="仿宋_GB2312" w:cs="仿宋_GB2312"/>
          <w:kern w:val="0"/>
          <w:sz w:val="32"/>
          <w:szCs w:val="32"/>
          <w:lang w:val="zh-CN"/>
        </w:rPr>
      </w:pPr>
      <w:r>
        <w:rPr>
          <w:rFonts w:hint="eastAsia" w:eastAsia="楷体_GB2312"/>
          <w:b/>
          <w:sz w:val="32"/>
          <w:szCs w:val="32"/>
          <w:lang w:val="zh-CN"/>
        </w:rPr>
        <w:t>（一）评价目的。</w:t>
      </w:r>
      <w:r>
        <w:rPr>
          <w:rFonts w:hint="eastAsia" w:eastAsia="仿宋_GB2312"/>
          <w:sz w:val="32"/>
          <w:szCs w:val="32"/>
          <w:lang w:val="zh-CN"/>
        </w:rPr>
        <w:t>对</w:t>
      </w:r>
      <w:r>
        <w:rPr>
          <w:rFonts w:hint="eastAsia" w:eastAsia="仿宋_GB2312"/>
          <w:sz w:val="32"/>
          <w:szCs w:val="32"/>
        </w:rPr>
        <w:t>投入运营的82</w:t>
      </w:r>
      <w:r>
        <w:rPr>
          <w:rFonts w:hint="eastAsia" w:eastAsia="仿宋_GB2312"/>
          <w:sz w:val="32"/>
          <w:szCs w:val="32"/>
          <w:lang w:eastAsia="zh-CN"/>
        </w:rPr>
        <w:t>支</w:t>
      </w:r>
      <w:r>
        <w:rPr>
          <w:rFonts w:hint="eastAsia" w:eastAsia="仿宋_GB2312"/>
          <w:sz w:val="32"/>
          <w:szCs w:val="32"/>
        </w:rPr>
        <w:t>充电枪全部完成检定</w:t>
      </w:r>
      <w:r>
        <w:rPr>
          <w:rFonts w:hint="eastAsia" w:eastAsia="仿宋_GB2312" w:cs="仿宋_GB2312"/>
          <w:kern w:val="0"/>
          <w:sz w:val="32"/>
          <w:szCs w:val="32"/>
          <w:lang w:val="zh-CN"/>
        </w:rPr>
        <w:t>，确保</w:t>
      </w:r>
      <w:r>
        <w:rPr>
          <w:rFonts w:hint="eastAsia" w:eastAsia="仿宋_GB2312"/>
          <w:sz w:val="32"/>
          <w:szCs w:val="32"/>
        </w:rPr>
        <w:t>我县新能源</w:t>
      </w:r>
      <w:r>
        <w:rPr>
          <w:rFonts w:eastAsia="仿宋_GB2312"/>
          <w:sz w:val="32"/>
          <w:szCs w:val="32"/>
        </w:rPr>
        <w:t>汽车充电桩的</w:t>
      </w:r>
      <w:r>
        <w:rPr>
          <w:rFonts w:hint="eastAsia" w:eastAsia="仿宋_GB2312"/>
          <w:sz w:val="32"/>
          <w:szCs w:val="32"/>
        </w:rPr>
        <w:t>安全运行和正常使用。</w:t>
      </w:r>
    </w:p>
    <w:p>
      <w:pPr>
        <w:adjustRightInd w:val="0"/>
        <w:snapToGrid w:val="0"/>
        <w:spacing w:line="578" w:lineRule="exact"/>
        <w:ind w:firstLine="643" w:firstLineChars="200"/>
        <w:rPr>
          <w:rFonts w:eastAsia="仿宋_GB2312" w:cs="仿宋_GB2312"/>
          <w:kern w:val="0"/>
          <w:sz w:val="32"/>
          <w:szCs w:val="32"/>
          <w:lang w:val="zh-CN"/>
        </w:rPr>
      </w:pPr>
      <w:r>
        <w:rPr>
          <w:rFonts w:hint="eastAsia" w:eastAsia="楷体_GB2312"/>
          <w:b/>
          <w:sz w:val="32"/>
          <w:szCs w:val="32"/>
          <w:lang w:val="zh-CN"/>
        </w:rPr>
        <w:t>（二）预设问题及评价重点。</w:t>
      </w:r>
      <w:r>
        <w:rPr>
          <w:rFonts w:eastAsia="仿宋_GB2312"/>
          <w:sz w:val="32"/>
          <w:szCs w:val="32"/>
          <w:lang w:val="zh-CN"/>
        </w:rPr>
        <w:t>重点在于确保项目申报内容与具体实施内容相符、申报目标合理可行。项目实施结果</w:t>
      </w:r>
      <w:r>
        <w:rPr>
          <w:rFonts w:hint="eastAsia" w:eastAsia="仿宋_GB2312"/>
          <w:sz w:val="32"/>
          <w:szCs w:val="32"/>
          <w:lang w:val="zh-CN"/>
        </w:rPr>
        <w:t>达到</w:t>
      </w:r>
      <w:r>
        <w:rPr>
          <w:rFonts w:eastAsia="仿宋_GB2312"/>
          <w:sz w:val="32"/>
          <w:szCs w:val="32"/>
          <w:lang w:val="zh-CN"/>
        </w:rPr>
        <w:t>预期</w:t>
      </w:r>
      <w:r>
        <w:rPr>
          <w:rFonts w:hint="eastAsia" w:eastAsia="仿宋_GB2312"/>
          <w:sz w:val="32"/>
          <w:szCs w:val="32"/>
          <w:lang w:val="zh-CN"/>
        </w:rPr>
        <w:t>。</w:t>
      </w:r>
    </w:p>
    <w:p>
      <w:pPr>
        <w:spacing w:line="578" w:lineRule="exact"/>
        <w:ind w:firstLine="640"/>
        <w:rPr>
          <w:rFonts w:eastAsia="仿宋_GB2312"/>
          <w:sz w:val="32"/>
          <w:szCs w:val="32"/>
          <w:lang w:val="zh-CN"/>
        </w:rPr>
      </w:pPr>
      <w:r>
        <w:rPr>
          <w:rFonts w:hint="eastAsia" w:eastAsia="楷体_GB2312"/>
          <w:b/>
          <w:sz w:val="32"/>
          <w:szCs w:val="32"/>
          <w:lang w:val="zh-CN"/>
        </w:rPr>
        <w:t>（三）评价选点。</w:t>
      </w:r>
      <w:r>
        <w:rPr>
          <w:rFonts w:eastAsia="仿宋_GB2312"/>
          <w:sz w:val="32"/>
          <w:szCs w:val="32"/>
          <w:lang w:val="zh-CN"/>
        </w:rPr>
        <w:t>项目绩效自评所抽样点位符合。</w:t>
      </w:r>
    </w:p>
    <w:p>
      <w:pPr>
        <w:spacing w:line="578" w:lineRule="exact"/>
        <w:ind w:firstLine="640"/>
        <w:rPr>
          <w:rFonts w:eastAsia="仿宋_GB2312" w:cs="仿宋_GB2312"/>
          <w:kern w:val="0"/>
          <w:sz w:val="32"/>
          <w:szCs w:val="32"/>
          <w:lang w:val="zh-CN"/>
        </w:rPr>
      </w:pPr>
      <w:r>
        <w:rPr>
          <w:rFonts w:hint="eastAsia" w:eastAsia="楷体_GB2312"/>
          <w:b/>
          <w:sz w:val="32"/>
          <w:szCs w:val="32"/>
          <w:lang w:val="zh-CN"/>
        </w:rPr>
        <w:t>（四）评价方法。</w:t>
      </w:r>
      <w:r>
        <w:rPr>
          <w:rFonts w:eastAsia="仿宋_GB2312"/>
          <w:sz w:val="32"/>
          <w:szCs w:val="32"/>
          <w:lang w:val="zh-CN"/>
        </w:rPr>
        <w:t>根据项目情况和评价重点，采用单位自评法。</w:t>
      </w:r>
    </w:p>
    <w:p>
      <w:pPr>
        <w:spacing w:line="578" w:lineRule="exact"/>
        <w:ind w:firstLine="640"/>
        <w:rPr>
          <w:rFonts w:eastAsia="仿宋_GB2312"/>
          <w:bCs/>
        </w:rPr>
      </w:pPr>
      <w:r>
        <w:rPr>
          <w:rFonts w:hint="eastAsia" w:eastAsia="楷体_GB2312"/>
          <w:b/>
          <w:sz w:val="32"/>
          <w:szCs w:val="32"/>
          <w:lang w:val="zh-CN"/>
        </w:rPr>
        <w:t>（五）评价组织。</w:t>
      </w:r>
      <w:r>
        <w:rPr>
          <w:rFonts w:eastAsia="仿宋_GB2312"/>
          <w:sz w:val="32"/>
          <w:szCs w:val="32"/>
          <w:lang w:val="zh-CN"/>
        </w:rPr>
        <w:t>盐边县市场监督管理局</w:t>
      </w:r>
      <w:r>
        <w:rPr>
          <w:rFonts w:hint="eastAsia" w:eastAsia="仿宋_GB2312"/>
          <w:sz w:val="32"/>
          <w:szCs w:val="32"/>
          <w:lang w:val="zh-CN"/>
        </w:rPr>
        <w:t>质量发展与认证认可股</w:t>
      </w:r>
      <w:r>
        <w:rPr>
          <w:rFonts w:eastAsia="仿宋_GB2312"/>
          <w:sz w:val="32"/>
          <w:szCs w:val="32"/>
          <w:lang w:val="zh-CN"/>
        </w:rPr>
        <w:t>工作人员</w:t>
      </w:r>
      <w:r>
        <w:rPr>
          <w:rFonts w:eastAsia="仿宋_GB2312"/>
          <w:sz w:val="32"/>
          <w:szCs w:val="32"/>
        </w:rPr>
        <w:t>2</w:t>
      </w:r>
      <w:r>
        <w:rPr>
          <w:rFonts w:eastAsia="仿宋_GB2312"/>
          <w:sz w:val="32"/>
          <w:szCs w:val="32"/>
          <w:lang w:val="zh-CN"/>
        </w:rPr>
        <w:t>人</w:t>
      </w:r>
      <w:r>
        <w:rPr>
          <w:rFonts w:hint="eastAsia" w:eastAsia="仿宋_GB2312" w:cs="仿宋_GB2312"/>
          <w:kern w:val="0"/>
          <w:sz w:val="32"/>
          <w:szCs w:val="32"/>
          <w:lang w:val="zh-CN"/>
        </w:rPr>
        <w:t>。</w:t>
      </w:r>
    </w:p>
    <w:p>
      <w:pPr>
        <w:adjustRightInd w:val="0"/>
        <w:snapToGrid w:val="0"/>
        <w:spacing w:line="578" w:lineRule="exact"/>
        <w:ind w:firstLine="640" w:firstLineChars="200"/>
        <w:rPr>
          <w:sz w:val="32"/>
          <w:szCs w:val="32"/>
          <w:lang w:val="zh-CN"/>
        </w:rPr>
      </w:pPr>
      <w:r>
        <w:rPr>
          <w:rFonts w:hint="eastAsia" w:eastAsia="黑体"/>
          <w:sz w:val="32"/>
          <w:szCs w:val="32"/>
        </w:rPr>
        <w:t>三、绩效分析</w:t>
      </w:r>
    </w:p>
    <w:p>
      <w:pPr>
        <w:spacing w:line="578" w:lineRule="exact"/>
        <w:ind w:firstLine="640"/>
        <w:rPr>
          <w:rFonts w:eastAsia="楷体_GB2312"/>
          <w:b/>
          <w:sz w:val="32"/>
          <w:szCs w:val="32"/>
        </w:rPr>
      </w:pPr>
      <w:r>
        <w:rPr>
          <w:rFonts w:hint="eastAsia" w:eastAsia="楷体_GB2312"/>
          <w:b/>
          <w:sz w:val="32"/>
          <w:szCs w:val="32"/>
          <w:lang w:val="zh-CN"/>
        </w:rPr>
        <w:t>（一）</w:t>
      </w:r>
      <w:r>
        <w:rPr>
          <w:rFonts w:hint="eastAsia" w:eastAsia="楷体_GB2312"/>
          <w:b/>
          <w:sz w:val="32"/>
          <w:szCs w:val="32"/>
        </w:rPr>
        <w:t>通用指标</w:t>
      </w:r>
      <w:r>
        <w:rPr>
          <w:rFonts w:eastAsia="楷体_GB2312"/>
          <w:b/>
          <w:bCs/>
          <w:color w:val="000000"/>
          <w:kern w:val="0"/>
          <w:sz w:val="32"/>
          <w:szCs w:val="32"/>
          <w:shd w:val="clear" w:color="auto" w:fill="FFFFFF"/>
          <w:lang w:val="zh-CN"/>
        </w:rPr>
        <w:t>绩效分析。</w:t>
      </w:r>
    </w:p>
    <w:p>
      <w:pPr>
        <w:spacing w:line="578" w:lineRule="exact"/>
        <w:ind w:firstLine="640"/>
        <w:rPr>
          <w:rFonts w:eastAsia="仿宋_GB2312"/>
          <w:sz w:val="32"/>
          <w:szCs w:val="32"/>
          <w:lang w:val="zh-CN"/>
        </w:rPr>
      </w:pPr>
      <w:r>
        <w:rPr>
          <w:rFonts w:hint="eastAsia" w:eastAsia="仿宋_GB2312" w:cs="仿宋_GB2312"/>
          <w:kern w:val="0"/>
          <w:sz w:val="32"/>
          <w:szCs w:val="32"/>
        </w:rPr>
        <w:t>1.</w:t>
      </w:r>
      <w:r>
        <w:rPr>
          <w:rFonts w:hint="eastAsia" w:eastAsia="仿宋_GB2312" w:cs="仿宋_GB2312"/>
          <w:kern w:val="0"/>
          <w:sz w:val="32"/>
          <w:szCs w:val="32"/>
          <w:lang w:val="zh-CN"/>
        </w:rPr>
        <w:t>项目决策。</w:t>
      </w:r>
      <w:r>
        <w:rPr>
          <w:rFonts w:eastAsia="仿宋_GB2312"/>
          <w:sz w:val="32"/>
          <w:szCs w:val="32"/>
          <w:lang w:val="zh-CN"/>
        </w:rPr>
        <w:t>项目立项依据充分，决策程序规范，符合相关政策法规要求。盐边</w:t>
      </w:r>
      <w:r>
        <w:rPr>
          <w:rFonts w:hint="eastAsia" w:eastAsia="仿宋_GB2312"/>
          <w:sz w:val="32"/>
          <w:szCs w:val="32"/>
          <w:lang w:val="zh-CN"/>
        </w:rPr>
        <w:t>县</w:t>
      </w:r>
      <w:r>
        <w:rPr>
          <w:rFonts w:eastAsia="仿宋_GB2312"/>
          <w:sz w:val="32"/>
          <w:szCs w:val="32"/>
          <w:lang w:val="zh-CN"/>
        </w:rPr>
        <w:t>市场监督管理局为认真贯彻落实</w:t>
      </w:r>
      <w:r>
        <w:rPr>
          <w:rFonts w:eastAsia="仿宋_GB2312"/>
          <w:sz w:val="32"/>
          <w:szCs w:val="32"/>
        </w:rPr>
        <w:t>《四川省市场监督管理局办公室关于印发&lt;四川省电动汽车充电桩计量检定实施方案&gt;的通知》</w:t>
      </w:r>
      <w:r>
        <w:rPr>
          <w:rFonts w:hint="eastAsia" w:eastAsia="仿宋_GB2312"/>
          <w:sz w:val="32"/>
          <w:szCs w:val="32"/>
        </w:rPr>
        <w:t>（川市监办〔2022〕107号）</w:t>
      </w:r>
      <w:r>
        <w:rPr>
          <w:rFonts w:eastAsia="仿宋_GB2312"/>
          <w:sz w:val="32"/>
          <w:szCs w:val="32"/>
        </w:rPr>
        <w:t>要求</w:t>
      </w:r>
      <w:r>
        <w:rPr>
          <w:rFonts w:hint="eastAsia" w:eastAsia="仿宋_GB2312"/>
          <w:sz w:val="32"/>
          <w:szCs w:val="32"/>
          <w:lang w:val="zh-CN"/>
        </w:rPr>
        <w:t>，</w:t>
      </w:r>
      <w:r>
        <w:rPr>
          <w:rFonts w:eastAsia="仿宋_GB2312"/>
          <w:sz w:val="32"/>
          <w:szCs w:val="32"/>
          <w:lang w:val="zh-CN"/>
        </w:rPr>
        <w:t>科学决策，合理申报目标。</w:t>
      </w:r>
    </w:p>
    <w:p>
      <w:pPr>
        <w:spacing w:line="578" w:lineRule="exact"/>
        <w:ind w:firstLine="640"/>
        <w:rPr>
          <w:rFonts w:eastAsia="仿宋_GB2312"/>
          <w:sz w:val="32"/>
          <w:szCs w:val="32"/>
          <w:lang w:val="zh-CN"/>
        </w:rPr>
      </w:pPr>
      <w:r>
        <w:rPr>
          <w:rFonts w:hint="eastAsia" w:eastAsia="仿宋_GB2312" w:cs="仿宋_GB2312"/>
          <w:kern w:val="0"/>
          <w:sz w:val="32"/>
          <w:szCs w:val="32"/>
        </w:rPr>
        <w:t>2.</w:t>
      </w:r>
      <w:r>
        <w:rPr>
          <w:rFonts w:hint="eastAsia" w:eastAsia="仿宋_GB2312" w:cs="仿宋_GB2312"/>
          <w:kern w:val="0"/>
          <w:sz w:val="32"/>
          <w:szCs w:val="32"/>
          <w:lang w:val="zh-CN"/>
        </w:rPr>
        <w:t>项目管理。</w:t>
      </w:r>
      <w:r>
        <w:rPr>
          <w:rFonts w:eastAsia="仿宋_GB2312"/>
          <w:sz w:val="32"/>
          <w:szCs w:val="32"/>
          <w:lang w:val="zh-CN"/>
        </w:rPr>
        <w:t>我单位财务设置在办公室，严格按照相关财务管理制度，对项目资金的申请、拨付、管理和使用严格按专项资金管理要求执行，专项资金严格按照“统筹兼顾、突出重点、促进发展、注重绩效”的原则进行分配和使用，各项制度执行落实较好，资金使用安全规范，未发现截留、挪用、挤占、虚列资金等现象。</w:t>
      </w:r>
    </w:p>
    <w:p>
      <w:pPr>
        <w:spacing w:line="578" w:lineRule="exact"/>
        <w:ind w:firstLine="640"/>
        <w:rPr>
          <w:rFonts w:eastAsia="仿宋_GB2312"/>
          <w:sz w:val="32"/>
          <w:szCs w:val="32"/>
          <w:lang w:val="zh-CN"/>
        </w:rPr>
      </w:pPr>
      <w:r>
        <w:rPr>
          <w:rFonts w:hint="eastAsia" w:eastAsia="仿宋_GB2312" w:cs="仿宋_GB2312"/>
          <w:kern w:val="0"/>
          <w:sz w:val="32"/>
          <w:szCs w:val="32"/>
        </w:rPr>
        <w:t>3.项目实施。按要求</w:t>
      </w:r>
      <w:r>
        <w:rPr>
          <w:rFonts w:hint="eastAsia" w:eastAsia="仿宋_GB2312"/>
          <w:sz w:val="32"/>
          <w:szCs w:val="32"/>
          <w:lang w:val="zh-CN"/>
        </w:rPr>
        <w:t>对</w:t>
      </w:r>
      <w:r>
        <w:rPr>
          <w:rFonts w:hint="eastAsia" w:eastAsia="仿宋_GB2312" w:cs="仿宋_GB2312"/>
          <w:kern w:val="0"/>
          <w:sz w:val="32"/>
          <w:szCs w:val="32"/>
          <w:lang w:val="zh-CN"/>
        </w:rPr>
        <w:t>我县</w:t>
      </w:r>
      <w:r>
        <w:rPr>
          <w:rFonts w:hint="eastAsia" w:eastAsia="仿宋_GB2312"/>
          <w:sz w:val="32"/>
          <w:szCs w:val="32"/>
        </w:rPr>
        <w:t>首批投入运营的82</w:t>
      </w:r>
      <w:r>
        <w:rPr>
          <w:rFonts w:hint="eastAsia" w:eastAsia="仿宋_GB2312"/>
          <w:sz w:val="32"/>
          <w:szCs w:val="32"/>
          <w:lang w:eastAsia="zh-CN"/>
        </w:rPr>
        <w:t>支</w:t>
      </w:r>
      <w:r>
        <w:rPr>
          <w:rFonts w:hint="eastAsia" w:eastAsia="仿宋_GB2312"/>
          <w:sz w:val="32"/>
          <w:szCs w:val="32"/>
        </w:rPr>
        <w:t>充电枪开展检定</w:t>
      </w:r>
      <w:r>
        <w:rPr>
          <w:rFonts w:hint="eastAsia" w:eastAsia="仿宋_GB2312"/>
          <w:sz w:val="32"/>
          <w:szCs w:val="32"/>
          <w:lang w:val="zh-CN"/>
        </w:rPr>
        <w:t>。</w:t>
      </w:r>
    </w:p>
    <w:p>
      <w:pPr>
        <w:spacing w:line="578" w:lineRule="exact"/>
        <w:ind w:firstLine="640"/>
        <w:rPr>
          <w:rFonts w:eastAsia="仿宋_GB2312" w:cs="仿宋_GB2312"/>
          <w:kern w:val="0"/>
          <w:sz w:val="32"/>
          <w:szCs w:val="32"/>
          <w:lang w:val="zh-CN"/>
        </w:rPr>
      </w:pPr>
      <w:r>
        <w:rPr>
          <w:rFonts w:hint="eastAsia" w:eastAsia="仿宋_GB2312" w:cs="仿宋_GB2312"/>
          <w:kern w:val="0"/>
          <w:sz w:val="32"/>
          <w:szCs w:val="32"/>
        </w:rPr>
        <w:t>4.项目结果。</w:t>
      </w:r>
      <w:r>
        <w:rPr>
          <w:rFonts w:hint="eastAsia" w:eastAsia="仿宋_GB2312"/>
          <w:sz w:val="32"/>
          <w:szCs w:val="32"/>
          <w:lang w:val="zh-CN"/>
        </w:rPr>
        <w:t>完成</w:t>
      </w:r>
      <w:r>
        <w:rPr>
          <w:rFonts w:hint="eastAsia" w:eastAsia="仿宋_GB2312" w:cs="仿宋_GB2312"/>
          <w:kern w:val="0"/>
          <w:sz w:val="32"/>
          <w:szCs w:val="32"/>
          <w:lang w:val="zh-CN"/>
        </w:rPr>
        <w:t>我县</w:t>
      </w:r>
      <w:r>
        <w:rPr>
          <w:rFonts w:hint="eastAsia" w:eastAsia="仿宋_GB2312"/>
          <w:sz w:val="32"/>
          <w:szCs w:val="32"/>
        </w:rPr>
        <w:t>首批投入运营的82</w:t>
      </w:r>
      <w:r>
        <w:rPr>
          <w:rFonts w:hint="eastAsia" w:eastAsia="仿宋_GB2312"/>
          <w:sz w:val="32"/>
          <w:szCs w:val="32"/>
          <w:lang w:eastAsia="zh-CN"/>
        </w:rPr>
        <w:t>支</w:t>
      </w:r>
      <w:r>
        <w:rPr>
          <w:rFonts w:hint="eastAsia" w:eastAsia="仿宋_GB2312"/>
          <w:sz w:val="32"/>
          <w:szCs w:val="32"/>
        </w:rPr>
        <w:t>充电枪检定任务</w:t>
      </w:r>
      <w:r>
        <w:rPr>
          <w:rFonts w:eastAsia="仿宋_GB2312"/>
          <w:sz w:val="32"/>
          <w:szCs w:val="32"/>
          <w:lang w:val="zh-CN"/>
        </w:rPr>
        <w:t>，</w:t>
      </w:r>
      <w:r>
        <w:rPr>
          <w:rFonts w:hint="eastAsia" w:eastAsia="仿宋_GB2312"/>
          <w:sz w:val="32"/>
          <w:szCs w:val="32"/>
        </w:rPr>
        <w:t>保障我县新能源</w:t>
      </w:r>
      <w:r>
        <w:rPr>
          <w:rFonts w:eastAsia="仿宋_GB2312"/>
          <w:sz w:val="32"/>
          <w:szCs w:val="32"/>
        </w:rPr>
        <w:t>汽车充电桩的</w:t>
      </w:r>
      <w:r>
        <w:rPr>
          <w:rFonts w:hint="eastAsia" w:eastAsia="仿宋_GB2312"/>
          <w:sz w:val="32"/>
          <w:szCs w:val="32"/>
        </w:rPr>
        <w:t>安全运行和正常使用</w:t>
      </w:r>
      <w:r>
        <w:rPr>
          <w:rFonts w:eastAsia="仿宋_GB2312"/>
          <w:sz w:val="32"/>
          <w:szCs w:val="32"/>
        </w:rPr>
        <w:t>，确保充电桩的</w:t>
      </w:r>
      <w:r>
        <w:rPr>
          <w:rFonts w:hint="eastAsia" w:eastAsia="仿宋_GB2312"/>
          <w:sz w:val="32"/>
          <w:szCs w:val="32"/>
        </w:rPr>
        <w:t>计量准确</w:t>
      </w:r>
      <w:r>
        <w:rPr>
          <w:rFonts w:eastAsia="仿宋_GB2312"/>
          <w:sz w:val="32"/>
          <w:szCs w:val="32"/>
        </w:rPr>
        <w:t>和交易的公平公正</w:t>
      </w:r>
      <w:r>
        <w:rPr>
          <w:rFonts w:hint="eastAsia" w:eastAsia="仿宋_GB2312"/>
          <w:sz w:val="32"/>
          <w:szCs w:val="32"/>
        </w:rPr>
        <w:t>，</w:t>
      </w:r>
      <w:r>
        <w:rPr>
          <w:rFonts w:eastAsia="仿宋_GB2312"/>
          <w:sz w:val="32"/>
          <w:szCs w:val="32"/>
          <w:lang w:val="zh-CN"/>
        </w:rPr>
        <w:t>保护消费者的合法权益，群众满意度不低于90%</w:t>
      </w:r>
      <w:r>
        <w:rPr>
          <w:rFonts w:hint="eastAsia" w:eastAsia="仿宋_GB2312"/>
          <w:sz w:val="32"/>
          <w:szCs w:val="32"/>
          <w:lang w:val="zh-CN"/>
        </w:rPr>
        <w:t>。</w:t>
      </w:r>
    </w:p>
    <w:p>
      <w:pPr>
        <w:spacing w:line="578" w:lineRule="exact"/>
        <w:ind w:firstLine="640"/>
        <w:rPr>
          <w:rFonts w:eastAsia="仿宋_GB2312" w:cs="仿宋_GB2312"/>
          <w:kern w:val="0"/>
          <w:sz w:val="32"/>
          <w:szCs w:val="32"/>
          <w:lang w:val="zh-CN"/>
        </w:rPr>
      </w:pPr>
      <w:r>
        <w:rPr>
          <w:rFonts w:hint="eastAsia" w:eastAsia="楷体_GB2312"/>
          <w:b/>
          <w:sz w:val="32"/>
          <w:szCs w:val="32"/>
          <w:lang w:val="zh-CN"/>
        </w:rPr>
        <w:t>（二）</w:t>
      </w:r>
      <w:r>
        <w:rPr>
          <w:rFonts w:hint="eastAsia" w:eastAsia="楷体_GB2312"/>
          <w:b/>
          <w:sz w:val="32"/>
          <w:szCs w:val="32"/>
        </w:rPr>
        <w:t>专用指标</w:t>
      </w:r>
      <w:r>
        <w:rPr>
          <w:rFonts w:eastAsia="楷体_GB2312"/>
          <w:b/>
          <w:bCs/>
          <w:color w:val="000000"/>
          <w:kern w:val="0"/>
          <w:sz w:val="32"/>
          <w:szCs w:val="32"/>
          <w:shd w:val="clear" w:color="auto" w:fill="FFFFFF"/>
          <w:lang w:val="zh-CN"/>
        </w:rPr>
        <w:t>绩效分析。</w:t>
      </w:r>
    </w:p>
    <w:p>
      <w:pPr>
        <w:spacing w:line="578" w:lineRule="exact"/>
        <w:ind w:firstLine="640"/>
        <w:rPr>
          <w:rFonts w:eastAsia="仿宋_GB2312"/>
          <w:sz w:val="32"/>
          <w:szCs w:val="32"/>
          <w:lang w:val="zh-CN"/>
        </w:rPr>
      </w:pPr>
      <w:r>
        <w:rPr>
          <w:rFonts w:hint="eastAsia" w:eastAsia="仿宋_GB2312" w:cs="仿宋_GB2312"/>
          <w:kern w:val="0"/>
          <w:sz w:val="32"/>
          <w:szCs w:val="32"/>
        </w:rPr>
        <w:t>1.产业发展。</w:t>
      </w:r>
      <w:r>
        <w:rPr>
          <w:rFonts w:eastAsia="仿宋_GB2312"/>
          <w:sz w:val="32"/>
          <w:szCs w:val="32"/>
          <w:lang w:val="zh-CN"/>
        </w:rPr>
        <w:t>规范</w:t>
      </w:r>
      <w:r>
        <w:rPr>
          <w:rFonts w:hint="eastAsia" w:eastAsia="仿宋_GB2312"/>
          <w:sz w:val="32"/>
          <w:szCs w:val="32"/>
          <w:lang w:val="zh-CN"/>
        </w:rPr>
        <w:t>我县充电桩</w:t>
      </w:r>
      <w:r>
        <w:rPr>
          <w:rFonts w:eastAsia="仿宋_GB2312"/>
          <w:sz w:val="32"/>
          <w:szCs w:val="32"/>
          <w:lang w:val="zh-CN"/>
        </w:rPr>
        <w:t>市场秩序，维护市场稳定，</w:t>
      </w:r>
      <w:r>
        <w:rPr>
          <w:rFonts w:hint="eastAsia" w:eastAsia="仿宋_GB2312"/>
          <w:sz w:val="32"/>
          <w:szCs w:val="32"/>
          <w:lang w:val="zh-CN"/>
        </w:rPr>
        <w:t>促进我县新能源充电桩产业健康发展。</w:t>
      </w:r>
    </w:p>
    <w:p>
      <w:pPr>
        <w:spacing w:line="578" w:lineRule="exact"/>
        <w:ind w:firstLine="640"/>
        <w:rPr>
          <w:rFonts w:eastAsia="仿宋_GB2312" w:cs="仿宋_GB2312"/>
          <w:kern w:val="0"/>
          <w:sz w:val="32"/>
          <w:szCs w:val="32"/>
        </w:rPr>
      </w:pPr>
      <w:r>
        <w:rPr>
          <w:rFonts w:hint="eastAsia" w:eastAsia="仿宋_GB2312" w:cs="仿宋_GB2312"/>
          <w:kern w:val="0"/>
          <w:sz w:val="32"/>
          <w:szCs w:val="32"/>
        </w:rPr>
        <w:t>2.</w:t>
      </w:r>
      <w:r>
        <w:rPr>
          <w:rFonts w:hint="eastAsia" w:eastAsia="仿宋_GB2312" w:cs="仿宋_GB2312"/>
          <w:kern w:val="0"/>
          <w:sz w:val="32"/>
          <w:szCs w:val="32"/>
          <w:lang w:val="zh-CN"/>
        </w:rPr>
        <w:t>民生保障。</w:t>
      </w:r>
      <w:r>
        <w:rPr>
          <w:rFonts w:hint="eastAsia" w:eastAsia="仿宋_GB2312"/>
          <w:sz w:val="32"/>
          <w:szCs w:val="32"/>
        </w:rPr>
        <w:t>保障我县新能源</w:t>
      </w:r>
      <w:r>
        <w:rPr>
          <w:rFonts w:eastAsia="仿宋_GB2312"/>
          <w:sz w:val="32"/>
          <w:szCs w:val="32"/>
        </w:rPr>
        <w:t>汽车充电桩的</w:t>
      </w:r>
      <w:r>
        <w:rPr>
          <w:rFonts w:hint="eastAsia" w:eastAsia="仿宋_GB2312"/>
          <w:sz w:val="32"/>
          <w:szCs w:val="32"/>
        </w:rPr>
        <w:t>安全运行和正常使用</w:t>
      </w:r>
      <w:r>
        <w:rPr>
          <w:rFonts w:eastAsia="仿宋_GB2312"/>
          <w:sz w:val="32"/>
          <w:szCs w:val="32"/>
        </w:rPr>
        <w:t>，确保充电桩的</w:t>
      </w:r>
      <w:r>
        <w:rPr>
          <w:rFonts w:hint="eastAsia" w:eastAsia="仿宋_GB2312"/>
          <w:sz w:val="32"/>
          <w:szCs w:val="32"/>
        </w:rPr>
        <w:t>计量准确</w:t>
      </w:r>
      <w:r>
        <w:rPr>
          <w:rFonts w:eastAsia="仿宋_GB2312"/>
          <w:sz w:val="32"/>
          <w:szCs w:val="32"/>
        </w:rPr>
        <w:t>和交易的公平公正</w:t>
      </w:r>
      <w:r>
        <w:rPr>
          <w:rFonts w:hint="eastAsia" w:eastAsia="仿宋_GB2312"/>
          <w:sz w:val="32"/>
          <w:szCs w:val="32"/>
        </w:rPr>
        <w:t>，</w:t>
      </w:r>
      <w:r>
        <w:rPr>
          <w:rFonts w:eastAsia="仿宋_GB2312"/>
          <w:sz w:val="32"/>
          <w:szCs w:val="32"/>
          <w:lang w:val="zh-CN"/>
        </w:rPr>
        <w:t>保护消费者的合法权益</w:t>
      </w:r>
      <w:r>
        <w:rPr>
          <w:rFonts w:hint="eastAsia" w:eastAsia="仿宋_GB2312"/>
          <w:sz w:val="32"/>
          <w:szCs w:val="32"/>
        </w:rPr>
        <w:t>。</w:t>
      </w:r>
    </w:p>
    <w:p>
      <w:pPr>
        <w:spacing w:line="578" w:lineRule="exact"/>
        <w:ind w:firstLine="640"/>
        <w:rPr>
          <w:rFonts w:eastAsia="仿宋_GB2312" w:cs="仿宋_GB2312"/>
          <w:kern w:val="0"/>
          <w:sz w:val="32"/>
          <w:szCs w:val="32"/>
        </w:rPr>
      </w:pPr>
      <w:r>
        <w:rPr>
          <w:rFonts w:hint="eastAsia" w:eastAsia="仿宋_GB2312" w:cs="仿宋_GB2312"/>
          <w:kern w:val="0"/>
          <w:sz w:val="32"/>
          <w:szCs w:val="32"/>
        </w:rPr>
        <w:t>3.基础设施。</w:t>
      </w:r>
      <w:r>
        <w:rPr>
          <w:rFonts w:hint="eastAsia" w:eastAsia="仿宋_GB2312" w:cs="仿宋_GB2312"/>
          <w:kern w:val="0"/>
          <w:sz w:val="32"/>
          <w:szCs w:val="32"/>
          <w:lang w:val="zh-CN"/>
        </w:rPr>
        <w:t>我县</w:t>
      </w:r>
      <w:r>
        <w:rPr>
          <w:rFonts w:hint="eastAsia" w:eastAsia="仿宋_GB2312"/>
          <w:sz w:val="32"/>
          <w:szCs w:val="32"/>
        </w:rPr>
        <w:t>首批投入运营的82</w:t>
      </w:r>
      <w:r>
        <w:rPr>
          <w:rFonts w:hint="eastAsia" w:eastAsia="仿宋_GB2312"/>
          <w:sz w:val="32"/>
          <w:szCs w:val="32"/>
          <w:lang w:eastAsia="zh-CN"/>
        </w:rPr>
        <w:t>支</w:t>
      </w:r>
      <w:r>
        <w:rPr>
          <w:rFonts w:hint="eastAsia" w:eastAsia="仿宋_GB2312"/>
          <w:sz w:val="32"/>
          <w:szCs w:val="32"/>
        </w:rPr>
        <w:t>充电枪检定任务已全部完成，保障了我县新能源</w:t>
      </w:r>
      <w:r>
        <w:rPr>
          <w:rFonts w:eastAsia="仿宋_GB2312"/>
          <w:sz w:val="32"/>
          <w:szCs w:val="32"/>
        </w:rPr>
        <w:t>汽车充电桩的</w:t>
      </w:r>
      <w:r>
        <w:rPr>
          <w:rFonts w:hint="eastAsia" w:eastAsia="仿宋_GB2312"/>
          <w:sz w:val="32"/>
          <w:szCs w:val="32"/>
        </w:rPr>
        <w:t>安全运行和正常使用。</w:t>
      </w:r>
    </w:p>
    <w:p>
      <w:pPr>
        <w:spacing w:line="578" w:lineRule="exact"/>
        <w:ind w:firstLine="640"/>
        <w:rPr>
          <w:rFonts w:eastAsia="仿宋_GB2312" w:cs="仿宋_GB2312"/>
          <w:kern w:val="0"/>
          <w:sz w:val="32"/>
          <w:szCs w:val="32"/>
        </w:rPr>
      </w:pPr>
      <w:r>
        <w:rPr>
          <w:rFonts w:hint="eastAsia" w:eastAsia="仿宋_GB2312" w:cs="仿宋_GB2312"/>
          <w:kern w:val="0"/>
          <w:sz w:val="32"/>
          <w:szCs w:val="32"/>
        </w:rPr>
        <w:t>4.</w:t>
      </w:r>
      <w:r>
        <w:rPr>
          <w:rFonts w:hint="eastAsia" w:eastAsia="仿宋_GB2312" w:cs="仿宋_GB2312"/>
          <w:kern w:val="0"/>
          <w:sz w:val="32"/>
          <w:szCs w:val="32"/>
          <w:lang w:val="zh-CN"/>
        </w:rPr>
        <w:t>行政运转。</w:t>
      </w:r>
      <w:r>
        <w:rPr>
          <w:rFonts w:eastAsia="仿宋_GB2312"/>
          <w:sz w:val="32"/>
          <w:szCs w:val="32"/>
          <w:lang w:val="zh-CN"/>
        </w:rPr>
        <w:t>目申报内容与具体实施内容相符、申报目标合理可行。项目实施过程中严格按照相关财务管理制度，对项目资金的申请、拨付、管理和使用严格按专项资金管理要求执行，专项资金严格按照“统筹兼顾、突出重点、促进发展、注重绩效”的原则进行分配和使用，各项制度执行落实较好，资金使用安全规范，未发现截留、挪用、挤占、虚列资金等现象。</w:t>
      </w:r>
    </w:p>
    <w:p>
      <w:pPr>
        <w:spacing w:line="578" w:lineRule="exact"/>
        <w:ind w:firstLine="640"/>
        <w:rPr>
          <w:rFonts w:eastAsia="仿宋_GB2312" w:cs="仿宋_GB2312"/>
          <w:kern w:val="0"/>
          <w:sz w:val="32"/>
          <w:szCs w:val="32"/>
        </w:rPr>
      </w:pPr>
      <w:r>
        <w:rPr>
          <w:rFonts w:hint="eastAsia" w:eastAsia="楷体_GB2312"/>
          <w:b/>
          <w:sz w:val="32"/>
          <w:szCs w:val="32"/>
          <w:lang w:val="zh-CN"/>
        </w:rPr>
        <w:t>（三）</w:t>
      </w:r>
      <w:r>
        <w:rPr>
          <w:rFonts w:hint="eastAsia" w:eastAsia="楷体_GB2312"/>
          <w:b/>
          <w:sz w:val="32"/>
          <w:szCs w:val="32"/>
        </w:rPr>
        <w:t>个性指标</w:t>
      </w:r>
      <w:r>
        <w:rPr>
          <w:rFonts w:eastAsia="楷体_GB2312"/>
          <w:b/>
          <w:bCs/>
          <w:color w:val="000000"/>
          <w:kern w:val="0"/>
          <w:sz w:val="32"/>
          <w:szCs w:val="32"/>
          <w:shd w:val="clear" w:color="auto" w:fill="FFFFFF"/>
          <w:lang w:val="zh-CN"/>
        </w:rPr>
        <w:t>绩效分析。</w:t>
      </w:r>
      <w:r>
        <w:rPr>
          <w:rFonts w:eastAsia="仿宋_GB2312"/>
          <w:sz w:val="32"/>
          <w:szCs w:val="32"/>
          <w:lang w:val="zh-CN"/>
        </w:rPr>
        <w:t>该项目无个性指标。</w:t>
      </w:r>
    </w:p>
    <w:p>
      <w:pPr>
        <w:spacing w:line="578" w:lineRule="exact"/>
        <w:ind w:firstLine="640"/>
        <w:rPr>
          <w:rFonts w:ascii="黑体" w:hAnsi="黑体" w:eastAsia="黑体" w:cs="黑体"/>
          <w:kern w:val="0"/>
          <w:sz w:val="32"/>
          <w:szCs w:val="32"/>
        </w:rPr>
      </w:pPr>
      <w:r>
        <w:rPr>
          <w:rFonts w:hint="eastAsia" w:ascii="黑体" w:hAnsi="黑体" w:eastAsia="黑体" w:cs="黑体"/>
          <w:kern w:val="0"/>
          <w:sz w:val="32"/>
          <w:szCs w:val="32"/>
        </w:rPr>
        <w:t>四、评价结论</w:t>
      </w:r>
    </w:p>
    <w:p>
      <w:pPr>
        <w:pStyle w:val="10"/>
        <w:ind w:firstLine="640" w:firstLineChars="200"/>
      </w:pPr>
      <w:r>
        <w:rPr>
          <w:rFonts w:hAnsi="Times New Roman" w:eastAsia="仿宋_GB2312" w:cs="Times New Roman"/>
          <w:sz w:val="32"/>
          <w:szCs w:val="32"/>
          <w:lang w:val="zh-CN"/>
        </w:rPr>
        <w:t>该项目自评总分</w:t>
      </w:r>
      <w:r>
        <w:rPr>
          <w:rFonts w:hint="eastAsia" w:eastAsia="仿宋_GB2312" w:cs="Times New Roman"/>
          <w:sz w:val="32"/>
          <w:szCs w:val="32"/>
        </w:rPr>
        <w:t>100</w:t>
      </w:r>
      <w:r>
        <w:rPr>
          <w:rFonts w:hAnsi="Times New Roman" w:eastAsia="仿宋_GB2312" w:cs="Times New Roman"/>
          <w:sz w:val="32"/>
          <w:szCs w:val="32"/>
        </w:rPr>
        <w:t>分。</w:t>
      </w:r>
      <w:r>
        <w:rPr>
          <w:rFonts w:hint="eastAsia" w:eastAsia="仿宋_GB2312" w:cs="仿宋_GB2312"/>
          <w:kern w:val="0"/>
          <w:sz w:val="32"/>
          <w:szCs w:val="32"/>
          <w:lang w:val="zh-CN"/>
        </w:rPr>
        <w:t>我县</w:t>
      </w:r>
      <w:r>
        <w:rPr>
          <w:rFonts w:hint="eastAsia" w:hAnsi="Times New Roman" w:eastAsia="仿宋_GB2312" w:cs="Times New Roman"/>
          <w:sz w:val="32"/>
          <w:szCs w:val="32"/>
        </w:rPr>
        <w:t>首批投入运营的82</w:t>
      </w:r>
      <w:r>
        <w:rPr>
          <w:rFonts w:hint="eastAsia" w:hAnsi="Times New Roman" w:eastAsia="仿宋_GB2312" w:cs="Times New Roman"/>
          <w:sz w:val="32"/>
          <w:szCs w:val="32"/>
          <w:lang w:eastAsia="zh-CN"/>
        </w:rPr>
        <w:t>支</w:t>
      </w:r>
      <w:r>
        <w:rPr>
          <w:rFonts w:hint="eastAsia" w:hAnsi="Times New Roman" w:eastAsia="仿宋_GB2312" w:cs="Times New Roman"/>
          <w:sz w:val="32"/>
          <w:szCs w:val="32"/>
        </w:rPr>
        <w:t>充电枪检定任务已全部完成，</w:t>
      </w:r>
      <w:r>
        <w:rPr>
          <w:rFonts w:hAnsi="Times New Roman" w:eastAsia="仿宋_GB2312" w:cs="Times New Roman"/>
          <w:sz w:val="32"/>
          <w:szCs w:val="32"/>
        </w:rPr>
        <w:t>该项目实际到位资金</w:t>
      </w:r>
      <w:r>
        <w:rPr>
          <w:rFonts w:hint="eastAsia" w:hAnsi="Times New Roman" w:eastAsia="仿宋_GB2312" w:cs="Times New Roman"/>
          <w:sz w:val="32"/>
          <w:szCs w:val="32"/>
        </w:rPr>
        <w:t>3.28</w:t>
      </w:r>
      <w:r>
        <w:rPr>
          <w:rFonts w:hAnsi="Times New Roman" w:eastAsia="仿宋_GB2312" w:cs="Times New Roman"/>
          <w:sz w:val="32"/>
          <w:szCs w:val="32"/>
        </w:rPr>
        <w:t>万元，其中县本级财政资金</w:t>
      </w:r>
      <w:r>
        <w:rPr>
          <w:rFonts w:hint="eastAsia" w:hAnsi="Times New Roman" w:eastAsia="仿宋_GB2312" w:cs="Times New Roman"/>
          <w:sz w:val="32"/>
          <w:szCs w:val="32"/>
        </w:rPr>
        <w:t>3.28</w:t>
      </w:r>
      <w:r>
        <w:rPr>
          <w:rFonts w:hAnsi="Times New Roman" w:eastAsia="仿宋_GB2312" w:cs="Times New Roman"/>
          <w:sz w:val="32"/>
          <w:szCs w:val="32"/>
        </w:rPr>
        <w:t>万元，资金到位率100%。该项目</w:t>
      </w:r>
      <w:r>
        <w:rPr>
          <w:rFonts w:hint="eastAsia" w:hAnsi="Times New Roman" w:eastAsia="仿宋_GB2312" w:cs="Times New Roman"/>
          <w:sz w:val="32"/>
          <w:szCs w:val="32"/>
        </w:rPr>
        <w:t>的实施</w:t>
      </w:r>
      <w:r>
        <w:rPr>
          <w:rFonts w:hAnsi="Times New Roman" w:eastAsia="仿宋_GB2312" w:cs="Times New Roman"/>
          <w:sz w:val="32"/>
          <w:szCs w:val="32"/>
          <w:lang w:val="zh-CN"/>
        </w:rPr>
        <w:t>保护</w:t>
      </w:r>
      <w:r>
        <w:rPr>
          <w:rFonts w:hint="eastAsia" w:hAnsi="Times New Roman" w:eastAsia="仿宋_GB2312" w:cs="Times New Roman"/>
          <w:sz w:val="32"/>
          <w:szCs w:val="32"/>
          <w:lang w:val="zh-CN"/>
        </w:rPr>
        <w:t>了</w:t>
      </w:r>
      <w:r>
        <w:rPr>
          <w:rFonts w:hAnsi="Times New Roman" w:eastAsia="仿宋_GB2312" w:cs="Times New Roman"/>
          <w:sz w:val="32"/>
          <w:szCs w:val="32"/>
          <w:lang w:val="zh-CN"/>
        </w:rPr>
        <w:t>消费者的合法权益</w:t>
      </w:r>
      <w:r>
        <w:rPr>
          <w:rFonts w:hint="eastAsia" w:hAnsi="Times New Roman" w:eastAsia="仿宋_GB2312" w:cs="Times New Roman"/>
          <w:sz w:val="32"/>
          <w:szCs w:val="32"/>
          <w:lang w:val="zh-CN"/>
        </w:rPr>
        <w:t>，</w:t>
      </w:r>
      <w:r>
        <w:rPr>
          <w:rFonts w:hint="eastAsia" w:hAnsi="Times New Roman" w:eastAsia="仿宋_GB2312" w:cs="Times New Roman"/>
          <w:sz w:val="32"/>
          <w:szCs w:val="32"/>
        </w:rPr>
        <w:t>保障了我县新能源</w:t>
      </w:r>
      <w:r>
        <w:rPr>
          <w:rFonts w:hAnsi="Times New Roman" w:eastAsia="仿宋_GB2312" w:cs="Times New Roman"/>
          <w:sz w:val="32"/>
          <w:szCs w:val="32"/>
        </w:rPr>
        <w:t>汽车充电桩的</w:t>
      </w:r>
      <w:r>
        <w:rPr>
          <w:rFonts w:hint="eastAsia" w:hAnsi="Times New Roman" w:eastAsia="仿宋_GB2312" w:cs="Times New Roman"/>
          <w:sz w:val="32"/>
          <w:szCs w:val="32"/>
        </w:rPr>
        <w:t>安全运行和正常使用</w:t>
      </w:r>
      <w:r>
        <w:rPr>
          <w:rFonts w:hAnsi="Times New Roman" w:eastAsia="仿宋_GB2312" w:cs="Times New Roman"/>
          <w:sz w:val="32"/>
          <w:szCs w:val="32"/>
        </w:rPr>
        <w:t>，确保</w:t>
      </w:r>
      <w:r>
        <w:rPr>
          <w:rFonts w:hint="eastAsia" w:hAnsi="Times New Roman" w:eastAsia="仿宋_GB2312" w:cs="Times New Roman"/>
          <w:sz w:val="32"/>
          <w:szCs w:val="32"/>
        </w:rPr>
        <w:t>了</w:t>
      </w:r>
      <w:r>
        <w:rPr>
          <w:rFonts w:hAnsi="Times New Roman" w:eastAsia="仿宋_GB2312" w:cs="Times New Roman"/>
          <w:sz w:val="32"/>
          <w:szCs w:val="32"/>
        </w:rPr>
        <w:t>充电桩的</w:t>
      </w:r>
      <w:r>
        <w:rPr>
          <w:rFonts w:hint="eastAsia" w:hAnsi="Times New Roman" w:eastAsia="仿宋_GB2312" w:cs="Times New Roman"/>
          <w:sz w:val="32"/>
          <w:szCs w:val="32"/>
        </w:rPr>
        <w:t>计量准确</w:t>
      </w:r>
      <w:r>
        <w:rPr>
          <w:rFonts w:hAnsi="Times New Roman" w:eastAsia="仿宋_GB2312" w:cs="Times New Roman"/>
          <w:sz w:val="32"/>
          <w:szCs w:val="32"/>
        </w:rPr>
        <w:t>和交易的公平公正</w:t>
      </w:r>
      <w:r>
        <w:rPr>
          <w:rFonts w:hint="eastAsia" w:hAnsi="Times New Roman" w:eastAsia="仿宋_GB2312" w:cs="Times New Roman"/>
          <w:sz w:val="32"/>
          <w:szCs w:val="32"/>
        </w:rPr>
        <w:t>。</w:t>
      </w:r>
    </w:p>
    <w:p>
      <w:pPr>
        <w:spacing w:line="578" w:lineRule="exact"/>
        <w:ind w:firstLine="640"/>
        <w:rPr>
          <w:rFonts w:ascii="黑体" w:hAnsi="黑体" w:eastAsia="黑体" w:cs="黑体"/>
          <w:kern w:val="0"/>
          <w:sz w:val="32"/>
          <w:szCs w:val="32"/>
        </w:rPr>
      </w:pPr>
      <w:r>
        <w:rPr>
          <w:rFonts w:hint="eastAsia" w:ascii="黑体" w:hAnsi="黑体" w:eastAsia="黑体" w:cs="黑体"/>
          <w:kern w:val="0"/>
          <w:sz w:val="32"/>
          <w:szCs w:val="32"/>
        </w:rPr>
        <w:t>五、存在主要问题</w:t>
      </w:r>
    </w:p>
    <w:p>
      <w:pPr>
        <w:spacing w:line="578" w:lineRule="exact"/>
        <w:ind w:firstLine="640"/>
        <w:rPr>
          <w:rFonts w:eastAsia="仿宋_GB2312" w:cs="仿宋_GB2312"/>
          <w:kern w:val="0"/>
          <w:sz w:val="32"/>
          <w:szCs w:val="32"/>
        </w:rPr>
      </w:pPr>
      <w:r>
        <w:rPr>
          <w:rFonts w:hint="eastAsia" w:eastAsia="仿宋_GB2312" w:cs="仿宋_GB2312"/>
          <w:kern w:val="0"/>
          <w:sz w:val="32"/>
          <w:szCs w:val="32"/>
        </w:rPr>
        <w:t>无。</w:t>
      </w:r>
    </w:p>
    <w:p>
      <w:pPr>
        <w:spacing w:line="578" w:lineRule="exact"/>
        <w:ind w:firstLine="640"/>
        <w:rPr>
          <w:rFonts w:ascii="黑体" w:hAnsi="黑体" w:eastAsia="黑体" w:cs="黑体"/>
          <w:kern w:val="0"/>
          <w:sz w:val="32"/>
          <w:szCs w:val="32"/>
          <w:lang w:val="zh-CN"/>
        </w:rPr>
      </w:pPr>
      <w:r>
        <w:rPr>
          <w:rFonts w:hint="eastAsia" w:ascii="黑体" w:hAnsi="黑体" w:eastAsia="黑体" w:cs="黑体"/>
          <w:kern w:val="0"/>
          <w:sz w:val="32"/>
          <w:szCs w:val="32"/>
          <w:lang w:val="zh-CN"/>
        </w:rPr>
        <w:t>六、改进建议</w:t>
      </w:r>
    </w:p>
    <w:p>
      <w:pPr>
        <w:spacing w:line="578" w:lineRule="exact"/>
        <w:ind w:firstLine="640"/>
        <w:rPr>
          <w:rFonts w:eastAsia="仿宋_GB2312" w:cs="仿宋_GB2312"/>
          <w:kern w:val="0"/>
          <w:sz w:val="32"/>
          <w:szCs w:val="32"/>
        </w:rPr>
      </w:pPr>
      <w:r>
        <w:rPr>
          <w:rFonts w:hint="eastAsia" w:eastAsia="仿宋_GB2312" w:cs="仿宋_GB2312"/>
          <w:kern w:val="0"/>
          <w:sz w:val="32"/>
          <w:szCs w:val="32"/>
        </w:rPr>
        <w:t>无。</w:t>
      </w:r>
    </w:p>
    <w:p>
      <w:pPr>
        <w:pStyle w:val="10"/>
        <w:rPr>
          <w:rFonts w:eastAsia="仿宋_GB2312" w:cs="仿宋_GB2312"/>
          <w:kern w:val="0"/>
          <w:sz w:val="32"/>
          <w:szCs w:val="32"/>
        </w:rPr>
      </w:pPr>
    </w:p>
    <w:p>
      <w:pPr>
        <w:pStyle w:val="10"/>
        <w:rPr>
          <w:rFonts w:eastAsia="仿宋_GB2312" w:cs="仿宋_GB2312"/>
          <w:kern w:val="0"/>
          <w:sz w:val="32"/>
          <w:szCs w:val="32"/>
        </w:rPr>
      </w:pPr>
    </w:p>
    <w:p>
      <w:pPr>
        <w:pStyle w:val="10"/>
        <w:rPr>
          <w:rFonts w:eastAsia="仿宋_GB2312" w:cs="仿宋_GB2312"/>
          <w:kern w:val="0"/>
          <w:sz w:val="32"/>
          <w:szCs w:val="32"/>
        </w:rPr>
      </w:pPr>
    </w:p>
    <w:p>
      <w:pPr>
        <w:pStyle w:val="10"/>
        <w:rPr>
          <w:rFonts w:eastAsia="仿宋_GB2312" w:cs="仿宋_GB2312"/>
          <w:kern w:val="0"/>
          <w:sz w:val="32"/>
          <w:szCs w:val="32"/>
        </w:rPr>
      </w:pPr>
    </w:p>
    <w:p>
      <w:pPr>
        <w:pStyle w:val="10"/>
        <w:rPr>
          <w:rFonts w:eastAsia="仿宋_GB2312" w:cs="仿宋_GB2312"/>
          <w:kern w:val="0"/>
          <w:sz w:val="32"/>
          <w:szCs w:val="32"/>
        </w:rPr>
      </w:pPr>
    </w:p>
    <w:p>
      <w:pPr>
        <w:pStyle w:val="10"/>
        <w:rPr>
          <w:rFonts w:eastAsia="仿宋_GB2312" w:cs="仿宋_GB2312"/>
          <w:kern w:val="0"/>
          <w:sz w:val="32"/>
          <w:szCs w:val="32"/>
        </w:rPr>
      </w:pPr>
    </w:p>
    <w:p>
      <w:pPr>
        <w:pStyle w:val="10"/>
        <w:rPr>
          <w:rFonts w:eastAsia="仿宋_GB2312" w:cs="仿宋_GB2312"/>
          <w:kern w:val="0"/>
          <w:sz w:val="32"/>
          <w:szCs w:val="32"/>
        </w:rPr>
      </w:pPr>
    </w:p>
    <w:p>
      <w:pPr>
        <w:pStyle w:val="10"/>
        <w:rPr>
          <w:rFonts w:eastAsia="仿宋_GB2312" w:cs="仿宋_GB2312"/>
          <w:kern w:val="0"/>
          <w:sz w:val="32"/>
          <w:szCs w:val="32"/>
        </w:rPr>
      </w:pPr>
    </w:p>
    <w:p>
      <w:pPr>
        <w:pStyle w:val="10"/>
        <w:rPr>
          <w:rFonts w:eastAsia="仿宋_GB2312" w:cs="仿宋_GB2312"/>
          <w:kern w:val="0"/>
          <w:sz w:val="32"/>
          <w:szCs w:val="32"/>
        </w:rPr>
      </w:pPr>
    </w:p>
    <w:p>
      <w:pPr>
        <w:pStyle w:val="10"/>
        <w:rPr>
          <w:rFonts w:eastAsia="仿宋_GB2312" w:cs="仿宋_GB2312"/>
          <w:kern w:val="0"/>
          <w:sz w:val="32"/>
          <w:szCs w:val="32"/>
        </w:rPr>
      </w:pPr>
    </w:p>
    <w:p>
      <w:pPr>
        <w:pStyle w:val="10"/>
        <w:rPr>
          <w:rFonts w:eastAsia="仿宋_GB2312" w:cs="仿宋_GB2312"/>
          <w:kern w:val="0"/>
          <w:sz w:val="32"/>
          <w:szCs w:val="32"/>
        </w:rPr>
      </w:pPr>
    </w:p>
    <w:p>
      <w:pPr>
        <w:pStyle w:val="10"/>
        <w:rPr>
          <w:rFonts w:eastAsia="仿宋_GB2312" w:cs="仿宋_GB2312"/>
          <w:kern w:val="0"/>
          <w:sz w:val="32"/>
          <w:szCs w:val="32"/>
        </w:rPr>
      </w:pPr>
    </w:p>
    <w:p>
      <w:pPr>
        <w:pStyle w:val="10"/>
        <w:rPr>
          <w:rFonts w:eastAsia="仿宋_GB2312" w:cs="仿宋_GB2312"/>
          <w:kern w:val="0"/>
          <w:sz w:val="32"/>
          <w:szCs w:val="32"/>
        </w:rPr>
      </w:pPr>
    </w:p>
    <w:p>
      <w:pPr>
        <w:pStyle w:val="10"/>
        <w:rPr>
          <w:rFonts w:eastAsia="仿宋_GB2312" w:cs="仿宋_GB2312"/>
          <w:kern w:val="0"/>
          <w:sz w:val="32"/>
          <w:szCs w:val="32"/>
        </w:rPr>
      </w:pPr>
    </w:p>
    <w:p>
      <w:pPr>
        <w:pStyle w:val="10"/>
        <w:rPr>
          <w:rFonts w:eastAsia="仿宋_GB2312" w:cs="仿宋_GB2312"/>
          <w:kern w:val="0"/>
          <w:sz w:val="32"/>
          <w:szCs w:val="32"/>
        </w:rPr>
      </w:pPr>
    </w:p>
    <w:p>
      <w:pPr>
        <w:pStyle w:val="10"/>
        <w:rPr>
          <w:rFonts w:eastAsia="仿宋_GB2312" w:cs="仿宋_GB2312"/>
          <w:kern w:val="0"/>
          <w:sz w:val="32"/>
          <w:szCs w:val="32"/>
        </w:rPr>
      </w:pPr>
    </w:p>
    <w:p>
      <w:pPr>
        <w:spacing w:line="0" w:lineRule="atLeast"/>
        <w:jc w:val="center"/>
        <w:outlineLvl w:val="2"/>
        <w:rPr>
          <w:rFonts w:eastAsia="方正小标宋简体"/>
          <w:sz w:val="44"/>
          <w:szCs w:val="44"/>
        </w:rPr>
      </w:pPr>
      <w:r>
        <w:rPr>
          <w:rFonts w:eastAsia="方正小标宋简体"/>
          <w:sz w:val="44"/>
          <w:szCs w:val="44"/>
        </w:rPr>
        <w:t>有机产品认证企业奖补资金</w:t>
      </w:r>
    </w:p>
    <w:p>
      <w:pPr>
        <w:spacing w:line="0" w:lineRule="atLeast"/>
        <w:jc w:val="center"/>
        <w:outlineLvl w:val="2"/>
        <w:rPr>
          <w:rFonts w:eastAsia="方正小标宋简体"/>
          <w:sz w:val="44"/>
          <w:szCs w:val="44"/>
        </w:rPr>
      </w:pPr>
      <w:r>
        <w:rPr>
          <w:rFonts w:eastAsia="方正小标宋简体"/>
          <w:sz w:val="44"/>
          <w:szCs w:val="44"/>
        </w:rPr>
        <w:t>专项预算项目绩效评价报告</w:t>
      </w:r>
    </w:p>
    <w:p>
      <w:pPr>
        <w:pStyle w:val="35"/>
        <w:spacing w:line="0" w:lineRule="atLeast"/>
        <w:jc w:val="center"/>
        <w:rPr>
          <w:rFonts w:ascii="Times New Roman" w:hAnsi="Times New Roman"/>
          <w:color w:val="auto"/>
          <w:kern w:val="2"/>
          <w:sz w:val="32"/>
          <w:szCs w:val="32"/>
        </w:rPr>
      </w:pPr>
    </w:p>
    <w:p>
      <w:pPr>
        <w:adjustRightInd w:val="0"/>
        <w:snapToGrid w:val="0"/>
        <w:spacing w:line="578" w:lineRule="exact"/>
        <w:ind w:firstLine="640" w:firstLineChars="200"/>
        <w:rPr>
          <w:rFonts w:eastAsia="黑体"/>
          <w:sz w:val="32"/>
          <w:szCs w:val="32"/>
          <w:lang w:val="zh-CN"/>
        </w:rPr>
      </w:pPr>
      <w:r>
        <w:rPr>
          <w:rFonts w:hint="eastAsia" w:eastAsia="黑体"/>
          <w:sz w:val="32"/>
          <w:szCs w:val="32"/>
        </w:rPr>
        <w:t>一、</w:t>
      </w:r>
      <w:r>
        <w:rPr>
          <w:rFonts w:hint="eastAsia" w:eastAsia="黑体"/>
          <w:sz w:val="32"/>
          <w:szCs w:val="32"/>
          <w:lang w:val="zh-CN"/>
        </w:rPr>
        <w:t>项目概况</w:t>
      </w:r>
    </w:p>
    <w:p>
      <w:pPr>
        <w:ind w:firstLine="643" w:firstLineChars="200"/>
        <w:rPr>
          <w:lang w:val="zh-CN"/>
        </w:rPr>
      </w:pPr>
      <w:r>
        <w:rPr>
          <w:rFonts w:hint="eastAsia" w:eastAsia="楷体_GB2312"/>
          <w:b/>
          <w:sz w:val="32"/>
          <w:szCs w:val="32"/>
          <w:lang w:val="zh-CN"/>
        </w:rPr>
        <w:t>（一）设立背景及基本情况。</w:t>
      </w:r>
      <w:r>
        <w:rPr>
          <w:rFonts w:eastAsia="仿宋_GB2312"/>
          <w:sz w:val="32"/>
          <w:szCs w:val="32"/>
        </w:rPr>
        <w:t>为加快推进我县有机产品认证示范创建步伐，县委、</w:t>
      </w:r>
      <w:r>
        <w:rPr>
          <w:rFonts w:hint="eastAsia" w:eastAsia="仿宋_GB2312"/>
          <w:sz w:val="32"/>
          <w:szCs w:val="32"/>
        </w:rPr>
        <w:t>县</w:t>
      </w:r>
      <w:r>
        <w:rPr>
          <w:rFonts w:eastAsia="仿宋_GB2312"/>
          <w:sz w:val="32"/>
          <w:szCs w:val="32"/>
        </w:rPr>
        <w:t>政府高度重视有机产品认证示范县创建工作。2018年6月29日，《盐边县人民政府关于申请创建“四川省有机产品认证示范区”的请示》（盐边〔2018〕46号）</w:t>
      </w:r>
      <w:r>
        <w:rPr>
          <w:rFonts w:hint="eastAsia" w:eastAsia="仿宋_GB2312"/>
          <w:sz w:val="32"/>
          <w:szCs w:val="32"/>
          <w:lang w:eastAsia="zh-CN"/>
        </w:rPr>
        <w:t>，</w:t>
      </w:r>
      <w:r>
        <w:rPr>
          <w:rFonts w:eastAsia="仿宋_GB2312"/>
          <w:sz w:val="32"/>
          <w:szCs w:val="32"/>
        </w:rPr>
        <w:t>全面启动了有机产品认证示范区创建工作。2018年我县获得“省级有机产品认证示范创建区”称号；通过3年的有机产品认证示范区的创建，于2021年12月30日我县正式获批“四川省有机产品认证示范区”；2023年顺利通过“四川省有机产品认证示范区”复核评查。</w:t>
      </w:r>
    </w:p>
    <w:p>
      <w:pPr>
        <w:ind w:firstLine="643" w:firstLineChars="200"/>
        <w:rPr>
          <w:rFonts w:eastAsia="仿宋_GB2312" w:cs="仿宋_GB2312"/>
          <w:kern w:val="0"/>
          <w:sz w:val="32"/>
          <w:szCs w:val="32"/>
          <w:lang w:val="zh-CN"/>
        </w:rPr>
      </w:pPr>
      <w:r>
        <w:rPr>
          <w:rFonts w:hint="eastAsia" w:eastAsia="楷体_GB2312"/>
          <w:b/>
          <w:sz w:val="32"/>
          <w:szCs w:val="32"/>
          <w:lang w:val="zh-CN"/>
        </w:rPr>
        <w:t>（二）</w:t>
      </w:r>
      <w:r>
        <w:rPr>
          <w:rFonts w:eastAsia="楷体_GB2312"/>
          <w:b/>
          <w:sz w:val="32"/>
          <w:szCs w:val="32"/>
        </w:rPr>
        <w:t>实施目的及支持方向</w:t>
      </w:r>
      <w:r>
        <w:rPr>
          <w:rFonts w:hint="eastAsia" w:eastAsia="楷体_GB2312"/>
          <w:b/>
          <w:sz w:val="32"/>
          <w:szCs w:val="32"/>
        </w:rPr>
        <w:t>。</w:t>
      </w:r>
      <w:r>
        <w:rPr>
          <w:rFonts w:eastAsia="仿宋_GB2312"/>
          <w:sz w:val="32"/>
          <w:szCs w:val="32"/>
          <w:lang w:val="zh-CN"/>
        </w:rPr>
        <w:t>旨在继续推进有机产品认证示范区创建，加强有机农产品宣传，培育一批品牌影响力大，具有核心竞争力的有机农产品企业，提升有机农产品质量水平。</w:t>
      </w:r>
    </w:p>
    <w:p>
      <w:pPr>
        <w:ind w:firstLine="643" w:firstLineChars="200"/>
        <w:rPr>
          <w:rFonts w:eastAsia="仿宋_GB2312" w:cs="仿宋_GB2312"/>
          <w:kern w:val="0"/>
          <w:sz w:val="32"/>
          <w:szCs w:val="32"/>
          <w:lang w:val="zh-CN"/>
        </w:rPr>
      </w:pPr>
      <w:r>
        <w:rPr>
          <w:rFonts w:hint="eastAsia" w:eastAsia="楷体_GB2312"/>
          <w:b/>
          <w:sz w:val="32"/>
          <w:szCs w:val="32"/>
          <w:lang w:val="zh-CN"/>
        </w:rPr>
        <w:t>（三）</w:t>
      </w:r>
      <w:r>
        <w:rPr>
          <w:rFonts w:eastAsia="楷体_GB2312"/>
          <w:b/>
          <w:sz w:val="32"/>
          <w:szCs w:val="32"/>
        </w:rPr>
        <w:t>预算安排及分配管理</w:t>
      </w:r>
      <w:r>
        <w:rPr>
          <w:rFonts w:hint="eastAsia" w:eastAsia="楷体_GB2312"/>
          <w:b/>
          <w:sz w:val="32"/>
          <w:szCs w:val="32"/>
          <w:lang w:val="zh-CN"/>
        </w:rPr>
        <w:t>。</w:t>
      </w:r>
      <w:r>
        <w:rPr>
          <w:rFonts w:eastAsia="仿宋_GB2312"/>
          <w:sz w:val="32"/>
          <w:szCs w:val="32"/>
          <w:lang w:val="zh-CN"/>
        </w:rPr>
        <w:t>兑现</w:t>
      </w:r>
      <w:r>
        <w:rPr>
          <w:rFonts w:hint="eastAsia" w:eastAsia="仿宋_GB2312"/>
          <w:sz w:val="32"/>
          <w:szCs w:val="32"/>
        </w:rPr>
        <w:t>2022-</w:t>
      </w:r>
      <w:r>
        <w:rPr>
          <w:rFonts w:eastAsia="仿宋_GB2312"/>
          <w:sz w:val="32"/>
          <w:szCs w:val="32"/>
          <w:lang w:val="zh-CN"/>
        </w:rPr>
        <w:t>202</w:t>
      </w:r>
      <w:r>
        <w:rPr>
          <w:rFonts w:hint="eastAsia" w:eastAsia="仿宋_GB2312"/>
          <w:sz w:val="32"/>
          <w:szCs w:val="32"/>
        </w:rPr>
        <w:t>3</w:t>
      </w:r>
      <w:r>
        <w:rPr>
          <w:rFonts w:eastAsia="仿宋_GB2312"/>
          <w:sz w:val="32"/>
          <w:szCs w:val="32"/>
          <w:lang w:val="zh-CN"/>
        </w:rPr>
        <w:t>年有机获证企业奖补</w:t>
      </w:r>
      <w:r>
        <w:rPr>
          <w:rFonts w:hint="eastAsia" w:eastAsia="仿宋_GB2312"/>
          <w:sz w:val="32"/>
          <w:szCs w:val="32"/>
        </w:rPr>
        <w:t>4.8</w:t>
      </w:r>
      <w:r>
        <w:rPr>
          <w:rFonts w:eastAsia="仿宋_GB2312"/>
          <w:sz w:val="32"/>
          <w:szCs w:val="32"/>
          <w:lang w:val="zh-CN"/>
        </w:rPr>
        <w:t>万元。</w:t>
      </w:r>
    </w:p>
    <w:p>
      <w:pPr>
        <w:ind w:firstLine="643" w:firstLineChars="200"/>
        <w:rPr>
          <w:rFonts w:eastAsia="仿宋_GB2312"/>
          <w:sz w:val="32"/>
          <w:szCs w:val="32"/>
          <w:lang w:val="zh-CN"/>
        </w:rPr>
      </w:pPr>
      <w:r>
        <w:rPr>
          <w:rFonts w:hint="eastAsia" w:eastAsia="楷体_GB2312"/>
          <w:b/>
          <w:sz w:val="32"/>
          <w:szCs w:val="32"/>
          <w:lang w:val="zh-CN"/>
        </w:rPr>
        <w:t>（四）项目绩效目标设置。</w:t>
      </w:r>
      <w:r>
        <w:rPr>
          <w:rFonts w:eastAsia="仿宋_GB2312"/>
          <w:sz w:val="32"/>
          <w:szCs w:val="32"/>
          <w:lang w:val="zh-CN"/>
        </w:rPr>
        <w:t>该项目绩效目标分为产出指标（细化为数量、质量、时效指标）、效益指标（细化为经济效益和生态效益指标）、成本指标及满意度指标。兑现</w:t>
      </w:r>
      <w:r>
        <w:rPr>
          <w:rFonts w:hint="eastAsia" w:eastAsia="仿宋_GB2312"/>
          <w:sz w:val="32"/>
          <w:szCs w:val="32"/>
        </w:rPr>
        <w:t>2</w:t>
      </w:r>
      <w:r>
        <w:rPr>
          <w:rFonts w:eastAsia="仿宋_GB2312"/>
          <w:sz w:val="32"/>
          <w:szCs w:val="32"/>
        </w:rPr>
        <w:t>家有机获证企业</w:t>
      </w:r>
      <w:r>
        <w:rPr>
          <w:rFonts w:eastAsia="仿宋_GB2312"/>
          <w:sz w:val="32"/>
          <w:szCs w:val="32"/>
          <w:lang w:val="zh-CN"/>
        </w:rPr>
        <w:t>202</w:t>
      </w:r>
      <w:r>
        <w:rPr>
          <w:rFonts w:hint="eastAsia" w:eastAsia="仿宋_GB2312"/>
          <w:sz w:val="32"/>
          <w:szCs w:val="32"/>
        </w:rPr>
        <w:t>2</w:t>
      </w:r>
      <w:r>
        <w:rPr>
          <w:rFonts w:eastAsia="仿宋_GB2312"/>
          <w:sz w:val="32"/>
          <w:szCs w:val="32"/>
          <w:lang w:val="zh-CN"/>
        </w:rPr>
        <w:t>-202</w:t>
      </w:r>
      <w:r>
        <w:rPr>
          <w:rFonts w:hint="eastAsia" w:eastAsia="仿宋_GB2312"/>
          <w:sz w:val="32"/>
          <w:szCs w:val="32"/>
        </w:rPr>
        <w:t>3</w:t>
      </w:r>
      <w:r>
        <w:rPr>
          <w:rFonts w:eastAsia="仿宋_GB2312"/>
          <w:sz w:val="32"/>
          <w:szCs w:val="32"/>
          <w:lang w:val="zh-CN"/>
        </w:rPr>
        <w:t>年奖补</w:t>
      </w:r>
      <w:r>
        <w:rPr>
          <w:rFonts w:hint="eastAsia" w:eastAsia="仿宋_GB2312"/>
          <w:sz w:val="32"/>
          <w:szCs w:val="32"/>
        </w:rPr>
        <w:t>4.8</w:t>
      </w:r>
      <w:r>
        <w:rPr>
          <w:rFonts w:eastAsia="仿宋_GB2312"/>
          <w:sz w:val="32"/>
          <w:szCs w:val="32"/>
          <w:lang w:val="zh-CN"/>
        </w:rPr>
        <w:t>万元，完成任务数的100%。</w:t>
      </w:r>
    </w:p>
    <w:p>
      <w:pPr>
        <w:adjustRightInd w:val="0"/>
        <w:snapToGrid w:val="0"/>
        <w:spacing w:line="578" w:lineRule="exact"/>
        <w:ind w:firstLine="640" w:firstLineChars="200"/>
        <w:rPr>
          <w:rFonts w:eastAsia="黑体"/>
          <w:sz w:val="32"/>
          <w:szCs w:val="32"/>
        </w:rPr>
      </w:pPr>
      <w:r>
        <w:rPr>
          <w:rFonts w:hint="eastAsia" w:eastAsia="黑体"/>
          <w:sz w:val="32"/>
          <w:szCs w:val="32"/>
        </w:rPr>
        <w:t>二、评价实施</w:t>
      </w:r>
    </w:p>
    <w:p>
      <w:pPr>
        <w:ind w:firstLine="643" w:firstLineChars="200"/>
        <w:rPr>
          <w:rFonts w:eastAsia="仿宋_GB2312"/>
          <w:sz w:val="32"/>
          <w:szCs w:val="32"/>
        </w:rPr>
      </w:pPr>
      <w:r>
        <w:rPr>
          <w:rFonts w:hint="eastAsia" w:eastAsia="楷体_GB2312"/>
          <w:b/>
          <w:sz w:val="32"/>
          <w:szCs w:val="32"/>
          <w:lang w:val="zh-CN"/>
        </w:rPr>
        <w:t>（一）评价目的。</w:t>
      </w:r>
      <w:r>
        <w:rPr>
          <w:rFonts w:eastAsia="仿宋_GB2312"/>
          <w:sz w:val="32"/>
          <w:szCs w:val="32"/>
          <w:lang w:val="zh-CN"/>
        </w:rPr>
        <w:t>促进全县有机产品认证示范区持续健康发展，助力</w:t>
      </w:r>
      <w:r>
        <w:rPr>
          <w:rFonts w:eastAsia="仿宋_GB2312"/>
          <w:sz w:val="32"/>
          <w:szCs w:val="32"/>
        </w:rPr>
        <w:t>202</w:t>
      </w:r>
      <w:r>
        <w:rPr>
          <w:rFonts w:hint="eastAsia" w:eastAsia="仿宋_GB2312"/>
          <w:sz w:val="32"/>
          <w:szCs w:val="32"/>
        </w:rPr>
        <w:t>4</w:t>
      </w:r>
      <w:r>
        <w:rPr>
          <w:rFonts w:eastAsia="仿宋_GB2312"/>
          <w:sz w:val="32"/>
          <w:szCs w:val="32"/>
        </w:rPr>
        <w:t>年有机认证</w:t>
      </w:r>
      <w:r>
        <w:rPr>
          <w:rFonts w:hint="eastAsia" w:eastAsia="仿宋_GB2312"/>
          <w:sz w:val="32"/>
          <w:szCs w:val="32"/>
        </w:rPr>
        <w:t>企业有增加、产品质量有提升。</w:t>
      </w:r>
    </w:p>
    <w:p>
      <w:pPr>
        <w:ind w:firstLine="643" w:firstLineChars="200"/>
        <w:rPr>
          <w:rFonts w:eastAsia="仿宋_GB2312" w:cs="仿宋_GB2312"/>
          <w:kern w:val="0"/>
          <w:sz w:val="32"/>
          <w:szCs w:val="32"/>
          <w:lang w:val="zh-CN"/>
        </w:rPr>
      </w:pPr>
      <w:r>
        <w:rPr>
          <w:rFonts w:hint="eastAsia" w:eastAsia="楷体_GB2312"/>
          <w:b/>
          <w:sz w:val="32"/>
          <w:szCs w:val="32"/>
          <w:lang w:val="zh-CN"/>
        </w:rPr>
        <w:t>（二）预设问题及评价重点。</w:t>
      </w:r>
      <w:r>
        <w:rPr>
          <w:rFonts w:eastAsia="仿宋_GB2312"/>
          <w:sz w:val="32"/>
          <w:szCs w:val="32"/>
          <w:lang w:val="zh-CN"/>
        </w:rPr>
        <w:t>重点在于项目申报内容与具体实施内容相符、申报目标合理可行。</w:t>
      </w:r>
    </w:p>
    <w:p>
      <w:pPr>
        <w:ind w:firstLine="643" w:firstLineChars="200"/>
        <w:rPr>
          <w:rFonts w:eastAsia="楷体_GB2312"/>
          <w:b/>
          <w:sz w:val="32"/>
          <w:szCs w:val="32"/>
          <w:lang w:val="zh-CN"/>
        </w:rPr>
      </w:pPr>
      <w:r>
        <w:rPr>
          <w:rFonts w:hint="eastAsia" w:eastAsia="楷体_GB2312"/>
          <w:b/>
          <w:sz w:val="32"/>
          <w:szCs w:val="32"/>
          <w:lang w:val="zh-CN"/>
        </w:rPr>
        <w:t>（三）评价选点。</w:t>
      </w:r>
      <w:r>
        <w:rPr>
          <w:rFonts w:eastAsia="仿宋_GB2312"/>
          <w:sz w:val="32"/>
          <w:szCs w:val="32"/>
          <w:lang w:val="zh-CN"/>
        </w:rPr>
        <w:t>该项目支出</w:t>
      </w:r>
      <w:r>
        <w:rPr>
          <w:rFonts w:hint="eastAsia" w:eastAsia="仿宋_GB2312"/>
          <w:sz w:val="32"/>
          <w:szCs w:val="32"/>
        </w:rPr>
        <w:t>4.8万</w:t>
      </w:r>
      <w:r>
        <w:rPr>
          <w:rFonts w:eastAsia="仿宋_GB2312"/>
          <w:sz w:val="32"/>
          <w:szCs w:val="32"/>
          <w:lang w:val="zh-CN"/>
        </w:rPr>
        <w:t>元，支付进度100%。</w:t>
      </w:r>
    </w:p>
    <w:p>
      <w:pPr>
        <w:ind w:firstLine="643" w:firstLineChars="200"/>
        <w:rPr>
          <w:rFonts w:eastAsia="仿宋_GB2312"/>
          <w:sz w:val="32"/>
          <w:szCs w:val="32"/>
          <w:lang w:val="zh-CN"/>
        </w:rPr>
      </w:pPr>
      <w:r>
        <w:rPr>
          <w:rFonts w:hint="eastAsia" w:eastAsia="楷体_GB2312"/>
          <w:b/>
          <w:sz w:val="32"/>
          <w:szCs w:val="32"/>
          <w:lang w:val="zh-CN"/>
        </w:rPr>
        <w:t>（四）评价方法。</w:t>
      </w:r>
      <w:r>
        <w:rPr>
          <w:rFonts w:eastAsia="仿宋_GB2312"/>
          <w:sz w:val="32"/>
          <w:szCs w:val="32"/>
          <w:lang w:val="zh-CN"/>
        </w:rPr>
        <w:t>根据项目情况和评价重点，采用单位自评法。</w:t>
      </w:r>
    </w:p>
    <w:p>
      <w:pPr>
        <w:ind w:firstLine="643" w:firstLineChars="200"/>
        <w:rPr>
          <w:rFonts w:eastAsia="仿宋_GB2312"/>
          <w:sz w:val="32"/>
          <w:szCs w:val="32"/>
          <w:lang w:val="zh-CN"/>
        </w:rPr>
      </w:pPr>
      <w:r>
        <w:rPr>
          <w:rFonts w:hint="eastAsia" w:eastAsia="楷体_GB2312"/>
          <w:b/>
          <w:sz w:val="32"/>
          <w:szCs w:val="32"/>
          <w:lang w:val="zh-CN"/>
        </w:rPr>
        <w:t>（五）评价组织。</w:t>
      </w:r>
      <w:r>
        <w:rPr>
          <w:rFonts w:eastAsia="仿宋_GB2312"/>
          <w:sz w:val="32"/>
          <w:szCs w:val="32"/>
          <w:lang w:val="zh-CN"/>
        </w:rPr>
        <w:t>盐边县市场监督管理局质量发展与认证认可股工作人员二人。</w:t>
      </w:r>
    </w:p>
    <w:p>
      <w:pPr>
        <w:adjustRightInd w:val="0"/>
        <w:snapToGrid w:val="0"/>
        <w:spacing w:line="578" w:lineRule="exact"/>
        <w:ind w:firstLine="640" w:firstLineChars="200"/>
        <w:rPr>
          <w:rFonts w:hint="eastAsia" w:eastAsia="黑体"/>
          <w:sz w:val="32"/>
          <w:szCs w:val="32"/>
          <w:lang w:eastAsia="zh-CN"/>
        </w:rPr>
      </w:pPr>
      <w:r>
        <w:rPr>
          <w:rFonts w:hint="eastAsia" w:eastAsia="黑体"/>
          <w:sz w:val="32"/>
          <w:szCs w:val="32"/>
          <w:lang w:eastAsia="zh-CN"/>
        </w:rPr>
        <w:t>三</w:t>
      </w:r>
      <w:r>
        <w:rPr>
          <w:rFonts w:hint="eastAsia" w:eastAsia="黑体"/>
          <w:sz w:val="32"/>
          <w:szCs w:val="32"/>
        </w:rPr>
        <w:t>、</w:t>
      </w:r>
      <w:r>
        <w:rPr>
          <w:rFonts w:hint="eastAsia" w:eastAsia="黑体"/>
          <w:sz w:val="32"/>
          <w:szCs w:val="32"/>
          <w:lang w:eastAsia="zh-CN"/>
        </w:rPr>
        <w:t>绩效分析</w:t>
      </w:r>
    </w:p>
    <w:p>
      <w:pPr>
        <w:spacing w:line="578" w:lineRule="exact"/>
        <w:ind w:firstLine="640"/>
        <w:rPr>
          <w:rFonts w:eastAsia="楷体_GB2312"/>
          <w:b/>
          <w:sz w:val="32"/>
          <w:szCs w:val="32"/>
        </w:rPr>
      </w:pPr>
      <w:r>
        <w:rPr>
          <w:rFonts w:hint="eastAsia" w:eastAsia="楷体_GB2312"/>
          <w:b/>
          <w:sz w:val="32"/>
          <w:szCs w:val="32"/>
          <w:lang w:val="zh-CN"/>
        </w:rPr>
        <w:t>（一）</w:t>
      </w:r>
      <w:r>
        <w:rPr>
          <w:rFonts w:hint="eastAsia" w:eastAsia="楷体_GB2312"/>
          <w:b/>
          <w:sz w:val="32"/>
          <w:szCs w:val="32"/>
        </w:rPr>
        <w:t>通用指标</w:t>
      </w:r>
      <w:r>
        <w:rPr>
          <w:rFonts w:eastAsia="楷体_GB2312"/>
          <w:b/>
          <w:bCs/>
          <w:color w:val="000000"/>
          <w:kern w:val="0"/>
          <w:sz w:val="32"/>
          <w:szCs w:val="32"/>
          <w:shd w:val="clear" w:color="auto" w:fill="FFFFFF"/>
          <w:lang w:val="zh-CN"/>
        </w:rPr>
        <w:t>绩效分析。</w:t>
      </w:r>
    </w:p>
    <w:p>
      <w:pPr>
        <w:ind w:firstLine="640" w:firstLineChars="200"/>
        <w:rPr>
          <w:rFonts w:eastAsia="仿宋_GB2312"/>
          <w:sz w:val="32"/>
          <w:szCs w:val="32"/>
          <w:lang w:val="zh-CN"/>
        </w:rPr>
      </w:pPr>
      <w:r>
        <w:rPr>
          <w:rFonts w:hint="eastAsia" w:eastAsia="仿宋_GB2312" w:cs="仿宋_GB2312"/>
          <w:kern w:val="0"/>
          <w:sz w:val="32"/>
          <w:szCs w:val="32"/>
        </w:rPr>
        <w:t>1.</w:t>
      </w:r>
      <w:r>
        <w:rPr>
          <w:rFonts w:hint="eastAsia" w:eastAsia="仿宋_GB2312" w:cs="仿宋_GB2312"/>
          <w:kern w:val="0"/>
          <w:sz w:val="32"/>
          <w:szCs w:val="32"/>
          <w:lang w:val="zh-CN"/>
        </w:rPr>
        <w:t>项目决策。</w:t>
      </w:r>
      <w:r>
        <w:rPr>
          <w:rFonts w:eastAsia="仿宋_GB2312"/>
          <w:sz w:val="32"/>
          <w:szCs w:val="32"/>
          <w:lang w:val="zh-CN"/>
        </w:rPr>
        <w:t>依据《</w:t>
      </w:r>
      <w:r>
        <w:rPr>
          <w:rFonts w:eastAsia="仿宋_GB2312"/>
          <w:sz w:val="32"/>
          <w:szCs w:val="32"/>
        </w:rPr>
        <w:t>盐边县人民政府关于申请创建“四川省有机产品认证示范区”的请示</w:t>
      </w:r>
      <w:r>
        <w:rPr>
          <w:rFonts w:eastAsia="楷体_GB2312"/>
          <w:sz w:val="32"/>
          <w:szCs w:val="32"/>
          <w:lang w:val="zh-CN"/>
        </w:rPr>
        <w:t>》</w:t>
      </w:r>
      <w:r>
        <w:rPr>
          <w:rFonts w:eastAsia="仿宋_GB2312"/>
          <w:sz w:val="32"/>
          <w:szCs w:val="32"/>
        </w:rPr>
        <w:t>（盐边〔2018〕46号）</w:t>
      </w:r>
      <w:r>
        <w:rPr>
          <w:rFonts w:hint="eastAsia" w:eastAsia="仿宋_GB2312"/>
          <w:sz w:val="32"/>
          <w:szCs w:val="32"/>
          <w:lang w:eastAsia="zh-CN"/>
        </w:rPr>
        <w:t>，</w:t>
      </w:r>
      <w:r>
        <w:rPr>
          <w:rFonts w:eastAsia="仿宋_GB2312"/>
          <w:sz w:val="32"/>
          <w:szCs w:val="32"/>
        </w:rPr>
        <w:t>全面启动有机产品认证示范区创建工作。</w:t>
      </w:r>
      <w:r>
        <w:rPr>
          <w:rFonts w:eastAsia="仿宋_GB2312"/>
          <w:sz w:val="32"/>
          <w:szCs w:val="32"/>
          <w:lang w:val="zh-CN"/>
        </w:rPr>
        <w:t>项目立项依据充分，决策程序规范，符合相关政策法规要求，</w:t>
      </w:r>
      <w:r>
        <w:rPr>
          <w:rFonts w:eastAsia="仿宋_GB2312"/>
          <w:sz w:val="32"/>
          <w:szCs w:val="32"/>
        </w:rPr>
        <w:t>确保</w:t>
      </w:r>
      <w:r>
        <w:rPr>
          <w:rFonts w:eastAsia="仿宋_GB2312"/>
          <w:sz w:val="32"/>
          <w:szCs w:val="32"/>
          <w:lang w:val="zh-CN"/>
        </w:rPr>
        <w:t>项目申报内容与具体实施内容相符、申报目标合理可行。</w:t>
      </w:r>
    </w:p>
    <w:p>
      <w:pPr>
        <w:ind w:firstLine="640" w:firstLineChars="200"/>
        <w:rPr>
          <w:rFonts w:eastAsia="仿宋_GB2312"/>
          <w:sz w:val="32"/>
          <w:szCs w:val="32"/>
          <w:lang w:val="zh-CN"/>
        </w:rPr>
      </w:pPr>
      <w:r>
        <w:rPr>
          <w:rFonts w:hint="eastAsia" w:eastAsia="仿宋_GB2312" w:cs="仿宋_GB2312"/>
          <w:kern w:val="0"/>
          <w:sz w:val="32"/>
          <w:szCs w:val="32"/>
        </w:rPr>
        <w:t>2.</w:t>
      </w:r>
      <w:r>
        <w:rPr>
          <w:rFonts w:hint="eastAsia" w:eastAsia="仿宋_GB2312" w:cs="仿宋_GB2312"/>
          <w:kern w:val="0"/>
          <w:sz w:val="32"/>
          <w:szCs w:val="32"/>
          <w:lang w:val="zh-CN"/>
        </w:rPr>
        <w:t>项目管理。</w:t>
      </w:r>
      <w:r>
        <w:rPr>
          <w:rFonts w:eastAsia="仿宋_GB2312"/>
          <w:sz w:val="32"/>
          <w:szCs w:val="32"/>
          <w:lang w:val="zh-CN"/>
        </w:rPr>
        <w:t>我单位财务设置在办公室，严格按照相关财务管理制度，对项目资金的申请、拨付、管理和使用严格按专项资金管理要求执行，专项资金严格按照“统筹兼顾、突出重点、促进发展、注重绩效”的原则进行分配和使用，各项制度执行落实较好，资金使用安全规范，未发现截留、挪用、挤占、虚列资金等现象。</w:t>
      </w:r>
    </w:p>
    <w:p>
      <w:pPr>
        <w:ind w:firstLine="640" w:firstLineChars="200"/>
        <w:outlineLvl w:val="3"/>
        <w:rPr>
          <w:rFonts w:eastAsia="仿宋_GB2312" w:cs="仿宋_GB2312"/>
          <w:kern w:val="0"/>
          <w:sz w:val="32"/>
          <w:szCs w:val="32"/>
          <w:lang w:val="zh-CN"/>
        </w:rPr>
      </w:pPr>
      <w:r>
        <w:rPr>
          <w:rFonts w:hint="eastAsia" w:eastAsia="仿宋_GB2312" w:cs="仿宋_GB2312"/>
          <w:kern w:val="0"/>
          <w:sz w:val="32"/>
          <w:szCs w:val="32"/>
        </w:rPr>
        <w:t>3.项目实施。</w:t>
      </w:r>
      <w:r>
        <w:rPr>
          <w:rFonts w:eastAsia="仿宋_GB2312"/>
          <w:sz w:val="32"/>
          <w:szCs w:val="32"/>
          <w:lang w:val="zh-CN"/>
        </w:rPr>
        <w:t>有机获证企业奖补资金兑付</w:t>
      </w:r>
      <w:r>
        <w:rPr>
          <w:rFonts w:eastAsia="仿宋_GB2312"/>
          <w:sz w:val="32"/>
          <w:szCs w:val="32"/>
        </w:rPr>
        <w:t>100%</w:t>
      </w:r>
      <w:r>
        <w:rPr>
          <w:rFonts w:eastAsia="仿宋_GB2312"/>
          <w:sz w:val="32"/>
          <w:szCs w:val="32"/>
          <w:lang w:val="zh-CN"/>
        </w:rPr>
        <w:t>。</w:t>
      </w:r>
    </w:p>
    <w:p>
      <w:pPr>
        <w:spacing w:line="578" w:lineRule="exact"/>
        <w:ind w:firstLine="640"/>
        <w:rPr>
          <w:rFonts w:eastAsia="仿宋_GB2312"/>
          <w:sz w:val="32"/>
          <w:szCs w:val="32"/>
          <w:lang w:val="zh-CN"/>
        </w:rPr>
      </w:pPr>
      <w:r>
        <w:rPr>
          <w:rFonts w:hint="eastAsia" w:eastAsia="仿宋_GB2312" w:cs="仿宋_GB2312"/>
          <w:kern w:val="0"/>
          <w:sz w:val="32"/>
          <w:szCs w:val="32"/>
        </w:rPr>
        <w:t>4.项目结果。</w:t>
      </w:r>
      <w:r>
        <w:rPr>
          <w:rFonts w:eastAsia="仿宋_GB2312"/>
          <w:sz w:val="32"/>
          <w:szCs w:val="32"/>
          <w:lang w:val="zh-CN"/>
        </w:rPr>
        <w:t>项目按《</w:t>
      </w:r>
      <w:r>
        <w:rPr>
          <w:rFonts w:eastAsia="仿宋_GB2312"/>
          <w:sz w:val="32"/>
          <w:szCs w:val="32"/>
        </w:rPr>
        <w:t>盐边县区域公共品牌（两品一标）培育奖励办法</w:t>
      </w:r>
      <w:r>
        <w:rPr>
          <w:rFonts w:eastAsia="仿宋_GB2312"/>
          <w:sz w:val="32"/>
          <w:szCs w:val="32"/>
          <w:lang w:val="zh-CN"/>
        </w:rPr>
        <w:t>》</w:t>
      </w:r>
      <w:r>
        <w:rPr>
          <w:rFonts w:eastAsia="仿宋_GB2312"/>
          <w:sz w:val="32"/>
          <w:szCs w:val="32"/>
        </w:rPr>
        <w:t>100%</w:t>
      </w:r>
      <w:r>
        <w:rPr>
          <w:rFonts w:eastAsia="仿宋_GB2312"/>
          <w:sz w:val="32"/>
          <w:szCs w:val="32"/>
          <w:lang w:val="zh-CN"/>
        </w:rPr>
        <w:t>完成。</w:t>
      </w:r>
    </w:p>
    <w:p>
      <w:pPr>
        <w:spacing w:line="578" w:lineRule="exact"/>
        <w:ind w:firstLine="640"/>
        <w:rPr>
          <w:rFonts w:eastAsia="楷体_GB2312"/>
          <w:b/>
          <w:bCs/>
          <w:color w:val="000000"/>
          <w:kern w:val="0"/>
          <w:sz w:val="32"/>
          <w:szCs w:val="32"/>
          <w:shd w:val="clear" w:color="auto" w:fill="FFFFFF"/>
          <w:lang w:val="zh-CN"/>
        </w:rPr>
      </w:pPr>
      <w:r>
        <w:rPr>
          <w:rFonts w:hint="eastAsia" w:eastAsia="楷体_GB2312"/>
          <w:b/>
          <w:sz w:val="32"/>
          <w:szCs w:val="32"/>
          <w:lang w:val="zh-CN"/>
        </w:rPr>
        <w:t>（二）</w:t>
      </w:r>
      <w:r>
        <w:rPr>
          <w:rFonts w:hint="eastAsia" w:eastAsia="楷体_GB2312"/>
          <w:b/>
          <w:sz w:val="32"/>
          <w:szCs w:val="32"/>
        </w:rPr>
        <w:t>专用指标</w:t>
      </w:r>
      <w:r>
        <w:rPr>
          <w:rFonts w:eastAsia="楷体_GB2312"/>
          <w:b/>
          <w:bCs/>
          <w:color w:val="000000"/>
          <w:kern w:val="0"/>
          <w:sz w:val="32"/>
          <w:szCs w:val="32"/>
          <w:shd w:val="clear" w:color="auto" w:fill="FFFFFF"/>
          <w:lang w:val="zh-CN"/>
        </w:rPr>
        <w:t>绩效分析。</w:t>
      </w:r>
    </w:p>
    <w:p>
      <w:pPr>
        <w:ind w:firstLine="640" w:firstLineChars="200"/>
        <w:rPr>
          <w:rFonts w:eastAsia="仿宋_GB2312"/>
          <w:sz w:val="32"/>
          <w:szCs w:val="32"/>
          <w:lang w:val="zh-CN"/>
        </w:rPr>
      </w:pPr>
      <w:r>
        <w:rPr>
          <w:rFonts w:hint="eastAsia" w:eastAsia="仿宋_GB2312" w:cs="仿宋_GB2312"/>
          <w:kern w:val="0"/>
          <w:sz w:val="32"/>
          <w:szCs w:val="32"/>
        </w:rPr>
        <w:t>1.产业发展。</w:t>
      </w:r>
      <w:r>
        <w:rPr>
          <w:rFonts w:eastAsia="仿宋_GB2312"/>
          <w:sz w:val="32"/>
          <w:szCs w:val="32"/>
          <w:lang w:val="zh-CN"/>
        </w:rPr>
        <w:t>提高有机认证企业积极性，有机产业蓬勃发展，有机产品品质得到提升。</w:t>
      </w:r>
    </w:p>
    <w:p>
      <w:pPr>
        <w:ind w:firstLine="640" w:firstLineChars="200"/>
        <w:rPr>
          <w:rFonts w:eastAsia="仿宋_GB2312"/>
          <w:sz w:val="32"/>
          <w:szCs w:val="32"/>
        </w:rPr>
      </w:pPr>
      <w:r>
        <w:rPr>
          <w:rFonts w:hint="eastAsia" w:eastAsia="仿宋_GB2312" w:cs="仿宋_GB2312"/>
          <w:kern w:val="0"/>
          <w:sz w:val="32"/>
          <w:szCs w:val="32"/>
        </w:rPr>
        <w:t>2.</w:t>
      </w:r>
      <w:r>
        <w:rPr>
          <w:rFonts w:hint="eastAsia" w:eastAsia="仿宋_GB2312" w:cs="仿宋_GB2312"/>
          <w:kern w:val="0"/>
          <w:sz w:val="32"/>
          <w:szCs w:val="32"/>
          <w:lang w:val="zh-CN"/>
        </w:rPr>
        <w:t>民生保障。</w:t>
      </w:r>
      <w:r>
        <w:rPr>
          <w:rFonts w:eastAsia="仿宋_GB2312"/>
          <w:sz w:val="32"/>
          <w:szCs w:val="32"/>
          <w:lang w:val="zh-CN"/>
        </w:rPr>
        <w:t>有机产业发展，带动农产品提档升级，解决剩余劳动力就业，群众对有机产品认证工作满意度进一步提升。</w:t>
      </w:r>
    </w:p>
    <w:p>
      <w:pPr>
        <w:spacing w:line="578" w:lineRule="exact"/>
        <w:ind w:firstLine="640"/>
        <w:rPr>
          <w:rFonts w:eastAsia="仿宋_GB2312"/>
          <w:sz w:val="32"/>
          <w:szCs w:val="32"/>
          <w:lang w:val="zh-CN"/>
        </w:rPr>
      </w:pPr>
      <w:r>
        <w:rPr>
          <w:rFonts w:hint="eastAsia" w:eastAsia="仿宋_GB2312" w:cs="仿宋_GB2312"/>
          <w:kern w:val="0"/>
          <w:sz w:val="32"/>
          <w:szCs w:val="32"/>
        </w:rPr>
        <w:t>3.基础设施。</w:t>
      </w:r>
      <w:r>
        <w:rPr>
          <w:rFonts w:eastAsia="仿宋_GB2312"/>
          <w:sz w:val="32"/>
          <w:szCs w:val="32"/>
          <w:lang w:val="zh-CN"/>
        </w:rPr>
        <w:t>项目按预期目标完成，完成情况良好。</w:t>
      </w:r>
    </w:p>
    <w:p>
      <w:pPr>
        <w:keepNext w:val="0"/>
        <w:keepLines w:val="0"/>
        <w:pageBreakBefore w:val="0"/>
        <w:widowControl w:val="0"/>
        <w:kinsoku/>
        <w:wordWrap/>
        <w:overflowPunct/>
        <w:topLinePunct w:val="0"/>
        <w:autoSpaceDE/>
        <w:autoSpaceDN/>
        <w:bidi w:val="0"/>
        <w:adjustRightInd/>
        <w:snapToGrid/>
        <w:spacing w:line="578" w:lineRule="exact"/>
        <w:ind w:firstLine="641"/>
        <w:textAlignment w:val="auto"/>
        <w:rPr>
          <w:rFonts w:eastAsia="仿宋_GB2312"/>
          <w:sz w:val="32"/>
          <w:szCs w:val="32"/>
          <w:lang w:val="zh-CN"/>
        </w:rPr>
      </w:pPr>
      <w:r>
        <w:rPr>
          <w:rFonts w:hint="eastAsia" w:eastAsia="仿宋_GB2312" w:cs="仿宋_GB2312"/>
          <w:kern w:val="0"/>
          <w:sz w:val="32"/>
          <w:szCs w:val="32"/>
        </w:rPr>
        <w:t>4.</w:t>
      </w:r>
      <w:r>
        <w:rPr>
          <w:rFonts w:hint="eastAsia" w:eastAsia="仿宋_GB2312" w:cs="仿宋_GB2312"/>
          <w:kern w:val="0"/>
          <w:sz w:val="32"/>
          <w:szCs w:val="32"/>
          <w:lang w:val="zh-CN"/>
        </w:rPr>
        <w:t>行政运转。</w:t>
      </w:r>
      <w:r>
        <w:rPr>
          <w:rFonts w:eastAsia="仿宋_GB2312"/>
          <w:sz w:val="32"/>
          <w:szCs w:val="32"/>
          <w:lang w:val="zh-CN"/>
        </w:rPr>
        <w:t>严格按照相关财务管理制度，对项目资金的申请、拨付、管理和使用严格按专项资金管理要求执行，专项资金严格按照“统筹兼顾、突出重点、促进发展、注重绩效”的原则进行分配和使用，各项制度执行落实较好，资金使用安全规范，未发现截留、挪用、挤占、虚列资金等现象。</w:t>
      </w:r>
    </w:p>
    <w:p>
      <w:pPr>
        <w:keepNext w:val="0"/>
        <w:keepLines w:val="0"/>
        <w:pageBreakBefore w:val="0"/>
        <w:widowControl w:val="0"/>
        <w:kinsoku/>
        <w:wordWrap/>
        <w:overflowPunct/>
        <w:topLinePunct w:val="0"/>
        <w:autoSpaceDE/>
        <w:autoSpaceDN/>
        <w:bidi w:val="0"/>
        <w:adjustRightInd/>
        <w:snapToGrid/>
        <w:spacing w:line="578" w:lineRule="exact"/>
        <w:ind w:firstLine="641"/>
        <w:textAlignment w:val="auto"/>
        <w:rPr>
          <w:rFonts w:hint="eastAsia" w:eastAsia="楷体_GB2312"/>
          <w:b/>
          <w:sz w:val="32"/>
          <w:szCs w:val="32"/>
          <w:lang w:val="zh-CN"/>
        </w:rPr>
      </w:pPr>
      <w:r>
        <w:rPr>
          <w:rFonts w:hint="eastAsia" w:eastAsia="楷体_GB2312"/>
          <w:b/>
          <w:sz w:val="32"/>
          <w:szCs w:val="32"/>
          <w:lang w:val="zh-CN"/>
        </w:rPr>
        <w:t>（三）个性指标绩效分析。无</w:t>
      </w:r>
    </w:p>
    <w:p>
      <w:pPr>
        <w:spacing w:line="578" w:lineRule="exact"/>
        <w:ind w:firstLine="640"/>
        <w:rPr>
          <w:rFonts w:ascii="黑体" w:hAnsi="黑体" w:eastAsia="黑体" w:cs="黑体"/>
          <w:kern w:val="0"/>
          <w:sz w:val="32"/>
          <w:szCs w:val="32"/>
        </w:rPr>
      </w:pPr>
      <w:r>
        <w:rPr>
          <w:rFonts w:hint="eastAsia" w:ascii="黑体" w:hAnsi="黑体" w:eastAsia="黑体" w:cs="黑体"/>
          <w:kern w:val="0"/>
          <w:sz w:val="32"/>
          <w:szCs w:val="32"/>
        </w:rPr>
        <w:t>四、评价结论</w:t>
      </w:r>
    </w:p>
    <w:p>
      <w:pPr>
        <w:ind w:firstLine="640" w:firstLineChars="200"/>
        <w:rPr>
          <w:rFonts w:eastAsia="仿宋_GB2312"/>
          <w:sz w:val="32"/>
          <w:szCs w:val="32"/>
          <w:lang w:val="zh-CN"/>
        </w:rPr>
      </w:pPr>
      <w:r>
        <w:rPr>
          <w:rFonts w:eastAsia="仿宋_GB2312"/>
          <w:sz w:val="32"/>
          <w:szCs w:val="32"/>
          <w:lang w:val="zh-CN"/>
        </w:rPr>
        <w:t>该项目自评总分</w:t>
      </w:r>
      <w:r>
        <w:rPr>
          <w:rFonts w:hint="eastAsia" w:eastAsia="仿宋_GB2312"/>
          <w:sz w:val="32"/>
          <w:szCs w:val="32"/>
        </w:rPr>
        <w:t>100</w:t>
      </w:r>
      <w:r>
        <w:rPr>
          <w:rFonts w:eastAsia="仿宋_GB2312"/>
          <w:sz w:val="32"/>
          <w:szCs w:val="32"/>
        </w:rPr>
        <w:t>分。</w:t>
      </w:r>
      <w:r>
        <w:rPr>
          <w:rFonts w:eastAsia="仿宋_GB2312"/>
          <w:sz w:val="32"/>
          <w:szCs w:val="32"/>
          <w:lang w:val="zh-CN"/>
        </w:rPr>
        <w:t>一是生态效益较为显著。通过发展有机产业，有利于实现水利、道路综合配套，不使用化肥、农药、激素，生产出有机特色农产品，改善了人们生活质量，提高了植被和林木覆盖率，增强了水土保持能力，净化了空气，减少了水土流失和环境污染，改善了农业生产环境，促进生态环境的良性循环。二是社会效益不断凸显。通过有机产业基地的建设，改善了农业基础设施条件，增加了农民就业渠道，提高了劳动者科学文化水平，促进了农业增效、农民增收，营造了人与自然和谐发展的环境，解决了农村剩余劳动力问题，带动了包装、运销、农业观光旅游等相关产业的发展，其社会效益十分显著。三是经济效益逐步显现。创建工作实施以来，盐边县着力从有机产品的品牌创建、质量提升、新产品研发、产品宣传等方面着手，积极争取有机消费群体，进一步推进了盐边县有机产业深入发展。通过有机产品认证示范区创建工作的促进和推动作用，盐边县有机产业取得了比较明显的经济效益。</w:t>
      </w:r>
      <w:r>
        <w:rPr>
          <w:rFonts w:hint="eastAsia" w:eastAsia="仿宋_GB2312"/>
          <w:sz w:val="32"/>
          <w:szCs w:val="32"/>
        </w:rPr>
        <w:t>2024年全县获得有机产品认证企业4家，证书4张，产品5</w:t>
      </w:r>
      <w:r>
        <w:rPr>
          <w:rFonts w:hint="eastAsia" w:eastAsia="仿宋_GB2312"/>
          <w:sz w:val="32"/>
          <w:szCs w:val="32"/>
          <w:lang w:eastAsia="zh-Hans"/>
        </w:rPr>
        <w:t>个</w:t>
      </w:r>
      <w:r>
        <w:rPr>
          <w:rFonts w:hint="eastAsia" w:eastAsia="仿宋_GB2312"/>
          <w:sz w:val="32"/>
          <w:szCs w:val="32"/>
        </w:rPr>
        <w:t>（猕猴桃、</w:t>
      </w:r>
      <w:r>
        <w:rPr>
          <w:rFonts w:hint="eastAsia" w:eastAsia="仿宋_GB2312"/>
          <w:sz w:val="32"/>
          <w:szCs w:val="32"/>
          <w:lang w:eastAsia="zh-CN"/>
        </w:rPr>
        <w:t>桑葚</w:t>
      </w:r>
      <w:r>
        <w:rPr>
          <w:rFonts w:hint="eastAsia" w:eastAsia="仿宋_GB2312"/>
          <w:sz w:val="32"/>
          <w:szCs w:val="32"/>
        </w:rPr>
        <w:t>、脐橙、沃柑、鲜竹笋），有机认证面积115.83公顷；获得有机转换认证企业7家，证书7张，产品8个（</w:t>
      </w:r>
      <w:r>
        <w:rPr>
          <w:rFonts w:hint="eastAsia" w:eastAsia="仿宋_GB2312"/>
          <w:sz w:val="32"/>
          <w:szCs w:val="32"/>
          <w:lang w:eastAsia="zh-CN"/>
        </w:rPr>
        <w:t>桑葚</w:t>
      </w:r>
      <w:r>
        <w:rPr>
          <w:rFonts w:hint="eastAsia" w:eastAsia="仿宋_GB2312"/>
          <w:sz w:val="32"/>
          <w:szCs w:val="32"/>
        </w:rPr>
        <w:t>、核桃、青花椒、绵羊、紫花苜蓿、稻谷）有机转换企业认证面积：1856.62公顷，产值（含：转换）1520万元。</w:t>
      </w:r>
    </w:p>
    <w:p>
      <w:pPr>
        <w:spacing w:line="578" w:lineRule="exact"/>
        <w:ind w:firstLine="640"/>
        <w:rPr>
          <w:rFonts w:ascii="黑体" w:hAnsi="黑体" w:eastAsia="黑体" w:cs="黑体"/>
          <w:kern w:val="0"/>
          <w:sz w:val="32"/>
          <w:szCs w:val="32"/>
        </w:rPr>
      </w:pPr>
      <w:r>
        <w:rPr>
          <w:rFonts w:hint="eastAsia" w:ascii="黑体" w:hAnsi="黑体" w:eastAsia="黑体" w:cs="黑体"/>
          <w:kern w:val="0"/>
          <w:sz w:val="32"/>
          <w:szCs w:val="32"/>
        </w:rPr>
        <w:t>五、存在主要问题</w:t>
      </w:r>
    </w:p>
    <w:p>
      <w:pPr>
        <w:spacing w:line="578" w:lineRule="exact"/>
        <w:ind w:firstLine="640"/>
        <w:rPr>
          <w:rFonts w:eastAsia="仿宋_GB2312" w:cs="仿宋_GB2312"/>
          <w:kern w:val="0"/>
          <w:sz w:val="32"/>
          <w:szCs w:val="32"/>
        </w:rPr>
      </w:pPr>
      <w:r>
        <w:rPr>
          <w:rFonts w:hint="eastAsia" w:eastAsia="仿宋_GB2312" w:cs="仿宋_GB2312"/>
          <w:kern w:val="0"/>
          <w:sz w:val="32"/>
          <w:szCs w:val="32"/>
        </w:rPr>
        <w:t>有机奖补资金偏低，不利于农业企业参与有机产品认证的积极性，阻碍了有机产业健康发展。</w:t>
      </w:r>
    </w:p>
    <w:p>
      <w:pPr>
        <w:spacing w:line="578" w:lineRule="exact"/>
        <w:ind w:firstLine="640"/>
        <w:rPr>
          <w:rFonts w:ascii="黑体" w:hAnsi="黑体" w:eastAsia="黑体" w:cs="黑体"/>
          <w:kern w:val="0"/>
          <w:sz w:val="32"/>
          <w:szCs w:val="32"/>
          <w:lang w:val="zh-CN"/>
        </w:rPr>
      </w:pPr>
      <w:r>
        <w:rPr>
          <w:rFonts w:hint="eastAsia" w:ascii="黑体" w:hAnsi="黑体" w:eastAsia="黑体" w:cs="黑体"/>
          <w:kern w:val="0"/>
          <w:sz w:val="32"/>
          <w:szCs w:val="32"/>
          <w:lang w:val="zh-CN"/>
        </w:rPr>
        <w:t>六、改进建议</w:t>
      </w:r>
    </w:p>
    <w:p>
      <w:pPr>
        <w:spacing w:line="578" w:lineRule="exact"/>
        <w:ind w:firstLine="640"/>
        <w:rPr>
          <w:rFonts w:eastAsia="仿宋_GB2312" w:cs="仿宋_GB2312"/>
          <w:kern w:val="0"/>
          <w:sz w:val="32"/>
          <w:szCs w:val="32"/>
        </w:rPr>
      </w:pPr>
      <w:r>
        <w:rPr>
          <w:rFonts w:hint="eastAsia" w:eastAsia="仿宋_GB2312" w:cs="仿宋_GB2312"/>
          <w:kern w:val="0"/>
          <w:sz w:val="32"/>
          <w:szCs w:val="32"/>
        </w:rPr>
        <w:t>无。</w:t>
      </w:r>
    </w:p>
    <w:p>
      <w:pPr>
        <w:pStyle w:val="10"/>
        <w:rPr>
          <w:rFonts w:eastAsia="仿宋_GB2312" w:cs="仿宋_GB2312"/>
          <w:kern w:val="0"/>
          <w:sz w:val="32"/>
          <w:szCs w:val="32"/>
        </w:rPr>
      </w:pPr>
    </w:p>
    <w:p>
      <w:pPr>
        <w:pStyle w:val="10"/>
        <w:rPr>
          <w:rFonts w:eastAsia="仿宋_GB2312" w:cs="仿宋_GB2312"/>
          <w:kern w:val="0"/>
          <w:sz w:val="32"/>
          <w:szCs w:val="32"/>
        </w:rPr>
      </w:pPr>
    </w:p>
    <w:p>
      <w:pPr>
        <w:pStyle w:val="10"/>
        <w:rPr>
          <w:rFonts w:eastAsia="仿宋_GB2312" w:cs="仿宋_GB2312"/>
          <w:kern w:val="0"/>
          <w:sz w:val="32"/>
          <w:szCs w:val="32"/>
        </w:rPr>
      </w:pPr>
    </w:p>
    <w:p>
      <w:pPr>
        <w:pStyle w:val="10"/>
        <w:rPr>
          <w:rFonts w:eastAsia="仿宋_GB2312" w:cs="仿宋_GB2312"/>
          <w:kern w:val="0"/>
          <w:sz w:val="32"/>
          <w:szCs w:val="32"/>
        </w:rPr>
      </w:pPr>
    </w:p>
    <w:p>
      <w:pPr>
        <w:pStyle w:val="10"/>
        <w:rPr>
          <w:rFonts w:eastAsia="仿宋_GB2312" w:cs="仿宋_GB2312"/>
          <w:kern w:val="0"/>
          <w:sz w:val="32"/>
          <w:szCs w:val="32"/>
        </w:rPr>
      </w:pPr>
    </w:p>
    <w:p>
      <w:pPr>
        <w:pStyle w:val="10"/>
        <w:rPr>
          <w:rFonts w:eastAsia="仿宋_GB2312" w:cs="仿宋_GB2312"/>
          <w:kern w:val="0"/>
          <w:sz w:val="32"/>
          <w:szCs w:val="32"/>
        </w:rPr>
      </w:pPr>
    </w:p>
    <w:p>
      <w:pPr>
        <w:pStyle w:val="10"/>
        <w:rPr>
          <w:rFonts w:eastAsia="仿宋_GB2312" w:cs="仿宋_GB2312"/>
          <w:kern w:val="0"/>
          <w:sz w:val="32"/>
          <w:szCs w:val="32"/>
        </w:rPr>
      </w:pPr>
    </w:p>
    <w:p>
      <w:pPr>
        <w:pStyle w:val="10"/>
        <w:rPr>
          <w:rFonts w:eastAsia="仿宋_GB2312" w:cs="仿宋_GB2312"/>
          <w:kern w:val="0"/>
          <w:sz w:val="32"/>
          <w:szCs w:val="32"/>
        </w:rPr>
      </w:pPr>
    </w:p>
    <w:p>
      <w:pPr>
        <w:pStyle w:val="10"/>
        <w:rPr>
          <w:rFonts w:eastAsia="仿宋_GB2312" w:cs="仿宋_GB2312"/>
          <w:kern w:val="0"/>
          <w:sz w:val="32"/>
          <w:szCs w:val="32"/>
        </w:rPr>
      </w:pPr>
    </w:p>
    <w:p>
      <w:pPr>
        <w:pStyle w:val="10"/>
        <w:rPr>
          <w:rFonts w:eastAsia="仿宋_GB2312" w:cs="仿宋_GB2312"/>
          <w:kern w:val="0"/>
          <w:sz w:val="32"/>
          <w:szCs w:val="32"/>
        </w:rPr>
      </w:pPr>
    </w:p>
    <w:p>
      <w:pPr>
        <w:pStyle w:val="10"/>
        <w:rPr>
          <w:rFonts w:eastAsia="仿宋_GB2312" w:cs="仿宋_GB2312"/>
          <w:kern w:val="0"/>
          <w:sz w:val="32"/>
          <w:szCs w:val="32"/>
        </w:rPr>
      </w:pPr>
    </w:p>
    <w:p>
      <w:pPr>
        <w:pStyle w:val="10"/>
        <w:rPr>
          <w:rFonts w:eastAsia="仿宋_GB2312" w:cs="仿宋_GB2312"/>
          <w:kern w:val="0"/>
          <w:sz w:val="32"/>
          <w:szCs w:val="32"/>
        </w:rPr>
      </w:pPr>
    </w:p>
    <w:p>
      <w:pPr>
        <w:pStyle w:val="10"/>
        <w:rPr>
          <w:rFonts w:eastAsia="仿宋_GB2312" w:cs="仿宋_GB2312"/>
          <w:kern w:val="0"/>
          <w:sz w:val="32"/>
          <w:szCs w:val="32"/>
        </w:rPr>
      </w:pPr>
    </w:p>
    <w:p>
      <w:pPr>
        <w:pStyle w:val="10"/>
        <w:rPr>
          <w:rFonts w:eastAsia="仿宋_GB2312" w:cs="仿宋_GB2312"/>
          <w:kern w:val="0"/>
          <w:sz w:val="32"/>
          <w:szCs w:val="32"/>
        </w:rPr>
      </w:pPr>
    </w:p>
    <w:p>
      <w:pPr>
        <w:pStyle w:val="10"/>
        <w:rPr>
          <w:rFonts w:eastAsia="仿宋_GB2312" w:cs="仿宋_GB2312"/>
          <w:kern w:val="0"/>
          <w:sz w:val="32"/>
          <w:szCs w:val="32"/>
        </w:rPr>
      </w:pPr>
    </w:p>
    <w:p>
      <w:pPr>
        <w:pStyle w:val="10"/>
        <w:rPr>
          <w:rFonts w:eastAsia="仿宋_GB2312" w:cs="仿宋_GB2312"/>
          <w:kern w:val="0"/>
          <w:sz w:val="32"/>
          <w:szCs w:val="32"/>
        </w:rPr>
      </w:pPr>
    </w:p>
    <w:p>
      <w:pPr>
        <w:pStyle w:val="10"/>
        <w:rPr>
          <w:rFonts w:eastAsia="仿宋_GB2312" w:cs="仿宋_GB2312"/>
          <w:kern w:val="0"/>
          <w:sz w:val="32"/>
          <w:szCs w:val="32"/>
        </w:rPr>
      </w:pPr>
    </w:p>
    <w:p>
      <w:pPr>
        <w:pStyle w:val="10"/>
        <w:rPr>
          <w:rFonts w:eastAsia="仿宋_GB2312" w:cs="仿宋_GB2312"/>
          <w:kern w:val="0"/>
          <w:sz w:val="32"/>
          <w:szCs w:val="32"/>
        </w:rPr>
      </w:pPr>
    </w:p>
    <w:p>
      <w:pPr>
        <w:pStyle w:val="10"/>
        <w:rPr>
          <w:rFonts w:eastAsia="仿宋_GB2312" w:cs="仿宋_GB2312"/>
          <w:kern w:val="0"/>
          <w:sz w:val="32"/>
          <w:szCs w:val="32"/>
        </w:rPr>
      </w:pPr>
    </w:p>
    <w:p>
      <w:pPr>
        <w:pStyle w:val="10"/>
        <w:rPr>
          <w:rFonts w:eastAsia="仿宋_GB2312" w:cs="仿宋_GB2312"/>
          <w:kern w:val="0"/>
          <w:sz w:val="32"/>
          <w:szCs w:val="32"/>
        </w:rPr>
      </w:pPr>
    </w:p>
    <w:p>
      <w:pPr>
        <w:pStyle w:val="10"/>
        <w:rPr>
          <w:rFonts w:eastAsia="仿宋_GB2312" w:cs="仿宋_GB2312"/>
          <w:kern w:val="0"/>
          <w:sz w:val="32"/>
          <w:szCs w:val="32"/>
        </w:rPr>
      </w:pPr>
    </w:p>
    <w:p>
      <w:pPr>
        <w:spacing w:line="0" w:lineRule="atLeast"/>
        <w:jc w:val="center"/>
        <w:rPr>
          <w:rFonts w:eastAsia="方正小标宋简体"/>
          <w:sz w:val="44"/>
          <w:szCs w:val="44"/>
        </w:rPr>
      </w:pPr>
      <w:r>
        <w:rPr>
          <w:rFonts w:eastAsia="方正小标宋简体"/>
          <w:sz w:val="44"/>
          <w:szCs w:val="44"/>
        </w:rPr>
        <w:t>重点产（商）品及地理标志产品监督抽检</w:t>
      </w:r>
    </w:p>
    <w:p>
      <w:pPr>
        <w:pStyle w:val="35"/>
        <w:spacing w:line="0" w:lineRule="atLeast"/>
        <w:jc w:val="center"/>
        <w:rPr>
          <w:rFonts w:ascii="Times New Roman" w:hAnsi="Times New Roman" w:eastAsia="方正小标宋简体" w:cs="方正小标宋简体"/>
          <w:color w:val="auto"/>
          <w:kern w:val="2"/>
          <w:sz w:val="44"/>
          <w:szCs w:val="44"/>
          <w:lang w:val="en-US"/>
        </w:rPr>
      </w:pPr>
      <w:r>
        <w:rPr>
          <w:rFonts w:ascii="Times New Roman" w:hAnsi="Times New Roman" w:eastAsia="方正小标宋简体"/>
          <w:sz w:val="44"/>
          <w:szCs w:val="44"/>
        </w:rPr>
        <w:t>专项预算项目绩效评价报告</w:t>
      </w:r>
    </w:p>
    <w:p>
      <w:pPr>
        <w:pStyle w:val="35"/>
        <w:spacing w:line="0" w:lineRule="atLeast"/>
        <w:jc w:val="center"/>
        <w:rPr>
          <w:rFonts w:ascii="Times New Roman" w:hAnsi="Times New Roman"/>
          <w:color w:val="auto"/>
          <w:kern w:val="2"/>
          <w:sz w:val="32"/>
          <w:szCs w:val="32"/>
        </w:rPr>
      </w:pPr>
    </w:p>
    <w:p>
      <w:pPr>
        <w:adjustRightInd w:val="0"/>
        <w:snapToGrid w:val="0"/>
        <w:spacing w:line="578" w:lineRule="exact"/>
        <w:ind w:firstLine="640" w:firstLineChars="200"/>
        <w:rPr>
          <w:rFonts w:eastAsia="黑体"/>
          <w:sz w:val="32"/>
          <w:szCs w:val="32"/>
          <w:lang w:val="zh-CN"/>
        </w:rPr>
      </w:pPr>
      <w:r>
        <w:rPr>
          <w:rFonts w:hint="eastAsia" w:eastAsia="黑体"/>
          <w:sz w:val="32"/>
          <w:szCs w:val="32"/>
        </w:rPr>
        <w:t>一、</w:t>
      </w:r>
      <w:r>
        <w:rPr>
          <w:rFonts w:hint="eastAsia" w:eastAsia="黑体"/>
          <w:sz w:val="32"/>
          <w:szCs w:val="32"/>
          <w:lang w:val="zh-CN"/>
        </w:rPr>
        <w:t>项目概况</w:t>
      </w:r>
    </w:p>
    <w:p>
      <w:pPr>
        <w:widowControl/>
        <w:adjustRightInd w:val="0"/>
        <w:snapToGrid w:val="0"/>
        <w:spacing w:line="578" w:lineRule="exact"/>
        <w:ind w:firstLine="643" w:firstLineChars="200"/>
        <w:contextualSpacing/>
        <w:jc w:val="left"/>
        <w:rPr>
          <w:rFonts w:eastAsia="仿宋_GB2312" w:cs="仿宋_GB2312"/>
          <w:kern w:val="0"/>
          <w:sz w:val="32"/>
          <w:szCs w:val="32"/>
          <w:shd w:val="clear" w:color="auto" w:fill="FFFFFF"/>
          <w:lang w:val="zh-CN"/>
        </w:rPr>
      </w:pPr>
      <w:r>
        <w:rPr>
          <w:rFonts w:hint="eastAsia" w:eastAsia="楷体_GB2312"/>
          <w:b/>
          <w:sz w:val="32"/>
          <w:szCs w:val="32"/>
          <w:lang w:val="zh-CN"/>
        </w:rPr>
        <w:t>（一）设立背景及基本情况。</w:t>
      </w:r>
      <w:r>
        <w:rPr>
          <w:rFonts w:eastAsia="仿宋_GB2312"/>
          <w:sz w:val="32"/>
          <w:szCs w:val="32"/>
          <w:lang w:val="zh-CN"/>
        </w:rPr>
        <w:t>盐边</w:t>
      </w:r>
      <w:r>
        <w:rPr>
          <w:rFonts w:hint="eastAsia" w:eastAsia="仿宋_GB2312"/>
          <w:sz w:val="32"/>
          <w:szCs w:val="32"/>
          <w:lang w:val="zh-CN"/>
        </w:rPr>
        <w:t>县</w:t>
      </w:r>
      <w:r>
        <w:rPr>
          <w:rFonts w:eastAsia="仿宋_GB2312"/>
          <w:sz w:val="32"/>
          <w:szCs w:val="32"/>
          <w:lang w:val="zh-CN"/>
        </w:rPr>
        <w:t>市场监督管理局为认真贯彻落实国家总局、省局、市局和县委、县政府对产商品安全的严格要求。加强产品质量监管，保护消费者的合法权益，净化市场环境，质量保障体系更加完善，质量安全指标水平稳步提高；对地理标志产品的质量进行监督，提升地理标志产品的品质。</w:t>
      </w:r>
    </w:p>
    <w:p>
      <w:pPr>
        <w:adjustRightInd w:val="0"/>
        <w:snapToGrid w:val="0"/>
        <w:spacing w:line="578" w:lineRule="exact"/>
        <w:ind w:firstLine="643" w:firstLineChars="200"/>
        <w:rPr>
          <w:rFonts w:eastAsia="仿宋_GB2312" w:cs="仿宋_GB2312"/>
          <w:kern w:val="0"/>
          <w:sz w:val="32"/>
          <w:szCs w:val="32"/>
          <w:lang w:val="zh-CN"/>
        </w:rPr>
      </w:pPr>
      <w:r>
        <w:rPr>
          <w:rFonts w:hint="eastAsia" w:eastAsia="楷体_GB2312"/>
          <w:b/>
          <w:sz w:val="32"/>
          <w:szCs w:val="32"/>
          <w:lang w:val="zh-CN"/>
        </w:rPr>
        <w:t>（二）</w:t>
      </w:r>
      <w:r>
        <w:rPr>
          <w:rFonts w:eastAsia="楷体_GB2312"/>
          <w:b/>
          <w:sz w:val="32"/>
          <w:szCs w:val="32"/>
        </w:rPr>
        <w:t>实施目的及支持方向</w:t>
      </w:r>
      <w:r>
        <w:rPr>
          <w:rFonts w:hint="eastAsia" w:eastAsia="楷体_GB2312"/>
          <w:b/>
          <w:sz w:val="32"/>
          <w:szCs w:val="32"/>
        </w:rPr>
        <w:t>。</w:t>
      </w:r>
      <w:r>
        <w:rPr>
          <w:rFonts w:eastAsia="仿宋_GB2312"/>
          <w:sz w:val="32"/>
          <w:szCs w:val="32"/>
          <w:lang w:val="zh-CN"/>
        </w:rPr>
        <w:t>该项目旨在加强产品质量监管，保护消费者的合法权益，净化市场环境，完善质量保障体系，监督地理标志产品的质量，提升地理标志产品的品质。支持方向为对202</w:t>
      </w:r>
      <w:r>
        <w:rPr>
          <w:rFonts w:hint="eastAsia" w:eastAsia="仿宋_GB2312"/>
          <w:sz w:val="32"/>
          <w:szCs w:val="32"/>
        </w:rPr>
        <w:t>4</w:t>
      </w:r>
      <w:r>
        <w:rPr>
          <w:rFonts w:eastAsia="仿宋_GB2312"/>
          <w:sz w:val="32"/>
          <w:szCs w:val="32"/>
          <w:lang w:val="zh-CN"/>
        </w:rPr>
        <w:t>年部分重点工业产品进行监督抽查。</w:t>
      </w:r>
    </w:p>
    <w:p>
      <w:pPr>
        <w:widowControl/>
        <w:adjustRightInd w:val="0"/>
        <w:snapToGrid w:val="0"/>
        <w:spacing w:line="578" w:lineRule="exact"/>
        <w:ind w:firstLine="643" w:firstLineChars="200"/>
        <w:contextualSpacing/>
        <w:jc w:val="left"/>
        <w:rPr>
          <w:rFonts w:eastAsia="仿宋_GB2312" w:cs="仿宋_GB2312"/>
          <w:kern w:val="0"/>
          <w:sz w:val="32"/>
          <w:szCs w:val="32"/>
          <w:lang w:val="zh-CN"/>
        </w:rPr>
      </w:pPr>
      <w:r>
        <w:rPr>
          <w:rFonts w:hint="eastAsia" w:eastAsia="楷体_GB2312"/>
          <w:b/>
          <w:sz w:val="32"/>
          <w:szCs w:val="32"/>
          <w:lang w:val="zh-CN"/>
        </w:rPr>
        <w:t>（三）</w:t>
      </w:r>
      <w:r>
        <w:rPr>
          <w:rFonts w:eastAsia="楷体_GB2312"/>
          <w:b/>
          <w:sz w:val="32"/>
          <w:szCs w:val="32"/>
        </w:rPr>
        <w:t>预算安排及分配管理</w:t>
      </w:r>
      <w:r>
        <w:rPr>
          <w:rFonts w:hint="eastAsia" w:eastAsia="楷体_GB2312"/>
          <w:b/>
          <w:sz w:val="32"/>
          <w:szCs w:val="32"/>
          <w:lang w:val="zh-CN"/>
        </w:rPr>
        <w:t>。</w:t>
      </w:r>
      <w:r>
        <w:rPr>
          <w:rFonts w:eastAsia="仿宋_GB2312"/>
          <w:sz w:val="32"/>
          <w:szCs w:val="32"/>
          <w:lang w:val="zh-CN"/>
        </w:rPr>
        <w:t>202</w:t>
      </w:r>
      <w:r>
        <w:rPr>
          <w:rFonts w:hint="eastAsia" w:eastAsia="仿宋_GB2312"/>
          <w:sz w:val="32"/>
          <w:szCs w:val="32"/>
        </w:rPr>
        <w:t>4</w:t>
      </w:r>
      <w:r>
        <w:rPr>
          <w:rFonts w:eastAsia="仿宋_GB2312"/>
          <w:sz w:val="32"/>
          <w:szCs w:val="32"/>
          <w:lang w:val="zh-CN"/>
        </w:rPr>
        <w:t>年项目预算总资金为</w:t>
      </w:r>
      <w:r>
        <w:rPr>
          <w:rFonts w:hint="eastAsia" w:eastAsia="仿宋_GB2312"/>
          <w:sz w:val="32"/>
          <w:szCs w:val="32"/>
        </w:rPr>
        <w:t>12</w:t>
      </w:r>
      <w:r>
        <w:rPr>
          <w:rFonts w:eastAsia="仿宋_GB2312"/>
          <w:sz w:val="32"/>
          <w:szCs w:val="32"/>
          <w:lang w:val="zh-CN"/>
        </w:rPr>
        <w:t>万元，下达我单位工业产品抽检项目经费共计5万元。用于完成202</w:t>
      </w:r>
      <w:r>
        <w:rPr>
          <w:rFonts w:hint="eastAsia" w:eastAsia="仿宋_GB2312"/>
          <w:sz w:val="32"/>
          <w:szCs w:val="32"/>
        </w:rPr>
        <w:t>4</w:t>
      </w:r>
      <w:r>
        <w:rPr>
          <w:rFonts w:eastAsia="仿宋_GB2312"/>
          <w:sz w:val="32"/>
          <w:szCs w:val="32"/>
          <w:lang w:val="zh-CN"/>
        </w:rPr>
        <w:t>年度对县域行政区域内部分重点工业产品的监督抽查。</w:t>
      </w:r>
    </w:p>
    <w:p>
      <w:pPr>
        <w:adjustRightInd w:val="0"/>
        <w:snapToGrid w:val="0"/>
        <w:spacing w:line="578" w:lineRule="exact"/>
        <w:ind w:firstLine="643" w:firstLineChars="200"/>
        <w:rPr>
          <w:rFonts w:eastAsia="仿宋_GB2312" w:cs="仿宋_GB2312"/>
          <w:kern w:val="0"/>
          <w:sz w:val="32"/>
          <w:szCs w:val="32"/>
          <w:lang w:val="zh-CN"/>
        </w:rPr>
      </w:pPr>
      <w:r>
        <w:rPr>
          <w:rFonts w:hint="eastAsia" w:eastAsia="楷体_GB2312"/>
          <w:b/>
          <w:sz w:val="32"/>
          <w:szCs w:val="32"/>
          <w:lang w:val="zh-CN"/>
        </w:rPr>
        <w:t>（四）项目绩效目标设置。</w:t>
      </w:r>
      <w:r>
        <w:rPr>
          <w:rFonts w:eastAsia="仿宋_GB2312"/>
          <w:sz w:val="32"/>
          <w:szCs w:val="32"/>
          <w:lang w:val="zh-CN"/>
        </w:rPr>
        <w:t>根据盐边县市场监督管理局202</w:t>
      </w:r>
      <w:r>
        <w:rPr>
          <w:rFonts w:hint="eastAsia" w:eastAsia="仿宋_GB2312"/>
          <w:sz w:val="32"/>
          <w:szCs w:val="32"/>
        </w:rPr>
        <w:t>4</w:t>
      </w:r>
      <w:r>
        <w:rPr>
          <w:rFonts w:eastAsia="仿宋_GB2312"/>
          <w:sz w:val="32"/>
          <w:szCs w:val="32"/>
          <w:lang w:val="zh-CN"/>
        </w:rPr>
        <w:t>年工业产品质量监督抽查实施方案完成县级重点工业产品抽检4</w:t>
      </w:r>
      <w:r>
        <w:rPr>
          <w:rFonts w:hint="eastAsia" w:eastAsia="仿宋_GB2312"/>
          <w:sz w:val="32"/>
          <w:szCs w:val="32"/>
        </w:rPr>
        <w:t>0</w:t>
      </w:r>
      <w:r>
        <w:rPr>
          <w:rFonts w:eastAsia="仿宋_GB2312"/>
          <w:sz w:val="32"/>
          <w:szCs w:val="32"/>
          <w:lang w:val="zh-CN"/>
        </w:rPr>
        <w:t>批次。</w:t>
      </w:r>
    </w:p>
    <w:p>
      <w:pPr>
        <w:adjustRightInd w:val="0"/>
        <w:snapToGrid w:val="0"/>
        <w:spacing w:line="578" w:lineRule="exact"/>
        <w:ind w:firstLine="640" w:firstLineChars="200"/>
        <w:rPr>
          <w:rFonts w:eastAsia="黑体"/>
          <w:sz w:val="32"/>
          <w:szCs w:val="32"/>
        </w:rPr>
      </w:pPr>
      <w:r>
        <w:rPr>
          <w:rFonts w:hint="eastAsia" w:eastAsia="黑体"/>
          <w:sz w:val="32"/>
          <w:szCs w:val="32"/>
        </w:rPr>
        <w:t>二、评价实施</w:t>
      </w:r>
    </w:p>
    <w:p>
      <w:pPr>
        <w:spacing w:line="578" w:lineRule="exact"/>
        <w:ind w:firstLine="640"/>
        <w:rPr>
          <w:rFonts w:eastAsia="仿宋_GB2312" w:cs="仿宋_GB2312"/>
          <w:kern w:val="0"/>
          <w:sz w:val="32"/>
          <w:szCs w:val="32"/>
          <w:lang w:val="zh-CN"/>
        </w:rPr>
      </w:pPr>
      <w:r>
        <w:rPr>
          <w:rFonts w:hint="eastAsia" w:eastAsia="楷体_GB2312"/>
          <w:b/>
          <w:sz w:val="32"/>
          <w:szCs w:val="32"/>
          <w:lang w:val="zh-CN"/>
        </w:rPr>
        <w:t>（一）评价目的。</w:t>
      </w:r>
      <w:r>
        <w:rPr>
          <w:rFonts w:eastAsia="仿宋_GB2312"/>
          <w:sz w:val="32"/>
          <w:szCs w:val="32"/>
          <w:lang w:val="zh-CN"/>
        </w:rPr>
        <w:t>确保开展的产品质量监督与风险监测达到预期目标，实现提升地理标志产品品质的目的。</w:t>
      </w:r>
    </w:p>
    <w:p>
      <w:pPr>
        <w:adjustRightInd w:val="0"/>
        <w:snapToGrid w:val="0"/>
        <w:spacing w:line="578" w:lineRule="exact"/>
        <w:ind w:firstLine="643" w:firstLineChars="200"/>
        <w:rPr>
          <w:rFonts w:eastAsia="仿宋_GB2312" w:cs="仿宋_GB2312"/>
          <w:kern w:val="0"/>
          <w:sz w:val="32"/>
          <w:szCs w:val="32"/>
        </w:rPr>
      </w:pPr>
      <w:r>
        <w:rPr>
          <w:rFonts w:hint="eastAsia" w:eastAsia="楷体_GB2312"/>
          <w:b/>
          <w:sz w:val="32"/>
          <w:szCs w:val="32"/>
          <w:lang w:val="zh-CN"/>
        </w:rPr>
        <w:t>（二）预设问题及评价重点。</w:t>
      </w:r>
      <w:r>
        <w:rPr>
          <w:rFonts w:eastAsia="仿宋_GB2312"/>
          <w:sz w:val="32"/>
          <w:szCs w:val="32"/>
          <w:lang w:val="zh-CN"/>
        </w:rPr>
        <w:t>重点在于确保项目申报内容与具体实施内容相符、申报目标合理可行。项目实施结果</w:t>
      </w:r>
      <w:r>
        <w:rPr>
          <w:rFonts w:hint="eastAsia" w:eastAsia="仿宋_GB2312"/>
          <w:sz w:val="32"/>
          <w:szCs w:val="32"/>
          <w:lang w:val="zh-CN"/>
        </w:rPr>
        <w:t>达到</w:t>
      </w:r>
      <w:r>
        <w:rPr>
          <w:rFonts w:eastAsia="仿宋_GB2312"/>
          <w:sz w:val="32"/>
          <w:szCs w:val="32"/>
          <w:lang w:val="zh-CN"/>
        </w:rPr>
        <w:t>预期</w:t>
      </w:r>
      <w:r>
        <w:rPr>
          <w:rFonts w:hint="eastAsia" w:eastAsia="仿宋_GB2312"/>
          <w:sz w:val="32"/>
          <w:szCs w:val="32"/>
          <w:lang w:val="zh-CN"/>
        </w:rPr>
        <w:t>。</w:t>
      </w:r>
    </w:p>
    <w:p>
      <w:pPr>
        <w:spacing w:line="578" w:lineRule="exact"/>
        <w:ind w:firstLine="640"/>
        <w:rPr>
          <w:rFonts w:eastAsia="楷体_GB2312"/>
          <w:b/>
          <w:sz w:val="32"/>
          <w:szCs w:val="32"/>
          <w:lang w:val="zh-CN"/>
        </w:rPr>
      </w:pPr>
      <w:r>
        <w:rPr>
          <w:rFonts w:hint="eastAsia" w:eastAsia="楷体_GB2312"/>
          <w:b/>
          <w:sz w:val="32"/>
          <w:szCs w:val="32"/>
          <w:lang w:val="zh-CN"/>
        </w:rPr>
        <w:t>（三）评价选点。</w:t>
      </w:r>
      <w:r>
        <w:rPr>
          <w:rFonts w:eastAsia="仿宋_GB2312"/>
          <w:sz w:val="32"/>
          <w:szCs w:val="32"/>
          <w:lang w:val="zh-CN"/>
        </w:rPr>
        <w:t>项目绩效自评所抽样点位符合。</w:t>
      </w:r>
    </w:p>
    <w:p>
      <w:pPr>
        <w:spacing w:line="578" w:lineRule="exact"/>
        <w:ind w:firstLine="640"/>
        <w:rPr>
          <w:rFonts w:eastAsia="仿宋_GB2312" w:cs="仿宋_GB2312"/>
          <w:kern w:val="0"/>
          <w:sz w:val="32"/>
          <w:szCs w:val="32"/>
          <w:lang w:val="zh-CN"/>
        </w:rPr>
      </w:pPr>
      <w:r>
        <w:rPr>
          <w:rFonts w:hint="eastAsia" w:eastAsia="楷体_GB2312"/>
          <w:b/>
          <w:sz w:val="32"/>
          <w:szCs w:val="32"/>
          <w:lang w:val="zh-CN"/>
        </w:rPr>
        <w:t>（四）评价方法。</w:t>
      </w:r>
      <w:r>
        <w:rPr>
          <w:rFonts w:eastAsia="仿宋_GB2312"/>
          <w:sz w:val="32"/>
          <w:szCs w:val="32"/>
          <w:lang w:val="zh-CN"/>
        </w:rPr>
        <w:t>根据项目情况和评价重点，采用单位自评法。</w:t>
      </w:r>
    </w:p>
    <w:p>
      <w:pPr>
        <w:spacing w:line="578" w:lineRule="exact"/>
        <w:ind w:firstLine="640"/>
        <w:rPr>
          <w:rFonts w:eastAsia="仿宋_GB2312"/>
          <w:bCs/>
        </w:rPr>
      </w:pPr>
      <w:r>
        <w:rPr>
          <w:rFonts w:hint="eastAsia" w:eastAsia="楷体_GB2312"/>
          <w:b/>
          <w:sz w:val="32"/>
          <w:szCs w:val="32"/>
          <w:lang w:val="zh-CN"/>
        </w:rPr>
        <w:t>（五）评价组织。</w:t>
      </w:r>
      <w:r>
        <w:rPr>
          <w:rFonts w:eastAsia="仿宋_GB2312"/>
          <w:sz w:val="32"/>
          <w:szCs w:val="32"/>
          <w:lang w:val="zh-CN"/>
        </w:rPr>
        <w:t>盐边县市场监督管理局</w:t>
      </w:r>
      <w:r>
        <w:rPr>
          <w:rFonts w:hint="eastAsia" w:eastAsia="仿宋_GB2312"/>
          <w:sz w:val="32"/>
          <w:szCs w:val="32"/>
          <w:lang w:val="zh-CN"/>
        </w:rPr>
        <w:t>质量发展与认证认可股</w:t>
      </w:r>
      <w:r>
        <w:rPr>
          <w:rFonts w:eastAsia="仿宋_GB2312"/>
          <w:sz w:val="32"/>
          <w:szCs w:val="32"/>
          <w:lang w:val="zh-CN"/>
        </w:rPr>
        <w:t>工作人员</w:t>
      </w:r>
      <w:r>
        <w:rPr>
          <w:rFonts w:eastAsia="仿宋_GB2312"/>
          <w:sz w:val="32"/>
          <w:szCs w:val="32"/>
        </w:rPr>
        <w:t>2</w:t>
      </w:r>
      <w:r>
        <w:rPr>
          <w:rFonts w:eastAsia="仿宋_GB2312"/>
          <w:sz w:val="32"/>
          <w:szCs w:val="32"/>
          <w:lang w:val="zh-CN"/>
        </w:rPr>
        <w:t>人。</w:t>
      </w:r>
    </w:p>
    <w:p>
      <w:pPr>
        <w:adjustRightInd w:val="0"/>
        <w:snapToGrid w:val="0"/>
        <w:spacing w:line="578" w:lineRule="exact"/>
        <w:ind w:firstLine="640" w:firstLineChars="200"/>
        <w:rPr>
          <w:sz w:val="32"/>
          <w:szCs w:val="32"/>
          <w:lang w:val="zh-CN"/>
        </w:rPr>
      </w:pPr>
      <w:r>
        <w:rPr>
          <w:rFonts w:hint="eastAsia" w:eastAsia="黑体"/>
          <w:sz w:val="32"/>
          <w:szCs w:val="32"/>
        </w:rPr>
        <w:t>三、绩效分析</w:t>
      </w:r>
    </w:p>
    <w:p>
      <w:pPr>
        <w:spacing w:line="578" w:lineRule="exact"/>
        <w:ind w:firstLine="640"/>
        <w:rPr>
          <w:rFonts w:eastAsia="楷体_GB2312"/>
          <w:b/>
          <w:sz w:val="32"/>
          <w:szCs w:val="32"/>
        </w:rPr>
      </w:pPr>
      <w:r>
        <w:rPr>
          <w:rFonts w:hint="eastAsia" w:eastAsia="楷体_GB2312"/>
          <w:b/>
          <w:sz w:val="32"/>
          <w:szCs w:val="32"/>
          <w:lang w:val="zh-CN"/>
        </w:rPr>
        <w:t>（一）</w:t>
      </w:r>
      <w:r>
        <w:rPr>
          <w:rFonts w:hint="eastAsia" w:eastAsia="楷体_GB2312"/>
          <w:b/>
          <w:sz w:val="32"/>
          <w:szCs w:val="32"/>
        </w:rPr>
        <w:t>通用指标</w:t>
      </w:r>
      <w:r>
        <w:rPr>
          <w:rFonts w:eastAsia="楷体_GB2312"/>
          <w:b/>
          <w:bCs/>
          <w:color w:val="000000"/>
          <w:kern w:val="0"/>
          <w:sz w:val="32"/>
          <w:szCs w:val="32"/>
          <w:shd w:val="clear" w:color="auto" w:fill="FFFFFF"/>
          <w:lang w:val="zh-CN"/>
        </w:rPr>
        <w:t>绩效分析。</w:t>
      </w:r>
    </w:p>
    <w:p>
      <w:pPr>
        <w:spacing w:line="578" w:lineRule="exact"/>
        <w:ind w:firstLine="640"/>
        <w:rPr>
          <w:rFonts w:eastAsia="仿宋_GB2312" w:cs="仿宋_GB2312"/>
          <w:kern w:val="0"/>
          <w:sz w:val="32"/>
          <w:szCs w:val="32"/>
          <w:lang w:val="zh-CN"/>
        </w:rPr>
      </w:pPr>
      <w:r>
        <w:rPr>
          <w:rFonts w:hint="eastAsia" w:eastAsia="仿宋_GB2312" w:cs="仿宋_GB2312"/>
          <w:kern w:val="0"/>
          <w:sz w:val="32"/>
          <w:szCs w:val="32"/>
        </w:rPr>
        <w:t>1.</w:t>
      </w:r>
      <w:r>
        <w:rPr>
          <w:rFonts w:hint="eastAsia" w:eastAsia="仿宋_GB2312" w:cs="仿宋_GB2312"/>
          <w:kern w:val="0"/>
          <w:sz w:val="32"/>
          <w:szCs w:val="32"/>
          <w:lang w:val="zh-CN"/>
        </w:rPr>
        <w:t>项目决策。</w:t>
      </w:r>
      <w:r>
        <w:rPr>
          <w:rFonts w:eastAsia="仿宋_GB2312"/>
          <w:sz w:val="32"/>
          <w:szCs w:val="32"/>
          <w:lang w:val="zh-CN"/>
        </w:rPr>
        <w:t>项目立项依据充分，决策程序规范，符合相关政策法规要求。盐边</w:t>
      </w:r>
      <w:r>
        <w:rPr>
          <w:rFonts w:hint="eastAsia" w:eastAsia="仿宋_GB2312"/>
          <w:sz w:val="32"/>
          <w:szCs w:val="32"/>
          <w:lang w:val="zh-CN"/>
        </w:rPr>
        <w:t>县</w:t>
      </w:r>
      <w:r>
        <w:rPr>
          <w:rFonts w:eastAsia="仿宋_GB2312"/>
          <w:sz w:val="32"/>
          <w:szCs w:val="32"/>
          <w:lang w:val="zh-CN"/>
        </w:rPr>
        <w:t>市场监督管理局为认真贯彻落实国家总局、省局、市局和县委、县政府对产商品安全的严格要求。科学决策，合理申报目标。202</w:t>
      </w:r>
      <w:r>
        <w:rPr>
          <w:rFonts w:hint="eastAsia" w:eastAsia="仿宋_GB2312"/>
          <w:sz w:val="32"/>
          <w:szCs w:val="32"/>
        </w:rPr>
        <w:t>4</w:t>
      </w:r>
      <w:r>
        <w:rPr>
          <w:rFonts w:eastAsia="仿宋_GB2312"/>
          <w:sz w:val="32"/>
          <w:szCs w:val="32"/>
          <w:lang w:val="zh-CN"/>
        </w:rPr>
        <w:t>年度对县域行政区域内部分重点工业产品的监督抽查4</w:t>
      </w:r>
      <w:r>
        <w:rPr>
          <w:rFonts w:hint="eastAsia" w:eastAsia="仿宋_GB2312"/>
          <w:sz w:val="32"/>
          <w:szCs w:val="32"/>
        </w:rPr>
        <w:t>0</w:t>
      </w:r>
      <w:r>
        <w:rPr>
          <w:rFonts w:eastAsia="仿宋_GB2312"/>
          <w:sz w:val="32"/>
          <w:szCs w:val="32"/>
          <w:lang w:val="zh-CN"/>
        </w:rPr>
        <w:t>批次</w:t>
      </w:r>
      <w:r>
        <w:rPr>
          <w:rFonts w:hint="eastAsia" w:eastAsia="仿宋_GB2312" w:cs="仿宋_GB2312"/>
          <w:kern w:val="0"/>
          <w:sz w:val="32"/>
          <w:szCs w:val="32"/>
          <w:lang w:val="zh-CN"/>
        </w:rPr>
        <w:t>。</w:t>
      </w:r>
    </w:p>
    <w:p>
      <w:pPr>
        <w:spacing w:line="578" w:lineRule="exact"/>
        <w:ind w:firstLine="640"/>
        <w:rPr>
          <w:rFonts w:eastAsia="仿宋_GB2312" w:cs="仿宋_GB2312"/>
          <w:kern w:val="0"/>
          <w:sz w:val="32"/>
          <w:szCs w:val="32"/>
          <w:lang w:val="zh-CN"/>
        </w:rPr>
      </w:pPr>
      <w:r>
        <w:rPr>
          <w:rFonts w:hint="eastAsia" w:eastAsia="仿宋_GB2312" w:cs="仿宋_GB2312"/>
          <w:kern w:val="0"/>
          <w:sz w:val="32"/>
          <w:szCs w:val="32"/>
        </w:rPr>
        <w:t>2.</w:t>
      </w:r>
      <w:r>
        <w:rPr>
          <w:rFonts w:hint="eastAsia" w:eastAsia="仿宋_GB2312" w:cs="仿宋_GB2312"/>
          <w:kern w:val="0"/>
          <w:sz w:val="32"/>
          <w:szCs w:val="32"/>
          <w:lang w:val="zh-CN"/>
        </w:rPr>
        <w:t>项目管理。</w:t>
      </w:r>
      <w:r>
        <w:rPr>
          <w:rFonts w:eastAsia="仿宋_GB2312"/>
          <w:sz w:val="32"/>
          <w:szCs w:val="32"/>
          <w:lang w:val="zh-CN"/>
        </w:rPr>
        <w:t>我单位财务设置在办公室，严格按照相关财务管理制度，对项目资金的申请、拨付、管理和使用严格按专项资金管理要求执行，专项资金严格按照“统筹兼顾、突出重点、促进发展、注重绩效”的原则进行分配和使用，各项制度执行落实较好，资金使用安全规范，未发现截留、挪用、挤占、虚列资金等现象。</w:t>
      </w:r>
    </w:p>
    <w:p>
      <w:pPr>
        <w:spacing w:line="578" w:lineRule="exact"/>
        <w:ind w:firstLine="640"/>
        <w:rPr>
          <w:rFonts w:eastAsia="仿宋_GB2312" w:cs="仿宋_GB2312"/>
          <w:kern w:val="0"/>
          <w:sz w:val="32"/>
          <w:szCs w:val="32"/>
          <w:lang w:val="zh-CN"/>
        </w:rPr>
      </w:pPr>
      <w:r>
        <w:rPr>
          <w:rFonts w:hint="eastAsia" w:eastAsia="仿宋_GB2312" w:cs="仿宋_GB2312"/>
          <w:kern w:val="0"/>
          <w:sz w:val="32"/>
          <w:szCs w:val="32"/>
        </w:rPr>
        <w:t>3.项目实施。</w:t>
      </w:r>
      <w:r>
        <w:rPr>
          <w:rFonts w:eastAsia="仿宋_GB2312"/>
          <w:sz w:val="32"/>
          <w:szCs w:val="32"/>
          <w:lang w:val="zh-CN"/>
        </w:rPr>
        <w:t>完成工业产品和消费品共1</w:t>
      </w:r>
      <w:r>
        <w:rPr>
          <w:rFonts w:hint="eastAsia" w:eastAsia="仿宋_GB2312"/>
          <w:sz w:val="32"/>
          <w:szCs w:val="32"/>
        </w:rPr>
        <w:t>6</w:t>
      </w:r>
      <w:r>
        <w:rPr>
          <w:rFonts w:eastAsia="仿宋_GB2312"/>
          <w:sz w:val="32"/>
          <w:szCs w:val="32"/>
          <w:lang w:val="zh-CN"/>
        </w:rPr>
        <w:t>种产品，4</w:t>
      </w:r>
      <w:r>
        <w:rPr>
          <w:rFonts w:hint="eastAsia" w:eastAsia="仿宋_GB2312"/>
          <w:sz w:val="32"/>
          <w:szCs w:val="32"/>
        </w:rPr>
        <w:t>0</w:t>
      </w:r>
      <w:r>
        <w:rPr>
          <w:rFonts w:eastAsia="仿宋_GB2312"/>
          <w:sz w:val="32"/>
          <w:szCs w:val="32"/>
          <w:lang w:val="zh-CN"/>
        </w:rPr>
        <w:t>组样品实施监督抽检任务，提升全县人民的重点工业产品安全保障，群众满意度不低于90%；重点对学生用品、</w:t>
      </w:r>
      <w:r>
        <w:rPr>
          <w:rFonts w:hint="eastAsia" w:eastAsia="仿宋_GB2312"/>
          <w:sz w:val="32"/>
          <w:szCs w:val="32"/>
          <w:lang w:val="zh-CN"/>
        </w:rPr>
        <w:t>农用</w:t>
      </w:r>
      <w:r>
        <w:rPr>
          <w:rFonts w:eastAsia="仿宋_GB2312"/>
          <w:sz w:val="32"/>
          <w:szCs w:val="32"/>
          <w:lang w:val="zh-CN"/>
        </w:rPr>
        <w:t>肥料、电动自行车头盔</w:t>
      </w:r>
      <w:r>
        <w:rPr>
          <w:rFonts w:hint="eastAsia" w:eastAsia="仿宋_GB2312"/>
          <w:sz w:val="32"/>
          <w:szCs w:val="32"/>
          <w:lang w:val="zh-CN"/>
        </w:rPr>
        <w:t>、</w:t>
      </w:r>
      <w:r>
        <w:rPr>
          <w:rFonts w:eastAsia="仿宋_GB2312"/>
          <w:sz w:val="32"/>
          <w:szCs w:val="32"/>
          <w:lang w:val="zh-CN"/>
        </w:rPr>
        <w:t>电线电缆、开关插座及硬聚氯乙烯（PVC-U）管材及管件等产品进行了监督抽查。</w:t>
      </w:r>
    </w:p>
    <w:p>
      <w:pPr>
        <w:spacing w:line="578" w:lineRule="exact"/>
        <w:ind w:firstLine="640"/>
        <w:rPr>
          <w:rFonts w:eastAsia="仿宋_GB2312" w:cs="仿宋_GB2312"/>
          <w:kern w:val="0"/>
          <w:sz w:val="32"/>
          <w:szCs w:val="32"/>
          <w:lang w:val="zh-CN"/>
        </w:rPr>
      </w:pPr>
      <w:r>
        <w:rPr>
          <w:rFonts w:hint="eastAsia" w:eastAsia="仿宋_GB2312" w:cs="仿宋_GB2312"/>
          <w:kern w:val="0"/>
          <w:sz w:val="32"/>
          <w:szCs w:val="32"/>
        </w:rPr>
        <w:t>4.项目结果。</w:t>
      </w:r>
      <w:r>
        <w:rPr>
          <w:rFonts w:eastAsia="仿宋_GB2312"/>
          <w:sz w:val="32"/>
          <w:szCs w:val="32"/>
          <w:lang w:val="zh-CN"/>
        </w:rPr>
        <w:t>完成工业产品和消费品共1</w:t>
      </w:r>
      <w:r>
        <w:rPr>
          <w:rFonts w:hint="eastAsia" w:eastAsia="仿宋_GB2312"/>
          <w:sz w:val="32"/>
          <w:szCs w:val="32"/>
        </w:rPr>
        <w:t>6</w:t>
      </w:r>
      <w:r>
        <w:rPr>
          <w:rFonts w:eastAsia="仿宋_GB2312"/>
          <w:sz w:val="32"/>
          <w:szCs w:val="32"/>
          <w:lang w:val="zh-CN"/>
        </w:rPr>
        <w:t>种产品，4</w:t>
      </w:r>
      <w:r>
        <w:rPr>
          <w:rFonts w:hint="eastAsia" w:eastAsia="仿宋_GB2312"/>
          <w:sz w:val="32"/>
          <w:szCs w:val="32"/>
        </w:rPr>
        <w:t>0</w:t>
      </w:r>
      <w:r>
        <w:rPr>
          <w:rFonts w:eastAsia="仿宋_GB2312"/>
          <w:sz w:val="32"/>
          <w:szCs w:val="32"/>
          <w:lang w:val="zh-CN"/>
        </w:rPr>
        <w:t>组样品实施监督抽检任务，提升全县人民的重点工业产品安全保障，群众满意度不低于90%。</w:t>
      </w:r>
    </w:p>
    <w:p>
      <w:pPr>
        <w:spacing w:line="578" w:lineRule="exact"/>
        <w:ind w:firstLine="640"/>
        <w:rPr>
          <w:rFonts w:eastAsia="仿宋_GB2312" w:cs="仿宋_GB2312"/>
          <w:kern w:val="0"/>
          <w:sz w:val="32"/>
          <w:szCs w:val="32"/>
          <w:lang w:val="zh-CN"/>
        </w:rPr>
      </w:pPr>
      <w:r>
        <w:rPr>
          <w:rFonts w:hint="eastAsia" w:eastAsia="楷体_GB2312"/>
          <w:b/>
          <w:sz w:val="32"/>
          <w:szCs w:val="32"/>
          <w:lang w:val="zh-CN"/>
        </w:rPr>
        <w:t>（二）</w:t>
      </w:r>
      <w:r>
        <w:rPr>
          <w:rFonts w:hint="eastAsia" w:eastAsia="楷体_GB2312"/>
          <w:b/>
          <w:sz w:val="32"/>
          <w:szCs w:val="32"/>
        </w:rPr>
        <w:t>专用指标</w:t>
      </w:r>
      <w:r>
        <w:rPr>
          <w:rFonts w:eastAsia="楷体_GB2312"/>
          <w:b/>
          <w:bCs/>
          <w:color w:val="000000"/>
          <w:kern w:val="0"/>
          <w:sz w:val="32"/>
          <w:szCs w:val="32"/>
          <w:shd w:val="clear" w:color="auto" w:fill="FFFFFF"/>
          <w:lang w:val="zh-CN"/>
        </w:rPr>
        <w:t>绩效分析。</w:t>
      </w:r>
    </w:p>
    <w:p>
      <w:pPr>
        <w:spacing w:line="578" w:lineRule="exact"/>
        <w:ind w:firstLine="640"/>
        <w:rPr>
          <w:rFonts w:eastAsia="仿宋_GB2312" w:cs="仿宋_GB2312"/>
          <w:kern w:val="0"/>
          <w:sz w:val="32"/>
          <w:szCs w:val="32"/>
        </w:rPr>
      </w:pPr>
      <w:r>
        <w:rPr>
          <w:rFonts w:hint="eastAsia" w:eastAsia="仿宋_GB2312" w:cs="仿宋_GB2312"/>
          <w:kern w:val="0"/>
          <w:sz w:val="32"/>
          <w:szCs w:val="32"/>
        </w:rPr>
        <w:t>1.产业发展。</w:t>
      </w:r>
      <w:r>
        <w:rPr>
          <w:rFonts w:eastAsia="仿宋_GB2312"/>
          <w:sz w:val="32"/>
          <w:szCs w:val="32"/>
          <w:lang w:val="zh-CN"/>
        </w:rPr>
        <w:t>规范市场秩序，维护市场稳定，完善质量保障体系，监督地理标志产品的质量，提升地理标志产品的品质。</w:t>
      </w:r>
    </w:p>
    <w:p>
      <w:pPr>
        <w:spacing w:line="578" w:lineRule="exact"/>
        <w:ind w:firstLine="640"/>
        <w:rPr>
          <w:rFonts w:eastAsia="仿宋_GB2312"/>
          <w:sz w:val="32"/>
          <w:szCs w:val="32"/>
          <w:lang w:val="zh-CN"/>
        </w:rPr>
      </w:pPr>
      <w:r>
        <w:rPr>
          <w:rFonts w:hint="eastAsia" w:eastAsia="仿宋_GB2312" w:cs="仿宋_GB2312"/>
          <w:kern w:val="0"/>
          <w:sz w:val="32"/>
          <w:szCs w:val="32"/>
        </w:rPr>
        <w:t>2.</w:t>
      </w:r>
      <w:r>
        <w:rPr>
          <w:rFonts w:hint="eastAsia" w:eastAsia="仿宋_GB2312" w:cs="仿宋_GB2312"/>
          <w:kern w:val="0"/>
          <w:sz w:val="32"/>
          <w:szCs w:val="32"/>
          <w:lang w:val="zh-CN"/>
        </w:rPr>
        <w:t>民生保障。</w:t>
      </w:r>
      <w:r>
        <w:rPr>
          <w:rFonts w:eastAsia="仿宋_GB2312"/>
          <w:sz w:val="32"/>
          <w:szCs w:val="32"/>
          <w:lang w:val="zh-CN"/>
        </w:rPr>
        <w:t>完成工业产品和消费品共1</w:t>
      </w:r>
      <w:r>
        <w:rPr>
          <w:rFonts w:hint="eastAsia" w:eastAsia="仿宋_GB2312"/>
          <w:sz w:val="32"/>
          <w:szCs w:val="32"/>
        </w:rPr>
        <w:t>6</w:t>
      </w:r>
      <w:r>
        <w:rPr>
          <w:rFonts w:eastAsia="仿宋_GB2312"/>
          <w:sz w:val="32"/>
          <w:szCs w:val="32"/>
          <w:lang w:val="zh-CN"/>
        </w:rPr>
        <w:t>种产品，4</w:t>
      </w:r>
      <w:r>
        <w:rPr>
          <w:rFonts w:hint="eastAsia" w:eastAsia="仿宋_GB2312"/>
          <w:sz w:val="32"/>
          <w:szCs w:val="32"/>
        </w:rPr>
        <w:t>0</w:t>
      </w:r>
      <w:r>
        <w:rPr>
          <w:rFonts w:eastAsia="仿宋_GB2312"/>
          <w:sz w:val="32"/>
          <w:szCs w:val="32"/>
          <w:lang w:val="zh-CN"/>
        </w:rPr>
        <w:t>组样品实施监督抽检任务，提升全县人民的重点工业产品安全保障。</w:t>
      </w:r>
    </w:p>
    <w:p>
      <w:pPr>
        <w:spacing w:line="578" w:lineRule="exact"/>
        <w:ind w:firstLine="640"/>
        <w:rPr>
          <w:rFonts w:eastAsia="仿宋_GB2312" w:cs="仿宋_GB2312"/>
          <w:kern w:val="0"/>
          <w:sz w:val="32"/>
          <w:szCs w:val="32"/>
        </w:rPr>
      </w:pPr>
      <w:r>
        <w:rPr>
          <w:rFonts w:hint="eastAsia" w:eastAsia="仿宋_GB2312" w:cs="仿宋_GB2312"/>
          <w:kern w:val="0"/>
          <w:sz w:val="32"/>
          <w:szCs w:val="32"/>
        </w:rPr>
        <w:t>3.基础设施。</w:t>
      </w:r>
      <w:r>
        <w:rPr>
          <w:rFonts w:eastAsia="仿宋_GB2312"/>
          <w:sz w:val="32"/>
          <w:szCs w:val="32"/>
          <w:lang w:val="zh-CN"/>
        </w:rPr>
        <w:t>根据盐边县市场监督管理局202</w:t>
      </w:r>
      <w:r>
        <w:rPr>
          <w:rFonts w:hint="eastAsia" w:eastAsia="仿宋_GB2312"/>
          <w:sz w:val="32"/>
          <w:szCs w:val="32"/>
        </w:rPr>
        <w:t>4</w:t>
      </w:r>
      <w:r>
        <w:rPr>
          <w:rFonts w:eastAsia="仿宋_GB2312"/>
          <w:sz w:val="32"/>
          <w:szCs w:val="32"/>
          <w:lang w:val="zh-CN"/>
        </w:rPr>
        <w:t>年工业产品质量监督抽查实施方案完成县级重点工业产品抽检4</w:t>
      </w:r>
      <w:r>
        <w:rPr>
          <w:rFonts w:hint="eastAsia" w:eastAsia="仿宋_GB2312"/>
          <w:sz w:val="32"/>
          <w:szCs w:val="32"/>
        </w:rPr>
        <w:t>0</w:t>
      </w:r>
      <w:r>
        <w:rPr>
          <w:rFonts w:eastAsia="仿宋_GB2312"/>
          <w:sz w:val="32"/>
          <w:szCs w:val="32"/>
          <w:lang w:val="zh-CN"/>
        </w:rPr>
        <w:t>批次。</w:t>
      </w:r>
    </w:p>
    <w:p>
      <w:pPr>
        <w:spacing w:line="578" w:lineRule="exact"/>
        <w:ind w:firstLine="640"/>
        <w:rPr>
          <w:rFonts w:eastAsia="仿宋_GB2312" w:cs="仿宋_GB2312"/>
          <w:kern w:val="0"/>
          <w:sz w:val="32"/>
          <w:szCs w:val="32"/>
        </w:rPr>
      </w:pPr>
      <w:r>
        <w:rPr>
          <w:rFonts w:hint="eastAsia" w:eastAsia="仿宋_GB2312" w:cs="仿宋_GB2312"/>
          <w:kern w:val="0"/>
          <w:sz w:val="32"/>
          <w:szCs w:val="32"/>
        </w:rPr>
        <w:t>4.</w:t>
      </w:r>
      <w:r>
        <w:rPr>
          <w:rFonts w:hint="eastAsia" w:eastAsia="仿宋_GB2312" w:cs="仿宋_GB2312"/>
          <w:kern w:val="0"/>
          <w:sz w:val="32"/>
          <w:szCs w:val="32"/>
          <w:lang w:val="zh-CN"/>
        </w:rPr>
        <w:t>行政运转。</w:t>
      </w:r>
      <w:r>
        <w:rPr>
          <w:rFonts w:eastAsia="仿宋_GB2312"/>
          <w:sz w:val="32"/>
          <w:szCs w:val="32"/>
          <w:lang w:val="zh-CN"/>
        </w:rPr>
        <w:t>项目申报内容与具体实施内容相符、申报目标合理可行。项目实施过程中严格按照相关财务管理制度，对项目资金的申请、拨付、管理和使用严格按专项资金管理要求执行，专项资金严格按照“统筹兼顾、突出重点、促进发展、注重绩效”的原则进行分配和使用，各项制度执行落实较好，资金使用安全规范，未发现截留、挪用、挤占、虚列资金等现象。</w:t>
      </w:r>
    </w:p>
    <w:p>
      <w:pPr>
        <w:spacing w:line="578" w:lineRule="exact"/>
        <w:ind w:firstLine="640"/>
        <w:rPr>
          <w:rFonts w:eastAsia="仿宋_GB2312" w:cs="仿宋_GB2312"/>
          <w:kern w:val="0"/>
          <w:sz w:val="32"/>
          <w:szCs w:val="32"/>
        </w:rPr>
      </w:pPr>
      <w:r>
        <w:rPr>
          <w:rFonts w:hint="eastAsia" w:eastAsia="楷体_GB2312"/>
          <w:b/>
          <w:sz w:val="32"/>
          <w:szCs w:val="32"/>
          <w:lang w:val="zh-CN"/>
        </w:rPr>
        <w:t>（三）</w:t>
      </w:r>
      <w:r>
        <w:rPr>
          <w:rFonts w:hint="eastAsia" w:eastAsia="楷体_GB2312"/>
          <w:b/>
          <w:sz w:val="32"/>
          <w:szCs w:val="32"/>
        </w:rPr>
        <w:t>个性指标</w:t>
      </w:r>
      <w:r>
        <w:rPr>
          <w:rFonts w:eastAsia="楷体_GB2312"/>
          <w:b/>
          <w:bCs/>
          <w:color w:val="000000"/>
          <w:kern w:val="0"/>
          <w:sz w:val="32"/>
          <w:szCs w:val="32"/>
          <w:shd w:val="clear" w:color="auto" w:fill="FFFFFF"/>
          <w:lang w:val="zh-CN"/>
        </w:rPr>
        <w:t>绩效分析。</w:t>
      </w:r>
      <w:r>
        <w:rPr>
          <w:rFonts w:eastAsia="仿宋_GB2312"/>
          <w:sz w:val="32"/>
          <w:szCs w:val="32"/>
          <w:lang w:val="zh-CN"/>
        </w:rPr>
        <w:t>该项目无个性指标。</w:t>
      </w:r>
    </w:p>
    <w:p>
      <w:pPr>
        <w:spacing w:line="578" w:lineRule="exact"/>
        <w:ind w:firstLine="640"/>
        <w:rPr>
          <w:rFonts w:ascii="黑体" w:hAnsi="黑体" w:eastAsia="黑体" w:cs="黑体"/>
          <w:kern w:val="0"/>
          <w:sz w:val="32"/>
          <w:szCs w:val="32"/>
        </w:rPr>
      </w:pPr>
      <w:r>
        <w:rPr>
          <w:rFonts w:hint="eastAsia" w:ascii="黑体" w:hAnsi="黑体" w:eastAsia="黑体" w:cs="黑体"/>
          <w:kern w:val="0"/>
          <w:sz w:val="32"/>
          <w:szCs w:val="32"/>
        </w:rPr>
        <w:t>四、评价结论</w:t>
      </w:r>
    </w:p>
    <w:p>
      <w:pPr>
        <w:spacing w:line="578" w:lineRule="exact"/>
        <w:ind w:firstLine="640"/>
        <w:rPr>
          <w:rFonts w:eastAsia="仿宋_GB2312"/>
          <w:sz w:val="32"/>
          <w:szCs w:val="32"/>
          <w:lang w:val="zh-CN"/>
        </w:rPr>
      </w:pPr>
      <w:r>
        <w:rPr>
          <w:rFonts w:eastAsia="仿宋_GB2312"/>
          <w:sz w:val="32"/>
          <w:szCs w:val="32"/>
          <w:lang w:val="zh-CN"/>
        </w:rPr>
        <w:t>该项目自评总分</w:t>
      </w:r>
      <w:r>
        <w:rPr>
          <w:rFonts w:hint="eastAsia" w:eastAsia="仿宋_GB2312"/>
          <w:sz w:val="32"/>
          <w:szCs w:val="32"/>
        </w:rPr>
        <w:t>100</w:t>
      </w:r>
      <w:r>
        <w:rPr>
          <w:rFonts w:eastAsia="仿宋_GB2312"/>
          <w:sz w:val="32"/>
          <w:szCs w:val="32"/>
        </w:rPr>
        <w:t>分。</w:t>
      </w:r>
      <w:r>
        <w:rPr>
          <w:rFonts w:eastAsia="仿宋_GB2312"/>
          <w:sz w:val="32"/>
          <w:szCs w:val="32"/>
          <w:lang w:val="zh-CN"/>
        </w:rPr>
        <w:t>为根据盐边县市场监督管理局202</w:t>
      </w:r>
      <w:r>
        <w:rPr>
          <w:rFonts w:hint="eastAsia" w:eastAsia="仿宋_GB2312"/>
          <w:sz w:val="32"/>
          <w:szCs w:val="32"/>
        </w:rPr>
        <w:t>4</w:t>
      </w:r>
      <w:r>
        <w:rPr>
          <w:rFonts w:eastAsia="仿宋_GB2312"/>
          <w:sz w:val="32"/>
          <w:szCs w:val="32"/>
          <w:lang w:val="zh-CN"/>
        </w:rPr>
        <w:t>年工业产品质量监督抽查实施方案完成县级重点工业产品抽检4</w:t>
      </w:r>
      <w:r>
        <w:rPr>
          <w:rFonts w:hint="eastAsia" w:eastAsia="仿宋_GB2312"/>
          <w:sz w:val="32"/>
          <w:szCs w:val="32"/>
        </w:rPr>
        <w:t>0</w:t>
      </w:r>
      <w:r>
        <w:rPr>
          <w:rFonts w:eastAsia="仿宋_GB2312"/>
          <w:sz w:val="32"/>
          <w:szCs w:val="32"/>
          <w:lang w:val="zh-CN"/>
        </w:rPr>
        <w:t>批次。</w:t>
      </w:r>
      <w:r>
        <w:rPr>
          <w:rFonts w:eastAsia="仿宋_GB2312"/>
          <w:sz w:val="32"/>
          <w:szCs w:val="32"/>
        </w:rPr>
        <w:t>该项目实际到位资金5万元，其中县本级财政资金5万元，资金到位率100%。该项目</w:t>
      </w:r>
      <w:r>
        <w:rPr>
          <w:rFonts w:eastAsia="仿宋_GB2312"/>
          <w:sz w:val="32"/>
          <w:szCs w:val="32"/>
          <w:lang w:val="zh-CN"/>
        </w:rPr>
        <w:t>保护了消费者的合法权益，净化了市场环境，提升了地理标志产品的品质。</w:t>
      </w:r>
    </w:p>
    <w:p>
      <w:pPr>
        <w:spacing w:line="578" w:lineRule="exact"/>
        <w:ind w:firstLine="640"/>
        <w:rPr>
          <w:rFonts w:ascii="黑体" w:hAnsi="黑体" w:eastAsia="黑体" w:cs="黑体"/>
          <w:kern w:val="0"/>
          <w:sz w:val="32"/>
          <w:szCs w:val="32"/>
        </w:rPr>
      </w:pPr>
      <w:r>
        <w:rPr>
          <w:rFonts w:hint="eastAsia" w:ascii="黑体" w:hAnsi="黑体" w:eastAsia="黑体" w:cs="黑体"/>
          <w:kern w:val="0"/>
          <w:sz w:val="32"/>
          <w:szCs w:val="32"/>
        </w:rPr>
        <w:t>五、存在主要问题</w:t>
      </w:r>
    </w:p>
    <w:p>
      <w:pPr>
        <w:spacing w:line="578" w:lineRule="exact"/>
        <w:ind w:firstLine="640"/>
        <w:rPr>
          <w:rFonts w:eastAsia="仿宋_GB2312" w:cs="仿宋_GB2312"/>
          <w:kern w:val="0"/>
          <w:sz w:val="32"/>
          <w:szCs w:val="32"/>
        </w:rPr>
      </w:pPr>
      <w:r>
        <w:rPr>
          <w:rFonts w:hint="eastAsia" w:eastAsia="仿宋_GB2312" w:cs="仿宋_GB2312"/>
          <w:kern w:val="0"/>
          <w:sz w:val="32"/>
          <w:szCs w:val="32"/>
        </w:rPr>
        <w:t>预算资金与实际到账资金有差距，导致县级重点工业产品抽检覆盖面还不够广，抽检的产品种类还不够齐全。</w:t>
      </w:r>
    </w:p>
    <w:p>
      <w:pPr>
        <w:spacing w:line="578" w:lineRule="exact"/>
        <w:ind w:firstLine="640"/>
        <w:rPr>
          <w:rFonts w:ascii="黑体" w:hAnsi="黑体" w:eastAsia="黑体" w:cs="黑体"/>
          <w:kern w:val="0"/>
          <w:sz w:val="32"/>
          <w:szCs w:val="32"/>
          <w:lang w:val="zh-CN"/>
        </w:rPr>
      </w:pPr>
      <w:r>
        <w:rPr>
          <w:rFonts w:hint="eastAsia" w:ascii="黑体" w:hAnsi="黑体" w:eastAsia="黑体" w:cs="黑体"/>
          <w:kern w:val="0"/>
          <w:sz w:val="32"/>
          <w:szCs w:val="32"/>
          <w:lang w:val="zh-CN"/>
        </w:rPr>
        <w:t>六、改进建议</w:t>
      </w:r>
    </w:p>
    <w:p>
      <w:pPr>
        <w:spacing w:line="578" w:lineRule="exact"/>
        <w:ind w:firstLine="640"/>
        <w:rPr>
          <w:rFonts w:eastAsia="仿宋_GB2312" w:cs="仿宋_GB2312"/>
          <w:kern w:val="0"/>
          <w:sz w:val="32"/>
          <w:szCs w:val="32"/>
        </w:rPr>
      </w:pPr>
      <w:r>
        <w:rPr>
          <w:rFonts w:hint="eastAsia" w:eastAsia="仿宋_GB2312" w:cs="仿宋_GB2312"/>
          <w:kern w:val="0"/>
          <w:sz w:val="32"/>
          <w:szCs w:val="32"/>
        </w:rPr>
        <w:t>建议财政按照预算资金拨付，加大对重点工业产品的抽检力度，更</w:t>
      </w:r>
      <w:r>
        <w:rPr>
          <w:rFonts w:hint="eastAsia" w:eastAsia="仿宋_GB2312" w:cs="仿宋_GB2312"/>
          <w:kern w:val="0"/>
          <w:sz w:val="32"/>
          <w:szCs w:val="32"/>
          <w:lang w:eastAsia="zh-CN"/>
        </w:rPr>
        <w:t>好地</w:t>
      </w:r>
      <w:r>
        <w:rPr>
          <w:rFonts w:eastAsia="仿宋_GB2312" w:cs="仿宋_GB2312"/>
          <w:kern w:val="0"/>
          <w:sz w:val="32"/>
          <w:szCs w:val="32"/>
          <w:lang w:val="zh-CN"/>
        </w:rPr>
        <w:t>提升全县人民的重点工业产品安全保障</w:t>
      </w:r>
      <w:r>
        <w:rPr>
          <w:rFonts w:hint="eastAsia" w:eastAsia="仿宋_GB2312" w:cs="仿宋_GB2312"/>
          <w:kern w:val="0"/>
          <w:sz w:val="32"/>
          <w:szCs w:val="32"/>
        </w:rPr>
        <w:t>。</w:t>
      </w:r>
    </w:p>
    <w:p>
      <w:pPr>
        <w:spacing w:line="578" w:lineRule="exact"/>
        <w:ind w:firstLine="640"/>
        <w:rPr>
          <w:rFonts w:eastAsia="仿宋_GB2312" w:cs="仿宋_GB2312"/>
          <w:kern w:val="0"/>
          <w:sz w:val="32"/>
          <w:szCs w:val="32"/>
        </w:rPr>
      </w:pPr>
    </w:p>
    <w:p>
      <w:pPr>
        <w:pStyle w:val="10"/>
        <w:rPr>
          <w:rFonts w:eastAsia="仿宋_GB2312" w:cs="仿宋_GB2312"/>
          <w:kern w:val="0"/>
          <w:sz w:val="32"/>
          <w:szCs w:val="32"/>
        </w:rPr>
      </w:pPr>
    </w:p>
    <w:p>
      <w:pPr>
        <w:pStyle w:val="10"/>
        <w:rPr>
          <w:rFonts w:eastAsia="仿宋_GB2312" w:cs="仿宋_GB2312"/>
          <w:kern w:val="0"/>
          <w:sz w:val="32"/>
          <w:szCs w:val="32"/>
        </w:rPr>
      </w:pPr>
    </w:p>
    <w:p>
      <w:pPr>
        <w:pStyle w:val="10"/>
        <w:rPr>
          <w:rFonts w:eastAsia="仿宋_GB2312" w:cs="仿宋_GB2312"/>
          <w:kern w:val="0"/>
          <w:sz w:val="32"/>
          <w:szCs w:val="32"/>
        </w:rPr>
      </w:pPr>
    </w:p>
    <w:p>
      <w:pPr>
        <w:pStyle w:val="10"/>
        <w:rPr>
          <w:rFonts w:eastAsia="仿宋_GB2312" w:cs="仿宋_GB2312"/>
          <w:kern w:val="0"/>
          <w:sz w:val="32"/>
          <w:szCs w:val="32"/>
        </w:rPr>
      </w:pPr>
    </w:p>
    <w:p>
      <w:pPr>
        <w:pStyle w:val="10"/>
        <w:rPr>
          <w:rFonts w:eastAsia="仿宋_GB2312" w:cs="仿宋_GB2312"/>
          <w:kern w:val="0"/>
          <w:sz w:val="32"/>
          <w:szCs w:val="32"/>
        </w:rPr>
      </w:pPr>
    </w:p>
    <w:p>
      <w:pPr>
        <w:pStyle w:val="10"/>
        <w:rPr>
          <w:rFonts w:eastAsia="仿宋_GB2312" w:cs="仿宋_GB2312"/>
          <w:kern w:val="0"/>
          <w:sz w:val="32"/>
          <w:szCs w:val="32"/>
        </w:rPr>
      </w:pPr>
    </w:p>
    <w:p>
      <w:pPr>
        <w:pStyle w:val="10"/>
        <w:rPr>
          <w:rFonts w:eastAsia="仿宋_GB2312" w:cs="仿宋_GB2312"/>
          <w:kern w:val="0"/>
          <w:sz w:val="32"/>
          <w:szCs w:val="32"/>
        </w:rPr>
      </w:pPr>
    </w:p>
    <w:p>
      <w:pPr>
        <w:pStyle w:val="10"/>
        <w:rPr>
          <w:rFonts w:eastAsia="仿宋_GB2312" w:cs="仿宋_GB2312"/>
          <w:kern w:val="0"/>
          <w:sz w:val="32"/>
          <w:szCs w:val="32"/>
        </w:rPr>
      </w:pPr>
    </w:p>
    <w:p>
      <w:pPr>
        <w:pStyle w:val="35"/>
        <w:spacing w:line="578" w:lineRule="exact"/>
        <w:jc w:val="center"/>
        <w:rPr>
          <w:rFonts w:ascii="Times New Roman" w:hAnsi="Times New Roman" w:eastAsia="方正小标宋简体"/>
          <w:sz w:val="44"/>
          <w:szCs w:val="44"/>
        </w:rPr>
      </w:pPr>
    </w:p>
    <w:p>
      <w:pPr>
        <w:pStyle w:val="35"/>
        <w:spacing w:line="578" w:lineRule="exact"/>
        <w:jc w:val="center"/>
        <w:rPr>
          <w:rFonts w:ascii="Times New Roman" w:hAnsi="Times New Roman" w:eastAsia="方正小标宋简体"/>
          <w:sz w:val="44"/>
          <w:szCs w:val="44"/>
        </w:rPr>
      </w:pPr>
      <w:r>
        <w:rPr>
          <w:rFonts w:hint="eastAsia" w:ascii="Times New Roman" w:hAnsi="Times New Roman" w:eastAsia="方正小标宋简体"/>
          <w:sz w:val="44"/>
          <w:szCs w:val="44"/>
        </w:rPr>
        <w:t>省级药品监管补助资金</w:t>
      </w:r>
      <w:r>
        <w:rPr>
          <w:rFonts w:ascii="Times New Roman" w:hAnsi="Times New Roman" w:eastAsia="方正小标宋简体"/>
          <w:sz w:val="44"/>
          <w:szCs w:val="44"/>
        </w:rPr>
        <w:t>专项预算项目绩效</w:t>
      </w:r>
    </w:p>
    <w:p>
      <w:pPr>
        <w:pStyle w:val="35"/>
        <w:spacing w:line="578" w:lineRule="exact"/>
        <w:jc w:val="center"/>
        <w:rPr>
          <w:rFonts w:ascii="Times New Roman" w:hAnsi="Times New Roman" w:eastAsia="方正小标宋简体"/>
          <w:sz w:val="44"/>
          <w:szCs w:val="44"/>
        </w:rPr>
      </w:pPr>
      <w:r>
        <w:rPr>
          <w:rFonts w:hint="eastAsia" w:ascii="Times New Roman" w:hAnsi="Times New Roman" w:eastAsia="方正小标宋简体"/>
          <w:sz w:val="44"/>
          <w:szCs w:val="44"/>
          <w:lang w:eastAsia="zh-CN"/>
        </w:rPr>
        <w:t>评价</w:t>
      </w:r>
      <w:r>
        <w:rPr>
          <w:rFonts w:ascii="Times New Roman" w:hAnsi="Times New Roman" w:eastAsia="方正小标宋简体"/>
          <w:sz w:val="44"/>
          <w:szCs w:val="44"/>
        </w:rPr>
        <w:t>报告</w:t>
      </w:r>
    </w:p>
    <w:p>
      <w:pPr>
        <w:spacing w:line="578" w:lineRule="exact"/>
        <w:ind w:firstLine="640"/>
        <w:rPr>
          <w:rFonts w:hint="eastAsia" w:ascii="黑体" w:hAnsi="黑体" w:eastAsia="黑体" w:cs="黑体"/>
          <w:kern w:val="0"/>
          <w:sz w:val="32"/>
          <w:szCs w:val="32"/>
        </w:rPr>
      </w:pPr>
    </w:p>
    <w:p>
      <w:pPr>
        <w:spacing w:line="578" w:lineRule="exact"/>
        <w:ind w:firstLine="640"/>
        <w:rPr>
          <w:rFonts w:hint="eastAsia" w:ascii="黑体" w:hAnsi="黑体" w:eastAsia="黑体" w:cs="黑体"/>
          <w:kern w:val="0"/>
          <w:sz w:val="32"/>
          <w:szCs w:val="32"/>
        </w:rPr>
      </w:pPr>
      <w:r>
        <w:rPr>
          <w:rFonts w:hint="eastAsia" w:ascii="黑体" w:hAnsi="黑体" w:eastAsia="黑体" w:cs="黑体"/>
          <w:kern w:val="0"/>
          <w:sz w:val="32"/>
          <w:szCs w:val="32"/>
        </w:rPr>
        <w:t>一、项目概况</w:t>
      </w:r>
    </w:p>
    <w:p>
      <w:pPr>
        <w:ind w:firstLine="683" w:firstLineChars="200"/>
        <w:rPr>
          <w:rFonts w:hint="eastAsia" w:eastAsia="楷体_GB2312"/>
          <w:b/>
          <w:sz w:val="32"/>
          <w:szCs w:val="32"/>
          <w:lang w:val="zh-CN"/>
        </w:rPr>
      </w:pPr>
      <w:r>
        <w:rPr>
          <w:rFonts w:hint="eastAsia" w:eastAsia="楷体_GB2312"/>
          <w:b/>
          <w:sz w:val="32"/>
          <w:szCs w:val="32"/>
          <w:lang w:val="zh-CN"/>
        </w:rPr>
        <w:t>（</w:t>
      </w:r>
      <w:r>
        <w:rPr>
          <w:rFonts w:hint="eastAsia" w:eastAsia="楷体_GB2312"/>
          <w:b/>
          <w:sz w:val="32"/>
          <w:szCs w:val="32"/>
          <w:lang w:val="zh-CN"/>
        </w:rPr>
        <w:t>一）项目基本情况</w:t>
      </w:r>
    </w:p>
    <w:p>
      <w:pPr>
        <w:spacing w:line="578" w:lineRule="exact"/>
        <w:ind w:firstLine="640"/>
        <w:rPr>
          <w:rFonts w:eastAsia="仿宋_GB2312"/>
          <w:sz w:val="32"/>
          <w:szCs w:val="32"/>
          <w:lang w:val="zh-CN"/>
        </w:rPr>
      </w:pPr>
      <w:r>
        <w:rPr>
          <w:rFonts w:hint="eastAsia" w:eastAsia="仿宋_GB2312"/>
          <w:sz w:val="32"/>
          <w:szCs w:val="32"/>
          <w:lang w:val="zh-CN"/>
        </w:rPr>
        <w:t>按照《四川省财政厅四川省药品监督管理局关于下达2024年药品监管专项资金的通知》（川财行〔2024〕15号）和《攀枝花市市场监督管理局关于印发2024年省级药品监管项目实施方案和绩效目标的通知》（攀市监办〔2024〕69号）要求，盐边县获2024 年省级药品监管专项资金1.5万元。主要用于药品日常监管及专项整治、药品经营企业符合性检查、药品不良反应和药物滥用监测及医疗器械专项整治和“两品一械”安全宣传周等工作。</w:t>
      </w:r>
    </w:p>
    <w:p>
      <w:pPr>
        <w:ind w:firstLine="683" w:firstLineChars="200"/>
        <w:rPr>
          <w:rFonts w:hint="eastAsia" w:eastAsia="楷体_GB2312"/>
          <w:b/>
          <w:sz w:val="32"/>
          <w:szCs w:val="32"/>
          <w:lang w:val="zh-CN"/>
        </w:rPr>
      </w:pPr>
      <w:r>
        <w:rPr>
          <w:rFonts w:hint="eastAsia" w:eastAsia="楷体_GB2312"/>
          <w:b/>
          <w:sz w:val="32"/>
          <w:szCs w:val="32"/>
          <w:lang w:val="zh-CN"/>
        </w:rPr>
        <w:t>（</w:t>
      </w:r>
      <w:r>
        <w:rPr>
          <w:rFonts w:hint="eastAsia" w:eastAsia="楷体_GB2312"/>
          <w:b/>
          <w:sz w:val="32"/>
          <w:szCs w:val="32"/>
          <w:lang w:val="zh-CN"/>
        </w:rPr>
        <w:t>二）项目绩效目标</w:t>
      </w:r>
    </w:p>
    <w:p>
      <w:pPr>
        <w:spacing w:line="578" w:lineRule="exact"/>
        <w:ind w:firstLine="640"/>
        <w:rPr>
          <w:rFonts w:hint="eastAsia" w:eastAsia="仿宋_GB2312"/>
          <w:sz w:val="32"/>
          <w:szCs w:val="32"/>
          <w:lang w:val="zh-CN"/>
        </w:rPr>
      </w:pPr>
      <w:r>
        <w:rPr>
          <w:rFonts w:hint="eastAsia" w:eastAsia="仿宋_GB2312"/>
          <w:sz w:val="32"/>
          <w:szCs w:val="32"/>
          <w:lang w:val="zh-CN"/>
        </w:rPr>
        <w:t>加强对药品、医疗器械、化妆品日常监管、不良反应监测，药品抽检工作。努力防范药品安全风险，保障人民用药安全，同时为药品上市后评价工作做好数据支撑。</w:t>
      </w:r>
    </w:p>
    <w:p>
      <w:pPr>
        <w:spacing w:line="578" w:lineRule="exact"/>
        <w:ind w:firstLine="640"/>
        <w:rPr>
          <w:rFonts w:hint="eastAsia" w:eastAsia="仿宋_GB2312"/>
          <w:sz w:val="32"/>
          <w:szCs w:val="32"/>
          <w:lang w:val="zh-CN"/>
        </w:rPr>
      </w:pPr>
      <w:r>
        <w:rPr>
          <w:rFonts w:hint="eastAsia" w:eastAsia="仿宋_GB2312"/>
          <w:sz w:val="32"/>
          <w:szCs w:val="32"/>
          <w:lang w:val="zh-CN"/>
        </w:rPr>
        <w:t>全年出动执法人员375人次，检查药品零售企业191家次、医疗机构231家次、化妆品经营使用单位164家次。对辖区内9家药品网络销售企业、26家医疗器械网络销售备案企业进行了全覆盖检查。重点开展了药品巩固提升行动、相关领域医疗器械监督检查、药品经营使用专项检查、第二类精神药品专项检查、保障未成年人药品质量安全专项行动、化妆品规范化经营等专项行动。同公安、卫健、医保部门开展联合检查2次，召开联席会议3次，约谈问题企业3家次，移交公安案件（线索）1件，移交其他省市药监部门案件线索3条，移交其他部门违法线索1条。已办结药械化案件23件（其中药品14件、医疗器械4件、化妆品5件），货值金额合计0.7388万元，罚没款合计4.12万元。有效打击药品违法犯罪行为,全年未发生药品安全事件。</w:t>
      </w:r>
    </w:p>
    <w:p>
      <w:pPr>
        <w:ind w:firstLine="683" w:firstLineChars="200"/>
        <w:rPr>
          <w:rFonts w:hint="eastAsia" w:eastAsia="楷体_GB2312"/>
          <w:b/>
          <w:sz w:val="32"/>
          <w:szCs w:val="32"/>
          <w:lang w:val="zh-CN"/>
        </w:rPr>
      </w:pPr>
      <w:r>
        <w:rPr>
          <w:rFonts w:hint="eastAsia" w:eastAsia="楷体_GB2312"/>
          <w:b/>
          <w:sz w:val="32"/>
          <w:szCs w:val="32"/>
          <w:lang w:val="zh-CN"/>
        </w:rPr>
        <w:t>（三）项目自评步骤及方法</w:t>
      </w:r>
    </w:p>
    <w:p>
      <w:pPr>
        <w:spacing w:line="578" w:lineRule="exact"/>
        <w:ind w:firstLine="640"/>
        <w:rPr>
          <w:rFonts w:hint="eastAsia" w:eastAsia="仿宋_GB2312"/>
          <w:sz w:val="32"/>
          <w:szCs w:val="32"/>
          <w:lang w:val="zh-CN"/>
        </w:rPr>
      </w:pPr>
      <w:r>
        <w:rPr>
          <w:rFonts w:hint="eastAsia" w:eastAsia="仿宋_GB2312"/>
          <w:sz w:val="32"/>
          <w:szCs w:val="32"/>
          <w:lang w:val="zh-CN"/>
        </w:rPr>
        <w:t>按照绩效指标中产出指标、效益指标、满意度指标等一级指标，数量指标、质量指标、失效指标、成本指标、经济效益指标、社会效益指标、服务对象满意度指标等二级指标自评。2024年持续开展药品安全风险隐患排查，强化监督抽检工作，加强基层食品监管人员能力建设工作培训，开展药品监督抽检工作。达到了项目决策的目的，项目管理贯通抽检全过程，实现了经济效应、社会效应、可持续影响等绩效目标。</w:t>
      </w:r>
    </w:p>
    <w:p>
      <w:pPr>
        <w:spacing w:line="578" w:lineRule="exact"/>
        <w:ind w:firstLine="640"/>
        <w:rPr>
          <w:rFonts w:hint="eastAsia" w:ascii="黑体" w:hAnsi="黑体" w:eastAsia="黑体" w:cs="黑体"/>
          <w:kern w:val="0"/>
          <w:sz w:val="32"/>
          <w:szCs w:val="32"/>
        </w:rPr>
      </w:pPr>
      <w:r>
        <w:rPr>
          <w:rFonts w:hint="eastAsia" w:ascii="黑体" w:hAnsi="黑体" w:eastAsia="黑体" w:cs="黑体"/>
          <w:kern w:val="0"/>
          <w:sz w:val="32"/>
          <w:szCs w:val="32"/>
        </w:rPr>
        <w:t>二、项目资金申报及使用情况</w:t>
      </w:r>
    </w:p>
    <w:p>
      <w:pPr>
        <w:ind w:firstLine="683" w:firstLineChars="200"/>
        <w:rPr>
          <w:rFonts w:hint="eastAsia" w:eastAsia="楷体_GB2312"/>
          <w:b/>
          <w:sz w:val="32"/>
          <w:szCs w:val="32"/>
          <w:lang w:val="zh-CN"/>
        </w:rPr>
      </w:pPr>
      <w:r>
        <w:rPr>
          <w:rFonts w:hint="eastAsia" w:eastAsia="楷体_GB2312"/>
          <w:b/>
          <w:sz w:val="32"/>
          <w:szCs w:val="32"/>
          <w:lang w:val="zh-CN"/>
        </w:rPr>
        <w:t>（一）项目资金申报及批复情况</w:t>
      </w:r>
    </w:p>
    <w:p>
      <w:pPr>
        <w:spacing w:line="578" w:lineRule="exact"/>
        <w:ind w:firstLine="640"/>
        <w:rPr>
          <w:rFonts w:hint="eastAsia" w:eastAsia="仿宋_GB2312"/>
          <w:sz w:val="32"/>
          <w:szCs w:val="32"/>
          <w:lang w:val="zh-CN"/>
        </w:rPr>
      </w:pPr>
      <w:r>
        <w:rPr>
          <w:rFonts w:hint="eastAsia" w:eastAsia="仿宋_GB2312"/>
          <w:sz w:val="32"/>
          <w:szCs w:val="32"/>
          <w:lang w:val="zh-CN"/>
        </w:rPr>
        <w:t>按照《四川省财政厅四川省药品监督管理局关于下达2024年药品监管专项资金的通知》（川财行〔2024〕15号）和《攀枝花市市场监督管理局关于印发2024年省级药品监管项目实施方案和绩效目标的通知》（攀市监办〔2024〕69号）要求，盐边县获2024 年省级药品监管专项资金1.5万元。</w:t>
      </w:r>
    </w:p>
    <w:p>
      <w:pPr>
        <w:ind w:firstLine="683" w:firstLineChars="200"/>
        <w:rPr>
          <w:rFonts w:hint="eastAsia" w:eastAsia="楷体_GB2312"/>
          <w:b/>
          <w:sz w:val="32"/>
          <w:szCs w:val="32"/>
          <w:lang w:val="zh-CN"/>
        </w:rPr>
      </w:pPr>
      <w:r>
        <w:rPr>
          <w:rFonts w:hint="eastAsia" w:eastAsia="楷体_GB2312"/>
          <w:b/>
          <w:sz w:val="32"/>
          <w:szCs w:val="32"/>
          <w:lang w:val="zh-CN"/>
        </w:rPr>
        <w:t>（二）资金计划、到位及使用情况</w:t>
      </w:r>
    </w:p>
    <w:p>
      <w:pPr>
        <w:adjustRightInd w:val="0"/>
        <w:snapToGrid w:val="0"/>
        <w:spacing w:line="578" w:lineRule="exact"/>
        <w:ind w:firstLine="680" w:firstLineChars="200"/>
        <w:rPr>
          <w:rFonts w:hint="eastAsia" w:eastAsia="仿宋_GB2312"/>
          <w:sz w:val="32"/>
          <w:szCs w:val="32"/>
          <w:lang w:val="zh-CN"/>
        </w:rPr>
      </w:pPr>
      <w:r>
        <w:rPr>
          <w:rFonts w:hint="eastAsia" w:ascii="仿宋" w:hAnsi="仿宋" w:eastAsia="仿宋" w:cs="CESI仿宋-GB2312"/>
          <w:bCs/>
          <w:lang w:val="zh-CN"/>
        </w:rPr>
        <w:t>我</w:t>
      </w:r>
      <w:r>
        <w:rPr>
          <w:rFonts w:hint="eastAsia" w:eastAsia="仿宋_GB2312"/>
          <w:sz w:val="32"/>
          <w:szCs w:val="32"/>
          <w:lang w:val="zh-CN"/>
        </w:rPr>
        <w:t>局按照《四川省药品监管专项资金管理办法》（川财行〔2019〕78号）等文件规定，2024年省级药品监管资金1.5万元已全部到位，到位率100%。在资金使用拨付、项目实施中符合相关规定，实行专款专用，项目截止2024年年末该专项资金未使用0.89万元。</w:t>
      </w:r>
    </w:p>
    <w:p>
      <w:pPr>
        <w:ind w:firstLine="683" w:firstLineChars="200"/>
        <w:rPr>
          <w:rFonts w:hint="eastAsia" w:eastAsia="楷体_GB2312"/>
          <w:b/>
          <w:sz w:val="32"/>
          <w:szCs w:val="32"/>
          <w:lang w:val="zh-CN"/>
        </w:rPr>
      </w:pPr>
      <w:r>
        <w:rPr>
          <w:rFonts w:hint="eastAsia" w:eastAsia="楷体_GB2312"/>
          <w:b/>
          <w:sz w:val="32"/>
          <w:szCs w:val="32"/>
          <w:lang w:val="zh-CN"/>
        </w:rPr>
        <w:t>（三）项目财务管理情况</w:t>
      </w:r>
    </w:p>
    <w:p>
      <w:pPr>
        <w:adjustRightInd w:val="0"/>
        <w:snapToGrid w:val="0"/>
        <w:spacing w:line="578" w:lineRule="exact"/>
        <w:ind w:firstLine="680" w:firstLineChars="200"/>
        <w:rPr>
          <w:rFonts w:hint="eastAsia" w:eastAsia="仿宋_GB2312"/>
          <w:sz w:val="32"/>
          <w:szCs w:val="32"/>
          <w:lang w:val="zh-CN"/>
        </w:rPr>
      </w:pPr>
      <w:r>
        <w:rPr>
          <w:rFonts w:hint="eastAsia" w:eastAsia="仿宋_GB2312"/>
          <w:sz w:val="32"/>
          <w:szCs w:val="32"/>
          <w:lang w:val="zh-CN"/>
        </w:rPr>
        <w:t>我单位财务设置在办公室，严格按照相关财务管理制度，对项目资金的申请、拨付、管理和使用严格按专项资金管理要求执行，专项资金严格按照“统筹兼顾、突出重点、促进发展、注重绩效”的原则进行分配和使用，各项制度执行落实较好，资金使用安全规范，未发现截留、挪用、挤占、虚列资金等现象。</w:t>
      </w:r>
    </w:p>
    <w:p>
      <w:pPr>
        <w:spacing w:line="578" w:lineRule="exact"/>
        <w:ind w:firstLine="640"/>
        <w:rPr>
          <w:rFonts w:hint="eastAsia" w:ascii="黑体" w:hAnsi="黑体" w:eastAsia="黑体" w:cs="黑体"/>
          <w:kern w:val="0"/>
          <w:sz w:val="32"/>
          <w:szCs w:val="32"/>
        </w:rPr>
      </w:pPr>
      <w:r>
        <w:rPr>
          <w:rFonts w:hint="eastAsia" w:ascii="黑体" w:hAnsi="黑体" w:eastAsia="黑体" w:cs="黑体"/>
          <w:kern w:val="0"/>
          <w:sz w:val="32"/>
          <w:szCs w:val="32"/>
        </w:rPr>
        <w:t>三、项目实施及管理情况</w:t>
      </w:r>
    </w:p>
    <w:p>
      <w:pPr>
        <w:adjustRightInd w:val="0"/>
        <w:snapToGrid w:val="0"/>
        <w:spacing w:line="578" w:lineRule="exact"/>
        <w:ind w:firstLine="680" w:firstLineChars="200"/>
        <w:rPr>
          <w:rFonts w:hint="eastAsia" w:eastAsia="仿宋_GB2312"/>
          <w:sz w:val="32"/>
          <w:szCs w:val="32"/>
          <w:lang w:val="zh-CN"/>
        </w:rPr>
      </w:pPr>
      <w:r>
        <w:rPr>
          <w:rFonts w:hint="eastAsia" w:eastAsia="仿宋_GB2312"/>
          <w:sz w:val="32"/>
          <w:szCs w:val="32"/>
          <w:lang w:val="zh-CN"/>
        </w:rPr>
        <w:t>项目制度办法体系健全、要素完备；项目资金分配因素选取、权重设置、区域分布、项目管理、审批符合管理要求；管资金、项目、政策与管绩效分开，项目绩效监管严格按要求开展。</w:t>
      </w:r>
    </w:p>
    <w:p>
      <w:pPr>
        <w:spacing w:line="578" w:lineRule="exact"/>
        <w:ind w:firstLine="640"/>
        <w:rPr>
          <w:rFonts w:hint="eastAsia" w:ascii="黑体" w:hAnsi="黑体" w:eastAsia="黑体" w:cs="黑体"/>
          <w:kern w:val="0"/>
          <w:sz w:val="32"/>
          <w:szCs w:val="32"/>
        </w:rPr>
      </w:pPr>
      <w:r>
        <w:rPr>
          <w:rFonts w:hint="eastAsia" w:ascii="黑体" w:hAnsi="黑体" w:eastAsia="黑体" w:cs="黑体"/>
          <w:kern w:val="0"/>
          <w:sz w:val="32"/>
          <w:szCs w:val="32"/>
        </w:rPr>
        <w:t>四、项目绩效情况</w:t>
      </w:r>
    </w:p>
    <w:p>
      <w:pPr>
        <w:ind w:firstLine="683" w:firstLineChars="200"/>
        <w:rPr>
          <w:rFonts w:hint="eastAsia" w:eastAsia="楷体_GB2312"/>
          <w:b/>
          <w:sz w:val="32"/>
          <w:szCs w:val="32"/>
          <w:lang w:val="zh-CN"/>
        </w:rPr>
      </w:pPr>
      <w:r>
        <w:rPr>
          <w:rFonts w:hint="eastAsia" w:eastAsia="楷体_GB2312"/>
          <w:b/>
          <w:sz w:val="32"/>
          <w:szCs w:val="32"/>
          <w:lang w:val="zh-CN"/>
        </w:rPr>
        <w:t>（一）项目完成情况</w:t>
      </w:r>
    </w:p>
    <w:p>
      <w:pPr>
        <w:adjustRightInd w:val="0"/>
        <w:snapToGrid w:val="0"/>
        <w:spacing w:line="578" w:lineRule="exact"/>
        <w:ind w:firstLine="680" w:firstLineChars="200"/>
        <w:rPr>
          <w:rFonts w:hint="eastAsia" w:eastAsia="仿宋_GB2312"/>
          <w:sz w:val="32"/>
          <w:szCs w:val="32"/>
          <w:lang w:val="zh-CN"/>
        </w:rPr>
      </w:pPr>
      <w:r>
        <w:rPr>
          <w:rFonts w:hint="eastAsia" w:eastAsia="仿宋_GB2312"/>
          <w:sz w:val="32"/>
          <w:szCs w:val="32"/>
          <w:lang w:val="zh-CN"/>
        </w:rPr>
        <w:t>全</w:t>
      </w:r>
      <w:r>
        <w:rPr>
          <w:rFonts w:hint="eastAsia" w:eastAsia="仿宋_GB2312"/>
          <w:sz w:val="32"/>
          <w:szCs w:val="32"/>
          <w:lang w:val="zh-CN"/>
        </w:rPr>
        <w:t>年出动执法人员375人次，检查药品零售企业191家次、医疗机构231家次、化妆品经营使用单位164家次。对辖区内9家药品网络销售企业、26家医疗器械网络销售备案企业进行了全覆盖检查。重点开展了药品巩固提升行动、相关领域医疗器械监督检查、药品经营使用专项检查、第二类精神药品专项检查、保障未成年人药品质量安全专项行动、化妆品规范化经营等专项行动。同公安、卫健、医保部门开展联合检查2次，召开联席会议3次，约谈问题企业3家次，移交公安案件（线索）1件，移交其他省市药监部门案件线索3条，移交其他部门违法线索1条。已办结药械化案件23件（其中药品14件、医疗器械4件、化妆品5件），货值金额合计0.7388万元，罚没款合计4.12万元。有效打击药品违法犯罪行为,全年未发生药品安全事件。</w:t>
      </w:r>
    </w:p>
    <w:p>
      <w:pPr>
        <w:ind w:firstLine="683" w:firstLineChars="200"/>
        <w:rPr>
          <w:rFonts w:hint="eastAsia" w:eastAsia="楷体_GB2312"/>
          <w:b/>
          <w:sz w:val="32"/>
          <w:szCs w:val="32"/>
          <w:lang w:val="zh-CN"/>
        </w:rPr>
      </w:pPr>
      <w:r>
        <w:rPr>
          <w:rFonts w:hint="eastAsia" w:eastAsia="楷体_GB2312"/>
          <w:b/>
          <w:sz w:val="32"/>
          <w:szCs w:val="32"/>
          <w:lang w:val="zh-CN"/>
        </w:rPr>
        <w:t>（二）项目效益情况</w:t>
      </w:r>
    </w:p>
    <w:p>
      <w:pPr>
        <w:adjustRightInd w:val="0"/>
        <w:snapToGrid w:val="0"/>
        <w:spacing w:line="578" w:lineRule="exact"/>
        <w:ind w:firstLine="680" w:firstLineChars="200"/>
        <w:rPr>
          <w:rFonts w:hint="eastAsia" w:eastAsia="仿宋_GB2312"/>
          <w:sz w:val="32"/>
          <w:szCs w:val="32"/>
          <w:lang w:val="zh-CN"/>
        </w:rPr>
      </w:pPr>
      <w:r>
        <w:rPr>
          <w:rFonts w:hint="eastAsia" w:eastAsia="仿宋_GB2312"/>
          <w:sz w:val="32"/>
          <w:szCs w:val="32"/>
          <w:lang w:val="zh-CN"/>
        </w:rPr>
        <w:t>该项目绩效目标分为产出指标（细化为数量、质量、时效、成本指标）、效益指标（细化为经济效益和生态效益指标）、满意度指标。所有指标均按指标值完成。</w:t>
      </w:r>
    </w:p>
    <w:p>
      <w:pPr>
        <w:spacing w:line="578" w:lineRule="exact"/>
        <w:ind w:firstLine="640"/>
        <w:rPr>
          <w:rFonts w:hint="eastAsia" w:ascii="黑体" w:hAnsi="黑体" w:eastAsia="黑体" w:cs="黑体"/>
          <w:kern w:val="0"/>
          <w:sz w:val="32"/>
          <w:szCs w:val="32"/>
        </w:rPr>
      </w:pPr>
      <w:r>
        <w:rPr>
          <w:rFonts w:hint="eastAsia" w:ascii="黑体" w:hAnsi="黑体" w:eastAsia="黑体" w:cs="黑体"/>
          <w:kern w:val="0"/>
          <w:sz w:val="32"/>
          <w:szCs w:val="32"/>
        </w:rPr>
        <w:t>五、评价结论及建议</w:t>
      </w:r>
    </w:p>
    <w:p>
      <w:pPr>
        <w:ind w:firstLine="683" w:firstLineChars="200"/>
        <w:rPr>
          <w:rFonts w:hint="eastAsia" w:eastAsia="楷体_GB2312"/>
          <w:b/>
          <w:sz w:val="32"/>
          <w:szCs w:val="32"/>
          <w:lang w:val="zh-CN"/>
        </w:rPr>
      </w:pPr>
      <w:r>
        <w:rPr>
          <w:rFonts w:hint="eastAsia" w:eastAsia="楷体_GB2312"/>
          <w:b/>
          <w:sz w:val="32"/>
          <w:szCs w:val="32"/>
          <w:lang w:val="zh-CN"/>
        </w:rPr>
        <w:t>（一）评价结论</w:t>
      </w:r>
    </w:p>
    <w:p>
      <w:pPr>
        <w:adjustRightInd w:val="0"/>
        <w:snapToGrid w:val="0"/>
        <w:spacing w:line="578" w:lineRule="exact"/>
        <w:ind w:firstLine="680" w:firstLineChars="200"/>
        <w:rPr>
          <w:rFonts w:hint="eastAsia" w:eastAsia="仿宋_GB2312"/>
          <w:sz w:val="32"/>
          <w:szCs w:val="32"/>
          <w:lang w:val="zh-CN"/>
        </w:rPr>
      </w:pPr>
      <w:r>
        <w:rPr>
          <w:rFonts w:hint="eastAsia" w:eastAsia="仿宋_GB2312"/>
          <w:sz w:val="32"/>
          <w:szCs w:val="32"/>
          <w:lang w:val="zh-CN"/>
        </w:rPr>
        <w:t>按照绩效指标中产出指标、效益指标、满意度指标等一级指标，数量指标、质量指标、失效指标、成本指标、经济效益指标、社会效益指标、服务对象满意度指标等进行量化评价，所有项目支出实际状况与下达绩效目标均相符，自评指标得分100分。</w:t>
      </w:r>
    </w:p>
    <w:p>
      <w:pPr>
        <w:ind w:firstLine="683" w:firstLineChars="200"/>
        <w:rPr>
          <w:rFonts w:hint="eastAsia" w:eastAsia="楷体_GB2312"/>
          <w:b/>
          <w:sz w:val="32"/>
          <w:szCs w:val="32"/>
          <w:lang w:val="zh-CN"/>
        </w:rPr>
      </w:pPr>
      <w:r>
        <w:rPr>
          <w:rFonts w:hint="eastAsia" w:eastAsia="楷体_GB2312"/>
          <w:b/>
          <w:sz w:val="32"/>
          <w:szCs w:val="32"/>
          <w:lang w:val="zh-CN"/>
        </w:rPr>
        <w:t>（二）存在的问题</w:t>
      </w:r>
    </w:p>
    <w:p>
      <w:pPr>
        <w:ind w:firstLine="683" w:firstLineChars="200"/>
        <w:rPr>
          <w:rFonts w:hint="eastAsia" w:eastAsia="楷体_GB2312"/>
          <w:b/>
          <w:sz w:val="32"/>
          <w:szCs w:val="32"/>
          <w:lang w:val="zh-CN"/>
        </w:rPr>
      </w:pPr>
      <w:r>
        <w:rPr>
          <w:rFonts w:hint="eastAsia" w:eastAsia="楷体_GB2312"/>
          <w:b/>
          <w:sz w:val="32"/>
          <w:szCs w:val="32"/>
          <w:lang w:val="zh-CN"/>
        </w:rPr>
        <w:t>无。</w:t>
      </w:r>
    </w:p>
    <w:p>
      <w:pPr>
        <w:ind w:firstLine="683" w:firstLineChars="200"/>
        <w:rPr>
          <w:rFonts w:hint="eastAsia" w:eastAsia="楷体_GB2312"/>
          <w:b/>
          <w:sz w:val="32"/>
          <w:szCs w:val="32"/>
          <w:lang w:val="zh-CN"/>
        </w:rPr>
      </w:pPr>
      <w:r>
        <w:rPr>
          <w:rFonts w:hint="eastAsia" w:eastAsia="楷体_GB2312"/>
          <w:b/>
          <w:sz w:val="32"/>
          <w:szCs w:val="32"/>
          <w:lang w:val="zh-CN"/>
        </w:rPr>
        <w:t>（三）相关建议</w:t>
      </w:r>
    </w:p>
    <w:p>
      <w:pPr>
        <w:adjustRightInd w:val="0"/>
        <w:snapToGrid w:val="0"/>
        <w:spacing w:line="578" w:lineRule="exact"/>
        <w:ind w:firstLine="680" w:firstLineChars="200"/>
        <w:rPr>
          <w:rFonts w:ascii="仿宋" w:hAnsi="仿宋" w:eastAsia="仿宋" w:cs="CESI仿宋-GB2312"/>
          <w:bCs/>
          <w:lang w:val="zh-CN"/>
        </w:rPr>
      </w:pPr>
      <w:r>
        <w:rPr>
          <w:rFonts w:hint="eastAsia" w:ascii="仿宋" w:hAnsi="仿宋" w:eastAsia="仿宋" w:cs="CESI仿宋-GB2312"/>
          <w:bCs/>
          <w:lang w:val="zh-CN"/>
        </w:rPr>
        <w:t>无。</w:t>
      </w: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jc w:val="center"/>
        <w:rPr>
          <w:rFonts w:ascii="Times New Roman" w:hAnsi="Times New Roman" w:eastAsia="方正小标宋简体" w:cs="方正小标宋简体"/>
          <w:color w:val="auto"/>
          <w:kern w:val="2"/>
          <w:sz w:val="44"/>
          <w:szCs w:val="44"/>
          <w:lang w:val="en-US"/>
        </w:rPr>
      </w:pPr>
      <w:r>
        <w:rPr>
          <w:rFonts w:ascii="Times New Roman" w:hAnsi="Times New Roman" w:eastAsia="方正小标宋简体"/>
          <w:sz w:val="44"/>
          <w:szCs w:val="44"/>
        </w:rPr>
        <w:t>创建国家食品安全示范城市、四川省食品安全示范县专项预算项目绩效评价报告</w:t>
      </w:r>
    </w:p>
    <w:p>
      <w:pPr>
        <w:pStyle w:val="35"/>
        <w:spacing w:line="578" w:lineRule="exact"/>
        <w:ind w:firstLine="640"/>
        <w:jc w:val="center"/>
        <w:rPr>
          <w:rFonts w:ascii="Times New Roman" w:hAnsi="Times New Roman"/>
          <w:color w:val="auto"/>
          <w:kern w:val="2"/>
          <w:sz w:val="32"/>
          <w:szCs w:val="32"/>
        </w:rPr>
      </w:pPr>
    </w:p>
    <w:p>
      <w:pPr>
        <w:adjustRightInd w:val="0"/>
        <w:snapToGrid w:val="0"/>
        <w:spacing w:line="578" w:lineRule="exact"/>
        <w:ind w:firstLine="640" w:firstLineChars="200"/>
        <w:rPr>
          <w:rFonts w:eastAsia="黑体"/>
          <w:sz w:val="32"/>
          <w:szCs w:val="32"/>
          <w:lang w:val="zh-CN"/>
        </w:rPr>
      </w:pPr>
      <w:r>
        <w:rPr>
          <w:rFonts w:hint="eastAsia" w:eastAsia="黑体"/>
          <w:sz w:val="32"/>
          <w:szCs w:val="32"/>
        </w:rPr>
        <w:t>一、</w:t>
      </w:r>
      <w:r>
        <w:rPr>
          <w:rFonts w:hint="eastAsia" w:eastAsia="黑体"/>
          <w:sz w:val="32"/>
          <w:szCs w:val="32"/>
          <w:lang w:val="zh-CN"/>
        </w:rPr>
        <w:t>项目概况</w:t>
      </w:r>
    </w:p>
    <w:p>
      <w:pPr>
        <w:widowControl/>
        <w:adjustRightInd w:val="0"/>
        <w:snapToGrid w:val="0"/>
        <w:spacing w:line="578" w:lineRule="exact"/>
        <w:ind w:firstLine="643" w:firstLineChars="200"/>
        <w:contextualSpacing/>
        <w:jc w:val="left"/>
        <w:rPr>
          <w:rFonts w:eastAsia="仿宋_GB2312" w:cs="仿宋_GB2312"/>
          <w:kern w:val="0"/>
          <w:sz w:val="32"/>
          <w:szCs w:val="32"/>
          <w:shd w:val="clear" w:color="auto" w:fill="FFFFFF"/>
          <w:lang w:val="zh-CN"/>
        </w:rPr>
      </w:pPr>
      <w:r>
        <w:rPr>
          <w:rFonts w:hint="eastAsia" w:eastAsia="楷体_GB2312"/>
          <w:b/>
          <w:sz w:val="32"/>
          <w:szCs w:val="32"/>
          <w:lang w:val="zh-CN"/>
        </w:rPr>
        <w:t>（一）设立背景及基本情况。</w:t>
      </w:r>
      <w:r>
        <w:rPr>
          <w:rFonts w:eastAsia="仿宋_GB2312"/>
          <w:sz w:val="32"/>
          <w:szCs w:val="32"/>
          <w:lang w:val="zh-CN"/>
        </w:rPr>
        <w:t>创建国家食品安全示范城市，是实施食品安全战略的重要内容，既是一项重大的政治任务，更是事关群众福祉的民生工程、民心工程，对于筑牢食品安全监管基础、营造食品产业良好发展环境、提升城市形象、打造城市品牌都具有十分重要的意义。根据《攀枝花市创建国家食品安全示范城市工作方案》《盐边县创建国家食品安全示范城市工作方案》《盐边县创建四川省食品安全示范县工作方案》等文件要求，积极争取地方财政经费支持。</w:t>
      </w:r>
    </w:p>
    <w:p>
      <w:pPr>
        <w:adjustRightInd w:val="0"/>
        <w:snapToGrid w:val="0"/>
        <w:spacing w:line="578" w:lineRule="exact"/>
        <w:ind w:firstLine="643" w:firstLineChars="200"/>
        <w:rPr>
          <w:rFonts w:eastAsia="仿宋_GB2312" w:cs="仿宋_GB2312"/>
          <w:kern w:val="0"/>
          <w:sz w:val="32"/>
          <w:szCs w:val="32"/>
          <w:lang w:val="zh-CN"/>
        </w:rPr>
      </w:pPr>
      <w:r>
        <w:rPr>
          <w:rFonts w:hint="eastAsia" w:eastAsia="楷体_GB2312"/>
          <w:b/>
          <w:sz w:val="32"/>
          <w:szCs w:val="32"/>
          <w:lang w:val="zh-CN"/>
        </w:rPr>
        <w:t>（二）</w:t>
      </w:r>
      <w:r>
        <w:rPr>
          <w:rFonts w:eastAsia="楷体_GB2312"/>
          <w:b/>
          <w:sz w:val="32"/>
          <w:szCs w:val="32"/>
        </w:rPr>
        <w:t>实施目的及支持方向</w:t>
      </w:r>
      <w:r>
        <w:rPr>
          <w:rFonts w:hint="eastAsia" w:eastAsia="楷体_GB2312"/>
          <w:b/>
          <w:sz w:val="32"/>
          <w:szCs w:val="32"/>
        </w:rPr>
        <w:t>。</w:t>
      </w:r>
      <w:r>
        <w:rPr>
          <w:rFonts w:eastAsia="仿宋_GB2312"/>
          <w:sz w:val="32"/>
          <w:szCs w:val="32"/>
          <w:lang w:val="zh-CN"/>
        </w:rPr>
        <w:t>通过示范创建活动，执行最严谨的标准、最严格的监管、最严厉的处罚、最严肃的问责“四个最严”要求，坚决守好食品安全底线，实现食品安全状况持续稳定向好，食品生产经营者主体责任意识普遍增强，食品安全治理能力全面提升。</w:t>
      </w:r>
    </w:p>
    <w:p>
      <w:pPr>
        <w:widowControl/>
        <w:adjustRightInd w:val="0"/>
        <w:snapToGrid w:val="0"/>
        <w:spacing w:line="578" w:lineRule="exact"/>
        <w:ind w:firstLine="643" w:firstLineChars="200"/>
        <w:contextualSpacing/>
        <w:jc w:val="left"/>
        <w:rPr>
          <w:rFonts w:eastAsia="仿宋_GB2312" w:cs="仿宋_GB2312"/>
          <w:kern w:val="0"/>
          <w:sz w:val="32"/>
          <w:szCs w:val="32"/>
          <w:lang w:val="zh-CN"/>
        </w:rPr>
      </w:pPr>
      <w:r>
        <w:rPr>
          <w:rFonts w:hint="eastAsia" w:eastAsia="楷体_GB2312"/>
          <w:b/>
          <w:sz w:val="32"/>
          <w:szCs w:val="32"/>
          <w:lang w:val="zh-CN"/>
        </w:rPr>
        <w:t>（三）</w:t>
      </w:r>
      <w:r>
        <w:rPr>
          <w:rFonts w:eastAsia="楷体_GB2312"/>
          <w:b/>
          <w:sz w:val="32"/>
          <w:szCs w:val="32"/>
        </w:rPr>
        <w:t>预算安排及分配管理</w:t>
      </w:r>
      <w:r>
        <w:rPr>
          <w:rFonts w:hint="eastAsia" w:eastAsia="楷体_GB2312"/>
          <w:b/>
          <w:sz w:val="32"/>
          <w:szCs w:val="32"/>
          <w:lang w:val="zh-CN"/>
        </w:rPr>
        <w:t>。</w:t>
      </w:r>
      <w:r>
        <w:rPr>
          <w:rFonts w:eastAsia="仿宋_GB2312"/>
          <w:sz w:val="32"/>
          <w:szCs w:val="32"/>
          <w:lang w:val="zh-CN"/>
        </w:rPr>
        <w:t>项目预算</w:t>
      </w:r>
      <w:r>
        <w:rPr>
          <w:rFonts w:hint="eastAsia" w:eastAsia="仿宋_GB2312"/>
          <w:sz w:val="32"/>
          <w:szCs w:val="32"/>
        </w:rPr>
        <w:t>98.51</w:t>
      </w:r>
      <w:r>
        <w:rPr>
          <w:rFonts w:eastAsia="仿宋_GB2312"/>
          <w:sz w:val="32"/>
          <w:szCs w:val="32"/>
        </w:rPr>
        <w:t>万元，主要为群发宣传短信、盐边县食品生产经营主体规范提升服务项目、</w:t>
      </w:r>
      <w:r>
        <w:rPr>
          <w:rFonts w:hint="eastAsia" w:eastAsia="仿宋_GB2312"/>
          <w:sz w:val="32"/>
          <w:szCs w:val="32"/>
        </w:rPr>
        <w:t>打造食品安全智慧监管平台、两化建设、</w:t>
      </w:r>
      <w:r>
        <w:rPr>
          <w:rFonts w:eastAsia="仿宋_GB2312"/>
          <w:sz w:val="32"/>
          <w:szCs w:val="32"/>
        </w:rPr>
        <w:t>制作宣传展板、宣传资料、</w:t>
      </w:r>
      <w:r>
        <w:rPr>
          <w:rFonts w:hint="eastAsia" w:eastAsia="仿宋_GB2312"/>
          <w:sz w:val="32"/>
          <w:szCs w:val="32"/>
        </w:rPr>
        <w:t>会议材料、</w:t>
      </w:r>
      <w:r>
        <w:rPr>
          <w:rFonts w:eastAsia="仿宋_GB2312"/>
          <w:sz w:val="32"/>
          <w:szCs w:val="32"/>
        </w:rPr>
        <w:t>补发2020年-2021年食品安全协管员、信息员工作补助等方面使用</w:t>
      </w:r>
      <w:r>
        <w:rPr>
          <w:rFonts w:eastAsia="仿宋_GB2312"/>
          <w:sz w:val="32"/>
          <w:szCs w:val="32"/>
          <w:lang w:val="zh-CN"/>
        </w:rPr>
        <w:t>。</w:t>
      </w:r>
    </w:p>
    <w:p>
      <w:pPr>
        <w:adjustRightInd w:val="0"/>
        <w:snapToGrid w:val="0"/>
        <w:spacing w:line="578" w:lineRule="exact"/>
        <w:ind w:firstLine="643" w:firstLineChars="200"/>
        <w:rPr>
          <w:rFonts w:eastAsia="仿宋_GB2312" w:cs="仿宋_GB2312"/>
          <w:kern w:val="0"/>
          <w:sz w:val="32"/>
          <w:szCs w:val="32"/>
          <w:lang w:val="zh-CN"/>
        </w:rPr>
      </w:pPr>
      <w:r>
        <w:rPr>
          <w:rFonts w:hint="eastAsia" w:eastAsia="楷体_GB2312"/>
          <w:b/>
          <w:sz w:val="32"/>
          <w:szCs w:val="32"/>
          <w:lang w:val="zh-CN"/>
        </w:rPr>
        <w:t>（四）项目绩效目标设置。</w:t>
      </w:r>
      <w:r>
        <w:rPr>
          <w:rFonts w:eastAsia="仿宋_GB2312"/>
          <w:sz w:val="32"/>
          <w:szCs w:val="32"/>
          <w:lang w:val="zh-CN"/>
        </w:rPr>
        <w:t>该项目绩效目标分为产出指标（细化为数量、质量、时效指标）、效益指标（细化为社会效益指标）、成本指标及满意度指标。</w:t>
      </w:r>
      <w:r>
        <w:rPr>
          <w:rFonts w:hint="eastAsia" w:eastAsia="仿宋_GB2312"/>
          <w:sz w:val="32"/>
          <w:szCs w:val="32"/>
        </w:rPr>
        <w:t>兑现</w:t>
      </w:r>
      <w:r>
        <w:rPr>
          <w:rFonts w:eastAsia="仿宋_GB2312"/>
          <w:sz w:val="32"/>
          <w:szCs w:val="32"/>
        </w:rPr>
        <w:t>2020年-2021年食品安全协管员、信息员工作补助</w:t>
      </w:r>
      <w:r>
        <w:rPr>
          <w:rFonts w:hint="eastAsia" w:eastAsia="仿宋_GB2312"/>
          <w:sz w:val="32"/>
          <w:szCs w:val="32"/>
        </w:rPr>
        <w:t>、成功运行食品安全智慧监管平台及相关宣传费用兑现，</w:t>
      </w:r>
      <w:r>
        <w:rPr>
          <w:rFonts w:eastAsia="仿宋_GB2312"/>
          <w:sz w:val="32"/>
          <w:szCs w:val="32"/>
        </w:rPr>
        <w:t>目标均完成</w:t>
      </w:r>
      <w:r>
        <w:rPr>
          <w:rFonts w:eastAsia="仿宋_GB2312"/>
          <w:sz w:val="32"/>
          <w:szCs w:val="32"/>
          <w:lang w:val="zh-CN"/>
        </w:rPr>
        <w:t>。</w:t>
      </w:r>
    </w:p>
    <w:p>
      <w:pPr>
        <w:adjustRightInd w:val="0"/>
        <w:snapToGrid w:val="0"/>
        <w:spacing w:line="578" w:lineRule="exact"/>
        <w:ind w:firstLine="640" w:firstLineChars="200"/>
        <w:rPr>
          <w:rFonts w:eastAsia="黑体"/>
          <w:sz w:val="32"/>
          <w:szCs w:val="32"/>
        </w:rPr>
      </w:pPr>
      <w:r>
        <w:rPr>
          <w:rFonts w:hint="eastAsia" w:eastAsia="黑体"/>
          <w:sz w:val="32"/>
          <w:szCs w:val="32"/>
        </w:rPr>
        <w:t>二、评价实施</w:t>
      </w:r>
    </w:p>
    <w:p>
      <w:pPr>
        <w:spacing w:line="578" w:lineRule="exact"/>
        <w:ind w:firstLine="640"/>
        <w:rPr>
          <w:rFonts w:eastAsia="仿宋_GB2312" w:cs="仿宋_GB2312"/>
          <w:kern w:val="0"/>
          <w:sz w:val="32"/>
          <w:szCs w:val="32"/>
          <w:lang w:val="zh-CN"/>
        </w:rPr>
      </w:pPr>
      <w:r>
        <w:rPr>
          <w:rFonts w:hint="eastAsia" w:eastAsia="楷体_GB2312"/>
          <w:b/>
          <w:sz w:val="32"/>
          <w:szCs w:val="32"/>
          <w:lang w:val="zh-CN"/>
        </w:rPr>
        <w:t>（一）评价目的。</w:t>
      </w:r>
      <w:r>
        <w:rPr>
          <w:rFonts w:eastAsia="仿宋_GB2312"/>
          <w:sz w:val="32"/>
          <w:szCs w:val="32"/>
          <w:lang w:val="zh-CN"/>
        </w:rPr>
        <w:t>通过示范创建活动，执行最严谨的标准、最严格的监管、最严厉的处罚、最严肃的问责“四个最严”要求，坚决守好食品安全底线，实现食品安全状况持续稳定向好，食品生产经营者主体责任意识普遍增强，食品安全治理能力全面提升。</w:t>
      </w:r>
    </w:p>
    <w:p>
      <w:pPr>
        <w:adjustRightInd w:val="0"/>
        <w:snapToGrid w:val="0"/>
        <w:spacing w:line="578" w:lineRule="exact"/>
        <w:ind w:firstLine="643" w:firstLineChars="200"/>
        <w:rPr>
          <w:rFonts w:eastAsia="仿宋_GB2312" w:cs="仿宋_GB2312"/>
          <w:kern w:val="0"/>
          <w:sz w:val="32"/>
          <w:szCs w:val="32"/>
          <w:lang w:val="zh-CN"/>
        </w:rPr>
      </w:pPr>
      <w:r>
        <w:rPr>
          <w:rFonts w:hint="eastAsia" w:eastAsia="楷体_GB2312"/>
          <w:b/>
          <w:sz w:val="32"/>
          <w:szCs w:val="32"/>
          <w:lang w:val="zh-CN"/>
        </w:rPr>
        <w:t>（二）预设问题及评价重点。</w:t>
      </w:r>
      <w:r>
        <w:rPr>
          <w:rFonts w:eastAsia="仿宋_GB2312"/>
          <w:sz w:val="32"/>
          <w:szCs w:val="32"/>
          <w:lang w:val="zh-CN"/>
        </w:rPr>
        <w:t>预设问题包括：</w:t>
      </w:r>
      <w:r>
        <w:rPr>
          <w:rFonts w:hint="eastAsia" w:eastAsia="仿宋_GB2312"/>
          <w:sz w:val="32"/>
          <w:szCs w:val="32"/>
          <w:lang w:val="zh-CN"/>
        </w:rPr>
        <w:t>项目</w:t>
      </w:r>
      <w:r>
        <w:rPr>
          <w:rFonts w:eastAsia="仿宋_GB2312"/>
          <w:sz w:val="32"/>
          <w:szCs w:val="32"/>
          <w:lang w:val="zh-CN"/>
        </w:rPr>
        <w:t>是否符合实际需求，资金使用是否合规，项目实施是否按计划进行等。重点在于项目申报内容与具体实施内容相符、申报目标合理可行。</w:t>
      </w:r>
    </w:p>
    <w:p>
      <w:pPr>
        <w:spacing w:line="578" w:lineRule="exact"/>
        <w:ind w:firstLine="640"/>
        <w:rPr>
          <w:rFonts w:eastAsia="楷体_GB2312"/>
          <w:b/>
          <w:sz w:val="32"/>
          <w:szCs w:val="32"/>
          <w:lang w:val="zh-CN"/>
        </w:rPr>
      </w:pPr>
      <w:r>
        <w:rPr>
          <w:rFonts w:hint="eastAsia" w:eastAsia="楷体_GB2312"/>
          <w:b/>
          <w:sz w:val="32"/>
          <w:szCs w:val="32"/>
          <w:lang w:val="zh-CN"/>
        </w:rPr>
        <w:t>（三）评价选点。</w:t>
      </w:r>
      <w:r>
        <w:rPr>
          <w:rFonts w:hint="eastAsia" w:eastAsia="仿宋_GB2312"/>
          <w:sz w:val="32"/>
          <w:szCs w:val="32"/>
          <w:lang w:val="zh-CN"/>
        </w:rPr>
        <w:t>是否按时按质完成相关项目、兑现相关资金费用。</w:t>
      </w:r>
    </w:p>
    <w:p>
      <w:pPr>
        <w:spacing w:line="578" w:lineRule="exact"/>
        <w:ind w:firstLine="640"/>
        <w:rPr>
          <w:rFonts w:eastAsia="仿宋_GB2312" w:cs="仿宋_GB2312"/>
          <w:kern w:val="0"/>
          <w:sz w:val="32"/>
          <w:szCs w:val="32"/>
          <w:lang w:val="zh-CN"/>
        </w:rPr>
      </w:pPr>
      <w:r>
        <w:rPr>
          <w:rFonts w:hint="eastAsia" w:eastAsia="楷体_GB2312"/>
          <w:b/>
          <w:sz w:val="32"/>
          <w:szCs w:val="32"/>
          <w:lang w:val="zh-CN"/>
        </w:rPr>
        <w:t>（四）评价方法。</w:t>
      </w:r>
      <w:r>
        <w:rPr>
          <w:rFonts w:eastAsia="仿宋_GB2312"/>
          <w:sz w:val="32"/>
          <w:szCs w:val="32"/>
          <w:lang w:val="zh-CN"/>
        </w:rPr>
        <w:t>单位自评法、问卷调查法。</w:t>
      </w:r>
    </w:p>
    <w:p>
      <w:pPr>
        <w:spacing w:line="578" w:lineRule="exact"/>
        <w:ind w:firstLine="640"/>
        <w:rPr>
          <w:rFonts w:eastAsia="仿宋_GB2312"/>
          <w:bCs/>
        </w:rPr>
      </w:pPr>
      <w:r>
        <w:rPr>
          <w:rFonts w:hint="eastAsia" w:eastAsia="楷体_GB2312"/>
          <w:b/>
          <w:sz w:val="32"/>
          <w:szCs w:val="32"/>
          <w:lang w:val="zh-CN"/>
        </w:rPr>
        <w:t>（五）评价组织。</w:t>
      </w:r>
      <w:r>
        <w:rPr>
          <w:rFonts w:eastAsia="仿宋_GB2312"/>
          <w:sz w:val="32"/>
          <w:szCs w:val="32"/>
          <w:lang w:val="zh-CN"/>
        </w:rPr>
        <w:t>评价组人员由</w:t>
      </w:r>
      <w:r>
        <w:rPr>
          <w:rFonts w:hint="eastAsia" w:eastAsia="仿宋_GB2312"/>
          <w:sz w:val="32"/>
          <w:szCs w:val="32"/>
          <w:lang w:val="zh-CN"/>
        </w:rPr>
        <w:t>局领导、</w:t>
      </w:r>
      <w:r>
        <w:rPr>
          <w:rFonts w:eastAsia="仿宋_GB2312"/>
          <w:sz w:val="32"/>
          <w:szCs w:val="32"/>
          <w:lang w:val="zh-CN"/>
        </w:rPr>
        <w:t>办公室</w:t>
      </w:r>
      <w:r>
        <w:rPr>
          <w:rFonts w:hint="eastAsia" w:eastAsia="仿宋_GB2312"/>
          <w:sz w:val="32"/>
          <w:szCs w:val="32"/>
          <w:lang w:val="zh-CN"/>
        </w:rPr>
        <w:t>、食品安全协调股人员共同构成。</w:t>
      </w:r>
    </w:p>
    <w:p>
      <w:pPr>
        <w:adjustRightInd w:val="0"/>
        <w:snapToGrid w:val="0"/>
        <w:spacing w:line="578" w:lineRule="exact"/>
        <w:ind w:firstLine="640" w:firstLineChars="200"/>
        <w:rPr>
          <w:sz w:val="32"/>
          <w:szCs w:val="32"/>
          <w:lang w:val="zh-CN"/>
        </w:rPr>
      </w:pPr>
      <w:r>
        <w:rPr>
          <w:rFonts w:hint="eastAsia" w:eastAsia="黑体"/>
          <w:sz w:val="32"/>
          <w:szCs w:val="32"/>
        </w:rPr>
        <w:t>三、绩效分析</w:t>
      </w:r>
    </w:p>
    <w:p>
      <w:pPr>
        <w:spacing w:line="578" w:lineRule="exact"/>
        <w:ind w:firstLine="640"/>
        <w:rPr>
          <w:rFonts w:eastAsia="仿宋_GB2312" w:cs="仿宋_GB2312"/>
          <w:kern w:val="0"/>
          <w:sz w:val="32"/>
          <w:szCs w:val="32"/>
        </w:rPr>
      </w:pPr>
      <w:r>
        <w:rPr>
          <w:rFonts w:eastAsia="仿宋_GB2312" w:cs="仿宋_GB2312"/>
          <w:kern w:val="0"/>
          <w:sz w:val="32"/>
          <w:szCs w:val="32"/>
          <w:lang w:val="zh-CN"/>
        </w:rPr>
        <w:t>根据</w:t>
      </w:r>
      <w:r>
        <w:rPr>
          <w:rFonts w:hint="eastAsia" w:eastAsia="仿宋_GB2312" w:cs="仿宋_GB2312"/>
          <w:kern w:val="0"/>
          <w:sz w:val="32"/>
          <w:szCs w:val="32"/>
          <w:lang w:val="zh-CN"/>
        </w:rPr>
        <w:t>项目</w:t>
      </w:r>
      <w:r>
        <w:rPr>
          <w:rFonts w:eastAsia="仿宋_GB2312" w:cs="仿宋_GB2312"/>
          <w:kern w:val="0"/>
          <w:sz w:val="32"/>
          <w:szCs w:val="32"/>
          <w:lang w:val="zh-CN"/>
        </w:rPr>
        <w:t>预算绩效评价指标体系</w:t>
      </w:r>
      <w:r>
        <w:rPr>
          <w:rFonts w:hint="eastAsia" w:eastAsia="仿宋_GB2312" w:cs="仿宋_GB2312"/>
          <w:kern w:val="0"/>
          <w:sz w:val="32"/>
          <w:szCs w:val="32"/>
          <w:lang w:val="zh-CN"/>
        </w:rPr>
        <w:t>通用指标、专用指标、个性指标</w:t>
      </w:r>
      <w:r>
        <w:rPr>
          <w:rFonts w:eastAsia="仿宋_GB2312" w:cs="仿宋_GB2312"/>
          <w:kern w:val="0"/>
          <w:sz w:val="32"/>
          <w:szCs w:val="32"/>
          <w:lang w:val="zh-CN"/>
        </w:rPr>
        <w:t>涉及</w:t>
      </w:r>
      <w:r>
        <w:rPr>
          <w:rFonts w:hint="eastAsia" w:eastAsia="仿宋_GB2312" w:cs="仿宋_GB2312"/>
          <w:kern w:val="0"/>
          <w:sz w:val="32"/>
          <w:szCs w:val="32"/>
          <w:lang w:val="zh-CN"/>
        </w:rPr>
        <w:t>二、三级</w:t>
      </w:r>
      <w:r>
        <w:rPr>
          <w:rFonts w:eastAsia="仿宋_GB2312" w:cs="仿宋_GB2312"/>
          <w:kern w:val="0"/>
          <w:sz w:val="32"/>
          <w:szCs w:val="32"/>
          <w:lang w:val="zh-CN"/>
        </w:rPr>
        <w:t>指标进行</w:t>
      </w:r>
      <w:r>
        <w:rPr>
          <w:rFonts w:hint="eastAsia" w:eastAsia="仿宋_GB2312" w:cs="仿宋_GB2312"/>
          <w:kern w:val="0"/>
          <w:sz w:val="32"/>
          <w:szCs w:val="32"/>
          <w:lang w:val="zh-CN"/>
        </w:rPr>
        <w:t>逐项</w:t>
      </w:r>
      <w:r>
        <w:rPr>
          <w:rFonts w:eastAsia="仿宋_GB2312" w:cs="仿宋_GB2312"/>
          <w:kern w:val="0"/>
          <w:sz w:val="32"/>
          <w:szCs w:val="32"/>
          <w:lang w:val="zh-CN"/>
        </w:rPr>
        <w:t>绩效分析</w:t>
      </w:r>
      <w:r>
        <w:rPr>
          <w:rFonts w:hint="eastAsia" w:eastAsia="仿宋_GB2312" w:cs="仿宋_GB2312"/>
          <w:kern w:val="0"/>
          <w:sz w:val="32"/>
          <w:szCs w:val="32"/>
          <w:lang w:val="zh-CN"/>
        </w:rPr>
        <w:t>并评分</w:t>
      </w:r>
      <w:r>
        <w:rPr>
          <w:rFonts w:hint="eastAsia" w:eastAsia="仿宋_GB2312" w:cs="仿宋_GB2312"/>
          <w:kern w:val="0"/>
          <w:sz w:val="32"/>
          <w:szCs w:val="32"/>
        </w:rPr>
        <w:t>。</w:t>
      </w:r>
    </w:p>
    <w:p>
      <w:pPr>
        <w:spacing w:line="578" w:lineRule="exact"/>
        <w:ind w:firstLine="640"/>
        <w:rPr>
          <w:rFonts w:eastAsia="楷体_GB2312"/>
          <w:b/>
          <w:sz w:val="32"/>
          <w:szCs w:val="32"/>
        </w:rPr>
      </w:pPr>
      <w:r>
        <w:rPr>
          <w:rFonts w:hint="eastAsia" w:eastAsia="楷体_GB2312"/>
          <w:b/>
          <w:sz w:val="32"/>
          <w:szCs w:val="32"/>
          <w:lang w:val="zh-CN"/>
        </w:rPr>
        <w:t>（一）</w:t>
      </w:r>
      <w:r>
        <w:rPr>
          <w:rFonts w:hint="eastAsia" w:eastAsia="楷体_GB2312"/>
          <w:b/>
          <w:sz w:val="32"/>
          <w:szCs w:val="32"/>
        </w:rPr>
        <w:t>通用指标</w:t>
      </w:r>
      <w:r>
        <w:rPr>
          <w:rFonts w:eastAsia="楷体_GB2312"/>
          <w:b/>
          <w:bCs/>
          <w:color w:val="000000"/>
          <w:kern w:val="0"/>
          <w:sz w:val="32"/>
          <w:szCs w:val="32"/>
          <w:shd w:val="clear" w:color="auto" w:fill="FFFFFF"/>
          <w:lang w:val="zh-CN"/>
        </w:rPr>
        <w:t>绩效分析。</w:t>
      </w:r>
    </w:p>
    <w:p>
      <w:pPr>
        <w:ind w:firstLine="640" w:firstLineChars="200"/>
        <w:rPr>
          <w:rFonts w:eastAsia="仿宋_GB2312"/>
          <w:sz w:val="32"/>
          <w:szCs w:val="32"/>
          <w:lang w:val="zh-CN"/>
        </w:rPr>
      </w:pPr>
      <w:r>
        <w:rPr>
          <w:rFonts w:eastAsia="楷体"/>
          <w:sz w:val="32"/>
          <w:szCs w:val="32"/>
          <w:lang w:val="zh-CN"/>
        </w:rPr>
        <w:t>1.项目决策。根据</w:t>
      </w:r>
      <w:r>
        <w:rPr>
          <w:rFonts w:eastAsia="仿宋_GB2312"/>
          <w:sz w:val="32"/>
          <w:szCs w:val="32"/>
          <w:lang w:val="zh-CN"/>
        </w:rPr>
        <w:t>《攀枝花市创建国家食品安全示范城市工作方案》《盐边县创建国家食品安全示范城市工作方案》《盐边县创建四川省食品安全示范县工作方案》进行决策、规划以及资金投向，立项依据充分，决策程序规范，符合相关政策法规要求。</w:t>
      </w:r>
    </w:p>
    <w:p>
      <w:pPr>
        <w:ind w:firstLine="640" w:firstLineChars="200"/>
        <w:rPr>
          <w:rFonts w:eastAsia="仿宋_GB2312"/>
          <w:color w:val="FF0000"/>
          <w:sz w:val="32"/>
          <w:szCs w:val="32"/>
          <w:lang w:val="zh-CN"/>
        </w:rPr>
      </w:pPr>
      <w:r>
        <w:rPr>
          <w:rFonts w:eastAsia="楷体"/>
          <w:sz w:val="32"/>
          <w:szCs w:val="32"/>
          <w:lang w:val="zh-CN"/>
        </w:rPr>
        <w:t>2.项目管理。</w:t>
      </w:r>
      <w:r>
        <w:rPr>
          <w:rFonts w:eastAsia="仿宋_GB2312"/>
          <w:sz w:val="32"/>
          <w:szCs w:val="32"/>
          <w:lang w:val="zh-CN"/>
        </w:rPr>
        <w:t>我单位财务设置在办公室，严格按照相关财务管理制度，对项目资金的申请、拨付、管理和使用严格按专项资金管理要求执行，专项资金严格按照“统筹兼顾、突出重点、促进发展、注重绩效”的原则进行分配和使用，各项制度执行落实较好，资金使用安全规范，未发现截留、挪用、挤占、虚列资金等现象。</w:t>
      </w:r>
    </w:p>
    <w:p>
      <w:pPr>
        <w:ind w:firstLine="640" w:firstLineChars="200"/>
        <w:rPr>
          <w:rFonts w:eastAsia="仿宋_GB2312"/>
          <w:color w:val="FF0000"/>
          <w:sz w:val="32"/>
          <w:szCs w:val="32"/>
        </w:rPr>
      </w:pPr>
      <w:r>
        <w:rPr>
          <w:rFonts w:eastAsia="楷体"/>
          <w:sz w:val="32"/>
          <w:szCs w:val="32"/>
          <w:lang w:val="zh-CN"/>
        </w:rPr>
        <w:t>3.项目实施。</w:t>
      </w:r>
      <w:r>
        <w:rPr>
          <w:rFonts w:eastAsia="仿宋_GB2312"/>
          <w:sz w:val="32"/>
          <w:szCs w:val="32"/>
          <w:lang w:val="zh-CN"/>
        </w:rPr>
        <w:t>根据《攀枝花市创建国家食品安全示范城市工作方案》《盐边县创建国家食品安全示范城市工作方案》《盐边县创建四川省食品安全示范县工作方案》等文件相关要求→比选确定第三方机构→签订相关合同→开展创建食品生产经营主体打造、宣传→项目完成支付资金，预算执行率</w:t>
      </w:r>
      <w:r>
        <w:rPr>
          <w:rFonts w:eastAsia="仿宋_GB2312"/>
          <w:sz w:val="32"/>
          <w:szCs w:val="32"/>
        </w:rPr>
        <w:t>100%，资金使用合理合规。</w:t>
      </w:r>
    </w:p>
    <w:p>
      <w:pPr>
        <w:spacing w:line="578" w:lineRule="exact"/>
        <w:ind w:firstLine="640"/>
        <w:rPr>
          <w:rFonts w:eastAsia="仿宋_GB2312" w:cs="仿宋_GB2312"/>
          <w:kern w:val="0"/>
          <w:sz w:val="32"/>
          <w:szCs w:val="32"/>
          <w:lang w:val="zh-CN"/>
        </w:rPr>
      </w:pPr>
      <w:r>
        <w:rPr>
          <w:rFonts w:eastAsia="楷体_GB2312"/>
          <w:sz w:val="32"/>
          <w:szCs w:val="32"/>
          <w:lang w:val="zh-CN"/>
        </w:rPr>
        <w:t>4.项目结果。</w:t>
      </w:r>
      <w:r>
        <w:rPr>
          <w:rFonts w:eastAsia="仿宋_GB2312"/>
          <w:sz w:val="32"/>
          <w:szCs w:val="32"/>
          <w:lang w:val="zh-CN"/>
        </w:rPr>
        <w:t>项目按合同完成标的的数量、时间完成。</w:t>
      </w:r>
    </w:p>
    <w:p>
      <w:pPr>
        <w:ind w:firstLine="643" w:firstLineChars="200"/>
        <w:rPr>
          <w:rFonts w:eastAsia="楷体_GB2312"/>
          <w:b/>
          <w:bCs/>
          <w:color w:val="000000"/>
          <w:kern w:val="0"/>
          <w:sz w:val="32"/>
          <w:szCs w:val="32"/>
          <w:shd w:val="clear" w:color="auto" w:fill="FFFFFF"/>
          <w:lang w:val="zh-CN"/>
        </w:rPr>
      </w:pPr>
      <w:r>
        <w:rPr>
          <w:rFonts w:hint="eastAsia" w:eastAsia="楷体_GB2312"/>
          <w:b/>
          <w:sz w:val="32"/>
          <w:szCs w:val="32"/>
          <w:lang w:val="zh-CN"/>
        </w:rPr>
        <w:t>（二）</w:t>
      </w:r>
      <w:r>
        <w:rPr>
          <w:rFonts w:hint="eastAsia" w:eastAsia="楷体_GB2312"/>
          <w:b/>
          <w:sz w:val="32"/>
          <w:szCs w:val="32"/>
        </w:rPr>
        <w:t>专用指标</w:t>
      </w:r>
      <w:r>
        <w:rPr>
          <w:rFonts w:eastAsia="楷体_GB2312"/>
          <w:b/>
          <w:bCs/>
          <w:color w:val="000000"/>
          <w:kern w:val="0"/>
          <w:sz w:val="32"/>
          <w:szCs w:val="32"/>
          <w:shd w:val="clear" w:color="auto" w:fill="FFFFFF"/>
          <w:lang w:val="zh-CN"/>
        </w:rPr>
        <w:t>绩效分析。</w:t>
      </w:r>
    </w:p>
    <w:p>
      <w:pPr>
        <w:ind w:firstLine="640" w:firstLineChars="200"/>
        <w:rPr>
          <w:rFonts w:eastAsia="仿宋_GB2312"/>
          <w:color w:val="FF0000"/>
          <w:sz w:val="32"/>
          <w:szCs w:val="32"/>
          <w:lang w:val="zh-CN"/>
        </w:rPr>
      </w:pPr>
      <w:r>
        <w:rPr>
          <w:rFonts w:eastAsia="楷体_GB2312"/>
          <w:sz w:val="32"/>
          <w:szCs w:val="32"/>
          <w:lang w:val="zh-CN"/>
        </w:rPr>
        <w:t>1.产业发展。</w:t>
      </w:r>
      <w:r>
        <w:rPr>
          <w:rFonts w:eastAsia="仿宋_GB2312"/>
          <w:sz w:val="32"/>
          <w:szCs w:val="32"/>
          <w:lang w:val="zh-CN"/>
        </w:rPr>
        <w:t>符合创建相关要求，进一步提升了食品生产经营主体规范，实现食品安全状况持续稳定向好。</w:t>
      </w:r>
    </w:p>
    <w:p>
      <w:pPr>
        <w:ind w:firstLine="640" w:firstLineChars="200"/>
        <w:rPr>
          <w:rFonts w:eastAsia="仿宋_GB2312"/>
          <w:color w:val="FF0000"/>
          <w:sz w:val="32"/>
          <w:szCs w:val="32"/>
          <w:lang w:val="zh-CN"/>
        </w:rPr>
      </w:pPr>
      <w:r>
        <w:rPr>
          <w:rFonts w:eastAsia="楷体_GB2312"/>
          <w:sz w:val="32"/>
          <w:szCs w:val="32"/>
          <w:lang w:val="zh-CN"/>
        </w:rPr>
        <w:t>2.民生保障。</w:t>
      </w:r>
      <w:r>
        <w:rPr>
          <w:rFonts w:hint="eastAsia" w:eastAsia="仿宋_GB2312"/>
          <w:sz w:val="32"/>
          <w:szCs w:val="32"/>
          <w:lang w:val="zh-CN"/>
        </w:rPr>
        <w:t>进一步增强了全县人民群众对食品安全的满意度，营造良好的社会氛围</w:t>
      </w:r>
      <w:r>
        <w:rPr>
          <w:rFonts w:eastAsia="仿宋_GB2312"/>
          <w:sz w:val="32"/>
          <w:szCs w:val="32"/>
          <w:lang w:val="zh-CN"/>
        </w:rPr>
        <w:t>。</w:t>
      </w:r>
    </w:p>
    <w:p>
      <w:pPr>
        <w:ind w:firstLine="640" w:firstLineChars="200"/>
        <w:outlineLvl w:val="3"/>
        <w:rPr>
          <w:rFonts w:eastAsia="仿宋_GB2312"/>
          <w:color w:val="FF0000"/>
          <w:sz w:val="32"/>
          <w:szCs w:val="32"/>
          <w:lang w:val="zh-CN"/>
        </w:rPr>
      </w:pPr>
      <w:r>
        <w:rPr>
          <w:rFonts w:eastAsia="楷体_GB2312"/>
          <w:sz w:val="32"/>
          <w:szCs w:val="32"/>
          <w:lang w:val="zh-CN"/>
        </w:rPr>
        <w:t>3.基础设施。</w:t>
      </w:r>
      <w:r>
        <w:rPr>
          <w:rFonts w:eastAsia="仿宋_GB2312"/>
          <w:sz w:val="32"/>
          <w:szCs w:val="32"/>
          <w:lang w:val="zh-CN"/>
        </w:rPr>
        <w:t>项目按预期目标完成，完成情况良好。</w:t>
      </w:r>
    </w:p>
    <w:p>
      <w:pPr>
        <w:spacing w:line="578" w:lineRule="exact"/>
        <w:ind w:firstLine="640"/>
        <w:rPr>
          <w:rFonts w:eastAsia="仿宋_GB2312" w:cs="仿宋_GB2312"/>
          <w:kern w:val="0"/>
          <w:sz w:val="32"/>
          <w:szCs w:val="32"/>
        </w:rPr>
      </w:pPr>
      <w:r>
        <w:rPr>
          <w:rFonts w:eastAsia="楷体_GB2312"/>
          <w:sz w:val="32"/>
          <w:szCs w:val="32"/>
          <w:lang w:val="zh-CN"/>
        </w:rPr>
        <w:t>4.行政运转。</w:t>
      </w:r>
      <w:r>
        <w:rPr>
          <w:rFonts w:eastAsia="仿宋_GB2312"/>
          <w:sz w:val="32"/>
          <w:szCs w:val="32"/>
          <w:lang w:val="zh-CN"/>
        </w:rPr>
        <w:t>严格按照相关财务管理制度，对项目资金的申请、拨付、管理和使用严格按专项资金管理要求执行，专项资金严格按照“统筹兼顾、突出重点、促进发展、注重绩效”的原则进行分配和使用，各项制度执行落实较好，资金使用安全规范，未发现截留、挪用、挤占、虚列资金等现象。</w:t>
      </w:r>
    </w:p>
    <w:p>
      <w:pPr>
        <w:spacing w:line="578" w:lineRule="exact"/>
        <w:ind w:firstLine="640"/>
        <w:rPr>
          <w:rFonts w:eastAsia="仿宋_GB2312" w:cs="仿宋_GB2312"/>
          <w:kern w:val="0"/>
          <w:sz w:val="32"/>
          <w:szCs w:val="32"/>
        </w:rPr>
      </w:pPr>
      <w:r>
        <w:rPr>
          <w:rFonts w:hint="eastAsia" w:eastAsia="楷体_GB2312"/>
          <w:b/>
          <w:sz w:val="32"/>
          <w:szCs w:val="32"/>
          <w:lang w:val="zh-CN"/>
        </w:rPr>
        <w:t>（三）</w:t>
      </w:r>
      <w:r>
        <w:rPr>
          <w:rFonts w:hint="eastAsia" w:eastAsia="楷体_GB2312"/>
          <w:b/>
          <w:sz w:val="32"/>
          <w:szCs w:val="32"/>
        </w:rPr>
        <w:t>个性指标</w:t>
      </w:r>
      <w:r>
        <w:rPr>
          <w:rFonts w:eastAsia="楷体_GB2312"/>
          <w:b/>
          <w:bCs/>
          <w:color w:val="000000"/>
          <w:kern w:val="0"/>
          <w:sz w:val="32"/>
          <w:szCs w:val="32"/>
          <w:shd w:val="clear" w:color="auto" w:fill="FFFFFF"/>
          <w:lang w:val="zh-CN"/>
        </w:rPr>
        <w:t>绩效分析。</w:t>
      </w:r>
      <w:r>
        <w:rPr>
          <w:rFonts w:eastAsia="仿宋_GB2312"/>
          <w:sz w:val="32"/>
          <w:szCs w:val="32"/>
          <w:lang w:val="zh-CN"/>
        </w:rPr>
        <w:t>无。</w:t>
      </w:r>
    </w:p>
    <w:p>
      <w:pPr>
        <w:spacing w:line="578" w:lineRule="exact"/>
        <w:ind w:firstLine="640"/>
        <w:rPr>
          <w:rFonts w:ascii="黑体" w:hAnsi="黑体" w:eastAsia="黑体" w:cs="黑体"/>
          <w:kern w:val="0"/>
          <w:sz w:val="32"/>
          <w:szCs w:val="32"/>
        </w:rPr>
      </w:pPr>
      <w:r>
        <w:rPr>
          <w:rFonts w:hint="eastAsia" w:ascii="黑体" w:hAnsi="黑体" w:eastAsia="黑体" w:cs="黑体"/>
          <w:kern w:val="0"/>
          <w:sz w:val="32"/>
          <w:szCs w:val="32"/>
        </w:rPr>
        <w:t>四、评价结论</w:t>
      </w:r>
    </w:p>
    <w:p>
      <w:pPr>
        <w:spacing w:line="578" w:lineRule="exact"/>
        <w:ind w:firstLine="640"/>
        <w:rPr>
          <w:rFonts w:eastAsia="仿宋_GB2312" w:cs="仿宋_GB2312"/>
          <w:kern w:val="0"/>
          <w:sz w:val="32"/>
          <w:szCs w:val="32"/>
        </w:rPr>
      </w:pPr>
      <w:r>
        <w:rPr>
          <w:rFonts w:eastAsia="仿宋_GB2312"/>
          <w:sz w:val="32"/>
          <w:szCs w:val="32"/>
          <w:lang w:val="zh-CN"/>
        </w:rPr>
        <w:t>该项目自评</w:t>
      </w:r>
      <w:r>
        <w:rPr>
          <w:rFonts w:eastAsia="仿宋_GB2312"/>
          <w:sz w:val="32"/>
          <w:szCs w:val="32"/>
        </w:rPr>
        <w:t>100分。</w:t>
      </w:r>
      <w:r>
        <w:rPr>
          <w:rFonts w:eastAsia="仿宋_GB2312"/>
          <w:sz w:val="32"/>
          <w:szCs w:val="32"/>
          <w:lang w:val="zh-CN"/>
        </w:rPr>
        <w:t>达到了项目决策的目的，项目管理贯通全过程，实现了社会效应等绩效目标。对于筑牢食品安全监管基础、营造食品产业良好发展环境、提升城市形象、打造城市品牌都具有十分重要的意义。</w:t>
      </w:r>
    </w:p>
    <w:p>
      <w:pPr>
        <w:spacing w:line="578" w:lineRule="exact"/>
        <w:ind w:firstLine="640"/>
        <w:rPr>
          <w:rFonts w:ascii="黑体" w:hAnsi="黑体" w:eastAsia="黑体" w:cs="黑体"/>
          <w:kern w:val="0"/>
          <w:sz w:val="32"/>
          <w:szCs w:val="32"/>
        </w:rPr>
      </w:pPr>
      <w:r>
        <w:rPr>
          <w:rFonts w:hint="eastAsia" w:ascii="黑体" w:hAnsi="黑体" w:eastAsia="黑体" w:cs="黑体"/>
          <w:kern w:val="0"/>
          <w:sz w:val="32"/>
          <w:szCs w:val="32"/>
        </w:rPr>
        <w:t>五、存在主要问题</w:t>
      </w:r>
    </w:p>
    <w:p>
      <w:pPr>
        <w:spacing w:line="578" w:lineRule="exact"/>
        <w:ind w:firstLine="640"/>
        <w:rPr>
          <w:rFonts w:eastAsia="仿宋_GB2312" w:cs="仿宋_GB2312"/>
          <w:kern w:val="0"/>
          <w:sz w:val="32"/>
          <w:szCs w:val="32"/>
        </w:rPr>
      </w:pPr>
      <w:r>
        <w:rPr>
          <w:rFonts w:eastAsia="仿宋_GB2312"/>
          <w:sz w:val="32"/>
          <w:szCs w:val="32"/>
          <w:lang w:val="zh-CN"/>
        </w:rPr>
        <w:t>无。</w:t>
      </w:r>
    </w:p>
    <w:p>
      <w:pPr>
        <w:spacing w:line="578" w:lineRule="exact"/>
        <w:ind w:firstLine="640"/>
        <w:rPr>
          <w:rFonts w:ascii="黑体" w:hAnsi="黑体" w:eastAsia="黑体" w:cs="黑体"/>
          <w:kern w:val="0"/>
          <w:sz w:val="32"/>
          <w:szCs w:val="32"/>
          <w:lang w:val="zh-CN"/>
        </w:rPr>
      </w:pPr>
      <w:r>
        <w:rPr>
          <w:rFonts w:hint="eastAsia" w:ascii="黑体" w:hAnsi="黑体" w:eastAsia="黑体" w:cs="黑体"/>
          <w:kern w:val="0"/>
          <w:sz w:val="32"/>
          <w:szCs w:val="32"/>
          <w:lang w:val="zh-CN"/>
        </w:rPr>
        <w:t>六、改进建议</w:t>
      </w: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jc w:val="center"/>
        <w:rPr>
          <w:rFonts w:ascii="方正小标宋简体" w:hAnsi="方正小标宋简体" w:eastAsia="方正小标宋简体" w:cs="方正小标宋简体"/>
          <w:sz w:val="44"/>
          <w:szCs w:val="44"/>
          <w:lang w:bidi="ar"/>
        </w:rPr>
      </w:pPr>
      <w:r>
        <w:rPr>
          <w:rFonts w:hint="eastAsia" w:ascii="方正小标宋简体" w:hAnsi="方正小标宋简体" w:eastAsia="方正小标宋简体" w:cs="方正小标宋简体"/>
          <w:sz w:val="44"/>
          <w:szCs w:val="44"/>
          <w:lang w:bidi="ar"/>
        </w:rPr>
        <w:t>盐边县市场监督管理局购买台式水压泵</w:t>
      </w:r>
    </w:p>
    <w:p>
      <w:pPr>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bidi="ar"/>
        </w:rPr>
        <w:t>专项预算项目绩效评价报告</w:t>
      </w:r>
    </w:p>
    <w:p>
      <w:pPr>
        <w:rPr>
          <w:rFonts w:ascii="仿宋_GB2312" w:hAnsi="仿宋_GB2312" w:eastAsia="仿宋_GB2312" w:cs="仿宋_GB2312"/>
          <w:sz w:val="32"/>
          <w:szCs w:val="32"/>
        </w:rPr>
      </w:pPr>
    </w:p>
    <w:p>
      <w:pPr>
        <w:adjustRightInd w:val="0"/>
        <w:snapToGrid w:val="0"/>
        <w:spacing w:line="578" w:lineRule="exact"/>
        <w:ind w:firstLine="640" w:firstLineChars="200"/>
        <w:rPr>
          <w:rFonts w:hint="eastAsia" w:eastAsia="黑体"/>
          <w:sz w:val="32"/>
          <w:szCs w:val="32"/>
        </w:rPr>
      </w:pPr>
      <w:r>
        <w:rPr>
          <w:rFonts w:hint="eastAsia" w:eastAsia="黑体"/>
          <w:sz w:val="32"/>
          <w:szCs w:val="32"/>
        </w:rPr>
        <w:t>一、项目概况</w:t>
      </w:r>
    </w:p>
    <w:p>
      <w:pPr>
        <w:adjustRightInd w:val="0"/>
        <w:snapToGrid w:val="0"/>
        <w:spacing w:line="600" w:lineRule="exact"/>
        <w:ind w:firstLine="720"/>
        <w:rPr>
          <w:rFonts w:hint="eastAsia" w:ascii="仿宋_GB2312" w:hAnsi="仿宋_GB2312" w:eastAsia="仿宋_GB2312" w:cs="仿宋_GB2312"/>
          <w:b/>
          <w:sz w:val="32"/>
          <w:szCs w:val="32"/>
          <w:lang w:val="zh-CN"/>
        </w:rPr>
      </w:pPr>
      <w:r>
        <w:rPr>
          <w:rFonts w:hint="eastAsia" w:ascii="仿宋_GB2312" w:hAnsi="仿宋_GB2312" w:eastAsia="仿宋_GB2312" w:cs="仿宋_GB2312"/>
          <w:b/>
          <w:sz w:val="32"/>
          <w:szCs w:val="32"/>
          <w:lang w:val="zh-CN"/>
        </w:rPr>
        <w:t>（一）设立背景及基本情况</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bidi="ar"/>
        </w:rPr>
        <w:t>盐边县市场监督管理局计量测试所承担本地区量值传递职能，负责对企业送检的计量器具开展强制检定工作。因现有用于禁油压力表强制检定的台式水压泵设备陈旧老化，无法满足精准检定需求，需重新购置以保障检定工作正常开展。</w:t>
      </w:r>
    </w:p>
    <w:p>
      <w:pPr>
        <w:ind w:firstLine="640" w:firstLineChars="200"/>
        <w:rPr>
          <w:rFonts w:hint="eastAsia"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本项目立项依据《中华人民共和国计量法》及地方计量工作发展规划，资金申报严格遵循财政专项资金申报流程。项目主要内容为购置1台符合国家计量标准的台式水压泵，该设备作为社会公用计量标准，是统一本地区压力量值的核心依据，承担着将国家计量基准量值传递至生产生活一线计量仪器的关键任务，对保障市场公平交易、推动当地经济社会高质量发展具有重要支撑作用。</w:t>
      </w:r>
    </w:p>
    <w:p>
      <w:pPr>
        <w:adjustRightInd w:val="0"/>
        <w:snapToGrid w:val="0"/>
        <w:spacing w:line="600" w:lineRule="exact"/>
        <w:ind w:firstLine="720"/>
        <w:rPr>
          <w:rFonts w:hint="eastAsia" w:ascii="仿宋_GB2312" w:hAnsi="仿宋_GB2312" w:eastAsia="仿宋_GB2312" w:cs="仿宋_GB2312"/>
          <w:b/>
          <w:sz w:val="32"/>
          <w:szCs w:val="32"/>
          <w:lang w:val="zh-CN"/>
        </w:rPr>
      </w:pPr>
      <w:r>
        <w:rPr>
          <w:rFonts w:hint="eastAsia" w:ascii="仿宋_GB2312" w:hAnsi="仿宋_GB2312" w:eastAsia="仿宋_GB2312" w:cs="仿宋_GB2312"/>
          <w:b/>
          <w:sz w:val="32"/>
          <w:szCs w:val="32"/>
          <w:lang w:val="zh-CN"/>
        </w:rPr>
        <w:t>（二）实施目的及支持方向</w:t>
      </w:r>
    </w:p>
    <w:p>
      <w:pPr>
        <w:ind w:firstLine="640" w:firstLineChars="200"/>
        <w:rPr>
          <w:rFonts w:hint="eastAsia"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本项目实施目的是通过更新计量检定设备，提升禁油压力表强制检定的准确性和效率，确保本地区企业使用的计量器具符合国家规范，维护市场秩序和公共利益。</w:t>
      </w:r>
    </w:p>
    <w:p>
      <w:pPr>
        <w:ind w:firstLine="640" w:firstLineChars="200"/>
        <w:rPr>
          <w:rFonts w:hint="eastAsia"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项目已制定详细实施方案，明确由盐边县计量测试所牵头，局财务股室负责资金监管，成立专项工作小组，职责分工清晰；现有计量检定实验室基础设施完善，可满足新设备安装使用需求。</w:t>
      </w:r>
    </w:p>
    <w:p>
      <w:pPr>
        <w:adjustRightInd w:val="0"/>
        <w:snapToGrid w:val="0"/>
        <w:spacing w:line="600" w:lineRule="exact"/>
        <w:ind w:firstLine="720"/>
        <w:rPr>
          <w:rFonts w:hint="eastAsia" w:ascii="仿宋_GB2312" w:hAnsi="仿宋_GB2312" w:eastAsia="仿宋_GB2312" w:cs="仿宋_GB2312"/>
          <w:b/>
          <w:sz w:val="32"/>
          <w:szCs w:val="32"/>
          <w:lang w:val="zh-CN"/>
        </w:rPr>
      </w:pPr>
      <w:r>
        <w:rPr>
          <w:rFonts w:hint="eastAsia" w:ascii="仿宋_GB2312" w:hAnsi="仿宋_GB2312" w:eastAsia="仿宋_GB2312" w:cs="仿宋_GB2312"/>
          <w:b/>
          <w:sz w:val="32"/>
          <w:szCs w:val="32"/>
          <w:lang w:val="zh-CN"/>
        </w:rPr>
        <w:t>（三）预算安排及分配管理</w:t>
      </w:r>
    </w:p>
    <w:p>
      <w:pPr>
        <w:ind w:firstLine="640" w:firstLineChars="200"/>
        <w:rPr>
          <w:rFonts w:hint="eastAsia"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本项目申请财政资金总计2.98万元，资金来源为县级财政全额拨付，具有明确的公共性，属于公共财政支持的行政运转保障范畴，资金全部用于购买1台台式水压泵（含设备运输、安装调试及1年质保服务）。</w:t>
      </w:r>
    </w:p>
    <w:p>
      <w:pPr>
        <w:ind w:firstLine="640" w:firstLineChars="200"/>
        <w:rPr>
          <w:rFonts w:hint="eastAsia"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预算安排根据设备市场调研价格合理测算，确保金额真实合规；资金分配原则为“专款专用、直达项目”，仅考虑设备购置相关必要支出，不涉及其他用途分配，资金拨付将根据采购合同约定，保障资金使用安全。</w:t>
      </w:r>
    </w:p>
    <w:p>
      <w:pPr>
        <w:adjustRightInd w:val="0"/>
        <w:snapToGrid w:val="0"/>
        <w:spacing w:line="600" w:lineRule="exact"/>
        <w:ind w:firstLine="720"/>
        <w:rPr>
          <w:rFonts w:hint="eastAsia" w:ascii="仿宋_GB2312" w:hAnsi="仿宋_GB2312" w:eastAsia="仿宋_GB2312" w:cs="仿宋_GB2312"/>
          <w:b/>
          <w:sz w:val="32"/>
          <w:szCs w:val="32"/>
          <w:lang w:val="zh-CN"/>
        </w:rPr>
      </w:pPr>
      <w:r>
        <w:rPr>
          <w:rFonts w:hint="eastAsia" w:ascii="仿宋_GB2312" w:hAnsi="仿宋_GB2312" w:eastAsia="仿宋_GB2312" w:cs="仿宋_GB2312"/>
          <w:b/>
          <w:sz w:val="32"/>
          <w:szCs w:val="32"/>
          <w:lang w:val="zh-CN"/>
        </w:rPr>
        <w:t>（四）项目绩效目标设置</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bidi="ar"/>
        </w:rPr>
        <w:t>项目整体绩效目标为：2024年底前完成1台台式水压泵购置并投入使用，实现本地区禁油压力表检定准确率≥99%，企业满意度≥90%，设备正常运行率≥95%。</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bidi="ar"/>
        </w:rPr>
        <w:t>区域绩效目标聚焦盐边县全域，覆盖县域内化工、能源等需使用禁油压力表的重点企业，确保企业计量器具检定需求得到100%响应；具体绩效指标量化清晰，如“设备精度符合JJG 52-2013《弹性元件式一般压力表、压力真空表和真空表》标准”。</w:t>
      </w:r>
    </w:p>
    <w:p>
      <w:pPr>
        <w:ind w:firstLine="640" w:firstLineChars="200"/>
        <w:rPr>
          <w:rFonts w:hint="eastAsia"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项目已开展自评工作，通过收集采购合同、验收报告等资料，对照绩效目标逐项核查完成情况，形成了初步自评结果。</w:t>
      </w:r>
    </w:p>
    <w:p>
      <w:pPr>
        <w:adjustRightInd w:val="0"/>
        <w:snapToGrid w:val="0"/>
        <w:spacing w:line="578" w:lineRule="exact"/>
        <w:ind w:firstLine="640" w:firstLineChars="200"/>
        <w:rPr>
          <w:rFonts w:hint="eastAsia" w:eastAsia="黑体"/>
          <w:sz w:val="32"/>
          <w:szCs w:val="32"/>
        </w:rPr>
      </w:pPr>
      <w:r>
        <w:rPr>
          <w:rFonts w:hint="eastAsia" w:eastAsia="黑体"/>
          <w:sz w:val="32"/>
          <w:szCs w:val="32"/>
        </w:rPr>
        <w:t>二、评价实施</w:t>
      </w:r>
    </w:p>
    <w:p>
      <w:pPr>
        <w:adjustRightInd w:val="0"/>
        <w:snapToGrid w:val="0"/>
        <w:spacing w:line="600" w:lineRule="exact"/>
        <w:ind w:firstLine="720"/>
        <w:rPr>
          <w:rFonts w:hint="eastAsia" w:ascii="仿宋_GB2312" w:hAnsi="仿宋_GB2312" w:eastAsia="仿宋_GB2312" w:cs="仿宋_GB2312"/>
          <w:b/>
          <w:sz w:val="32"/>
          <w:szCs w:val="32"/>
          <w:lang w:val="zh-CN"/>
        </w:rPr>
      </w:pPr>
      <w:r>
        <w:rPr>
          <w:rFonts w:hint="eastAsia" w:ascii="仿宋_GB2312" w:hAnsi="仿宋_GB2312" w:eastAsia="仿宋_GB2312" w:cs="仿宋_GB2312"/>
          <w:b/>
          <w:sz w:val="32"/>
          <w:szCs w:val="32"/>
          <w:lang w:val="zh-CN"/>
        </w:rPr>
        <w:t>（一）评价目的</w:t>
      </w:r>
    </w:p>
    <w:p>
      <w:pPr>
        <w:ind w:firstLine="640" w:firstLineChars="200"/>
        <w:rPr>
          <w:rFonts w:hint="eastAsia"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通过本次绩效评价，精准识别项目预算编制中的优势与不足，提升后续同类项目预算编制的科学性和合理性；优化财政支出结构，避免财政资源低效配置，从源头上防控资金浪费风险；最终提高财政资金使用效益，确保项目成果切实服务于市场监管工作。</w:t>
      </w:r>
    </w:p>
    <w:p>
      <w:pPr>
        <w:adjustRightInd w:val="0"/>
        <w:snapToGrid w:val="0"/>
        <w:spacing w:line="600" w:lineRule="exact"/>
        <w:ind w:firstLine="720"/>
        <w:rPr>
          <w:rFonts w:hint="eastAsia" w:ascii="仿宋_GB2312" w:hAnsi="仿宋_GB2312" w:eastAsia="仿宋_GB2312" w:cs="仿宋_GB2312"/>
          <w:b/>
          <w:sz w:val="32"/>
          <w:szCs w:val="32"/>
          <w:lang w:val="zh-CN"/>
        </w:rPr>
      </w:pPr>
      <w:r>
        <w:rPr>
          <w:rFonts w:hint="eastAsia" w:ascii="仿宋_GB2312" w:hAnsi="仿宋_GB2312" w:eastAsia="仿宋_GB2312" w:cs="仿宋_GB2312"/>
          <w:b/>
          <w:sz w:val="32"/>
          <w:szCs w:val="32"/>
          <w:lang w:val="zh-CN"/>
        </w:rPr>
        <w:t>（二）预设问题及评价重点</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bidi="ar"/>
        </w:rPr>
        <w:t>预设问题主要包括：项目预算金额测算是否精准，是否存在超支或资金闲置风险；设备采购流程是否合规，是否符合政府采购相关规定；设备使用效果是否达到预期，能否满足</w:t>
      </w:r>
      <w:r>
        <w:rPr>
          <w:rFonts w:hint="eastAsia" w:ascii="仿宋_GB2312" w:hAnsi="仿宋_GB2312" w:eastAsia="仿宋_GB2312" w:cs="仿宋_GB2312"/>
          <w:sz w:val="32"/>
          <w:szCs w:val="32"/>
          <w:lang w:eastAsia="zh-CN" w:bidi="ar"/>
        </w:rPr>
        <w:t>机油</w:t>
      </w:r>
      <w:r>
        <w:rPr>
          <w:rFonts w:hint="eastAsia" w:ascii="仿宋_GB2312" w:hAnsi="仿宋_GB2312" w:eastAsia="仿宋_GB2312" w:cs="仿宋_GB2312"/>
          <w:sz w:val="32"/>
          <w:szCs w:val="32"/>
          <w:lang w:bidi="ar"/>
        </w:rPr>
        <w:t>压力表检定需求；绩效目标完成情况是否可量化验证，指标设置是否合理。</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bidi="ar"/>
        </w:rPr>
        <w:t>评价重点围绕资金支出使用全过程及实施效果展开，对照绩效评价指标体系，重点核查：项目决策的合规性与必要性、资金使用的规范性与经济性、设备运行的有效性与稳定性、绩效目标的完成度与匹配度。</w:t>
      </w:r>
    </w:p>
    <w:p>
      <w:pPr>
        <w:adjustRightInd w:val="0"/>
        <w:snapToGrid w:val="0"/>
        <w:spacing w:line="600" w:lineRule="exact"/>
        <w:ind w:firstLine="720"/>
        <w:rPr>
          <w:rFonts w:hint="eastAsia" w:ascii="仿宋_GB2312" w:hAnsi="仿宋_GB2312" w:eastAsia="仿宋_GB2312" w:cs="仿宋_GB2312"/>
          <w:b/>
          <w:sz w:val="32"/>
          <w:szCs w:val="32"/>
          <w:lang w:val="zh-CN"/>
        </w:rPr>
      </w:pPr>
      <w:r>
        <w:rPr>
          <w:rFonts w:hint="eastAsia" w:ascii="仿宋_GB2312" w:hAnsi="仿宋_GB2312" w:eastAsia="仿宋_GB2312" w:cs="仿宋_GB2312"/>
          <w:b/>
          <w:sz w:val="32"/>
          <w:szCs w:val="32"/>
          <w:lang w:val="zh-CN"/>
        </w:rPr>
        <w:t>（三）评价选点</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bidi="ar"/>
        </w:rPr>
        <w:t>本次项目绩效自评选取盐边县计量检定实验室作为实地踏勘点位。</w:t>
      </w:r>
    </w:p>
    <w:p>
      <w:pPr>
        <w:adjustRightInd w:val="0"/>
        <w:snapToGrid w:val="0"/>
        <w:spacing w:line="600" w:lineRule="exact"/>
        <w:ind w:firstLine="720"/>
        <w:rPr>
          <w:rFonts w:hint="eastAsia" w:ascii="仿宋_GB2312" w:hAnsi="仿宋_GB2312" w:eastAsia="仿宋_GB2312" w:cs="仿宋_GB2312"/>
          <w:b/>
          <w:sz w:val="32"/>
          <w:szCs w:val="32"/>
          <w:lang w:val="zh-CN"/>
        </w:rPr>
      </w:pPr>
      <w:r>
        <w:rPr>
          <w:rFonts w:hint="eastAsia" w:ascii="仿宋_GB2312" w:hAnsi="仿宋_GB2312" w:eastAsia="仿宋_GB2312" w:cs="仿宋_GB2312"/>
          <w:b/>
          <w:sz w:val="32"/>
          <w:szCs w:val="32"/>
          <w:lang w:val="zh-CN"/>
        </w:rPr>
        <w:t>（四）评价方法</w:t>
      </w:r>
    </w:p>
    <w:p>
      <w:pPr>
        <w:ind w:firstLine="640" w:firstLineChars="200"/>
        <w:rPr>
          <w:rFonts w:hint="eastAsia"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综合采用多种评价方法开展工作：</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bidi="ar"/>
        </w:rPr>
        <w:t>1.案卷研究法：查阅项目立项批复、采购合同、资金拨付凭证、验收报告等档案资料，核查项目流程合规性。</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bidi="ar"/>
        </w:rPr>
        <w:t>2.实地勘察法：前往计量检定实验室，实地查看设备运行状态，了解设备使用情况。</w:t>
      </w:r>
    </w:p>
    <w:p>
      <w:pPr>
        <w:adjustRightInd w:val="0"/>
        <w:snapToGrid w:val="0"/>
        <w:spacing w:line="600" w:lineRule="exact"/>
        <w:ind w:firstLine="720"/>
        <w:rPr>
          <w:rFonts w:hint="eastAsia" w:ascii="仿宋_GB2312" w:hAnsi="仿宋_GB2312" w:eastAsia="仿宋_GB2312" w:cs="仿宋_GB2312"/>
          <w:b/>
          <w:sz w:val="32"/>
          <w:szCs w:val="32"/>
          <w:lang w:val="zh-CN"/>
        </w:rPr>
      </w:pPr>
      <w:r>
        <w:rPr>
          <w:rFonts w:hint="eastAsia" w:ascii="仿宋_GB2312" w:hAnsi="仿宋_GB2312" w:eastAsia="仿宋_GB2312" w:cs="仿宋_GB2312"/>
          <w:b/>
          <w:sz w:val="32"/>
          <w:szCs w:val="32"/>
          <w:lang w:val="zh-CN"/>
        </w:rPr>
        <w:t>（五）评价组织</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bidi="ar"/>
        </w:rPr>
        <w:t>由盐边县市场监督管理局自行成立评估组，成员包括：计量测试所负责人、财务人员、计量检定工程师、办公室工作人员。各成员职责分工明确，协同完成资料收集、现场踏勘、数据分析及报告撰写工作。</w:t>
      </w:r>
    </w:p>
    <w:p>
      <w:pPr>
        <w:adjustRightInd w:val="0"/>
        <w:snapToGrid w:val="0"/>
        <w:spacing w:line="578" w:lineRule="exact"/>
        <w:ind w:firstLine="640" w:firstLineChars="200"/>
        <w:rPr>
          <w:rFonts w:hint="eastAsia" w:eastAsia="黑体"/>
          <w:sz w:val="32"/>
          <w:szCs w:val="32"/>
        </w:rPr>
      </w:pPr>
      <w:r>
        <w:rPr>
          <w:rFonts w:hint="eastAsia" w:eastAsia="黑体"/>
          <w:sz w:val="32"/>
          <w:szCs w:val="32"/>
        </w:rPr>
        <w:t>三、绩效分析</w:t>
      </w:r>
    </w:p>
    <w:p>
      <w:pPr>
        <w:adjustRightInd w:val="0"/>
        <w:snapToGrid w:val="0"/>
        <w:spacing w:line="600" w:lineRule="exact"/>
        <w:ind w:firstLine="720"/>
        <w:rPr>
          <w:rFonts w:hint="eastAsia" w:ascii="仿宋_GB2312" w:hAnsi="仿宋_GB2312" w:eastAsia="仿宋_GB2312" w:cs="仿宋_GB2312"/>
          <w:b/>
          <w:sz w:val="32"/>
          <w:szCs w:val="32"/>
          <w:lang w:val="zh-CN"/>
        </w:rPr>
      </w:pPr>
      <w:r>
        <w:rPr>
          <w:rFonts w:hint="eastAsia" w:ascii="仿宋_GB2312" w:hAnsi="仿宋_GB2312" w:eastAsia="仿宋_GB2312" w:cs="仿宋_GB2312"/>
          <w:b/>
          <w:sz w:val="32"/>
          <w:szCs w:val="32"/>
          <w:lang w:val="zh-CN"/>
        </w:rPr>
        <w:t>（一）通用指标绩效分析</w:t>
      </w:r>
    </w:p>
    <w:p>
      <w:pPr>
        <w:ind w:firstLine="640" w:firstLineChars="200"/>
        <w:rPr>
          <w:rFonts w:hint="eastAsia"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1.项目决策：决策程序规范，项目立项经局党组会议审议通过，符合“三重一大”决策要求；规划论证充分，前期开展了设备老化现状调研及市场需求分析；资金投向精准，全部用于台式水压泵购置，符合项目核心需求。</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bidi="ar"/>
        </w:rPr>
        <w:t>2.项目管理：制度办法健全，严格执行县财政及单位内部采购管理制度；分配管理规范，资金按合同约定拨付，无截留、挪用情况；绩效监管到位。</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bidi="ar"/>
        </w:rPr>
        <w:t>3.项目实施：预算执行良好，无超预算支出；资金使用合规，每笔支出均有完整凭证，符合财务管理制度。</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bidi="ar"/>
        </w:rPr>
        <w:t>4.项目结果：目标完成度高，已按时购置1台台式水压泵并投入使用，设备精度、检定效率等指标均达标；完成时效达标。</w:t>
      </w:r>
    </w:p>
    <w:p>
      <w:pPr>
        <w:adjustRightInd w:val="0"/>
        <w:snapToGrid w:val="0"/>
        <w:spacing w:line="600" w:lineRule="exact"/>
        <w:ind w:firstLine="720"/>
        <w:rPr>
          <w:rFonts w:hint="eastAsia" w:ascii="仿宋_GB2312" w:hAnsi="仿宋_GB2312" w:eastAsia="仿宋_GB2312" w:cs="仿宋_GB2312"/>
          <w:b/>
          <w:sz w:val="32"/>
          <w:szCs w:val="32"/>
          <w:lang w:val="zh-CN"/>
        </w:rPr>
      </w:pPr>
      <w:r>
        <w:rPr>
          <w:rFonts w:hint="eastAsia" w:ascii="仿宋_GB2312" w:hAnsi="仿宋_GB2312" w:eastAsia="仿宋_GB2312" w:cs="仿宋_GB2312"/>
          <w:b/>
          <w:sz w:val="32"/>
          <w:szCs w:val="32"/>
          <w:lang w:val="zh-CN"/>
        </w:rPr>
        <w:t>（二）专用指标绩效分析</w:t>
      </w:r>
    </w:p>
    <w:p>
      <w:pPr>
        <w:rPr>
          <w:rFonts w:ascii="仿宋_GB2312" w:hAnsi="仿宋_GB2312" w:eastAsia="仿宋_GB2312" w:cs="仿宋_GB2312"/>
          <w:sz w:val="32"/>
          <w:szCs w:val="32"/>
        </w:rPr>
      </w:pPr>
      <w:r>
        <w:rPr>
          <w:rFonts w:hint="eastAsia" w:ascii="仿宋_GB2312" w:hAnsi="仿宋_GB2312" w:eastAsia="仿宋_GB2312" w:cs="仿宋_GB2312"/>
          <w:sz w:val="32"/>
          <w:szCs w:val="32"/>
          <w:lang w:bidi="ar"/>
        </w:rPr>
        <w:t>本项目属于行政运转类项目，围绕以下指标开展分析：</w:t>
      </w:r>
    </w:p>
    <w:p>
      <w:pPr>
        <w:ind w:firstLine="640" w:firstLineChars="200"/>
        <w:rPr>
          <w:rFonts w:hint="eastAsia"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1.用途合规性：购置的台式水压泵仅用于禁油压力表强制检定，未挪作他用，与项目设定用途完全一致。</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bidi="ar"/>
        </w:rPr>
        <w:t>2.程序合规性：设备采购流程符合规定，供应商资质齐全，合同签订规范。</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bidi="ar"/>
        </w:rPr>
        <w:t>3.标准合规性：设备符合国家计量标准及行业技术规范，可满足日常检定工作标准要求。</w:t>
      </w:r>
    </w:p>
    <w:p>
      <w:pPr>
        <w:ind w:firstLine="640" w:firstLineChars="200"/>
        <w:rPr>
          <w:rFonts w:ascii="黑体" w:hAnsi="黑体" w:eastAsia="黑体" w:cs="黑体"/>
          <w:sz w:val="32"/>
          <w:szCs w:val="32"/>
        </w:rPr>
      </w:pPr>
      <w:r>
        <w:rPr>
          <w:rFonts w:hint="eastAsia" w:ascii="黑体" w:hAnsi="黑体" w:eastAsia="黑体" w:cs="黑体"/>
          <w:sz w:val="32"/>
          <w:szCs w:val="32"/>
          <w:lang w:bidi="ar"/>
        </w:rPr>
        <w:t>四、评价结论</w:t>
      </w:r>
    </w:p>
    <w:p>
      <w:pPr>
        <w:ind w:firstLine="640" w:firstLineChars="200"/>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本项目绩效评价等级为“优秀”。项目立项依据充分，符合本地区计量检定工作实际需求；绩效目标明确且可量化；实施过程规范，资金使用合规，无违规操作情况；设备已顺利投入使用，检定准确率、企业满意度等核心指标均达到预期，有效提升了盐边县计量测试所的计量检定服务能力，为维护当地市场秩序提供了有力支撑。</w:t>
      </w:r>
    </w:p>
    <w:p>
      <w:pPr>
        <w:ind w:firstLine="640" w:firstLineChars="200"/>
        <w:rPr>
          <w:rFonts w:ascii="黑体" w:hAnsi="黑体" w:eastAsia="黑体" w:cs="黑体"/>
          <w:sz w:val="32"/>
          <w:szCs w:val="32"/>
        </w:rPr>
      </w:pPr>
      <w:r>
        <w:rPr>
          <w:rFonts w:hint="eastAsia" w:ascii="黑体" w:hAnsi="黑体" w:eastAsia="黑体" w:cs="黑体"/>
          <w:sz w:val="32"/>
          <w:szCs w:val="32"/>
          <w:lang w:bidi="ar"/>
        </w:rPr>
        <w:t>五、存在主要问题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bidi="ar"/>
        </w:rPr>
        <w:t>企业反馈收集不及时：设备投入使用后，仅通过一次性问卷收集企业反馈，未建立常态化反馈渠道，难以及时掌握企业后续使用中的新需求。</w:t>
      </w:r>
    </w:p>
    <w:p>
      <w:pPr>
        <w:ind w:firstLine="640" w:firstLineChars="200"/>
        <w:rPr>
          <w:rFonts w:ascii="黑体" w:hAnsi="黑体" w:eastAsia="黑体" w:cs="黑体"/>
          <w:sz w:val="32"/>
          <w:szCs w:val="32"/>
        </w:rPr>
      </w:pPr>
      <w:r>
        <w:rPr>
          <w:rFonts w:hint="eastAsia" w:ascii="黑体" w:hAnsi="黑体" w:eastAsia="黑体" w:cs="黑体"/>
          <w:sz w:val="32"/>
          <w:szCs w:val="32"/>
          <w:lang w:bidi="ar"/>
        </w:rPr>
        <w:t>六、改进建议</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bidi="ar"/>
        </w:rPr>
        <w:t>针对“企业反馈收集不及时”：搭建常态化企业反馈渠道，如设立专用咨询电话、定期收集企业对检定服务的意见建议，根据反馈优化设备使用及服务流程，提升企业满意度。</w:t>
      </w:r>
    </w:p>
    <w:p>
      <w:pPr>
        <w:rPr>
          <w:rFonts w:ascii="仿宋_GB2312" w:hAnsi="仿宋_GB2312" w:eastAsia="仿宋_GB2312" w:cs="仿宋_GB2312"/>
          <w:sz w:val="32"/>
          <w:szCs w:val="32"/>
        </w:rPr>
      </w:pPr>
    </w:p>
    <w:p>
      <w:pPr>
        <w:pStyle w:val="10"/>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spacing w:line="0" w:lineRule="atLeast"/>
        <w:jc w:val="center"/>
        <w:rPr>
          <w:rFonts w:ascii="Times New Roman" w:eastAsia="方正小标宋_GBK"/>
          <w:b/>
          <w:sz w:val="44"/>
          <w:szCs w:val="44"/>
        </w:rPr>
      </w:pPr>
      <w:r>
        <w:rPr>
          <w:rFonts w:hint="eastAsia" w:ascii="Times New Roman" w:eastAsia="方正小标宋_GBK"/>
          <w:b/>
          <w:sz w:val="44"/>
          <w:szCs w:val="44"/>
        </w:rPr>
        <w:t>中央药品监管补助资金</w:t>
      </w:r>
      <w:r>
        <w:rPr>
          <w:rFonts w:ascii="Times New Roman" w:eastAsia="方正小标宋_GBK"/>
          <w:b/>
          <w:sz w:val="44"/>
          <w:szCs w:val="44"/>
        </w:rPr>
        <w:t>专项预算项目绩效</w:t>
      </w:r>
    </w:p>
    <w:p>
      <w:pPr>
        <w:spacing w:line="0" w:lineRule="atLeast"/>
        <w:jc w:val="center"/>
        <w:rPr>
          <w:rFonts w:ascii="Times New Roman" w:eastAsia="方正小标宋_GBK"/>
          <w:b/>
          <w:sz w:val="44"/>
          <w:szCs w:val="44"/>
        </w:rPr>
      </w:pPr>
      <w:r>
        <w:rPr>
          <w:rFonts w:hint="eastAsia" w:ascii="Times New Roman" w:eastAsia="方正小标宋_GBK"/>
          <w:b/>
          <w:sz w:val="44"/>
          <w:szCs w:val="44"/>
          <w:lang w:eastAsia="zh-CN"/>
        </w:rPr>
        <w:t>评价</w:t>
      </w:r>
      <w:r>
        <w:rPr>
          <w:rFonts w:ascii="Times New Roman" w:eastAsia="方正小标宋_GBK"/>
          <w:b/>
          <w:sz w:val="44"/>
          <w:szCs w:val="44"/>
        </w:rPr>
        <w:t>报告</w:t>
      </w:r>
    </w:p>
    <w:p>
      <w:pPr>
        <w:pStyle w:val="35"/>
        <w:spacing w:line="600" w:lineRule="exact"/>
        <w:ind w:firstLine="640"/>
        <w:jc w:val="center"/>
        <w:rPr>
          <w:rFonts w:ascii="Times New Roman" w:hAnsi="Times New Roman" w:cs="Times New Roman"/>
          <w:color w:val="auto"/>
          <w:kern w:val="2"/>
          <w:sz w:val="32"/>
          <w:szCs w:val="32"/>
        </w:rPr>
      </w:pPr>
    </w:p>
    <w:p>
      <w:pPr>
        <w:adjustRightInd w:val="0"/>
        <w:snapToGrid w:val="0"/>
        <w:spacing w:line="578" w:lineRule="exact"/>
        <w:ind w:firstLine="640" w:firstLineChars="200"/>
        <w:rPr>
          <w:rFonts w:hint="eastAsia" w:eastAsia="黑体"/>
          <w:sz w:val="32"/>
          <w:szCs w:val="32"/>
        </w:rPr>
      </w:pPr>
      <w:r>
        <w:rPr>
          <w:rFonts w:hint="eastAsia" w:eastAsia="黑体"/>
          <w:sz w:val="32"/>
          <w:szCs w:val="32"/>
        </w:rPr>
        <w:t>一、项目概况</w:t>
      </w:r>
    </w:p>
    <w:p>
      <w:pPr>
        <w:adjustRightInd w:val="0"/>
        <w:snapToGrid w:val="0"/>
        <w:spacing w:line="600" w:lineRule="exact"/>
        <w:ind w:firstLine="720"/>
        <w:rPr>
          <w:rFonts w:hint="eastAsia" w:ascii="仿宋_GB2312" w:hAnsi="仿宋_GB2312" w:eastAsia="仿宋_GB2312" w:cs="仿宋_GB2312"/>
          <w:b/>
          <w:sz w:val="32"/>
          <w:szCs w:val="32"/>
          <w:lang w:val="zh-CN"/>
        </w:rPr>
      </w:pPr>
      <w:r>
        <w:rPr>
          <w:rFonts w:hint="eastAsia" w:ascii="仿宋_GB2312" w:hAnsi="仿宋_GB2312" w:eastAsia="仿宋_GB2312" w:cs="仿宋_GB2312"/>
          <w:b/>
          <w:sz w:val="32"/>
          <w:szCs w:val="32"/>
          <w:lang w:val="zh-CN"/>
        </w:rPr>
        <w:t>（一）项目基本情况</w:t>
      </w:r>
    </w:p>
    <w:p>
      <w:pPr>
        <w:ind w:firstLine="640" w:firstLineChars="200"/>
        <w:rPr>
          <w:rFonts w:hint="eastAsia"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根据《攀枝花市市场监督管理局关于印发2024年中央药品监管补助资金项目实施方案和绩效目标的通知》（攀市监发【2024】111号）文件，由攀枝花市市场监管局采用因素法分配到盐边县的中央药品监管补助资金为3万元。主要用于药品日常监管及专项整治、药品经营企业符合性检查、药品不良反应和药物滥用监测及医疗器械专项整治和“两品一械”安全宣传周等工作。</w:t>
      </w:r>
    </w:p>
    <w:p>
      <w:pPr>
        <w:adjustRightInd w:val="0"/>
        <w:snapToGrid w:val="0"/>
        <w:spacing w:line="600" w:lineRule="exact"/>
        <w:ind w:firstLine="720"/>
        <w:rPr>
          <w:rFonts w:hint="eastAsia" w:ascii="仿宋_GB2312" w:hAnsi="仿宋_GB2312" w:eastAsia="仿宋_GB2312" w:cs="仿宋_GB2312"/>
          <w:b/>
          <w:sz w:val="32"/>
          <w:szCs w:val="32"/>
          <w:lang w:val="zh-CN"/>
        </w:rPr>
      </w:pPr>
      <w:r>
        <w:rPr>
          <w:rFonts w:hint="eastAsia" w:ascii="仿宋_GB2312" w:hAnsi="仿宋_GB2312" w:eastAsia="仿宋_GB2312" w:cs="仿宋_GB2312"/>
          <w:b/>
          <w:sz w:val="32"/>
          <w:szCs w:val="32"/>
          <w:lang w:val="zh-CN"/>
        </w:rPr>
        <w:t>（二）项目绩效目标</w:t>
      </w:r>
    </w:p>
    <w:p>
      <w:pPr>
        <w:ind w:firstLine="640" w:firstLineChars="200"/>
        <w:rPr>
          <w:rFonts w:hint="eastAsia"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加强对药品、医疗器械、化妆品日常监管、不良反应监测，药品抽检工作。努力防范药品安全风险，保障人民用药安全，同时为药品上市后评价工作做好数据支撑。</w:t>
      </w:r>
    </w:p>
    <w:p>
      <w:pPr>
        <w:ind w:firstLine="640" w:firstLineChars="200"/>
        <w:rPr>
          <w:rFonts w:hint="eastAsia"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全年出动执法人员375人次，检查药品零售企业191家次、医疗机构231家次、化妆品经营使用单位164家次。对辖区内9家药品网络销售企业、26家医疗器械网络销售备案企业进行了全覆盖检查。重点开展了药品巩固提升行动、相关领域医疗器械监督检查、药品经营使用专项检查、第二类精神药品专项检查、保障未成年人药品质量安全专项行动、化妆品规范化经营等专项行动。同公安、卫健、医保部门开展联合检查2次，召开联席会议3次，约谈问题企业3家次，移交公安案件（线索）1件，移交其他省市药监部门案件线索3条，移交其他部门违法线索1条。已办结药械化案件23件（其中药品14件、医疗器械4件、化妆品5件），货值金额合计0.7388万元，罚没款合计4.12万元。有效打击药品违法犯罪行为,全年未发生药品安全事件。</w:t>
      </w:r>
    </w:p>
    <w:p>
      <w:pPr>
        <w:adjustRightInd w:val="0"/>
        <w:snapToGrid w:val="0"/>
        <w:spacing w:line="600" w:lineRule="exact"/>
        <w:ind w:firstLine="720"/>
        <w:rPr>
          <w:rFonts w:hint="eastAsia" w:ascii="仿宋_GB2312" w:hAnsi="仿宋_GB2312" w:eastAsia="仿宋_GB2312" w:cs="仿宋_GB2312"/>
          <w:b/>
          <w:sz w:val="32"/>
          <w:szCs w:val="32"/>
          <w:lang w:val="zh-CN"/>
        </w:rPr>
      </w:pPr>
      <w:r>
        <w:rPr>
          <w:rFonts w:hint="eastAsia" w:ascii="仿宋_GB2312" w:hAnsi="仿宋_GB2312" w:eastAsia="仿宋_GB2312" w:cs="仿宋_GB2312"/>
          <w:b/>
          <w:sz w:val="32"/>
          <w:szCs w:val="32"/>
          <w:lang w:val="zh-CN"/>
        </w:rPr>
        <w:t>（三）项目自评步骤及方法</w:t>
      </w:r>
    </w:p>
    <w:p>
      <w:pPr>
        <w:ind w:firstLine="640" w:firstLineChars="200"/>
        <w:rPr>
          <w:rFonts w:hint="eastAsia"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按照绩效指标中产出指标、效益指标、满意度指标等一级指标，数量指标、质量指标、失效指标、成本指标、经济效益指标、社会效益指标、服务对象满意度指标等二级指标自评。2024年持续开展药品安全风险隐患排查，强化监督抽检工作，加强基层食品监管人员能力建设工作培训，开展药品监督抽检工作。达到了项目决策的目的，项目管理贯通抽检全过程，实现了经济效应、社会效应、可持续影响等绩效目标。</w:t>
      </w:r>
    </w:p>
    <w:p>
      <w:pPr>
        <w:adjustRightInd w:val="0"/>
        <w:snapToGrid w:val="0"/>
        <w:spacing w:line="578" w:lineRule="exact"/>
        <w:ind w:firstLine="640" w:firstLineChars="200"/>
        <w:rPr>
          <w:rFonts w:hint="eastAsia" w:eastAsia="黑体"/>
          <w:sz w:val="32"/>
          <w:szCs w:val="32"/>
        </w:rPr>
      </w:pPr>
      <w:r>
        <w:rPr>
          <w:rFonts w:hint="eastAsia" w:eastAsia="黑体"/>
          <w:sz w:val="32"/>
          <w:szCs w:val="32"/>
        </w:rPr>
        <w:t>二、项目资金申报及使用情况</w:t>
      </w:r>
    </w:p>
    <w:p>
      <w:pPr>
        <w:adjustRightInd w:val="0"/>
        <w:snapToGrid w:val="0"/>
        <w:spacing w:line="600" w:lineRule="exact"/>
        <w:ind w:firstLine="720"/>
        <w:rPr>
          <w:rFonts w:hint="eastAsia" w:ascii="仿宋_GB2312" w:hAnsi="仿宋_GB2312" w:eastAsia="仿宋_GB2312" w:cs="仿宋_GB2312"/>
          <w:b/>
          <w:sz w:val="32"/>
          <w:szCs w:val="32"/>
          <w:lang w:val="zh-CN"/>
        </w:rPr>
      </w:pPr>
      <w:r>
        <w:rPr>
          <w:rFonts w:hint="eastAsia" w:ascii="仿宋_GB2312" w:hAnsi="仿宋_GB2312" w:eastAsia="仿宋_GB2312" w:cs="仿宋_GB2312"/>
          <w:b/>
          <w:sz w:val="32"/>
          <w:szCs w:val="32"/>
          <w:lang w:val="zh-CN"/>
        </w:rPr>
        <w:t>（一）项目资金申报及批复情况</w:t>
      </w:r>
    </w:p>
    <w:p>
      <w:pPr>
        <w:ind w:firstLine="640" w:firstLineChars="200"/>
        <w:rPr>
          <w:rFonts w:hint="eastAsia"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根据《攀枝花市市场监督管理局关于印发2024年中央药品监管补助资金项目实施方案和绩效目标的通知》（攀市监发【2024】111号）文件，由攀枝花市市场监管局采用因素法分配到盐边县的中央药品监管补助资金为3万元。</w:t>
      </w:r>
    </w:p>
    <w:p>
      <w:pPr>
        <w:adjustRightInd w:val="0"/>
        <w:snapToGrid w:val="0"/>
        <w:spacing w:line="600" w:lineRule="exact"/>
        <w:ind w:firstLine="720"/>
        <w:rPr>
          <w:rFonts w:hint="eastAsia" w:ascii="仿宋_GB2312" w:hAnsi="仿宋_GB2312" w:eastAsia="仿宋_GB2312" w:cs="仿宋_GB2312"/>
          <w:b/>
          <w:sz w:val="32"/>
          <w:szCs w:val="32"/>
          <w:lang w:val="zh-CN"/>
        </w:rPr>
      </w:pPr>
      <w:r>
        <w:rPr>
          <w:rFonts w:hint="eastAsia" w:ascii="仿宋_GB2312" w:hAnsi="仿宋_GB2312" w:eastAsia="仿宋_GB2312" w:cs="仿宋_GB2312"/>
          <w:b/>
          <w:sz w:val="32"/>
          <w:szCs w:val="32"/>
          <w:lang w:val="zh-CN"/>
        </w:rPr>
        <w:t>（二）资金计划、到位及使用情况</w:t>
      </w:r>
    </w:p>
    <w:p>
      <w:pPr>
        <w:ind w:firstLine="640" w:firstLineChars="200"/>
        <w:rPr>
          <w:rFonts w:hint="eastAsia"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我局按照《四川省药品监管专项资金管理办法》（川财行〔2019〕78号）等文件规定，专款专用，并严格根据《攀枝花市市场监督管理局关于印发2024年中央药品监管补助资金项目实施方案和绩效目标的通知》要求使用项目资金。资金到位率100%，2024年中央药品监管补助资金已全部执行并支付完成。</w:t>
      </w:r>
    </w:p>
    <w:p>
      <w:pPr>
        <w:adjustRightInd w:val="0"/>
        <w:snapToGrid w:val="0"/>
        <w:spacing w:line="600" w:lineRule="exact"/>
        <w:ind w:firstLine="720"/>
        <w:rPr>
          <w:rFonts w:hint="eastAsia" w:ascii="仿宋_GB2312" w:hAnsi="仿宋_GB2312" w:eastAsia="仿宋_GB2312" w:cs="仿宋_GB2312"/>
          <w:b/>
          <w:sz w:val="32"/>
          <w:szCs w:val="32"/>
          <w:lang w:val="zh-CN"/>
        </w:rPr>
      </w:pPr>
      <w:r>
        <w:rPr>
          <w:rFonts w:hint="eastAsia" w:ascii="仿宋_GB2312" w:hAnsi="仿宋_GB2312" w:eastAsia="仿宋_GB2312" w:cs="仿宋_GB2312"/>
          <w:b/>
          <w:sz w:val="32"/>
          <w:szCs w:val="32"/>
          <w:lang w:val="zh-CN"/>
        </w:rPr>
        <w:t>（三）项目财务管理情况</w:t>
      </w:r>
    </w:p>
    <w:p>
      <w:pPr>
        <w:ind w:firstLine="640" w:firstLineChars="200"/>
        <w:rPr>
          <w:rFonts w:hint="eastAsia"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我单位财务设置在办公室，严格按照相关财务管理制度，对项目资金的申请、拨付、管理和使用严格按专项资金管理要求执行，专项资金严格按照“统筹兼顾、突出重点、促进发展、注重绩效”的原则进行分配和使用，各项制度执行落实较好，资金使用安全规范，未发现截留、挪用、挤占、虚列资金等现象。</w:t>
      </w:r>
    </w:p>
    <w:p>
      <w:pPr>
        <w:adjustRightInd w:val="0"/>
        <w:snapToGrid w:val="0"/>
        <w:spacing w:line="578" w:lineRule="exact"/>
        <w:ind w:firstLine="640" w:firstLineChars="200"/>
        <w:rPr>
          <w:rFonts w:hint="eastAsia" w:eastAsia="黑体"/>
          <w:sz w:val="32"/>
          <w:szCs w:val="32"/>
        </w:rPr>
      </w:pPr>
      <w:r>
        <w:rPr>
          <w:rFonts w:hint="eastAsia" w:eastAsia="黑体"/>
          <w:sz w:val="32"/>
          <w:szCs w:val="32"/>
        </w:rPr>
        <w:t>三、项目实施及管理情况</w:t>
      </w:r>
    </w:p>
    <w:p>
      <w:pPr>
        <w:ind w:firstLine="640" w:firstLineChars="200"/>
        <w:rPr>
          <w:rFonts w:hint="eastAsia"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项目制度办法体系健全、要素完备；项目资金分配因素选取、权重设置、区域分布、项目管理、审批符合管理要求；管资金、项目、政策与管绩效分开，项目绩效监管严格按要求开展。</w:t>
      </w:r>
    </w:p>
    <w:p>
      <w:pPr>
        <w:adjustRightInd w:val="0"/>
        <w:snapToGrid w:val="0"/>
        <w:spacing w:line="578" w:lineRule="exact"/>
        <w:ind w:firstLine="640" w:firstLineChars="200"/>
        <w:rPr>
          <w:rFonts w:hint="eastAsia" w:eastAsia="黑体"/>
          <w:sz w:val="32"/>
          <w:szCs w:val="32"/>
        </w:rPr>
      </w:pPr>
      <w:r>
        <w:rPr>
          <w:rFonts w:hint="eastAsia" w:eastAsia="黑体"/>
          <w:sz w:val="32"/>
          <w:szCs w:val="32"/>
        </w:rPr>
        <w:t>四、项目绩效情况</w:t>
      </w:r>
    </w:p>
    <w:p>
      <w:pPr>
        <w:adjustRightInd w:val="0"/>
        <w:snapToGrid w:val="0"/>
        <w:spacing w:line="600" w:lineRule="exact"/>
        <w:ind w:firstLine="720"/>
        <w:rPr>
          <w:rFonts w:hint="eastAsia" w:ascii="仿宋_GB2312" w:hAnsi="仿宋_GB2312" w:eastAsia="仿宋_GB2312" w:cs="仿宋_GB2312"/>
          <w:b/>
          <w:sz w:val="32"/>
          <w:szCs w:val="32"/>
          <w:lang w:val="zh-CN"/>
        </w:rPr>
      </w:pPr>
      <w:r>
        <w:rPr>
          <w:rFonts w:hint="eastAsia" w:ascii="仿宋_GB2312" w:hAnsi="仿宋_GB2312" w:eastAsia="仿宋_GB2312" w:cs="仿宋_GB2312"/>
          <w:b/>
          <w:sz w:val="32"/>
          <w:szCs w:val="32"/>
          <w:lang w:val="zh-CN"/>
        </w:rPr>
        <w:t>（一）项目完成情况</w:t>
      </w:r>
    </w:p>
    <w:p>
      <w:pPr>
        <w:ind w:firstLine="640" w:firstLineChars="200"/>
        <w:rPr>
          <w:rFonts w:hint="eastAsia"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全年出动执法人员375人次，检查药品零售企业191家次、医疗机构231家次、化妆品经营使用单位164家次。对辖区内9家药品网络销售企业、26家医疗器械网络销售备案企业进行了全覆盖检查。重点开展了药品巩固提升行动、相关领域医疗器械监督检查、药品经营使用专项检查、第二类精神药品专项检查、保障未成年人药品质量安全专项行动、化妆品规范化经营等专项行动。同公安、卫健、医保部门开展联合检查2次，召开联席会议3次，约谈问题企业3家次，移交公安案件（线索）1件，移交其他省市药监部门案件线索3条，移交其他部门违法线索1条。已办结药械化案件23件（其中药品14件、医疗器械4件、化妆品5件），货值金额合计0.7388万元，罚没款合计4.12万元。有效打击药品违法犯罪行为,全年未发生药品安全事件。</w:t>
      </w:r>
    </w:p>
    <w:p>
      <w:pPr>
        <w:adjustRightInd w:val="0"/>
        <w:snapToGrid w:val="0"/>
        <w:spacing w:line="600" w:lineRule="exact"/>
        <w:ind w:firstLine="720"/>
        <w:rPr>
          <w:rFonts w:hint="eastAsia" w:ascii="仿宋_GB2312" w:hAnsi="仿宋_GB2312" w:eastAsia="仿宋_GB2312" w:cs="仿宋_GB2312"/>
          <w:b/>
          <w:sz w:val="32"/>
          <w:szCs w:val="32"/>
          <w:lang w:val="zh-CN"/>
        </w:rPr>
      </w:pPr>
      <w:r>
        <w:rPr>
          <w:rFonts w:hint="eastAsia" w:ascii="仿宋_GB2312" w:hAnsi="仿宋_GB2312" w:eastAsia="仿宋_GB2312" w:cs="仿宋_GB2312"/>
          <w:b/>
          <w:sz w:val="32"/>
          <w:szCs w:val="32"/>
          <w:lang w:val="zh-CN"/>
        </w:rPr>
        <w:t>（二）项目效益情况</w:t>
      </w:r>
    </w:p>
    <w:p>
      <w:pPr>
        <w:ind w:firstLine="640" w:firstLineChars="200"/>
        <w:rPr>
          <w:rFonts w:hint="eastAsia"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该项目绩效目标分为产出指标（细化为数量、质量、时效、成本指标）、效益指标（细化为经济效益和生态效益指标）、满意度指标。所有指标均按指标值完成。</w:t>
      </w:r>
    </w:p>
    <w:p>
      <w:pPr>
        <w:adjustRightInd w:val="0"/>
        <w:snapToGrid w:val="0"/>
        <w:spacing w:line="578" w:lineRule="exact"/>
        <w:ind w:firstLine="640" w:firstLineChars="200"/>
        <w:rPr>
          <w:rFonts w:hint="eastAsia" w:eastAsia="黑体"/>
          <w:sz w:val="32"/>
          <w:szCs w:val="32"/>
        </w:rPr>
      </w:pPr>
      <w:r>
        <w:rPr>
          <w:rFonts w:hint="eastAsia" w:eastAsia="黑体"/>
          <w:sz w:val="32"/>
          <w:szCs w:val="32"/>
        </w:rPr>
        <w:t>五、评价结论及建议</w:t>
      </w:r>
    </w:p>
    <w:p>
      <w:pPr>
        <w:adjustRightInd w:val="0"/>
        <w:snapToGrid w:val="0"/>
        <w:spacing w:line="600" w:lineRule="exact"/>
        <w:ind w:firstLine="720"/>
        <w:rPr>
          <w:rFonts w:hint="eastAsia" w:ascii="仿宋_GB2312" w:hAnsi="仿宋_GB2312" w:eastAsia="仿宋_GB2312" w:cs="仿宋_GB2312"/>
          <w:b/>
          <w:sz w:val="32"/>
          <w:szCs w:val="32"/>
          <w:lang w:val="zh-CN"/>
        </w:rPr>
      </w:pPr>
      <w:r>
        <w:rPr>
          <w:rFonts w:hint="eastAsia" w:ascii="仿宋_GB2312" w:hAnsi="仿宋_GB2312" w:eastAsia="仿宋_GB2312" w:cs="仿宋_GB2312"/>
          <w:b/>
          <w:sz w:val="32"/>
          <w:szCs w:val="32"/>
          <w:lang w:val="zh-CN"/>
        </w:rPr>
        <w:t>（一）评价结论</w:t>
      </w:r>
    </w:p>
    <w:p>
      <w:pPr>
        <w:ind w:firstLine="640" w:firstLineChars="200"/>
        <w:rPr>
          <w:rFonts w:hint="eastAsia"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按照绩效指标中产出指标、效益指标、满意度指标等一级指标，数量指标、质量指标、失效指标、成本指标、经济效益指标、社会效益指标、服务对象满意度指标等进行量化评价，所有项目支出实际状况与下达绩效目标均相符，自评指标得分100分。</w:t>
      </w:r>
    </w:p>
    <w:p>
      <w:pPr>
        <w:adjustRightInd w:val="0"/>
        <w:snapToGrid w:val="0"/>
        <w:spacing w:line="600" w:lineRule="exact"/>
        <w:ind w:firstLine="720"/>
        <w:rPr>
          <w:rFonts w:hint="eastAsia" w:ascii="仿宋_GB2312" w:hAnsi="仿宋_GB2312" w:eastAsia="仿宋_GB2312" w:cs="仿宋_GB2312"/>
          <w:b/>
          <w:sz w:val="32"/>
          <w:szCs w:val="32"/>
          <w:lang w:val="zh-CN"/>
        </w:rPr>
      </w:pPr>
      <w:r>
        <w:rPr>
          <w:rFonts w:hint="eastAsia" w:ascii="仿宋_GB2312" w:hAnsi="仿宋_GB2312" w:eastAsia="仿宋_GB2312" w:cs="仿宋_GB2312"/>
          <w:b/>
          <w:sz w:val="32"/>
          <w:szCs w:val="32"/>
          <w:lang w:val="zh-CN"/>
        </w:rPr>
        <w:t>（二）存在的问题</w:t>
      </w:r>
    </w:p>
    <w:p>
      <w:pPr>
        <w:ind w:firstLine="640" w:firstLineChars="200"/>
        <w:rPr>
          <w:rFonts w:hint="eastAsia"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无。</w:t>
      </w:r>
    </w:p>
    <w:p>
      <w:pPr>
        <w:adjustRightInd w:val="0"/>
        <w:snapToGrid w:val="0"/>
        <w:spacing w:line="600" w:lineRule="exact"/>
        <w:ind w:firstLine="720"/>
        <w:rPr>
          <w:rFonts w:hint="eastAsia" w:ascii="仿宋_GB2312" w:hAnsi="仿宋_GB2312" w:eastAsia="仿宋_GB2312" w:cs="仿宋_GB2312"/>
          <w:b/>
          <w:sz w:val="32"/>
          <w:szCs w:val="32"/>
          <w:lang w:val="zh-CN"/>
        </w:rPr>
      </w:pPr>
      <w:r>
        <w:rPr>
          <w:rFonts w:hint="eastAsia" w:ascii="仿宋_GB2312" w:hAnsi="仿宋_GB2312" w:eastAsia="仿宋_GB2312" w:cs="仿宋_GB2312"/>
          <w:b/>
          <w:sz w:val="32"/>
          <w:szCs w:val="32"/>
          <w:lang w:val="zh-CN"/>
        </w:rPr>
        <w:t>（三）相关建议</w:t>
      </w:r>
    </w:p>
    <w:p>
      <w:pPr>
        <w:ind w:firstLine="640" w:firstLineChars="200"/>
        <w:rPr>
          <w:rFonts w:hint="eastAsia"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无。</w:t>
      </w: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jc w:val="center"/>
        <w:rPr>
          <w:rFonts w:ascii="Times New Roman" w:hAnsi="Times New Roman" w:eastAsia="方正小标宋简体" w:cs="方正小标宋简体"/>
          <w:color w:val="auto"/>
          <w:kern w:val="2"/>
          <w:sz w:val="44"/>
          <w:szCs w:val="44"/>
          <w:lang w:val="en-US"/>
        </w:rPr>
      </w:pPr>
      <w:r>
        <w:rPr>
          <w:rFonts w:hint="eastAsia" w:ascii="Times New Roman" w:hAnsi="Times New Roman" w:eastAsia="方正小标宋简体" w:cs="方正小标宋简体"/>
          <w:color w:val="auto"/>
          <w:kern w:val="2"/>
          <w:sz w:val="44"/>
          <w:szCs w:val="44"/>
          <w:lang w:val="en-US"/>
        </w:rPr>
        <w:t>2024年度食品安全监督抽检专项预算项目绩效评价报告</w:t>
      </w:r>
    </w:p>
    <w:p>
      <w:pPr>
        <w:pStyle w:val="35"/>
        <w:spacing w:line="578" w:lineRule="exact"/>
        <w:ind w:firstLine="640"/>
        <w:jc w:val="center"/>
        <w:rPr>
          <w:rFonts w:ascii="Times New Roman" w:hAnsi="Times New Roman"/>
          <w:color w:val="auto"/>
          <w:kern w:val="2"/>
          <w:sz w:val="32"/>
          <w:szCs w:val="32"/>
        </w:rPr>
      </w:pPr>
    </w:p>
    <w:p>
      <w:pPr>
        <w:adjustRightInd w:val="0"/>
        <w:snapToGrid w:val="0"/>
        <w:spacing w:line="578" w:lineRule="exact"/>
        <w:ind w:firstLine="640" w:firstLineChars="200"/>
        <w:rPr>
          <w:rFonts w:eastAsia="黑体"/>
          <w:sz w:val="32"/>
          <w:szCs w:val="32"/>
          <w:lang w:val="zh-CN"/>
        </w:rPr>
      </w:pPr>
      <w:r>
        <w:rPr>
          <w:rFonts w:hint="eastAsia" w:eastAsia="黑体"/>
          <w:sz w:val="32"/>
          <w:szCs w:val="32"/>
        </w:rPr>
        <w:t>一、</w:t>
      </w:r>
      <w:r>
        <w:rPr>
          <w:rFonts w:hint="eastAsia" w:eastAsia="黑体"/>
          <w:sz w:val="32"/>
          <w:szCs w:val="32"/>
          <w:lang w:val="zh-CN"/>
        </w:rPr>
        <w:t>项目概况</w:t>
      </w:r>
    </w:p>
    <w:p>
      <w:pPr>
        <w:widowControl/>
        <w:adjustRightInd w:val="0"/>
        <w:snapToGrid w:val="0"/>
        <w:spacing w:line="578" w:lineRule="exact"/>
        <w:ind w:firstLine="643" w:firstLineChars="200"/>
        <w:contextualSpacing/>
        <w:jc w:val="left"/>
        <w:rPr>
          <w:rFonts w:eastAsia="仿宋_GB2312" w:cs="仿宋_GB2312"/>
          <w:kern w:val="0"/>
          <w:sz w:val="32"/>
          <w:szCs w:val="32"/>
          <w:shd w:val="clear" w:color="auto" w:fill="FFFFFF"/>
          <w:lang w:val="zh-CN"/>
        </w:rPr>
      </w:pPr>
      <w:r>
        <w:rPr>
          <w:rFonts w:hint="eastAsia" w:eastAsia="楷体_GB2312"/>
          <w:b/>
          <w:sz w:val="32"/>
          <w:szCs w:val="32"/>
          <w:lang w:val="zh-CN"/>
        </w:rPr>
        <w:t>（一）设立背景及基本情况。</w:t>
      </w:r>
    </w:p>
    <w:p>
      <w:pPr>
        <w:pStyle w:val="14"/>
        <w:spacing w:line="560" w:lineRule="exact"/>
        <w:ind w:firstLine="640" w:firstLineChars="200"/>
        <w:jc w:val="both"/>
        <w:rPr>
          <w:rFonts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盐边县市场监督管理局负责制定《盐边县2024年度食品安全抽检监测实施方案》；通过比选程序确定第三方承检机构四川省轻工业研究设计院有限公司，并与其签订服务合同；负责食品及食用农产品抽检结果公示；负责核对项目完成情况进行抽查；负责完成不合格食品和食用农产品核查处置。</w:t>
      </w:r>
    </w:p>
    <w:p>
      <w:pPr>
        <w:numPr>
          <w:ilvl w:val="0"/>
          <w:numId w:val="1"/>
        </w:numPr>
        <w:adjustRightInd w:val="0"/>
        <w:snapToGrid w:val="0"/>
        <w:spacing w:line="560" w:lineRule="exact"/>
        <w:ind w:firstLine="643" w:firstLineChars="200"/>
        <w:rPr>
          <w:rFonts w:eastAsia="仿宋_GB2312" w:cs="仿宋_GB2312"/>
          <w:kern w:val="0"/>
          <w:sz w:val="32"/>
          <w:szCs w:val="32"/>
          <w:lang w:val="zh-CN"/>
        </w:rPr>
      </w:pPr>
      <w:r>
        <w:rPr>
          <w:rFonts w:eastAsia="楷体_GB2312"/>
          <w:b/>
          <w:sz w:val="32"/>
          <w:szCs w:val="32"/>
        </w:rPr>
        <w:t>实施目的及支持方向</w:t>
      </w:r>
      <w:r>
        <w:rPr>
          <w:rFonts w:hint="eastAsia" w:eastAsia="楷体_GB2312"/>
          <w:b/>
          <w:sz w:val="32"/>
          <w:szCs w:val="32"/>
        </w:rPr>
        <w:t>。</w:t>
      </w:r>
    </w:p>
    <w:p>
      <w:pPr>
        <w:pStyle w:val="2"/>
        <w:spacing w:line="560" w:lineRule="exact"/>
        <w:ind w:firstLine="640" w:firstLineChars="200"/>
        <w:jc w:val="both"/>
        <w:rPr>
          <w:rFonts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依据《中华人民共和国食品安全法》第八十七条规定：县级以上人民政府食品安全监督管理部门应当对食品进行定期或者不定期的抽样检验，并依据有关规定公布检验结果，不得免检。</w:t>
      </w:r>
    </w:p>
    <w:p>
      <w:pPr>
        <w:widowControl/>
        <w:numPr>
          <w:ilvl w:val="0"/>
          <w:numId w:val="1"/>
        </w:numPr>
        <w:adjustRightInd w:val="0"/>
        <w:snapToGrid w:val="0"/>
        <w:spacing w:line="560" w:lineRule="exact"/>
        <w:ind w:firstLine="643" w:firstLineChars="200"/>
        <w:contextualSpacing/>
        <w:rPr>
          <w:rFonts w:eastAsia="仿宋_GB2312" w:cs="仿宋_GB2312"/>
          <w:kern w:val="0"/>
          <w:sz w:val="32"/>
          <w:szCs w:val="32"/>
          <w:lang w:val="zh-CN"/>
        </w:rPr>
      </w:pPr>
      <w:r>
        <w:rPr>
          <w:rFonts w:eastAsia="楷体_GB2312"/>
          <w:b/>
          <w:sz w:val="32"/>
          <w:szCs w:val="32"/>
        </w:rPr>
        <w:t>预算安排及分配管理</w:t>
      </w:r>
      <w:r>
        <w:rPr>
          <w:rFonts w:hint="eastAsia" w:eastAsia="楷体_GB2312"/>
          <w:b/>
          <w:sz w:val="32"/>
          <w:szCs w:val="32"/>
          <w:lang w:val="zh-CN"/>
        </w:rPr>
        <w:t>。</w:t>
      </w:r>
    </w:p>
    <w:p>
      <w:pPr>
        <w:widowControl/>
        <w:adjustRightInd w:val="0"/>
        <w:snapToGrid w:val="0"/>
        <w:spacing w:line="560" w:lineRule="exact"/>
        <w:ind w:firstLine="640" w:firstLineChars="200"/>
        <w:contextualSpacing/>
        <w:rPr>
          <w:rFonts w:eastAsia="仿宋_GB2312" w:cs="仿宋_GB2312"/>
          <w:kern w:val="0"/>
          <w:sz w:val="32"/>
          <w:szCs w:val="32"/>
          <w:lang w:val="zh-CN"/>
        </w:rPr>
      </w:pPr>
      <w:r>
        <w:rPr>
          <w:rFonts w:hint="eastAsia" w:eastAsia="仿宋_GB2312" w:cs="仿宋_GB2312"/>
          <w:kern w:val="0"/>
          <w:sz w:val="32"/>
          <w:szCs w:val="32"/>
          <w:lang w:val="zh-CN"/>
        </w:rPr>
        <w:t>按照《盐边县2024年度食品安全抽检监测实施方案》及抽检工作完成进度支付抽检检测机构产生的检测费用。该项目为2024年11月31日前在盐边辖区内完成食品抽检180批次和食用农产品抽检120批次，按照《盐边县2024年食品抽检项目任务计划表》《盐边县 2024 年食用农产品抽检项目任务计划表》开展食品及食用农产品抽检工作。项目总价为29.2万元。</w:t>
      </w:r>
    </w:p>
    <w:p>
      <w:pPr>
        <w:numPr>
          <w:ilvl w:val="0"/>
          <w:numId w:val="1"/>
        </w:numPr>
        <w:adjustRightInd w:val="0"/>
        <w:snapToGrid w:val="0"/>
        <w:spacing w:line="560" w:lineRule="exact"/>
        <w:ind w:firstLine="643" w:firstLineChars="200"/>
        <w:rPr>
          <w:rFonts w:eastAsia="楷体_GB2312"/>
          <w:b/>
          <w:sz w:val="32"/>
          <w:szCs w:val="32"/>
          <w:lang w:val="zh-CN"/>
        </w:rPr>
      </w:pPr>
      <w:r>
        <w:rPr>
          <w:rFonts w:hint="eastAsia" w:eastAsia="楷体_GB2312"/>
          <w:b/>
          <w:sz w:val="32"/>
          <w:szCs w:val="32"/>
          <w:lang w:val="zh-CN"/>
        </w:rPr>
        <w:t>项目绩效目标设置。</w:t>
      </w:r>
    </w:p>
    <w:p>
      <w:pPr>
        <w:adjustRightInd w:val="0"/>
        <w:snapToGrid w:val="0"/>
        <w:spacing w:line="560" w:lineRule="exact"/>
        <w:ind w:firstLine="640" w:firstLineChars="200"/>
        <w:rPr>
          <w:rFonts w:eastAsia="仿宋_GB2312"/>
          <w:sz w:val="32"/>
          <w:szCs w:val="32"/>
          <w:lang w:val="zh-CN"/>
        </w:rPr>
      </w:pPr>
      <w:r>
        <w:rPr>
          <w:rFonts w:hint="eastAsia" w:eastAsia="仿宋_GB2312" w:cs="仿宋_GB2312"/>
          <w:kern w:val="0"/>
          <w:sz w:val="32"/>
          <w:szCs w:val="32"/>
          <w:lang w:val="zh-CN"/>
        </w:rPr>
        <w:t>在我县辖区内开展300批次食品安全抽检，其中食品180批次，食用农产品120批次。项目应实现的具体绩效目标，包括目标的量化、细化情况以及项目实施进度计划等。该项目绩效目标分为产出指标（细化为数量、质量、时效指标）、效益指标（细化为经济效益和生态效益指标）、成本指标及满意度指标。项目实施进度计划：县级抽检监测任务上半年完成量不低于总任务数45%，7-9月完成总任务数的75%，10-11月完成总任务数的100%。</w:t>
      </w:r>
      <w:r>
        <w:rPr>
          <w:rFonts w:hint="eastAsia" w:eastAsia="仿宋_GB2312"/>
          <w:sz w:val="32"/>
          <w:szCs w:val="32"/>
          <w:lang w:val="zh-CN"/>
        </w:rPr>
        <w:t>盐边县20</w:t>
      </w:r>
      <w:r>
        <w:rPr>
          <w:rFonts w:hint="eastAsia"/>
          <w:sz w:val="32"/>
          <w:szCs w:val="32"/>
        </w:rPr>
        <w:t>24</w:t>
      </w:r>
      <w:r>
        <w:rPr>
          <w:rFonts w:hint="eastAsia" w:eastAsia="仿宋_GB2312"/>
          <w:sz w:val="32"/>
          <w:szCs w:val="32"/>
          <w:lang w:val="zh-CN"/>
        </w:rPr>
        <w:t>年度食品安全抽检监测申报内容与实际相符。申报目标根据《中华人民共和国食品安全法》和省、市抽检任务分解及我县实际经济水平、监管对象、人口基数依法设定，合理可行。</w:t>
      </w:r>
    </w:p>
    <w:p>
      <w:pPr>
        <w:pStyle w:val="2"/>
        <w:jc w:val="both"/>
        <w:rPr>
          <w:lang w:val="zh-CN"/>
        </w:rPr>
      </w:pPr>
    </w:p>
    <w:p>
      <w:pPr>
        <w:adjustRightInd w:val="0"/>
        <w:snapToGrid w:val="0"/>
        <w:spacing w:line="578" w:lineRule="exact"/>
        <w:ind w:firstLine="640" w:firstLineChars="200"/>
        <w:rPr>
          <w:rFonts w:eastAsia="黑体"/>
          <w:sz w:val="32"/>
          <w:szCs w:val="32"/>
        </w:rPr>
      </w:pPr>
      <w:r>
        <w:rPr>
          <w:rFonts w:hint="eastAsia" w:eastAsia="黑体"/>
          <w:sz w:val="32"/>
          <w:szCs w:val="32"/>
        </w:rPr>
        <w:t>二、评价实施</w:t>
      </w:r>
    </w:p>
    <w:p>
      <w:pPr>
        <w:spacing w:line="578" w:lineRule="exact"/>
        <w:ind w:firstLine="640"/>
        <w:rPr>
          <w:rFonts w:eastAsia="仿宋_GB2312" w:cs="仿宋_GB2312"/>
          <w:kern w:val="0"/>
          <w:sz w:val="32"/>
          <w:szCs w:val="32"/>
          <w:lang w:val="zh-CN"/>
        </w:rPr>
      </w:pPr>
      <w:r>
        <w:rPr>
          <w:rFonts w:hint="eastAsia" w:eastAsia="楷体_GB2312"/>
          <w:b/>
          <w:sz w:val="32"/>
          <w:szCs w:val="32"/>
          <w:lang w:val="zh-CN"/>
        </w:rPr>
        <w:t>（一）评价目的。</w:t>
      </w:r>
      <w:r>
        <w:rPr>
          <w:rFonts w:hint="eastAsia" w:ascii="仿宋_GB2312" w:hAnsi="仿宋_GB2312" w:eastAsia="仿宋_GB2312" w:cs="仿宋_GB2312"/>
          <w:bCs/>
          <w:sz w:val="32"/>
          <w:szCs w:val="32"/>
          <w:lang w:val="zh-CN"/>
        </w:rPr>
        <w:t>通过评价确定2024年食品和食用农产品监督抽检项目是否达到了项目决策的目的，项目管理是否贯通抽检全过程，是否实现了经济效应、社会效应、可持续影响等绩效目标。</w:t>
      </w:r>
    </w:p>
    <w:p>
      <w:pPr>
        <w:adjustRightInd w:val="0"/>
        <w:snapToGrid w:val="0"/>
        <w:spacing w:line="578" w:lineRule="exact"/>
        <w:ind w:firstLine="643" w:firstLineChars="200"/>
        <w:rPr>
          <w:rFonts w:eastAsia="仿宋_GB2312" w:cs="仿宋_GB2312"/>
          <w:kern w:val="0"/>
          <w:sz w:val="32"/>
          <w:szCs w:val="32"/>
          <w:lang w:val="zh-CN"/>
        </w:rPr>
      </w:pPr>
      <w:r>
        <w:rPr>
          <w:rFonts w:hint="eastAsia" w:eastAsia="楷体_GB2312"/>
          <w:b/>
          <w:sz w:val="32"/>
          <w:szCs w:val="32"/>
          <w:lang w:val="zh-CN"/>
        </w:rPr>
        <w:t>（二）预设问题及评价重点。</w:t>
      </w:r>
      <w:r>
        <w:rPr>
          <w:rFonts w:hint="eastAsia" w:eastAsia="仿宋_GB2312" w:cs="仿宋_GB2312"/>
          <w:kern w:val="0"/>
          <w:sz w:val="32"/>
          <w:szCs w:val="32"/>
          <w:lang w:val="zh-CN"/>
        </w:rPr>
        <w:t>结合项目组织实施管理办法，重点围绕以下内容进行分析评价，并对自评中发现的问题分析说明。</w:t>
      </w:r>
      <w:r>
        <w:rPr>
          <w:rFonts w:hint="eastAsia" w:eastAsia="仿宋_GB2312" w:cs="仿宋_GB2312"/>
          <w:b/>
          <w:bCs/>
          <w:kern w:val="0"/>
          <w:sz w:val="32"/>
          <w:szCs w:val="32"/>
          <w:lang w:val="zh-CN"/>
        </w:rPr>
        <w:t>一是项目组织架构及实施流程</w:t>
      </w:r>
      <w:r>
        <w:rPr>
          <w:rFonts w:hint="eastAsia" w:eastAsia="仿宋_GB2312" w:cs="仿宋_GB2312"/>
          <w:kern w:val="0"/>
          <w:sz w:val="32"/>
          <w:szCs w:val="32"/>
          <w:lang w:val="zh-CN"/>
        </w:rPr>
        <w:t>：制定《盐边县2024年度食品安全抽检监测实施方案》→比选确定第三方承检机构→签订抽检合同→开展监督抽检→项目完成支付资金。</w:t>
      </w:r>
      <w:r>
        <w:rPr>
          <w:rFonts w:hint="eastAsia" w:eastAsia="仿宋_GB2312" w:cs="仿宋_GB2312"/>
          <w:b/>
          <w:bCs/>
          <w:kern w:val="0"/>
          <w:sz w:val="32"/>
          <w:szCs w:val="32"/>
          <w:lang w:val="zh-CN"/>
        </w:rPr>
        <w:t>二是该项目管理情况</w:t>
      </w:r>
      <w:r>
        <w:rPr>
          <w:rFonts w:hint="eastAsia" w:eastAsia="仿宋_GB2312" w:cs="仿宋_GB2312"/>
          <w:kern w:val="0"/>
          <w:sz w:val="32"/>
          <w:szCs w:val="32"/>
          <w:lang w:val="zh-CN"/>
        </w:rPr>
        <w:t>：依据《中华人民共和国食品安全法》第八十七条规定而立项、以政府采购服务方式开展比选、依据《食品安全抽样检验工作规范》《食品安全抽样检验管理办法》实施项目和结果公示。</w:t>
      </w:r>
      <w:r>
        <w:rPr>
          <w:rFonts w:hint="eastAsia" w:eastAsia="仿宋_GB2312" w:cs="仿宋_GB2312"/>
          <w:b/>
          <w:bCs/>
          <w:kern w:val="0"/>
          <w:sz w:val="32"/>
          <w:szCs w:val="32"/>
          <w:lang w:val="zh-CN"/>
        </w:rPr>
        <w:t>三是项目资金管理情况：</w:t>
      </w:r>
      <w:r>
        <w:rPr>
          <w:rFonts w:hint="eastAsia" w:eastAsia="仿宋_GB2312" w:cs="仿宋_GB2312"/>
          <w:kern w:val="0"/>
          <w:sz w:val="32"/>
          <w:szCs w:val="32"/>
          <w:lang w:val="zh-CN"/>
        </w:rPr>
        <w:t>该项目实施过程全程入网监管，该项目通过国家食品安全抽样检验系统对食品及食用农产品抽检工作进行计划制定、计划部署、抽样过程、抽检结果录入和公示等全过程录入，确保抽样品种、数量、检验项目保质保量完成；市市场监管局每季度对抽样数据进行审核，督促第三方承检机构及时对不规范的数据进行整改；该项目纳入年底食品安全考核，通过对完成数量、不合格率等指标进行评估，确保食品及食用农产品抽检工作达到预期目标。照绩效评价指标体系，对资金支出使用全过程及其实施效果进行综合评价和判断。</w:t>
      </w:r>
    </w:p>
    <w:p>
      <w:pPr>
        <w:snapToGrid w:val="0"/>
        <w:spacing w:line="560" w:lineRule="exact"/>
        <w:ind w:firstLine="643" w:firstLineChars="200"/>
        <w:rPr>
          <w:rFonts w:ascii="仿宋_GB2312" w:hAnsi="宋体" w:eastAsia="仿宋_GB2312"/>
          <w:sz w:val="32"/>
          <w:szCs w:val="32"/>
        </w:rPr>
      </w:pPr>
      <w:r>
        <w:rPr>
          <w:rFonts w:hint="eastAsia" w:eastAsia="楷体_GB2312"/>
          <w:b/>
          <w:sz w:val="32"/>
          <w:szCs w:val="32"/>
          <w:lang w:val="zh-CN"/>
        </w:rPr>
        <w:t>（三）评价选点。</w:t>
      </w:r>
      <w:r>
        <w:rPr>
          <w:rFonts w:hint="eastAsia" w:ascii="仿宋_GB2312" w:hAnsi="宋体" w:eastAsia="仿宋_GB2312"/>
          <w:sz w:val="32"/>
          <w:szCs w:val="32"/>
        </w:rPr>
        <w:t>主要设置了项目完成、项目效益、满意度3个一级指标，7个二级指标和11个三级指标。项目完成和满意度指标的各项指标均可实现量化考核，总体来说指标设置和指标值全面完整，契合政策和项目要求，与市场监管部门食品安全长期规划目标、年度工作目标相一致。</w:t>
      </w:r>
    </w:p>
    <w:p>
      <w:pPr>
        <w:spacing w:line="578" w:lineRule="exact"/>
        <w:ind w:firstLine="640"/>
        <w:rPr>
          <w:rFonts w:ascii="仿宋_GB2312" w:hAnsi="仿宋_GB2312" w:eastAsia="仿宋_GB2312" w:cs="仿宋_GB2312"/>
          <w:bCs/>
          <w:kern w:val="0"/>
          <w:sz w:val="32"/>
          <w:szCs w:val="32"/>
          <w:lang w:val="zh-CN"/>
        </w:rPr>
      </w:pPr>
      <w:r>
        <w:rPr>
          <w:rFonts w:hint="eastAsia" w:eastAsia="楷体_GB2312"/>
          <w:b/>
          <w:sz w:val="32"/>
          <w:szCs w:val="32"/>
          <w:lang w:val="zh-CN"/>
        </w:rPr>
        <w:t>（四）评价方法。</w:t>
      </w:r>
      <w:r>
        <w:rPr>
          <w:rFonts w:hint="eastAsia" w:ascii="仿宋_GB2312" w:hAnsi="仿宋_GB2312" w:eastAsia="仿宋_GB2312" w:cs="仿宋_GB2312"/>
          <w:bCs/>
          <w:sz w:val="32"/>
          <w:szCs w:val="32"/>
          <w:lang w:val="zh-CN"/>
        </w:rPr>
        <w:t>通过抽检完成数量、不合格率等指标进行评估，采用本</w:t>
      </w:r>
      <w:r>
        <w:rPr>
          <w:rFonts w:hint="eastAsia" w:ascii="仿宋_GB2312" w:hAnsi="仿宋_GB2312" w:eastAsia="仿宋_GB2312" w:cs="仿宋_GB2312"/>
          <w:bCs/>
          <w:kern w:val="0"/>
          <w:sz w:val="32"/>
          <w:szCs w:val="32"/>
          <w:lang w:val="zh-CN"/>
        </w:rPr>
        <w:t>单位自评法</w:t>
      </w:r>
      <w:r>
        <w:rPr>
          <w:rFonts w:hint="eastAsia" w:ascii="仿宋_GB2312" w:hAnsi="仿宋_GB2312" w:eastAsia="仿宋_GB2312" w:cs="仿宋_GB2312"/>
          <w:bCs/>
          <w:sz w:val="32"/>
          <w:szCs w:val="32"/>
          <w:lang w:val="zh-CN"/>
        </w:rPr>
        <w:t>确保食品及食用农产品抽检工作达到预期目标。对照《盐边县2024年度食品安全抽检监测实施方案》、合同、抽检结果、资金支付情况，对项目产出指标、效益指标、成本指标及满意度指标进行自评。</w:t>
      </w:r>
    </w:p>
    <w:p>
      <w:pPr>
        <w:spacing w:line="578" w:lineRule="exact"/>
        <w:ind w:firstLine="640"/>
        <w:rPr>
          <w:rFonts w:eastAsia="仿宋_GB2312"/>
          <w:bCs/>
        </w:rPr>
      </w:pPr>
      <w:r>
        <w:rPr>
          <w:rFonts w:hint="eastAsia" w:eastAsia="楷体_GB2312"/>
          <w:b/>
          <w:sz w:val="32"/>
          <w:szCs w:val="32"/>
          <w:lang w:val="zh-CN"/>
        </w:rPr>
        <w:t>（五）评价组织。</w:t>
      </w:r>
      <w:r>
        <w:rPr>
          <w:rFonts w:hint="eastAsia" w:eastAsia="仿宋_GB2312" w:cs="仿宋_GB2312"/>
          <w:kern w:val="0"/>
          <w:sz w:val="32"/>
          <w:szCs w:val="32"/>
          <w:lang w:val="zh-CN"/>
        </w:rPr>
        <w:t>按照职能职责，由局领导及相关股室人员组成评价小组，</w:t>
      </w:r>
      <w:r>
        <w:rPr>
          <w:rFonts w:hint="eastAsia" w:ascii="仿宋_GB2312" w:hAnsi="仿宋_GB2312" w:eastAsia="仿宋_GB2312" w:cs="仿宋_GB2312"/>
          <w:bCs/>
          <w:sz w:val="32"/>
          <w:szCs w:val="32"/>
          <w:lang w:val="zh-CN"/>
        </w:rPr>
        <w:t>通过审核抽检完成数量、不合格率等指标，对照《盐边县2024年度食品安全抽检监测实施方案》、合同、抽检结果、资金支付情况，对项目产出指标、效益指标、成本指标及满意度指标进行评价。</w:t>
      </w:r>
    </w:p>
    <w:p>
      <w:pPr>
        <w:adjustRightInd w:val="0"/>
        <w:snapToGrid w:val="0"/>
        <w:spacing w:line="578" w:lineRule="exact"/>
        <w:ind w:firstLine="640" w:firstLineChars="200"/>
        <w:rPr>
          <w:sz w:val="32"/>
          <w:szCs w:val="32"/>
          <w:lang w:val="zh-CN"/>
        </w:rPr>
      </w:pPr>
      <w:r>
        <w:rPr>
          <w:rFonts w:hint="eastAsia" w:eastAsia="黑体"/>
          <w:sz w:val="32"/>
          <w:szCs w:val="32"/>
        </w:rPr>
        <w:t>三、绩效分析</w:t>
      </w:r>
    </w:p>
    <w:p>
      <w:pPr>
        <w:spacing w:line="578" w:lineRule="exact"/>
        <w:ind w:firstLine="640"/>
        <w:rPr>
          <w:rFonts w:eastAsia="仿宋_GB2312" w:cs="仿宋_GB2312"/>
          <w:kern w:val="0"/>
          <w:sz w:val="32"/>
          <w:szCs w:val="32"/>
        </w:rPr>
      </w:pPr>
      <w:r>
        <w:rPr>
          <w:rFonts w:eastAsia="仿宋_GB2312" w:cs="仿宋_GB2312"/>
          <w:kern w:val="0"/>
          <w:sz w:val="32"/>
          <w:szCs w:val="32"/>
          <w:lang w:val="zh-CN"/>
        </w:rPr>
        <w:t>根据</w:t>
      </w:r>
      <w:r>
        <w:rPr>
          <w:rFonts w:hint="eastAsia" w:eastAsia="仿宋_GB2312" w:cs="仿宋_GB2312"/>
          <w:kern w:val="0"/>
          <w:sz w:val="32"/>
          <w:szCs w:val="32"/>
          <w:lang w:val="zh-CN"/>
        </w:rPr>
        <w:t>项目</w:t>
      </w:r>
      <w:r>
        <w:rPr>
          <w:rFonts w:eastAsia="仿宋_GB2312" w:cs="仿宋_GB2312"/>
          <w:kern w:val="0"/>
          <w:sz w:val="32"/>
          <w:szCs w:val="32"/>
          <w:lang w:val="zh-CN"/>
        </w:rPr>
        <w:t>预算绩效评价指标体系</w:t>
      </w:r>
      <w:r>
        <w:rPr>
          <w:rFonts w:hint="eastAsia" w:eastAsia="仿宋_GB2312" w:cs="仿宋_GB2312"/>
          <w:kern w:val="0"/>
          <w:sz w:val="32"/>
          <w:szCs w:val="32"/>
          <w:lang w:val="zh-CN"/>
        </w:rPr>
        <w:t>通用指标、专用指标、个性指标</w:t>
      </w:r>
      <w:r>
        <w:rPr>
          <w:rFonts w:eastAsia="仿宋_GB2312" w:cs="仿宋_GB2312"/>
          <w:kern w:val="0"/>
          <w:sz w:val="32"/>
          <w:szCs w:val="32"/>
          <w:lang w:val="zh-CN"/>
        </w:rPr>
        <w:t>涉及</w:t>
      </w:r>
      <w:r>
        <w:rPr>
          <w:rFonts w:hint="eastAsia" w:eastAsia="仿宋_GB2312" w:cs="仿宋_GB2312"/>
          <w:kern w:val="0"/>
          <w:sz w:val="32"/>
          <w:szCs w:val="32"/>
          <w:lang w:val="zh-CN"/>
        </w:rPr>
        <w:t>二、三级</w:t>
      </w:r>
      <w:r>
        <w:rPr>
          <w:rFonts w:eastAsia="仿宋_GB2312" w:cs="仿宋_GB2312"/>
          <w:kern w:val="0"/>
          <w:sz w:val="32"/>
          <w:szCs w:val="32"/>
          <w:lang w:val="zh-CN"/>
        </w:rPr>
        <w:t>指标进行</w:t>
      </w:r>
      <w:r>
        <w:rPr>
          <w:rFonts w:hint="eastAsia" w:eastAsia="仿宋_GB2312" w:cs="仿宋_GB2312"/>
          <w:kern w:val="0"/>
          <w:sz w:val="32"/>
          <w:szCs w:val="32"/>
          <w:lang w:val="zh-CN"/>
        </w:rPr>
        <w:t>逐项</w:t>
      </w:r>
      <w:r>
        <w:rPr>
          <w:rFonts w:eastAsia="仿宋_GB2312" w:cs="仿宋_GB2312"/>
          <w:kern w:val="0"/>
          <w:sz w:val="32"/>
          <w:szCs w:val="32"/>
          <w:lang w:val="zh-CN"/>
        </w:rPr>
        <w:t>绩效分析</w:t>
      </w:r>
      <w:r>
        <w:rPr>
          <w:rFonts w:hint="eastAsia" w:eastAsia="仿宋_GB2312" w:cs="仿宋_GB2312"/>
          <w:kern w:val="0"/>
          <w:sz w:val="32"/>
          <w:szCs w:val="32"/>
          <w:lang w:val="zh-CN"/>
        </w:rPr>
        <w:t>并评分</w:t>
      </w:r>
      <w:r>
        <w:rPr>
          <w:rFonts w:hint="eastAsia" w:eastAsia="仿宋_GB2312" w:cs="仿宋_GB2312"/>
          <w:kern w:val="0"/>
          <w:sz w:val="32"/>
          <w:szCs w:val="32"/>
        </w:rPr>
        <w:t>。</w:t>
      </w:r>
    </w:p>
    <w:p>
      <w:pPr>
        <w:spacing w:line="578" w:lineRule="exact"/>
        <w:ind w:firstLine="640"/>
        <w:rPr>
          <w:rFonts w:eastAsia="楷体_GB2312"/>
          <w:b/>
          <w:sz w:val="32"/>
          <w:szCs w:val="32"/>
        </w:rPr>
      </w:pPr>
      <w:r>
        <w:rPr>
          <w:rFonts w:hint="eastAsia" w:eastAsia="楷体_GB2312"/>
          <w:b/>
          <w:sz w:val="32"/>
          <w:szCs w:val="32"/>
          <w:lang w:val="zh-CN"/>
        </w:rPr>
        <w:t>（一）</w:t>
      </w:r>
      <w:r>
        <w:rPr>
          <w:rFonts w:hint="eastAsia" w:eastAsia="楷体_GB2312"/>
          <w:b/>
          <w:sz w:val="32"/>
          <w:szCs w:val="32"/>
        </w:rPr>
        <w:t>通用指标</w:t>
      </w:r>
      <w:r>
        <w:rPr>
          <w:rFonts w:eastAsia="楷体_GB2312"/>
          <w:b/>
          <w:bCs/>
          <w:color w:val="000000"/>
          <w:kern w:val="0"/>
          <w:sz w:val="32"/>
          <w:szCs w:val="32"/>
          <w:shd w:val="clear" w:color="auto" w:fill="FFFFFF"/>
          <w:lang w:val="zh-CN"/>
        </w:rPr>
        <w:t>绩效分析。</w:t>
      </w:r>
    </w:p>
    <w:p>
      <w:pPr>
        <w:adjustRightInd w:val="0"/>
        <w:snapToGrid w:val="0"/>
        <w:spacing w:line="520" w:lineRule="exact"/>
        <w:ind w:firstLine="640" w:firstLineChars="200"/>
        <w:rPr>
          <w:rFonts w:ascii="仿宋_GB2312" w:hAnsi="宋体" w:eastAsia="仿宋_GB2312"/>
          <w:sz w:val="32"/>
          <w:szCs w:val="32"/>
        </w:rPr>
      </w:pPr>
      <w:r>
        <w:rPr>
          <w:rFonts w:hint="eastAsia" w:eastAsia="仿宋_GB2312" w:cs="仿宋_GB2312"/>
          <w:kern w:val="0"/>
          <w:sz w:val="32"/>
          <w:szCs w:val="32"/>
        </w:rPr>
        <w:t>1.</w:t>
      </w:r>
      <w:r>
        <w:rPr>
          <w:rFonts w:hint="eastAsia" w:eastAsia="仿宋_GB2312" w:cs="仿宋_GB2312"/>
          <w:kern w:val="0"/>
          <w:sz w:val="32"/>
          <w:szCs w:val="32"/>
          <w:lang w:val="zh-CN"/>
        </w:rPr>
        <w:t>项目决策。</w:t>
      </w:r>
      <w:r>
        <w:rPr>
          <w:rFonts w:hint="eastAsia" w:ascii="仿宋_GB2312" w:hAnsi="宋体" w:eastAsia="仿宋_GB2312"/>
          <w:sz w:val="32"/>
          <w:szCs w:val="32"/>
          <w:lang w:val="zh-CN"/>
        </w:rPr>
        <w:t>盐边县市场监管局依据职能职责对辖区食品生产经营者开展食品监督抽检，</w:t>
      </w:r>
      <w:r>
        <w:rPr>
          <w:rFonts w:hint="eastAsia" w:ascii="仿宋_GB2312" w:hAnsi="宋体" w:eastAsia="仿宋_GB2312"/>
          <w:sz w:val="32"/>
          <w:szCs w:val="32"/>
        </w:rPr>
        <w:t>2024年</w:t>
      </w:r>
      <w:r>
        <w:rPr>
          <w:rFonts w:hint="eastAsia" w:ascii="仿宋_GB2312" w:hAnsi="宋体" w:eastAsia="仿宋_GB2312"/>
          <w:sz w:val="32"/>
          <w:szCs w:val="32"/>
          <w:lang w:val="zh-CN"/>
        </w:rPr>
        <w:t>预计</w:t>
      </w:r>
      <w:r>
        <w:rPr>
          <w:rFonts w:hint="eastAsia" w:ascii="仿宋_GB2312" w:hAnsi="宋体" w:eastAsia="仿宋_GB2312"/>
          <w:sz w:val="32"/>
          <w:szCs w:val="32"/>
        </w:rPr>
        <w:t>抽检300批次，其中：食品180批次，食用农产品120批次</w:t>
      </w:r>
      <w:r>
        <w:rPr>
          <w:rFonts w:hint="eastAsia" w:ascii="仿宋_GB2312" w:hAnsi="宋体" w:eastAsia="仿宋_GB2312"/>
          <w:sz w:val="32"/>
          <w:szCs w:val="32"/>
          <w:lang w:val="zh-CN"/>
        </w:rPr>
        <w:t>。</w:t>
      </w:r>
      <w:r>
        <w:rPr>
          <w:rFonts w:hint="eastAsia" w:ascii="仿宋_GB2312" w:hAnsi="宋体" w:eastAsia="仿宋_GB2312"/>
          <w:sz w:val="32"/>
          <w:szCs w:val="32"/>
        </w:rPr>
        <w:t>依据</w:t>
      </w:r>
      <w:r>
        <w:rPr>
          <w:rFonts w:hint="eastAsia" w:ascii="仿宋_GB2312" w:hAnsi="宋体" w:eastAsia="仿宋_GB2312"/>
          <w:sz w:val="32"/>
          <w:szCs w:val="32"/>
          <w:lang w:val="zh-CN"/>
        </w:rPr>
        <w:t>《中华人民共和国食品安全法》第八十七条规定：“县级以上人民政府食品安全监督管理部门应当对食品进行定期或者不定期的抽样检验，并依据有关规定公布检验结果，不得免检。进行抽样检验，应当购买抽取的样品，委托符合本法规定的食品检验机构进行检验，并支付相关费用；不得向食品生产经营者收取检验费和其他费用。”，按照省、市关于食品监督抽检工作安排，</w:t>
      </w:r>
      <w:r>
        <w:rPr>
          <w:rFonts w:hint="eastAsia" w:ascii="仿宋_GB2312" w:hAnsi="仿宋_GB2312" w:eastAsia="仿宋_GB2312"/>
          <w:sz w:val="32"/>
        </w:rPr>
        <w:t>为深入排查辖区食品安全风险隐患，全面落实食品安全</w:t>
      </w:r>
      <w:r>
        <w:rPr>
          <w:rFonts w:hint="eastAsia" w:ascii="Times_New_Roman" w:hAnsi="Times_New_Roman" w:eastAsia="Times_New_Roman"/>
          <w:sz w:val="32"/>
        </w:rPr>
        <w:t>“</w:t>
      </w:r>
      <w:r>
        <w:rPr>
          <w:rFonts w:hint="eastAsia" w:ascii="仿宋_GB2312" w:hAnsi="仿宋_GB2312" w:eastAsia="仿宋_GB2312"/>
          <w:sz w:val="32"/>
        </w:rPr>
        <w:t>监检联动</w:t>
      </w:r>
      <w:r>
        <w:rPr>
          <w:rFonts w:hint="eastAsia" w:ascii="Times_New_Roman" w:hAnsi="Times_New_Roman" w:eastAsia="Times_New_Roman"/>
          <w:sz w:val="32"/>
        </w:rPr>
        <w:t>”</w:t>
      </w:r>
      <w:r>
        <w:rPr>
          <w:rFonts w:hint="eastAsia" w:ascii="仿宋_GB2312" w:hAnsi="仿宋_GB2312" w:eastAsia="仿宋_GB2312"/>
          <w:sz w:val="32"/>
        </w:rPr>
        <w:t>和抽检发现严重风险快速反应机制，每年对食品开展定期或者不定期的抽样检验。</w:t>
      </w:r>
    </w:p>
    <w:p>
      <w:pPr>
        <w:adjustRightInd w:val="0"/>
        <w:snapToGrid w:val="0"/>
        <w:spacing w:line="560" w:lineRule="exact"/>
        <w:ind w:firstLine="720"/>
        <w:rPr>
          <w:rFonts w:ascii="仿宋_GB2312" w:hAnsi="仿宋_GB2312" w:eastAsia="仿宋_GB2312" w:cs="仿宋_GB2312"/>
          <w:sz w:val="32"/>
          <w:szCs w:val="32"/>
          <w:lang w:val="zh-CN"/>
        </w:rPr>
      </w:pPr>
      <w:r>
        <w:rPr>
          <w:rFonts w:hint="eastAsia" w:eastAsia="仿宋_GB2312" w:cs="仿宋_GB2312"/>
          <w:kern w:val="0"/>
          <w:sz w:val="32"/>
          <w:szCs w:val="32"/>
        </w:rPr>
        <w:t>2.</w:t>
      </w:r>
      <w:r>
        <w:rPr>
          <w:rFonts w:hint="eastAsia" w:eastAsia="仿宋_GB2312" w:cs="仿宋_GB2312"/>
          <w:kern w:val="0"/>
          <w:sz w:val="32"/>
          <w:szCs w:val="32"/>
          <w:lang w:val="zh-CN"/>
        </w:rPr>
        <w:t>项目管理。</w:t>
      </w:r>
      <w:r>
        <w:rPr>
          <w:rFonts w:hint="eastAsia" w:ascii="仿宋_GB2312" w:hAnsi="仿宋_GB2312" w:eastAsia="仿宋_GB2312" w:cs="仿宋_GB2312"/>
          <w:sz w:val="32"/>
          <w:szCs w:val="32"/>
          <w:lang w:val="zh-CN"/>
        </w:rPr>
        <w:t>制定《盐边县202</w:t>
      </w: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val="zh-CN"/>
        </w:rPr>
        <w:t>年度食品安全抽检监测实施方案》→比选确定第三方承检机构→签订抽检合同→开展监督抽检→项目完成支付资金。该项目依据《中华人民共和国食品安全法》第八十七条规定而立项、以政府采购服务方式开展比选、依据《食品安全抽样检验工作规范》《食品安全抽样检验管理办法》实施项目和结果公示。一是该项目实施过程全程入网监管，该项目通过国家食品安全抽样检验系统对食品及食用农产品抽检工作进行计划制定、计划部署、抽样过程、抽检结果录入和公示等全过程录入，确保抽样品种、数量、检验项目保质保量完成；二是市市场监管局每季度对抽样数据进行审核，督促第三方承检机构及时对不规范的数据进行整改；三是该项目纳入年底食品安全考核，通过对完成数量、不合格率等指标进行评估，确保食品及食用农产品抽检工作达到预期目标。</w:t>
      </w:r>
    </w:p>
    <w:p>
      <w:pPr>
        <w:spacing w:line="578" w:lineRule="exact"/>
        <w:ind w:firstLine="640"/>
        <w:rPr>
          <w:rFonts w:eastAsia="仿宋_GB2312" w:cs="仿宋_GB2312"/>
          <w:kern w:val="0"/>
          <w:sz w:val="32"/>
          <w:szCs w:val="32"/>
          <w:lang w:val="zh-CN"/>
        </w:rPr>
      </w:pPr>
      <w:r>
        <w:rPr>
          <w:rFonts w:hint="eastAsia" w:eastAsia="仿宋_GB2312" w:cs="仿宋_GB2312"/>
          <w:kern w:val="0"/>
          <w:sz w:val="32"/>
          <w:szCs w:val="32"/>
        </w:rPr>
        <w:t>3.项目实施。该项目为2024年11月31日前已在盐边辖区内完成食品抽检180批次和食用农产品抽检120批次，按照《盐边县2024年食品抽检项目任务计划表》《盐边县 2024 年食用农产品抽检项目任务计划表》开展食品及食用农产品抽检工作。项目总价为29.2万元，资金结余为0万元。承检机构按时完成了预期目标。</w:t>
      </w:r>
    </w:p>
    <w:p>
      <w:pPr>
        <w:spacing w:line="578" w:lineRule="exact"/>
        <w:ind w:firstLine="640"/>
        <w:rPr>
          <w:rFonts w:eastAsia="仿宋_GB2312" w:cs="仿宋_GB2312"/>
          <w:kern w:val="0"/>
          <w:sz w:val="32"/>
          <w:szCs w:val="32"/>
          <w:lang w:val="zh-CN"/>
        </w:rPr>
      </w:pPr>
      <w:r>
        <w:rPr>
          <w:rFonts w:hint="eastAsia" w:eastAsia="仿宋_GB2312" w:cs="仿宋_GB2312"/>
          <w:kern w:val="0"/>
          <w:sz w:val="32"/>
          <w:szCs w:val="32"/>
        </w:rPr>
        <w:t>4.项目结果。通过开展食品和食用农产品抽检工作，食品生产经营秩序得到有效规范，生产经营者落实进货查验、索票索证自觉性得到提高。从抽检结果来看，我县食品安全状况总体良好，但也反映出我们的监管重点应该放在食品添加剂的监管上，通过对不合格食品开展核查处置，严厉打击生产经营不合格食品行为，提高了群众对食品安全的满意度。</w:t>
      </w:r>
    </w:p>
    <w:p>
      <w:pPr>
        <w:spacing w:line="578" w:lineRule="exact"/>
        <w:ind w:firstLine="640"/>
        <w:rPr>
          <w:rFonts w:eastAsia="仿宋_GB2312" w:cs="仿宋_GB2312"/>
          <w:kern w:val="0"/>
          <w:sz w:val="32"/>
          <w:szCs w:val="32"/>
          <w:lang w:val="zh-CN"/>
        </w:rPr>
      </w:pPr>
      <w:r>
        <w:rPr>
          <w:rFonts w:hint="eastAsia" w:eastAsia="楷体_GB2312"/>
          <w:b/>
          <w:sz w:val="32"/>
          <w:szCs w:val="32"/>
          <w:lang w:val="zh-CN"/>
        </w:rPr>
        <w:t>（二）</w:t>
      </w:r>
      <w:r>
        <w:rPr>
          <w:rFonts w:hint="eastAsia" w:eastAsia="楷体_GB2312"/>
          <w:b/>
          <w:sz w:val="32"/>
          <w:szCs w:val="32"/>
        </w:rPr>
        <w:t>专用指标</w:t>
      </w:r>
      <w:r>
        <w:rPr>
          <w:rFonts w:eastAsia="楷体_GB2312"/>
          <w:b/>
          <w:bCs/>
          <w:color w:val="000000"/>
          <w:kern w:val="0"/>
          <w:sz w:val="32"/>
          <w:szCs w:val="32"/>
          <w:shd w:val="clear" w:color="auto" w:fill="FFFFFF"/>
          <w:lang w:val="zh-CN"/>
        </w:rPr>
        <w:t>绩效分析。</w:t>
      </w:r>
      <w:r>
        <w:rPr>
          <w:rFonts w:hint="eastAsia" w:eastAsia="仿宋_GB2312" w:cs="仿宋_GB2312"/>
          <w:kern w:val="0"/>
          <w:sz w:val="32"/>
          <w:szCs w:val="32"/>
          <w:lang w:val="zh-CN"/>
        </w:rPr>
        <w:t>根据</w:t>
      </w:r>
      <w:r>
        <w:rPr>
          <w:rFonts w:hint="eastAsia" w:eastAsia="仿宋_GB2312" w:cs="仿宋_GB2312"/>
          <w:kern w:val="0"/>
          <w:sz w:val="32"/>
          <w:szCs w:val="32"/>
        </w:rPr>
        <w:t>专项预算项目资金支持对象选择所属指标进行绩效分析。支持对象</w:t>
      </w:r>
      <w:r>
        <w:rPr>
          <w:rFonts w:hint="eastAsia" w:eastAsia="仿宋_GB2312" w:cs="仿宋_GB2312"/>
          <w:kern w:val="0"/>
          <w:sz w:val="32"/>
          <w:szCs w:val="32"/>
          <w:lang w:val="zh-CN"/>
        </w:rPr>
        <w:t>包括产业发展、民生保障、基础设施、行政运转等方面。</w:t>
      </w:r>
    </w:p>
    <w:p>
      <w:pPr>
        <w:spacing w:line="578" w:lineRule="exact"/>
        <w:ind w:firstLine="640"/>
        <w:rPr>
          <w:rFonts w:eastAsia="仿宋_GB2312" w:cs="仿宋_GB2312"/>
          <w:kern w:val="0"/>
          <w:sz w:val="32"/>
          <w:szCs w:val="32"/>
        </w:rPr>
      </w:pPr>
      <w:r>
        <w:rPr>
          <w:rFonts w:hint="eastAsia" w:eastAsia="仿宋_GB2312" w:cs="仿宋_GB2312"/>
          <w:kern w:val="0"/>
          <w:sz w:val="32"/>
          <w:szCs w:val="32"/>
        </w:rPr>
        <w:t>1.产业发展。按照《中华人民共和国食品安全法》和食品安全党政同责考核要求，食品安全监督抽检是每年必须开展的工作。此项目须由县级以上人民政府食品安全监督管理部门开展，不得向食品生产经营者收取检验费和其他费用，因此食品安全抽检经费须纳入财政每年年度预算。监督抽检有助于了解本地食品安全状况，深度排查食品安全风险，从而打击食品安全违法行为，</w:t>
      </w:r>
      <w:r>
        <w:rPr>
          <w:rFonts w:hint="eastAsia" w:eastAsia="仿宋_GB2312" w:cs="仿宋_GB2312"/>
          <w:kern w:val="0"/>
          <w:sz w:val="32"/>
          <w:szCs w:val="32"/>
          <w:lang w:eastAsia="zh-CN"/>
        </w:rPr>
        <w:t>提高</w:t>
      </w:r>
      <w:r>
        <w:rPr>
          <w:rFonts w:hint="eastAsia" w:eastAsia="仿宋_GB2312" w:cs="仿宋_GB2312"/>
          <w:kern w:val="0"/>
          <w:sz w:val="32"/>
          <w:szCs w:val="32"/>
        </w:rPr>
        <w:t>人民群众食品安全满意度。</w:t>
      </w:r>
    </w:p>
    <w:p>
      <w:pPr>
        <w:spacing w:line="578" w:lineRule="exact"/>
        <w:ind w:firstLine="640"/>
        <w:rPr>
          <w:rFonts w:eastAsia="仿宋_GB2312" w:cs="仿宋_GB2312"/>
          <w:kern w:val="0"/>
          <w:sz w:val="32"/>
          <w:szCs w:val="32"/>
        </w:rPr>
      </w:pPr>
      <w:r>
        <w:rPr>
          <w:rFonts w:hint="eastAsia" w:eastAsia="仿宋_GB2312" w:cs="仿宋_GB2312"/>
          <w:kern w:val="0"/>
          <w:sz w:val="32"/>
          <w:szCs w:val="32"/>
        </w:rPr>
        <w:t>2.</w:t>
      </w:r>
      <w:r>
        <w:rPr>
          <w:rFonts w:hint="eastAsia" w:eastAsia="仿宋_GB2312" w:cs="仿宋_GB2312"/>
          <w:kern w:val="0"/>
          <w:sz w:val="32"/>
          <w:szCs w:val="32"/>
          <w:lang w:val="zh-CN"/>
        </w:rPr>
        <w:t>民生保障。项目资金覆盖全县（区）各类食品生产经营单位，包括城区、乡镇及农村地区，基本实现监管资源均衡配置，未出现明显区域空白或重复投入。资金主要用于食品抽检、风险监测、专项整治等，对象涵盖食品生产、流通、餐饮服务等重点环节，聚焦学校食堂、农贸市场、小作坊等高风险点位，目标群体明确。项目执行严格依据《食品安全法》《国家食品安全抽样检验管理办法》等规定，抽检批次、检测项目及经费支出标准符合上级要求，未出现超范围、超标准列支。通过对不合格食品开展核查处置，严厉打击生产经营不合格食品行为，提高群众对食品安全的满意度，食品安全满意度达</w:t>
      </w:r>
      <w:r>
        <w:rPr>
          <w:rFonts w:hint="eastAsia" w:eastAsia="仿宋_GB2312" w:cs="仿宋_GB2312"/>
          <w:kern w:val="0"/>
          <w:sz w:val="32"/>
          <w:szCs w:val="32"/>
        </w:rPr>
        <w:t>100</w:t>
      </w:r>
      <w:r>
        <w:rPr>
          <w:rFonts w:hint="eastAsia" w:eastAsia="仿宋_GB2312" w:cs="仿宋_GB2312"/>
          <w:kern w:val="0"/>
          <w:sz w:val="32"/>
          <w:szCs w:val="32"/>
          <w:lang w:val="zh-CN"/>
        </w:rPr>
        <w:t>%，群众对食品抽检信息公开、问题食品处置效率认可度较高。</w:t>
      </w:r>
    </w:p>
    <w:p>
      <w:pPr>
        <w:spacing w:line="578" w:lineRule="exact"/>
        <w:ind w:firstLine="640"/>
        <w:rPr>
          <w:rFonts w:eastAsia="仿宋_GB2312" w:cs="仿宋_GB2312"/>
          <w:kern w:val="0"/>
          <w:sz w:val="32"/>
          <w:szCs w:val="32"/>
          <w:lang w:val="zh-CN"/>
        </w:rPr>
      </w:pPr>
      <w:r>
        <w:rPr>
          <w:rFonts w:hint="eastAsia" w:eastAsia="仿宋_GB2312" w:cs="仿宋_GB2312"/>
          <w:kern w:val="0"/>
          <w:sz w:val="32"/>
          <w:szCs w:val="32"/>
        </w:rPr>
        <w:t>3.</w:t>
      </w:r>
      <w:r>
        <w:rPr>
          <w:rFonts w:hint="eastAsia" w:eastAsia="仿宋_GB2312" w:cs="仿宋_GB2312"/>
          <w:kern w:val="0"/>
          <w:sz w:val="32"/>
          <w:szCs w:val="32"/>
          <w:lang w:val="zh-CN"/>
        </w:rPr>
        <w:t>行政运转。项目资金严格用于食品抽样检测，未发现挤占、挪用或超范围支出情况。程序合规性：资金拨付履行“申报-审核-审批”流程，抽样检测委托第三方机构均通过公开采购程序，合同签订、验收结算资料齐全，程序规范。标准合规性：差旅、劳务、检测等服务支出标准严格执行县级财政定额要求，无超额报销、虚列支出等问题。</w:t>
      </w:r>
    </w:p>
    <w:p>
      <w:pPr>
        <w:spacing w:line="578" w:lineRule="exact"/>
        <w:ind w:firstLine="640"/>
        <w:rPr>
          <w:rFonts w:eastAsia="仿宋_GB2312" w:cs="仿宋_GB2312"/>
          <w:kern w:val="0"/>
          <w:sz w:val="32"/>
          <w:szCs w:val="32"/>
        </w:rPr>
      </w:pPr>
      <w:r>
        <w:rPr>
          <w:rFonts w:hint="eastAsia" w:eastAsia="楷体_GB2312"/>
          <w:b/>
          <w:sz w:val="32"/>
          <w:szCs w:val="32"/>
          <w:lang w:val="zh-CN"/>
        </w:rPr>
        <w:t>（三）</w:t>
      </w:r>
      <w:r>
        <w:rPr>
          <w:rFonts w:hint="eastAsia" w:eastAsia="楷体_GB2312"/>
          <w:b/>
          <w:sz w:val="32"/>
          <w:szCs w:val="32"/>
        </w:rPr>
        <w:t>个性指标</w:t>
      </w:r>
      <w:r>
        <w:rPr>
          <w:rFonts w:eastAsia="楷体_GB2312"/>
          <w:b/>
          <w:bCs/>
          <w:color w:val="000000"/>
          <w:kern w:val="0"/>
          <w:sz w:val="32"/>
          <w:szCs w:val="32"/>
          <w:shd w:val="clear" w:color="auto" w:fill="FFFFFF"/>
          <w:lang w:val="zh-CN"/>
        </w:rPr>
        <w:t>绩效分析。</w:t>
      </w:r>
      <w:r>
        <w:rPr>
          <w:rFonts w:hint="eastAsia" w:eastAsia="仿宋_GB2312" w:cs="仿宋_GB2312"/>
          <w:kern w:val="0"/>
          <w:sz w:val="32"/>
          <w:szCs w:val="32"/>
          <w:lang w:val="zh-CN"/>
        </w:rPr>
        <w:t>无</w:t>
      </w:r>
    </w:p>
    <w:p>
      <w:pPr>
        <w:spacing w:line="578" w:lineRule="exact"/>
        <w:ind w:firstLine="640"/>
        <w:rPr>
          <w:rFonts w:ascii="黑体" w:hAnsi="黑体" w:eastAsia="黑体" w:cs="黑体"/>
          <w:kern w:val="0"/>
          <w:sz w:val="32"/>
          <w:szCs w:val="32"/>
        </w:rPr>
      </w:pPr>
      <w:r>
        <w:rPr>
          <w:rFonts w:hint="eastAsia" w:ascii="黑体" w:hAnsi="黑体" w:eastAsia="黑体" w:cs="黑体"/>
          <w:kern w:val="0"/>
          <w:sz w:val="32"/>
          <w:szCs w:val="32"/>
        </w:rPr>
        <w:t>四、评价结论</w:t>
      </w:r>
    </w:p>
    <w:p>
      <w:pPr>
        <w:spacing w:line="578" w:lineRule="exact"/>
        <w:ind w:firstLine="64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2024年食品和食用农产品监督抽检项目达到了项目决策的目的，项目管理贯通抽检全过程，实现了经济效应、社会效应、可持续影响等绩效目标。</w:t>
      </w:r>
    </w:p>
    <w:p>
      <w:pPr>
        <w:spacing w:line="578" w:lineRule="exact"/>
        <w:ind w:firstLine="640"/>
        <w:rPr>
          <w:rFonts w:ascii="黑体" w:hAnsi="黑体" w:eastAsia="黑体" w:cs="黑体"/>
          <w:kern w:val="0"/>
          <w:sz w:val="32"/>
          <w:szCs w:val="32"/>
        </w:rPr>
      </w:pPr>
      <w:r>
        <w:rPr>
          <w:rFonts w:hint="eastAsia" w:ascii="黑体" w:hAnsi="黑体" w:eastAsia="黑体" w:cs="黑体"/>
          <w:kern w:val="0"/>
          <w:sz w:val="32"/>
          <w:szCs w:val="32"/>
        </w:rPr>
        <w:t>五、存在主要问题</w:t>
      </w:r>
    </w:p>
    <w:p>
      <w:pPr>
        <w:spacing w:line="578" w:lineRule="exact"/>
        <w:ind w:firstLine="640"/>
        <w:rPr>
          <w:rFonts w:eastAsia="仿宋_GB2312" w:cs="仿宋_GB2312"/>
          <w:kern w:val="0"/>
          <w:sz w:val="32"/>
          <w:szCs w:val="32"/>
        </w:rPr>
      </w:pPr>
      <w:r>
        <w:rPr>
          <w:rFonts w:hint="eastAsia" w:eastAsia="仿宋_GB2312" w:cs="仿宋_GB2312"/>
          <w:kern w:val="0"/>
          <w:sz w:val="32"/>
          <w:szCs w:val="32"/>
        </w:rPr>
        <w:t>无</w:t>
      </w:r>
    </w:p>
    <w:p>
      <w:pPr>
        <w:spacing w:line="578" w:lineRule="exact"/>
        <w:ind w:firstLine="640"/>
        <w:rPr>
          <w:rFonts w:ascii="黑体" w:hAnsi="黑体" w:eastAsia="黑体" w:cs="黑体"/>
          <w:kern w:val="0"/>
          <w:sz w:val="32"/>
          <w:szCs w:val="32"/>
          <w:lang w:val="zh-CN"/>
        </w:rPr>
      </w:pPr>
      <w:r>
        <w:rPr>
          <w:rFonts w:hint="eastAsia" w:ascii="黑体" w:hAnsi="黑体" w:eastAsia="黑体" w:cs="黑体"/>
          <w:kern w:val="0"/>
          <w:sz w:val="32"/>
          <w:szCs w:val="32"/>
          <w:lang w:val="zh-CN"/>
        </w:rPr>
        <w:t>六、改进建议</w:t>
      </w:r>
    </w:p>
    <w:p>
      <w:pPr>
        <w:spacing w:line="578" w:lineRule="exact"/>
        <w:ind w:firstLine="640"/>
        <w:rPr>
          <w:rFonts w:eastAsia="仿宋_GB2312" w:cs="仿宋_GB2312"/>
          <w:kern w:val="0"/>
          <w:sz w:val="32"/>
          <w:szCs w:val="32"/>
        </w:rPr>
      </w:pPr>
      <w:r>
        <w:rPr>
          <w:rFonts w:hint="eastAsia" w:eastAsia="仿宋_GB2312" w:cs="仿宋_GB2312"/>
          <w:kern w:val="0"/>
          <w:sz w:val="32"/>
          <w:szCs w:val="32"/>
        </w:rPr>
        <w:t>无</w:t>
      </w: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jc w:val="center"/>
        <w:rPr>
          <w:rFonts w:ascii="方正小标宋简体" w:hAnsi="方正小标宋简体" w:eastAsia="方正小标宋简体"/>
          <w:sz w:val="44"/>
          <w:szCs w:val="44"/>
        </w:rPr>
      </w:pPr>
      <w:r>
        <w:rPr>
          <w:rFonts w:hint="eastAsia" w:ascii="方正小标宋简体" w:hAnsi="方正小标宋简体" w:eastAsia="方正小标宋简体"/>
          <w:sz w:val="44"/>
          <w:szCs w:val="44"/>
        </w:rPr>
        <w:t>2023年个转企财政激励金专项预算项目</w:t>
      </w:r>
    </w:p>
    <w:p>
      <w:pPr>
        <w:jc w:val="center"/>
        <w:rPr>
          <w:rFonts w:ascii="方正小标宋简体" w:hAnsi="方正小标宋简体" w:eastAsia="方正小标宋简体"/>
          <w:sz w:val="44"/>
          <w:szCs w:val="44"/>
        </w:rPr>
      </w:pPr>
      <w:r>
        <w:rPr>
          <w:rFonts w:hint="eastAsia" w:ascii="方正小标宋简体" w:hAnsi="方正小标宋简体" w:eastAsia="方正小标宋简体"/>
          <w:sz w:val="44"/>
          <w:szCs w:val="44"/>
        </w:rPr>
        <w:t>绩效评价报告</w:t>
      </w:r>
    </w:p>
    <w:p>
      <w:pPr>
        <w:rPr>
          <w:rFonts w:eastAsia="仿宋_GB2312"/>
          <w:sz w:val="32"/>
          <w:szCs w:val="32"/>
          <w:lang w:val="zh-CN"/>
        </w:rPr>
      </w:pPr>
    </w:p>
    <w:p>
      <w:pPr>
        <w:ind w:firstLine="640" w:firstLineChars="200"/>
        <w:rPr>
          <w:rFonts w:ascii="黑体" w:hAnsi="黑体" w:eastAsia="黑体"/>
          <w:sz w:val="32"/>
          <w:szCs w:val="32"/>
          <w:lang w:val="zh-CN"/>
        </w:rPr>
      </w:pPr>
      <w:r>
        <w:rPr>
          <w:rFonts w:hint="eastAsia" w:ascii="黑体" w:hAnsi="黑体" w:eastAsia="黑体"/>
          <w:sz w:val="32"/>
          <w:szCs w:val="32"/>
          <w:lang w:val="zh-CN"/>
        </w:rPr>
        <w:t>一、项目概况</w:t>
      </w:r>
    </w:p>
    <w:p>
      <w:pPr>
        <w:ind w:firstLine="643" w:firstLineChars="200"/>
        <w:rPr>
          <w:rFonts w:ascii="楷体_GB2312" w:eastAsia="楷体_GB2312"/>
          <w:b/>
          <w:sz w:val="32"/>
          <w:szCs w:val="32"/>
          <w:lang w:val="zh-CN"/>
        </w:rPr>
      </w:pPr>
      <w:r>
        <w:rPr>
          <w:rFonts w:hint="eastAsia" w:ascii="楷体_GB2312" w:eastAsia="楷体_GB2312"/>
          <w:b/>
          <w:sz w:val="32"/>
          <w:szCs w:val="32"/>
          <w:lang w:val="zh-CN"/>
        </w:rPr>
        <w:t>（一）设立背景及基本情况。</w:t>
      </w:r>
    </w:p>
    <w:p>
      <w:pPr>
        <w:adjustRightInd w:val="0"/>
        <w:snapToGrid w:val="0"/>
        <w:spacing w:line="520" w:lineRule="exact"/>
        <w:ind w:firstLine="620" w:firstLineChars="200"/>
        <w:rPr>
          <w:rFonts w:eastAsia="仿宋_GB2312"/>
          <w:sz w:val="32"/>
          <w:szCs w:val="32"/>
        </w:rPr>
      </w:pPr>
      <w:r>
        <w:rPr>
          <w:rFonts w:hint="eastAsia" w:ascii="仿宋" w:hAnsi="仿宋" w:eastAsia="仿宋" w:cs="仿宋"/>
          <w:color w:val="000000"/>
          <w:kern w:val="0"/>
          <w:sz w:val="31"/>
          <w:szCs w:val="31"/>
          <w:lang w:val="zh-CN" w:bidi="ar"/>
        </w:rPr>
        <w:t>根据《四川省民营经济和中小企业发展领导小组民营经济办公室关于印发&lt;四川省“十四五”时期“个转企”工作方案&gt;的通知》川民营办〔2022〕6号、《盐边县人民政府办公室关于印发&lt;盐边县2022-2025年“个转企”培育工作实施方案&gt;的通知》盐边府办函〔2022〕47号文件，为确保完成我县2022-2025 年“个转企”培育目标任务，深入落实《四川省人民政府办公厅关于做好“十四五”时期“转企升规”工作的通知》（川办函〔2021〕91号）文件，</w:t>
      </w:r>
      <w:r>
        <w:rPr>
          <w:rFonts w:hint="eastAsia" w:ascii="仿宋" w:hAnsi="仿宋" w:eastAsia="仿宋" w:cs="仿宋"/>
          <w:color w:val="000000"/>
          <w:kern w:val="0"/>
          <w:sz w:val="31"/>
          <w:szCs w:val="31"/>
          <w:lang w:bidi="ar"/>
        </w:rPr>
        <w:t>《四川省民营经济和中小企业发展领导小组民营经济办公室关于印发《四川省“十四五”时期“个转企”工作方案》的通知》川民营办</w:t>
      </w:r>
      <w:r>
        <w:rPr>
          <w:rFonts w:hint="eastAsia" w:ascii="仿宋" w:hAnsi="仿宋" w:eastAsia="仿宋" w:cs="仿宋"/>
          <w:color w:val="000000"/>
          <w:kern w:val="0"/>
          <w:sz w:val="31"/>
          <w:szCs w:val="31"/>
          <w:lang w:eastAsia="zh-CN" w:bidi="ar"/>
        </w:rPr>
        <w:t>〔2022〕6号</w:t>
      </w:r>
      <w:r>
        <w:rPr>
          <w:rFonts w:hint="eastAsia" w:ascii="仿宋" w:hAnsi="仿宋" w:eastAsia="仿宋" w:cs="仿宋"/>
          <w:color w:val="000000"/>
          <w:kern w:val="0"/>
          <w:sz w:val="31"/>
          <w:szCs w:val="31"/>
          <w:lang w:bidi="ar"/>
        </w:rPr>
        <w:t>文的要求“加强财政保障，充分利用好省财政“个转企”专项激励资金，采取“先预拨、后清算”的方式提前下达，由各市</w:t>
      </w:r>
      <w:r>
        <w:rPr>
          <w:rFonts w:hint="eastAsia" w:ascii="仿宋" w:hAnsi="仿宋" w:eastAsia="仿宋" w:cs="仿宋"/>
          <w:color w:val="000000"/>
          <w:kern w:val="0"/>
          <w:sz w:val="31"/>
          <w:szCs w:val="31"/>
          <w:lang w:eastAsia="zh-CN" w:bidi="ar"/>
        </w:rPr>
        <w:t>（</w:t>
      </w:r>
      <w:r>
        <w:rPr>
          <w:rFonts w:hint="eastAsia" w:ascii="仿宋" w:hAnsi="仿宋" w:eastAsia="仿宋" w:cs="仿宋"/>
          <w:color w:val="000000"/>
          <w:kern w:val="0"/>
          <w:sz w:val="31"/>
          <w:szCs w:val="31"/>
          <w:lang w:bidi="ar"/>
        </w:rPr>
        <w:t>州</w:t>
      </w:r>
      <w:r>
        <w:rPr>
          <w:rFonts w:hint="eastAsia" w:ascii="仿宋" w:hAnsi="仿宋" w:eastAsia="仿宋" w:cs="仿宋"/>
          <w:color w:val="000000"/>
          <w:kern w:val="0"/>
          <w:sz w:val="31"/>
          <w:szCs w:val="31"/>
          <w:lang w:eastAsia="zh-CN" w:bidi="ar"/>
        </w:rPr>
        <w:t>）</w:t>
      </w:r>
      <w:r>
        <w:rPr>
          <w:rFonts w:hint="eastAsia" w:ascii="仿宋" w:hAnsi="仿宋" w:eastAsia="仿宋" w:cs="仿宋"/>
          <w:color w:val="000000"/>
          <w:kern w:val="0"/>
          <w:sz w:val="31"/>
          <w:szCs w:val="31"/>
          <w:lang w:bidi="ar"/>
        </w:rPr>
        <w:t>统筹用于推进“个转企”工作。”的文件精神，盐边县2023年度“个转企”成功转企405户，超市级目标任务380户（市级目标任务25户、县级目标任务50户）。</w:t>
      </w:r>
    </w:p>
    <w:p>
      <w:pPr>
        <w:ind w:firstLine="643" w:firstLineChars="200"/>
        <w:rPr>
          <w:rFonts w:ascii="楷体_GB2312" w:eastAsia="楷体_GB2312"/>
          <w:b/>
          <w:sz w:val="32"/>
          <w:szCs w:val="32"/>
          <w:lang w:val="zh-CN"/>
        </w:rPr>
      </w:pPr>
      <w:r>
        <w:rPr>
          <w:rFonts w:hint="eastAsia" w:ascii="楷体_GB2312" w:eastAsia="楷体_GB2312"/>
          <w:b/>
          <w:sz w:val="32"/>
          <w:szCs w:val="32"/>
          <w:lang w:val="zh-CN"/>
        </w:rPr>
        <w:t>（二）实施目的及支持方向。</w:t>
      </w:r>
    </w:p>
    <w:p>
      <w:pPr>
        <w:adjustRightInd w:val="0"/>
        <w:snapToGrid w:val="0"/>
        <w:spacing w:line="520" w:lineRule="exact"/>
        <w:ind w:firstLine="620" w:firstLineChars="200"/>
        <w:rPr>
          <w:rFonts w:ascii="仿宋" w:hAnsi="仿宋" w:eastAsia="仿宋" w:cs="仿宋"/>
          <w:color w:val="000000"/>
          <w:kern w:val="0"/>
          <w:sz w:val="31"/>
          <w:szCs w:val="31"/>
          <w:lang w:val="zh-CN" w:bidi="ar"/>
        </w:rPr>
      </w:pPr>
      <w:r>
        <w:rPr>
          <w:rFonts w:hint="eastAsia" w:ascii="仿宋" w:hAnsi="仿宋" w:eastAsia="仿宋" w:cs="仿宋"/>
          <w:color w:val="000000"/>
          <w:kern w:val="0"/>
          <w:sz w:val="31"/>
          <w:szCs w:val="31"/>
          <w:lang w:val="zh-CN" w:bidi="ar"/>
        </w:rPr>
        <w:t>加快推进个体工商户转型升级为企业。促进个体工商户转型升级、做大做强，优化市场主体结构，助推经济高质量发展。</w:t>
      </w:r>
    </w:p>
    <w:p>
      <w:pPr>
        <w:numPr>
          <w:ilvl w:val="0"/>
          <w:numId w:val="2"/>
        </w:numPr>
        <w:ind w:firstLine="643" w:firstLineChars="200"/>
        <w:rPr>
          <w:rFonts w:ascii="楷体_GB2312" w:eastAsia="楷体_GB2312"/>
          <w:b/>
          <w:sz w:val="32"/>
          <w:szCs w:val="32"/>
          <w:lang w:val="zh-CN"/>
        </w:rPr>
      </w:pPr>
      <w:r>
        <w:rPr>
          <w:rFonts w:hint="eastAsia" w:ascii="楷体_GB2312" w:eastAsia="楷体_GB2312"/>
          <w:b/>
          <w:sz w:val="32"/>
          <w:szCs w:val="32"/>
          <w:lang w:val="zh-CN"/>
        </w:rPr>
        <w:t>预算安排及分配管理。</w:t>
      </w:r>
    </w:p>
    <w:p>
      <w:pPr>
        <w:adjustRightInd w:val="0"/>
        <w:snapToGrid w:val="0"/>
        <w:spacing w:line="520" w:lineRule="exact"/>
        <w:ind w:firstLine="620" w:firstLineChars="200"/>
        <w:rPr>
          <w:rFonts w:ascii="仿宋" w:hAnsi="仿宋" w:eastAsia="仿宋" w:cs="仿宋"/>
          <w:color w:val="000000"/>
          <w:kern w:val="0"/>
          <w:sz w:val="31"/>
          <w:szCs w:val="31"/>
          <w:lang w:val="zh-CN" w:bidi="ar"/>
        </w:rPr>
      </w:pPr>
      <w:r>
        <w:rPr>
          <w:rFonts w:hint="eastAsia" w:ascii="仿宋" w:hAnsi="仿宋" w:eastAsia="仿宋" w:cs="仿宋"/>
          <w:color w:val="000000"/>
          <w:kern w:val="0"/>
          <w:sz w:val="31"/>
          <w:szCs w:val="31"/>
          <w:lang w:val="zh-CN" w:bidi="ar"/>
        </w:rPr>
        <w:t>申报项目预算金额为 244.6万元（含根据（攀财政〔2022〕261号）文，需结转的2022年“个转企”培育工作经费0.8万元；市场主体放弃或已注销未兑付的需进行结转的2.5万元“个转企”财政激励资金）（资金来源为财政资金 244.6万元，自有资金0万元）。</w:t>
      </w:r>
    </w:p>
    <w:p>
      <w:pPr>
        <w:adjustRightInd w:val="0"/>
        <w:snapToGrid w:val="0"/>
        <w:spacing w:line="520" w:lineRule="exact"/>
        <w:ind w:firstLine="620" w:firstLineChars="200"/>
        <w:rPr>
          <w:rFonts w:ascii="仿宋" w:hAnsi="仿宋" w:eastAsia="仿宋" w:cs="仿宋"/>
          <w:color w:val="000000"/>
          <w:kern w:val="0"/>
          <w:sz w:val="31"/>
          <w:szCs w:val="31"/>
          <w:lang w:bidi="ar"/>
        </w:rPr>
      </w:pPr>
      <w:r>
        <w:rPr>
          <w:rFonts w:hint="eastAsia" w:ascii="仿宋" w:hAnsi="仿宋" w:eastAsia="仿宋" w:cs="仿宋"/>
          <w:color w:val="000000"/>
          <w:kern w:val="0"/>
          <w:sz w:val="31"/>
          <w:szCs w:val="31"/>
          <w:lang w:val="zh-CN" w:bidi="ar"/>
        </w:rPr>
        <w:t>项目组织架构及实施流程。</w:t>
      </w:r>
    </w:p>
    <w:p>
      <w:pPr>
        <w:adjustRightInd w:val="0"/>
        <w:snapToGrid w:val="0"/>
        <w:spacing w:line="520" w:lineRule="exact"/>
        <w:ind w:firstLine="620" w:firstLineChars="200"/>
        <w:rPr>
          <w:rFonts w:ascii="仿宋" w:hAnsi="仿宋" w:eastAsia="仿宋" w:cs="仿宋"/>
          <w:color w:val="000000"/>
          <w:kern w:val="0"/>
          <w:sz w:val="31"/>
          <w:szCs w:val="31"/>
          <w:lang w:bidi="ar"/>
        </w:rPr>
      </w:pPr>
      <w:r>
        <w:rPr>
          <w:rFonts w:hint="eastAsia" w:ascii="仿宋" w:hAnsi="仿宋" w:eastAsia="仿宋" w:cs="仿宋"/>
          <w:color w:val="000000"/>
          <w:kern w:val="0"/>
          <w:sz w:val="31"/>
          <w:szCs w:val="31"/>
          <w:lang w:bidi="ar"/>
        </w:rPr>
        <w:t>个体户转企登记——所属乡镇核实转企名册——乡镇采集转企后市场主体银行账号——汇总账号报局领导过会研究审核</w:t>
      </w:r>
    </w:p>
    <w:p>
      <w:pPr>
        <w:adjustRightInd w:val="0"/>
        <w:snapToGrid w:val="0"/>
        <w:spacing w:line="520" w:lineRule="exact"/>
        <w:ind w:firstLine="620" w:firstLineChars="200"/>
        <w:rPr>
          <w:rFonts w:ascii="仿宋" w:hAnsi="仿宋" w:eastAsia="仿宋" w:cs="仿宋"/>
          <w:color w:val="000000"/>
          <w:kern w:val="0"/>
          <w:sz w:val="31"/>
          <w:szCs w:val="31"/>
          <w:lang w:val="zh-CN" w:bidi="ar"/>
        </w:rPr>
      </w:pPr>
      <w:r>
        <w:rPr>
          <w:rFonts w:hint="eastAsia" w:ascii="仿宋" w:hAnsi="仿宋" w:eastAsia="仿宋" w:cs="仿宋"/>
          <w:color w:val="000000"/>
          <w:kern w:val="0"/>
          <w:sz w:val="31"/>
          <w:szCs w:val="31"/>
          <w:lang w:val="zh-CN" w:bidi="ar"/>
        </w:rPr>
        <w:t>（二）项目管理情况。</w:t>
      </w:r>
      <w:r>
        <w:rPr>
          <w:rFonts w:ascii="仿宋" w:hAnsi="仿宋" w:eastAsia="仿宋" w:cs="仿宋"/>
          <w:color w:val="000000"/>
          <w:kern w:val="0"/>
          <w:sz w:val="31"/>
          <w:szCs w:val="31"/>
          <w:lang w:val="zh-CN" w:bidi="ar"/>
        </w:rPr>
        <w:t>个体户转企登记——所属乡镇核实转企名册——乡镇采集转企后市场主体银行账号——汇总账号报局领导</w:t>
      </w:r>
      <w:r>
        <w:rPr>
          <w:rFonts w:hint="eastAsia" w:ascii="仿宋" w:hAnsi="仿宋" w:eastAsia="仿宋" w:cs="仿宋"/>
          <w:color w:val="000000"/>
          <w:kern w:val="0"/>
          <w:sz w:val="31"/>
          <w:szCs w:val="31"/>
          <w:lang w:bidi="ar"/>
        </w:rPr>
        <w:t>过会研究</w:t>
      </w:r>
      <w:r>
        <w:rPr>
          <w:rFonts w:ascii="仿宋" w:hAnsi="仿宋" w:eastAsia="仿宋" w:cs="仿宋"/>
          <w:color w:val="000000"/>
          <w:kern w:val="0"/>
          <w:sz w:val="31"/>
          <w:szCs w:val="31"/>
          <w:lang w:val="zh-CN" w:bidi="ar"/>
        </w:rPr>
        <w:t>审核</w:t>
      </w:r>
    </w:p>
    <w:p>
      <w:pPr>
        <w:adjustRightInd w:val="0"/>
        <w:snapToGrid w:val="0"/>
        <w:spacing w:line="520" w:lineRule="exact"/>
        <w:ind w:firstLine="620" w:firstLineChars="200"/>
        <w:rPr>
          <w:rFonts w:ascii="仿宋" w:hAnsi="仿宋" w:eastAsia="仿宋" w:cs="仿宋"/>
          <w:color w:val="000000"/>
          <w:kern w:val="0"/>
          <w:sz w:val="31"/>
          <w:szCs w:val="31"/>
          <w:lang w:val="zh-CN" w:bidi="ar"/>
        </w:rPr>
      </w:pPr>
      <w:r>
        <w:rPr>
          <w:rFonts w:hint="eastAsia" w:ascii="仿宋" w:hAnsi="仿宋" w:eastAsia="仿宋" w:cs="仿宋"/>
          <w:color w:val="000000"/>
          <w:kern w:val="0"/>
          <w:sz w:val="31"/>
          <w:szCs w:val="31"/>
          <w:lang w:val="zh-CN" w:bidi="ar"/>
        </w:rPr>
        <w:t>（三）项目监管情况。</w:t>
      </w:r>
    </w:p>
    <w:p>
      <w:pPr>
        <w:adjustRightInd w:val="0"/>
        <w:snapToGrid w:val="0"/>
        <w:spacing w:line="520" w:lineRule="exact"/>
        <w:ind w:firstLine="620" w:firstLineChars="200"/>
        <w:rPr>
          <w:rFonts w:ascii="仿宋" w:hAnsi="仿宋" w:eastAsia="仿宋" w:cs="仿宋"/>
          <w:color w:val="000000"/>
          <w:kern w:val="0"/>
          <w:sz w:val="31"/>
          <w:szCs w:val="31"/>
          <w:lang w:val="zh-CN" w:bidi="ar"/>
        </w:rPr>
      </w:pPr>
      <w:r>
        <w:rPr>
          <w:rFonts w:ascii="仿宋" w:hAnsi="仿宋" w:eastAsia="仿宋" w:cs="仿宋"/>
          <w:color w:val="000000"/>
          <w:kern w:val="0"/>
          <w:sz w:val="31"/>
          <w:szCs w:val="31"/>
          <w:lang w:val="zh-CN" w:bidi="ar"/>
        </w:rPr>
        <w:t>经</w:t>
      </w:r>
      <w:r>
        <w:rPr>
          <w:rFonts w:hint="eastAsia" w:ascii="仿宋" w:hAnsi="仿宋" w:eastAsia="仿宋" w:cs="仿宋"/>
          <w:color w:val="000000"/>
          <w:kern w:val="0"/>
          <w:sz w:val="31"/>
          <w:szCs w:val="31"/>
          <w:lang w:bidi="ar"/>
        </w:rPr>
        <w:t>反复核对</w:t>
      </w:r>
      <w:r>
        <w:rPr>
          <w:rFonts w:ascii="仿宋" w:hAnsi="仿宋" w:eastAsia="仿宋" w:cs="仿宋"/>
          <w:color w:val="000000"/>
          <w:kern w:val="0"/>
          <w:sz w:val="31"/>
          <w:szCs w:val="31"/>
          <w:lang w:val="zh-CN" w:bidi="ar"/>
        </w:rPr>
        <w:t>各乡镇上报</w:t>
      </w:r>
      <w:r>
        <w:rPr>
          <w:rFonts w:hint="eastAsia" w:ascii="仿宋" w:hAnsi="仿宋" w:eastAsia="仿宋" w:cs="仿宋"/>
          <w:color w:val="000000"/>
          <w:kern w:val="0"/>
          <w:sz w:val="31"/>
          <w:szCs w:val="31"/>
          <w:lang w:bidi="ar"/>
        </w:rPr>
        <w:t>的</w:t>
      </w:r>
      <w:r>
        <w:rPr>
          <w:rFonts w:ascii="仿宋" w:hAnsi="仿宋" w:eastAsia="仿宋" w:cs="仿宋"/>
          <w:color w:val="000000"/>
          <w:kern w:val="0"/>
          <w:sz w:val="31"/>
          <w:szCs w:val="31"/>
          <w:lang w:val="zh-CN" w:bidi="ar"/>
        </w:rPr>
        <w:t>对公账号信息，</w:t>
      </w:r>
      <w:r>
        <w:rPr>
          <w:rFonts w:hint="eastAsia" w:ascii="仿宋" w:hAnsi="仿宋" w:eastAsia="仿宋" w:cs="仿宋"/>
          <w:color w:val="000000"/>
          <w:kern w:val="0"/>
          <w:sz w:val="31"/>
          <w:szCs w:val="31"/>
          <w:lang w:bidi="ar"/>
        </w:rPr>
        <w:t>上报局领导过会研究审核后发放</w:t>
      </w:r>
      <w:r>
        <w:rPr>
          <w:rFonts w:ascii="仿宋" w:hAnsi="仿宋" w:eastAsia="仿宋" w:cs="仿宋"/>
          <w:color w:val="000000"/>
          <w:kern w:val="0"/>
          <w:sz w:val="31"/>
          <w:szCs w:val="31"/>
          <w:lang w:val="zh-CN" w:bidi="ar"/>
        </w:rPr>
        <w:t>。</w:t>
      </w:r>
    </w:p>
    <w:p>
      <w:pPr>
        <w:ind w:firstLine="643" w:firstLineChars="200"/>
        <w:rPr>
          <w:rFonts w:eastAsia="仿宋_GB2312"/>
          <w:sz w:val="32"/>
          <w:szCs w:val="32"/>
          <w:lang w:val="zh-CN"/>
        </w:rPr>
      </w:pPr>
      <w:r>
        <w:rPr>
          <w:rFonts w:hint="eastAsia" w:ascii="楷体_GB2312" w:eastAsia="楷体_GB2312"/>
          <w:b/>
          <w:sz w:val="32"/>
          <w:szCs w:val="32"/>
          <w:lang w:val="zh-CN"/>
        </w:rPr>
        <w:t>（四）项目绩效目标设置。</w:t>
      </w:r>
      <w:r>
        <w:rPr>
          <w:rFonts w:hint="eastAsia" w:ascii="楷体_GB2312" w:eastAsia="楷体_GB2312"/>
          <w:b/>
          <w:sz w:val="32"/>
          <w:szCs w:val="32"/>
        </w:rPr>
        <w:t>2023</w:t>
      </w:r>
      <w:r>
        <w:rPr>
          <w:rFonts w:hint="eastAsia" w:ascii="仿宋" w:hAnsi="仿宋" w:eastAsia="仿宋" w:cs="仿宋"/>
          <w:color w:val="000000"/>
          <w:kern w:val="0"/>
          <w:sz w:val="31"/>
          <w:szCs w:val="31"/>
          <w:lang w:bidi="ar"/>
        </w:rPr>
        <w:t>市级目标任务25户、县级目标任务50户</w:t>
      </w:r>
    </w:p>
    <w:p>
      <w:pPr>
        <w:ind w:firstLine="640" w:firstLineChars="200"/>
        <w:rPr>
          <w:rFonts w:ascii="黑体" w:hAnsi="黑体" w:eastAsia="黑体"/>
          <w:sz w:val="32"/>
          <w:szCs w:val="32"/>
          <w:lang w:val="zh-CN"/>
        </w:rPr>
      </w:pPr>
      <w:r>
        <w:rPr>
          <w:rFonts w:hint="eastAsia" w:ascii="黑体" w:hAnsi="黑体" w:eastAsia="黑体"/>
          <w:sz w:val="32"/>
          <w:szCs w:val="32"/>
          <w:lang w:val="zh-CN"/>
        </w:rPr>
        <w:t>二、评价实施</w:t>
      </w:r>
    </w:p>
    <w:p>
      <w:pPr>
        <w:ind w:firstLine="643" w:firstLineChars="200"/>
        <w:rPr>
          <w:rFonts w:ascii="仿宋" w:hAnsi="仿宋" w:eastAsia="仿宋" w:cs="仿宋"/>
          <w:color w:val="000000"/>
          <w:kern w:val="0"/>
          <w:sz w:val="31"/>
          <w:szCs w:val="31"/>
          <w:lang w:val="zh-CN" w:bidi="ar"/>
        </w:rPr>
      </w:pPr>
      <w:r>
        <w:rPr>
          <w:rFonts w:hint="eastAsia" w:ascii="楷体_GB2312" w:eastAsia="楷体_GB2312"/>
          <w:b/>
          <w:sz w:val="32"/>
          <w:szCs w:val="32"/>
          <w:lang w:val="zh-CN"/>
        </w:rPr>
        <w:t>（一）评价目的。</w:t>
      </w:r>
      <w:r>
        <w:rPr>
          <w:rFonts w:hint="eastAsia" w:ascii="楷体_GB2312" w:eastAsia="楷体_GB2312"/>
          <w:b/>
          <w:sz w:val="32"/>
          <w:szCs w:val="32"/>
        </w:rPr>
        <w:t>2023</w:t>
      </w:r>
      <w:r>
        <w:rPr>
          <w:rFonts w:hint="eastAsia" w:ascii="仿宋" w:hAnsi="仿宋" w:eastAsia="仿宋" w:cs="仿宋"/>
          <w:color w:val="000000"/>
          <w:kern w:val="0"/>
          <w:sz w:val="31"/>
          <w:szCs w:val="31"/>
          <w:lang w:bidi="ar"/>
        </w:rPr>
        <w:t>个转企户数</w:t>
      </w:r>
      <w:r>
        <w:rPr>
          <w:rFonts w:hint="eastAsia" w:ascii="仿宋" w:hAnsi="仿宋" w:eastAsia="仿宋" w:cs="仿宋"/>
          <w:color w:val="000000"/>
          <w:kern w:val="0"/>
          <w:sz w:val="31"/>
          <w:szCs w:val="31"/>
          <w:lang w:val="zh-CN" w:bidi="ar"/>
        </w:rPr>
        <w:t>年底</w:t>
      </w:r>
      <w:r>
        <w:rPr>
          <w:rFonts w:hint="eastAsia" w:ascii="仿宋" w:hAnsi="仿宋" w:eastAsia="仿宋" w:cs="仿宋"/>
          <w:color w:val="000000"/>
          <w:kern w:val="0"/>
          <w:sz w:val="31"/>
          <w:szCs w:val="31"/>
          <w:lang w:bidi="ar"/>
        </w:rPr>
        <w:t>纳入</w:t>
      </w:r>
      <w:r>
        <w:rPr>
          <w:rFonts w:hint="eastAsia" w:ascii="仿宋" w:hAnsi="仿宋" w:eastAsia="仿宋" w:cs="仿宋"/>
          <w:color w:val="000000"/>
          <w:kern w:val="0"/>
          <w:sz w:val="31"/>
          <w:szCs w:val="31"/>
          <w:lang w:val="zh-CN" w:bidi="ar"/>
        </w:rPr>
        <w:t>考核，通过对完成数量指标进行评估，确保</w:t>
      </w:r>
      <w:r>
        <w:rPr>
          <w:rFonts w:hint="eastAsia" w:ascii="仿宋" w:hAnsi="仿宋" w:eastAsia="仿宋" w:cs="仿宋"/>
          <w:color w:val="000000"/>
          <w:kern w:val="0"/>
          <w:sz w:val="31"/>
          <w:szCs w:val="31"/>
          <w:lang w:bidi="ar"/>
        </w:rPr>
        <w:t>该项</w:t>
      </w:r>
      <w:r>
        <w:rPr>
          <w:rFonts w:hint="eastAsia" w:ascii="仿宋" w:hAnsi="仿宋" w:eastAsia="仿宋" w:cs="仿宋"/>
          <w:color w:val="000000"/>
          <w:kern w:val="0"/>
          <w:sz w:val="31"/>
          <w:szCs w:val="31"/>
          <w:lang w:val="zh-CN" w:bidi="ar"/>
        </w:rPr>
        <w:t>工作达到预期目标。</w:t>
      </w:r>
    </w:p>
    <w:p>
      <w:pPr>
        <w:ind w:firstLine="643" w:firstLineChars="200"/>
        <w:rPr>
          <w:rFonts w:ascii="仿宋" w:hAnsi="仿宋" w:eastAsia="仿宋" w:cs="仿宋"/>
          <w:color w:val="000000"/>
          <w:kern w:val="0"/>
          <w:sz w:val="31"/>
          <w:szCs w:val="31"/>
          <w:lang w:val="zh-CN" w:bidi="ar"/>
        </w:rPr>
      </w:pPr>
      <w:r>
        <w:rPr>
          <w:rFonts w:hint="eastAsia" w:ascii="楷体_GB2312" w:eastAsia="楷体_GB2312"/>
          <w:b/>
          <w:sz w:val="32"/>
          <w:szCs w:val="32"/>
          <w:lang w:val="zh-CN"/>
        </w:rPr>
        <w:t>（二）预设问题及评价重点。</w:t>
      </w:r>
      <w:r>
        <w:rPr>
          <w:rFonts w:hint="eastAsia" w:ascii="仿宋" w:hAnsi="仿宋" w:eastAsia="仿宋" w:cs="仿宋"/>
          <w:color w:val="000000"/>
          <w:kern w:val="0"/>
          <w:sz w:val="31"/>
          <w:szCs w:val="31"/>
          <w:lang w:bidi="ar"/>
        </w:rPr>
        <w:t>按照2023年既定转企方案实施，重点看完成数量是否达标。</w:t>
      </w:r>
    </w:p>
    <w:p>
      <w:pPr>
        <w:ind w:firstLine="643" w:firstLineChars="200"/>
        <w:rPr>
          <w:rFonts w:ascii="仿宋" w:hAnsi="仿宋" w:eastAsia="仿宋" w:cs="仿宋"/>
          <w:color w:val="000000"/>
          <w:kern w:val="0"/>
          <w:sz w:val="31"/>
          <w:szCs w:val="31"/>
          <w:lang w:val="zh-CN" w:bidi="ar"/>
        </w:rPr>
      </w:pPr>
      <w:r>
        <w:rPr>
          <w:rFonts w:hint="eastAsia" w:ascii="楷体_GB2312" w:eastAsia="楷体_GB2312"/>
          <w:b/>
          <w:sz w:val="32"/>
          <w:szCs w:val="32"/>
          <w:lang w:val="zh-CN"/>
        </w:rPr>
        <w:t>（三）评价选点。</w:t>
      </w:r>
      <w:r>
        <w:rPr>
          <w:rFonts w:hint="eastAsia" w:ascii="仿宋" w:hAnsi="仿宋" w:eastAsia="仿宋" w:cs="仿宋"/>
          <w:color w:val="000000"/>
          <w:kern w:val="0"/>
          <w:sz w:val="31"/>
          <w:szCs w:val="31"/>
          <w:lang w:bidi="ar"/>
        </w:rPr>
        <w:t>该</w:t>
      </w:r>
      <w:r>
        <w:rPr>
          <w:rFonts w:hint="eastAsia" w:ascii="仿宋" w:hAnsi="仿宋" w:eastAsia="仿宋" w:cs="仿宋"/>
          <w:color w:val="000000"/>
          <w:kern w:val="0"/>
          <w:sz w:val="31"/>
          <w:szCs w:val="31"/>
          <w:lang w:val="zh-CN" w:bidi="ar"/>
        </w:rPr>
        <w:t>项目绩效</w:t>
      </w:r>
      <w:r>
        <w:rPr>
          <w:rFonts w:hint="eastAsia" w:ascii="仿宋" w:hAnsi="仿宋" w:eastAsia="仿宋" w:cs="仿宋"/>
          <w:color w:val="000000"/>
          <w:kern w:val="0"/>
          <w:sz w:val="31"/>
          <w:szCs w:val="31"/>
          <w:lang w:bidi="ar"/>
        </w:rPr>
        <w:t>无需</w:t>
      </w:r>
      <w:r>
        <w:rPr>
          <w:rFonts w:hint="eastAsia" w:ascii="仿宋" w:hAnsi="仿宋" w:eastAsia="仿宋" w:cs="仿宋"/>
          <w:color w:val="000000"/>
          <w:kern w:val="0"/>
          <w:sz w:val="31"/>
          <w:szCs w:val="31"/>
          <w:lang w:val="zh-CN" w:bidi="ar"/>
        </w:rPr>
        <w:t>抽样点位。</w:t>
      </w:r>
    </w:p>
    <w:p>
      <w:pPr>
        <w:ind w:firstLine="643" w:firstLineChars="200"/>
        <w:rPr>
          <w:rFonts w:ascii="仿宋" w:hAnsi="仿宋" w:eastAsia="仿宋" w:cs="仿宋"/>
          <w:color w:val="000000"/>
          <w:kern w:val="0"/>
          <w:sz w:val="31"/>
          <w:szCs w:val="31"/>
          <w:lang w:val="zh-CN" w:bidi="ar"/>
        </w:rPr>
      </w:pPr>
      <w:r>
        <w:rPr>
          <w:rFonts w:hint="eastAsia" w:ascii="楷体_GB2312" w:eastAsia="楷体_GB2312"/>
          <w:b/>
          <w:sz w:val="32"/>
          <w:szCs w:val="32"/>
          <w:lang w:val="zh-CN"/>
        </w:rPr>
        <w:t>（四）评价方法。</w:t>
      </w:r>
      <w:r>
        <w:rPr>
          <w:rFonts w:hint="eastAsia" w:ascii="仿宋" w:hAnsi="仿宋" w:eastAsia="仿宋" w:cs="仿宋"/>
          <w:color w:val="000000"/>
          <w:kern w:val="0"/>
          <w:sz w:val="31"/>
          <w:szCs w:val="31"/>
          <w:lang w:val="zh-CN" w:bidi="ar"/>
        </w:rPr>
        <w:t>根据</w:t>
      </w:r>
      <w:r>
        <w:rPr>
          <w:rFonts w:hint="eastAsia" w:ascii="仿宋" w:hAnsi="仿宋" w:eastAsia="仿宋" w:cs="仿宋"/>
          <w:color w:val="000000"/>
          <w:kern w:val="0"/>
          <w:sz w:val="31"/>
          <w:szCs w:val="31"/>
          <w:lang w:bidi="ar"/>
        </w:rPr>
        <w:t>年初转企方案</w:t>
      </w:r>
      <w:r>
        <w:rPr>
          <w:rFonts w:hint="eastAsia" w:ascii="仿宋" w:hAnsi="仿宋" w:eastAsia="仿宋" w:cs="仿宋"/>
          <w:color w:val="000000"/>
          <w:kern w:val="0"/>
          <w:sz w:val="31"/>
          <w:szCs w:val="31"/>
          <w:lang w:val="zh-CN" w:bidi="ar"/>
        </w:rPr>
        <w:t>，</w:t>
      </w:r>
      <w:r>
        <w:rPr>
          <w:rFonts w:hint="eastAsia" w:ascii="仿宋" w:hAnsi="仿宋" w:eastAsia="仿宋" w:cs="仿宋"/>
          <w:color w:val="000000"/>
          <w:kern w:val="0"/>
          <w:sz w:val="31"/>
          <w:szCs w:val="31"/>
          <w:lang w:bidi="ar"/>
        </w:rPr>
        <w:t>转企数量是否达到</w:t>
      </w:r>
      <w:r>
        <w:rPr>
          <w:rFonts w:hint="eastAsia" w:ascii="仿宋" w:hAnsi="仿宋" w:eastAsia="仿宋" w:cs="仿宋"/>
          <w:color w:val="000000"/>
          <w:kern w:val="0"/>
          <w:sz w:val="31"/>
          <w:szCs w:val="31"/>
          <w:lang w:eastAsia="zh-CN" w:bidi="ar"/>
        </w:rPr>
        <w:t>既定目标</w:t>
      </w:r>
      <w:r>
        <w:rPr>
          <w:rFonts w:hint="eastAsia" w:ascii="仿宋" w:hAnsi="仿宋" w:eastAsia="仿宋" w:cs="仿宋"/>
          <w:color w:val="000000"/>
          <w:kern w:val="0"/>
          <w:sz w:val="31"/>
          <w:szCs w:val="31"/>
          <w:lang w:bidi="ar"/>
        </w:rPr>
        <w:t>任务数</w:t>
      </w:r>
      <w:r>
        <w:rPr>
          <w:rFonts w:hint="eastAsia" w:ascii="仿宋" w:hAnsi="仿宋" w:eastAsia="仿宋" w:cs="仿宋"/>
          <w:color w:val="000000"/>
          <w:kern w:val="0"/>
          <w:sz w:val="31"/>
          <w:szCs w:val="31"/>
          <w:lang w:val="zh-CN" w:bidi="ar"/>
        </w:rPr>
        <w:t>。</w:t>
      </w:r>
    </w:p>
    <w:p>
      <w:pPr>
        <w:ind w:firstLine="643" w:firstLineChars="200"/>
        <w:rPr>
          <w:rFonts w:ascii="仿宋" w:hAnsi="仿宋" w:eastAsia="仿宋" w:cs="仿宋"/>
          <w:color w:val="000000"/>
          <w:kern w:val="0"/>
          <w:sz w:val="31"/>
          <w:szCs w:val="31"/>
          <w:lang w:val="zh-CN" w:bidi="ar"/>
        </w:rPr>
      </w:pPr>
      <w:r>
        <w:rPr>
          <w:rFonts w:hint="eastAsia" w:ascii="楷体_GB2312" w:eastAsia="楷体_GB2312"/>
          <w:b/>
          <w:sz w:val="32"/>
          <w:szCs w:val="32"/>
          <w:lang w:val="zh-CN"/>
        </w:rPr>
        <w:t>（五）评价组织。</w:t>
      </w:r>
      <w:r>
        <w:rPr>
          <w:rFonts w:hint="eastAsia" w:ascii="仿宋" w:hAnsi="仿宋" w:eastAsia="仿宋" w:cs="仿宋"/>
          <w:color w:val="000000"/>
          <w:kern w:val="0"/>
          <w:sz w:val="31"/>
          <w:szCs w:val="31"/>
          <w:lang w:val="zh-CN" w:bidi="ar"/>
        </w:rPr>
        <w:t>盐边县市场监督管理局。</w:t>
      </w:r>
    </w:p>
    <w:p>
      <w:pPr>
        <w:ind w:firstLine="640" w:firstLineChars="200"/>
        <w:rPr>
          <w:rFonts w:ascii="黑体" w:hAnsi="黑体" w:eastAsia="黑体"/>
          <w:sz w:val="32"/>
          <w:szCs w:val="32"/>
          <w:lang w:val="zh-CN"/>
        </w:rPr>
      </w:pPr>
      <w:r>
        <w:rPr>
          <w:rFonts w:hint="eastAsia" w:ascii="黑体" w:hAnsi="黑体" w:eastAsia="黑体"/>
          <w:sz w:val="32"/>
          <w:szCs w:val="32"/>
          <w:lang w:val="zh-CN"/>
        </w:rPr>
        <w:t>三、绩效分析</w:t>
      </w:r>
    </w:p>
    <w:p>
      <w:pPr>
        <w:ind w:firstLine="640" w:firstLineChars="200"/>
        <w:rPr>
          <w:rFonts w:eastAsia="仿宋_GB2312"/>
          <w:sz w:val="32"/>
          <w:szCs w:val="32"/>
          <w:lang w:val="zh-CN"/>
        </w:rPr>
      </w:pPr>
      <w:r>
        <w:rPr>
          <w:rFonts w:hint="eastAsia" w:eastAsia="仿宋_GB2312"/>
          <w:sz w:val="32"/>
          <w:szCs w:val="32"/>
          <w:lang w:val="zh-CN"/>
        </w:rPr>
        <w:t>根据项目预算绩效评价指标体系“通用指标”“专用指标”“个性指标”涉及二、三级指标进行逐项绩效分析并评分。</w:t>
      </w:r>
    </w:p>
    <w:p>
      <w:pPr>
        <w:ind w:firstLine="643" w:firstLineChars="200"/>
        <w:rPr>
          <w:rFonts w:ascii="楷体_GB2312" w:eastAsia="楷体_GB2312"/>
          <w:b/>
          <w:sz w:val="32"/>
          <w:szCs w:val="32"/>
          <w:lang w:val="zh-CN"/>
        </w:rPr>
      </w:pPr>
      <w:r>
        <w:rPr>
          <w:rFonts w:hint="eastAsia" w:ascii="楷体_GB2312" w:eastAsia="楷体_GB2312"/>
          <w:b/>
          <w:sz w:val="32"/>
          <w:szCs w:val="32"/>
          <w:lang w:val="zh-CN"/>
        </w:rPr>
        <w:t>（一）通用指标绩效分析。</w:t>
      </w:r>
    </w:p>
    <w:p>
      <w:pPr>
        <w:ind w:firstLine="640" w:firstLineChars="200"/>
        <w:rPr>
          <w:rFonts w:ascii="仿宋" w:hAnsi="仿宋" w:eastAsia="仿宋" w:cs="仿宋"/>
          <w:color w:val="000000"/>
          <w:kern w:val="0"/>
          <w:sz w:val="31"/>
          <w:szCs w:val="31"/>
          <w:lang w:val="zh-CN" w:bidi="ar"/>
        </w:rPr>
      </w:pPr>
      <w:r>
        <w:rPr>
          <w:rFonts w:hint="eastAsia" w:ascii="楷体_GB2312" w:eastAsia="楷体_GB2312"/>
          <w:sz w:val="32"/>
          <w:szCs w:val="32"/>
          <w:lang w:val="zh-CN"/>
        </w:rPr>
        <w:t>1.项目决策。</w:t>
      </w:r>
      <w:r>
        <w:rPr>
          <w:rFonts w:hint="eastAsia" w:ascii="仿宋" w:hAnsi="仿宋" w:eastAsia="仿宋" w:cs="仿宋"/>
          <w:color w:val="000000"/>
          <w:kern w:val="0"/>
          <w:sz w:val="31"/>
          <w:szCs w:val="31"/>
          <w:lang w:bidi="ar"/>
        </w:rPr>
        <w:t>按照上级文件分配任务目标完成</w:t>
      </w:r>
      <w:r>
        <w:rPr>
          <w:rFonts w:hint="eastAsia" w:ascii="仿宋" w:hAnsi="仿宋" w:eastAsia="仿宋" w:cs="仿宋"/>
          <w:color w:val="000000"/>
          <w:kern w:val="0"/>
          <w:sz w:val="31"/>
          <w:szCs w:val="31"/>
          <w:lang w:val="zh-CN" w:bidi="ar"/>
        </w:rPr>
        <w:t>。</w:t>
      </w:r>
    </w:p>
    <w:p>
      <w:pPr>
        <w:ind w:firstLine="640" w:firstLineChars="200"/>
        <w:rPr>
          <w:rFonts w:ascii="仿宋" w:hAnsi="仿宋" w:eastAsia="仿宋" w:cs="仿宋"/>
          <w:color w:val="000000"/>
          <w:kern w:val="0"/>
          <w:sz w:val="31"/>
          <w:szCs w:val="31"/>
          <w:lang w:val="zh-CN" w:bidi="ar"/>
        </w:rPr>
      </w:pPr>
      <w:r>
        <w:rPr>
          <w:rFonts w:hint="eastAsia" w:ascii="楷体_GB2312" w:eastAsia="楷体_GB2312"/>
          <w:sz w:val="32"/>
          <w:szCs w:val="32"/>
          <w:lang w:val="zh-CN"/>
        </w:rPr>
        <w:t>2.项目管理。</w:t>
      </w:r>
      <w:r>
        <w:rPr>
          <w:rFonts w:hint="eastAsia" w:ascii="仿宋" w:hAnsi="仿宋" w:eastAsia="仿宋" w:cs="仿宋"/>
          <w:color w:val="000000"/>
          <w:kern w:val="0"/>
          <w:sz w:val="31"/>
          <w:szCs w:val="31"/>
          <w:lang w:val="zh-CN" w:bidi="ar"/>
        </w:rPr>
        <w:t>我单位财务设置在办公室，严格按照相关财务管理制度，对项目资金的申请、拨付、管理和使用严格按专项资金管理要求执行，专项资金严格按照“统筹兼顾、突出重点、促进发展、注重绩效”的原则进行分配和使用，各项制度执行落实较好，资金使用安全规范，未发现截留、挪用、挤占、虚列资金等现象。3.项目实施。围绕预算执行、资金使用进行绩效分析。</w:t>
      </w:r>
    </w:p>
    <w:p>
      <w:pPr>
        <w:ind w:firstLine="620" w:firstLineChars="200"/>
        <w:rPr>
          <w:rFonts w:ascii="仿宋" w:hAnsi="仿宋" w:eastAsia="仿宋" w:cs="仿宋"/>
          <w:color w:val="000000"/>
          <w:kern w:val="0"/>
          <w:sz w:val="31"/>
          <w:szCs w:val="31"/>
          <w:lang w:bidi="ar"/>
        </w:rPr>
      </w:pPr>
      <w:r>
        <w:rPr>
          <w:rFonts w:hint="eastAsia" w:ascii="仿宋" w:hAnsi="仿宋" w:eastAsia="仿宋" w:cs="仿宋"/>
          <w:color w:val="000000"/>
          <w:kern w:val="0"/>
          <w:sz w:val="31"/>
          <w:szCs w:val="31"/>
          <w:lang w:eastAsia="zh-CN" w:bidi="ar"/>
        </w:rPr>
        <w:t>3.</w:t>
      </w:r>
      <w:r>
        <w:rPr>
          <w:rFonts w:hint="eastAsia" w:ascii="仿宋" w:hAnsi="仿宋" w:eastAsia="仿宋" w:cs="仿宋"/>
          <w:color w:val="000000"/>
          <w:kern w:val="0"/>
          <w:sz w:val="31"/>
          <w:szCs w:val="31"/>
          <w:lang w:bidi="ar"/>
        </w:rPr>
        <w:t>项目实施。制定方案</w:t>
      </w:r>
      <w:r>
        <w:rPr>
          <w:rFonts w:hint="eastAsia" w:ascii="仿宋" w:hAnsi="仿宋" w:eastAsia="仿宋" w:cs="仿宋"/>
          <w:color w:val="000000"/>
          <w:kern w:val="0"/>
          <w:sz w:val="31"/>
          <w:szCs w:val="31"/>
          <w:lang w:val="zh-CN" w:bidi="ar"/>
        </w:rPr>
        <w:t>→</w:t>
      </w:r>
      <w:r>
        <w:rPr>
          <w:rFonts w:hint="eastAsia" w:ascii="仿宋" w:hAnsi="仿宋" w:eastAsia="仿宋" w:cs="仿宋"/>
          <w:color w:val="000000"/>
          <w:kern w:val="0"/>
          <w:sz w:val="31"/>
          <w:szCs w:val="31"/>
          <w:lang w:bidi="ar"/>
        </w:rPr>
        <w:t>实施方案</w:t>
      </w:r>
      <w:r>
        <w:rPr>
          <w:rFonts w:hint="eastAsia" w:ascii="仿宋" w:hAnsi="仿宋" w:eastAsia="仿宋" w:cs="仿宋"/>
          <w:color w:val="000000"/>
          <w:kern w:val="0"/>
          <w:sz w:val="31"/>
          <w:szCs w:val="31"/>
          <w:lang w:val="zh-CN" w:bidi="ar"/>
        </w:rPr>
        <w:t>→</w:t>
      </w:r>
      <w:r>
        <w:rPr>
          <w:rFonts w:hint="eastAsia" w:ascii="仿宋" w:hAnsi="仿宋" w:eastAsia="仿宋" w:cs="仿宋"/>
          <w:color w:val="000000"/>
          <w:kern w:val="0"/>
          <w:sz w:val="31"/>
          <w:szCs w:val="31"/>
          <w:lang w:bidi="ar"/>
        </w:rPr>
        <w:t>完成方案</w:t>
      </w:r>
      <w:r>
        <w:rPr>
          <w:rFonts w:hint="eastAsia" w:ascii="仿宋" w:hAnsi="仿宋" w:eastAsia="仿宋" w:cs="仿宋"/>
          <w:color w:val="000000"/>
          <w:kern w:val="0"/>
          <w:sz w:val="31"/>
          <w:szCs w:val="31"/>
          <w:lang w:val="zh-CN" w:bidi="ar"/>
        </w:rPr>
        <w:t>→</w:t>
      </w:r>
      <w:r>
        <w:rPr>
          <w:rFonts w:hint="eastAsia" w:ascii="仿宋" w:hAnsi="仿宋" w:eastAsia="仿宋" w:cs="仿宋"/>
          <w:color w:val="000000"/>
          <w:kern w:val="0"/>
          <w:sz w:val="31"/>
          <w:szCs w:val="31"/>
          <w:lang w:bidi="ar"/>
        </w:rPr>
        <w:t>收集对公账号</w:t>
      </w:r>
      <w:r>
        <w:rPr>
          <w:rFonts w:hint="eastAsia" w:ascii="仿宋" w:hAnsi="仿宋" w:eastAsia="仿宋" w:cs="仿宋"/>
          <w:color w:val="000000"/>
          <w:kern w:val="0"/>
          <w:sz w:val="31"/>
          <w:szCs w:val="31"/>
          <w:lang w:val="zh-CN" w:bidi="ar"/>
        </w:rPr>
        <w:t>→</w:t>
      </w:r>
      <w:r>
        <w:rPr>
          <w:rFonts w:hint="eastAsia" w:ascii="仿宋" w:hAnsi="仿宋" w:eastAsia="仿宋" w:cs="仿宋"/>
          <w:color w:val="000000"/>
          <w:kern w:val="0"/>
          <w:sz w:val="31"/>
          <w:szCs w:val="31"/>
          <w:lang w:bidi="ar"/>
        </w:rPr>
        <w:t>完成支付资金</w:t>
      </w:r>
    </w:p>
    <w:p>
      <w:pPr>
        <w:ind w:firstLine="640" w:firstLineChars="200"/>
        <w:rPr>
          <w:rFonts w:ascii="仿宋" w:hAnsi="仿宋" w:eastAsia="仿宋" w:cs="仿宋"/>
          <w:color w:val="000000"/>
          <w:kern w:val="0"/>
          <w:sz w:val="31"/>
          <w:szCs w:val="31"/>
          <w:lang w:val="zh-CN" w:bidi="ar"/>
        </w:rPr>
      </w:pPr>
      <w:r>
        <w:rPr>
          <w:rFonts w:hint="eastAsia" w:ascii="楷体_GB2312" w:eastAsia="楷体_GB2312"/>
          <w:sz w:val="32"/>
          <w:szCs w:val="32"/>
          <w:lang w:val="zh-CN"/>
        </w:rPr>
        <w:t>4.项目结果。</w:t>
      </w:r>
      <w:r>
        <w:rPr>
          <w:rFonts w:hint="eastAsia" w:ascii="仿宋" w:hAnsi="仿宋" w:eastAsia="仿宋" w:cs="仿宋"/>
          <w:color w:val="000000"/>
          <w:kern w:val="0"/>
          <w:sz w:val="31"/>
          <w:szCs w:val="31"/>
          <w:lang w:val="zh-CN" w:bidi="ar"/>
        </w:rPr>
        <w:t>盐边县2023年度“个转企”成功转企405户，超市级目标任务380户（市级目标任务25户、县级目标任务50户）。</w:t>
      </w:r>
    </w:p>
    <w:p>
      <w:pPr>
        <w:ind w:firstLine="643" w:firstLineChars="200"/>
        <w:rPr>
          <w:rFonts w:eastAsia="仿宋_GB2312"/>
          <w:sz w:val="32"/>
          <w:szCs w:val="32"/>
          <w:lang w:val="zh-CN"/>
        </w:rPr>
      </w:pPr>
      <w:r>
        <w:rPr>
          <w:rFonts w:hint="eastAsia" w:ascii="楷体_GB2312" w:eastAsia="楷体_GB2312"/>
          <w:b/>
          <w:sz w:val="32"/>
          <w:szCs w:val="32"/>
          <w:lang w:val="zh-CN"/>
        </w:rPr>
        <w:t>（二）专用指标绩效分析。</w:t>
      </w:r>
      <w:r>
        <w:rPr>
          <w:rFonts w:hint="eastAsia" w:eastAsia="仿宋_GB2312"/>
          <w:sz w:val="32"/>
          <w:szCs w:val="32"/>
          <w:lang w:val="zh-CN"/>
        </w:rPr>
        <w:t>根据专项预算项目资金支持对象选择所属指标进行绩效分析。支持对象包括产业发展、民生保障、基础设施、行政运转等方面。</w:t>
      </w:r>
    </w:p>
    <w:p>
      <w:pPr>
        <w:ind w:firstLine="640" w:firstLineChars="200"/>
        <w:rPr>
          <w:rFonts w:ascii="仿宋" w:hAnsi="仿宋" w:eastAsia="仿宋" w:cs="仿宋"/>
          <w:color w:val="000000"/>
          <w:kern w:val="0"/>
          <w:sz w:val="31"/>
          <w:szCs w:val="31"/>
          <w:lang w:bidi="ar"/>
        </w:rPr>
      </w:pPr>
      <w:r>
        <w:rPr>
          <w:rFonts w:hint="eastAsia" w:ascii="楷体_GB2312" w:eastAsia="楷体_GB2312"/>
          <w:sz w:val="32"/>
          <w:szCs w:val="32"/>
          <w:lang w:val="zh-CN"/>
        </w:rPr>
        <w:t>1.产业发展。</w:t>
      </w:r>
      <w:r>
        <w:rPr>
          <w:rFonts w:hint="eastAsia" w:ascii="仿宋" w:hAnsi="仿宋" w:eastAsia="仿宋" w:cs="仿宋"/>
          <w:color w:val="000000"/>
          <w:kern w:val="0"/>
          <w:sz w:val="31"/>
          <w:szCs w:val="31"/>
          <w:lang w:bidi="ar"/>
        </w:rPr>
        <w:t>符合《</w:t>
      </w:r>
      <w:r>
        <w:rPr>
          <w:rFonts w:hint="eastAsia" w:ascii="仿宋" w:hAnsi="仿宋" w:eastAsia="仿宋" w:cs="仿宋"/>
          <w:color w:val="000000"/>
          <w:kern w:val="0"/>
          <w:sz w:val="31"/>
          <w:szCs w:val="31"/>
          <w:lang w:val="zh-CN" w:bidi="ar"/>
        </w:rPr>
        <w:t>四川省民营经济和中小企业发展领导小组民营经济办公室关于印发《四川省“十四五”时期“个转企”工作方案》</w:t>
      </w:r>
      <w:r>
        <w:rPr>
          <w:rFonts w:hint="eastAsia" w:ascii="仿宋" w:hAnsi="仿宋" w:eastAsia="仿宋" w:cs="仿宋"/>
          <w:color w:val="000000"/>
          <w:kern w:val="0"/>
          <w:sz w:val="31"/>
          <w:szCs w:val="31"/>
          <w:lang w:bidi="ar"/>
        </w:rPr>
        <w:t>要求</w:t>
      </w:r>
    </w:p>
    <w:p>
      <w:pPr>
        <w:ind w:firstLine="640" w:firstLineChars="200"/>
        <w:rPr>
          <w:rFonts w:ascii="仿宋" w:hAnsi="仿宋" w:eastAsia="仿宋" w:cs="仿宋"/>
          <w:color w:val="000000"/>
          <w:kern w:val="0"/>
          <w:sz w:val="31"/>
          <w:szCs w:val="31"/>
          <w:lang w:val="zh-CN" w:bidi="ar"/>
        </w:rPr>
      </w:pPr>
      <w:r>
        <w:rPr>
          <w:rFonts w:hint="eastAsia" w:ascii="楷体_GB2312" w:eastAsia="楷体_GB2312"/>
          <w:sz w:val="32"/>
          <w:szCs w:val="32"/>
          <w:lang w:val="zh-CN"/>
        </w:rPr>
        <w:t>2.民生保障。</w:t>
      </w:r>
      <w:r>
        <w:rPr>
          <w:rFonts w:hint="eastAsia" w:ascii="仿宋" w:hAnsi="仿宋" w:eastAsia="仿宋" w:cs="仿宋"/>
          <w:color w:val="000000"/>
          <w:kern w:val="0"/>
          <w:sz w:val="31"/>
          <w:szCs w:val="31"/>
          <w:lang w:bidi="ar"/>
        </w:rPr>
        <w:t>兑付的激励资金一定程度上，可以拉动消费及就业</w:t>
      </w:r>
      <w:r>
        <w:rPr>
          <w:rFonts w:hint="eastAsia" w:ascii="仿宋" w:hAnsi="仿宋" w:eastAsia="仿宋" w:cs="仿宋"/>
          <w:color w:val="000000"/>
          <w:kern w:val="0"/>
          <w:sz w:val="31"/>
          <w:szCs w:val="31"/>
          <w:lang w:val="zh-CN" w:bidi="ar"/>
        </w:rPr>
        <w:t>。</w:t>
      </w:r>
    </w:p>
    <w:p>
      <w:pPr>
        <w:ind w:firstLine="640" w:firstLineChars="200"/>
        <w:rPr>
          <w:rFonts w:ascii="仿宋" w:hAnsi="仿宋" w:eastAsia="仿宋" w:cs="仿宋"/>
          <w:color w:val="000000"/>
          <w:kern w:val="0"/>
          <w:sz w:val="31"/>
          <w:szCs w:val="31"/>
          <w:lang w:bidi="ar"/>
        </w:rPr>
      </w:pPr>
      <w:r>
        <w:rPr>
          <w:rFonts w:hint="eastAsia" w:ascii="楷体_GB2312" w:eastAsia="楷体_GB2312"/>
          <w:sz w:val="32"/>
          <w:szCs w:val="32"/>
          <w:lang w:val="zh-CN"/>
        </w:rPr>
        <w:t>3.基础设施。</w:t>
      </w:r>
      <w:r>
        <w:rPr>
          <w:rFonts w:hint="eastAsia" w:ascii="仿宋" w:hAnsi="仿宋" w:eastAsia="仿宋" w:cs="仿宋"/>
          <w:color w:val="000000"/>
          <w:kern w:val="0"/>
          <w:sz w:val="31"/>
          <w:szCs w:val="31"/>
          <w:lang w:bidi="ar"/>
        </w:rPr>
        <w:t>该</w:t>
      </w:r>
      <w:r>
        <w:rPr>
          <w:rFonts w:hint="eastAsia" w:ascii="仿宋" w:hAnsi="仿宋" w:eastAsia="仿宋" w:cs="仿宋"/>
          <w:color w:val="000000"/>
          <w:kern w:val="0"/>
          <w:sz w:val="31"/>
          <w:szCs w:val="31"/>
          <w:lang w:eastAsia="zh-CN" w:bidi="ar"/>
        </w:rPr>
        <w:t>项</w:t>
      </w:r>
      <w:r>
        <w:rPr>
          <w:rFonts w:hint="eastAsia" w:ascii="仿宋" w:hAnsi="仿宋" w:eastAsia="仿宋" w:cs="仿宋"/>
          <w:color w:val="000000"/>
          <w:kern w:val="0"/>
          <w:sz w:val="31"/>
          <w:szCs w:val="31"/>
          <w:lang w:bidi="ar"/>
        </w:rPr>
        <w:t>目无需</w:t>
      </w:r>
      <w:r>
        <w:rPr>
          <w:rFonts w:hint="eastAsia" w:ascii="仿宋" w:hAnsi="仿宋" w:eastAsia="仿宋" w:cs="仿宋"/>
          <w:color w:val="000000"/>
          <w:kern w:val="0"/>
          <w:sz w:val="31"/>
          <w:szCs w:val="31"/>
          <w:lang w:eastAsia="zh-CN" w:bidi="ar"/>
        </w:rPr>
        <w:t>基础</w:t>
      </w:r>
      <w:r>
        <w:rPr>
          <w:rFonts w:hint="eastAsia" w:ascii="仿宋" w:hAnsi="仿宋" w:eastAsia="仿宋" w:cs="仿宋"/>
          <w:color w:val="000000"/>
          <w:kern w:val="0"/>
          <w:sz w:val="31"/>
          <w:szCs w:val="31"/>
          <w:lang w:bidi="ar"/>
        </w:rPr>
        <w:t>设施。</w:t>
      </w:r>
    </w:p>
    <w:p>
      <w:pPr>
        <w:ind w:firstLine="640" w:firstLineChars="200"/>
        <w:rPr>
          <w:rFonts w:ascii="楷体_GB2312" w:eastAsia="楷体_GB2312"/>
          <w:sz w:val="32"/>
          <w:szCs w:val="32"/>
          <w:lang w:val="zh-CN"/>
        </w:rPr>
      </w:pPr>
      <w:r>
        <w:rPr>
          <w:rFonts w:hint="eastAsia" w:ascii="楷体_GB2312" w:eastAsia="楷体_GB2312"/>
          <w:sz w:val="32"/>
          <w:szCs w:val="32"/>
          <w:lang w:val="zh-CN"/>
        </w:rPr>
        <w:t>4.行政运转。</w:t>
      </w:r>
    </w:p>
    <w:p>
      <w:pPr>
        <w:ind w:firstLine="643" w:firstLineChars="200"/>
        <w:rPr>
          <w:rFonts w:eastAsia="仿宋_GB2312"/>
          <w:sz w:val="32"/>
          <w:szCs w:val="32"/>
          <w:lang w:val="zh-CN"/>
        </w:rPr>
      </w:pPr>
      <w:r>
        <w:rPr>
          <w:rFonts w:hint="eastAsia" w:ascii="楷体_GB2312" w:eastAsia="楷体_GB2312"/>
          <w:b/>
          <w:sz w:val="32"/>
          <w:szCs w:val="32"/>
          <w:lang w:val="zh-CN"/>
        </w:rPr>
        <w:t>（三）个性指标绩效分析。</w:t>
      </w:r>
      <w:r>
        <w:rPr>
          <w:rFonts w:hint="eastAsia" w:ascii="仿宋" w:hAnsi="仿宋" w:eastAsia="仿宋" w:cs="仿宋"/>
          <w:color w:val="000000"/>
          <w:kern w:val="0"/>
          <w:sz w:val="31"/>
          <w:szCs w:val="31"/>
          <w:lang w:bidi="ar"/>
        </w:rPr>
        <w:t>该项目无个性指标</w:t>
      </w:r>
      <w:r>
        <w:rPr>
          <w:rFonts w:hint="eastAsia" w:ascii="仿宋" w:hAnsi="仿宋" w:eastAsia="仿宋" w:cs="仿宋"/>
          <w:color w:val="000000"/>
          <w:kern w:val="0"/>
          <w:sz w:val="31"/>
          <w:szCs w:val="31"/>
          <w:lang w:val="zh-CN" w:bidi="ar"/>
        </w:rPr>
        <w:t>。</w:t>
      </w:r>
    </w:p>
    <w:p>
      <w:pPr>
        <w:ind w:firstLine="640" w:firstLineChars="200"/>
        <w:rPr>
          <w:rFonts w:ascii="黑体" w:hAnsi="黑体" w:eastAsia="黑体"/>
          <w:sz w:val="32"/>
          <w:szCs w:val="32"/>
          <w:lang w:val="zh-CN"/>
        </w:rPr>
      </w:pPr>
      <w:r>
        <w:rPr>
          <w:rFonts w:hint="eastAsia" w:ascii="黑体" w:hAnsi="黑体" w:eastAsia="黑体"/>
          <w:sz w:val="32"/>
          <w:szCs w:val="32"/>
          <w:lang w:val="zh-CN"/>
        </w:rPr>
        <w:t>四、评价结论</w:t>
      </w:r>
    </w:p>
    <w:p>
      <w:pPr>
        <w:ind w:firstLine="620" w:firstLineChars="200"/>
        <w:rPr>
          <w:rFonts w:ascii="仿宋" w:hAnsi="仿宋" w:eastAsia="仿宋" w:cs="仿宋"/>
          <w:color w:val="000000"/>
          <w:kern w:val="0"/>
          <w:sz w:val="31"/>
          <w:szCs w:val="31"/>
          <w:lang w:val="zh-CN" w:bidi="ar"/>
        </w:rPr>
      </w:pPr>
      <w:r>
        <w:rPr>
          <w:rFonts w:hint="eastAsia" w:ascii="仿宋" w:hAnsi="仿宋" w:eastAsia="仿宋" w:cs="仿宋"/>
          <w:color w:val="000000"/>
          <w:kern w:val="0"/>
          <w:sz w:val="31"/>
          <w:szCs w:val="31"/>
          <w:lang w:bidi="ar"/>
        </w:rPr>
        <w:t>符合“个转企”政策的要求，达到预期</w:t>
      </w:r>
      <w:r>
        <w:rPr>
          <w:rFonts w:hint="eastAsia" w:ascii="仿宋" w:hAnsi="仿宋" w:eastAsia="仿宋" w:cs="仿宋"/>
          <w:color w:val="000000"/>
          <w:kern w:val="0"/>
          <w:sz w:val="31"/>
          <w:szCs w:val="31"/>
          <w:lang w:val="zh-CN" w:bidi="ar"/>
        </w:rPr>
        <w:t>。</w:t>
      </w:r>
    </w:p>
    <w:p>
      <w:pPr>
        <w:ind w:firstLine="640" w:firstLineChars="200"/>
        <w:rPr>
          <w:rFonts w:ascii="黑体" w:hAnsi="黑体" w:eastAsia="黑体"/>
          <w:sz w:val="32"/>
          <w:szCs w:val="32"/>
          <w:lang w:val="zh-CN"/>
        </w:rPr>
      </w:pPr>
      <w:r>
        <w:rPr>
          <w:rFonts w:hint="eastAsia" w:ascii="黑体" w:hAnsi="黑体" w:eastAsia="黑体"/>
          <w:sz w:val="32"/>
          <w:szCs w:val="32"/>
          <w:lang w:val="zh-CN"/>
        </w:rPr>
        <w:t>五、存在主要问题</w:t>
      </w:r>
    </w:p>
    <w:p>
      <w:pPr>
        <w:ind w:firstLine="620" w:firstLineChars="200"/>
        <w:rPr>
          <w:rFonts w:ascii="仿宋" w:hAnsi="仿宋" w:eastAsia="仿宋" w:cs="仿宋"/>
          <w:color w:val="000000"/>
          <w:kern w:val="0"/>
          <w:sz w:val="31"/>
          <w:szCs w:val="31"/>
          <w:lang w:bidi="ar"/>
        </w:rPr>
      </w:pPr>
      <w:r>
        <w:rPr>
          <w:rFonts w:hint="eastAsia" w:ascii="仿宋" w:hAnsi="仿宋" w:eastAsia="仿宋" w:cs="仿宋"/>
          <w:color w:val="000000"/>
          <w:kern w:val="0"/>
          <w:sz w:val="31"/>
          <w:szCs w:val="31"/>
          <w:lang w:bidi="ar"/>
        </w:rPr>
        <w:t>无</w:t>
      </w:r>
    </w:p>
    <w:p>
      <w:pPr>
        <w:ind w:firstLine="640" w:firstLineChars="200"/>
        <w:rPr>
          <w:rFonts w:ascii="黑体" w:hAnsi="黑体" w:eastAsia="黑体"/>
          <w:sz w:val="32"/>
          <w:szCs w:val="32"/>
          <w:lang w:val="zh-CN"/>
        </w:rPr>
      </w:pPr>
      <w:r>
        <w:rPr>
          <w:rFonts w:hint="eastAsia" w:ascii="黑体" w:hAnsi="黑体" w:eastAsia="黑体"/>
          <w:sz w:val="32"/>
          <w:szCs w:val="32"/>
          <w:lang w:val="zh-CN"/>
        </w:rPr>
        <w:t>六、改进建议</w:t>
      </w:r>
    </w:p>
    <w:p>
      <w:pPr>
        <w:ind w:firstLine="620" w:firstLineChars="200"/>
        <w:rPr>
          <w:rFonts w:ascii="仿宋" w:hAnsi="仿宋" w:eastAsia="仿宋" w:cs="仿宋"/>
          <w:color w:val="000000"/>
          <w:kern w:val="0"/>
          <w:sz w:val="31"/>
          <w:szCs w:val="31"/>
          <w:lang w:bidi="ar"/>
        </w:rPr>
      </w:pPr>
      <w:r>
        <w:rPr>
          <w:rFonts w:hint="eastAsia" w:ascii="仿宋" w:hAnsi="仿宋" w:eastAsia="仿宋" w:cs="仿宋"/>
          <w:color w:val="000000"/>
          <w:kern w:val="0"/>
          <w:sz w:val="31"/>
          <w:szCs w:val="31"/>
          <w:lang w:bidi="ar"/>
        </w:rPr>
        <w:t>无</w:t>
      </w:r>
    </w:p>
    <w:p/>
    <w:p>
      <w:pPr>
        <w:pStyle w:val="8"/>
        <w:spacing w:line="560" w:lineRule="exact"/>
        <w:ind w:left="0" w:leftChars="0" w:firstLine="640"/>
        <w:rPr>
          <w:rFonts w:ascii="Times New Roman" w:eastAsia="仿宋_GB2312"/>
          <w:sz w:val="32"/>
          <w:lang w:bidi="ar"/>
        </w:rPr>
      </w:pPr>
      <w:r>
        <w:rPr>
          <w:rFonts w:hint="eastAsia" w:ascii="Times New Roman" w:eastAsia="仿宋_GB2312"/>
          <w:sz w:val="32"/>
          <w:lang w:val="zh-CN" w:bidi="ar"/>
        </w:rPr>
        <w:t>附表：盐边县市场监督管理局</w:t>
      </w:r>
      <w:r>
        <w:rPr>
          <w:rFonts w:hint="eastAsia" w:ascii="Times New Roman" w:eastAsia="仿宋_GB2312"/>
          <w:sz w:val="32"/>
          <w:lang w:bidi="ar"/>
        </w:rPr>
        <w:t>部门预算项目支出绩效自评表（2024年度）</w:t>
      </w: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ind w:firstLine="640"/>
        <w:jc w:val="center"/>
        <w:rPr>
          <w:rFonts w:ascii="Times New Roman" w:hAnsi="Times New Roman"/>
          <w:color w:val="auto"/>
          <w:kern w:val="2"/>
          <w:sz w:val="32"/>
          <w:szCs w:val="32"/>
          <w:lang w:val="en-US"/>
        </w:rPr>
      </w:pPr>
    </w:p>
    <w:p>
      <w:pPr>
        <w:pStyle w:val="35"/>
        <w:spacing w:line="578" w:lineRule="exact"/>
        <w:rPr>
          <w:rFonts w:ascii="Times New Roman" w:hAnsi="Times New Roman"/>
          <w:color w:val="auto"/>
          <w:kern w:val="2"/>
          <w:sz w:val="32"/>
          <w:szCs w:val="32"/>
          <w:lang w:val="en-US"/>
        </w:rPr>
      </w:pPr>
      <w:bookmarkStart w:id="70" w:name="_GoBack"/>
      <w:bookmarkEnd w:id="70"/>
    </w:p>
    <w:p>
      <w:pPr>
        <w:pStyle w:val="35"/>
        <w:spacing w:line="578" w:lineRule="exact"/>
        <w:rPr>
          <w:rFonts w:ascii="Times New Roman" w:hAnsi="Times New Roman"/>
          <w:color w:val="auto"/>
          <w:kern w:val="2"/>
          <w:sz w:val="32"/>
          <w:szCs w:val="32"/>
          <w:lang w:val="en-US"/>
        </w:rPr>
      </w:pPr>
    </w:p>
    <w:p>
      <w:pPr>
        <w:widowControl/>
        <w:jc w:val="center"/>
        <w:rPr>
          <w:rFonts w:eastAsia="仿宋"/>
        </w:rPr>
      </w:pPr>
      <w:bookmarkStart w:id="56" w:name="_Toc15396618"/>
      <w:r>
        <w:rPr>
          <w:rFonts w:hint="eastAsia" w:eastAsia="黑体"/>
          <w:sz w:val="44"/>
          <w:szCs w:val="44"/>
        </w:rPr>
        <w:t>第</w:t>
      </w:r>
      <w:r>
        <w:rPr>
          <w:rStyle w:val="29"/>
          <w:rFonts w:hint="eastAsia" w:eastAsia="黑体"/>
          <w:b w:val="0"/>
        </w:rPr>
        <w:t>五部分 附表</w:t>
      </w:r>
      <w:bookmarkEnd w:id="53"/>
      <w:bookmarkEnd w:id="56"/>
      <w:bookmarkStart w:id="57" w:name="_Toc15396619"/>
    </w:p>
    <w:p>
      <w:pPr>
        <w:pStyle w:val="15"/>
        <w:adjustRightInd w:val="0"/>
        <w:snapToGrid w:val="0"/>
        <w:spacing w:line="560" w:lineRule="exact"/>
        <w:jc w:val="left"/>
        <w:rPr>
          <w:rFonts w:eastAsia="仿宋_GB2312" w:cs="仿宋_GB2312"/>
          <w:sz w:val="32"/>
          <w:szCs w:val="32"/>
        </w:rPr>
      </w:pPr>
    </w:p>
    <w:p>
      <w:pPr>
        <w:pStyle w:val="15"/>
        <w:adjustRightInd w:val="0"/>
        <w:snapToGrid w:val="0"/>
        <w:spacing w:line="560" w:lineRule="exact"/>
        <w:jc w:val="left"/>
        <w:rPr>
          <w:rFonts w:eastAsia="仿宋_GB2312" w:cs="仿宋_GB2312"/>
          <w:sz w:val="32"/>
          <w:szCs w:val="32"/>
        </w:rPr>
      </w:pPr>
      <w:r>
        <w:rPr>
          <w:rFonts w:hint="eastAsia" w:eastAsia="仿宋_GB2312" w:cs="仿宋_GB2312"/>
          <w:sz w:val="32"/>
          <w:szCs w:val="32"/>
        </w:rPr>
        <w:t>一、收入支出决算总表</w:t>
      </w:r>
      <w:bookmarkEnd w:id="57"/>
    </w:p>
    <w:p>
      <w:pPr>
        <w:pStyle w:val="15"/>
        <w:adjustRightInd w:val="0"/>
        <w:snapToGrid w:val="0"/>
        <w:spacing w:line="560" w:lineRule="exact"/>
        <w:jc w:val="left"/>
        <w:rPr>
          <w:rFonts w:eastAsia="仿宋_GB2312" w:cs="仿宋_GB2312"/>
          <w:sz w:val="32"/>
          <w:szCs w:val="32"/>
        </w:rPr>
      </w:pPr>
      <w:bookmarkStart w:id="58" w:name="_Toc15396620"/>
      <w:r>
        <w:rPr>
          <w:rFonts w:hint="eastAsia" w:eastAsia="仿宋_GB2312" w:cs="仿宋_GB2312"/>
          <w:sz w:val="32"/>
          <w:szCs w:val="32"/>
        </w:rPr>
        <w:t>二、收入决算表</w:t>
      </w:r>
      <w:bookmarkEnd w:id="58"/>
    </w:p>
    <w:p>
      <w:pPr>
        <w:pStyle w:val="15"/>
        <w:adjustRightInd w:val="0"/>
        <w:snapToGrid w:val="0"/>
        <w:spacing w:line="560" w:lineRule="exact"/>
        <w:jc w:val="left"/>
        <w:rPr>
          <w:rFonts w:eastAsia="仿宋_GB2312" w:cs="仿宋_GB2312"/>
          <w:sz w:val="32"/>
          <w:szCs w:val="32"/>
        </w:rPr>
      </w:pPr>
      <w:bookmarkStart w:id="59" w:name="_Toc15396621"/>
      <w:r>
        <w:rPr>
          <w:rFonts w:hint="eastAsia" w:eastAsia="仿宋_GB2312" w:cs="仿宋_GB2312"/>
          <w:sz w:val="32"/>
          <w:szCs w:val="32"/>
        </w:rPr>
        <w:t>三、支出决算表</w:t>
      </w:r>
      <w:bookmarkEnd w:id="59"/>
    </w:p>
    <w:p>
      <w:pPr>
        <w:pStyle w:val="15"/>
        <w:adjustRightInd w:val="0"/>
        <w:snapToGrid w:val="0"/>
        <w:spacing w:line="560" w:lineRule="exact"/>
        <w:jc w:val="left"/>
        <w:rPr>
          <w:rFonts w:eastAsia="仿宋_GB2312" w:cs="仿宋_GB2312"/>
          <w:sz w:val="32"/>
          <w:szCs w:val="32"/>
        </w:rPr>
      </w:pPr>
      <w:bookmarkStart w:id="60" w:name="_Toc15396622"/>
      <w:r>
        <w:rPr>
          <w:rFonts w:hint="eastAsia" w:eastAsia="仿宋_GB2312" w:cs="仿宋_GB2312"/>
          <w:sz w:val="32"/>
          <w:szCs w:val="32"/>
        </w:rPr>
        <w:t>四、财政拨款收入支出决算总表</w:t>
      </w:r>
      <w:bookmarkEnd w:id="60"/>
    </w:p>
    <w:p>
      <w:pPr>
        <w:pStyle w:val="15"/>
        <w:adjustRightInd w:val="0"/>
        <w:snapToGrid w:val="0"/>
        <w:spacing w:line="560" w:lineRule="exact"/>
        <w:jc w:val="left"/>
        <w:rPr>
          <w:rFonts w:eastAsia="仿宋_GB2312" w:cs="仿宋_GB2312"/>
          <w:sz w:val="32"/>
          <w:szCs w:val="32"/>
        </w:rPr>
      </w:pPr>
      <w:bookmarkStart w:id="61" w:name="_Toc15396623"/>
      <w:r>
        <w:rPr>
          <w:rFonts w:hint="eastAsia" w:eastAsia="仿宋_GB2312" w:cs="仿宋_GB2312"/>
          <w:sz w:val="32"/>
          <w:szCs w:val="32"/>
        </w:rPr>
        <w:t>五、财政拨款支出决算明细表</w:t>
      </w:r>
      <w:bookmarkEnd w:id="61"/>
      <w:bookmarkStart w:id="62" w:name="_Toc15396624"/>
    </w:p>
    <w:p>
      <w:pPr>
        <w:pStyle w:val="15"/>
        <w:adjustRightInd w:val="0"/>
        <w:snapToGrid w:val="0"/>
        <w:spacing w:line="560" w:lineRule="exact"/>
        <w:jc w:val="left"/>
        <w:rPr>
          <w:rFonts w:eastAsia="仿宋_GB2312" w:cs="仿宋_GB2312"/>
          <w:sz w:val="32"/>
          <w:szCs w:val="32"/>
        </w:rPr>
      </w:pPr>
      <w:r>
        <w:rPr>
          <w:rFonts w:hint="eastAsia" w:eastAsia="仿宋_GB2312" w:cs="仿宋_GB2312"/>
          <w:sz w:val="32"/>
          <w:szCs w:val="32"/>
        </w:rPr>
        <w:t>六、一般公共预算财政拨款支出决算表</w:t>
      </w:r>
      <w:bookmarkEnd w:id="62"/>
    </w:p>
    <w:p>
      <w:pPr>
        <w:pStyle w:val="15"/>
        <w:adjustRightInd w:val="0"/>
        <w:snapToGrid w:val="0"/>
        <w:spacing w:line="560" w:lineRule="exact"/>
        <w:jc w:val="left"/>
        <w:rPr>
          <w:rFonts w:eastAsia="仿宋_GB2312" w:cs="仿宋_GB2312"/>
          <w:sz w:val="32"/>
          <w:szCs w:val="32"/>
        </w:rPr>
      </w:pPr>
      <w:bookmarkStart w:id="63" w:name="_Toc15396625"/>
      <w:r>
        <w:rPr>
          <w:rFonts w:hint="eastAsia" w:eastAsia="仿宋_GB2312" w:cs="仿宋_GB2312"/>
          <w:sz w:val="32"/>
          <w:szCs w:val="32"/>
        </w:rPr>
        <w:t>七、一般公共预算财政拨款支出决算明细表</w:t>
      </w:r>
      <w:bookmarkEnd w:id="63"/>
    </w:p>
    <w:p>
      <w:pPr>
        <w:pStyle w:val="15"/>
        <w:adjustRightInd w:val="0"/>
        <w:snapToGrid w:val="0"/>
        <w:spacing w:line="560" w:lineRule="exact"/>
        <w:jc w:val="left"/>
        <w:rPr>
          <w:rFonts w:eastAsia="仿宋_GB2312" w:cs="仿宋_GB2312"/>
          <w:sz w:val="32"/>
          <w:szCs w:val="32"/>
        </w:rPr>
      </w:pPr>
      <w:bookmarkStart w:id="64" w:name="_Toc15396626"/>
      <w:r>
        <w:rPr>
          <w:rFonts w:hint="eastAsia" w:eastAsia="仿宋_GB2312" w:cs="仿宋_GB2312"/>
          <w:sz w:val="32"/>
          <w:szCs w:val="32"/>
        </w:rPr>
        <w:t>八、一般公共预算财政拨款基本支出决算表</w:t>
      </w:r>
      <w:bookmarkEnd w:id="64"/>
    </w:p>
    <w:p>
      <w:pPr>
        <w:pStyle w:val="15"/>
        <w:adjustRightInd w:val="0"/>
        <w:snapToGrid w:val="0"/>
        <w:spacing w:line="560" w:lineRule="exact"/>
        <w:jc w:val="left"/>
        <w:rPr>
          <w:rFonts w:eastAsia="仿宋_GB2312" w:cs="仿宋_GB2312"/>
          <w:sz w:val="32"/>
          <w:szCs w:val="32"/>
        </w:rPr>
      </w:pPr>
      <w:bookmarkStart w:id="65" w:name="_Toc15396627"/>
      <w:r>
        <w:rPr>
          <w:rFonts w:hint="eastAsia" w:eastAsia="仿宋_GB2312" w:cs="仿宋_GB2312"/>
          <w:sz w:val="32"/>
          <w:szCs w:val="32"/>
        </w:rPr>
        <w:t>九、一般公共预算财政拨款项目支出决算表</w:t>
      </w:r>
      <w:bookmarkEnd w:id="65"/>
    </w:p>
    <w:p>
      <w:pPr>
        <w:pStyle w:val="15"/>
        <w:adjustRightInd w:val="0"/>
        <w:snapToGrid w:val="0"/>
        <w:spacing w:line="560" w:lineRule="exact"/>
        <w:jc w:val="left"/>
        <w:rPr>
          <w:rFonts w:eastAsia="仿宋_GB2312" w:cs="仿宋_GB2312"/>
          <w:sz w:val="32"/>
          <w:szCs w:val="32"/>
        </w:rPr>
      </w:pPr>
      <w:bookmarkStart w:id="66" w:name="_Toc15396628"/>
      <w:r>
        <w:rPr>
          <w:rFonts w:hint="eastAsia" w:eastAsia="仿宋_GB2312" w:cs="仿宋_GB2312"/>
          <w:sz w:val="32"/>
          <w:szCs w:val="32"/>
        </w:rPr>
        <w:t>十、</w:t>
      </w:r>
      <w:bookmarkEnd w:id="66"/>
      <w:r>
        <w:rPr>
          <w:rFonts w:hint="eastAsia" w:eastAsia="仿宋_GB2312" w:cs="仿宋_GB2312"/>
          <w:sz w:val="32"/>
          <w:szCs w:val="32"/>
        </w:rPr>
        <w:t>政府性基金预算财政拨款收入支出决算表</w:t>
      </w:r>
    </w:p>
    <w:p>
      <w:pPr>
        <w:pStyle w:val="15"/>
        <w:adjustRightInd w:val="0"/>
        <w:snapToGrid w:val="0"/>
        <w:spacing w:line="560" w:lineRule="exact"/>
        <w:jc w:val="left"/>
        <w:rPr>
          <w:rFonts w:eastAsia="仿宋_GB2312" w:cs="仿宋_GB2312"/>
          <w:sz w:val="32"/>
          <w:szCs w:val="32"/>
        </w:rPr>
      </w:pPr>
      <w:bookmarkStart w:id="67" w:name="_Toc15396629"/>
      <w:r>
        <w:rPr>
          <w:rFonts w:hint="eastAsia" w:eastAsia="仿宋_GB2312" w:cs="仿宋_GB2312"/>
          <w:sz w:val="32"/>
          <w:szCs w:val="32"/>
        </w:rPr>
        <w:t>十一、</w:t>
      </w:r>
      <w:bookmarkEnd w:id="67"/>
      <w:r>
        <w:rPr>
          <w:rFonts w:hint="eastAsia" w:eastAsia="仿宋_GB2312" w:cs="仿宋_GB2312"/>
          <w:sz w:val="32"/>
          <w:szCs w:val="32"/>
        </w:rPr>
        <w:t>国有资本经营预算财政拨款收入支出决算表</w:t>
      </w:r>
    </w:p>
    <w:p>
      <w:pPr>
        <w:pStyle w:val="15"/>
        <w:adjustRightInd w:val="0"/>
        <w:snapToGrid w:val="0"/>
        <w:spacing w:line="560" w:lineRule="exact"/>
        <w:jc w:val="left"/>
        <w:rPr>
          <w:rFonts w:eastAsia="仿宋_GB2312" w:cs="仿宋_GB2312"/>
          <w:sz w:val="32"/>
          <w:szCs w:val="32"/>
        </w:rPr>
      </w:pPr>
      <w:bookmarkStart w:id="68" w:name="_Toc15396630"/>
      <w:r>
        <w:rPr>
          <w:rFonts w:hint="eastAsia" w:eastAsia="仿宋_GB2312" w:cs="仿宋_GB2312"/>
          <w:sz w:val="32"/>
          <w:szCs w:val="32"/>
        </w:rPr>
        <w:t>十二、</w:t>
      </w:r>
      <w:bookmarkEnd w:id="68"/>
      <w:r>
        <w:rPr>
          <w:rFonts w:hint="eastAsia" w:eastAsia="仿宋_GB2312" w:cs="仿宋_GB2312"/>
          <w:sz w:val="32"/>
          <w:szCs w:val="32"/>
        </w:rPr>
        <w:t>国有资本经营预算财政拨款支出决算表</w:t>
      </w:r>
    </w:p>
    <w:p>
      <w:pPr>
        <w:pStyle w:val="15"/>
        <w:adjustRightInd w:val="0"/>
        <w:snapToGrid w:val="0"/>
        <w:spacing w:line="560" w:lineRule="exact"/>
        <w:jc w:val="left"/>
        <w:rPr>
          <w:rFonts w:eastAsia="仿宋_GB2312" w:cs="仿宋_GB2312"/>
          <w:sz w:val="32"/>
          <w:szCs w:val="32"/>
        </w:rPr>
      </w:pPr>
      <w:bookmarkStart w:id="69" w:name="_Toc15396631"/>
      <w:r>
        <w:rPr>
          <w:rFonts w:hint="eastAsia" w:eastAsia="仿宋_GB2312" w:cs="仿宋_GB2312"/>
          <w:sz w:val="32"/>
          <w:szCs w:val="32"/>
        </w:rPr>
        <w:t>十三、</w:t>
      </w:r>
      <w:bookmarkEnd w:id="69"/>
      <w:r>
        <w:rPr>
          <w:rFonts w:hint="eastAsia" w:eastAsia="仿宋_GB2312" w:cs="仿宋_GB2312"/>
          <w:sz w:val="32"/>
          <w:szCs w:val="32"/>
        </w:rPr>
        <w:t>财政拨款“三公”经费支出决算表</w:t>
      </w:r>
    </w:p>
    <w:p/>
    <w:sectPr>
      <w:footerReference r:id="rId7" w:type="default"/>
      <w:pgSz w:w="11906" w:h="16838"/>
      <w:pgMar w:top="1440" w:right="1800" w:bottom="1440" w:left="1800"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0"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CESI仿宋-GB2312">
    <w:altName w:val="仿宋"/>
    <w:panose1 w:val="00000000000000000000"/>
    <w:charset w:val="86"/>
    <w:family w:val="auto"/>
    <w:pitch w:val="default"/>
    <w:sig w:usb0="00000000" w:usb1="00000000" w:usb2="00000010" w:usb3="00000000" w:csb0="0004000F" w:csb1="00000000"/>
  </w:font>
  <w:font w:name="方正仿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Times_New_Roman">
    <w:altName w:val="宋体"/>
    <w:panose1 w:val="00000000000000000000"/>
    <w:charset w:val="00"/>
    <w:family w:val="auto"/>
    <w:pitch w:val="default"/>
    <w:sig w:usb0="00000000" w:usb1="00000000" w:usb2="00000000" w:usb3="00000000" w:csb0="00040000" w:csb1="00000000"/>
  </w:font>
  <w:font w:name="楷体_GB2312">
    <w:altName w:val="楷体"/>
    <w:panose1 w:val="00000000000000000000"/>
    <w:charset w:val="00"/>
    <w:family w:val="auto"/>
    <w:pitch w:val="default"/>
    <w:sig w:usb0="00000000" w:usb1="00000000" w:usb2="00000000" w:usb3="00000000" w:csb0="00000000" w:csb1="00000000"/>
  </w:font>
  <w:font w:name="Arial">
    <w:panose1 w:val="020B0604020202020204"/>
    <w:charset w:val="00"/>
    <w:family w:val="swiss"/>
    <w:pitch w:val="default"/>
    <w:sig w:usb0="E0002AFF" w:usb1="C0007843" w:usb2="00000009" w:usb3="00000000" w:csb0="400001FF" w:csb1="FFFF0000"/>
  </w:font>
  <w:font w:name="Wingdings 2">
    <w:panose1 w:val="05020102010507070707"/>
    <w:charset w:val="02"/>
    <w:family w:val="roman"/>
    <w:pitch w:val="default"/>
    <w:sig w:usb0="00000000" w:usb1="00000000" w:usb2="00000000" w:usb3="00000000" w:csb0="80000000"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p>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- 1 -</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qDMrwOAgAACQ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&#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GoMyvA4CAAAJBAAADgAAAAAAAAABACAAAAAf&#10;AQAAZHJzL2Uyb0RvYy54bWxQSwUGAAAAAAYABgBZAQAAnwUAAAAA&#10;">
              <v:fill on="f" focussize="0,0"/>
              <v:stroke on="f" weight="0.5pt"/>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- 1 -</w:t>
                    </w:r>
                    <w:r>
                      <w:rPr>
                        <w:rFonts w:hint="eastAsia"/>
                        <w:sz w:val="18"/>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p>
  <w:p>
    <w:pPr>
      <w:pStyle w:val="2"/>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- 78 -</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LNJWO7QAAAABQEAAA8AAAAAAAAAAQAgAAAAIgAA&#10;AGRycy9kb3ducmV2LnhtbFBLAQIUABQAAAAIAIdO4kBKGJQ8EAIAAAkEAAAOAAAAAAAAAAEAIAAA&#10;AB8BAABkcnMvZTJvRG9jLnhtbFBLBQYAAAAABgAGAFkBAAChBQAAAAA=&#10;">
              <v:fill on="f" focussize="0,0"/>
              <v:stroke on="f" weight="0.5pt"/>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- 78 -</w:t>
                    </w:r>
                    <w:r>
                      <w:rPr>
                        <w:rFonts w:hint="eastAsia"/>
                        <w:sz w:val="18"/>
                      </w:rPr>
                      <w:fldChar w:fldCharType="end"/>
                    </w:r>
                  </w:p>
                </w:txbxContent>
              </v:textbox>
            </v:shape>
          </w:pict>
        </mc:Fallback>
      </mc:AlternateContent>
    </w:r>
  </w:p>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F897854"/>
    <w:multiLevelType w:val="singleLevel"/>
    <w:tmpl w:val="BF897854"/>
    <w:lvl w:ilvl="0" w:tentative="0">
      <w:start w:val="3"/>
      <w:numFmt w:val="chineseCounting"/>
      <w:suff w:val="nothing"/>
      <w:lvlText w:val="（%1）"/>
      <w:lvlJc w:val="left"/>
      <w:rPr>
        <w:rFonts w:hint="eastAsia"/>
      </w:rPr>
    </w:lvl>
  </w:abstractNum>
  <w:abstractNum w:abstractNumId="1">
    <w:nsid w:val="DDDFC82F"/>
    <w:multiLevelType w:val="singleLevel"/>
    <w:tmpl w:val="DDDFC82F"/>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61C"/>
    <w:rsid w:val="0000121D"/>
    <w:rsid w:val="000222C6"/>
    <w:rsid w:val="0002549F"/>
    <w:rsid w:val="00026DAD"/>
    <w:rsid w:val="000468DB"/>
    <w:rsid w:val="0006487A"/>
    <w:rsid w:val="00065F8F"/>
    <w:rsid w:val="00070A43"/>
    <w:rsid w:val="000768F2"/>
    <w:rsid w:val="0009184B"/>
    <w:rsid w:val="00094236"/>
    <w:rsid w:val="0009593C"/>
    <w:rsid w:val="00097322"/>
    <w:rsid w:val="000A6A92"/>
    <w:rsid w:val="000B047F"/>
    <w:rsid w:val="000B1368"/>
    <w:rsid w:val="000B5923"/>
    <w:rsid w:val="000B5A48"/>
    <w:rsid w:val="000B6FF3"/>
    <w:rsid w:val="000C3467"/>
    <w:rsid w:val="000C3CA6"/>
    <w:rsid w:val="000C5C77"/>
    <w:rsid w:val="000D1267"/>
    <w:rsid w:val="000D1D50"/>
    <w:rsid w:val="000D5782"/>
    <w:rsid w:val="000E6613"/>
    <w:rsid w:val="000E7119"/>
    <w:rsid w:val="00107C02"/>
    <w:rsid w:val="00114E9B"/>
    <w:rsid w:val="00133A97"/>
    <w:rsid w:val="00142216"/>
    <w:rsid w:val="00144D6A"/>
    <w:rsid w:val="0014729F"/>
    <w:rsid w:val="00157BAB"/>
    <w:rsid w:val="001654D1"/>
    <w:rsid w:val="00174518"/>
    <w:rsid w:val="0018106D"/>
    <w:rsid w:val="001877A7"/>
    <w:rsid w:val="00191536"/>
    <w:rsid w:val="00196687"/>
    <w:rsid w:val="001968E7"/>
    <w:rsid w:val="001C0962"/>
    <w:rsid w:val="001D7531"/>
    <w:rsid w:val="001E737D"/>
    <w:rsid w:val="001F0592"/>
    <w:rsid w:val="001F7506"/>
    <w:rsid w:val="002006CD"/>
    <w:rsid w:val="00202B36"/>
    <w:rsid w:val="00204B7A"/>
    <w:rsid w:val="00204CDE"/>
    <w:rsid w:val="00205739"/>
    <w:rsid w:val="0021101A"/>
    <w:rsid w:val="00220536"/>
    <w:rsid w:val="0023341A"/>
    <w:rsid w:val="00235629"/>
    <w:rsid w:val="00260C38"/>
    <w:rsid w:val="002616C0"/>
    <w:rsid w:val="00265372"/>
    <w:rsid w:val="002662AA"/>
    <w:rsid w:val="002673D3"/>
    <w:rsid w:val="00280496"/>
    <w:rsid w:val="00294DC9"/>
    <w:rsid w:val="00295495"/>
    <w:rsid w:val="002A31DE"/>
    <w:rsid w:val="002B2613"/>
    <w:rsid w:val="002D6D05"/>
    <w:rsid w:val="002F1818"/>
    <w:rsid w:val="002F567B"/>
    <w:rsid w:val="00311F02"/>
    <w:rsid w:val="003216A9"/>
    <w:rsid w:val="00335A74"/>
    <w:rsid w:val="0036561B"/>
    <w:rsid w:val="0037013F"/>
    <w:rsid w:val="00380C92"/>
    <w:rsid w:val="003A484F"/>
    <w:rsid w:val="003A4883"/>
    <w:rsid w:val="003B0BE0"/>
    <w:rsid w:val="003B0C1B"/>
    <w:rsid w:val="003B45A0"/>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71401"/>
    <w:rsid w:val="00472FF6"/>
    <w:rsid w:val="00473F31"/>
    <w:rsid w:val="0048263A"/>
    <w:rsid w:val="00487E5D"/>
    <w:rsid w:val="004A711F"/>
    <w:rsid w:val="004B199D"/>
    <w:rsid w:val="004B4690"/>
    <w:rsid w:val="004D38DB"/>
    <w:rsid w:val="004E0A2D"/>
    <w:rsid w:val="004E1D03"/>
    <w:rsid w:val="004E206B"/>
    <w:rsid w:val="004E6DF7"/>
    <w:rsid w:val="004F0FBD"/>
    <w:rsid w:val="00505A47"/>
    <w:rsid w:val="00512FDA"/>
    <w:rsid w:val="00520DA0"/>
    <w:rsid w:val="005664BB"/>
    <w:rsid w:val="00566FFA"/>
    <w:rsid w:val="0057481D"/>
    <w:rsid w:val="0058486E"/>
    <w:rsid w:val="00585B33"/>
    <w:rsid w:val="0059014D"/>
    <w:rsid w:val="00596241"/>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319A"/>
    <w:rsid w:val="00767B7E"/>
    <w:rsid w:val="007770C3"/>
    <w:rsid w:val="00784D24"/>
    <w:rsid w:val="00785FBA"/>
    <w:rsid w:val="0078666F"/>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4422B"/>
    <w:rsid w:val="00850625"/>
    <w:rsid w:val="00853718"/>
    <w:rsid w:val="00855221"/>
    <w:rsid w:val="00860645"/>
    <w:rsid w:val="00866370"/>
    <w:rsid w:val="00871F71"/>
    <w:rsid w:val="00872FD8"/>
    <w:rsid w:val="00885AF4"/>
    <w:rsid w:val="008939CD"/>
    <w:rsid w:val="008B768C"/>
    <w:rsid w:val="008C4DB1"/>
    <w:rsid w:val="008C4EAF"/>
    <w:rsid w:val="008C5176"/>
    <w:rsid w:val="008C7FD0"/>
    <w:rsid w:val="008D7C96"/>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0C2"/>
    <w:rsid w:val="009B2C43"/>
    <w:rsid w:val="009B4EAE"/>
    <w:rsid w:val="009B7573"/>
    <w:rsid w:val="009C22F4"/>
    <w:rsid w:val="009C2A4B"/>
    <w:rsid w:val="009C2E98"/>
    <w:rsid w:val="009D3447"/>
    <w:rsid w:val="009D4711"/>
    <w:rsid w:val="009E26A2"/>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AF09D1"/>
    <w:rsid w:val="00B03C9D"/>
    <w:rsid w:val="00B060AE"/>
    <w:rsid w:val="00B10517"/>
    <w:rsid w:val="00B10599"/>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076B"/>
    <w:rsid w:val="00BB4DF0"/>
    <w:rsid w:val="00BC289F"/>
    <w:rsid w:val="00BC2D50"/>
    <w:rsid w:val="00BC5361"/>
    <w:rsid w:val="00BC5460"/>
    <w:rsid w:val="00BC6B50"/>
    <w:rsid w:val="00BD0E25"/>
    <w:rsid w:val="00BD5E43"/>
    <w:rsid w:val="00BE0320"/>
    <w:rsid w:val="00BF5BD6"/>
    <w:rsid w:val="00C02314"/>
    <w:rsid w:val="00C03E31"/>
    <w:rsid w:val="00C33E72"/>
    <w:rsid w:val="00C354B2"/>
    <w:rsid w:val="00C35554"/>
    <w:rsid w:val="00C42709"/>
    <w:rsid w:val="00C533CC"/>
    <w:rsid w:val="00C5751C"/>
    <w:rsid w:val="00C61BFC"/>
    <w:rsid w:val="00C62B85"/>
    <w:rsid w:val="00C65438"/>
    <w:rsid w:val="00C84980"/>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5CA1"/>
    <w:rsid w:val="00D26091"/>
    <w:rsid w:val="00D2685C"/>
    <w:rsid w:val="00D34E7C"/>
    <w:rsid w:val="00D35489"/>
    <w:rsid w:val="00D36AFE"/>
    <w:rsid w:val="00D51276"/>
    <w:rsid w:val="00D57C69"/>
    <w:rsid w:val="00D7035F"/>
    <w:rsid w:val="00DA1D85"/>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4633"/>
    <w:rsid w:val="00E568DF"/>
    <w:rsid w:val="00E64269"/>
    <w:rsid w:val="00E82267"/>
    <w:rsid w:val="00E853CE"/>
    <w:rsid w:val="00E867B6"/>
    <w:rsid w:val="00EA010F"/>
    <w:rsid w:val="00ED1B63"/>
    <w:rsid w:val="00ED3C1F"/>
    <w:rsid w:val="00ED4085"/>
    <w:rsid w:val="00ED420E"/>
    <w:rsid w:val="00ED6FBE"/>
    <w:rsid w:val="00EE2F57"/>
    <w:rsid w:val="00EE78C6"/>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2A5EC2"/>
    <w:rsid w:val="015567C9"/>
    <w:rsid w:val="015975B8"/>
    <w:rsid w:val="02FEBE30"/>
    <w:rsid w:val="04916F1E"/>
    <w:rsid w:val="061E35DE"/>
    <w:rsid w:val="066E0107"/>
    <w:rsid w:val="073A42A1"/>
    <w:rsid w:val="07996F6E"/>
    <w:rsid w:val="07DFD8BA"/>
    <w:rsid w:val="09867E8F"/>
    <w:rsid w:val="0A2032A3"/>
    <w:rsid w:val="0CA8290A"/>
    <w:rsid w:val="0D35B1ED"/>
    <w:rsid w:val="0E254B6B"/>
    <w:rsid w:val="0F98263C"/>
    <w:rsid w:val="101860EC"/>
    <w:rsid w:val="101F47CC"/>
    <w:rsid w:val="10C055FF"/>
    <w:rsid w:val="11694EBD"/>
    <w:rsid w:val="11772AA4"/>
    <w:rsid w:val="118107EC"/>
    <w:rsid w:val="12E24EE2"/>
    <w:rsid w:val="13331433"/>
    <w:rsid w:val="13D50BC4"/>
    <w:rsid w:val="142E1583"/>
    <w:rsid w:val="14B17F78"/>
    <w:rsid w:val="165E0673"/>
    <w:rsid w:val="16B831D5"/>
    <w:rsid w:val="16BB723D"/>
    <w:rsid w:val="17E50567"/>
    <w:rsid w:val="186504BB"/>
    <w:rsid w:val="1985301C"/>
    <w:rsid w:val="19A445FC"/>
    <w:rsid w:val="1BE8440E"/>
    <w:rsid w:val="1BFF1F7E"/>
    <w:rsid w:val="1D155CEE"/>
    <w:rsid w:val="1D1638FE"/>
    <w:rsid w:val="1D7B16F3"/>
    <w:rsid w:val="1E312DEB"/>
    <w:rsid w:val="1E740ACF"/>
    <w:rsid w:val="1FF35744"/>
    <w:rsid w:val="1FF6BC77"/>
    <w:rsid w:val="2186353C"/>
    <w:rsid w:val="23496510"/>
    <w:rsid w:val="23860B96"/>
    <w:rsid w:val="240371BF"/>
    <w:rsid w:val="244F3473"/>
    <w:rsid w:val="24C97D99"/>
    <w:rsid w:val="25A718F0"/>
    <w:rsid w:val="25BB59F6"/>
    <w:rsid w:val="260F557C"/>
    <w:rsid w:val="264B009B"/>
    <w:rsid w:val="26970054"/>
    <w:rsid w:val="281408E2"/>
    <w:rsid w:val="29FD04D3"/>
    <w:rsid w:val="2BC70793"/>
    <w:rsid w:val="2BFF7BC6"/>
    <w:rsid w:val="2C8A61B5"/>
    <w:rsid w:val="2DF04E50"/>
    <w:rsid w:val="2E586DFA"/>
    <w:rsid w:val="2F040D46"/>
    <w:rsid w:val="2F6B035B"/>
    <w:rsid w:val="2FAE5751"/>
    <w:rsid w:val="2FB1A395"/>
    <w:rsid w:val="2FD9A7D8"/>
    <w:rsid w:val="2FDBF714"/>
    <w:rsid w:val="30AB6865"/>
    <w:rsid w:val="319F7F4E"/>
    <w:rsid w:val="32BD1EF1"/>
    <w:rsid w:val="3304709D"/>
    <w:rsid w:val="33A773CB"/>
    <w:rsid w:val="349D6851"/>
    <w:rsid w:val="36AA5135"/>
    <w:rsid w:val="36BE0DA7"/>
    <w:rsid w:val="376B6AA6"/>
    <w:rsid w:val="376D39B2"/>
    <w:rsid w:val="37E16F03"/>
    <w:rsid w:val="37F53A3B"/>
    <w:rsid w:val="389B6C89"/>
    <w:rsid w:val="38D469F0"/>
    <w:rsid w:val="39627CCD"/>
    <w:rsid w:val="397BAF1F"/>
    <w:rsid w:val="3AB79AF3"/>
    <w:rsid w:val="3AE834C0"/>
    <w:rsid w:val="3B7EF35A"/>
    <w:rsid w:val="3B9FDB6C"/>
    <w:rsid w:val="3BB36AE6"/>
    <w:rsid w:val="3BF5BC2F"/>
    <w:rsid w:val="3CEBA265"/>
    <w:rsid w:val="3D98207C"/>
    <w:rsid w:val="3DEE7CF3"/>
    <w:rsid w:val="3E740A63"/>
    <w:rsid w:val="3E78745D"/>
    <w:rsid w:val="3EE17838"/>
    <w:rsid w:val="3F55381A"/>
    <w:rsid w:val="3F7F7599"/>
    <w:rsid w:val="3FF4CAE0"/>
    <w:rsid w:val="3FF7B227"/>
    <w:rsid w:val="401C04BD"/>
    <w:rsid w:val="41FB7840"/>
    <w:rsid w:val="44E268DA"/>
    <w:rsid w:val="450D13D7"/>
    <w:rsid w:val="45506656"/>
    <w:rsid w:val="486A6C7A"/>
    <w:rsid w:val="4A627F82"/>
    <w:rsid w:val="4B0E749A"/>
    <w:rsid w:val="4B2477C4"/>
    <w:rsid w:val="4B4F25DA"/>
    <w:rsid w:val="4BE068DB"/>
    <w:rsid w:val="4C0C302C"/>
    <w:rsid w:val="4D144C2C"/>
    <w:rsid w:val="4D2C314A"/>
    <w:rsid w:val="4D577224"/>
    <w:rsid w:val="4DBF1CEB"/>
    <w:rsid w:val="4DF0007C"/>
    <w:rsid w:val="4EAB630A"/>
    <w:rsid w:val="4ECE2238"/>
    <w:rsid w:val="4F833267"/>
    <w:rsid w:val="4FE9BD67"/>
    <w:rsid w:val="4FFB052F"/>
    <w:rsid w:val="52A86329"/>
    <w:rsid w:val="537E6D0A"/>
    <w:rsid w:val="53F74C96"/>
    <w:rsid w:val="55170BA8"/>
    <w:rsid w:val="553218C9"/>
    <w:rsid w:val="567E1AA5"/>
    <w:rsid w:val="56E47B74"/>
    <w:rsid w:val="57175D52"/>
    <w:rsid w:val="57BD3DD4"/>
    <w:rsid w:val="5A374312"/>
    <w:rsid w:val="5AF92295"/>
    <w:rsid w:val="5B250254"/>
    <w:rsid w:val="5BDD79E6"/>
    <w:rsid w:val="5BF561CA"/>
    <w:rsid w:val="5BFF5DFC"/>
    <w:rsid w:val="5CD71FC4"/>
    <w:rsid w:val="5CE6495A"/>
    <w:rsid w:val="5D1F11B5"/>
    <w:rsid w:val="5D695134"/>
    <w:rsid w:val="5DAE1B18"/>
    <w:rsid w:val="5DE7D9E5"/>
    <w:rsid w:val="5ECEC941"/>
    <w:rsid w:val="5FBF9FF3"/>
    <w:rsid w:val="5FCD4E2C"/>
    <w:rsid w:val="5FEF394A"/>
    <w:rsid w:val="5FF67715"/>
    <w:rsid w:val="62BF3928"/>
    <w:rsid w:val="63B3701E"/>
    <w:rsid w:val="647F5392"/>
    <w:rsid w:val="65E66580"/>
    <w:rsid w:val="664B1D71"/>
    <w:rsid w:val="664B4E8E"/>
    <w:rsid w:val="67277B67"/>
    <w:rsid w:val="67AA3209"/>
    <w:rsid w:val="698D0931"/>
    <w:rsid w:val="6A7FE5F3"/>
    <w:rsid w:val="6B053271"/>
    <w:rsid w:val="6BDD78B3"/>
    <w:rsid w:val="6C4A05C8"/>
    <w:rsid w:val="6C8742B8"/>
    <w:rsid w:val="6DBF5E93"/>
    <w:rsid w:val="6DFF077E"/>
    <w:rsid w:val="6E714EF0"/>
    <w:rsid w:val="6E7E3605"/>
    <w:rsid w:val="6E7FDCC7"/>
    <w:rsid w:val="6ED6A62E"/>
    <w:rsid w:val="6EE00B15"/>
    <w:rsid w:val="6F6FB3EB"/>
    <w:rsid w:val="6F8731EA"/>
    <w:rsid w:val="6FCE6052"/>
    <w:rsid w:val="6FD57C00"/>
    <w:rsid w:val="6FEFFFD8"/>
    <w:rsid w:val="6FF5CC65"/>
    <w:rsid w:val="6FFB47EC"/>
    <w:rsid w:val="6FFF034A"/>
    <w:rsid w:val="70484440"/>
    <w:rsid w:val="704B64CA"/>
    <w:rsid w:val="712A28F1"/>
    <w:rsid w:val="715C0E4B"/>
    <w:rsid w:val="71992E7C"/>
    <w:rsid w:val="72233669"/>
    <w:rsid w:val="72734D90"/>
    <w:rsid w:val="73160E6D"/>
    <w:rsid w:val="7332FE48"/>
    <w:rsid w:val="73AB61DA"/>
    <w:rsid w:val="73AD73D5"/>
    <w:rsid w:val="73B6EB34"/>
    <w:rsid w:val="73FA497D"/>
    <w:rsid w:val="744731E5"/>
    <w:rsid w:val="74BBD01D"/>
    <w:rsid w:val="74ED5379"/>
    <w:rsid w:val="75DEEEC2"/>
    <w:rsid w:val="75E32345"/>
    <w:rsid w:val="76E3355F"/>
    <w:rsid w:val="76FF5125"/>
    <w:rsid w:val="776F6FFA"/>
    <w:rsid w:val="778769C8"/>
    <w:rsid w:val="77A75DCA"/>
    <w:rsid w:val="77DC22F5"/>
    <w:rsid w:val="783E271A"/>
    <w:rsid w:val="78616DE9"/>
    <w:rsid w:val="78E875D7"/>
    <w:rsid w:val="79086DAD"/>
    <w:rsid w:val="79D7FD79"/>
    <w:rsid w:val="79EE5BA4"/>
    <w:rsid w:val="7A894339"/>
    <w:rsid w:val="7AD284E8"/>
    <w:rsid w:val="7AFF7572"/>
    <w:rsid w:val="7B6C7DFB"/>
    <w:rsid w:val="7BBFBED0"/>
    <w:rsid w:val="7BC3E394"/>
    <w:rsid w:val="7C1F3737"/>
    <w:rsid w:val="7CBFC87B"/>
    <w:rsid w:val="7CFE0F48"/>
    <w:rsid w:val="7D272ABC"/>
    <w:rsid w:val="7D7EC23E"/>
    <w:rsid w:val="7E8661F3"/>
    <w:rsid w:val="7E8ADEBF"/>
    <w:rsid w:val="7EEF11D3"/>
    <w:rsid w:val="7EFE4840"/>
    <w:rsid w:val="7F0971A6"/>
    <w:rsid w:val="7F1D62E7"/>
    <w:rsid w:val="7F3F679B"/>
    <w:rsid w:val="7F4FC4EF"/>
    <w:rsid w:val="7F5E4D54"/>
    <w:rsid w:val="7F6E0135"/>
    <w:rsid w:val="7F79F205"/>
    <w:rsid w:val="7FA30C79"/>
    <w:rsid w:val="7FA79C44"/>
    <w:rsid w:val="7FAF8ABF"/>
    <w:rsid w:val="7FB7269E"/>
    <w:rsid w:val="7FC96657"/>
    <w:rsid w:val="7FDA9588"/>
    <w:rsid w:val="7FDF220F"/>
    <w:rsid w:val="7FEDC5F7"/>
    <w:rsid w:val="7FEDD9DE"/>
    <w:rsid w:val="7FF5890D"/>
    <w:rsid w:val="7FF93490"/>
    <w:rsid w:val="99FF2014"/>
    <w:rsid w:val="A6DD0D7F"/>
    <w:rsid w:val="ACFF4FBB"/>
    <w:rsid w:val="ADC6F725"/>
    <w:rsid w:val="B7CF06AB"/>
    <w:rsid w:val="B7CFA926"/>
    <w:rsid w:val="B7F8786B"/>
    <w:rsid w:val="BABB6AA1"/>
    <w:rsid w:val="BB2F4199"/>
    <w:rsid w:val="BCFFB442"/>
    <w:rsid w:val="BD079C78"/>
    <w:rsid w:val="BD733540"/>
    <w:rsid w:val="BF3735D5"/>
    <w:rsid w:val="BF7F09AC"/>
    <w:rsid w:val="BFD475C3"/>
    <w:rsid w:val="BFDE5EA6"/>
    <w:rsid w:val="CF6FC6F3"/>
    <w:rsid w:val="CFD3D3D7"/>
    <w:rsid w:val="CFDF1009"/>
    <w:rsid w:val="D7D7B16A"/>
    <w:rsid w:val="D8D6DB89"/>
    <w:rsid w:val="DB6F4CAB"/>
    <w:rsid w:val="DB777682"/>
    <w:rsid w:val="DD1FB521"/>
    <w:rsid w:val="DEFBFEAE"/>
    <w:rsid w:val="DF1F3B80"/>
    <w:rsid w:val="DF6F9789"/>
    <w:rsid w:val="DFE9BE81"/>
    <w:rsid w:val="DFFFA9E8"/>
    <w:rsid w:val="E5F4E9DC"/>
    <w:rsid w:val="E70FE695"/>
    <w:rsid w:val="EB2E368B"/>
    <w:rsid w:val="ECFED1BC"/>
    <w:rsid w:val="ED1D69BB"/>
    <w:rsid w:val="ED7FD312"/>
    <w:rsid w:val="EF2E1AC6"/>
    <w:rsid w:val="EF53993F"/>
    <w:rsid w:val="EF6FD633"/>
    <w:rsid w:val="EFBFB2F4"/>
    <w:rsid w:val="EFBFFA21"/>
    <w:rsid w:val="F2BEBCB8"/>
    <w:rsid w:val="F36FB518"/>
    <w:rsid w:val="F3DE1A04"/>
    <w:rsid w:val="F3F722E5"/>
    <w:rsid w:val="F4FBCD07"/>
    <w:rsid w:val="FA5F1E70"/>
    <w:rsid w:val="FA5FDB97"/>
    <w:rsid w:val="FB7F486A"/>
    <w:rsid w:val="FBFF5B2E"/>
    <w:rsid w:val="FD7FFE2B"/>
    <w:rsid w:val="FDEE196B"/>
    <w:rsid w:val="FDFE6575"/>
    <w:rsid w:val="FEDFDDC2"/>
    <w:rsid w:val="FEED32F6"/>
    <w:rsid w:val="FEF781DD"/>
    <w:rsid w:val="FF3F7E3F"/>
    <w:rsid w:val="FFBA12D7"/>
    <w:rsid w:val="FFCBD314"/>
    <w:rsid w:val="FFDFF91C"/>
    <w:rsid w:val="FFDFFAEE"/>
    <w:rsid w:val="FFEF6777"/>
    <w:rsid w:val="FFF9B57B"/>
    <w:rsid w:val="FFFD61D9"/>
    <w:rsid w:val="FFFD8F59"/>
    <w:rsid w:val="FFFF2BB1"/>
    <w:rsid w:val="FFFFB04D"/>
  </w:rsids>
  <m:mathPr>
    <m:lMargin m:val="0"/>
    <m:mathFont m:val="Cambria Math"/>
    <m:rMargin m:val="0"/>
    <m:wrapIndent m:val="1440"/>
    <m:brkBin m:val="before"/>
    <m:brkBinSub m:val="--"/>
    <m:defJc m:val="centerGroup"/>
    <m:intLim m:val="subSup"/>
    <m:naryLim m:val="undOvr"/>
    <m:smallFrac m:val="0"/>
    <m:dispDef/>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9"/>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30"/>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3"/>
    <w:unhideWhenUsed/>
    <w:qFormat/>
    <w:uiPriority w:val="9"/>
    <w:pPr>
      <w:keepNext/>
      <w:keepLines/>
      <w:spacing w:before="260" w:after="260" w:line="416" w:lineRule="auto"/>
      <w:outlineLvl w:val="2"/>
    </w:pPr>
    <w:rPr>
      <w:b/>
      <w:bCs/>
      <w:sz w:val="32"/>
      <w:szCs w:val="32"/>
    </w:rPr>
  </w:style>
  <w:style w:type="character" w:default="1" w:styleId="16">
    <w:name w:val="Default Paragraph Font"/>
    <w:unhideWhenUsed/>
    <w:qFormat/>
    <w:uiPriority w:val="1"/>
  </w:style>
  <w:style w:type="table" w:default="1" w:styleId="19">
    <w:name w:val="Normal Table"/>
    <w:unhideWhenUsed/>
    <w:uiPriority w:val="99"/>
    <w:tblPr>
      <w:tblLayout w:type="fixed"/>
      <w:tblCellMar>
        <w:top w:w="0" w:type="dxa"/>
        <w:left w:w="108" w:type="dxa"/>
        <w:bottom w:w="0" w:type="dxa"/>
        <w:right w:w="108" w:type="dxa"/>
      </w:tblCellMar>
    </w:tblPr>
  </w:style>
  <w:style w:type="paragraph" w:styleId="2">
    <w:name w:val="footer"/>
    <w:basedOn w:val="1"/>
    <w:link w:val="24"/>
    <w:qFormat/>
    <w:uiPriority w:val="99"/>
    <w:pPr>
      <w:tabs>
        <w:tab w:val="center" w:pos="4153"/>
        <w:tab w:val="right" w:pos="8306"/>
      </w:tabs>
      <w:snapToGrid w:val="0"/>
      <w:jc w:val="left"/>
    </w:pPr>
    <w:rPr>
      <w:rFonts w:ascii="Calibri" w:hAnsi="Calibri"/>
      <w:kern w:val="0"/>
      <w:sz w:val="18"/>
      <w:szCs w:val="18"/>
    </w:rPr>
  </w:style>
  <w:style w:type="paragraph" w:styleId="6">
    <w:name w:val="Body Text"/>
    <w:basedOn w:val="1"/>
    <w:link w:val="26"/>
    <w:qFormat/>
    <w:uiPriority w:val="99"/>
    <w:pPr>
      <w:spacing w:beforeLines="30"/>
    </w:pPr>
    <w:rPr>
      <w:rFonts w:ascii="仿宋_GB2312" w:eastAsia="仿宋_GB2312"/>
      <w:kern w:val="0"/>
      <w:sz w:val="30"/>
    </w:rPr>
  </w:style>
  <w:style w:type="paragraph" w:styleId="7">
    <w:name w:val="Body Text Indent"/>
    <w:basedOn w:val="1"/>
    <w:next w:val="8"/>
    <w:qFormat/>
    <w:uiPriority w:val="0"/>
    <w:pPr>
      <w:spacing w:after="120"/>
      <w:ind w:left="200" w:leftChars="200"/>
    </w:pPr>
    <w:rPr>
      <w:rFonts w:ascii="仿宋_GB2312"/>
      <w:szCs w:val="32"/>
    </w:rPr>
  </w:style>
  <w:style w:type="paragraph" w:styleId="8">
    <w:name w:val="Body Text First Indent 2"/>
    <w:basedOn w:val="7"/>
    <w:unhideWhenUsed/>
    <w:qFormat/>
    <w:uiPriority w:val="99"/>
    <w:pPr>
      <w:ind w:firstLine="420" w:firstLineChars="200"/>
    </w:pPr>
  </w:style>
  <w:style w:type="paragraph" w:styleId="9">
    <w:name w:val="toc 3"/>
    <w:basedOn w:val="1"/>
    <w:next w:val="1"/>
    <w:unhideWhenUsed/>
    <w:qFormat/>
    <w:uiPriority w:val="39"/>
    <w:pPr>
      <w:tabs>
        <w:tab w:val="right" w:leader="dot" w:pos="8296"/>
      </w:tabs>
      <w:ind w:left="840" w:leftChars="400"/>
    </w:pPr>
  </w:style>
  <w:style w:type="paragraph" w:styleId="10">
    <w:name w:val="Plain Text"/>
    <w:basedOn w:val="1"/>
    <w:unhideWhenUsed/>
    <w:qFormat/>
    <w:uiPriority w:val="99"/>
    <w:rPr>
      <w:rFonts w:hAnsi="Courier New" w:cs="Courier New"/>
      <w:szCs w:val="21"/>
    </w:rPr>
  </w:style>
  <w:style w:type="paragraph" w:styleId="11">
    <w:name w:val="Balloon Text"/>
    <w:basedOn w:val="1"/>
    <w:link w:val="32"/>
    <w:unhideWhenUsed/>
    <w:qFormat/>
    <w:uiPriority w:val="99"/>
    <w:rPr>
      <w:sz w:val="18"/>
      <w:szCs w:val="18"/>
    </w:rPr>
  </w:style>
  <w:style w:type="paragraph" w:styleId="12">
    <w:name w:val="header"/>
    <w:basedOn w:val="1"/>
    <w:link w:val="22"/>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3">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4">
    <w:name w:val="footnote text"/>
    <w:basedOn w:val="1"/>
    <w:next w:val="8"/>
    <w:semiHidden/>
    <w:qFormat/>
    <w:uiPriority w:val="0"/>
    <w:pPr>
      <w:snapToGrid w:val="0"/>
      <w:jc w:val="left"/>
    </w:pPr>
    <w:rPr>
      <w:sz w:val="18"/>
      <w:szCs w:val="18"/>
    </w:rPr>
  </w:style>
  <w:style w:type="paragraph" w:styleId="15">
    <w:name w:val="toc 2"/>
    <w:basedOn w:val="1"/>
    <w:next w:val="1"/>
    <w:unhideWhenUsed/>
    <w:qFormat/>
    <w:uiPriority w:val="39"/>
    <w:pPr>
      <w:tabs>
        <w:tab w:val="right" w:leader="dot" w:pos="8296"/>
      </w:tabs>
      <w:ind w:left="420" w:leftChars="200"/>
    </w:pPr>
  </w:style>
  <w:style w:type="character" w:styleId="17">
    <w:name w:val="Strong"/>
    <w:basedOn w:val="16"/>
    <w:qFormat/>
    <w:uiPriority w:val="99"/>
    <w:rPr>
      <w:b/>
    </w:rPr>
  </w:style>
  <w:style w:type="character" w:styleId="18">
    <w:name w:val="Hyperlink"/>
    <w:basedOn w:val="16"/>
    <w:unhideWhenUsed/>
    <w:qFormat/>
    <w:uiPriority w:val="99"/>
    <w:rPr>
      <w:color w:val="0000FF" w:themeColor="hyperlink"/>
      <w:u w:val="single"/>
      <w14:textFill>
        <w14:solidFill>
          <w14:schemeClr w14:val="hlink"/>
        </w14:solidFill>
      </w14:textFill>
    </w:rPr>
  </w:style>
  <w:style w:type="paragraph" w:customStyle="1" w:styleId="20">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21">
    <w:name w:val="Header Char"/>
    <w:basedOn w:val="16"/>
    <w:semiHidden/>
    <w:qFormat/>
    <w:uiPriority w:val="99"/>
    <w:rPr>
      <w:rFonts w:ascii="Times New Roman" w:hAnsi="Times New Roman"/>
      <w:sz w:val="18"/>
      <w:szCs w:val="18"/>
    </w:rPr>
  </w:style>
  <w:style w:type="character" w:customStyle="1" w:styleId="22">
    <w:name w:val="页眉 Char"/>
    <w:link w:val="12"/>
    <w:semiHidden/>
    <w:qFormat/>
    <w:locked/>
    <w:uiPriority w:val="99"/>
    <w:rPr>
      <w:sz w:val="18"/>
    </w:rPr>
  </w:style>
  <w:style w:type="character" w:customStyle="1" w:styleId="23">
    <w:name w:val="Footer Char"/>
    <w:basedOn w:val="16"/>
    <w:semiHidden/>
    <w:qFormat/>
    <w:uiPriority w:val="99"/>
    <w:rPr>
      <w:rFonts w:ascii="Times New Roman" w:hAnsi="Times New Roman"/>
      <w:sz w:val="18"/>
      <w:szCs w:val="18"/>
    </w:rPr>
  </w:style>
  <w:style w:type="character" w:customStyle="1" w:styleId="24">
    <w:name w:val="页脚 Char"/>
    <w:link w:val="2"/>
    <w:qFormat/>
    <w:locked/>
    <w:uiPriority w:val="99"/>
    <w:rPr>
      <w:sz w:val="18"/>
    </w:rPr>
  </w:style>
  <w:style w:type="character" w:customStyle="1" w:styleId="25">
    <w:name w:val="Body Text Char"/>
    <w:basedOn w:val="16"/>
    <w:semiHidden/>
    <w:qFormat/>
    <w:uiPriority w:val="99"/>
    <w:rPr>
      <w:rFonts w:ascii="Times New Roman" w:hAnsi="Times New Roman"/>
      <w:szCs w:val="24"/>
    </w:rPr>
  </w:style>
  <w:style w:type="character" w:customStyle="1" w:styleId="26">
    <w:name w:val="正文文本 Char"/>
    <w:link w:val="6"/>
    <w:qFormat/>
    <w:locked/>
    <w:uiPriority w:val="99"/>
    <w:rPr>
      <w:rFonts w:ascii="仿宋_GB2312" w:hAnsi="Times New Roman" w:eastAsia="仿宋_GB2312"/>
      <w:sz w:val="24"/>
    </w:rPr>
  </w:style>
  <w:style w:type="paragraph" w:customStyle="1" w:styleId="27">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customStyle="1" w:styleId="28">
    <w:name w:val="列出段落1"/>
    <w:basedOn w:val="1"/>
    <w:qFormat/>
    <w:uiPriority w:val="34"/>
    <w:pPr>
      <w:ind w:firstLine="420" w:firstLineChars="200"/>
    </w:pPr>
  </w:style>
  <w:style w:type="character" w:customStyle="1" w:styleId="29">
    <w:name w:val="标题 1 Char"/>
    <w:basedOn w:val="16"/>
    <w:link w:val="3"/>
    <w:qFormat/>
    <w:uiPriority w:val="9"/>
    <w:rPr>
      <w:rFonts w:ascii="Times New Roman" w:hAnsi="Times New Roman"/>
      <w:b/>
      <w:bCs/>
      <w:kern w:val="44"/>
      <w:sz w:val="44"/>
      <w:szCs w:val="44"/>
    </w:rPr>
  </w:style>
  <w:style w:type="character" w:customStyle="1" w:styleId="30">
    <w:name w:val="标题 2 Char"/>
    <w:basedOn w:val="16"/>
    <w:link w:val="4"/>
    <w:qFormat/>
    <w:uiPriority w:val="9"/>
    <w:rPr>
      <w:rFonts w:asciiTheme="majorHAnsi" w:hAnsiTheme="majorHAnsi" w:eastAsiaTheme="majorEastAsia" w:cstheme="majorBidi"/>
      <w:b/>
      <w:bCs/>
      <w:kern w:val="2"/>
      <w:sz w:val="32"/>
      <w:szCs w:val="32"/>
    </w:rPr>
  </w:style>
  <w:style w:type="paragraph" w:customStyle="1" w:styleId="31">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2">
    <w:name w:val="批注框文本 Char"/>
    <w:basedOn w:val="16"/>
    <w:link w:val="11"/>
    <w:semiHidden/>
    <w:qFormat/>
    <w:uiPriority w:val="99"/>
    <w:rPr>
      <w:rFonts w:ascii="Times New Roman" w:hAnsi="Times New Roman"/>
      <w:kern w:val="2"/>
      <w:sz w:val="18"/>
      <w:szCs w:val="18"/>
    </w:rPr>
  </w:style>
  <w:style w:type="character" w:customStyle="1" w:styleId="33">
    <w:name w:val="标题 3 Char"/>
    <w:basedOn w:val="16"/>
    <w:link w:val="5"/>
    <w:qFormat/>
    <w:uiPriority w:val="9"/>
    <w:rPr>
      <w:rFonts w:ascii="Times New Roman" w:hAnsi="Times New Roman"/>
      <w:b/>
      <w:bCs/>
      <w:kern w:val="2"/>
      <w:sz w:val="32"/>
      <w:szCs w:val="32"/>
    </w:rPr>
  </w:style>
  <w:style w:type="paragraph" w:customStyle="1" w:styleId="34">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5">
    <w:name w:val="四号正文"/>
    <w:basedOn w:val="1"/>
    <w:qFormat/>
    <w:uiPriority w:val="0"/>
    <w:pPr>
      <w:spacing w:line="360" w:lineRule="auto"/>
    </w:pPr>
    <w:rPr>
      <w:rFonts w:ascii="??" w:hAnsi="??"/>
      <w:color w:val="000000"/>
      <w:kern w:val="0"/>
      <w:sz w:val="28"/>
      <w:szCs w:val="21"/>
      <w:lang w:val="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7.png"/><Relationship Id="rId14" Type="http://schemas.openxmlformats.org/officeDocument/2006/relationships/image" Target="media/image6.png"/><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81</Pages>
  <Words>32208</Words>
  <Characters>33899</Characters>
  <Lines>21</Lines>
  <Paragraphs>69</Paragraphs>
  <TotalTime>0</TotalTime>
  <ScaleCrop>false</ScaleCrop>
  <LinksUpToDate>false</LinksUpToDate>
  <CharactersWithSpaces>34052</CharactersWithSpaces>
  <Application>WPS Office_10.1.0.6260_F1E327BC-269C-435d-A152-05C5408002CA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2020-08-09T09:49:00Z</dcterms:created>
  <dc:creator>曹颖</dc:creator>
  <cp:lastModifiedBy>Owner</cp:lastModifiedBy>
  <cp:lastPrinted>2025-08-06T17:34:00Z</cp:lastPrinted>
  <dcterms:modified xsi:type="dcterms:W3CDTF">2025-10-27T04:01:55Z</dcterms:modified>
  <dc:title>四川省***</dc:title>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y fmtid="{D5CDD505-2E9C-101B-9397-08002B2CF9AE}" pid="3" name="ICV">
    <vt:lpwstr>696608A409A04EC8B7C0813E20895DB6_13</vt:lpwstr>
  </property>
  <property fmtid="{D5CDD505-2E9C-101B-9397-08002B2CF9AE}" pid="4" name="KSOTemplateDocerSaveRecord">
    <vt:lpwstr>eyJoZGlkIjoiODVkNWM1Yzg2NDBiYmE0ODk0NzI1NjkxZmU2NGUwY2IiLCJ1c2VySWQiOiIxMDMxNDY2OTM2In0=</vt:lpwstr>
  </property>
</Properties>
</file>