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91279">
      <w:pPr>
        <w:pStyle w:val="2"/>
        <w:spacing w:before="93"/>
        <w:rPr>
          <w:rFonts w:ascii="Times New Roman" w:eastAsia="方正小标宋简体"/>
          <w:kern w:val="2"/>
          <w:sz w:val="72"/>
          <w:szCs w:val="72"/>
        </w:rPr>
      </w:pPr>
      <w:bookmarkStart w:id="0" w:name="_Toc15378441"/>
      <w:bookmarkStart w:id="1" w:name="_Toc15396475"/>
      <w:bookmarkStart w:id="2" w:name="_Toc15396597"/>
      <w:bookmarkStart w:id="3" w:name="_Toc15377425"/>
      <w:bookmarkStart w:id="4" w:name="_Toc15377193"/>
      <w:bookmarkStart w:id="5" w:name="_Toc15306267"/>
    </w:p>
    <w:p w14:paraId="17317502">
      <w:pPr>
        <w:pStyle w:val="2"/>
        <w:spacing w:before="93"/>
        <w:rPr>
          <w:rFonts w:ascii="Times New Roman" w:eastAsia="方正小标宋简体"/>
          <w:kern w:val="2"/>
          <w:sz w:val="72"/>
          <w:szCs w:val="72"/>
        </w:rPr>
      </w:pPr>
    </w:p>
    <w:p w14:paraId="7BFDBC65">
      <w:pPr>
        <w:pStyle w:val="2"/>
        <w:spacing w:before="93"/>
        <w:rPr>
          <w:rFonts w:ascii="Times New Roman" w:eastAsia="方正小标宋简体"/>
          <w:kern w:val="2"/>
          <w:sz w:val="72"/>
          <w:szCs w:val="72"/>
        </w:rPr>
      </w:pPr>
    </w:p>
    <w:p w14:paraId="48AE3C7A">
      <w:pPr>
        <w:pStyle w:val="2"/>
        <w:spacing w:before="93"/>
        <w:jc w:val="center"/>
        <w:rPr>
          <w:rFonts w:ascii="Times New Roman" w:eastAsia="方正小标宋简体"/>
          <w:kern w:val="2"/>
          <w:sz w:val="72"/>
          <w:szCs w:val="72"/>
        </w:rPr>
      </w:pPr>
      <w:r>
        <w:rPr>
          <w:rFonts w:hint="eastAsia" w:ascii="Times New Roman" w:eastAsia="方正小标宋简体"/>
          <w:kern w:val="2"/>
          <w:sz w:val="72"/>
          <w:szCs w:val="72"/>
        </w:rPr>
        <w:t>2024年度</w:t>
      </w:r>
    </w:p>
    <w:p w14:paraId="3AB35C86">
      <w:pPr>
        <w:pStyle w:val="2"/>
        <w:spacing w:before="93"/>
        <w:jc w:val="center"/>
        <w:rPr>
          <w:rFonts w:hint="eastAsia" w:ascii="Times New Roman" w:eastAsia="方正小标宋简体"/>
          <w:kern w:val="2"/>
          <w:sz w:val="72"/>
          <w:szCs w:val="72"/>
        </w:rPr>
      </w:pPr>
      <w:r>
        <w:rPr>
          <w:rFonts w:hint="eastAsia" w:ascii="Times New Roman" w:eastAsia="方正小标宋简体"/>
          <w:kern w:val="2"/>
          <w:sz w:val="72"/>
          <w:szCs w:val="72"/>
        </w:rPr>
        <w:t>盐边县</w:t>
      </w:r>
      <w:r>
        <w:rPr>
          <w:rFonts w:hint="eastAsia" w:ascii="Times New Roman" w:eastAsia="方正小标宋简体"/>
          <w:kern w:val="2"/>
          <w:sz w:val="72"/>
          <w:szCs w:val="72"/>
          <w:lang w:eastAsia="zh-CN"/>
        </w:rPr>
        <w:t>卫生健康</w:t>
      </w:r>
      <w:r>
        <w:rPr>
          <w:rFonts w:hint="eastAsia" w:ascii="Times New Roman" w:eastAsia="方正小标宋简体"/>
          <w:kern w:val="2"/>
          <w:sz w:val="72"/>
          <w:szCs w:val="72"/>
        </w:rPr>
        <w:t>局</w:t>
      </w:r>
    </w:p>
    <w:p w14:paraId="3160030A">
      <w:pPr>
        <w:pStyle w:val="2"/>
        <w:spacing w:before="93"/>
        <w:jc w:val="center"/>
        <w:rPr>
          <w:rFonts w:ascii="Times New Roman" w:eastAsia="方正小标宋简体"/>
          <w:kern w:val="2"/>
          <w:sz w:val="72"/>
          <w:szCs w:val="72"/>
        </w:rPr>
      </w:pPr>
      <w:r>
        <w:rPr>
          <w:rFonts w:hint="eastAsia" w:ascii="Times New Roman" w:eastAsia="方正小标宋简体"/>
          <w:kern w:val="2"/>
          <w:sz w:val="72"/>
          <w:szCs w:val="72"/>
        </w:rPr>
        <w:t>部门决算公开编制说明</w:t>
      </w:r>
    </w:p>
    <w:p w14:paraId="7E1DA006">
      <w:pPr>
        <w:spacing w:line="600" w:lineRule="exact"/>
        <w:jc w:val="center"/>
        <w:outlineLvl w:val="9"/>
        <w:rPr>
          <w:rFonts w:eastAsia="方正小标宋简体"/>
          <w:sz w:val="72"/>
          <w:szCs w:val="72"/>
        </w:rPr>
      </w:pPr>
    </w:p>
    <w:p w14:paraId="7E0A04FC">
      <w:pPr>
        <w:pStyle w:val="20"/>
        <w:outlineLvl w:val="9"/>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14:paraId="2B99CC50"/>
    <w:bookmarkEnd w:id="0"/>
    <w:bookmarkEnd w:id="1"/>
    <w:bookmarkEnd w:id="2"/>
    <w:bookmarkEnd w:id="3"/>
    <w:bookmarkEnd w:id="4"/>
    <w:bookmarkEnd w:id="5"/>
    <w:p w14:paraId="60AD8510">
      <w:pPr>
        <w:widowControl/>
        <w:jc w:val="center"/>
        <w:rPr>
          <w:rFonts w:eastAsia="黑体"/>
          <w:sz w:val="48"/>
          <w:szCs w:val="48"/>
        </w:rPr>
      </w:pPr>
      <w:r>
        <w:rPr>
          <w:rFonts w:hint="eastAsia" w:eastAsia="黑体"/>
          <w:sz w:val="48"/>
          <w:szCs w:val="48"/>
        </w:rPr>
        <w:t>目录</w:t>
      </w:r>
    </w:p>
    <w:p w14:paraId="539CC6C7">
      <w:pPr>
        <w:widowControl/>
        <w:jc w:val="center"/>
        <w:rPr>
          <w:rFonts w:eastAsia="黑体" w:cstheme="minorBidi"/>
          <w:sz w:val="28"/>
          <w:szCs w:val="28"/>
        </w:rPr>
      </w:pPr>
    </w:p>
    <w:p w14:paraId="741A3C05">
      <w:pPr>
        <w:pStyle w:val="12"/>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公开时间：2025年</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28</w:t>
      </w:r>
      <w:r>
        <w:rPr>
          <w:rFonts w:hint="eastAsia" w:ascii="Times New Roman" w:hAnsi="Times New Roman" w:eastAsia="仿宋_GB2312" w:cs="仿宋_GB2312"/>
          <w:sz w:val="32"/>
          <w:szCs w:val="32"/>
        </w:rPr>
        <w:t>日</w:t>
      </w:r>
    </w:p>
    <w:p w14:paraId="1FF1915F"/>
    <w:sdt>
      <w:sdtPr>
        <w:rPr>
          <w:rFonts w:ascii="宋体" w:hAnsi="宋体" w:eastAsia="宋体" w:cs="Times New Roman"/>
          <w:kern w:val="2"/>
          <w:sz w:val="21"/>
          <w:szCs w:val="24"/>
          <w:lang w:val="en-US" w:eastAsia="zh-CN" w:bidi="ar-SA"/>
        </w:rPr>
        <w:id w:val="666627462"/>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14:paraId="5E48914C">
          <w:pPr>
            <w:spacing w:before="0" w:beforeLines="0" w:after="0" w:afterLines="0" w:line="240" w:lineRule="auto"/>
            <w:ind w:left="0" w:leftChars="0" w:right="0" w:rightChars="0" w:firstLine="0" w:firstLineChars="0"/>
            <w:jc w:val="center"/>
          </w:pPr>
        </w:p>
        <w:p w14:paraId="7AEEB15E">
          <w:pPr>
            <w:pStyle w:val="12"/>
            <w:tabs>
              <w:tab w:val="right" w:leader="dot" w:pos="8306"/>
              <w:tab w:val="clear" w:pos="8296"/>
            </w:tabs>
            <w:rPr>
              <w:rFonts w:hint="eastAsia" w:ascii="方正黑体_GBK" w:hAnsi="方正黑体_GBK" w:eastAsia="方正黑体_GBK" w:cs="方正黑体_GBK"/>
              <w:b w:val="0"/>
              <w:bCs w:val="0"/>
              <w:sz w:val="32"/>
              <w:szCs w:val="32"/>
            </w:rPr>
          </w:pPr>
          <w:r>
            <w:rPr>
              <w:b/>
              <w:sz w:val="32"/>
              <w:szCs w:val="32"/>
            </w:rPr>
            <w:fldChar w:fldCharType="begin"/>
          </w:r>
          <w:r>
            <w:rPr>
              <w:b/>
              <w:sz w:val="32"/>
              <w:szCs w:val="32"/>
            </w:rPr>
            <w:instrText xml:space="preserve">TOC \o "1-3" \h \u </w:instrText>
          </w:r>
          <w:r>
            <w:rPr>
              <w:b/>
              <w:sz w:val="32"/>
              <w:szCs w:val="32"/>
            </w:rPr>
            <w:fldChar w:fldCharType="separate"/>
          </w:r>
          <w:r>
            <w:rPr>
              <w:rFonts w:hint="eastAsia" w:ascii="方正黑体_GBK" w:hAnsi="方正黑体_GBK" w:eastAsia="方正黑体_GBK" w:cs="方正黑体_GBK"/>
              <w:b w:val="0"/>
              <w:bCs w:val="0"/>
              <w:sz w:val="32"/>
              <w:szCs w:val="32"/>
            </w:rPr>
            <w:fldChar w:fldCharType="begin"/>
          </w:r>
          <w:r>
            <w:rPr>
              <w:rFonts w:hint="eastAsia" w:ascii="方正黑体_GBK" w:hAnsi="方正黑体_GBK" w:eastAsia="方正黑体_GBK" w:cs="方正黑体_GBK"/>
              <w:b w:val="0"/>
              <w:bCs w:val="0"/>
              <w:sz w:val="32"/>
              <w:szCs w:val="32"/>
            </w:rPr>
            <w:instrText xml:space="preserve"> HYPERLINK \l _Toc1566800982 </w:instrText>
          </w:r>
          <w:r>
            <w:rPr>
              <w:rFonts w:hint="eastAsia" w:ascii="方正黑体_GBK" w:hAnsi="方正黑体_GBK" w:eastAsia="方正黑体_GBK" w:cs="方正黑体_GBK"/>
              <w:b w:val="0"/>
              <w:bCs w:val="0"/>
              <w:sz w:val="32"/>
              <w:szCs w:val="32"/>
            </w:rPr>
            <w:fldChar w:fldCharType="separate"/>
          </w:r>
          <w:r>
            <w:rPr>
              <w:rFonts w:hint="eastAsia" w:ascii="方正黑体_GBK" w:hAnsi="方正黑体_GBK" w:eastAsia="方正黑体_GBK" w:cs="方正黑体_GBK"/>
              <w:b w:val="0"/>
              <w:bCs w:val="0"/>
              <w:sz w:val="32"/>
              <w:szCs w:val="32"/>
            </w:rPr>
            <w:t>第一部分  部门概况</w:t>
          </w:r>
          <w:r>
            <w:rPr>
              <w:rFonts w:hint="eastAsia" w:ascii="方正黑体_GBK" w:hAnsi="方正黑体_GBK" w:eastAsia="方正黑体_GBK" w:cs="方正黑体_GBK"/>
              <w:b w:val="0"/>
              <w:bCs w:val="0"/>
              <w:sz w:val="32"/>
              <w:szCs w:val="32"/>
            </w:rPr>
            <w:tab/>
          </w:r>
          <w:r>
            <w:rPr>
              <w:rFonts w:hint="eastAsia" w:ascii="方正黑体_GBK" w:hAnsi="方正黑体_GBK" w:eastAsia="方正黑体_GBK" w:cs="方正黑体_GBK"/>
              <w:b w:val="0"/>
              <w:bCs w:val="0"/>
              <w:sz w:val="32"/>
              <w:szCs w:val="32"/>
            </w:rPr>
            <w:fldChar w:fldCharType="begin"/>
          </w:r>
          <w:r>
            <w:rPr>
              <w:rFonts w:hint="eastAsia" w:ascii="方正黑体_GBK" w:hAnsi="方正黑体_GBK" w:eastAsia="方正黑体_GBK" w:cs="方正黑体_GBK"/>
              <w:b w:val="0"/>
              <w:bCs w:val="0"/>
              <w:sz w:val="32"/>
              <w:szCs w:val="32"/>
            </w:rPr>
            <w:instrText xml:space="preserve"> PAGEREF _Toc1566800982 \h </w:instrText>
          </w:r>
          <w:r>
            <w:rPr>
              <w:rFonts w:hint="eastAsia" w:ascii="方正黑体_GBK" w:hAnsi="方正黑体_GBK" w:eastAsia="方正黑体_GBK" w:cs="方正黑体_GBK"/>
              <w:b w:val="0"/>
              <w:bCs w:val="0"/>
              <w:sz w:val="32"/>
              <w:szCs w:val="32"/>
            </w:rPr>
            <w:fldChar w:fldCharType="separate"/>
          </w:r>
          <w:r>
            <w:rPr>
              <w:rFonts w:hint="eastAsia" w:ascii="方正黑体_GBK" w:hAnsi="方正黑体_GBK" w:eastAsia="方正黑体_GBK" w:cs="方正黑体_GBK"/>
              <w:b w:val="0"/>
              <w:bCs w:val="0"/>
              <w:sz w:val="32"/>
              <w:szCs w:val="32"/>
            </w:rPr>
            <w:t>1</w:t>
          </w:r>
          <w:r>
            <w:rPr>
              <w:rFonts w:hint="eastAsia" w:ascii="方正黑体_GBK" w:hAnsi="方正黑体_GBK" w:eastAsia="方正黑体_GBK" w:cs="方正黑体_GBK"/>
              <w:b w:val="0"/>
              <w:bCs w:val="0"/>
              <w:sz w:val="32"/>
              <w:szCs w:val="32"/>
            </w:rPr>
            <w:fldChar w:fldCharType="end"/>
          </w:r>
          <w:r>
            <w:rPr>
              <w:rFonts w:hint="eastAsia" w:ascii="方正黑体_GBK" w:hAnsi="方正黑体_GBK" w:eastAsia="方正黑体_GBK" w:cs="方正黑体_GBK"/>
              <w:b w:val="0"/>
              <w:bCs w:val="0"/>
              <w:sz w:val="32"/>
              <w:szCs w:val="32"/>
            </w:rPr>
            <w:fldChar w:fldCharType="end"/>
          </w:r>
        </w:p>
        <w:p w14:paraId="0206F8CE">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_Toc13411898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一、 部门职责</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_Toc13411898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1</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09AF6336">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_Toc1907597467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二、机构设置</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_Toc1907597467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4</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5A0BC3BD">
          <w:pPr>
            <w:pStyle w:val="12"/>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方正黑体_GBK" w:hAnsi="方正黑体_GBK" w:eastAsia="方正黑体_GBK" w:cs="方正黑体_GBK"/>
              <w:b w:val="0"/>
              <w:bCs w:val="0"/>
              <w:sz w:val="32"/>
              <w:szCs w:val="32"/>
            </w:rPr>
            <w:fldChar w:fldCharType="begin"/>
          </w:r>
          <w:r>
            <w:rPr>
              <w:rFonts w:hint="eastAsia" w:ascii="方正黑体_GBK" w:hAnsi="方正黑体_GBK" w:eastAsia="方正黑体_GBK" w:cs="方正黑体_GBK"/>
              <w:b w:val="0"/>
              <w:bCs w:val="0"/>
              <w:sz w:val="32"/>
              <w:szCs w:val="32"/>
            </w:rPr>
            <w:instrText xml:space="preserve"> HYPERLINK \l _Toc514971612 </w:instrText>
          </w:r>
          <w:r>
            <w:rPr>
              <w:rFonts w:hint="eastAsia" w:ascii="方正黑体_GBK" w:hAnsi="方正黑体_GBK" w:eastAsia="方正黑体_GBK" w:cs="方正黑体_GBK"/>
              <w:b w:val="0"/>
              <w:bCs w:val="0"/>
              <w:sz w:val="32"/>
              <w:szCs w:val="32"/>
            </w:rPr>
            <w:fldChar w:fldCharType="separate"/>
          </w:r>
          <w:r>
            <w:rPr>
              <w:rFonts w:hint="eastAsia" w:ascii="方正黑体_GBK" w:hAnsi="方正黑体_GBK" w:eastAsia="方正黑体_GBK" w:cs="方正黑体_GBK"/>
              <w:b w:val="0"/>
              <w:bCs w:val="0"/>
              <w:sz w:val="32"/>
              <w:szCs w:val="32"/>
            </w:rPr>
            <w:t>第二部分  2024年度部门决算情况说明</w:t>
          </w:r>
          <w:r>
            <w:rPr>
              <w:rFonts w:hint="eastAsia" w:ascii="方正黑体_GBK" w:hAnsi="方正黑体_GBK" w:eastAsia="方正黑体_GBK" w:cs="方正黑体_GBK"/>
              <w:b w:val="0"/>
              <w:bCs w:val="0"/>
              <w:sz w:val="32"/>
              <w:szCs w:val="32"/>
            </w:rPr>
            <w:tab/>
          </w:r>
          <w:r>
            <w:rPr>
              <w:rFonts w:hint="eastAsia" w:ascii="方正黑体_GBK" w:hAnsi="方正黑体_GBK" w:eastAsia="方正黑体_GBK" w:cs="方正黑体_GBK"/>
              <w:b w:val="0"/>
              <w:bCs w:val="0"/>
              <w:sz w:val="32"/>
              <w:szCs w:val="32"/>
            </w:rPr>
            <w:fldChar w:fldCharType="begin"/>
          </w:r>
          <w:r>
            <w:rPr>
              <w:rFonts w:hint="eastAsia" w:ascii="方正黑体_GBK" w:hAnsi="方正黑体_GBK" w:eastAsia="方正黑体_GBK" w:cs="方正黑体_GBK"/>
              <w:b w:val="0"/>
              <w:bCs w:val="0"/>
              <w:sz w:val="32"/>
              <w:szCs w:val="32"/>
            </w:rPr>
            <w:instrText xml:space="preserve"> PAGEREF _Toc514971612 \h </w:instrText>
          </w:r>
          <w:r>
            <w:rPr>
              <w:rFonts w:hint="eastAsia" w:ascii="方正黑体_GBK" w:hAnsi="方正黑体_GBK" w:eastAsia="方正黑体_GBK" w:cs="方正黑体_GBK"/>
              <w:b w:val="0"/>
              <w:bCs w:val="0"/>
              <w:sz w:val="32"/>
              <w:szCs w:val="32"/>
            </w:rPr>
            <w:fldChar w:fldCharType="separate"/>
          </w:r>
          <w:r>
            <w:rPr>
              <w:rFonts w:hint="eastAsia" w:ascii="方正黑体_GBK" w:hAnsi="方正黑体_GBK" w:eastAsia="方正黑体_GBK" w:cs="方正黑体_GBK"/>
              <w:b w:val="0"/>
              <w:bCs w:val="0"/>
              <w:sz w:val="32"/>
              <w:szCs w:val="32"/>
            </w:rPr>
            <w:t>6</w:t>
          </w:r>
          <w:r>
            <w:rPr>
              <w:rFonts w:hint="eastAsia" w:ascii="方正黑体_GBK" w:hAnsi="方正黑体_GBK" w:eastAsia="方正黑体_GBK" w:cs="方正黑体_GBK"/>
              <w:b w:val="0"/>
              <w:bCs w:val="0"/>
              <w:sz w:val="32"/>
              <w:szCs w:val="32"/>
            </w:rPr>
            <w:fldChar w:fldCharType="end"/>
          </w:r>
          <w:r>
            <w:rPr>
              <w:rFonts w:hint="eastAsia" w:ascii="方正黑体_GBK" w:hAnsi="方正黑体_GBK" w:eastAsia="方正黑体_GBK" w:cs="方正黑体_GBK"/>
              <w:b w:val="0"/>
              <w:bCs w:val="0"/>
              <w:sz w:val="32"/>
              <w:szCs w:val="32"/>
            </w:rPr>
            <w:fldChar w:fldCharType="end"/>
          </w:r>
        </w:p>
        <w:p w14:paraId="285C0866">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_Toc1664022054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一、收入支出决算总体情况说明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_Toc1664022054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4965B6F2">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_Toc1608784382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二、收入决算情况说明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_Toc1608784382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4C970B4D">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_Toc1616415837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三、支出决算情况说明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_Toc1616415837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7</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74AC6121">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_Toc2037235122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四、财政拨款收入支出决算总体情况说明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_Toc2037235122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8</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092F3687">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_Toc948983871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五、一般公共预算财政拨款支出决算情况说明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_Toc948983871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8</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22BF3BBA">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_Toc1512929697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六、一般公共预算财政拨款基本支出决算情况说明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_Toc1512929697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13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63811AF1">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_Toc471538784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七、财政拨款“三公”经费支出决算情况说明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_Toc471538784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14</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69C018AF">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_Toc316582865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八、政府性基金预算支出决算情况说明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_Toc316582865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16</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4D754532">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_Toc1587514949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九、国有资本经营预算支出决算情况说明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_Toc1587514949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16</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08F48A89">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_Toc863082320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十、其他重要事项的情况说明</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_Toc863082320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16</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2AABCCAF">
          <w:pPr>
            <w:pStyle w:val="12"/>
            <w:tabs>
              <w:tab w:val="right" w:leader="dot" w:pos="8306"/>
              <w:tab w:val="clear" w:pos="8296"/>
            </w:tabs>
            <w:rPr>
              <w:rFonts w:hint="eastAsia" w:ascii="国标黑体" w:hAnsi="国标黑体" w:eastAsia="国标黑体" w:cs="国标黑体"/>
              <w:b w:val="0"/>
              <w:bCs w:val="0"/>
              <w:sz w:val="32"/>
              <w:szCs w:val="32"/>
            </w:rPr>
          </w:pPr>
          <w:r>
            <w:rPr>
              <w:rFonts w:hint="eastAsia" w:ascii="国标黑体" w:hAnsi="国标黑体" w:eastAsia="国标黑体" w:cs="国标黑体"/>
              <w:b w:val="0"/>
              <w:bCs w:val="0"/>
              <w:sz w:val="32"/>
              <w:szCs w:val="32"/>
            </w:rPr>
            <w:fldChar w:fldCharType="begin"/>
          </w:r>
          <w:r>
            <w:rPr>
              <w:rFonts w:hint="eastAsia" w:ascii="国标黑体" w:hAnsi="国标黑体" w:eastAsia="国标黑体" w:cs="国标黑体"/>
              <w:b w:val="0"/>
              <w:bCs w:val="0"/>
              <w:sz w:val="32"/>
              <w:szCs w:val="32"/>
            </w:rPr>
            <w:instrText xml:space="preserve"> HYPERLINK \l _Toc882399388 </w:instrText>
          </w:r>
          <w:r>
            <w:rPr>
              <w:rFonts w:hint="eastAsia" w:ascii="国标黑体" w:hAnsi="国标黑体" w:eastAsia="国标黑体" w:cs="国标黑体"/>
              <w:b w:val="0"/>
              <w:bCs w:val="0"/>
              <w:sz w:val="32"/>
              <w:szCs w:val="32"/>
            </w:rPr>
            <w:fldChar w:fldCharType="separate"/>
          </w:r>
          <w:r>
            <w:rPr>
              <w:rFonts w:hint="eastAsia" w:ascii="国标黑体" w:hAnsi="国标黑体" w:eastAsia="国标黑体" w:cs="国标黑体"/>
              <w:b w:val="0"/>
              <w:bCs w:val="0"/>
              <w:sz w:val="32"/>
              <w:szCs w:val="32"/>
            </w:rPr>
            <w:t>第三部分  名词解释</w:t>
          </w:r>
          <w:r>
            <w:rPr>
              <w:rFonts w:hint="eastAsia" w:ascii="国标黑体" w:hAnsi="国标黑体" w:eastAsia="国标黑体" w:cs="国标黑体"/>
              <w:b w:val="0"/>
              <w:bCs w:val="0"/>
              <w:sz w:val="32"/>
              <w:szCs w:val="32"/>
            </w:rPr>
            <w:tab/>
          </w:r>
          <w:r>
            <w:rPr>
              <w:rFonts w:hint="eastAsia" w:ascii="国标黑体" w:hAnsi="国标黑体" w:eastAsia="国标黑体" w:cs="国标黑体"/>
              <w:b w:val="0"/>
              <w:bCs w:val="0"/>
              <w:sz w:val="32"/>
              <w:szCs w:val="32"/>
            </w:rPr>
            <w:fldChar w:fldCharType="begin"/>
          </w:r>
          <w:r>
            <w:rPr>
              <w:rFonts w:hint="eastAsia" w:ascii="国标黑体" w:hAnsi="国标黑体" w:eastAsia="国标黑体" w:cs="国标黑体"/>
              <w:b w:val="0"/>
              <w:bCs w:val="0"/>
              <w:sz w:val="32"/>
              <w:szCs w:val="32"/>
            </w:rPr>
            <w:instrText xml:space="preserve"> PAGEREF _Toc882399388 \h </w:instrText>
          </w:r>
          <w:r>
            <w:rPr>
              <w:rFonts w:hint="eastAsia" w:ascii="国标黑体" w:hAnsi="国标黑体" w:eastAsia="国标黑体" w:cs="国标黑体"/>
              <w:b w:val="0"/>
              <w:bCs w:val="0"/>
              <w:sz w:val="32"/>
              <w:szCs w:val="32"/>
            </w:rPr>
            <w:fldChar w:fldCharType="separate"/>
          </w:r>
          <w:r>
            <w:rPr>
              <w:rFonts w:hint="eastAsia" w:ascii="国标黑体" w:hAnsi="国标黑体" w:eastAsia="国标黑体" w:cs="国标黑体"/>
              <w:b w:val="0"/>
              <w:bCs w:val="0"/>
              <w:sz w:val="32"/>
              <w:szCs w:val="32"/>
            </w:rPr>
            <w:t>20</w:t>
          </w:r>
          <w:r>
            <w:rPr>
              <w:rFonts w:hint="eastAsia" w:ascii="国标黑体" w:hAnsi="国标黑体" w:eastAsia="国标黑体" w:cs="国标黑体"/>
              <w:b w:val="0"/>
              <w:bCs w:val="0"/>
              <w:sz w:val="32"/>
              <w:szCs w:val="32"/>
            </w:rPr>
            <w:fldChar w:fldCharType="end"/>
          </w:r>
          <w:r>
            <w:rPr>
              <w:rFonts w:hint="eastAsia" w:ascii="国标黑体" w:hAnsi="国标黑体" w:eastAsia="国标黑体" w:cs="国标黑体"/>
              <w:b w:val="0"/>
              <w:bCs w:val="0"/>
              <w:sz w:val="32"/>
              <w:szCs w:val="32"/>
            </w:rPr>
            <w:fldChar w:fldCharType="end"/>
          </w:r>
        </w:p>
        <w:p w14:paraId="5B9218DC">
          <w:pPr>
            <w:pStyle w:val="12"/>
            <w:tabs>
              <w:tab w:val="right" w:leader="dot" w:pos="8306"/>
              <w:tab w:val="clear" w:pos="8296"/>
            </w:tabs>
            <w:rPr>
              <w:rFonts w:hint="eastAsia" w:ascii="国标黑体" w:hAnsi="国标黑体" w:eastAsia="国标黑体" w:cs="国标黑体"/>
              <w:b w:val="0"/>
              <w:bCs w:val="0"/>
              <w:sz w:val="32"/>
              <w:szCs w:val="32"/>
            </w:rPr>
          </w:pPr>
          <w:r>
            <w:rPr>
              <w:rFonts w:hint="eastAsia" w:ascii="国标黑体" w:hAnsi="国标黑体" w:eastAsia="国标黑体" w:cs="国标黑体"/>
              <w:b w:val="0"/>
              <w:bCs w:val="0"/>
              <w:sz w:val="32"/>
              <w:szCs w:val="32"/>
            </w:rPr>
            <w:fldChar w:fldCharType="begin"/>
          </w:r>
          <w:r>
            <w:rPr>
              <w:rFonts w:hint="eastAsia" w:ascii="国标黑体" w:hAnsi="国标黑体" w:eastAsia="国标黑体" w:cs="国标黑体"/>
              <w:b w:val="0"/>
              <w:bCs w:val="0"/>
              <w:sz w:val="32"/>
              <w:szCs w:val="32"/>
            </w:rPr>
            <w:instrText xml:space="preserve"> HYPERLINK \l _Toc2112967611 </w:instrText>
          </w:r>
          <w:r>
            <w:rPr>
              <w:rFonts w:hint="eastAsia" w:ascii="国标黑体" w:hAnsi="国标黑体" w:eastAsia="国标黑体" w:cs="国标黑体"/>
              <w:b w:val="0"/>
              <w:bCs w:val="0"/>
              <w:sz w:val="32"/>
              <w:szCs w:val="32"/>
            </w:rPr>
            <w:fldChar w:fldCharType="separate"/>
          </w:r>
          <w:r>
            <w:rPr>
              <w:rFonts w:hint="eastAsia" w:ascii="国标黑体" w:hAnsi="国标黑体" w:eastAsia="国标黑体" w:cs="国标黑体"/>
              <w:b w:val="0"/>
              <w:bCs w:val="0"/>
              <w:sz w:val="32"/>
              <w:szCs w:val="32"/>
            </w:rPr>
            <w:t>第四部分  附件</w:t>
          </w:r>
          <w:r>
            <w:rPr>
              <w:rFonts w:hint="eastAsia" w:ascii="国标黑体" w:hAnsi="国标黑体" w:eastAsia="国标黑体" w:cs="国标黑体"/>
              <w:b w:val="0"/>
              <w:bCs w:val="0"/>
              <w:sz w:val="32"/>
              <w:szCs w:val="32"/>
            </w:rPr>
            <w:tab/>
          </w:r>
          <w:r>
            <w:rPr>
              <w:rFonts w:hint="eastAsia" w:ascii="国标黑体" w:hAnsi="国标黑体" w:eastAsia="国标黑体" w:cs="国标黑体"/>
              <w:b w:val="0"/>
              <w:bCs w:val="0"/>
              <w:sz w:val="32"/>
              <w:szCs w:val="32"/>
            </w:rPr>
            <w:fldChar w:fldCharType="begin"/>
          </w:r>
          <w:r>
            <w:rPr>
              <w:rFonts w:hint="eastAsia" w:ascii="国标黑体" w:hAnsi="国标黑体" w:eastAsia="国标黑体" w:cs="国标黑体"/>
              <w:b w:val="0"/>
              <w:bCs w:val="0"/>
              <w:sz w:val="32"/>
              <w:szCs w:val="32"/>
            </w:rPr>
            <w:instrText xml:space="preserve"> PAGEREF _Toc2112967611 \h </w:instrText>
          </w:r>
          <w:r>
            <w:rPr>
              <w:rFonts w:hint="eastAsia" w:ascii="国标黑体" w:hAnsi="国标黑体" w:eastAsia="国标黑体" w:cs="国标黑体"/>
              <w:b w:val="0"/>
              <w:bCs w:val="0"/>
              <w:sz w:val="32"/>
              <w:szCs w:val="32"/>
            </w:rPr>
            <w:fldChar w:fldCharType="separate"/>
          </w:r>
          <w:r>
            <w:rPr>
              <w:rFonts w:hint="eastAsia" w:ascii="国标黑体" w:hAnsi="国标黑体" w:eastAsia="国标黑体" w:cs="国标黑体"/>
              <w:b w:val="0"/>
              <w:bCs w:val="0"/>
              <w:sz w:val="32"/>
              <w:szCs w:val="32"/>
            </w:rPr>
            <w:t>26</w:t>
          </w:r>
          <w:r>
            <w:rPr>
              <w:rFonts w:hint="eastAsia" w:ascii="国标黑体" w:hAnsi="国标黑体" w:eastAsia="国标黑体" w:cs="国标黑体"/>
              <w:b w:val="0"/>
              <w:bCs w:val="0"/>
              <w:sz w:val="32"/>
              <w:szCs w:val="32"/>
            </w:rPr>
            <w:fldChar w:fldCharType="end"/>
          </w:r>
          <w:r>
            <w:rPr>
              <w:rFonts w:hint="eastAsia" w:ascii="国标黑体" w:hAnsi="国标黑体" w:eastAsia="国标黑体" w:cs="国标黑体"/>
              <w:b w:val="0"/>
              <w:bCs w:val="0"/>
              <w:sz w:val="32"/>
              <w:szCs w:val="32"/>
            </w:rPr>
            <w:fldChar w:fldCharType="end"/>
          </w:r>
        </w:p>
        <w:p w14:paraId="4019FBF2">
          <w:pPr>
            <w:pStyle w:val="12"/>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国标黑体" w:hAnsi="国标黑体" w:eastAsia="国标黑体" w:cs="国标黑体"/>
              <w:b w:val="0"/>
              <w:bCs w:val="0"/>
              <w:sz w:val="32"/>
              <w:szCs w:val="32"/>
            </w:rPr>
            <w:fldChar w:fldCharType="begin"/>
          </w:r>
          <w:r>
            <w:rPr>
              <w:rFonts w:hint="eastAsia" w:ascii="国标黑体" w:hAnsi="国标黑体" w:eastAsia="国标黑体" w:cs="国标黑体"/>
              <w:b w:val="0"/>
              <w:bCs w:val="0"/>
              <w:sz w:val="32"/>
              <w:szCs w:val="32"/>
            </w:rPr>
            <w:instrText xml:space="preserve"> HYPERLINK \l _Toc1917879216 </w:instrText>
          </w:r>
          <w:r>
            <w:rPr>
              <w:rFonts w:hint="eastAsia" w:ascii="国标黑体" w:hAnsi="国标黑体" w:eastAsia="国标黑体" w:cs="国标黑体"/>
              <w:b w:val="0"/>
              <w:bCs w:val="0"/>
              <w:sz w:val="32"/>
              <w:szCs w:val="32"/>
            </w:rPr>
            <w:fldChar w:fldCharType="separate"/>
          </w:r>
          <w:r>
            <w:rPr>
              <w:rFonts w:hint="eastAsia" w:ascii="国标黑体" w:hAnsi="国标黑体" w:eastAsia="国标黑体" w:cs="国标黑体"/>
              <w:b w:val="0"/>
              <w:bCs w:val="0"/>
              <w:sz w:val="32"/>
              <w:szCs w:val="32"/>
            </w:rPr>
            <w:t>第五部分 附表</w:t>
          </w:r>
          <w:r>
            <w:rPr>
              <w:rFonts w:hint="eastAsia" w:ascii="国标黑体" w:hAnsi="国标黑体" w:eastAsia="国标黑体" w:cs="国标黑体"/>
              <w:b w:val="0"/>
              <w:bCs w:val="0"/>
              <w:sz w:val="32"/>
              <w:szCs w:val="32"/>
            </w:rPr>
            <w:tab/>
          </w:r>
          <w:r>
            <w:rPr>
              <w:rFonts w:hint="eastAsia" w:ascii="国标黑体" w:hAnsi="国标黑体" w:eastAsia="国标黑体" w:cs="国标黑体"/>
              <w:b w:val="0"/>
              <w:bCs w:val="0"/>
              <w:sz w:val="32"/>
              <w:szCs w:val="32"/>
            </w:rPr>
            <w:fldChar w:fldCharType="begin"/>
          </w:r>
          <w:r>
            <w:rPr>
              <w:rFonts w:hint="eastAsia" w:ascii="国标黑体" w:hAnsi="国标黑体" w:eastAsia="国标黑体" w:cs="国标黑体"/>
              <w:b w:val="0"/>
              <w:bCs w:val="0"/>
              <w:sz w:val="32"/>
              <w:szCs w:val="32"/>
            </w:rPr>
            <w:instrText xml:space="preserve"> PAGEREF _Toc1917879216 \h </w:instrText>
          </w:r>
          <w:r>
            <w:rPr>
              <w:rFonts w:hint="eastAsia" w:ascii="国标黑体" w:hAnsi="国标黑体" w:eastAsia="国标黑体" w:cs="国标黑体"/>
              <w:b w:val="0"/>
              <w:bCs w:val="0"/>
              <w:sz w:val="32"/>
              <w:szCs w:val="32"/>
            </w:rPr>
            <w:fldChar w:fldCharType="separate"/>
          </w:r>
          <w:r>
            <w:rPr>
              <w:rFonts w:hint="eastAsia" w:ascii="国标黑体" w:hAnsi="国标黑体" w:eastAsia="国标黑体" w:cs="国标黑体"/>
              <w:b w:val="0"/>
              <w:bCs w:val="0"/>
              <w:sz w:val="32"/>
              <w:szCs w:val="32"/>
            </w:rPr>
            <w:t>63</w:t>
          </w:r>
          <w:r>
            <w:rPr>
              <w:rFonts w:hint="eastAsia" w:ascii="国标黑体" w:hAnsi="国标黑体" w:eastAsia="国标黑体" w:cs="国标黑体"/>
              <w:b w:val="0"/>
              <w:bCs w:val="0"/>
              <w:sz w:val="32"/>
              <w:szCs w:val="32"/>
            </w:rPr>
            <w:fldChar w:fldCharType="end"/>
          </w:r>
          <w:r>
            <w:rPr>
              <w:rFonts w:hint="eastAsia" w:ascii="国标黑体" w:hAnsi="国标黑体" w:eastAsia="国标黑体" w:cs="国标黑体"/>
              <w:b w:val="0"/>
              <w:bCs w:val="0"/>
              <w:sz w:val="32"/>
              <w:szCs w:val="32"/>
            </w:rPr>
            <w:fldChar w:fldCharType="end"/>
          </w:r>
        </w:p>
        <w:p w14:paraId="00CEEADC">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_Toc1532284945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一、收入支出决算总表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_Toc1532284945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3190C6D6">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_Toc683453231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二、收入决算表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_Toc683453231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5E85381B">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_Toc1677993035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三、支出决算表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_Toc1677993035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558C4154">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_Toc2047256558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四、财政拨款收入支出决算总表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_Toc2047256558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04EDFDBA">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_Toc199991638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五、财政拨款支出决算明细表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_Toc199991638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7DF3839C">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_Toc1139293770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六、一般公共预算财政拨款支出决算表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_Toc1139293770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4521F26E">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_Toc90689636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七、一般公共预算财政拨款支出决算明细表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_Toc90689636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68584D73">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_Toc908812351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八、一般公共预算财政拨款基本支出决算表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_Toc908812351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06ABDE20">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_Toc608225959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九、一般公共预算财政拨款项目支出决算表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_Toc608225959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2D2656AB">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_Toc1442211786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十、政府性基金预算财政拨款收入支出决算表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_Toc1442211786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50C5F803">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_Toc523949420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十一、国有资本经营预算财政拨款收入支出决算表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_Toc523949420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2D924405">
          <w:pPr>
            <w:pStyle w:val="14"/>
            <w:tabs>
              <w:tab w:val="right" w:leader="dot" w:pos="8306"/>
              <w:tab w:val="clear" w:pos="8296"/>
            </w:tabs>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_Toc497977433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十二、国有资本经营预算财政拨款支出决算表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_Toc497977433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5E4F0A54">
          <w:pPr>
            <w:pStyle w:val="14"/>
            <w:tabs>
              <w:tab w:val="right" w:leader="dot" w:pos="8306"/>
              <w:tab w:val="clear" w:pos="8296"/>
            </w:tabs>
            <w:rPr>
              <w:sz w:val="32"/>
              <w:szCs w:val="32"/>
            </w:rPr>
          </w:pP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HYPERLINK \l _Toc243712010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十三、财政拨款“三公”经费支出决算表</w:t>
          </w:r>
          <w:r>
            <w:rPr>
              <w:rFonts w:hint="eastAsia" w:ascii="CESI仿宋-GB2312" w:hAnsi="CESI仿宋-GB2312" w:eastAsia="CESI仿宋-GB2312" w:cs="CESI仿宋-GB2312"/>
              <w:b w:val="0"/>
              <w:bCs w:val="0"/>
              <w:sz w:val="32"/>
              <w:szCs w:val="32"/>
            </w:rPr>
            <w:tab/>
          </w:r>
          <w:r>
            <w:rPr>
              <w:rFonts w:hint="eastAsia" w:ascii="CESI仿宋-GB2312" w:hAnsi="CESI仿宋-GB2312" w:eastAsia="CESI仿宋-GB2312" w:cs="CESI仿宋-GB2312"/>
              <w:b w:val="0"/>
              <w:bCs w:val="0"/>
              <w:sz w:val="32"/>
              <w:szCs w:val="32"/>
            </w:rPr>
            <w:fldChar w:fldCharType="begin"/>
          </w:r>
          <w:r>
            <w:rPr>
              <w:rFonts w:hint="eastAsia" w:ascii="CESI仿宋-GB2312" w:hAnsi="CESI仿宋-GB2312" w:eastAsia="CESI仿宋-GB2312" w:cs="CESI仿宋-GB2312"/>
              <w:b w:val="0"/>
              <w:bCs w:val="0"/>
              <w:sz w:val="32"/>
              <w:szCs w:val="32"/>
            </w:rPr>
            <w:instrText xml:space="preserve"> PAGEREF _Toc243712010 \h </w:instrText>
          </w:r>
          <w:r>
            <w:rPr>
              <w:rFonts w:hint="eastAsia" w:ascii="CESI仿宋-GB2312" w:hAnsi="CESI仿宋-GB2312" w:eastAsia="CESI仿宋-GB2312" w:cs="CESI仿宋-GB2312"/>
              <w:b w:val="0"/>
              <w:bCs w:val="0"/>
              <w:sz w:val="32"/>
              <w:szCs w:val="32"/>
            </w:rPr>
            <w:fldChar w:fldCharType="separate"/>
          </w:r>
          <w:r>
            <w:rPr>
              <w:rFonts w:hint="eastAsia" w:ascii="CESI仿宋-GB2312" w:hAnsi="CESI仿宋-GB2312" w:eastAsia="CESI仿宋-GB2312" w:cs="CESI仿宋-GB2312"/>
              <w:b w:val="0"/>
              <w:bCs w:val="0"/>
              <w:sz w:val="32"/>
              <w:szCs w:val="32"/>
            </w:rPr>
            <w:t>63</w:t>
          </w:r>
          <w:r>
            <w:rPr>
              <w:rFonts w:hint="eastAsia" w:ascii="CESI仿宋-GB2312" w:hAnsi="CESI仿宋-GB2312" w:eastAsia="CESI仿宋-GB2312" w:cs="CESI仿宋-GB2312"/>
              <w:b w:val="0"/>
              <w:bCs w:val="0"/>
              <w:sz w:val="32"/>
              <w:szCs w:val="32"/>
            </w:rPr>
            <w:fldChar w:fldCharType="end"/>
          </w:r>
          <w:r>
            <w:rPr>
              <w:rFonts w:hint="eastAsia" w:ascii="CESI仿宋-GB2312" w:hAnsi="CESI仿宋-GB2312" w:eastAsia="CESI仿宋-GB2312" w:cs="CESI仿宋-GB2312"/>
              <w:b w:val="0"/>
              <w:bCs w:val="0"/>
              <w:sz w:val="32"/>
              <w:szCs w:val="32"/>
            </w:rPr>
            <w:fldChar w:fldCharType="end"/>
          </w:r>
        </w:p>
        <w:p w14:paraId="3D0ACEAB">
          <w:r>
            <w:rPr>
              <w:sz w:val="32"/>
              <w:szCs w:val="32"/>
            </w:rPr>
            <w:fldChar w:fldCharType="end"/>
          </w:r>
        </w:p>
      </w:sdtContent>
    </w:sdt>
    <w:p w14:paraId="54F86DAE"/>
    <w:p w14:paraId="64E21EF7">
      <w:pPr>
        <w:pStyle w:val="3"/>
        <w:jc w:val="center"/>
        <w:rPr>
          <w:rFonts w:hint="eastAsia" w:eastAsia="方正小标宋简体" w:cs="方正小标宋简体"/>
          <w:b w:val="0"/>
        </w:rPr>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pPr>
    </w:p>
    <w:p w14:paraId="28371D94">
      <w:pPr>
        <w:pStyle w:val="3"/>
        <w:jc w:val="center"/>
        <w:rPr>
          <w:rFonts w:eastAsia="黑体"/>
          <w:sz w:val="32"/>
          <w:szCs w:val="32"/>
        </w:rPr>
      </w:pPr>
      <w:bookmarkStart w:id="6" w:name="_Toc1566800982"/>
      <w:r>
        <w:rPr>
          <w:rFonts w:hint="eastAsia" w:eastAsia="方正小标宋简体" w:cs="方正小标宋简体"/>
          <w:b w:val="0"/>
        </w:rPr>
        <w:t xml:space="preserve">第一部分  </w:t>
      </w:r>
      <w:r>
        <w:rPr>
          <w:rStyle w:val="29"/>
          <w:rFonts w:hint="eastAsia" w:eastAsia="方正小标宋简体" w:cs="方正小标宋简体"/>
          <w:b w:val="0"/>
          <w:bCs w:val="0"/>
        </w:rPr>
        <w:t>部门概况</w:t>
      </w:r>
      <w:bookmarkEnd w:id="6"/>
    </w:p>
    <w:p w14:paraId="39376C89">
      <w:pPr>
        <w:pStyle w:val="4"/>
        <w:numPr>
          <w:ilvl w:val="0"/>
          <w:numId w:val="1"/>
        </w:numPr>
        <w:rPr>
          <w:rFonts w:hint="eastAsia" w:ascii="Times New Roman" w:hAnsi="Times New Roman" w:eastAsia="黑体"/>
          <w:b w:val="0"/>
        </w:rPr>
      </w:pPr>
      <w:bookmarkStart w:id="7" w:name="_Toc13411898"/>
      <w:r>
        <w:rPr>
          <w:rFonts w:hint="eastAsia" w:ascii="Times New Roman" w:hAnsi="Times New Roman" w:eastAsia="黑体"/>
          <w:b w:val="0"/>
        </w:rPr>
        <w:t>部门职责</w:t>
      </w:r>
      <w:bookmarkEnd w:id="7"/>
    </w:p>
    <w:p w14:paraId="658F9FC8">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贯彻执行国家和省、市关于卫生计生工作的方针、政策和法律、法规以及县委、县政府关于卫生计生方面的决策部署，拟订全县卫生计生发展的战略规划和政策并组织实施，负责本系统、本部门依法行政工作，落实行政执法责任制，统筹规划全县卫生计生服务资源配置，指导全县卫生计生工作。</w:t>
      </w:r>
    </w:p>
    <w:p w14:paraId="6C3CDB86">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2.负责制定全县疾病预防控制规划、免疫规划、严重危害人民健康的公共卫生问题的干预措施并组织实施，根据国家检疫传染病和监测传染病目录，制定全县卫生应急和紧急医学救援预案、突发公共卫生事件监测和风险评估计划，组织和指导全县突发公共卫生事件预防控制和各类突发公共事件的医疗卫生救援，依法根据授权发布法定报告传染病疫情信息、突发公共卫生事件应急处置信息。</w:t>
      </w:r>
    </w:p>
    <w:p w14:paraId="186E1E11">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3.负责实施职责范围内的职业卫生、放射卫生、环境卫生、学校卫生、公共场所卫生、饮用水卫生管理规范、标准和政策措施，组织开展相关监测、调查、评估和监督，负责传染病防治监督，组织实施食品安全风险监测，依据授权开展食品安全企业标准备案，为食源性疾病及与食品安全事故有关的流行病学调查提供技术支持。</w:t>
      </w:r>
    </w:p>
    <w:p w14:paraId="643294DB">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 xml:space="preserve">4.负责组织拟订并实施全县基层卫生和妇幼卫生、计划生育服务发展规划和政策措施，指导全县基层卫生和妇幼卫生、计划生育服务体系建设，推进基本公共卫生计生服务均等化，完善基层运行新机制和乡村医生管理制度。     </w:t>
      </w:r>
    </w:p>
    <w:p w14:paraId="688252F1">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5.负责制定全县医疗机构和医疗服务全行业管理办法并监督实施，制定医疗机构及其医疗服务、医疗技术、医疗质量、医疗安全以及用血机构管理的规范并组织实施，会同有关部门贯彻执行国家卫生计生专业技术人员准入、资格标准，组织实施卫生计生专业技术人员执业规则和服务规范，建立医疗服务评价和监督管理体系。</w:t>
      </w:r>
    </w:p>
    <w:p w14:paraId="37030D7B">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6.负责建立公益性导向的绩效考核和评价运行机制，推进和谐医患关系建设，提出医疗服务价格政策的建议。</w:t>
      </w:r>
    </w:p>
    <w:p w14:paraId="2220FC0B">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7.贯彻落实国家药物政策和国家基本药物制度，执行国家药品法典、国家基本药物目录和四川省药品增补目录，实施基本药物采购、配送、使用的政策措施。</w:t>
      </w:r>
    </w:p>
    <w:p w14:paraId="4408D003">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8.组织实施促进全县出生人口性别平衡的政策措施，组织监测计划生育发展动态，负责全县计划生育相关数据采集和分析研究，提出发布计划生育安全预警预报信息建议，制定计划生育技术服务管理制度并监督实施，制定优生优育和提高出生人口素质的政策措施并组织实施，推动实施计划生育生殖健康促进计划，降低出生缺陷人口数量。</w:t>
      </w:r>
    </w:p>
    <w:p w14:paraId="26970D70">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9.组织建立计划生育利益导向、计划生育特殊困难家庭扶助和促进计划生育家庭发展等机制，负责协调推进有关部门、群众团体履行计划生育工作相关职责，建立与经济社会发展政策的衔接机制，提出促进人口长期均衡发展的政策措施。</w:t>
      </w:r>
    </w:p>
    <w:p w14:paraId="5CFDC2AB">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10.制定流动人口计划生育服务管理制度并组织实施，推动建立流动人口卫生计生信息共享和公共服务工作机制。</w:t>
      </w:r>
    </w:p>
    <w:p w14:paraId="215B41EE">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11.组织拟订全县卫生计生人才发展规划，指导卫生计生人才队伍建设，加强全科医生等急需紧缺专业人才培养，贯彻落实国家住院医师和专科医师规范化培训制度。</w:t>
      </w:r>
    </w:p>
    <w:p w14:paraId="00E931FB">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12.组织拟订全县卫生计生科技发展规划；组织实施卫生计生相关科研项目，协同院校医学教育和计划生育教育；组织指导实施毕业后医学教育和继续医学教育；组织实施新技术新成果推广。</w:t>
      </w:r>
    </w:p>
    <w:p w14:paraId="53594C69">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13.指导全县卫生和计划生育工作，完善综合监督执法体系，规范卫生计生行政执法行为，监督检查有关法律法规和政策措施的落实，组织查处重大违法行为；组织实施计划生育目标管理责任制的考评工作，监督落实计划生育一票否决制。</w:t>
      </w:r>
    </w:p>
    <w:p w14:paraId="50BF12FA">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14.拟订中医药中长期发展规划，并纳入卫生计生事业发展总体规划和战略目标。</w:t>
      </w:r>
    </w:p>
    <w:p w14:paraId="5A15298F">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15.负责卫生计生宣传、健康教育、健康促进和信息化建设等工作，依法组织实施统计调查，参与县人口基础信息库建设，根据国家、省、市要求，组织卫生计生对外交流合作与卫生援外工作。</w:t>
      </w:r>
    </w:p>
    <w:p w14:paraId="371B983D">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16.承担县爱国卫生运动委员会、县地方病防治领导小组、县防治艾滋病工作委员会的日常工作，负责全县干部知识分子健康保健工作领导小组确定的保健对象的医疗保健工作，负责县重大活动与重要会议的医疗卫生保障工作。</w:t>
      </w:r>
    </w:p>
    <w:p w14:paraId="0667205B">
      <w:pPr>
        <w:spacing w:line="600" w:lineRule="exact"/>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17.承担县政府公布的有关行政审批事项。</w:t>
      </w:r>
    </w:p>
    <w:p w14:paraId="21F1F45F">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18.承办县政府交办的其他事项。</w:t>
      </w:r>
    </w:p>
    <w:p w14:paraId="2E76ABA4">
      <w:pPr>
        <w:numPr>
          <w:ilvl w:val="0"/>
          <w:numId w:val="0"/>
        </w:numPr>
      </w:pPr>
    </w:p>
    <w:p w14:paraId="3F8B26D7">
      <w:pPr>
        <w:pStyle w:val="4"/>
        <w:rPr>
          <w:rStyle w:val="30"/>
          <w:rFonts w:ascii="Times New Roman" w:hAnsi="Times New Roman"/>
          <w:b w:val="0"/>
          <w:bCs w:val="0"/>
        </w:rPr>
      </w:pPr>
      <w:bookmarkStart w:id="8" w:name="_Toc15396601"/>
      <w:bookmarkStart w:id="9" w:name="_Toc1907597467"/>
      <w:bookmarkStart w:id="10" w:name="_Toc15377200"/>
      <w:r>
        <w:rPr>
          <w:rFonts w:hint="eastAsia" w:ascii="Times New Roman" w:hAnsi="Times New Roman" w:eastAsia="黑体"/>
          <w:b w:val="0"/>
        </w:rPr>
        <w:t>二、机</w:t>
      </w:r>
      <w:r>
        <w:rPr>
          <w:rStyle w:val="30"/>
          <w:rFonts w:hint="eastAsia" w:ascii="Times New Roman" w:hAnsi="Times New Roman" w:eastAsia="黑体"/>
          <w:b w:val="0"/>
          <w:bCs w:val="0"/>
        </w:rPr>
        <w:t>构设置</w:t>
      </w:r>
      <w:bookmarkEnd w:id="8"/>
      <w:bookmarkEnd w:id="9"/>
      <w:bookmarkEnd w:id="10"/>
    </w:p>
    <w:p w14:paraId="4BD3B19E">
      <w:pPr>
        <w:keepNext w:val="0"/>
        <w:keepLines w:val="0"/>
        <w:widowControl w:val="0"/>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b w:val="0"/>
          <w:bCs w:val="0"/>
          <w:kern w:val="2"/>
          <w:sz w:val="32"/>
          <w:szCs w:val="32"/>
          <w:lang w:val="en-US" w:eastAsia="zh-CN" w:bidi="ar"/>
        </w:rPr>
        <w:t>盐边县卫生健康局</w:t>
      </w:r>
      <w:r>
        <w:rPr>
          <w:rFonts w:hint="eastAsia" w:ascii="CESI仿宋-GB2312" w:hAnsi="CESI仿宋-GB2312" w:eastAsia="CESI仿宋-GB2312" w:cs="CESI仿宋-GB2312"/>
          <w:kern w:val="2"/>
          <w:sz w:val="32"/>
          <w:szCs w:val="32"/>
          <w:lang w:val="en-US" w:eastAsia="zh-CN" w:bidi="ar"/>
        </w:rPr>
        <w:t>下属二级预算单位16个，其中行政单位0个，参照公务员法管理的事业单位1个，其他事业单位15个。</w:t>
      </w:r>
    </w:p>
    <w:p w14:paraId="54EC6789">
      <w:pPr>
        <w:keepNext w:val="0"/>
        <w:keepLines w:val="0"/>
        <w:widowControl w:val="0"/>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纳入盐边县卫生健康局2023年度部门决算编制范围的二级预算单位包括：</w:t>
      </w:r>
    </w:p>
    <w:p w14:paraId="180D99BE">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盐边县人民医院</w:t>
      </w:r>
    </w:p>
    <w:p w14:paraId="757B5F69">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盐边县中医院</w:t>
      </w:r>
    </w:p>
    <w:p w14:paraId="03064BA4">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盐边县第二人民医院</w:t>
      </w:r>
    </w:p>
    <w:p w14:paraId="2E3D2121">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盐边县社区卫生服务中心</w:t>
      </w:r>
    </w:p>
    <w:p w14:paraId="254A0066">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盐边县桐子林镇卫生院</w:t>
      </w:r>
    </w:p>
    <w:p w14:paraId="6AAEBC56">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盐边县红格中心卫生院</w:t>
      </w:r>
    </w:p>
    <w:p w14:paraId="2925E48F">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盐边县渔门中心卫生院（盐边县渔门镇妇幼保健计划生育服务站）</w:t>
      </w:r>
    </w:p>
    <w:p w14:paraId="7961FC0D">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盐边县永兴中心卫生院</w:t>
      </w:r>
    </w:p>
    <w:p w14:paraId="11E98563">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 xml:space="preserve">   盐边县新九镇卫生院</w:t>
      </w:r>
    </w:p>
    <w:p w14:paraId="4A57B31A">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盐边县惠民中心卫生院</w:t>
      </w:r>
    </w:p>
    <w:p w14:paraId="46068E76">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盐边县红果中心卫生院</w:t>
      </w:r>
    </w:p>
    <w:p w14:paraId="5D766AB7">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盐边县温泉彝族乡卫生院</w:t>
      </w:r>
    </w:p>
    <w:p w14:paraId="244EEC24">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盐边县国胜中心卫生院</w:t>
      </w:r>
    </w:p>
    <w:p w14:paraId="42CB1281">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盐边县共和中心卫生院</w:t>
      </w:r>
    </w:p>
    <w:p w14:paraId="64BBF785">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盐边县红宝苗族彝族乡卫生院</w:t>
      </w:r>
    </w:p>
    <w:p w14:paraId="2C4CD2DA">
      <w:pPr>
        <w:keepNext w:val="0"/>
        <w:keepLines w:val="0"/>
        <w:widowControl w:val="0"/>
        <w:numPr>
          <w:ilvl w:val="0"/>
          <w:numId w:val="2"/>
        </w:numPr>
        <w:suppressLineNumbers w:val="0"/>
        <w:spacing w:before="0" w:beforeAutospacing="0" w:after="0" w:afterAutospacing="0"/>
        <w:ind w:left="0" w:right="0" w:firstLine="800" w:firstLineChars="250"/>
        <w:jc w:val="both"/>
        <w:rPr>
          <w:rFonts w:hint="eastAsia" w:ascii="CESI仿宋-GB2312" w:hAnsi="CESI仿宋-GB2312" w:eastAsia="CESI仿宋-GB2312" w:cs="CESI仿宋-GB2312"/>
          <w:kern w:val="2"/>
          <w:sz w:val="32"/>
          <w:szCs w:val="32"/>
        </w:rPr>
      </w:pPr>
      <w:r>
        <w:rPr>
          <w:rFonts w:hint="eastAsia" w:ascii="CESI仿宋-GB2312" w:hAnsi="CESI仿宋-GB2312" w:eastAsia="CESI仿宋-GB2312" w:cs="CESI仿宋-GB2312"/>
          <w:kern w:val="2"/>
          <w:sz w:val="32"/>
          <w:szCs w:val="32"/>
          <w:lang w:val="en-US" w:eastAsia="zh-CN" w:bidi="ar"/>
        </w:rPr>
        <w:t>盐边县格萨拉中心卫生院</w:t>
      </w:r>
    </w:p>
    <w:p w14:paraId="7EF07AF5">
      <w:pPr>
        <w:widowControl/>
        <w:jc w:val="left"/>
        <w:rPr>
          <w:rFonts w:eastAsia="仿宋"/>
          <w:kern w:val="0"/>
          <w:sz w:val="32"/>
          <w:szCs w:val="32"/>
        </w:rPr>
      </w:pPr>
      <w:r>
        <w:rPr>
          <w:rFonts w:eastAsia="仿宋"/>
          <w:sz w:val="32"/>
          <w:szCs w:val="32"/>
        </w:rPr>
        <w:br w:type="page"/>
      </w:r>
    </w:p>
    <w:p w14:paraId="519AC47A">
      <w:pPr>
        <w:pStyle w:val="3"/>
        <w:jc w:val="center"/>
        <w:rPr>
          <w:rFonts w:eastAsia="方正小标宋简体" w:cs="方正小标宋简体"/>
          <w:b w:val="0"/>
        </w:rPr>
      </w:pPr>
      <w:bookmarkStart w:id="11" w:name="_Toc15396602"/>
      <w:bookmarkStart w:id="12" w:name="_Toc514971612"/>
      <w:bookmarkStart w:id="13" w:name="_Toc15377204"/>
      <w:r>
        <w:rPr>
          <w:rFonts w:hint="eastAsia" w:eastAsia="方正小标宋简体" w:cs="方正小标宋简体"/>
          <w:b w:val="0"/>
        </w:rPr>
        <w:t>第二部分  2024年度部门决算情况说明</w:t>
      </w:r>
      <w:bookmarkEnd w:id="11"/>
      <w:bookmarkEnd w:id="12"/>
      <w:bookmarkEnd w:id="13"/>
    </w:p>
    <w:p w14:paraId="7CBEFB33"/>
    <w:p w14:paraId="144C883C">
      <w:pPr>
        <w:pStyle w:val="28"/>
        <w:spacing w:line="600" w:lineRule="exact"/>
        <w:ind w:firstLine="640"/>
        <w:outlineLvl w:val="1"/>
        <w:rPr>
          <w:rStyle w:val="30"/>
          <w:rFonts w:ascii="Times New Roman" w:hAnsi="Times New Roman" w:eastAsia="黑体"/>
          <w:b w:val="0"/>
        </w:rPr>
      </w:pPr>
      <w:bookmarkStart w:id="14" w:name="_Toc15377205"/>
      <w:bookmarkStart w:id="15" w:name="_Toc1664022054"/>
      <w:bookmarkStart w:id="16" w:name="_Toc15396603"/>
      <w:r>
        <w:rPr>
          <w:rFonts w:hint="eastAsia" w:eastAsia="黑体"/>
          <w:sz w:val="32"/>
          <w:szCs w:val="32"/>
        </w:rPr>
        <w:t>一、收</w:t>
      </w:r>
      <w:r>
        <w:rPr>
          <w:rStyle w:val="30"/>
          <w:rFonts w:hint="eastAsia" w:ascii="Times New Roman" w:hAnsi="Times New Roman" w:eastAsia="黑体"/>
          <w:b w:val="0"/>
        </w:rPr>
        <w:t>入支出决算总体情况说明</w:t>
      </w:r>
      <w:bookmarkEnd w:id="14"/>
      <w:bookmarkEnd w:id="15"/>
      <w:bookmarkEnd w:id="16"/>
    </w:p>
    <w:p w14:paraId="455B5136">
      <w:pPr>
        <w:keepNext w:val="0"/>
        <w:keepLines w:val="0"/>
        <w:widowControl w:val="0"/>
        <w:suppressLineNumbers w:val="0"/>
        <w:spacing w:before="0" w:beforeAutospacing="0" w:after="0" w:afterAutospacing="0"/>
        <w:ind w:left="0" w:right="0" w:firstLine="640" w:firstLineChars="200"/>
        <w:jc w:val="both"/>
        <w:rPr>
          <w:rFonts w:hint="eastAsia" w:eastAsia="仿宋_GB2312" w:cs="仿宋_GB2312"/>
          <w:sz w:val="32"/>
          <w:szCs w:val="32"/>
          <w:lang w:eastAsia="zh-CN"/>
        </w:rPr>
      </w:pPr>
      <w:r>
        <w:rPr>
          <w:rFonts w:hint="eastAsia" w:eastAsia="仿宋_GB2312" w:cs="仿宋_GB2312"/>
          <w:sz w:val="32"/>
          <w:szCs w:val="32"/>
        </w:rPr>
        <w:t>2024年度收入、支出总计均为</w:t>
      </w:r>
      <w:r>
        <w:rPr>
          <w:rFonts w:hint="eastAsia" w:eastAsia="仿宋_GB2312" w:cs="仿宋_GB2312"/>
          <w:sz w:val="32"/>
          <w:szCs w:val="32"/>
          <w:lang w:val="en-US" w:eastAsia="zh-CN"/>
        </w:rPr>
        <w:t>34480.82</w:t>
      </w:r>
      <w:r>
        <w:rPr>
          <w:rFonts w:hint="eastAsia" w:eastAsia="仿宋_GB2312" w:cs="仿宋_GB2312"/>
          <w:sz w:val="32"/>
          <w:szCs w:val="32"/>
        </w:rPr>
        <w:t>万元。与2023年度相比，收入、支出总计各增加</w:t>
      </w:r>
      <w:r>
        <w:rPr>
          <w:rFonts w:hint="eastAsia" w:eastAsia="仿宋_GB2312" w:cs="仿宋_GB2312"/>
          <w:sz w:val="32"/>
          <w:szCs w:val="32"/>
          <w:lang w:val="en-US" w:eastAsia="zh-CN"/>
        </w:rPr>
        <w:t>3064.93</w:t>
      </w:r>
      <w:r>
        <w:rPr>
          <w:rFonts w:hint="eastAsia" w:eastAsia="仿宋_GB2312" w:cs="仿宋_GB2312"/>
          <w:sz w:val="32"/>
          <w:szCs w:val="32"/>
        </w:rPr>
        <w:t>万元，增长</w:t>
      </w:r>
      <w:r>
        <w:rPr>
          <w:rFonts w:hint="eastAsia" w:eastAsia="仿宋_GB2312" w:cs="仿宋_GB2312"/>
          <w:sz w:val="32"/>
          <w:szCs w:val="32"/>
          <w:lang w:val="en-US" w:eastAsia="zh-CN"/>
        </w:rPr>
        <w:t>9.76</w:t>
      </w:r>
      <w:r>
        <w:rPr>
          <w:rFonts w:hint="eastAsia" w:eastAsia="仿宋_GB2312" w:cs="仿宋_GB2312"/>
          <w:sz w:val="32"/>
          <w:szCs w:val="32"/>
        </w:rPr>
        <w:t>%。主要变动原因</w:t>
      </w:r>
      <w:r>
        <w:rPr>
          <w:rFonts w:hint="eastAsia" w:eastAsia="仿宋_GB2312" w:cs="仿宋_GB2312"/>
          <w:sz w:val="32"/>
          <w:szCs w:val="32"/>
          <w:lang w:eastAsia="zh-CN"/>
        </w:rPr>
        <w:t>一</w:t>
      </w:r>
      <w:r>
        <w:rPr>
          <w:rFonts w:hint="eastAsia" w:eastAsia="仿宋_GB2312" w:cs="仿宋_GB2312"/>
          <w:sz w:val="32"/>
          <w:szCs w:val="32"/>
        </w:rPr>
        <w:t>是</w:t>
      </w:r>
      <w:r>
        <w:rPr>
          <w:rFonts w:hint="eastAsia" w:eastAsia="仿宋_GB2312" w:cs="仿宋_GB2312"/>
          <w:sz w:val="32"/>
          <w:szCs w:val="32"/>
          <w:lang w:eastAsia="zh-CN"/>
        </w:rPr>
        <w:t>盐边县第二人民医院建设项目仍处于在建工程阶段，本年政府性基金预算项目资金增加；二是本年市级资金较去年增加</w:t>
      </w:r>
      <w:r>
        <w:rPr>
          <w:rFonts w:hint="eastAsia" w:eastAsia="仿宋_GB2312" w:cs="仿宋_GB2312"/>
          <w:sz w:val="32"/>
          <w:szCs w:val="32"/>
          <w:lang w:val="en-US" w:eastAsia="zh-CN"/>
        </w:rPr>
        <w:t>;三是本年医疗机构事业收入增加</w:t>
      </w:r>
      <w:r>
        <w:rPr>
          <w:rFonts w:hint="eastAsia" w:eastAsia="仿宋_GB2312" w:cs="仿宋_GB2312"/>
          <w:sz w:val="32"/>
          <w:szCs w:val="32"/>
          <w:lang w:eastAsia="zh-CN"/>
        </w:rPr>
        <w:t>。</w:t>
      </w:r>
    </w:p>
    <w:p w14:paraId="38109A05">
      <w:pPr>
        <w:ind w:firstLine="420" w:firstLineChars="200"/>
        <w:jc w:val="center"/>
        <w:rPr>
          <w:rFonts w:hint="eastAsia" w:eastAsia="黑体"/>
          <w:sz w:val="32"/>
          <w:szCs w:val="32"/>
        </w:rPr>
      </w:pPr>
      <w:r>
        <w:rPr>
          <w:rFonts w:hint="default" w:ascii="Times New Roman" w:hAnsi="Times New Roman" w:eastAsia="仿宋_GB2312" w:cs="Times New Roman"/>
        </w:rPr>
        <w:drawing>
          <wp:anchor distT="0" distB="0" distL="0" distR="0" simplePos="0" relativeHeight="251660288" behindDoc="0" locked="0" layoutInCell="1" allowOverlap="1">
            <wp:simplePos x="0" y="0"/>
            <wp:positionH relativeFrom="column">
              <wp:posOffset>82550</wp:posOffset>
            </wp:positionH>
            <wp:positionV relativeFrom="paragraph">
              <wp:posOffset>85090</wp:posOffset>
            </wp:positionV>
            <wp:extent cx="5198745" cy="2885440"/>
            <wp:effectExtent l="4445" t="4445" r="16510" b="571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eastAsia="仿宋_GB2312" w:cs="仿宋_GB2312"/>
          <w:sz w:val="32"/>
          <w:szCs w:val="32"/>
        </w:rPr>
        <w:t>（图1：收入、支出决算总计变动情况图）</w:t>
      </w:r>
      <w:bookmarkStart w:id="17" w:name="_Toc15377206"/>
      <w:bookmarkStart w:id="18" w:name="_Toc15396604"/>
    </w:p>
    <w:p w14:paraId="78FB4895">
      <w:pPr>
        <w:pStyle w:val="28"/>
        <w:spacing w:line="600" w:lineRule="exact"/>
        <w:outlineLvl w:val="1"/>
        <w:rPr>
          <w:rFonts w:eastAsia="黑体"/>
          <w:sz w:val="32"/>
          <w:szCs w:val="32"/>
        </w:rPr>
      </w:pPr>
      <w:bookmarkStart w:id="19" w:name="_Toc1608784382"/>
      <w:r>
        <w:rPr>
          <w:rFonts w:hint="eastAsia" w:eastAsia="黑体"/>
          <w:sz w:val="32"/>
          <w:szCs w:val="32"/>
        </w:rPr>
        <w:t>二、收入决算情况说明</w:t>
      </w:r>
      <w:bookmarkEnd w:id="17"/>
      <w:bookmarkEnd w:id="18"/>
      <w:bookmarkEnd w:id="19"/>
    </w:p>
    <w:p w14:paraId="6D27EE3D">
      <w:pPr>
        <w:pStyle w:val="28"/>
        <w:spacing w:line="600" w:lineRule="exact"/>
        <w:ind w:firstLine="640"/>
        <w:jc w:val="distribute"/>
        <w:outlineLvl w:val="1"/>
        <w:rPr>
          <w:rFonts w:hint="eastAsia" w:ascii="仿宋_GB2312" w:hAnsi="仿宋_GB2312" w:eastAsia="仿宋_GB2312" w:cs="仿宋_GB2312"/>
          <w:sz w:val="32"/>
          <w:szCs w:val="32"/>
        </w:rPr>
      </w:pPr>
      <w:bookmarkStart w:id="20" w:name="_Toc190916726"/>
      <w:bookmarkStart w:id="21" w:name="_Toc1668373377"/>
      <w:r>
        <w:rPr>
          <w:rFonts w:hint="eastAsia" w:ascii="仿宋_GB2312" w:hAnsi="仿宋_GB2312" w:eastAsia="仿宋_GB2312" w:cs="仿宋_GB2312"/>
          <w:sz w:val="32"/>
          <w:szCs w:val="32"/>
        </w:rPr>
        <w:t>2024年度本年收入合计</w:t>
      </w:r>
      <w:r>
        <w:rPr>
          <w:rFonts w:hint="eastAsia" w:ascii="国标黑体" w:hAnsi="国标黑体" w:eastAsia="国标黑体" w:cs="国标黑体"/>
          <w:b w:val="0"/>
          <w:bCs w:val="0"/>
          <w:sz w:val="32"/>
          <w:szCs w:val="32"/>
          <w:lang w:val="en-US" w:eastAsia="zh-CN"/>
        </w:rPr>
        <w:t>34203.33</w:t>
      </w:r>
      <w:r>
        <w:rPr>
          <w:rFonts w:hint="eastAsia" w:ascii="仿宋_GB2312" w:hAnsi="仿宋_GB2312" w:eastAsia="仿宋_GB2312" w:cs="仿宋_GB2312"/>
          <w:sz w:val="32"/>
          <w:szCs w:val="32"/>
        </w:rPr>
        <w:t>万元，其中：一般公共预算财政拨款收入</w:t>
      </w:r>
      <w:r>
        <w:rPr>
          <w:rFonts w:hint="eastAsia" w:ascii="国标黑体" w:hAnsi="国标黑体" w:eastAsia="国标黑体" w:cs="国标黑体"/>
          <w:sz w:val="32"/>
          <w:szCs w:val="32"/>
          <w:lang w:val="en-US" w:eastAsia="zh-CN"/>
        </w:rPr>
        <w:t>14992.29</w:t>
      </w:r>
      <w:r>
        <w:rPr>
          <w:rFonts w:hint="eastAsia" w:ascii="仿宋_GB2312" w:hAnsi="仿宋_GB2312" w:eastAsia="仿宋_GB2312" w:cs="仿宋_GB2312"/>
          <w:sz w:val="32"/>
          <w:szCs w:val="32"/>
        </w:rPr>
        <w:t>万元，占</w:t>
      </w:r>
      <w:r>
        <w:rPr>
          <w:rFonts w:hint="eastAsia" w:ascii="国标黑体" w:hAnsi="国标黑体" w:eastAsia="国标黑体" w:cs="国标黑体"/>
          <w:sz w:val="32"/>
          <w:szCs w:val="32"/>
          <w:lang w:val="en-US" w:eastAsia="zh-CN"/>
        </w:rPr>
        <w:t>43.83</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rPr>
        <w:t>；政府性基金预算财政拨款收入</w:t>
      </w:r>
      <w:r>
        <w:rPr>
          <w:rFonts w:hint="eastAsia" w:ascii="国标黑体" w:hAnsi="国标黑体" w:eastAsia="国标黑体" w:cs="国标黑体"/>
          <w:sz w:val="32"/>
          <w:szCs w:val="32"/>
          <w:lang w:val="en-US" w:eastAsia="zh-CN"/>
        </w:rPr>
        <w:t>7064.16</w:t>
      </w:r>
      <w:r>
        <w:rPr>
          <w:rFonts w:hint="eastAsia" w:ascii="仿宋_GB2312" w:hAnsi="仿宋_GB2312" w:eastAsia="仿宋_GB2312" w:cs="仿宋_GB2312"/>
          <w:sz w:val="32"/>
          <w:szCs w:val="32"/>
        </w:rPr>
        <w:t>万元，占</w:t>
      </w:r>
      <w:r>
        <w:rPr>
          <w:rFonts w:hint="eastAsia" w:ascii="国标黑体" w:hAnsi="国标黑体" w:eastAsia="国标黑体" w:cs="国标黑体"/>
          <w:sz w:val="32"/>
          <w:szCs w:val="32"/>
          <w:lang w:val="en-US" w:eastAsia="zh-CN"/>
        </w:rPr>
        <w:t>20.64</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rPr>
        <w:t>；事业收入</w:t>
      </w:r>
      <w:r>
        <w:rPr>
          <w:rFonts w:hint="eastAsia" w:ascii="国标黑体" w:hAnsi="国标黑体" w:eastAsia="国标黑体" w:cs="国标黑体"/>
          <w:sz w:val="32"/>
          <w:szCs w:val="32"/>
          <w:lang w:val="en-US" w:eastAsia="zh-CN"/>
        </w:rPr>
        <w:t>11335.82</w:t>
      </w:r>
      <w:r>
        <w:rPr>
          <w:rFonts w:hint="eastAsia" w:ascii="仿宋_GB2312" w:hAnsi="仿宋_GB2312" w:eastAsia="仿宋_GB2312" w:cs="仿宋_GB2312"/>
          <w:sz w:val="32"/>
          <w:szCs w:val="32"/>
        </w:rPr>
        <w:t>万元，占</w:t>
      </w:r>
      <w:r>
        <w:rPr>
          <w:rFonts w:hint="eastAsia" w:ascii="国标黑体" w:hAnsi="国标黑体" w:eastAsia="国标黑体" w:cs="国标黑体"/>
          <w:sz w:val="32"/>
          <w:szCs w:val="32"/>
          <w:lang w:val="en-US" w:eastAsia="zh-CN"/>
        </w:rPr>
        <w:t>33.14</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rPr>
        <w:t>；其他收入</w:t>
      </w:r>
      <w:r>
        <w:rPr>
          <w:rFonts w:hint="eastAsia" w:ascii="国标黑体" w:hAnsi="国标黑体" w:eastAsia="国标黑体" w:cs="国标黑体"/>
          <w:sz w:val="32"/>
          <w:szCs w:val="32"/>
          <w:lang w:val="en-US" w:eastAsia="zh-CN"/>
        </w:rPr>
        <w:t>811.07</w:t>
      </w:r>
      <w:r>
        <w:rPr>
          <w:rFonts w:hint="eastAsia" w:ascii="仿宋_GB2312" w:hAnsi="仿宋_GB2312" w:eastAsia="仿宋_GB2312" w:cs="仿宋_GB2312"/>
          <w:sz w:val="32"/>
          <w:szCs w:val="32"/>
        </w:rPr>
        <w:t>万元，占</w:t>
      </w:r>
      <w:r>
        <w:rPr>
          <w:rFonts w:hint="eastAsia" w:ascii="国标黑体" w:hAnsi="国标黑体" w:eastAsia="国标黑体" w:cs="国标黑体"/>
          <w:sz w:val="32"/>
          <w:szCs w:val="32"/>
          <w:lang w:val="en-US" w:eastAsia="zh-CN"/>
        </w:rPr>
        <w:t>2.39</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bookmarkEnd w:id="20"/>
      <w:bookmarkEnd w:id="21"/>
    </w:p>
    <w:p w14:paraId="4E6DA3B9">
      <w:pPr>
        <w:pStyle w:val="28"/>
        <w:spacing w:line="600" w:lineRule="exact"/>
        <w:ind w:firstLine="640"/>
        <w:jc w:val="center"/>
        <w:outlineLvl w:val="1"/>
        <w:rPr>
          <w:rFonts w:eastAsia="仿宋_GB2312" w:cs="仿宋_GB2312"/>
          <w:sz w:val="32"/>
          <w:szCs w:val="32"/>
        </w:rPr>
      </w:pPr>
      <w:bookmarkStart w:id="22" w:name="_Toc1816748414"/>
      <w:bookmarkStart w:id="23" w:name="_Toc708820713"/>
      <w:r>
        <w:rPr>
          <w:rFonts w:hint="eastAsia" w:ascii="仿宋_GB2312" w:hAnsi="仿宋_GB2312" w:eastAsia="仿宋_GB2312" w:cs="仿宋_GB2312"/>
          <w:sz w:val="32"/>
          <w:szCs w:val="32"/>
          <w:lang w:eastAsia="zh-CN"/>
        </w:rPr>
        <w:drawing>
          <wp:anchor distT="0" distB="0" distL="114300" distR="114300" simplePos="0" relativeHeight="251661312" behindDoc="0" locked="0" layoutInCell="1" allowOverlap="1">
            <wp:simplePos x="0" y="0"/>
            <wp:positionH relativeFrom="column">
              <wp:posOffset>39370</wp:posOffset>
            </wp:positionH>
            <wp:positionV relativeFrom="paragraph">
              <wp:posOffset>172720</wp:posOffset>
            </wp:positionV>
            <wp:extent cx="5256530" cy="2988310"/>
            <wp:effectExtent l="5080" t="4445" r="15240" b="1714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eastAsia="仿宋_GB2312" w:cs="仿宋_GB2312"/>
          <w:sz w:val="32"/>
          <w:szCs w:val="32"/>
        </w:rPr>
        <w:t>（图2：收入决算结构图）</w:t>
      </w:r>
      <w:bookmarkEnd w:id="22"/>
      <w:bookmarkEnd w:id="23"/>
    </w:p>
    <w:p w14:paraId="309B6125">
      <w:pPr>
        <w:pStyle w:val="28"/>
        <w:spacing w:line="600" w:lineRule="exact"/>
        <w:ind w:firstLine="640"/>
        <w:outlineLvl w:val="1"/>
        <w:rPr>
          <w:rStyle w:val="30"/>
          <w:rFonts w:ascii="Times New Roman" w:hAnsi="Times New Roman" w:eastAsia="黑体"/>
          <w:b w:val="0"/>
        </w:rPr>
      </w:pPr>
      <w:bookmarkStart w:id="24" w:name="_Toc15396605"/>
      <w:bookmarkStart w:id="25" w:name="_Toc15377207"/>
      <w:bookmarkStart w:id="26" w:name="_Toc1616415837"/>
      <w:r>
        <w:rPr>
          <w:rFonts w:hint="eastAsia" w:eastAsia="黑体"/>
          <w:sz w:val="32"/>
          <w:szCs w:val="32"/>
        </w:rPr>
        <w:t>三、支</w:t>
      </w:r>
      <w:r>
        <w:rPr>
          <w:rStyle w:val="30"/>
          <w:rFonts w:hint="eastAsia" w:ascii="Times New Roman" w:hAnsi="Times New Roman" w:eastAsia="黑体"/>
          <w:b w:val="0"/>
        </w:rPr>
        <w:t>出决算情况说明</w:t>
      </w:r>
      <w:bookmarkEnd w:id="24"/>
      <w:bookmarkEnd w:id="25"/>
      <w:bookmarkEnd w:id="26"/>
    </w:p>
    <w:p w14:paraId="3BF68ECD">
      <w:pPr>
        <w:pStyle w:val="28"/>
        <w:spacing w:line="600" w:lineRule="exact"/>
        <w:ind w:firstLine="640"/>
        <w:jc w:val="left"/>
        <w:outlineLvl w:val="1"/>
        <w:rPr>
          <w:rFonts w:hint="eastAsia" w:ascii="仿宋_GB2312" w:hAnsi="仿宋_GB2312" w:eastAsia="仿宋_GB2312" w:cs="仿宋_GB2312"/>
          <w:sz w:val="32"/>
          <w:szCs w:val="32"/>
          <w:lang w:eastAsia="zh-CN"/>
        </w:rPr>
      </w:pPr>
      <w:bookmarkStart w:id="27" w:name="_Toc1351522150"/>
      <w:bookmarkStart w:id="28" w:name="_Toc802383776"/>
      <w:r>
        <w:rPr>
          <w:rFonts w:hint="eastAsia" w:ascii="仿宋_GB2312" w:hAnsi="仿宋_GB2312" w:eastAsia="仿宋_GB2312" w:cs="仿宋_GB2312"/>
          <w:sz w:val="32"/>
          <w:szCs w:val="32"/>
        </w:rPr>
        <w:t>2024年度本年支出合计</w:t>
      </w:r>
      <w:r>
        <w:rPr>
          <w:rFonts w:hint="eastAsia" w:ascii="国标黑体" w:hAnsi="国标黑体" w:eastAsia="国标黑体" w:cs="国标黑体"/>
          <w:sz w:val="32"/>
          <w:szCs w:val="32"/>
          <w:lang w:val="en-US" w:eastAsia="zh-CN"/>
        </w:rPr>
        <w:t>34099.66</w:t>
      </w:r>
      <w:r>
        <w:rPr>
          <w:rFonts w:hint="eastAsia" w:ascii="仿宋_GB2312" w:hAnsi="仿宋_GB2312" w:eastAsia="仿宋_GB2312" w:cs="仿宋_GB2312"/>
          <w:sz w:val="32"/>
          <w:szCs w:val="32"/>
        </w:rPr>
        <w:t>万元，其中：基本支出</w:t>
      </w:r>
      <w:r>
        <w:rPr>
          <w:rFonts w:hint="eastAsia" w:ascii="国标黑体" w:hAnsi="国标黑体" w:eastAsia="国标黑体" w:cs="国标黑体"/>
          <w:sz w:val="32"/>
          <w:szCs w:val="32"/>
          <w:lang w:val="en-US" w:eastAsia="zh-CN"/>
        </w:rPr>
        <w:t>21156.15</w:t>
      </w:r>
      <w:r>
        <w:rPr>
          <w:rFonts w:hint="eastAsia" w:ascii="仿宋_GB2312" w:hAnsi="仿宋_GB2312" w:eastAsia="仿宋_GB2312" w:cs="仿宋_GB2312"/>
          <w:sz w:val="32"/>
          <w:szCs w:val="32"/>
        </w:rPr>
        <w:t>万元，占</w:t>
      </w:r>
      <w:r>
        <w:rPr>
          <w:rFonts w:hint="eastAsia" w:ascii="国标黑体" w:hAnsi="国标黑体" w:eastAsia="国标黑体" w:cs="国标黑体"/>
          <w:sz w:val="32"/>
          <w:szCs w:val="32"/>
          <w:lang w:val="en-US" w:eastAsia="zh-CN"/>
        </w:rPr>
        <w:t>62.04</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rPr>
        <w:t>；项目支出</w:t>
      </w:r>
      <w:r>
        <w:rPr>
          <w:rFonts w:hint="eastAsia" w:ascii="国标黑体" w:hAnsi="国标黑体" w:eastAsia="国标黑体" w:cs="国标黑体"/>
          <w:sz w:val="32"/>
          <w:szCs w:val="32"/>
          <w:lang w:val="en-US" w:eastAsia="zh-CN"/>
        </w:rPr>
        <w:t>12943.51</w:t>
      </w:r>
      <w:r>
        <w:rPr>
          <w:rFonts w:hint="eastAsia" w:ascii="仿宋_GB2312" w:hAnsi="仿宋_GB2312" w:eastAsia="仿宋_GB2312" w:cs="仿宋_GB2312"/>
          <w:sz w:val="32"/>
          <w:szCs w:val="32"/>
        </w:rPr>
        <w:t>万元，占</w:t>
      </w:r>
      <w:r>
        <w:rPr>
          <w:rFonts w:hint="eastAsia" w:ascii="国标黑体" w:hAnsi="国标黑体" w:eastAsia="国标黑体" w:cs="国标黑体"/>
          <w:sz w:val="32"/>
          <w:szCs w:val="32"/>
          <w:lang w:val="en-US" w:eastAsia="zh-CN"/>
        </w:rPr>
        <w:t>37.96</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lang w:eastAsia="zh-CN"/>
        </w:rPr>
        <w:t>。</w:t>
      </w:r>
      <w:bookmarkEnd w:id="27"/>
      <w:bookmarkEnd w:id="28"/>
    </w:p>
    <w:p w14:paraId="299D962C">
      <w:pPr>
        <w:pStyle w:val="28"/>
        <w:spacing w:line="600" w:lineRule="exact"/>
        <w:ind w:firstLine="640"/>
        <w:jc w:val="center"/>
        <w:outlineLvl w:val="1"/>
        <w:rPr>
          <w:rFonts w:eastAsia="仿宋_GB2312" w:cs="仿宋_GB2312"/>
          <w:sz w:val="32"/>
          <w:szCs w:val="32"/>
        </w:rPr>
      </w:pPr>
      <w:bookmarkStart w:id="29" w:name="_Toc1517016387"/>
      <w:bookmarkStart w:id="30" w:name="_Toc1762620717"/>
      <w:r>
        <w:rPr>
          <w:rFonts w:hint="eastAsia" w:ascii="仿宋_GB2312" w:hAnsi="仿宋_GB2312" w:eastAsia="仿宋_GB2312" w:cs="仿宋_GB2312"/>
          <w:sz w:val="32"/>
          <w:szCs w:val="32"/>
          <w:lang w:eastAsia="zh-CN"/>
        </w:rPr>
        <w:drawing>
          <wp:anchor distT="0" distB="0" distL="114300" distR="114300" simplePos="0" relativeHeight="251662336" behindDoc="0" locked="0" layoutInCell="1" allowOverlap="1">
            <wp:simplePos x="0" y="0"/>
            <wp:positionH relativeFrom="column">
              <wp:posOffset>62865</wp:posOffset>
            </wp:positionH>
            <wp:positionV relativeFrom="paragraph">
              <wp:posOffset>120015</wp:posOffset>
            </wp:positionV>
            <wp:extent cx="5256530" cy="2337435"/>
            <wp:effectExtent l="4445" t="4445" r="15875" b="20320"/>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eastAsia="仿宋_GB2312" w:cs="仿宋_GB2312"/>
          <w:sz w:val="32"/>
          <w:szCs w:val="32"/>
        </w:rPr>
        <w:t>（图3：支出决算结构图）</w:t>
      </w:r>
      <w:bookmarkEnd w:id="29"/>
      <w:bookmarkEnd w:id="30"/>
    </w:p>
    <w:p w14:paraId="3C8EACCE">
      <w:pPr>
        <w:spacing w:line="600" w:lineRule="exact"/>
        <w:ind w:firstLine="640" w:firstLineChars="200"/>
        <w:outlineLvl w:val="1"/>
        <w:rPr>
          <w:rStyle w:val="30"/>
          <w:rFonts w:ascii="Times New Roman" w:hAnsi="Times New Roman" w:eastAsia="黑体"/>
          <w:b w:val="0"/>
        </w:rPr>
      </w:pPr>
      <w:bookmarkStart w:id="31" w:name="_Toc2037235122"/>
      <w:bookmarkStart w:id="32" w:name="_Toc15396606"/>
      <w:bookmarkStart w:id="33" w:name="_Toc15377208"/>
      <w:r>
        <w:rPr>
          <w:rFonts w:hint="eastAsia" w:eastAsia="黑体"/>
          <w:sz w:val="32"/>
          <w:szCs w:val="32"/>
        </w:rPr>
        <w:t>四、财</w:t>
      </w:r>
      <w:r>
        <w:rPr>
          <w:rStyle w:val="30"/>
          <w:rFonts w:hint="eastAsia" w:ascii="Times New Roman" w:hAnsi="Times New Roman" w:eastAsia="黑体"/>
          <w:b w:val="0"/>
        </w:rPr>
        <w:t>政拨款收入支出决算总体情况说明</w:t>
      </w:r>
      <w:bookmarkEnd w:id="31"/>
      <w:bookmarkEnd w:id="32"/>
      <w:bookmarkEnd w:id="33"/>
    </w:p>
    <w:p w14:paraId="230EC851">
      <w:pPr>
        <w:keepNext w:val="0"/>
        <w:keepLines w:val="0"/>
        <w:widowControl w:val="0"/>
        <w:suppressLineNumbers w:val="0"/>
        <w:spacing w:before="0" w:beforeAutospacing="0" w:after="0" w:afterAutospacing="0"/>
        <w:ind w:left="0" w:right="0" w:firstLine="960" w:firstLineChars="300"/>
        <w:jc w:val="both"/>
        <w:rPr>
          <w:rFonts w:hint="eastAsia" w:eastAsia="仿宋_GB2312" w:cs="仿宋_GB2312"/>
          <w:sz w:val="32"/>
          <w:szCs w:val="32"/>
          <w:lang w:eastAsia="zh-CN"/>
        </w:rPr>
      </w:pPr>
      <w:r>
        <w:rPr>
          <w:rFonts w:hint="eastAsia" w:eastAsia="仿宋_GB2312" w:cs="仿宋_GB2312"/>
          <w:sz w:val="32"/>
          <w:szCs w:val="32"/>
        </w:rPr>
        <w:t>2024年度财政拨款收入、支出总计均为</w:t>
      </w:r>
      <w:r>
        <w:rPr>
          <w:rFonts w:hint="eastAsia" w:eastAsia="仿宋_GB2312" w:cs="Times New Roman"/>
          <w:kern w:val="2"/>
          <w:sz w:val="32"/>
          <w:szCs w:val="32"/>
          <w:lang w:val="en-US" w:eastAsia="zh-CN" w:bidi="ar"/>
        </w:rPr>
        <w:t>22056.45</w:t>
      </w:r>
      <w:r>
        <w:rPr>
          <w:rFonts w:hint="eastAsia" w:eastAsia="仿宋_GB2312" w:cs="仿宋_GB2312"/>
          <w:sz w:val="32"/>
          <w:szCs w:val="32"/>
        </w:rPr>
        <w:t>万元。与2023年度相比，财政拨款收入总计、支出总计各增加</w:t>
      </w:r>
      <w:r>
        <w:rPr>
          <w:rFonts w:hint="eastAsia" w:eastAsia="仿宋_GB2312" w:cs="仿宋_GB2312"/>
          <w:sz w:val="32"/>
          <w:szCs w:val="32"/>
          <w:lang w:val="en-US" w:eastAsia="zh-CN"/>
        </w:rPr>
        <w:t>1764.23</w:t>
      </w:r>
      <w:r>
        <w:rPr>
          <w:rFonts w:hint="eastAsia" w:eastAsia="仿宋_GB2312" w:cs="仿宋_GB2312"/>
          <w:sz w:val="32"/>
          <w:szCs w:val="32"/>
        </w:rPr>
        <w:t>万元，增长</w:t>
      </w:r>
      <w:r>
        <w:rPr>
          <w:rFonts w:hint="eastAsia" w:eastAsia="仿宋_GB2312" w:cs="仿宋_GB2312"/>
          <w:sz w:val="32"/>
          <w:szCs w:val="32"/>
          <w:lang w:val="en-US" w:eastAsia="zh-CN"/>
        </w:rPr>
        <w:t>8.69</w:t>
      </w:r>
      <w:r>
        <w:rPr>
          <w:rFonts w:hint="eastAsia" w:eastAsia="仿宋_GB2312" w:cs="仿宋_GB2312"/>
          <w:sz w:val="32"/>
          <w:szCs w:val="32"/>
        </w:rPr>
        <w:t>%。主要变动原因是</w:t>
      </w:r>
      <w:r>
        <w:rPr>
          <w:rFonts w:hint="eastAsia" w:eastAsia="仿宋_GB2312" w:cs="仿宋_GB2312"/>
          <w:sz w:val="32"/>
          <w:szCs w:val="32"/>
          <w:lang w:eastAsia="zh-CN"/>
        </w:rPr>
        <w:t>盐边县第二人民医院建设工程项目仍处于在建状态，本年项目资金较上年增加。</w:t>
      </w:r>
    </w:p>
    <w:p w14:paraId="214CB250">
      <w:pPr>
        <w:spacing w:line="600" w:lineRule="exact"/>
        <w:ind w:firstLine="420" w:firstLineChars="200"/>
        <w:jc w:val="center"/>
        <w:rPr>
          <w:rFonts w:eastAsia="仿宋_GB2312" w:cs="仿宋_GB2312"/>
          <w:sz w:val="32"/>
          <w:szCs w:val="32"/>
        </w:rPr>
      </w:pPr>
      <w:r>
        <w:rPr>
          <w:rFonts w:hint="default" w:ascii="Times New Roman" w:hAnsi="Times New Roman" w:eastAsia="仿宋_GB2312" w:cs="Times New Roman"/>
        </w:rPr>
        <w:drawing>
          <wp:anchor distT="0" distB="0" distL="0" distR="0" simplePos="0" relativeHeight="251663360" behindDoc="0" locked="0" layoutInCell="1" allowOverlap="1">
            <wp:simplePos x="0" y="0"/>
            <wp:positionH relativeFrom="column">
              <wp:posOffset>81915</wp:posOffset>
            </wp:positionH>
            <wp:positionV relativeFrom="paragraph">
              <wp:posOffset>18415</wp:posOffset>
            </wp:positionV>
            <wp:extent cx="5198745" cy="2867025"/>
            <wp:effectExtent l="4445" t="4445" r="16510" b="5080"/>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eastAsia="仿宋_GB2312" w:cs="仿宋_GB2312"/>
          <w:sz w:val="32"/>
          <w:szCs w:val="32"/>
        </w:rPr>
        <w:t>（图4：财政拨款收、支决算总计变动情况）</w:t>
      </w:r>
    </w:p>
    <w:p w14:paraId="5A6BBD28">
      <w:pPr>
        <w:spacing w:line="600" w:lineRule="exact"/>
        <w:ind w:firstLine="640" w:firstLineChars="200"/>
        <w:outlineLvl w:val="1"/>
        <w:rPr>
          <w:rStyle w:val="30"/>
          <w:rFonts w:ascii="Times New Roman" w:hAnsi="Times New Roman" w:eastAsia="黑体"/>
          <w:b w:val="0"/>
        </w:rPr>
      </w:pPr>
      <w:bookmarkStart w:id="34" w:name="_Toc15377209"/>
      <w:bookmarkStart w:id="35" w:name="_Toc948983871"/>
      <w:bookmarkStart w:id="36" w:name="_Toc15396607"/>
      <w:r>
        <w:rPr>
          <w:rFonts w:hint="eastAsia" w:eastAsia="黑体"/>
          <w:sz w:val="32"/>
          <w:szCs w:val="32"/>
        </w:rPr>
        <w:t>五、</w:t>
      </w:r>
      <w:r>
        <w:rPr>
          <w:rFonts w:hint="eastAsia" w:eastAsia="黑体"/>
          <w:b/>
          <w:sz w:val="32"/>
          <w:szCs w:val="32"/>
        </w:rPr>
        <w:t>一</w:t>
      </w:r>
      <w:r>
        <w:rPr>
          <w:rStyle w:val="30"/>
          <w:rFonts w:hint="eastAsia" w:ascii="Times New Roman" w:hAnsi="Times New Roman" w:eastAsia="黑体"/>
          <w:b w:val="0"/>
        </w:rPr>
        <w:t>般公共预算财政拨款支出决算情况说明</w:t>
      </w:r>
      <w:bookmarkEnd w:id="34"/>
      <w:bookmarkEnd w:id="35"/>
      <w:bookmarkEnd w:id="36"/>
    </w:p>
    <w:p w14:paraId="776F416E">
      <w:pPr>
        <w:spacing w:line="600" w:lineRule="exact"/>
        <w:ind w:firstLine="643" w:firstLineChars="200"/>
        <w:outlineLvl w:val="2"/>
        <w:rPr>
          <w:rFonts w:eastAsia="楷体_GB2312" w:cs="楷体_GB2312"/>
          <w:b/>
          <w:sz w:val="32"/>
          <w:szCs w:val="32"/>
        </w:rPr>
      </w:pPr>
      <w:bookmarkStart w:id="37" w:name="_Toc2102125207"/>
      <w:bookmarkStart w:id="38" w:name="_Toc15377210"/>
      <w:r>
        <w:rPr>
          <w:rFonts w:hint="eastAsia" w:eastAsia="楷体_GB2312" w:cs="楷体_GB2312"/>
          <w:b/>
          <w:sz w:val="32"/>
          <w:szCs w:val="32"/>
        </w:rPr>
        <w:t>（一）一般公共预算财政拨款支出决算总体情况</w:t>
      </w:r>
      <w:bookmarkEnd w:id="37"/>
      <w:bookmarkEnd w:id="38"/>
    </w:p>
    <w:p w14:paraId="40B3B03B">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2024年度一般公共预算财政拨款支出</w:t>
      </w:r>
      <w:r>
        <w:rPr>
          <w:rFonts w:hint="eastAsia" w:ascii="国标黑体" w:hAnsi="国标黑体" w:eastAsia="国标黑体" w:cs="国标黑体"/>
          <w:sz w:val="32"/>
          <w:szCs w:val="32"/>
          <w:lang w:val="en-US" w:eastAsia="zh-CN"/>
        </w:rPr>
        <w:t>14992.29</w:t>
      </w:r>
      <w:r>
        <w:rPr>
          <w:rFonts w:hint="eastAsia" w:ascii="仿宋_GB2312" w:hAnsi="仿宋_GB2312" w:eastAsia="仿宋_GB2312" w:cs="仿宋_GB2312"/>
          <w:sz w:val="32"/>
          <w:szCs w:val="32"/>
        </w:rPr>
        <w:t>万元，占本年支出合计的</w:t>
      </w:r>
      <w:r>
        <w:rPr>
          <w:rFonts w:hint="eastAsia" w:ascii="国标黑体" w:hAnsi="国标黑体" w:eastAsia="国标黑体" w:cs="国标黑体"/>
          <w:sz w:val="32"/>
          <w:szCs w:val="32"/>
          <w:lang w:val="en-US" w:eastAsia="zh-CN"/>
        </w:rPr>
        <w:t>43.97</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rPr>
        <w:t>。与2023年度相比，一般公共预算财政拨款支出减少</w:t>
      </w:r>
      <w:r>
        <w:rPr>
          <w:rFonts w:hint="eastAsia" w:ascii="国标黑体" w:hAnsi="国标黑体" w:eastAsia="国标黑体" w:cs="国标黑体"/>
          <w:sz w:val="32"/>
          <w:szCs w:val="32"/>
          <w:lang w:val="en-US" w:eastAsia="zh-CN"/>
        </w:rPr>
        <w:t>295.87</w:t>
      </w:r>
      <w:r>
        <w:rPr>
          <w:rFonts w:hint="eastAsia" w:ascii="仿宋_GB2312" w:hAnsi="仿宋_GB2312" w:eastAsia="仿宋_GB2312" w:cs="仿宋_GB2312"/>
          <w:sz w:val="32"/>
          <w:szCs w:val="32"/>
        </w:rPr>
        <w:t>万元，下降</w:t>
      </w:r>
      <w:r>
        <w:rPr>
          <w:rFonts w:hint="eastAsia" w:ascii="国标黑体" w:hAnsi="国标黑体" w:eastAsia="国标黑体" w:cs="国标黑体"/>
          <w:sz w:val="32"/>
          <w:szCs w:val="32"/>
          <w:lang w:val="en-US" w:eastAsia="zh-CN"/>
        </w:rPr>
        <w:t>0.96</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rPr>
        <w:t>。主要变动</w:t>
      </w:r>
      <w:r>
        <w:rPr>
          <w:rFonts w:hint="eastAsia" w:ascii="仿宋_GB2312" w:hAnsi="仿宋_GB2312" w:eastAsia="仿宋_GB2312" w:cs="仿宋_GB2312"/>
          <w:color w:val="000000" w:themeColor="text1"/>
          <w:sz w:val="32"/>
          <w:szCs w:val="32"/>
          <w14:textFill>
            <w14:solidFill>
              <w14:schemeClr w14:val="tx1"/>
            </w14:solidFill>
          </w14:textFill>
        </w:rPr>
        <w:t>原因是</w:t>
      </w:r>
      <w:r>
        <w:rPr>
          <w:rFonts w:hint="eastAsia" w:ascii="仿宋_GB2312" w:hAnsi="仿宋_GB2312" w:eastAsia="仿宋_GB2312" w:cs="仿宋_GB2312"/>
          <w:color w:val="000000" w:themeColor="text1"/>
          <w:sz w:val="32"/>
          <w:szCs w:val="32"/>
          <w:lang w:eastAsia="zh-CN"/>
          <w14:textFill>
            <w14:solidFill>
              <w14:schemeClr w14:val="tx1"/>
            </w14:solidFill>
          </w14:textFill>
        </w:rPr>
        <w:t>本年人员流出较多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,人员工资性支出减少,</w:t>
      </w:r>
      <w:r>
        <w:rPr>
          <w:rFonts w:hint="default" w:ascii="仿宋_GB2312" w:hAnsi="Times New Roman" w:eastAsia="仿宋_GB2312" w:cs="仿宋_GB2312"/>
          <w:kern w:val="2"/>
          <w:sz w:val="32"/>
          <w:szCs w:val="32"/>
          <w:lang w:val="en-US" w:eastAsia="zh-CN" w:bidi="ar"/>
        </w:rPr>
        <w:t>一般公共预算财政拨款</w:t>
      </w:r>
      <w:r>
        <w:rPr>
          <w:rFonts w:hint="eastAsia" w:ascii="仿宋_GB2312" w:hAnsi="Times New Roman" w:eastAsia="仿宋_GB2312" w:cs="仿宋_GB2312"/>
          <w:kern w:val="2"/>
          <w:sz w:val="32"/>
          <w:szCs w:val="32"/>
          <w:lang w:val="en-US" w:eastAsia="zh-CN" w:bidi="ar"/>
        </w:rPr>
        <w:t>基本支出减少,本年特定目标类项目减少,</w:t>
      </w:r>
      <w:r>
        <w:rPr>
          <w:rFonts w:hint="eastAsia" w:ascii="仿宋_GB2312" w:hAnsi="仿宋_GB2312" w:eastAsia="仿宋_GB2312" w:cs="仿宋_GB2312"/>
          <w:sz w:val="32"/>
          <w:szCs w:val="32"/>
        </w:rPr>
        <w:t>一般公共预算财政拨款</w:t>
      </w:r>
      <w:r>
        <w:rPr>
          <w:rFonts w:hint="eastAsia" w:ascii="仿宋_GB2312" w:hAnsi="仿宋_GB2312" w:eastAsia="仿宋_GB2312" w:cs="仿宋_GB2312"/>
          <w:sz w:val="32"/>
          <w:szCs w:val="32"/>
          <w:lang w:eastAsia="zh-CN"/>
        </w:rPr>
        <w:t>项目支出减少</w:t>
      </w:r>
      <w:r>
        <w:rPr>
          <w:rFonts w:hint="eastAsia" w:ascii="仿宋_GB2312" w:hAnsi="仿宋_GB2312" w:eastAsia="仿宋_GB2312" w:cs="仿宋_GB2312"/>
          <w:sz w:val="32"/>
          <w:szCs w:val="32"/>
          <w:lang w:val="en-US" w:eastAsia="zh-CN"/>
        </w:rPr>
        <w:t>,总体呈减少趋势。</w:t>
      </w:r>
    </w:p>
    <w:p w14:paraId="7AFB1129">
      <w:pPr>
        <w:spacing w:line="600" w:lineRule="exact"/>
        <w:ind w:firstLine="640"/>
        <w:jc w:val="center"/>
        <w:rPr>
          <w:rFonts w:eastAsia="仿宋_GB2312" w:cs="仿宋_GB2312"/>
          <w:sz w:val="32"/>
          <w:szCs w:val="32"/>
        </w:rPr>
      </w:pPr>
      <w:r>
        <w:rPr>
          <w:rFonts w:hint="default" w:ascii="Times New Roman" w:hAnsi="Times New Roman" w:eastAsia="仿宋_GB2312" w:cs="Times New Roman"/>
        </w:rPr>
        <w:drawing>
          <wp:anchor distT="0" distB="0" distL="0" distR="0" simplePos="0" relativeHeight="251664384" behindDoc="0" locked="0" layoutInCell="1" allowOverlap="1">
            <wp:simplePos x="0" y="0"/>
            <wp:positionH relativeFrom="column">
              <wp:posOffset>177165</wp:posOffset>
            </wp:positionH>
            <wp:positionV relativeFrom="paragraph">
              <wp:posOffset>127000</wp:posOffset>
            </wp:positionV>
            <wp:extent cx="5198745" cy="2704465"/>
            <wp:effectExtent l="4445" t="4445" r="16510" b="15240"/>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eastAsia="仿宋_GB2312" w:cs="仿宋_GB2312"/>
          <w:sz w:val="32"/>
          <w:szCs w:val="32"/>
        </w:rPr>
        <w:t>（图5：一般公共预算财政拨款支出决算变动情况）</w:t>
      </w:r>
    </w:p>
    <w:p w14:paraId="51CC025D">
      <w:pPr>
        <w:spacing w:line="600" w:lineRule="exact"/>
        <w:ind w:firstLine="643" w:firstLineChars="200"/>
        <w:outlineLvl w:val="2"/>
        <w:rPr>
          <w:rFonts w:eastAsia="楷体_GB2312" w:cs="楷体_GB2312"/>
          <w:b/>
          <w:sz w:val="32"/>
          <w:szCs w:val="32"/>
        </w:rPr>
      </w:pPr>
      <w:bookmarkStart w:id="39" w:name="_Toc41985580"/>
      <w:bookmarkStart w:id="40" w:name="_Toc15377211"/>
      <w:r>
        <w:rPr>
          <w:rFonts w:hint="eastAsia" w:eastAsia="楷体_GB2312" w:cs="楷体_GB2312"/>
          <w:b/>
          <w:sz w:val="32"/>
          <w:szCs w:val="32"/>
        </w:rPr>
        <w:t>（二）一般公共预算财政拨款支出决算结构情况</w:t>
      </w:r>
      <w:bookmarkEnd w:id="39"/>
      <w:bookmarkEnd w:id="40"/>
    </w:p>
    <w:p w14:paraId="00249E12">
      <w:pPr>
        <w:keepNext w:val="0"/>
        <w:keepLines w:val="0"/>
        <w:widowControl w:val="0"/>
        <w:suppressLineNumbers w:val="0"/>
        <w:spacing w:before="0" w:beforeAutospacing="0" w:after="0" w:afterAutospacing="0"/>
        <w:ind w:left="0" w:right="0" w:firstLine="640" w:firstLineChars="200"/>
        <w:jc w:val="both"/>
        <w:rPr>
          <w:rFonts w:hint="eastAsia" w:eastAsia="仿宋_GB2312" w:cs="仿宋_GB2312"/>
          <w:sz w:val="32"/>
          <w:szCs w:val="32"/>
          <w:lang w:eastAsia="zh-CN"/>
        </w:rPr>
      </w:pPr>
      <w:r>
        <w:rPr>
          <w:rFonts w:hint="eastAsia" w:eastAsia="仿宋_GB2312" w:cs="仿宋_GB2312"/>
          <w:sz w:val="32"/>
          <w:szCs w:val="32"/>
          <w:lang w:eastAsia="zh-CN"/>
        </w:rPr>
        <w:drawing>
          <wp:anchor distT="0" distB="0" distL="114300" distR="114300" simplePos="0" relativeHeight="251665408" behindDoc="0" locked="0" layoutInCell="1" allowOverlap="1">
            <wp:simplePos x="0" y="0"/>
            <wp:positionH relativeFrom="column">
              <wp:posOffset>151130</wp:posOffset>
            </wp:positionH>
            <wp:positionV relativeFrom="paragraph">
              <wp:posOffset>2030730</wp:posOffset>
            </wp:positionV>
            <wp:extent cx="5161915" cy="2744470"/>
            <wp:effectExtent l="4445" t="4445" r="15240" b="13335"/>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eastAsia="仿宋_GB2312" w:cs="仿宋_GB2312"/>
          <w:sz w:val="32"/>
          <w:szCs w:val="32"/>
        </w:rPr>
        <w:t>2024年度一般公共预算财政拨款支出</w:t>
      </w:r>
      <w:r>
        <w:rPr>
          <w:rFonts w:hint="eastAsia" w:ascii="国标黑体" w:hAnsi="国标黑体" w:eastAsia="国标黑体" w:cs="国标黑体"/>
          <w:sz w:val="32"/>
          <w:szCs w:val="32"/>
          <w:lang w:val="en-US" w:eastAsia="zh-CN"/>
        </w:rPr>
        <w:t>14992.29</w:t>
      </w:r>
      <w:r>
        <w:rPr>
          <w:rFonts w:hint="eastAsia" w:ascii="仿宋_GB2312" w:hAnsi="仿宋_GB2312" w:eastAsia="仿宋_GB2312" w:cs="仿宋_GB2312"/>
          <w:sz w:val="32"/>
          <w:szCs w:val="32"/>
        </w:rPr>
        <w:t>万元</w:t>
      </w:r>
      <w:r>
        <w:rPr>
          <w:rFonts w:hint="eastAsia" w:eastAsia="仿宋_GB2312" w:cs="仿宋_GB2312"/>
          <w:sz w:val="32"/>
          <w:szCs w:val="32"/>
        </w:rPr>
        <w:t>，主要用于以下方面：社会保障和就业支出</w:t>
      </w:r>
      <w:r>
        <w:rPr>
          <w:rFonts w:hint="eastAsia" w:ascii="国标黑体" w:hAnsi="国标黑体" w:eastAsia="国标黑体" w:cs="国标黑体"/>
          <w:sz w:val="32"/>
          <w:szCs w:val="32"/>
          <w:lang w:val="en-US" w:eastAsia="zh-CN"/>
        </w:rPr>
        <w:t>2072.73</w:t>
      </w:r>
      <w:r>
        <w:rPr>
          <w:rFonts w:hint="eastAsia" w:eastAsia="仿宋_GB2312" w:cs="仿宋_GB2312"/>
          <w:sz w:val="32"/>
          <w:szCs w:val="32"/>
        </w:rPr>
        <w:t>万元，占</w:t>
      </w:r>
      <w:r>
        <w:rPr>
          <w:rFonts w:hint="eastAsia" w:eastAsia="仿宋_GB2312" w:cs="仿宋_GB2312"/>
          <w:sz w:val="32"/>
          <w:szCs w:val="32"/>
          <w:lang w:val="en-US" w:eastAsia="zh-CN"/>
        </w:rPr>
        <w:t>13.82</w:t>
      </w:r>
      <w:r>
        <w:rPr>
          <w:rFonts w:hint="eastAsia" w:eastAsia="仿宋_GB2312" w:cs="仿宋_GB2312"/>
          <w:sz w:val="32"/>
          <w:szCs w:val="32"/>
        </w:rPr>
        <w:t>%；卫生健康支出</w:t>
      </w:r>
      <w:r>
        <w:rPr>
          <w:rFonts w:hint="eastAsia" w:ascii="国标黑体" w:hAnsi="国标黑体" w:eastAsia="国标黑体" w:cs="国标黑体"/>
          <w:sz w:val="32"/>
          <w:szCs w:val="32"/>
          <w:lang w:val="en-US" w:eastAsia="zh-CN"/>
        </w:rPr>
        <w:t>12005.44</w:t>
      </w:r>
      <w:r>
        <w:rPr>
          <w:rFonts w:hint="eastAsia" w:eastAsia="仿宋_GB2312" w:cs="仿宋_GB2312"/>
          <w:sz w:val="32"/>
          <w:szCs w:val="32"/>
        </w:rPr>
        <w:t>万元，占</w:t>
      </w:r>
      <w:r>
        <w:rPr>
          <w:rFonts w:hint="eastAsia" w:eastAsia="仿宋_GB2312" w:cs="仿宋_GB2312"/>
          <w:sz w:val="32"/>
          <w:szCs w:val="32"/>
          <w:lang w:val="en-US" w:eastAsia="zh-CN"/>
        </w:rPr>
        <w:t>80.07</w:t>
      </w:r>
      <w:r>
        <w:rPr>
          <w:rFonts w:hint="eastAsia" w:eastAsia="仿宋_GB2312" w:cs="仿宋_GB2312"/>
          <w:sz w:val="32"/>
          <w:szCs w:val="32"/>
        </w:rPr>
        <w:t>%；农林水支出</w:t>
      </w:r>
      <w:r>
        <w:rPr>
          <w:rFonts w:hint="eastAsia" w:ascii="国标黑体" w:hAnsi="国标黑体" w:eastAsia="国标黑体" w:cs="国标黑体"/>
          <w:sz w:val="32"/>
          <w:szCs w:val="32"/>
          <w:lang w:val="en-US" w:eastAsia="zh-CN"/>
        </w:rPr>
        <w:t>196</w:t>
      </w:r>
      <w:r>
        <w:rPr>
          <w:rFonts w:hint="eastAsia" w:eastAsia="仿宋_GB2312" w:cs="仿宋_GB2312"/>
          <w:sz w:val="32"/>
          <w:szCs w:val="32"/>
        </w:rPr>
        <w:t>万元</w:t>
      </w:r>
      <w:r>
        <w:rPr>
          <w:rFonts w:hint="eastAsia" w:eastAsia="仿宋_GB2312" w:cs="仿宋_GB2312"/>
          <w:sz w:val="32"/>
          <w:szCs w:val="32"/>
          <w:lang w:eastAsia="zh-CN"/>
        </w:rPr>
        <w:t>，</w:t>
      </w:r>
      <w:r>
        <w:rPr>
          <w:rFonts w:hint="eastAsia" w:eastAsia="仿宋_GB2312" w:cs="仿宋_GB2312"/>
          <w:sz w:val="32"/>
          <w:szCs w:val="32"/>
        </w:rPr>
        <w:t>占</w:t>
      </w:r>
      <w:r>
        <w:rPr>
          <w:rFonts w:hint="eastAsia" w:eastAsia="仿宋_GB2312" w:cs="仿宋_GB2312"/>
          <w:sz w:val="32"/>
          <w:szCs w:val="32"/>
          <w:lang w:val="en-US" w:eastAsia="zh-CN"/>
        </w:rPr>
        <w:t>1.31</w:t>
      </w:r>
      <w:r>
        <w:rPr>
          <w:rFonts w:hint="eastAsia" w:eastAsia="仿宋_GB2312" w:cs="仿宋_GB2312"/>
          <w:sz w:val="32"/>
          <w:szCs w:val="32"/>
        </w:rPr>
        <w:t>%</w:t>
      </w:r>
      <w:r>
        <w:rPr>
          <w:rFonts w:hint="eastAsia" w:eastAsia="仿宋_GB2312" w:cs="仿宋_GB2312"/>
          <w:sz w:val="32"/>
          <w:szCs w:val="32"/>
          <w:lang w:eastAsia="zh-CN"/>
        </w:rPr>
        <w:t>；</w:t>
      </w:r>
      <w:r>
        <w:rPr>
          <w:rFonts w:hint="eastAsia" w:eastAsia="仿宋_GB2312" w:cs="仿宋_GB2312"/>
          <w:sz w:val="32"/>
          <w:szCs w:val="32"/>
        </w:rPr>
        <w:t>住房保障支出</w:t>
      </w:r>
      <w:r>
        <w:rPr>
          <w:rFonts w:hint="eastAsia" w:ascii="国标黑体" w:hAnsi="国标黑体" w:eastAsia="国标黑体" w:cs="国标黑体"/>
          <w:sz w:val="32"/>
          <w:szCs w:val="32"/>
          <w:lang w:val="en-US" w:eastAsia="zh-CN"/>
        </w:rPr>
        <w:t>718.12</w:t>
      </w:r>
      <w:r>
        <w:rPr>
          <w:rFonts w:hint="eastAsia" w:eastAsia="仿宋_GB2312" w:cs="仿宋_GB2312"/>
          <w:sz w:val="32"/>
          <w:szCs w:val="32"/>
        </w:rPr>
        <w:t>万元，占</w:t>
      </w:r>
      <w:r>
        <w:rPr>
          <w:rFonts w:hint="eastAsia" w:eastAsia="仿宋_GB2312" w:cs="仿宋_GB2312"/>
          <w:sz w:val="32"/>
          <w:szCs w:val="32"/>
          <w:lang w:val="en-US" w:eastAsia="zh-CN"/>
        </w:rPr>
        <w:t>4.8</w:t>
      </w:r>
      <w:r>
        <w:rPr>
          <w:rFonts w:hint="eastAsia" w:eastAsia="仿宋_GB2312" w:cs="仿宋_GB2312"/>
          <w:sz w:val="32"/>
          <w:szCs w:val="32"/>
        </w:rPr>
        <w:t>%</w:t>
      </w:r>
      <w:r>
        <w:rPr>
          <w:rFonts w:hint="eastAsia" w:eastAsia="仿宋_GB2312" w:cs="仿宋_GB2312"/>
          <w:sz w:val="32"/>
          <w:szCs w:val="32"/>
          <w:lang w:eastAsia="zh-CN"/>
        </w:rPr>
        <w:t>。</w:t>
      </w:r>
    </w:p>
    <w:p w14:paraId="7A446713">
      <w:pPr>
        <w:spacing w:line="600" w:lineRule="exact"/>
        <w:jc w:val="center"/>
        <w:rPr>
          <w:rFonts w:eastAsia="仿宋_GB2312" w:cs="仿宋_GB2312"/>
          <w:sz w:val="32"/>
          <w:szCs w:val="32"/>
        </w:rPr>
      </w:pPr>
      <w:r>
        <w:rPr>
          <w:rFonts w:hint="eastAsia" w:eastAsia="仿宋_GB2312" w:cs="仿宋_GB2312"/>
          <w:sz w:val="32"/>
          <w:szCs w:val="32"/>
        </w:rPr>
        <w:t>（图6：一般公共预算财政拨款支出决算结构）</w:t>
      </w:r>
    </w:p>
    <w:p w14:paraId="3E85C85A">
      <w:pPr>
        <w:spacing w:line="600" w:lineRule="exact"/>
        <w:ind w:firstLine="643" w:firstLineChars="200"/>
        <w:outlineLvl w:val="2"/>
        <w:rPr>
          <w:rFonts w:eastAsia="楷体_GB2312" w:cs="楷体_GB2312"/>
          <w:b/>
          <w:sz w:val="32"/>
          <w:szCs w:val="32"/>
        </w:rPr>
      </w:pPr>
      <w:bookmarkStart w:id="41" w:name="_Toc15377212"/>
      <w:bookmarkStart w:id="42" w:name="_Toc1550668221"/>
      <w:r>
        <w:rPr>
          <w:rFonts w:hint="eastAsia" w:eastAsia="楷体_GB2312" w:cs="楷体_GB2312"/>
          <w:b/>
          <w:sz w:val="32"/>
          <w:szCs w:val="32"/>
        </w:rPr>
        <w:t>（三）一般公共预算财政拨款支出决算具体情况</w:t>
      </w:r>
      <w:bookmarkEnd w:id="41"/>
      <w:bookmarkEnd w:id="42"/>
    </w:p>
    <w:p w14:paraId="32B63DA2">
      <w:pPr>
        <w:spacing w:line="600" w:lineRule="exact"/>
        <w:ind w:firstLine="640"/>
        <w:rPr>
          <w:rFonts w:eastAsia="仿宋_GB2312" w:cs="仿宋_GB2312"/>
          <w:sz w:val="32"/>
          <w:szCs w:val="32"/>
        </w:rPr>
      </w:pPr>
      <w:bookmarkStart w:id="43" w:name="_Toc15377213"/>
      <w:bookmarkStart w:id="44" w:name="_Toc15377444"/>
      <w:bookmarkStart w:id="45" w:name="_Toc15378460"/>
      <w:r>
        <w:rPr>
          <w:rFonts w:hint="eastAsia" w:ascii="国标黑体" w:hAnsi="国标黑体" w:eastAsia="国标黑体" w:cs="国标黑体"/>
          <w:sz w:val="32"/>
          <w:szCs w:val="32"/>
        </w:rPr>
        <w:t>2024</w:t>
      </w:r>
      <w:r>
        <w:rPr>
          <w:rFonts w:hint="eastAsia" w:eastAsia="仿宋_GB2312" w:cs="仿宋_GB2312"/>
          <w:sz w:val="32"/>
          <w:szCs w:val="32"/>
        </w:rPr>
        <w:t>年度一般公共预算财政拨款支出决算数为</w:t>
      </w:r>
      <w:r>
        <w:rPr>
          <w:rFonts w:hint="eastAsia" w:ascii="国标黑体" w:hAnsi="国标黑体" w:eastAsia="国标黑体" w:cs="国标黑体"/>
          <w:sz w:val="32"/>
          <w:szCs w:val="32"/>
          <w:lang w:val="en-US" w:eastAsia="zh-CN"/>
        </w:rPr>
        <w:t>14992.29</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w:t>
      </w:r>
      <w:r>
        <w:rPr>
          <w:rFonts w:hint="eastAsia" w:eastAsia="仿宋_GB2312" w:cs="仿宋_GB2312"/>
          <w:sz w:val="32"/>
          <w:szCs w:val="32"/>
        </w:rPr>
        <w:t>完成预算</w:t>
      </w:r>
      <w:r>
        <w:rPr>
          <w:rFonts w:hint="eastAsia" w:ascii="国标黑体" w:hAnsi="国标黑体" w:eastAsia="国标黑体" w:cs="国标黑体"/>
          <w:sz w:val="32"/>
          <w:szCs w:val="32"/>
          <w:lang w:val="en-US" w:eastAsia="zh-CN"/>
        </w:rPr>
        <w:t>100</w:t>
      </w:r>
      <w:r>
        <w:rPr>
          <w:rFonts w:hint="eastAsia" w:ascii="国标黑体" w:hAnsi="国标黑体" w:eastAsia="国标黑体" w:cs="国标黑体"/>
          <w:sz w:val="32"/>
          <w:szCs w:val="32"/>
        </w:rPr>
        <w:t>%</w:t>
      </w:r>
      <w:r>
        <w:rPr>
          <w:rFonts w:hint="eastAsia" w:eastAsia="仿宋_GB2312" w:cs="仿宋_GB2312"/>
          <w:sz w:val="32"/>
          <w:szCs w:val="32"/>
        </w:rPr>
        <w:t>。其中：</w:t>
      </w:r>
      <w:bookmarkEnd w:id="43"/>
      <w:bookmarkEnd w:id="44"/>
      <w:bookmarkEnd w:id="45"/>
    </w:p>
    <w:p w14:paraId="273220A0">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国标黑体" w:hAnsi="国标黑体" w:eastAsia="国标黑体" w:cs="国标黑体"/>
          <w:sz w:val="32"/>
          <w:szCs w:val="32"/>
        </w:rPr>
        <w:t>1.</w:t>
      </w:r>
      <w:r>
        <w:rPr>
          <w:rStyle w:val="37"/>
          <w:rFonts w:hint="eastAsia" w:ascii="CESI仿宋-GB2312" w:hAnsi="CESI仿宋-GB2312" w:eastAsia="CESI仿宋-GB2312" w:cs="CESI仿宋-GB2312"/>
          <w:b w:val="0"/>
          <w:bCs w:val="0"/>
          <w:kern w:val="2"/>
          <w:sz w:val="32"/>
          <w:szCs w:val="32"/>
          <w:lang w:val="en-US" w:eastAsia="zh-CN" w:bidi="ar"/>
        </w:rPr>
        <w:t>社会保障和就业（208类）行政事业单位养老支出（05款）:</w:t>
      </w:r>
      <w:r>
        <w:rPr>
          <w:rFonts w:hint="eastAsia" w:ascii="CESI仿宋-GB2312" w:hAnsi="CESI仿宋-GB2312" w:eastAsia="CESI仿宋-GB2312" w:cs="CESI仿宋-GB2312"/>
          <w:b w:val="0"/>
          <w:bCs w:val="0"/>
          <w:kern w:val="2"/>
          <w:sz w:val="32"/>
          <w:szCs w:val="32"/>
          <w:lang w:val="en-US" w:eastAsia="zh-CN" w:bidi="ar"/>
        </w:rPr>
        <w:t>支出决算为1937.39万元，完成预算100%。决算数等于预算数。</w:t>
      </w:r>
    </w:p>
    <w:p w14:paraId="33EC6737">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（1）行政单位离退休（01项）: 支出决算为77.05万元，完成预算100%，决算数等于预算数。</w:t>
      </w:r>
    </w:p>
    <w:p w14:paraId="76BF18AA">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（2）事业单位离退休（02项）: 支出决算为640.93万元，完成预算100%，决算数等于预算数。</w:t>
      </w:r>
    </w:p>
    <w:p w14:paraId="3A4274F0">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（3）机关事业单位基本养老保险缴费支出（05项）：支出决算为891.29万元，完成预算100%，决算数等于预算数。</w:t>
      </w:r>
    </w:p>
    <w:p w14:paraId="2B64EF0A">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（4）机关事业单位职业年金缴费支出（06项）：支出决算为328.12万元，完成预算100%，决算数等于预算数。</w:t>
      </w:r>
    </w:p>
    <w:p w14:paraId="1BDBBBA3">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Style w:val="37"/>
          <w:rFonts w:hint="eastAsia" w:ascii="CESI仿宋-GB2312" w:hAnsi="CESI仿宋-GB2312" w:eastAsia="CESI仿宋-GB2312" w:cs="CESI仿宋-GB2312"/>
          <w:b w:val="0"/>
          <w:bCs w:val="0"/>
          <w:kern w:val="2"/>
          <w:sz w:val="32"/>
          <w:szCs w:val="32"/>
          <w:lang w:val="en-US" w:eastAsia="zh-CN" w:bidi="ar"/>
        </w:rPr>
        <w:t>2.社会保障和就业（208类）抚恤（08款）:</w:t>
      </w:r>
      <w:r>
        <w:rPr>
          <w:rFonts w:hint="eastAsia" w:ascii="CESI仿宋-GB2312" w:hAnsi="CESI仿宋-GB2312" w:eastAsia="CESI仿宋-GB2312" w:cs="CESI仿宋-GB2312"/>
          <w:b w:val="0"/>
          <w:bCs w:val="0"/>
          <w:kern w:val="2"/>
          <w:sz w:val="32"/>
          <w:szCs w:val="32"/>
          <w:lang w:val="en-US" w:eastAsia="zh-CN" w:bidi="ar"/>
        </w:rPr>
        <w:t>支出决算为135.34万元，完成预算100%。决算数等于预算数。</w:t>
      </w:r>
    </w:p>
    <w:p w14:paraId="43DFED5F">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（1）死亡抚恤（01项）：支出决算为118.33万元，完成预算100%。决算数等于预算数。</w:t>
      </w:r>
    </w:p>
    <w:p w14:paraId="63CB1C1E">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（2）伤残抚恤（02项）：支出决算为17万元，完成预算100%。决算数等于预算数。</w:t>
      </w:r>
    </w:p>
    <w:p w14:paraId="17EEDD37">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Style w:val="37"/>
          <w:rFonts w:hint="eastAsia" w:ascii="CESI仿宋-GB2312" w:hAnsi="CESI仿宋-GB2312" w:eastAsia="CESI仿宋-GB2312" w:cs="CESI仿宋-GB2312"/>
          <w:b w:val="0"/>
          <w:bCs w:val="0"/>
          <w:kern w:val="2"/>
          <w:sz w:val="32"/>
          <w:szCs w:val="32"/>
          <w:lang w:val="en-US" w:eastAsia="zh-CN" w:bidi="ar"/>
        </w:rPr>
        <w:t>3.</w:t>
      </w:r>
      <w:r>
        <w:rPr>
          <w:rFonts w:hint="eastAsia" w:ascii="CESI仿宋-GB2312" w:hAnsi="CESI仿宋-GB2312" w:eastAsia="CESI仿宋-GB2312" w:cs="CESI仿宋-GB2312"/>
          <w:b w:val="0"/>
          <w:bCs w:val="0"/>
          <w:kern w:val="2"/>
          <w:sz w:val="32"/>
          <w:szCs w:val="32"/>
          <w:lang w:val="en-US" w:eastAsia="zh-CN" w:bidi="ar"/>
        </w:rPr>
        <w:t>卫生健康支出（210类）卫生健康管理事务（01款）：支出决算为456.89万元，完成预算100%。决算数等于预算数。</w:t>
      </w:r>
    </w:p>
    <w:p w14:paraId="7DD732D3">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（1）行政运行（01项）:支出决算为339.9万元，完成预算100%，决算数等于预算数。</w:t>
      </w:r>
    </w:p>
    <w:p w14:paraId="3CCEFB64">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（2）其他卫生健康管理事务支出（99项）:支出决算为116.99万元，完成预算100%，决算数等于预算数。</w:t>
      </w:r>
    </w:p>
    <w:p w14:paraId="5953162E">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5.卫生健康支出（210类）公立医院（02款）：支出决算为2820.74万元，完成预算100%。决算数等于预算数。</w:t>
      </w:r>
    </w:p>
    <w:p w14:paraId="458B0383">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（1）综合医院（01项）:支出决算为1687.06万元，完成预算100%，决算数等于预算数。</w:t>
      </w:r>
    </w:p>
    <w:p w14:paraId="009FC83C">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（2）中医（民族）医院（02项）:支出决算为791.6万元，完成预算100%，决算数等于预算数。</w:t>
      </w:r>
    </w:p>
    <w:p w14:paraId="7720BF27">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（3）其他公立医院支出（99项）:支出决算为342.07万元，完成预算100%，决算数等于预算数。</w:t>
      </w:r>
    </w:p>
    <w:p w14:paraId="1C6E37F9">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6.卫生健康支出（210类）基层医疗卫生机构（03款）：支出决算为2644.82万元，完成预算100%。决算数等于预算数。</w:t>
      </w:r>
    </w:p>
    <w:p w14:paraId="3C007516">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（1）城市社区卫生机构（01项）:支出决算为253.32万元，完成预算100%，决算数等于预算数。</w:t>
      </w:r>
    </w:p>
    <w:p w14:paraId="1584B056">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（2）乡镇卫生院（02项）:支出决算为2036.16万元，完成预算100%。决算数等于预算数。</w:t>
      </w:r>
    </w:p>
    <w:p w14:paraId="6784EBE9">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（3）其他基层医疗卫生机构支出（99项）:支出决算为355.34万元，完成预算100%。决算数等于预算数。</w:t>
      </w:r>
    </w:p>
    <w:p w14:paraId="3648DE04">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lang w:val="en-US" w:eastAsia="zh-CN" w:bidi="ar"/>
        </w:rPr>
      </w:pPr>
      <w:r>
        <w:rPr>
          <w:rFonts w:hint="eastAsia" w:ascii="CESI仿宋-GB2312" w:hAnsi="CESI仿宋-GB2312" w:eastAsia="CESI仿宋-GB2312" w:cs="CESI仿宋-GB2312"/>
          <w:b w:val="0"/>
          <w:bCs w:val="0"/>
          <w:kern w:val="2"/>
          <w:sz w:val="32"/>
          <w:szCs w:val="32"/>
          <w:lang w:val="en-US" w:eastAsia="zh-CN" w:bidi="ar"/>
        </w:rPr>
        <w:t>7.卫生健康支出（210类）公共卫生（04款）：支出决算为3299.09万元，完成预算100%。决算数等于预算数。</w:t>
      </w:r>
    </w:p>
    <w:p w14:paraId="055216B2">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lang w:val="en-US" w:eastAsia="zh-CN" w:bidi="ar"/>
        </w:rPr>
      </w:pPr>
      <w:r>
        <w:rPr>
          <w:rFonts w:hint="eastAsia" w:ascii="CESI仿宋-GB2312" w:hAnsi="CESI仿宋-GB2312" w:eastAsia="CESI仿宋-GB2312" w:cs="CESI仿宋-GB2312"/>
          <w:b w:val="0"/>
          <w:bCs w:val="0"/>
          <w:kern w:val="2"/>
          <w:sz w:val="32"/>
          <w:szCs w:val="32"/>
          <w:lang w:val="en-US" w:eastAsia="zh-CN" w:bidi="ar"/>
        </w:rPr>
        <w:t>（1）疾病预防控制机构（01项）:支出决算为932.07万元，完成预算100%.决算数等于预算数。</w:t>
      </w:r>
    </w:p>
    <w:p w14:paraId="66516A2C">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lang w:val="en-US" w:eastAsia="zh-CN" w:bidi="ar"/>
        </w:rPr>
      </w:pPr>
      <w:r>
        <w:rPr>
          <w:rFonts w:hint="eastAsia" w:ascii="CESI仿宋-GB2312" w:hAnsi="CESI仿宋-GB2312" w:eastAsia="CESI仿宋-GB2312" w:cs="CESI仿宋-GB2312"/>
          <w:b w:val="0"/>
          <w:bCs w:val="0"/>
          <w:kern w:val="2"/>
          <w:sz w:val="32"/>
          <w:szCs w:val="32"/>
          <w:lang w:val="en-US" w:eastAsia="zh-CN" w:bidi="ar"/>
        </w:rPr>
        <w:t>（2）妇幼保健机构（03项）:支出决算为344.17万元，完成预算100%.决算数等于预算数。</w:t>
      </w:r>
    </w:p>
    <w:p w14:paraId="0ED8013E">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（3）基本公共卫生服务（08项）:支出决算为1610.26万元，完成预算100%.决算数等于预算数。</w:t>
      </w:r>
    </w:p>
    <w:p w14:paraId="0B7ABBEC">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（4）重大公共卫生服务（09项）:支出决算为372.12万元，完成预算100%，决算数等于预算数。</w:t>
      </w:r>
    </w:p>
    <w:p w14:paraId="7788FD9B">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（5）其他公共卫生支出（99项）:支出决算为40.47万元，完成预算100%，决算数等于预算数。</w:t>
      </w:r>
    </w:p>
    <w:p w14:paraId="13963918">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8.卫生健康支出（210类）计划生育事务（07款）:支出决算为1098.96万元，完成预算100%，决算数等于预算数。</w:t>
      </w:r>
    </w:p>
    <w:p w14:paraId="07F40BDE">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（1）计划生育服务（17项）:支出决算为39.26万元，完成预算100%，决算数等于预算数。</w:t>
      </w:r>
    </w:p>
    <w:p w14:paraId="1C240D44">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（2）其他计划生育事务支出（99项）:支出决算为1060.7万元，完成预算100%，决算数等于预算数。</w:t>
      </w:r>
    </w:p>
    <w:p w14:paraId="78C2660A">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9.卫生健康支出（210类）行政事业单位医疗（11款）:支出决算为760.92万元，完成预算100%，决算数等于预算数。</w:t>
      </w:r>
    </w:p>
    <w:p w14:paraId="2F6434F2">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（1）行政单位医疗（01项）:支出决算为21.24万元，完成预算100%，决算数等于预算数。</w:t>
      </w:r>
    </w:p>
    <w:p w14:paraId="1A209D3E">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（2）事业单位医疗（02项）:支出决算为454.29万元，完成预算100%，决算数等于预算数。</w:t>
      </w:r>
    </w:p>
    <w:p w14:paraId="652FA28A">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（3）公务员医疗补助（03项）:支出决算为2.44万元，完成预算100%，决算数等于预算数。</w:t>
      </w:r>
    </w:p>
    <w:p w14:paraId="6EB90A1A">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（4）其他行政事业单位医疗支出（99项）:支出决算为282.96万元，完成预算100%，决算数等于预算数。</w:t>
      </w:r>
    </w:p>
    <w:p w14:paraId="1A280079">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11.卫生健康支出（210类）其他卫生健康支出（99款）其他卫生健康支出（99项）:支出决算为897.77万元，完成预算100%，决算数等于预算数。</w:t>
      </w:r>
    </w:p>
    <w:p w14:paraId="3A587349">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lang w:val="en-US" w:eastAsia="zh-CN" w:bidi="ar"/>
        </w:rPr>
      </w:pPr>
      <w:r>
        <w:rPr>
          <w:rFonts w:hint="eastAsia" w:ascii="CESI仿宋-GB2312" w:hAnsi="CESI仿宋-GB2312" w:eastAsia="CESI仿宋-GB2312" w:cs="CESI仿宋-GB2312"/>
          <w:b w:val="0"/>
          <w:bCs w:val="0"/>
          <w:kern w:val="2"/>
          <w:sz w:val="32"/>
          <w:szCs w:val="32"/>
          <w:lang w:val="en-US" w:eastAsia="zh-CN" w:bidi="ar"/>
        </w:rPr>
        <w:t>12.卫生健康支出（210类）中医药事务（17款）其他中医药事务支出（99项）:支出决算为16.28万元，完成预算100%，决算数等于预算数。</w:t>
      </w:r>
    </w:p>
    <w:p w14:paraId="4CF6EBE6">
      <w:pPr>
        <w:keepNext w:val="0"/>
        <w:keepLines w:val="0"/>
        <w:widowControl w:val="0"/>
        <w:suppressLineNumbers w:val="0"/>
        <w:spacing w:before="0" w:beforeAutospacing="0" w:after="0" w:afterAutospacing="0" w:line="600" w:lineRule="exact"/>
        <w:ind w:left="0" w:right="0" w:firstLine="640"/>
        <w:jc w:val="both"/>
        <w:rPr>
          <w:rFonts w:hint="default" w:ascii="CESI仿宋-GB2312" w:hAnsi="CESI仿宋-GB2312" w:eastAsia="CESI仿宋-GB2312" w:cs="CESI仿宋-GB2312"/>
          <w:b w:val="0"/>
          <w:bCs w:val="0"/>
          <w:kern w:val="2"/>
          <w:sz w:val="32"/>
          <w:szCs w:val="32"/>
          <w:lang w:val="en-US" w:eastAsia="zh-CN" w:bidi="ar"/>
        </w:rPr>
      </w:pPr>
      <w:r>
        <w:rPr>
          <w:rFonts w:hint="eastAsia" w:ascii="CESI仿宋-GB2312" w:hAnsi="CESI仿宋-GB2312" w:eastAsia="CESI仿宋-GB2312" w:cs="CESI仿宋-GB2312"/>
          <w:b w:val="0"/>
          <w:bCs w:val="0"/>
          <w:kern w:val="2"/>
          <w:sz w:val="32"/>
          <w:szCs w:val="32"/>
          <w:lang w:val="en-US" w:eastAsia="zh-CN" w:bidi="ar"/>
        </w:rPr>
        <w:t>13.卫生健康支出（210类）疾病预防控制事务（18款）其他疾病预防控制事务支出（99项）:支出决算为9.97万元，完成预算100%，决算数等于预算数。</w:t>
      </w:r>
    </w:p>
    <w:p w14:paraId="36ABAAAE">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 xml:space="preserve">14.农林水支出（213类）巩固脱贫衔接乡村振兴（05款）其他巩固脱贫衔接乡村振兴支出（99项）:支出决算为196万元，完成预算100%，决算数等于预算数。  </w:t>
      </w:r>
    </w:p>
    <w:p w14:paraId="18CFE594">
      <w:pPr>
        <w:keepNext w:val="0"/>
        <w:keepLines w:val="0"/>
        <w:widowControl w:val="0"/>
        <w:suppressLineNumbers w:val="0"/>
        <w:spacing w:before="0" w:beforeAutospacing="0" w:after="0" w:afterAutospacing="0" w:line="600" w:lineRule="exact"/>
        <w:ind w:left="0" w:right="0" w:firstLine="640"/>
        <w:jc w:val="both"/>
        <w:rPr>
          <w:rFonts w:hint="eastAsia" w:ascii="CESI仿宋-GB2312" w:hAnsi="CESI仿宋-GB2312" w:eastAsia="CESI仿宋-GB2312" w:cs="CESI仿宋-GB2312"/>
          <w:b w:val="0"/>
          <w:bCs w:val="0"/>
          <w:kern w:val="2"/>
          <w:sz w:val="32"/>
          <w:szCs w:val="32"/>
        </w:rPr>
      </w:pPr>
      <w:r>
        <w:rPr>
          <w:rFonts w:hint="eastAsia" w:ascii="CESI仿宋-GB2312" w:hAnsi="CESI仿宋-GB2312" w:eastAsia="CESI仿宋-GB2312" w:cs="CESI仿宋-GB2312"/>
          <w:b w:val="0"/>
          <w:bCs w:val="0"/>
          <w:kern w:val="2"/>
          <w:sz w:val="32"/>
          <w:szCs w:val="32"/>
          <w:lang w:val="en-US" w:eastAsia="zh-CN" w:bidi="ar"/>
        </w:rPr>
        <w:t>15.住房保障支出（221类）住房改革支出（02款）住房公积金（01项）:支出决算为718.12万元，完成预算100%，决算数等于预算数。</w:t>
      </w:r>
    </w:p>
    <w:p w14:paraId="671AD651">
      <w:pPr>
        <w:spacing w:line="600" w:lineRule="exact"/>
        <w:rPr>
          <w:rFonts w:eastAsia="仿宋_GB2312" w:cs="仿宋_GB2312"/>
          <w:sz w:val="32"/>
          <w:szCs w:val="32"/>
        </w:rPr>
      </w:pPr>
    </w:p>
    <w:p w14:paraId="704432B7">
      <w:pPr>
        <w:tabs>
          <w:tab w:val="right" w:pos="8306"/>
        </w:tabs>
        <w:spacing w:line="600" w:lineRule="exact"/>
        <w:ind w:firstLine="640"/>
        <w:outlineLvl w:val="1"/>
        <w:rPr>
          <w:rStyle w:val="30"/>
          <w:rFonts w:ascii="Times New Roman" w:hAnsi="Times New Roman"/>
        </w:rPr>
      </w:pPr>
      <w:bookmarkStart w:id="46" w:name="_Toc1512929697"/>
      <w:bookmarkStart w:id="47" w:name="_Toc15377214"/>
      <w:bookmarkStart w:id="48" w:name="_Toc15396608"/>
      <w:r>
        <w:rPr>
          <w:rFonts w:hint="eastAsia" w:eastAsia="黑体"/>
          <w:sz w:val="32"/>
          <w:szCs w:val="32"/>
        </w:rPr>
        <w:t>六</w:t>
      </w:r>
      <w:r>
        <w:rPr>
          <w:rFonts w:hint="eastAsia" w:eastAsia="黑体"/>
          <w:b/>
          <w:sz w:val="32"/>
          <w:szCs w:val="32"/>
        </w:rPr>
        <w:t>、一</w:t>
      </w:r>
      <w:r>
        <w:rPr>
          <w:rStyle w:val="30"/>
          <w:rFonts w:hint="eastAsia" w:ascii="Times New Roman" w:hAnsi="Times New Roman" w:eastAsia="黑体"/>
          <w:b w:val="0"/>
        </w:rPr>
        <w:t>般公共预算财政拨款基本支出决算情况说明</w:t>
      </w:r>
      <w:bookmarkEnd w:id="46"/>
      <w:bookmarkEnd w:id="47"/>
      <w:bookmarkEnd w:id="48"/>
      <w:r>
        <w:rPr>
          <w:rStyle w:val="30"/>
          <w:rFonts w:ascii="Times New Roman" w:hAnsi="Times New Roman" w:eastAsia="黑体"/>
          <w:b w:val="0"/>
        </w:rPr>
        <w:tab/>
      </w:r>
    </w:p>
    <w:p w14:paraId="5DD4420A">
      <w:pPr>
        <w:spacing w:line="600" w:lineRule="exact"/>
        <w:ind w:firstLine="640"/>
        <w:rPr>
          <w:rFonts w:eastAsia="仿宋_GB2312" w:cs="仿宋_GB2312"/>
          <w:sz w:val="32"/>
          <w:szCs w:val="32"/>
        </w:rPr>
      </w:pPr>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lang w:val="en-US" w:eastAsia="zh-CN"/>
        </w:rPr>
        <w:t>9723.05</w:t>
      </w:r>
      <w:r>
        <w:rPr>
          <w:rFonts w:hint="eastAsia" w:ascii="仿宋_GB2312" w:hAnsi="仿宋_GB2312" w:eastAsia="仿宋_GB2312" w:cs="仿宋_GB2312"/>
          <w:sz w:val="32"/>
          <w:szCs w:val="32"/>
        </w:rPr>
        <w:t>万</w:t>
      </w:r>
      <w:r>
        <w:rPr>
          <w:rFonts w:hint="eastAsia" w:eastAsia="仿宋_GB2312" w:cs="仿宋_GB2312"/>
          <w:sz w:val="32"/>
          <w:szCs w:val="32"/>
        </w:rPr>
        <w:t>元，其中：</w:t>
      </w:r>
    </w:p>
    <w:p w14:paraId="03164359">
      <w:pPr>
        <w:spacing w:line="600" w:lineRule="exact"/>
        <w:ind w:firstLine="640"/>
        <w:rPr>
          <w:rFonts w:eastAsia="仿宋_GB2312" w:cs="仿宋_GB2312"/>
          <w:sz w:val="32"/>
          <w:szCs w:val="32"/>
        </w:rPr>
      </w:pPr>
      <w:r>
        <w:rPr>
          <w:rFonts w:hint="eastAsia" w:eastAsia="仿宋_GB2312" w:cs="仿宋_GB2312"/>
          <w:sz w:val="32"/>
          <w:szCs w:val="32"/>
        </w:rPr>
        <w:t>人员经费</w:t>
      </w:r>
      <w:r>
        <w:rPr>
          <w:rFonts w:hint="eastAsia" w:ascii="仿宋_GB2312" w:hAnsi="仿宋_GB2312" w:eastAsia="仿宋_GB2312" w:cs="仿宋_GB2312"/>
          <w:sz w:val="32"/>
          <w:szCs w:val="32"/>
          <w:lang w:val="en-US" w:eastAsia="zh-CN"/>
        </w:rPr>
        <w:t>8731.17</w:t>
      </w:r>
      <w:r>
        <w:rPr>
          <w:rFonts w:hint="eastAsia" w:ascii="仿宋_GB2312" w:hAnsi="仿宋_GB2312" w:eastAsia="仿宋_GB2312" w:cs="仿宋_GB2312"/>
          <w:sz w:val="32"/>
          <w:szCs w:val="32"/>
        </w:rPr>
        <w:t>万</w:t>
      </w:r>
      <w:r>
        <w:rPr>
          <w:rFonts w:hint="eastAsia" w:eastAsia="仿宋_GB2312" w:cs="仿宋_GB2312"/>
          <w:sz w:val="32"/>
          <w:szCs w:val="32"/>
        </w:rPr>
        <w:t>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eastAsia="仿宋_GB2312" w:cs="仿宋_GB2312"/>
          <w:sz w:val="32"/>
          <w:szCs w:val="32"/>
        </w:rPr>
        <w:br w:type="textWrapping"/>
      </w:r>
      <w:r>
        <w:rPr>
          <w:rFonts w:hint="eastAsia" w:eastAsia="仿宋_GB2312" w:cs="仿宋_GB2312"/>
          <w:sz w:val="32"/>
          <w:szCs w:val="32"/>
        </w:rPr>
        <w:t>　　公用经费</w:t>
      </w:r>
      <w:r>
        <w:rPr>
          <w:rFonts w:hint="eastAsia" w:ascii="仿宋_GB2312" w:hAnsi="仿宋_GB2312" w:eastAsia="仿宋_GB2312" w:cs="仿宋_GB2312"/>
          <w:sz w:val="32"/>
          <w:szCs w:val="32"/>
          <w:lang w:val="en-US" w:eastAsia="zh-CN"/>
        </w:rPr>
        <w:t>133.37</w:t>
      </w:r>
      <w:r>
        <w:rPr>
          <w:rFonts w:hint="eastAsia" w:ascii="仿宋_GB2312" w:hAnsi="仿宋_GB2312" w:eastAsia="仿宋_GB2312" w:cs="仿宋_GB2312"/>
          <w:sz w:val="32"/>
          <w:szCs w:val="32"/>
        </w:rPr>
        <w:t>万</w:t>
      </w:r>
      <w:r>
        <w:rPr>
          <w:rFonts w:hint="eastAsia" w:eastAsia="仿宋_GB2312" w:cs="仿宋_GB2312"/>
          <w:sz w:val="32"/>
          <w:szCs w:val="32"/>
        </w:rPr>
        <w:t>元，主要包括：办公费、印刷费、咨询费、手续费、水费、电费、邮电费、物业管理费、差旅费、因公出国（境）费用、维修（护）费、租赁费、会议费、培训费、劳务费、委托业务费、工会经费、福利费、公务用车运行维护费、其他交通费、税金及附加费用、其他商品和服务支出等。</w:t>
      </w:r>
    </w:p>
    <w:p w14:paraId="4AA91940">
      <w:pPr>
        <w:spacing w:line="600" w:lineRule="exact"/>
        <w:ind w:firstLine="640"/>
        <w:rPr>
          <w:rFonts w:eastAsia="仿宋_GB2312" w:cs="仿宋_GB2312"/>
          <w:sz w:val="32"/>
          <w:szCs w:val="32"/>
        </w:rPr>
      </w:pPr>
    </w:p>
    <w:p w14:paraId="401142EF">
      <w:pPr>
        <w:spacing w:line="600" w:lineRule="exact"/>
        <w:ind w:firstLine="640"/>
        <w:outlineLvl w:val="1"/>
        <w:rPr>
          <w:rStyle w:val="30"/>
          <w:rFonts w:ascii="Times New Roman" w:hAnsi="Times New Roman" w:eastAsia="黑体"/>
          <w:b w:val="0"/>
        </w:rPr>
      </w:pPr>
      <w:bookmarkStart w:id="49" w:name="_Toc15377215"/>
      <w:bookmarkStart w:id="50" w:name="_Toc471538784"/>
      <w:bookmarkStart w:id="51" w:name="_Toc15396609"/>
      <w:r>
        <w:rPr>
          <w:rFonts w:hint="eastAsia" w:eastAsia="黑体"/>
          <w:sz w:val="32"/>
          <w:szCs w:val="32"/>
        </w:rPr>
        <w:t>七、</w:t>
      </w:r>
      <w:r>
        <w:rPr>
          <w:rStyle w:val="30"/>
          <w:rFonts w:hint="eastAsia" w:ascii="Times New Roman" w:hAnsi="Times New Roman" w:eastAsia="黑体"/>
          <w:b w:val="0"/>
        </w:rPr>
        <w:t>财政拨款</w:t>
      </w:r>
      <w:r>
        <w:rPr>
          <w:rStyle w:val="30"/>
          <w:rFonts w:hint="eastAsia" w:ascii="Times New Roman" w:hAnsi="Times New Roman" w:eastAsia="黑体"/>
        </w:rPr>
        <w:t>“</w:t>
      </w:r>
      <w:r>
        <w:rPr>
          <w:rStyle w:val="30"/>
          <w:rFonts w:hint="eastAsia" w:ascii="Times New Roman" w:hAnsi="Times New Roman" w:eastAsia="黑体"/>
          <w:b w:val="0"/>
        </w:rPr>
        <w:t>三公”经费支出决算情况说明</w:t>
      </w:r>
      <w:bookmarkEnd w:id="49"/>
      <w:bookmarkEnd w:id="50"/>
      <w:bookmarkEnd w:id="51"/>
    </w:p>
    <w:p w14:paraId="1A4B94AC">
      <w:pPr>
        <w:spacing w:line="600" w:lineRule="exact"/>
        <w:ind w:firstLine="643" w:firstLineChars="200"/>
        <w:outlineLvl w:val="2"/>
        <w:rPr>
          <w:rFonts w:eastAsia="楷体_GB2312" w:cs="楷体_GB2312"/>
          <w:b/>
          <w:sz w:val="32"/>
          <w:szCs w:val="32"/>
        </w:rPr>
      </w:pPr>
      <w:bookmarkStart w:id="52" w:name="_Toc15377216"/>
      <w:bookmarkStart w:id="53" w:name="_Toc1907178441"/>
      <w:r>
        <w:rPr>
          <w:rFonts w:hint="eastAsia" w:eastAsia="楷体_GB2312" w:cs="楷体_GB2312"/>
          <w:b/>
          <w:sz w:val="32"/>
          <w:szCs w:val="32"/>
        </w:rPr>
        <w:t>（一）“三公”经费财政拨款支出决算总体情况说明</w:t>
      </w:r>
      <w:bookmarkEnd w:id="52"/>
      <w:bookmarkEnd w:id="53"/>
    </w:p>
    <w:p w14:paraId="377EFCF0">
      <w:pPr>
        <w:spacing w:line="600" w:lineRule="exact"/>
        <w:ind w:firstLine="640"/>
        <w:rPr>
          <w:rFonts w:eastAsia="仿宋_GB2312" w:cs="仿宋_GB2312"/>
          <w:b/>
          <w:bCs/>
          <w:sz w:val="32"/>
          <w:szCs w:val="32"/>
        </w:rPr>
      </w:pPr>
      <w:r>
        <w:rPr>
          <w:rFonts w:hint="eastAsia" w:eastAsia="仿宋_GB2312" w:cs="仿宋_GB2312"/>
          <w:sz w:val="32"/>
          <w:szCs w:val="32"/>
        </w:rPr>
        <w:t>2024年度“三公”经费财政拨款支出决算为</w:t>
      </w:r>
      <w:r>
        <w:rPr>
          <w:rFonts w:hint="eastAsia" w:ascii="国标黑体" w:hAnsi="国标黑体" w:eastAsia="国标黑体" w:cs="国标黑体"/>
          <w:sz w:val="32"/>
          <w:szCs w:val="32"/>
          <w:lang w:val="en-US" w:eastAsia="zh-CN"/>
        </w:rPr>
        <w:t>2.17</w:t>
      </w:r>
      <w:r>
        <w:rPr>
          <w:rFonts w:hint="eastAsia" w:ascii="仿宋_GB2312" w:hAnsi="仿宋_GB2312" w:eastAsia="仿宋_GB2312" w:cs="仿宋_GB2312"/>
          <w:sz w:val="32"/>
          <w:szCs w:val="32"/>
        </w:rPr>
        <w:t>万元，完成预算</w:t>
      </w:r>
      <w:r>
        <w:rPr>
          <w:rFonts w:hint="eastAsia" w:ascii="国标黑体" w:hAnsi="国标黑体" w:eastAsia="国标黑体" w:cs="国标黑体"/>
          <w:sz w:val="32"/>
          <w:szCs w:val="32"/>
          <w:lang w:val="en-US" w:eastAsia="zh-CN"/>
        </w:rPr>
        <w:t>100</w:t>
      </w:r>
      <w:r>
        <w:rPr>
          <w:rFonts w:hint="eastAsia" w:ascii="国标黑体" w:hAnsi="国标黑体" w:eastAsia="国标黑体" w:cs="国标黑体"/>
          <w:sz w:val="32"/>
          <w:szCs w:val="32"/>
        </w:rPr>
        <w:t>%</w:t>
      </w:r>
      <w:r>
        <w:rPr>
          <w:rFonts w:hint="eastAsia" w:ascii="仿宋_GB2312" w:hAnsi="仿宋_GB2312" w:eastAsia="仿宋_GB2312" w:cs="仿宋_GB2312"/>
          <w:sz w:val="32"/>
          <w:szCs w:val="32"/>
        </w:rPr>
        <w:t>，</w:t>
      </w:r>
      <w:r>
        <w:rPr>
          <w:rFonts w:hint="eastAsia" w:eastAsia="仿宋_GB2312" w:cs="仿宋_GB2312"/>
          <w:sz w:val="32"/>
          <w:szCs w:val="32"/>
        </w:rPr>
        <w:t>与预算数持平</w:t>
      </w:r>
      <w:r>
        <w:rPr>
          <w:rFonts w:hint="eastAsia" w:eastAsia="仿宋_GB2312" w:cs="仿宋_GB2312"/>
          <w:sz w:val="32"/>
          <w:szCs w:val="32"/>
          <w:lang w:eastAsia="zh-CN"/>
        </w:rPr>
        <w:t>。</w:t>
      </w:r>
      <w:r>
        <w:rPr>
          <w:rFonts w:hint="eastAsia" w:eastAsia="仿宋_GB2312" w:cs="仿宋_GB2312"/>
          <w:sz w:val="32"/>
          <w:szCs w:val="32"/>
        </w:rPr>
        <w:t>较上年度增加</w:t>
      </w:r>
      <w:r>
        <w:rPr>
          <w:rFonts w:hint="eastAsia" w:eastAsia="仿宋_GB2312" w:cs="仿宋_GB2312"/>
          <w:sz w:val="32"/>
          <w:szCs w:val="32"/>
          <w:lang w:val="en-US" w:eastAsia="zh-CN"/>
        </w:rPr>
        <w:t>1.37</w:t>
      </w:r>
      <w:r>
        <w:rPr>
          <w:rFonts w:hint="eastAsia" w:eastAsia="仿宋_GB2312" w:cs="仿宋_GB2312"/>
          <w:sz w:val="32"/>
          <w:szCs w:val="32"/>
        </w:rPr>
        <w:t>万元，增长</w:t>
      </w:r>
      <w:r>
        <w:rPr>
          <w:rFonts w:hint="eastAsia" w:ascii="国标黑体" w:hAnsi="国标黑体" w:eastAsia="国标黑体" w:cs="国标黑体"/>
          <w:sz w:val="32"/>
          <w:szCs w:val="32"/>
          <w:lang w:val="en-US" w:eastAsia="zh-CN"/>
        </w:rPr>
        <w:t>171.25</w:t>
      </w:r>
      <w:r>
        <w:rPr>
          <w:rFonts w:hint="eastAsia" w:ascii="国标黑体" w:hAnsi="国标黑体" w:eastAsia="国标黑体" w:cs="国标黑体"/>
          <w:sz w:val="32"/>
          <w:szCs w:val="32"/>
        </w:rPr>
        <w:t>%</w:t>
      </w:r>
      <w:r>
        <w:rPr>
          <w:rFonts w:hint="eastAsia" w:ascii="国标黑体" w:hAnsi="国标黑体" w:eastAsia="国标黑体" w:cs="国标黑体"/>
          <w:sz w:val="32"/>
          <w:szCs w:val="32"/>
          <w:lang w:eastAsia="zh-CN"/>
        </w:rPr>
        <w:t>，</w:t>
      </w:r>
      <w:r>
        <w:rPr>
          <w:rFonts w:hint="eastAsia" w:ascii="CESI仿宋-GB2312" w:hAnsi="CESI仿宋-GB2312" w:eastAsia="CESI仿宋-GB2312" w:cs="CESI仿宋-GB2312"/>
          <w:sz w:val="32"/>
          <w:szCs w:val="32"/>
          <w:lang w:eastAsia="zh-CN"/>
        </w:rPr>
        <w:t>增加的主要原因是今年新增县疾控中心和县卫生监督执法大队数据汇总到卫健局部门数据</w:t>
      </w:r>
      <w:r>
        <w:rPr>
          <w:rFonts w:hint="eastAsia" w:eastAsia="仿宋_GB2312" w:cs="仿宋_GB2312"/>
          <w:sz w:val="32"/>
          <w:szCs w:val="32"/>
          <w:lang w:eastAsia="zh-CN"/>
        </w:rPr>
        <w:t>。</w:t>
      </w:r>
    </w:p>
    <w:p w14:paraId="6C4D6F8A">
      <w:pPr>
        <w:spacing w:line="600" w:lineRule="exact"/>
        <w:ind w:firstLine="643" w:firstLineChars="200"/>
        <w:outlineLvl w:val="2"/>
        <w:rPr>
          <w:rFonts w:eastAsia="楷体_GB2312" w:cs="楷体_GB2312"/>
          <w:b/>
          <w:sz w:val="32"/>
          <w:szCs w:val="32"/>
        </w:rPr>
      </w:pPr>
      <w:bookmarkStart w:id="54" w:name="_Toc1000949878"/>
      <w:bookmarkStart w:id="55" w:name="_Toc15377217"/>
      <w:r>
        <w:rPr>
          <w:rFonts w:hint="eastAsia" w:eastAsia="楷体_GB2312" w:cs="楷体_GB2312"/>
          <w:b/>
          <w:sz w:val="32"/>
          <w:szCs w:val="32"/>
        </w:rPr>
        <w:t>（二）“三公”经费财政拨款支出决算具体情况说明</w:t>
      </w:r>
      <w:bookmarkEnd w:id="54"/>
      <w:bookmarkEnd w:id="55"/>
    </w:p>
    <w:p w14:paraId="1F07A12B">
      <w:pPr>
        <w:spacing w:line="60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2024年度“三公”经费财政拨款支出决算中，因公出国（境）费支出决算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%；公务用车购置及运行维护费支出决算</w:t>
      </w:r>
      <w:r>
        <w:rPr>
          <w:rFonts w:hint="eastAsia" w:ascii="仿宋_GB2312" w:hAnsi="仿宋_GB2312" w:eastAsia="仿宋_GB2312" w:cs="仿宋_GB2312"/>
          <w:sz w:val="32"/>
          <w:szCs w:val="32"/>
          <w:lang w:val="en-US" w:eastAsia="zh-CN"/>
        </w:rPr>
        <w:t>2.17</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w:t>
      </w:r>
      <w:r>
        <w:rPr>
          <w:rFonts w:hint="eastAsia" w:ascii="仿宋_GB2312" w:hAnsi="仿宋_GB2312" w:eastAsia="仿宋_GB2312" w:cs="仿宋_GB2312"/>
          <w:sz w:val="32"/>
          <w:szCs w:val="32"/>
          <w:lang w:eastAsia="zh-CN"/>
        </w:rPr>
        <w:drawing>
          <wp:anchor distT="0" distB="0" distL="114300" distR="114300" simplePos="0" relativeHeight="251666432" behindDoc="0" locked="0" layoutInCell="1" allowOverlap="1">
            <wp:simplePos x="0" y="0"/>
            <wp:positionH relativeFrom="column">
              <wp:posOffset>55880</wp:posOffset>
            </wp:positionH>
            <wp:positionV relativeFrom="paragraph">
              <wp:posOffset>527685</wp:posOffset>
            </wp:positionV>
            <wp:extent cx="5256530" cy="2988310"/>
            <wp:effectExtent l="5080" t="4445" r="15240" b="17145"/>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eastAsia" w:ascii="仿宋_GB2312" w:hAnsi="仿宋_GB2312" w:eastAsia="仿宋_GB2312" w:cs="仿宋_GB2312"/>
          <w:sz w:val="32"/>
          <w:szCs w:val="32"/>
        </w:rPr>
        <w:t>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%。具体情况如下：</w:t>
      </w:r>
    </w:p>
    <w:p w14:paraId="796A9735">
      <w:pPr>
        <w:spacing w:line="600" w:lineRule="exact"/>
        <w:ind w:firstLine="640"/>
        <w:jc w:val="center"/>
        <w:rPr>
          <w:rFonts w:eastAsia="仿宋_GB2312" w:cs="仿宋_GB2312"/>
          <w:sz w:val="32"/>
          <w:szCs w:val="32"/>
        </w:rPr>
      </w:pPr>
      <w:r>
        <w:rPr>
          <w:rFonts w:hint="eastAsia" w:eastAsia="仿宋_GB2312" w:cs="仿宋_GB2312"/>
          <w:sz w:val="32"/>
          <w:szCs w:val="32"/>
        </w:rPr>
        <w:t>（图7：“三公”经费财政拨款支出结构）</w:t>
      </w:r>
    </w:p>
    <w:p w14:paraId="49AA4058">
      <w:pPr>
        <w:spacing w:line="600" w:lineRule="exact"/>
        <w:ind w:firstLine="640"/>
        <w:rPr>
          <w:rFonts w:hint="eastAsia" w:eastAsia="仿宋_GB2312" w:cs="仿宋_GB2312"/>
          <w:sz w:val="32"/>
          <w:szCs w:val="32"/>
          <w:lang w:eastAsia="zh-CN"/>
        </w:rPr>
      </w:pPr>
      <w:r>
        <w:rPr>
          <w:rFonts w:hint="eastAsia" w:eastAsia="仿宋_GB2312" w:cs="仿宋_GB2312"/>
          <w:b w:val="0"/>
          <w:bCs w:val="0"/>
          <w:sz w:val="32"/>
          <w:szCs w:val="32"/>
        </w:rPr>
        <w:t>1.</w:t>
      </w:r>
      <w:r>
        <w:rPr>
          <w:rFonts w:hint="eastAsia" w:eastAsia="仿宋_GB2312" w:cs="仿宋_GB2312"/>
          <w:b/>
          <w:bCs/>
          <w:sz w:val="32"/>
          <w:szCs w:val="32"/>
        </w:rPr>
        <w:t>因公出国（境）经费支出</w:t>
      </w:r>
      <w:r>
        <w:rPr>
          <w:rFonts w:hint="eastAsia" w:eastAsia="仿宋_GB2312" w:cs="仿宋_GB2312"/>
          <w:b w:val="0"/>
          <w:bCs w:val="0"/>
          <w:sz w:val="32"/>
          <w:szCs w:val="32"/>
          <w:lang w:val="en-US" w:eastAsia="zh-CN"/>
        </w:rPr>
        <w:t>0</w:t>
      </w:r>
      <w:r>
        <w:rPr>
          <w:rFonts w:hint="eastAsia" w:eastAsia="仿宋_GB2312" w:cs="仿宋_GB2312"/>
          <w:b/>
          <w:bCs/>
          <w:sz w:val="32"/>
          <w:szCs w:val="32"/>
        </w:rPr>
        <w:t>万元，完成预算</w:t>
      </w:r>
      <w:r>
        <w:rPr>
          <w:rFonts w:hint="eastAsia" w:eastAsia="仿宋_GB2312" w:cs="仿宋_GB2312"/>
          <w:b w:val="0"/>
          <w:bCs w:val="0"/>
          <w:sz w:val="32"/>
          <w:szCs w:val="32"/>
          <w:lang w:val="en-US" w:eastAsia="zh-CN"/>
        </w:rPr>
        <w:t>0</w:t>
      </w:r>
      <w:r>
        <w:rPr>
          <w:rFonts w:hint="eastAsia" w:eastAsia="仿宋_GB2312" w:cs="仿宋_GB2312"/>
          <w:b w:val="0"/>
          <w:bCs w:val="0"/>
          <w:sz w:val="32"/>
          <w:szCs w:val="32"/>
        </w:rPr>
        <w:t>%</w:t>
      </w:r>
      <w:r>
        <w:rPr>
          <w:rFonts w:hint="eastAsia" w:eastAsia="仿宋_GB2312" w:cs="仿宋_GB2312"/>
          <w:b/>
          <w:bCs/>
          <w:sz w:val="32"/>
          <w:szCs w:val="32"/>
        </w:rPr>
        <w:t>。</w:t>
      </w:r>
      <w:r>
        <w:rPr>
          <w:rFonts w:hint="eastAsia" w:eastAsia="仿宋_GB2312" w:cs="仿宋_GB2312"/>
          <w:sz w:val="32"/>
          <w:szCs w:val="32"/>
        </w:rPr>
        <w:t>全年</w:t>
      </w:r>
      <w:r>
        <w:rPr>
          <w:rFonts w:hint="eastAsia" w:eastAsia="仿宋_GB2312" w:cs="仿宋_GB2312"/>
          <w:sz w:val="32"/>
          <w:szCs w:val="32"/>
          <w:lang w:eastAsia="zh-CN"/>
        </w:rPr>
        <w:t>未</w:t>
      </w:r>
      <w:r>
        <w:rPr>
          <w:rFonts w:hint="eastAsia" w:eastAsia="仿宋_GB2312" w:cs="仿宋_GB2312"/>
          <w:sz w:val="32"/>
          <w:szCs w:val="32"/>
        </w:rPr>
        <w:t>安排因公出国（境）</w:t>
      </w:r>
      <w:r>
        <w:rPr>
          <w:rFonts w:hint="eastAsia" w:eastAsia="仿宋_GB2312" w:cs="仿宋_GB2312"/>
          <w:sz w:val="32"/>
          <w:szCs w:val="32"/>
          <w:lang w:eastAsia="zh-CN"/>
        </w:rPr>
        <w:t>。</w:t>
      </w:r>
      <w:r>
        <w:rPr>
          <w:rFonts w:hint="eastAsia" w:eastAsia="仿宋_GB2312" w:cs="仿宋_GB2312"/>
          <w:sz w:val="32"/>
          <w:szCs w:val="32"/>
        </w:rPr>
        <w:t>因公出国（境）支出决算比2023</w:t>
      </w:r>
      <w:r>
        <w:rPr>
          <w:rFonts w:hint="eastAsia" w:eastAsia="仿宋_GB2312" w:cs="仿宋_GB2312"/>
          <w:sz w:val="32"/>
          <w:szCs w:val="32"/>
          <w:lang w:eastAsia="zh-CN"/>
        </w:rPr>
        <w:t>年持平。</w:t>
      </w:r>
    </w:p>
    <w:p w14:paraId="77C2EE32">
      <w:pPr>
        <w:keepNext w:val="0"/>
        <w:keepLines w:val="0"/>
        <w:widowControl w:val="0"/>
        <w:suppressLineNumbers w:val="0"/>
        <w:spacing w:before="0" w:beforeAutospacing="0" w:after="0" w:afterAutospacing="0"/>
        <w:ind w:left="0" w:right="0" w:firstLine="640" w:firstLineChars="200"/>
        <w:jc w:val="both"/>
      </w:pPr>
      <w:r>
        <w:rPr>
          <w:rFonts w:hint="eastAsia" w:eastAsia="仿宋_GB2312" w:cs="仿宋_GB2312"/>
          <w:b w:val="0"/>
          <w:bCs w:val="0"/>
          <w:sz w:val="32"/>
          <w:szCs w:val="32"/>
        </w:rPr>
        <w:t>2.</w:t>
      </w:r>
      <w:r>
        <w:rPr>
          <w:rFonts w:hint="eastAsia" w:eastAsia="仿宋_GB2312" w:cs="仿宋_GB2312"/>
          <w:b/>
          <w:bCs/>
          <w:sz w:val="32"/>
          <w:szCs w:val="32"/>
        </w:rPr>
        <w:t>公务用车购置及运行维护费支出</w:t>
      </w:r>
      <w:r>
        <w:rPr>
          <w:rFonts w:hint="eastAsia" w:ascii="仿宋_GB2312" w:hAnsi="仿宋_GB2312" w:eastAsia="仿宋_GB2312" w:cs="仿宋_GB2312"/>
          <w:b/>
          <w:bCs/>
          <w:sz w:val="32"/>
          <w:szCs w:val="32"/>
          <w:lang w:val="en-US" w:eastAsia="zh-CN"/>
        </w:rPr>
        <w:t>2.17</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val="0"/>
          <w:bCs w:val="0"/>
          <w:sz w:val="32"/>
          <w:szCs w:val="32"/>
          <w:lang w:val="en-US" w:eastAsia="zh-CN"/>
        </w:rPr>
        <w:t>100</w:t>
      </w:r>
      <w:r>
        <w:rPr>
          <w:rFonts w:hint="eastAsia" w:eastAsia="仿宋_GB2312" w:cs="仿宋_GB2312"/>
          <w:b w:val="0"/>
          <w:bCs w:val="0"/>
          <w:sz w:val="32"/>
          <w:szCs w:val="32"/>
        </w:rPr>
        <w:t>%。</w:t>
      </w:r>
      <w:r>
        <w:rPr>
          <w:rFonts w:hint="eastAsia" w:eastAsia="仿宋_GB2312" w:cs="仿宋_GB2312"/>
          <w:sz w:val="32"/>
          <w:szCs w:val="32"/>
        </w:rPr>
        <w:t>公务用车购置及运行维护费支出决算比2023年度增加</w:t>
      </w:r>
      <w:r>
        <w:rPr>
          <w:rFonts w:hint="eastAsia" w:eastAsia="仿宋_GB2312" w:cs="仿宋_GB2312"/>
          <w:sz w:val="32"/>
          <w:szCs w:val="32"/>
          <w:lang w:val="en-US" w:eastAsia="zh-CN"/>
        </w:rPr>
        <w:t>1.38</w:t>
      </w:r>
      <w:r>
        <w:rPr>
          <w:rFonts w:hint="eastAsia" w:eastAsia="仿宋_GB2312" w:cs="仿宋_GB2312"/>
          <w:sz w:val="32"/>
          <w:szCs w:val="32"/>
        </w:rPr>
        <w:t>万元，增长</w:t>
      </w:r>
      <w:r>
        <w:rPr>
          <w:rFonts w:hint="eastAsia" w:eastAsia="仿宋_GB2312" w:cs="仿宋_GB2312"/>
          <w:sz w:val="32"/>
          <w:szCs w:val="32"/>
          <w:lang w:val="en-US" w:eastAsia="zh-CN"/>
        </w:rPr>
        <w:t>171.25</w:t>
      </w:r>
      <w:r>
        <w:rPr>
          <w:rFonts w:hint="eastAsia" w:eastAsia="仿宋_GB2312" w:cs="仿宋_GB2312"/>
          <w:sz w:val="32"/>
          <w:szCs w:val="32"/>
        </w:rPr>
        <w:t>%。主要原因是</w:t>
      </w:r>
      <w:r>
        <w:rPr>
          <w:rFonts w:hint="eastAsia" w:ascii="CESI仿宋-GB2312" w:hAnsi="CESI仿宋-GB2312" w:eastAsia="CESI仿宋-GB2312" w:cs="CESI仿宋-GB2312"/>
          <w:kern w:val="2"/>
          <w:sz w:val="32"/>
          <w:szCs w:val="32"/>
          <w:lang w:val="en-US" w:eastAsia="zh-CN" w:bidi="ar"/>
        </w:rPr>
        <w:t>今年新增县疾控中心和县卫生监督执法大队数据汇总到卫健局部门数据</w:t>
      </w:r>
      <w:r>
        <w:rPr>
          <w:rFonts w:hint="default" w:ascii="仿宋_GB2312" w:hAnsi="Times New Roman" w:eastAsia="仿宋_GB2312" w:cs="仿宋_GB2312"/>
          <w:kern w:val="2"/>
          <w:sz w:val="32"/>
          <w:szCs w:val="32"/>
          <w:lang w:val="en-US" w:eastAsia="zh-CN" w:bidi="ar"/>
        </w:rPr>
        <w:t>。</w:t>
      </w:r>
    </w:p>
    <w:p w14:paraId="67152787">
      <w:pPr>
        <w:spacing w:line="600" w:lineRule="exact"/>
        <w:ind w:firstLine="640"/>
        <w:rPr>
          <w:rFonts w:eastAsia="仿宋_GB2312" w:cs="仿宋_GB2312"/>
          <w:sz w:val="32"/>
          <w:szCs w:val="32"/>
        </w:rPr>
      </w:pPr>
      <w:r>
        <w:rPr>
          <w:rFonts w:hint="eastAsia" w:eastAsia="仿宋_GB2312" w:cs="仿宋_GB2312"/>
          <w:sz w:val="32"/>
          <w:szCs w:val="32"/>
        </w:rPr>
        <w:t>其中：公务用车购置支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eastAsia="仿宋_GB2312" w:cs="仿宋_GB2312"/>
          <w:sz w:val="32"/>
          <w:szCs w:val="32"/>
        </w:rPr>
        <w:t>万元。全年按规定更新购置公务用车</w:t>
      </w:r>
      <w:r>
        <w:rPr>
          <w:rFonts w:hint="eastAsia" w:eastAsia="仿宋_GB2312" w:cs="仿宋_GB2312"/>
          <w:sz w:val="32"/>
          <w:szCs w:val="32"/>
          <w:lang w:val="en-US" w:eastAsia="zh-CN"/>
        </w:rPr>
        <w:t>0</w:t>
      </w:r>
      <w:r>
        <w:rPr>
          <w:rFonts w:hint="eastAsia" w:eastAsia="仿宋_GB2312" w:cs="仿宋_GB2312"/>
          <w:sz w:val="32"/>
          <w:szCs w:val="32"/>
        </w:rPr>
        <w:t>辆。截至2024年12月31日，单位共有公务用车</w:t>
      </w:r>
      <w:r>
        <w:rPr>
          <w:rFonts w:hint="eastAsia" w:eastAsia="仿宋_GB2312" w:cs="仿宋_GB2312"/>
          <w:sz w:val="32"/>
          <w:szCs w:val="32"/>
          <w:lang w:val="en-US" w:eastAsia="zh-CN"/>
        </w:rPr>
        <w:t>35</w:t>
      </w:r>
      <w:r>
        <w:rPr>
          <w:rFonts w:hint="eastAsia" w:eastAsia="仿宋_GB2312" w:cs="仿宋_GB2312"/>
          <w:sz w:val="32"/>
          <w:szCs w:val="32"/>
        </w:rPr>
        <w:t>辆，其中：</w:t>
      </w:r>
      <w:r>
        <w:rPr>
          <w:rFonts w:hint="eastAsia" w:eastAsia="仿宋_GB2312" w:cs="仿宋_GB2312"/>
          <w:sz w:val="32"/>
          <w:szCs w:val="32"/>
          <w:lang w:eastAsia="zh-CN"/>
        </w:rPr>
        <w:t>应急保障用车</w:t>
      </w:r>
      <w:r>
        <w:rPr>
          <w:rFonts w:hint="eastAsia" w:eastAsia="仿宋_GB2312" w:cs="仿宋_GB2312"/>
          <w:sz w:val="32"/>
          <w:szCs w:val="32"/>
          <w:lang w:val="en-US" w:eastAsia="zh-CN"/>
        </w:rPr>
        <w:t>1辆，特种专业技术用车29辆，其他用车5辆</w:t>
      </w:r>
      <w:r>
        <w:rPr>
          <w:rFonts w:hint="eastAsia" w:eastAsia="仿宋_GB2312" w:cs="仿宋_GB2312"/>
          <w:sz w:val="32"/>
          <w:szCs w:val="32"/>
        </w:rPr>
        <w:t>。</w:t>
      </w:r>
    </w:p>
    <w:p w14:paraId="719EE209">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2.17</w:t>
      </w:r>
      <w:r>
        <w:rPr>
          <w:rFonts w:hint="eastAsia" w:eastAsia="仿宋_GB2312" w:cs="仿宋_GB2312"/>
          <w:sz w:val="32"/>
          <w:szCs w:val="32"/>
        </w:rPr>
        <w:t>万元。主要用于</w:t>
      </w:r>
      <w:r>
        <w:rPr>
          <w:rFonts w:hint="eastAsia" w:ascii="CESI仿宋-GB2312" w:hAnsi="CESI仿宋-GB2312" w:eastAsia="CESI仿宋-GB2312" w:cs="CESI仿宋-GB2312"/>
          <w:kern w:val="2"/>
          <w:sz w:val="32"/>
          <w:szCs w:val="32"/>
          <w:lang w:val="en-US" w:eastAsia="zh-CN" w:bidi="ar"/>
        </w:rPr>
        <w:t>开展日常工作、保障机构运转</w:t>
      </w:r>
      <w:r>
        <w:rPr>
          <w:rFonts w:hint="eastAsia" w:eastAsia="仿宋_GB2312" w:cs="仿宋_GB2312"/>
          <w:sz w:val="32"/>
          <w:szCs w:val="32"/>
        </w:rPr>
        <w:t>所需的公务用车燃料费、维修费、过路过桥费、保险费等支出。</w:t>
      </w:r>
    </w:p>
    <w:p w14:paraId="688768C3">
      <w:pPr>
        <w:spacing w:line="600" w:lineRule="exact"/>
        <w:ind w:firstLine="640"/>
        <w:rPr>
          <w:rFonts w:eastAsia="仿宋_GB2312" w:cs="仿宋_GB2312"/>
          <w:sz w:val="32"/>
          <w:szCs w:val="32"/>
        </w:rPr>
      </w:pPr>
      <w:r>
        <w:rPr>
          <w:rFonts w:hint="eastAsia" w:eastAsia="仿宋_GB2312" w:cs="仿宋_GB2312"/>
          <w:b w:val="0"/>
          <w:bCs w:val="0"/>
          <w:sz w:val="32"/>
          <w:szCs w:val="32"/>
        </w:rPr>
        <w:t>3.</w:t>
      </w:r>
      <w:r>
        <w:rPr>
          <w:rFonts w:hint="eastAsia" w:eastAsia="仿宋_GB2312" w:cs="仿宋_GB2312"/>
          <w:b/>
          <w:bCs/>
          <w:sz w:val="32"/>
          <w:szCs w:val="32"/>
        </w:rPr>
        <w:t>公务接待费支出</w:t>
      </w:r>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val="0"/>
          <w:bCs w:val="0"/>
          <w:sz w:val="32"/>
          <w:szCs w:val="32"/>
          <w:lang w:val="en-US" w:eastAsia="zh-CN"/>
        </w:rPr>
        <w:t>0</w:t>
      </w:r>
      <w:r>
        <w:rPr>
          <w:rFonts w:hint="eastAsia" w:eastAsia="仿宋_GB2312" w:cs="仿宋_GB2312"/>
          <w:b w:val="0"/>
          <w:bCs w:val="0"/>
          <w:sz w:val="32"/>
          <w:szCs w:val="32"/>
        </w:rPr>
        <w:t>%</w:t>
      </w:r>
      <w:r>
        <w:rPr>
          <w:rFonts w:hint="eastAsia" w:eastAsia="仿宋_GB2312" w:cs="仿宋_GB2312"/>
          <w:b/>
          <w:bCs/>
          <w:sz w:val="32"/>
          <w:szCs w:val="32"/>
        </w:rPr>
        <w:t>。</w:t>
      </w:r>
      <w:r>
        <w:rPr>
          <w:rFonts w:hint="eastAsia" w:eastAsia="仿宋_GB2312" w:cs="仿宋_GB2312"/>
          <w:sz w:val="32"/>
          <w:szCs w:val="32"/>
        </w:rPr>
        <w:t>公务接待费支出决算比2023年度</w:t>
      </w:r>
      <w:r>
        <w:rPr>
          <w:rFonts w:hint="eastAsia" w:eastAsia="仿宋_GB2312" w:cs="仿宋_GB2312"/>
          <w:sz w:val="32"/>
          <w:szCs w:val="32"/>
          <w:lang w:eastAsia="zh-CN"/>
        </w:rPr>
        <w:t>持平。</w:t>
      </w:r>
      <w:r>
        <w:rPr>
          <w:rFonts w:hint="eastAsia" w:eastAsia="仿宋_GB2312" w:cs="仿宋_GB2312"/>
          <w:sz w:val="32"/>
          <w:szCs w:val="32"/>
        </w:rPr>
        <w:t>其中：</w:t>
      </w:r>
    </w:p>
    <w:p w14:paraId="3006AAF3">
      <w:pPr>
        <w:spacing w:line="600" w:lineRule="exact"/>
        <w:ind w:firstLine="640"/>
        <w:rPr>
          <w:rFonts w:eastAsia="仿宋_GB2312" w:cs="仿宋_GB2312"/>
          <w:sz w:val="32"/>
          <w:szCs w:val="32"/>
        </w:rPr>
      </w:pPr>
      <w:r>
        <w:rPr>
          <w:rFonts w:hint="eastAsia" w:eastAsia="仿宋_GB2312" w:cs="仿宋_GB2312"/>
          <w:sz w:val="32"/>
          <w:szCs w:val="32"/>
        </w:rPr>
        <w:t>国内公务接待支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w:t>
      </w:r>
      <w:r>
        <w:rPr>
          <w:rFonts w:hint="eastAsia" w:eastAsia="仿宋_GB2312" w:cs="仿宋_GB2312"/>
          <w:sz w:val="32"/>
          <w:szCs w:val="32"/>
        </w:rPr>
        <w:t>元。</w:t>
      </w:r>
    </w:p>
    <w:p w14:paraId="524BBE70">
      <w:pPr>
        <w:spacing w:line="600" w:lineRule="exact"/>
        <w:ind w:firstLine="640"/>
        <w:rPr>
          <w:rFonts w:eastAsia="仿宋_GB2312" w:cs="仿宋_GB2312"/>
          <w:sz w:val="32"/>
          <w:szCs w:val="32"/>
        </w:rPr>
      </w:pPr>
      <w:r>
        <w:rPr>
          <w:rFonts w:hint="eastAsia" w:eastAsia="仿宋_GB2312" w:cs="仿宋_GB2312"/>
          <w:sz w:val="32"/>
          <w:szCs w:val="32"/>
        </w:rPr>
        <w:t>外事接待支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eastAsia="仿宋_GB2312" w:cs="仿宋_GB2312"/>
          <w:sz w:val="32"/>
          <w:szCs w:val="32"/>
        </w:rPr>
        <w:t>。</w:t>
      </w:r>
    </w:p>
    <w:p w14:paraId="670F5877">
      <w:pPr>
        <w:spacing w:line="600" w:lineRule="exact"/>
        <w:ind w:firstLine="640"/>
        <w:rPr>
          <w:rFonts w:eastAsia="仿宋_GB2312" w:cs="仿宋_GB2312"/>
          <w:sz w:val="32"/>
          <w:szCs w:val="32"/>
        </w:rPr>
      </w:pPr>
      <w:bookmarkStart w:id="56" w:name="_Toc15396610"/>
      <w:bookmarkStart w:id="57" w:name="_Toc15377218"/>
    </w:p>
    <w:p w14:paraId="6D5875DF">
      <w:pPr>
        <w:spacing w:line="600" w:lineRule="exact"/>
        <w:ind w:firstLine="640"/>
        <w:outlineLvl w:val="1"/>
        <w:rPr>
          <w:rStyle w:val="30"/>
          <w:rFonts w:ascii="Times New Roman" w:hAnsi="Times New Roman" w:eastAsia="黑体"/>
        </w:rPr>
      </w:pPr>
      <w:bookmarkStart w:id="58" w:name="_Toc316582865"/>
      <w:r>
        <w:rPr>
          <w:rFonts w:hint="eastAsia" w:eastAsia="黑体"/>
          <w:sz w:val="32"/>
          <w:szCs w:val="32"/>
        </w:rPr>
        <w:t>八、</w:t>
      </w:r>
      <w:r>
        <w:rPr>
          <w:rStyle w:val="30"/>
          <w:rFonts w:hint="eastAsia" w:ascii="Times New Roman" w:hAnsi="Times New Roman" w:eastAsia="黑体"/>
          <w:b w:val="0"/>
        </w:rPr>
        <w:t>政府性基金预算支出决算情况说明</w:t>
      </w:r>
      <w:bookmarkEnd w:id="56"/>
      <w:bookmarkEnd w:id="57"/>
      <w:bookmarkEnd w:id="58"/>
    </w:p>
    <w:p w14:paraId="3E728DCE">
      <w:pPr>
        <w:spacing w:line="600" w:lineRule="exact"/>
        <w:ind w:firstLine="640"/>
        <w:rPr>
          <w:rFonts w:eastAsia="仿宋_GB2312" w:cs="仿宋_GB2312"/>
          <w:sz w:val="32"/>
          <w:szCs w:val="32"/>
        </w:rPr>
      </w:pPr>
      <w:r>
        <w:rPr>
          <w:rFonts w:hint="eastAsia" w:ascii="仿宋_GB2312" w:hAnsi="仿宋_GB2312" w:eastAsia="仿宋_GB2312" w:cs="仿宋_GB2312"/>
          <w:sz w:val="32"/>
          <w:szCs w:val="32"/>
        </w:rPr>
        <w:t>2024年度政府性基金预算财政拨款支出</w:t>
      </w:r>
      <w:r>
        <w:rPr>
          <w:rFonts w:hint="eastAsia" w:ascii="仿宋_GB2312" w:hAnsi="仿宋_GB2312" w:eastAsia="仿宋_GB2312" w:cs="仿宋_GB2312"/>
          <w:sz w:val="32"/>
          <w:szCs w:val="32"/>
          <w:lang w:val="en-US" w:eastAsia="zh-CN"/>
        </w:rPr>
        <w:t>7064.16</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20.64</w:t>
      </w:r>
      <w:r>
        <w:rPr>
          <w:rFonts w:hint="eastAsia" w:ascii="仿宋_GB2312" w:hAnsi="仿宋_GB2312" w:eastAsia="仿宋_GB2312" w:cs="仿宋_GB2312"/>
          <w:sz w:val="32"/>
          <w:szCs w:val="32"/>
        </w:rPr>
        <w:t>%</w:t>
      </w:r>
      <w:r>
        <w:rPr>
          <w:rFonts w:hint="eastAsia" w:eastAsia="仿宋_GB2312" w:cs="仿宋_GB2312"/>
          <w:sz w:val="32"/>
          <w:szCs w:val="32"/>
        </w:rPr>
        <w:t>。与2023年度相比，政府性基金预算财政拨款支出增加</w:t>
      </w:r>
      <w:r>
        <w:rPr>
          <w:rFonts w:hint="eastAsia" w:eastAsia="仿宋_GB2312" w:cs="仿宋_GB2312"/>
          <w:sz w:val="32"/>
          <w:szCs w:val="32"/>
          <w:lang w:val="en-US" w:eastAsia="zh-CN"/>
        </w:rPr>
        <w:t>2060.1</w:t>
      </w:r>
      <w:r>
        <w:rPr>
          <w:rFonts w:hint="eastAsia" w:eastAsia="仿宋_GB2312" w:cs="仿宋_GB2312"/>
          <w:sz w:val="32"/>
          <w:szCs w:val="32"/>
        </w:rPr>
        <w:t>万元，增长</w:t>
      </w:r>
      <w:r>
        <w:rPr>
          <w:rFonts w:hint="eastAsia" w:eastAsia="仿宋_GB2312" w:cs="仿宋_GB2312"/>
          <w:sz w:val="32"/>
          <w:szCs w:val="32"/>
          <w:lang w:val="en-US" w:eastAsia="zh-CN"/>
        </w:rPr>
        <w:t>41.16</w:t>
      </w:r>
      <w:r>
        <w:rPr>
          <w:rFonts w:hint="eastAsia" w:eastAsia="仿宋_GB2312" w:cs="仿宋_GB2312"/>
          <w:sz w:val="32"/>
          <w:szCs w:val="32"/>
        </w:rPr>
        <w:t>%。主要变动原因是</w:t>
      </w:r>
      <w:r>
        <w:rPr>
          <w:rFonts w:hint="eastAsia" w:eastAsia="仿宋_GB2312" w:cs="仿宋_GB2312"/>
          <w:sz w:val="32"/>
          <w:szCs w:val="32"/>
          <w:lang w:eastAsia="zh-CN"/>
        </w:rPr>
        <w:t>盐边县第二人民医院建设项目仍处于在建状态，本年项目资金较去年增加。</w:t>
      </w:r>
    </w:p>
    <w:p w14:paraId="6A3B3646">
      <w:pPr>
        <w:spacing w:line="600" w:lineRule="exact"/>
        <w:ind w:left="630"/>
        <w:outlineLvl w:val="1"/>
        <w:rPr>
          <w:rStyle w:val="30"/>
          <w:rFonts w:ascii="Times New Roman" w:hAnsi="Times New Roman" w:eastAsia="黑体"/>
          <w:b w:val="0"/>
        </w:rPr>
      </w:pPr>
      <w:bookmarkStart w:id="59" w:name="_Toc15377219"/>
      <w:bookmarkStart w:id="60" w:name="_Toc15396611"/>
      <w:bookmarkStart w:id="61" w:name="_Toc1587514949"/>
      <w:r>
        <w:rPr>
          <w:rStyle w:val="30"/>
          <w:rFonts w:hint="eastAsia" w:ascii="Times New Roman" w:hAnsi="Times New Roman" w:eastAsia="黑体"/>
          <w:b w:val="0"/>
        </w:rPr>
        <w:t>九、国有资本经营预算支出决算情况说明</w:t>
      </w:r>
      <w:bookmarkEnd w:id="59"/>
      <w:bookmarkEnd w:id="60"/>
      <w:bookmarkEnd w:id="61"/>
    </w:p>
    <w:p w14:paraId="7340261F">
      <w:pPr>
        <w:keepNext w:val="0"/>
        <w:keepLines w:val="0"/>
        <w:widowControl w:val="0"/>
        <w:suppressLineNumbers w:val="0"/>
        <w:spacing w:before="0" w:beforeLines="0" w:beforeAutospacing="0" w:after="0" w:afterLines="0" w:afterAutospacing="0" w:line="576" w:lineRule="exact"/>
        <w:ind w:left="0" w:right="0" w:firstLine="640"/>
        <w:jc w:val="both"/>
        <w:rPr>
          <w:rFonts w:eastAsia="仿宋_GB2312" w:cs="仿宋_GB2312"/>
          <w:sz w:val="32"/>
          <w:szCs w:val="32"/>
        </w:rPr>
      </w:pPr>
      <w:r>
        <w:rPr>
          <w:rFonts w:hint="eastAsia" w:eastAsia="仿宋_GB2312" w:cs="仿宋_GB2312"/>
          <w:sz w:val="32"/>
          <w:szCs w:val="32"/>
        </w:rPr>
        <w:t>2024年度国有资本经营预算财政拨款支出</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CESI仿宋-GB2312" w:hAnsi="CESI仿宋-GB2312" w:eastAsia="CESI仿宋-GB2312" w:cs="CESI仿宋-GB2312"/>
          <w:kern w:val="2"/>
          <w:sz w:val="32"/>
          <w:szCs w:val="32"/>
          <w:lang w:val="en-US" w:eastAsia="zh-CN" w:bidi="ar"/>
        </w:rPr>
        <w:t>本部门没有国有资本经营预算拨款收入，也没有使用国有资本经营预算拨款安排的支出。</w:t>
      </w:r>
    </w:p>
    <w:p w14:paraId="541836DB">
      <w:pPr>
        <w:spacing w:line="600" w:lineRule="exact"/>
        <w:ind w:left="630"/>
        <w:outlineLvl w:val="1"/>
        <w:rPr>
          <w:rStyle w:val="30"/>
          <w:rFonts w:ascii="Times New Roman" w:hAnsi="Times New Roman" w:eastAsia="黑体"/>
          <w:b w:val="0"/>
        </w:rPr>
      </w:pPr>
      <w:bookmarkStart w:id="62" w:name="_Toc15396612"/>
      <w:bookmarkStart w:id="63" w:name="_Toc863082320"/>
      <w:bookmarkStart w:id="64" w:name="_Toc15377221"/>
      <w:r>
        <w:rPr>
          <w:rStyle w:val="30"/>
          <w:rFonts w:hint="eastAsia" w:ascii="Times New Roman" w:hAnsi="Times New Roman" w:eastAsia="黑体"/>
          <w:b w:val="0"/>
        </w:rPr>
        <w:t>十、其他重要事项的情况说明</w:t>
      </w:r>
      <w:bookmarkEnd w:id="62"/>
      <w:bookmarkEnd w:id="63"/>
      <w:bookmarkEnd w:id="64"/>
    </w:p>
    <w:p w14:paraId="7B7BCB0F">
      <w:pPr>
        <w:spacing w:line="600" w:lineRule="exact"/>
        <w:ind w:firstLine="643" w:firstLineChars="200"/>
        <w:outlineLvl w:val="2"/>
        <w:rPr>
          <w:rFonts w:eastAsia="楷体_GB2312" w:cs="楷体_GB2312"/>
          <w:b/>
          <w:sz w:val="32"/>
          <w:szCs w:val="32"/>
        </w:rPr>
      </w:pPr>
      <w:bookmarkStart w:id="65" w:name="_Toc15377222"/>
      <w:bookmarkStart w:id="66" w:name="_Toc280431532"/>
      <w:r>
        <w:rPr>
          <w:rFonts w:hint="eastAsia" w:eastAsia="楷体_GB2312" w:cs="楷体_GB2312"/>
          <w:b/>
          <w:sz w:val="32"/>
          <w:szCs w:val="32"/>
        </w:rPr>
        <w:t>（一）机关运行经费支出情况</w:t>
      </w:r>
      <w:bookmarkEnd w:id="65"/>
      <w:bookmarkEnd w:id="66"/>
    </w:p>
    <w:p w14:paraId="3058031B">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eastAsia="仿宋_GB2312" w:cs="仿宋_GB2312"/>
          <w:sz w:val="32"/>
          <w:szCs w:val="32"/>
        </w:rPr>
        <w:t>2024年度</w:t>
      </w:r>
      <w:r>
        <w:rPr>
          <w:rFonts w:hint="eastAsia" w:ascii="仿宋_GB2312" w:hAnsi="仿宋_GB2312" w:eastAsia="仿宋_GB2312" w:cs="仿宋_GB2312"/>
          <w:sz w:val="32"/>
          <w:szCs w:val="32"/>
        </w:rPr>
        <w:t>，</w:t>
      </w:r>
      <w:r>
        <w:rPr>
          <w:rFonts w:hint="eastAsia" w:ascii="CESI仿宋-GB2312" w:hAnsi="CESI仿宋-GB2312" w:eastAsia="CESI仿宋-GB2312" w:cs="CESI仿宋-GB2312"/>
          <w:kern w:val="2"/>
          <w:sz w:val="32"/>
          <w:szCs w:val="32"/>
          <w:lang w:val="en-US" w:eastAsia="zh-CN" w:bidi="ar"/>
        </w:rPr>
        <w:t>盐边县卫生健康局</w:t>
      </w:r>
      <w:r>
        <w:rPr>
          <w:rFonts w:hint="eastAsia" w:ascii="仿宋_GB2312" w:hAnsi="仿宋_GB2312" w:eastAsia="仿宋_GB2312" w:cs="仿宋_GB2312"/>
          <w:sz w:val="32"/>
          <w:szCs w:val="32"/>
        </w:rPr>
        <w:t>机关运行经费支出</w:t>
      </w:r>
      <w:r>
        <w:rPr>
          <w:rFonts w:hint="eastAsia" w:ascii="仿宋_GB2312" w:hAnsi="仿宋_GB2312" w:eastAsia="仿宋_GB2312" w:cs="仿宋_GB2312"/>
          <w:sz w:val="32"/>
          <w:szCs w:val="32"/>
          <w:lang w:val="en-US" w:eastAsia="zh-CN"/>
        </w:rPr>
        <w:t>53.18</w:t>
      </w:r>
      <w:r>
        <w:rPr>
          <w:rFonts w:hint="eastAsia" w:ascii="仿宋_GB2312" w:hAnsi="仿宋_GB2312" w:eastAsia="仿宋_GB2312" w:cs="仿宋_GB2312"/>
          <w:sz w:val="32"/>
          <w:szCs w:val="32"/>
        </w:rPr>
        <w:t>万</w:t>
      </w:r>
      <w:r>
        <w:rPr>
          <w:rFonts w:hint="eastAsia" w:eastAsia="仿宋_GB2312" w:cs="仿宋_GB2312"/>
          <w:sz w:val="32"/>
          <w:szCs w:val="32"/>
        </w:rPr>
        <w:t>元，比2023年度增加</w:t>
      </w:r>
      <w:r>
        <w:rPr>
          <w:rFonts w:hint="eastAsia" w:eastAsia="仿宋_GB2312" w:cs="仿宋_GB2312"/>
          <w:sz w:val="32"/>
          <w:szCs w:val="32"/>
          <w:lang w:val="en-US" w:eastAsia="zh-CN"/>
        </w:rPr>
        <w:t>9.74</w:t>
      </w:r>
      <w:r>
        <w:rPr>
          <w:rFonts w:hint="eastAsia" w:eastAsia="仿宋_GB2312" w:cs="仿宋_GB2312"/>
          <w:sz w:val="32"/>
          <w:szCs w:val="32"/>
        </w:rPr>
        <w:t>万元，增长</w:t>
      </w:r>
      <w:r>
        <w:rPr>
          <w:rFonts w:hint="eastAsia" w:eastAsia="仿宋_GB2312" w:cs="仿宋_GB2312"/>
          <w:sz w:val="32"/>
          <w:szCs w:val="32"/>
          <w:lang w:val="en-US" w:eastAsia="zh-CN"/>
        </w:rPr>
        <w:t>22.42</w:t>
      </w:r>
      <w:r>
        <w:rPr>
          <w:rFonts w:hint="eastAsia" w:eastAsia="仿宋_GB2312" w:cs="仿宋_GB2312"/>
          <w:sz w:val="32"/>
          <w:szCs w:val="32"/>
        </w:rPr>
        <w:t>%。主要原因是</w:t>
      </w:r>
      <w:r>
        <w:rPr>
          <w:rFonts w:hint="eastAsia" w:ascii="CESI仿宋-GB2312" w:hAnsi="CESI仿宋-GB2312" w:eastAsia="CESI仿宋-GB2312" w:cs="CESI仿宋-GB2312"/>
          <w:kern w:val="2"/>
          <w:sz w:val="32"/>
          <w:szCs w:val="32"/>
          <w:lang w:val="en-US" w:eastAsia="zh-CN" w:bidi="ar"/>
        </w:rPr>
        <w:t>今年新增县疾控中心和县卫生监督执法大队数据汇总到卫健局部门数据</w:t>
      </w:r>
      <w:r>
        <w:rPr>
          <w:rFonts w:hint="default" w:ascii="仿宋_GB2312" w:hAnsi="Times New Roman" w:eastAsia="仿宋_GB2312" w:cs="仿宋_GB2312"/>
          <w:kern w:val="2"/>
          <w:sz w:val="32"/>
          <w:szCs w:val="32"/>
          <w:lang w:val="en-US" w:eastAsia="zh-CN" w:bidi="ar"/>
        </w:rPr>
        <w:t>。</w:t>
      </w:r>
    </w:p>
    <w:p w14:paraId="086FA6BB">
      <w:pPr>
        <w:spacing w:line="600" w:lineRule="exact"/>
        <w:ind w:firstLine="643" w:firstLineChars="200"/>
        <w:outlineLvl w:val="2"/>
        <w:rPr>
          <w:rFonts w:eastAsia="楷体_GB2312" w:cs="楷体_GB2312"/>
          <w:b/>
          <w:sz w:val="32"/>
          <w:szCs w:val="32"/>
        </w:rPr>
      </w:pPr>
      <w:bookmarkStart w:id="67" w:name="_Toc15377223"/>
      <w:bookmarkStart w:id="68" w:name="_Toc834135384"/>
      <w:r>
        <w:rPr>
          <w:rFonts w:hint="eastAsia" w:eastAsia="楷体_GB2312" w:cs="楷体_GB2312"/>
          <w:b/>
          <w:sz w:val="32"/>
          <w:szCs w:val="32"/>
        </w:rPr>
        <w:t>（二）政府采购支出情况</w:t>
      </w:r>
      <w:bookmarkEnd w:id="67"/>
      <w:bookmarkEnd w:id="68"/>
    </w:p>
    <w:p w14:paraId="1A86D633">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ascii="仿宋_GB2312" w:hAnsi="仿宋_GB2312" w:eastAsia="仿宋_GB2312" w:cs="仿宋_GB2312"/>
          <w:sz w:val="32"/>
          <w:szCs w:val="32"/>
        </w:rPr>
        <w:t>2024年度，</w:t>
      </w:r>
      <w:r>
        <w:rPr>
          <w:rFonts w:hint="eastAsia" w:ascii="CESI仿宋-GB2312" w:hAnsi="CESI仿宋-GB2312" w:eastAsia="CESI仿宋-GB2312" w:cs="CESI仿宋-GB2312"/>
          <w:kern w:val="2"/>
          <w:sz w:val="32"/>
          <w:szCs w:val="32"/>
          <w:lang w:val="en-US" w:eastAsia="zh-CN" w:bidi="ar"/>
        </w:rPr>
        <w:t>盐边县卫生健康局及其下属医疗机构</w:t>
      </w:r>
      <w:r>
        <w:rPr>
          <w:rFonts w:hint="eastAsia" w:ascii="仿宋_GB2312" w:hAnsi="仿宋_GB2312" w:eastAsia="仿宋_GB2312" w:cs="仿宋_GB2312"/>
          <w:sz w:val="32"/>
          <w:szCs w:val="32"/>
        </w:rPr>
        <w:t>政府采购支出总额</w:t>
      </w:r>
      <w:r>
        <w:rPr>
          <w:rFonts w:hint="eastAsia" w:ascii="仿宋_GB2312" w:hAnsi="仿宋_GB2312" w:eastAsia="仿宋_GB2312" w:cs="仿宋_GB2312"/>
          <w:sz w:val="32"/>
          <w:szCs w:val="32"/>
          <w:lang w:val="en-US" w:eastAsia="zh-CN"/>
        </w:rPr>
        <w:t>908.69</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805.43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14:textFill>
            <w14:solidFill>
              <w14:schemeClr w14:val="tx1"/>
            </w14:solidFill>
          </w14:textFill>
        </w:rPr>
        <w:t>主要</w:t>
      </w:r>
      <w:r>
        <w:rPr>
          <w:rFonts w:hint="eastAsia" w:ascii="仿宋_GB2312" w:hAnsi="仿宋_GB2312" w:eastAsia="仿宋_GB2312" w:cs="仿宋_GB2312"/>
          <w:color w:val="000000" w:themeColor="text1"/>
          <w:sz w:val="32"/>
          <w:szCs w:val="32"/>
          <w:lang w:eastAsia="zh-CN"/>
          <w14:textFill>
            <w14:solidFill>
              <w14:schemeClr w14:val="tx1"/>
            </w14:solidFill>
          </w14:textFill>
        </w:rPr>
        <w:t>是县卫健局台式计算机采购，县人民医院医疗设备及空调采购，县第二人民医院医疗设备采购，县红格中心卫生院医疗设备采购，县渔门中心卫生院医疗设备采购，县红果中心卫生院复印机采购，县疾控中心医疗设备及空调采购；</w:t>
      </w:r>
      <w:r>
        <w:rPr>
          <w:rFonts w:hint="eastAsia" w:ascii="仿宋_GB2312" w:hAnsi="仿宋_GB2312" w:eastAsia="仿宋_GB2312" w:cs="仿宋_GB2312"/>
          <w:sz w:val="32"/>
          <w:szCs w:val="32"/>
        </w:rPr>
        <w:t>政府采购服务支出</w:t>
      </w:r>
      <w:r>
        <w:rPr>
          <w:rFonts w:hint="eastAsia" w:ascii="仿宋_GB2312" w:hAnsi="仿宋_GB2312" w:eastAsia="仿宋_GB2312" w:cs="仿宋_GB2312"/>
          <w:sz w:val="32"/>
          <w:szCs w:val="32"/>
          <w:lang w:val="en-US" w:eastAsia="zh-CN"/>
        </w:rPr>
        <w:t>103.27</w:t>
      </w:r>
      <w:r>
        <w:rPr>
          <w:rFonts w:hint="eastAsia" w:ascii="仿宋_GB2312" w:hAnsi="仿宋_GB2312" w:eastAsia="仿宋_GB2312" w:cs="仿宋_GB2312"/>
          <w:sz w:val="32"/>
          <w:szCs w:val="32"/>
        </w:rPr>
        <w:t>万元。</w:t>
      </w:r>
      <w:r>
        <w:rPr>
          <w:rFonts w:hint="eastAsia" w:ascii="仿宋_GB2312" w:hAnsi="仿宋_GB2312" w:eastAsia="仿宋_GB2312" w:cs="仿宋_GB2312"/>
          <w:color w:val="000000" w:themeColor="text1"/>
          <w:sz w:val="32"/>
          <w:szCs w:val="32"/>
          <w14:textFill>
            <w14:solidFill>
              <w14:schemeClr w14:val="tx1"/>
            </w14:solidFill>
          </w14:textFill>
        </w:rPr>
        <w:t>主要</w:t>
      </w:r>
      <w:r>
        <w:rPr>
          <w:rFonts w:hint="eastAsia" w:ascii="仿宋_GB2312" w:hAnsi="仿宋_GB2312" w:eastAsia="仿宋_GB2312" w:cs="仿宋_GB2312"/>
          <w:color w:val="000000" w:themeColor="text1"/>
          <w:sz w:val="32"/>
          <w:szCs w:val="32"/>
          <w:lang w:eastAsia="zh-CN"/>
          <w14:textFill>
            <w14:solidFill>
              <w14:schemeClr w14:val="tx1"/>
            </w14:solidFill>
          </w14:textFill>
        </w:rPr>
        <w:t>是县中医院后勤物资及设备维修保养服务采购，县新九卫生院、县疾控中心公务用车加油服务采购</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授予中小企业合同金额</w:t>
      </w:r>
      <w:r>
        <w:rPr>
          <w:rFonts w:hint="eastAsia" w:ascii="仿宋_GB2312" w:hAnsi="仿宋_GB2312" w:eastAsia="仿宋_GB2312" w:cs="仿宋_GB2312"/>
          <w:sz w:val="32"/>
          <w:szCs w:val="32"/>
          <w:lang w:val="en-US" w:eastAsia="zh-CN"/>
        </w:rPr>
        <w:t>839.12</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92.34</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608.77</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66.99</w:t>
      </w:r>
      <w:r>
        <w:rPr>
          <w:rFonts w:hint="eastAsia" w:ascii="仿宋_GB2312" w:hAnsi="仿宋_GB2312" w:eastAsia="仿宋_GB2312" w:cs="仿宋_GB2312"/>
          <w:sz w:val="32"/>
          <w:szCs w:val="32"/>
        </w:rPr>
        <w:t>%。</w:t>
      </w:r>
    </w:p>
    <w:p w14:paraId="48421715">
      <w:pPr>
        <w:spacing w:line="600" w:lineRule="exact"/>
        <w:ind w:firstLine="643" w:firstLineChars="200"/>
        <w:outlineLvl w:val="2"/>
        <w:rPr>
          <w:rFonts w:eastAsia="楷体_GB2312" w:cs="楷体_GB2312"/>
          <w:b/>
          <w:sz w:val="32"/>
          <w:szCs w:val="32"/>
        </w:rPr>
      </w:pPr>
      <w:bookmarkStart w:id="69" w:name="_Toc399217968"/>
      <w:bookmarkStart w:id="70" w:name="_Toc15377224"/>
      <w:r>
        <w:rPr>
          <w:rFonts w:hint="eastAsia" w:eastAsia="楷体_GB2312" w:cs="楷体_GB2312"/>
          <w:b/>
          <w:sz w:val="32"/>
          <w:szCs w:val="32"/>
        </w:rPr>
        <w:t>（三）国有资产占有使用情况</w:t>
      </w:r>
      <w:bookmarkEnd w:id="69"/>
      <w:bookmarkEnd w:id="70"/>
    </w:p>
    <w:p w14:paraId="55B4D62C">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ascii="仿宋_GB2312" w:hAnsi="仿宋_GB2312" w:eastAsia="仿宋_GB2312" w:cs="仿宋_GB2312"/>
          <w:sz w:val="32"/>
          <w:szCs w:val="32"/>
        </w:rPr>
        <w:t>截至2024年12月31日，</w:t>
      </w:r>
      <w:r>
        <w:rPr>
          <w:rFonts w:hint="eastAsia" w:ascii="CESI仿宋-GB2312" w:hAnsi="CESI仿宋-GB2312" w:eastAsia="CESI仿宋-GB2312" w:cs="CESI仿宋-GB2312"/>
          <w:kern w:val="2"/>
          <w:sz w:val="32"/>
          <w:szCs w:val="32"/>
          <w:lang w:val="en-US" w:eastAsia="zh-CN" w:bidi="ar"/>
        </w:rPr>
        <w:t>盐边县卫生健康局</w:t>
      </w:r>
      <w:r>
        <w:rPr>
          <w:rFonts w:hint="eastAsia" w:ascii="仿宋_GB2312" w:hAnsi="仿宋_GB2312" w:eastAsia="仿宋_GB2312" w:cs="仿宋_GB2312"/>
          <w:sz w:val="32"/>
          <w:szCs w:val="32"/>
        </w:rPr>
        <w:t>共有车辆</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辆，其中：</w:t>
      </w:r>
      <w:r>
        <w:rPr>
          <w:rFonts w:hint="default" w:ascii="仿宋_GB2312" w:hAnsi="Times New Roman" w:eastAsia="仿宋_GB2312" w:cs="仿宋_GB2312"/>
          <w:kern w:val="2"/>
          <w:sz w:val="32"/>
          <w:szCs w:val="32"/>
          <w:lang w:val="en-US" w:eastAsia="zh-CN" w:bidi="ar"/>
        </w:rPr>
        <w:t>应急保障用车</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辆，特种专业技术用车</w:t>
      </w:r>
      <w:r>
        <w:rPr>
          <w:rFonts w:hint="default" w:ascii="Times New Roman" w:hAnsi="Times New Roman" w:eastAsia="仿宋_GB2312" w:cs="Times New Roman"/>
          <w:kern w:val="2"/>
          <w:sz w:val="32"/>
          <w:szCs w:val="32"/>
          <w:lang w:val="en-US" w:eastAsia="zh-CN" w:bidi="ar"/>
        </w:rPr>
        <w:t>29</w:t>
      </w:r>
      <w:r>
        <w:rPr>
          <w:rFonts w:hint="default" w:ascii="仿宋_GB2312" w:hAnsi="Times New Roman" w:eastAsia="仿宋_GB2312" w:cs="仿宋_GB2312"/>
          <w:kern w:val="2"/>
          <w:sz w:val="32"/>
          <w:szCs w:val="32"/>
          <w:lang w:val="en-US" w:eastAsia="zh-CN" w:bidi="ar"/>
        </w:rPr>
        <w:t>辆，其他用车</w:t>
      </w:r>
      <w:r>
        <w:rPr>
          <w:rFonts w:hint="default" w:ascii="Times New Roman" w:hAnsi="Times New Roman" w:eastAsia="仿宋_GB2312" w:cs="Times New Roman"/>
          <w:kern w:val="2"/>
          <w:sz w:val="32"/>
          <w:szCs w:val="32"/>
          <w:lang w:val="en-US" w:eastAsia="zh-CN" w:bidi="ar"/>
        </w:rPr>
        <w:t>5</w:t>
      </w:r>
      <w:r>
        <w:rPr>
          <w:rFonts w:hint="default" w:ascii="仿宋_GB2312" w:hAnsi="Times New Roman" w:eastAsia="仿宋_GB2312" w:cs="仿宋_GB2312"/>
          <w:kern w:val="2"/>
          <w:sz w:val="32"/>
          <w:szCs w:val="32"/>
          <w:lang w:val="en-US" w:eastAsia="zh-CN" w:bidi="ar"/>
        </w:rPr>
        <w:t>辆。</w:t>
      </w:r>
      <w:r>
        <w:rPr>
          <w:rFonts w:hint="eastAsia" w:ascii="仿宋_GB2312" w:hAnsi="仿宋_GB2312" w:eastAsia="仿宋_GB2312" w:cs="仿宋_GB2312"/>
          <w:sz w:val="32"/>
          <w:szCs w:val="32"/>
        </w:rPr>
        <w:t>其他用车主要是用于</w:t>
      </w:r>
      <w:r>
        <w:rPr>
          <w:rFonts w:hint="eastAsia" w:ascii="仿宋_GB2312" w:hAnsi="仿宋_GB2312" w:eastAsia="仿宋_GB2312" w:cs="仿宋_GB2312"/>
          <w:sz w:val="32"/>
          <w:szCs w:val="32"/>
          <w:lang w:eastAsia="zh-CN"/>
        </w:rPr>
        <w:t>基层医疗机构</w:t>
      </w:r>
      <w:r>
        <w:rPr>
          <w:rFonts w:hint="eastAsia" w:ascii="CESI仿宋-GB2312" w:hAnsi="CESI仿宋-GB2312" w:eastAsia="CESI仿宋-GB2312" w:cs="CESI仿宋-GB2312"/>
          <w:kern w:val="2"/>
          <w:sz w:val="32"/>
          <w:szCs w:val="32"/>
          <w:lang w:val="en-US" w:eastAsia="zh-CN" w:bidi="ar"/>
        </w:rPr>
        <w:t>开展下社区、下乡进行基本公共卫生服务工作。</w:t>
      </w:r>
      <w:r>
        <w:rPr>
          <w:rFonts w:hint="eastAsia" w:ascii="仿宋_GB2312" w:hAnsi="仿宋_GB2312" w:eastAsia="仿宋_GB2312" w:cs="仿宋_GB2312"/>
          <w:sz w:val="32"/>
          <w:szCs w:val="32"/>
        </w:rPr>
        <w:t>单价100万元（含）以上设备（不含车辆）</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台（套）</w:t>
      </w:r>
      <w:r>
        <w:rPr>
          <w:rFonts w:hint="eastAsia" w:eastAsia="仿宋_GB2312" w:cs="仿宋_GB2312"/>
          <w:sz w:val="32"/>
          <w:szCs w:val="32"/>
        </w:rPr>
        <w:t>。</w:t>
      </w:r>
      <w:bookmarkStart w:id="108" w:name="_GoBack"/>
      <w:bookmarkEnd w:id="108"/>
    </w:p>
    <w:p w14:paraId="2E30585F">
      <w:pPr>
        <w:spacing w:line="600" w:lineRule="exact"/>
        <w:ind w:firstLine="643" w:firstLineChars="200"/>
        <w:outlineLvl w:val="2"/>
        <w:rPr>
          <w:rFonts w:eastAsia="楷体_GB2312" w:cs="楷体_GB2312"/>
          <w:b/>
          <w:sz w:val="32"/>
          <w:szCs w:val="32"/>
        </w:rPr>
      </w:pPr>
      <w:bookmarkStart w:id="71" w:name="_Toc1336668796"/>
      <w:r>
        <w:rPr>
          <w:rFonts w:hint="eastAsia" w:eastAsia="楷体_GB2312" w:cs="楷体_GB2312"/>
          <w:b/>
          <w:sz w:val="32"/>
          <w:szCs w:val="32"/>
        </w:rPr>
        <w:t>（四）预算绩效管理情况</w:t>
      </w:r>
      <w:bookmarkEnd w:id="71"/>
    </w:p>
    <w:p w14:paraId="3378F94D">
      <w:pPr>
        <w:spacing w:line="600" w:lineRule="exact"/>
        <w:ind w:firstLine="640"/>
        <w:rPr>
          <w:rFonts w:eastAsia="仿宋_GB2312" w:cs="仿宋_GB2312"/>
          <w:sz w:val="32"/>
          <w:szCs w:val="32"/>
        </w:rPr>
      </w:pPr>
      <w:r>
        <w:rPr>
          <w:rFonts w:hint="eastAsia" w:eastAsia="仿宋_GB2312" w:cs="仿宋_GB2312"/>
          <w:sz w:val="32"/>
          <w:szCs w:val="32"/>
        </w:rPr>
        <w:t>根据预算绩效管理要求，</w:t>
      </w:r>
      <w:r>
        <w:rPr>
          <w:rFonts w:hint="eastAsia" w:eastAsia="仿宋_GB2312" w:cs="仿宋_GB2312"/>
          <w:sz w:val="32"/>
          <w:szCs w:val="32"/>
          <w:lang w:eastAsia="zh-CN"/>
        </w:rPr>
        <w:t>盐边县卫生健康局</w:t>
      </w:r>
      <w:r>
        <w:rPr>
          <w:rFonts w:hint="eastAsia" w:eastAsia="仿宋_GB2312" w:cs="仿宋_GB2312"/>
          <w:sz w:val="32"/>
          <w:szCs w:val="32"/>
        </w:rPr>
        <w:t>在2024年度预算编制阶段，组织对</w:t>
      </w:r>
      <w:r>
        <w:rPr>
          <w:rFonts w:hint="eastAsia" w:eastAsia="仿宋_GB2312" w:cs="仿宋_GB2312"/>
          <w:sz w:val="32"/>
          <w:szCs w:val="32"/>
          <w:lang w:eastAsia="zh-CN"/>
        </w:rPr>
        <w:t>基本公共卫生、基本药物补助、医疗服务与保障能力提升项目</w:t>
      </w:r>
      <w:r>
        <w:rPr>
          <w:rFonts w:hint="eastAsia" w:eastAsia="仿宋_GB2312" w:cs="仿宋_GB2312"/>
          <w:sz w:val="32"/>
          <w:szCs w:val="32"/>
        </w:rPr>
        <w:t>等</w:t>
      </w:r>
      <w:r>
        <w:rPr>
          <w:rFonts w:hint="eastAsia" w:eastAsia="仿宋_GB2312" w:cs="仿宋_GB2312"/>
          <w:sz w:val="32"/>
          <w:szCs w:val="32"/>
          <w:lang w:val="en-US" w:eastAsia="zh-CN"/>
        </w:rPr>
        <w:t>77</w:t>
      </w:r>
      <w:r>
        <w:rPr>
          <w:rFonts w:hint="eastAsia" w:eastAsia="仿宋_GB2312" w:cs="仿宋_GB2312"/>
          <w:sz w:val="32"/>
          <w:szCs w:val="32"/>
        </w:rPr>
        <w:t>个项目开展了预算事前绩效评估，对</w:t>
      </w:r>
      <w:r>
        <w:rPr>
          <w:rFonts w:hint="eastAsia" w:eastAsia="仿宋_GB2312" w:cs="仿宋_GB2312"/>
          <w:sz w:val="32"/>
          <w:szCs w:val="32"/>
          <w:lang w:val="en-US" w:eastAsia="zh-CN"/>
        </w:rPr>
        <w:t>77</w:t>
      </w:r>
      <w:r>
        <w:rPr>
          <w:rFonts w:hint="eastAsia" w:eastAsia="仿宋_GB2312" w:cs="仿宋_GB2312"/>
          <w:sz w:val="32"/>
          <w:szCs w:val="32"/>
        </w:rPr>
        <w:t>个项目编制了绩效目标，预算执行过程中，选取</w:t>
      </w:r>
      <w:r>
        <w:rPr>
          <w:rFonts w:hint="eastAsia" w:eastAsia="仿宋_GB2312" w:cs="仿宋_GB2312"/>
          <w:sz w:val="32"/>
          <w:szCs w:val="32"/>
          <w:lang w:val="en-US" w:eastAsia="zh-CN"/>
        </w:rPr>
        <w:t>3</w:t>
      </w:r>
      <w:r>
        <w:rPr>
          <w:rFonts w:hint="eastAsia" w:eastAsia="仿宋_GB2312" w:cs="仿宋_GB2312"/>
          <w:sz w:val="32"/>
          <w:szCs w:val="32"/>
        </w:rPr>
        <w:t>个项目开展绩效监控。</w:t>
      </w:r>
    </w:p>
    <w:p w14:paraId="3B5B6939">
      <w:pPr>
        <w:keepNext w:val="0"/>
        <w:keepLines w:val="0"/>
        <w:widowControl w:val="0"/>
        <w:suppressLineNumbers w:val="0"/>
        <w:spacing w:before="0" w:beforeAutospacing="0" w:after="0" w:afterAutospacing="0"/>
        <w:ind w:left="0" w:right="0" w:firstLine="640" w:firstLineChars="200"/>
        <w:jc w:val="both"/>
        <w:rPr>
          <w:rFonts w:hint="eastAsia" w:eastAsia="仿宋_GB2312" w:cs="仿宋_GB2312"/>
          <w:sz w:val="32"/>
          <w:szCs w:val="32"/>
        </w:rPr>
      </w:pPr>
      <w:r>
        <w:rPr>
          <w:rFonts w:hint="eastAsia" w:eastAsia="仿宋_GB2312" w:cs="仿宋_GB2312"/>
          <w:sz w:val="32"/>
          <w:szCs w:val="32"/>
        </w:rPr>
        <w:t>组织对2024年度一般公共预算、政府性基金预算等全面开展绩效自评，形成</w:t>
      </w:r>
      <w:r>
        <w:rPr>
          <w:rFonts w:hint="eastAsia" w:eastAsia="仿宋_GB2312" w:cs="仿宋_GB2312"/>
          <w:sz w:val="32"/>
          <w:szCs w:val="32"/>
          <w:lang w:eastAsia="zh-CN"/>
        </w:rPr>
        <w:t>盐边县卫生健康局</w:t>
      </w:r>
      <w:r>
        <w:rPr>
          <w:rFonts w:hint="eastAsia" w:eastAsia="仿宋_GB2312" w:cs="仿宋_GB2312"/>
          <w:sz w:val="32"/>
          <w:szCs w:val="32"/>
        </w:rPr>
        <w:t>部门整体（含部门预算项目）绩效自评报告、</w:t>
      </w:r>
      <w:r>
        <w:rPr>
          <w:rFonts w:hint="default" w:ascii="仿宋_GB2312" w:hAnsi="Times New Roman" w:eastAsia="仿宋_GB2312" w:cs="仿宋_GB2312"/>
          <w:kern w:val="2"/>
          <w:sz w:val="32"/>
          <w:szCs w:val="32"/>
          <w:lang w:val="en-US" w:eastAsia="zh-CN" w:bidi="ar"/>
        </w:rPr>
        <w:t>基本药物补助项目</w:t>
      </w:r>
      <w:r>
        <w:rPr>
          <w:rFonts w:hint="eastAsia" w:ascii="仿宋_GB2312" w:hAnsi="Times New Roman" w:eastAsia="仿宋_GB2312" w:cs="仿宋_GB2312"/>
          <w:kern w:val="2"/>
          <w:sz w:val="32"/>
          <w:szCs w:val="32"/>
          <w:lang w:val="en-US" w:eastAsia="zh-CN" w:bidi="ar"/>
        </w:rPr>
        <w:t>、</w:t>
      </w:r>
      <w:r>
        <w:rPr>
          <w:rFonts w:hint="eastAsia" w:eastAsia="仿宋_GB2312" w:cs="仿宋_GB2312"/>
          <w:sz w:val="32"/>
          <w:szCs w:val="32"/>
          <w:lang w:eastAsia="zh-CN"/>
        </w:rPr>
        <w:t>基本公共卫生</w:t>
      </w:r>
      <w:r>
        <w:rPr>
          <w:rFonts w:hint="eastAsia" w:eastAsia="仿宋_GB2312" w:cs="仿宋_GB2312"/>
          <w:sz w:val="32"/>
          <w:szCs w:val="32"/>
        </w:rPr>
        <w:t>等专项预算项目绩效自评报告，其中，</w:t>
      </w:r>
      <w:r>
        <w:rPr>
          <w:rFonts w:hint="default" w:ascii="仿宋_GB2312" w:hAnsi="Times New Roman" w:eastAsia="仿宋_GB2312" w:cs="仿宋_GB2312"/>
          <w:kern w:val="2"/>
          <w:sz w:val="32"/>
          <w:szCs w:val="32"/>
          <w:lang w:val="en-US" w:eastAsia="zh-CN" w:bidi="ar"/>
        </w:rPr>
        <w:t>盐边县卫生健康局</w:t>
      </w:r>
      <w:r>
        <w:rPr>
          <w:rFonts w:hint="eastAsia" w:eastAsia="仿宋_GB2312" w:cs="仿宋_GB2312"/>
          <w:sz w:val="32"/>
          <w:szCs w:val="32"/>
        </w:rPr>
        <w:t>部门整体（含部门预算项目）绩效自评得分为</w:t>
      </w:r>
      <w:r>
        <w:rPr>
          <w:rFonts w:hint="eastAsia" w:eastAsia="仿宋_GB2312" w:cs="仿宋_GB2312"/>
          <w:sz w:val="32"/>
          <w:szCs w:val="32"/>
          <w:lang w:val="en-US" w:eastAsia="zh-CN"/>
        </w:rPr>
        <w:t>94.2</w:t>
      </w:r>
      <w:r>
        <w:rPr>
          <w:rFonts w:hint="eastAsia" w:eastAsia="仿宋_GB2312" w:cs="仿宋_GB2312"/>
          <w:sz w:val="32"/>
          <w:szCs w:val="32"/>
        </w:rPr>
        <w:t>分，绩效自评综述以习近平总书记关于健康中国建设论述为指引，紧扣“钒钛首县，滋味盐边”发展定位，紧紧围绕高质量发展建设共同富裕试验区目标任务，提升全县卫生健康服务水平，推进改革创新，增强公共卫生服务，优化医疗资源，努力为人民群众提供全方位全周期卫生健康服务</w:t>
      </w:r>
      <w:r>
        <w:rPr>
          <w:rFonts w:hint="eastAsia" w:eastAsia="仿宋_GB2312" w:cs="仿宋_GB2312"/>
          <w:sz w:val="32"/>
          <w:szCs w:val="32"/>
          <w:lang w:eastAsia="zh-CN"/>
        </w:rPr>
        <w:t>，</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年预算项目绩效目标完成良好，大部分目标完成，不存在挤占、挪用、闲置资金情况，最大限度发挥了资金作用，服务对象满意率较高</w:t>
      </w:r>
      <w:r>
        <w:rPr>
          <w:rFonts w:hint="eastAsia" w:eastAsia="仿宋_GB2312" w:cs="仿宋_GB2312"/>
          <w:sz w:val="32"/>
          <w:szCs w:val="32"/>
        </w:rPr>
        <w:t>；</w:t>
      </w:r>
      <w:r>
        <w:rPr>
          <w:rFonts w:hint="default" w:ascii="仿宋_GB2312" w:hAnsi="Times New Roman" w:eastAsia="仿宋_GB2312" w:cs="仿宋_GB2312"/>
          <w:kern w:val="2"/>
          <w:sz w:val="32"/>
          <w:szCs w:val="32"/>
          <w:lang w:val="en-US" w:eastAsia="zh-CN" w:bidi="ar"/>
        </w:rPr>
        <w:t>基本公共卫生</w:t>
      </w:r>
      <w:r>
        <w:rPr>
          <w:rFonts w:hint="eastAsia" w:ascii="仿宋_GB2312" w:hAnsi="Times New Roman" w:eastAsia="仿宋_GB2312" w:cs="仿宋_GB2312"/>
          <w:kern w:val="2"/>
          <w:sz w:val="32"/>
          <w:szCs w:val="32"/>
          <w:lang w:val="en-US" w:eastAsia="zh-CN" w:bidi="ar"/>
        </w:rPr>
        <w:t>服务项目</w:t>
      </w:r>
      <w:r>
        <w:rPr>
          <w:rFonts w:hint="eastAsia" w:eastAsia="仿宋_GB2312" w:cs="仿宋_GB2312"/>
          <w:sz w:val="32"/>
          <w:szCs w:val="32"/>
        </w:rPr>
        <w:t>专项预算项目绩效自评得分为</w:t>
      </w:r>
      <w:r>
        <w:rPr>
          <w:rFonts w:hint="eastAsia" w:eastAsia="仿宋_GB2312" w:cs="仿宋_GB2312"/>
          <w:sz w:val="32"/>
          <w:szCs w:val="32"/>
          <w:lang w:val="en-US" w:eastAsia="zh-CN"/>
        </w:rPr>
        <w:t>100</w:t>
      </w:r>
      <w:r>
        <w:rPr>
          <w:rFonts w:hint="eastAsia" w:eastAsia="仿宋_GB2312" w:cs="仿宋_GB2312"/>
          <w:sz w:val="32"/>
          <w:szCs w:val="32"/>
        </w:rPr>
        <w:t>分，绩效自评综述该项目的实施有助于完善县域公共医疗卫生基础设施，将进一步改善群众看病就医环境和医疗卫生条件，有利于提高医务工作者的积极性，有利于促进医护质量的全面提高。项目在建设期为周边群众提供就业机会，对稳定当地的社会秩序有一定的促进作用。项目按时间节点完成年度任务；</w:t>
      </w:r>
      <w:r>
        <w:rPr>
          <w:rFonts w:hint="default" w:ascii="仿宋_GB2312" w:hAnsi="Times New Roman" w:eastAsia="仿宋_GB2312" w:cs="仿宋_GB2312"/>
          <w:kern w:val="2"/>
          <w:sz w:val="32"/>
          <w:szCs w:val="32"/>
          <w:lang w:val="en-US" w:eastAsia="zh-CN" w:bidi="ar"/>
        </w:rPr>
        <w:t>基本药物补助项目</w:t>
      </w:r>
      <w:r>
        <w:rPr>
          <w:rFonts w:hint="eastAsia" w:eastAsia="仿宋_GB2312" w:cs="仿宋_GB2312"/>
          <w:sz w:val="32"/>
          <w:szCs w:val="32"/>
        </w:rPr>
        <w:t>专项预算项目绩效自评得分为</w:t>
      </w:r>
      <w:r>
        <w:rPr>
          <w:rFonts w:hint="eastAsia" w:eastAsia="仿宋_GB2312" w:cs="仿宋_GB2312"/>
          <w:sz w:val="32"/>
          <w:szCs w:val="32"/>
          <w:lang w:val="en-US" w:eastAsia="zh-CN"/>
        </w:rPr>
        <w:t>100</w:t>
      </w:r>
      <w:r>
        <w:rPr>
          <w:rFonts w:hint="eastAsia" w:eastAsia="仿宋_GB2312" w:cs="仿宋_GB2312"/>
          <w:sz w:val="32"/>
          <w:szCs w:val="32"/>
        </w:rPr>
        <w:t>分，绩效自评综述2024年基本药物补助资金项目在卫生健康局的统筹安排下，在财政部门的支持下，通过项目单位（基层医疗机构和村卫生）共同努力下达到支持基层医疗卫生机构实施国家基本药物制度的目的。社区卫生服务中心和乡镇卫生院，弥补核定收支后的经常性收支差额补助、推进基层医疗卫生机构综合改革等符合政府卫生投入政策落地见效。实施基本药物制度的村卫生室，乡村医生的收入补助得到提高。基层医疗机构的就医环境、服务能力、服务流程进一步改善，人民群众的获得感和满意度进一步提升，基层医疗机构医防结合能力得到加强。</w:t>
      </w:r>
    </w:p>
    <w:p w14:paraId="43A256B1">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481FFE47">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7E42540C">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3672B8F5">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6D0DC9AD">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4BB5C0B3">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2821D0A8">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21230567">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75801AEF">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6B3AC8F4">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1CB68885">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1B64C114">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06FAB6E9">
      <w:pPr>
        <w:keepNext w:val="0"/>
        <w:keepLines w:val="0"/>
        <w:widowControl w:val="0"/>
        <w:suppressLineNumbers w:val="0"/>
        <w:spacing w:before="0" w:beforeAutospacing="0" w:after="0" w:afterAutospacing="0"/>
        <w:ind w:left="0" w:right="0"/>
        <w:jc w:val="both"/>
        <w:rPr>
          <w:rFonts w:hint="eastAsia" w:eastAsia="仿宋_GB2312" w:cs="仿宋_GB2312"/>
          <w:sz w:val="32"/>
          <w:szCs w:val="32"/>
        </w:rPr>
      </w:pPr>
    </w:p>
    <w:p w14:paraId="19E4C5CA">
      <w:pPr>
        <w:spacing w:line="600" w:lineRule="exact"/>
        <w:jc w:val="center"/>
        <w:outlineLvl w:val="0"/>
        <w:rPr>
          <w:rFonts w:eastAsia="黑体"/>
          <w:sz w:val="44"/>
          <w:szCs w:val="44"/>
        </w:rPr>
      </w:pPr>
      <w:bookmarkStart w:id="72" w:name="_Toc15396613"/>
      <w:bookmarkStart w:id="73" w:name="_Toc882399388"/>
      <w:bookmarkStart w:id="74" w:name="_Toc15377225"/>
      <w:r>
        <w:rPr>
          <w:rFonts w:hint="eastAsia" w:eastAsia="黑体"/>
          <w:sz w:val="44"/>
          <w:szCs w:val="44"/>
        </w:rPr>
        <w:t>第三部分  名词解释</w:t>
      </w:r>
      <w:bookmarkEnd w:id="72"/>
      <w:bookmarkEnd w:id="73"/>
      <w:bookmarkEnd w:id="74"/>
    </w:p>
    <w:p w14:paraId="5353BDAB">
      <w:pPr>
        <w:spacing w:line="600" w:lineRule="exact"/>
        <w:jc w:val="left"/>
        <w:rPr>
          <w:b/>
          <w:sz w:val="44"/>
          <w:szCs w:val="44"/>
        </w:rPr>
      </w:pPr>
    </w:p>
    <w:p w14:paraId="38AC431F">
      <w:pPr>
        <w:spacing w:line="600" w:lineRule="exact"/>
        <w:ind w:firstLine="640"/>
        <w:rPr>
          <w:rFonts w:eastAsia="仿宋_GB2312" w:cs="仿宋_GB2312"/>
          <w:sz w:val="32"/>
          <w:szCs w:val="32"/>
        </w:rPr>
      </w:pPr>
      <w:r>
        <w:rPr>
          <w:rFonts w:hint="eastAsia" w:eastAsia="仿宋_GB2312" w:cs="仿宋_GB2312"/>
          <w:sz w:val="32"/>
          <w:szCs w:val="32"/>
        </w:rPr>
        <w:t>1.财政拨款收入：指单位从同级财政部门取得的财政预算资金。</w:t>
      </w:r>
    </w:p>
    <w:p w14:paraId="49F0D712">
      <w:pPr>
        <w:spacing w:line="600" w:lineRule="exact"/>
        <w:ind w:firstLine="640"/>
        <w:rPr>
          <w:rFonts w:eastAsia="仿宋_GB2312" w:cs="仿宋_GB2312"/>
          <w:sz w:val="32"/>
          <w:szCs w:val="32"/>
        </w:rPr>
      </w:pPr>
      <w:r>
        <w:rPr>
          <w:rFonts w:hint="eastAsia" w:eastAsia="仿宋_GB2312" w:cs="仿宋_GB2312"/>
          <w:sz w:val="32"/>
          <w:szCs w:val="32"/>
        </w:rPr>
        <w:t>2.事业收入：指事业单位开展专业业务活动及辅助活动取得的收入。如</w:t>
      </w:r>
      <w:r>
        <w:rPr>
          <w:rFonts w:hint="eastAsia" w:eastAsia="仿宋_GB2312" w:cs="仿宋_GB2312"/>
          <w:sz w:val="32"/>
          <w:szCs w:val="32"/>
          <w:lang w:eastAsia="zh-CN"/>
        </w:rPr>
        <w:t>医疗机构门急诊收入、住院收入</w:t>
      </w:r>
      <w:r>
        <w:rPr>
          <w:rFonts w:hint="eastAsia" w:eastAsia="仿宋_GB2312" w:cs="仿宋_GB2312"/>
          <w:sz w:val="32"/>
          <w:szCs w:val="32"/>
        </w:rPr>
        <w:t>等。</w:t>
      </w:r>
    </w:p>
    <w:p w14:paraId="17BB7B91">
      <w:pPr>
        <w:spacing w:line="600" w:lineRule="exact"/>
        <w:ind w:firstLine="640"/>
        <w:rPr>
          <w:rFonts w:eastAsia="仿宋_GB2312" w:cs="仿宋_GB2312"/>
          <w:sz w:val="32"/>
          <w:szCs w:val="32"/>
        </w:rPr>
      </w:pPr>
      <w:r>
        <w:rPr>
          <w:rFonts w:hint="eastAsia" w:eastAsia="仿宋_GB2312" w:cs="仿宋_GB2312"/>
          <w:sz w:val="32"/>
          <w:szCs w:val="32"/>
        </w:rPr>
        <w:t>3.其他收入：指单位取得的除上述收入以外的各项收入。主要是</w:t>
      </w:r>
      <w:r>
        <w:rPr>
          <w:rFonts w:hint="eastAsia" w:eastAsia="仿宋_GB2312" w:cs="仿宋_GB2312"/>
          <w:sz w:val="32"/>
          <w:szCs w:val="32"/>
          <w:lang w:eastAsia="zh-CN"/>
        </w:rPr>
        <w:t>市级资金</w:t>
      </w:r>
      <w:r>
        <w:rPr>
          <w:rFonts w:hint="eastAsia" w:eastAsia="仿宋_GB2312" w:cs="仿宋_GB2312"/>
          <w:sz w:val="32"/>
          <w:szCs w:val="32"/>
        </w:rPr>
        <w:t xml:space="preserve">等。 </w:t>
      </w:r>
    </w:p>
    <w:p w14:paraId="14441DB5">
      <w:pPr>
        <w:spacing w:line="600" w:lineRule="exact"/>
        <w:ind w:firstLine="640"/>
        <w:rPr>
          <w:rFonts w:eastAsia="仿宋_GB2312" w:cs="仿宋_GB2312"/>
          <w:sz w:val="32"/>
          <w:szCs w:val="32"/>
        </w:rPr>
      </w:pPr>
      <w:r>
        <w:rPr>
          <w:rFonts w:hint="eastAsia" w:eastAsia="仿宋_GB2312" w:cs="仿宋_GB2312"/>
          <w:sz w:val="32"/>
          <w:szCs w:val="32"/>
          <w:lang w:val="en-US" w:eastAsia="zh-CN"/>
        </w:rPr>
        <w:t>4</w:t>
      </w:r>
      <w:r>
        <w:rPr>
          <w:rFonts w:hint="eastAsia" w:eastAsia="仿宋_GB2312" w:cs="仿宋_GB2312"/>
          <w:sz w:val="32"/>
          <w:szCs w:val="32"/>
        </w:rPr>
        <w:t xml:space="preserve">.使用非财政拨款结余（含专用结余）：指事业单位使用以前年度积累的非财政拨款结余弥补当年收支差额的金额。 </w:t>
      </w:r>
    </w:p>
    <w:p w14:paraId="40FDEDD5">
      <w:pPr>
        <w:spacing w:line="600" w:lineRule="exact"/>
        <w:ind w:firstLine="640"/>
        <w:rPr>
          <w:rFonts w:eastAsia="仿宋_GB2312" w:cs="仿宋_GB2312"/>
          <w:sz w:val="32"/>
          <w:szCs w:val="32"/>
        </w:rPr>
      </w:pPr>
      <w:r>
        <w:rPr>
          <w:rFonts w:hint="eastAsia" w:eastAsia="仿宋_GB2312" w:cs="仿宋_GB2312"/>
          <w:sz w:val="32"/>
          <w:szCs w:val="32"/>
          <w:lang w:val="en-US" w:eastAsia="zh-CN"/>
        </w:rPr>
        <w:t>5</w:t>
      </w:r>
      <w:r>
        <w:rPr>
          <w:rFonts w:hint="eastAsia" w:eastAsia="仿宋_GB2312" w:cs="仿宋_GB2312"/>
          <w:sz w:val="32"/>
          <w:szCs w:val="32"/>
        </w:rPr>
        <w:t xml:space="preserve">.年初结转和结余：指以前年度尚未完成、结转到本年按有关规定继续使用的资金。 </w:t>
      </w:r>
    </w:p>
    <w:p w14:paraId="4D6C24A1">
      <w:pPr>
        <w:spacing w:line="600" w:lineRule="exact"/>
        <w:ind w:firstLine="640"/>
        <w:rPr>
          <w:rFonts w:eastAsia="仿宋_GB2312" w:cs="仿宋_GB2312"/>
          <w:sz w:val="32"/>
          <w:szCs w:val="32"/>
        </w:rPr>
      </w:pPr>
      <w:r>
        <w:rPr>
          <w:rFonts w:hint="eastAsia" w:eastAsia="仿宋_GB2312" w:cs="仿宋_GB2312"/>
          <w:sz w:val="32"/>
          <w:szCs w:val="32"/>
          <w:lang w:val="en-US" w:eastAsia="zh-CN"/>
        </w:rPr>
        <w:t>6</w:t>
      </w:r>
      <w:r>
        <w:rPr>
          <w:rFonts w:hint="eastAsia" w:eastAsia="仿宋_GB2312" w:cs="仿宋_GB2312"/>
          <w:sz w:val="32"/>
          <w:szCs w:val="32"/>
        </w:rPr>
        <w:t>.结余分配：指事业单位按照会计制度规定缴纳的所得税、提取的专用结余以及转入非财政拨款结余的金额等。</w:t>
      </w:r>
    </w:p>
    <w:p w14:paraId="6CBD10AF">
      <w:pPr>
        <w:spacing w:line="600" w:lineRule="exact"/>
        <w:ind w:firstLine="640"/>
        <w:rPr>
          <w:rFonts w:eastAsia="仿宋_GB2312" w:cs="仿宋_GB2312"/>
          <w:sz w:val="32"/>
          <w:szCs w:val="32"/>
        </w:rPr>
      </w:pPr>
      <w:r>
        <w:rPr>
          <w:rFonts w:hint="eastAsia" w:eastAsia="仿宋_GB2312" w:cs="仿宋_GB2312"/>
          <w:sz w:val="32"/>
          <w:szCs w:val="32"/>
          <w:lang w:val="en-US" w:eastAsia="zh-CN"/>
        </w:rPr>
        <w:t>7</w:t>
      </w:r>
      <w:r>
        <w:rPr>
          <w:rFonts w:hint="eastAsia" w:eastAsia="仿宋_GB2312" w:cs="仿宋_GB2312"/>
          <w:sz w:val="32"/>
          <w:szCs w:val="32"/>
        </w:rPr>
        <w:t>.年末结转和结余：指单位按有关规定结转到下年或以后年度继续使用的资金。</w:t>
      </w:r>
    </w:p>
    <w:p w14:paraId="71C89671">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仿宋_GB2312"/>
          <w:sz w:val="32"/>
          <w:szCs w:val="32"/>
          <w:lang w:val="en-US" w:eastAsia="zh-CN"/>
        </w:rPr>
        <w:t>8</w:t>
      </w:r>
      <w:r>
        <w:rPr>
          <w:rFonts w:hint="eastAsia" w:eastAsia="仿宋_GB2312" w:cs="仿宋_GB2312"/>
          <w:sz w:val="32"/>
          <w:szCs w:val="32"/>
        </w:rPr>
        <w:t>.</w:t>
      </w:r>
      <w:r>
        <w:rPr>
          <w:rFonts w:hint="eastAsia" w:ascii="CESI仿宋-GB2312" w:hAnsi="CESI仿宋-GB2312" w:eastAsia="CESI仿宋-GB2312" w:cs="CESI仿宋-GB2312"/>
          <w:kern w:val="2"/>
          <w:sz w:val="32"/>
          <w:szCs w:val="32"/>
          <w:lang w:val="en-US" w:eastAsia="zh-CN" w:bidi="ar"/>
        </w:rPr>
        <w:t>一般公共服务（类）组织服务（款）一般行政管理事务（项）:反映行政单位未单独设置项级科目的其他项目支出。</w:t>
      </w:r>
    </w:p>
    <w:p w14:paraId="0C1E96C0">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9</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社会保障和就业（类）行政事业单位养老支出（款）:行政单位离退休（项）: 反映行政单位（包括实行公务员管理的事业单位）开支的离退休经费。</w:t>
      </w:r>
    </w:p>
    <w:p w14:paraId="2EC4279B">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10</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社会保障和就业（类）行政事业单位养老支出（款）:事业单位离退休（项）: 反映事业单位开支的离退休经费。</w:t>
      </w:r>
    </w:p>
    <w:p w14:paraId="7B70A95F">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1</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社会保障和就业（类）行政事业单位养老支出（款）:机关事业单位基本养老保险缴费支出（项）: 反映机关事业单位实施养老保险制度由单位缴纳的基本养老保险支出。</w:t>
      </w:r>
    </w:p>
    <w:p w14:paraId="0961E3C5">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2</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社会保障和就业（类）行政事业单位养老支出（款）:机关事业单位职业年金缴费支出（项）: 反映机关事业单位实施养老保险制度由单位缴纳的职业年金支出。</w:t>
      </w:r>
    </w:p>
    <w:p w14:paraId="538943FC">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社会保障和就业（类）抚恤（款）死亡抚恤（项）:反映按规定用于烈士和牺牲、病故人员家属的一次性和定期抚恤金以及丧葬费补助。</w:t>
      </w:r>
    </w:p>
    <w:p w14:paraId="3A844618">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4</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社会保障和就业（类）抚恤（款）伤残抚恤（项）:反映按规定用于伤残人员的抚恤金和按规定开支的各种伤残补助。</w:t>
      </w:r>
    </w:p>
    <w:p w14:paraId="74AF4816">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5</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卫生健康支出（类）卫生健康管理事务（款）行政运行（项）:指行政单位（包括实行公务员管理的事业单位）的基本支出。</w:t>
      </w:r>
    </w:p>
    <w:p w14:paraId="262EBB0D">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6</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卫生健康支出（类）卫生健康管理事务（款）其他卫生健康管理事务支出（项）:反映除上述项目以外其他用于卫生健康管理事务方面的支出。</w:t>
      </w:r>
    </w:p>
    <w:p w14:paraId="3D8BB7D0">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7</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卫生健康支出（类）公立医院（款）综合医院（项）:反映卫生健康、中医部门所属的城市综合性医院、独立门诊、教学医院、疗养院和县医院的支出。</w:t>
      </w:r>
    </w:p>
    <w:p w14:paraId="201EE2C1">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8</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卫生健康支出（类）公立医院（款）中医（民族）医院（项）:反映卫生健康、中医部门所属的中医院。中西医结合医院、民族医院的支出。</w:t>
      </w:r>
    </w:p>
    <w:p w14:paraId="1570FBAF">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9</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卫生健康支出（类）公立医院（款）其他公立医院支出（项）:指其他用于公立医院方面的支出。。</w:t>
      </w:r>
    </w:p>
    <w:p w14:paraId="32997268">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w:t>
      </w:r>
      <w:r>
        <w:rPr>
          <w:rFonts w:hint="default" w:ascii="Times New Roman" w:hAnsi="Times New Roman" w:eastAsia="仿宋_GB2312" w:cs="Times New Roman"/>
          <w:kern w:val="2"/>
          <w:sz w:val="32"/>
          <w:szCs w:val="32"/>
          <w:lang w:val="en-US" w:eastAsia="zh-CN" w:bidi="ar"/>
        </w:rPr>
        <w:t>0.</w:t>
      </w:r>
      <w:r>
        <w:rPr>
          <w:rFonts w:hint="eastAsia" w:ascii="CESI仿宋-GB2312" w:hAnsi="CESI仿宋-GB2312" w:eastAsia="CESI仿宋-GB2312" w:cs="CESI仿宋-GB2312"/>
          <w:kern w:val="2"/>
          <w:sz w:val="32"/>
          <w:szCs w:val="32"/>
          <w:lang w:val="en-US" w:eastAsia="zh-CN" w:bidi="ar"/>
        </w:rPr>
        <w:t>卫生健康支出（类）基层医疗卫生机构（款）城市社区卫生机构（项）:反映用于城市社区卫生机构的支出。</w:t>
      </w:r>
    </w:p>
    <w:p w14:paraId="0C3D3540">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21</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卫生健康支出（类）基层医疗卫生机构（款）乡镇卫生院（项）:反映用于乡镇卫生院的支出。</w:t>
      </w:r>
    </w:p>
    <w:p w14:paraId="0AA5DAC5">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22</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卫生健康支出（类）基层医疗卫生机构（款）其他基层医疗卫生机构支出（项）:指用于基层医疗卫生机构的支出。</w:t>
      </w:r>
    </w:p>
    <w:p w14:paraId="1895DE27">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23</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卫生健康支出（类）公共卫生（款） 疾病预防控制机构（项）:反映卫生健康部门所属疾病预防控制机构的支出。</w:t>
      </w:r>
    </w:p>
    <w:p w14:paraId="25437F04">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24</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卫生健康支出（类）公共卫生（款） 妇幼保健机构（项）:反映卫生健康部门所属妇幼妇幼保健机构的支出。</w:t>
      </w:r>
    </w:p>
    <w:p w14:paraId="56DECEAC">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25</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卫生健康支出（类）公共卫生（款） 基本公共卫生服务（项）:指基本公共卫生服务支出</w:t>
      </w:r>
    </w:p>
    <w:p w14:paraId="1C29ED07">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26</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卫生健康支出（类）公共卫生（款）重大公共卫生服务（项）:指重大疾病预防控制等重大公共卫生服务项目支出。</w:t>
      </w:r>
    </w:p>
    <w:p w14:paraId="2523B50F">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27</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卫生健康支出（类）公共卫生（款）其他公共卫生支出（项）:反映用于其他公共卫生方面的支出。</w:t>
      </w:r>
    </w:p>
    <w:p w14:paraId="0FB85470">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Times New Roman"/>
          <w:kern w:val="2"/>
          <w:sz w:val="32"/>
          <w:szCs w:val="32"/>
          <w:lang w:val="en-US" w:eastAsia="zh-CN" w:bidi="ar"/>
        </w:rPr>
        <w:t>28</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卫生健康支出（类）计划生育事务（款）计划生育服务（项）:指计划生育服务支出。</w:t>
      </w:r>
    </w:p>
    <w:p w14:paraId="7BBCCDFA">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Times New Roman"/>
          <w:kern w:val="2"/>
          <w:sz w:val="32"/>
          <w:szCs w:val="32"/>
          <w:lang w:val="en-US" w:eastAsia="zh-CN" w:bidi="ar"/>
        </w:rPr>
        <w:t>29</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卫生健康支出（类）计划生育事务（款）其他计划生育事务支出（项）:指其他用于计划生育管理事务方面的支出。</w:t>
      </w:r>
    </w:p>
    <w:p w14:paraId="1802A5AE">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
        <w:t>0.</w:t>
      </w:r>
      <w:r>
        <w:rPr>
          <w:rFonts w:hint="eastAsia" w:ascii="CESI仿宋-GB2312" w:hAnsi="CESI仿宋-GB2312" w:eastAsia="CESI仿宋-GB2312" w:cs="CESI仿宋-GB2312"/>
          <w:kern w:val="2"/>
          <w:sz w:val="32"/>
          <w:szCs w:val="32"/>
          <w:lang w:val="en-US" w:eastAsia="zh-CN" w:bidi="ar"/>
        </w:rPr>
        <w:t>卫生健康支出（类）行政事业单位医疗（款）行政单位医疗（项）:反映财政部门安排的行政单位（包括实行公务员管理的事业单位）基本医疗保险缴费经费，未参加医疗保险的行政单位的公费医疗经费，按国家规定享受离休人员、红军老战士待遇人员的医疗经费。</w:t>
      </w:r>
    </w:p>
    <w:p w14:paraId="69E8673B">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Times New Roman"/>
          <w:kern w:val="2"/>
          <w:sz w:val="32"/>
          <w:szCs w:val="32"/>
          <w:lang w:val="en-US" w:eastAsia="zh-CN" w:bidi="ar"/>
        </w:rPr>
        <w:t>31</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卫生健康支出（类）行政事业单位医疗（款）事业单位医疗（项）:反映财政部门安排的事业单位基本医疗保险缴费经费，未参加医疗保险的事业单位的公费医疗经费，按国家规定享受离休人员待遇的医疗经费。</w:t>
      </w:r>
    </w:p>
    <w:p w14:paraId="5772FB80">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Times New Roman"/>
          <w:kern w:val="2"/>
          <w:sz w:val="32"/>
          <w:szCs w:val="32"/>
          <w:lang w:val="en-US" w:eastAsia="zh-CN" w:bidi="ar"/>
        </w:rPr>
        <w:t>31</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卫生健康支出（类）行政事业单位医疗（款）公务员医疗补助（项）:反映财政部门安排的公务员医疗补助经费。</w:t>
      </w:r>
    </w:p>
    <w:p w14:paraId="756A7762">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Times New Roman"/>
          <w:kern w:val="2"/>
          <w:sz w:val="32"/>
          <w:szCs w:val="32"/>
          <w:lang w:val="en-US" w:eastAsia="zh-CN" w:bidi="ar"/>
        </w:rPr>
        <w:t>32</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卫生健康支出（类）行政事业单位医疗（款）其他行政事业单位医疗支出（项）:反映除上述项目以外的其他用于行政事业单位医疗方面的支出。</w:t>
      </w:r>
    </w:p>
    <w:p w14:paraId="4BD121B7">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33</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卫生健康支出（类）中医药（款）其他中医药支出（项）:反映除中医（民族医）药专项支出以外的其他中医药支出。</w:t>
      </w:r>
    </w:p>
    <w:p w14:paraId="56DF5F77">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eastAsia="仿宋_GB2312" w:cs="Times New Roman"/>
          <w:kern w:val="2"/>
          <w:sz w:val="32"/>
          <w:szCs w:val="32"/>
          <w:lang w:val="en-US" w:eastAsia="zh-CN" w:bidi="ar"/>
        </w:rPr>
        <w:t>34</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卫生健康支出（类）疾病预防控制事务（款）其他疾病预防控制事务支出（项）:指用于其他疾病预防控制事务方面的支出。</w:t>
      </w:r>
    </w:p>
    <w:p w14:paraId="475A0160">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35</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卫生健康支出（类）其他卫生健康支出（款）其他卫生健康支出（项）:指用于其他卫生健康方面的支出。</w:t>
      </w:r>
    </w:p>
    <w:p w14:paraId="575A805A">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kern w:val="2"/>
          <w:sz w:val="32"/>
          <w:szCs w:val="32"/>
        </w:rPr>
      </w:pPr>
      <w:r>
        <w:rPr>
          <w:rFonts w:hint="eastAsia" w:ascii="Times New Roman" w:hAnsi="Times New Roman" w:eastAsia="仿宋_GB2312" w:cs="Times New Roman"/>
          <w:kern w:val="2"/>
          <w:sz w:val="32"/>
          <w:szCs w:val="32"/>
          <w:lang w:val="en-US" w:eastAsia="zh-CN" w:bidi="ar"/>
        </w:rPr>
        <w:t>36</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 xml:space="preserve">农林水支出（类）巩固脱贫衔接乡村振兴（款）其他巩固脱贫衔接乡村振兴支出（项）:反映除上述项目以外其他用于巩固拓展脱贫攻坚成果同乡村振兴有效衔接方面的支出。  </w:t>
      </w:r>
    </w:p>
    <w:p w14:paraId="36EFCE7F">
      <w:pPr>
        <w:keepNext w:val="0"/>
        <w:keepLines w:val="0"/>
        <w:widowControl w:val="0"/>
        <w:suppressLineNumbers w:val="0"/>
        <w:spacing w:before="0" w:beforeAutospacing="0" w:after="0" w:afterAutospacing="0"/>
        <w:ind w:left="0" w:right="0" w:firstLine="640" w:firstLineChars="200"/>
        <w:jc w:val="both"/>
        <w:rPr>
          <w:rFonts w:hint="default" w:ascii="CESI仿宋-GB2312" w:hAnsi="CESI仿宋-GB2312" w:eastAsia="CESI仿宋-GB2312" w:cs="CESI仿宋-GB2312"/>
          <w:kern w:val="2"/>
          <w:sz w:val="32"/>
          <w:szCs w:val="32"/>
          <w:lang w:val="en-US"/>
        </w:rPr>
      </w:pPr>
      <w:r>
        <w:rPr>
          <w:rFonts w:hint="eastAsia" w:ascii="Times New Roman" w:hAnsi="Times New Roman" w:eastAsia="仿宋_GB2312" w:cs="Times New Roman"/>
          <w:kern w:val="2"/>
          <w:sz w:val="32"/>
          <w:szCs w:val="32"/>
          <w:lang w:val="en-US" w:eastAsia="zh-CN" w:bidi="ar"/>
        </w:rPr>
        <w:t>37</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住房保障支出（类）住房改革支出（款）住房公积金（项）:指单位按照人力资源和社会保障部、财政部规定的基本工资和津贴补贴以及规定比例为职工缴纳的住房公积金。</w:t>
      </w:r>
    </w:p>
    <w:p w14:paraId="0B8A53F8">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ascii="Times New Roman" w:hAnsi="Times New Roman" w:eastAsia="仿宋_GB2312" w:cs="Times New Roman"/>
          <w:kern w:val="2"/>
          <w:sz w:val="32"/>
          <w:szCs w:val="32"/>
          <w:lang w:val="en-US" w:eastAsia="zh-CN" w:bidi="ar"/>
        </w:rPr>
        <w:t>3</w:t>
      </w:r>
      <w:r>
        <w:rPr>
          <w:rFonts w:hint="eastAsia" w:eastAsia="仿宋_GB2312" w:cs="Times New Roman"/>
          <w:kern w:val="2"/>
          <w:sz w:val="32"/>
          <w:szCs w:val="32"/>
          <w:lang w:val="en-US" w:eastAsia="zh-CN" w:bidi="ar"/>
        </w:rPr>
        <w:t>8</w:t>
      </w:r>
      <w:r>
        <w:rPr>
          <w:rFonts w:hint="default" w:ascii="Times New Roman" w:hAnsi="Times New Roman" w:eastAsia="仿宋_GB2312" w:cs="Times New Roman"/>
          <w:kern w:val="2"/>
          <w:sz w:val="32"/>
          <w:szCs w:val="32"/>
          <w:lang w:val="en-US" w:eastAsia="zh-CN" w:bidi="ar"/>
        </w:rPr>
        <w:t>.</w:t>
      </w:r>
      <w:r>
        <w:rPr>
          <w:rFonts w:hint="eastAsia" w:ascii="CESI仿宋-GB2312" w:hAnsi="CESI仿宋-GB2312" w:eastAsia="CESI仿宋-GB2312" w:cs="CESI仿宋-GB2312"/>
          <w:kern w:val="2"/>
          <w:sz w:val="32"/>
          <w:szCs w:val="32"/>
          <w:lang w:val="en-US" w:eastAsia="zh-CN" w:bidi="ar"/>
        </w:rPr>
        <w:t>其他支出（类）其他政府性基金及对应专项债务收入安排的支出（款）其他地方自行试点项目收益专项债券收入安排的支出（项）:指其他地方自行试点项目收益专项债券收入安排的支出。</w:t>
      </w:r>
    </w:p>
    <w:p w14:paraId="606694CE">
      <w:pPr>
        <w:spacing w:line="600" w:lineRule="exact"/>
        <w:ind w:firstLine="640"/>
        <w:rPr>
          <w:rFonts w:eastAsia="仿宋_GB2312" w:cs="仿宋_GB2312"/>
          <w:sz w:val="32"/>
          <w:szCs w:val="32"/>
        </w:rPr>
      </w:pPr>
      <w:r>
        <w:rPr>
          <w:rFonts w:hint="eastAsia" w:eastAsia="仿宋_GB2312" w:cs="仿宋_GB2312"/>
          <w:sz w:val="32"/>
          <w:szCs w:val="32"/>
          <w:lang w:val="en-US" w:eastAsia="zh-CN"/>
        </w:rPr>
        <w:t>39</w:t>
      </w:r>
      <w:r>
        <w:rPr>
          <w:rFonts w:hint="eastAsia" w:eastAsia="仿宋_GB2312" w:cs="仿宋_GB2312"/>
          <w:sz w:val="32"/>
          <w:szCs w:val="32"/>
        </w:rPr>
        <w:t>.基本支出：指为保障机构正常运转、完成日常工作任务而发生的人员支出和公用支出。</w:t>
      </w:r>
    </w:p>
    <w:p w14:paraId="2BA0EC6C">
      <w:pPr>
        <w:spacing w:line="600" w:lineRule="exact"/>
        <w:ind w:firstLine="640"/>
        <w:rPr>
          <w:rFonts w:eastAsia="仿宋_GB2312" w:cs="仿宋_GB2312"/>
          <w:sz w:val="32"/>
          <w:szCs w:val="32"/>
        </w:rPr>
      </w:pPr>
      <w:r>
        <w:rPr>
          <w:rFonts w:hint="eastAsia" w:eastAsia="仿宋_GB2312" w:cs="仿宋_GB2312"/>
          <w:sz w:val="32"/>
          <w:szCs w:val="32"/>
          <w:lang w:val="en-US" w:eastAsia="zh-CN"/>
        </w:rPr>
        <w:t>40</w:t>
      </w:r>
      <w:r>
        <w:rPr>
          <w:rFonts w:hint="eastAsia" w:eastAsia="仿宋_GB2312" w:cs="仿宋_GB2312"/>
          <w:sz w:val="32"/>
          <w:szCs w:val="32"/>
        </w:rPr>
        <w:t xml:space="preserve">.项目支出：指在基本支出之外为完成特定行政任务和事业发展目标所发生的支出。 </w:t>
      </w:r>
    </w:p>
    <w:p w14:paraId="7D98056B">
      <w:pPr>
        <w:spacing w:line="600" w:lineRule="exact"/>
        <w:ind w:firstLine="640"/>
        <w:rPr>
          <w:rFonts w:eastAsia="仿宋_GB2312" w:cs="仿宋_GB2312"/>
          <w:sz w:val="32"/>
          <w:szCs w:val="32"/>
        </w:rPr>
      </w:pPr>
      <w:r>
        <w:rPr>
          <w:rFonts w:hint="eastAsia" w:eastAsia="仿宋_GB2312" w:cs="仿宋_GB2312"/>
          <w:sz w:val="32"/>
          <w:szCs w:val="32"/>
          <w:lang w:val="en-US" w:eastAsia="zh-CN"/>
        </w:rPr>
        <w:t>41</w:t>
      </w:r>
      <w:r>
        <w:rPr>
          <w:rFonts w:hint="eastAsia"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85E5179">
      <w:pPr>
        <w:spacing w:line="600" w:lineRule="exact"/>
        <w:ind w:firstLine="640"/>
        <w:rPr>
          <w:rFonts w:eastAsia="仿宋_GB2312" w:cs="仿宋_GB2312"/>
          <w:sz w:val="32"/>
          <w:szCs w:val="32"/>
        </w:rPr>
      </w:pPr>
      <w:r>
        <w:rPr>
          <w:rFonts w:hint="eastAsia" w:eastAsia="仿宋_GB2312" w:cs="仿宋_GB2312"/>
          <w:sz w:val="32"/>
          <w:szCs w:val="32"/>
          <w:lang w:val="en-US" w:eastAsia="zh-CN"/>
        </w:rPr>
        <w:t>42</w:t>
      </w:r>
      <w:r>
        <w:rPr>
          <w:rFonts w:hint="eastAsia"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B7363F4">
      <w:pPr>
        <w:spacing w:line="600" w:lineRule="exact"/>
        <w:jc w:val="center"/>
        <w:outlineLvl w:val="0"/>
        <w:rPr>
          <w:rStyle w:val="29"/>
          <w:rFonts w:eastAsia="黑体"/>
          <w:b w:val="0"/>
        </w:rPr>
      </w:pPr>
      <w:bookmarkStart w:id="75" w:name="_Toc15377226"/>
      <w:r>
        <w:rPr>
          <w:rFonts w:hint="eastAsia" w:eastAsia="仿宋_GB2312" w:cs="仿宋_GB2312"/>
          <w:sz w:val="32"/>
          <w:szCs w:val="32"/>
        </w:rPr>
        <w:br w:type="page"/>
      </w:r>
      <w:bookmarkStart w:id="76" w:name="_Toc2112967611"/>
      <w:bookmarkStart w:id="77" w:name="_Toc15396614"/>
      <w:r>
        <w:rPr>
          <w:rFonts w:hint="eastAsia" w:eastAsia="黑体"/>
          <w:sz w:val="44"/>
          <w:szCs w:val="44"/>
        </w:rPr>
        <w:t>第四部分  附件</w:t>
      </w:r>
      <w:bookmarkEnd w:id="76"/>
      <w:bookmarkEnd w:id="77"/>
    </w:p>
    <w:p w14:paraId="6DFA8B86">
      <w:pPr>
        <w:spacing w:line="572" w:lineRule="exact"/>
        <w:jc w:val="left"/>
        <w:outlineLvl w:val="9"/>
        <w:rPr>
          <w:rFonts w:eastAsia="黑体" w:cs="黑体"/>
          <w:sz w:val="32"/>
          <w:szCs w:val="32"/>
        </w:rPr>
      </w:pPr>
    </w:p>
    <w:p w14:paraId="4FD3E053">
      <w:pPr>
        <w:spacing w:line="572" w:lineRule="exact"/>
        <w:jc w:val="left"/>
        <w:outlineLvl w:val="0"/>
        <w:rPr>
          <w:rFonts w:eastAsia="黑体" w:cs="方正小标宋简体"/>
          <w:sz w:val="44"/>
          <w:szCs w:val="44"/>
        </w:rPr>
      </w:pPr>
      <w:bookmarkStart w:id="78" w:name="_Toc670041333"/>
      <w:r>
        <w:rPr>
          <w:rFonts w:hint="eastAsia" w:eastAsia="黑体" w:cs="黑体"/>
          <w:sz w:val="32"/>
          <w:szCs w:val="32"/>
        </w:rPr>
        <w:t>附件1</w:t>
      </w:r>
      <w:bookmarkEnd w:id="78"/>
    </w:p>
    <w:p w14:paraId="4BFBA71B">
      <w:pPr>
        <w:widowControl/>
        <w:spacing w:line="578" w:lineRule="exact"/>
        <w:contextualSpacing/>
        <w:jc w:val="center"/>
        <w:rPr>
          <w:rFonts w:hint="eastAsia" w:eastAsia="方正小标宋简体"/>
          <w:bCs/>
          <w:sz w:val="44"/>
          <w:szCs w:val="44"/>
          <w:shd w:val="clear" w:color="auto" w:fill="FFFFFF"/>
          <w:lang w:eastAsia="zh-CN"/>
        </w:rPr>
      </w:pPr>
      <w:r>
        <w:rPr>
          <w:rFonts w:hint="eastAsia" w:eastAsia="方正小标宋简体"/>
          <w:bCs/>
          <w:sz w:val="44"/>
          <w:szCs w:val="44"/>
          <w:shd w:val="clear" w:color="auto" w:fill="FFFFFF"/>
          <w:lang w:eastAsia="zh-CN"/>
        </w:rPr>
        <w:t>盐边县卫生健康局</w:t>
      </w:r>
    </w:p>
    <w:p w14:paraId="0BCF5427">
      <w:pPr>
        <w:widowControl/>
        <w:spacing w:line="578" w:lineRule="exact"/>
        <w:contextualSpacing/>
        <w:jc w:val="center"/>
        <w:rPr>
          <w:rFonts w:eastAsia="方正小标宋简体"/>
          <w:bCs/>
          <w:sz w:val="44"/>
          <w:szCs w:val="44"/>
          <w:shd w:val="clear" w:color="auto" w:fill="FFFFFF"/>
        </w:rPr>
      </w:pPr>
      <w:r>
        <w:rPr>
          <w:rFonts w:eastAsia="方正小标宋简体"/>
          <w:bCs/>
          <w:sz w:val="44"/>
          <w:szCs w:val="44"/>
          <w:shd w:val="clear" w:color="auto" w:fill="FFFFFF"/>
        </w:rPr>
        <w:t>部门预算绩效</w:t>
      </w:r>
      <w:r>
        <w:rPr>
          <w:rFonts w:hint="eastAsia" w:eastAsia="方正小标宋简体"/>
          <w:bCs/>
          <w:sz w:val="44"/>
          <w:szCs w:val="44"/>
          <w:shd w:val="clear" w:color="auto" w:fill="FFFFFF"/>
        </w:rPr>
        <w:t>评价</w:t>
      </w:r>
      <w:r>
        <w:rPr>
          <w:rFonts w:eastAsia="方正小标宋简体"/>
          <w:bCs/>
          <w:sz w:val="44"/>
          <w:szCs w:val="44"/>
          <w:shd w:val="clear" w:color="auto" w:fill="FFFFFF"/>
        </w:rPr>
        <w:t>报告</w:t>
      </w:r>
    </w:p>
    <w:p w14:paraId="59CD2958">
      <w:pPr>
        <w:widowControl/>
        <w:adjustRightInd w:val="0"/>
        <w:snapToGrid w:val="0"/>
        <w:spacing w:line="578" w:lineRule="exact"/>
        <w:ind w:firstLine="480" w:firstLineChars="200"/>
        <w:contextualSpacing/>
        <w:jc w:val="left"/>
        <w:rPr>
          <w:rFonts w:eastAsia="黑体"/>
          <w:kern w:val="0"/>
          <w:sz w:val="24"/>
          <w:szCs w:val="32"/>
          <w:shd w:val="clear" w:color="auto" w:fill="FFFFFF"/>
        </w:rPr>
      </w:pPr>
    </w:p>
    <w:p w14:paraId="67256F78">
      <w:pPr>
        <w:widowControl/>
        <w:adjustRightInd w:val="0"/>
        <w:snapToGrid w:val="0"/>
        <w:spacing w:line="578" w:lineRule="exact"/>
        <w:ind w:firstLine="640" w:firstLineChars="200"/>
        <w:contextualSpacing/>
        <w:jc w:val="left"/>
        <w:rPr>
          <w:rFonts w:eastAsia="黑体"/>
          <w:kern w:val="0"/>
          <w:sz w:val="32"/>
          <w:szCs w:val="32"/>
          <w:shd w:val="clear" w:color="auto" w:fill="FFFFFF"/>
          <w:lang w:val="zh-CN"/>
        </w:rPr>
      </w:pPr>
      <w:r>
        <w:rPr>
          <w:rFonts w:hint="eastAsia" w:eastAsia="黑体"/>
          <w:kern w:val="0"/>
          <w:sz w:val="32"/>
          <w:szCs w:val="32"/>
          <w:shd w:val="clear" w:color="auto" w:fill="FFFFFF"/>
          <w:lang w:val="zh-CN"/>
        </w:rPr>
        <w:t>一、</w:t>
      </w:r>
      <w:r>
        <w:rPr>
          <w:rFonts w:eastAsia="黑体"/>
          <w:kern w:val="0"/>
          <w:sz w:val="32"/>
          <w:szCs w:val="32"/>
          <w:shd w:val="clear" w:color="auto" w:fill="FFFFFF"/>
          <w:lang w:val="zh-CN"/>
        </w:rPr>
        <w:t>部门（单位）基本情况</w:t>
      </w:r>
    </w:p>
    <w:p w14:paraId="4FA9EA11">
      <w:pPr>
        <w:keepNext w:val="0"/>
        <w:keepLines w:val="0"/>
        <w:widowControl w:val="0"/>
        <w:suppressLineNumbers w:val="0"/>
        <w:spacing w:before="0" w:beforeAutospacing="0" w:after="0" w:afterAutospacing="0" w:line="570" w:lineRule="exact"/>
        <w:ind w:left="0" w:right="0" w:firstLine="643" w:firstLineChars="200"/>
        <w:jc w:val="both"/>
        <w:rPr>
          <w:rFonts w:hint="default" w:ascii="Times New Roman" w:hAnsi="Times New Roman" w:eastAsia="方正仿宋_GBK" w:cs="Times New Roman"/>
          <w:kern w:val="2"/>
          <w:sz w:val="32"/>
          <w:szCs w:val="32"/>
        </w:rPr>
      </w:pPr>
      <w:r>
        <w:rPr>
          <w:rFonts w:hint="eastAsia" w:eastAsia="楷体_GB2312" w:cs="楷体_GB2312"/>
          <w:b/>
          <w:sz w:val="32"/>
          <w:szCs w:val="32"/>
          <w:lang w:val="zh-CN"/>
        </w:rPr>
        <w:t>（一）</w:t>
      </w:r>
      <w:r>
        <w:rPr>
          <w:rFonts w:eastAsia="楷体_GB2312" w:cs="楷体_GB2312"/>
          <w:b/>
          <w:sz w:val="32"/>
          <w:szCs w:val="32"/>
          <w:lang w:val="zh-CN"/>
        </w:rPr>
        <w:t>机构组成。</w:t>
      </w:r>
      <w:r>
        <w:rPr>
          <w:rFonts w:hint="eastAsia" w:ascii="方正仿宋_GBK" w:hAnsi="方正仿宋_GBK" w:eastAsia="方正仿宋_GBK" w:cs="方正仿宋_GBK"/>
          <w:kern w:val="2"/>
          <w:sz w:val="32"/>
          <w:szCs w:val="32"/>
          <w:lang w:val="en-US" w:eastAsia="zh-CN" w:bidi="ar"/>
        </w:rPr>
        <w:t>全县共有各级各类医疗卫生机构</w:t>
      </w:r>
      <w:r>
        <w:rPr>
          <w:rFonts w:hint="default" w:ascii="Times New Roman" w:hAnsi="Times New Roman" w:eastAsia="方正仿宋_GBK" w:cs="Times New Roman"/>
          <w:kern w:val="2"/>
          <w:sz w:val="32"/>
          <w:szCs w:val="32"/>
          <w:lang w:val="en-US" w:eastAsia="zh-CN" w:bidi="ar"/>
        </w:rPr>
        <w:t>236</w:t>
      </w:r>
      <w:r>
        <w:rPr>
          <w:rFonts w:hint="eastAsia" w:ascii="方正仿宋_GBK" w:hAnsi="方正仿宋_GBK" w:eastAsia="方正仿宋_GBK" w:cs="方正仿宋_GBK"/>
          <w:kern w:val="2"/>
          <w:sz w:val="32"/>
          <w:szCs w:val="32"/>
          <w:lang w:val="en-US" w:eastAsia="zh-CN" w:bidi="ar"/>
        </w:rPr>
        <w:t>个。其中，公立县级医疗机构</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个（县人民医院、县第二人民医院、县中医院），卫生计生监督执法机构</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个（县卫生计生执法监督大队），公共卫生服务机构</w:t>
      </w: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个（县疾病预防控制中心和县妇幼保健服务中心），乡镇卫生院</w:t>
      </w: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个，社区卫生服务中心</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个，村卫生室</w:t>
      </w:r>
      <w:r>
        <w:rPr>
          <w:rFonts w:hint="default" w:ascii="Times New Roman" w:hAnsi="Times New Roman" w:eastAsia="方正仿宋_GBK" w:cs="Times New Roman"/>
          <w:kern w:val="2"/>
          <w:sz w:val="32"/>
          <w:szCs w:val="32"/>
          <w:lang w:val="en-US" w:eastAsia="zh-CN" w:bidi="ar"/>
        </w:rPr>
        <w:t>173</w:t>
      </w:r>
      <w:r>
        <w:rPr>
          <w:rFonts w:hint="eastAsia" w:ascii="方正仿宋_GBK" w:hAnsi="方正仿宋_GBK" w:eastAsia="方正仿宋_GBK" w:cs="方正仿宋_GBK"/>
          <w:kern w:val="2"/>
          <w:sz w:val="32"/>
          <w:szCs w:val="32"/>
          <w:lang w:val="en-US" w:eastAsia="zh-CN" w:bidi="ar"/>
        </w:rPr>
        <w:t>个，民营医院</w:t>
      </w: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个，民营诊所</w:t>
      </w:r>
      <w:r>
        <w:rPr>
          <w:rFonts w:hint="default" w:ascii="Times New Roman" w:hAnsi="Times New Roman" w:eastAsia="方正仿宋_GBK" w:cs="Times New Roman"/>
          <w:kern w:val="2"/>
          <w:sz w:val="32"/>
          <w:szCs w:val="32"/>
          <w:lang w:val="en-US" w:eastAsia="zh-CN" w:bidi="ar"/>
        </w:rPr>
        <w:t>42</w:t>
      </w:r>
      <w:r>
        <w:rPr>
          <w:rFonts w:hint="eastAsia" w:ascii="方正仿宋_GBK" w:hAnsi="方正仿宋_GBK" w:eastAsia="方正仿宋_GBK" w:cs="方正仿宋_GBK"/>
          <w:kern w:val="2"/>
          <w:sz w:val="32"/>
          <w:szCs w:val="32"/>
          <w:lang w:val="en-US" w:eastAsia="zh-CN" w:bidi="ar"/>
        </w:rPr>
        <w:t>个。</w:t>
      </w:r>
    </w:p>
    <w:p w14:paraId="7083C7E5">
      <w:pPr>
        <w:keepNext w:val="0"/>
        <w:keepLines w:val="0"/>
        <w:widowControl w:val="0"/>
        <w:suppressLineNumbers w:val="0"/>
        <w:spacing w:before="0" w:beforeAutospacing="0" w:after="0" w:afterAutospacing="0" w:line="570" w:lineRule="exact"/>
        <w:ind w:left="0" w:right="0" w:firstLine="640" w:firstLineChars="200"/>
        <w:jc w:val="both"/>
        <w:rPr>
          <w:szCs w:val="32"/>
        </w:rPr>
      </w:pPr>
      <w:r>
        <w:rPr>
          <w:rFonts w:hint="eastAsia" w:ascii="方正仿宋_GBK" w:hAnsi="方正仿宋_GBK" w:eastAsia="方正仿宋_GBK" w:cs="方正仿宋_GBK"/>
          <w:kern w:val="2"/>
          <w:sz w:val="32"/>
          <w:szCs w:val="32"/>
          <w:lang w:val="en-US" w:eastAsia="zh-CN" w:bidi="ar"/>
        </w:rPr>
        <w:t>盐边县卫生健康局内设</w:t>
      </w:r>
      <w:r>
        <w:rPr>
          <w:rFonts w:hint="default" w:ascii="Times New Roman" w:hAnsi="Times New Roman" w:eastAsia="方正仿宋_GBK" w:cs="Times New Roman"/>
          <w:kern w:val="2"/>
          <w:sz w:val="32"/>
          <w:szCs w:val="32"/>
          <w:lang w:val="en-US" w:eastAsia="zh-CN" w:bidi="ar"/>
        </w:rPr>
        <w:t>8</w:t>
      </w:r>
      <w:r>
        <w:rPr>
          <w:rFonts w:hint="eastAsia" w:ascii="方正仿宋_GBK" w:hAnsi="方正仿宋_GBK" w:eastAsia="方正仿宋_GBK" w:cs="方正仿宋_GBK"/>
          <w:kern w:val="2"/>
          <w:sz w:val="32"/>
          <w:szCs w:val="32"/>
          <w:lang w:val="en-US" w:eastAsia="zh-CN" w:bidi="ar"/>
        </w:rPr>
        <w:t>个行政股室，分别是办公室（政策法规股）、医政执法监督股（医改办）、基层卫生和妇幼健康股（卫生应急办公室）、人口监测与家庭发展股、疾病预防控制股（爱国卫生办公室）、健康服务业发展股、人事与科教股、规划财务审计股，1个事业单位为基层卫生发展促进中心。盐边县卫生健康局为县本级一级预算单位，下属19个财政一级预算单位，分别是县疾病预防控制中心、县卫生计生执法监督大队、县妇幼保健服务中心和2个综合医院（县人民医院和县第二人民医院）、1个中医医院（县中医院）、1个社区卫生服务中心、12个乡（镇）卫生院。</w:t>
      </w:r>
    </w:p>
    <w:p w14:paraId="3B4C4984">
      <w:pPr>
        <w:keepNext w:val="0"/>
        <w:keepLines w:val="0"/>
        <w:widowControl w:val="0"/>
        <w:suppressLineNumbers w:val="0"/>
        <w:spacing w:before="0" w:beforeAutospacing="0" w:after="0" w:afterAutospacing="0" w:line="570" w:lineRule="exact"/>
        <w:ind w:left="0" w:right="0" w:firstLine="643" w:firstLineChars="200"/>
        <w:jc w:val="both"/>
        <w:rPr>
          <w:rFonts w:hint="eastAsia" w:ascii="Times New Roman" w:hAnsi="Times New Roman" w:eastAsia="方正仿宋_GBK" w:cs="Times New Roman"/>
          <w:kern w:val="2"/>
          <w:sz w:val="32"/>
          <w:szCs w:val="32"/>
        </w:rPr>
      </w:pPr>
      <w:r>
        <w:rPr>
          <w:rFonts w:eastAsia="楷体_GB2312" w:cs="楷体_GB2312"/>
          <w:b/>
          <w:sz w:val="32"/>
          <w:szCs w:val="32"/>
          <w:lang w:val="zh-CN"/>
        </w:rPr>
        <w:t>（二）机构职能</w:t>
      </w:r>
      <w:r>
        <w:rPr>
          <w:rFonts w:hint="eastAsia" w:eastAsia="楷体_GB2312" w:cs="楷体_GB2312"/>
          <w:b/>
          <w:sz w:val="32"/>
          <w:szCs w:val="32"/>
          <w:lang w:val="zh-CN"/>
        </w:rPr>
        <w:t>。</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组织拟订全县卫生健康政策。负责拟订卫生健康事业发展政策、规划并组织实施。统筹规划全县卫生健康资源配置。制定并组织实施推进卫生健康基本公共服务均等化、普惠化、便捷化和公共资源向基层延伸等政策措施。</w:t>
      </w:r>
    </w:p>
    <w:p w14:paraId="59E793AE">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牵头推进全县深化医药卫生体制改革。研究提出深化改革重大政策、措施的建议。组织深化公立医院综合改革，建立健全现代医院管理制度。制定并组织实施推动卫生健康公共服务提供主体多元化、提供方式多样化的政策措施。</w:t>
      </w:r>
    </w:p>
    <w:p w14:paraId="6DB61C9E">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制定并组织落实全县疾病预防控制规划、免疫规划以及严重危害人民健康的艾滋病等重大传染病、寄生虫病、地方病等公共卫生问题的干预措施。负责全县卫生应急工作，组织和指导全县突发公共卫生事件预防控制和各类突发公共事件的医疗卫生救援。收集、报告法定传染病疫情信息、突发公共卫生事件应急处置信息。依照国家检疫传染病和监测传染病目录，参与开展检疫监测工作。</w:t>
      </w:r>
    </w:p>
    <w:p w14:paraId="374F3096">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4.</w:t>
      </w:r>
      <w:r>
        <w:rPr>
          <w:rFonts w:hint="eastAsia" w:ascii="方正仿宋_GBK" w:hAnsi="方正仿宋_GBK" w:eastAsia="方正仿宋_GBK" w:cs="方正仿宋_GBK"/>
          <w:kern w:val="2"/>
          <w:sz w:val="32"/>
          <w:szCs w:val="32"/>
          <w:lang w:val="en-US" w:eastAsia="zh-CN" w:bidi="ar"/>
        </w:rPr>
        <w:t>贯彻落实国家应对人口老龄化政策措施。负责推进老年健康服务体系建设和医养结合工作。</w:t>
      </w:r>
    </w:p>
    <w:p w14:paraId="028BDC03">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5.</w:t>
      </w:r>
      <w:r>
        <w:rPr>
          <w:rFonts w:hint="eastAsia" w:ascii="方正仿宋_GBK" w:hAnsi="方正仿宋_GBK" w:eastAsia="方正仿宋_GBK" w:cs="方正仿宋_GBK"/>
          <w:kern w:val="2"/>
          <w:sz w:val="32"/>
          <w:szCs w:val="32"/>
          <w:lang w:val="en-US" w:eastAsia="zh-CN" w:bidi="ar"/>
        </w:rPr>
        <w:t>贯彻落实国家药物政策和国家基本药物制度。开展药械使用监测、临床综合评价和短缺药品预警，组织执行国家药典和国家基本药物目录，实施基本药物采购、配送、使用的政策措施。</w:t>
      </w:r>
    </w:p>
    <w:p w14:paraId="201AAD86">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6.</w:t>
      </w:r>
      <w:r>
        <w:rPr>
          <w:rFonts w:hint="eastAsia" w:ascii="方正仿宋_GBK" w:hAnsi="方正仿宋_GBK" w:eastAsia="方正仿宋_GBK" w:cs="方正仿宋_GBK"/>
          <w:kern w:val="2"/>
          <w:sz w:val="32"/>
          <w:szCs w:val="32"/>
          <w:lang w:val="en-US" w:eastAsia="zh-CN" w:bidi="ar"/>
        </w:rPr>
        <w:t xml:space="preserve">组织实施食品安全风险监测。开展食品安全企业标准备案，组织开展食品安全事故流行病学调查。 </w:t>
      </w:r>
    </w:p>
    <w:p w14:paraId="578C94FF">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7.</w:t>
      </w:r>
      <w:r>
        <w:rPr>
          <w:rFonts w:hint="eastAsia" w:ascii="方正仿宋_GBK" w:hAnsi="方正仿宋_GBK" w:eastAsia="方正仿宋_GBK" w:cs="方正仿宋_GBK"/>
          <w:kern w:val="2"/>
          <w:sz w:val="32"/>
          <w:szCs w:val="32"/>
          <w:lang w:val="en-US" w:eastAsia="zh-CN" w:bidi="ar"/>
        </w:rPr>
        <w:t xml:space="preserve">负责职责范围内的职业卫生、放射卫生、环境卫生、学校卫生、公共场所卫生、饮用水卫生等公共卫生的监督管理。负责传染病防治监督，健全卫生健康综合监管体系。 </w:t>
      </w:r>
    </w:p>
    <w:p w14:paraId="174DFE15">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8.</w:t>
      </w:r>
      <w:r>
        <w:rPr>
          <w:rFonts w:hint="eastAsia" w:ascii="方正仿宋_GBK" w:hAnsi="方正仿宋_GBK" w:eastAsia="方正仿宋_GBK" w:cs="方正仿宋_GBK"/>
          <w:kern w:val="2"/>
          <w:sz w:val="32"/>
          <w:szCs w:val="32"/>
          <w:lang w:val="en-US" w:eastAsia="zh-CN" w:bidi="ar"/>
        </w:rPr>
        <w:t xml:space="preserve">制定全县医疗机构、医疗服务行业管理办法并监督实施，建立医疗服务评价和监督管理体系。会同有关部门实施卫生健康专业技术人员资格标准。组织实施医疗服务规范、标准和卫生健康专业技术人员执业规则、服务规范。负责医疗机构、人员和行为的日常监管。 </w:t>
      </w:r>
    </w:p>
    <w:p w14:paraId="3FE10DE1">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9.</w:t>
      </w:r>
      <w:r>
        <w:rPr>
          <w:rFonts w:hint="eastAsia" w:ascii="方正仿宋_GBK" w:hAnsi="方正仿宋_GBK" w:eastAsia="方正仿宋_GBK" w:cs="方正仿宋_GBK"/>
          <w:kern w:val="2"/>
          <w:sz w:val="32"/>
          <w:szCs w:val="32"/>
          <w:lang w:val="en-US" w:eastAsia="zh-CN" w:bidi="ar"/>
        </w:rPr>
        <w:t>制定全县中医药中长期发展规划，并纳入卫生健康事业发展总体规划和战略目标予以组织实施。</w:t>
      </w:r>
    </w:p>
    <w:p w14:paraId="0D5C8928">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10.</w:t>
      </w:r>
      <w:r>
        <w:rPr>
          <w:rFonts w:hint="eastAsia" w:ascii="方正仿宋_GBK" w:hAnsi="方正仿宋_GBK" w:eastAsia="方正仿宋_GBK" w:cs="方正仿宋_GBK"/>
          <w:kern w:val="2"/>
          <w:sz w:val="32"/>
          <w:szCs w:val="32"/>
          <w:lang w:val="en-US" w:eastAsia="zh-CN" w:bidi="ar"/>
        </w:rPr>
        <w:t>负责全县计划生育管理和服务工作。开展人口监测预警，研究提出人口与家庭发展相关政策建议，执行计划生育政策。指导县计划生育协会的业务工作。</w:t>
      </w:r>
    </w:p>
    <w:p w14:paraId="4E7E6A53">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11.</w:t>
      </w:r>
      <w:r>
        <w:rPr>
          <w:rFonts w:hint="eastAsia" w:ascii="方正仿宋_GBK" w:hAnsi="方正仿宋_GBK" w:eastAsia="方正仿宋_GBK" w:cs="方正仿宋_GBK"/>
          <w:kern w:val="2"/>
          <w:sz w:val="32"/>
          <w:szCs w:val="32"/>
          <w:lang w:val="en-US" w:eastAsia="zh-CN" w:bidi="ar"/>
        </w:rPr>
        <w:t>指导乡（镇）卫生健康工作。指导基层医疗卫生、妇幼健康服务体系和基层卫生队伍建设。推进卫生健康科技创新发展。</w:t>
      </w:r>
    </w:p>
    <w:p w14:paraId="63AEBFAC">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负责县确定的保健对象的医疗保健工作。负责县级有关部门（单位）离休干部医疗管理工作。负责重要会议与重大活动的医疗卫生保障工作。</w:t>
      </w:r>
    </w:p>
    <w:p w14:paraId="59BA95CC">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13.</w:t>
      </w:r>
      <w:r>
        <w:rPr>
          <w:rFonts w:hint="eastAsia" w:ascii="方正仿宋_GBK" w:hAnsi="方正仿宋_GBK" w:eastAsia="方正仿宋_GBK" w:cs="方正仿宋_GBK"/>
          <w:kern w:val="2"/>
          <w:sz w:val="32"/>
          <w:szCs w:val="32"/>
          <w:lang w:val="en-US" w:eastAsia="zh-CN" w:bidi="ar"/>
        </w:rPr>
        <w:t>依法依规履行卫生健康行业安全生产监管职责。负责职责范围内的生态环境保护、审批服务便民化等工作。</w:t>
      </w:r>
    </w:p>
    <w:p w14:paraId="5D59D0D7">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14.</w:t>
      </w:r>
      <w:r>
        <w:rPr>
          <w:rFonts w:hint="eastAsia" w:ascii="方正仿宋_GBK" w:hAnsi="方正仿宋_GBK" w:eastAsia="方正仿宋_GBK" w:cs="方正仿宋_GBK"/>
          <w:kern w:val="2"/>
          <w:sz w:val="32"/>
          <w:szCs w:val="32"/>
          <w:lang w:val="en-US" w:eastAsia="zh-CN" w:bidi="ar"/>
        </w:rPr>
        <w:t>承担卫生健康事业多元化、多层次发展相关工作。协调推进深化医药卫生体制改革，参与卫生健康改革发展实践，组织开展相关技术支持、咨询指导、教学培训、成果转化应用与能力提升；承担中医药传承创新发展促进事务性工作；承担卫生健康政策制定的风险评估和实施监测评价与监督指导；承担卫生健康系统新建项目相关服务性工作；承担卫生健康服务信息化系统建设和维护工作</w:t>
      </w:r>
    </w:p>
    <w:p w14:paraId="0393EC8E">
      <w:pPr>
        <w:keepNext w:val="0"/>
        <w:keepLines w:val="0"/>
        <w:widowControl w:val="0"/>
        <w:suppressLineNumbers w:val="0"/>
        <w:spacing w:before="0" w:beforeAutospacing="0" w:after="0" w:afterAutospacing="0" w:line="570" w:lineRule="exact"/>
        <w:ind w:left="0" w:right="0"/>
        <w:jc w:val="both"/>
        <w:rPr>
          <w:rFonts w:eastAsia="楷体_GB2312"/>
          <w:b/>
          <w:bCs/>
          <w:kern w:val="0"/>
          <w:szCs w:val="32"/>
          <w:shd w:val="clear" w:color="auto" w:fill="FFFFFF"/>
          <w:lang w:val="zh-CN"/>
        </w:rPr>
      </w:pPr>
      <w:r>
        <w:rPr>
          <w:rFonts w:hint="default" w:ascii="Times New Roman" w:hAnsi="Times New Roman" w:eastAsia="方正仿宋_GBK" w:cs="Times New Roman"/>
          <w:kern w:val="2"/>
          <w:sz w:val="32"/>
          <w:szCs w:val="32"/>
          <w:lang w:val="en-US" w:eastAsia="zh-CN" w:bidi="ar"/>
        </w:rPr>
        <w:t>15.</w:t>
      </w:r>
      <w:r>
        <w:rPr>
          <w:rFonts w:hint="eastAsia" w:ascii="方正仿宋_GBK" w:hAnsi="方正仿宋_GBK" w:eastAsia="方正仿宋_GBK" w:cs="方正仿宋_GBK"/>
          <w:kern w:val="2"/>
          <w:sz w:val="32"/>
          <w:szCs w:val="32"/>
          <w:lang w:val="en-US" w:eastAsia="zh-CN" w:bidi="ar"/>
        </w:rPr>
        <w:t>完成县委、县政府交办的其他任务。</w:t>
      </w:r>
    </w:p>
    <w:p w14:paraId="2C0A8FDD">
      <w:pPr>
        <w:keepNext w:val="0"/>
        <w:keepLines w:val="0"/>
        <w:widowControl w:val="0"/>
        <w:suppressLineNumbers w:val="0"/>
        <w:spacing w:before="0" w:beforeAutospacing="0" w:after="0" w:afterAutospacing="0"/>
        <w:ind w:left="0" w:right="0" w:firstLine="643" w:firstLineChars="200"/>
        <w:jc w:val="both"/>
        <w:rPr>
          <w:rFonts w:hint="default" w:ascii="Times New Roman" w:hAnsi="Times New Roman" w:eastAsia="方正仿宋_GBK" w:cs="Times New Roman"/>
          <w:kern w:val="2"/>
          <w:sz w:val="32"/>
          <w:szCs w:val="32"/>
          <w:lang w:val="en-US"/>
        </w:rPr>
      </w:pPr>
      <w:r>
        <w:rPr>
          <w:rFonts w:eastAsia="楷体_GB2312"/>
          <w:b/>
          <w:bCs/>
          <w:kern w:val="0"/>
          <w:sz w:val="32"/>
          <w:szCs w:val="32"/>
          <w:shd w:val="clear" w:color="auto" w:fill="FFFFFF"/>
          <w:lang w:val="zh-CN"/>
        </w:rPr>
        <w:t>（</w:t>
      </w:r>
      <w:r>
        <w:rPr>
          <w:rFonts w:hint="eastAsia" w:eastAsia="楷体_GB2312"/>
          <w:b/>
          <w:bCs/>
          <w:kern w:val="0"/>
          <w:sz w:val="32"/>
          <w:szCs w:val="32"/>
          <w:shd w:val="clear" w:color="auto" w:fill="FFFFFF"/>
          <w:lang w:val="zh-CN"/>
        </w:rPr>
        <w:t>三</w:t>
      </w:r>
      <w:r>
        <w:rPr>
          <w:rFonts w:eastAsia="楷体_GB2312"/>
          <w:b/>
          <w:bCs/>
          <w:kern w:val="0"/>
          <w:sz w:val="32"/>
          <w:szCs w:val="32"/>
          <w:shd w:val="clear" w:color="auto" w:fill="FFFFFF"/>
          <w:lang w:val="zh-CN"/>
        </w:rPr>
        <w:t>）人员概况</w:t>
      </w:r>
      <w:r>
        <w:rPr>
          <w:rFonts w:hint="eastAsia" w:eastAsia="楷体_GB2312"/>
          <w:b/>
          <w:bCs/>
          <w:kern w:val="0"/>
          <w:sz w:val="32"/>
          <w:szCs w:val="32"/>
          <w:shd w:val="clear" w:color="auto" w:fill="FFFFFF"/>
          <w:lang w:val="zh-CN"/>
        </w:rPr>
        <w:t>。</w:t>
      </w:r>
      <w:r>
        <w:rPr>
          <w:rFonts w:eastAsia="仿宋_GB2312"/>
          <w:sz w:val="32"/>
          <w:szCs w:val="32"/>
        </w:rPr>
        <w:t>截至202</w:t>
      </w:r>
      <w:r>
        <w:rPr>
          <w:rFonts w:hint="eastAsia" w:eastAsia="仿宋_GB2312"/>
          <w:sz w:val="32"/>
          <w:szCs w:val="32"/>
        </w:rPr>
        <w:t>4</w:t>
      </w:r>
      <w:r>
        <w:rPr>
          <w:rFonts w:eastAsia="仿宋_GB2312"/>
          <w:sz w:val="32"/>
          <w:szCs w:val="32"/>
        </w:rPr>
        <w:t>年末，</w:t>
      </w:r>
      <w:r>
        <w:rPr>
          <w:rFonts w:hint="eastAsia" w:ascii="方正仿宋_GBK" w:hAnsi="方正仿宋_GBK" w:eastAsia="方正仿宋_GBK" w:cs="方正仿宋_GBK"/>
          <w:kern w:val="2"/>
          <w:sz w:val="32"/>
          <w:szCs w:val="32"/>
          <w:lang w:val="en-US" w:eastAsia="zh-CN" w:bidi="ar"/>
        </w:rPr>
        <w:t>盐边县卫生健康局及</w:t>
      </w:r>
      <w:r>
        <w:rPr>
          <w:rFonts w:hint="default" w:ascii="Times New Roman" w:hAnsi="Times New Roman" w:eastAsia="方正仿宋_GBK" w:cs="Times New Roman"/>
          <w:kern w:val="2"/>
          <w:sz w:val="32"/>
          <w:szCs w:val="32"/>
          <w:lang w:val="en-US" w:eastAsia="zh-CN" w:bidi="ar"/>
        </w:rPr>
        <w:t>1</w:t>
      </w:r>
      <w:r>
        <w:rPr>
          <w:rFonts w:hint="eastAsia" w:eastAsia="方正仿宋_GBK" w:cs="Times New Roman"/>
          <w:kern w:val="2"/>
          <w:sz w:val="32"/>
          <w:szCs w:val="32"/>
          <w:lang w:val="en-US" w:eastAsia="zh-CN" w:bidi="ar"/>
        </w:rPr>
        <w:t>9</w:t>
      </w:r>
      <w:r>
        <w:rPr>
          <w:rFonts w:hint="eastAsia" w:ascii="方正仿宋_GBK" w:hAnsi="方正仿宋_GBK" w:eastAsia="方正仿宋_GBK" w:cs="方正仿宋_GBK"/>
          <w:kern w:val="2"/>
          <w:sz w:val="32"/>
          <w:szCs w:val="32"/>
          <w:lang w:val="en-US" w:eastAsia="zh-CN" w:bidi="ar"/>
        </w:rPr>
        <w:t>个下属二级单位编制内实有人员</w:t>
      </w:r>
      <w:r>
        <w:rPr>
          <w:rFonts w:hint="default" w:ascii="Times New Roman" w:hAnsi="Times New Roman" w:eastAsia="方正仿宋_GBK" w:cs="Times New Roman"/>
          <w:kern w:val="2"/>
          <w:sz w:val="32"/>
          <w:szCs w:val="32"/>
          <w:lang w:val="en-US" w:eastAsia="zh-CN" w:bidi="ar"/>
        </w:rPr>
        <w:t>629</w:t>
      </w:r>
      <w:r>
        <w:rPr>
          <w:rFonts w:hint="eastAsia" w:ascii="方正仿宋_GBK" w:hAnsi="方正仿宋_GBK" w:eastAsia="方正仿宋_GBK" w:cs="方正仿宋_GBK"/>
          <w:kern w:val="2"/>
          <w:sz w:val="32"/>
          <w:szCs w:val="32"/>
          <w:lang w:val="en-US" w:eastAsia="zh-CN" w:bidi="ar"/>
        </w:rPr>
        <w:t>人，其中公务员</w:t>
      </w: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人；参照公务员法管理人员</w:t>
      </w:r>
      <w:r>
        <w:rPr>
          <w:rFonts w:hint="default" w:ascii="Times New Roman" w:hAnsi="Times New Roman" w:eastAsia="方正仿宋_GBK" w:cs="Times New Roman"/>
          <w:kern w:val="2"/>
          <w:sz w:val="32"/>
          <w:szCs w:val="32"/>
          <w:lang w:val="en-US" w:eastAsia="zh-CN" w:bidi="ar"/>
        </w:rPr>
        <w:t>5</w:t>
      </w:r>
      <w:r>
        <w:rPr>
          <w:rFonts w:hint="eastAsia" w:ascii="方正仿宋_GBK" w:hAnsi="方正仿宋_GBK" w:eastAsia="方正仿宋_GBK" w:cs="方正仿宋_GBK"/>
          <w:kern w:val="2"/>
          <w:sz w:val="32"/>
          <w:szCs w:val="32"/>
          <w:lang w:val="en-US" w:eastAsia="zh-CN" w:bidi="ar"/>
        </w:rPr>
        <w:t>人；事业管理人员和专业技术人员</w:t>
      </w:r>
      <w:r>
        <w:rPr>
          <w:rFonts w:hint="default" w:ascii="Times New Roman" w:hAnsi="Times New Roman" w:eastAsia="方正仿宋_GBK" w:cs="Times New Roman"/>
          <w:kern w:val="2"/>
          <w:sz w:val="32"/>
          <w:szCs w:val="32"/>
          <w:lang w:val="en-US" w:eastAsia="zh-CN" w:bidi="ar"/>
        </w:rPr>
        <w:t>544</w:t>
      </w:r>
      <w:r>
        <w:rPr>
          <w:rFonts w:hint="eastAsia" w:ascii="方正仿宋_GBK" w:hAnsi="方正仿宋_GBK" w:eastAsia="方正仿宋_GBK" w:cs="方正仿宋_GBK"/>
          <w:kern w:val="2"/>
          <w:sz w:val="32"/>
          <w:szCs w:val="32"/>
          <w:lang w:val="en-US" w:eastAsia="zh-CN" w:bidi="ar"/>
        </w:rPr>
        <w:t>人；机关和事业工人</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人。经费自理人员</w:t>
      </w:r>
      <w:r>
        <w:rPr>
          <w:rFonts w:hint="default" w:ascii="Times New Roman" w:hAnsi="Times New Roman" w:eastAsia="方正仿宋_GBK" w:cs="Times New Roman"/>
          <w:kern w:val="2"/>
          <w:sz w:val="32"/>
          <w:szCs w:val="32"/>
          <w:lang w:val="en-US" w:eastAsia="zh-CN" w:bidi="ar"/>
        </w:rPr>
        <w:t>92</w:t>
      </w:r>
      <w:r>
        <w:rPr>
          <w:rFonts w:hint="eastAsia" w:ascii="方正仿宋_GBK" w:hAnsi="方正仿宋_GBK" w:eastAsia="方正仿宋_GBK" w:cs="方正仿宋_GBK"/>
          <w:kern w:val="2"/>
          <w:sz w:val="32"/>
          <w:szCs w:val="32"/>
          <w:lang w:val="en-US" w:eastAsia="zh-CN" w:bidi="ar"/>
        </w:rPr>
        <w:t>人。其他人员</w:t>
      </w:r>
      <w:r>
        <w:rPr>
          <w:rFonts w:hint="default" w:ascii="Times New Roman" w:hAnsi="Times New Roman" w:eastAsia="方正仿宋_GBK" w:cs="Times New Roman"/>
          <w:kern w:val="2"/>
          <w:sz w:val="32"/>
          <w:szCs w:val="32"/>
          <w:lang w:val="en-US" w:eastAsia="zh-CN" w:bidi="ar"/>
        </w:rPr>
        <w:t>30</w:t>
      </w:r>
      <w:r>
        <w:rPr>
          <w:rFonts w:hint="eastAsia" w:ascii="方正仿宋_GBK" w:hAnsi="方正仿宋_GBK" w:eastAsia="方正仿宋_GBK" w:cs="方正仿宋_GBK"/>
          <w:kern w:val="2"/>
          <w:sz w:val="32"/>
          <w:szCs w:val="32"/>
          <w:lang w:val="en-US" w:eastAsia="zh-CN" w:bidi="ar"/>
        </w:rPr>
        <w:t>人。离退休人员</w:t>
      </w:r>
      <w:r>
        <w:rPr>
          <w:rFonts w:hint="eastAsia" w:ascii="Times New Roman" w:hAnsi="Times New Roman" w:eastAsia="方正仿宋_GBK" w:cs="Times New Roman"/>
          <w:kern w:val="2"/>
          <w:sz w:val="32"/>
          <w:szCs w:val="32"/>
          <w:lang w:val="en-US" w:eastAsia="zh-CN" w:bidi="ar"/>
        </w:rPr>
        <w:t>374</w:t>
      </w:r>
      <w:r>
        <w:rPr>
          <w:rFonts w:hint="eastAsia" w:ascii="方正仿宋_GBK" w:hAnsi="方正仿宋_GBK" w:eastAsia="方正仿宋_GBK" w:cs="方正仿宋_GBK"/>
          <w:kern w:val="2"/>
          <w:sz w:val="32"/>
          <w:szCs w:val="32"/>
          <w:lang w:val="en-US" w:eastAsia="zh-CN" w:bidi="ar"/>
        </w:rPr>
        <w:t>人。</w:t>
      </w:r>
    </w:p>
    <w:p w14:paraId="5E041546">
      <w:pPr>
        <w:keepNext w:val="0"/>
        <w:keepLines w:val="0"/>
        <w:widowControl w:val="0"/>
        <w:suppressLineNumbers w:val="0"/>
        <w:spacing w:before="0" w:beforeAutospacing="0" w:after="0" w:afterAutospacing="0"/>
        <w:ind w:left="0" w:right="0" w:firstLine="640" w:firstLineChars="200"/>
        <w:jc w:val="both"/>
        <w:rPr>
          <w:szCs w:val="32"/>
        </w:rPr>
      </w:pPr>
      <w:r>
        <w:rPr>
          <w:rFonts w:hint="eastAsia" w:ascii="方正仿宋_GBK" w:hAnsi="方正仿宋_GBK" w:eastAsia="方正仿宋_GBK" w:cs="方正仿宋_GBK"/>
          <w:kern w:val="2"/>
          <w:sz w:val="32"/>
          <w:szCs w:val="32"/>
          <w:lang w:val="en-US" w:eastAsia="zh-CN" w:bidi="ar"/>
        </w:rPr>
        <w:t>盐边县卫生健康局机关行政编制</w:t>
      </w:r>
      <w:r>
        <w:rPr>
          <w:rFonts w:hint="default" w:ascii="Times New Roman" w:hAnsi="Times New Roman" w:eastAsia="方正仿宋_GBK" w:cs="Times New Roman"/>
          <w:kern w:val="2"/>
          <w:sz w:val="32"/>
          <w:szCs w:val="32"/>
          <w:lang w:val="en-US" w:eastAsia="zh-CN" w:bidi="ar"/>
        </w:rPr>
        <w:t>14</w:t>
      </w:r>
      <w:r>
        <w:rPr>
          <w:rFonts w:hint="eastAsia" w:ascii="方正仿宋_GBK" w:hAnsi="方正仿宋_GBK" w:eastAsia="方正仿宋_GBK" w:cs="方正仿宋_GBK"/>
          <w:kern w:val="2"/>
          <w:sz w:val="32"/>
          <w:szCs w:val="32"/>
          <w:lang w:val="en-US" w:eastAsia="zh-CN" w:bidi="ar"/>
        </w:rPr>
        <w:t>名，事业编制</w:t>
      </w:r>
      <w:r>
        <w:rPr>
          <w:rFonts w:hint="default" w:ascii="Times New Roman" w:hAnsi="Times New Roman" w:eastAsia="方正仿宋_GBK" w:cs="Times New Roman"/>
          <w:kern w:val="2"/>
          <w:sz w:val="32"/>
          <w:szCs w:val="32"/>
          <w:lang w:val="en-US" w:eastAsia="zh-CN" w:bidi="ar"/>
        </w:rPr>
        <w:t>16</w:t>
      </w:r>
      <w:r>
        <w:rPr>
          <w:rFonts w:hint="eastAsia" w:ascii="方正仿宋_GBK" w:hAnsi="方正仿宋_GBK" w:eastAsia="方正仿宋_GBK" w:cs="方正仿宋_GBK"/>
          <w:kern w:val="2"/>
          <w:sz w:val="32"/>
          <w:szCs w:val="32"/>
          <w:lang w:val="en-US" w:eastAsia="zh-CN" w:bidi="ar"/>
        </w:rPr>
        <w:t>人，机关后勤事业编制</w:t>
      </w:r>
      <w:r>
        <w:rPr>
          <w:rFonts w:hint="eastAsia"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名，其中局长</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名、副局长</w:t>
      </w:r>
      <w:r>
        <w:rPr>
          <w:rFonts w:hint="default" w:ascii="Times New Roman" w:hAnsi="Times New Roman" w:eastAsia="方正仿宋_GBK" w:cs="Times New Roman"/>
          <w:kern w:val="2"/>
          <w:sz w:val="32"/>
          <w:szCs w:val="32"/>
          <w:lang w:val="en-US" w:eastAsia="zh-CN" w:bidi="ar"/>
        </w:rPr>
        <w:t>4</w:t>
      </w:r>
      <w:r>
        <w:rPr>
          <w:rFonts w:hint="eastAsia" w:ascii="方正仿宋_GBK" w:hAnsi="方正仿宋_GBK" w:eastAsia="方正仿宋_GBK" w:cs="方正仿宋_GBK"/>
          <w:kern w:val="2"/>
          <w:sz w:val="32"/>
          <w:szCs w:val="32"/>
          <w:lang w:val="en-US" w:eastAsia="zh-CN" w:bidi="ar"/>
        </w:rPr>
        <w:t>名。2024年末实有在编人员</w:t>
      </w:r>
      <w:r>
        <w:rPr>
          <w:rFonts w:hint="eastAsia" w:ascii="Times New Roman" w:hAnsi="Times New Roman" w:eastAsia="方正仿宋_GBK" w:cs="Times New Roman"/>
          <w:kern w:val="2"/>
          <w:sz w:val="32"/>
          <w:szCs w:val="32"/>
          <w:lang w:val="en-US" w:eastAsia="zh-CN" w:bidi="ar"/>
        </w:rPr>
        <w:t>20</w:t>
      </w:r>
      <w:r>
        <w:rPr>
          <w:rFonts w:hint="eastAsia" w:ascii="方正仿宋_GBK" w:hAnsi="方正仿宋_GBK" w:eastAsia="方正仿宋_GBK" w:cs="方正仿宋_GBK"/>
          <w:kern w:val="2"/>
          <w:sz w:val="32"/>
          <w:szCs w:val="32"/>
          <w:lang w:val="en-US" w:eastAsia="zh-CN" w:bidi="ar"/>
        </w:rPr>
        <w:t>人，实有离退休人员</w:t>
      </w:r>
      <w:r>
        <w:rPr>
          <w:rFonts w:hint="default" w:ascii="Times New Roman" w:hAnsi="Times New Roman" w:eastAsia="方正仿宋_GBK" w:cs="Times New Roman"/>
          <w:kern w:val="2"/>
          <w:sz w:val="32"/>
          <w:szCs w:val="32"/>
          <w:lang w:val="en-US" w:eastAsia="zh-CN" w:bidi="ar"/>
        </w:rPr>
        <w:t>4</w:t>
      </w:r>
      <w:r>
        <w:rPr>
          <w:rFonts w:hint="eastAsia"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人。</w:t>
      </w:r>
    </w:p>
    <w:p w14:paraId="5BAE51DE">
      <w:pPr>
        <w:widowControl/>
        <w:adjustRightInd w:val="0"/>
        <w:snapToGrid w:val="0"/>
        <w:spacing w:line="578"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二、部门资金收支情况</w:t>
      </w:r>
    </w:p>
    <w:p w14:paraId="7FF61B89">
      <w:pPr>
        <w:widowControl/>
        <w:adjustRightInd w:val="0"/>
        <w:snapToGrid w:val="0"/>
        <w:spacing w:line="578" w:lineRule="exact"/>
        <w:ind w:firstLine="643" w:firstLineChars="200"/>
        <w:contextualSpacing/>
        <w:jc w:val="distribute"/>
        <w:rPr>
          <w:rFonts w:hint="eastAsia" w:eastAsia="仿宋_GB2312"/>
          <w:sz w:val="32"/>
          <w:szCs w:val="32"/>
          <w:lang w:val="en-US" w:eastAsia="zh-CN"/>
        </w:rPr>
      </w:pPr>
      <w:r>
        <w:rPr>
          <w:rFonts w:eastAsia="楷体_GB2312"/>
          <w:b/>
          <w:bCs/>
          <w:kern w:val="0"/>
          <w:sz w:val="32"/>
          <w:szCs w:val="32"/>
          <w:shd w:val="clear" w:color="auto" w:fill="FFFFFF"/>
          <w:lang w:val="zh-CN"/>
        </w:rPr>
        <w:t>（一）</w:t>
      </w:r>
      <w:r>
        <w:rPr>
          <w:rFonts w:hint="eastAsia" w:eastAsia="楷体_GB2312"/>
          <w:b/>
          <w:bCs/>
          <w:kern w:val="0"/>
          <w:sz w:val="32"/>
          <w:szCs w:val="32"/>
          <w:shd w:val="clear" w:color="auto" w:fill="FFFFFF"/>
          <w:lang w:val="zh-CN"/>
        </w:rPr>
        <w:t>收入情况</w:t>
      </w:r>
      <w:r>
        <w:rPr>
          <w:rFonts w:eastAsia="楷体_GB2312"/>
          <w:b/>
          <w:bCs/>
          <w:kern w:val="0"/>
          <w:sz w:val="32"/>
          <w:szCs w:val="32"/>
          <w:shd w:val="clear" w:color="auto" w:fill="FFFFFF"/>
          <w:lang w:val="zh-CN"/>
        </w:rPr>
        <w:t>。</w:t>
      </w:r>
      <w:r>
        <w:rPr>
          <w:rFonts w:hint="eastAsia" w:eastAsia="仿宋_GB2312" w:cs="仿宋_GB2312"/>
          <w:sz w:val="32"/>
          <w:szCs w:val="32"/>
          <w:lang w:eastAsia="zh-CN"/>
        </w:rPr>
        <w:t>盐边县卫生健康局及下属</w:t>
      </w:r>
      <w:r>
        <w:rPr>
          <w:rFonts w:hint="eastAsia" w:eastAsia="仿宋_GB2312" w:cs="仿宋_GB2312"/>
          <w:sz w:val="32"/>
          <w:szCs w:val="32"/>
          <w:lang w:val="en-US" w:eastAsia="zh-CN"/>
        </w:rPr>
        <w:t>19家</w:t>
      </w:r>
      <w:r>
        <w:rPr>
          <w:rFonts w:hint="eastAsia" w:eastAsia="仿宋_GB2312" w:cs="仿宋_GB2312"/>
          <w:sz w:val="32"/>
          <w:szCs w:val="32"/>
          <w:lang w:eastAsia="zh-CN"/>
        </w:rPr>
        <w:t>二级预算单位</w:t>
      </w:r>
      <w:r>
        <w:rPr>
          <w:rFonts w:hint="eastAsia" w:eastAsia="仿宋_GB2312"/>
          <w:sz w:val="32"/>
          <w:szCs w:val="32"/>
        </w:rPr>
        <w:t>2024年年初预算收入</w:t>
      </w:r>
      <w:r>
        <w:rPr>
          <w:rFonts w:hint="eastAsia" w:eastAsia="仿宋_GB2312"/>
          <w:sz w:val="32"/>
          <w:szCs w:val="32"/>
          <w:lang w:val="en-US" w:eastAsia="zh-CN"/>
        </w:rPr>
        <w:t>34203.33万元，决算收入34203.33万元，全额完成年初预算。其中：一般公共预算财政拨款收入14992.29万元，占总收入43.82%；政府性基金预算财政拨款收入7064.16万元，占总收入20.65%；事业收入11335.82万元，占总收入33.14%；其他收入811.07万元，占总收入2.37%。</w:t>
      </w:r>
    </w:p>
    <w:p w14:paraId="3F194A69">
      <w:pPr>
        <w:keepNext w:val="0"/>
        <w:keepLines w:val="0"/>
        <w:widowControl w:val="0"/>
        <w:suppressLineNumbers w:val="0"/>
        <w:spacing w:before="0" w:beforeAutospacing="0" w:after="0" w:afterAutospacing="0"/>
        <w:ind w:left="0" w:right="0" w:firstLine="640" w:firstLineChars="200"/>
        <w:jc w:val="both"/>
        <w:rPr>
          <w:rFonts w:hint="default" w:eastAsia="仿宋_GB2312"/>
          <w:sz w:val="32"/>
          <w:szCs w:val="32"/>
          <w:lang w:val="en-US" w:eastAsia="zh-CN"/>
        </w:rPr>
      </w:pPr>
      <w:r>
        <w:rPr>
          <w:rFonts w:hint="default" w:eastAsia="仿宋_GB2312"/>
          <w:sz w:val="32"/>
          <w:szCs w:val="32"/>
          <w:lang w:val="en-US" w:eastAsia="zh-CN"/>
        </w:rPr>
        <w:t>2024年，盐边县卫生健康局局本级本年总收入合计9815.47万元，其中</w:t>
      </w:r>
      <w:r>
        <w:rPr>
          <w:rFonts w:hint="default" w:ascii="仿宋_GB2312" w:hAnsi="Times New Roman" w:eastAsia="仿宋_GB2312" w:cs="仿宋_GB2312"/>
          <w:kern w:val="2"/>
          <w:sz w:val="32"/>
          <w:szCs w:val="32"/>
          <w:lang w:val="en-US" w:eastAsia="zh-CN" w:bidi="ar"/>
        </w:rPr>
        <w:t>一般公共预算财政拨款收入</w:t>
      </w:r>
      <w:r>
        <w:rPr>
          <w:rFonts w:hint="eastAsia" w:eastAsia="仿宋_GB2312"/>
          <w:sz w:val="32"/>
          <w:szCs w:val="32"/>
          <w:lang w:val="en-US" w:eastAsia="zh-CN"/>
        </w:rPr>
        <w:t>2279.89</w:t>
      </w:r>
      <w:r>
        <w:rPr>
          <w:rFonts w:hint="default" w:eastAsia="仿宋_GB2312"/>
          <w:sz w:val="32"/>
          <w:szCs w:val="32"/>
          <w:lang w:val="en-US" w:eastAsia="zh-CN"/>
        </w:rPr>
        <w:t>万元、</w:t>
      </w:r>
      <w:r>
        <w:rPr>
          <w:rFonts w:hint="default" w:ascii="仿宋_GB2312" w:hAnsi="Times New Roman" w:eastAsia="仿宋_GB2312" w:cs="仿宋_GB2312"/>
          <w:kern w:val="2"/>
          <w:sz w:val="32"/>
          <w:szCs w:val="32"/>
          <w:lang w:val="en-US" w:eastAsia="zh-CN" w:bidi="ar"/>
        </w:rPr>
        <w:t>政府性基金预算财政拨款收入</w:t>
      </w:r>
      <w:r>
        <w:rPr>
          <w:rFonts w:hint="eastAsia" w:eastAsia="仿宋_GB2312"/>
          <w:sz w:val="32"/>
          <w:szCs w:val="32"/>
          <w:lang w:val="en-US" w:eastAsia="zh-CN"/>
        </w:rPr>
        <w:t>7023.6</w:t>
      </w:r>
      <w:r>
        <w:rPr>
          <w:rFonts w:hint="default" w:eastAsia="仿宋_GB2312"/>
          <w:sz w:val="32"/>
          <w:szCs w:val="32"/>
          <w:lang w:val="en-US" w:eastAsia="zh-CN"/>
        </w:rPr>
        <w:t>万元、</w:t>
      </w:r>
      <w:r>
        <w:rPr>
          <w:rFonts w:hint="default" w:ascii="仿宋_GB2312" w:hAnsi="Times New Roman" w:eastAsia="仿宋_GB2312" w:cs="仿宋_GB2312"/>
          <w:kern w:val="2"/>
          <w:sz w:val="32"/>
          <w:szCs w:val="32"/>
          <w:lang w:val="en-US" w:eastAsia="zh-CN" w:bidi="ar"/>
        </w:rPr>
        <w:t>其他收入</w:t>
      </w:r>
      <w:r>
        <w:rPr>
          <w:rFonts w:hint="eastAsia" w:eastAsia="仿宋_GB2312"/>
          <w:sz w:val="32"/>
          <w:szCs w:val="32"/>
          <w:lang w:val="en-US" w:eastAsia="zh-CN"/>
        </w:rPr>
        <w:t>511.98</w:t>
      </w:r>
      <w:r>
        <w:rPr>
          <w:rFonts w:hint="default" w:eastAsia="仿宋_GB2312"/>
          <w:sz w:val="32"/>
          <w:szCs w:val="32"/>
          <w:lang w:val="en-US" w:eastAsia="zh-CN"/>
        </w:rPr>
        <w:t>万元</w:t>
      </w:r>
      <w:r>
        <w:rPr>
          <w:rFonts w:hint="eastAsia" w:eastAsia="仿宋_GB2312"/>
          <w:sz w:val="32"/>
          <w:szCs w:val="32"/>
          <w:lang w:val="en-US" w:eastAsia="zh-CN"/>
        </w:rPr>
        <w:t>。</w:t>
      </w:r>
    </w:p>
    <w:p w14:paraId="51453AB9">
      <w:pPr>
        <w:keepNext w:val="0"/>
        <w:keepLines w:val="0"/>
        <w:widowControl w:val="0"/>
        <w:suppressLineNumbers w:val="0"/>
        <w:spacing w:before="0" w:beforeAutospacing="0" w:after="0" w:afterAutospacing="0" w:line="570" w:lineRule="exact"/>
        <w:ind w:left="0" w:right="0" w:firstLine="643" w:firstLineChars="200"/>
        <w:jc w:val="left"/>
      </w:pPr>
      <w:r>
        <w:rPr>
          <w:rFonts w:eastAsia="楷体_GB2312"/>
          <w:b/>
          <w:bCs/>
          <w:kern w:val="0"/>
          <w:sz w:val="32"/>
          <w:szCs w:val="32"/>
          <w:shd w:val="clear" w:color="auto" w:fill="FFFFFF"/>
          <w:lang w:val="zh-CN"/>
        </w:rPr>
        <w:t>（</w:t>
      </w:r>
      <w:r>
        <w:rPr>
          <w:rFonts w:hint="eastAsia" w:eastAsia="楷体_GB2312"/>
          <w:b/>
          <w:bCs/>
          <w:kern w:val="0"/>
          <w:sz w:val="32"/>
          <w:szCs w:val="32"/>
          <w:shd w:val="clear" w:color="auto" w:fill="FFFFFF"/>
          <w:lang w:val="zh-CN"/>
        </w:rPr>
        <w:t>二</w:t>
      </w:r>
      <w:r>
        <w:rPr>
          <w:rFonts w:eastAsia="楷体_GB2312"/>
          <w:b/>
          <w:bCs/>
          <w:kern w:val="0"/>
          <w:sz w:val="32"/>
          <w:szCs w:val="32"/>
          <w:shd w:val="clear" w:color="auto" w:fill="FFFFFF"/>
          <w:lang w:val="zh-CN"/>
        </w:rPr>
        <w:t>）</w:t>
      </w:r>
      <w:r>
        <w:rPr>
          <w:rFonts w:hint="eastAsia" w:eastAsia="楷体_GB2312"/>
          <w:b/>
          <w:bCs/>
          <w:kern w:val="0"/>
          <w:sz w:val="32"/>
          <w:szCs w:val="32"/>
          <w:shd w:val="clear" w:color="auto" w:fill="FFFFFF"/>
          <w:lang w:val="zh-CN"/>
        </w:rPr>
        <w:t>支出情况</w:t>
      </w:r>
      <w:r>
        <w:rPr>
          <w:rFonts w:eastAsia="楷体_GB2312"/>
          <w:b/>
          <w:bCs/>
          <w:kern w:val="0"/>
          <w:sz w:val="32"/>
          <w:szCs w:val="32"/>
          <w:shd w:val="clear" w:color="auto" w:fill="FFFFFF"/>
          <w:lang w:val="zh-CN"/>
        </w:rPr>
        <w:t>。</w:t>
      </w:r>
      <w:r>
        <w:rPr>
          <w:rFonts w:hint="default" w:ascii="仿宋_GB2312" w:hAnsi="Times New Roman" w:eastAsia="仿宋_GB2312" w:cs="仿宋_GB2312"/>
          <w:kern w:val="2"/>
          <w:sz w:val="32"/>
          <w:szCs w:val="32"/>
          <w:lang w:val="en-US" w:eastAsia="zh-CN" w:bidi="ar"/>
        </w:rPr>
        <w:t>盐边县卫生健康局及下属</w:t>
      </w:r>
      <w:r>
        <w:rPr>
          <w:rFonts w:hint="default" w:ascii="Times New Roman" w:hAnsi="Times New Roman" w:eastAsia="仿宋_GB2312" w:cs="Times New Roman"/>
          <w:kern w:val="2"/>
          <w:sz w:val="32"/>
          <w:szCs w:val="32"/>
          <w:lang w:val="en-US" w:eastAsia="zh-CN" w:bidi="ar"/>
        </w:rPr>
        <w:t>19</w:t>
      </w:r>
      <w:r>
        <w:rPr>
          <w:rFonts w:hint="default" w:ascii="仿宋_GB2312" w:hAnsi="Times New Roman" w:eastAsia="仿宋_GB2312" w:cs="仿宋_GB2312"/>
          <w:kern w:val="2"/>
          <w:sz w:val="32"/>
          <w:szCs w:val="32"/>
          <w:lang w:val="en-US" w:eastAsia="zh-CN" w:bidi="ar"/>
        </w:rPr>
        <w:t>家二级预算单位</w:t>
      </w:r>
      <w:r>
        <w:rPr>
          <w:rFonts w:hint="eastAsia" w:eastAsia="仿宋_GB2312"/>
          <w:sz w:val="32"/>
          <w:szCs w:val="32"/>
        </w:rPr>
        <w:t>2024年年初预算</w:t>
      </w:r>
      <w:r>
        <w:rPr>
          <w:rFonts w:hint="eastAsia" w:eastAsia="仿宋_GB2312"/>
          <w:sz w:val="32"/>
          <w:szCs w:val="32"/>
          <w:lang w:eastAsia="zh-CN"/>
        </w:rPr>
        <w:t>支出</w:t>
      </w:r>
      <w:r>
        <w:rPr>
          <w:rFonts w:hint="eastAsia" w:eastAsia="仿宋_GB2312"/>
          <w:sz w:val="32"/>
          <w:szCs w:val="32"/>
          <w:lang w:val="en-US" w:eastAsia="zh-CN"/>
        </w:rPr>
        <w:t xml:space="preserve">34099.65万元，决算支出34099.65万元，全额完成年初预算。其中：社会保障和就业支出2072.73万元，占总支出6.07%，卫生健康支出24101.14万元，占总支出70.57%，农林水支出196.00万元，占总支出0.57%，住房保障支出718.12万元，占总支出2.1%，其他支出7064.16万元，占总支出20.68%。          </w:t>
      </w:r>
    </w:p>
    <w:p w14:paraId="3E7D8790">
      <w:pPr>
        <w:keepNext w:val="0"/>
        <w:keepLines w:val="0"/>
        <w:widowControl w:val="0"/>
        <w:suppressLineNumbers w:val="0"/>
        <w:spacing w:before="0" w:beforeAutospacing="0" w:after="0" w:afterAutospacing="0"/>
        <w:ind w:left="0" w:right="0" w:firstLine="640" w:firstLineChars="200"/>
        <w:jc w:val="both"/>
        <w:rPr>
          <w:szCs w:val="32"/>
          <w:lang w:val="zh-CN"/>
        </w:rPr>
      </w:pP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年，盐边县卫生健康局局本级</w:t>
      </w:r>
      <w:r>
        <w:rPr>
          <w:rFonts w:hint="eastAsia" w:eastAsia="仿宋_GB2312"/>
          <w:sz w:val="32"/>
          <w:szCs w:val="32"/>
        </w:rPr>
        <w:t>年初预算</w:t>
      </w:r>
      <w:r>
        <w:rPr>
          <w:rFonts w:hint="eastAsia" w:eastAsia="仿宋_GB2312"/>
          <w:sz w:val="32"/>
          <w:szCs w:val="32"/>
          <w:lang w:eastAsia="zh-CN"/>
        </w:rPr>
        <w:t>支出</w:t>
      </w:r>
      <w:r>
        <w:rPr>
          <w:rFonts w:hint="eastAsia" w:eastAsia="仿宋_GB2312"/>
          <w:sz w:val="32"/>
          <w:szCs w:val="32"/>
          <w:lang w:val="en-US" w:eastAsia="zh-CN"/>
        </w:rPr>
        <w:t>9801.78万元，决算支出</w:t>
      </w:r>
      <w:r>
        <w:rPr>
          <w:rFonts w:hint="default" w:ascii="Times New Roman" w:hAnsi="Times New Roman" w:eastAsia="方正仿宋_GBK" w:cs="Times New Roman"/>
          <w:kern w:val="2"/>
          <w:sz w:val="32"/>
          <w:szCs w:val="32"/>
          <w:lang w:val="en-US" w:eastAsia="zh-CN" w:bidi="ar"/>
        </w:rPr>
        <w:t>9801.78</w:t>
      </w:r>
      <w:r>
        <w:rPr>
          <w:rFonts w:hint="eastAsia" w:ascii="方正仿宋_GBK" w:hAnsi="方正仿宋_GBK" w:eastAsia="方正仿宋_GBK" w:cs="方正仿宋_GBK"/>
          <w:kern w:val="2"/>
          <w:sz w:val="32"/>
          <w:szCs w:val="32"/>
          <w:lang w:val="en-US" w:eastAsia="zh-CN" w:bidi="ar"/>
        </w:rPr>
        <w:t>万元，</w:t>
      </w:r>
      <w:r>
        <w:rPr>
          <w:rFonts w:hint="eastAsia" w:eastAsia="仿宋_GB2312"/>
          <w:sz w:val="32"/>
          <w:szCs w:val="32"/>
          <w:lang w:val="en-US" w:eastAsia="zh-CN"/>
        </w:rPr>
        <w:t>全额完成年初预算。</w:t>
      </w:r>
      <w:r>
        <w:rPr>
          <w:rFonts w:hint="eastAsia" w:ascii="方正仿宋_GBK" w:hAnsi="方正仿宋_GBK" w:eastAsia="方正仿宋_GBK" w:cs="方正仿宋_GBK"/>
          <w:kern w:val="2"/>
          <w:sz w:val="32"/>
          <w:szCs w:val="32"/>
          <w:lang w:val="en-US" w:eastAsia="zh-CN" w:bidi="ar"/>
        </w:rPr>
        <w:t>其中：社会保障和就业支出</w:t>
      </w:r>
      <w:r>
        <w:rPr>
          <w:rFonts w:hint="default" w:ascii="Times New Roman" w:hAnsi="Times New Roman" w:eastAsia="方正仿宋_GBK" w:cs="Times New Roman"/>
          <w:kern w:val="2"/>
          <w:sz w:val="32"/>
          <w:szCs w:val="32"/>
          <w:lang w:val="en-US" w:eastAsia="zh-CN" w:bidi="ar"/>
        </w:rPr>
        <w:t>209.55</w:t>
      </w:r>
      <w:r>
        <w:rPr>
          <w:rFonts w:hint="eastAsia" w:ascii="方正仿宋_GBK" w:hAnsi="方正仿宋_GBK" w:eastAsia="方正仿宋_GBK" w:cs="方正仿宋_GBK"/>
          <w:kern w:val="2"/>
          <w:sz w:val="32"/>
          <w:szCs w:val="32"/>
          <w:lang w:val="en-US" w:eastAsia="zh-CN" w:bidi="ar"/>
        </w:rPr>
        <w:t>万元、卫生健康支出</w:t>
      </w:r>
      <w:r>
        <w:rPr>
          <w:rFonts w:hint="default" w:ascii="Times New Roman" w:hAnsi="Times New Roman" w:eastAsia="方正仿宋_GBK" w:cs="Times New Roman"/>
          <w:kern w:val="2"/>
          <w:sz w:val="32"/>
          <w:szCs w:val="32"/>
          <w:lang w:val="en-US" w:eastAsia="zh-CN" w:bidi="ar"/>
        </w:rPr>
        <w:t>2338.31</w:t>
      </w:r>
      <w:r>
        <w:rPr>
          <w:rFonts w:hint="eastAsia" w:ascii="方正仿宋_GBK" w:hAnsi="方正仿宋_GBK" w:eastAsia="方正仿宋_GBK" w:cs="方正仿宋_GBK"/>
          <w:kern w:val="2"/>
          <w:sz w:val="32"/>
          <w:szCs w:val="32"/>
          <w:lang w:val="en-US" w:eastAsia="zh-CN" w:bidi="ar"/>
        </w:rPr>
        <w:t>万元、住房保障支出</w:t>
      </w:r>
      <w:r>
        <w:rPr>
          <w:rFonts w:hint="default" w:ascii="Times New Roman" w:hAnsi="Times New Roman" w:eastAsia="方正仿宋_GBK" w:cs="Times New Roman"/>
          <w:kern w:val="2"/>
          <w:sz w:val="32"/>
          <w:szCs w:val="32"/>
          <w:lang w:val="en-US" w:eastAsia="zh-CN" w:bidi="ar"/>
        </w:rPr>
        <w:t>34.31</w:t>
      </w:r>
      <w:r>
        <w:rPr>
          <w:rFonts w:hint="eastAsia" w:ascii="方正仿宋_GBK" w:hAnsi="方正仿宋_GBK" w:eastAsia="方正仿宋_GBK" w:cs="方正仿宋_GBK"/>
          <w:kern w:val="2"/>
          <w:sz w:val="32"/>
          <w:szCs w:val="32"/>
          <w:lang w:val="en-US" w:eastAsia="zh-CN" w:bidi="ar"/>
        </w:rPr>
        <w:t>万元，农林水支出</w:t>
      </w:r>
      <w:r>
        <w:rPr>
          <w:rFonts w:hint="default" w:ascii="Times New Roman" w:hAnsi="Times New Roman" w:eastAsia="方正仿宋_GBK" w:cs="Times New Roman"/>
          <w:kern w:val="2"/>
          <w:sz w:val="32"/>
          <w:szCs w:val="32"/>
          <w:lang w:val="en-US" w:eastAsia="zh-CN" w:bidi="ar"/>
        </w:rPr>
        <w:t>196</w:t>
      </w:r>
      <w:r>
        <w:rPr>
          <w:rFonts w:hint="eastAsia" w:ascii="方正仿宋_GBK" w:hAnsi="方正仿宋_GBK" w:eastAsia="方正仿宋_GBK" w:cs="方正仿宋_GBK"/>
          <w:kern w:val="2"/>
          <w:sz w:val="32"/>
          <w:szCs w:val="32"/>
          <w:lang w:val="en-US" w:eastAsia="zh-CN" w:bidi="ar"/>
        </w:rPr>
        <w:t>万元、其他支出</w:t>
      </w:r>
      <w:r>
        <w:rPr>
          <w:rFonts w:hint="default" w:ascii="Times New Roman" w:hAnsi="Times New Roman" w:eastAsia="方正仿宋_GBK" w:cs="Times New Roman"/>
          <w:kern w:val="2"/>
          <w:sz w:val="32"/>
          <w:szCs w:val="32"/>
          <w:lang w:val="en-US" w:eastAsia="zh-CN" w:bidi="ar"/>
        </w:rPr>
        <w:t>7023.6</w:t>
      </w:r>
      <w:r>
        <w:rPr>
          <w:rFonts w:hint="eastAsia" w:ascii="方正仿宋_GBK" w:hAnsi="方正仿宋_GBK" w:eastAsia="方正仿宋_GBK" w:cs="方正仿宋_GBK"/>
          <w:kern w:val="2"/>
          <w:sz w:val="32"/>
          <w:szCs w:val="32"/>
          <w:lang w:val="en-US" w:eastAsia="zh-CN" w:bidi="ar"/>
        </w:rPr>
        <w:t>万元。</w:t>
      </w:r>
    </w:p>
    <w:p w14:paraId="3C28AE3C">
      <w:pPr>
        <w:keepNext w:val="0"/>
        <w:keepLines w:val="0"/>
        <w:widowControl w:val="0"/>
        <w:numPr>
          <w:ilvl w:val="0"/>
          <w:numId w:val="3"/>
        </w:numPr>
        <w:suppressLineNumbers w:val="0"/>
        <w:spacing w:before="0" w:beforeAutospacing="0" w:after="0" w:afterAutospacing="0"/>
        <w:ind w:left="0" w:right="0" w:firstLine="643" w:firstLineChars="200"/>
        <w:jc w:val="both"/>
        <w:rPr>
          <w:rFonts w:hint="eastAsia" w:eastAsia="仿宋_GB2312"/>
          <w:sz w:val="32"/>
          <w:szCs w:val="32"/>
          <w:lang w:val="en-US" w:eastAsia="zh-CN"/>
        </w:rPr>
      </w:pPr>
      <w:r>
        <w:rPr>
          <w:rFonts w:eastAsia="楷体_GB2312"/>
          <w:b/>
          <w:bCs/>
          <w:kern w:val="0"/>
          <w:sz w:val="32"/>
          <w:szCs w:val="32"/>
          <w:shd w:val="clear" w:color="auto" w:fill="FFFFFF"/>
          <w:lang w:val="zh-CN"/>
        </w:rPr>
        <w:t>结余分配和结转结余情况</w:t>
      </w:r>
      <w:r>
        <w:rPr>
          <w:rFonts w:hint="eastAsia" w:eastAsia="楷体_GB2312"/>
          <w:b/>
          <w:bCs/>
          <w:kern w:val="0"/>
          <w:sz w:val="32"/>
          <w:szCs w:val="32"/>
          <w:shd w:val="clear" w:color="auto" w:fill="FFFFFF"/>
          <w:lang w:val="zh-CN"/>
        </w:rPr>
        <w:t>。</w:t>
      </w:r>
      <w:r>
        <w:rPr>
          <w:rFonts w:hint="default" w:ascii="仿宋_GB2312" w:hAnsi="Times New Roman" w:eastAsia="仿宋_GB2312" w:cs="仿宋_GB2312"/>
          <w:kern w:val="2"/>
          <w:sz w:val="32"/>
          <w:szCs w:val="32"/>
          <w:lang w:val="en-US" w:eastAsia="zh-CN" w:bidi="ar"/>
        </w:rPr>
        <w:t>盐边县卫生健康局及下属</w:t>
      </w:r>
      <w:r>
        <w:rPr>
          <w:rFonts w:hint="default" w:ascii="Times New Roman" w:hAnsi="Times New Roman" w:eastAsia="仿宋_GB2312" w:cs="Times New Roman"/>
          <w:kern w:val="2"/>
          <w:sz w:val="32"/>
          <w:szCs w:val="32"/>
          <w:lang w:val="en-US" w:eastAsia="zh-CN" w:bidi="ar"/>
        </w:rPr>
        <w:t>19</w:t>
      </w:r>
      <w:r>
        <w:rPr>
          <w:rFonts w:hint="default" w:ascii="仿宋_GB2312" w:hAnsi="Times New Roman" w:eastAsia="仿宋_GB2312" w:cs="仿宋_GB2312"/>
          <w:kern w:val="2"/>
          <w:sz w:val="32"/>
          <w:szCs w:val="32"/>
          <w:lang w:val="en-US" w:eastAsia="zh-CN" w:bidi="ar"/>
        </w:rPr>
        <w:t>家二级预算单位</w:t>
      </w:r>
      <w:r>
        <w:rPr>
          <w:rFonts w:hint="eastAsia" w:eastAsia="仿宋_GB2312"/>
          <w:sz w:val="32"/>
          <w:szCs w:val="32"/>
        </w:rPr>
        <w:t>2024年决算</w:t>
      </w:r>
      <w:r>
        <w:rPr>
          <w:rFonts w:hint="eastAsia" w:eastAsia="仿宋_GB2312"/>
          <w:sz w:val="32"/>
          <w:szCs w:val="32"/>
          <w:lang w:eastAsia="zh-CN"/>
        </w:rPr>
        <w:t>收入本年使用非财政拨款结余（含专用结余）</w:t>
      </w:r>
      <w:r>
        <w:rPr>
          <w:rFonts w:hint="eastAsia" w:eastAsia="仿宋_GB2312"/>
          <w:sz w:val="32"/>
          <w:szCs w:val="32"/>
          <w:lang w:val="en-US" w:eastAsia="zh-CN"/>
        </w:rPr>
        <w:t>254.85万元，年初结转和结余22.63万元。</w:t>
      </w:r>
      <w:r>
        <w:rPr>
          <w:rFonts w:hint="eastAsia" w:eastAsia="仿宋_GB2312"/>
          <w:sz w:val="32"/>
          <w:szCs w:val="32"/>
        </w:rPr>
        <w:t>2024年决算</w:t>
      </w:r>
      <w:r>
        <w:rPr>
          <w:rFonts w:hint="eastAsia" w:eastAsia="仿宋_GB2312"/>
          <w:sz w:val="32"/>
          <w:szCs w:val="32"/>
          <w:lang w:eastAsia="zh-CN"/>
        </w:rPr>
        <w:t>支出结余分配</w:t>
      </w:r>
      <w:r>
        <w:rPr>
          <w:rFonts w:hint="eastAsia" w:eastAsia="仿宋_GB2312"/>
          <w:sz w:val="32"/>
          <w:szCs w:val="32"/>
          <w:lang w:val="en-US" w:eastAsia="zh-CN"/>
        </w:rPr>
        <w:t>324.68万元，年末结转和结余56.47万元。</w:t>
      </w:r>
    </w:p>
    <w:p w14:paraId="04E75537">
      <w:pPr>
        <w:keepNext w:val="0"/>
        <w:keepLines w:val="0"/>
        <w:widowControl w:val="0"/>
        <w:numPr>
          <w:ilvl w:val="0"/>
          <w:numId w:val="0"/>
        </w:numPr>
        <w:suppressLineNumbers w:val="0"/>
        <w:spacing w:before="0" w:beforeAutospacing="0" w:after="0" w:afterAutospacing="0"/>
        <w:ind w:right="0" w:rightChars="0" w:firstLine="640" w:firstLineChars="200"/>
        <w:jc w:val="both"/>
        <w:rPr>
          <w:rFonts w:eastAsia="仿宋_GB2312"/>
          <w:kern w:val="0"/>
          <w:szCs w:val="32"/>
          <w:shd w:val="clear" w:color="auto" w:fill="FFFFFF"/>
          <w:lang w:val="zh-CN"/>
        </w:rPr>
      </w:pP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年，盐边县卫生健康局局本级无年初结转和结余，无年末结转和结余。</w:t>
      </w:r>
    </w:p>
    <w:p w14:paraId="402A47B4">
      <w:pPr>
        <w:widowControl/>
        <w:adjustRightInd w:val="0"/>
        <w:snapToGrid w:val="0"/>
        <w:spacing w:line="578"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三、部门预算绩效分析</w:t>
      </w:r>
    </w:p>
    <w:p w14:paraId="655704AC">
      <w:pPr>
        <w:adjustRightInd w:val="0"/>
        <w:snapToGrid w:val="0"/>
        <w:spacing w:line="578" w:lineRule="exact"/>
        <w:ind w:firstLine="643" w:firstLineChars="200"/>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（一）</w:t>
      </w:r>
      <w:r>
        <w:rPr>
          <w:rFonts w:hint="eastAsia" w:eastAsia="楷体_GB2312"/>
          <w:b/>
          <w:bCs/>
          <w:kern w:val="0"/>
          <w:sz w:val="32"/>
          <w:szCs w:val="32"/>
          <w:shd w:val="clear" w:color="auto" w:fill="FFFFFF"/>
          <w:lang w:val="zh-CN"/>
        </w:rPr>
        <w:t>部门预算</w:t>
      </w:r>
      <w:r>
        <w:rPr>
          <w:rFonts w:eastAsia="楷体_GB2312"/>
          <w:b/>
          <w:bCs/>
          <w:kern w:val="0"/>
          <w:sz w:val="32"/>
          <w:szCs w:val="32"/>
          <w:shd w:val="clear" w:color="auto" w:fill="FFFFFF"/>
          <w:lang w:val="zh-CN"/>
        </w:rPr>
        <w:t>总体绩效分析。</w:t>
      </w:r>
    </w:p>
    <w:p w14:paraId="1E7AF04D">
      <w:pPr>
        <w:keepNext w:val="0"/>
        <w:keepLines w:val="0"/>
        <w:widowControl w:val="0"/>
        <w:suppressLineNumbers w:val="0"/>
        <w:spacing w:before="0" w:beforeAutospacing="0" w:after="0" w:afterAutospacing="0"/>
        <w:ind w:left="0" w:right="0"/>
        <w:jc w:val="both"/>
        <w:rPr>
          <w:rFonts w:eastAsia="仿宋_GB2312" w:cs="仿宋_GB2312"/>
          <w:sz w:val="32"/>
          <w:szCs w:val="32"/>
          <w:lang w:val="zh-CN"/>
        </w:rPr>
      </w:pPr>
      <w:r>
        <w:rPr>
          <w:rFonts w:hint="eastAsia" w:eastAsia="楷体_GB2312"/>
          <w:b w:val="0"/>
          <w:bCs w:val="0"/>
          <w:kern w:val="0"/>
          <w:sz w:val="32"/>
          <w:szCs w:val="32"/>
          <w:shd w:val="clear" w:color="auto" w:fill="FFFFFF"/>
          <w:lang w:val="en-US" w:eastAsia="zh-CN"/>
        </w:rPr>
        <w:t>2024年</w:t>
      </w:r>
      <w:r>
        <w:rPr>
          <w:rFonts w:hint="eastAsia" w:ascii="CESI仿宋-GB2312" w:hAnsi="CESI仿宋-GB2312" w:eastAsia="CESI仿宋-GB2312" w:cs="CESI仿宋-GB2312"/>
          <w:color w:val="auto"/>
          <w:sz w:val="32"/>
          <w:szCs w:val="32"/>
          <w:shd w:val="clear" w:color="auto" w:fill="auto"/>
        </w:rPr>
        <w:t>绩效目标管理覆盖一般公共预算中所有本级项目和中央对地方专项转移支付，</w:t>
      </w:r>
      <w:r>
        <w:rPr>
          <w:rFonts w:hint="eastAsia" w:ascii="CESI仿宋-GB2312" w:hAnsi="CESI仿宋-GB2312" w:eastAsia="CESI仿宋-GB2312" w:cs="CESI仿宋-GB2312"/>
          <w:sz w:val="32"/>
          <w:szCs w:val="32"/>
        </w:rPr>
        <w:t>建立了比较全面规范的绩效指标体系，同时</w:t>
      </w:r>
      <w:r>
        <w:rPr>
          <w:rFonts w:hint="eastAsia" w:ascii="CESI仿宋-GB2312" w:hAnsi="CESI仿宋-GB2312" w:eastAsia="CESI仿宋-GB2312" w:cs="CESI仿宋-GB2312"/>
          <w:color w:val="auto"/>
          <w:sz w:val="32"/>
          <w:szCs w:val="32"/>
          <w:shd w:val="clear" w:color="auto" w:fill="auto"/>
        </w:rPr>
        <w:t>将绩效目标随同</w:t>
      </w:r>
      <w:r>
        <w:rPr>
          <w:rFonts w:hint="eastAsia" w:ascii="CESI仿宋-GB2312" w:hAnsi="CESI仿宋-GB2312" w:eastAsia="CESI仿宋-GB2312" w:cs="CESI仿宋-GB2312"/>
          <w:sz w:val="32"/>
          <w:szCs w:val="32"/>
        </w:rPr>
        <w:t>资金同步下</w:t>
      </w:r>
      <w:r>
        <w:rPr>
          <w:rFonts w:hint="eastAsia" w:ascii="CESI仿宋-GB2312" w:hAnsi="CESI仿宋-GB2312" w:eastAsia="CESI仿宋-GB2312" w:cs="CESI仿宋-GB2312"/>
          <w:color w:val="auto"/>
          <w:sz w:val="32"/>
          <w:szCs w:val="32"/>
          <w:shd w:val="clear" w:color="auto" w:fill="auto"/>
        </w:rPr>
        <w:t>达，强化资金使用单位的主体责任和效率意识。组织</w:t>
      </w:r>
      <w:r>
        <w:rPr>
          <w:rFonts w:hint="eastAsia" w:ascii="CESI仿宋-GB2312" w:hAnsi="CESI仿宋-GB2312" w:eastAsia="CESI仿宋-GB2312" w:cs="CESI仿宋-GB2312"/>
          <w:sz w:val="32"/>
          <w:szCs w:val="32"/>
        </w:rPr>
        <w:t>局机关各股室及下属19家医疗卫生机构</w:t>
      </w:r>
      <w:r>
        <w:rPr>
          <w:rFonts w:hint="eastAsia" w:ascii="CESI仿宋-GB2312" w:hAnsi="CESI仿宋-GB2312" w:eastAsia="CESI仿宋-GB2312" w:cs="CESI仿宋-GB2312"/>
          <w:color w:val="auto"/>
          <w:sz w:val="32"/>
          <w:szCs w:val="32"/>
          <w:shd w:val="clear" w:color="auto" w:fill="auto"/>
        </w:rPr>
        <w:t>对上年所有本级项目</w:t>
      </w:r>
      <w:r>
        <w:rPr>
          <w:rFonts w:hint="eastAsia" w:ascii="CESI仿宋-GB2312" w:hAnsi="CESI仿宋-GB2312" w:eastAsia="CESI仿宋-GB2312" w:cs="CESI仿宋-GB2312"/>
          <w:sz w:val="32"/>
          <w:szCs w:val="32"/>
        </w:rPr>
        <w:t>和</w:t>
      </w:r>
      <w:r>
        <w:rPr>
          <w:rFonts w:hint="eastAsia" w:ascii="CESI仿宋-GB2312" w:hAnsi="CESI仿宋-GB2312" w:eastAsia="CESI仿宋-GB2312" w:cs="CESI仿宋-GB2312"/>
          <w:color w:val="auto"/>
          <w:sz w:val="32"/>
          <w:szCs w:val="32"/>
          <w:shd w:val="clear" w:color="auto" w:fill="auto"/>
        </w:rPr>
        <w:t>中央专项转移支付全面开展绩效自评。</w:t>
      </w:r>
      <w:r>
        <w:rPr>
          <w:rFonts w:hint="eastAsia" w:ascii="CESI仿宋-GB2312" w:hAnsi="CESI仿宋-GB2312" w:eastAsia="CESI仿宋-GB2312" w:cs="CESI仿宋-GB2312"/>
          <w:sz w:val="32"/>
          <w:szCs w:val="32"/>
        </w:rPr>
        <w:t>并对本年度预算执行、预算调整、绩效目标完成及实现情况全面开展事中绩效监控，提高财政资金使用效益，</w:t>
      </w:r>
      <w:r>
        <w:rPr>
          <w:rFonts w:hint="default" w:ascii="Times New Roman" w:hAnsi="Times New Roman" w:eastAsia="楷体_GB2312" w:cs="Times New Roman"/>
          <w:b w:val="0"/>
          <w:bCs w:val="0"/>
          <w:kern w:val="0"/>
          <w:sz w:val="32"/>
          <w:szCs w:val="32"/>
          <w:shd w:val="clear" w:fill="FFFFFF"/>
          <w:lang w:val="en-US" w:eastAsia="zh-CN" w:bidi="ar"/>
        </w:rPr>
        <w:t>2024</w:t>
      </w:r>
      <w:r>
        <w:rPr>
          <w:rFonts w:hint="default" w:ascii="楷体_GB2312" w:hAnsi="Times New Roman" w:eastAsia="楷体_GB2312" w:cs="楷体_GB2312"/>
          <w:b w:val="0"/>
          <w:bCs w:val="0"/>
          <w:kern w:val="0"/>
          <w:sz w:val="32"/>
          <w:szCs w:val="32"/>
          <w:shd w:val="clear" w:fill="FFFFFF"/>
          <w:lang w:val="en-US" w:eastAsia="zh-CN" w:bidi="ar"/>
        </w:rPr>
        <w:t>年</w:t>
      </w:r>
      <w:r>
        <w:rPr>
          <w:rFonts w:hint="eastAsia" w:ascii="CESI仿宋-GB2312" w:hAnsi="CESI仿宋-GB2312" w:eastAsia="CESI仿宋-GB2312" w:cs="CESI仿宋-GB2312"/>
          <w:sz w:val="32"/>
          <w:szCs w:val="32"/>
        </w:rPr>
        <w:t>无违规记录。</w:t>
      </w:r>
    </w:p>
    <w:p w14:paraId="4B02A078">
      <w:pPr>
        <w:keepNext w:val="0"/>
        <w:keepLines w:val="0"/>
        <w:widowControl w:val="0"/>
        <w:numPr>
          <w:ilvl w:val="0"/>
          <w:numId w:val="4"/>
        </w:numPr>
        <w:suppressLineNumbers w:val="0"/>
        <w:spacing w:before="0" w:beforeAutospacing="0" w:after="0" w:afterAutospacing="0" w:line="570" w:lineRule="exact"/>
        <w:ind w:left="0" w:right="0" w:firstLine="640" w:firstLineChars="200"/>
        <w:jc w:val="both"/>
        <w:rPr>
          <w:rFonts w:hint="eastAsia" w:ascii="楷体_GB2312" w:hAnsi="楷体_GB2312" w:eastAsia="楷体_GB2312" w:cs="楷体_GB2312"/>
          <w:kern w:val="0"/>
          <w:sz w:val="32"/>
          <w:szCs w:val="32"/>
          <w:shd w:val="clear" w:color="auto" w:fill="FFFFFF"/>
          <w:lang w:val="zh-CN"/>
        </w:rPr>
      </w:pPr>
      <w:r>
        <w:rPr>
          <w:rFonts w:hint="eastAsia" w:ascii="楷体_GB2312" w:hAnsi="楷体_GB2312" w:eastAsia="楷体_GB2312" w:cs="楷体_GB2312"/>
          <w:kern w:val="0"/>
          <w:sz w:val="32"/>
          <w:szCs w:val="32"/>
          <w:shd w:val="clear" w:color="auto" w:fill="FFFFFF"/>
          <w:lang w:val="zh-CN"/>
        </w:rPr>
        <w:t>履职效能。</w:t>
      </w:r>
    </w:p>
    <w:p w14:paraId="69DE936D">
      <w:pPr>
        <w:keepNext w:val="0"/>
        <w:keepLines w:val="0"/>
        <w:widowControl w:val="0"/>
        <w:numPr>
          <w:ilvl w:val="0"/>
          <w:numId w:val="0"/>
        </w:numPr>
        <w:suppressLineNumbers w:val="0"/>
        <w:spacing w:before="0" w:beforeAutospacing="0" w:after="0" w:afterAutospacing="0" w:line="570" w:lineRule="exact"/>
        <w:ind w:leftChars="200" w:right="0" w:rightChars="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）基本公共卫生服务资金目标完成绩效分析。</w:t>
      </w:r>
      <w:r>
        <w:rPr>
          <w:rFonts w:hint="default" w:ascii="Times New Roman" w:hAnsi="Times New Roman" w:eastAsia="方正仿宋_GBK" w:cs="Times New Roman"/>
          <w:kern w:val="2"/>
          <w:sz w:val="32"/>
          <w:szCs w:val="32"/>
          <w:lang w:val="en-US" w:eastAsia="zh-CN" w:bidi="ar"/>
        </w:rPr>
        <w:t>​</w:t>
      </w:r>
    </w:p>
    <w:p w14:paraId="0BD2CA6B">
      <w:pPr>
        <w:keepNext w:val="0"/>
        <w:keepLines w:val="0"/>
        <w:widowControl w:val="0"/>
        <w:suppressLineNumbers w:val="0"/>
        <w:spacing w:before="0" w:beforeAutospacing="0" w:after="0" w:afterAutospacing="0" w:line="570" w:lineRule="exact"/>
        <w:ind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在基本公共卫生服务领域，盐边县卫生健康局超额完成</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为</w:t>
      </w:r>
      <w:r>
        <w:rPr>
          <w:rFonts w:hint="default" w:ascii="Times New Roman" w:hAnsi="Times New Roman" w:eastAsia="方正仿宋_GBK" w:cs="Times New Roman"/>
          <w:kern w:val="2"/>
          <w:sz w:val="32"/>
          <w:szCs w:val="32"/>
          <w:lang w:val="en-US" w:eastAsia="zh-CN" w:bidi="ar"/>
        </w:rPr>
        <w:t>17</w:t>
      </w:r>
      <w:r>
        <w:rPr>
          <w:rFonts w:hint="eastAsia" w:ascii="方正仿宋_GBK" w:hAnsi="方正仿宋_GBK" w:eastAsia="方正仿宋_GBK" w:cs="方正仿宋_GBK"/>
          <w:kern w:val="2"/>
          <w:sz w:val="32"/>
          <w:szCs w:val="32"/>
          <w:lang w:val="en-US" w:eastAsia="zh-CN" w:bidi="ar"/>
        </w:rPr>
        <w:t>余万常住城乡居民免费提供</w:t>
      </w: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项基本公共卫生服务</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省政府民生实事任务，为</w:t>
      </w:r>
      <w:r>
        <w:rPr>
          <w:rFonts w:hint="default" w:ascii="Times New Roman" w:hAnsi="Times New Roman" w:eastAsia="方正仿宋_GBK" w:cs="Times New Roman"/>
          <w:kern w:val="2"/>
          <w:sz w:val="32"/>
          <w:szCs w:val="32"/>
          <w:lang w:val="en-US" w:eastAsia="zh-CN" w:bidi="ar"/>
        </w:rPr>
        <w:t>1.79</w:t>
      </w:r>
      <w:r>
        <w:rPr>
          <w:rFonts w:hint="eastAsia" w:ascii="方正仿宋_GBK" w:hAnsi="方正仿宋_GBK" w:eastAsia="方正仿宋_GBK" w:cs="方正仿宋_GBK"/>
          <w:kern w:val="2"/>
          <w:sz w:val="32"/>
          <w:szCs w:val="32"/>
          <w:lang w:val="en-US" w:eastAsia="zh-CN" w:bidi="ar"/>
        </w:rPr>
        <w:t>万老年人、</w:t>
      </w:r>
      <w:r>
        <w:rPr>
          <w:rFonts w:hint="default" w:ascii="Times New Roman" w:hAnsi="Times New Roman" w:eastAsia="方正仿宋_GBK" w:cs="Times New Roman"/>
          <w:kern w:val="2"/>
          <w:sz w:val="32"/>
          <w:szCs w:val="32"/>
          <w:lang w:val="en-US" w:eastAsia="zh-CN" w:bidi="ar"/>
        </w:rPr>
        <w:t>1.03</w:t>
      </w:r>
      <w:r>
        <w:rPr>
          <w:rFonts w:hint="eastAsia" w:ascii="方正仿宋_GBK" w:hAnsi="方正仿宋_GBK" w:eastAsia="方正仿宋_GBK" w:cs="方正仿宋_GBK"/>
          <w:kern w:val="2"/>
          <w:sz w:val="32"/>
          <w:szCs w:val="32"/>
          <w:lang w:val="en-US" w:eastAsia="zh-CN" w:bidi="ar"/>
        </w:rPr>
        <w:t>万高血压患者、</w:t>
      </w:r>
      <w:r>
        <w:rPr>
          <w:rFonts w:hint="default" w:ascii="Times New Roman" w:hAnsi="Times New Roman" w:eastAsia="方正仿宋_GBK" w:cs="Times New Roman"/>
          <w:kern w:val="2"/>
          <w:sz w:val="32"/>
          <w:szCs w:val="32"/>
          <w:lang w:val="en-US" w:eastAsia="zh-CN" w:bidi="ar"/>
        </w:rPr>
        <w:t>0.34</w:t>
      </w:r>
      <w:r>
        <w:rPr>
          <w:rFonts w:hint="eastAsia" w:ascii="方正仿宋_GBK" w:hAnsi="方正仿宋_GBK" w:eastAsia="方正仿宋_GBK" w:cs="方正仿宋_GBK"/>
          <w:kern w:val="2"/>
          <w:sz w:val="32"/>
          <w:szCs w:val="32"/>
          <w:lang w:val="en-US" w:eastAsia="zh-CN" w:bidi="ar"/>
        </w:rPr>
        <w:t>万</w:t>
      </w:r>
      <w:r>
        <w:rPr>
          <w:rFonts w:hint="default" w:ascii="Times New Roman" w:hAnsi="Times New Roman" w:eastAsia="方正仿宋_GBK" w:cs="Times New Roman"/>
          <w:kern w:val="2"/>
          <w:sz w:val="32"/>
          <w:szCs w:val="32"/>
          <w:lang w:val="en-US" w:eastAsia="zh-CN" w:bidi="ar"/>
        </w:rPr>
        <w:t>II</w:t>
      </w:r>
      <w:r>
        <w:rPr>
          <w:rFonts w:hint="eastAsia" w:ascii="方正仿宋_GBK" w:hAnsi="方正仿宋_GBK" w:eastAsia="方正仿宋_GBK" w:cs="方正仿宋_GBK"/>
          <w:kern w:val="2"/>
          <w:sz w:val="32"/>
          <w:szCs w:val="32"/>
          <w:lang w:val="en-US" w:eastAsia="zh-CN" w:bidi="ar"/>
        </w:rPr>
        <w:t>型糖尿病患者提供健康管理服务。家庭医生签约覆盖率</w:t>
      </w:r>
      <w:r>
        <w:rPr>
          <w:rFonts w:hint="default" w:ascii="Times New Roman" w:hAnsi="Times New Roman" w:eastAsia="方正仿宋_GBK" w:cs="Times New Roman"/>
          <w:kern w:val="2"/>
          <w:sz w:val="32"/>
          <w:szCs w:val="32"/>
          <w:lang w:val="en-US" w:eastAsia="zh-CN" w:bidi="ar"/>
        </w:rPr>
        <w:t>97.23%</w:t>
      </w:r>
      <w:r>
        <w:rPr>
          <w:rFonts w:hint="eastAsia" w:ascii="方正仿宋_GBK" w:hAnsi="方正仿宋_GBK" w:eastAsia="方正仿宋_GBK" w:cs="方正仿宋_GBK"/>
          <w:kern w:val="2"/>
          <w:sz w:val="32"/>
          <w:szCs w:val="32"/>
          <w:lang w:val="en-US" w:eastAsia="zh-CN" w:bidi="ar"/>
        </w:rPr>
        <w:t>，十类重点人群签约覆盖率</w:t>
      </w:r>
      <w:r>
        <w:rPr>
          <w:rFonts w:hint="default" w:ascii="Times New Roman" w:hAnsi="Times New Roman" w:eastAsia="方正仿宋_GBK" w:cs="Times New Roman"/>
          <w:kern w:val="2"/>
          <w:sz w:val="32"/>
          <w:szCs w:val="32"/>
          <w:lang w:val="en-US" w:eastAsia="zh-CN" w:bidi="ar"/>
        </w:rPr>
        <w:t>95.02%</w:t>
      </w:r>
      <w:r>
        <w:rPr>
          <w:rFonts w:hint="eastAsia" w:ascii="方正仿宋_GBK" w:hAnsi="方正仿宋_GBK" w:eastAsia="方正仿宋_GBK" w:cs="方正仿宋_GBK"/>
          <w:kern w:val="2"/>
          <w:sz w:val="32"/>
          <w:szCs w:val="32"/>
          <w:lang w:val="en-US" w:eastAsia="zh-CN" w:bidi="ar"/>
        </w:rPr>
        <w:t>。资金和人力得到了较为合理的配置，居民对基本公共卫生服务的满意度较高。基本公共卫生服务项目严格执行财务管理制度，及时账务处理，会计核算规范。</w:t>
      </w:r>
    </w:p>
    <w:p w14:paraId="337C5F59">
      <w:pPr>
        <w:keepNext w:val="0"/>
        <w:keepLines w:val="0"/>
        <w:widowControl w:val="0"/>
        <w:suppressLineNumbers w:val="0"/>
        <w:spacing w:before="0" w:beforeAutospacing="0" w:after="0" w:afterAutospacing="0" w:line="570" w:lineRule="exact"/>
        <w:ind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）计划生育服务资金目标完成绩效分析。</w:t>
      </w:r>
      <w:r>
        <w:rPr>
          <w:rFonts w:hint="default" w:ascii="Times New Roman" w:hAnsi="Times New Roman" w:eastAsia="方正仿宋_GBK" w:cs="Times New Roman"/>
          <w:kern w:val="2"/>
          <w:sz w:val="32"/>
          <w:szCs w:val="32"/>
          <w:lang w:val="en-US" w:eastAsia="zh-CN" w:bidi="ar"/>
        </w:rPr>
        <w:t>​</w:t>
      </w:r>
    </w:p>
    <w:p w14:paraId="63262DF6">
      <w:pPr>
        <w:keepNext w:val="0"/>
        <w:keepLines w:val="0"/>
        <w:widowControl w:val="0"/>
        <w:suppressLineNumbers w:val="0"/>
        <w:spacing w:before="0" w:beforeAutospacing="0" w:after="0" w:afterAutospacing="0" w:line="570" w:lineRule="exact"/>
        <w:ind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计划生育服务项目主要涉及农村部分计划生育家庭奖励扶助制度、计划生育家庭特别扶助制度和独生子女父母奖励金。</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年度项目实施解决</w:t>
      </w:r>
      <w:r>
        <w:rPr>
          <w:rFonts w:hint="default" w:ascii="Times New Roman" w:hAnsi="Times New Roman" w:eastAsia="方正仿宋_GBK" w:cs="Times New Roman"/>
          <w:kern w:val="2"/>
          <w:sz w:val="32"/>
          <w:szCs w:val="32"/>
          <w:lang w:val="en-US" w:eastAsia="zh-CN" w:bidi="ar"/>
        </w:rPr>
        <w:t>3460</w:t>
      </w:r>
      <w:r>
        <w:rPr>
          <w:rFonts w:hint="eastAsia" w:ascii="方正仿宋_GBK" w:hAnsi="方正仿宋_GBK" w:eastAsia="方正仿宋_GBK" w:cs="方正仿宋_GBK"/>
          <w:kern w:val="2"/>
          <w:sz w:val="32"/>
          <w:szCs w:val="32"/>
          <w:lang w:val="en-US" w:eastAsia="zh-CN" w:bidi="ar"/>
        </w:rPr>
        <w:t>人农村独生子女和双女家庭养老问题，发放资金</w:t>
      </w:r>
      <w:r>
        <w:rPr>
          <w:rFonts w:hint="default" w:ascii="Times New Roman" w:hAnsi="Times New Roman" w:eastAsia="方正仿宋_GBK" w:cs="Times New Roman"/>
          <w:kern w:val="2"/>
          <w:sz w:val="32"/>
          <w:szCs w:val="32"/>
          <w:lang w:val="en-US" w:eastAsia="zh-CN" w:bidi="ar"/>
        </w:rPr>
        <w:t>332.16</w:t>
      </w:r>
      <w:r>
        <w:rPr>
          <w:rFonts w:hint="eastAsia" w:ascii="方正仿宋_GBK" w:hAnsi="方正仿宋_GBK" w:eastAsia="方正仿宋_GBK" w:cs="方正仿宋_GBK"/>
          <w:kern w:val="2"/>
          <w:sz w:val="32"/>
          <w:szCs w:val="32"/>
          <w:lang w:val="en-US" w:eastAsia="zh-CN" w:bidi="ar"/>
        </w:rPr>
        <w:t>万元；落实计划生育家庭特别扶助制度目标人数</w:t>
      </w:r>
      <w:r>
        <w:rPr>
          <w:rFonts w:hint="default" w:ascii="Times New Roman" w:hAnsi="Times New Roman" w:eastAsia="方正仿宋_GBK" w:cs="Times New Roman"/>
          <w:kern w:val="2"/>
          <w:sz w:val="32"/>
          <w:szCs w:val="32"/>
          <w:lang w:val="en-US" w:eastAsia="zh-CN" w:bidi="ar"/>
        </w:rPr>
        <w:t>171</w:t>
      </w:r>
      <w:r>
        <w:rPr>
          <w:rFonts w:hint="eastAsia" w:ascii="方正仿宋_GBK" w:hAnsi="方正仿宋_GBK" w:eastAsia="方正仿宋_GBK" w:cs="方正仿宋_GBK"/>
          <w:kern w:val="2"/>
          <w:sz w:val="32"/>
          <w:szCs w:val="32"/>
          <w:lang w:val="en-US" w:eastAsia="zh-CN" w:bidi="ar"/>
        </w:rPr>
        <w:t>人，发放资金</w:t>
      </w:r>
      <w:r>
        <w:rPr>
          <w:rFonts w:hint="default" w:ascii="Times New Roman" w:hAnsi="Times New Roman" w:eastAsia="方正仿宋_GBK" w:cs="Times New Roman"/>
          <w:kern w:val="2"/>
          <w:sz w:val="32"/>
          <w:szCs w:val="32"/>
          <w:lang w:val="en-US" w:eastAsia="zh-CN" w:bidi="ar"/>
        </w:rPr>
        <w:t>196.884</w:t>
      </w:r>
      <w:r>
        <w:rPr>
          <w:rFonts w:hint="eastAsia" w:ascii="方正仿宋_GBK" w:hAnsi="方正仿宋_GBK" w:eastAsia="方正仿宋_GBK" w:cs="方正仿宋_GBK"/>
          <w:kern w:val="2"/>
          <w:sz w:val="32"/>
          <w:szCs w:val="32"/>
          <w:lang w:val="en-US" w:eastAsia="zh-CN" w:bidi="ar"/>
        </w:rPr>
        <w:t>万元；计划生育特别扶助其他</w:t>
      </w:r>
      <w:r>
        <w:rPr>
          <w:rFonts w:hint="default" w:ascii="Times New Roman" w:hAnsi="Times New Roman" w:eastAsia="方正仿宋_GBK" w:cs="Times New Roman"/>
          <w:kern w:val="2"/>
          <w:sz w:val="32"/>
          <w:szCs w:val="32"/>
          <w:lang w:val="en-US" w:eastAsia="zh-CN" w:bidi="ar"/>
        </w:rPr>
        <w:t>1746</w:t>
      </w:r>
      <w:r>
        <w:rPr>
          <w:rFonts w:hint="eastAsia" w:ascii="方正仿宋_GBK" w:hAnsi="方正仿宋_GBK" w:eastAsia="方正仿宋_GBK" w:cs="方正仿宋_GBK"/>
          <w:kern w:val="2"/>
          <w:sz w:val="32"/>
          <w:szCs w:val="32"/>
          <w:lang w:val="en-US" w:eastAsia="zh-CN" w:bidi="ar"/>
        </w:rPr>
        <w:t>人，发放资金</w:t>
      </w:r>
      <w:r>
        <w:rPr>
          <w:rFonts w:hint="default" w:ascii="Times New Roman" w:hAnsi="Times New Roman" w:eastAsia="方正仿宋_GBK" w:cs="Times New Roman"/>
          <w:kern w:val="2"/>
          <w:sz w:val="32"/>
          <w:szCs w:val="32"/>
          <w:lang w:val="en-US" w:eastAsia="zh-CN" w:bidi="ar"/>
        </w:rPr>
        <w:t>545.856</w:t>
      </w:r>
      <w:r>
        <w:rPr>
          <w:rFonts w:hint="eastAsia" w:ascii="方正仿宋_GBK" w:hAnsi="方正仿宋_GBK" w:eastAsia="方正仿宋_GBK" w:cs="方正仿宋_GBK"/>
          <w:kern w:val="2"/>
          <w:sz w:val="32"/>
          <w:szCs w:val="32"/>
          <w:lang w:val="en-US" w:eastAsia="zh-CN" w:bidi="ar"/>
        </w:rPr>
        <w:t>万元；独生子女父母奖励金</w:t>
      </w:r>
      <w:r>
        <w:rPr>
          <w:rFonts w:hint="default" w:ascii="Times New Roman" w:hAnsi="Times New Roman" w:eastAsia="方正仿宋_GBK" w:cs="Times New Roman"/>
          <w:kern w:val="2"/>
          <w:sz w:val="32"/>
          <w:szCs w:val="32"/>
          <w:lang w:val="en-US" w:eastAsia="zh-CN" w:bidi="ar"/>
        </w:rPr>
        <w:t>772</w:t>
      </w:r>
      <w:r>
        <w:rPr>
          <w:rFonts w:hint="eastAsia" w:ascii="方正仿宋_GBK" w:hAnsi="方正仿宋_GBK" w:eastAsia="方正仿宋_GBK" w:cs="方正仿宋_GBK"/>
          <w:kern w:val="2"/>
          <w:sz w:val="32"/>
          <w:szCs w:val="32"/>
          <w:lang w:val="en-US" w:eastAsia="zh-CN" w:bidi="ar"/>
        </w:rPr>
        <w:t>人，发放资金</w:t>
      </w:r>
      <w:r>
        <w:rPr>
          <w:rFonts w:hint="default" w:ascii="Times New Roman" w:hAnsi="Times New Roman" w:eastAsia="方正仿宋_GBK" w:cs="Times New Roman"/>
          <w:kern w:val="2"/>
          <w:sz w:val="32"/>
          <w:szCs w:val="32"/>
          <w:lang w:val="en-US" w:eastAsia="zh-CN" w:bidi="ar"/>
        </w:rPr>
        <w:t>4.68</w:t>
      </w:r>
      <w:r>
        <w:rPr>
          <w:rFonts w:hint="eastAsia" w:ascii="方正仿宋_GBK" w:hAnsi="方正仿宋_GBK" w:eastAsia="方正仿宋_GBK" w:cs="方正仿宋_GBK"/>
          <w:kern w:val="2"/>
          <w:sz w:val="32"/>
          <w:szCs w:val="32"/>
          <w:lang w:val="en-US" w:eastAsia="zh-CN" w:bidi="ar"/>
        </w:rPr>
        <w:t>万元。农村部分计划生育家庭奖励扶助资金奖励扶助实行专款专用，专账核算。财务管理制度健全，执行情况良好。</w:t>
      </w:r>
    </w:p>
    <w:p w14:paraId="215650B8">
      <w:pPr>
        <w:keepNext w:val="0"/>
        <w:keepLines w:val="0"/>
        <w:widowControl w:val="0"/>
        <w:suppressLineNumbers w:val="0"/>
        <w:spacing w:before="0" w:beforeAutospacing="0" w:after="0" w:afterAutospacing="0" w:line="570" w:lineRule="exact"/>
        <w:ind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）盐边县第二人民医院工程项目目标完成绩效分析。</w:t>
      </w:r>
    </w:p>
    <w:p w14:paraId="38E77C08">
      <w:pPr>
        <w:keepNext w:val="0"/>
        <w:keepLines w:val="0"/>
        <w:widowControl w:val="0"/>
        <w:suppressLineNumbers w:val="0"/>
        <w:spacing w:before="0" w:beforeAutospacing="0" w:after="0" w:afterAutospacing="0" w:line="570" w:lineRule="exact"/>
        <w:ind w:left="0" w:right="0"/>
        <w:jc w:val="both"/>
      </w:pP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年，到位专项债券资金</w:t>
      </w:r>
      <w:r>
        <w:rPr>
          <w:rFonts w:hint="default" w:ascii="Times New Roman" w:hAnsi="Times New Roman" w:eastAsia="方正仿宋_GBK" w:cs="Times New Roman"/>
          <w:kern w:val="2"/>
          <w:sz w:val="32"/>
          <w:szCs w:val="32"/>
          <w:lang w:val="en-US" w:eastAsia="zh-CN" w:bidi="ar"/>
        </w:rPr>
        <w:t>7000</w:t>
      </w:r>
      <w:r>
        <w:rPr>
          <w:rFonts w:hint="eastAsia" w:ascii="方正仿宋_GBK" w:hAnsi="方正仿宋_GBK" w:eastAsia="方正仿宋_GBK" w:cs="方正仿宋_GBK"/>
          <w:kern w:val="2"/>
          <w:sz w:val="32"/>
          <w:szCs w:val="32"/>
          <w:lang w:val="en-US" w:eastAsia="zh-CN" w:bidi="ar"/>
        </w:rPr>
        <w:t>万元。该项目进行了盐边县第二人民医院门诊楼和医技楼建设施工，</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w:t>
      </w: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日主体工程封顶，按时间节点，全面完成了工作任务。资金按照专项债券实施方案全面完成支付，符合项目资金使用范围，支付依据合规合法，资金支付与预算相符。</w:t>
      </w:r>
    </w:p>
    <w:p w14:paraId="36EF99EC">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楷体_GB2312" w:hAnsi="楷体_GB2312" w:eastAsia="楷体_GB2312" w:cs="楷体_GB2312"/>
          <w:kern w:val="0"/>
          <w:sz w:val="32"/>
          <w:szCs w:val="32"/>
          <w:shd w:val="clear" w:color="auto" w:fill="FFFFFF"/>
        </w:rPr>
        <w:t>2.</w:t>
      </w:r>
      <w:r>
        <w:rPr>
          <w:rFonts w:hint="eastAsia" w:ascii="楷体_GB2312" w:hAnsi="楷体_GB2312" w:eastAsia="楷体_GB2312" w:cs="楷体_GB2312"/>
          <w:kern w:val="0"/>
          <w:sz w:val="32"/>
          <w:szCs w:val="32"/>
          <w:shd w:val="clear" w:color="auto" w:fill="FFFFFF"/>
          <w:lang w:val="zh-CN"/>
        </w:rPr>
        <w:t>预算管理。</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盐边县卫生健康局严格按要求编制年初部门预算，紧密围绕国家和地方卫生健康政策导向，基本涵盖了人员经费、公用经费以及各类项目经费等主要方面，目标合理、内容完整，便于对预算执行效果进行跟踪和考核。</w:t>
      </w:r>
    </w:p>
    <w:p w14:paraId="0BD8F322">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“三公经费”变动情况：盐边县卫生健康局及下属二级预算单位</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年“三公”经费预算执行</w:t>
      </w:r>
      <w:r>
        <w:rPr>
          <w:rFonts w:hint="eastAsia" w:ascii="Times New Roman" w:hAnsi="Times New Roman" w:eastAsia="方正仿宋_GBK" w:cs="Times New Roman"/>
          <w:kern w:val="2"/>
          <w:sz w:val="32"/>
          <w:szCs w:val="32"/>
          <w:lang w:val="en-US" w:eastAsia="zh-CN" w:bidi="ar"/>
        </w:rPr>
        <w:t>2.17万</w:t>
      </w:r>
      <w:r>
        <w:rPr>
          <w:rFonts w:hint="eastAsia" w:ascii="方正仿宋_GBK" w:hAnsi="方正仿宋_GBK" w:eastAsia="方正仿宋_GBK" w:cs="方正仿宋_GBK"/>
          <w:kern w:val="2"/>
          <w:sz w:val="32"/>
          <w:szCs w:val="32"/>
          <w:lang w:val="en-US" w:eastAsia="zh-CN" w:bidi="ar"/>
        </w:rPr>
        <w:t>元，与上年对比增加</w:t>
      </w:r>
      <w:r>
        <w:rPr>
          <w:rFonts w:hint="eastAsia" w:ascii="Times New Roman" w:hAnsi="Times New Roman" w:eastAsia="方正仿宋_GBK" w:cs="Times New Roman"/>
          <w:kern w:val="2"/>
          <w:sz w:val="32"/>
          <w:szCs w:val="32"/>
          <w:lang w:val="en-US" w:eastAsia="zh-CN" w:bidi="ar"/>
        </w:rPr>
        <w:t>1.37万</w:t>
      </w:r>
      <w:r>
        <w:rPr>
          <w:rFonts w:hint="eastAsia" w:ascii="方正仿宋_GBK" w:hAnsi="方正仿宋_GBK" w:eastAsia="方正仿宋_GBK" w:cs="方正仿宋_GBK"/>
          <w:kern w:val="2"/>
          <w:sz w:val="32"/>
          <w:szCs w:val="32"/>
          <w:lang w:val="en-US" w:eastAsia="zh-CN" w:bidi="ar"/>
        </w:rPr>
        <w:t>元，主要增加原因是公务用车运行维护费增加。盐边县卫生健康局</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年“三公经费”预算执行</w:t>
      </w:r>
      <w:r>
        <w:rPr>
          <w:rFonts w:hint="eastAsia" w:ascii="Times New Roman" w:hAnsi="Times New Roman" w:eastAsia="方正仿宋_GBK" w:cs="Times New Roman"/>
          <w:kern w:val="2"/>
          <w:sz w:val="32"/>
          <w:szCs w:val="32"/>
          <w:lang w:val="en-US" w:eastAsia="zh-CN" w:bidi="ar"/>
        </w:rPr>
        <w:t>0.64万</w:t>
      </w:r>
      <w:r>
        <w:rPr>
          <w:rFonts w:hint="eastAsia" w:ascii="方正仿宋_GBK" w:hAnsi="方正仿宋_GBK" w:eastAsia="方正仿宋_GBK" w:cs="方正仿宋_GBK"/>
          <w:kern w:val="2"/>
          <w:sz w:val="32"/>
          <w:szCs w:val="32"/>
          <w:lang w:val="en-US" w:eastAsia="zh-CN" w:bidi="ar"/>
        </w:rPr>
        <w:t>元，在</w:t>
      </w:r>
      <w:r>
        <w:rPr>
          <w:rFonts w:hint="default" w:ascii="Times New Roman" w:hAnsi="Times New Roman" w:eastAsia="方正仿宋_GBK" w:cs="Times New Roman"/>
          <w:kern w:val="2"/>
          <w:sz w:val="32"/>
          <w:szCs w:val="32"/>
          <w:lang w:val="en-US" w:eastAsia="zh-CN" w:bidi="ar"/>
        </w:rPr>
        <w:t>2023</w:t>
      </w:r>
      <w:r>
        <w:rPr>
          <w:rFonts w:hint="eastAsia" w:ascii="方正仿宋_GBK" w:hAnsi="方正仿宋_GBK" w:eastAsia="方正仿宋_GBK" w:cs="方正仿宋_GBK"/>
          <w:kern w:val="2"/>
          <w:sz w:val="32"/>
          <w:szCs w:val="32"/>
          <w:lang w:val="en-US" w:eastAsia="zh-CN" w:bidi="ar"/>
        </w:rPr>
        <w:t>年基础上压缩</w:t>
      </w:r>
      <w:r>
        <w:rPr>
          <w:rFonts w:hint="default" w:ascii="Times New Roman" w:hAnsi="Times New Roman" w:eastAsia="方正仿宋_GBK" w:cs="Times New Roman"/>
          <w:kern w:val="2"/>
          <w:sz w:val="32"/>
          <w:szCs w:val="32"/>
          <w:lang w:val="en-US" w:eastAsia="zh-CN" w:bidi="ar"/>
        </w:rPr>
        <w:t>20%</w:t>
      </w:r>
      <w:r>
        <w:rPr>
          <w:rFonts w:hint="eastAsia" w:ascii="方正仿宋_GBK" w:hAnsi="方正仿宋_GBK" w:eastAsia="方正仿宋_GBK" w:cs="方正仿宋_GBK"/>
          <w:kern w:val="2"/>
          <w:sz w:val="32"/>
          <w:szCs w:val="32"/>
          <w:lang w:val="en-US" w:eastAsia="zh-CN" w:bidi="ar"/>
        </w:rPr>
        <w:t>。</w:t>
      </w:r>
    </w:p>
    <w:p w14:paraId="6E437746">
      <w:pPr>
        <w:keepNext w:val="0"/>
        <w:keepLines w:val="0"/>
        <w:widowControl w:val="0"/>
        <w:suppressLineNumbers w:val="0"/>
        <w:spacing w:before="0" w:beforeAutospacing="0" w:after="0" w:afterAutospacing="0" w:line="570" w:lineRule="exact"/>
        <w:ind w:left="0" w:right="0" w:firstLine="640" w:firstLineChars="200"/>
        <w:jc w:val="both"/>
        <w:rPr>
          <w:rFonts w:ascii="仿宋_GB2312" w:hAnsi="仿宋_GB2312" w:eastAsia="仿宋_GB2312" w:cs="仿宋_GB2312"/>
          <w:kern w:val="0"/>
          <w:sz w:val="32"/>
          <w:szCs w:val="32"/>
          <w:shd w:val="clear" w:color="auto" w:fill="FFFFFF"/>
          <w:lang w:val="zh-CN"/>
        </w:rPr>
      </w:pPr>
      <w:r>
        <w:rPr>
          <w:rFonts w:hint="eastAsia" w:ascii="方正仿宋_GBK" w:hAnsi="方正仿宋_GBK" w:eastAsia="方正仿宋_GBK" w:cs="方正仿宋_GBK"/>
          <w:kern w:val="2"/>
          <w:sz w:val="32"/>
          <w:szCs w:val="32"/>
          <w:lang w:val="en-US" w:eastAsia="zh-CN" w:bidi="ar"/>
        </w:rPr>
        <w:t>各预算项目资金严格按进度执行，年终无结余。盐边县卫生健康局针对</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三公</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经费、会议、培训、差旅等一般性支出，构建了全方位、多层次的严控体系，力求将每一分财政资金都用在刀刃上。</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三公</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经费严格落实申请审批制，精准管控。严控会议、培训数量，年初即统筹年度会议、培训计划，能合并的一律合并召开；控制会议规模和时长。差旅费管理，从出差审批到费用报销，全流程进行规范，确保每一笔差旅费都合理合规使用。但因卫生健康系统公务用车运行维护费、会议、培训增加，导致系统一般性支出增加。</w:t>
      </w:r>
    </w:p>
    <w:p w14:paraId="7798A0A7">
      <w:pPr>
        <w:keepNext w:val="0"/>
        <w:keepLines w:val="0"/>
        <w:widowControl w:val="0"/>
        <w:suppressLineNumbers w:val="0"/>
        <w:spacing w:before="0" w:beforeAutospacing="0" w:after="0" w:afterAutospacing="0" w:line="570" w:lineRule="exact"/>
        <w:ind w:left="0" w:right="0" w:firstLine="640" w:firstLineChars="200"/>
        <w:jc w:val="both"/>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kern w:val="0"/>
          <w:sz w:val="32"/>
          <w:szCs w:val="32"/>
          <w:shd w:val="clear" w:color="auto" w:fill="FFFFFF"/>
        </w:rPr>
        <w:t>3.</w:t>
      </w:r>
      <w:r>
        <w:rPr>
          <w:rFonts w:hint="eastAsia" w:ascii="楷体_GB2312" w:hAnsi="楷体_GB2312" w:eastAsia="楷体_GB2312" w:cs="楷体_GB2312"/>
          <w:kern w:val="0"/>
          <w:sz w:val="32"/>
          <w:szCs w:val="32"/>
          <w:shd w:val="clear" w:color="auto" w:fill="FFFFFF"/>
          <w:lang w:val="zh-CN"/>
        </w:rPr>
        <w:t>财务管理。</w:t>
      </w:r>
      <w:r>
        <w:rPr>
          <w:rFonts w:hint="eastAsia" w:ascii="方正仿宋_GBK" w:hAnsi="方正仿宋_GBK" w:eastAsia="方正仿宋_GBK" w:cs="方正仿宋_GBK"/>
          <w:kern w:val="2"/>
          <w:sz w:val="32"/>
          <w:szCs w:val="32"/>
          <w:lang w:val="en-US" w:eastAsia="zh-CN" w:bidi="ar"/>
        </w:rPr>
        <w:t>盐边县卫生健康局制定了内部财务管理制度、预算管理制度、收支管理制度、政府采购管理制度、资产管理制度、合同管理制度等内控管理制度并执行落实。财务岗位设置符合相关财务管理制度要求，职责权限明确，严格实施不相容岗位分离，资金拨付审批程序合规，财务核算及时，会计信息真实。</w:t>
      </w:r>
    </w:p>
    <w:p w14:paraId="77A76337">
      <w:pPr>
        <w:keepNext w:val="0"/>
        <w:keepLines w:val="0"/>
        <w:widowControl w:val="0"/>
        <w:suppressLineNumbers w:val="0"/>
        <w:spacing w:before="0" w:beforeAutospacing="0" w:after="0" w:afterAutospacing="0" w:line="570" w:lineRule="exact"/>
        <w:ind w:left="0" w:right="0" w:firstLine="640" w:firstLineChars="200"/>
        <w:jc w:val="both"/>
      </w:pPr>
      <w:r>
        <w:rPr>
          <w:rFonts w:hint="eastAsia" w:ascii="楷体_GB2312" w:hAnsi="楷体_GB2312" w:eastAsia="楷体_GB2312" w:cs="楷体_GB2312"/>
          <w:kern w:val="0"/>
          <w:sz w:val="32"/>
          <w:szCs w:val="32"/>
          <w:shd w:val="clear" w:color="auto" w:fill="FFFFFF"/>
        </w:rPr>
        <w:t>4.</w:t>
      </w:r>
      <w:r>
        <w:rPr>
          <w:rFonts w:hint="eastAsia" w:ascii="楷体_GB2312" w:hAnsi="楷体_GB2312" w:eastAsia="楷体_GB2312" w:cs="楷体_GB2312"/>
          <w:kern w:val="0"/>
          <w:sz w:val="32"/>
          <w:szCs w:val="32"/>
          <w:shd w:val="clear" w:color="auto" w:fill="FFFFFF"/>
          <w:lang w:val="zh-CN"/>
        </w:rPr>
        <w:t>资产管理。</w:t>
      </w:r>
      <w:r>
        <w:rPr>
          <w:rFonts w:hint="eastAsia" w:ascii="方正仿宋_GBK" w:hAnsi="方正仿宋_GBK" w:eastAsia="方正仿宋_GBK" w:cs="方正仿宋_GBK"/>
          <w:kern w:val="2"/>
          <w:sz w:val="32"/>
          <w:szCs w:val="32"/>
          <w:lang w:val="en-US" w:eastAsia="zh-CN" w:bidi="ar"/>
        </w:rPr>
        <w:t>资产配置严格按照资产配置标准和审批程序进行资产配置，新增资产及时登记入账，纳入单位资产管理信息系统进行动态管理。建立了资产使用管理制度，明确了资产使用责任，定期对资产进行清查盘点，确保资产安全完整。资产处置严格按照规定的程序和权限进行审批。</w:t>
      </w:r>
    </w:p>
    <w:p w14:paraId="0E7EC4A9">
      <w:pPr>
        <w:keepNext w:val="0"/>
        <w:keepLines w:val="0"/>
        <w:widowControl w:val="0"/>
        <w:suppressLineNumbers w:val="0"/>
        <w:spacing w:before="0" w:beforeAutospacing="0" w:after="0" w:afterAutospacing="0" w:line="570" w:lineRule="exact"/>
        <w:ind w:left="0" w:right="0" w:firstLine="640" w:firstLineChars="200"/>
        <w:jc w:val="both"/>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kern w:val="0"/>
          <w:sz w:val="32"/>
          <w:szCs w:val="32"/>
          <w:shd w:val="clear" w:color="auto" w:fill="FFFFFF"/>
        </w:rPr>
        <w:t>5.</w:t>
      </w:r>
      <w:r>
        <w:rPr>
          <w:rFonts w:hint="eastAsia" w:ascii="楷体_GB2312" w:hAnsi="楷体_GB2312" w:eastAsia="楷体_GB2312" w:cs="楷体_GB2312"/>
          <w:kern w:val="0"/>
          <w:sz w:val="32"/>
          <w:szCs w:val="32"/>
          <w:shd w:val="clear" w:color="auto" w:fill="FFFFFF"/>
          <w:lang w:val="zh-CN"/>
        </w:rPr>
        <w:t>采购管理。</w:t>
      </w:r>
      <w:r>
        <w:rPr>
          <w:rFonts w:hint="eastAsia" w:ascii="方正仿宋_GBK" w:hAnsi="方正仿宋_GBK" w:eastAsia="方正仿宋_GBK" w:cs="方正仿宋_GBK"/>
          <w:kern w:val="2"/>
          <w:sz w:val="32"/>
          <w:szCs w:val="32"/>
          <w:lang w:val="en-US" w:eastAsia="zh-CN" w:bidi="ar"/>
        </w:rPr>
        <w:t>严格执行政府采购制度，按照政府采购目录和限额标准，规范开展政府采购活动。盐边县卫生健康局成立了政府采购工作领导小组，负责政府采购项目的决策和监督。</w:t>
      </w:r>
    </w:p>
    <w:p w14:paraId="3C9354EB">
      <w:pPr>
        <w:keepNext w:val="0"/>
        <w:keepLines w:val="0"/>
        <w:widowControl w:val="0"/>
        <w:suppressLineNumbers w:val="0"/>
        <w:spacing w:before="0" w:beforeAutospacing="0" w:after="0" w:afterAutospacing="0" w:line="570" w:lineRule="exact"/>
        <w:ind w:left="0" w:right="0" w:firstLine="643" w:firstLineChars="200"/>
        <w:jc w:val="both"/>
        <w:rPr>
          <w:rFonts w:hint="default" w:ascii="Times New Roman" w:hAnsi="Times New Roman" w:eastAsia="方正仿宋_GBK" w:cs="Times New Roman"/>
          <w:kern w:val="2"/>
          <w:sz w:val="32"/>
          <w:szCs w:val="32"/>
        </w:rPr>
      </w:pPr>
      <w:r>
        <w:rPr>
          <w:rFonts w:eastAsia="楷体_GB2312"/>
          <w:b/>
          <w:bCs/>
          <w:kern w:val="0"/>
          <w:sz w:val="32"/>
          <w:szCs w:val="32"/>
          <w:shd w:val="clear" w:color="auto" w:fill="FFFFFF"/>
          <w:lang w:val="zh-CN"/>
        </w:rPr>
        <w:t>（二）部门预算项目绩效分析。</w:t>
      </w:r>
      <w:r>
        <w:rPr>
          <w:rFonts w:hint="eastAsia" w:ascii="方正仿宋_GBK" w:hAnsi="方正仿宋_GBK" w:eastAsia="方正仿宋_GBK" w:cs="方正仿宋_GBK"/>
          <w:kern w:val="2"/>
          <w:sz w:val="32"/>
          <w:szCs w:val="32"/>
          <w:lang w:val="en-US" w:eastAsia="zh-CN" w:bidi="ar"/>
        </w:rPr>
        <w:t>常年项目绩效分析。该类项目总数</w:t>
      </w:r>
      <w:r>
        <w:rPr>
          <w:rFonts w:hint="default" w:ascii="Times New Roman" w:hAnsi="Times New Roman" w:eastAsia="方正仿宋_GBK" w:cs="Times New Roman"/>
          <w:kern w:val="2"/>
          <w:sz w:val="32"/>
          <w:szCs w:val="32"/>
          <w:lang w:val="en-US" w:eastAsia="zh-CN" w:bidi="ar"/>
        </w:rPr>
        <w:t>22</w:t>
      </w:r>
      <w:r>
        <w:rPr>
          <w:rFonts w:hint="eastAsia" w:ascii="方正仿宋_GBK" w:hAnsi="方正仿宋_GBK" w:eastAsia="方正仿宋_GBK" w:cs="方正仿宋_GBK"/>
          <w:kern w:val="2"/>
          <w:sz w:val="32"/>
          <w:szCs w:val="32"/>
          <w:lang w:val="en-US" w:eastAsia="zh-CN" w:bidi="ar"/>
        </w:rPr>
        <w:t>个，涉及预算总金额</w:t>
      </w:r>
      <w:r>
        <w:rPr>
          <w:rFonts w:hint="default" w:ascii="Times New Roman" w:hAnsi="Times New Roman" w:eastAsia="方正仿宋_GBK" w:cs="Times New Roman"/>
          <w:kern w:val="2"/>
          <w:sz w:val="32"/>
          <w:szCs w:val="32"/>
          <w:lang w:val="en-US" w:eastAsia="zh-CN" w:bidi="ar"/>
        </w:rPr>
        <w:t>4109.56</w:t>
      </w:r>
      <w:r>
        <w:rPr>
          <w:rFonts w:hint="eastAsia" w:ascii="方正仿宋_GBK" w:hAnsi="方正仿宋_GBK" w:eastAsia="方正仿宋_GBK" w:cs="方正仿宋_GBK"/>
          <w:kern w:val="2"/>
          <w:sz w:val="32"/>
          <w:szCs w:val="32"/>
          <w:lang w:val="en-US" w:eastAsia="zh-CN" w:bidi="ar"/>
        </w:rPr>
        <w:t>万元，</w:t>
      </w:r>
      <w:r>
        <w:rPr>
          <w:rFonts w:hint="default" w:ascii="Times New Roman" w:hAnsi="Times New Roman" w:eastAsia="方正仿宋_GBK" w:cs="Times New Roman"/>
          <w:kern w:val="2"/>
          <w:sz w:val="32"/>
          <w:szCs w:val="32"/>
          <w:lang w:val="en-US" w:eastAsia="zh-CN" w:bidi="ar"/>
        </w:rPr>
        <w:t>1—12</w:t>
      </w:r>
      <w:r>
        <w:rPr>
          <w:rFonts w:hint="eastAsia" w:ascii="方正仿宋_GBK" w:hAnsi="方正仿宋_GBK" w:eastAsia="方正仿宋_GBK" w:cs="方正仿宋_GBK"/>
          <w:kern w:val="2"/>
          <w:sz w:val="32"/>
          <w:szCs w:val="32"/>
          <w:lang w:val="en-US" w:eastAsia="zh-CN" w:bidi="ar"/>
        </w:rPr>
        <w:t>月预算执行总体进度为</w:t>
      </w:r>
      <w:r>
        <w:rPr>
          <w:rFonts w:hint="default" w:ascii="Times New Roman" w:hAnsi="Times New Roman" w:eastAsia="方正仿宋_GBK" w:cs="Times New Roman"/>
          <w:kern w:val="2"/>
          <w:sz w:val="32"/>
          <w:szCs w:val="32"/>
          <w:lang w:val="en-US" w:eastAsia="zh-CN" w:bidi="ar"/>
        </w:rPr>
        <w:t>91.26%</w:t>
      </w:r>
      <w:r>
        <w:rPr>
          <w:rFonts w:hint="eastAsia" w:ascii="方正仿宋_GBK" w:hAnsi="方正仿宋_GBK" w:eastAsia="方正仿宋_GBK" w:cs="方正仿宋_GBK"/>
          <w:kern w:val="2"/>
          <w:sz w:val="32"/>
          <w:szCs w:val="32"/>
          <w:lang w:val="en-US" w:eastAsia="zh-CN" w:bidi="ar"/>
        </w:rPr>
        <w:t>，其中：预算结余率大于</w:t>
      </w:r>
      <w:r>
        <w:rPr>
          <w:rFonts w:hint="default" w:ascii="Times New Roman" w:hAnsi="Times New Roman" w:eastAsia="方正仿宋_GBK" w:cs="Times New Roman"/>
          <w:kern w:val="2"/>
          <w:sz w:val="32"/>
          <w:szCs w:val="32"/>
          <w:lang w:val="en-US" w:eastAsia="zh-CN" w:bidi="ar"/>
        </w:rPr>
        <w:t>10%</w:t>
      </w:r>
      <w:r>
        <w:rPr>
          <w:rFonts w:hint="eastAsia" w:ascii="方正仿宋_GBK" w:hAnsi="方正仿宋_GBK" w:eastAsia="方正仿宋_GBK" w:cs="方正仿宋_GBK"/>
          <w:kern w:val="2"/>
          <w:sz w:val="32"/>
          <w:szCs w:val="32"/>
          <w:lang w:val="en-US" w:eastAsia="zh-CN" w:bidi="ar"/>
        </w:rPr>
        <w:t>的项目共计</w:t>
      </w:r>
      <w:r>
        <w:rPr>
          <w:rFonts w:hint="default" w:ascii="Times New Roman" w:hAnsi="Times New Roman" w:eastAsia="方正仿宋_GBK" w:cs="Times New Roman"/>
          <w:kern w:val="2"/>
          <w:sz w:val="32"/>
          <w:szCs w:val="32"/>
          <w:lang w:val="en-US" w:eastAsia="zh-CN" w:bidi="ar"/>
        </w:rPr>
        <w:t>4</w:t>
      </w:r>
      <w:r>
        <w:rPr>
          <w:rFonts w:hint="eastAsia" w:ascii="方正仿宋_GBK" w:hAnsi="方正仿宋_GBK" w:eastAsia="方正仿宋_GBK" w:cs="方正仿宋_GBK"/>
          <w:kern w:val="2"/>
          <w:sz w:val="32"/>
          <w:szCs w:val="32"/>
          <w:lang w:val="en-US" w:eastAsia="zh-CN" w:bidi="ar"/>
        </w:rPr>
        <w:t>个。</w:t>
      </w:r>
    </w:p>
    <w:p w14:paraId="368974D1">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阶段（含一次性）项目绩效分析。该类项目总数</w:t>
      </w:r>
      <w:r>
        <w:rPr>
          <w:rFonts w:hint="default" w:ascii="Times New Roman" w:hAnsi="Times New Roman" w:eastAsia="方正仿宋_GBK" w:cs="Times New Roman"/>
          <w:kern w:val="2"/>
          <w:sz w:val="32"/>
          <w:szCs w:val="32"/>
          <w:lang w:val="en-US" w:eastAsia="zh-CN" w:bidi="ar"/>
        </w:rPr>
        <w:t>9</w:t>
      </w:r>
      <w:r>
        <w:rPr>
          <w:rFonts w:hint="eastAsia" w:ascii="方正仿宋_GBK" w:hAnsi="方正仿宋_GBK" w:eastAsia="方正仿宋_GBK" w:cs="方正仿宋_GBK"/>
          <w:kern w:val="2"/>
          <w:sz w:val="32"/>
          <w:szCs w:val="32"/>
          <w:lang w:val="en-US" w:eastAsia="zh-CN" w:bidi="ar"/>
        </w:rPr>
        <w:t>个，涉及预算总金额</w:t>
      </w:r>
      <w:r>
        <w:rPr>
          <w:rFonts w:hint="default" w:ascii="Times New Roman" w:hAnsi="Times New Roman" w:eastAsia="方正仿宋_GBK" w:cs="Times New Roman"/>
          <w:kern w:val="2"/>
          <w:sz w:val="32"/>
          <w:szCs w:val="32"/>
          <w:lang w:val="en-US" w:eastAsia="zh-CN" w:bidi="ar"/>
        </w:rPr>
        <w:t>7183.6</w:t>
      </w:r>
      <w:r>
        <w:rPr>
          <w:rFonts w:hint="eastAsia" w:ascii="方正仿宋_GBK" w:hAnsi="方正仿宋_GBK" w:eastAsia="方正仿宋_GBK" w:cs="方正仿宋_GBK"/>
          <w:kern w:val="2"/>
          <w:sz w:val="32"/>
          <w:szCs w:val="32"/>
          <w:lang w:val="en-US" w:eastAsia="zh-CN" w:bidi="ar"/>
        </w:rPr>
        <w:t>万元，</w:t>
      </w:r>
      <w:r>
        <w:rPr>
          <w:rFonts w:hint="default" w:ascii="Times New Roman" w:hAnsi="Times New Roman" w:eastAsia="方正仿宋_GBK" w:cs="Times New Roman"/>
          <w:kern w:val="2"/>
          <w:sz w:val="32"/>
          <w:szCs w:val="32"/>
          <w:lang w:val="en-US" w:eastAsia="zh-CN" w:bidi="ar"/>
        </w:rPr>
        <w:t>1—12</w:t>
      </w:r>
      <w:r>
        <w:rPr>
          <w:rFonts w:hint="eastAsia" w:ascii="方正仿宋_GBK" w:hAnsi="方正仿宋_GBK" w:eastAsia="方正仿宋_GBK" w:cs="方正仿宋_GBK"/>
          <w:kern w:val="2"/>
          <w:sz w:val="32"/>
          <w:szCs w:val="32"/>
          <w:lang w:val="en-US" w:eastAsia="zh-CN" w:bidi="ar"/>
        </w:rPr>
        <w:t>月预算执行总体进度为</w:t>
      </w:r>
      <w:r>
        <w:rPr>
          <w:rFonts w:hint="default" w:ascii="Times New Roman" w:hAnsi="Times New Roman" w:eastAsia="方正仿宋_GBK" w:cs="Times New Roman"/>
          <w:kern w:val="2"/>
          <w:sz w:val="32"/>
          <w:szCs w:val="32"/>
          <w:lang w:val="en-US" w:eastAsia="zh-CN" w:bidi="ar"/>
        </w:rPr>
        <w:t>100%</w:t>
      </w:r>
      <w:r>
        <w:rPr>
          <w:rFonts w:hint="eastAsia" w:ascii="方正仿宋_GBK" w:hAnsi="方正仿宋_GBK" w:eastAsia="方正仿宋_GBK" w:cs="方正仿宋_GBK"/>
          <w:kern w:val="2"/>
          <w:sz w:val="32"/>
          <w:szCs w:val="32"/>
          <w:lang w:val="en-US" w:eastAsia="zh-CN" w:bidi="ar"/>
        </w:rPr>
        <w:t>，其中：预算结余率大于</w:t>
      </w:r>
      <w:r>
        <w:rPr>
          <w:rFonts w:hint="default" w:ascii="Times New Roman" w:hAnsi="Times New Roman" w:eastAsia="方正仿宋_GBK" w:cs="Times New Roman"/>
          <w:kern w:val="2"/>
          <w:sz w:val="32"/>
          <w:szCs w:val="32"/>
          <w:lang w:val="en-US" w:eastAsia="zh-CN" w:bidi="ar"/>
        </w:rPr>
        <w:t>10%</w:t>
      </w:r>
      <w:r>
        <w:rPr>
          <w:rFonts w:hint="eastAsia" w:ascii="方正仿宋_GBK" w:hAnsi="方正仿宋_GBK" w:eastAsia="方正仿宋_GBK" w:cs="方正仿宋_GBK"/>
          <w:kern w:val="2"/>
          <w:sz w:val="32"/>
          <w:szCs w:val="32"/>
          <w:lang w:val="en-US" w:eastAsia="zh-CN" w:bidi="ar"/>
        </w:rPr>
        <w:t>的项目共计</w:t>
      </w:r>
      <w:r>
        <w:rPr>
          <w:rFonts w:hint="default" w:ascii="Times New Roman" w:hAnsi="Times New Roman" w:eastAsia="方正仿宋_GBK" w:cs="Times New Roman"/>
          <w:kern w:val="2"/>
          <w:sz w:val="32"/>
          <w:szCs w:val="32"/>
          <w:lang w:val="en-US" w:eastAsia="zh-CN" w:bidi="ar"/>
        </w:rPr>
        <w:t>0</w:t>
      </w:r>
      <w:r>
        <w:rPr>
          <w:rFonts w:hint="eastAsia" w:ascii="方正仿宋_GBK" w:hAnsi="方正仿宋_GBK" w:eastAsia="方正仿宋_GBK" w:cs="方正仿宋_GBK"/>
          <w:kern w:val="2"/>
          <w:sz w:val="32"/>
          <w:szCs w:val="32"/>
          <w:lang w:val="en-US" w:eastAsia="zh-CN" w:bidi="ar"/>
        </w:rPr>
        <w:t>个。</w:t>
      </w:r>
    </w:p>
    <w:p w14:paraId="1E2BE203">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项目决策。</w:t>
      </w:r>
    </w:p>
    <w:p w14:paraId="33C35380">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盐边县卫生健康局在决策程序方面，修订了《中共盐边县卫生健康局党组工作规则》《盐边县卫生健康局议事决策规则》等多项制度，同时指导下属医疗机构健全完善相关议事决策制度，项目决策过程中，能够较好地落实既定的决策程序。在设置绩效目标方面，与部门职责和发展规划紧密结合，大部分绩效目标设定较为明确，且具有可衡量性。在项目入库环节，建立了相对完善的审核流程。</w:t>
      </w:r>
    </w:p>
    <w:p w14:paraId="31F24DA7">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项目执行。</w:t>
      </w:r>
    </w:p>
    <w:p w14:paraId="4D4A2B13">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盐边县卫生健康局在项目资金使用上，整体能围绕绩效目标进行安排，资金执行保持与年初预算绩效目标保持一致，大部分项目达到预期目标。</w:t>
      </w:r>
    </w:p>
    <w:p w14:paraId="3B75F328">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目标实现。</w:t>
      </w:r>
    </w:p>
    <w:p w14:paraId="448B726F">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年预算项目绩效目标完成良好，大部分目标完成，不存在挤占、挪用、闲置资金情况，最大限度发挥了资金作用，服务对象满意率较高。</w:t>
      </w:r>
    </w:p>
    <w:p w14:paraId="48D0D934">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）推进医疗卫生改革提质增效。明确“</w:t>
      </w:r>
      <w:r>
        <w:rPr>
          <w:rFonts w:hint="default" w:ascii="Times New Roman" w:hAnsi="Times New Roman" w:eastAsia="方正仿宋_GBK" w:cs="Times New Roman"/>
          <w:kern w:val="2"/>
          <w:sz w:val="32"/>
          <w:szCs w:val="32"/>
          <w:lang w:val="en-US" w:eastAsia="zh-CN" w:bidi="ar"/>
        </w:rPr>
        <w:t>123X</w:t>
      </w:r>
      <w:r>
        <w:rPr>
          <w:rFonts w:hint="eastAsia" w:ascii="方正仿宋_GBK" w:hAnsi="方正仿宋_GBK" w:eastAsia="方正仿宋_GBK" w:cs="方正仿宋_GBK"/>
          <w:kern w:val="2"/>
          <w:sz w:val="32"/>
          <w:szCs w:val="32"/>
          <w:lang w:val="en-US" w:eastAsia="zh-CN" w:bidi="ar"/>
        </w:rPr>
        <w:t>”医疗卫生服务体系，成立医共体党务行政、医疗管理等“十大管理中心”及运行工作专班，制定县域医共体建设任务清单，从</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架构、管理、利益、服务、发展、责任</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六个方面细化</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八个统一</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改革，优化医共体党委领导班子，加快推进县医院、县第二人民医院整合运行。</w:t>
      </w:r>
    </w:p>
    <w:p w14:paraId="10497F9E">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推动优质医疗资源扩容布局。主动融入城市医联体建设，深化县中医院脾胃科、骨伤科省级重点专科建设内涵，将县医院内科、骨科和县中医院康复医学科（中医）纳入县级临床重点专科建设项目，完成县中医院体检科、血透室等学科建设。包装储备重点项目</w:t>
      </w:r>
      <w:r>
        <w:rPr>
          <w:rFonts w:hint="default" w:ascii="Times New Roman" w:hAnsi="Times New Roman" w:eastAsia="方正仿宋_GBK" w:cs="Times New Roman"/>
          <w:kern w:val="2"/>
          <w:sz w:val="32"/>
          <w:szCs w:val="32"/>
          <w:lang w:val="en-US" w:eastAsia="zh-CN" w:bidi="ar"/>
        </w:rPr>
        <w:t>6</w:t>
      </w:r>
      <w:r>
        <w:rPr>
          <w:rFonts w:hint="eastAsia" w:ascii="方正仿宋_GBK" w:hAnsi="方正仿宋_GBK" w:eastAsia="方正仿宋_GBK" w:cs="方正仿宋_GBK"/>
          <w:kern w:val="2"/>
          <w:sz w:val="32"/>
          <w:szCs w:val="32"/>
          <w:lang w:val="en-US" w:eastAsia="zh-CN" w:bidi="ar"/>
        </w:rPr>
        <w:t>个，争取专项债</w:t>
      </w:r>
      <w:r>
        <w:rPr>
          <w:rFonts w:hint="default" w:ascii="Times New Roman" w:hAnsi="Times New Roman" w:eastAsia="方正仿宋_GBK" w:cs="Times New Roman"/>
          <w:kern w:val="2"/>
          <w:sz w:val="32"/>
          <w:szCs w:val="32"/>
          <w:lang w:val="en-US" w:eastAsia="zh-CN" w:bidi="ar"/>
        </w:rPr>
        <w:t>4.6</w:t>
      </w:r>
      <w:r>
        <w:rPr>
          <w:rFonts w:hint="eastAsia" w:ascii="方正仿宋_GBK" w:hAnsi="方正仿宋_GBK" w:eastAsia="方正仿宋_GBK" w:cs="方正仿宋_GBK"/>
          <w:kern w:val="2"/>
          <w:sz w:val="32"/>
          <w:szCs w:val="32"/>
          <w:lang w:val="en-US" w:eastAsia="zh-CN" w:bidi="ar"/>
        </w:rPr>
        <w:t>亿元，启动县第二人民医院建设一期、二期、县中医院改扩建</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个项目。实施“基层基础设施补短”三年行动，永兴中心卫生院</w:t>
      </w:r>
      <w:r>
        <w:rPr>
          <w:rFonts w:hint="default" w:ascii="Times New Roman" w:hAnsi="Times New Roman" w:eastAsia="方正仿宋_GBK" w:cs="Times New Roman"/>
          <w:kern w:val="2"/>
          <w:sz w:val="32"/>
          <w:szCs w:val="32"/>
          <w:lang w:val="en-US" w:eastAsia="zh-CN" w:bidi="ar"/>
        </w:rPr>
        <w:t>DR</w:t>
      </w:r>
      <w:r>
        <w:rPr>
          <w:rFonts w:hint="eastAsia" w:ascii="方正仿宋_GBK" w:hAnsi="方正仿宋_GBK" w:eastAsia="方正仿宋_GBK" w:cs="方正仿宋_GBK"/>
          <w:kern w:val="2"/>
          <w:sz w:val="32"/>
          <w:szCs w:val="32"/>
          <w:lang w:val="en-US" w:eastAsia="zh-CN" w:bidi="ar"/>
        </w:rPr>
        <w:t>设备更新成功纳入省县域医共体设备更新建设项目。</w:t>
      </w:r>
    </w:p>
    <w:p w14:paraId="321FE668">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促进中医药传承创新发展。与成都中医药大学国医馆成功签约，引进田小平、黄映君、凌启云等专家教授，建立博士工作站、名中医工作室，打造全国基层名老中医传承工作室、培养民族医药传承人，创建“大笮国医馆”中医品牌。编制中草药产业发展规划，盐边桑椹在乌蒙山产业发展大会、四川中医药港澳行推荐会上展出。</w:t>
      </w:r>
    </w:p>
    <w:p w14:paraId="5B2B79DF">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4</w:t>
      </w:r>
      <w:r>
        <w:rPr>
          <w:rFonts w:hint="eastAsia" w:ascii="方正仿宋_GBK" w:hAnsi="方正仿宋_GBK" w:eastAsia="方正仿宋_GBK" w:cs="方正仿宋_GBK"/>
          <w:kern w:val="2"/>
          <w:sz w:val="32"/>
          <w:szCs w:val="32"/>
          <w:lang w:val="en-US" w:eastAsia="zh-CN" w:bidi="ar"/>
        </w:rPr>
        <w:t>）疾控体系改革稳步推进。加快推进疾控局实体化运行，把人员定下来、队伍建起来、机构转起来，配齐配强疾控力量。持续深化医防融合协同，艾滋病新报告病例数连续</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年下降，血吸虫病达到消除标准，</w:t>
      </w:r>
      <w:r>
        <w:rPr>
          <w:rFonts w:hint="default" w:ascii="Times New Roman" w:hAnsi="Times New Roman" w:eastAsia="方正仿宋_GBK" w:cs="Times New Roman"/>
          <w:kern w:val="2"/>
          <w:sz w:val="32"/>
          <w:szCs w:val="32"/>
          <w:lang w:val="en-US" w:eastAsia="zh-CN" w:bidi="ar"/>
        </w:rPr>
        <w:t>188</w:t>
      </w:r>
      <w:r>
        <w:rPr>
          <w:rFonts w:hint="eastAsia" w:ascii="方正仿宋_GBK" w:hAnsi="方正仿宋_GBK" w:eastAsia="方正仿宋_GBK" w:cs="方正仿宋_GBK"/>
          <w:kern w:val="2"/>
          <w:sz w:val="32"/>
          <w:szCs w:val="32"/>
          <w:lang w:val="en-US" w:eastAsia="zh-CN" w:bidi="ar"/>
        </w:rPr>
        <w:t>起传染病及时响应率</w:t>
      </w:r>
      <w:r>
        <w:rPr>
          <w:rFonts w:hint="default" w:ascii="Times New Roman" w:hAnsi="Times New Roman" w:eastAsia="方正仿宋_GBK" w:cs="Times New Roman"/>
          <w:kern w:val="2"/>
          <w:sz w:val="32"/>
          <w:szCs w:val="32"/>
          <w:lang w:val="en-US" w:eastAsia="zh-CN" w:bidi="ar"/>
        </w:rPr>
        <w:t>100%</w:t>
      </w:r>
      <w:r>
        <w:rPr>
          <w:rFonts w:hint="eastAsia" w:ascii="方正仿宋_GBK" w:hAnsi="方正仿宋_GBK" w:eastAsia="方正仿宋_GBK" w:cs="方正仿宋_GBK"/>
          <w:kern w:val="2"/>
          <w:sz w:val="32"/>
          <w:szCs w:val="32"/>
          <w:lang w:val="en-US" w:eastAsia="zh-CN" w:bidi="ar"/>
        </w:rPr>
        <w:t>，重大疾病防治有力有效。将渔门中学校第一食堂、新九镇中心学校食堂、县人民医院食堂、红格温泉假日酒店纳入营养健康食堂创建名单，力争年底通过市级复审。</w:t>
      </w:r>
    </w:p>
    <w:p w14:paraId="20F3CE57">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5</w:t>
      </w:r>
      <w:r>
        <w:rPr>
          <w:rFonts w:hint="eastAsia" w:ascii="方正仿宋_GBK" w:hAnsi="方正仿宋_GBK" w:eastAsia="方正仿宋_GBK" w:cs="方正仿宋_GBK"/>
          <w:kern w:val="2"/>
          <w:sz w:val="32"/>
          <w:szCs w:val="32"/>
          <w:lang w:val="en-US" w:eastAsia="zh-CN" w:bidi="ar"/>
        </w:rPr>
        <w:t>）提升基本公共卫生服务可及性。超额完成</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为</w:t>
      </w:r>
      <w:r>
        <w:rPr>
          <w:rFonts w:hint="default" w:ascii="Times New Roman" w:hAnsi="Times New Roman" w:eastAsia="方正仿宋_GBK" w:cs="Times New Roman"/>
          <w:kern w:val="2"/>
          <w:sz w:val="32"/>
          <w:szCs w:val="32"/>
          <w:lang w:val="en-US" w:eastAsia="zh-CN" w:bidi="ar"/>
        </w:rPr>
        <w:t>17</w:t>
      </w:r>
      <w:r>
        <w:rPr>
          <w:rFonts w:hint="eastAsia" w:ascii="方正仿宋_GBK" w:hAnsi="方正仿宋_GBK" w:eastAsia="方正仿宋_GBK" w:cs="方正仿宋_GBK"/>
          <w:kern w:val="2"/>
          <w:sz w:val="32"/>
          <w:szCs w:val="32"/>
          <w:lang w:val="en-US" w:eastAsia="zh-CN" w:bidi="ar"/>
        </w:rPr>
        <w:t>余万常住城乡居民免费提供</w:t>
      </w: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项基本公共卫生服务</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省政府民生实事任务，为</w:t>
      </w:r>
      <w:r>
        <w:rPr>
          <w:rFonts w:hint="default" w:ascii="Times New Roman" w:hAnsi="Times New Roman" w:eastAsia="方正仿宋_GBK" w:cs="Times New Roman"/>
          <w:kern w:val="2"/>
          <w:sz w:val="32"/>
          <w:szCs w:val="32"/>
          <w:lang w:val="en-US" w:eastAsia="zh-CN" w:bidi="ar"/>
        </w:rPr>
        <w:t>1.79</w:t>
      </w:r>
      <w:r>
        <w:rPr>
          <w:rFonts w:hint="eastAsia" w:ascii="方正仿宋_GBK" w:hAnsi="方正仿宋_GBK" w:eastAsia="方正仿宋_GBK" w:cs="方正仿宋_GBK"/>
          <w:kern w:val="2"/>
          <w:sz w:val="32"/>
          <w:szCs w:val="32"/>
          <w:lang w:val="en-US" w:eastAsia="zh-CN" w:bidi="ar"/>
        </w:rPr>
        <w:t>万老年人、</w:t>
      </w:r>
      <w:r>
        <w:rPr>
          <w:rFonts w:hint="default" w:ascii="Times New Roman" w:hAnsi="Times New Roman" w:eastAsia="方正仿宋_GBK" w:cs="Times New Roman"/>
          <w:kern w:val="2"/>
          <w:sz w:val="32"/>
          <w:szCs w:val="32"/>
          <w:lang w:val="en-US" w:eastAsia="zh-CN" w:bidi="ar"/>
        </w:rPr>
        <w:t>1.03</w:t>
      </w:r>
      <w:r>
        <w:rPr>
          <w:rFonts w:hint="eastAsia" w:ascii="方正仿宋_GBK" w:hAnsi="方正仿宋_GBK" w:eastAsia="方正仿宋_GBK" w:cs="方正仿宋_GBK"/>
          <w:kern w:val="2"/>
          <w:sz w:val="32"/>
          <w:szCs w:val="32"/>
          <w:lang w:val="en-US" w:eastAsia="zh-CN" w:bidi="ar"/>
        </w:rPr>
        <w:t>万高血压患者、</w:t>
      </w:r>
      <w:r>
        <w:rPr>
          <w:rFonts w:hint="default" w:ascii="Times New Roman" w:hAnsi="Times New Roman" w:eastAsia="方正仿宋_GBK" w:cs="Times New Roman"/>
          <w:kern w:val="2"/>
          <w:sz w:val="32"/>
          <w:szCs w:val="32"/>
          <w:lang w:val="en-US" w:eastAsia="zh-CN" w:bidi="ar"/>
        </w:rPr>
        <w:t>0.34</w:t>
      </w:r>
      <w:r>
        <w:rPr>
          <w:rFonts w:hint="eastAsia" w:ascii="方正仿宋_GBK" w:hAnsi="方正仿宋_GBK" w:eastAsia="方正仿宋_GBK" w:cs="方正仿宋_GBK"/>
          <w:kern w:val="2"/>
          <w:sz w:val="32"/>
          <w:szCs w:val="32"/>
          <w:lang w:val="en-US" w:eastAsia="zh-CN" w:bidi="ar"/>
        </w:rPr>
        <w:t>万</w:t>
      </w:r>
      <w:r>
        <w:rPr>
          <w:rFonts w:hint="default" w:ascii="Times New Roman" w:hAnsi="Times New Roman" w:eastAsia="方正仿宋_GBK" w:cs="Times New Roman"/>
          <w:kern w:val="2"/>
          <w:sz w:val="32"/>
          <w:szCs w:val="32"/>
          <w:lang w:val="en-US" w:eastAsia="zh-CN" w:bidi="ar"/>
        </w:rPr>
        <w:t>II</w:t>
      </w:r>
      <w:r>
        <w:rPr>
          <w:rFonts w:hint="eastAsia" w:ascii="方正仿宋_GBK" w:hAnsi="方正仿宋_GBK" w:eastAsia="方正仿宋_GBK" w:cs="方正仿宋_GBK"/>
          <w:kern w:val="2"/>
          <w:sz w:val="32"/>
          <w:szCs w:val="32"/>
          <w:lang w:val="en-US" w:eastAsia="zh-CN" w:bidi="ar"/>
        </w:rPr>
        <w:t>型糖尿病患者提供健康管理服务。家庭医生签约覆盖率</w:t>
      </w:r>
      <w:r>
        <w:rPr>
          <w:rFonts w:hint="default" w:ascii="Times New Roman" w:hAnsi="Times New Roman" w:eastAsia="方正仿宋_GBK" w:cs="Times New Roman"/>
          <w:kern w:val="2"/>
          <w:sz w:val="32"/>
          <w:szCs w:val="32"/>
          <w:lang w:val="en-US" w:eastAsia="zh-CN" w:bidi="ar"/>
        </w:rPr>
        <w:t>97.23%</w:t>
      </w:r>
      <w:r>
        <w:rPr>
          <w:rFonts w:hint="eastAsia" w:ascii="方正仿宋_GBK" w:hAnsi="方正仿宋_GBK" w:eastAsia="方正仿宋_GBK" w:cs="方正仿宋_GBK"/>
          <w:kern w:val="2"/>
          <w:sz w:val="32"/>
          <w:szCs w:val="32"/>
          <w:lang w:val="en-US" w:eastAsia="zh-CN" w:bidi="ar"/>
        </w:rPr>
        <w:t>，十类重点人群签约覆盖率</w:t>
      </w:r>
      <w:r>
        <w:rPr>
          <w:rFonts w:hint="default" w:ascii="Times New Roman" w:hAnsi="Times New Roman" w:eastAsia="方正仿宋_GBK" w:cs="Times New Roman"/>
          <w:kern w:val="2"/>
          <w:sz w:val="32"/>
          <w:szCs w:val="32"/>
          <w:lang w:val="en-US" w:eastAsia="zh-CN" w:bidi="ar"/>
        </w:rPr>
        <w:t>95.02%</w:t>
      </w:r>
      <w:r>
        <w:rPr>
          <w:rFonts w:hint="eastAsia" w:ascii="方正仿宋_GBK" w:hAnsi="方正仿宋_GBK" w:eastAsia="方正仿宋_GBK" w:cs="方正仿宋_GBK"/>
          <w:kern w:val="2"/>
          <w:sz w:val="32"/>
          <w:szCs w:val="32"/>
          <w:lang w:val="en-US" w:eastAsia="zh-CN" w:bidi="ar"/>
        </w:rPr>
        <w:t>，同比分别增长</w:t>
      </w:r>
      <w:r>
        <w:rPr>
          <w:rFonts w:hint="default" w:ascii="Times New Roman" w:hAnsi="Times New Roman" w:eastAsia="方正仿宋_GBK" w:cs="Times New Roman"/>
          <w:kern w:val="2"/>
          <w:sz w:val="32"/>
          <w:szCs w:val="32"/>
          <w:lang w:val="en-US" w:eastAsia="zh-CN" w:bidi="ar"/>
        </w:rPr>
        <w:t>1.04%</w:t>
      </w:r>
      <w:r>
        <w:rPr>
          <w:rFonts w:hint="eastAsia" w:ascii="方正仿宋_GBK" w:hAnsi="方正仿宋_GBK" w:eastAsia="方正仿宋_GBK" w:cs="方正仿宋_GBK"/>
          <w:kern w:val="2"/>
          <w:sz w:val="32"/>
          <w:szCs w:val="32"/>
          <w:lang w:val="en-US" w:eastAsia="zh-CN" w:bidi="ar"/>
        </w:rPr>
        <w:t>和</w:t>
      </w:r>
      <w:r>
        <w:rPr>
          <w:rFonts w:hint="default" w:ascii="Times New Roman" w:hAnsi="Times New Roman" w:eastAsia="方正仿宋_GBK" w:cs="Times New Roman"/>
          <w:kern w:val="2"/>
          <w:sz w:val="32"/>
          <w:szCs w:val="32"/>
          <w:lang w:val="en-US" w:eastAsia="zh-CN" w:bidi="ar"/>
        </w:rPr>
        <w:t>6.34%</w:t>
      </w:r>
    </w:p>
    <w:p w14:paraId="6196BD2E">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6</w:t>
      </w:r>
      <w:r>
        <w:rPr>
          <w:rFonts w:hint="eastAsia" w:ascii="方正仿宋_GBK" w:hAnsi="方正仿宋_GBK" w:eastAsia="方正仿宋_GBK" w:cs="方正仿宋_GBK"/>
          <w:kern w:val="2"/>
          <w:sz w:val="32"/>
          <w:szCs w:val="32"/>
          <w:lang w:val="en-US" w:eastAsia="zh-CN" w:bidi="ar"/>
        </w:rPr>
        <w:t>）“一老一小”服务提标扩面。建成</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岁以下婴幼儿托育服务机构</w:t>
      </w: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家，</w:t>
      </w:r>
      <w:r>
        <w:rPr>
          <w:rFonts w:hint="default" w:ascii="Times New Roman" w:hAnsi="Times New Roman" w:eastAsia="方正仿宋_GBK" w:cs="Times New Roman"/>
          <w:kern w:val="2"/>
          <w:sz w:val="32"/>
          <w:szCs w:val="32"/>
          <w:lang w:val="en-US" w:eastAsia="zh-CN" w:bidi="ar"/>
        </w:rPr>
        <w:t>14</w:t>
      </w:r>
      <w:r>
        <w:rPr>
          <w:rFonts w:hint="eastAsia" w:ascii="方正仿宋_GBK" w:hAnsi="方正仿宋_GBK" w:eastAsia="方正仿宋_GBK" w:cs="方正仿宋_GBK"/>
          <w:kern w:val="2"/>
          <w:sz w:val="32"/>
          <w:szCs w:val="32"/>
          <w:lang w:val="en-US" w:eastAsia="zh-CN" w:bidi="ar"/>
        </w:rPr>
        <w:t>所幼儿园开设托班，可提供</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岁以下婴幼儿托位数</w:t>
      </w:r>
      <w:r>
        <w:rPr>
          <w:rFonts w:hint="default" w:ascii="Times New Roman" w:hAnsi="Times New Roman" w:eastAsia="方正仿宋_GBK" w:cs="Times New Roman"/>
          <w:kern w:val="2"/>
          <w:sz w:val="32"/>
          <w:szCs w:val="32"/>
          <w:lang w:val="en-US" w:eastAsia="zh-CN" w:bidi="ar"/>
        </w:rPr>
        <w:t>780</w:t>
      </w:r>
      <w:r>
        <w:rPr>
          <w:rFonts w:hint="eastAsia" w:ascii="方正仿宋_GBK" w:hAnsi="方正仿宋_GBK" w:eastAsia="方正仿宋_GBK" w:cs="方正仿宋_GBK"/>
          <w:kern w:val="2"/>
          <w:sz w:val="32"/>
          <w:szCs w:val="32"/>
          <w:lang w:val="en-US" w:eastAsia="zh-CN" w:bidi="ar"/>
        </w:rPr>
        <w:t>个，每千人口拥有托位数</w:t>
      </w:r>
      <w:r>
        <w:rPr>
          <w:rFonts w:hint="default" w:ascii="Times New Roman" w:hAnsi="Times New Roman" w:eastAsia="方正仿宋_GBK" w:cs="Times New Roman"/>
          <w:kern w:val="2"/>
          <w:sz w:val="32"/>
          <w:szCs w:val="32"/>
          <w:lang w:val="en-US" w:eastAsia="zh-CN" w:bidi="ar"/>
        </w:rPr>
        <w:t>4.0</w:t>
      </w:r>
      <w:r>
        <w:rPr>
          <w:rFonts w:hint="eastAsia" w:ascii="方正仿宋_GBK" w:hAnsi="方正仿宋_GBK" w:eastAsia="方正仿宋_GBK" w:cs="方正仿宋_GBK"/>
          <w:kern w:val="2"/>
          <w:sz w:val="32"/>
          <w:szCs w:val="32"/>
          <w:lang w:val="en-US" w:eastAsia="zh-CN" w:bidi="ar"/>
        </w:rPr>
        <w:t>个，达到</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十四五</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时期本地区千人口托位数年度指标。补贴</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岁以下婴幼儿托位普惠托育项目</w:t>
      </w:r>
      <w:r>
        <w:rPr>
          <w:rFonts w:hint="default" w:ascii="Times New Roman" w:hAnsi="Times New Roman" w:eastAsia="方正仿宋_GBK" w:cs="Times New Roman"/>
          <w:kern w:val="2"/>
          <w:sz w:val="32"/>
          <w:szCs w:val="32"/>
          <w:lang w:val="en-US" w:eastAsia="zh-CN" w:bidi="ar"/>
        </w:rPr>
        <w:t>50</w:t>
      </w:r>
      <w:r>
        <w:rPr>
          <w:rFonts w:hint="eastAsia" w:ascii="方正仿宋_GBK" w:hAnsi="方正仿宋_GBK" w:eastAsia="方正仿宋_GBK" w:cs="方正仿宋_GBK"/>
          <w:kern w:val="2"/>
          <w:sz w:val="32"/>
          <w:szCs w:val="32"/>
          <w:lang w:val="en-US" w:eastAsia="zh-CN" w:bidi="ar"/>
        </w:rPr>
        <w:t>万元，领取托育补贴券入托</w:t>
      </w: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岁以下婴幼儿</w:t>
      </w:r>
      <w:r>
        <w:rPr>
          <w:rFonts w:hint="default" w:ascii="Times New Roman" w:hAnsi="Times New Roman" w:eastAsia="方正仿宋_GBK" w:cs="Times New Roman"/>
          <w:kern w:val="2"/>
          <w:sz w:val="32"/>
          <w:szCs w:val="32"/>
          <w:lang w:val="en-US" w:eastAsia="zh-CN" w:bidi="ar"/>
        </w:rPr>
        <w:t>68</w:t>
      </w:r>
      <w:r>
        <w:rPr>
          <w:rFonts w:hint="eastAsia" w:ascii="方正仿宋_GBK" w:hAnsi="方正仿宋_GBK" w:eastAsia="方正仿宋_GBK" w:cs="方正仿宋_GBK"/>
          <w:kern w:val="2"/>
          <w:sz w:val="32"/>
          <w:szCs w:val="32"/>
          <w:lang w:val="en-US" w:eastAsia="zh-CN" w:bidi="ar"/>
        </w:rPr>
        <w:t>人，累计为</w:t>
      </w:r>
      <w:r>
        <w:rPr>
          <w:rFonts w:hint="default" w:ascii="Times New Roman" w:hAnsi="Times New Roman" w:eastAsia="方正仿宋_GBK" w:cs="Times New Roman"/>
          <w:kern w:val="2"/>
          <w:sz w:val="32"/>
          <w:szCs w:val="32"/>
          <w:lang w:val="en-US" w:eastAsia="zh-CN" w:bidi="ar"/>
        </w:rPr>
        <w:t>1018</w:t>
      </w:r>
      <w:r>
        <w:rPr>
          <w:rFonts w:hint="eastAsia" w:ascii="方正仿宋_GBK" w:hAnsi="方正仿宋_GBK" w:eastAsia="方正仿宋_GBK" w:cs="方正仿宋_GBK"/>
          <w:kern w:val="2"/>
          <w:sz w:val="32"/>
          <w:szCs w:val="32"/>
          <w:lang w:val="en-US" w:eastAsia="zh-CN" w:bidi="ar"/>
        </w:rPr>
        <w:t>名婴幼儿发放育儿补贴金</w:t>
      </w:r>
      <w:r>
        <w:rPr>
          <w:rFonts w:hint="default" w:ascii="Times New Roman" w:hAnsi="Times New Roman" w:eastAsia="方正仿宋_GBK" w:cs="Times New Roman"/>
          <w:kern w:val="2"/>
          <w:sz w:val="32"/>
          <w:szCs w:val="32"/>
          <w:lang w:val="en-US" w:eastAsia="zh-CN" w:bidi="ar"/>
        </w:rPr>
        <w:t>747.8</w:t>
      </w:r>
      <w:r>
        <w:rPr>
          <w:rFonts w:hint="eastAsia" w:ascii="方正仿宋_GBK" w:hAnsi="方正仿宋_GBK" w:eastAsia="方正仿宋_GBK" w:cs="方正仿宋_GBK"/>
          <w:kern w:val="2"/>
          <w:sz w:val="32"/>
          <w:szCs w:val="32"/>
          <w:lang w:val="en-US" w:eastAsia="zh-CN" w:bidi="ar"/>
        </w:rPr>
        <w:t>万元。整合辖区内医养资源和项目资金，先后投入</w:t>
      </w:r>
      <w:r>
        <w:rPr>
          <w:rFonts w:hint="default" w:ascii="Times New Roman" w:hAnsi="Times New Roman" w:eastAsia="方正仿宋_GBK" w:cs="Times New Roman"/>
          <w:kern w:val="2"/>
          <w:sz w:val="32"/>
          <w:szCs w:val="32"/>
          <w:lang w:val="en-US" w:eastAsia="zh-CN" w:bidi="ar"/>
        </w:rPr>
        <w:t>500</w:t>
      </w:r>
      <w:r>
        <w:rPr>
          <w:rFonts w:hint="eastAsia" w:ascii="方正仿宋_GBK" w:hAnsi="方正仿宋_GBK" w:eastAsia="方正仿宋_GBK" w:cs="方正仿宋_GBK"/>
          <w:kern w:val="2"/>
          <w:sz w:val="32"/>
          <w:szCs w:val="32"/>
          <w:lang w:val="en-US" w:eastAsia="zh-CN" w:bidi="ar"/>
        </w:rPr>
        <w:t>万元，建成全市首家面向社会的县级医养结合机构，成功加入成华区区域医养联盟，服务老年人</w:t>
      </w:r>
      <w:r>
        <w:rPr>
          <w:rFonts w:hint="default" w:ascii="Times New Roman" w:hAnsi="Times New Roman" w:eastAsia="方正仿宋_GBK" w:cs="Times New Roman"/>
          <w:kern w:val="2"/>
          <w:sz w:val="32"/>
          <w:szCs w:val="32"/>
          <w:lang w:val="en-US" w:eastAsia="zh-CN" w:bidi="ar"/>
        </w:rPr>
        <w:t>150</w:t>
      </w:r>
      <w:r>
        <w:rPr>
          <w:rFonts w:hint="eastAsia" w:ascii="方正仿宋_GBK" w:hAnsi="方正仿宋_GBK" w:eastAsia="方正仿宋_GBK" w:cs="方正仿宋_GBK"/>
          <w:kern w:val="2"/>
          <w:sz w:val="32"/>
          <w:szCs w:val="32"/>
          <w:lang w:val="en-US" w:eastAsia="zh-CN" w:bidi="ar"/>
        </w:rPr>
        <w:t>余名。</w:t>
      </w:r>
    </w:p>
    <w:p w14:paraId="3845FC8A">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7</w:t>
      </w:r>
      <w:r>
        <w:rPr>
          <w:rFonts w:hint="eastAsia" w:ascii="方正仿宋_GBK" w:hAnsi="方正仿宋_GBK" w:eastAsia="方正仿宋_GBK" w:cs="方正仿宋_GBK"/>
          <w:kern w:val="2"/>
          <w:sz w:val="32"/>
          <w:szCs w:val="32"/>
          <w:lang w:val="en-US" w:eastAsia="zh-CN" w:bidi="ar"/>
        </w:rPr>
        <w:t>）医疗服务体验持续改善。建立门诊</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一站式</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服务中心，开设院长门诊、周末门诊、医保便民服务窗口，推行</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一次挂号管三天</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先诊疗后付费</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等便民举措，实现县域内检查检验结果互认，累计免除患者检查费</w:t>
      </w:r>
      <w:r>
        <w:rPr>
          <w:rFonts w:hint="default" w:ascii="Times New Roman" w:hAnsi="Times New Roman" w:eastAsia="方正仿宋_GBK" w:cs="Times New Roman"/>
          <w:kern w:val="2"/>
          <w:sz w:val="32"/>
          <w:szCs w:val="32"/>
          <w:lang w:val="en-US" w:eastAsia="zh-CN" w:bidi="ar"/>
        </w:rPr>
        <w:t>6</w:t>
      </w:r>
      <w:r>
        <w:rPr>
          <w:rFonts w:hint="eastAsia" w:ascii="方正仿宋_GBK" w:hAnsi="方正仿宋_GBK" w:eastAsia="方正仿宋_GBK" w:cs="方正仿宋_GBK"/>
          <w:kern w:val="2"/>
          <w:sz w:val="32"/>
          <w:szCs w:val="32"/>
          <w:lang w:val="en-US" w:eastAsia="zh-CN" w:bidi="ar"/>
        </w:rPr>
        <w:t>万元、减少住院患者个人垫付</w:t>
      </w:r>
      <w:r>
        <w:rPr>
          <w:rFonts w:hint="default" w:ascii="Times New Roman" w:hAnsi="Times New Roman" w:eastAsia="方正仿宋_GBK" w:cs="Times New Roman"/>
          <w:kern w:val="2"/>
          <w:sz w:val="32"/>
          <w:szCs w:val="32"/>
          <w:lang w:val="en-US" w:eastAsia="zh-CN" w:bidi="ar"/>
        </w:rPr>
        <w:t>5</w:t>
      </w:r>
      <w:r>
        <w:rPr>
          <w:rFonts w:hint="eastAsia" w:ascii="方正仿宋_GBK" w:hAnsi="方正仿宋_GBK" w:eastAsia="方正仿宋_GBK" w:cs="方正仿宋_GBK"/>
          <w:kern w:val="2"/>
          <w:sz w:val="32"/>
          <w:szCs w:val="32"/>
          <w:lang w:val="en-US" w:eastAsia="zh-CN" w:bidi="ar"/>
        </w:rPr>
        <w:t>万元，患者就诊等候时间缩减</w:t>
      </w:r>
      <w:r>
        <w:rPr>
          <w:rFonts w:hint="default" w:ascii="Times New Roman" w:hAnsi="Times New Roman" w:eastAsia="方正仿宋_GBK" w:cs="Times New Roman"/>
          <w:kern w:val="2"/>
          <w:sz w:val="32"/>
          <w:szCs w:val="32"/>
          <w:lang w:val="en-US" w:eastAsia="zh-CN" w:bidi="ar"/>
        </w:rPr>
        <w:t>40%</w:t>
      </w:r>
      <w:r>
        <w:rPr>
          <w:rFonts w:hint="eastAsia" w:ascii="方正仿宋_GBK" w:hAnsi="方正仿宋_GBK" w:eastAsia="方正仿宋_GBK" w:cs="方正仿宋_GBK"/>
          <w:kern w:val="2"/>
          <w:sz w:val="32"/>
          <w:szCs w:val="32"/>
          <w:lang w:val="en-US" w:eastAsia="zh-CN" w:bidi="ar"/>
        </w:rPr>
        <w:t>以上。</w:t>
      </w:r>
    </w:p>
    <w:p w14:paraId="5680839F">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8</w:t>
      </w:r>
      <w:r>
        <w:rPr>
          <w:rFonts w:hint="eastAsia" w:ascii="方正仿宋_GBK" w:hAnsi="方正仿宋_GBK" w:eastAsia="方正仿宋_GBK" w:cs="方正仿宋_GBK"/>
          <w:kern w:val="2"/>
          <w:sz w:val="32"/>
          <w:szCs w:val="32"/>
          <w:lang w:val="en-US" w:eastAsia="zh-CN" w:bidi="ar"/>
        </w:rPr>
        <w:t>）稳妥实施各项补助政策。兑现</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年计划生育家庭特别扶助制度、计划生育家庭特别扶助制度（其它）目标对象扶助金</w:t>
      </w:r>
      <w:r>
        <w:rPr>
          <w:rFonts w:hint="default" w:ascii="Times New Roman" w:hAnsi="Times New Roman" w:eastAsia="方正仿宋_GBK" w:cs="Times New Roman"/>
          <w:kern w:val="2"/>
          <w:sz w:val="32"/>
          <w:szCs w:val="32"/>
          <w:lang w:val="en-US" w:eastAsia="zh-CN" w:bidi="ar"/>
        </w:rPr>
        <w:t>1074.996</w:t>
      </w:r>
      <w:r>
        <w:rPr>
          <w:rFonts w:hint="eastAsia" w:ascii="方正仿宋_GBK" w:hAnsi="方正仿宋_GBK" w:eastAsia="方正仿宋_GBK" w:cs="方正仿宋_GBK"/>
          <w:kern w:val="2"/>
          <w:sz w:val="32"/>
          <w:szCs w:val="32"/>
          <w:lang w:val="en-US" w:eastAsia="zh-CN" w:bidi="ar"/>
        </w:rPr>
        <w:t>万元。搭建</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计划生育特殊家庭扶助</w:t>
      </w:r>
      <w:r>
        <w:rPr>
          <w:rFonts w:hint="default" w:ascii="Times New Roman" w:hAnsi="Times New Roman" w:eastAsia="方正仿宋_GBK" w:cs="Times New Roman"/>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就医绿色通道，建档帮扶</w:t>
      </w:r>
      <w:r>
        <w:rPr>
          <w:rFonts w:hint="default" w:ascii="Times New Roman" w:hAnsi="Times New Roman" w:eastAsia="方正仿宋_GBK" w:cs="Times New Roman"/>
          <w:kern w:val="2"/>
          <w:sz w:val="32"/>
          <w:szCs w:val="32"/>
          <w:lang w:val="en-US" w:eastAsia="zh-CN" w:bidi="ar"/>
        </w:rPr>
        <w:t>129</w:t>
      </w:r>
      <w:r>
        <w:rPr>
          <w:rFonts w:hint="eastAsia" w:ascii="方正仿宋_GBK" w:hAnsi="方正仿宋_GBK" w:eastAsia="方正仿宋_GBK" w:cs="方正仿宋_GBK"/>
          <w:kern w:val="2"/>
          <w:sz w:val="32"/>
          <w:szCs w:val="32"/>
          <w:lang w:val="en-US" w:eastAsia="zh-CN" w:bidi="ar"/>
        </w:rPr>
        <w:t>户、</w:t>
      </w:r>
      <w:r>
        <w:rPr>
          <w:rFonts w:hint="default" w:ascii="Times New Roman" w:hAnsi="Times New Roman" w:eastAsia="方正仿宋_GBK" w:cs="Times New Roman"/>
          <w:kern w:val="2"/>
          <w:sz w:val="32"/>
          <w:szCs w:val="32"/>
          <w:lang w:val="en-US" w:eastAsia="zh-CN" w:bidi="ar"/>
        </w:rPr>
        <w:t>171</w:t>
      </w:r>
      <w:r>
        <w:rPr>
          <w:rFonts w:hint="eastAsia" w:ascii="方正仿宋_GBK" w:hAnsi="方正仿宋_GBK" w:eastAsia="方正仿宋_GBK" w:cs="方正仿宋_GBK"/>
          <w:kern w:val="2"/>
          <w:sz w:val="32"/>
          <w:szCs w:val="32"/>
          <w:lang w:val="en-US" w:eastAsia="zh-CN" w:bidi="ar"/>
        </w:rPr>
        <w:t>人，建档率</w:t>
      </w:r>
      <w:r>
        <w:rPr>
          <w:rFonts w:hint="default" w:ascii="Times New Roman" w:hAnsi="Times New Roman" w:eastAsia="方正仿宋_GBK" w:cs="Times New Roman"/>
          <w:kern w:val="2"/>
          <w:sz w:val="32"/>
          <w:szCs w:val="32"/>
          <w:lang w:val="en-US" w:eastAsia="zh-CN" w:bidi="ar"/>
        </w:rPr>
        <w:t>100%</w:t>
      </w:r>
      <w:r>
        <w:rPr>
          <w:rFonts w:hint="eastAsia" w:ascii="方正仿宋_GBK" w:hAnsi="方正仿宋_GBK" w:eastAsia="方正仿宋_GBK" w:cs="方正仿宋_GBK"/>
          <w:kern w:val="2"/>
          <w:sz w:val="32"/>
          <w:szCs w:val="32"/>
          <w:lang w:val="en-US" w:eastAsia="zh-CN" w:bidi="ar"/>
        </w:rPr>
        <w:t>。实施特殊家庭住院护理补贴保险制度，为</w:t>
      </w:r>
      <w:r>
        <w:rPr>
          <w:rFonts w:hint="default" w:ascii="Times New Roman" w:hAnsi="Times New Roman" w:eastAsia="方正仿宋_GBK" w:cs="Times New Roman"/>
          <w:kern w:val="2"/>
          <w:sz w:val="32"/>
          <w:szCs w:val="32"/>
          <w:lang w:val="en-US" w:eastAsia="zh-CN" w:bidi="ar"/>
        </w:rPr>
        <w:t>171</w:t>
      </w:r>
      <w:r>
        <w:rPr>
          <w:rFonts w:hint="eastAsia" w:ascii="方正仿宋_GBK" w:hAnsi="方正仿宋_GBK" w:eastAsia="方正仿宋_GBK" w:cs="方正仿宋_GBK"/>
          <w:kern w:val="2"/>
          <w:sz w:val="32"/>
          <w:szCs w:val="32"/>
          <w:lang w:val="en-US" w:eastAsia="zh-CN" w:bidi="ar"/>
        </w:rPr>
        <w:t>名特别扶助对象购买住院护理补贴保险，理赔住院护理补贴</w:t>
      </w:r>
      <w:r>
        <w:rPr>
          <w:rFonts w:hint="default" w:ascii="Times New Roman" w:hAnsi="Times New Roman" w:eastAsia="方正仿宋_GBK" w:cs="Times New Roman"/>
          <w:kern w:val="2"/>
          <w:sz w:val="32"/>
          <w:szCs w:val="32"/>
          <w:lang w:val="en-US" w:eastAsia="zh-CN" w:bidi="ar"/>
        </w:rPr>
        <w:t>28</w:t>
      </w:r>
      <w:r>
        <w:rPr>
          <w:rFonts w:hint="eastAsia" w:ascii="方正仿宋_GBK" w:hAnsi="方正仿宋_GBK" w:eastAsia="方正仿宋_GBK" w:cs="方正仿宋_GBK"/>
          <w:kern w:val="2"/>
          <w:sz w:val="32"/>
          <w:szCs w:val="32"/>
          <w:lang w:val="en-US" w:eastAsia="zh-CN" w:bidi="ar"/>
        </w:rPr>
        <w:t>件</w:t>
      </w:r>
      <w:r>
        <w:rPr>
          <w:rFonts w:hint="default" w:ascii="Times New Roman" w:hAnsi="Times New Roman" w:eastAsia="方正仿宋_GBK" w:cs="Times New Roman"/>
          <w:kern w:val="2"/>
          <w:sz w:val="32"/>
          <w:szCs w:val="32"/>
          <w:lang w:val="en-US" w:eastAsia="zh-CN" w:bidi="ar"/>
        </w:rPr>
        <w:t>3.32</w:t>
      </w:r>
      <w:r>
        <w:rPr>
          <w:rFonts w:hint="eastAsia" w:ascii="方正仿宋_GBK" w:hAnsi="方正仿宋_GBK" w:eastAsia="方正仿宋_GBK" w:cs="方正仿宋_GBK"/>
          <w:kern w:val="2"/>
          <w:sz w:val="32"/>
          <w:szCs w:val="32"/>
          <w:lang w:val="en-US" w:eastAsia="zh-CN" w:bidi="ar"/>
        </w:rPr>
        <w:t>万元。严格执行脱贫人口动态监测和精准帮扶机制，规范运行卫生扶贫救助基金，</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w:t>
      </w:r>
      <w:r>
        <w:rPr>
          <w:rFonts w:hint="default" w:ascii="Times New Roman" w:hAnsi="Times New Roman" w:eastAsia="方正仿宋_GBK" w:cs="Times New Roman"/>
          <w:kern w:val="2"/>
          <w:sz w:val="32"/>
          <w:szCs w:val="32"/>
          <w:lang w:val="en-US" w:eastAsia="zh-CN" w:bidi="ar"/>
        </w:rPr>
        <w:t>1-10</w:t>
      </w:r>
      <w:r>
        <w:rPr>
          <w:rFonts w:hint="eastAsia" w:ascii="方正仿宋_GBK" w:hAnsi="方正仿宋_GBK" w:eastAsia="方正仿宋_GBK" w:cs="方正仿宋_GBK"/>
          <w:kern w:val="2"/>
          <w:sz w:val="32"/>
          <w:szCs w:val="32"/>
          <w:lang w:val="en-US" w:eastAsia="zh-CN" w:bidi="ar"/>
        </w:rPr>
        <w:t>共救助</w:t>
      </w:r>
      <w:r>
        <w:rPr>
          <w:rFonts w:hint="default" w:ascii="Times New Roman" w:hAnsi="Times New Roman" w:eastAsia="方正仿宋_GBK" w:cs="Times New Roman"/>
          <w:kern w:val="2"/>
          <w:sz w:val="32"/>
          <w:szCs w:val="32"/>
          <w:lang w:val="en-US" w:eastAsia="zh-CN" w:bidi="ar"/>
        </w:rPr>
        <w:t>1399</w:t>
      </w:r>
      <w:r>
        <w:rPr>
          <w:rFonts w:hint="eastAsia" w:ascii="方正仿宋_GBK" w:hAnsi="方正仿宋_GBK" w:eastAsia="方正仿宋_GBK" w:cs="方正仿宋_GBK"/>
          <w:kern w:val="2"/>
          <w:sz w:val="32"/>
          <w:szCs w:val="32"/>
          <w:lang w:val="en-US" w:eastAsia="zh-CN" w:bidi="ar"/>
        </w:rPr>
        <w:t>人次，兑现救助金</w:t>
      </w:r>
      <w:r>
        <w:rPr>
          <w:rFonts w:hint="default" w:ascii="Times New Roman" w:hAnsi="Times New Roman" w:eastAsia="方正仿宋_GBK" w:cs="Times New Roman"/>
          <w:kern w:val="2"/>
          <w:sz w:val="32"/>
          <w:szCs w:val="32"/>
          <w:lang w:val="en-US" w:eastAsia="zh-CN" w:bidi="ar"/>
        </w:rPr>
        <w:t>93.89</w:t>
      </w:r>
      <w:r>
        <w:rPr>
          <w:rFonts w:hint="eastAsia" w:ascii="方正仿宋_GBK" w:hAnsi="方正仿宋_GBK" w:eastAsia="方正仿宋_GBK" w:cs="方正仿宋_GBK"/>
          <w:kern w:val="2"/>
          <w:sz w:val="32"/>
          <w:szCs w:val="32"/>
          <w:lang w:val="en-US" w:eastAsia="zh-CN" w:bidi="ar"/>
        </w:rPr>
        <w:t>万元；自救助基金开设以来累计救助</w:t>
      </w:r>
      <w:r>
        <w:rPr>
          <w:rFonts w:hint="default" w:ascii="Times New Roman" w:hAnsi="Times New Roman" w:eastAsia="方正仿宋_GBK" w:cs="Times New Roman"/>
          <w:kern w:val="2"/>
          <w:sz w:val="32"/>
          <w:szCs w:val="32"/>
          <w:lang w:val="en-US" w:eastAsia="zh-CN" w:bidi="ar"/>
        </w:rPr>
        <w:t>8310</w:t>
      </w:r>
      <w:r>
        <w:rPr>
          <w:rFonts w:hint="eastAsia" w:ascii="方正仿宋_GBK" w:hAnsi="方正仿宋_GBK" w:eastAsia="方正仿宋_GBK" w:cs="方正仿宋_GBK"/>
          <w:kern w:val="2"/>
          <w:sz w:val="32"/>
          <w:szCs w:val="32"/>
          <w:lang w:val="en-US" w:eastAsia="zh-CN" w:bidi="ar"/>
        </w:rPr>
        <w:t>人，累计兑现救助基金</w:t>
      </w:r>
      <w:r>
        <w:rPr>
          <w:rFonts w:hint="default" w:ascii="Times New Roman" w:hAnsi="Times New Roman" w:eastAsia="方正仿宋_GBK" w:cs="Times New Roman"/>
          <w:kern w:val="2"/>
          <w:sz w:val="32"/>
          <w:szCs w:val="32"/>
          <w:lang w:val="en-US" w:eastAsia="zh-CN" w:bidi="ar"/>
        </w:rPr>
        <w:t>1000.52</w:t>
      </w:r>
      <w:r>
        <w:rPr>
          <w:rFonts w:hint="eastAsia" w:ascii="方正仿宋_GBK" w:hAnsi="方正仿宋_GBK" w:eastAsia="方正仿宋_GBK" w:cs="方正仿宋_GBK"/>
          <w:kern w:val="2"/>
          <w:sz w:val="32"/>
          <w:szCs w:val="32"/>
          <w:lang w:val="en-US" w:eastAsia="zh-CN" w:bidi="ar"/>
        </w:rPr>
        <w:t>万元。</w:t>
      </w:r>
    </w:p>
    <w:p w14:paraId="065A844E">
      <w:pPr>
        <w:keepNext w:val="0"/>
        <w:keepLines w:val="0"/>
        <w:widowControl w:val="0"/>
        <w:suppressLineNumbers w:val="0"/>
        <w:spacing w:before="0" w:beforeAutospacing="0" w:after="0" w:afterAutospacing="0" w:line="570" w:lineRule="exact"/>
        <w:ind w:left="0" w:right="0" w:firstLine="640" w:firstLineChars="200"/>
        <w:jc w:val="both"/>
        <w:rPr>
          <w:rFonts w:eastAsia="仿宋_GB2312"/>
          <w:sz w:val="32"/>
          <w:szCs w:val="32"/>
        </w:rPr>
      </w:pPr>
      <w:r>
        <w:rPr>
          <w:rFonts w:hint="eastAsia" w:ascii="方正仿宋_GBK" w:hAnsi="方正仿宋_GBK" w:eastAsia="方正仿宋_GBK" w:cs="方正仿宋_GBK"/>
          <w:kern w:val="2"/>
          <w:sz w:val="32"/>
          <w:szCs w:val="32"/>
          <w:lang w:val="en-US" w:eastAsia="zh-CN" w:bidi="ar"/>
        </w:rPr>
        <w:t>中药材产业发展规划项目编制的成稿未能达预期，与盐边县中医药发展县情不符，故而仅支付发票税钱。</w:t>
      </w:r>
    </w:p>
    <w:p w14:paraId="7565E00F">
      <w:pPr>
        <w:keepNext w:val="0"/>
        <w:keepLines w:val="0"/>
        <w:widowControl w:val="0"/>
        <w:suppressLineNumbers w:val="0"/>
        <w:spacing w:before="0" w:beforeAutospacing="0" w:after="0" w:afterAutospacing="0" w:line="570" w:lineRule="exact"/>
        <w:ind w:left="0" w:right="0" w:firstLine="643" w:firstLineChars="200"/>
        <w:jc w:val="both"/>
        <w:rPr>
          <w:rFonts w:hint="default" w:ascii="Times New Roman" w:hAnsi="Times New Roman" w:eastAsia="方正仿宋_GBK" w:cs="Times New Roman"/>
          <w:kern w:val="2"/>
          <w:sz w:val="32"/>
          <w:szCs w:val="32"/>
        </w:rPr>
      </w:pPr>
      <w:r>
        <w:rPr>
          <w:rFonts w:eastAsia="楷体_GB2312"/>
          <w:b/>
          <w:bCs/>
          <w:kern w:val="0"/>
          <w:sz w:val="32"/>
          <w:szCs w:val="32"/>
          <w:shd w:val="clear" w:color="auto" w:fill="FFFFFF"/>
          <w:lang w:val="zh-CN"/>
        </w:rPr>
        <w:t>（</w:t>
      </w:r>
      <w:r>
        <w:rPr>
          <w:rFonts w:hint="eastAsia" w:eastAsia="楷体_GB2312"/>
          <w:b/>
          <w:bCs/>
          <w:kern w:val="0"/>
          <w:sz w:val="32"/>
          <w:szCs w:val="32"/>
          <w:shd w:val="clear" w:color="auto" w:fill="FFFFFF"/>
        </w:rPr>
        <w:t>三</w:t>
      </w:r>
      <w:r>
        <w:rPr>
          <w:rFonts w:eastAsia="楷体_GB2312"/>
          <w:b/>
          <w:bCs/>
          <w:kern w:val="0"/>
          <w:sz w:val="32"/>
          <w:szCs w:val="32"/>
          <w:shd w:val="clear" w:color="auto" w:fill="FFFFFF"/>
          <w:lang w:val="zh-CN"/>
        </w:rPr>
        <w:t>）绩效结果应用情况</w:t>
      </w:r>
      <w:r>
        <w:rPr>
          <w:rFonts w:hint="eastAsia" w:eastAsia="楷体_GB2312"/>
          <w:b/>
          <w:bCs/>
          <w:kern w:val="0"/>
          <w:sz w:val="32"/>
          <w:szCs w:val="32"/>
          <w:shd w:val="clear" w:color="auto" w:fill="FFFFFF"/>
          <w:lang w:val="zh-CN"/>
        </w:rPr>
        <w:t>。</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内部应用情况。将绩效评价结果与预算安排、项目调整、单位考核等挂钩。对绩效评价优秀的项目和单位，在预算安排上给予优先支持；对绩效不佳的项目，进行深入分析，查找原因，提出整改措施，并根据情况调整预算或暂停项目实施。同时，将评价结果作为下属单位年度考核的重要依据，激励各单位提高预算绩效管理水平</w:t>
      </w:r>
      <w:r>
        <w:rPr>
          <w:rFonts w:hint="default" w:ascii="Times New Roman" w:hAnsi="Times New Roman" w:eastAsia="方正仿宋_GBK" w:cs="Times New Roman"/>
          <w:kern w:val="2"/>
          <w:sz w:val="32"/>
          <w:szCs w:val="32"/>
          <w:lang w:val="en-US" w:eastAsia="zh-CN" w:bidi="ar"/>
        </w:rPr>
        <w:t xml:space="preserve"> </w:t>
      </w:r>
      <w:r>
        <w:rPr>
          <w:rFonts w:hint="eastAsia" w:ascii="方正仿宋_GBK"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w:t>
      </w:r>
    </w:p>
    <w:p w14:paraId="09798098">
      <w:pPr>
        <w:keepNext w:val="0"/>
        <w:keepLines w:val="0"/>
        <w:widowControl w:val="0"/>
        <w:suppressLineNumbers w:val="0"/>
        <w:spacing w:before="0" w:beforeAutospacing="0" w:after="0" w:afterAutospacing="0" w:line="570" w:lineRule="exact"/>
        <w:ind w:left="0" w:right="0" w:firstLine="640" w:firstLineChars="200"/>
        <w:jc w:val="both"/>
        <w:rPr>
          <w:rFonts w:eastAsia="仿宋_GB2312"/>
          <w:sz w:val="32"/>
          <w:szCs w:val="32"/>
          <w:lang w:bidi="ar"/>
        </w:rPr>
      </w:pP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信息公开情况。卫生健康系统内各单位均按县财政局相关规定和要求，将部门预算、决算及绩效评价等信息，按时在盐边县公众信息网“财政信息”栏中进行公开。</w:t>
      </w:r>
    </w:p>
    <w:p w14:paraId="5D767D27">
      <w:pPr>
        <w:widowControl/>
        <w:adjustRightInd w:val="0"/>
        <w:snapToGrid w:val="0"/>
        <w:spacing w:line="578"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四、评价结论及建议</w:t>
      </w:r>
    </w:p>
    <w:p w14:paraId="5D51A6FD">
      <w:pPr>
        <w:keepNext w:val="0"/>
        <w:keepLines w:val="0"/>
        <w:widowControl w:val="0"/>
        <w:suppressLineNumbers w:val="0"/>
        <w:spacing w:before="0" w:beforeAutospacing="0" w:after="0" w:afterAutospacing="0" w:line="570" w:lineRule="exact"/>
        <w:ind w:left="0" w:right="0" w:firstLine="643" w:firstLineChars="200"/>
        <w:jc w:val="both"/>
        <w:rPr>
          <w:rFonts w:hint="eastAsia" w:ascii="Times New Roman" w:hAnsi="Times New Roman" w:eastAsia="方正仿宋_GBK" w:cs="Times New Roman"/>
          <w:kern w:val="2"/>
          <w:sz w:val="32"/>
          <w:szCs w:val="32"/>
        </w:rPr>
      </w:pPr>
      <w:r>
        <w:rPr>
          <w:rFonts w:eastAsia="楷体_GB2312"/>
          <w:b/>
          <w:bCs/>
          <w:kern w:val="0"/>
          <w:sz w:val="32"/>
          <w:szCs w:val="32"/>
          <w:shd w:val="clear" w:color="auto" w:fill="FFFFFF"/>
          <w:lang w:val="zh-CN"/>
        </w:rPr>
        <w:t>（一）评价结论。</w:t>
      </w:r>
      <w:r>
        <w:rPr>
          <w:rFonts w:hint="eastAsia" w:ascii="方正仿宋_GBK" w:hAnsi="方正仿宋_GBK" w:eastAsia="方正仿宋_GBK" w:cs="方正仿宋_GBK"/>
          <w:kern w:val="2"/>
          <w:sz w:val="32"/>
          <w:szCs w:val="32"/>
          <w:lang w:val="en-US" w:eastAsia="zh-CN" w:bidi="ar"/>
        </w:rPr>
        <w:t>盐边县卫生健康局严格按照财政预算编制规定和要求，结合单位年度工作计划采取人员经费按照县委组织部审核过的工资进行编制，公用经费按定额编制的方法按时完成人员经费、日常公用经费编制工作，切实做到数据完整和准确无误。项目资金预算，精准编制项目支出绩效申报表，提供准确的项目支撑依据，切实做到项目资金编制的合理化，并按财政规定完整、准确、及时报送。</w:t>
      </w:r>
    </w:p>
    <w:p w14:paraId="771ECBA2">
      <w:pPr>
        <w:keepNext w:val="0"/>
        <w:keepLines w:val="0"/>
        <w:widowControl w:val="0"/>
        <w:suppressLineNumbers w:val="0"/>
        <w:spacing w:before="0" w:beforeAutospacing="0" w:after="0" w:afterAutospacing="0" w:line="570" w:lineRule="exact"/>
        <w:ind w:left="0" w:right="0" w:firstLine="640" w:firstLineChars="200"/>
        <w:jc w:val="both"/>
        <w:rPr>
          <w:rFonts w:hint="eastAsia"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资金支出执行方面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加强“三公”经费管理，严格把支出控制在年初的预算指标内，严格按照中央“八项规定”、省、市“十项规定”和财务相关规定执行财政资金的管理和使用。</w:t>
      </w:r>
    </w:p>
    <w:p w14:paraId="28700409">
      <w:pPr>
        <w:keepNext w:val="0"/>
        <w:keepLines w:val="0"/>
        <w:widowControl w:val="0"/>
        <w:suppressLineNumbers w:val="0"/>
        <w:spacing w:before="0" w:beforeAutospacing="0" w:after="0" w:afterAutospacing="0" w:line="570" w:lineRule="exact"/>
        <w:ind w:left="0" w:right="0"/>
        <w:jc w:val="both"/>
        <w:rPr>
          <w:rFonts w:eastAsia="仿宋_GB2312"/>
          <w:sz w:val="32"/>
          <w:szCs w:val="32"/>
          <w:lang w:bidi="ar"/>
        </w:rPr>
      </w:pP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年全年基本支出保证了部门的正常运行和日常工作的正常开展，项目支出保障了部门重点工作的实施，达到了预期绩效管理目标，自评得分</w:t>
      </w:r>
      <w:r>
        <w:rPr>
          <w:rFonts w:hint="default" w:ascii="Times New Roman" w:hAnsi="Times New Roman" w:eastAsia="方正仿宋_GBK" w:cs="Times New Roman"/>
          <w:kern w:val="2"/>
          <w:sz w:val="32"/>
          <w:szCs w:val="32"/>
          <w:lang w:val="en-US" w:eastAsia="zh-CN" w:bidi="ar"/>
        </w:rPr>
        <w:t>94.2</w:t>
      </w:r>
      <w:r>
        <w:rPr>
          <w:rFonts w:hint="eastAsia" w:ascii="方正仿宋_GBK" w:hAnsi="方正仿宋_GBK" w:eastAsia="方正仿宋_GBK" w:cs="方正仿宋_GBK"/>
          <w:kern w:val="2"/>
          <w:sz w:val="32"/>
          <w:szCs w:val="32"/>
          <w:lang w:val="en-US" w:eastAsia="zh-CN" w:bidi="ar"/>
        </w:rPr>
        <w:t>分。</w:t>
      </w:r>
    </w:p>
    <w:p w14:paraId="6AED30FF">
      <w:pPr>
        <w:keepNext w:val="0"/>
        <w:keepLines w:val="0"/>
        <w:widowControl w:val="0"/>
        <w:suppressLineNumbers w:val="0"/>
        <w:spacing w:before="0" w:beforeAutospacing="0" w:after="0" w:afterAutospacing="0" w:line="570" w:lineRule="exact"/>
        <w:ind w:left="0" w:right="0" w:firstLine="643" w:firstLineChars="200"/>
        <w:jc w:val="both"/>
        <w:rPr>
          <w:rFonts w:hint="default" w:ascii="Times New Roman" w:hAnsi="Times New Roman" w:eastAsia="方正仿宋_GBK" w:cs="Times New Roman"/>
          <w:kern w:val="2"/>
          <w:sz w:val="32"/>
          <w:szCs w:val="32"/>
        </w:rPr>
      </w:pPr>
      <w:r>
        <w:rPr>
          <w:rFonts w:eastAsia="楷体_GB2312"/>
          <w:b/>
          <w:bCs/>
          <w:kern w:val="0"/>
          <w:sz w:val="32"/>
          <w:szCs w:val="32"/>
          <w:shd w:val="clear" w:color="auto" w:fill="FFFFFF"/>
          <w:lang w:val="zh-CN"/>
        </w:rPr>
        <w:t>（二）存在问题。</w:t>
      </w:r>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预算执行不均衡。部分项目资金到位时间较晚，影响资金支付进度，如重大传染病防治工作经费。个别项目未达预期，如中药材产业发展规划项目。</w:t>
      </w:r>
    </w:p>
    <w:p w14:paraId="4F87DA85">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内部控制制度执行还不到位。内控制度基本明确了相关业务岗位的有关风险等级和风险防控措施，但相关业务股室领会认识有差距，履行职能职责还不是很到位。</w:t>
      </w:r>
      <w:r>
        <w:rPr>
          <w:rFonts w:hint="default" w:ascii="Times New Roman" w:hAnsi="Times New Roman" w:eastAsia="方正仿宋_GBK" w:cs="Times New Roman"/>
          <w:kern w:val="2"/>
          <w:sz w:val="32"/>
          <w:szCs w:val="32"/>
          <w:lang w:val="en-US" w:eastAsia="zh-CN" w:bidi="ar"/>
        </w:rPr>
        <w:t xml:space="preserve">  </w:t>
      </w:r>
    </w:p>
    <w:p w14:paraId="6D4A3383">
      <w:pPr>
        <w:keepNext w:val="0"/>
        <w:keepLines w:val="0"/>
        <w:widowControl w:val="0"/>
        <w:suppressLineNumbers w:val="0"/>
        <w:spacing w:before="0" w:beforeAutospacing="0" w:after="0" w:afterAutospacing="0" w:line="570" w:lineRule="exact"/>
        <w:ind w:right="0" w:firstLine="640" w:firstLineChars="200"/>
        <w:jc w:val="both"/>
        <w:rPr>
          <w:rFonts w:hint="eastAsia" w:ascii="方正仿宋_GBK" w:hAnsi="方正仿宋_GBK" w:eastAsia="方正仿宋_GBK" w:cs="方正仿宋_GBK"/>
          <w:kern w:val="2"/>
          <w:sz w:val="32"/>
          <w:szCs w:val="32"/>
          <w:lang w:val="en-US" w:eastAsia="zh-CN" w:bidi="ar"/>
        </w:rPr>
      </w:pP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基层资源配置薄弱。在基本公共卫生服务中，基层部分地区设备闲置与人员不足并存，医疗资源配置不均衡，影响服务可及性和公平性</w:t>
      </w:r>
      <w:r>
        <w:rPr>
          <w:rFonts w:hint="default" w:ascii="Times New Roman" w:hAnsi="Times New Roman" w:eastAsia="方正仿宋_GBK" w:cs="Times New Roman"/>
          <w:kern w:val="2"/>
          <w:sz w:val="32"/>
          <w:szCs w:val="32"/>
          <w:lang w:val="en-US" w:eastAsia="zh-CN" w:bidi="ar"/>
        </w:rPr>
        <w:t xml:space="preserve"> </w:t>
      </w:r>
      <w:r>
        <w:rPr>
          <w:rFonts w:hint="eastAsia" w:ascii="方正仿宋_GBK" w:hAnsi="方正仿宋_GBK" w:eastAsia="方正仿宋_GBK" w:cs="方正仿宋_GBK"/>
          <w:kern w:val="2"/>
          <w:sz w:val="32"/>
          <w:szCs w:val="32"/>
          <w:lang w:val="en-US" w:eastAsia="zh-CN" w:bidi="ar"/>
        </w:rPr>
        <w:t>。</w:t>
      </w:r>
    </w:p>
    <w:p w14:paraId="53F40CB8">
      <w:pPr>
        <w:keepNext w:val="0"/>
        <w:keepLines w:val="0"/>
        <w:widowControl w:val="0"/>
        <w:suppressLineNumbers w:val="0"/>
        <w:spacing w:before="0" w:beforeAutospacing="0" w:after="0" w:afterAutospacing="0" w:line="570" w:lineRule="exact"/>
        <w:ind w:left="0" w:right="0" w:firstLine="643" w:firstLineChars="200"/>
        <w:jc w:val="both"/>
        <w:rPr>
          <w:rFonts w:hint="default" w:ascii="Times New Roman" w:hAnsi="Times New Roman" w:eastAsia="方正仿宋_GBK" w:cs="Times New Roman"/>
          <w:kern w:val="2"/>
          <w:sz w:val="32"/>
          <w:szCs w:val="32"/>
        </w:rPr>
      </w:pPr>
      <w:r>
        <w:rPr>
          <w:rFonts w:eastAsia="楷体_GB2312"/>
          <w:b/>
          <w:bCs/>
          <w:kern w:val="0"/>
          <w:sz w:val="32"/>
          <w:szCs w:val="32"/>
          <w:shd w:val="clear" w:color="auto" w:fill="FFFFFF"/>
          <w:lang w:val="zh-CN"/>
        </w:rPr>
        <w:t>（三）改进建议。</w:t>
      </w:r>
      <w:bookmarkStart w:id="79" w:name="_Hlk110546638"/>
      <w:r>
        <w:rPr>
          <w:rFonts w:hint="default" w:ascii="Times New Roman" w:hAnsi="Times New Roman" w:eastAsia="方正仿宋_GBK" w:cs="Times New Roman"/>
          <w:kern w:val="2"/>
          <w:sz w:val="32"/>
          <w:szCs w:val="32"/>
          <w:lang w:val="en-US" w:eastAsia="zh-CN" w:bidi="ar"/>
        </w:rPr>
        <w:t>1.</w:t>
      </w:r>
      <w:r>
        <w:rPr>
          <w:rFonts w:hint="eastAsia" w:ascii="方正仿宋_GBK" w:hAnsi="方正仿宋_GBK" w:eastAsia="方正仿宋_GBK" w:cs="方正仿宋_GBK"/>
          <w:kern w:val="2"/>
          <w:sz w:val="32"/>
          <w:szCs w:val="32"/>
          <w:lang w:val="en-US" w:eastAsia="zh-CN" w:bidi="ar"/>
        </w:rPr>
        <w:t>优化预算执行管理。进一步加强预算编制，早部署早谋划，提高预算编制的精准性；合理安排项目实施进度，项目实施分类管理，明确经费保障范围，及时调整执行偏差，确保预算执行均衡、高效。</w:t>
      </w:r>
    </w:p>
    <w:p w14:paraId="7F5947F8">
      <w:pPr>
        <w:keepNext w:val="0"/>
        <w:keepLines w:val="0"/>
        <w:widowControl w:val="0"/>
        <w:suppressLineNumbers w:val="0"/>
        <w:spacing w:before="0" w:beforeAutospacing="0" w:after="0" w:afterAutospacing="0" w:line="570" w:lineRule="exact"/>
        <w:ind w:left="0" w:right="0" w:firstLine="640" w:firstLineChars="200"/>
        <w:jc w:val="both"/>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2.</w:t>
      </w:r>
      <w:r>
        <w:rPr>
          <w:rFonts w:hint="eastAsia" w:ascii="方正仿宋_GBK" w:hAnsi="方正仿宋_GBK" w:eastAsia="方正仿宋_GBK" w:cs="方正仿宋_GBK"/>
          <w:kern w:val="2"/>
          <w:sz w:val="32"/>
          <w:szCs w:val="32"/>
          <w:lang w:val="en-US" w:eastAsia="zh-CN" w:bidi="ar"/>
        </w:rPr>
        <w:t>加强内部控制，突出风险防控。进一步健全内部监督管理制度，完善业务流程，将制衡机制嵌入部门内部管理各环节，建立起决策、执行和监督相互分离、相互制约的长效机制。</w:t>
      </w:r>
    </w:p>
    <w:p w14:paraId="080AFBA2">
      <w:pPr>
        <w:keepNext w:val="0"/>
        <w:keepLines w:val="0"/>
        <w:widowControl w:val="0"/>
        <w:suppressLineNumbers w:val="0"/>
        <w:spacing w:before="0" w:beforeAutospacing="0" w:after="0" w:afterAutospacing="0" w:line="570" w:lineRule="exact"/>
        <w:ind w:left="0" w:right="0" w:firstLine="640" w:firstLineChars="200"/>
        <w:jc w:val="both"/>
      </w:pPr>
      <w:r>
        <w:rPr>
          <w:rFonts w:hint="default" w:ascii="Times New Roman" w:hAnsi="Times New Roman" w:eastAsia="方正仿宋_GBK" w:cs="Times New Roman"/>
          <w:kern w:val="2"/>
          <w:sz w:val="32"/>
          <w:szCs w:val="32"/>
          <w:lang w:val="en-US" w:eastAsia="zh-CN" w:bidi="ar"/>
        </w:rPr>
        <w:t>3.</w:t>
      </w:r>
      <w:r>
        <w:rPr>
          <w:rFonts w:hint="eastAsia" w:ascii="方正仿宋_GBK" w:hAnsi="方正仿宋_GBK" w:eastAsia="方正仿宋_GBK" w:cs="方正仿宋_GBK"/>
          <w:kern w:val="2"/>
          <w:sz w:val="32"/>
          <w:szCs w:val="32"/>
          <w:lang w:val="en-US" w:eastAsia="zh-CN" w:bidi="ar"/>
        </w:rPr>
        <w:t>均衡医疗资源配置。积极向上争取，加大对基层医疗资源投入，根据实际需求合理调配设备和人员，加强基层卫生人才培养，促进基本公共卫生服务均等化</w:t>
      </w:r>
      <w:r>
        <w:rPr>
          <w:rFonts w:hint="default" w:ascii="Times New Roman" w:hAnsi="Times New Roman" w:eastAsia="方正仿宋_GBK" w:cs="Times New Roman"/>
          <w:kern w:val="2"/>
          <w:sz w:val="32"/>
          <w:szCs w:val="32"/>
          <w:lang w:val="en-US" w:eastAsia="zh-CN" w:bidi="ar"/>
        </w:rPr>
        <w:t xml:space="preserve"> </w:t>
      </w:r>
      <w:r>
        <w:rPr>
          <w:rFonts w:hint="eastAsia" w:ascii="方正仿宋_GBK" w:hAnsi="方正仿宋_GBK" w:eastAsia="方正仿宋_GBK" w:cs="方正仿宋_GBK"/>
          <w:kern w:val="2"/>
          <w:sz w:val="32"/>
          <w:szCs w:val="32"/>
          <w:lang w:val="en-US" w:eastAsia="zh-CN" w:bidi="ar"/>
        </w:rPr>
        <w:t>。</w:t>
      </w:r>
    </w:p>
    <w:bookmarkEnd w:id="79"/>
    <w:p w14:paraId="4D04065C">
      <w:pPr>
        <w:pStyle w:val="7"/>
        <w:spacing w:line="560" w:lineRule="exact"/>
        <w:ind w:left="0" w:leftChars="0" w:firstLine="0" w:firstLineChars="0"/>
        <w:rPr>
          <w:rFonts w:ascii="Times New Roman" w:eastAsia="仿宋_GB2312"/>
          <w:sz w:val="32"/>
          <w:lang w:val="zh-CN" w:bidi="ar"/>
        </w:rPr>
      </w:pPr>
    </w:p>
    <w:p w14:paraId="02782836">
      <w:pPr>
        <w:pStyle w:val="7"/>
        <w:spacing w:line="560" w:lineRule="exact"/>
        <w:ind w:left="0" w:leftChars="0" w:firstLine="640"/>
        <w:rPr>
          <w:rFonts w:ascii="Times New Roman" w:eastAsia="仿宋_GB2312"/>
          <w:sz w:val="32"/>
          <w:lang w:val="zh-CN" w:bidi="ar"/>
        </w:rPr>
      </w:pPr>
      <w:r>
        <w:rPr>
          <w:rFonts w:hint="eastAsia" w:ascii="Times New Roman" w:eastAsia="仿宋_GB2312"/>
          <w:sz w:val="32"/>
          <w:lang w:val="zh-CN" w:bidi="ar"/>
        </w:rPr>
        <w:t>附表：</w:t>
      </w:r>
      <w:r>
        <w:rPr>
          <w:rFonts w:hint="eastAsia" w:ascii="Times New Roman" w:eastAsia="仿宋_GB2312"/>
          <w:sz w:val="32"/>
          <w:lang w:bidi="ar"/>
        </w:rPr>
        <w:t>部门预算项目支出绩效自评表（2024年度）</w:t>
      </w:r>
    </w:p>
    <w:p w14:paraId="41231B47">
      <w:pPr>
        <w:pStyle w:val="7"/>
        <w:spacing w:line="560" w:lineRule="exact"/>
        <w:ind w:left="0" w:leftChars="0" w:firstLine="0" w:firstLineChars="0"/>
        <w:rPr>
          <w:rFonts w:ascii="Times New Roman"/>
          <w:sz w:val="32"/>
          <w:highlight w:val="yellow"/>
          <w:lang w:val="zh-CN"/>
        </w:rPr>
      </w:pPr>
    </w:p>
    <w:p w14:paraId="24695A94">
      <w:pPr>
        <w:pStyle w:val="2"/>
        <w:spacing w:before="93"/>
        <w:rPr>
          <w:rFonts w:ascii="Times New Roman" w:cs="宋体"/>
          <w:sz w:val="32"/>
          <w:szCs w:val="32"/>
          <w:highlight w:val="yellow"/>
          <w:shd w:val="clear" w:color="auto" w:fill="FFFFFF"/>
          <w:lang w:val="zh-CN"/>
        </w:rPr>
      </w:pPr>
    </w:p>
    <w:p w14:paraId="6DA52098">
      <w:pPr>
        <w:rPr>
          <w:rFonts w:eastAsia="黑体" w:cs="黑体"/>
          <w:kern w:val="0"/>
          <w:sz w:val="32"/>
          <w:szCs w:val="32"/>
          <w:shd w:val="clear" w:color="auto" w:fill="FFFFFF"/>
          <w:lang w:val="zh-CN"/>
        </w:rPr>
      </w:pPr>
      <w:r>
        <w:rPr>
          <w:rFonts w:hint="eastAsia" w:eastAsia="黑体" w:cs="黑体"/>
          <w:kern w:val="0"/>
          <w:sz w:val="32"/>
          <w:szCs w:val="32"/>
          <w:shd w:val="clear" w:color="auto" w:fill="FFFFFF"/>
          <w:lang w:val="zh-CN"/>
        </w:rPr>
        <w:br w:type="page"/>
      </w:r>
    </w:p>
    <w:p w14:paraId="6DB3C255">
      <w:pPr>
        <w:pStyle w:val="2"/>
        <w:spacing w:before="93"/>
        <w:rPr>
          <w:rFonts w:ascii="Times New Roman" w:eastAsia="黑体" w:cs="黑体"/>
          <w:sz w:val="32"/>
          <w:szCs w:val="32"/>
        </w:rPr>
      </w:pPr>
      <w:r>
        <w:rPr>
          <w:rFonts w:hint="eastAsia" w:ascii="Times New Roman" w:eastAsia="黑体" w:cs="黑体"/>
          <w:sz w:val="32"/>
          <w:szCs w:val="32"/>
          <w:shd w:val="clear" w:color="auto" w:fill="FFFFFF"/>
          <w:lang w:val="zh-CN"/>
        </w:rPr>
        <w:t>附件</w:t>
      </w:r>
      <w:r>
        <w:rPr>
          <w:rFonts w:hint="eastAsia" w:ascii="Times New Roman" w:eastAsia="黑体" w:cs="黑体"/>
          <w:sz w:val="32"/>
          <w:szCs w:val="32"/>
          <w:shd w:val="clear" w:color="auto" w:fill="FFFFFF"/>
        </w:rPr>
        <w:t>2</w:t>
      </w:r>
    </w:p>
    <w:p w14:paraId="5B7C3A0F">
      <w:pPr>
        <w:pStyle w:val="35"/>
        <w:spacing w:line="578" w:lineRule="exact"/>
        <w:jc w:val="center"/>
        <w:rPr>
          <w:rFonts w:ascii="Times New Roman" w:hAnsi="Times New Roman" w:eastAsia="方正小标宋简体" w:cs="方正小标宋简体"/>
          <w:color w:val="auto"/>
          <w:kern w:val="2"/>
          <w:sz w:val="44"/>
          <w:szCs w:val="44"/>
          <w:lang w:val="en-US"/>
        </w:rPr>
      </w:pPr>
    </w:p>
    <w:p w14:paraId="4EE94796">
      <w:pPr>
        <w:pStyle w:val="35"/>
        <w:spacing w:line="578" w:lineRule="exact"/>
        <w:jc w:val="center"/>
        <w:rPr>
          <w:rFonts w:hint="eastAsia"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基本公共卫生服务项目</w:t>
      </w:r>
    </w:p>
    <w:p w14:paraId="15C5E193">
      <w:pPr>
        <w:pStyle w:val="35"/>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专项预算项目绩效评价报告</w:t>
      </w:r>
    </w:p>
    <w:p w14:paraId="0503F902">
      <w:pPr>
        <w:pStyle w:val="35"/>
        <w:spacing w:line="578" w:lineRule="exact"/>
        <w:ind w:firstLine="640"/>
        <w:jc w:val="center"/>
        <w:rPr>
          <w:rFonts w:ascii="仿宋_GB2312" w:hAnsi="仿宋_GB2312" w:eastAsia="仿宋_GB2312" w:cs="仿宋_GB2312"/>
          <w:color w:val="auto"/>
          <w:kern w:val="2"/>
          <w:sz w:val="32"/>
          <w:szCs w:val="32"/>
        </w:rPr>
      </w:pPr>
    </w:p>
    <w:p w14:paraId="3D7305EF">
      <w:pPr>
        <w:adjustRightInd w:val="0"/>
        <w:snapToGrid w:val="0"/>
        <w:spacing w:line="600" w:lineRule="exact"/>
        <w:ind w:firstLine="720"/>
        <w:rPr>
          <w:rFonts w:ascii="黑体" w:hAnsi="黑体" w:eastAsia="黑体" w:cs="黑体"/>
          <w:sz w:val="32"/>
          <w:szCs w:val="32"/>
          <w:lang w:val="zh-CN"/>
        </w:rPr>
      </w:pPr>
      <w:r>
        <w:rPr>
          <w:rFonts w:hint="eastAsia" w:ascii="黑体" w:hAnsi="黑体" w:eastAsia="黑体" w:cs="黑体"/>
          <w:sz w:val="32"/>
          <w:szCs w:val="32"/>
        </w:rPr>
        <w:t>一、</w:t>
      </w:r>
      <w:r>
        <w:rPr>
          <w:rFonts w:hint="eastAsia" w:ascii="黑体" w:hAnsi="黑体" w:eastAsia="黑体" w:cs="黑体"/>
          <w:sz w:val="32"/>
          <w:szCs w:val="32"/>
          <w:lang w:val="zh-CN"/>
        </w:rPr>
        <w:t>项目概况</w:t>
      </w:r>
    </w:p>
    <w:p w14:paraId="3724024F">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（一）项目基本情况。</w:t>
      </w:r>
    </w:p>
    <w:p w14:paraId="5CAA1A8E">
      <w:pPr>
        <w:keepNext w:val="0"/>
        <w:keepLines w:val="0"/>
        <w:widowControl w:val="0"/>
        <w:suppressLineNumbers w:val="0"/>
        <w:autoSpaceDE w:val="0"/>
        <w:autoSpaceDN/>
        <w:spacing w:before="0" w:beforeAutospacing="0" w:after="0" w:afterAutospacing="0" w:line="576" w:lineRule="exact"/>
        <w:ind w:left="0" w:right="0" w:firstLine="640" w:firstLineChars="200"/>
        <w:jc w:val="both"/>
        <w:rPr>
          <w:rFonts w:hint="default" w:ascii="Times New Roman" w:hAnsi="Times New Roman" w:eastAsia="方正仿宋_GBK" w:cs="Times New Roman"/>
          <w:b/>
          <w:bCs/>
          <w:kern w:val="2"/>
          <w:sz w:val="32"/>
          <w:szCs w:val="32"/>
        </w:rPr>
      </w:pPr>
      <w:r>
        <w:rPr>
          <w:rFonts w:hint="default" w:ascii="Times New Roman" w:hAnsi="Times New Roman" w:eastAsia="方正仿宋_GBK" w:cs="Times New Roman"/>
          <w:b w:val="0"/>
          <w:bCs w:val="0"/>
          <w:kern w:val="2"/>
          <w:sz w:val="32"/>
          <w:szCs w:val="32"/>
          <w:lang w:val="en-US" w:eastAsia="zh-CN" w:bidi="ar"/>
        </w:rPr>
        <w:t>1.</w:t>
      </w:r>
      <w:r>
        <w:rPr>
          <w:rFonts w:hint="eastAsia" w:ascii="方正仿宋_GBK" w:hAnsi="方正仿宋_GBK" w:eastAsia="方正仿宋_GBK" w:cs="方正仿宋_GBK"/>
          <w:b/>
          <w:bCs/>
          <w:kern w:val="2"/>
          <w:sz w:val="32"/>
          <w:szCs w:val="32"/>
          <w:lang w:val="en-US" w:eastAsia="zh-CN" w:bidi="ar"/>
        </w:rPr>
        <w:t>盐边县卫生健康局在项目管理中的职能。</w:t>
      </w:r>
    </w:p>
    <w:p w14:paraId="226ED965">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方正仿宋_GBK" w:cs="Times New Roman"/>
          <w:b w:val="0"/>
          <w:bCs/>
          <w:kern w:val="2"/>
          <w:sz w:val="32"/>
          <w:szCs w:val="32"/>
        </w:rPr>
      </w:pPr>
      <w:r>
        <w:rPr>
          <w:rFonts w:hint="eastAsia" w:ascii="方正仿宋_GBK" w:hAnsi="方正仿宋_GBK" w:eastAsia="方正仿宋_GBK" w:cs="方正仿宋_GBK"/>
          <w:b w:val="0"/>
          <w:bCs/>
          <w:kern w:val="2"/>
          <w:sz w:val="32"/>
          <w:szCs w:val="32"/>
          <w:lang w:val="en-US" w:eastAsia="zh-CN" w:bidi="ar"/>
        </w:rPr>
        <w:t>县卫生健康局各相关股室负责制定</w:t>
      </w:r>
      <w:r>
        <w:rPr>
          <w:rFonts w:hint="default" w:ascii="Times New Roman" w:hAnsi="Times New Roman" w:eastAsia="方正仿宋_GBK" w:cs="Times New Roman"/>
          <w:b w:val="0"/>
          <w:bCs/>
          <w:kern w:val="2"/>
          <w:sz w:val="32"/>
          <w:szCs w:val="32"/>
          <w:lang w:val="en-US" w:eastAsia="zh-CN" w:bidi="ar"/>
        </w:rPr>
        <w:t>12</w:t>
      </w:r>
      <w:r>
        <w:rPr>
          <w:rFonts w:hint="eastAsia" w:ascii="方正仿宋_GBK" w:hAnsi="方正仿宋_GBK" w:eastAsia="方正仿宋_GBK" w:cs="方正仿宋_GBK"/>
          <w:b w:val="0"/>
          <w:bCs/>
          <w:kern w:val="2"/>
          <w:sz w:val="32"/>
          <w:szCs w:val="32"/>
          <w:lang w:val="en-US" w:eastAsia="zh-CN" w:bidi="ar"/>
        </w:rPr>
        <w:t>项基本公共卫生服务项目、地方病防治、农村妇女</w:t>
      </w:r>
      <w:r>
        <w:rPr>
          <w:rFonts w:hint="default" w:ascii="Times New Roman" w:hAnsi="Times New Roman" w:eastAsia="方正仿宋_GBK" w:cs="Times New Roman"/>
          <w:b w:val="0"/>
          <w:bCs/>
          <w:kern w:val="2"/>
          <w:sz w:val="32"/>
          <w:szCs w:val="32"/>
          <w:lang w:val="en-US" w:eastAsia="zh-CN" w:bidi="ar"/>
        </w:rPr>
        <w:t>“</w:t>
      </w:r>
      <w:r>
        <w:rPr>
          <w:rFonts w:hint="eastAsia" w:ascii="方正仿宋_GBK" w:hAnsi="方正仿宋_GBK" w:eastAsia="方正仿宋_GBK" w:cs="方正仿宋_GBK"/>
          <w:b w:val="0"/>
          <w:bCs/>
          <w:kern w:val="2"/>
          <w:sz w:val="32"/>
          <w:szCs w:val="32"/>
          <w:lang w:val="en-US" w:eastAsia="zh-CN" w:bidi="ar"/>
        </w:rPr>
        <w:t>两癌</w:t>
      </w:r>
      <w:r>
        <w:rPr>
          <w:rFonts w:hint="default" w:ascii="Times New Roman" w:hAnsi="Times New Roman" w:eastAsia="方正仿宋_GBK" w:cs="Times New Roman"/>
          <w:b w:val="0"/>
          <w:bCs/>
          <w:kern w:val="2"/>
          <w:sz w:val="32"/>
          <w:szCs w:val="32"/>
          <w:lang w:val="en-US" w:eastAsia="zh-CN" w:bidi="ar"/>
        </w:rPr>
        <w:t>”</w:t>
      </w:r>
      <w:r>
        <w:rPr>
          <w:rFonts w:hint="eastAsia" w:ascii="方正仿宋_GBK" w:hAnsi="方正仿宋_GBK" w:eastAsia="方正仿宋_GBK" w:cs="方正仿宋_GBK"/>
          <w:b w:val="0"/>
          <w:bCs/>
          <w:kern w:val="2"/>
          <w:sz w:val="32"/>
          <w:szCs w:val="32"/>
          <w:lang w:val="en-US" w:eastAsia="zh-CN" w:bidi="ar"/>
        </w:rPr>
        <w:t>筛查、免费孕前优生健康检查、老年健康与医养结合服务项目、双随机、计划生育服务补助、健康县建设等项目实施方案、考核细则、拟定项目计划和目标、成立项目技术指导小组、组织人员培训、技术指导、检查督导、绩效考核。</w:t>
      </w:r>
    </w:p>
    <w:p w14:paraId="71D4CA81">
      <w:pPr>
        <w:keepNext w:val="0"/>
        <w:keepLines w:val="0"/>
        <w:widowControl w:val="0"/>
        <w:suppressLineNumbers w:val="0"/>
        <w:autoSpaceDE w:val="0"/>
        <w:autoSpaceDN/>
        <w:spacing w:before="0" w:beforeAutospacing="0" w:after="0" w:afterAutospacing="0" w:line="576" w:lineRule="exact"/>
        <w:ind w:left="0" w:right="0" w:firstLine="640" w:firstLineChars="200"/>
        <w:jc w:val="both"/>
        <w:rPr>
          <w:rFonts w:hint="default" w:ascii="Times New Roman" w:hAnsi="Times New Roman" w:eastAsia="方正仿宋_GBK" w:cs="Times New Roman"/>
          <w:b/>
          <w:bCs/>
          <w:kern w:val="2"/>
          <w:sz w:val="32"/>
          <w:szCs w:val="32"/>
        </w:rPr>
      </w:pPr>
      <w:r>
        <w:rPr>
          <w:rFonts w:hint="default" w:ascii="Times New Roman" w:hAnsi="Times New Roman" w:eastAsia="方正仿宋_GBK" w:cs="Times New Roman"/>
          <w:b w:val="0"/>
          <w:bCs w:val="0"/>
          <w:kern w:val="2"/>
          <w:sz w:val="32"/>
          <w:szCs w:val="32"/>
          <w:lang w:val="en-US" w:eastAsia="zh-CN" w:bidi="ar"/>
        </w:rPr>
        <w:t>2.</w:t>
      </w:r>
      <w:r>
        <w:rPr>
          <w:rFonts w:hint="eastAsia" w:ascii="方正仿宋_GBK" w:hAnsi="方正仿宋_GBK" w:eastAsia="方正仿宋_GBK" w:cs="方正仿宋_GBK"/>
          <w:b/>
          <w:bCs/>
          <w:kern w:val="2"/>
          <w:sz w:val="32"/>
          <w:szCs w:val="32"/>
          <w:lang w:val="en-US" w:eastAsia="zh-CN" w:bidi="ar"/>
        </w:rPr>
        <w:t>项目立项、资金申报的依据。</w:t>
      </w:r>
    </w:p>
    <w:p w14:paraId="13929E57">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方正仿宋_GBK" w:cs="Times New Roman"/>
          <w:b w:val="0"/>
          <w:bCs/>
          <w:kern w:val="2"/>
          <w:sz w:val="32"/>
          <w:szCs w:val="32"/>
        </w:rPr>
      </w:pPr>
      <w:r>
        <w:rPr>
          <w:rFonts w:hint="eastAsia" w:ascii="方正仿宋_GBK" w:hAnsi="方正仿宋_GBK" w:eastAsia="方正仿宋_GBK" w:cs="方正仿宋_GBK"/>
          <w:b w:val="0"/>
          <w:bCs/>
          <w:kern w:val="2"/>
          <w:sz w:val="32"/>
          <w:szCs w:val="32"/>
          <w:lang w:val="en-US" w:eastAsia="zh-CN" w:bidi="ar"/>
        </w:rPr>
        <w:t>依据《国家基本公共卫生服务项目规范（第三版）》、《四川省基本公共卫生服务项目管理手册》《四川省财政厅</w:t>
      </w:r>
      <w:r>
        <w:rPr>
          <w:rFonts w:hint="default" w:ascii="Times New Roman" w:hAnsi="Times New Roman" w:eastAsia="方正仿宋_GBK" w:cs="Times New Roman"/>
          <w:b w:val="0"/>
          <w:bCs/>
          <w:kern w:val="2"/>
          <w:sz w:val="32"/>
          <w:szCs w:val="32"/>
          <w:lang w:val="en-US" w:eastAsia="zh-CN" w:bidi="ar"/>
        </w:rPr>
        <w:t xml:space="preserve"> </w:t>
      </w:r>
      <w:r>
        <w:rPr>
          <w:rFonts w:hint="eastAsia" w:ascii="方正仿宋_GBK" w:hAnsi="方正仿宋_GBK" w:eastAsia="方正仿宋_GBK" w:cs="方正仿宋_GBK"/>
          <w:b w:val="0"/>
          <w:bCs/>
          <w:kern w:val="2"/>
          <w:sz w:val="32"/>
          <w:szCs w:val="32"/>
          <w:lang w:val="en-US" w:eastAsia="zh-CN" w:bidi="ar"/>
        </w:rPr>
        <w:t>四川省卫生健康委员会</w:t>
      </w:r>
      <w:r>
        <w:rPr>
          <w:rFonts w:hint="default" w:ascii="Times New Roman" w:hAnsi="Times New Roman" w:eastAsia="方正仿宋_GBK" w:cs="Times New Roman"/>
          <w:b w:val="0"/>
          <w:bCs/>
          <w:kern w:val="2"/>
          <w:sz w:val="32"/>
          <w:szCs w:val="32"/>
          <w:lang w:val="en-US" w:eastAsia="zh-CN" w:bidi="ar"/>
        </w:rPr>
        <w:t xml:space="preserve"> </w:t>
      </w:r>
      <w:r>
        <w:rPr>
          <w:rFonts w:hint="eastAsia" w:ascii="方正仿宋_GBK" w:hAnsi="方正仿宋_GBK" w:eastAsia="方正仿宋_GBK" w:cs="方正仿宋_GBK"/>
          <w:b w:val="0"/>
          <w:bCs/>
          <w:kern w:val="2"/>
          <w:sz w:val="32"/>
          <w:szCs w:val="32"/>
          <w:lang w:val="en-US" w:eastAsia="zh-CN" w:bidi="ar"/>
        </w:rPr>
        <w:t>四川省医疗保障局</w:t>
      </w:r>
      <w:r>
        <w:rPr>
          <w:rFonts w:hint="default" w:ascii="Times New Roman" w:hAnsi="Times New Roman" w:eastAsia="方正仿宋_GBK" w:cs="Times New Roman"/>
          <w:b w:val="0"/>
          <w:bCs/>
          <w:kern w:val="2"/>
          <w:sz w:val="32"/>
          <w:szCs w:val="32"/>
          <w:lang w:val="en-US" w:eastAsia="zh-CN" w:bidi="ar"/>
        </w:rPr>
        <w:t xml:space="preserve"> </w:t>
      </w:r>
      <w:r>
        <w:rPr>
          <w:rFonts w:hint="eastAsia" w:ascii="方正仿宋_GBK" w:hAnsi="方正仿宋_GBK" w:eastAsia="方正仿宋_GBK" w:cs="方正仿宋_GBK"/>
          <w:b w:val="0"/>
          <w:bCs/>
          <w:kern w:val="2"/>
          <w:sz w:val="32"/>
          <w:szCs w:val="32"/>
          <w:lang w:val="en-US" w:eastAsia="zh-CN" w:bidi="ar"/>
        </w:rPr>
        <w:t>四川省中医药管理局关于印发公共卫生等</w:t>
      </w:r>
      <w:r>
        <w:rPr>
          <w:rFonts w:hint="default" w:ascii="Times New Roman" w:hAnsi="Times New Roman" w:eastAsia="方正仿宋_GBK" w:cs="Times New Roman"/>
          <w:b w:val="0"/>
          <w:bCs/>
          <w:kern w:val="2"/>
          <w:sz w:val="32"/>
          <w:szCs w:val="32"/>
          <w:lang w:val="en-US" w:eastAsia="zh-CN" w:bidi="ar"/>
        </w:rPr>
        <w:t>5</w:t>
      </w:r>
      <w:r>
        <w:rPr>
          <w:rFonts w:hint="eastAsia" w:ascii="方正仿宋_GBK" w:hAnsi="方正仿宋_GBK" w:eastAsia="方正仿宋_GBK" w:cs="方正仿宋_GBK"/>
          <w:b w:val="0"/>
          <w:bCs/>
          <w:kern w:val="2"/>
          <w:sz w:val="32"/>
          <w:szCs w:val="32"/>
          <w:lang w:val="en-US" w:eastAsia="zh-CN" w:bidi="ar"/>
        </w:rPr>
        <w:t>项补助资金管理办法的通知》〔川财社（</w:t>
      </w:r>
      <w:r>
        <w:rPr>
          <w:rFonts w:hint="default" w:ascii="Times New Roman" w:hAnsi="Times New Roman" w:eastAsia="方正仿宋_GBK" w:cs="Times New Roman"/>
          <w:b w:val="0"/>
          <w:bCs/>
          <w:kern w:val="2"/>
          <w:sz w:val="32"/>
          <w:szCs w:val="32"/>
          <w:lang w:val="en-US" w:eastAsia="zh-CN" w:bidi="ar"/>
        </w:rPr>
        <w:t>2022</w:t>
      </w:r>
      <w:r>
        <w:rPr>
          <w:rFonts w:hint="eastAsia" w:ascii="方正仿宋_GBK" w:hAnsi="方正仿宋_GBK" w:eastAsia="方正仿宋_GBK" w:cs="方正仿宋_GBK"/>
          <w:b w:val="0"/>
          <w:bCs/>
          <w:kern w:val="2"/>
          <w:sz w:val="32"/>
          <w:szCs w:val="32"/>
          <w:lang w:val="en-US" w:eastAsia="zh-CN" w:bidi="ar"/>
        </w:rPr>
        <w:t>）</w:t>
      </w:r>
      <w:r>
        <w:rPr>
          <w:rFonts w:hint="default" w:ascii="Times New Roman" w:hAnsi="Times New Roman" w:eastAsia="方正仿宋_GBK" w:cs="Times New Roman"/>
          <w:b w:val="0"/>
          <w:bCs/>
          <w:kern w:val="2"/>
          <w:sz w:val="32"/>
          <w:szCs w:val="32"/>
          <w:lang w:val="en-US" w:eastAsia="zh-CN" w:bidi="ar"/>
        </w:rPr>
        <w:t>112</w:t>
      </w:r>
      <w:r>
        <w:rPr>
          <w:rFonts w:hint="eastAsia" w:ascii="方正仿宋_GBK" w:hAnsi="方正仿宋_GBK" w:eastAsia="方正仿宋_GBK" w:cs="方正仿宋_GBK"/>
          <w:b w:val="0"/>
          <w:bCs/>
          <w:kern w:val="2"/>
          <w:sz w:val="32"/>
          <w:szCs w:val="32"/>
          <w:lang w:val="en-US" w:eastAsia="zh-CN" w:bidi="ar"/>
        </w:rPr>
        <w:t>号〕等文件，印发《盐边县</w:t>
      </w:r>
      <w:r>
        <w:rPr>
          <w:rFonts w:hint="default" w:ascii="Times New Roman" w:hAnsi="Times New Roman" w:eastAsia="方正仿宋_GBK" w:cs="Times New Roman"/>
          <w:b w:val="0"/>
          <w:bCs/>
          <w:kern w:val="2"/>
          <w:sz w:val="32"/>
          <w:szCs w:val="32"/>
          <w:lang w:val="en-US" w:eastAsia="zh-CN" w:bidi="ar"/>
        </w:rPr>
        <w:t>2024</w:t>
      </w:r>
      <w:r>
        <w:rPr>
          <w:rFonts w:hint="eastAsia" w:ascii="方正仿宋_GBK" w:hAnsi="方正仿宋_GBK" w:eastAsia="方正仿宋_GBK" w:cs="方正仿宋_GBK"/>
          <w:b w:val="0"/>
          <w:bCs/>
          <w:kern w:val="2"/>
          <w:sz w:val="32"/>
          <w:szCs w:val="32"/>
          <w:lang w:val="en-US" w:eastAsia="zh-CN" w:bidi="ar"/>
        </w:rPr>
        <w:t>年基本公共卫生服务项目实施方案》《盐边县</w:t>
      </w:r>
      <w:r>
        <w:rPr>
          <w:rFonts w:hint="default" w:ascii="Times New Roman" w:hAnsi="Times New Roman" w:eastAsia="方正仿宋_GBK" w:cs="Times New Roman"/>
          <w:b w:val="0"/>
          <w:bCs/>
          <w:kern w:val="2"/>
          <w:sz w:val="32"/>
          <w:szCs w:val="32"/>
          <w:lang w:val="en-US" w:eastAsia="zh-CN" w:bidi="ar"/>
        </w:rPr>
        <w:t>2024</w:t>
      </w:r>
      <w:r>
        <w:rPr>
          <w:rFonts w:hint="eastAsia" w:ascii="方正仿宋_GBK" w:hAnsi="方正仿宋_GBK" w:eastAsia="方正仿宋_GBK" w:cs="方正仿宋_GBK"/>
          <w:b w:val="0"/>
          <w:bCs/>
          <w:kern w:val="2"/>
          <w:sz w:val="32"/>
          <w:szCs w:val="32"/>
          <w:lang w:val="en-US" w:eastAsia="zh-CN" w:bidi="ar"/>
        </w:rPr>
        <w:t>年度基本公共卫生服务项目绩效考核方案》等方案。</w:t>
      </w:r>
    </w:p>
    <w:p w14:paraId="4BB76A7C">
      <w:pPr>
        <w:keepNext w:val="0"/>
        <w:keepLines w:val="0"/>
        <w:widowControl w:val="0"/>
        <w:suppressLineNumbers w:val="0"/>
        <w:autoSpaceDE w:val="0"/>
        <w:autoSpaceDN/>
        <w:spacing w:before="0" w:beforeAutospacing="0" w:after="0" w:afterAutospacing="0" w:line="576" w:lineRule="exact"/>
        <w:ind w:left="0" w:right="0" w:firstLine="640" w:firstLineChars="200"/>
        <w:jc w:val="both"/>
        <w:rPr>
          <w:rFonts w:hint="default" w:ascii="Times New Roman" w:hAnsi="Times New Roman" w:eastAsia="方正仿宋_GBK" w:cs="Times New Roman"/>
          <w:b/>
          <w:bCs/>
          <w:kern w:val="2"/>
          <w:sz w:val="32"/>
          <w:szCs w:val="32"/>
        </w:rPr>
      </w:pPr>
      <w:r>
        <w:rPr>
          <w:rFonts w:hint="default" w:ascii="Times New Roman" w:hAnsi="Times New Roman" w:eastAsia="方正仿宋_GBK" w:cs="Times New Roman"/>
          <w:b w:val="0"/>
          <w:bCs w:val="0"/>
          <w:kern w:val="2"/>
          <w:sz w:val="32"/>
          <w:szCs w:val="32"/>
          <w:lang w:val="en-US" w:eastAsia="zh-CN" w:bidi="ar"/>
        </w:rPr>
        <w:t>3.</w:t>
      </w:r>
      <w:r>
        <w:rPr>
          <w:rFonts w:hint="eastAsia" w:ascii="方正仿宋_GBK" w:hAnsi="方正仿宋_GBK" w:eastAsia="方正仿宋_GBK" w:cs="方正仿宋_GBK"/>
          <w:b/>
          <w:bCs/>
          <w:kern w:val="2"/>
          <w:sz w:val="32"/>
          <w:szCs w:val="32"/>
          <w:lang w:val="en-US" w:eastAsia="zh-CN" w:bidi="ar"/>
        </w:rPr>
        <w:t>资金管理办法制定情况。</w:t>
      </w:r>
    </w:p>
    <w:p w14:paraId="581BE0E7">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方正仿宋_GBK" w:cs="Times New Roman"/>
          <w:b w:val="0"/>
          <w:bCs/>
          <w:kern w:val="2"/>
          <w:sz w:val="32"/>
          <w:szCs w:val="32"/>
        </w:rPr>
      </w:pPr>
      <w:r>
        <w:rPr>
          <w:rFonts w:hint="eastAsia" w:ascii="方正仿宋_GBK" w:hAnsi="方正仿宋_GBK" w:eastAsia="方正仿宋_GBK" w:cs="方正仿宋_GBK"/>
          <w:b w:val="0"/>
          <w:bCs/>
          <w:kern w:val="2"/>
          <w:sz w:val="32"/>
          <w:szCs w:val="32"/>
          <w:lang w:val="en-US" w:eastAsia="zh-CN" w:bidi="ar"/>
        </w:rPr>
        <w:t>按照《四川省基本公共卫生服务项目成本核算指导意见》《四川省财政厅</w:t>
      </w:r>
      <w:r>
        <w:rPr>
          <w:rFonts w:hint="default" w:ascii="Times New Roman" w:hAnsi="Times New Roman" w:eastAsia="方正仿宋_GBK" w:cs="Times New Roman"/>
          <w:b w:val="0"/>
          <w:bCs/>
          <w:kern w:val="2"/>
          <w:sz w:val="32"/>
          <w:szCs w:val="32"/>
          <w:lang w:val="en-US" w:eastAsia="zh-CN" w:bidi="ar"/>
        </w:rPr>
        <w:t xml:space="preserve"> </w:t>
      </w:r>
      <w:r>
        <w:rPr>
          <w:rFonts w:hint="eastAsia" w:ascii="方正仿宋_GBK" w:hAnsi="方正仿宋_GBK" w:eastAsia="方正仿宋_GBK" w:cs="方正仿宋_GBK"/>
          <w:b w:val="0"/>
          <w:bCs/>
          <w:kern w:val="2"/>
          <w:sz w:val="32"/>
          <w:szCs w:val="32"/>
          <w:lang w:val="en-US" w:eastAsia="zh-CN" w:bidi="ar"/>
        </w:rPr>
        <w:t>四川省卫生健康委员会</w:t>
      </w:r>
      <w:r>
        <w:rPr>
          <w:rFonts w:hint="default" w:ascii="Times New Roman" w:hAnsi="Times New Roman" w:eastAsia="方正仿宋_GBK" w:cs="Times New Roman"/>
          <w:b w:val="0"/>
          <w:bCs/>
          <w:kern w:val="2"/>
          <w:sz w:val="32"/>
          <w:szCs w:val="32"/>
          <w:lang w:val="en-US" w:eastAsia="zh-CN" w:bidi="ar"/>
        </w:rPr>
        <w:t xml:space="preserve"> </w:t>
      </w:r>
      <w:r>
        <w:rPr>
          <w:rFonts w:hint="eastAsia" w:ascii="方正仿宋_GBK" w:hAnsi="方正仿宋_GBK" w:eastAsia="方正仿宋_GBK" w:cs="方正仿宋_GBK"/>
          <w:b w:val="0"/>
          <w:bCs/>
          <w:kern w:val="2"/>
          <w:sz w:val="32"/>
          <w:szCs w:val="32"/>
          <w:lang w:val="en-US" w:eastAsia="zh-CN" w:bidi="ar"/>
        </w:rPr>
        <w:t>四川省医疗保障局</w:t>
      </w:r>
      <w:r>
        <w:rPr>
          <w:rFonts w:hint="default" w:ascii="Times New Roman" w:hAnsi="Times New Roman" w:eastAsia="方正仿宋_GBK" w:cs="Times New Roman"/>
          <w:b w:val="0"/>
          <w:bCs/>
          <w:kern w:val="2"/>
          <w:sz w:val="32"/>
          <w:szCs w:val="32"/>
          <w:lang w:val="en-US" w:eastAsia="zh-CN" w:bidi="ar"/>
        </w:rPr>
        <w:t xml:space="preserve"> </w:t>
      </w:r>
      <w:r>
        <w:rPr>
          <w:rFonts w:hint="eastAsia" w:ascii="方正仿宋_GBK" w:hAnsi="方正仿宋_GBK" w:eastAsia="方正仿宋_GBK" w:cs="方正仿宋_GBK"/>
          <w:b w:val="0"/>
          <w:bCs/>
          <w:kern w:val="2"/>
          <w:sz w:val="32"/>
          <w:szCs w:val="32"/>
          <w:lang w:val="en-US" w:eastAsia="zh-CN" w:bidi="ar"/>
        </w:rPr>
        <w:t>四川省中医药管理局关于印发公共卫生等</w:t>
      </w:r>
      <w:r>
        <w:rPr>
          <w:rFonts w:hint="default" w:ascii="Times New Roman" w:hAnsi="Times New Roman" w:eastAsia="方正仿宋_GBK" w:cs="Times New Roman"/>
          <w:b w:val="0"/>
          <w:bCs/>
          <w:kern w:val="2"/>
          <w:sz w:val="32"/>
          <w:szCs w:val="32"/>
          <w:lang w:val="en-US" w:eastAsia="zh-CN" w:bidi="ar"/>
        </w:rPr>
        <w:t>5</w:t>
      </w:r>
      <w:r>
        <w:rPr>
          <w:rFonts w:hint="eastAsia" w:ascii="方正仿宋_GBK" w:hAnsi="方正仿宋_GBK" w:eastAsia="方正仿宋_GBK" w:cs="方正仿宋_GBK"/>
          <w:b w:val="0"/>
          <w:bCs/>
          <w:kern w:val="2"/>
          <w:sz w:val="32"/>
          <w:szCs w:val="32"/>
          <w:lang w:val="en-US" w:eastAsia="zh-CN" w:bidi="ar"/>
        </w:rPr>
        <w:t>项补助资金管理办法的通知》〔川财社（</w:t>
      </w:r>
      <w:r>
        <w:rPr>
          <w:rFonts w:hint="default" w:ascii="Times New Roman" w:hAnsi="Times New Roman" w:eastAsia="方正仿宋_GBK" w:cs="Times New Roman"/>
          <w:b w:val="0"/>
          <w:bCs/>
          <w:kern w:val="2"/>
          <w:sz w:val="32"/>
          <w:szCs w:val="32"/>
          <w:lang w:val="en-US" w:eastAsia="zh-CN" w:bidi="ar"/>
        </w:rPr>
        <w:t>2022</w:t>
      </w:r>
      <w:r>
        <w:rPr>
          <w:rFonts w:hint="eastAsia" w:ascii="方正仿宋_GBK" w:hAnsi="方正仿宋_GBK" w:eastAsia="方正仿宋_GBK" w:cs="方正仿宋_GBK"/>
          <w:b w:val="0"/>
          <w:bCs/>
          <w:kern w:val="2"/>
          <w:sz w:val="32"/>
          <w:szCs w:val="32"/>
          <w:lang w:val="en-US" w:eastAsia="zh-CN" w:bidi="ar"/>
        </w:rPr>
        <w:t>）</w:t>
      </w:r>
      <w:r>
        <w:rPr>
          <w:rFonts w:hint="default" w:ascii="Times New Roman" w:hAnsi="Times New Roman" w:eastAsia="方正仿宋_GBK" w:cs="Times New Roman"/>
          <w:b w:val="0"/>
          <w:bCs/>
          <w:kern w:val="2"/>
          <w:sz w:val="32"/>
          <w:szCs w:val="32"/>
          <w:lang w:val="en-US" w:eastAsia="zh-CN" w:bidi="ar"/>
        </w:rPr>
        <w:t>112</w:t>
      </w:r>
      <w:r>
        <w:rPr>
          <w:rFonts w:hint="eastAsia" w:ascii="方正仿宋_GBK" w:hAnsi="方正仿宋_GBK" w:eastAsia="方正仿宋_GBK" w:cs="方正仿宋_GBK"/>
          <w:b w:val="0"/>
          <w:bCs/>
          <w:kern w:val="2"/>
          <w:sz w:val="32"/>
          <w:szCs w:val="32"/>
          <w:lang w:val="en-US" w:eastAsia="zh-CN" w:bidi="ar"/>
        </w:rPr>
        <w:t>号〕及</w:t>
      </w:r>
      <w:r>
        <w:rPr>
          <w:rFonts w:hint="eastAsia" w:ascii="方正仿宋_GBK" w:hAnsi="方正仿宋_GBK" w:eastAsia="方正仿宋_GBK" w:cs="方正仿宋_GBK"/>
          <w:kern w:val="2"/>
          <w:sz w:val="32"/>
          <w:szCs w:val="32"/>
          <w:lang w:val="en-US" w:eastAsia="zh-CN" w:bidi="ar"/>
        </w:rPr>
        <w:t>按照地方病防治实施方案及省、市对地方病工作相关要求，</w:t>
      </w:r>
      <w:r>
        <w:rPr>
          <w:rFonts w:hint="eastAsia" w:ascii="方正仿宋_GBK" w:hAnsi="方正仿宋_GBK" w:eastAsia="方正仿宋_GBK" w:cs="方正仿宋_GBK"/>
          <w:b w:val="0"/>
          <w:bCs/>
          <w:kern w:val="2"/>
          <w:sz w:val="32"/>
          <w:szCs w:val="32"/>
          <w:lang w:val="en-US" w:eastAsia="zh-CN" w:bidi="ar"/>
        </w:rPr>
        <w:t>对各乡（镇）、乡（镇）卫生院、社区卫生服务中心、村卫生室进行考核，按照上级下达人口数进行项目测算，项目完成按照</w:t>
      </w:r>
      <w:r>
        <w:rPr>
          <w:rFonts w:hint="default" w:ascii="Times New Roman" w:hAnsi="Times New Roman" w:eastAsia="方正仿宋_GBK" w:cs="Times New Roman"/>
          <w:b w:val="0"/>
          <w:bCs/>
          <w:kern w:val="2"/>
          <w:sz w:val="32"/>
          <w:szCs w:val="32"/>
          <w:lang w:val="en-US" w:eastAsia="zh-CN" w:bidi="ar"/>
        </w:rPr>
        <w:t>100%</w:t>
      </w:r>
      <w:r>
        <w:rPr>
          <w:rFonts w:hint="eastAsia" w:ascii="方正仿宋_GBK" w:hAnsi="方正仿宋_GBK" w:eastAsia="方正仿宋_GBK" w:cs="方正仿宋_GBK"/>
          <w:b w:val="0"/>
          <w:bCs/>
          <w:kern w:val="2"/>
          <w:sz w:val="32"/>
          <w:szCs w:val="32"/>
          <w:lang w:val="en-US" w:eastAsia="zh-CN" w:bidi="ar"/>
        </w:rPr>
        <w:t>比例进行经费拨付。</w:t>
      </w:r>
    </w:p>
    <w:p w14:paraId="5B770837">
      <w:pPr>
        <w:keepNext w:val="0"/>
        <w:keepLines w:val="0"/>
        <w:widowControl w:val="0"/>
        <w:suppressLineNumbers w:val="0"/>
        <w:autoSpaceDE w:val="0"/>
        <w:autoSpaceDN/>
        <w:spacing w:before="0" w:beforeAutospacing="0" w:after="0" w:afterAutospacing="0" w:line="576" w:lineRule="exact"/>
        <w:ind w:left="0" w:right="0" w:firstLine="640" w:firstLineChars="200"/>
        <w:jc w:val="both"/>
        <w:rPr>
          <w:rFonts w:hint="default" w:ascii="Times New Roman" w:hAnsi="Times New Roman" w:eastAsia="方正仿宋_GBK" w:cs="Times New Roman"/>
          <w:b/>
          <w:bCs/>
          <w:kern w:val="2"/>
          <w:sz w:val="32"/>
          <w:szCs w:val="32"/>
        </w:rPr>
      </w:pPr>
      <w:r>
        <w:rPr>
          <w:rFonts w:hint="default" w:ascii="Times New Roman" w:hAnsi="Times New Roman" w:eastAsia="方正仿宋_GBK" w:cs="Times New Roman"/>
          <w:b w:val="0"/>
          <w:bCs w:val="0"/>
          <w:kern w:val="2"/>
          <w:sz w:val="32"/>
          <w:szCs w:val="32"/>
          <w:lang w:val="en-US" w:eastAsia="zh-CN" w:bidi="ar"/>
        </w:rPr>
        <w:t>4.</w:t>
      </w:r>
      <w:r>
        <w:rPr>
          <w:rFonts w:hint="eastAsia" w:ascii="方正仿宋_GBK" w:hAnsi="方正仿宋_GBK" w:eastAsia="方正仿宋_GBK" w:cs="方正仿宋_GBK"/>
          <w:b/>
          <w:bCs/>
          <w:kern w:val="2"/>
          <w:sz w:val="32"/>
          <w:szCs w:val="32"/>
          <w:lang w:val="en-US" w:eastAsia="zh-CN" w:bidi="ar"/>
        </w:rPr>
        <w:t>资金分配的原则及考虑因素。</w:t>
      </w:r>
    </w:p>
    <w:p w14:paraId="2134FB29">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b w:val="0"/>
          <w:bCs/>
          <w:kern w:val="2"/>
          <w:sz w:val="32"/>
          <w:szCs w:val="32"/>
        </w:rPr>
      </w:pPr>
      <w:r>
        <w:rPr>
          <w:rFonts w:hint="eastAsia" w:ascii="方正仿宋_GBK" w:hAnsi="方正仿宋_GBK" w:eastAsia="方正仿宋_GBK" w:cs="方正仿宋_GBK"/>
          <w:b w:val="0"/>
          <w:bCs/>
          <w:kern w:val="2"/>
          <w:sz w:val="32"/>
          <w:szCs w:val="32"/>
          <w:lang w:val="en-US" w:eastAsia="zh-CN" w:bidi="ar"/>
        </w:rPr>
        <w:t>该项目资金按照完成数量、质量、群众满意度等综合考虑，不单以完成数量进行拨付。项目资金按照《盐边县</w:t>
      </w:r>
      <w:r>
        <w:rPr>
          <w:rFonts w:hint="default" w:ascii="Times New Roman" w:hAnsi="Times New Roman" w:eastAsia="方正仿宋_GBK" w:cs="Times New Roman"/>
          <w:b w:val="0"/>
          <w:bCs/>
          <w:kern w:val="2"/>
          <w:sz w:val="32"/>
          <w:szCs w:val="32"/>
          <w:lang w:val="en-US" w:eastAsia="zh-CN" w:bidi="ar"/>
        </w:rPr>
        <w:t>2024</w:t>
      </w:r>
      <w:r>
        <w:rPr>
          <w:rFonts w:hint="eastAsia" w:ascii="方正仿宋_GBK" w:hAnsi="方正仿宋_GBK" w:eastAsia="方正仿宋_GBK" w:cs="方正仿宋_GBK"/>
          <w:b w:val="0"/>
          <w:bCs/>
          <w:kern w:val="2"/>
          <w:sz w:val="32"/>
          <w:szCs w:val="32"/>
          <w:lang w:val="en-US" w:eastAsia="zh-CN" w:bidi="ar"/>
        </w:rPr>
        <w:t>年度基本公共卫生服务项目绩效考核方案》要求，实施</w:t>
      </w:r>
      <w:r>
        <w:rPr>
          <w:rFonts w:hint="default" w:ascii="Times New Roman" w:hAnsi="Times New Roman" w:eastAsia="方正仿宋_GBK" w:cs="Times New Roman"/>
          <w:b w:val="0"/>
          <w:bCs/>
          <w:kern w:val="2"/>
          <w:sz w:val="32"/>
          <w:szCs w:val="32"/>
          <w:lang w:val="en-US" w:eastAsia="zh-CN" w:bidi="ar"/>
        </w:rPr>
        <w:t>“</w:t>
      </w:r>
      <w:r>
        <w:rPr>
          <w:rFonts w:hint="eastAsia" w:ascii="方正仿宋_GBK" w:hAnsi="方正仿宋_GBK" w:eastAsia="方正仿宋_GBK" w:cs="方正仿宋_GBK"/>
          <w:b w:val="0"/>
          <w:bCs/>
          <w:kern w:val="2"/>
          <w:sz w:val="32"/>
          <w:szCs w:val="32"/>
          <w:lang w:val="en-US" w:eastAsia="zh-CN" w:bidi="ar"/>
        </w:rPr>
        <w:t>先预拨、后结算</w:t>
      </w:r>
      <w:r>
        <w:rPr>
          <w:rFonts w:hint="default" w:ascii="Times New Roman" w:hAnsi="Times New Roman" w:eastAsia="方正仿宋_GBK" w:cs="Times New Roman"/>
          <w:b w:val="0"/>
          <w:bCs/>
          <w:kern w:val="2"/>
          <w:sz w:val="32"/>
          <w:szCs w:val="32"/>
          <w:lang w:val="en-US" w:eastAsia="zh-CN" w:bidi="ar"/>
        </w:rPr>
        <w:t>”</w:t>
      </w:r>
      <w:r>
        <w:rPr>
          <w:rFonts w:hint="eastAsia" w:ascii="方正仿宋_GBK" w:hAnsi="方正仿宋_GBK" w:eastAsia="方正仿宋_GBK" w:cs="方正仿宋_GBK"/>
          <w:b w:val="0"/>
          <w:bCs/>
          <w:kern w:val="2"/>
          <w:sz w:val="32"/>
          <w:szCs w:val="32"/>
          <w:lang w:val="en-US" w:eastAsia="zh-CN" w:bidi="ar"/>
        </w:rPr>
        <w:t>方式，在</w:t>
      </w:r>
      <w:r>
        <w:rPr>
          <w:rFonts w:hint="default" w:ascii="Times New Roman" w:hAnsi="Times New Roman" w:eastAsia="方正仿宋_GBK" w:cs="Times New Roman"/>
          <w:b w:val="0"/>
          <w:bCs/>
          <w:kern w:val="2"/>
          <w:sz w:val="32"/>
          <w:szCs w:val="32"/>
          <w:lang w:val="en-US" w:eastAsia="zh-CN" w:bidi="ar"/>
        </w:rPr>
        <w:t>6</w:t>
      </w:r>
      <w:r>
        <w:rPr>
          <w:rFonts w:hint="eastAsia" w:ascii="方正仿宋_GBK" w:hAnsi="方正仿宋_GBK" w:eastAsia="方正仿宋_GBK" w:cs="方正仿宋_GBK"/>
          <w:b w:val="0"/>
          <w:bCs/>
          <w:kern w:val="2"/>
          <w:sz w:val="32"/>
          <w:szCs w:val="32"/>
          <w:lang w:val="en-US" w:eastAsia="zh-CN" w:bidi="ar"/>
        </w:rPr>
        <w:t>月底前完成目标任务覆盖人群的</w:t>
      </w:r>
      <w:r>
        <w:rPr>
          <w:rFonts w:hint="default" w:ascii="Times New Roman" w:hAnsi="Times New Roman" w:eastAsia="方正仿宋_GBK" w:cs="Times New Roman"/>
          <w:b w:val="0"/>
          <w:bCs/>
          <w:kern w:val="2"/>
          <w:sz w:val="32"/>
          <w:szCs w:val="32"/>
          <w:lang w:val="en-US" w:eastAsia="zh-CN" w:bidi="ar"/>
        </w:rPr>
        <w:t>70%</w:t>
      </w:r>
      <w:r>
        <w:rPr>
          <w:rFonts w:hint="eastAsia" w:ascii="方正仿宋_GBK" w:hAnsi="方正仿宋_GBK" w:eastAsia="方正仿宋_GBK" w:cs="方正仿宋_GBK"/>
          <w:b w:val="0"/>
          <w:bCs/>
          <w:kern w:val="2"/>
          <w:sz w:val="32"/>
          <w:szCs w:val="32"/>
          <w:lang w:val="en-US" w:eastAsia="zh-CN" w:bidi="ar"/>
        </w:rPr>
        <w:t>，</w:t>
      </w:r>
      <w:r>
        <w:rPr>
          <w:rFonts w:hint="default" w:ascii="Times New Roman" w:hAnsi="Times New Roman" w:eastAsia="方正仿宋_GBK" w:cs="Times New Roman"/>
          <w:b w:val="0"/>
          <w:bCs/>
          <w:kern w:val="2"/>
          <w:sz w:val="32"/>
          <w:szCs w:val="32"/>
          <w:lang w:val="en-US" w:eastAsia="zh-CN" w:bidi="ar"/>
        </w:rPr>
        <w:t>9</w:t>
      </w:r>
      <w:r>
        <w:rPr>
          <w:rFonts w:hint="eastAsia" w:ascii="方正仿宋_GBK" w:hAnsi="方正仿宋_GBK" w:eastAsia="方正仿宋_GBK" w:cs="方正仿宋_GBK"/>
          <w:b w:val="0"/>
          <w:bCs/>
          <w:kern w:val="2"/>
          <w:sz w:val="32"/>
          <w:szCs w:val="32"/>
          <w:lang w:val="en-US" w:eastAsia="zh-CN" w:bidi="ar"/>
        </w:rPr>
        <w:t>月底前完成目标任务覆盖人群的</w:t>
      </w:r>
      <w:r>
        <w:rPr>
          <w:rFonts w:hint="default" w:ascii="Times New Roman" w:hAnsi="Times New Roman" w:eastAsia="方正仿宋_GBK" w:cs="Times New Roman"/>
          <w:b w:val="0"/>
          <w:bCs/>
          <w:kern w:val="2"/>
          <w:sz w:val="32"/>
          <w:szCs w:val="32"/>
          <w:lang w:val="en-US" w:eastAsia="zh-CN" w:bidi="ar"/>
        </w:rPr>
        <w:t>90%</w:t>
      </w:r>
      <w:r>
        <w:rPr>
          <w:rFonts w:hint="eastAsia" w:ascii="方正仿宋_GBK" w:hAnsi="方正仿宋_GBK" w:eastAsia="方正仿宋_GBK" w:cs="方正仿宋_GBK"/>
          <w:b w:val="0"/>
          <w:bCs/>
          <w:kern w:val="2"/>
          <w:sz w:val="32"/>
          <w:szCs w:val="32"/>
          <w:lang w:val="en-US" w:eastAsia="zh-CN" w:bidi="ar"/>
        </w:rPr>
        <w:t>，</w:t>
      </w:r>
      <w:r>
        <w:rPr>
          <w:rFonts w:hint="default" w:ascii="Times New Roman" w:hAnsi="Times New Roman" w:eastAsia="方正仿宋_GBK" w:cs="Times New Roman"/>
          <w:b w:val="0"/>
          <w:bCs/>
          <w:kern w:val="2"/>
          <w:sz w:val="32"/>
          <w:szCs w:val="32"/>
          <w:lang w:val="en-US" w:eastAsia="zh-CN" w:bidi="ar"/>
        </w:rPr>
        <w:t>10</w:t>
      </w:r>
      <w:r>
        <w:rPr>
          <w:rFonts w:hint="eastAsia" w:ascii="方正仿宋_GBK" w:hAnsi="方正仿宋_GBK" w:eastAsia="方正仿宋_GBK" w:cs="方正仿宋_GBK"/>
          <w:b w:val="0"/>
          <w:bCs/>
          <w:kern w:val="2"/>
          <w:sz w:val="32"/>
          <w:szCs w:val="32"/>
          <w:lang w:val="en-US" w:eastAsia="zh-CN" w:bidi="ar"/>
        </w:rPr>
        <w:t>月底前完成目标任务覆盖人群的</w:t>
      </w:r>
      <w:r>
        <w:rPr>
          <w:rFonts w:hint="default" w:ascii="Times New Roman" w:hAnsi="Times New Roman" w:eastAsia="方正仿宋_GBK" w:cs="Times New Roman"/>
          <w:b w:val="0"/>
          <w:bCs/>
          <w:kern w:val="2"/>
          <w:sz w:val="32"/>
          <w:szCs w:val="32"/>
          <w:lang w:val="en-US" w:eastAsia="zh-CN" w:bidi="ar"/>
        </w:rPr>
        <w:t>100%</w:t>
      </w:r>
      <w:r>
        <w:rPr>
          <w:rFonts w:hint="eastAsia" w:ascii="方正仿宋_GBK" w:hAnsi="方正仿宋_GBK" w:eastAsia="方正仿宋_GBK" w:cs="方正仿宋_GBK"/>
          <w:b w:val="0"/>
          <w:bCs/>
          <w:kern w:val="2"/>
          <w:sz w:val="32"/>
          <w:szCs w:val="32"/>
          <w:lang w:val="en-US" w:eastAsia="zh-CN" w:bidi="ar"/>
        </w:rPr>
        <w:t>，</w:t>
      </w:r>
      <w:r>
        <w:rPr>
          <w:rFonts w:hint="default" w:ascii="Times New Roman" w:hAnsi="Times New Roman" w:eastAsia="方正仿宋_GBK" w:cs="Times New Roman"/>
          <w:b w:val="0"/>
          <w:bCs/>
          <w:kern w:val="2"/>
          <w:sz w:val="32"/>
          <w:szCs w:val="32"/>
          <w:lang w:val="en-US" w:eastAsia="zh-CN" w:bidi="ar"/>
        </w:rPr>
        <w:t>11-12</w:t>
      </w:r>
      <w:r>
        <w:rPr>
          <w:rFonts w:hint="eastAsia" w:ascii="方正仿宋_GBK" w:hAnsi="方正仿宋_GBK" w:eastAsia="方正仿宋_GBK" w:cs="方正仿宋_GBK"/>
          <w:b w:val="0"/>
          <w:bCs/>
          <w:kern w:val="2"/>
          <w:sz w:val="32"/>
          <w:szCs w:val="32"/>
          <w:lang w:val="en-US" w:eastAsia="zh-CN" w:bidi="ar"/>
        </w:rPr>
        <w:t>月查漏补缺，项目资金拨付进度和项目完成进度保持一致。项目资金全部拨付给基层医疗卫生机构开展项目使用，县级无截留、挤占、挪用的情况发生。</w:t>
      </w:r>
    </w:p>
    <w:p w14:paraId="34934FD1">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（二）项目绩效目标。</w:t>
      </w:r>
    </w:p>
    <w:p w14:paraId="032F9370">
      <w:pPr>
        <w:adjustRightInd w:val="0"/>
        <w:snapToGrid w:val="0"/>
        <w:spacing w:line="600" w:lineRule="exact"/>
        <w:ind w:firstLine="72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 项目主要内容。国家基本公共卫生服务服务项目分别为居民健康档案、健康教育、0-6岁儿童健康管理、预防接种、孕产妇健康管理、老年人健康管理、慢性病管理、严重精神障碍患者管理、肺结核患者健康管理、中医药健康管理、传染病及突发公共卫生事件报告和处理服务、卫生计生监督协管服务、地方病防治、职业病防治、失能老年人健康服务、农村妇女“两癌”筛查、免费孕前优生项目、其他公共卫生服务项目等工作。</w:t>
      </w:r>
    </w:p>
    <w:p w14:paraId="1DD4E89F">
      <w:pPr>
        <w:adjustRightInd w:val="0"/>
        <w:snapToGrid w:val="0"/>
        <w:spacing w:line="600" w:lineRule="exact"/>
        <w:ind w:firstLine="72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 项目应实现的具体绩效目标。按照省、市卫生健康委员会下达2024年度基本公共卫生服务项目要求，下达2024年度任务目标：涉及适龄儿童国家免疫计划疫苗接种率＞90%；0-6岁儿童健康管理率≥90%，0-6岁儿童眼保健和视力检查覆盖率≥90%；孕产妇系统管理率≥90%；3岁以下儿童系统管理率≥85%；高血压患者管理人数11040人、2型糖尿病患者管理人数4122人、慢性阻塞性肺疾病患者人数200人；肺结核患者管理率≥90%；社区在册居家严重精神障碍患者健康管理率≥80%；儿童中医药健康管理率≥84%、老年人中医药健康管理率≥74%；卫生监督协管各专业每年巡查（访）2次完成率≥90%；地方病核心指标完成率≥90%；医疗卫生机构医用辐射防护监测医院的级别和数量100%；65岁及以上失能老年人健康服务目标任务完成率≥100%；农村妇女“两癌”筛查目标任务完成率100%；免费孕前优生项目目标人群覆盖率≥80%；居民规范化电子健康档案覆盖率≥64%；高血压患者基层规范管理服务率≥64%；2型糖尿病患者基层规范管理服务率≥64%；65岁及以上老年人城乡社区规范健康管理服务率≥64%；传染病和突发公共卫生事件报告率≥95%；县级卫生应急队伍培训演练合格率100%；；免费孕前优生项目室间质评合格率≥80%。</w:t>
      </w:r>
    </w:p>
    <w:p w14:paraId="0243CC31">
      <w:pPr>
        <w:adjustRightInd w:val="0"/>
        <w:snapToGrid w:val="0"/>
        <w:spacing w:line="600" w:lineRule="exact"/>
        <w:ind w:firstLine="72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3. 分析评价申报内容是否与实际相符，申报目标是否合理可行。</w:t>
      </w:r>
      <w:r>
        <w:rPr>
          <w:rFonts w:hint="eastAsia" w:ascii="仿宋_GB2312" w:hAnsi="仿宋_GB2312" w:eastAsia="仿宋_GB2312" w:cs="仿宋_GB2312"/>
          <w:sz w:val="32"/>
          <w:szCs w:val="32"/>
          <w:lang w:val="zh-CN" w:eastAsia="zh-CN"/>
        </w:rPr>
        <w:t>按照省、市印发的基本公共卫生服务项目、地方病防治、农村妇女“两癌”筛查、免费孕前优生健康检查、老年健康与医养结合服务项目等实施方案要求，制定符合我县的项目实施方案，分解细化目标任务，确保了目标任务全面完成。申报内容与实际相符，申报目标合理可行。</w:t>
      </w:r>
    </w:p>
    <w:p w14:paraId="3F8E877F">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（三）项目自评步骤及方法。</w:t>
      </w:r>
    </w:p>
    <w:p w14:paraId="263AD702">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方正仿宋_GBK" w:cs="Times New Roman"/>
          <w:b w:val="0"/>
          <w:bCs/>
          <w:kern w:val="2"/>
          <w:sz w:val="32"/>
          <w:szCs w:val="32"/>
        </w:rPr>
      </w:pPr>
      <w:r>
        <w:rPr>
          <w:rFonts w:hint="default" w:ascii="Times New Roman" w:hAnsi="Times New Roman" w:eastAsia="方正仿宋_GBK" w:cs="Times New Roman"/>
          <w:b w:val="0"/>
          <w:bCs/>
          <w:kern w:val="2"/>
          <w:sz w:val="32"/>
          <w:szCs w:val="32"/>
          <w:lang w:val="en-US" w:eastAsia="zh-CN" w:bidi="ar"/>
        </w:rPr>
        <w:t>1.</w:t>
      </w:r>
      <w:r>
        <w:rPr>
          <w:rFonts w:hint="eastAsia" w:ascii="方正仿宋_GBK" w:hAnsi="方正仿宋_GBK" w:eastAsia="方正仿宋_GBK" w:cs="方正仿宋_GBK"/>
          <w:b w:val="0"/>
          <w:bCs/>
          <w:kern w:val="2"/>
          <w:sz w:val="32"/>
          <w:szCs w:val="32"/>
          <w:lang w:val="en-US" w:eastAsia="zh-CN" w:bidi="ar"/>
        </w:rPr>
        <w:t>县卫生健康局各股室按照中央、省、市要求，加强对基本公共卫生服务项目、方病防治、农村妇女</w:t>
      </w:r>
      <w:r>
        <w:rPr>
          <w:rFonts w:hint="default" w:ascii="Times New Roman" w:hAnsi="Times New Roman" w:eastAsia="方正仿宋_GBK" w:cs="Times New Roman"/>
          <w:b w:val="0"/>
          <w:bCs/>
          <w:kern w:val="2"/>
          <w:sz w:val="32"/>
          <w:szCs w:val="32"/>
          <w:lang w:val="en-US" w:eastAsia="zh-CN" w:bidi="ar"/>
        </w:rPr>
        <w:t>“</w:t>
      </w:r>
      <w:r>
        <w:rPr>
          <w:rFonts w:hint="eastAsia" w:ascii="方正仿宋_GBK" w:hAnsi="方正仿宋_GBK" w:eastAsia="方正仿宋_GBK" w:cs="方正仿宋_GBK"/>
          <w:b w:val="0"/>
          <w:bCs/>
          <w:kern w:val="2"/>
          <w:sz w:val="32"/>
          <w:szCs w:val="32"/>
          <w:lang w:val="en-US" w:eastAsia="zh-CN" w:bidi="ar"/>
        </w:rPr>
        <w:t>两癌</w:t>
      </w:r>
      <w:r>
        <w:rPr>
          <w:rFonts w:hint="default" w:ascii="Times New Roman" w:hAnsi="Times New Roman" w:eastAsia="方正仿宋_GBK" w:cs="Times New Roman"/>
          <w:b w:val="0"/>
          <w:bCs/>
          <w:kern w:val="2"/>
          <w:sz w:val="32"/>
          <w:szCs w:val="32"/>
          <w:lang w:val="en-US" w:eastAsia="zh-CN" w:bidi="ar"/>
        </w:rPr>
        <w:t>”</w:t>
      </w:r>
      <w:r>
        <w:rPr>
          <w:rFonts w:hint="eastAsia" w:ascii="方正仿宋_GBK" w:hAnsi="方正仿宋_GBK" w:eastAsia="方正仿宋_GBK" w:cs="方正仿宋_GBK"/>
          <w:b w:val="0"/>
          <w:bCs/>
          <w:kern w:val="2"/>
          <w:sz w:val="32"/>
          <w:szCs w:val="32"/>
          <w:lang w:val="en-US" w:eastAsia="zh-CN" w:bidi="ar"/>
        </w:rPr>
        <w:t>筛查、免费孕前优生健康检查、老年健康与医养结合服务项目、双随机、计划生育服务补助、健康县建设等项目的日常资金使用指导，每年对各项目实施单位财务人员进行财经纪律上的培训，保障项目专款专用。</w:t>
      </w:r>
    </w:p>
    <w:p w14:paraId="2607B0B3">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方正仿宋_GBK" w:cs="Times New Roman"/>
          <w:b w:val="0"/>
          <w:bCs/>
          <w:kern w:val="2"/>
          <w:sz w:val="32"/>
          <w:szCs w:val="32"/>
        </w:rPr>
      </w:pPr>
      <w:r>
        <w:rPr>
          <w:rFonts w:hint="default" w:ascii="Times New Roman" w:hAnsi="Times New Roman" w:eastAsia="方正仿宋_GBK" w:cs="Times New Roman"/>
          <w:b w:val="0"/>
          <w:bCs/>
          <w:kern w:val="2"/>
          <w:sz w:val="32"/>
          <w:szCs w:val="32"/>
          <w:lang w:val="en-US" w:eastAsia="zh-CN" w:bidi="ar"/>
        </w:rPr>
        <w:t>2.</w:t>
      </w:r>
      <w:r>
        <w:rPr>
          <w:rFonts w:hint="eastAsia" w:ascii="方正仿宋_GBK" w:hAnsi="方正仿宋_GBK" w:eastAsia="方正仿宋_GBK" w:cs="方正仿宋_GBK"/>
          <w:b w:val="0"/>
          <w:bCs/>
          <w:kern w:val="2"/>
          <w:sz w:val="32"/>
          <w:szCs w:val="32"/>
          <w:lang w:val="en-US" w:eastAsia="zh-CN" w:bidi="ar"/>
        </w:rPr>
        <w:t>县卫生健康局对拨付的项目经费的支出都做出了相应要求，分配方案县上局务会、局党组会讨论通过，对经费拨付大于</w:t>
      </w:r>
      <w:r>
        <w:rPr>
          <w:rFonts w:hint="default" w:ascii="Times New Roman" w:hAnsi="Times New Roman" w:eastAsia="方正仿宋_GBK" w:cs="Times New Roman"/>
          <w:b w:val="0"/>
          <w:bCs/>
          <w:kern w:val="2"/>
          <w:sz w:val="32"/>
          <w:szCs w:val="32"/>
          <w:lang w:val="en-US" w:eastAsia="zh-CN" w:bidi="ar"/>
        </w:rPr>
        <w:t>100</w:t>
      </w:r>
      <w:r>
        <w:rPr>
          <w:rFonts w:hint="eastAsia" w:ascii="方正仿宋_GBK" w:hAnsi="方正仿宋_GBK" w:eastAsia="方正仿宋_GBK" w:cs="方正仿宋_GBK"/>
          <w:b w:val="0"/>
          <w:bCs/>
          <w:kern w:val="2"/>
          <w:sz w:val="32"/>
          <w:szCs w:val="32"/>
          <w:lang w:val="en-US" w:eastAsia="zh-CN" w:bidi="ar"/>
        </w:rPr>
        <w:t>万以上</w:t>
      </w:r>
      <w:r>
        <w:rPr>
          <w:rFonts w:hint="default" w:ascii="Times New Roman" w:hAnsi="Times New Roman" w:eastAsia="方正仿宋_GBK" w:cs="Times New Roman"/>
          <w:b w:val="0"/>
          <w:bCs/>
          <w:kern w:val="2"/>
          <w:sz w:val="32"/>
          <w:szCs w:val="32"/>
          <w:lang w:val="en-US" w:eastAsia="zh-CN" w:bidi="ar"/>
        </w:rPr>
        <w:t>500</w:t>
      </w:r>
      <w:r>
        <w:rPr>
          <w:rFonts w:hint="eastAsia" w:ascii="方正仿宋_GBK" w:hAnsi="方正仿宋_GBK" w:eastAsia="方正仿宋_GBK" w:cs="方正仿宋_GBK"/>
          <w:b w:val="0"/>
          <w:bCs/>
          <w:kern w:val="2"/>
          <w:sz w:val="32"/>
          <w:szCs w:val="32"/>
          <w:lang w:val="en-US" w:eastAsia="zh-CN" w:bidi="ar"/>
        </w:rPr>
        <w:t>万以下需上县政府常务会，对经费拨付大于</w:t>
      </w:r>
      <w:r>
        <w:rPr>
          <w:rFonts w:hint="default" w:ascii="Times New Roman" w:hAnsi="Times New Roman" w:eastAsia="方正仿宋_GBK" w:cs="Times New Roman"/>
          <w:b w:val="0"/>
          <w:bCs/>
          <w:kern w:val="2"/>
          <w:sz w:val="32"/>
          <w:szCs w:val="32"/>
          <w:lang w:val="en-US" w:eastAsia="zh-CN" w:bidi="ar"/>
        </w:rPr>
        <w:t>500</w:t>
      </w:r>
      <w:r>
        <w:rPr>
          <w:rFonts w:hint="eastAsia" w:ascii="方正仿宋_GBK" w:hAnsi="方正仿宋_GBK" w:eastAsia="方正仿宋_GBK" w:cs="方正仿宋_GBK"/>
          <w:b w:val="0"/>
          <w:bCs/>
          <w:kern w:val="2"/>
          <w:sz w:val="32"/>
          <w:szCs w:val="32"/>
          <w:lang w:val="en-US" w:eastAsia="zh-CN" w:bidi="ar"/>
        </w:rPr>
        <w:t>万元的除上县政府常务会审议外，还需上县委常委会审议，均有会议纪要作为支撑。</w:t>
      </w:r>
    </w:p>
    <w:p w14:paraId="4BFA2124">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方正仿宋_GBK" w:cs="Times New Roman"/>
          <w:b w:val="0"/>
          <w:bCs/>
          <w:kern w:val="2"/>
          <w:sz w:val="32"/>
          <w:szCs w:val="32"/>
        </w:rPr>
      </w:pPr>
      <w:r>
        <w:rPr>
          <w:rFonts w:hint="default" w:ascii="Times New Roman" w:hAnsi="Times New Roman" w:eastAsia="方正仿宋_GBK" w:cs="Times New Roman"/>
          <w:b w:val="0"/>
          <w:bCs/>
          <w:kern w:val="2"/>
          <w:sz w:val="32"/>
          <w:szCs w:val="32"/>
          <w:lang w:val="en-US" w:eastAsia="zh-CN" w:bidi="ar"/>
        </w:rPr>
        <w:t>3.2024</w:t>
      </w:r>
      <w:r>
        <w:rPr>
          <w:rFonts w:hint="eastAsia" w:ascii="方正仿宋_GBK" w:hAnsi="方正仿宋_GBK" w:eastAsia="方正仿宋_GBK" w:cs="方正仿宋_GBK"/>
          <w:b w:val="0"/>
          <w:bCs/>
          <w:kern w:val="2"/>
          <w:sz w:val="32"/>
          <w:szCs w:val="32"/>
          <w:lang w:val="en-US" w:eastAsia="zh-CN" w:bidi="ar"/>
        </w:rPr>
        <w:t>年，坚持兼顾公平、多劳多得、优劳优得的原则。细化考核方案，差异化服务、差异化考核，充分发挥考核的激励引导作用，促使基层医疗卫生机构严格按规范、保质量地开展基本公共卫生服务工作。</w:t>
      </w:r>
    </w:p>
    <w:p w14:paraId="65BF4706">
      <w:pPr>
        <w:adjustRightInd w:val="0"/>
        <w:snapToGrid w:val="0"/>
        <w:spacing w:line="600" w:lineRule="exact"/>
        <w:ind w:firstLine="720"/>
        <w:rPr>
          <w:rFonts w:ascii="黑体" w:hAnsi="黑体" w:eastAsia="黑体" w:cs="黑体"/>
          <w:sz w:val="32"/>
          <w:szCs w:val="32"/>
        </w:rPr>
      </w:pPr>
      <w:r>
        <w:rPr>
          <w:rFonts w:hint="eastAsia" w:ascii="黑体" w:hAnsi="黑体" w:eastAsia="黑体" w:cs="黑体"/>
          <w:sz w:val="32"/>
          <w:szCs w:val="32"/>
        </w:rPr>
        <w:t>二、项目资金申报及使用情况</w:t>
      </w:r>
    </w:p>
    <w:p w14:paraId="110DA4A7">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（一）项目资金申报及批复情况。</w:t>
      </w:r>
    </w:p>
    <w:p w14:paraId="4452622B">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方正仿宋_GBK" w:cs="Times New Roman"/>
          <w:b w:val="0"/>
          <w:bCs/>
          <w:kern w:val="2"/>
          <w:sz w:val="32"/>
          <w:szCs w:val="32"/>
        </w:rPr>
      </w:pPr>
      <w:r>
        <w:rPr>
          <w:rFonts w:hint="eastAsia" w:ascii="方正仿宋_GBK" w:hAnsi="方正仿宋_GBK" w:eastAsia="方正仿宋_GBK" w:cs="方正仿宋_GBK"/>
          <w:b w:val="0"/>
          <w:bCs/>
          <w:kern w:val="2"/>
          <w:sz w:val="32"/>
          <w:szCs w:val="32"/>
          <w:lang w:val="en-US" w:eastAsia="zh-CN" w:bidi="ar"/>
        </w:rPr>
        <w:t>基本公共卫生项目资金由县卫生健康局组织申报、县财政根据实际情况予以批复及进行预算调整。</w:t>
      </w:r>
    </w:p>
    <w:p w14:paraId="49ACBDD2">
      <w:pPr>
        <w:adjustRightInd w:val="0"/>
        <w:snapToGrid w:val="0"/>
        <w:spacing w:line="600" w:lineRule="exact"/>
        <w:ind w:firstLine="720"/>
        <w:rPr>
          <w:rFonts w:ascii="仿宋_GB2312" w:hAnsi="仿宋_GB2312" w:eastAsia="仿宋_GB2312" w:cs="仿宋_GB2312"/>
          <w:sz w:val="32"/>
          <w:szCs w:val="32"/>
          <w:lang w:val="zh-CN"/>
        </w:rPr>
      </w:pPr>
      <w:r>
        <w:rPr>
          <w:rFonts w:hint="eastAsia" w:ascii="仿宋_GB2312" w:hAnsi="仿宋_GB2312" w:eastAsia="仿宋_GB2312" w:cs="仿宋_GB2312"/>
          <w:b/>
          <w:sz w:val="32"/>
          <w:szCs w:val="32"/>
          <w:lang w:val="zh-CN"/>
        </w:rPr>
        <w:t>（二）资金计划、到位及使用情况。</w:t>
      </w:r>
    </w:p>
    <w:p w14:paraId="2DDC86FF">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eastAsia" w:ascii="CESI仿宋-GB2312" w:hAnsi="CESI仿宋-GB2312" w:eastAsia="CESI仿宋-GB2312" w:cs="CESI仿宋-GB2312"/>
          <w:b w:val="0"/>
          <w:bCs/>
          <w:kern w:val="2"/>
          <w:sz w:val="32"/>
          <w:szCs w:val="32"/>
        </w:rPr>
      </w:pPr>
      <w:r>
        <w:rPr>
          <w:rFonts w:hint="eastAsia" w:ascii="仿宋_GB2312" w:hAnsi="仿宋_GB2312" w:eastAsia="仿宋_GB2312" w:cs="仿宋_GB2312"/>
          <w:sz w:val="32"/>
          <w:szCs w:val="32"/>
          <w:lang w:val="zh-CN"/>
        </w:rPr>
        <w:t>1．资金计划。</w:t>
      </w:r>
      <w:r>
        <w:rPr>
          <w:rFonts w:hint="eastAsia" w:ascii="CESI仿宋-GB2312" w:hAnsi="CESI仿宋-GB2312" w:eastAsia="CESI仿宋-GB2312" w:cs="CESI仿宋-GB2312"/>
          <w:b w:val="0"/>
          <w:bCs/>
          <w:kern w:val="2"/>
          <w:sz w:val="32"/>
          <w:szCs w:val="32"/>
          <w:lang w:val="en-US" w:eastAsia="zh-CN" w:bidi="ar"/>
        </w:rPr>
        <w:t>2024年按照国家、省、市、县根据12项基本公共卫生服务项目、地方病防治、农村妇女“两癌”筛查、免费孕前优生健康检查、老年健康与医养结合服务项目、其他公共卫生服务等要求，国家、省、市、县下达项目资金共计1647.08万元，其中中央资金1310.56万元，省级资金204.60万元，县级配套资金131.92万元。所有资金全部到位并下拨到各项目执行单位。县卫生健康局将加强对资金监管，确保专款专用，严禁截留和挪用。</w:t>
      </w:r>
    </w:p>
    <w:p w14:paraId="1CEE34CD">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2．资金到位。</w:t>
      </w:r>
      <w:r>
        <w:rPr>
          <w:rFonts w:hint="eastAsia" w:ascii="仿宋_GB2312" w:hAnsi="仿宋_GB2312" w:eastAsia="仿宋_GB2312" w:cs="仿宋_GB2312"/>
          <w:sz w:val="32"/>
          <w:szCs w:val="32"/>
          <w:lang w:val="zh-CN" w:eastAsia="zh-CN"/>
        </w:rPr>
        <w:t>（1）省级下达资金</w:t>
      </w:r>
    </w:p>
    <w:p w14:paraId="1FAC0C8C">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2023年12月29日，印发《四川省财政厅 四川省卫生健康委员会关于提前下达2024年基本公共卫生服务中央和省级补助资金的通知》（川财社〔2023〕179号）文件，下达项目资金共计1286.76万元，其中中央资金1112.45万元，省级资金174.31万元。</w:t>
      </w:r>
    </w:p>
    <w:p w14:paraId="7C701A17">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2023年8月1日，印发《四川省财政厅 四川省卫生健康委员会关于下达2024年基本公共卫生服务中央和省级补助资金的通知》（川财社〔2024〕48号）文件，下达项目资金226.5万元，其中中央资金196.21万元，省级资金30.29万元。</w:t>
      </w:r>
    </w:p>
    <w:p w14:paraId="2AD146B7">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（2）市级下达资金</w:t>
      </w:r>
    </w:p>
    <w:p w14:paraId="02FAAEFB">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参照《四川省财政厅四川省卫生健康委员会关于下达2024年基本公共卫生服务中央和省级补助资金的通知》（川财社〔2024〕48号），文件要求，市卫生健康委于2024年8月30日，印发《攀枝花市财政局攀枝花市卫生健康委员会关于下达2024年基本公共卫生服务中央和市级补助资金(第二批)的通知》（攀财资社〔2024〕122号），下发2024年基本公共卫生服务中央补助资金1.9万元。</w:t>
      </w:r>
    </w:p>
    <w:p w14:paraId="7F6BFE45">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（3）县级资金</w:t>
      </w:r>
    </w:p>
    <w:p w14:paraId="576B5745">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2024年1月22日，县财政局印发《关于提前下达2024年基本公共卫生服务中央和省级补助资金的通知》（盐财资行〔2024〕12号）文件，拨付基本公共卫生服务项目资金1286.76万元，其中中央资金1112.45万元，省级资金174.31万元。</w:t>
      </w:r>
    </w:p>
    <w:p w14:paraId="6BC47646">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2024年8月19日，县财政局印发《关于下达2024年基本公共卫生服务中央和省级补助资金的通知》（盐财资行〔2024〕286号）文件，拨付项目基本公共卫生服务项目资金221.76万元，其中中央资金196.21万元，省级资金30.29万元。</w:t>
      </w:r>
    </w:p>
    <w:p w14:paraId="0A2652AA">
      <w:pPr>
        <w:adjustRightInd w:val="0"/>
        <w:snapToGrid w:val="0"/>
        <w:spacing w:line="600" w:lineRule="exact"/>
        <w:ind w:firstLine="72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2024年3月15日，县财政局《关于印发2024 年部门预算批复的通知》（盐边财政〔2024〕8号），预算2024年度基本公共卫生服务项目县级配套资金140万元。按照《四川省财政厅 四川省卫生健康委员会关于下达2024年基本公共卫生服务中央和省级补助资金的通知》（川财社〔2024〕48号）要求，县级需配套131.92万元。</w:t>
      </w:r>
    </w:p>
    <w:p w14:paraId="454507D8">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3．资金使用。</w:t>
      </w:r>
      <w:r>
        <w:rPr>
          <w:rFonts w:hint="eastAsia" w:ascii="仿宋_GB2312" w:hAnsi="仿宋_GB2312" w:eastAsia="仿宋_GB2312" w:cs="仿宋_GB2312"/>
          <w:sz w:val="32"/>
          <w:szCs w:val="32"/>
          <w:lang w:val="zh-CN" w:eastAsia="zh-CN"/>
        </w:rPr>
        <w:t>2024年全县各医疗卫生单位实施财务一体化预算，项目资金都在系统上列支，截止2024年底，项目资金1647.08万元已全部拨付到位，使用项目资金1610.01万元，资金使用率为97.75%。因县级配套下达较晚，加之部分基层医疗卫生机构上传资料不全，导致基本公共卫生服务项目部分资金未使用完。</w:t>
      </w:r>
    </w:p>
    <w:p w14:paraId="725FCA30">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（三）项目财务管理情况。</w:t>
      </w:r>
    </w:p>
    <w:p w14:paraId="12F324D0">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b w:val="0"/>
          <w:bCs/>
          <w:kern w:val="2"/>
          <w:sz w:val="32"/>
          <w:szCs w:val="32"/>
        </w:rPr>
      </w:pPr>
      <w:r>
        <w:rPr>
          <w:rFonts w:hint="default" w:ascii="仿宋_GB2312" w:hAnsi="Times New Roman" w:eastAsia="仿宋_GB2312" w:cs="仿宋_GB2312"/>
          <w:b w:val="0"/>
          <w:bCs/>
          <w:kern w:val="2"/>
          <w:sz w:val="32"/>
          <w:szCs w:val="32"/>
          <w:lang w:val="en-US" w:eastAsia="zh-CN" w:bidi="ar"/>
        </w:rPr>
        <w:t>各项目实施单位财务管理制度健全，严格执行财务管理制度，及时账务处理，规范会计核算，及时完成财务年报、卫生统计年报、月报等。</w:t>
      </w:r>
    </w:p>
    <w:p w14:paraId="0077D43C">
      <w:pPr>
        <w:adjustRightInd w:val="0"/>
        <w:snapToGrid w:val="0"/>
        <w:spacing w:line="600" w:lineRule="exact"/>
        <w:ind w:firstLine="720"/>
        <w:rPr>
          <w:rFonts w:ascii="黑体" w:hAnsi="黑体" w:eastAsia="黑体" w:cs="黑体"/>
          <w:sz w:val="32"/>
          <w:szCs w:val="32"/>
        </w:rPr>
      </w:pPr>
      <w:r>
        <w:rPr>
          <w:rFonts w:hint="eastAsia" w:ascii="黑体" w:hAnsi="黑体" w:eastAsia="黑体" w:cs="黑体"/>
          <w:sz w:val="32"/>
          <w:szCs w:val="32"/>
        </w:rPr>
        <w:t>三、项目实施及管理情况</w:t>
      </w:r>
    </w:p>
    <w:p w14:paraId="0E5F80AB">
      <w:pPr>
        <w:adjustRightInd w:val="0"/>
        <w:snapToGrid w:val="0"/>
        <w:spacing w:line="600" w:lineRule="exact"/>
        <w:ind w:firstLine="72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结合项目组织实施管理办法，重点围绕以下内容进行分析评价，并对自评中发现的问题分析说明。</w:t>
      </w:r>
    </w:p>
    <w:p w14:paraId="03043592">
      <w:pPr>
        <w:keepNext w:val="0"/>
        <w:keepLines w:val="0"/>
        <w:pageBreakBefore w:val="0"/>
        <w:numPr>
          <w:ilvl w:val="0"/>
          <w:numId w:val="5"/>
        </w:numPr>
        <w:kinsoku/>
        <w:wordWrap/>
        <w:overflowPunct/>
        <w:topLinePunct w:val="0"/>
        <w:autoSpaceDE/>
        <w:autoSpaceDN/>
        <w:bidi w:val="0"/>
        <w:adjustRightInd/>
        <w:snapToGrid/>
        <w:spacing w:line="576" w:lineRule="exact"/>
        <w:ind w:left="0" w:leftChars="0" w:firstLine="643" w:firstLineChars="200"/>
        <w:textAlignment w:val="auto"/>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项目组织架构及实施流程。</w:t>
      </w:r>
    </w:p>
    <w:p w14:paraId="7A441F32">
      <w:pPr>
        <w:keepNext w:val="0"/>
        <w:keepLines w:val="0"/>
        <w:pageBreakBefore w:val="0"/>
        <w:numPr>
          <w:ilvl w:val="0"/>
          <w:numId w:val="0"/>
        </w:numPr>
        <w:kinsoku/>
        <w:wordWrap/>
        <w:overflowPunct/>
        <w:topLinePunct w:val="0"/>
        <w:autoSpaceDE/>
        <w:autoSpaceDN/>
        <w:bidi w:val="0"/>
        <w:adjustRightInd/>
        <w:snapToGrid/>
        <w:spacing w:line="576" w:lineRule="exact"/>
        <w:ind w:firstLine="640" w:firstLineChars="200"/>
        <w:textAlignment w:val="auto"/>
        <w:rPr>
          <w:rFonts w:ascii="仿宋_GB2312" w:hAnsi="仿宋_GB2312" w:eastAsia="仿宋_GB2312" w:cs="仿宋_GB2312"/>
          <w:b/>
          <w:sz w:val="32"/>
          <w:szCs w:val="32"/>
          <w:lang w:val="zh-CN"/>
        </w:rPr>
      </w:pPr>
      <w:r>
        <w:rPr>
          <w:rFonts w:hint="eastAsia" w:ascii="CESI仿宋-GB2312" w:hAnsi="CESI仿宋-GB2312" w:eastAsia="CESI仿宋-GB2312" w:cs="CESI仿宋-GB2312"/>
          <w:b w:val="0"/>
          <w:bCs/>
          <w:color w:val="auto"/>
          <w:sz w:val="32"/>
          <w:szCs w:val="32"/>
          <w:lang w:val="en-US" w:eastAsia="zh-CN"/>
        </w:rPr>
        <w:t xml:space="preserve">2024年基本公共卫生服务项目时间是从2024年1月-12月，按照上级要求进行，建立辖区居民健康档案；做好预防接种工作；对重点人群进行每年一次的年度体检，对慢性病、重精、肺结核病等患者进行随访服务，对0-6岁儿童进行成长发育指导，加强对老年人和0-3岁儿童家长进行中医体质辨识指导；做好辖区健康教育宣传咨询和健康教育讲座，做好医疗卫生机构健康素养促进活动；对有避孕意向的妇女发放避孕药具；做好传染病、突发公共卫生事件报告；做好卫生计生监督协管巡查；开展地方病防治工作；开展农村妇女两癌筛查、免费孕前优生健康检查；对65岁以上失能老年人开展健康服务；开展2024年计划生育服务补助；开展双随机抽查等工作。 </w:t>
      </w:r>
    </w:p>
    <w:p w14:paraId="39315AC9">
      <w:pPr>
        <w:keepNext w:val="0"/>
        <w:keepLines w:val="0"/>
        <w:widowControl w:val="0"/>
        <w:suppressLineNumbers w:val="0"/>
        <w:spacing w:before="0" w:beforeAutospacing="0" w:after="0" w:afterAutospacing="0"/>
        <w:ind w:left="0" w:right="0" w:firstLine="643" w:firstLineChars="200"/>
        <w:jc w:val="both"/>
        <w:rPr>
          <w:rFonts w:ascii="仿宋_GB2312" w:hAnsi="仿宋_GB2312" w:eastAsia="仿宋_GB2312" w:cs="仿宋_GB2312"/>
          <w:sz w:val="32"/>
          <w:szCs w:val="32"/>
          <w:lang w:val="zh-CN"/>
        </w:rPr>
      </w:pPr>
      <w:r>
        <w:rPr>
          <w:rFonts w:hint="eastAsia" w:ascii="仿宋_GB2312" w:hAnsi="仿宋_GB2312" w:eastAsia="仿宋_GB2312" w:cs="仿宋_GB2312"/>
          <w:b/>
          <w:sz w:val="32"/>
          <w:szCs w:val="32"/>
          <w:lang w:val="zh-CN"/>
        </w:rPr>
        <w:t>（二）项目管理情况。</w:t>
      </w:r>
      <w:r>
        <w:rPr>
          <w:rFonts w:hint="eastAsia" w:ascii="CESI仿宋-GB2312" w:hAnsi="CESI仿宋-GB2312" w:eastAsia="CESI仿宋-GB2312" w:cs="CESI仿宋-GB2312"/>
          <w:b/>
          <w:bCs w:val="0"/>
          <w:kern w:val="2"/>
          <w:sz w:val="32"/>
          <w:szCs w:val="32"/>
          <w:lang w:val="en-US" w:eastAsia="zh-CN" w:bidi="ar"/>
        </w:rPr>
        <w:t>一是</w:t>
      </w:r>
      <w:r>
        <w:rPr>
          <w:rFonts w:hint="eastAsia" w:ascii="CESI仿宋-GB2312" w:hAnsi="CESI仿宋-GB2312" w:eastAsia="CESI仿宋-GB2312" w:cs="CESI仿宋-GB2312"/>
          <w:b w:val="0"/>
          <w:bCs/>
          <w:kern w:val="2"/>
          <w:sz w:val="32"/>
          <w:szCs w:val="32"/>
          <w:lang w:val="en-US" w:eastAsia="zh-CN" w:bidi="ar"/>
        </w:rPr>
        <w:t>认真开展“5.19世界家庭医生日”“基本公共卫生服务项目”“高血压病防治”“糖尿病防治”“3.21世界睡眠日”“10.10精神卫生日”等宣传活动。按照国家和省统一安排部署，各医疗卫生机构添措施、想办法开展项目宣传活动，继续深入开展“三减三健”和“七进”活动宣传，提高群众知晓率和感受度，促进居民养成健康的生活方式；</w:t>
      </w:r>
      <w:r>
        <w:rPr>
          <w:rFonts w:hint="eastAsia" w:ascii="CESI仿宋-GB2312" w:hAnsi="CESI仿宋-GB2312" w:eastAsia="CESI仿宋-GB2312" w:cs="CESI仿宋-GB2312"/>
          <w:b/>
          <w:bCs w:val="0"/>
          <w:kern w:val="2"/>
          <w:sz w:val="32"/>
          <w:szCs w:val="32"/>
          <w:lang w:val="en-US" w:eastAsia="zh-CN" w:bidi="ar"/>
        </w:rPr>
        <w:t>二是</w:t>
      </w:r>
      <w:r>
        <w:rPr>
          <w:rFonts w:hint="eastAsia" w:ascii="CESI仿宋-GB2312" w:hAnsi="CESI仿宋-GB2312" w:eastAsia="CESI仿宋-GB2312" w:cs="CESI仿宋-GB2312"/>
          <w:b w:val="0"/>
          <w:bCs/>
          <w:kern w:val="2"/>
          <w:sz w:val="32"/>
          <w:szCs w:val="32"/>
          <w:lang w:val="en-US" w:eastAsia="zh-CN" w:bidi="ar"/>
        </w:rPr>
        <w:t>多形式开展健康教育宣传。采取网络、QQ、微信、展板、宣传折页、宣传标语等群众喜闻乐见的传统宣传方式，形成多渠道、多层次、多语境的宣传态势，为项目实施营造良好氛围，形成强大合力。以基层医疗卫生机构为单位，发放《中国公民健康素养66条》宣传绘图，基本公共卫生服务项目宣传资料，提高群众对基本公共卫生服务项目的参与积极性和自身健康意识；</w:t>
      </w:r>
      <w:r>
        <w:rPr>
          <w:rFonts w:hint="eastAsia" w:ascii="CESI仿宋-GB2312" w:hAnsi="CESI仿宋-GB2312" w:eastAsia="CESI仿宋-GB2312" w:cs="CESI仿宋-GB2312"/>
          <w:b/>
          <w:bCs w:val="0"/>
          <w:kern w:val="2"/>
          <w:sz w:val="32"/>
          <w:szCs w:val="32"/>
          <w:lang w:val="en-US" w:eastAsia="zh-CN" w:bidi="ar"/>
        </w:rPr>
        <w:t>三是</w:t>
      </w:r>
      <w:r>
        <w:rPr>
          <w:rFonts w:hint="eastAsia" w:ascii="CESI仿宋-GB2312" w:hAnsi="CESI仿宋-GB2312" w:eastAsia="CESI仿宋-GB2312" w:cs="CESI仿宋-GB2312"/>
          <w:b w:val="0"/>
          <w:bCs/>
          <w:kern w:val="2"/>
          <w:sz w:val="32"/>
          <w:szCs w:val="32"/>
          <w:lang w:val="en-US" w:eastAsia="zh-CN" w:bidi="ar"/>
        </w:rPr>
        <w:t>抓好信息公开。基层医疗卫生机构在辖区和机构内显著位置公示项目免费政策、服务项目、机构地址、电话号码等内容。将广播、QQ、微信、官方微博等新闻媒体和传统的宣传栏、壁报、宣传折页等形式相结合，多渠道，多途径地将机构基本情况、基本公共卫生服务内容、服务信息、反馈信息和提醒信息等及时全面传递给服务对象；</w:t>
      </w:r>
      <w:r>
        <w:rPr>
          <w:rFonts w:hint="eastAsia" w:ascii="CESI仿宋-GB2312" w:hAnsi="CESI仿宋-GB2312" w:eastAsia="CESI仿宋-GB2312" w:cs="CESI仿宋-GB2312"/>
          <w:b/>
          <w:bCs w:val="0"/>
          <w:kern w:val="2"/>
          <w:sz w:val="32"/>
          <w:szCs w:val="32"/>
          <w:lang w:val="en-US" w:eastAsia="zh-CN" w:bidi="ar"/>
        </w:rPr>
        <w:t>四是</w:t>
      </w:r>
      <w:r>
        <w:rPr>
          <w:rFonts w:hint="eastAsia" w:ascii="CESI仿宋-GB2312" w:hAnsi="CESI仿宋-GB2312" w:eastAsia="CESI仿宋-GB2312" w:cs="CESI仿宋-GB2312"/>
          <w:b w:val="0"/>
          <w:bCs/>
          <w:kern w:val="2"/>
          <w:sz w:val="32"/>
          <w:szCs w:val="32"/>
          <w:lang w:val="en-US" w:eastAsia="zh-CN" w:bidi="ar"/>
        </w:rPr>
        <w:t>加强信息报送。各医疗卫生机构及时总结上报基本公共卫生服务工作完成情况，创新性做法和典型经验等信息。及时总结提炼宣传活动经验、特色亮点，挖掘基本公共卫生服务工作中的先进个人和感人事迹进行深入报道，深化对国家基本公共卫生服务项目的宣传，提高群众的知晓率和认可度。</w:t>
      </w:r>
    </w:p>
    <w:p w14:paraId="1D3C9C5F">
      <w:pPr>
        <w:keepNext w:val="0"/>
        <w:keepLines w:val="0"/>
        <w:widowControl w:val="0"/>
        <w:suppressLineNumbers w:val="0"/>
        <w:autoSpaceDE w:val="0"/>
        <w:autoSpaceDN/>
        <w:spacing w:before="0" w:beforeAutospacing="0" w:after="0" w:afterAutospacing="0" w:line="576" w:lineRule="exact"/>
        <w:ind w:left="0" w:leftChars="0" w:right="0" w:firstLine="643" w:firstLineChars="200"/>
        <w:jc w:val="both"/>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（三）项目监管情况。</w:t>
      </w:r>
    </w:p>
    <w:p w14:paraId="6D092D1C">
      <w:pPr>
        <w:keepNext w:val="0"/>
        <w:keepLines w:val="0"/>
        <w:widowControl w:val="0"/>
        <w:suppressLineNumbers w:val="0"/>
        <w:autoSpaceDE w:val="0"/>
        <w:autoSpaceDN/>
        <w:spacing w:before="0" w:beforeAutospacing="0" w:after="0" w:afterAutospacing="0" w:line="576" w:lineRule="exact"/>
        <w:ind w:left="0" w:leftChars="0" w:right="0" w:firstLine="641" w:firstLineChars="200"/>
        <w:jc w:val="both"/>
        <w:rPr>
          <w:rFonts w:hint="eastAsia" w:ascii="CESI仿宋-GB2312" w:hAnsi="CESI仿宋-GB2312" w:eastAsia="CESI仿宋-GB2312" w:cs="CESI仿宋-GB2312"/>
          <w:b w:val="0"/>
          <w:bCs/>
          <w:kern w:val="2"/>
          <w:sz w:val="32"/>
          <w:szCs w:val="32"/>
        </w:rPr>
      </w:pPr>
      <w:r>
        <w:rPr>
          <w:rFonts w:hint="eastAsia" w:ascii="CESI仿宋-GB2312" w:hAnsi="CESI仿宋-GB2312" w:eastAsia="CESI仿宋-GB2312" w:cs="CESI仿宋-GB2312"/>
          <w:b/>
          <w:bCs w:val="0"/>
          <w:kern w:val="2"/>
          <w:sz w:val="32"/>
          <w:szCs w:val="32"/>
          <w:lang w:val="en-US" w:eastAsia="zh-CN" w:bidi="ar"/>
        </w:rPr>
        <w:t>1.日常督导。</w:t>
      </w:r>
      <w:r>
        <w:rPr>
          <w:rFonts w:hint="eastAsia" w:ascii="CESI仿宋-GB2312" w:hAnsi="CESI仿宋-GB2312" w:eastAsia="CESI仿宋-GB2312" w:cs="CESI仿宋-GB2312"/>
          <w:b w:val="0"/>
          <w:bCs/>
          <w:kern w:val="2"/>
          <w:sz w:val="32"/>
          <w:szCs w:val="32"/>
          <w:lang w:val="en-US" w:eastAsia="zh-CN" w:bidi="ar"/>
        </w:rPr>
        <w:t>县卫生健康局将加强基本公共卫生服务项目技术指导和督导，强化重点任务项目落地落实，由县卫生健康局牵头，县均等化指导中心、县疾控中心、县妇幼保健服务中心等指导机构，每月实施重点人群线上信息审核，重点审核体检信息、随访等相关信息，截止2024年底，共完成12次线上审核通报。至少每季度开展一次全方位现场督导检查，截止2024年底，共完成4次督导检查。其他基本公共卫生服务项目采取每月提取相关数据进行通报，确保年底前完成年初下达任务目标。</w:t>
      </w:r>
    </w:p>
    <w:p w14:paraId="546BDD4E">
      <w:pPr>
        <w:keepNext w:val="0"/>
        <w:keepLines w:val="0"/>
        <w:widowControl w:val="0"/>
        <w:suppressLineNumbers w:val="0"/>
        <w:spacing w:before="0" w:beforeAutospacing="0" w:after="0" w:afterAutospacing="0"/>
        <w:ind w:left="0" w:right="0"/>
        <w:jc w:val="both"/>
      </w:pPr>
      <w:r>
        <w:rPr>
          <w:rFonts w:hint="eastAsia" w:ascii="CESI仿宋-GB2312" w:hAnsi="CESI仿宋-GB2312" w:eastAsia="CESI仿宋-GB2312" w:cs="CESI仿宋-GB2312"/>
          <w:b/>
          <w:bCs w:val="0"/>
          <w:kern w:val="2"/>
          <w:sz w:val="32"/>
          <w:szCs w:val="32"/>
          <w:lang w:val="en-US" w:eastAsia="zh-CN" w:bidi="ar"/>
        </w:rPr>
        <w:t>2.考核：</w:t>
      </w:r>
      <w:r>
        <w:rPr>
          <w:rFonts w:hint="eastAsia" w:ascii="CESI仿宋-GB2312" w:hAnsi="CESI仿宋-GB2312" w:eastAsia="CESI仿宋-GB2312" w:cs="CESI仿宋-GB2312"/>
          <w:b w:val="0"/>
          <w:bCs/>
          <w:kern w:val="2"/>
          <w:sz w:val="32"/>
          <w:szCs w:val="32"/>
          <w:lang w:val="en-US" w:eastAsia="zh-CN" w:bidi="ar"/>
        </w:rPr>
        <w:t>2024年6月11日—6月28日，对全县各乡（镇）卫生院、社区卫生服务中心2024年度基本公共卫生服务项目进行了半年绩效考核，总共考核了12个乡（镇）卫生院、1个社区卫生服务中心、19个村卫生室。2024年</w:t>
      </w:r>
      <w:r>
        <w:rPr>
          <w:rFonts w:hint="eastAsia" w:ascii="CESI仿宋-GB2312" w:hAnsi="CESI仿宋-GB2312" w:eastAsia="CESI仿宋-GB2312" w:cs="CESI仿宋-GB2312"/>
          <w:kern w:val="2"/>
          <w:sz w:val="32"/>
          <w:szCs w:val="32"/>
          <w:lang w:val="en-US" w:eastAsia="zh-CN" w:bidi="ar"/>
        </w:rPr>
        <w:t>10月21日—10月31日</w:t>
      </w:r>
      <w:r>
        <w:rPr>
          <w:rFonts w:hint="eastAsia" w:ascii="CESI仿宋-GB2312" w:hAnsi="CESI仿宋-GB2312" w:eastAsia="CESI仿宋-GB2312" w:cs="CESI仿宋-GB2312"/>
          <w:b w:val="0"/>
          <w:bCs/>
          <w:kern w:val="2"/>
          <w:sz w:val="32"/>
          <w:szCs w:val="32"/>
          <w:lang w:val="en-US" w:eastAsia="zh-CN" w:bidi="ar"/>
        </w:rPr>
        <w:t>，对全县各乡（镇）卫生院、社区卫生服务中心2020年度基本公共卫生服务项目进行了年终绩效考核，</w:t>
      </w:r>
      <w:r>
        <w:rPr>
          <w:rFonts w:hint="eastAsia" w:ascii="CESI仿宋-GB2312" w:hAnsi="CESI仿宋-GB2312" w:eastAsia="CESI仿宋-GB2312" w:cs="CESI仿宋-GB2312"/>
          <w:kern w:val="2"/>
          <w:sz w:val="32"/>
          <w:szCs w:val="32"/>
          <w:lang w:val="en-US" w:eastAsia="zh-CN" w:bidi="ar"/>
        </w:rPr>
        <w:t>总共考核了12个乡镇（中心）卫生院、1个社区卫生服务中心、24个村卫生</w:t>
      </w:r>
      <w:r>
        <w:rPr>
          <w:rFonts w:hint="eastAsia" w:ascii="CESI仿宋-GB2312" w:hAnsi="CESI仿宋-GB2312" w:eastAsia="CESI仿宋-GB2312" w:cs="CESI仿宋-GB2312"/>
          <w:bCs/>
          <w:kern w:val="2"/>
          <w:sz w:val="32"/>
          <w:szCs w:val="32"/>
          <w:lang w:val="en-US" w:eastAsia="zh-CN" w:bidi="ar"/>
        </w:rPr>
        <w:t>室</w:t>
      </w:r>
      <w:r>
        <w:rPr>
          <w:rFonts w:hint="eastAsia" w:ascii="CESI仿宋-GB2312" w:hAnsi="CESI仿宋-GB2312" w:eastAsia="CESI仿宋-GB2312" w:cs="CESI仿宋-GB2312"/>
          <w:b w:val="0"/>
          <w:bCs/>
          <w:kern w:val="2"/>
          <w:sz w:val="32"/>
          <w:szCs w:val="32"/>
          <w:lang w:val="en-US" w:eastAsia="zh-CN" w:bidi="ar"/>
        </w:rPr>
        <w:t>，现场考核采取查阅资料、问卷调查、现场核实真实性等方式进行，考核结束后在15个工作日内向市卫生健康委上报考核报告。乡（镇）卫生院和社区卫生服务中心要强化对村卫生室的全面绩效考核，严肃处理弄虚作假情况，严格实行评价结果与资金拨付挂钩。</w:t>
      </w:r>
    </w:p>
    <w:p w14:paraId="774161A8">
      <w:pPr>
        <w:adjustRightInd w:val="0"/>
        <w:snapToGrid w:val="0"/>
        <w:spacing w:line="600" w:lineRule="exact"/>
        <w:ind w:firstLine="720"/>
        <w:rPr>
          <w:rFonts w:ascii="黑体" w:hAnsi="黑体" w:eastAsia="黑体" w:cs="黑体"/>
          <w:sz w:val="32"/>
          <w:szCs w:val="32"/>
          <w:lang w:val="zh-CN"/>
        </w:rPr>
      </w:pPr>
      <w:r>
        <w:rPr>
          <w:rFonts w:hint="eastAsia" w:ascii="黑体" w:hAnsi="黑体" w:eastAsia="黑体" w:cs="黑体"/>
          <w:sz w:val="32"/>
          <w:szCs w:val="32"/>
        </w:rPr>
        <w:t>四、项目绩效情况</w:t>
      </w:r>
      <w:r>
        <w:rPr>
          <w:rFonts w:hint="eastAsia" w:ascii="黑体" w:hAnsi="黑体" w:eastAsia="黑体" w:cs="黑体"/>
          <w:sz w:val="32"/>
          <w:szCs w:val="32"/>
          <w:lang w:val="zh-CN"/>
        </w:rPr>
        <w:tab/>
      </w:r>
    </w:p>
    <w:p w14:paraId="5A272E46">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（一）项目完成情况。</w:t>
      </w:r>
    </w:p>
    <w:p w14:paraId="53C1FC02">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hint="eastAsia" w:ascii="CESI仿宋-GB2312" w:hAnsi="CESI仿宋-GB2312" w:eastAsia="CESI仿宋-GB2312" w:cs="CESI仿宋-GB2312"/>
          <w:b/>
          <w:sz w:val="32"/>
          <w:szCs w:val="32"/>
          <w:lang w:val="zh-CN"/>
        </w:rPr>
      </w:pPr>
      <w:r>
        <w:rPr>
          <w:rFonts w:hint="eastAsia" w:ascii="CESI仿宋-GB2312" w:hAnsi="CESI仿宋-GB2312" w:eastAsia="CESI仿宋-GB2312" w:cs="CESI仿宋-GB2312"/>
          <w:b w:val="0"/>
          <w:bCs/>
          <w:kern w:val="2"/>
          <w:sz w:val="32"/>
          <w:szCs w:val="32"/>
          <w:lang w:val="en-US" w:eastAsia="zh-CN" w:bidi="ar"/>
        </w:rPr>
        <w:t>居民规范化电子健康档案覆盖率95.91%；全县适龄儿童国家免疫规划疫苗接种率93.81%；7岁以下儿童健康管理率94.50%，0-6岁儿童眼保健和视力检查覆盖率94.37%，3岁以下儿童系统管理率95.37%，孕产妇系统管理率95.13%；高血压患者管理人数10577人，高血压患者基层规范管理服务率72.67%；2型糖尿病患者管理人数3985人，2型糖尿病患者基层规范管理服务率69.98%；65岁及以上老年人城乡社区规范健康管理服务率66.29%，老年人中医药健康管理率77.85%；0-3岁儿童中医药健康管理率95.18%；肺结核患者管理率100%；慢性阻塞性肺疾病患者管理人数为200人；社区在册居家严重精神障碍患者健康管理率75.50%；卫生监督协管各专业每年巡查（访）2次完成率100%；传染病和突发公共卫生事件报告率100%；职业健康检查服务覆盖率98%；医疗卫生机构医用辐射防护监测医院的级别和数量达到100% ；地方病防治工作任务完成率95.41%；65岁以上失能老年人健康服务目标任务完成率100%；农村妇女“两癌”筛查任务完成率100.61%，宫颈癌、乳腺癌筛查覆盖率逐步提升；免费孕前优生项目目标人群覆盖率84.41%。基本公共卫生服务重点人群调查满意度82.79%。</w:t>
      </w:r>
    </w:p>
    <w:p w14:paraId="1A15DA20">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（二）项目效益情况。</w:t>
      </w:r>
    </w:p>
    <w:p w14:paraId="0056D228">
      <w:pPr>
        <w:keepNext w:val="0"/>
        <w:keepLines w:val="0"/>
        <w:widowControl w:val="0"/>
        <w:suppressLineNumbers w:val="0"/>
        <w:spacing w:before="0" w:beforeAutospacing="0" w:after="0" w:afterAutospacing="0"/>
        <w:ind w:left="0" w:right="0"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kern w:val="2"/>
          <w:sz w:val="32"/>
          <w:szCs w:val="32"/>
          <w:lang w:val="en-US" w:eastAsia="zh-CN" w:bidi="ar"/>
        </w:rPr>
        <w:t>县卫生健康局和各医疗卫生单位按照省、市卫生健康委的统一部署，开展好“世界家庭医生日”、“国家基本公共卫生宣传月活动”。大力宣传“三减三健”（减盐、减油、减糖，健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控盐勺、腰围尺、控油壶等实用的健康干预工具，并指导居民使用，提高群众对基本公共卫生服务项目的参与积极性。基层医疗卫生机构在辖区和机构内显著位置公示项目免费政策、服务项目等内容。采用广播、电视、手机短信、微信公众平台等新闻媒体将机构情况、基本公共卫生服务内容、服务信息、反馈信息和提醒信息等及时全面传递给服务对象。</w:t>
      </w:r>
    </w:p>
    <w:p w14:paraId="6AF12756">
      <w:pPr>
        <w:adjustRightInd w:val="0"/>
        <w:snapToGrid w:val="0"/>
        <w:spacing w:line="600" w:lineRule="exact"/>
        <w:ind w:firstLine="720"/>
        <w:rPr>
          <w:rFonts w:ascii="黑体" w:hAnsi="黑体" w:eastAsia="黑体" w:cs="黑体"/>
          <w:sz w:val="32"/>
          <w:szCs w:val="32"/>
        </w:rPr>
      </w:pPr>
      <w:r>
        <w:rPr>
          <w:rFonts w:hint="eastAsia" w:ascii="黑体" w:hAnsi="黑体" w:eastAsia="黑体" w:cs="黑体"/>
          <w:sz w:val="32"/>
          <w:szCs w:val="32"/>
        </w:rPr>
        <w:t>五、评价结论及建议</w:t>
      </w:r>
    </w:p>
    <w:p w14:paraId="413DA31E">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（一）评价结论。</w:t>
      </w:r>
    </w:p>
    <w:p w14:paraId="55A081DE">
      <w:pPr>
        <w:keepNext w:val="0"/>
        <w:keepLines w:val="0"/>
        <w:widowControl w:val="0"/>
        <w:suppressLineNumbers w:val="0"/>
        <w:autoSpaceDE w:val="0"/>
        <w:autoSpaceDN/>
        <w:spacing w:before="0" w:beforeAutospacing="0" w:after="0" w:afterAutospacing="0" w:line="576" w:lineRule="exact"/>
        <w:ind w:left="0" w:leftChars="0" w:right="0" w:firstLine="640" w:firstLineChars="200"/>
        <w:jc w:val="both"/>
        <w:rPr>
          <w:rFonts w:ascii="仿宋_GB2312" w:hAnsi="仿宋_GB2312" w:eastAsia="仿宋_GB2312" w:cs="仿宋_GB2312"/>
          <w:sz w:val="32"/>
          <w:szCs w:val="32"/>
          <w:bdr w:val="single" w:color="auto" w:sz="4" w:space="0"/>
          <w:lang w:val="zh-CN"/>
        </w:rPr>
      </w:pP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基本公共卫生服务能力得到提升，基本公共卫生服务项目得到有序进行，老百姓获得感不断增强，群众满意度在逐年提高。人民群众健康意识进一步得到增强，使人人享受到基本公共卫生服务带来的健康实惠。项目总体指标完成较好，均能完成评价指标，达到预期值。</w:t>
      </w:r>
    </w:p>
    <w:p w14:paraId="625A84AE">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（二）存在的问题。</w:t>
      </w:r>
    </w:p>
    <w:p w14:paraId="7325E6A0">
      <w:pPr>
        <w:adjustRightInd w:val="0"/>
        <w:snapToGrid w:val="0"/>
        <w:spacing w:line="600" w:lineRule="exact"/>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1.组织管理需要加强。部分机构对内部职工和村医的培训资料收集不全，主要存在培训内容与课件不符，课件收集不全，没有讲课人。大部分机构对上级督导发现的问题形成的整改台账无连续性，部分机构整改计划和整改报告相混淆。项目宣传活动资料收集不全。</w:t>
      </w:r>
    </w:p>
    <w:p w14:paraId="6BE08D3E">
      <w:pPr>
        <w:adjustRightInd w:val="0"/>
        <w:snapToGrid w:val="0"/>
        <w:spacing w:line="600" w:lineRule="exact"/>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2.健康档案管理需进一步规范。居民健康档案动态管理率较低，抽查档案中，主要存在普通人群档案使用率不高。重点人群体检表填写不规范，主要是部分辅助检查未做，体检表填写不规范；血压只填一侧；老年人生活方式和情感状况未填；查体项目与实际询问不一致等情况。部分医疗卫生机构未做到基本医疗和基本公卫的有效结合，在系统中未录入慢性病筛查，门诊、住院记录等相关信息未能未在基层信息网中体现出来。</w:t>
      </w:r>
    </w:p>
    <w:p w14:paraId="3225104F">
      <w:pPr>
        <w:adjustRightInd w:val="0"/>
        <w:snapToGrid w:val="0"/>
        <w:spacing w:line="600" w:lineRule="exact"/>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3.慢性病患者健康管理不够。部分机构高血压、糖尿病患者管理数不达标。部分机构高血压规范管理率未达标，部分机构糖尿病规范管理率未达标，主要是存在体检表记录不全，用药情况与实际询问不一致；随访血压血糖高于正常值，填写控制满意，随访次数不达标、超期随访等情况。慢性病患者筛查未全部录入信息系统中。</w:t>
      </w:r>
    </w:p>
    <w:p w14:paraId="6A326908">
      <w:pPr>
        <w:adjustRightInd w:val="0"/>
        <w:snapToGrid w:val="0"/>
        <w:spacing w:line="60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4.健康教育有待提高。影像播放资料收集不齐全，无群众观看图片，播放次数不够。宣传栏资料部分未落机构或日期，宣传栏内容制作未按要求进行，宣传栏部分机构无中医内容和健康素养66条相关内容。公众健康咨询和健康讲座含中医内容的次数不达标，中医药相关内容较少。</w:t>
      </w:r>
      <w:r>
        <w:rPr>
          <w:rFonts w:hint="eastAsia" w:ascii="仿宋_GB2312" w:hAnsi="仿宋_GB2312" w:eastAsia="仿宋_GB2312" w:cs="仿宋_GB2312"/>
          <w:sz w:val="32"/>
          <w:szCs w:val="32"/>
          <w:lang w:val="zh-CN"/>
        </w:rPr>
        <w:tab/>
      </w:r>
    </w:p>
    <w:p w14:paraId="096AD578">
      <w:pPr>
        <w:adjustRightInd w:val="0"/>
        <w:snapToGrid w:val="0"/>
        <w:spacing w:line="600" w:lineRule="exact"/>
        <w:ind w:firstLine="720"/>
        <w:rPr>
          <w:rFonts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（三）相关建议。</w:t>
      </w:r>
    </w:p>
    <w:p w14:paraId="1E2E703B">
      <w:pPr>
        <w:spacing w:line="578" w:lineRule="exact"/>
        <w:ind w:firstLine="640"/>
        <w:rPr>
          <w:rFonts w:hint="default" w:eastAsia="仿宋_GB2312" w:cs="仿宋_GB2312"/>
          <w:kern w:val="0"/>
          <w:sz w:val="32"/>
          <w:szCs w:val="32"/>
        </w:rPr>
      </w:pPr>
      <w:r>
        <w:rPr>
          <w:rFonts w:hint="default" w:eastAsia="仿宋_GB2312" w:cs="仿宋_GB2312"/>
          <w:kern w:val="0"/>
          <w:sz w:val="32"/>
          <w:szCs w:val="32"/>
          <w:lang w:val="en-US" w:eastAsia="zh-CN"/>
        </w:rPr>
        <w:t>1.</w:t>
      </w:r>
      <w:r>
        <w:rPr>
          <w:rFonts w:hint="eastAsia" w:eastAsia="仿宋_GB2312" w:cs="仿宋_GB2312"/>
          <w:kern w:val="0"/>
          <w:sz w:val="32"/>
          <w:szCs w:val="32"/>
          <w:lang w:val="en-US" w:eastAsia="zh-CN"/>
        </w:rPr>
        <w:t>建立县、乡、村三级分级负责的公共卫生管理体系，为顺利均等化服务实现奠定组织基础。</w:t>
      </w:r>
    </w:p>
    <w:p w14:paraId="56787296">
      <w:pPr>
        <w:spacing w:line="578" w:lineRule="exact"/>
        <w:ind w:firstLine="640"/>
        <w:rPr>
          <w:rFonts w:hint="default" w:eastAsia="仿宋_GB2312" w:cs="仿宋_GB2312"/>
          <w:kern w:val="0"/>
          <w:sz w:val="32"/>
          <w:szCs w:val="32"/>
        </w:rPr>
      </w:pPr>
      <w:r>
        <w:rPr>
          <w:rFonts w:hint="default" w:eastAsia="仿宋_GB2312" w:cs="仿宋_GB2312"/>
          <w:kern w:val="0"/>
          <w:sz w:val="32"/>
          <w:szCs w:val="32"/>
          <w:lang w:val="en-US" w:eastAsia="zh-CN"/>
        </w:rPr>
        <w:t>2.</w:t>
      </w:r>
      <w:r>
        <w:rPr>
          <w:rFonts w:hint="eastAsia" w:eastAsia="仿宋_GB2312" w:cs="仿宋_GB2312"/>
          <w:kern w:val="0"/>
          <w:sz w:val="32"/>
          <w:szCs w:val="32"/>
          <w:lang w:val="en-US" w:eastAsia="zh-CN"/>
        </w:rPr>
        <w:t>按照</w:t>
      </w:r>
      <w:r>
        <w:rPr>
          <w:rFonts w:hint="default" w:eastAsia="仿宋_GB2312" w:cs="仿宋_GB2312"/>
          <w:kern w:val="0"/>
          <w:sz w:val="32"/>
          <w:szCs w:val="32"/>
          <w:lang w:val="en-US" w:eastAsia="zh-CN"/>
        </w:rPr>
        <w:t>"</w:t>
      </w:r>
      <w:r>
        <w:rPr>
          <w:rFonts w:hint="eastAsia" w:eastAsia="仿宋_GB2312" w:cs="仿宋_GB2312"/>
          <w:kern w:val="0"/>
          <w:sz w:val="32"/>
          <w:szCs w:val="32"/>
          <w:lang w:val="en-US" w:eastAsia="zh-CN"/>
        </w:rPr>
        <w:t>购买服务</w:t>
      </w:r>
      <w:r>
        <w:rPr>
          <w:rFonts w:hint="default" w:eastAsia="仿宋_GB2312" w:cs="仿宋_GB2312"/>
          <w:kern w:val="0"/>
          <w:sz w:val="32"/>
          <w:szCs w:val="32"/>
          <w:lang w:val="en-US" w:eastAsia="zh-CN"/>
        </w:rPr>
        <w:t>"</w:t>
      </w:r>
      <w:r>
        <w:rPr>
          <w:rFonts w:hint="eastAsia" w:eastAsia="仿宋_GB2312" w:cs="仿宋_GB2312"/>
          <w:kern w:val="0"/>
          <w:sz w:val="32"/>
          <w:szCs w:val="32"/>
          <w:lang w:val="en-US" w:eastAsia="zh-CN"/>
        </w:rPr>
        <w:t>的原则，建立购买基本公共卫生服务工作机制。</w:t>
      </w:r>
    </w:p>
    <w:p w14:paraId="6EAFADDD">
      <w:pPr>
        <w:spacing w:line="578" w:lineRule="exact"/>
        <w:ind w:firstLine="640"/>
        <w:rPr>
          <w:rFonts w:hint="default" w:eastAsia="仿宋_GB2312" w:cs="仿宋_GB2312"/>
          <w:kern w:val="0"/>
          <w:sz w:val="32"/>
          <w:szCs w:val="32"/>
        </w:rPr>
      </w:pPr>
      <w:r>
        <w:rPr>
          <w:rFonts w:hint="default" w:eastAsia="仿宋_GB2312" w:cs="仿宋_GB2312"/>
          <w:kern w:val="0"/>
          <w:sz w:val="32"/>
          <w:szCs w:val="32"/>
          <w:lang w:val="en-US" w:eastAsia="zh-CN"/>
        </w:rPr>
        <w:t>3.</w:t>
      </w:r>
      <w:r>
        <w:rPr>
          <w:rFonts w:hint="eastAsia" w:eastAsia="仿宋_GB2312" w:cs="仿宋_GB2312"/>
          <w:kern w:val="0"/>
          <w:sz w:val="32"/>
          <w:szCs w:val="32"/>
          <w:lang w:val="en-US" w:eastAsia="zh-CN"/>
        </w:rPr>
        <w:t>整合农村资源，建立一支相对稳定以全科医生为主体的较高专业水平，充满活力的家庭医生团队队伍，参与基层医疗卫生机构巡回诊疗工作。</w:t>
      </w:r>
    </w:p>
    <w:p w14:paraId="2A1B3B25">
      <w:pPr>
        <w:spacing w:line="578" w:lineRule="exact"/>
        <w:ind w:firstLine="640"/>
        <w:rPr>
          <w:rFonts w:hint="default" w:eastAsia="仿宋_GB2312" w:cs="仿宋_GB2312"/>
          <w:kern w:val="0"/>
          <w:sz w:val="32"/>
          <w:szCs w:val="32"/>
        </w:rPr>
      </w:pPr>
      <w:r>
        <w:rPr>
          <w:rFonts w:hint="default" w:eastAsia="仿宋_GB2312" w:cs="仿宋_GB2312"/>
          <w:kern w:val="0"/>
          <w:sz w:val="32"/>
          <w:szCs w:val="32"/>
          <w:lang w:val="en-US" w:eastAsia="zh-CN"/>
        </w:rPr>
        <w:t>4.</w:t>
      </w:r>
      <w:r>
        <w:rPr>
          <w:rFonts w:hint="eastAsia" w:eastAsia="仿宋_GB2312" w:cs="仿宋_GB2312"/>
          <w:kern w:val="0"/>
          <w:sz w:val="32"/>
          <w:szCs w:val="32"/>
          <w:lang w:val="en-US" w:eastAsia="zh-CN"/>
        </w:rPr>
        <w:t>持续推进基本公共卫生服务经费调配与差异化绩效考核机制，为健全基本公共卫生服务提供有效保障。</w:t>
      </w:r>
    </w:p>
    <w:p w14:paraId="19625F46">
      <w:pPr>
        <w:spacing w:line="578" w:lineRule="exact"/>
        <w:ind w:firstLine="640"/>
        <w:rPr>
          <w:rFonts w:hint="default" w:eastAsia="仿宋_GB2312" w:cs="仿宋_GB2312"/>
          <w:kern w:val="0"/>
          <w:sz w:val="32"/>
          <w:szCs w:val="32"/>
        </w:rPr>
      </w:pPr>
      <w:r>
        <w:rPr>
          <w:rFonts w:hint="default" w:eastAsia="仿宋_GB2312" w:cs="仿宋_GB2312"/>
          <w:kern w:val="0"/>
          <w:sz w:val="32"/>
          <w:szCs w:val="32"/>
          <w:lang w:val="en-US" w:eastAsia="zh-CN"/>
        </w:rPr>
        <w:t>5.</w:t>
      </w:r>
      <w:r>
        <w:rPr>
          <w:rFonts w:hint="eastAsia" w:eastAsia="仿宋_GB2312" w:cs="仿宋_GB2312"/>
          <w:kern w:val="0"/>
          <w:sz w:val="32"/>
          <w:szCs w:val="32"/>
          <w:lang w:val="en-US" w:eastAsia="zh-CN"/>
        </w:rPr>
        <w:t>加强惠民项目的宣传引导，实施基本公共卫生规范管理和家庭医生签约服务活动，提高群众主动参与意识与参与度，确保各项服务能够更加顺利地开展，落到实处。</w:t>
      </w:r>
    </w:p>
    <w:p w14:paraId="2381794D">
      <w:pPr>
        <w:spacing w:line="578" w:lineRule="exact"/>
        <w:ind w:firstLine="640"/>
        <w:rPr>
          <w:rFonts w:hint="default" w:eastAsia="仿宋_GB2312" w:cs="仿宋_GB2312"/>
          <w:kern w:val="0"/>
          <w:sz w:val="32"/>
          <w:szCs w:val="32"/>
        </w:rPr>
      </w:pPr>
      <w:r>
        <w:rPr>
          <w:rFonts w:hint="default" w:eastAsia="仿宋_GB2312" w:cs="仿宋_GB2312"/>
          <w:kern w:val="0"/>
          <w:sz w:val="32"/>
          <w:szCs w:val="32"/>
          <w:lang w:val="en-US" w:eastAsia="zh-CN"/>
        </w:rPr>
        <w:t>6.</w:t>
      </w:r>
      <w:r>
        <w:rPr>
          <w:rFonts w:hint="eastAsia" w:eastAsia="仿宋_GB2312" w:cs="仿宋_GB2312"/>
          <w:kern w:val="0"/>
          <w:sz w:val="32"/>
          <w:szCs w:val="32"/>
          <w:lang w:val="en-US" w:eastAsia="zh-CN"/>
        </w:rPr>
        <w:t>加强对基层卫生标准化建设及优质服务基层行创建活动的督导，对参与创建活动单位加大投入和技术指导力度，确保顺利达标验收。</w:t>
      </w:r>
    </w:p>
    <w:p w14:paraId="38C01DAE">
      <w:pPr>
        <w:spacing w:line="578" w:lineRule="exact"/>
        <w:ind w:firstLine="640"/>
        <w:rPr>
          <w:rFonts w:hint="default" w:eastAsia="仿宋_GB2312" w:cs="仿宋_GB2312"/>
          <w:kern w:val="0"/>
          <w:sz w:val="32"/>
          <w:szCs w:val="32"/>
        </w:rPr>
      </w:pPr>
      <w:r>
        <w:rPr>
          <w:rFonts w:hint="default" w:eastAsia="仿宋_GB2312" w:cs="仿宋_GB2312"/>
          <w:kern w:val="0"/>
          <w:sz w:val="32"/>
          <w:szCs w:val="32"/>
          <w:lang w:val="en-US" w:eastAsia="zh-CN"/>
        </w:rPr>
        <w:t>7.</w:t>
      </w:r>
      <w:r>
        <w:rPr>
          <w:rFonts w:hint="eastAsia" w:eastAsia="仿宋_GB2312" w:cs="仿宋_GB2312"/>
          <w:kern w:val="0"/>
          <w:sz w:val="32"/>
          <w:szCs w:val="32"/>
          <w:lang w:val="en-US" w:eastAsia="zh-CN"/>
        </w:rPr>
        <w:t>规范开展培训，确保基层医务人员全面掌握相应的服务标准和技能，更好地完成项目所规定的任务，满足群众的健康需求。</w:t>
      </w:r>
    </w:p>
    <w:p w14:paraId="034ADB02">
      <w:pPr>
        <w:spacing w:line="578" w:lineRule="exact"/>
        <w:ind w:firstLine="640"/>
        <w:rPr>
          <w:rFonts w:eastAsia="仿宋_GB2312" w:cs="仿宋_GB2312"/>
          <w:kern w:val="0"/>
          <w:sz w:val="32"/>
          <w:szCs w:val="32"/>
        </w:rPr>
      </w:pPr>
    </w:p>
    <w:p w14:paraId="64897A5D">
      <w:pPr>
        <w:spacing w:line="578" w:lineRule="exact"/>
        <w:ind w:firstLine="640"/>
        <w:rPr>
          <w:rFonts w:eastAsia="仿宋_GB2312" w:cs="仿宋_GB2312"/>
          <w:kern w:val="0"/>
          <w:sz w:val="32"/>
          <w:szCs w:val="32"/>
        </w:rPr>
      </w:pPr>
    </w:p>
    <w:p w14:paraId="6C049B1A">
      <w:pPr>
        <w:spacing w:line="578" w:lineRule="exact"/>
        <w:ind w:firstLine="640"/>
        <w:rPr>
          <w:rFonts w:hint="eastAsia" w:eastAsia="仿宋_GB2312" w:cs="仿宋_GB2312"/>
          <w:kern w:val="0"/>
          <w:sz w:val="32"/>
          <w:szCs w:val="32"/>
        </w:rPr>
        <w:sectPr>
          <w:footerReference r:id="rId8" w:type="first"/>
          <w:footerReference r:id="rId7" w:type="default"/>
          <w:pgSz w:w="11906" w:h="16838"/>
          <w:pgMar w:top="1440" w:right="1800" w:bottom="1440" w:left="1800" w:header="851" w:footer="992" w:gutter="0"/>
          <w:pgNumType w:fmt="decimal" w:start="1"/>
          <w:cols w:space="425" w:num="1"/>
          <w:titlePg/>
          <w:docGrid w:type="lines" w:linePitch="312" w:charSpace="0"/>
        </w:sectPr>
      </w:pPr>
      <w:bookmarkStart w:id="80" w:name="_Toc15396618"/>
    </w:p>
    <w:p w14:paraId="07E6E2D7">
      <w:pPr>
        <w:pStyle w:val="15"/>
        <w:keepNext w:val="0"/>
        <w:keepLines w:val="0"/>
        <w:widowControl w:val="0"/>
        <w:suppressLineNumbers w:val="0"/>
        <w:spacing w:before="93" w:beforeLines="30" w:beforeAutospacing="0" w:after="0" w:afterAutospacing="1"/>
        <w:ind w:left="0" w:right="0"/>
        <w:jc w:val="both"/>
        <w:rPr>
          <w:rFonts w:hint="default" w:ascii="Times New Roman" w:hAnsi="Times New Roman" w:eastAsia="黑体" w:cs="黑体"/>
          <w:kern w:val="0"/>
          <w:sz w:val="32"/>
          <w:szCs w:val="32"/>
        </w:rPr>
      </w:pPr>
      <w:r>
        <w:rPr>
          <w:rFonts w:hint="default" w:ascii="黑体" w:hAnsi="宋体" w:eastAsia="黑体" w:cs="黑体"/>
          <w:kern w:val="0"/>
          <w:sz w:val="32"/>
          <w:szCs w:val="32"/>
          <w:shd w:val="clear" w:fill="FFFFFF"/>
          <w:lang w:val="en-US" w:eastAsia="zh-CN" w:bidi="ar"/>
        </w:rPr>
        <w:t>附件</w:t>
      </w:r>
      <w:r>
        <w:rPr>
          <w:rFonts w:hint="eastAsia" w:ascii="Times New Roman" w:hAnsi="Times New Roman" w:eastAsia="黑体" w:cs="Times New Roman"/>
          <w:kern w:val="0"/>
          <w:sz w:val="32"/>
          <w:szCs w:val="32"/>
          <w:shd w:val="clear" w:fill="FFFFFF"/>
          <w:lang w:val="en-US" w:eastAsia="zh-CN" w:bidi="ar"/>
        </w:rPr>
        <w:t>3</w:t>
      </w:r>
    </w:p>
    <w:p w14:paraId="24CA89EF">
      <w:pPr>
        <w:spacing w:line="0" w:lineRule="atLeast"/>
        <w:jc w:val="center"/>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lang w:val="en-US" w:eastAsia="zh-CN"/>
        </w:rPr>
        <w:t>基本药物制度项目</w:t>
      </w:r>
      <w:r>
        <w:rPr>
          <w:rFonts w:hint="eastAsia" w:ascii="方正小标宋简体" w:hAnsi="方正小标宋简体" w:eastAsia="方正小标宋简体" w:cs="方正小标宋简体"/>
          <w:b/>
          <w:color w:val="auto"/>
          <w:sz w:val="44"/>
          <w:szCs w:val="44"/>
        </w:rPr>
        <w:t>专项预算项目</w:t>
      </w:r>
    </w:p>
    <w:p w14:paraId="7048DC07">
      <w:pPr>
        <w:spacing w:line="0" w:lineRule="atLeast"/>
        <w:jc w:val="center"/>
        <w:rPr>
          <w:rFonts w:hint="eastAsia" w:ascii="方正小标宋简体" w:hAnsi="方正小标宋简体" w:eastAsia="方正小标宋简体" w:cs="方正小标宋简体"/>
          <w:color w:val="auto"/>
          <w:kern w:val="2"/>
          <w:sz w:val="44"/>
          <w:szCs w:val="44"/>
        </w:rPr>
      </w:pPr>
      <w:r>
        <w:rPr>
          <w:rFonts w:hint="eastAsia" w:ascii="方正小标宋简体" w:hAnsi="方正小标宋简体" w:eastAsia="方正小标宋简体" w:cs="方正小标宋简体"/>
          <w:b/>
          <w:color w:val="auto"/>
          <w:sz w:val="44"/>
          <w:szCs w:val="44"/>
        </w:rPr>
        <w:t>绩效自评报告</w:t>
      </w:r>
    </w:p>
    <w:p w14:paraId="2B69C83A">
      <w:pPr>
        <w:pStyle w:val="35"/>
        <w:keepNext w:val="0"/>
        <w:keepLines w:val="0"/>
        <w:pageBreakBefore w:val="0"/>
        <w:widowControl w:val="0"/>
        <w:kinsoku/>
        <w:wordWrap/>
        <w:overflowPunct/>
        <w:topLinePunct w:val="0"/>
        <w:autoSpaceDE/>
        <w:autoSpaceDN/>
        <w:bidi w:val="0"/>
        <w:spacing w:line="576" w:lineRule="exact"/>
        <w:ind w:firstLine="640"/>
        <w:jc w:val="center"/>
        <w:textAlignment w:val="auto"/>
        <w:rPr>
          <w:rFonts w:hint="default" w:ascii="Times New Roman" w:hAnsi="Times New Roman" w:cs="Times New Roman"/>
          <w:color w:val="auto"/>
          <w:kern w:val="2"/>
          <w:sz w:val="32"/>
          <w:szCs w:val="32"/>
        </w:rPr>
      </w:pPr>
    </w:p>
    <w:p w14:paraId="5E67950A">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国标黑体" w:hAnsi="国标黑体" w:eastAsia="国标黑体" w:cs="国标黑体"/>
          <w:sz w:val="32"/>
          <w:szCs w:val="32"/>
          <w:lang w:val="zh-CN"/>
        </w:rPr>
      </w:pPr>
      <w:r>
        <w:rPr>
          <w:rFonts w:hint="eastAsia" w:ascii="国标黑体" w:hAnsi="国标黑体" w:eastAsia="国标黑体" w:cs="国标黑体"/>
          <w:sz w:val="32"/>
          <w:szCs w:val="32"/>
        </w:rPr>
        <w:t>一、</w:t>
      </w:r>
      <w:r>
        <w:rPr>
          <w:rFonts w:hint="eastAsia" w:ascii="国标黑体" w:hAnsi="国标黑体" w:eastAsia="国标黑体" w:cs="国标黑体"/>
          <w:sz w:val="32"/>
          <w:szCs w:val="32"/>
          <w:lang w:val="zh-CN"/>
        </w:rPr>
        <w:t>项目概况</w:t>
      </w:r>
    </w:p>
    <w:p w14:paraId="63FC2936">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楷体-GB2312" w:hAnsi="CESI楷体-GB2312" w:eastAsia="CESI楷体-GB2312" w:cs="CESI楷体-GB2312"/>
          <w:b/>
          <w:bCs/>
          <w:lang w:val="zh-CN"/>
        </w:rPr>
      </w:pPr>
      <w:r>
        <w:rPr>
          <w:rFonts w:hint="eastAsia" w:ascii="CESI楷体-GB2312" w:hAnsi="CESI楷体-GB2312" w:eastAsia="CESI楷体-GB2312" w:cs="CESI楷体-GB2312"/>
          <w:b/>
          <w:bCs/>
          <w:sz w:val="32"/>
          <w:szCs w:val="32"/>
          <w:lang w:val="zh-CN"/>
        </w:rPr>
        <w:t>（一）项目基本情况。</w:t>
      </w:r>
    </w:p>
    <w:p w14:paraId="4B58CC47">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1.</w:t>
      </w:r>
      <w:r>
        <w:rPr>
          <w:rFonts w:hint="eastAsia" w:ascii="CESI仿宋-GB2312" w:hAnsi="CESI仿宋-GB2312" w:eastAsia="CESI仿宋-GB2312" w:cs="CESI仿宋-GB2312"/>
          <w:b/>
          <w:bCs/>
          <w:sz w:val="32"/>
          <w:szCs w:val="32"/>
          <w:lang w:val="en-US" w:eastAsia="zh-CN"/>
        </w:rPr>
        <w:t>盐边县卫生健康局</w:t>
      </w:r>
      <w:r>
        <w:rPr>
          <w:rFonts w:hint="eastAsia" w:ascii="CESI仿宋-GB2312" w:hAnsi="CESI仿宋-GB2312" w:eastAsia="CESI仿宋-GB2312" w:cs="CESI仿宋-GB2312"/>
          <w:b/>
          <w:bCs/>
          <w:sz w:val="32"/>
          <w:szCs w:val="32"/>
          <w:lang w:val="zh-CN"/>
        </w:rPr>
        <w:t>在项目管理中的职能。</w:t>
      </w:r>
    </w:p>
    <w:p w14:paraId="7DC9A28A">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val="0"/>
          <w:bCs/>
          <w:sz w:val="32"/>
          <w:szCs w:val="32"/>
          <w:lang w:val="zh-CN" w:eastAsia="zh-CN"/>
        </w:rPr>
        <w:t>县卫生健康局负责制定基本药物制度项目实施方案和绩效考核方案，</w:t>
      </w:r>
      <w:r>
        <w:rPr>
          <w:rFonts w:hint="eastAsia" w:ascii="CESI仿宋-GB2312" w:hAnsi="CESI仿宋-GB2312" w:eastAsia="CESI仿宋-GB2312" w:cs="CESI仿宋-GB2312"/>
          <w:sz w:val="32"/>
          <w:szCs w:val="32"/>
        </w:rPr>
        <w:t>及时将中央和省级转移支付资金下达至项目执行单位，组织实施</w:t>
      </w:r>
      <w:r>
        <w:rPr>
          <w:rFonts w:hint="eastAsia" w:ascii="CESI仿宋-GB2312" w:hAnsi="CESI仿宋-GB2312" w:eastAsia="CESI仿宋-GB2312" w:cs="CESI仿宋-GB2312"/>
          <w:sz w:val="32"/>
          <w:szCs w:val="32"/>
          <w:lang w:eastAsia="zh-CN"/>
        </w:rPr>
        <w:t>日常</w:t>
      </w:r>
      <w:r>
        <w:rPr>
          <w:rFonts w:hint="eastAsia" w:ascii="CESI仿宋-GB2312" w:hAnsi="CESI仿宋-GB2312" w:eastAsia="CESI仿宋-GB2312" w:cs="CESI仿宋-GB2312"/>
          <w:sz w:val="32"/>
          <w:szCs w:val="32"/>
        </w:rPr>
        <w:t>监督和绩效</w:t>
      </w:r>
      <w:r>
        <w:rPr>
          <w:rFonts w:hint="eastAsia" w:ascii="CESI仿宋-GB2312" w:hAnsi="CESI仿宋-GB2312" w:eastAsia="CESI仿宋-GB2312" w:cs="CESI仿宋-GB2312"/>
          <w:sz w:val="32"/>
          <w:szCs w:val="32"/>
          <w:lang w:eastAsia="zh-CN"/>
        </w:rPr>
        <w:t>考核</w:t>
      </w:r>
      <w:r>
        <w:rPr>
          <w:rFonts w:hint="eastAsia" w:ascii="CESI仿宋-GB2312" w:hAnsi="CESI仿宋-GB2312" w:eastAsia="CESI仿宋-GB2312" w:cs="CESI仿宋-GB2312"/>
          <w:sz w:val="32"/>
          <w:szCs w:val="32"/>
        </w:rPr>
        <w:t>。</w:t>
      </w:r>
    </w:p>
    <w:p w14:paraId="13FC6F22">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2.项目立项、资金申报的依据。</w:t>
      </w:r>
    </w:p>
    <w:p w14:paraId="72F6F4B2">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加强和规范中央和省级财政支持基层医疗卫生机构实施国家基本药物制度补助资金的分配、使用和管理</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根据《中</w:t>
      </w:r>
    </w:p>
    <w:p w14:paraId="33F951BE">
      <w:pPr>
        <w:keepNext w:val="0"/>
        <w:keepLines w:val="0"/>
        <w:pageBreakBefore w:val="0"/>
        <w:widowControl w:val="0"/>
        <w:kinsoku/>
        <w:wordWrap/>
        <w:overflowPunct/>
        <w:topLinePunct w:val="0"/>
        <w:autoSpaceDE/>
        <w:autoSpaceDN/>
        <w:bidi w:val="0"/>
        <w:spacing w:line="576" w:lineRule="exact"/>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华人民共和国预算法》《财政部 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四川省财政厅 四川省卫生健康委员会 四川省医疗保障局 四川省中医药管理局关于印发公共卫生等5项补助资金管理办法的通知》等有关法律法规和政策文件。</w:t>
      </w:r>
    </w:p>
    <w:p w14:paraId="5445009A">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3.资金管理办法制定情况，资金支持具体项目的条件、范围与支持方式概况。</w:t>
      </w:r>
    </w:p>
    <w:p w14:paraId="0306F7A4">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为巩固国家基本药物制度实施成果，强化监督和考核工作，规范实施国家基本药物制度，按照《四川省卫生健康委员会办公室关于进一步加强基本药物制度绩效考核的通知》（</w:t>
      </w:r>
      <w:r>
        <w:rPr>
          <w:rFonts w:hint="eastAsia" w:ascii="CESI仿宋-GB2312" w:hAnsi="CESI仿宋-GB2312" w:eastAsia="CESI仿宋-GB2312" w:cs="CESI仿宋-GB2312"/>
          <w:sz w:val="32"/>
          <w:szCs w:val="32"/>
          <w:lang w:val="en-US" w:eastAsia="zh-CN"/>
        </w:rPr>
        <w:t>川卫办基卫便函〔2023〕26号</w:t>
      </w:r>
      <w:r>
        <w:rPr>
          <w:rFonts w:hint="eastAsia" w:ascii="CESI仿宋-GB2312" w:hAnsi="CESI仿宋-GB2312" w:eastAsia="CESI仿宋-GB2312" w:cs="CESI仿宋-GB2312"/>
          <w:sz w:val="32"/>
          <w:szCs w:val="32"/>
          <w:lang w:eastAsia="zh-CN"/>
        </w:rPr>
        <w:t>）要求，结合全县实际，印制定了《盐边县卫生健康局关于印发基层医疗卫生机构国家基本药物制度绩效考核方案的通知》，</w:t>
      </w:r>
      <w:r>
        <w:rPr>
          <w:rFonts w:hint="eastAsia" w:ascii="CESI仿宋-GB2312" w:hAnsi="CESI仿宋-GB2312" w:eastAsia="CESI仿宋-GB2312" w:cs="CESI仿宋-GB2312"/>
          <w:color w:val="000000"/>
          <w:sz w:val="32"/>
          <w:szCs w:val="32"/>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w:t>
      </w:r>
    </w:p>
    <w:p w14:paraId="39B58049">
      <w:pPr>
        <w:keepNext w:val="0"/>
        <w:keepLines w:val="0"/>
        <w:pageBreakBefore w:val="0"/>
        <w:widowControl w:val="0"/>
        <w:kinsoku/>
        <w:wordWrap/>
        <w:overflowPunct/>
        <w:topLinePunct w:val="0"/>
        <w:autoSpaceDE/>
        <w:autoSpaceDN/>
        <w:bidi w:val="0"/>
        <w:adjustRightInd w:val="0"/>
        <w:snapToGrid w:val="0"/>
        <w:spacing w:line="576" w:lineRule="exact"/>
        <w:ind w:firstLine="641" w:firstLineChars="20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4.资金分配的原则及考虑因素。</w:t>
      </w:r>
    </w:p>
    <w:p w14:paraId="0B14A00D">
      <w:pPr>
        <w:keepNext w:val="0"/>
        <w:keepLines w:val="0"/>
        <w:pageBreakBefore w:val="0"/>
        <w:widowControl w:val="0"/>
        <w:kinsoku/>
        <w:wordWrap/>
        <w:overflowPunct/>
        <w:topLinePunct w:val="0"/>
        <w:autoSpaceDE/>
        <w:autoSpaceDN/>
        <w:bidi w:val="0"/>
        <w:spacing w:line="576" w:lineRule="exact"/>
        <w:ind w:firstLine="641" w:firstLineChars="200"/>
        <w:textAlignment w:val="auto"/>
        <w:rPr>
          <w:rFonts w:hint="eastAsia" w:ascii="CESI仿宋-GB2312" w:hAnsi="CESI仿宋-GB2312" w:eastAsia="CESI仿宋-GB2312" w:cs="CESI仿宋-GB2312"/>
          <w:b/>
          <w:bCs/>
          <w:sz w:val="32"/>
          <w:szCs w:val="32"/>
          <w:lang w:eastAsia="zh-CN"/>
        </w:rPr>
      </w:pPr>
      <w:r>
        <w:rPr>
          <w:rFonts w:hint="eastAsia" w:ascii="CESI仿宋-GB2312" w:hAnsi="CESI仿宋-GB2312" w:eastAsia="CESI仿宋-GB2312" w:cs="CESI仿宋-GB2312"/>
          <w:b/>
          <w:bCs/>
          <w:sz w:val="32"/>
          <w:szCs w:val="32"/>
          <w:lang w:eastAsia="zh-CN"/>
        </w:rPr>
        <w:t>（</w:t>
      </w:r>
      <w:r>
        <w:rPr>
          <w:rFonts w:hint="eastAsia" w:ascii="CESI仿宋-GB2312" w:hAnsi="CESI仿宋-GB2312" w:eastAsia="CESI仿宋-GB2312" w:cs="CESI仿宋-GB2312"/>
          <w:b/>
          <w:bCs/>
          <w:sz w:val="32"/>
          <w:szCs w:val="32"/>
          <w:lang w:val="en-US" w:eastAsia="zh-CN"/>
        </w:rPr>
        <w:t>1</w:t>
      </w:r>
      <w:r>
        <w:rPr>
          <w:rFonts w:hint="eastAsia" w:ascii="CESI仿宋-GB2312" w:hAnsi="CESI仿宋-GB2312" w:eastAsia="CESI仿宋-GB2312" w:cs="CESI仿宋-GB2312"/>
          <w:b/>
          <w:bCs/>
          <w:sz w:val="32"/>
          <w:szCs w:val="32"/>
          <w:lang w:eastAsia="zh-CN"/>
        </w:rPr>
        <w:t>）分配原则</w:t>
      </w:r>
    </w:p>
    <w:p w14:paraId="5C66E139">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合理规划，分级管理。按照医改工作总体要求及相关规划，合理分配补助资金。</w:t>
      </w:r>
    </w:p>
    <w:p w14:paraId="06E09BD5">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统筹安排，保障基本。结合实际工作需要，统筹安排上级转移支付资金和本级预算安排资金，支持落实相关工作任务。</w:t>
      </w:r>
    </w:p>
    <w:p w14:paraId="6B95B274">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讲求绩效，量效挂钩。补助资金实施全过程预算绩效管理，建立绩效评价结果与资金分配挂钩机制，提高资金使用效益。</w:t>
      </w:r>
    </w:p>
    <w:p w14:paraId="767FB06E">
      <w:pPr>
        <w:keepNext w:val="0"/>
        <w:keepLines w:val="0"/>
        <w:pageBreakBefore w:val="0"/>
        <w:widowControl w:val="0"/>
        <w:kinsoku/>
        <w:wordWrap/>
        <w:overflowPunct/>
        <w:topLinePunct w:val="0"/>
        <w:autoSpaceDE/>
        <w:autoSpaceDN/>
        <w:bidi w:val="0"/>
        <w:spacing w:line="576" w:lineRule="exact"/>
        <w:ind w:firstLine="641" w:firstLineChars="200"/>
        <w:textAlignment w:val="auto"/>
        <w:rPr>
          <w:rFonts w:hint="eastAsia" w:ascii="CESI仿宋-GB2312" w:hAnsi="CESI仿宋-GB2312" w:eastAsia="CESI仿宋-GB2312" w:cs="CESI仿宋-GB2312"/>
          <w:b/>
          <w:bCs/>
          <w:sz w:val="32"/>
          <w:szCs w:val="32"/>
        </w:rPr>
      </w:pPr>
      <w:r>
        <w:rPr>
          <w:rFonts w:hint="eastAsia" w:ascii="CESI仿宋-GB2312" w:hAnsi="CESI仿宋-GB2312" w:eastAsia="CESI仿宋-GB2312" w:cs="CESI仿宋-GB2312"/>
          <w:b/>
          <w:bCs/>
          <w:sz w:val="32"/>
          <w:szCs w:val="32"/>
        </w:rPr>
        <w:t>（2）</w:t>
      </w:r>
      <w:r>
        <w:rPr>
          <w:rFonts w:hint="eastAsia" w:ascii="CESI仿宋-GB2312" w:hAnsi="CESI仿宋-GB2312" w:eastAsia="CESI仿宋-GB2312" w:cs="CESI仿宋-GB2312"/>
          <w:b/>
          <w:bCs/>
          <w:sz w:val="32"/>
          <w:szCs w:val="32"/>
          <w:lang w:eastAsia="zh-CN"/>
        </w:rPr>
        <w:t>分配</w:t>
      </w:r>
      <w:r>
        <w:rPr>
          <w:rFonts w:hint="eastAsia" w:ascii="CESI仿宋-GB2312" w:hAnsi="CESI仿宋-GB2312" w:eastAsia="CESI仿宋-GB2312" w:cs="CESI仿宋-GB2312"/>
          <w:b/>
          <w:bCs/>
          <w:sz w:val="32"/>
          <w:szCs w:val="32"/>
        </w:rPr>
        <w:t>因素</w:t>
      </w:r>
    </w:p>
    <w:p w14:paraId="40508B2E">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对社区卫生服务中心和乡镇卫生院，按照“核定任务、核定收支、绩效考核补助”的办法核定补助资金。其中：</w:t>
      </w:r>
      <w:r>
        <w:rPr>
          <w:rFonts w:hint="eastAsia" w:ascii="CESI仿宋-GB2312" w:hAnsi="CESI仿宋-GB2312" w:eastAsia="CESI仿宋-GB2312" w:cs="CESI仿宋-GB2312"/>
          <w:sz w:val="32"/>
          <w:szCs w:val="32"/>
          <w:lang w:val="en-US" w:eastAsia="zh-CN"/>
        </w:rPr>
        <w:t>基层医疗卫生机构按照考核分数和辖区人口数进行资金分配，</w:t>
      </w:r>
      <w:r>
        <w:rPr>
          <w:rFonts w:hint="eastAsia" w:ascii="CESI仿宋-GB2312" w:hAnsi="CESI仿宋-GB2312" w:eastAsia="CESI仿宋-GB2312" w:cs="CESI仿宋-GB2312"/>
          <w:sz w:val="32"/>
          <w:szCs w:val="32"/>
          <w:lang w:eastAsia="zh-CN"/>
        </w:rPr>
        <w:t>分配所需的常住人口数量为省统计局公布的第N-2年常住人口数量(N为资金下达年度)。</w:t>
      </w:r>
    </w:p>
    <w:p w14:paraId="20E9919A">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对村卫生室，</w:t>
      </w:r>
      <w:r>
        <w:rPr>
          <w:rFonts w:hint="eastAsia" w:ascii="CESI仿宋-GB2312" w:hAnsi="CESI仿宋-GB2312" w:eastAsia="CESI仿宋-GB2312" w:cs="CESI仿宋-GB2312"/>
          <w:sz w:val="32"/>
          <w:szCs w:val="32"/>
          <w:lang w:val="en-US" w:eastAsia="zh-CN"/>
        </w:rPr>
        <w:t>村卫生室按照村卫生室个数、常住人口、补助标准进行分配，</w:t>
      </w:r>
      <w:r>
        <w:rPr>
          <w:rFonts w:hint="eastAsia" w:ascii="CESI仿宋-GB2312" w:hAnsi="CESI仿宋-GB2312" w:eastAsia="CESI仿宋-GB2312" w:cs="CESI仿宋-GB2312"/>
          <w:sz w:val="32"/>
          <w:szCs w:val="32"/>
          <w:lang w:eastAsia="zh-CN"/>
        </w:rPr>
        <w:t>分配所需的常住人口数量为省统计局公布的第N-2年农业人口数量(N为资金下达年度)。</w:t>
      </w:r>
    </w:p>
    <w:p w14:paraId="50E8D51E">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（二）项目绩效目标。</w:t>
      </w:r>
    </w:p>
    <w:p w14:paraId="368AE78C">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1.项目主要内容。</w:t>
      </w:r>
    </w:p>
    <w:p w14:paraId="3A52CFE3">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保证所有政府办基层医疗卫生机构实施国家基本药物制度，推进综合改革顺利进行。对实施国家基本药物制度的村卫生室给予补助，支持国家基本药物制度在村卫生室顺利实施。</w:t>
      </w:r>
    </w:p>
    <w:p w14:paraId="190178F7">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2.项目应实现的具体绩效目标。</w:t>
      </w:r>
    </w:p>
    <w:p w14:paraId="48738480">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rPr>
        <w:t>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202</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年基层医疗卫生机构和村卫生室全面实施了国家基本药物制度，依据考核方案给予了资金补助，基本药物制度在我县落地落实。</w:t>
      </w:r>
      <w:r>
        <w:rPr>
          <w:rFonts w:hint="eastAsia" w:ascii="CESI仿宋-GB2312" w:hAnsi="CESI仿宋-GB2312" w:eastAsia="CESI仿宋-GB2312" w:cs="CESI仿宋-GB2312"/>
          <w:sz w:val="32"/>
          <w:szCs w:val="32"/>
          <w:lang w:val="en-US" w:eastAsia="zh-CN"/>
        </w:rPr>
        <w:t>2024年度，实施基本药物制度的政府办基层医疗卫生机构占比100%、实施基本药物制度的村卫生室占比100%、基层医疗卫生机构“优质服务基层行”活动开展评价机构数比例≥95%、基层医疗卫生机构“优质服务基层行”活动达到基本标准及以上的比例≥90%、乡村医生收入逐步提高、医共体建设符合“紧密型”、“控费型”、“同质化”、“促分工”发展方向、对基本药物补助满意度≥80%。</w:t>
      </w:r>
    </w:p>
    <w:p w14:paraId="7C2C1545">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b/>
          <w:bCs/>
          <w:sz w:val="32"/>
          <w:szCs w:val="32"/>
          <w:lang w:val="zh-CN"/>
        </w:rPr>
      </w:pPr>
      <w:r>
        <w:rPr>
          <w:rFonts w:hint="eastAsia" w:ascii="CESI仿宋-GB2312" w:hAnsi="CESI仿宋-GB2312" w:eastAsia="CESI仿宋-GB2312" w:cs="CESI仿宋-GB2312"/>
          <w:b/>
          <w:bCs/>
          <w:sz w:val="32"/>
          <w:szCs w:val="32"/>
          <w:lang w:val="zh-CN"/>
        </w:rPr>
        <w:t>3.分析评价申报内容是否与实际相符，申报目标是否合理可行。</w:t>
      </w:r>
    </w:p>
    <w:p w14:paraId="7B27C307">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b w:val="0"/>
          <w:bCs/>
          <w:color w:val="auto"/>
          <w:sz w:val="32"/>
          <w:szCs w:val="32"/>
          <w:lang w:val="en-US" w:eastAsia="zh-CN"/>
        </w:rPr>
      </w:pPr>
      <w:r>
        <w:rPr>
          <w:rFonts w:hint="eastAsia" w:ascii="CESI仿宋-GB2312" w:hAnsi="CESI仿宋-GB2312" w:eastAsia="CESI仿宋-GB2312" w:cs="CESI仿宋-GB2312"/>
          <w:b w:val="0"/>
          <w:bCs/>
          <w:color w:val="auto"/>
          <w:sz w:val="32"/>
          <w:szCs w:val="32"/>
          <w:lang w:val="en-US" w:eastAsia="zh-CN"/>
        </w:rPr>
        <w:t>按照国家、省、市对基本药物制度相关要求，结合实际，制定符合我县的项目实施方案，分解细化目标任务，确保了目标任务全面完成。申报内容与实际相符，申报目标合理可行。</w:t>
      </w:r>
    </w:p>
    <w:p w14:paraId="389D7939">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（三）项目自评步骤及方法。</w:t>
      </w:r>
    </w:p>
    <w:p w14:paraId="67961AF8">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组织相关人员开展基本药物制度绩效</w:t>
      </w:r>
      <w:r>
        <w:rPr>
          <w:rFonts w:hint="default" w:ascii="Times New Roman" w:hAnsi="Times New Roman" w:eastAsia="方正仿宋_GBK" w:cs="Times New Roman"/>
          <w:sz w:val="32"/>
          <w:szCs w:val="32"/>
          <w:lang w:eastAsia="zh-CN"/>
        </w:rPr>
        <w:t>考核</w:t>
      </w:r>
      <w:r>
        <w:rPr>
          <w:rFonts w:hint="default" w:ascii="Times New Roman" w:hAnsi="Times New Roman" w:eastAsia="方正仿宋_GBK" w:cs="Times New Roman"/>
          <w:sz w:val="32"/>
          <w:szCs w:val="32"/>
        </w:rPr>
        <w:t>，一是通过现场查看了解基层医疗机构和村卫生室执行基本药物“零”加价、提高群众满意度评价效益；二是利用药械平台提取基层医疗机构采购基本药物量作为量化兑现补助；三是通过乡村一体化管理由乡镇卫生院代采购村卫生室的基本药物，并监督执行及绩效考核。</w:t>
      </w:r>
    </w:p>
    <w:p w14:paraId="0986E67A">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二、项目资金申报及使用情况</w:t>
      </w:r>
    </w:p>
    <w:p w14:paraId="323D52A0">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（一）项目资金申报及批复情况。</w:t>
      </w:r>
    </w:p>
    <w:p w14:paraId="3F05D2A6">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sz w:val="32"/>
          <w:szCs w:val="32"/>
          <w:lang w:val="zh-CN"/>
        </w:rPr>
      </w:pPr>
      <w:r>
        <w:rPr>
          <w:rFonts w:hint="eastAsia" w:ascii="CESI仿宋-GB2312" w:hAnsi="CESI仿宋-GB2312" w:eastAsia="CESI仿宋-GB2312" w:cs="CESI仿宋-GB2312"/>
          <w:sz w:val="32"/>
          <w:szCs w:val="32"/>
          <w:lang w:val="zh-CN"/>
        </w:rPr>
        <w:t>说明项目资金申报、批复及预算调整等程序的相关情况。</w:t>
      </w:r>
    </w:p>
    <w:p w14:paraId="74E4AA25">
      <w:pPr>
        <w:keepNext w:val="0"/>
        <w:keepLines w:val="0"/>
        <w:pageBreakBefore w:val="0"/>
        <w:widowControl w:val="0"/>
        <w:numPr>
          <w:ilvl w:val="0"/>
          <w:numId w:val="0"/>
        </w:numPr>
        <w:kinsoku/>
        <w:wordWrap/>
        <w:overflowPunct/>
        <w:topLinePunct w:val="0"/>
        <w:autoSpaceDE/>
        <w:autoSpaceDN/>
        <w:bidi w:val="0"/>
        <w:adjustRightInd w:val="0"/>
        <w:snapToGrid w:val="0"/>
        <w:spacing w:line="576" w:lineRule="exact"/>
        <w:ind w:firstLine="640" w:firstLineChars="200"/>
        <w:jc w:val="both"/>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2024年度，共计下达项目资金359.93万元，涉及基层医疗卫生机构资金146.26万元，村卫生室资金213.67万元，其中：中央资金228.30万元，省级资金131.63万元。截止2024年12月底，已全部完成项目资金的拨付。</w:t>
      </w:r>
    </w:p>
    <w:p w14:paraId="2B450EC8">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（二）资金计划、到位及使用情况（可用表格形式反映）。</w:t>
      </w:r>
    </w:p>
    <w:p w14:paraId="5D1EC430">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eastAsia" w:ascii="CESI仿宋-GB2312" w:hAnsi="CESI仿宋-GB2312" w:eastAsia="CESI仿宋-GB2312" w:cs="CESI仿宋-GB2312"/>
          <w:sz w:val="32"/>
          <w:szCs w:val="32"/>
          <w:lang w:val="en-US" w:eastAsia="zh-CN"/>
        </w:rPr>
      </w:pPr>
      <w:r>
        <w:rPr>
          <w:rFonts w:hint="default" w:ascii="Times New Roman" w:hAnsi="Times New Roman" w:eastAsia="方正仿宋_GBK" w:cs="Times New Roman"/>
          <w:b/>
          <w:sz w:val="32"/>
          <w:szCs w:val="32"/>
          <w:lang w:val="zh-CN"/>
        </w:rPr>
        <w:t>1.资金计划。</w:t>
      </w:r>
      <w:r>
        <w:rPr>
          <w:rFonts w:hint="eastAsia" w:ascii="CESI仿宋-GB2312" w:hAnsi="CESI仿宋-GB2312" w:eastAsia="CESI仿宋-GB2312" w:cs="CESI仿宋-GB2312"/>
          <w:sz w:val="32"/>
          <w:szCs w:val="32"/>
          <w:lang w:eastAsia="zh-CN"/>
        </w:rPr>
        <w:t>上级共下达项目资金</w:t>
      </w:r>
      <w:r>
        <w:rPr>
          <w:rFonts w:hint="eastAsia" w:ascii="CESI仿宋-GB2312" w:hAnsi="CESI仿宋-GB2312" w:eastAsia="CESI仿宋-GB2312" w:cs="CESI仿宋-GB2312"/>
          <w:sz w:val="32"/>
          <w:szCs w:val="32"/>
          <w:lang w:val="en-US" w:eastAsia="zh-CN"/>
        </w:rPr>
        <w:t>359.93万元，全部用于基层医疗卫生机构和村卫生室开展基本药物制度。</w:t>
      </w:r>
    </w:p>
    <w:p w14:paraId="546643EE">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仿宋_GBK" w:cs="Times New Roman"/>
          <w:b/>
          <w:sz w:val="32"/>
          <w:szCs w:val="32"/>
          <w:lang w:val="zh-CN"/>
        </w:rPr>
      </w:pPr>
      <w:r>
        <w:rPr>
          <w:rFonts w:hint="default" w:ascii="Times New Roman" w:hAnsi="Times New Roman" w:eastAsia="方正仿宋_GBK" w:cs="Times New Roman"/>
          <w:b/>
          <w:sz w:val="32"/>
          <w:szCs w:val="32"/>
          <w:lang w:val="zh-CN"/>
        </w:rPr>
        <w:t>2.资金到位。</w:t>
      </w:r>
    </w:p>
    <w:p w14:paraId="57F183F3">
      <w:pPr>
        <w:keepNext w:val="0"/>
        <w:keepLines w:val="0"/>
        <w:pageBreakBefore w:val="0"/>
        <w:widowControl w:val="0"/>
        <w:tabs>
          <w:tab w:val="left" w:pos="5874"/>
        </w:tabs>
        <w:kinsoku/>
        <w:wordWrap/>
        <w:overflowPunct/>
        <w:topLinePunct w:val="0"/>
        <w:autoSpaceDE/>
        <w:autoSpaceDN/>
        <w:bidi w:val="0"/>
        <w:spacing w:line="576" w:lineRule="exact"/>
        <w:ind w:firstLine="640" w:firstLineChars="200"/>
        <w:jc w:val="left"/>
        <w:textAlignment w:val="auto"/>
        <w:rPr>
          <w:rFonts w:hint="eastAsia" w:ascii="CESI仿宋-GB2312" w:hAnsi="CESI仿宋-GB2312" w:eastAsia="CESI仿宋-GB2312" w:cs="CESI仿宋-GB2312"/>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CESI仿宋-GB2312" w:hAnsi="CESI仿宋-GB2312" w:eastAsia="CESI仿宋-GB2312" w:cs="CESI仿宋-GB2312"/>
          <w:sz w:val="32"/>
          <w:szCs w:val="32"/>
          <w:lang w:val="en-US" w:eastAsia="zh-CN"/>
        </w:rPr>
        <w:t>023年12月29日，印发《四川省财政厅 四川省卫生健康委员会关于提前下达2024年基本药物制度中央和省级补助资金的通知》（川财社〔2023〕175号）文件，拨付项目中央和省级资金322.81万元，本年度提前批下达项目资金：下达基层医疗卫生机构合计134.72万元，下达村卫生室合计189.18万元，合计323.90万元，其中中央资金201.49万元，省级资金122.41万元。</w:t>
      </w:r>
    </w:p>
    <w:p w14:paraId="672730EC">
      <w:pPr>
        <w:keepNext w:val="0"/>
        <w:keepLines w:val="0"/>
        <w:pageBreakBefore w:val="0"/>
        <w:widowControl w:val="0"/>
        <w:tabs>
          <w:tab w:val="left" w:pos="5874"/>
        </w:tabs>
        <w:kinsoku/>
        <w:wordWrap/>
        <w:overflowPunct/>
        <w:topLinePunct w:val="0"/>
        <w:autoSpaceDE/>
        <w:autoSpaceDN/>
        <w:bidi w:val="0"/>
        <w:adjustRightInd/>
        <w:snapToGrid/>
        <w:spacing w:line="576" w:lineRule="exact"/>
        <w:ind w:firstLine="640" w:firstLineChars="200"/>
        <w:jc w:val="left"/>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2024年8月1日，印发《四川省财政厅 四川省卫生健康委员会关于下达2024年基本药物制度中央和省级补助资金的通知》（川财社〔2024〕52号）文件，本次下达项目资金：下达基层医疗卫生机构中央资金11.54万元；下达村卫生室合计24.49万元，其中：中央资金15.27万元，省级9.22万元。总计中央资金26.81万元，省级资金9.22万元，合计36.03万元。</w:t>
      </w:r>
    </w:p>
    <w:p w14:paraId="7047F0A1">
      <w:pPr>
        <w:keepNext w:val="0"/>
        <w:keepLines w:val="0"/>
        <w:pageBreakBefore w:val="0"/>
        <w:widowControl w:val="0"/>
        <w:kinsoku/>
        <w:wordWrap/>
        <w:overflowPunct/>
        <w:topLinePunct w:val="0"/>
        <w:autoSpaceDE/>
        <w:autoSpaceDN/>
        <w:bidi w:val="0"/>
        <w:spacing w:line="576" w:lineRule="exact"/>
        <w:ind w:firstLine="643" w:firstLineChars="200"/>
        <w:textAlignment w:val="auto"/>
        <w:rPr>
          <w:rFonts w:hint="eastAsia" w:ascii="CESI仿宋-GB2312" w:hAnsi="CESI仿宋-GB2312" w:eastAsia="CESI仿宋-GB2312" w:cs="CESI仿宋-GB2312"/>
          <w:color w:val="000000"/>
          <w:sz w:val="32"/>
          <w:szCs w:val="32"/>
          <w:shd w:val="clear" w:color="auto" w:fill="FFFFFF"/>
        </w:rPr>
      </w:pPr>
      <w:r>
        <w:rPr>
          <w:rFonts w:hint="default" w:ascii="Times New Roman" w:hAnsi="Times New Roman" w:eastAsia="方正仿宋_GBK" w:cs="Times New Roman"/>
          <w:b/>
          <w:sz w:val="32"/>
          <w:szCs w:val="32"/>
          <w:lang w:val="zh-CN"/>
        </w:rPr>
        <w:t>3</w:t>
      </w:r>
      <w:r>
        <w:rPr>
          <w:rFonts w:hint="default" w:ascii="Times New Roman" w:hAnsi="Times New Roman" w:eastAsia="方正仿宋_GBK" w:cs="Times New Roman"/>
          <w:b/>
          <w:sz w:val="32"/>
          <w:szCs w:val="32"/>
          <w:lang w:val="en-US" w:eastAsia="zh-CN"/>
        </w:rPr>
        <w:t>.</w:t>
      </w:r>
      <w:r>
        <w:rPr>
          <w:rFonts w:hint="default" w:ascii="Times New Roman" w:hAnsi="Times New Roman" w:eastAsia="方正仿宋_GBK" w:cs="Times New Roman"/>
          <w:b/>
          <w:sz w:val="32"/>
          <w:szCs w:val="32"/>
          <w:lang w:val="zh-CN"/>
        </w:rPr>
        <w:t>资金使用。</w:t>
      </w:r>
      <w:r>
        <w:rPr>
          <w:rFonts w:hint="eastAsia" w:ascii="CESI仿宋-GB2312" w:hAnsi="CESI仿宋-GB2312" w:eastAsia="CESI仿宋-GB2312" w:cs="CESI仿宋-GB2312"/>
          <w:color w:val="000000"/>
          <w:sz w:val="32"/>
          <w:szCs w:val="32"/>
          <w:shd w:val="clear" w:color="auto" w:fill="FFFFFF"/>
        </w:rPr>
        <w:t>202</w:t>
      </w:r>
      <w:r>
        <w:rPr>
          <w:rFonts w:hint="eastAsia" w:ascii="CESI仿宋-GB2312" w:hAnsi="CESI仿宋-GB2312" w:eastAsia="CESI仿宋-GB2312" w:cs="CESI仿宋-GB2312"/>
          <w:color w:val="000000"/>
          <w:sz w:val="32"/>
          <w:szCs w:val="32"/>
          <w:shd w:val="clear" w:color="auto" w:fill="FFFFFF"/>
          <w:lang w:val="en-US" w:eastAsia="zh-CN"/>
        </w:rPr>
        <w:t>4</w:t>
      </w:r>
      <w:r>
        <w:rPr>
          <w:rFonts w:hint="eastAsia" w:ascii="CESI仿宋-GB2312" w:hAnsi="CESI仿宋-GB2312" w:eastAsia="CESI仿宋-GB2312" w:cs="CESI仿宋-GB2312"/>
          <w:color w:val="000000"/>
          <w:sz w:val="32"/>
          <w:szCs w:val="32"/>
          <w:shd w:val="clear" w:color="auto" w:fill="FFFFFF"/>
        </w:rPr>
        <w:t>年基本药物补助资金</w:t>
      </w:r>
      <w:r>
        <w:rPr>
          <w:rFonts w:hint="eastAsia" w:ascii="CESI仿宋-GB2312" w:hAnsi="CESI仿宋-GB2312" w:eastAsia="CESI仿宋-GB2312" w:cs="CESI仿宋-GB2312"/>
          <w:sz w:val="32"/>
          <w:szCs w:val="32"/>
          <w:lang w:val="en-US" w:eastAsia="zh-CN"/>
        </w:rPr>
        <w:t>359.93</w:t>
      </w:r>
      <w:r>
        <w:rPr>
          <w:rFonts w:hint="eastAsia" w:ascii="CESI仿宋-GB2312" w:hAnsi="CESI仿宋-GB2312" w:eastAsia="CESI仿宋-GB2312" w:cs="CESI仿宋-GB2312"/>
          <w:color w:val="000000"/>
          <w:sz w:val="32"/>
          <w:szCs w:val="32"/>
          <w:shd w:val="clear" w:color="auto" w:fill="FFFFFF"/>
        </w:rPr>
        <w:t>万元，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w:t>
      </w:r>
    </w:p>
    <w:p w14:paraId="11137398">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（三）项目财务管理情况。</w:t>
      </w:r>
    </w:p>
    <w:p w14:paraId="10F479E5">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黑体_GBK" w:cs="Times New Roman"/>
          <w:lang w:eastAsia="zh-CN"/>
        </w:rPr>
      </w:pPr>
      <w:r>
        <w:rPr>
          <w:rFonts w:hint="eastAsia" w:ascii="CESI仿宋-GB2312" w:hAnsi="CESI仿宋-GB2312" w:eastAsia="CESI仿宋-GB2312" w:cs="CESI仿宋-GB2312"/>
          <w:color w:val="000000"/>
          <w:sz w:val="32"/>
          <w:szCs w:val="32"/>
          <w:shd w:val="clear" w:color="auto" w:fill="FFFFFF"/>
        </w:rPr>
        <w:t>县财政局、县卫生健康局及我县相关基层医疗机构严格按照全面实施预算绩效管理的要求，强化绩效目标管理，做好本地区补助资金监督检查和绩效评价工作，并加强结果应用，确保提高补助资金配置效率和使用效益。县卫生健康</w:t>
      </w:r>
      <w:r>
        <w:rPr>
          <w:rFonts w:hint="eastAsia" w:ascii="CESI仿宋-GB2312" w:hAnsi="CESI仿宋-GB2312" w:eastAsia="CESI仿宋-GB2312" w:cs="CESI仿宋-GB2312"/>
          <w:color w:val="000000"/>
          <w:sz w:val="32"/>
          <w:szCs w:val="32"/>
          <w:shd w:val="clear" w:color="auto" w:fill="FFFFFF"/>
          <w:lang w:eastAsia="zh-CN"/>
        </w:rPr>
        <w:t>局</w:t>
      </w:r>
      <w:r>
        <w:rPr>
          <w:rFonts w:hint="eastAsia" w:ascii="CESI仿宋-GB2312" w:hAnsi="CESI仿宋-GB2312" w:eastAsia="CESI仿宋-GB2312" w:cs="CESI仿宋-GB2312"/>
          <w:color w:val="000000"/>
          <w:sz w:val="32"/>
          <w:szCs w:val="32"/>
          <w:shd w:val="clear" w:color="auto" w:fill="FFFFFF"/>
        </w:rPr>
        <w:t>负责项目业务指导和管理，并对项目执行情况开展每年一次的绩效评价</w:t>
      </w:r>
      <w:r>
        <w:rPr>
          <w:rFonts w:hint="eastAsia" w:ascii="CESI仿宋-GB2312" w:hAnsi="CESI仿宋-GB2312" w:eastAsia="CESI仿宋-GB2312" w:cs="CESI仿宋-GB2312"/>
          <w:color w:val="000000"/>
          <w:sz w:val="32"/>
          <w:szCs w:val="32"/>
          <w:shd w:val="clear" w:color="auto" w:fill="FFFFFF"/>
          <w:lang w:eastAsia="zh-CN"/>
        </w:rPr>
        <w:t>。</w:t>
      </w:r>
    </w:p>
    <w:p w14:paraId="0BED6FB3">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黑体_GBK" w:cs="Times New Roman"/>
        </w:rPr>
      </w:pPr>
      <w:r>
        <w:rPr>
          <w:rFonts w:hint="default" w:ascii="Times New Roman" w:hAnsi="Times New Roman" w:eastAsia="方正黑体_GBK" w:cs="Times New Roman"/>
          <w:sz w:val="32"/>
          <w:szCs w:val="32"/>
        </w:rPr>
        <w:t>三、项目实施及管理情况</w:t>
      </w:r>
    </w:p>
    <w:p w14:paraId="3AA28A25">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仿宋_GBK" w:cs="Times New Roman"/>
          <w:lang w:val="zh-CN"/>
        </w:rPr>
      </w:pPr>
      <w:r>
        <w:rPr>
          <w:rFonts w:hint="default" w:ascii="Times New Roman" w:hAnsi="Times New Roman" w:eastAsia="方正仿宋_GBK" w:cs="Times New Roman"/>
          <w:sz w:val="32"/>
          <w:szCs w:val="32"/>
          <w:lang w:val="zh-CN"/>
        </w:rPr>
        <w:t>结合项目组织实施管理办法，重点围绕以下内容进行分析评价，并对自评中发现的问题分析说明</w:t>
      </w:r>
      <w:r>
        <w:rPr>
          <w:rFonts w:hint="default" w:ascii="Times New Roman" w:hAnsi="Times New Roman" w:eastAsia="方正仿宋_GBK" w:cs="Times New Roman"/>
          <w:lang w:val="zh-CN"/>
        </w:rPr>
        <w:t>。</w:t>
      </w:r>
    </w:p>
    <w:p w14:paraId="3BB26E69">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lang w:val="zh-CN"/>
        </w:rPr>
      </w:pPr>
      <w:r>
        <w:rPr>
          <w:rFonts w:hint="default" w:ascii="Times New Roman" w:hAnsi="Times New Roman" w:eastAsia="方正楷体_GBK" w:cs="Times New Roman"/>
          <w:b/>
          <w:bCs/>
          <w:sz w:val="32"/>
          <w:szCs w:val="32"/>
          <w:lang w:val="zh-CN"/>
        </w:rPr>
        <w:t>（一）项目组织架构及实施流程。</w:t>
      </w:r>
    </w:p>
    <w:p w14:paraId="13265BAE">
      <w:pPr>
        <w:keepNext w:val="0"/>
        <w:keepLines w:val="0"/>
        <w:pageBreakBefore w:val="0"/>
        <w:widowControl w:val="0"/>
        <w:kinsoku/>
        <w:wordWrap/>
        <w:overflowPunct/>
        <w:topLinePunct w:val="0"/>
        <w:autoSpaceDE/>
        <w:autoSpaceDN/>
        <w:bidi w:val="0"/>
        <w:spacing w:line="576" w:lineRule="exact"/>
        <w:ind w:firstLine="800" w:firstLineChars="25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通过上述分配原则和因素，</w:t>
      </w:r>
      <w:r>
        <w:rPr>
          <w:rFonts w:hint="eastAsia" w:ascii="CESI仿宋-GB2312" w:hAnsi="CESI仿宋-GB2312" w:eastAsia="CESI仿宋-GB2312" w:cs="CESI仿宋-GB2312"/>
          <w:sz w:val="32"/>
          <w:szCs w:val="32"/>
          <w:lang w:eastAsia="zh-CN"/>
        </w:rPr>
        <w:t>形成分配方案提交局党组审议，</w:t>
      </w:r>
      <w:r>
        <w:rPr>
          <w:rFonts w:hint="eastAsia" w:ascii="CESI仿宋-GB2312" w:hAnsi="CESI仿宋-GB2312" w:eastAsia="CESI仿宋-GB2312" w:cs="CESI仿宋-GB2312"/>
          <w:sz w:val="32"/>
          <w:szCs w:val="32"/>
        </w:rPr>
        <w:t>由</w:t>
      </w:r>
      <w:r>
        <w:rPr>
          <w:rFonts w:hint="eastAsia" w:ascii="CESI仿宋-GB2312" w:hAnsi="CESI仿宋-GB2312" w:eastAsia="CESI仿宋-GB2312" w:cs="CESI仿宋-GB2312"/>
          <w:sz w:val="32"/>
          <w:szCs w:val="32"/>
          <w:lang w:eastAsia="zh-CN"/>
        </w:rPr>
        <w:t>县</w:t>
      </w:r>
      <w:r>
        <w:rPr>
          <w:rFonts w:hint="eastAsia" w:ascii="CESI仿宋-GB2312" w:hAnsi="CESI仿宋-GB2312" w:eastAsia="CESI仿宋-GB2312" w:cs="CESI仿宋-GB2312"/>
          <w:sz w:val="32"/>
          <w:szCs w:val="32"/>
        </w:rPr>
        <w:t>卫生健康局党</w:t>
      </w:r>
      <w:r>
        <w:rPr>
          <w:rFonts w:hint="eastAsia" w:ascii="CESI仿宋-GB2312" w:hAnsi="CESI仿宋-GB2312" w:eastAsia="CESI仿宋-GB2312" w:cs="CESI仿宋-GB2312"/>
          <w:sz w:val="32"/>
          <w:szCs w:val="32"/>
          <w:lang w:eastAsia="zh-CN"/>
        </w:rPr>
        <w:t>组</w:t>
      </w:r>
      <w:r>
        <w:rPr>
          <w:rFonts w:hint="eastAsia" w:ascii="CESI仿宋-GB2312" w:hAnsi="CESI仿宋-GB2312" w:eastAsia="CESI仿宋-GB2312" w:cs="CESI仿宋-GB2312"/>
          <w:sz w:val="32"/>
          <w:szCs w:val="32"/>
        </w:rPr>
        <w:t>研究决定后</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b w:val="0"/>
          <w:bCs/>
          <w:color w:val="auto"/>
          <w:sz w:val="32"/>
          <w:szCs w:val="32"/>
          <w:lang w:val="en-US" w:eastAsia="zh-CN"/>
        </w:rPr>
        <w:t>100万以上500万以下需上县政府常务会，100万以下需县政府分管领导签字后，</w:t>
      </w:r>
      <w:r>
        <w:rPr>
          <w:rFonts w:hint="eastAsia" w:ascii="CESI仿宋-GB2312" w:hAnsi="CESI仿宋-GB2312" w:eastAsia="CESI仿宋-GB2312" w:cs="CESI仿宋-GB2312"/>
          <w:sz w:val="32"/>
          <w:szCs w:val="32"/>
        </w:rPr>
        <w:t>分配项目资金给基层医疗机构</w:t>
      </w:r>
      <w:r>
        <w:rPr>
          <w:rFonts w:hint="eastAsia" w:ascii="CESI仿宋-GB2312" w:hAnsi="CESI仿宋-GB2312" w:eastAsia="CESI仿宋-GB2312" w:cs="CESI仿宋-GB2312"/>
          <w:sz w:val="32"/>
          <w:szCs w:val="32"/>
          <w:lang w:eastAsia="zh-CN"/>
        </w:rPr>
        <w:t>和村卫生室</w:t>
      </w:r>
      <w:r>
        <w:rPr>
          <w:rFonts w:hint="eastAsia" w:ascii="CESI仿宋-GB2312" w:hAnsi="CESI仿宋-GB2312" w:eastAsia="CESI仿宋-GB2312" w:cs="CESI仿宋-GB2312"/>
          <w:sz w:val="32"/>
          <w:szCs w:val="32"/>
        </w:rPr>
        <w:t>组织实施。</w:t>
      </w:r>
    </w:p>
    <w:p w14:paraId="4E28F61F">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（二）项目管理情况。</w:t>
      </w:r>
    </w:p>
    <w:p w14:paraId="031297F0">
      <w:pPr>
        <w:keepNext w:val="0"/>
        <w:keepLines w:val="0"/>
        <w:pageBreakBefore w:val="0"/>
        <w:widowControl w:val="0"/>
        <w:kinsoku/>
        <w:wordWrap/>
        <w:overflowPunct/>
        <w:topLinePunct w:val="0"/>
        <w:autoSpaceDE/>
        <w:autoSpaceDN/>
        <w:bidi w:val="0"/>
        <w:spacing w:line="576" w:lineRule="exact"/>
        <w:ind w:firstLine="800" w:firstLineChars="25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根据《四川省财政厅 四川省卫生健康委员会 四川省医疗保障局 四川省中医药管理局关于印发公共卫生等5项补助资金管理办法的通知》</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川财社〔20</w:t>
      </w:r>
      <w:r>
        <w:rPr>
          <w:rFonts w:hint="eastAsia" w:ascii="CESI仿宋-GB2312" w:hAnsi="CESI仿宋-GB2312" w:eastAsia="CESI仿宋-GB2312" w:cs="CESI仿宋-GB2312"/>
          <w:sz w:val="32"/>
          <w:szCs w:val="32"/>
          <w:lang w:val="en-US" w:eastAsia="zh-CN"/>
        </w:rPr>
        <w:t>22</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112</w:t>
      </w:r>
      <w:r>
        <w:rPr>
          <w:rFonts w:hint="eastAsia" w:ascii="CESI仿宋-GB2312" w:hAnsi="CESI仿宋-GB2312" w:eastAsia="CESI仿宋-GB2312" w:cs="CESI仿宋-GB2312"/>
          <w:sz w:val="32"/>
          <w:szCs w:val="32"/>
        </w:rPr>
        <w:t>号</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中《四川省基本药物制度补助资金管理办法》严格执行项目管理。</w:t>
      </w:r>
    </w:p>
    <w:p w14:paraId="543BEB40">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（三）项目监管情况。</w:t>
      </w:r>
    </w:p>
    <w:p w14:paraId="47A806E8">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eastAsia="zh-CN"/>
        </w:rPr>
        <w:t>按照《盐边县卫生健康局关于印发基层医疗卫生机构国家基本药物制度绩效考核方案（试行）的通知》要求，县卫生健康局负责对基层医疗卫生机构进行考核，基层医疗卫生机构负责对本辖区内村卫生室进行考核，县卫生健康局按照每个乡（镇）村卫生室不低于</w:t>
      </w:r>
      <w:r>
        <w:rPr>
          <w:rFonts w:hint="eastAsia" w:ascii="CESI仿宋-GB2312" w:hAnsi="CESI仿宋-GB2312" w:eastAsia="CESI仿宋-GB2312" w:cs="CESI仿宋-GB2312"/>
          <w:sz w:val="32"/>
          <w:szCs w:val="32"/>
          <w:lang w:val="en-US" w:eastAsia="zh-CN"/>
        </w:rPr>
        <w:t>20%的比例进行抽查复核。按照每年一次的频次开展考核，考核结果与补助资金直接挂钩。</w:t>
      </w:r>
    </w:p>
    <w:p w14:paraId="3235F0B0">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黑体_GBK" w:cs="Times New Roman"/>
          <w:sz w:val="32"/>
          <w:szCs w:val="32"/>
          <w:lang w:val="zh-CN"/>
        </w:rPr>
      </w:pPr>
      <w:r>
        <w:rPr>
          <w:rFonts w:hint="default" w:ascii="Times New Roman" w:hAnsi="Times New Roman" w:eastAsia="方正黑体_GBK" w:cs="Times New Roman"/>
          <w:sz w:val="32"/>
          <w:szCs w:val="32"/>
        </w:rPr>
        <w:t>四、项目绩效情况</w:t>
      </w:r>
      <w:r>
        <w:rPr>
          <w:rFonts w:hint="default" w:ascii="Times New Roman" w:hAnsi="Times New Roman" w:eastAsia="方正黑体_GBK" w:cs="Times New Roman"/>
          <w:sz w:val="32"/>
          <w:szCs w:val="32"/>
          <w:lang w:val="zh-CN"/>
        </w:rPr>
        <w:tab/>
      </w:r>
    </w:p>
    <w:p w14:paraId="3842EDC1">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（一）项目完成情况。</w:t>
      </w:r>
    </w:p>
    <w:p w14:paraId="5C63E2BC">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rPr>
        <w:t>202</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年</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我县兑现基本药物补助的基层医疗机构为13家</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100%政府办基层医疗卫生机构实施国家基本药物制度；村卫生室执行基本药物制度</w:t>
      </w:r>
      <w:r>
        <w:rPr>
          <w:rFonts w:hint="eastAsia" w:ascii="CESI仿宋-GB2312" w:hAnsi="CESI仿宋-GB2312" w:eastAsia="CESI仿宋-GB2312" w:cs="CESI仿宋-GB2312"/>
          <w:sz w:val="32"/>
          <w:szCs w:val="32"/>
          <w:lang w:val="en-US" w:eastAsia="zh-CN"/>
        </w:rPr>
        <w:t>142</w:t>
      </w:r>
      <w:r>
        <w:rPr>
          <w:rFonts w:hint="eastAsia" w:ascii="CESI仿宋-GB2312" w:hAnsi="CESI仿宋-GB2312" w:eastAsia="CESI仿宋-GB2312" w:cs="CESI仿宋-GB2312"/>
          <w:sz w:val="32"/>
          <w:szCs w:val="32"/>
        </w:rPr>
        <w:t>家，村卫生室实施国家基本药物制度覆盖率100%。</w:t>
      </w:r>
      <w:r>
        <w:rPr>
          <w:rFonts w:hint="eastAsia" w:ascii="CESI仿宋-GB2312" w:hAnsi="CESI仿宋-GB2312" w:eastAsia="CESI仿宋-GB2312" w:cs="CESI仿宋-GB2312"/>
          <w:sz w:val="32"/>
          <w:szCs w:val="32"/>
          <w:lang w:eastAsia="zh-CN"/>
        </w:rPr>
        <w:t>基层医疗卫生机构“优质服务基层行”活动开展评价机构数比例为</w:t>
      </w:r>
      <w:r>
        <w:rPr>
          <w:rFonts w:hint="eastAsia" w:ascii="CESI仿宋-GB2312" w:hAnsi="CESI仿宋-GB2312" w:eastAsia="CESI仿宋-GB2312" w:cs="CESI仿宋-GB2312"/>
          <w:sz w:val="32"/>
          <w:szCs w:val="32"/>
          <w:lang w:val="en-US" w:eastAsia="zh-CN"/>
        </w:rPr>
        <w:t>100%，达到基本标准11家，2家达到推荐标准，达标率为100%。</w:t>
      </w:r>
    </w:p>
    <w:p w14:paraId="46A0D0F4">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（二）项目效益情况。</w:t>
      </w:r>
    </w:p>
    <w:p w14:paraId="0A364BAC">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14:paraId="1A7FEBBF">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五、评价结论及建议</w:t>
      </w:r>
    </w:p>
    <w:p w14:paraId="60E7335A">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（一）评价结论。</w:t>
      </w:r>
    </w:p>
    <w:p w14:paraId="3FAC621D">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年基本药物补助资金项目在卫生健康局的统筹安排下，在财政部门的支持下，通过项目单位（基层医疗机构</w:t>
      </w:r>
      <w:r>
        <w:rPr>
          <w:rFonts w:hint="eastAsia" w:ascii="CESI仿宋-GB2312" w:hAnsi="CESI仿宋-GB2312" w:eastAsia="CESI仿宋-GB2312" w:cs="CESI仿宋-GB2312"/>
          <w:sz w:val="32"/>
          <w:szCs w:val="32"/>
          <w:lang w:eastAsia="zh-CN"/>
        </w:rPr>
        <w:t>和村卫生</w:t>
      </w:r>
      <w:r>
        <w:rPr>
          <w:rFonts w:hint="eastAsia" w:ascii="CESI仿宋-GB2312" w:hAnsi="CESI仿宋-GB2312" w:eastAsia="CESI仿宋-GB2312" w:cs="CESI仿宋-GB2312"/>
          <w:sz w:val="32"/>
          <w:szCs w:val="32"/>
        </w:rPr>
        <w:t>）共同努力下达到支持基层医疗卫生机构实施国家基本药物制度的目的。社区卫生服务中心和乡镇卫生院，弥补核定收支后的经常性收支差额补助、推进基层医疗卫生机构综合改革等符合政府卫生投入政策落地见效。实施基本药物制度的村卫生室，乡村医生的收入补助得到提高。基层医疗机构的就医环境、服务能力、服务流程进一步改善，人民群众的获得感和满意度进一步提升</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基层医疗机构医防结合能力得到加强。</w:t>
      </w:r>
    </w:p>
    <w:p w14:paraId="567C5EAF">
      <w:pPr>
        <w:keepNext w:val="0"/>
        <w:keepLines w:val="0"/>
        <w:pageBreakBefore w:val="0"/>
        <w:widowControl w:val="0"/>
        <w:kinsoku/>
        <w:wordWrap/>
        <w:overflowPunct/>
        <w:topLinePunct w:val="0"/>
        <w:autoSpaceDE/>
        <w:autoSpaceDN/>
        <w:bidi w:val="0"/>
        <w:adjustRightInd w:val="0"/>
        <w:snapToGrid w:val="0"/>
        <w:spacing w:line="576" w:lineRule="exact"/>
        <w:ind w:firstLine="72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（二）存在的问题。</w:t>
      </w:r>
    </w:p>
    <w:p w14:paraId="452FCD99">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由于我县开展区域规划撤乡并镇、强村并组工作，原有的行政村撤并减少，村医去留是个大问题，导致积极性不高，落实基本药物制度不到位。</w:t>
      </w:r>
    </w:p>
    <w:p w14:paraId="45AC92AD">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rPr>
      </w:pPr>
      <w:r>
        <w:rPr>
          <w:rFonts w:hint="eastAsia" w:ascii="CESI仿宋-GB2312" w:hAnsi="CESI仿宋-GB2312" w:eastAsia="CESI仿宋-GB2312" w:cs="CESI仿宋-GB2312"/>
          <w:sz w:val="32"/>
          <w:szCs w:val="32"/>
        </w:rPr>
        <w:t>基层医疗机构基本药物挂网采购价格普遍较高，药店和社会办医在药品销售上占一定的优势，人民群众对政府举办的基层医疗机构药品价格产生质疑</w:t>
      </w:r>
      <w:r>
        <w:rPr>
          <w:rFonts w:hint="eastAsia" w:ascii="CESI仿宋-GB2312" w:hAnsi="CESI仿宋-GB2312" w:eastAsia="CESI仿宋-GB2312" w:cs="CESI仿宋-GB2312"/>
          <w:sz w:val="32"/>
          <w:szCs w:val="32"/>
          <w:lang w:eastAsia="zh-CN"/>
        </w:rPr>
        <w:t>。</w:t>
      </w:r>
      <w:r>
        <w:rPr>
          <w:rFonts w:hint="default" w:ascii="Times New Roman" w:hAnsi="Times New Roman" w:eastAsia="方正仿宋_GBK" w:cs="Times New Roman"/>
        </w:rPr>
        <w:tab/>
      </w:r>
    </w:p>
    <w:p w14:paraId="6E7FDCA2">
      <w:pPr>
        <w:keepNext w:val="0"/>
        <w:keepLines w:val="0"/>
        <w:pageBreakBefore w:val="0"/>
        <w:widowControl w:val="0"/>
        <w:kinsoku/>
        <w:wordWrap/>
        <w:overflowPunct/>
        <w:topLinePunct w:val="0"/>
        <w:autoSpaceDE/>
        <w:autoSpaceDN/>
        <w:bidi w:val="0"/>
        <w:adjustRightInd w:val="0"/>
        <w:snapToGrid w:val="0"/>
        <w:spacing w:line="576" w:lineRule="exact"/>
        <w:ind w:firstLine="643" w:firstLineChars="200"/>
        <w:textAlignment w:val="auto"/>
        <w:rPr>
          <w:rFonts w:hint="default" w:ascii="Times New Roman" w:hAnsi="Times New Roman" w:eastAsia="方正楷体_GBK" w:cs="Times New Roman"/>
          <w:b/>
          <w:bCs/>
          <w:sz w:val="32"/>
          <w:szCs w:val="32"/>
          <w:lang w:val="zh-CN"/>
        </w:rPr>
      </w:pPr>
      <w:r>
        <w:rPr>
          <w:rFonts w:hint="default" w:ascii="Times New Roman" w:hAnsi="Times New Roman" w:eastAsia="方正楷体_GBK" w:cs="Times New Roman"/>
          <w:b/>
          <w:bCs/>
          <w:sz w:val="32"/>
          <w:szCs w:val="32"/>
          <w:lang w:val="zh-CN"/>
        </w:rPr>
        <w:t>（三）相关建议。</w:t>
      </w:r>
    </w:p>
    <w:p w14:paraId="50B101E7">
      <w:pPr>
        <w:keepNext w:val="0"/>
        <w:keepLines w:val="0"/>
        <w:pageBreakBefore w:val="0"/>
        <w:widowControl w:val="0"/>
        <w:kinsoku/>
        <w:wordWrap/>
        <w:overflowPunct/>
        <w:topLinePunct w:val="0"/>
        <w:autoSpaceDE/>
        <w:autoSpaceDN/>
        <w:bidi w:val="0"/>
        <w:spacing w:line="576" w:lineRule="exact"/>
        <w:ind w:firstLine="640" w:firstLineChars="200"/>
        <w:textAlignment w:val="auto"/>
        <w:rPr>
          <w:rFonts w:hint="eastAsia" w:eastAsia="仿宋_GB2312" w:cs="仿宋_GB2312"/>
          <w:kern w:val="0"/>
          <w:sz w:val="32"/>
          <w:szCs w:val="32"/>
        </w:rPr>
        <w:sectPr>
          <w:pgSz w:w="11906" w:h="16838"/>
          <w:pgMar w:top="1440" w:right="1800" w:bottom="1440" w:left="1800" w:header="851" w:footer="992" w:gutter="0"/>
          <w:pgNumType w:fmt="decimal"/>
          <w:cols w:space="425" w:num="1"/>
          <w:titlePg/>
          <w:docGrid w:type="lines" w:linePitch="312" w:charSpace="0"/>
        </w:sectPr>
      </w:pPr>
      <w:r>
        <w:rPr>
          <w:rFonts w:hint="eastAsia" w:ascii="CESI仿宋-GB2312" w:hAnsi="CESI仿宋-GB2312" w:eastAsia="CESI仿宋-GB2312" w:cs="CESI仿宋-GB2312"/>
          <w:sz w:val="32"/>
          <w:szCs w:val="32"/>
        </w:rPr>
        <w:t>下一步将充分结合自身的情况，</w:t>
      </w:r>
      <w:r>
        <w:rPr>
          <w:rFonts w:hint="eastAsia" w:ascii="CESI仿宋-GB2312" w:hAnsi="CESI仿宋-GB2312" w:eastAsia="CESI仿宋-GB2312" w:cs="CESI仿宋-GB2312"/>
          <w:b/>
          <w:bCs/>
          <w:sz w:val="32"/>
          <w:szCs w:val="32"/>
        </w:rPr>
        <w:t>一是</w:t>
      </w:r>
      <w:r>
        <w:rPr>
          <w:rFonts w:hint="eastAsia" w:ascii="CESI仿宋-GB2312" w:hAnsi="CESI仿宋-GB2312" w:eastAsia="CESI仿宋-GB2312" w:cs="CESI仿宋-GB2312"/>
          <w:sz w:val="32"/>
          <w:szCs w:val="32"/>
        </w:rPr>
        <w:t>强弱项，补短板，积极争取政府的支持，科学设置村卫生室，形成稳定的村卫生室稳定的村医收入，确保人民群众能就近就医，为乡村振兴提高良好的农村医疗环境；</w:t>
      </w:r>
      <w:r>
        <w:rPr>
          <w:rFonts w:hint="eastAsia" w:ascii="CESI仿宋-GB2312" w:hAnsi="CESI仿宋-GB2312" w:eastAsia="CESI仿宋-GB2312" w:cs="CESI仿宋-GB2312"/>
          <w:b/>
          <w:bCs/>
          <w:sz w:val="32"/>
          <w:szCs w:val="32"/>
        </w:rPr>
        <w:t>二是</w:t>
      </w:r>
      <w:r>
        <w:rPr>
          <w:rFonts w:hint="eastAsia" w:ascii="CESI仿宋-GB2312" w:hAnsi="CESI仿宋-GB2312" w:eastAsia="CESI仿宋-GB2312" w:cs="CESI仿宋-GB2312"/>
          <w:sz w:val="32"/>
          <w:szCs w:val="32"/>
        </w:rPr>
        <w:t>充分利用我县县域紧密型医共体试点县的契机，科学谋划，统筹考虑，在医共体政策体系更加完善，保障机制更加健全，建成目标明确、权责清晰、分工协作、有效运行的整合型医疗卫生体系上将基本药物制度在基层医疗机构落地落实，彻底解除以药补医机制，力促基层门</w:t>
      </w:r>
      <w:r>
        <w:rPr>
          <w:rFonts w:hint="eastAsia" w:ascii="CESI仿宋-GB2312" w:hAnsi="CESI仿宋-GB2312" w:eastAsia="CESI仿宋-GB2312" w:cs="CESI仿宋-GB2312"/>
          <w:sz w:val="32"/>
          <w:szCs w:val="32"/>
          <w:lang w:eastAsia="zh-CN"/>
        </w:rPr>
        <w:t>急</w:t>
      </w:r>
      <w:r>
        <w:rPr>
          <w:rFonts w:hint="eastAsia" w:ascii="CESI仿宋-GB2312" w:hAnsi="CESI仿宋-GB2312" w:eastAsia="CESI仿宋-GB2312" w:cs="CESI仿宋-GB2312"/>
          <w:sz w:val="32"/>
          <w:szCs w:val="32"/>
        </w:rPr>
        <w:t>诊人次和住院人次占比较前一年度</w:t>
      </w:r>
      <w:r>
        <w:rPr>
          <w:rFonts w:hint="eastAsia" w:ascii="CESI仿宋-GB2312" w:hAnsi="CESI仿宋-GB2312" w:eastAsia="CESI仿宋-GB2312" w:cs="CESI仿宋-GB2312"/>
          <w:sz w:val="32"/>
          <w:szCs w:val="32"/>
          <w:lang w:eastAsia="zh-CN"/>
        </w:rPr>
        <w:t>有所提升</w:t>
      </w:r>
      <w:r>
        <w:rPr>
          <w:rFonts w:hint="eastAsia" w:ascii="CESI仿宋-GB2312" w:hAnsi="CESI仿宋-GB2312" w:eastAsia="CESI仿宋-GB2312" w:cs="CESI仿宋-GB2312"/>
          <w:sz w:val="32"/>
          <w:szCs w:val="32"/>
        </w:rPr>
        <w:t>，基层开展技术、项目的能力不断增加，基本实现“大病不出县、小病不出乡（镇）</w:t>
      </w:r>
    </w:p>
    <w:p w14:paraId="261BFFC4">
      <w:pPr>
        <w:spacing w:line="578" w:lineRule="exact"/>
        <w:rPr>
          <w:rFonts w:hint="eastAsia" w:eastAsia="仿宋_GB2312" w:cs="仿宋_GB2312"/>
          <w:kern w:val="0"/>
          <w:sz w:val="32"/>
          <w:szCs w:val="32"/>
          <w:lang w:eastAsia="zh-CN"/>
        </w:rPr>
      </w:pPr>
    </w:p>
    <w:p w14:paraId="1E32A353">
      <w:pPr>
        <w:widowControl/>
        <w:numPr>
          <w:ilvl w:val="0"/>
          <w:numId w:val="6"/>
        </w:numPr>
        <w:jc w:val="center"/>
        <w:outlineLvl w:val="0"/>
        <w:rPr>
          <w:rStyle w:val="29"/>
          <w:rFonts w:hint="eastAsia" w:eastAsia="黑体"/>
          <w:b w:val="0"/>
        </w:rPr>
      </w:pPr>
      <w:bookmarkStart w:id="81" w:name="_Toc1917879216"/>
      <w:r>
        <w:rPr>
          <w:rStyle w:val="29"/>
          <w:rFonts w:hint="eastAsia" w:eastAsia="黑体"/>
          <w:b w:val="0"/>
        </w:rPr>
        <w:t>附表</w:t>
      </w:r>
      <w:bookmarkEnd w:id="75"/>
      <w:bookmarkEnd w:id="80"/>
      <w:bookmarkEnd w:id="81"/>
      <w:bookmarkStart w:id="82" w:name="_Toc15396619"/>
    </w:p>
    <w:p w14:paraId="0C769B45">
      <w:pPr>
        <w:pStyle w:val="2"/>
        <w:numPr>
          <w:ilvl w:val="0"/>
          <w:numId w:val="0"/>
        </w:numPr>
      </w:pPr>
    </w:p>
    <w:p w14:paraId="29E6FDEF">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83" w:name="_Toc1532284945"/>
      <w:r>
        <w:rPr>
          <w:rFonts w:hint="eastAsia" w:ascii="CESI仿宋-GB2312" w:hAnsi="CESI仿宋-GB2312" w:eastAsia="CESI仿宋-GB2312" w:cs="CESI仿宋-GB2312"/>
          <w:b w:val="0"/>
          <w:bCs w:val="0"/>
          <w:sz w:val="32"/>
          <w:szCs w:val="32"/>
        </w:rPr>
        <w:t>一、收入支出决算总表</w:t>
      </w:r>
      <w:bookmarkEnd w:id="82"/>
      <w:bookmarkEnd w:id="83"/>
    </w:p>
    <w:p w14:paraId="2684DBFA">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84" w:name="_Toc683453231"/>
      <w:bookmarkStart w:id="85" w:name="_Toc15396620"/>
      <w:r>
        <w:rPr>
          <w:rFonts w:hint="eastAsia" w:ascii="CESI仿宋-GB2312" w:hAnsi="CESI仿宋-GB2312" w:eastAsia="CESI仿宋-GB2312" w:cs="CESI仿宋-GB2312"/>
          <w:b w:val="0"/>
          <w:bCs w:val="0"/>
          <w:sz w:val="32"/>
          <w:szCs w:val="32"/>
        </w:rPr>
        <w:t>二、收入决算表</w:t>
      </w:r>
      <w:bookmarkEnd w:id="84"/>
      <w:bookmarkEnd w:id="85"/>
    </w:p>
    <w:p w14:paraId="67A60E3D">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86" w:name="_Toc15396621"/>
      <w:bookmarkStart w:id="87" w:name="_Toc1677993035"/>
      <w:r>
        <w:rPr>
          <w:rFonts w:hint="eastAsia" w:ascii="CESI仿宋-GB2312" w:hAnsi="CESI仿宋-GB2312" w:eastAsia="CESI仿宋-GB2312" w:cs="CESI仿宋-GB2312"/>
          <w:b w:val="0"/>
          <w:bCs w:val="0"/>
          <w:sz w:val="32"/>
          <w:szCs w:val="32"/>
        </w:rPr>
        <w:t>三、支出决算表</w:t>
      </w:r>
      <w:bookmarkEnd w:id="86"/>
      <w:bookmarkEnd w:id="87"/>
    </w:p>
    <w:p w14:paraId="30C1EA0B">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88" w:name="_Toc15396622"/>
      <w:bookmarkStart w:id="89" w:name="_Toc2047256558"/>
      <w:r>
        <w:rPr>
          <w:rFonts w:hint="eastAsia" w:ascii="CESI仿宋-GB2312" w:hAnsi="CESI仿宋-GB2312" w:eastAsia="CESI仿宋-GB2312" w:cs="CESI仿宋-GB2312"/>
          <w:b w:val="0"/>
          <w:bCs w:val="0"/>
          <w:sz w:val="32"/>
          <w:szCs w:val="32"/>
        </w:rPr>
        <w:t>四、财政拨款收入支出决算总表</w:t>
      </w:r>
      <w:bookmarkEnd w:id="88"/>
      <w:bookmarkEnd w:id="89"/>
    </w:p>
    <w:p w14:paraId="5641FB84">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90" w:name="_Toc15396623"/>
      <w:bookmarkStart w:id="91" w:name="_Toc199991638"/>
      <w:r>
        <w:rPr>
          <w:rFonts w:hint="eastAsia" w:ascii="CESI仿宋-GB2312" w:hAnsi="CESI仿宋-GB2312" w:eastAsia="CESI仿宋-GB2312" w:cs="CESI仿宋-GB2312"/>
          <w:b w:val="0"/>
          <w:bCs w:val="0"/>
          <w:sz w:val="32"/>
          <w:szCs w:val="32"/>
        </w:rPr>
        <w:t>五、财政拨款支出决算明细表</w:t>
      </w:r>
      <w:bookmarkEnd w:id="90"/>
      <w:bookmarkEnd w:id="91"/>
      <w:bookmarkStart w:id="92" w:name="_Toc15396624"/>
    </w:p>
    <w:p w14:paraId="04351EDF">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93" w:name="_Toc1139293770"/>
      <w:r>
        <w:rPr>
          <w:rFonts w:hint="eastAsia" w:ascii="CESI仿宋-GB2312" w:hAnsi="CESI仿宋-GB2312" w:eastAsia="CESI仿宋-GB2312" w:cs="CESI仿宋-GB2312"/>
          <w:b w:val="0"/>
          <w:bCs w:val="0"/>
          <w:sz w:val="32"/>
          <w:szCs w:val="32"/>
        </w:rPr>
        <w:t>六、一般公共预算财政拨款支出决算表</w:t>
      </w:r>
      <w:bookmarkEnd w:id="92"/>
      <w:bookmarkEnd w:id="93"/>
    </w:p>
    <w:p w14:paraId="08B880E3">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94" w:name="_Toc90689636"/>
      <w:bookmarkStart w:id="95" w:name="_Toc15396625"/>
      <w:r>
        <w:rPr>
          <w:rFonts w:hint="eastAsia" w:ascii="CESI仿宋-GB2312" w:hAnsi="CESI仿宋-GB2312" w:eastAsia="CESI仿宋-GB2312" w:cs="CESI仿宋-GB2312"/>
          <w:b w:val="0"/>
          <w:bCs w:val="0"/>
          <w:sz w:val="32"/>
          <w:szCs w:val="32"/>
        </w:rPr>
        <w:t>七、一般公共预算财政拨款支出决算明细表</w:t>
      </w:r>
      <w:bookmarkEnd w:id="94"/>
      <w:bookmarkEnd w:id="95"/>
    </w:p>
    <w:p w14:paraId="2282D382">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96" w:name="_Toc15396626"/>
      <w:bookmarkStart w:id="97" w:name="_Toc908812351"/>
      <w:r>
        <w:rPr>
          <w:rFonts w:hint="eastAsia" w:ascii="CESI仿宋-GB2312" w:hAnsi="CESI仿宋-GB2312" w:eastAsia="CESI仿宋-GB2312" w:cs="CESI仿宋-GB2312"/>
          <w:b w:val="0"/>
          <w:bCs w:val="0"/>
          <w:sz w:val="32"/>
          <w:szCs w:val="32"/>
        </w:rPr>
        <w:t>八、一般公共预算财政拨款基本支出决算表</w:t>
      </w:r>
      <w:bookmarkEnd w:id="96"/>
      <w:bookmarkEnd w:id="97"/>
    </w:p>
    <w:p w14:paraId="38F1CD12">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98" w:name="_Toc15396627"/>
      <w:bookmarkStart w:id="99" w:name="_Toc608225959"/>
      <w:r>
        <w:rPr>
          <w:rFonts w:hint="eastAsia" w:ascii="CESI仿宋-GB2312" w:hAnsi="CESI仿宋-GB2312" w:eastAsia="CESI仿宋-GB2312" w:cs="CESI仿宋-GB2312"/>
          <w:b w:val="0"/>
          <w:bCs w:val="0"/>
          <w:sz w:val="32"/>
          <w:szCs w:val="32"/>
        </w:rPr>
        <w:t>九、一般公共预算财政拨款项目支出决算表</w:t>
      </w:r>
      <w:bookmarkEnd w:id="98"/>
      <w:bookmarkEnd w:id="99"/>
    </w:p>
    <w:p w14:paraId="703F3406">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100" w:name="_Toc15396628"/>
      <w:bookmarkStart w:id="101" w:name="_Toc1442211786"/>
      <w:r>
        <w:rPr>
          <w:rFonts w:hint="eastAsia" w:ascii="CESI仿宋-GB2312" w:hAnsi="CESI仿宋-GB2312" w:eastAsia="CESI仿宋-GB2312" w:cs="CESI仿宋-GB2312"/>
          <w:b w:val="0"/>
          <w:bCs w:val="0"/>
          <w:sz w:val="32"/>
          <w:szCs w:val="32"/>
        </w:rPr>
        <w:t>十、</w:t>
      </w:r>
      <w:bookmarkEnd w:id="100"/>
      <w:r>
        <w:rPr>
          <w:rFonts w:hint="eastAsia" w:ascii="CESI仿宋-GB2312" w:hAnsi="CESI仿宋-GB2312" w:eastAsia="CESI仿宋-GB2312" w:cs="CESI仿宋-GB2312"/>
          <w:b w:val="0"/>
          <w:bCs w:val="0"/>
          <w:sz w:val="32"/>
          <w:szCs w:val="32"/>
        </w:rPr>
        <w:t>政府性基金预算财政拨款收入支出决算表</w:t>
      </w:r>
      <w:bookmarkEnd w:id="101"/>
    </w:p>
    <w:p w14:paraId="11D16900">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102" w:name="_Toc15396629"/>
      <w:bookmarkStart w:id="103" w:name="_Toc523949420"/>
      <w:r>
        <w:rPr>
          <w:rFonts w:hint="eastAsia" w:ascii="CESI仿宋-GB2312" w:hAnsi="CESI仿宋-GB2312" w:eastAsia="CESI仿宋-GB2312" w:cs="CESI仿宋-GB2312"/>
          <w:b w:val="0"/>
          <w:bCs w:val="0"/>
          <w:sz w:val="32"/>
          <w:szCs w:val="32"/>
        </w:rPr>
        <w:t>十一、</w:t>
      </w:r>
      <w:bookmarkEnd w:id="102"/>
      <w:r>
        <w:rPr>
          <w:rFonts w:hint="eastAsia" w:ascii="CESI仿宋-GB2312" w:hAnsi="CESI仿宋-GB2312" w:eastAsia="CESI仿宋-GB2312" w:cs="CESI仿宋-GB2312"/>
          <w:b w:val="0"/>
          <w:bCs w:val="0"/>
          <w:sz w:val="32"/>
          <w:szCs w:val="32"/>
        </w:rPr>
        <w:t>国有资本经营预算财政拨款收入支出决算表</w:t>
      </w:r>
      <w:bookmarkEnd w:id="103"/>
    </w:p>
    <w:p w14:paraId="722B9BBA">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104" w:name="_Toc15396630"/>
      <w:bookmarkStart w:id="105" w:name="_Toc497977433"/>
      <w:r>
        <w:rPr>
          <w:rFonts w:hint="eastAsia" w:ascii="CESI仿宋-GB2312" w:hAnsi="CESI仿宋-GB2312" w:eastAsia="CESI仿宋-GB2312" w:cs="CESI仿宋-GB2312"/>
          <w:b w:val="0"/>
          <w:bCs w:val="0"/>
          <w:sz w:val="32"/>
          <w:szCs w:val="32"/>
        </w:rPr>
        <w:t>十二、</w:t>
      </w:r>
      <w:bookmarkEnd w:id="104"/>
      <w:r>
        <w:rPr>
          <w:rFonts w:hint="eastAsia" w:ascii="CESI仿宋-GB2312" w:hAnsi="CESI仿宋-GB2312" w:eastAsia="CESI仿宋-GB2312" w:cs="CESI仿宋-GB2312"/>
          <w:b w:val="0"/>
          <w:bCs w:val="0"/>
          <w:sz w:val="32"/>
          <w:szCs w:val="32"/>
        </w:rPr>
        <w:t>国有资本经营预算财政拨款支出决算表</w:t>
      </w:r>
      <w:bookmarkEnd w:id="105"/>
    </w:p>
    <w:p w14:paraId="353E5C7E">
      <w:pPr>
        <w:pStyle w:val="4"/>
        <w:keepNext/>
        <w:keepLines/>
        <w:pageBreakBefore w:val="0"/>
        <w:widowControl w:val="0"/>
        <w:kinsoku/>
        <w:wordWrap/>
        <w:overflowPunct/>
        <w:topLinePunct w:val="0"/>
        <w:autoSpaceDE/>
        <w:autoSpaceDN/>
        <w:bidi w:val="0"/>
        <w:adjustRightInd/>
        <w:snapToGrid/>
        <w:spacing w:before="0" w:after="0" w:line="240" w:lineRule="auto"/>
        <w:ind w:firstLine="320" w:firstLineChars="100"/>
        <w:textAlignment w:val="auto"/>
        <w:rPr>
          <w:rFonts w:hint="eastAsia" w:ascii="CESI仿宋-GB2312" w:hAnsi="CESI仿宋-GB2312" w:eastAsia="CESI仿宋-GB2312" w:cs="CESI仿宋-GB2312"/>
          <w:b w:val="0"/>
          <w:bCs w:val="0"/>
          <w:sz w:val="32"/>
          <w:szCs w:val="32"/>
        </w:rPr>
      </w:pPr>
      <w:bookmarkStart w:id="106" w:name="_Toc15396631"/>
      <w:bookmarkStart w:id="107" w:name="_Toc243712010"/>
      <w:r>
        <w:rPr>
          <w:rFonts w:hint="eastAsia" w:ascii="CESI仿宋-GB2312" w:hAnsi="CESI仿宋-GB2312" w:eastAsia="CESI仿宋-GB2312" w:cs="CESI仿宋-GB2312"/>
          <w:b w:val="0"/>
          <w:bCs w:val="0"/>
          <w:sz w:val="32"/>
          <w:szCs w:val="32"/>
        </w:rPr>
        <w:t>十三、</w:t>
      </w:r>
      <w:bookmarkEnd w:id="106"/>
      <w:r>
        <w:rPr>
          <w:rFonts w:hint="eastAsia" w:ascii="CESI仿宋-GB2312" w:hAnsi="CESI仿宋-GB2312" w:eastAsia="CESI仿宋-GB2312" w:cs="CESI仿宋-GB2312"/>
          <w:b w:val="0"/>
          <w:bCs w:val="0"/>
          <w:sz w:val="32"/>
          <w:szCs w:val="32"/>
        </w:rPr>
        <w:t>财政拨款“三公”经费支出决算表</w:t>
      </w:r>
      <w:bookmarkEnd w:id="107"/>
    </w:p>
    <w:p w14:paraId="15F00363"/>
    <w:p w14:paraId="3407635D">
      <w:pPr>
        <w:widowControl/>
        <w:jc w:val="center"/>
        <w:outlineLvl w:val="0"/>
      </w:pPr>
    </w:p>
    <w:sectPr>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
    <w:altName w:val="国标仿宋"/>
    <w:panose1 w:val="00000000000000000000"/>
    <w:charset w:val="00"/>
    <w:family w:val="roman"/>
    <w:pitch w:val="default"/>
    <w:sig w:usb0="00000000" w:usb1="00000000" w:usb2="00000000" w:usb3="00000000" w:csb0="00000000" w:csb1="00000000"/>
  </w:font>
  <w:font w:name="国标仿宋">
    <w:panose1 w:val="02000500000000000000"/>
    <w:charset w:val="86"/>
    <w:family w:val="auto"/>
    <w:pitch w:val="default"/>
    <w:sig w:usb0="A00002BF" w:usb1="38C77CFA" w:usb2="00000016" w:usb3="00000000" w:csb0="00060007" w:csb1="00000000"/>
  </w:font>
  <w:font w:name="方正小标宋简体">
    <w:panose1 w:val="02000000000000000000"/>
    <w:charset w:val="86"/>
    <w:family w:val="script"/>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国标黑体">
    <w:panose1 w:val="02000500000000000000"/>
    <w:charset w:val="86"/>
    <w:family w:val="auto"/>
    <w:pitch w:val="default"/>
    <w:sig w:usb0="00000001" w:usb1="08000000" w:usb2="00000000" w:usb3="00000000" w:csb0="00060007"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09DBC">
    <w:pPr>
      <w:pStyle w:val="10"/>
      <w:jc w:val="center"/>
    </w:pPr>
  </w:p>
  <w:p w14:paraId="49C4960B">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C35D5">
    <w:pPr>
      <w:pStyle w:val="10"/>
      <w:jc w:val="center"/>
    </w:pPr>
  </w:p>
  <w:p w14:paraId="4D30512E">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E1E9D">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47C15">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2F6F0">
                          <w:pPr>
                            <w:pStyle w:val="1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8C2F6F0">
                    <w:pPr>
                      <w:pStyle w:val="10"/>
                    </w:pPr>
                    <w:r>
                      <w:fldChar w:fldCharType="begin"/>
                    </w:r>
                    <w:r>
                      <w:instrText xml:space="preserve"> PAGE  \* MERGEFORMAT </w:instrText>
                    </w:r>
                    <w:r>
                      <w:fldChar w:fldCharType="separate"/>
                    </w:r>
                    <w:r>
                      <w:t>- 2 -</w:t>
                    </w:r>
                    <w:r>
                      <w:fldChar w:fldCharType="end"/>
                    </w:r>
                  </w:p>
                </w:txbxContent>
              </v:textbox>
            </v:shape>
          </w:pict>
        </mc:Fallback>
      </mc:AlternateContent>
    </w:r>
  </w:p>
  <w:p w14:paraId="0A98ABC6">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10425">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8CC7A6">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E8CC7A6">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BA2A0">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FE45AD"/>
    <w:multiLevelType w:val="singleLevel"/>
    <w:tmpl w:val="97FE45AD"/>
    <w:lvl w:ilvl="0" w:tentative="0">
      <w:start w:val="5"/>
      <w:numFmt w:val="chineseCounting"/>
      <w:suff w:val="space"/>
      <w:lvlText w:val="第%1部分"/>
      <w:lvlJc w:val="left"/>
      <w:rPr>
        <w:rFonts w:hint="eastAsia"/>
      </w:rPr>
    </w:lvl>
  </w:abstractNum>
  <w:abstractNum w:abstractNumId="1">
    <w:nsid w:val="BBCB19E9"/>
    <w:multiLevelType w:val="singleLevel"/>
    <w:tmpl w:val="BBCB19E9"/>
    <w:lvl w:ilvl="0" w:tentative="0">
      <w:start w:val="3"/>
      <w:numFmt w:val="chineseCounting"/>
      <w:suff w:val="nothing"/>
      <w:lvlText w:val="（%1）"/>
      <w:lvlJc w:val="left"/>
      <w:rPr>
        <w:rFonts w:hint="eastAsia"/>
      </w:rPr>
    </w:lvl>
  </w:abstractNum>
  <w:abstractNum w:abstractNumId="2">
    <w:nsid w:val="BBDE6A79"/>
    <w:multiLevelType w:val="singleLevel"/>
    <w:tmpl w:val="BBDE6A79"/>
    <w:lvl w:ilvl="0" w:tentative="0">
      <w:start w:val="1"/>
      <w:numFmt w:val="decimal"/>
      <w:lvlText w:val="%1."/>
      <w:lvlJc w:val="left"/>
      <w:pPr>
        <w:tabs>
          <w:tab w:val="left" w:pos="312"/>
        </w:tabs>
      </w:pPr>
    </w:lvl>
  </w:abstractNum>
  <w:abstractNum w:abstractNumId="3">
    <w:nsid w:val="BEFF7B06"/>
    <w:multiLevelType w:val="singleLevel"/>
    <w:tmpl w:val="BEFF7B06"/>
    <w:lvl w:ilvl="0" w:tentative="0">
      <w:start w:val="1"/>
      <w:numFmt w:val="chineseCounting"/>
      <w:suff w:val="nothing"/>
      <w:lvlText w:val="%1、"/>
      <w:lvlJc w:val="left"/>
      <w:rPr>
        <w:rFonts w:hint="eastAsia"/>
      </w:rPr>
    </w:lvl>
  </w:abstractNum>
  <w:abstractNum w:abstractNumId="4">
    <w:nsid w:val="FCFD8EA3"/>
    <w:multiLevelType w:val="singleLevel"/>
    <w:tmpl w:val="FCFD8EA3"/>
    <w:lvl w:ilvl="0" w:tentative="0">
      <w:start w:val="1"/>
      <w:numFmt w:val="chineseCounting"/>
      <w:suff w:val="nothing"/>
      <w:lvlText w:val="（%1）"/>
      <w:lvlJc w:val="left"/>
      <w:rPr>
        <w:rFonts w:hint="eastAsia"/>
      </w:rPr>
    </w:lvl>
  </w:abstractNum>
  <w:abstractNum w:abstractNumId="5">
    <w:nsid w:val="5F7E8E52"/>
    <w:multiLevelType w:val="multilevel"/>
    <w:tmpl w:val="5F7E8E52"/>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3"/>
  </w:num>
  <w:num w:numId="2">
    <w:abstractNumId w:val="5"/>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8A4"/>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0156"/>
    <w:rsid w:val="006A3141"/>
    <w:rsid w:val="006A5E34"/>
    <w:rsid w:val="006B2422"/>
    <w:rsid w:val="006B2B9A"/>
    <w:rsid w:val="006C1937"/>
    <w:rsid w:val="006F020C"/>
    <w:rsid w:val="007127B7"/>
    <w:rsid w:val="0071798E"/>
    <w:rsid w:val="007416B6"/>
    <w:rsid w:val="00746BD5"/>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75013"/>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494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17821"/>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AD4F97"/>
    <w:rsid w:val="1BE8440E"/>
    <w:rsid w:val="1CC6347C"/>
    <w:rsid w:val="1D155CEE"/>
    <w:rsid w:val="1D1638FE"/>
    <w:rsid w:val="1E312DEB"/>
    <w:rsid w:val="1E740ACF"/>
    <w:rsid w:val="1EF6D447"/>
    <w:rsid w:val="1FF35744"/>
    <w:rsid w:val="1FF6BC77"/>
    <w:rsid w:val="2186353C"/>
    <w:rsid w:val="23860B96"/>
    <w:rsid w:val="240371BF"/>
    <w:rsid w:val="244F3473"/>
    <w:rsid w:val="24C97D99"/>
    <w:rsid w:val="25A718F0"/>
    <w:rsid w:val="25BB59F6"/>
    <w:rsid w:val="260F557C"/>
    <w:rsid w:val="26970054"/>
    <w:rsid w:val="27FD515E"/>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55DD111"/>
    <w:rsid w:val="36AA5135"/>
    <w:rsid w:val="36BE0DA7"/>
    <w:rsid w:val="37671A90"/>
    <w:rsid w:val="376B6AA6"/>
    <w:rsid w:val="376D39B2"/>
    <w:rsid w:val="37E16F03"/>
    <w:rsid w:val="37F53A3B"/>
    <w:rsid w:val="389B6C89"/>
    <w:rsid w:val="38D469F0"/>
    <w:rsid w:val="39627CCD"/>
    <w:rsid w:val="397BAF1F"/>
    <w:rsid w:val="3AB79AF3"/>
    <w:rsid w:val="3ABD4758"/>
    <w:rsid w:val="3AE834C0"/>
    <w:rsid w:val="3B7EF35A"/>
    <w:rsid w:val="3B9FDB6C"/>
    <w:rsid w:val="3BF5BC2F"/>
    <w:rsid w:val="3CEBA265"/>
    <w:rsid w:val="3D98207C"/>
    <w:rsid w:val="3DEE7CF3"/>
    <w:rsid w:val="3E740A63"/>
    <w:rsid w:val="3E78745D"/>
    <w:rsid w:val="3EAF5DA4"/>
    <w:rsid w:val="3EE17838"/>
    <w:rsid w:val="3F55381A"/>
    <w:rsid w:val="3F7B2FAC"/>
    <w:rsid w:val="3F7F7599"/>
    <w:rsid w:val="3FF4CAE0"/>
    <w:rsid w:val="3FF7B227"/>
    <w:rsid w:val="43C42FDD"/>
    <w:rsid w:val="43CC351F"/>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53CA15"/>
    <w:rsid w:val="6E714EF0"/>
    <w:rsid w:val="6E7E3605"/>
    <w:rsid w:val="6E7FDCC7"/>
    <w:rsid w:val="6ED6A62E"/>
    <w:rsid w:val="6EE00B15"/>
    <w:rsid w:val="6F6FB3EB"/>
    <w:rsid w:val="6F8731EA"/>
    <w:rsid w:val="6FCE6052"/>
    <w:rsid w:val="6FD57C00"/>
    <w:rsid w:val="6FDE4008"/>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7090C"/>
    <w:rsid w:val="7D7DD457"/>
    <w:rsid w:val="7D7EC23E"/>
    <w:rsid w:val="7E8ADEBF"/>
    <w:rsid w:val="7EBB4D90"/>
    <w:rsid w:val="7EEF11D3"/>
    <w:rsid w:val="7EFE4840"/>
    <w:rsid w:val="7F0971A6"/>
    <w:rsid w:val="7F1D62E7"/>
    <w:rsid w:val="7F3F679B"/>
    <w:rsid w:val="7F4FC4EF"/>
    <w:rsid w:val="7F5E4D54"/>
    <w:rsid w:val="7F6E0135"/>
    <w:rsid w:val="7F79F205"/>
    <w:rsid w:val="7F7F427C"/>
    <w:rsid w:val="7FA30C79"/>
    <w:rsid w:val="7FA79C44"/>
    <w:rsid w:val="7FAF8ABF"/>
    <w:rsid w:val="7FB7269E"/>
    <w:rsid w:val="7FC96657"/>
    <w:rsid w:val="7FDA9588"/>
    <w:rsid w:val="7FDF220F"/>
    <w:rsid w:val="7FEDC5F7"/>
    <w:rsid w:val="7FEDD9DE"/>
    <w:rsid w:val="7FF5890D"/>
    <w:rsid w:val="7FF78517"/>
    <w:rsid w:val="7FF93490"/>
    <w:rsid w:val="97761201"/>
    <w:rsid w:val="99FF2014"/>
    <w:rsid w:val="A6DD0D7F"/>
    <w:rsid w:val="ACFF4FBB"/>
    <w:rsid w:val="ADC6F725"/>
    <w:rsid w:val="B7CF06AB"/>
    <w:rsid w:val="B7CFA926"/>
    <w:rsid w:val="B7F8786B"/>
    <w:rsid w:val="BABB6AA1"/>
    <w:rsid w:val="BB2F4199"/>
    <w:rsid w:val="BCFFB442"/>
    <w:rsid w:val="BD079C78"/>
    <w:rsid w:val="BD733540"/>
    <w:rsid w:val="BDEF2279"/>
    <w:rsid w:val="BF3735D5"/>
    <w:rsid w:val="BF7F09AC"/>
    <w:rsid w:val="BFD475C3"/>
    <w:rsid w:val="BFDE5EA6"/>
    <w:rsid w:val="CF6FC6F3"/>
    <w:rsid w:val="CFCBDB67"/>
    <w:rsid w:val="CFD3D3D7"/>
    <w:rsid w:val="CFDF1009"/>
    <w:rsid w:val="D3FF1F1C"/>
    <w:rsid w:val="D7160894"/>
    <w:rsid w:val="D7D7B16A"/>
    <w:rsid w:val="D8D6DB89"/>
    <w:rsid w:val="DB6F4CAB"/>
    <w:rsid w:val="DB777682"/>
    <w:rsid w:val="DD1FB521"/>
    <w:rsid w:val="DD7DEC36"/>
    <w:rsid w:val="DEFBFEAE"/>
    <w:rsid w:val="DF1F3B80"/>
    <w:rsid w:val="DF6F9789"/>
    <w:rsid w:val="DF792396"/>
    <w:rsid w:val="DF881774"/>
    <w:rsid w:val="DFE9BE81"/>
    <w:rsid w:val="DFFFA9E8"/>
    <w:rsid w:val="E5F4E9DC"/>
    <w:rsid w:val="E70FE695"/>
    <w:rsid w:val="EB2E368B"/>
    <w:rsid w:val="ECFED1BC"/>
    <w:rsid w:val="ED1D69BB"/>
    <w:rsid w:val="ED7FD312"/>
    <w:rsid w:val="EDFD7BBD"/>
    <w:rsid w:val="EEFBC12E"/>
    <w:rsid w:val="EF2E1AC6"/>
    <w:rsid w:val="EF53993F"/>
    <w:rsid w:val="EF6FD633"/>
    <w:rsid w:val="EFBFB2F4"/>
    <w:rsid w:val="EFBFFA21"/>
    <w:rsid w:val="F2BEBCB8"/>
    <w:rsid w:val="F36FB518"/>
    <w:rsid w:val="F3DE1A04"/>
    <w:rsid w:val="F3F722E5"/>
    <w:rsid w:val="F4FBCD07"/>
    <w:rsid w:val="F7FF4243"/>
    <w:rsid w:val="FA5F1E70"/>
    <w:rsid w:val="FA5FDB97"/>
    <w:rsid w:val="FB56E02A"/>
    <w:rsid w:val="FB7F486A"/>
    <w:rsid w:val="FBD719CA"/>
    <w:rsid w:val="FBFF5B2E"/>
    <w:rsid w:val="FC3EE73B"/>
    <w:rsid w:val="FD7FFE2B"/>
    <w:rsid w:val="FDEE196B"/>
    <w:rsid w:val="FDFE6575"/>
    <w:rsid w:val="FEDFDDC2"/>
    <w:rsid w:val="FEED32F6"/>
    <w:rsid w:val="FEF781DD"/>
    <w:rsid w:val="FF3F7E3F"/>
    <w:rsid w:val="FFACD6D8"/>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6"/>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200"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semiHidden/>
    <w:unhideWhenUsed/>
    <w:qFormat/>
    <w:uiPriority w:val="99"/>
    <w:rPr>
      <w:sz w:val="24"/>
    </w:r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1"/>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0"/>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2"/>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9"/>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character" w:customStyle="1" w:styleId="36">
    <w:name w:val="10"/>
    <w:basedOn w:val="17"/>
    <w:qFormat/>
    <w:uiPriority w:val="0"/>
    <w:rPr>
      <w:rFonts w:hint="default" w:ascii="Times New Roman" w:hAnsi="Times New Roman" w:cs="Times New Roman"/>
    </w:rPr>
  </w:style>
  <w:style w:type="character" w:customStyle="1" w:styleId="37">
    <w:name w:val="15"/>
    <w:basedOn w:val="17"/>
    <w:qFormat/>
    <w:uiPriority w:val="0"/>
    <w:rPr>
      <w:rFonts w:hint="default" w:ascii="Times New Roman" w:hAnsi="Times New Roman" w:cs="Times New Roman"/>
      <w:b/>
    </w:rPr>
  </w:style>
  <w:style w:type="paragraph" w:customStyle="1" w:styleId="38">
    <w:name w:val="WPSOffice手动目录 1"/>
    <w:qFormat/>
    <w:uiPriority w:val="0"/>
    <w:pPr>
      <w:ind w:leftChars="0"/>
    </w:pPr>
    <w:rPr>
      <w:rFonts w:ascii="Times New Roman" w:hAnsi="Times New Roman" w:eastAsia="宋体" w:cs="Times New Roman"/>
      <w:sz w:val="20"/>
      <w:szCs w:val="20"/>
    </w:rPr>
  </w:style>
  <w:style w:type="paragraph" w:customStyle="1" w:styleId="3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a:t>
            </a:r>
          </a:p>
        </c:rich>
      </c:tx>
      <c:layout/>
      <c:overlay val="0"/>
      <c:spPr>
        <a:noFill/>
        <a:ln>
          <a:noFill/>
        </a:ln>
        <a:effectLst/>
      </c:spPr>
    </c:title>
    <c:autoTitleDeleted val="0"/>
    <c:plotArea>
      <c:layout>
        <c:manualLayout>
          <c:layoutTarget val="inner"/>
          <c:xMode val="edge"/>
          <c:yMode val="edge"/>
          <c:x val="0.16037620618053"/>
          <c:y val="0.054613733905579"/>
          <c:w val="0.748259435690729"/>
          <c:h val="0.866773962804006"/>
        </c:manualLayout>
      </c:layout>
      <c:barChart>
        <c:barDir val="col"/>
        <c:grouping val="clustered"/>
        <c:varyColors val="0"/>
        <c:ser>
          <c:idx val="0"/>
          <c:order val="0"/>
          <c:tx>
            <c:strRef>
              <c:f>Sheet1!$B$1</c:f>
              <c:strCache>
                <c:ptCount val="1"/>
                <c:pt idx="0">
                  <c:v>2024年</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收入、支出决算</c:v>
                </c:pt>
              </c:strCache>
            </c:strRef>
          </c:cat>
          <c:val>
            <c:numRef>
              <c:f>Sheet1!$B$2</c:f>
              <c:numCache>
                <c:formatCode>#,##0.00</c:formatCode>
                <c:ptCount val="1"/>
                <c:pt idx="0">
                  <c:v>34480.82</c:v>
                </c:pt>
              </c:numCache>
            </c:numRef>
          </c:val>
        </c:ser>
        <c:ser>
          <c:idx val="1"/>
          <c:order val="1"/>
          <c:tx>
            <c:strRef>
              <c:f>Sheet1!$C$1</c:f>
              <c:strCache>
                <c:ptCount val="1"/>
                <c:pt idx="0">
                  <c:v>2023年</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收入、支出决算</c:v>
                </c:pt>
              </c:strCache>
            </c:strRef>
          </c:cat>
          <c:val>
            <c:numRef>
              <c:f>Sheet1!$C$2</c:f>
              <c:numCache>
                <c:formatCode>General</c:formatCode>
                <c:ptCount val="1"/>
                <c:pt idx="0">
                  <c:v>39798.51</c:v>
                </c:pt>
              </c:numCache>
            </c:numRef>
          </c:val>
        </c:ser>
        <c:dLbls>
          <c:showLegendKey val="0"/>
          <c:showVal val="1"/>
          <c:showCatName val="0"/>
          <c:showSerName val="0"/>
          <c:showPercent val="0"/>
          <c:showBubbleSize val="0"/>
        </c:dLbls>
        <c:gapWidth val="260"/>
        <c:overlap val="-32"/>
        <c:axId val="177253376"/>
        <c:axId val="177304320"/>
      </c:barChart>
      <c:catAx>
        <c:axId val="177253376"/>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304320"/>
        <c:crosses val="autoZero"/>
        <c:auto val="1"/>
        <c:lblAlgn val="ctr"/>
        <c:lblOffset val="100"/>
        <c:noMultiLvlLbl val="0"/>
      </c:catAx>
      <c:valAx>
        <c:axId val="177304320"/>
        <c:scaling>
          <c:orientation val="minMax"/>
        </c:scaling>
        <c:delete val="0"/>
        <c:axPos val="l"/>
        <c:numFmt formatCode="#,##0.00"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253376"/>
        <c:crosses val="autoZero"/>
        <c:crossBetween val="between"/>
      </c:valAx>
      <c:spPr>
        <a:noFill/>
        <a:ln>
          <a:noFill/>
        </a:ln>
        <a:effectLst/>
      </c:spPr>
    </c:plotArea>
    <c:legend>
      <c:legendPos val="r"/>
      <c:layout>
        <c:manualLayout>
          <c:xMode val="edge"/>
          <c:yMode val="edge"/>
          <c:x val="0.801270306583608"/>
          <c:y val="0.44080829756795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2fe45aa-3fd0-4b1b-aa88-bcc75ec828d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0315293549166465"/>
          <c:y val="0.145771355716107"/>
          <c:w val="0.946847064508335"/>
          <c:h val="0.720356991075223"/>
        </c:manualLayout>
      </c:layout>
      <c:pie3DChart>
        <c:varyColors val="1"/>
        <c:ser>
          <c:idx val="0"/>
          <c:order val="0"/>
          <c:tx>
            <c:strRef>
              <c:f>Sheet1!$B$1</c:f>
              <c:strCache>
                <c:ptCount val="1"/>
                <c:pt idx="0">
                  <c:v>收入决算</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一般公共预算财政拨款收入</c:v>
                </c:pt>
                <c:pt idx="1">
                  <c:v>政府性基金预算财政拨款收入</c:v>
                </c:pt>
                <c:pt idx="2">
                  <c:v>事业收入</c:v>
                </c:pt>
                <c:pt idx="3">
                  <c:v>其他收入</c:v>
                </c:pt>
              </c:strCache>
            </c:strRef>
          </c:cat>
          <c:val>
            <c:numRef>
              <c:f>Sheet1!$B$2:$B$5</c:f>
              <c:numCache>
                <c:formatCode>General</c:formatCode>
                <c:ptCount val="4"/>
                <c:pt idx="0">
                  <c:v>14992.29</c:v>
                </c:pt>
                <c:pt idx="1">
                  <c:v>7064.16</c:v>
                </c:pt>
                <c:pt idx="2">
                  <c:v>11335.82</c:v>
                </c:pt>
                <c:pt idx="3">
                  <c:v>811.07</c:v>
                </c:pt>
              </c:numCache>
            </c:numRef>
          </c:val>
        </c:ser>
        <c:dLbls>
          <c:showLegendKey val="0"/>
          <c:showVal val="1"/>
          <c:showCatName val="0"/>
          <c:showSerName val="0"/>
          <c:showPercent val="0"/>
          <c:showBubbleSize val="0"/>
        </c:dLbls>
      </c:pie3DChart>
      <c:spPr>
        <a:noFill/>
        <a:ln>
          <a:noFill/>
        </a:ln>
        <a:effectLst/>
      </c:spPr>
    </c:plotArea>
    <c:legend>
      <c:legendPos val="t"/>
      <c:layout>
        <c:manualLayout>
          <c:xMode val="edge"/>
          <c:yMode val="edge"/>
          <c:x val="0.0874003382459531"/>
          <c:y val="0.89077773055673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208b8d6-ce85-4866-b7be-f23d05aa4c5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0265764677458323"/>
          <c:y val="0.279908414424728"/>
          <c:w val="0.946847064508335"/>
          <c:h val="0.68689181453921"/>
        </c:manualLayout>
      </c:layout>
      <c:pie3DChart>
        <c:varyColors val="1"/>
        <c:ser>
          <c:idx val="0"/>
          <c:order val="0"/>
          <c:tx>
            <c:strRef>
              <c:f>Sheet1!$B$1</c:f>
              <c:strCache>
                <c:ptCount val="1"/>
                <c:pt idx="0">
                  <c:v>支出决算</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21156.15</c:v>
                </c:pt>
                <c:pt idx="1">
                  <c:v>12943.51</c:v>
                </c:pt>
              </c:numCache>
            </c:numRef>
          </c:val>
        </c:ser>
        <c:dLbls>
          <c:showLegendKey val="0"/>
          <c:showVal val="0"/>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5091eee-12c4-4e90-a98e-34b47200762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a:t>
            </a:r>
          </a:p>
        </c:rich>
      </c:tx>
      <c:layout/>
      <c:overlay val="0"/>
      <c:spPr>
        <a:noFill/>
        <a:ln>
          <a:noFill/>
        </a:ln>
        <a:effectLst/>
      </c:spPr>
    </c:title>
    <c:autoTitleDeleted val="0"/>
    <c:plotArea>
      <c:layout>
        <c:manualLayout>
          <c:layoutTarget val="inner"/>
          <c:xMode val="edge"/>
          <c:yMode val="edge"/>
          <c:x val="0.162086234273849"/>
          <c:y val="0.0596208869814016"/>
          <c:w val="0.748259435690729"/>
          <c:h val="0.866773962804006"/>
        </c:manualLayout>
      </c:layout>
      <c:barChart>
        <c:barDir val="col"/>
        <c:grouping val="clustered"/>
        <c:varyColors val="0"/>
        <c:ser>
          <c:idx val="0"/>
          <c:order val="0"/>
          <c:tx>
            <c:strRef>
              <c:f>Sheet1!$B$1</c:f>
              <c:strCache>
                <c:ptCount val="1"/>
                <c:pt idx="0">
                  <c:v>2024年</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财政拨款收入、支出决算</c:v>
                </c:pt>
              </c:strCache>
            </c:strRef>
          </c:cat>
          <c:val>
            <c:numRef>
              <c:f>Sheet1!$B$2</c:f>
              <c:numCache>
                <c:formatCode>#,##0.00</c:formatCode>
                <c:ptCount val="1"/>
                <c:pt idx="0">
                  <c:v>22056.43</c:v>
                </c:pt>
              </c:numCache>
            </c:numRef>
          </c:val>
        </c:ser>
        <c:ser>
          <c:idx val="1"/>
          <c:order val="1"/>
          <c:tx>
            <c:strRef>
              <c:f>Sheet1!$C$1</c:f>
              <c:strCache>
                <c:ptCount val="1"/>
                <c:pt idx="0">
                  <c:v>2023年</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财政拨款收入、支出决算</c:v>
                </c:pt>
              </c:strCache>
            </c:strRef>
          </c:cat>
          <c:val>
            <c:numRef>
              <c:f>Sheet1!$C$2</c:f>
              <c:numCache>
                <c:formatCode>General</c:formatCode>
                <c:ptCount val="1"/>
                <c:pt idx="0">
                  <c:v>20292.22</c:v>
                </c:pt>
              </c:numCache>
            </c:numRef>
          </c:val>
        </c:ser>
        <c:dLbls>
          <c:showLegendKey val="0"/>
          <c:showVal val="1"/>
          <c:showCatName val="0"/>
          <c:showSerName val="0"/>
          <c:showPercent val="0"/>
          <c:showBubbleSize val="0"/>
        </c:dLbls>
        <c:gapWidth val="260"/>
        <c:overlap val="-32"/>
        <c:axId val="177253376"/>
        <c:axId val="177304320"/>
      </c:barChart>
      <c:catAx>
        <c:axId val="177253376"/>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304320"/>
        <c:crosses val="autoZero"/>
        <c:auto val="1"/>
        <c:lblAlgn val="ctr"/>
        <c:lblOffset val="100"/>
        <c:noMultiLvlLbl val="0"/>
      </c:catAx>
      <c:valAx>
        <c:axId val="177304320"/>
        <c:scaling>
          <c:orientation val="minMax"/>
        </c:scaling>
        <c:delete val="0"/>
        <c:axPos val="l"/>
        <c:numFmt formatCode="#,##0.00"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253376"/>
        <c:crosses val="autoZero"/>
        <c:crossBetween val="between"/>
      </c:valAx>
      <c:spPr>
        <a:noFill/>
        <a:ln>
          <a:noFill/>
        </a:ln>
        <a:effectLst/>
      </c:spPr>
    </c:plotArea>
    <c:legend>
      <c:legendPos val="r"/>
      <c:layout>
        <c:manualLayout>
          <c:xMode val="edge"/>
          <c:yMode val="edge"/>
          <c:x val="0.801270306583608"/>
          <c:y val="0.44080829756795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2fe45aa-3fd0-4b1b-aa88-bcc75ec828d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a:t>
            </a:r>
          </a:p>
        </c:rich>
      </c:tx>
      <c:layout/>
      <c:overlay val="0"/>
      <c:spPr>
        <a:noFill/>
        <a:ln>
          <a:noFill/>
        </a:ln>
        <a:effectLst/>
      </c:spPr>
    </c:title>
    <c:autoTitleDeleted val="0"/>
    <c:plotArea>
      <c:layout>
        <c:manualLayout>
          <c:layoutTarget val="inner"/>
          <c:xMode val="edge"/>
          <c:yMode val="edge"/>
          <c:x val="0.190423842677416"/>
          <c:y val="0.0547925608011441"/>
          <c:w val="0.748259435690729"/>
          <c:h val="0.866773962804006"/>
        </c:manualLayout>
      </c:layout>
      <c:barChart>
        <c:barDir val="col"/>
        <c:grouping val="clustered"/>
        <c:varyColors val="0"/>
        <c:ser>
          <c:idx val="0"/>
          <c:order val="0"/>
          <c:tx>
            <c:strRef>
              <c:f>Sheet1!$B$1</c:f>
              <c:strCache>
                <c:ptCount val="1"/>
                <c:pt idx="0">
                  <c:v>2024年</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Sheet1!$B$2</c:f>
              <c:numCache>
                <c:formatCode>#,##0.00</c:formatCode>
                <c:ptCount val="1"/>
                <c:pt idx="0">
                  <c:v>14992.29</c:v>
                </c:pt>
              </c:numCache>
            </c:numRef>
          </c:val>
        </c:ser>
        <c:ser>
          <c:idx val="1"/>
          <c:order val="1"/>
          <c:tx>
            <c:strRef>
              <c:f>Sheet1!$C$1</c:f>
              <c:strCache>
                <c:ptCount val="1"/>
                <c:pt idx="0">
                  <c:v>2023年</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15288.16</c:v>
                </c:pt>
              </c:numCache>
            </c:numRef>
          </c:val>
        </c:ser>
        <c:dLbls>
          <c:showLegendKey val="0"/>
          <c:showVal val="1"/>
          <c:showCatName val="0"/>
          <c:showSerName val="0"/>
          <c:showPercent val="0"/>
          <c:showBubbleSize val="0"/>
        </c:dLbls>
        <c:gapWidth val="260"/>
        <c:overlap val="-32"/>
        <c:axId val="177253376"/>
        <c:axId val="177304320"/>
      </c:barChart>
      <c:catAx>
        <c:axId val="177253376"/>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304320"/>
        <c:crosses val="autoZero"/>
        <c:auto val="1"/>
        <c:lblAlgn val="ctr"/>
        <c:lblOffset val="100"/>
        <c:noMultiLvlLbl val="0"/>
      </c:catAx>
      <c:valAx>
        <c:axId val="177304320"/>
        <c:scaling>
          <c:orientation val="minMax"/>
        </c:scaling>
        <c:delete val="0"/>
        <c:axPos val="l"/>
        <c:numFmt formatCode="#,##0.00"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253376"/>
        <c:crosses val="autoZero"/>
        <c:crossBetween val="between"/>
      </c:valAx>
      <c:spPr>
        <a:noFill/>
        <a:ln>
          <a:noFill/>
        </a:ln>
        <a:effectLst/>
      </c:spPr>
    </c:plotArea>
    <c:legend>
      <c:legendPos val="r"/>
      <c:layout>
        <c:manualLayout>
          <c:xMode val="edge"/>
          <c:yMode val="edge"/>
          <c:x val="0.801270306583608"/>
          <c:y val="0.44080829756795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2fe45aa-3fd0-4b1b-aa88-bcc75ec828d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0189659338004349"/>
          <c:y val="0.185769574278059"/>
          <c:w val="0.957840057985021"/>
          <c:h val="0.784161952962191"/>
        </c:manualLayout>
      </c:layout>
      <c:pie3DChart>
        <c:varyColors val="1"/>
        <c:ser>
          <c:idx val="0"/>
          <c:order val="0"/>
          <c:tx>
            <c:strRef>
              <c:f>Sheet1!$B$1</c:f>
              <c:strCache>
                <c:ptCount val="1"/>
                <c:pt idx="0">
                  <c:v>一般公共预算财政拨款支出</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社会保障和就业支出</c:v>
                </c:pt>
                <c:pt idx="1">
                  <c:v>卫生健康支出</c:v>
                </c:pt>
                <c:pt idx="2">
                  <c:v>农林水支出</c:v>
                </c:pt>
                <c:pt idx="3">
                  <c:v>住房保障支出</c:v>
                </c:pt>
              </c:strCache>
            </c:strRef>
          </c:cat>
          <c:val>
            <c:numRef>
              <c:f>Sheet1!$B$2:$B$5</c:f>
              <c:numCache>
                <c:formatCode>General</c:formatCode>
                <c:ptCount val="4"/>
                <c:pt idx="0">
                  <c:v>2072.73</c:v>
                </c:pt>
                <c:pt idx="1">
                  <c:v>12005.44</c:v>
                </c:pt>
                <c:pt idx="2">
                  <c:v>196</c:v>
                </c:pt>
                <c:pt idx="3">
                  <c:v>718.12</c:v>
                </c:pt>
              </c:numCache>
            </c:numRef>
          </c:val>
        </c:ser>
        <c:dLbls>
          <c:showLegendKey val="0"/>
          <c:showVal val="1"/>
          <c:showCatName val="0"/>
          <c:showSerName val="0"/>
          <c:showPercent val="0"/>
          <c:showBubbleSize val="0"/>
        </c:dLbls>
      </c:pie3DChart>
      <c:spPr>
        <a:noFill/>
        <a:ln>
          <a:noFill/>
        </a:ln>
        <a:effectLst/>
      </c:spPr>
    </c:plotArea>
    <c:legend>
      <c:legendPos val="t"/>
      <c:layout>
        <c:manualLayout>
          <c:xMode val="edge"/>
          <c:yMode val="edge"/>
          <c:x val="0.264013046629621"/>
          <c:y val="0.12411153635866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3a6cf9d-3b63-4823-94cd-49fd30c9b01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“三公”经费决算</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2.17</c:v>
                </c:pt>
                <c:pt idx="2">
                  <c:v>0</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f9d3262-4868-43aa-abae-4a68b045db5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acrossLinear" id="2">
  <a:schemeClr val="accent1"/>
  <a:schemeClr val="accent2"/>
  <a:schemeClr val="accent3"/>
  <a:schemeClr val="accent4"/>
  <a:schemeClr val="accent5"/>
  <a:schemeClr val="accent6"/>
</cs:colorStyle>
</file>

<file path=word/charts/colors4.xml><?xml version="1.0" encoding="utf-8"?>
<cs:colorStyle xmlns:cs="http://schemas.microsoft.com/office/drawing/2012/chartStyle" xmlns:a="http://schemas.openxmlformats.org/drawingml/2006/main" meth="acrossLinear" id="2">
  <a:schemeClr val="accent1"/>
  <a:schemeClr val="accent2"/>
  <a:schemeClr val="accent3"/>
  <a:schemeClr val="accent4"/>
  <a:schemeClr val="accent5"/>
  <a:schemeClr val="accent6"/>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acrossLinear" id="2">
  <a:schemeClr val="accent1"/>
  <a:schemeClr val="accent2"/>
  <a:schemeClr val="accent3"/>
  <a:schemeClr val="accent4"/>
  <a:schemeClr val="accent5"/>
  <a:schemeClr val="accent6"/>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5">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5">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5">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66</Pages>
  <Words>1327</Words>
  <Characters>7570</Characters>
  <Lines>1</Lines>
  <Paragraphs>1</Paragraphs>
  <TotalTime>17</TotalTime>
  <ScaleCrop>false</ScaleCrop>
  <LinksUpToDate>false</LinksUpToDate>
  <CharactersWithSpaces>8880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2020-08-11T09:49:00Z</dcterms:created>
  <dc:creator>曹颖</dc:creator>
  <cp:lastModifiedBy>user</cp:lastModifiedBy>
  <cp:lastPrinted>2025-08-08T17:34:00Z</cp:lastPrinted>
  <dcterms:modified xsi:type="dcterms:W3CDTF">2025-10-27T10:59:25Z</dcterms:modified>
  <dc:title>四川省***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04787F2533EB45DC91BCDE4AB213247F</vt:lpwstr>
  </property>
</Properties>
</file>