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sz w:val="44"/>
          <w:szCs w:val="44"/>
          <w:u w:val="none"/>
        </w:rPr>
      </w:pPr>
      <w:r>
        <w:rPr>
          <w:rFonts w:hint="eastAsia" w:ascii="方正小标宋_GBK" w:hAnsi="方正小标宋_GBK" w:eastAsia="方正小标宋_GBK" w:cs="方正小标宋_GBK"/>
          <w:b/>
          <w:bCs/>
          <w:sz w:val="44"/>
          <w:szCs w:val="44"/>
          <w:u w:val="none"/>
          <w:lang w:eastAsia="zh-CN"/>
        </w:rPr>
        <w:t>盐边县社区卫生服务中心</w:t>
      </w: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sz w:val="44"/>
          <w:szCs w:val="44"/>
        </w:rPr>
      </w:pPr>
      <w:r>
        <w:rPr>
          <w:rFonts w:hint="default" w:ascii="Times New Roman" w:hAnsi="Times New Roman" w:eastAsia="方正小标宋_GBK" w:cs="Times New Roman"/>
          <w:b/>
          <w:bCs/>
          <w:sz w:val="44"/>
          <w:szCs w:val="44"/>
          <w:lang w:val="en-US" w:eastAsia="zh-CN"/>
        </w:rPr>
        <w:t>2025</w:t>
      </w:r>
      <w:r>
        <w:rPr>
          <w:rFonts w:hint="eastAsia" w:ascii="方正小标宋_GBK" w:hAnsi="方正小标宋_GBK" w:eastAsia="方正小标宋_GBK" w:cs="方正小标宋_GBK"/>
          <w:b/>
          <w:bCs/>
          <w:sz w:val="44"/>
          <w:szCs w:val="44"/>
        </w:rPr>
        <w:t>年部门预算编制说明</w:t>
      </w: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both"/>
        <w:rPr>
          <w:rFonts w:hint="eastAsia" w:ascii="黑体" w:hAnsi="黑体" w:eastAsia="黑体" w:cs="黑体"/>
        </w:rPr>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pPr>
    </w:p>
    <w:p>
      <w:pPr>
        <w:widowControl/>
        <w:shd w:val="clear" w:color="auto" w:fill="FFFFFF"/>
        <w:spacing w:line="240" w:lineRule="auto"/>
        <w:jc w:val="center"/>
        <w:rPr>
          <w:rFonts w:hint="eastAsia" w:ascii="Times New Roman" w:hAnsi="Times New Roman" w:eastAsia="方正小标宋_GBK" w:cs="Times New Roman"/>
          <w:b/>
          <w:bCs/>
          <w:sz w:val="44"/>
          <w:szCs w:val="44"/>
        </w:rPr>
      </w:pPr>
    </w:p>
    <w:p>
      <w:pPr>
        <w:widowControl/>
        <w:shd w:val="clear" w:color="auto" w:fill="FFFFFF"/>
        <w:spacing w:line="240" w:lineRule="auto"/>
        <w:jc w:val="center"/>
        <w:rPr>
          <w:rFonts w:hint="default" w:ascii="Times New Roman" w:hAnsi="Times New Roman" w:eastAsia="方正小标宋_GBK" w:cs="Times New Roman"/>
          <w:b/>
          <w:bCs/>
          <w:sz w:val="44"/>
          <w:szCs w:val="44"/>
        </w:rPr>
      </w:pPr>
      <w:r>
        <w:rPr>
          <w:rFonts w:hint="default" w:ascii="Times New Roman" w:hAnsi="Times New Roman" w:eastAsia="方正小标宋_GBK" w:cs="Times New Roman"/>
          <w:b/>
          <w:bCs/>
          <w:sz w:val="44"/>
          <w:szCs w:val="44"/>
        </w:rPr>
        <w:t>目录</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一、基本职能及主要工作</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val="en-US" w:eastAsia="zh-CN"/>
        </w:rPr>
        <w:t>（</w:t>
      </w:r>
      <w:r>
        <w:rPr>
          <w:rFonts w:hint="eastAsia" w:eastAsia="楷体_GB2312" w:cs="Times New Roman"/>
          <w:kern w:val="0"/>
          <w:lang w:val="en-US" w:eastAsia="zh-CN"/>
        </w:rPr>
        <w:t>4</w:t>
      </w:r>
      <w:r>
        <w:rPr>
          <w:rFonts w:hint="default" w:ascii="Times New Roman" w:hAnsi="Times New Roman" w:eastAsia="楷体_GB2312" w:cs="Times New Roman"/>
          <w:kern w:val="0"/>
          <w:lang w:val="en-US"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（一）</w:t>
      </w:r>
      <w:r>
        <w:rPr>
          <w:rFonts w:hint="default" w:ascii="Times New Roman" w:hAnsi="Times New Roman" w:eastAsia="方正楷体_GBK" w:cs="Times New Roman"/>
          <w:b/>
          <w:bCs/>
          <w:color w:val="333333"/>
          <w:kern w:val="0"/>
          <w:lang w:eastAsia="zh-CN"/>
        </w:rPr>
        <w:t>社区卫生服务中心</w:t>
      </w:r>
      <w:r>
        <w:rPr>
          <w:rFonts w:hint="default" w:ascii="Times New Roman" w:hAnsi="Times New Roman" w:eastAsia="方正楷体_GBK" w:cs="Times New Roman"/>
          <w:b/>
          <w:bCs/>
          <w:color w:val="333333"/>
          <w:kern w:val="0"/>
        </w:rPr>
        <w:t>职能简介。</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4</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（二）</w:t>
      </w:r>
      <w:r>
        <w:rPr>
          <w:rFonts w:hint="default" w:ascii="Times New Roman" w:hAnsi="Times New Roman" w:eastAsia="方正楷体_GBK" w:cs="Times New Roman"/>
          <w:b/>
          <w:bCs/>
          <w:color w:val="333333"/>
          <w:kern w:val="0"/>
          <w:lang w:eastAsia="zh-CN"/>
        </w:rPr>
        <w:t>社区卫生服务中心</w:t>
      </w:r>
      <w:r>
        <w:rPr>
          <w:rFonts w:hint="default" w:ascii="Times New Roman" w:hAnsi="Times New Roman" w:eastAsia="方正楷体_GBK" w:cs="Times New Roman"/>
          <w:b/>
          <w:bCs/>
          <w:color w:val="333333"/>
          <w:kern w:val="0"/>
          <w:lang w:val="en-US" w:eastAsia="zh-CN"/>
        </w:rPr>
        <w:t>2025</w:t>
      </w:r>
      <w:r>
        <w:rPr>
          <w:rFonts w:hint="default" w:ascii="Times New Roman" w:hAnsi="Times New Roman" w:eastAsia="方正楷体_GBK" w:cs="Times New Roman"/>
          <w:b/>
          <w:bCs/>
          <w:color w:val="333333"/>
          <w:kern w:val="0"/>
          <w:lang w:eastAsia="zh-CN"/>
        </w:rPr>
        <w:t>年重点工作</w:t>
      </w:r>
      <w:r>
        <w:rPr>
          <w:rFonts w:hint="default" w:ascii="Times New Roman" w:hAnsi="Times New Roman" w:eastAsia="方正楷体_GBK" w:cs="Times New Roman"/>
          <w:b/>
          <w:bCs/>
          <w:color w:val="333333"/>
          <w:kern w:val="0"/>
        </w:rPr>
        <w:t>。</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4</w:t>
      </w:r>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二、机构设置情况</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5</w:t>
      </w:r>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三、收支预算情况说明</w:t>
      </w:r>
      <w:r>
        <w:rPr>
          <w:rFonts w:hint="default" w:ascii="Times New Roman" w:hAnsi="Times New Roman" w:eastAsia="楷体_GB2312" w:cs="Times New Roman"/>
          <w:kern w:val="0"/>
        </w:rPr>
        <w:t xml:space="preserve"> ……………………………………</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5</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（一）收入预算情况。</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6</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（二）支出预算情况。</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6</w:t>
      </w:r>
      <w:r>
        <w:rPr>
          <w:rFonts w:hint="default" w:ascii="Times New Roman" w:hAnsi="Times New Roman" w:eastAsia="楷体_GB2312" w:cs="Times New Roman"/>
          <w:kern w:val="0"/>
          <w:lang w:eastAsia="zh-CN"/>
        </w:rPr>
        <w:t>）</w:t>
      </w:r>
    </w:p>
    <w:p>
      <w:pPr>
        <w:widowControl/>
        <w:shd w:val="clear" w:color="auto" w:fill="FFFFFF"/>
        <w:spacing w:line="240" w:lineRule="auto"/>
        <w:ind w:firstLine="752" w:firstLineChars="235"/>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四、财政拨款收支预算情况说明</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6</w:t>
      </w:r>
      <w:r>
        <w:rPr>
          <w:rFonts w:hint="default" w:ascii="Times New Roman" w:hAnsi="Times New Roman" w:eastAsia="楷体_GB2312" w:cs="Times New Roman"/>
          <w:kern w:val="0"/>
          <w:lang w:eastAsia="zh-CN"/>
        </w:rPr>
        <w:t>）</w:t>
      </w:r>
    </w:p>
    <w:p>
      <w:pPr>
        <w:widowControl/>
        <w:shd w:val="clear" w:color="auto" w:fill="FFFFFF"/>
        <w:spacing w:line="240" w:lineRule="auto"/>
        <w:ind w:left="640" w:leftChars="200" w:firstLine="0" w:firstLineChars="0"/>
        <w:rPr>
          <w:rFonts w:hint="default" w:ascii="Times New Roman" w:hAnsi="Times New Roman" w:eastAsia="楷体_GB2312" w:cs="Times New Roman"/>
          <w:kern w:val="0"/>
          <w:lang w:eastAsia="zh-CN"/>
        </w:rPr>
      </w:pPr>
      <w:r>
        <w:rPr>
          <w:rFonts w:hint="default" w:ascii="Times New Roman" w:hAnsi="Times New Roman" w:eastAsia="方正黑体_GBK" w:cs="Times New Roman"/>
          <w:color w:val="333333"/>
          <w:kern w:val="0"/>
        </w:rPr>
        <w:t>五、一般公共预算当年拨款情况说明</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7</w:t>
      </w:r>
      <w:r>
        <w:rPr>
          <w:rFonts w:hint="default" w:ascii="Times New Roman" w:hAnsi="Times New Roman" w:eastAsia="楷体_GB2312" w:cs="Times New Roman"/>
          <w:kern w:val="0"/>
          <w:lang w:eastAsia="zh-CN"/>
        </w:rPr>
        <w:t>）</w:t>
      </w:r>
    </w:p>
    <w:p>
      <w:pPr>
        <w:widowControl/>
        <w:shd w:val="clear" w:color="auto" w:fill="FFFFFF"/>
        <w:spacing w:line="240" w:lineRule="auto"/>
        <w:ind w:left="640" w:leftChars="200" w:firstLine="0" w:firstLineChars="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（一）一般公共预算当年拨款规模变化情况。</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7</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（二）一般公共预算当年拨款结构情况。</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7</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（三）一般公共预算当年拨款具体使用情况。</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7</w:t>
      </w:r>
      <w:r>
        <w:rPr>
          <w:rFonts w:hint="default" w:ascii="Times New Roman" w:hAnsi="Times New Roman" w:eastAsia="楷体_GB2312" w:cs="Times New Roman"/>
          <w:kern w:val="0"/>
          <w:lang w:eastAsia="zh-CN"/>
        </w:rPr>
        <w:t>）</w:t>
      </w:r>
    </w:p>
    <w:p>
      <w:pPr>
        <w:widowControl/>
        <w:shd w:val="clear" w:color="auto" w:fill="FFFFFF"/>
        <w:spacing w:line="240" w:lineRule="auto"/>
        <w:ind w:left="640" w:left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六、一般公共预算基本支出情况说明</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eastAsia" w:eastAsia="楷体_GB2312" w:cs="Times New Roman"/>
          <w:kern w:val="0"/>
          <w:lang w:val="en-US" w:eastAsia="zh-CN"/>
        </w:rPr>
        <w:t>9</w:t>
      </w:r>
      <w:r>
        <w:rPr>
          <w:rFonts w:hint="default" w:ascii="Times New Roman" w:hAnsi="Times New Roman" w:eastAsia="楷体_GB2312" w:cs="Times New Roman"/>
          <w:kern w:val="0"/>
          <w:lang w:eastAsia="zh-CN"/>
        </w:rPr>
        <w:t>）</w:t>
      </w:r>
    </w:p>
    <w:p>
      <w:pPr>
        <w:widowControl/>
        <w:shd w:val="clear" w:color="auto" w:fill="FFFFFF"/>
        <w:spacing w:line="240" w:lineRule="auto"/>
        <w:ind w:left="640" w:left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七、“三公”经费财政拨款预算安排情况说明</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0</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（一）因公出国（境）经费。</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0</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（二）公务接待费。</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0</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（三）公务用车购置及运行维护费。</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0</w:t>
      </w:r>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八、政府性基金预算支出情况说明</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1</w:t>
      </w:r>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九、国有资本经营预算情况说明</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1</w:t>
      </w:r>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十、其他重要事项的情况说明</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2</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（一）机关运行经费。</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2</w:t>
      </w:r>
      <w:r>
        <w:rPr>
          <w:rFonts w:hint="default" w:ascii="Times New Roman" w:hAnsi="Times New Roman" w:eastAsia="楷体_GB2312" w:cs="Times New Roman"/>
          <w:kern w:val="0"/>
          <w:lang w:eastAsia="zh-CN"/>
        </w:rPr>
        <w:t>）</w:t>
      </w:r>
    </w:p>
    <w:p>
      <w:pPr>
        <w:widowControl/>
        <w:shd w:val="clear" w:color="auto" w:fill="FFFFFF"/>
        <w:spacing w:line="240" w:lineRule="auto"/>
        <w:ind w:firstLine="643" w:firstLineChars="200"/>
        <w:rPr>
          <w:rFonts w:hint="default" w:ascii="Times New Roman" w:hAnsi="Times New Roman" w:cs="Times New Roman"/>
          <w:lang w:val="en-US" w:eastAsia="zh-CN"/>
        </w:rPr>
      </w:pPr>
      <w:r>
        <w:rPr>
          <w:rFonts w:hint="default" w:ascii="Times New Roman" w:hAnsi="Times New Roman" w:eastAsia="方正楷体_GBK" w:cs="Times New Roman"/>
          <w:b/>
          <w:bCs/>
          <w:color w:val="333333"/>
          <w:kern w:val="0"/>
        </w:rPr>
        <w:t>（二）政府采购情况。</w:t>
      </w:r>
      <w:r>
        <w:rPr>
          <w:rFonts w:hint="default" w:ascii="Times New Roman" w:hAnsi="Times New Roman" w:cs="Times New Roman"/>
        </w:rPr>
        <w:t>……………………………………</w:t>
      </w:r>
      <w:r>
        <w:rPr>
          <w:rFonts w:hint="default" w:ascii="Times New Roman" w:hAnsi="Times New Roman" w:cs="Times New Roman"/>
          <w:lang w:eastAsia="zh-CN"/>
        </w:rPr>
        <w:t>（</w:t>
      </w:r>
      <w:r>
        <w:rPr>
          <w:rFonts w:hint="default" w:ascii="Times New Roman" w:hAnsi="Times New Roman" w:cs="Times New Roman"/>
          <w:lang w:val="en-US" w:eastAsia="zh-CN"/>
        </w:rPr>
        <w:t>1</w:t>
      </w:r>
      <w:r>
        <w:rPr>
          <w:rFonts w:hint="eastAsia" w:cs="Times New Roman"/>
          <w:lang w:val="en-US" w:eastAsia="zh-CN"/>
        </w:rPr>
        <w:t>2</w:t>
      </w:r>
      <w:r>
        <w:rPr>
          <w:rFonts w:hint="default" w:ascii="Times New Roman" w:hAnsi="Times New Roman" w:cs="Times New Roman"/>
          <w:lang w:eastAsia="zh-CN"/>
        </w:rPr>
        <w:t>）</w:t>
      </w:r>
    </w:p>
    <w:p>
      <w:pPr>
        <w:widowControl/>
        <w:shd w:val="clear" w:color="auto" w:fill="FFFFFF"/>
        <w:spacing w:line="240" w:lineRule="auto"/>
        <w:ind w:firstLine="643" w:firstLineChars="200"/>
        <w:rPr>
          <w:rFonts w:hint="default" w:ascii="Times New Roman" w:hAnsi="Times New Roman" w:cs="Times New Roman"/>
          <w:lang w:val="en-US" w:eastAsia="zh-CN"/>
        </w:rPr>
      </w:pPr>
      <w:r>
        <w:rPr>
          <w:rFonts w:hint="default" w:ascii="Times New Roman" w:hAnsi="Times New Roman" w:eastAsia="方正楷体_GBK" w:cs="Times New Roman"/>
          <w:b/>
          <w:bCs/>
          <w:color w:val="333333"/>
          <w:kern w:val="0"/>
        </w:rPr>
        <w:t>（三）国有资产占有使用情况。</w:t>
      </w:r>
      <w:r>
        <w:rPr>
          <w:rFonts w:hint="default" w:ascii="Times New Roman" w:hAnsi="Times New Roman" w:cs="Times New Roman"/>
        </w:rPr>
        <w:t>…………………………</w:t>
      </w:r>
      <w:r>
        <w:rPr>
          <w:rFonts w:hint="default" w:ascii="Times New Roman" w:hAnsi="Times New Roman" w:cs="Times New Roman"/>
          <w:lang w:eastAsia="zh-CN"/>
        </w:rPr>
        <w:t>（</w:t>
      </w:r>
      <w:r>
        <w:rPr>
          <w:rFonts w:hint="eastAsia" w:cs="Times New Roman"/>
          <w:lang w:val="en-US" w:eastAsia="zh-CN"/>
        </w:rPr>
        <w:t>12</w:t>
      </w:r>
      <w:r>
        <w:rPr>
          <w:rFonts w:hint="default" w:ascii="Times New Roman" w:hAnsi="Times New Roman" w:cs="Times New Roman"/>
          <w:lang w:eastAsia="zh-CN"/>
        </w:rPr>
        <w:t>）</w:t>
      </w:r>
    </w:p>
    <w:p>
      <w:pPr>
        <w:widowControl/>
        <w:shd w:val="clear" w:color="auto" w:fill="FFFFFF"/>
        <w:spacing w:line="240" w:lineRule="auto"/>
        <w:ind w:firstLine="643" w:firstLineChars="200"/>
        <w:rPr>
          <w:rFonts w:hint="default" w:ascii="Times New Roman" w:hAnsi="Times New Roman" w:eastAsia="楷体_GB2312" w:cs="Times New Roman"/>
          <w:kern w:val="0"/>
          <w:lang w:val="en-US" w:eastAsia="zh-CN"/>
        </w:rPr>
      </w:pPr>
      <w:r>
        <w:rPr>
          <w:rFonts w:hint="default" w:ascii="Times New Roman" w:hAnsi="Times New Roman" w:eastAsia="方正楷体_GBK" w:cs="Times New Roman"/>
          <w:b/>
          <w:bCs/>
          <w:color w:val="333333"/>
          <w:kern w:val="0"/>
        </w:rPr>
        <w:t>（四）预算绩效情况。</w:t>
      </w:r>
      <w:r>
        <w:rPr>
          <w:rFonts w:hint="default" w:ascii="Times New Roman" w:hAnsi="Times New Roman" w:eastAsia="楷体_GB2312" w:cs="Times New Roman"/>
          <w:kern w:val="0"/>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2</w:t>
      </w:r>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十一、名词解释</w:t>
      </w:r>
      <w:r>
        <w:rPr>
          <w:rFonts w:hint="default" w:ascii="Times New Roman" w:hAnsi="Times New Roman" w:eastAsia="楷体_GB2312" w:cs="Times New Roman"/>
          <w:kern w:val="0"/>
        </w:rPr>
        <w:t> …………………………………………</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3</w:t>
      </w:r>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楷体_GB2312" w:cs="Times New Roman"/>
          <w:kern w:val="0"/>
          <w:lang w:val="en-US" w:eastAsia="zh-CN"/>
        </w:rPr>
      </w:pPr>
      <w:r>
        <w:rPr>
          <w:rFonts w:hint="default" w:ascii="Times New Roman" w:hAnsi="Times New Roman" w:eastAsia="方正黑体_GBK" w:cs="Times New Roman"/>
          <w:color w:val="333333"/>
          <w:kern w:val="0"/>
        </w:rPr>
        <w:t>附件：</w:t>
      </w:r>
      <w:r>
        <w:rPr>
          <w:rFonts w:hint="default" w:ascii="Times New Roman" w:hAnsi="Times New Roman" w:eastAsia="楷体_GB2312" w:cs="Times New Roman"/>
          <w:kern w:val="0"/>
        </w:rPr>
        <w:t>……………………………………………………</w:t>
      </w:r>
      <w:r>
        <w:rPr>
          <w:rFonts w:hint="eastAsia" w:eastAsia="楷体_GB2312" w:cs="Times New Roman"/>
          <w:kern w:val="0"/>
          <w:lang w:val="en-US" w:eastAsia="zh-CN"/>
        </w:rPr>
        <w:t>.</w:t>
      </w:r>
      <w:r>
        <w:rPr>
          <w:rFonts w:hint="default" w:ascii="Times New Roman" w:hAnsi="Times New Roman" w:eastAsia="楷体_GB2312" w:cs="Times New Roman"/>
          <w:kern w:val="0"/>
          <w:lang w:eastAsia="zh-CN"/>
        </w:rPr>
        <w:t>（</w:t>
      </w:r>
      <w:r>
        <w:rPr>
          <w:rFonts w:hint="default" w:ascii="Times New Roman" w:hAnsi="Times New Roman" w:eastAsia="楷体_GB2312" w:cs="Times New Roman"/>
          <w:kern w:val="0"/>
          <w:lang w:val="en-US" w:eastAsia="zh-CN"/>
        </w:rPr>
        <w:t>1</w:t>
      </w:r>
      <w:r>
        <w:rPr>
          <w:rFonts w:hint="eastAsia" w:eastAsia="楷体_GB2312" w:cs="Times New Roman"/>
          <w:kern w:val="0"/>
          <w:lang w:val="en-US" w:eastAsia="zh-CN"/>
        </w:rPr>
        <w:t>6</w:t>
      </w:r>
      <w:bookmarkStart w:id="0" w:name="_GoBack"/>
      <w:bookmarkEnd w:id="0"/>
      <w:r>
        <w:rPr>
          <w:rFonts w:hint="default" w:ascii="Times New Roman" w:hAnsi="Times New Roman" w:eastAsia="楷体_GB2312" w:cs="Times New Roman"/>
          <w:kern w:val="0"/>
          <w:lang w:eastAsia="zh-CN"/>
        </w:rPr>
        <w:t>）</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 xml:space="preserve">   </w:t>
      </w:r>
    </w:p>
    <w:p>
      <w:pPr>
        <w:widowControl/>
        <w:shd w:val="clear" w:color="auto" w:fill="FFFFFF"/>
        <w:spacing w:line="240" w:lineRule="auto"/>
        <w:ind w:firstLine="640" w:firstLineChars="200"/>
        <w:rPr>
          <w:rFonts w:hint="default" w:ascii="Times New Roman" w:hAnsi="Times New Roman" w:eastAsia="方正黑体_GBK" w:cs="Times New Roman"/>
          <w:color w:val="333333"/>
          <w:kern w:val="0"/>
        </w:rPr>
        <w:sectPr>
          <w:footerReference r:id="rId5" w:type="default"/>
          <w:pgSz w:w="11906" w:h="16838"/>
          <w:pgMar w:top="2098" w:right="1474" w:bottom="1984" w:left="1587" w:header="851" w:footer="992" w:gutter="0"/>
          <w:pgNumType w:fmt="numberInDash"/>
          <w:cols w:space="720" w:num="1"/>
          <w:docGrid w:type="lines" w:linePitch="435" w:charSpace="0"/>
        </w:sectPr>
      </w:pP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根据盐边县第十</w:t>
      </w:r>
      <w:r>
        <w:rPr>
          <w:rFonts w:hint="eastAsia" w:ascii="Times New Roman" w:hAnsi="Times New Roman" w:eastAsia="方正仿宋_GBK" w:cs="Times New Roman"/>
        </w:rPr>
        <w:t>九</w:t>
      </w:r>
      <w:r>
        <w:rPr>
          <w:rFonts w:hint="default" w:ascii="Times New Roman" w:hAnsi="Times New Roman" w:eastAsia="方正仿宋_GBK" w:cs="Times New Roman"/>
        </w:rPr>
        <w:t>届人民代表大会第</w:t>
      </w:r>
      <w:r>
        <w:rPr>
          <w:rFonts w:hint="eastAsia" w:ascii="Times New Roman" w:hAnsi="Times New Roman" w:eastAsia="方正仿宋_GBK" w:cs="Times New Roman"/>
          <w:lang w:eastAsia="zh-CN"/>
        </w:rPr>
        <w:t>五</w:t>
      </w:r>
      <w:r>
        <w:rPr>
          <w:rFonts w:hint="default" w:ascii="Times New Roman" w:hAnsi="Times New Roman" w:eastAsia="方正仿宋_GBK" w:cs="Times New Roman"/>
        </w:rPr>
        <w:t>次会议批准</w:t>
      </w:r>
      <w:r>
        <w:rPr>
          <w:rFonts w:hint="eastAsia" w:ascii="Times New Roman" w:hAnsi="Times New Roman" w:eastAsia="方正仿宋_GBK" w:cs="Times New Roman"/>
        </w:rPr>
        <w:t>的</w:t>
      </w:r>
      <w:r>
        <w:rPr>
          <w:rFonts w:hint="default" w:ascii="Times New Roman" w:hAnsi="Times New Roman" w:eastAsia="方正仿宋_GBK" w:cs="Times New Roman"/>
        </w:rPr>
        <w:t>盐边县202</w:t>
      </w:r>
      <w:r>
        <w:rPr>
          <w:rFonts w:hint="eastAsia" w:ascii="Times New Roman" w:hAnsi="Times New Roman" w:eastAsia="方正仿宋_GBK" w:cs="Times New Roman"/>
          <w:lang w:val="en-US" w:eastAsia="zh-CN"/>
        </w:rPr>
        <w:t>5</w:t>
      </w:r>
      <w:r>
        <w:rPr>
          <w:rFonts w:hint="default" w:ascii="Times New Roman" w:hAnsi="Times New Roman" w:eastAsia="方正仿宋_GBK" w:cs="Times New Roman"/>
        </w:rPr>
        <w:t>年县本级财政预算，202</w:t>
      </w:r>
      <w:r>
        <w:rPr>
          <w:rFonts w:hint="eastAsia" w:ascii="Times New Roman" w:hAnsi="Times New Roman" w:eastAsia="方正仿宋_GBK" w:cs="Times New Roman"/>
          <w:lang w:val="en-US" w:eastAsia="zh-CN"/>
        </w:rPr>
        <w:t>5</w:t>
      </w:r>
      <w:r>
        <w:rPr>
          <w:rFonts w:hint="default" w:ascii="Times New Roman" w:hAnsi="Times New Roman" w:eastAsia="方正仿宋_GBK" w:cs="Times New Roman"/>
        </w:rPr>
        <w:t>年</w:t>
      </w:r>
      <w:r>
        <w:rPr>
          <w:rFonts w:hint="eastAsia" w:ascii="Times New Roman" w:hAnsi="Times New Roman" w:eastAsia="方正仿宋_GBK" w:cs="Times New Roman"/>
          <w:lang w:val="en-US" w:eastAsia="zh-CN"/>
        </w:rPr>
        <w:t>7</w:t>
      </w:r>
      <w:r>
        <w:rPr>
          <w:rFonts w:hint="default" w:ascii="Times New Roman" w:hAnsi="Times New Roman" w:eastAsia="方正仿宋_GBK" w:cs="Times New Roman"/>
        </w:rPr>
        <w:t>月</w:t>
      </w:r>
      <w:r>
        <w:rPr>
          <w:rFonts w:hint="eastAsia" w:ascii="Times New Roman" w:hAnsi="Times New Roman" w:eastAsia="方正仿宋_GBK" w:cs="Times New Roman"/>
          <w:lang w:val="en-US" w:eastAsia="zh-CN"/>
        </w:rPr>
        <w:t>10</w:t>
      </w:r>
      <w:r>
        <w:rPr>
          <w:rFonts w:hint="default" w:ascii="Times New Roman" w:hAnsi="Times New Roman" w:eastAsia="方正仿宋_GBK" w:cs="Times New Roman"/>
        </w:rPr>
        <w:t>日</w:t>
      </w:r>
      <w:r>
        <w:rPr>
          <w:rFonts w:hint="eastAsia" w:ascii="Times New Roman" w:hAnsi="Times New Roman" w:eastAsia="方正仿宋_GBK" w:cs="Times New Roman"/>
        </w:rPr>
        <w:t>盐边</w:t>
      </w:r>
      <w:r>
        <w:rPr>
          <w:rFonts w:hint="default" w:ascii="Times New Roman" w:hAnsi="Times New Roman" w:eastAsia="方正仿宋_GBK" w:cs="Times New Roman"/>
        </w:rPr>
        <w:t>县财政局批复了</w:t>
      </w:r>
      <w:r>
        <w:rPr>
          <w:rFonts w:hint="eastAsia" w:ascii="Times New Roman" w:hAnsi="Times New Roman" w:eastAsia="方正仿宋_GBK" w:cs="Times New Roman"/>
          <w:lang w:val="en-US" w:eastAsia="zh-CN"/>
        </w:rPr>
        <w:t>2025</w:t>
      </w:r>
      <w:r>
        <w:rPr>
          <w:rFonts w:hint="default" w:ascii="Times New Roman" w:hAnsi="Times New Roman" w:eastAsia="方正仿宋_GBK" w:cs="Times New Roman"/>
        </w:rPr>
        <w:t>年县级部门预算，并对</w:t>
      </w:r>
      <w:r>
        <w:rPr>
          <w:rFonts w:hint="eastAsia" w:ascii="Times New Roman" w:hAnsi="Times New Roman" w:eastAsia="方正仿宋_GBK" w:cs="Times New Roman"/>
          <w:lang w:val="en-US" w:eastAsia="zh-CN"/>
        </w:rPr>
        <w:t>2025</w:t>
      </w:r>
      <w:r>
        <w:rPr>
          <w:rFonts w:hint="default" w:ascii="Times New Roman" w:hAnsi="Times New Roman" w:eastAsia="方正仿宋_GBK" w:cs="Times New Roman"/>
        </w:rPr>
        <w:t>年部门预算公开作了明确要求。现按照《中华人民共和国预算法》</w:t>
      </w:r>
      <w:r>
        <w:rPr>
          <w:rFonts w:hint="eastAsia" w:ascii="Times New Roman" w:hAnsi="Times New Roman" w:eastAsia="方正仿宋_GBK" w:cs="Times New Roman"/>
        </w:rPr>
        <w:t>和</w:t>
      </w:r>
      <w:r>
        <w:rPr>
          <w:rFonts w:hint="default" w:ascii="Times New Roman" w:hAnsi="Times New Roman" w:eastAsia="方正仿宋_GBK" w:cs="Times New Roman"/>
        </w:rPr>
        <w:t>《</w:t>
      </w:r>
      <w:r>
        <w:rPr>
          <w:rFonts w:hint="eastAsia" w:ascii="Times New Roman" w:hAnsi="Times New Roman" w:eastAsia="方正仿宋_GBK" w:cs="Times New Roman"/>
        </w:rPr>
        <w:t>中华人民共和国</w:t>
      </w:r>
      <w:r>
        <w:rPr>
          <w:rFonts w:hint="default" w:ascii="Times New Roman" w:hAnsi="Times New Roman" w:eastAsia="方正仿宋_GBK" w:cs="Times New Roman"/>
        </w:rPr>
        <w:t>预算法</w:t>
      </w:r>
      <w:r>
        <w:rPr>
          <w:rFonts w:hint="eastAsia" w:ascii="Times New Roman" w:hAnsi="Times New Roman" w:eastAsia="方正仿宋_GBK" w:cs="Times New Roman"/>
        </w:rPr>
        <w:t>实施条例</w:t>
      </w:r>
      <w:r>
        <w:rPr>
          <w:rFonts w:hint="default" w:ascii="Times New Roman" w:hAnsi="Times New Roman" w:eastAsia="方正仿宋_GBK" w:cs="Times New Roman"/>
        </w:rPr>
        <w:t>》相关规定，将我单位202</w:t>
      </w:r>
      <w:r>
        <w:rPr>
          <w:rFonts w:hint="eastAsia" w:ascii="Times New Roman" w:hAnsi="Times New Roman" w:eastAsia="方正仿宋_GBK" w:cs="Times New Roman"/>
          <w:lang w:val="en-US" w:eastAsia="zh-CN"/>
        </w:rPr>
        <w:t>5</w:t>
      </w:r>
      <w:r>
        <w:rPr>
          <w:rFonts w:hint="default" w:ascii="Times New Roman" w:hAnsi="Times New Roman" w:eastAsia="方正仿宋_GBK" w:cs="Times New Roman"/>
        </w:rPr>
        <w:t>年部门预算说明如下:</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一、基本职能及主要工作</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default" w:ascii="Times New Roman" w:hAnsi="Times New Roman" w:eastAsia="方正楷体_GBK" w:cs="Times New Roman"/>
          <w:b/>
          <w:bCs/>
          <w:color w:val="333333"/>
          <w:kern w:val="0"/>
          <w:sz w:val="32"/>
          <w:szCs w:val="32"/>
          <w:lang w:val="en-US" w:eastAsia="zh-CN" w:bidi="ar-SA"/>
        </w:rPr>
        <w:t>（一）</w:t>
      </w:r>
      <w:r>
        <w:rPr>
          <w:rFonts w:hint="eastAsia" w:ascii="Times New Roman" w:hAnsi="Times New Roman" w:eastAsia="方正楷体_GBK" w:cs="Times New Roman"/>
          <w:b/>
          <w:bCs/>
          <w:color w:val="333333"/>
          <w:kern w:val="0"/>
          <w:sz w:val="32"/>
          <w:szCs w:val="32"/>
          <w:lang w:val="en-US" w:eastAsia="zh-CN" w:bidi="ar-SA"/>
        </w:rPr>
        <w:t>县社区卫生服务中心</w:t>
      </w:r>
      <w:r>
        <w:rPr>
          <w:rFonts w:hint="default" w:ascii="Times New Roman" w:hAnsi="Times New Roman" w:eastAsia="方正楷体_GBK" w:cs="Times New Roman"/>
          <w:b/>
          <w:bCs/>
          <w:color w:val="333333"/>
          <w:kern w:val="0"/>
          <w:sz w:val="32"/>
          <w:szCs w:val="32"/>
          <w:lang w:val="en-US" w:eastAsia="zh-CN" w:bidi="ar-SA"/>
        </w:rPr>
        <w:t>职能简介。</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rPr>
      </w:pPr>
      <w:r>
        <w:rPr>
          <w:rFonts w:hint="eastAsia" w:ascii="Times New Roman" w:hAnsi="Times New Roman" w:eastAsia="方正仿宋_GBK" w:cs="Times New Roman"/>
        </w:rPr>
        <w:t>我中心是以社区医院为主体，全科医师为骨干，合理使用社区资源和适宜技术，开展以社区为范围，家庭为单位，健康为中心，需求为导向的，以老年、妇女、儿童和慢性病人为重点的集预防保健、基本公共卫生服务、基本医疗服务、健康教育为一体的，有效、经济、方便、综合、连续的基层卫生服务中心。是一所集医疗、预防保健、基本公共卫生服务为一体的二级预算单位。</w:t>
      </w:r>
    </w:p>
    <w:p>
      <w:pPr>
        <w:pStyle w:val="2"/>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rPr>
          <w:rFonts w:hint="default" w:ascii="Times New Roman" w:hAnsi="Times New Roman" w:eastAsia="方正楷体_GBK" w:cs="Times New Roman"/>
          <w:b/>
          <w:bCs/>
          <w:color w:val="333333"/>
          <w:kern w:val="0"/>
          <w:sz w:val="32"/>
          <w:szCs w:val="32"/>
          <w:lang w:val="en-US" w:eastAsia="zh-CN" w:bidi="ar-SA"/>
        </w:rPr>
      </w:pPr>
      <w:r>
        <w:rPr>
          <w:rFonts w:hint="eastAsia" w:ascii="Times New Roman" w:eastAsia="方正楷体_GBK" w:cs="Times New Roman"/>
          <w:b/>
          <w:bCs/>
          <w:color w:val="333333"/>
          <w:kern w:val="0"/>
          <w:sz w:val="32"/>
          <w:szCs w:val="32"/>
          <w:lang w:val="en-US" w:eastAsia="zh-CN" w:bidi="ar-SA"/>
        </w:rPr>
        <w:t>（二）</w:t>
      </w:r>
      <w:r>
        <w:rPr>
          <w:rFonts w:hint="eastAsia" w:ascii="Times New Roman" w:hAnsi="Times New Roman" w:eastAsia="方正楷体_GBK" w:cs="Times New Roman"/>
          <w:b/>
          <w:bCs/>
          <w:color w:val="333333"/>
          <w:kern w:val="0"/>
          <w:sz w:val="32"/>
          <w:szCs w:val="32"/>
          <w:lang w:val="en-US" w:eastAsia="zh-CN" w:bidi="ar-SA"/>
        </w:rPr>
        <w:t>县社区卫生服务中心</w:t>
      </w:r>
      <w:r>
        <w:rPr>
          <w:rFonts w:hint="default" w:ascii="Times New Roman" w:hAnsi="Times New Roman" w:eastAsia="方正楷体_GBK" w:cs="Times New Roman"/>
          <w:b/>
          <w:bCs/>
          <w:color w:val="333333"/>
          <w:kern w:val="0"/>
          <w:sz w:val="32"/>
          <w:szCs w:val="32"/>
          <w:lang w:val="en-US" w:eastAsia="zh-CN" w:bidi="ar-SA"/>
        </w:rPr>
        <w:t>202</w:t>
      </w:r>
      <w:r>
        <w:rPr>
          <w:rFonts w:hint="eastAsia" w:ascii="Times New Roman" w:hAnsi="Times New Roman" w:eastAsia="方正楷体_GBK" w:cs="Times New Roman"/>
          <w:b/>
          <w:bCs/>
          <w:color w:val="333333"/>
          <w:kern w:val="0"/>
          <w:sz w:val="32"/>
          <w:szCs w:val="32"/>
          <w:lang w:val="en-US" w:eastAsia="zh-CN" w:bidi="ar-SA"/>
        </w:rPr>
        <w:t>5</w:t>
      </w:r>
      <w:r>
        <w:rPr>
          <w:rFonts w:hint="default" w:ascii="Times New Roman" w:hAnsi="Times New Roman" w:eastAsia="方正楷体_GBK" w:cs="Times New Roman"/>
          <w:b/>
          <w:bCs/>
          <w:color w:val="333333"/>
          <w:kern w:val="0"/>
          <w:sz w:val="32"/>
          <w:szCs w:val="32"/>
          <w:lang w:val="en-US" w:eastAsia="zh-CN" w:bidi="ar-SA"/>
        </w:rPr>
        <w:t>年重点工作。</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在卫生行政部门的领导下开展好预防保健、基本公共卫生服务、基本医疗服务、健康教育,为本辖区内居民提供有效、经济、方便、综合、连续的基层服务。</w:t>
      </w:r>
    </w:p>
    <w:p>
      <w:pPr>
        <w:spacing w:line="560" w:lineRule="exact"/>
        <w:ind w:firstLine="640" w:firstLineChars="200"/>
        <w:rPr>
          <w:rFonts w:eastAsia="黑体"/>
          <w:color w:val="auto"/>
        </w:rPr>
      </w:pPr>
      <w:r>
        <w:rPr>
          <w:rFonts w:eastAsia="黑体"/>
          <w:color w:val="auto"/>
        </w:rPr>
        <w:t>二、</w:t>
      </w:r>
      <w:r>
        <w:rPr>
          <w:rFonts w:hint="eastAsia" w:eastAsia="黑体"/>
          <w:color w:val="auto"/>
        </w:rPr>
        <w:t>机构设置</w:t>
      </w:r>
      <w:r>
        <w:rPr>
          <w:rFonts w:eastAsia="黑体"/>
          <w:color w:val="auto"/>
        </w:rPr>
        <w:t>情况</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县社区卫生服务中心无下属二级预算单位，单位内设科室2个。其中：公共卫生科1个、行政科1个。</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三、收支预算情况说明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sectPr>
          <w:footerReference r:id="rId6" w:type="default"/>
          <w:pgSz w:w="11906" w:h="16838"/>
          <w:pgMar w:top="2098" w:right="1474" w:bottom="1984" w:left="1587" w:header="851" w:footer="992" w:gutter="0"/>
          <w:pgNumType w:fmt="numberInDash"/>
          <w:cols w:space="720" w:num="1"/>
          <w:docGrid w:type="lines" w:linePitch="435" w:charSpace="0"/>
        </w:sectPr>
      </w:pPr>
      <w:r>
        <w:rPr>
          <w:rFonts w:hint="eastAsia" w:ascii="Times New Roman" w:hAnsi="Times New Roman" w:eastAsia="方正仿宋_GBK" w:cs="Times New Roman"/>
          <w:lang w:val="en-US" w:eastAsia="zh-CN"/>
        </w:rPr>
        <w:t>按照综合预算的原则，县社区卫生服务中心所有收入和支</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均纳入部门预算管理。收入包括：一般公共预算拨款收入；支出包括：社会保障和就业支出、卫生健康支出、住房保障支出。县社区卫生服务中心2025年收支总预算392.93万元。比2024年预算数减少89.98万元，主要是本年人员减少，人员经费减少，本年无项目经费，总预算收入减少。</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（一）收入预算情况</w:t>
      </w:r>
      <w:r>
        <w:rPr>
          <w:rFonts w:hint="eastAsia" w:ascii="Times New Roman" w:hAnsi="Times New Roman" w:eastAsia="方正黑体_GBK" w:cs="Times New Roman"/>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县社区卫生服务中心2025收入预算392.93万元，其中：一般公共预算拨款收入392.93万元，占100%。</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（二）支出预算情况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县社区卫生服务中心2025年支出预算392.93万元，其中：基本支出392.93万元，占100%。</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四、财政拨款收支预算情况说明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县社区卫生服务中心2025年财政拨款收支总预算392.93万元。收入包括：本年一般公共预算拨款收入392.93万元；支出包括：社会保障和就业支出59.69万元、卫生健康支出303.98万元、住房保障支出29.26万元。</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五、一般公共预算当年拨款情况说明</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（一）一般公共预算当年拨款规模变化情况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县社区卫生服务中心2025年一般公共预算当年拨款392.93万元，比2024年预算数减少89.98万元，主要是本年人员减少，人员经费减少，本年无项目经费，总预算收入减少。</w:t>
      </w:r>
    </w:p>
    <w:p>
      <w:pPr>
        <w:keepNext w:val="0"/>
        <w:keepLines w:val="0"/>
        <w:pageBreakBefore w:val="0"/>
        <w:numPr>
          <w:ilvl w:val="0"/>
          <w:numId w:val="1"/>
        </w:numPr>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一般公共预算当年拨款结构情况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社会保障和就业支出59.69万元，占15.19%；卫生健康支出303.98万元，占77.36%；住房保障支出29.26万元，占7.45%。</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（三）一般公共预算当年拨款具体使用情况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1.社会保障和就业支出（208类）行政事业单位养老支出（05款）事业单位离退休（02项），2025年预算数为20.68万元，主要用于：事业单位开支的离退休经费。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社会保障和就业支出（208类）行政事业单位养老支出（05款）机关事业单位基本养老保险缴费支出（05项），2025年预算数为39.01万元，主要用于：机关事业单位实施养老保险制度由单位缴纳的基本养老保险费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3.卫生健康支出（210类）基层医疗卫生机构（03款）城市社区卫生机构（01项），2025年预算数为273.42万元，主要用于：城市社区卫生机构的支出。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4.卫生健康支出（210类）行政事业单位医疗（11款）事业单位医疗（02项），2025年预算数为18.78万元，主要用于：事业单位基本医疗保险缴费经费，未参加医疗保险的事业单位的公费医疗经费，按国家规定享受离退休待遇的医疗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5.卫生健康支出（210类）行政事业单位医疗（11款）其他行政事业单位医疗支出（99项），2025年预算数为11.78万元，主要用于：除上述项目以外的其他用于行政事业单位医疗方面的支出。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6.住房保障支出（221类）住房改革支出（02款）住房公积</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金（01项），2025年预算数为29.26万元，主要用于：事业单位按人力资源和社会保障部、财政部规定的基本工资和津贴补贴以及规定比例为职工缴纳的住房公积金。</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六、一般公共预算基本支出情况说明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县社区卫生服务中心2025年一般公共预算基本支出392.93万元，其中：</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人员经费388.52万元，主要包括：  基本工资、津贴补贴、绩效工资、机关事业单位基本养老保险缴费、职工基本医疗保险缴费、公务员医疗补助缴费、其他社会保障缴费、住房公积金、医疗费、对个人和家庭的补助、生活补助、医疗费补助、奖励金。</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公用经费4.41万元，主要包括：办公费、印刷费、手续费、水费、电费、邮电费、差旅费、维修（护）费、公务接待费、专用材料费、工会经费、福利费、其他商品和服务支出。</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七、“三公”经费财政拨款预算安排情况说明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县社区卫生服务中心2025年没有使用财政拨款安排“三公”经费预算。</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楷体_GBK" w:cs="Times New Roman"/>
          <w:b/>
          <w:bCs/>
          <w:color w:val="333333"/>
          <w:kern w:val="0"/>
          <w:lang w:val="en-US" w:eastAsia="zh-CN"/>
        </w:rPr>
        <w:t>（一）因公出国（境）经费与2024年预算持平。</w:t>
      </w:r>
      <w:r>
        <w:rPr>
          <w:rFonts w:hint="eastAsia" w:ascii="Times New Roman" w:hAnsi="Times New Roman" w:eastAsia="方正仿宋_GBK" w:cs="Times New Roman"/>
          <w:lang w:val="en-US" w:eastAsia="zh-CN"/>
        </w:rPr>
        <w:t>主要原因是我中心未安排因公出国（境）预算。</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楷体_GBK" w:cs="Times New Roman"/>
          <w:b/>
          <w:bCs/>
          <w:color w:val="333333"/>
          <w:kern w:val="0"/>
          <w:lang w:val="en-US" w:eastAsia="zh-CN"/>
        </w:rPr>
        <w:t>（二）公务接待费与2024年预算持平。</w:t>
      </w:r>
      <w:r>
        <w:rPr>
          <w:rFonts w:hint="eastAsia" w:ascii="Times New Roman" w:hAnsi="Times New Roman" w:eastAsia="方正仿宋_GBK" w:cs="Times New Roman"/>
          <w:lang w:val="en-US" w:eastAsia="zh-CN"/>
        </w:rPr>
        <w:t>主要原因是我单位公用经费未纳入财政预算，由自有经费解决。</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楷体_GBK" w:cs="Times New Roman"/>
          <w:b/>
          <w:bCs/>
          <w:color w:val="333333"/>
          <w:kern w:val="0"/>
          <w:lang w:val="en-US" w:eastAsia="zh-CN"/>
        </w:rPr>
        <w:t>（三）公务用车购置及运行维护费与2024年预算持平。</w:t>
      </w:r>
      <w:r>
        <w:rPr>
          <w:rFonts w:hint="eastAsia" w:ascii="Times New Roman" w:hAnsi="Times New Roman" w:eastAsia="方正仿宋_GBK" w:cs="Times New Roman"/>
          <w:lang w:val="en-US" w:eastAsia="zh-CN"/>
        </w:rPr>
        <w:t>主要原因是我中心未安排公务用车购置及运行维护费预算，公务用</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车购置及运行维护费由单位自有经费安排，财政不安排经费。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单位现有公务用车1辆，2025年安排公务用车购置费0万元，购置公务用车0辆，其中：轿车（含7座以下商务车、城市越野车）0辆，7座以上19座（含19座）以下客车0辆，越野车0辆，货车及19座以上客车0辆，摩托车0辆,其他特种车辆1辆。</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2025年安排公务用车购置费0万元，购置公务用车0辆，其中：轿车（含7座以下商务车、城市越野车）0辆，7座以上19座（含19座）以下客车0辆，越野车0辆，货车及19座以上客车0辆，摩托车0辆。</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2025年安排公务用车运行维护费0万元，用于0辆公务用车。</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八、政府性基金预算支出情况说明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县社区卫生服务中心2025年没有使用政府性基金预算拨款安排的支出。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eastAsia" w:ascii="Times New Roman" w:hAnsi="Times New Roman" w:eastAsia="方正黑体_GBK" w:cs="Times New Roman"/>
          <w:color w:val="333333"/>
          <w:kern w:val="0"/>
        </w:rPr>
        <w:t>九</w:t>
      </w:r>
      <w:r>
        <w:rPr>
          <w:rFonts w:hint="default" w:ascii="Times New Roman" w:hAnsi="Times New Roman" w:eastAsia="方正黑体_GBK" w:cs="Times New Roman"/>
          <w:color w:val="333333"/>
          <w:kern w:val="0"/>
        </w:rPr>
        <w:t>、</w:t>
      </w:r>
      <w:r>
        <w:rPr>
          <w:rFonts w:hint="eastAsia" w:ascii="Times New Roman" w:hAnsi="Times New Roman" w:eastAsia="方正黑体_GBK" w:cs="Times New Roman"/>
          <w:color w:val="333333"/>
          <w:kern w:val="0"/>
        </w:rPr>
        <w:t>国有资本经营</w:t>
      </w:r>
      <w:r>
        <w:rPr>
          <w:rFonts w:hint="default" w:ascii="Times New Roman" w:hAnsi="Times New Roman" w:eastAsia="方正黑体_GBK" w:cs="Times New Roman"/>
          <w:color w:val="333333"/>
          <w:kern w:val="0"/>
        </w:rPr>
        <w:t>预算情况说明</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县社区卫生服务中心2025年没有使用国有资本经营预算拨款安排的支出。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eastAsia" w:ascii="Times New Roman" w:hAnsi="Times New Roman" w:eastAsia="方正黑体_GBK" w:cs="Times New Roman"/>
          <w:color w:val="333333"/>
          <w:kern w:val="0"/>
        </w:rPr>
        <w:t>十</w:t>
      </w:r>
      <w:r>
        <w:rPr>
          <w:rFonts w:hint="default" w:ascii="Times New Roman" w:hAnsi="Times New Roman" w:eastAsia="方正黑体_GBK" w:cs="Times New Roman"/>
          <w:color w:val="333333"/>
          <w:kern w:val="0"/>
        </w:rPr>
        <w:t>、其他重要事项的情况说明</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（一）</w:t>
      </w:r>
      <w:r>
        <w:rPr>
          <w:rFonts w:hint="eastAsia" w:ascii="Times New Roman" w:hAnsi="Times New Roman" w:eastAsia="方正楷体_GBK" w:cs="Times New Roman"/>
          <w:b/>
          <w:bCs/>
          <w:color w:val="333333"/>
          <w:kern w:val="0"/>
        </w:rPr>
        <w:t>机关</w:t>
      </w:r>
      <w:r>
        <w:rPr>
          <w:rFonts w:hint="default" w:ascii="Times New Roman" w:hAnsi="Times New Roman" w:eastAsia="方正楷体_GBK" w:cs="Times New Roman"/>
          <w:b/>
          <w:bCs/>
          <w:color w:val="333333"/>
          <w:kern w:val="0"/>
        </w:rPr>
        <w:t>运行经费</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2025年，县社区卫生服务中心为公益一类事业单位，按规定未使用机关运行的相关科目，机关运行经费财政拨款预算为0</w:t>
      </w:r>
    </w:p>
    <w:p>
      <w:pPr>
        <w:keepNext w:val="0"/>
        <w:keepLines w:val="0"/>
        <w:pageBreakBefore w:val="0"/>
        <w:kinsoku/>
        <w:wordWrap/>
        <w:overflowPunct/>
        <w:topLinePunct w:val="0"/>
        <w:autoSpaceDE/>
        <w:autoSpaceDN/>
        <w:bidi w:val="0"/>
        <w:snapToGrid/>
        <w:spacing w:line="240" w:lineRule="auto"/>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万元。</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default" w:ascii="Times New Roman" w:hAnsi="Times New Roman" w:eastAsia="方正楷体_GBK" w:cs="Times New Roman"/>
          <w:b/>
          <w:bCs/>
          <w:color w:val="333333"/>
          <w:kern w:val="0"/>
        </w:rPr>
        <w:t>（二）</w:t>
      </w:r>
      <w:r>
        <w:rPr>
          <w:rFonts w:hint="eastAsia" w:ascii="Times New Roman" w:hAnsi="Times New Roman" w:eastAsia="方正楷体_GBK" w:cs="Times New Roman"/>
          <w:b/>
          <w:bCs/>
          <w:color w:val="333333"/>
          <w:kern w:val="0"/>
        </w:rPr>
        <w:t>政府采购情况。</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2025年，县社区卫生服务中心安排政府采购预算0万元，其中：政府采购货物预算0万元；政府采购工程预算0万元；政府采购服务预算0万元。</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eastAsia" w:ascii="Times New Roman" w:hAnsi="Times New Roman" w:eastAsia="方正楷体_GBK" w:cs="Times New Roman"/>
          <w:b/>
          <w:bCs/>
          <w:color w:val="333333"/>
          <w:kern w:val="0"/>
        </w:rPr>
        <w:t>（三）</w:t>
      </w:r>
      <w:r>
        <w:rPr>
          <w:rFonts w:hint="default" w:ascii="Times New Roman" w:hAnsi="Times New Roman" w:eastAsia="方正楷体_GBK" w:cs="Times New Roman"/>
          <w:b/>
          <w:bCs/>
          <w:color w:val="333333"/>
          <w:kern w:val="0"/>
        </w:rPr>
        <w:t>国有资产占有使用情况</w:t>
      </w:r>
      <w:r>
        <w:rPr>
          <w:rFonts w:hint="eastAsia" w:ascii="Times New Roman" w:hAnsi="Times New Roman" w:eastAsia="方正楷体_GBK" w:cs="Times New Roman"/>
          <w:b/>
          <w:bCs/>
          <w:color w:val="333333"/>
          <w:kern w:val="0"/>
        </w:rPr>
        <w:t>。</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截至2024年底，县社区卫生服务中心及所属的非独立核算单位共有车辆1辆，其中，执法执勤用车0辆，其他特种车辆1辆。单位价值200万元以上大型设备0台（套）。</w:t>
      </w:r>
    </w:p>
    <w:p>
      <w:pPr>
        <w:keepNext w:val="0"/>
        <w:keepLines w:val="0"/>
        <w:pageBreakBefore w:val="0"/>
        <w:kinsoku/>
        <w:wordWrap/>
        <w:overflowPunct/>
        <w:topLinePunct w:val="0"/>
        <w:autoSpaceDE/>
        <w:autoSpaceDN/>
        <w:bidi w:val="0"/>
        <w:snapToGrid/>
        <w:spacing w:line="240" w:lineRule="auto"/>
        <w:ind w:firstLine="643" w:firstLineChars="200"/>
        <w:textAlignment w:val="auto"/>
        <w:rPr>
          <w:rFonts w:hint="eastAsia" w:ascii="Times New Roman" w:hAnsi="Times New Roman" w:eastAsia="方正楷体_GBK" w:cs="Times New Roman"/>
          <w:b/>
          <w:bCs/>
          <w:color w:val="333333"/>
          <w:kern w:val="0"/>
        </w:rPr>
      </w:pPr>
      <w:r>
        <w:rPr>
          <w:rFonts w:hint="eastAsia" w:ascii="Times New Roman" w:hAnsi="Times New Roman" w:eastAsia="方正楷体_GBK" w:cs="Times New Roman"/>
          <w:b/>
          <w:bCs/>
          <w:color w:val="333333"/>
          <w:kern w:val="0"/>
        </w:rPr>
        <w:t>（四）预算绩效情况。</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2025年县社区卫生服务中心开展绩效目标管理的项目0个，涉及预算0万元。其中：人员类项目0个，涉及预算0万元；运转类项目0个，涉及预算0万元；特定目标类项目0个，涉及预算0万元。</w:t>
      </w: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黑体_GBK" w:cs="Times New Roman"/>
          <w:color w:val="333333"/>
          <w:kern w:val="0"/>
        </w:rPr>
      </w:pPr>
      <w:r>
        <w:rPr>
          <w:rFonts w:hint="default" w:ascii="Times New Roman" w:hAnsi="Times New Roman" w:eastAsia="方正黑体_GBK" w:cs="Times New Roman"/>
          <w:color w:val="333333"/>
          <w:kern w:val="0"/>
        </w:rPr>
        <w:t>十</w:t>
      </w:r>
      <w:r>
        <w:rPr>
          <w:rFonts w:hint="eastAsia" w:ascii="Times New Roman" w:hAnsi="Times New Roman" w:eastAsia="方正黑体_GBK" w:cs="Times New Roman"/>
          <w:color w:val="333333"/>
          <w:kern w:val="0"/>
          <w:lang w:eastAsia="zh-CN"/>
        </w:rPr>
        <w:t>一</w:t>
      </w:r>
      <w:r>
        <w:rPr>
          <w:rFonts w:hint="default" w:ascii="Times New Roman" w:hAnsi="Times New Roman" w:eastAsia="方正黑体_GBK" w:cs="Times New Roman"/>
          <w:color w:val="333333"/>
          <w:kern w:val="0"/>
        </w:rPr>
        <w:t>、名词解释</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1.一般公共预算拨款收入：指财政当年拨付的一般公共预算资金。</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2.卫生健康支出（210类）基层医疗卫生机构（03款）城市社区卫生机构（01项）：城市社区卫生机构的支出。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3.社会保障和就业支出（208类）行政事业单位养老支出（05款）事业单位离退休（02项）：事业单位开支的离退休经费。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sectPr>
          <w:footerReference r:id="rId7" w:type="default"/>
          <w:pgSz w:w="11906" w:h="16838"/>
          <w:pgMar w:top="2098" w:right="1474" w:bottom="1984" w:left="1587" w:header="851" w:footer="992" w:gutter="0"/>
          <w:pgNumType w:fmt="numberInDash"/>
          <w:cols w:space="720" w:num="1"/>
          <w:docGrid w:type="lines" w:linePitch="435" w:charSpace="0"/>
        </w:sectPr>
      </w:pPr>
      <w:r>
        <w:rPr>
          <w:rFonts w:hint="eastAsia" w:ascii="Times New Roman" w:hAnsi="Times New Roman" w:eastAsia="方正仿宋_GBK" w:cs="Times New Roman"/>
          <w:lang w:val="en-US" w:eastAsia="zh-CN"/>
        </w:rPr>
        <w:t>4.社会保障和就业支出（208类）行政事业单位养老支出（05</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款）机关事业单位基本养老保险缴费支出（05项）：机关事业单位实施养老保险制度由单位缴纳的基本养老保险费支出。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5.社会保障和就业支出（208类）抚恤（08款）死亡抚恤（01项）：烈士和牺牲、病故人员家属的一次性和定期抚恤金、丧葬补助费以及烈士褒扬金。</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6.卫生健康支出（210类）行政事业单位医疗（11款）事业单位医疗（02项）：事业单位基本医疗保险缴费经费，未参加医疗保险的事业单位的公费医疗经费，按国家规定享受离退休待遇的医疗经费。</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7.住房保障支出（221类）住房改革支出（02款）住房公积金（01项）：事业单位按人力资源和社会保障部、财政部规定的基本工资和津贴补贴以及规定比例为职工缴纳的住房公积金。</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8.卫生健康支出（210类）其他卫生健康支出（99款）其他卫生健康支出（99项）：除以上项目以外其他用于卫生健康方面的支出。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9.基本支出：指为保证机构正常运转，完成日常工作任务而发生的人员支出和公用支出。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10.项目支出：指在基本支出之外为完成特定工作任务和事业发展目标所发生的支出。</w:t>
      </w:r>
    </w:p>
    <w:p>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11.“三公”经费：纳入预算管理的“三公”经费，是指部门用财政拨款安排的因公出国（境）费、公务用车购置及运行维护费和公务接待费。其中，因公出国（境）费反映单位公务出国</w:t>
      </w:r>
    </w:p>
    <w:p>
      <w:pPr>
        <w:keepNext w:val="0"/>
        <w:keepLines w:val="0"/>
        <w:pageBreakBefore w:val="0"/>
        <w:kinsoku/>
        <w:wordWrap/>
        <w:overflowPunct/>
        <w:topLinePunct w:val="0"/>
        <w:autoSpaceDE/>
        <w:autoSpaceDN/>
        <w:bidi w:val="0"/>
        <w:snapToGrid/>
        <w:spacing w:line="240" w:lineRule="auto"/>
        <w:textAlignment w:val="auto"/>
        <w:rPr>
          <w:rFonts w:hint="default" w:ascii="Times New Roman" w:hAnsi="Times New Roman" w:eastAsia="方正仿宋_GBK" w:cs="Times New Roman"/>
          <w:lang w:val="en-US" w:eastAsia="zh-CN"/>
        </w:rPr>
      </w:pPr>
      <w:r>
        <w:rPr>
          <w:rFonts w:hint="eastAsia" w:ascii="Times New Roman" w:hAnsi="Times New Roman" w:eastAsia="方正仿宋_GBK" w:cs="Times New Roman"/>
          <w:lang w:val="en-US" w:eastAsia="zh-CN"/>
        </w:rPr>
        <w:t>（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12.机关运行经费：为保障行政单位（包括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hd w:val="clear" w:color="auto" w:fill="FFFFFF"/>
        <w:spacing w:line="560" w:lineRule="exact"/>
        <w:jc w:val="left"/>
        <w:rPr>
          <w:color w:val="000000"/>
        </w:rPr>
      </w:pPr>
    </w:p>
    <w:p>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000000"/>
        </w:rPr>
        <w:t>附件：</w:t>
      </w:r>
      <w:r>
        <w:rPr>
          <w:rFonts w:hint="default" w:ascii="Times New Roman" w:hAnsi="Times New Roman" w:eastAsia="方正仿宋_GBK" w:cs="Times New Roman"/>
          <w:color w:val="333333"/>
          <w:kern w:val="0"/>
          <w:sz w:val="32"/>
          <w:szCs w:val="32"/>
        </w:rPr>
        <w:t>表1.部门收支总表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表1-1.部门收入总表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表1-2.部门支出总表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表2.财政拨款收支预算总表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表2-1.财政拨款支出预算表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表3.一般公共预算支出预算表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表3-1.一般公共预算基本支出预算表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表3-2.一般公共预算项目支出预算表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表3-3.一般公共预算“三公”经费支出预算表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表4.政府性基金支出预算表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表4-1.政府性基金预算“三公”经费支出预算表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表5.国有资本经营预算支出预算表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表6.部门预算</w:t>
      </w:r>
      <w:r>
        <w:rPr>
          <w:rFonts w:hint="default" w:ascii="Times New Roman" w:hAnsi="Times New Roman" w:eastAsia="方正仿宋_GBK" w:cs="Times New Roman"/>
          <w:color w:val="333333"/>
          <w:kern w:val="0"/>
          <w:sz w:val="32"/>
          <w:szCs w:val="32"/>
          <w:lang w:eastAsia="zh-CN"/>
        </w:rPr>
        <w:t>项目支出</w:t>
      </w:r>
      <w:r>
        <w:rPr>
          <w:rFonts w:hint="default" w:ascii="Times New Roman" w:hAnsi="Times New Roman" w:eastAsia="方正仿宋_GBK" w:cs="Times New Roman"/>
          <w:color w:val="333333"/>
          <w:kern w:val="0"/>
          <w:sz w:val="32"/>
          <w:szCs w:val="32"/>
        </w:rPr>
        <w:t>绩效目标表</w:t>
      </w:r>
    </w:p>
    <w:p>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kern w:val="0"/>
          <w:sz w:val="32"/>
          <w:szCs w:val="32"/>
        </w:rPr>
        <w:t>表7.部门整体支出绩效目标表</w:t>
      </w:r>
    </w:p>
    <w:p>
      <w:pPr>
        <w:spacing w:line="560" w:lineRule="exact"/>
        <w:ind w:firstLine="960" w:firstLineChars="300"/>
        <w:rPr>
          <w:color w:val="FF0000"/>
          <w:u w:val="single"/>
        </w:rPr>
      </w:pPr>
    </w:p>
    <w:p/>
    <w:sectPr>
      <w:footerReference r:id="rId8" w:type="default"/>
      <w:pgSz w:w="11906" w:h="16838"/>
      <w:pgMar w:top="2098" w:right="1474" w:bottom="1984" w:left="1587"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- 1 -</w:t>
                    </w:r>
                    <w:r>
                      <w:rPr>
                        <w:rFonts w:hint="eastAsia" w:ascii="宋体" w:hAnsi="宋体" w:eastAsia="宋体" w:cs="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- 3 -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- 3 -</w:t>
                    </w:r>
                    <w:r>
                      <w:rPr>
                        <w:rFonts w:hint="eastAsia" w:ascii="宋体" w:hAnsi="宋体" w:eastAsia="宋体" w:cs="宋体"/>
                        <w:sz w:val="30"/>
                        <w:szCs w:val="30"/>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posOffset>-26035</wp:posOffset>
              </wp:positionH>
              <wp:positionV relativeFrom="paragraph">
                <wp:posOffset>112395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- 4 -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5pt;margin-top:8.85pt;height:144pt;width:144pt;mso-position-horizontal-relative:margin;mso-wrap-style:none;z-index:251661312;mso-width-relative:page;mso-height-relative:page;" filled="f" stroked="f" coordsize="21600,21600" o:gfxdata="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njZpg1wAAAAkBAAAPAAAAAAAAAAEAIAAAACIAAABkcnMvZG93bnJldi54bWxQ&#10;SwECFAAUAAAACACHTuJAqaivlTECAABjBAAADgAAAAAAAAABACAAAAAmAQAAZHJzL2Uyb0RvYy54&#10;bWxQSwUGAAAAAAYABgBZAQAAyQ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- 4 -</w:t>
                    </w:r>
                    <w:r>
                      <w:rPr>
                        <w:rFonts w:hint="eastAsia" w:ascii="宋体" w:hAnsi="宋体" w:eastAsia="宋体" w:cs="宋体"/>
                        <w:sz w:val="30"/>
                        <w:szCs w:val="30"/>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- 5 -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- 5 -</w:t>
                    </w:r>
                    <w:r>
                      <w:rPr>
                        <w:rFonts w:hint="eastAsia" w:ascii="宋体" w:hAnsi="宋体" w:eastAsia="宋体" w:cs="宋体"/>
                        <w:sz w:val="30"/>
                        <w:szCs w:val="30"/>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- 12 -</w:t>
                          </w:r>
                          <w:r>
                            <w:rPr>
                              <w:rFonts w:hint="eastAsia" w:ascii="宋体" w:hAnsi="宋体" w:eastAsia="宋体" w:cs="宋体"/>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3"/>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hint="eastAsia" w:ascii="宋体" w:hAnsi="宋体" w:eastAsia="宋体" w:cs="宋体"/>
                        <w:sz w:val="30"/>
                        <w:szCs w:val="30"/>
                      </w:rPr>
                      <w:t>- 12 -</w:t>
                    </w:r>
                    <w:r>
                      <w:rPr>
                        <w:rFonts w:hint="eastAsia" w:ascii="宋体" w:hAnsi="宋体" w:eastAsia="宋体" w:cs="宋体"/>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AE3F25"/>
    <w:multiLevelType w:val="singleLevel"/>
    <w:tmpl w:val="B9AE3F2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6070D8"/>
    <w:rsid w:val="0FF47947"/>
    <w:rsid w:val="16F517E5"/>
    <w:rsid w:val="45D54DB0"/>
    <w:rsid w:val="47772BC4"/>
    <w:rsid w:val="47E96FAD"/>
    <w:rsid w:val="756070D8"/>
    <w:rsid w:val="79CA7B91"/>
    <w:rsid w:val="7DE04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eastAsia="仿宋_GB2312"/>
      <w:sz w:val="3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4459</Words>
  <Characters>4807</Characters>
  <Lines>0</Lines>
  <Paragraphs>0</Paragraphs>
  <TotalTime>5</TotalTime>
  <ScaleCrop>false</ScaleCrop>
  <LinksUpToDate>false</LinksUpToDate>
  <CharactersWithSpaces>4814</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2025-07-10T08:26:00Z</dcterms:created>
  <dc:creator>放纵</dc:creator>
  <cp:lastModifiedBy>Administrator</cp:lastModifiedBy>
  <dcterms:modified xsi:type="dcterms:W3CDTF">2025-07-23T02:56:55Z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182D799E87084B17A19CFC9D6F469AA1_13</vt:lpwstr>
  </property>
  <property fmtid="{D5CDD505-2E9C-101B-9397-08002B2CF9AE}" pid="4" name="KSOTemplateDocerSaveRecord">
    <vt:lpwstr>eyJoZGlkIjoiNGM1MjgxYjU2NmI0MGIxYWQxM2JjMTdmYmRkYzgxZmMiLCJ1c2VySWQiOiI3MjQwMTUzNDIifQ==</vt:lpwstr>
  </property>
</Properties>
</file>