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606240">
      <w:pPr>
        <w:spacing w:line="560" w:lineRule="exact"/>
        <w:jc w:val="center"/>
        <w:outlineLvl w:val="0"/>
        <w:rPr>
          <w:rFonts w:ascii="方正小标宋_GBK" w:eastAsia="方正小标宋_GBK"/>
          <w:b/>
          <w:bCs/>
          <w:sz w:val="44"/>
          <w:szCs w:val="44"/>
        </w:rPr>
      </w:pPr>
      <w:bookmarkStart w:id="0" w:name="_Hlk136613650"/>
      <w:r>
        <w:rPr>
          <w:rFonts w:hint="eastAsia" w:ascii="方正小标宋_GBK" w:eastAsia="方正小标宋_GBK"/>
          <w:b/>
          <w:bCs/>
          <w:sz w:val="44"/>
          <w:szCs w:val="44"/>
        </w:rPr>
        <w:t>盐边县红格镇新民村级片区国土空间规划（2024-2035）规划简介</w:t>
      </w:r>
    </w:p>
    <w:p w14:paraId="42A605C5">
      <w:pPr>
        <w:spacing w:line="560" w:lineRule="exact"/>
        <w:jc w:val="center"/>
        <w:rPr>
          <w:rFonts w:ascii="方正小标宋_GBK" w:eastAsia="方正小标宋_GBK"/>
          <w:b/>
          <w:bCs/>
          <w:sz w:val="44"/>
          <w:szCs w:val="44"/>
        </w:rPr>
      </w:pPr>
    </w:p>
    <w:bookmarkEnd w:id="0"/>
    <w:p w14:paraId="76382C35">
      <w:pPr>
        <w:numPr>
          <w:ilvl w:val="0"/>
          <w:numId w:val="1"/>
        </w:numPr>
        <w:spacing w:line="280" w:lineRule="exact"/>
        <w:ind w:firstLine="640"/>
        <w:outlineLvl w:val="0"/>
        <w:rPr>
          <w:rFonts w:eastAsia="黑体"/>
          <w:bCs/>
          <w:sz w:val="22"/>
          <w:szCs w:val="22"/>
        </w:rPr>
        <w:sectPr>
          <w:headerReference r:id="rId3" w:type="default"/>
          <w:footerReference r:id="rId4" w:type="default"/>
          <w:type w:val="continuous"/>
          <w:pgSz w:w="23811" w:h="16838" w:orient="landscape"/>
          <w:pgMar w:top="1134" w:right="1134" w:bottom="1134" w:left="1134" w:header="851" w:footer="992" w:gutter="0"/>
          <w:cols w:space="425" w:num="1"/>
          <w:docGrid w:type="lines" w:linePitch="312" w:charSpace="0"/>
        </w:sectPr>
      </w:pPr>
    </w:p>
    <w:p w14:paraId="6404DEB2">
      <w:pPr>
        <w:numPr>
          <w:ilvl w:val="0"/>
          <w:numId w:val="1"/>
        </w:numPr>
        <w:spacing w:before="62" w:beforeLines="20" w:after="62" w:afterLines="20" w:line="264" w:lineRule="auto"/>
        <w:ind w:firstLine="640"/>
        <w:outlineLvl w:val="0"/>
        <w:rPr>
          <w:rFonts w:eastAsia="黑体"/>
          <w:bCs/>
          <w:sz w:val="22"/>
          <w:szCs w:val="22"/>
        </w:rPr>
      </w:pPr>
      <w:r>
        <w:rPr>
          <w:rFonts w:eastAsia="黑体"/>
          <w:bCs/>
          <w:sz w:val="22"/>
          <w:szCs w:val="22"/>
        </w:rPr>
        <w:t>规划范围及位置</w:t>
      </w:r>
    </w:p>
    <w:p w14:paraId="29E02CCE">
      <w:pPr>
        <w:spacing w:before="62" w:beforeLines="20" w:after="62" w:afterLines="20" w:line="264" w:lineRule="auto"/>
        <w:ind w:firstLine="440" w:firstLineChars="200"/>
        <w:rPr>
          <w:rFonts w:eastAsia="仿宋_GB2312"/>
          <w:sz w:val="22"/>
          <w:szCs w:val="22"/>
        </w:rPr>
      </w:pPr>
      <w:r>
        <w:rPr>
          <w:rFonts w:hint="eastAsia" w:eastAsia="仿宋_GB2312"/>
          <w:sz w:val="22"/>
          <w:szCs w:val="22"/>
        </w:rPr>
        <w:t>本次规划范围为攀枝花市盐边县红格镇新民村、鲊石村、益民村三个村，规划区面积</w:t>
      </w:r>
      <w:r>
        <w:rPr>
          <w:rFonts w:hint="eastAsia" w:eastAsiaTheme="minorEastAsia"/>
          <w:sz w:val="22"/>
          <w:szCs w:val="22"/>
        </w:rPr>
        <w:t>28.45</w:t>
      </w:r>
      <w:r>
        <w:rPr>
          <w:rFonts w:hint="eastAsia" w:eastAsia="仿宋_GB2312"/>
          <w:sz w:val="22"/>
          <w:szCs w:val="22"/>
        </w:rPr>
        <w:t>平方公里</w:t>
      </w:r>
      <w:r>
        <w:rPr>
          <w:rFonts w:hint="eastAsia" w:asciiTheme="minorEastAsia" w:hAnsiTheme="minorEastAsia" w:eastAsiaTheme="minorEastAsia"/>
          <w:sz w:val="22"/>
          <w:szCs w:val="22"/>
        </w:rPr>
        <w:t>；</w:t>
      </w:r>
      <w:r>
        <w:rPr>
          <w:rFonts w:hint="eastAsia" w:eastAsia="仿宋_GB2312"/>
          <w:sz w:val="22"/>
          <w:szCs w:val="22"/>
        </w:rPr>
        <w:t>其中新民村为中心村，鲊石村、益民村为其他村。片区位于盐边县南端，红格镇西北处，东侧与昔格达村接壤，北侧与新九镇交接，南侧与红格镇永渔村、金沙村、红格村毗邻，西与仁和区相邻。旅游区位佳，位于盐边县南部温泉度假区内，是盐边南部温泉度假区的重要组成部分，且毗邻市区。对外交通十分便捷，紧邻G5京昆高速新九出入口与盐边站出入口。国道 G353线横穿片区，连接攀枝花市与会理市，交通区位好。县道X040与X039纵横贯穿；与攀枝花市、盐边县30分钟可达，与会理市1小时可达，交通区位优势十分突出。距离攀枝花南站与保安营机场30分钟。</w:t>
      </w:r>
    </w:p>
    <w:p w14:paraId="1823A205">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规划期限</w:t>
      </w:r>
    </w:p>
    <w:p w14:paraId="2A0B62B9">
      <w:pPr>
        <w:spacing w:before="62" w:beforeLines="20" w:after="62" w:afterLines="20" w:line="264" w:lineRule="auto"/>
        <w:ind w:firstLine="440" w:firstLineChars="200"/>
        <w:rPr>
          <w:rFonts w:eastAsiaTheme="minorEastAsia"/>
          <w:sz w:val="22"/>
          <w:szCs w:val="22"/>
        </w:rPr>
      </w:pPr>
      <w:r>
        <w:rPr>
          <w:rFonts w:hint="eastAsia" w:eastAsia="仿宋_GB2312"/>
          <w:sz w:val="22"/>
          <w:szCs w:val="22"/>
        </w:rPr>
        <w:t>规划基期年为2023年，规划目标年为2035年。</w:t>
      </w:r>
    </w:p>
    <w:p w14:paraId="11D722EF">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规划定位</w:t>
      </w:r>
    </w:p>
    <w:p w14:paraId="0563E87E">
      <w:pPr>
        <w:pStyle w:val="14"/>
        <w:spacing w:before="62" w:beforeLines="20" w:beforeAutospacing="0" w:after="62" w:afterLines="20" w:afterAutospacing="0" w:line="264" w:lineRule="auto"/>
        <w:ind w:firstLine="440" w:firstLineChars="200"/>
        <w:jc w:val="both"/>
        <w:rPr>
          <w:rFonts w:ascii="Times New Roman" w:hAnsi="Times New Roman" w:eastAsia="仿宋_GB2312" w:cs="Times New Roman"/>
          <w:kern w:val="2"/>
          <w:sz w:val="22"/>
          <w:szCs w:val="22"/>
        </w:rPr>
      </w:pPr>
      <w:r>
        <w:rPr>
          <w:rFonts w:hint="eastAsia" w:ascii="Times New Roman" w:hAnsi="Times New Roman" w:eastAsia="仿宋_GB2312" w:cs="Times New Roman"/>
          <w:kern w:val="2"/>
          <w:sz w:val="22"/>
          <w:szCs w:val="22"/>
        </w:rPr>
        <w:t>规划目标：</w:t>
      </w:r>
      <w:bookmarkStart w:id="1" w:name="OLE_LINK1"/>
      <w:r>
        <w:rPr>
          <w:rFonts w:hint="eastAsia" w:ascii="Times New Roman" w:hAnsi="Times New Roman" w:eastAsia="仿宋_GB2312" w:cs="Times New Roman"/>
          <w:kern w:val="2"/>
          <w:sz w:val="22"/>
          <w:szCs w:val="22"/>
        </w:rPr>
        <w:t>金沙江水润蔬果，满岸文旅映共富。</w:t>
      </w:r>
    </w:p>
    <w:p w14:paraId="797E1F6D">
      <w:pPr>
        <w:pStyle w:val="14"/>
        <w:spacing w:before="62" w:beforeLines="20" w:beforeAutospacing="0" w:after="62" w:afterLines="20" w:afterAutospacing="0" w:line="264" w:lineRule="auto"/>
        <w:ind w:firstLine="440" w:firstLineChars="200"/>
        <w:jc w:val="both"/>
        <w:rPr>
          <w:rFonts w:ascii="Times New Roman" w:hAnsi="Times New Roman" w:eastAsia="仿宋_GB2312" w:cs="Times New Roman"/>
          <w:kern w:val="2"/>
          <w:sz w:val="22"/>
          <w:szCs w:val="22"/>
        </w:rPr>
      </w:pPr>
      <w:r>
        <w:rPr>
          <w:rFonts w:hint="eastAsia" w:ascii="Times New Roman" w:hAnsi="Times New Roman" w:eastAsia="仿宋_GB2312" w:cs="Times New Roman"/>
          <w:kern w:val="2"/>
          <w:sz w:val="22"/>
          <w:szCs w:val="22"/>
        </w:rPr>
        <w:t>功能定位：</w:t>
      </w:r>
      <w:bookmarkStart w:id="2" w:name="OLE_LINK4"/>
      <w:r>
        <w:rPr>
          <w:rFonts w:hint="eastAsia" w:ascii="Times New Roman" w:hAnsi="Times New Roman" w:eastAsia="仿宋_GB2312" w:cs="Times New Roman"/>
          <w:kern w:val="2"/>
          <w:sz w:val="22"/>
          <w:szCs w:val="22"/>
        </w:rPr>
        <w:t>基本功能：城乡融合的和美乡村示范；核心功能：临江优质蔬果基地。</w:t>
      </w:r>
      <w:bookmarkEnd w:id="2"/>
    </w:p>
    <w:p w14:paraId="3092EBFA">
      <w:pPr>
        <w:spacing w:before="62" w:beforeLines="20" w:after="62" w:afterLines="20" w:line="264" w:lineRule="auto"/>
        <w:ind w:firstLine="440" w:firstLineChars="200"/>
        <w:rPr>
          <w:rFonts w:eastAsia="仿宋_GB2312"/>
          <w:sz w:val="22"/>
          <w:szCs w:val="22"/>
        </w:rPr>
      </w:pPr>
      <w:r>
        <w:rPr>
          <w:rFonts w:hint="eastAsia" w:eastAsia="仿宋_GB2312"/>
          <w:sz w:val="22"/>
          <w:szCs w:val="22"/>
        </w:rPr>
        <w:t>形象定位：移民精神传承地，共富工农示范园。</w:t>
      </w:r>
    </w:p>
    <w:bookmarkEnd w:id="1"/>
    <w:p w14:paraId="64DAF00E">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规划策略</w:t>
      </w:r>
    </w:p>
    <w:p w14:paraId="3A749F0B">
      <w:pPr>
        <w:spacing w:before="62" w:beforeLines="20" w:after="62" w:afterLines="20" w:line="264" w:lineRule="auto"/>
        <w:ind w:left="640"/>
        <w:rPr>
          <w:rFonts w:hint="eastAsia" w:ascii="楷体" w:hAnsi="楷体" w:eastAsia="楷体" w:cs="楷体"/>
          <w:sz w:val="22"/>
          <w:szCs w:val="22"/>
        </w:rPr>
      </w:pPr>
      <w:bookmarkStart w:id="3" w:name="_Hlk136612254"/>
      <w:r>
        <w:rPr>
          <w:rFonts w:hint="eastAsia" w:ascii="楷体" w:hAnsi="楷体" w:eastAsia="楷体" w:cs="楷体"/>
          <w:sz w:val="22"/>
          <w:szCs w:val="22"/>
          <w:lang w:eastAsia="zh-CN"/>
        </w:rPr>
        <w:t>（</w:t>
      </w:r>
      <w:r>
        <w:rPr>
          <w:rFonts w:hint="eastAsia" w:ascii="楷体" w:hAnsi="楷体" w:eastAsia="楷体" w:cs="楷体"/>
          <w:sz w:val="22"/>
          <w:szCs w:val="22"/>
        </w:rPr>
        <w:t>一</w:t>
      </w:r>
      <w:r>
        <w:rPr>
          <w:rFonts w:hint="eastAsia" w:ascii="楷体" w:hAnsi="楷体" w:eastAsia="楷体" w:cs="楷体"/>
          <w:sz w:val="22"/>
          <w:szCs w:val="22"/>
          <w:lang w:eastAsia="zh-CN"/>
        </w:rPr>
        <w:t>）</w:t>
      </w:r>
      <w:r>
        <w:rPr>
          <w:rFonts w:hint="eastAsia" w:ascii="楷体" w:hAnsi="楷体" w:eastAsia="楷体" w:cs="楷体"/>
          <w:sz w:val="22"/>
          <w:szCs w:val="22"/>
        </w:rPr>
        <w:tab/>
      </w:r>
      <w:r>
        <w:rPr>
          <w:rFonts w:hint="eastAsia" w:ascii="楷体" w:hAnsi="楷体" w:eastAsia="楷体" w:cs="楷体"/>
          <w:sz w:val="22"/>
          <w:szCs w:val="22"/>
        </w:rPr>
        <w:t>策略一：水岸联动·焕生机——整合金沙江码头、沙滩资源，联动对岸金江，打造特色滨水旅游</w:t>
      </w:r>
    </w:p>
    <w:p w14:paraId="7DC93EC5">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以"水岸同治"筑基底，开通水上游线串联两岸，升级码头、沙滩及配套设施；</w:t>
      </w:r>
    </w:p>
    <w:p w14:paraId="2C7A0600">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以"产城共融"促发展，联合两岸共塑文旅品牌，开发文化探险等特色产品；</w:t>
      </w:r>
    </w:p>
    <w:p w14:paraId="2706325A">
      <w:pPr>
        <w:spacing w:before="62" w:beforeLines="20" w:after="62" w:afterLines="20" w:line="264" w:lineRule="auto"/>
        <w:ind w:firstLine="440" w:firstLineChars="200"/>
        <w:rPr>
          <w:rFonts w:eastAsia="仿宋_GB2312"/>
          <w:sz w:val="22"/>
          <w:szCs w:val="22"/>
        </w:rPr>
      </w:pPr>
      <w:r>
        <w:rPr>
          <w:rFonts w:hint="eastAsia" w:eastAsia="仿宋_GB2312"/>
          <w:sz w:val="22"/>
          <w:szCs w:val="22"/>
        </w:rPr>
        <w:t>联动居民发展民宿餐饮，打造"流动黄金带"，实现"一江兴两岸"的共富效应。</w:t>
      </w:r>
    </w:p>
    <w:p w14:paraId="598EEAEC">
      <w:pPr>
        <w:spacing w:before="62" w:beforeLines="20" w:after="62" w:afterLines="20" w:line="264" w:lineRule="auto"/>
        <w:ind w:left="640"/>
        <w:rPr>
          <w:rFonts w:ascii="楷体" w:hAnsi="楷体" w:eastAsia="楷体" w:cs="楷体"/>
          <w:sz w:val="22"/>
          <w:szCs w:val="22"/>
        </w:rPr>
      </w:pPr>
      <w:r>
        <w:rPr>
          <w:rFonts w:hint="eastAsia" w:ascii="楷体" w:hAnsi="楷体" w:eastAsia="楷体" w:cs="楷体"/>
          <w:sz w:val="22"/>
          <w:szCs w:val="22"/>
          <w:lang w:eastAsia="zh-CN"/>
        </w:rPr>
        <w:t>（</w:t>
      </w:r>
      <w:r>
        <w:rPr>
          <w:rFonts w:hint="eastAsia" w:ascii="楷体" w:hAnsi="楷体" w:eastAsia="楷体" w:cs="楷体"/>
          <w:sz w:val="22"/>
          <w:szCs w:val="22"/>
        </w:rPr>
        <w:t>二</w:t>
      </w:r>
      <w:r>
        <w:rPr>
          <w:rFonts w:hint="eastAsia" w:ascii="楷体" w:hAnsi="楷体" w:eastAsia="楷体" w:cs="楷体"/>
          <w:sz w:val="22"/>
          <w:szCs w:val="22"/>
          <w:lang w:eastAsia="zh-CN"/>
        </w:rPr>
        <w:t>）</w:t>
      </w:r>
      <w:r>
        <w:rPr>
          <w:rFonts w:hint="eastAsia" w:ascii="楷体" w:hAnsi="楷体" w:eastAsia="楷体" w:cs="楷体"/>
          <w:sz w:val="22"/>
          <w:szCs w:val="22"/>
        </w:rPr>
        <w:tab/>
      </w:r>
      <w:r>
        <w:rPr>
          <w:rFonts w:hint="eastAsia" w:ascii="楷体" w:hAnsi="楷体" w:eastAsia="楷体" w:cs="楷体"/>
          <w:sz w:val="22"/>
          <w:szCs w:val="22"/>
        </w:rPr>
        <w:t>策略二：产业融合，促发展——在筑强农业基底的基础上，以“蔬果+”为引领，促进产业融合</w:t>
      </w:r>
    </w:p>
    <w:p w14:paraId="1010E267">
      <w:pPr>
        <w:spacing w:before="62" w:beforeLines="20" w:after="62" w:afterLines="20" w:line="264" w:lineRule="auto"/>
        <w:ind w:left="640"/>
        <w:rPr>
          <w:rFonts w:hint="eastAsia" w:eastAsia="仿宋_GB2312"/>
          <w:sz w:val="22"/>
          <w:szCs w:val="22"/>
        </w:rPr>
      </w:pPr>
      <w:r>
        <w:rPr>
          <w:rFonts w:hint="eastAsia" w:eastAsia="仿宋_GB2312"/>
          <w:sz w:val="22"/>
          <w:szCs w:val="22"/>
        </w:rPr>
        <w:t>在地复兴，以玉米、蔬菜、水果为主，以横向和纵向延伸产业，打通产业上下游，融合一</w:t>
      </w:r>
      <w:r>
        <w:rPr>
          <w:rFonts w:hint="eastAsia" w:eastAsia="仿宋_GB2312"/>
          <w:sz w:val="22"/>
          <w:szCs w:val="22"/>
          <w:lang w:eastAsia="zh-CN"/>
        </w:rPr>
        <w:t>二、三产业</w:t>
      </w:r>
      <w:r>
        <w:rPr>
          <w:rFonts w:hint="eastAsia" w:eastAsia="仿宋_GB2312"/>
          <w:sz w:val="22"/>
          <w:szCs w:val="22"/>
        </w:rPr>
        <w:t>，形成“蔬果+”的产业体系；</w:t>
      </w:r>
    </w:p>
    <w:p w14:paraId="24DBE43B">
      <w:pPr>
        <w:spacing w:before="62" w:beforeLines="20" w:after="62" w:afterLines="20" w:line="264" w:lineRule="auto"/>
        <w:ind w:firstLine="440" w:firstLineChars="200"/>
        <w:rPr>
          <w:rFonts w:eastAsia="仿宋_GB2312"/>
          <w:sz w:val="22"/>
          <w:szCs w:val="22"/>
        </w:rPr>
      </w:pPr>
      <w:r>
        <w:rPr>
          <w:rFonts w:hint="eastAsia" w:eastAsia="仿宋_GB2312"/>
          <w:sz w:val="22"/>
          <w:szCs w:val="22"/>
        </w:rPr>
        <w:t>重视引入农业科技含量高的种植产品、技术、人才、团队等，加强产业研发。</w:t>
      </w:r>
    </w:p>
    <w:p w14:paraId="22CF7DB5">
      <w:pPr>
        <w:spacing w:before="62" w:beforeLines="20" w:after="62" w:afterLines="20" w:line="264" w:lineRule="auto"/>
        <w:ind w:left="640"/>
        <w:rPr>
          <w:rFonts w:hint="eastAsia" w:ascii="楷体" w:hAnsi="楷体" w:eastAsia="楷体" w:cs="楷体"/>
          <w:sz w:val="22"/>
          <w:szCs w:val="22"/>
        </w:rPr>
      </w:pPr>
      <w:r>
        <w:rPr>
          <w:rFonts w:hint="eastAsia" w:ascii="楷体" w:hAnsi="楷体" w:eastAsia="楷体" w:cs="楷体"/>
          <w:sz w:val="22"/>
          <w:szCs w:val="22"/>
          <w:lang w:eastAsia="zh-CN"/>
        </w:rPr>
        <w:t>（</w:t>
      </w:r>
      <w:r>
        <w:rPr>
          <w:rFonts w:hint="eastAsia" w:ascii="楷体" w:hAnsi="楷体" w:eastAsia="楷体" w:cs="楷体"/>
          <w:sz w:val="22"/>
          <w:szCs w:val="22"/>
        </w:rPr>
        <w:t>三</w:t>
      </w:r>
      <w:r>
        <w:rPr>
          <w:rFonts w:hint="eastAsia" w:ascii="楷体" w:hAnsi="楷体" w:eastAsia="楷体" w:cs="楷体"/>
          <w:sz w:val="22"/>
          <w:szCs w:val="22"/>
          <w:lang w:eastAsia="zh-CN"/>
        </w:rPr>
        <w:t>）</w:t>
      </w:r>
      <w:r>
        <w:rPr>
          <w:rFonts w:hint="eastAsia" w:ascii="楷体" w:hAnsi="楷体" w:eastAsia="楷体" w:cs="楷体"/>
          <w:sz w:val="22"/>
          <w:szCs w:val="22"/>
        </w:rPr>
        <w:tab/>
      </w:r>
      <w:r>
        <w:rPr>
          <w:rFonts w:hint="eastAsia" w:ascii="楷体" w:hAnsi="楷体" w:eastAsia="楷体" w:cs="楷体"/>
          <w:sz w:val="22"/>
          <w:szCs w:val="22"/>
        </w:rPr>
        <w:t>策略三：文化赋能，显特色——挖掘移民精神，丰富三线精神，解读共富密码，打造特色文化体验地</w:t>
      </w:r>
    </w:p>
    <w:p w14:paraId="3E383176">
      <w:pPr>
        <w:spacing w:before="62" w:beforeLines="20" w:after="62" w:afterLines="20" w:line="264" w:lineRule="auto"/>
        <w:ind w:firstLine="440" w:firstLineChars="200"/>
        <w:rPr>
          <w:rFonts w:eastAsia="仿宋_GB2312"/>
          <w:sz w:val="22"/>
          <w:szCs w:val="22"/>
        </w:rPr>
      </w:pPr>
      <w:r>
        <w:rPr>
          <w:rFonts w:hint="eastAsia" w:eastAsia="仿宋_GB2312"/>
          <w:sz w:val="22"/>
          <w:szCs w:val="22"/>
        </w:rPr>
        <w:t>通过"历史场景再现+现代科技赋能+参与式体验"的三维策略，构建"精神传承-文化认同-价值转化"的完整闭环，使文化体验地成为凝聚精神力量、驱动共同富裕的立体教科书。</w:t>
      </w:r>
      <w:bookmarkEnd w:id="3"/>
    </w:p>
    <w:p w14:paraId="3891C9A3">
      <w:pPr>
        <w:spacing w:before="62" w:beforeLines="20" w:after="62" w:afterLines="20" w:line="264" w:lineRule="auto"/>
        <w:ind w:left="640"/>
        <w:rPr>
          <w:rFonts w:hint="eastAsia" w:ascii="楷体" w:hAnsi="楷体" w:eastAsia="楷体" w:cs="楷体"/>
          <w:sz w:val="22"/>
          <w:szCs w:val="22"/>
        </w:rPr>
      </w:pPr>
      <w:r>
        <w:rPr>
          <w:rFonts w:hint="eastAsia" w:ascii="楷体" w:hAnsi="楷体" w:eastAsia="楷体" w:cs="楷体"/>
          <w:sz w:val="22"/>
          <w:szCs w:val="22"/>
          <w:lang w:eastAsia="zh-CN"/>
        </w:rPr>
        <w:t>（</w:t>
      </w:r>
      <w:r>
        <w:rPr>
          <w:rFonts w:hint="eastAsia" w:ascii="楷体" w:hAnsi="楷体" w:eastAsia="楷体" w:cs="楷体"/>
          <w:sz w:val="22"/>
          <w:szCs w:val="22"/>
        </w:rPr>
        <w:t>四</w:t>
      </w:r>
      <w:r>
        <w:rPr>
          <w:rFonts w:hint="eastAsia" w:ascii="楷体" w:hAnsi="楷体" w:eastAsia="楷体" w:cs="楷体"/>
          <w:sz w:val="22"/>
          <w:szCs w:val="22"/>
          <w:lang w:eastAsia="zh-CN"/>
        </w:rPr>
        <w:t>）</w:t>
      </w:r>
      <w:r>
        <w:rPr>
          <w:rFonts w:hint="eastAsia" w:ascii="楷体" w:hAnsi="楷体" w:eastAsia="楷体" w:cs="楷体"/>
          <w:sz w:val="22"/>
          <w:szCs w:val="22"/>
        </w:rPr>
        <w:tab/>
      </w:r>
      <w:r>
        <w:rPr>
          <w:rFonts w:hint="eastAsia" w:ascii="楷体" w:hAnsi="楷体" w:eastAsia="楷体" w:cs="楷体"/>
          <w:sz w:val="22"/>
          <w:szCs w:val="22"/>
        </w:rPr>
        <w:t>策略四：配置优化，美乡村——挖掘乡村特色，优化乡村配置，美化乡村环境</w:t>
      </w:r>
    </w:p>
    <w:p w14:paraId="6A3D72E3">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绘制“特色产业热力图”，规划“一村一品”错位发展路径；</w:t>
      </w:r>
    </w:p>
    <w:p w14:paraId="526D5F4E">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打造“15分钟乡村生活圈”，配置邻里中心、口袋公园等便民设施；</w:t>
      </w:r>
    </w:p>
    <w:p w14:paraId="4BF15485">
      <w:pPr>
        <w:spacing w:before="62" w:beforeLines="20" w:after="62" w:afterLines="20" w:line="264" w:lineRule="auto"/>
        <w:ind w:firstLine="440" w:firstLineChars="200"/>
        <w:rPr>
          <w:rFonts w:eastAsia="仿宋_GB2312"/>
          <w:sz w:val="22"/>
          <w:szCs w:val="22"/>
        </w:rPr>
      </w:pPr>
      <w:r>
        <w:rPr>
          <w:rFonts w:hint="eastAsia" w:eastAsia="仿宋_GB2312"/>
          <w:sz w:val="22"/>
          <w:szCs w:val="22"/>
        </w:rPr>
        <w:t>发展特色农业或手工艺品，打造品牌。</w:t>
      </w:r>
    </w:p>
    <w:p w14:paraId="6933D7E3">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规划目标</w:t>
      </w:r>
    </w:p>
    <w:p w14:paraId="1E415C1A">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规划至2025年，三条空间控制线全面落地，闲置用地持续盘活，生态环境持续改善，扎实推进</w:t>
      </w:r>
      <w:r>
        <w:rPr>
          <w:rFonts w:hint="eastAsia" w:eastAsia="仿宋_GB2312"/>
          <w:sz w:val="22"/>
          <w:szCs w:val="22"/>
          <w:lang w:eastAsia="zh-CN"/>
        </w:rPr>
        <w:t>农村人居环境整治提升行动</w:t>
      </w:r>
      <w:r>
        <w:rPr>
          <w:rFonts w:hint="eastAsia" w:eastAsia="仿宋_GB2312"/>
          <w:sz w:val="22"/>
          <w:szCs w:val="22"/>
        </w:rPr>
        <w:t>，夯实城乡融合发展基础。</w:t>
      </w:r>
    </w:p>
    <w:p w14:paraId="4C7701B3">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规划至2030年，聚焦特色农业提质增效，规模化拓展早市蔬菜、芒果、莲雾等高附加值农产品种植；同步强化二产核心竞争力，以产村深度融合为路径，推动产业链延伸与集群化发展，构建现代农业与乡村产业协同共进的新格局。</w:t>
      </w:r>
    </w:p>
    <w:p w14:paraId="43E219BD">
      <w:pPr>
        <w:spacing w:before="62" w:beforeLines="20" w:after="62" w:afterLines="20" w:line="264" w:lineRule="auto"/>
        <w:ind w:firstLine="440" w:firstLineChars="200"/>
        <w:rPr>
          <w:rFonts w:eastAsia="仿宋_GB2312"/>
          <w:sz w:val="22"/>
          <w:szCs w:val="22"/>
        </w:rPr>
      </w:pPr>
      <w:r>
        <w:rPr>
          <w:rFonts w:hint="eastAsia" w:eastAsia="仿宋_GB2312"/>
          <w:sz w:val="22"/>
          <w:szCs w:val="22"/>
        </w:rPr>
        <w:t>规划至2035年，构建三产融合的现代产业体系，建成盐边现代农业产业园及万亩级智慧蔬菜种植基地，配套农产品精深加工产业链，同步发展农旅融合产业，形成集研学、康养、民宿于一体的旅游目的地；基础设施与公共服务实现全域网络化覆盖，建成“外联内畅”的交通骨架，完成供水、排污、垃圾处理等市政设施城乡一体化改造，并构建起涵盖教育、医疗、文化的乡村生活服务圈。</w:t>
      </w:r>
    </w:p>
    <w:p w14:paraId="4CF12FF8">
      <w:pPr>
        <w:spacing w:before="62" w:beforeLines="20" w:after="62" w:afterLines="20" w:line="264" w:lineRule="auto"/>
        <w:ind w:firstLine="440" w:firstLineChars="200"/>
        <w:rPr>
          <w:rFonts w:eastAsia="仿宋_GB2312"/>
          <w:sz w:val="22"/>
          <w:szCs w:val="22"/>
        </w:rPr>
      </w:pPr>
      <w:r>
        <w:rPr>
          <w:rFonts w:hint="eastAsia" w:eastAsia="仿宋_GB2312"/>
          <w:sz w:val="22"/>
          <w:szCs w:val="22"/>
        </w:rPr>
        <w:t>依据《攀枝花市盐边县红格片区国土空间总体规划（2021</w:t>
      </w:r>
      <w:r>
        <w:rPr>
          <w:rFonts w:hint="eastAsia" w:eastAsia="仿宋_GB2312"/>
          <w:sz w:val="22"/>
          <w:szCs w:val="22"/>
          <w:lang w:eastAsia="zh-CN"/>
        </w:rPr>
        <w:t>—</w:t>
      </w:r>
      <w:r>
        <w:rPr>
          <w:rFonts w:hint="eastAsia" w:eastAsia="仿宋_GB2312"/>
          <w:sz w:val="22"/>
          <w:szCs w:val="22"/>
        </w:rPr>
        <w:t>2035年） 》，永久基本农田保护面积不低于563.14公顷，生态保护红线1.58公顷，耕地保有量不低于746.75公顷，不涉及城镇开发边界，村庄建设边界规模226.56公顷，常住人口3000人。</w:t>
      </w:r>
    </w:p>
    <w:p w14:paraId="4DBAD991">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底线约束</w:t>
      </w:r>
    </w:p>
    <w:p w14:paraId="143962C6">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一</w:t>
      </w:r>
      <w:r>
        <w:rPr>
          <w:rFonts w:ascii="楷体" w:hAnsi="楷体" w:eastAsia="楷体" w:cs="楷体"/>
          <w:sz w:val="22"/>
          <w:szCs w:val="22"/>
        </w:rPr>
        <w:t>）</w:t>
      </w:r>
      <w:r>
        <w:rPr>
          <w:rFonts w:hint="eastAsia" w:ascii="楷体" w:hAnsi="楷体" w:eastAsia="楷体" w:cs="楷体"/>
          <w:sz w:val="22"/>
          <w:szCs w:val="22"/>
        </w:rPr>
        <w:t>耕地和永久基本农田</w:t>
      </w:r>
    </w:p>
    <w:p w14:paraId="6E61E413">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目标任务：落实盐边县“三区三线”核实处置数据成果，片区耕地保护目标为746.75公顷，永久基本农田保护目标为563.14公顷。</w:t>
      </w:r>
    </w:p>
    <w:p w14:paraId="3C77A0F8">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耕地管控措施：按照《中华人民共和国土地管理法》（2019年修正）、《中华人民共和国土地管理法实施条例》（2021年修订）等法律法规要求进行管控；严格落实非农业建设占用耕地，必须先补后占和占一补一、占优补优、占水田补水田，补充可以长期稳定利用的耕地。</w:t>
      </w:r>
    </w:p>
    <w:p w14:paraId="788F0A43">
      <w:pPr>
        <w:spacing w:before="62" w:beforeLines="20" w:after="62" w:afterLines="20" w:line="264" w:lineRule="auto"/>
        <w:ind w:firstLine="440" w:firstLineChars="200"/>
        <w:rPr>
          <w:rFonts w:eastAsia="仿宋_GB2312"/>
          <w:sz w:val="22"/>
          <w:szCs w:val="22"/>
        </w:rPr>
      </w:pPr>
      <w:r>
        <w:rPr>
          <w:rFonts w:hint="eastAsia" w:eastAsia="仿宋_GB2312"/>
          <w:sz w:val="22"/>
          <w:szCs w:val="22"/>
        </w:rPr>
        <w:t>基本农田管控措施：永久基本农田一经划定，任何单位和个人不得私自占用，或者擅自改变用途。除法律规定的能源、交通、水利、军事设施等国家重点建设项目选址无法避让以外，其他任何建设都不得占用。符合法定条件的，确需占用和改变永久基本农田的，必须经过可行性论证，确实难以避让的，应当将土地利用总体规划调整方案和永久基本农田补划方案一并报国务院批准，及时补划数量相等、质量相当的永久基本农田。</w:t>
      </w:r>
    </w:p>
    <w:p w14:paraId="22899F5B">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二</w:t>
      </w:r>
      <w:r>
        <w:rPr>
          <w:rFonts w:ascii="楷体" w:hAnsi="楷体" w:eastAsia="楷体" w:cs="楷体"/>
          <w:sz w:val="22"/>
          <w:szCs w:val="22"/>
        </w:rPr>
        <w:t>）</w:t>
      </w:r>
      <w:r>
        <w:rPr>
          <w:rFonts w:hint="eastAsia" w:ascii="楷体" w:hAnsi="楷体" w:eastAsia="楷体" w:cs="楷体"/>
          <w:sz w:val="22"/>
          <w:szCs w:val="22"/>
        </w:rPr>
        <w:t>生态保护红线</w:t>
      </w:r>
    </w:p>
    <w:p w14:paraId="2D8946ED">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目标任务：落实上位规划的生态保护红线，至2035年，片区生态保护红线1.58公顷。</w:t>
      </w:r>
    </w:p>
    <w:p w14:paraId="14B33902">
      <w:pPr>
        <w:spacing w:before="62" w:beforeLines="20" w:after="62" w:afterLines="20" w:line="264" w:lineRule="auto"/>
        <w:ind w:firstLine="440" w:firstLineChars="200"/>
        <w:rPr>
          <w:rFonts w:eastAsiaTheme="minorEastAsia"/>
          <w:sz w:val="22"/>
          <w:szCs w:val="22"/>
        </w:rPr>
      </w:pPr>
      <w:r>
        <w:rPr>
          <w:rFonts w:hint="eastAsia" w:eastAsia="仿宋_GB2312"/>
          <w:sz w:val="22"/>
          <w:szCs w:val="22"/>
        </w:rPr>
        <w:t>管控要求：按照《中共中央办公厅 国务院办公厅关于在国土空间规划中统筹划定落实三条控制线的指导意见》（厅字〔2019〕48号）、《自然资源部 生态环境部 国家林业和草原局关于加强生态保护红线管理的通知》（自然资发〔2022〕142号）等法律法规要求进行管控；严格保护生态保护红线，自然保护地核心保护区内原则上禁止人为活动，核心保护区外，仅允许对生态功能不造成破坏的有限人为活动。</w:t>
      </w:r>
    </w:p>
    <w:p w14:paraId="50B688DE">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三</w:t>
      </w:r>
      <w:r>
        <w:rPr>
          <w:rFonts w:ascii="楷体" w:hAnsi="楷体" w:eastAsia="楷体" w:cs="楷体"/>
          <w:sz w:val="22"/>
          <w:szCs w:val="22"/>
        </w:rPr>
        <w:t>）</w:t>
      </w:r>
      <w:r>
        <w:rPr>
          <w:rFonts w:hint="eastAsia" w:ascii="楷体" w:hAnsi="楷体" w:eastAsia="楷体" w:cs="楷体"/>
          <w:sz w:val="22"/>
          <w:szCs w:val="22"/>
        </w:rPr>
        <w:t>城镇开发边界</w:t>
      </w:r>
    </w:p>
    <w:p w14:paraId="169866AE">
      <w:pPr>
        <w:pStyle w:val="2"/>
        <w:ind w:left="860" w:hanging="440"/>
        <w:rPr>
          <w:rFonts w:eastAsiaTheme="minorEastAsia"/>
          <w:sz w:val="22"/>
          <w:szCs w:val="22"/>
        </w:rPr>
      </w:pPr>
      <w:r>
        <w:rPr>
          <w:rFonts w:hint="eastAsia" w:eastAsia="仿宋_GB2312"/>
          <w:sz w:val="22"/>
          <w:szCs w:val="22"/>
        </w:rPr>
        <w:t>片区不涉及市县中心城区外，以及乡镇人民政府驻地、各级开发区的城镇开发边界外的零星城镇开发边界。</w:t>
      </w:r>
    </w:p>
    <w:p w14:paraId="52B7D756">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四</w:t>
      </w:r>
      <w:r>
        <w:rPr>
          <w:rFonts w:ascii="楷体" w:hAnsi="楷体" w:eastAsia="楷体" w:cs="楷体"/>
          <w:sz w:val="22"/>
          <w:szCs w:val="22"/>
        </w:rPr>
        <w:t>）</w:t>
      </w:r>
      <w:r>
        <w:rPr>
          <w:rFonts w:hint="eastAsia" w:ascii="楷体" w:hAnsi="楷体" w:eastAsia="楷体" w:cs="楷体"/>
          <w:sz w:val="22"/>
          <w:szCs w:val="22"/>
        </w:rPr>
        <w:t>村庄建设边界</w:t>
      </w:r>
    </w:p>
    <w:p w14:paraId="40FA68F8">
      <w:pPr>
        <w:pStyle w:val="2"/>
        <w:ind w:left="860" w:hanging="440"/>
        <w:rPr>
          <w:rFonts w:hint="eastAsia" w:eastAsia="仿宋_GB2312"/>
          <w:sz w:val="22"/>
          <w:szCs w:val="22"/>
        </w:rPr>
      </w:pPr>
      <w:r>
        <w:rPr>
          <w:rFonts w:hint="eastAsia" w:eastAsia="仿宋_GB2312"/>
          <w:sz w:val="22"/>
          <w:szCs w:val="22"/>
        </w:rPr>
        <w:t>目标任务：落实乡镇级片区划定的村庄建设边界，本次落实村庄建设边界226.56公顷。</w:t>
      </w:r>
    </w:p>
    <w:p w14:paraId="2BB84F6C">
      <w:pPr>
        <w:spacing w:before="62" w:beforeLines="20" w:after="62" w:afterLines="20" w:line="264" w:lineRule="auto"/>
        <w:ind w:left="640"/>
        <w:rPr>
          <w:rFonts w:hint="eastAsia" w:eastAsia="仿宋_GB2312"/>
          <w:sz w:val="22"/>
          <w:szCs w:val="22"/>
        </w:rPr>
      </w:pPr>
      <w:r>
        <w:rPr>
          <w:rFonts w:hint="eastAsia" w:eastAsia="仿宋_GB2312"/>
          <w:sz w:val="22"/>
          <w:szCs w:val="22"/>
        </w:rPr>
        <w:t>目标任务：落实乡镇级片区划定的村庄建设边界，本次落实村庄建设边界226.56公顷。</w:t>
      </w:r>
    </w:p>
    <w:p w14:paraId="0300B2A3">
      <w:pPr>
        <w:spacing w:before="62" w:beforeLines="20" w:after="62" w:afterLines="20" w:line="264" w:lineRule="auto"/>
        <w:ind w:left="640"/>
        <w:rPr>
          <w:rFonts w:eastAsia="仿宋_GB2312"/>
          <w:sz w:val="22"/>
          <w:szCs w:val="22"/>
        </w:rPr>
      </w:pPr>
      <w:r>
        <w:rPr>
          <w:rFonts w:hint="eastAsia" w:eastAsia="仿宋_GB2312"/>
          <w:sz w:val="22"/>
          <w:szCs w:val="22"/>
        </w:rPr>
        <w:t>管控要求：原则上，各类乡村建设行为应在村庄建设边界内开展。在满足环保、安全和相应的规划设计规范前提下，少量乡村公共服务和基础设施、零星乡村产业用地和散居农房可在村庄建设边界外进行建设</w:t>
      </w:r>
    </w:p>
    <w:p w14:paraId="3A9EB820">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五</w:t>
      </w:r>
      <w:r>
        <w:rPr>
          <w:rFonts w:ascii="楷体" w:hAnsi="楷体" w:eastAsia="楷体" w:cs="楷体"/>
          <w:sz w:val="22"/>
          <w:szCs w:val="22"/>
        </w:rPr>
        <w:t>）</w:t>
      </w:r>
      <w:r>
        <w:rPr>
          <w:rFonts w:hint="eastAsia" w:ascii="楷体" w:hAnsi="楷体" w:eastAsia="楷体" w:cs="楷体"/>
          <w:sz w:val="22"/>
          <w:szCs w:val="22"/>
        </w:rPr>
        <w:t>其他保护线</w:t>
      </w:r>
    </w:p>
    <w:p w14:paraId="71BCE46F">
      <w:pPr>
        <w:numPr>
          <w:ilvl w:val="0"/>
          <w:numId w:val="2"/>
        </w:numPr>
        <w:spacing w:before="62" w:beforeLines="20" w:after="62" w:afterLines="20" w:line="264" w:lineRule="auto"/>
        <w:rPr>
          <w:rFonts w:eastAsia="仿宋_GB2312"/>
          <w:sz w:val="22"/>
          <w:szCs w:val="22"/>
        </w:rPr>
      </w:pPr>
      <w:r>
        <w:rPr>
          <w:rFonts w:hint="eastAsia" w:eastAsia="仿宋_GB2312"/>
          <w:sz w:val="22"/>
          <w:szCs w:val="22"/>
        </w:rPr>
        <w:t>洪涝风险控制线</w:t>
      </w:r>
    </w:p>
    <w:p w14:paraId="769478EC">
      <w:pPr>
        <w:pStyle w:val="2"/>
        <w:ind w:left="420" w:leftChars="0" w:firstLine="440" w:firstLineChars="200"/>
        <w:rPr>
          <w:rFonts w:eastAsia="仿宋_GB2312"/>
          <w:sz w:val="22"/>
          <w:szCs w:val="22"/>
        </w:rPr>
      </w:pPr>
      <w:r>
        <w:rPr>
          <w:rFonts w:hint="eastAsia" w:eastAsia="仿宋_GB2312"/>
          <w:sz w:val="22"/>
          <w:szCs w:val="22"/>
        </w:rPr>
        <w:t>严格落实水利部门划定的河湖管理范围，落实河流的河湖管理范围，划定洪涝风险控制线，并按照水利部门相关要求进行管理。片区洪涝灾害控制线内无建设用地。</w:t>
      </w:r>
    </w:p>
    <w:p w14:paraId="38EFE6A7">
      <w:pPr>
        <w:numPr>
          <w:ilvl w:val="0"/>
          <w:numId w:val="2"/>
        </w:numPr>
        <w:spacing w:before="62" w:beforeLines="20" w:after="62" w:afterLines="20" w:line="264" w:lineRule="auto"/>
        <w:rPr>
          <w:rFonts w:eastAsia="仿宋_GB2312"/>
          <w:sz w:val="22"/>
          <w:szCs w:val="22"/>
        </w:rPr>
      </w:pPr>
      <w:r>
        <w:rPr>
          <w:rFonts w:hint="eastAsia" w:eastAsia="仿宋_GB2312"/>
          <w:sz w:val="22"/>
          <w:szCs w:val="22"/>
        </w:rPr>
        <w:t>长江干支流域保护线</w:t>
      </w:r>
    </w:p>
    <w:p w14:paraId="66706451">
      <w:pPr>
        <w:pStyle w:val="2"/>
        <w:ind w:left="420" w:leftChars="0" w:firstLine="440" w:firstLineChars="200"/>
        <w:rPr>
          <w:rFonts w:eastAsia="仿宋_GB2312"/>
          <w:sz w:val="22"/>
          <w:szCs w:val="22"/>
        </w:rPr>
      </w:pPr>
      <w:r>
        <w:rPr>
          <w:rFonts w:hint="eastAsia" w:eastAsia="仿宋_GB2312"/>
          <w:sz w:val="22"/>
          <w:szCs w:val="22"/>
        </w:rPr>
        <w:t>按照《中华人民共和国长江保护法》第二十二条相关规定：禁止在长江流域重点生态功能区布局对生态系统有严重影响的产业。禁止重污染企业和项目向长江中上游转移。以及第二十六条相关规定：禁止在长江干支流岸线一公里范围内新建、扩建化工园和化工项目。禁止在长江干支流岸线三公里范围内和重要支流岸线一公里范围内新建、改建、扩建尾矿库；但是以提升安全、生态环境保护水平为目的的改建除外。片区内凡涉及长江干支流域内的建设均应严格执行以上法规要求。</w:t>
      </w:r>
    </w:p>
    <w:p w14:paraId="00C5547E">
      <w:pPr>
        <w:numPr>
          <w:ilvl w:val="0"/>
          <w:numId w:val="2"/>
        </w:numPr>
        <w:spacing w:before="62" w:beforeLines="20" w:after="62" w:afterLines="20" w:line="264" w:lineRule="auto"/>
      </w:pPr>
      <w:r>
        <w:rPr>
          <w:rFonts w:hint="eastAsia" w:eastAsia="仿宋_GB2312"/>
          <w:sz w:val="22"/>
          <w:szCs w:val="22"/>
        </w:rPr>
        <w:t>矿产资源开采保护线</w:t>
      </w:r>
    </w:p>
    <w:p w14:paraId="75E4F19B">
      <w:pPr>
        <w:pStyle w:val="2"/>
        <w:ind w:left="420" w:leftChars="0" w:firstLine="440" w:firstLineChars="200"/>
        <w:rPr>
          <w:rFonts w:hint="eastAsia" w:eastAsia="仿宋_GB2312"/>
          <w:sz w:val="22"/>
          <w:szCs w:val="22"/>
        </w:rPr>
      </w:pPr>
      <w:r>
        <w:rPr>
          <w:rFonts w:hint="eastAsia" w:eastAsia="仿宋_GB2312"/>
          <w:sz w:val="22"/>
          <w:szCs w:val="22"/>
        </w:rPr>
        <w:t>目标任务：严格落实上位规划划定成果，片区涉及1个规划重点勘查区（四川盐边红格钒钛磁铁矿重点勘查区）、1个重点开采区（攀枝花红格钒钛磁铁矿重点开采区）、1个能源资源基地（四川攀枝花朱兰-红格-白马钒钛磁铁矿国家级能源资源基地（盐边部分））。</w:t>
      </w:r>
    </w:p>
    <w:p w14:paraId="6E5B6C3A">
      <w:pPr>
        <w:pStyle w:val="2"/>
        <w:ind w:left="420" w:leftChars="0" w:firstLine="440" w:firstLineChars="200"/>
        <w:rPr>
          <w:rFonts w:eastAsia="仿宋_GB2312"/>
          <w:sz w:val="22"/>
          <w:szCs w:val="22"/>
        </w:rPr>
      </w:pPr>
      <w:r>
        <w:rPr>
          <w:rFonts w:hint="eastAsia" w:eastAsia="仿宋_GB2312"/>
          <w:sz w:val="22"/>
          <w:szCs w:val="22"/>
        </w:rPr>
        <w:t>管控要求：严格按照《中华人民共和国矿产资源法》《四川省矿产资源管理条例》进行管控。勘察、开采矿产资源必须遵守环境保护的法律规定，保护地质环境，防治地质灾害，加强水土保持、植被恢复和土地复垦。</w:t>
      </w:r>
    </w:p>
    <w:p w14:paraId="4453DC1D">
      <w:pPr>
        <w:numPr>
          <w:ilvl w:val="0"/>
          <w:numId w:val="2"/>
        </w:numPr>
        <w:spacing w:before="62" w:beforeLines="20" w:after="62" w:afterLines="20" w:line="264" w:lineRule="auto"/>
        <w:rPr>
          <w:rFonts w:eastAsia="仿宋_GB2312"/>
          <w:sz w:val="22"/>
          <w:szCs w:val="22"/>
        </w:rPr>
      </w:pPr>
      <w:r>
        <w:rPr>
          <w:rFonts w:hint="eastAsia" w:eastAsia="仿宋_GB2312"/>
          <w:sz w:val="22"/>
          <w:szCs w:val="22"/>
        </w:rPr>
        <w:t>市政廊道管控线</w:t>
      </w:r>
    </w:p>
    <w:p w14:paraId="5FC77FF6">
      <w:pPr>
        <w:pStyle w:val="2"/>
        <w:ind w:left="420" w:firstLine="440" w:firstLineChars="200"/>
        <w:rPr>
          <w:rFonts w:hint="eastAsia" w:eastAsia="仿宋_GB2312"/>
          <w:sz w:val="22"/>
          <w:szCs w:val="22"/>
        </w:rPr>
      </w:pPr>
      <w:r>
        <w:rPr>
          <w:rFonts w:hint="eastAsia" w:eastAsia="仿宋_GB2312"/>
          <w:sz w:val="22"/>
          <w:szCs w:val="22"/>
        </w:rPr>
        <w:t>目标任务：落实上位规划市政廊道管控要求，新民村级片区涉及1条220kV高压线，2条110kV高压线和4条35kV高压线，1条燃气高压长输气管道。</w:t>
      </w:r>
    </w:p>
    <w:p w14:paraId="1C5A3A51">
      <w:pPr>
        <w:pStyle w:val="2"/>
        <w:ind w:left="420" w:leftChars="0" w:firstLine="440" w:firstLineChars="200"/>
        <w:rPr>
          <w:rFonts w:eastAsia="仿宋_GB2312"/>
          <w:sz w:val="22"/>
          <w:szCs w:val="22"/>
        </w:rPr>
      </w:pPr>
      <w:r>
        <w:rPr>
          <w:rFonts w:hint="eastAsia" w:eastAsia="仿宋_GB2312"/>
          <w:sz w:val="22"/>
          <w:szCs w:val="22"/>
        </w:rPr>
        <w:t>管控要求：35kV架空高压线走廊宽度按两侧各10m控制，110kV架空高压线走廊宽度按两侧各12.5m控制，220kV架空高压线走廊宽度按两侧各20米控制。攀枝花—米易长输燃气管线两侧安全间距不宜低于200米，建设条件困难区域依据专门安全评价严格控制燃气管道安全距离。市政设施廊道控制线范围内禁止城乡建设，基础设施需按程序审批。</w:t>
      </w:r>
    </w:p>
    <w:p w14:paraId="5AC4EEA8">
      <w:pPr>
        <w:numPr>
          <w:ilvl w:val="0"/>
          <w:numId w:val="2"/>
        </w:numPr>
        <w:spacing w:before="62" w:beforeLines="20" w:after="62" w:afterLines="20" w:line="264" w:lineRule="auto"/>
        <w:rPr>
          <w:rFonts w:eastAsia="仿宋_GB2312"/>
          <w:sz w:val="22"/>
          <w:szCs w:val="22"/>
        </w:rPr>
      </w:pPr>
      <w:r>
        <w:rPr>
          <w:rFonts w:hint="eastAsia" w:eastAsia="仿宋_GB2312"/>
          <w:sz w:val="22"/>
          <w:szCs w:val="22"/>
        </w:rPr>
        <w:t>公路建筑控制区</w:t>
      </w:r>
    </w:p>
    <w:p w14:paraId="5892FBE9">
      <w:pPr>
        <w:pStyle w:val="2"/>
        <w:ind w:left="420" w:firstLine="440" w:firstLineChars="200"/>
        <w:rPr>
          <w:rFonts w:hint="eastAsia" w:eastAsia="仿宋_GB2312"/>
          <w:sz w:val="22"/>
          <w:szCs w:val="22"/>
        </w:rPr>
      </w:pPr>
      <w:r>
        <w:rPr>
          <w:rFonts w:hint="eastAsia" w:eastAsia="仿宋_GB2312"/>
          <w:sz w:val="22"/>
          <w:szCs w:val="22"/>
        </w:rPr>
        <w:t>目标任务：落实上位规划交通廊道管控要求，新民村级片区涉及1条交通廊道（G4216蓉丽高速）。</w:t>
      </w:r>
    </w:p>
    <w:p w14:paraId="5773A5F7">
      <w:pPr>
        <w:pStyle w:val="2"/>
        <w:ind w:left="420" w:leftChars="0" w:firstLine="440" w:firstLineChars="200"/>
        <w:rPr>
          <w:rFonts w:eastAsia="仿宋_GB2312"/>
          <w:sz w:val="22"/>
          <w:szCs w:val="22"/>
        </w:rPr>
      </w:pPr>
      <w:r>
        <w:rPr>
          <w:rFonts w:hint="eastAsia" w:eastAsia="仿宋_GB2312"/>
          <w:sz w:val="22"/>
          <w:szCs w:val="22"/>
        </w:rPr>
        <w:t>管控要求：根据《中华人民共和国公路法》，公路两侧自边沟、截水沟、坡脚护坡道外缘起不少于1米的范围为公路用地。根据《中华人民共和国公路安全保护条例》《四川省农村公路条例》，公路建筑控制区的范围，从公路用地外缘起向外的距离标准为：高速公路不少于30米；国道不少于20米；省道不少于15米；县道不少于10米；乡道不少于5米，村道不少于3米。具体范围以县级人民政府公布为准。</w:t>
      </w:r>
    </w:p>
    <w:p w14:paraId="56644B7D">
      <w:pPr>
        <w:rPr>
          <w:rFonts w:hint="eastAsia"/>
        </w:rPr>
      </w:pPr>
    </w:p>
    <w:p w14:paraId="05B00A78">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产业规划</w:t>
      </w:r>
    </w:p>
    <w:p w14:paraId="4D8E48C0">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（一）</w:t>
      </w:r>
      <w:r>
        <w:rPr>
          <w:rFonts w:hint="eastAsia" w:ascii="楷体" w:hAnsi="楷体" w:eastAsia="楷体" w:cs="楷体"/>
          <w:sz w:val="22"/>
          <w:szCs w:val="22"/>
        </w:rPr>
        <w:t>产业发展思路</w:t>
      </w:r>
    </w:p>
    <w:p w14:paraId="52529424">
      <w:pPr>
        <w:spacing w:before="62" w:beforeLines="20" w:after="62" w:afterLines="20" w:line="264" w:lineRule="auto"/>
        <w:ind w:firstLine="440" w:firstLineChars="200"/>
        <w:rPr>
          <w:rFonts w:eastAsia="仿宋_GB2312"/>
          <w:sz w:val="22"/>
          <w:szCs w:val="22"/>
        </w:rPr>
      </w:pPr>
      <w:r>
        <w:rPr>
          <w:rFonts w:hint="eastAsia" w:eastAsia="仿宋_GB2312"/>
          <w:sz w:val="22"/>
          <w:szCs w:val="22"/>
        </w:rPr>
        <w:t>落实《攀枝花市盐边县红格片区国土空间总体规划（2021-2035年） 》中对新民片区职能定位——绿色农业、农业示范功能。整合新民片区的自然资源禀赋和现有产业基础，结合片区发展策略，提出四大发展思路。首先是“农业基底筑基”，强化农业生产基础，保障粮食安全，发展特色种植，构建现代农业产业体系，为乡村旅游提供物质支撑；其次是“水韵特色引流”，依托水资源优势，打造亲水景观、水上游乐项目，开发水文化体验产品，形成"水韵"旅游吸引力，引导游客初步进入；第三是“移民精神赋能”，挖掘移民文化，建设移民精神展示馆，开发移民文化体验项目，用"共富精神"增强游客粘性，激发深度探索兴趣。；最后是“产业沿路富民”，规划特色产业带，发展“路边经济”和“自主采摘”，设置销售驿站，实现"产业沿路、农民增收”。通过四大步骤构建共富闭环，形成"吸引-体验-消费-传播"的旅游经济闭环，最终实现共同富裕目标。</w:t>
      </w:r>
    </w:p>
    <w:p w14:paraId="450A1A72">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二</w:t>
      </w:r>
      <w:r>
        <w:rPr>
          <w:rFonts w:ascii="楷体" w:hAnsi="楷体" w:eastAsia="楷体" w:cs="楷体"/>
          <w:sz w:val="22"/>
          <w:szCs w:val="22"/>
        </w:rPr>
        <w:t>）</w:t>
      </w:r>
      <w:r>
        <w:rPr>
          <w:rFonts w:hint="eastAsia" w:ascii="楷体" w:hAnsi="楷体" w:eastAsia="楷体" w:cs="楷体"/>
          <w:sz w:val="22"/>
          <w:szCs w:val="22"/>
        </w:rPr>
        <w:t>产业空间结构</w:t>
      </w:r>
    </w:p>
    <w:p w14:paraId="6A556202">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以共富示范带为空间主轴，依托农业产业基底，深挖“一社一品”特色资源，串联滨水生态优势，构建“水廊牵引、一带串珠、核心驱动、两区协同、多点支撑"的立体发展格局。</w:t>
      </w:r>
    </w:p>
    <w:p w14:paraId="689DD10C">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水廊牵引：水岸漫享休闲廊—以金沙江滨水特色为支点，通过游船巴士串联两岸资源，构建“水岸秘境+人文景观”互补体系，植入特色项目引爆客流，实现“一江富两岸”。</w:t>
      </w:r>
    </w:p>
    <w:p w14:paraId="0969AFE6">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一带串珠：移民共富振兴带—以移民精神为文化内核，通过“精神传承+产业串联+机制创新”三维驱动，构建“可看、可玩、可学、可推广”的乡村振兴示范带。</w:t>
      </w:r>
    </w:p>
    <w:p w14:paraId="368DCBAB">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核心驱动：综合服务中心—依托现有的康养民宿设施，通过功能升级和服务拓展，将其打造成为集旅游接待、文化体验、康养服务等多功能于一体的综合服务中心。</w:t>
      </w:r>
    </w:p>
    <w:p w14:paraId="78CB330A">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两区协同：现代农业示范区—依托芒果产业基础，结合四季轮作的粮食与蔬菜种植模式，打造集高效生产、生态循环、观光体验于一体的现代农业示范区；蔬果农作体验区—以各社特色水果为IP，打造"百果奇境探秘园"，实现"一社一果一奇景"的沉浸式体验;</w:t>
      </w:r>
    </w:p>
    <w:p w14:paraId="3951A908">
      <w:pPr>
        <w:spacing w:before="62" w:beforeLines="20" w:after="62" w:afterLines="20" w:line="264" w:lineRule="auto"/>
        <w:ind w:firstLine="440" w:firstLineChars="200"/>
        <w:rPr>
          <w:rFonts w:eastAsia="仿宋_GB2312"/>
          <w:sz w:val="22"/>
          <w:szCs w:val="22"/>
        </w:rPr>
      </w:pPr>
      <w:r>
        <w:rPr>
          <w:rFonts w:hint="eastAsia" w:eastAsia="仿宋_GB2312"/>
          <w:sz w:val="22"/>
          <w:szCs w:val="22"/>
        </w:rPr>
        <w:t>多点支撑：整合瓜果采摘、观景、垂钓、露营、花卉观光、滨河体验等多元乡村旅游要素，通过场景化打造和线路化串联，延长游客停留时间，拓展消费空间，形成“农业+旅游”融合发展模式，实现农民增收与乡村旅游发展的双赢。</w:t>
      </w:r>
    </w:p>
    <w:p w14:paraId="2B54F210">
      <w:pPr>
        <w:spacing w:before="62" w:beforeLines="20" w:after="62" w:afterLines="20" w:line="264" w:lineRule="auto"/>
        <w:ind w:firstLine="440" w:firstLineChars="200"/>
        <w:rPr>
          <w:rFonts w:hint="eastAsia" w:ascii="楷体" w:hAnsi="楷体" w:eastAsia="楷体" w:cs="楷体"/>
          <w:sz w:val="22"/>
          <w:szCs w:val="22"/>
        </w:rPr>
      </w:pPr>
      <w:r>
        <w:rPr>
          <w:rFonts w:hint="eastAsia" w:ascii="楷体" w:hAnsi="楷体" w:eastAsia="楷体" w:cs="楷体"/>
          <w:sz w:val="22"/>
          <w:szCs w:val="22"/>
        </w:rPr>
        <w:t>（三）产业发展指引</w:t>
      </w:r>
    </w:p>
    <w:p w14:paraId="7A2CC8F4">
      <w:pPr>
        <w:pStyle w:val="2"/>
        <w:ind w:left="420" w:firstLine="440" w:firstLineChars="200"/>
        <w:rPr>
          <w:rFonts w:hint="eastAsia" w:eastAsia="仿宋_GB2312"/>
          <w:sz w:val="22"/>
          <w:szCs w:val="22"/>
        </w:rPr>
      </w:pPr>
      <w:r>
        <w:rPr>
          <w:rFonts w:hint="eastAsia" w:eastAsia="仿宋_GB2312"/>
          <w:sz w:val="22"/>
          <w:szCs w:val="22"/>
        </w:rPr>
        <w:t>一产指引：片区农业种植、生态养殖指引</w:t>
      </w:r>
    </w:p>
    <w:p w14:paraId="232627D6">
      <w:pPr>
        <w:pStyle w:val="2"/>
        <w:ind w:left="420" w:firstLine="440" w:firstLineChars="200"/>
        <w:rPr>
          <w:rFonts w:hint="eastAsia" w:eastAsia="仿宋_GB2312"/>
          <w:sz w:val="22"/>
          <w:szCs w:val="22"/>
        </w:rPr>
      </w:pPr>
      <w:r>
        <w:rPr>
          <w:rFonts w:hint="eastAsia" w:eastAsia="仿宋_GB2312"/>
          <w:sz w:val="22"/>
          <w:szCs w:val="22"/>
        </w:rPr>
        <w:t>以农为本，通过水稻、蔬菜、芒果主导产业提质增效、辅助作物互补增收，打造“一田四收·果渔菜香”的近郊农业田园。</w:t>
      </w:r>
    </w:p>
    <w:p w14:paraId="09D30580">
      <w:pPr>
        <w:pStyle w:val="2"/>
        <w:ind w:left="420" w:firstLine="440" w:firstLineChars="200"/>
        <w:rPr>
          <w:rFonts w:hint="eastAsia" w:eastAsia="仿宋_GB2312"/>
          <w:sz w:val="22"/>
          <w:szCs w:val="22"/>
        </w:rPr>
      </w:pPr>
      <w:r>
        <w:rPr>
          <w:rFonts w:hint="eastAsia" w:eastAsia="仿宋_GB2312"/>
          <w:sz w:val="22"/>
          <w:szCs w:val="22"/>
        </w:rPr>
        <w:t>首先，水稻与蔬菜种植优化，提升综合效益。提出种植模式创新，包括稻菜\玉米轮作：利用水稻收割后土地空闲期种植玉米、番茄、叶菜等短周期作物，提高复种指数；间作套种：番茄套种矮秆蔬菜或豆科植物（如花生），实现“以短养长”。特色品种开发：水稻可试种功能性品种（如富硒米、彩色稻），或发展稻田养鱼/鸭的生态种养模式；番茄选择耐储运、高抗病品种，错峰上市。</w:t>
      </w:r>
    </w:p>
    <w:p w14:paraId="7F86C149">
      <w:pPr>
        <w:pStyle w:val="2"/>
        <w:ind w:left="420" w:firstLine="440" w:firstLineChars="200"/>
        <w:rPr>
          <w:rFonts w:hint="eastAsia" w:eastAsia="仿宋_GB2312"/>
          <w:sz w:val="22"/>
          <w:szCs w:val="22"/>
        </w:rPr>
      </w:pPr>
      <w:r>
        <w:rPr>
          <w:rFonts w:hint="eastAsia" w:eastAsia="仿宋_GB2312"/>
          <w:sz w:val="22"/>
          <w:szCs w:val="22"/>
        </w:rPr>
        <w:t>其次，芒果产业全面升级，夯实核心优势。提出品种优化与品质提升，包括引进高附加值品种（如抗病性强、甜度高的新品种），逐步替换低效老品种；推广绿色/有机认证，建立标准化种植体系（如测土施肥、病虫害生物防治）；建设分拣分级中心，按果型、甜度分级包装，提升溢价能力。深加工延伸产业链，包括开发芒果干、果酱、NFC果汁等高附加值产品，减少鲜果滞销风险；利用果核、果皮提取果胶、天然色素等工业原料，实现全果利用。</w:t>
      </w:r>
    </w:p>
    <w:p w14:paraId="6FB1F9CA">
      <w:pPr>
        <w:pStyle w:val="2"/>
        <w:ind w:left="420" w:firstLine="440" w:firstLineChars="200"/>
        <w:rPr>
          <w:rFonts w:hint="eastAsia" w:eastAsia="仿宋_GB2312"/>
          <w:sz w:val="22"/>
          <w:szCs w:val="22"/>
        </w:rPr>
      </w:pPr>
      <w:r>
        <w:rPr>
          <w:rFonts w:hint="eastAsia" w:eastAsia="仿宋_GB2312"/>
          <w:sz w:val="22"/>
          <w:szCs w:val="22"/>
        </w:rPr>
        <w:t>最后，发展生态循环农业，降低成本+环保。提出种养结合，包括配套建设小型养殖场（鸡，鹌鹑，驴），畜禽粪便发酵为有机肥替代化肥，降低种植成本；利用果园杂草、秸秆生产青贮饲料，反哺养殖业。废弃物资源化，建设沼气池，将果蔬残渣、畜禽粪污转化为清洁能源和沼液肥；芒果枝条粉碎后可作为食用菌培养基（如平菇），发展林下经济。</w:t>
      </w:r>
    </w:p>
    <w:p w14:paraId="19C8A65B">
      <w:pPr>
        <w:pStyle w:val="2"/>
        <w:ind w:left="420" w:firstLine="440" w:firstLineChars="200"/>
        <w:rPr>
          <w:rFonts w:hint="eastAsia" w:eastAsia="仿宋_GB2312"/>
          <w:sz w:val="22"/>
          <w:szCs w:val="22"/>
        </w:rPr>
      </w:pPr>
      <w:r>
        <w:rPr>
          <w:rFonts w:hint="eastAsia" w:eastAsia="仿宋_GB2312"/>
          <w:sz w:val="22"/>
          <w:szCs w:val="22"/>
        </w:rPr>
        <w:t xml:space="preserve">二产指引：片区农产品初加工与深加工指引 </w:t>
      </w:r>
    </w:p>
    <w:p w14:paraId="41A2C128">
      <w:pPr>
        <w:pStyle w:val="2"/>
        <w:ind w:left="420" w:firstLine="440" w:firstLineChars="200"/>
        <w:rPr>
          <w:rFonts w:hint="eastAsia" w:eastAsia="仿宋_GB2312"/>
          <w:sz w:val="22"/>
          <w:szCs w:val="22"/>
        </w:rPr>
      </w:pPr>
      <w:r>
        <w:rPr>
          <w:rFonts w:hint="eastAsia" w:eastAsia="仿宋_GB2312"/>
          <w:sz w:val="22"/>
          <w:szCs w:val="22"/>
        </w:rPr>
        <w:t>延伸产业链，以盐边现代农业园区为抓手，打造“一园聚链、集群共生”的农业生产服务格局。</w:t>
      </w:r>
    </w:p>
    <w:p w14:paraId="1BD8FC0B">
      <w:pPr>
        <w:pStyle w:val="2"/>
        <w:ind w:left="420" w:firstLine="440" w:firstLineChars="200"/>
        <w:rPr>
          <w:rFonts w:hint="eastAsia" w:eastAsia="仿宋_GB2312"/>
          <w:sz w:val="22"/>
          <w:szCs w:val="22"/>
        </w:rPr>
      </w:pPr>
      <w:r>
        <w:rPr>
          <w:rFonts w:hint="eastAsia" w:eastAsia="仿宋_GB2312"/>
          <w:sz w:val="22"/>
          <w:szCs w:val="22"/>
        </w:rPr>
        <w:t>依托特色水果、粮油产业载体植入农业创新研发功能，形成产业集群，拉大产业链条，吸引上下游企业入驻，实现“一园聚链、集群共生”。</w:t>
      </w:r>
    </w:p>
    <w:p w14:paraId="6E49E3AC">
      <w:pPr>
        <w:pStyle w:val="2"/>
        <w:ind w:left="420" w:firstLine="440" w:firstLineChars="200"/>
        <w:rPr>
          <w:rFonts w:hint="eastAsia" w:eastAsia="仿宋_GB2312"/>
          <w:sz w:val="22"/>
          <w:szCs w:val="22"/>
        </w:rPr>
      </w:pPr>
      <w:r>
        <w:rPr>
          <w:rFonts w:hint="eastAsia" w:eastAsia="仿宋_GB2312"/>
          <w:sz w:val="22"/>
          <w:szCs w:val="22"/>
        </w:rPr>
        <w:t>三产指引：片区旅游游线指引</w:t>
      </w:r>
    </w:p>
    <w:p w14:paraId="23B027BC">
      <w:pPr>
        <w:pStyle w:val="2"/>
        <w:ind w:left="420" w:firstLine="440" w:firstLineChars="200"/>
        <w:rPr>
          <w:rFonts w:hint="eastAsia" w:eastAsia="仿宋_GB2312"/>
          <w:sz w:val="22"/>
          <w:szCs w:val="22"/>
        </w:rPr>
      </w:pPr>
      <w:r>
        <w:rPr>
          <w:rFonts w:hint="eastAsia" w:eastAsia="仿宋_GB2312"/>
          <w:sz w:val="22"/>
          <w:szCs w:val="22"/>
        </w:rPr>
        <w:t>打造三条</w:t>
      </w:r>
      <w:r>
        <w:rPr>
          <w:rFonts w:hint="eastAsia" w:eastAsia="仿宋_GB2312"/>
          <w:sz w:val="22"/>
          <w:szCs w:val="22"/>
          <w:lang w:eastAsia="zh-CN"/>
        </w:rPr>
        <w:t>文化</w:t>
      </w:r>
      <w:r>
        <w:rPr>
          <w:rFonts w:hint="eastAsia" w:eastAsia="仿宋_GB2312"/>
          <w:sz w:val="22"/>
          <w:szCs w:val="22"/>
        </w:rPr>
        <w:t>旅游线，激活乡村动能，铺筑共同富裕之路。</w:t>
      </w:r>
    </w:p>
    <w:p w14:paraId="37F120A7">
      <w:pPr>
        <w:pStyle w:val="2"/>
        <w:ind w:left="420" w:firstLine="440" w:firstLineChars="200"/>
        <w:rPr>
          <w:rFonts w:hint="eastAsia" w:eastAsia="仿宋_GB2312"/>
          <w:sz w:val="22"/>
          <w:szCs w:val="22"/>
        </w:rPr>
      </w:pPr>
      <w:r>
        <w:rPr>
          <w:rFonts w:hint="eastAsia" w:eastAsia="仿宋_GB2312"/>
          <w:sz w:val="22"/>
          <w:szCs w:val="22"/>
        </w:rPr>
        <w:t>共富农旅体验游线—以移民精神为基</w:t>
      </w:r>
      <w:r>
        <w:rPr>
          <w:rFonts w:hint="eastAsia" w:eastAsia="仿宋_GB2312"/>
          <w:sz w:val="22"/>
          <w:szCs w:val="22"/>
          <w:lang w:eastAsia="zh-CN"/>
        </w:rPr>
        <w:t>底</w:t>
      </w:r>
      <w:r>
        <w:rPr>
          <w:rFonts w:hint="eastAsia" w:eastAsia="仿宋_GB2312"/>
          <w:sz w:val="22"/>
          <w:szCs w:val="22"/>
        </w:rPr>
        <w:t>，共富体验为核心，结合“一社一品”多个产业种植基地，打造一条因地制宜的探索共富与精神家园体验游线。</w:t>
      </w:r>
    </w:p>
    <w:p w14:paraId="387E79D7">
      <w:pPr>
        <w:pStyle w:val="2"/>
        <w:ind w:left="420" w:firstLine="440" w:firstLineChars="200"/>
        <w:rPr>
          <w:rFonts w:hint="eastAsia" w:eastAsia="仿宋_GB2312"/>
          <w:sz w:val="22"/>
          <w:szCs w:val="22"/>
        </w:rPr>
      </w:pPr>
      <w:r>
        <w:rPr>
          <w:rFonts w:hint="eastAsia" w:eastAsia="仿宋_GB2312"/>
          <w:sz w:val="22"/>
          <w:szCs w:val="22"/>
        </w:rPr>
        <w:t>金沙江水岸特色体验游线—依托金沙江对岸滨水旅游发展基础，结合滨水资源与特色产业基地，植入“小三亚、水上</w:t>
      </w:r>
      <w:r>
        <w:rPr>
          <w:rFonts w:hint="eastAsia" w:eastAsia="仿宋_GB2312"/>
          <w:sz w:val="22"/>
          <w:szCs w:val="22"/>
          <w:lang w:eastAsia="zh-CN"/>
        </w:rPr>
        <w:t>石头</w:t>
      </w:r>
      <w:r>
        <w:rPr>
          <w:rFonts w:hint="eastAsia" w:eastAsia="仿宋_GB2312"/>
          <w:sz w:val="22"/>
          <w:szCs w:val="22"/>
        </w:rPr>
        <w:t>栈道、沙滩、椰子树” 等景观要素，打造一条集合沙滩旅游、岸边赏花、观光采摘为一体的水岸体验游线。</w:t>
      </w:r>
    </w:p>
    <w:p w14:paraId="5532C270">
      <w:pPr>
        <w:pStyle w:val="2"/>
        <w:ind w:left="420" w:leftChars="0" w:firstLine="440" w:firstLineChars="200"/>
        <w:rPr>
          <w:rFonts w:eastAsia="仿宋_GB2312"/>
          <w:sz w:val="22"/>
          <w:szCs w:val="22"/>
        </w:rPr>
      </w:pPr>
      <w:r>
        <w:rPr>
          <w:rFonts w:hint="eastAsia" w:eastAsia="仿宋_GB2312"/>
          <w:sz w:val="22"/>
          <w:szCs w:val="22"/>
        </w:rPr>
        <w:t>生态观光垂钓游线—结合G353国道，利用岩羊桥水库及水塘，发展水库垂钓、观光的旅游产品，同时依托G353联动昔格达村，打造高品质农旅休闲体验。。</w:t>
      </w:r>
    </w:p>
    <w:p w14:paraId="74D7248E">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公服设施规划</w:t>
      </w:r>
    </w:p>
    <w:p w14:paraId="77E3D810">
      <w:pPr>
        <w:spacing w:before="62" w:beforeLines="20" w:after="62" w:afterLines="20" w:line="264" w:lineRule="auto"/>
        <w:ind w:firstLine="440" w:firstLineChars="200"/>
        <w:rPr>
          <w:rFonts w:eastAsia="仿宋_GB2312"/>
          <w:sz w:val="22"/>
          <w:szCs w:val="22"/>
        </w:rPr>
      </w:pPr>
      <w:r>
        <w:rPr>
          <w:rFonts w:hint="eastAsia" w:eastAsia="仿宋_GB2312"/>
          <w:sz w:val="22"/>
          <w:szCs w:val="22"/>
        </w:rPr>
        <w:t>聚焦解决乡村设施“闲置”与“紧缺”</w:t>
      </w:r>
      <w:r>
        <w:rPr>
          <w:rFonts w:hint="eastAsia" w:eastAsia="仿宋_GB2312"/>
          <w:sz w:val="22"/>
          <w:szCs w:val="22"/>
          <w:lang w:eastAsia="zh-CN"/>
        </w:rPr>
        <w:t>并存</w:t>
      </w:r>
      <w:r>
        <w:rPr>
          <w:rFonts w:hint="eastAsia" w:eastAsia="仿宋_GB2312"/>
          <w:sz w:val="22"/>
          <w:szCs w:val="22"/>
        </w:rPr>
        <w:t>问题，结合专项规划及镇级片区规划，结合现状及民意调查，考虑居住人群、旅游人群、产业人群三类人群的需求，统筹公共服务设施和基础设施布局，以安全、经济、服务产业发展及村民生活为原则，提出设施建设的选址、规模和标准。</w:t>
      </w:r>
    </w:p>
    <w:p w14:paraId="72220B1C">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一</w:t>
      </w:r>
      <w:r>
        <w:rPr>
          <w:rFonts w:ascii="楷体" w:hAnsi="楷体" w:eastAsia="楷体" w:cs="楷体"/>
          <w:sz w:val="22"/>
          <w:szCs w:val="22"/>
        </w:rPr>
        <w:t>）</w:t>
      </w:r>
      <w:r>
        <w:rPr>
          <w:rFonts w:hint="eastAsia" w:ascii="楷体" w:hAnsi="楷体" w:eastAsia="楷体" w:cs="楷体"/>
          <w:sz w:val="22"/>
          <w:szCs w:val="22"/>
        </w:rPr>
        <w:t>行政管理服务设施</w:t>
      </w:r>
    </w:p>
    <w:p w14:paraId="1F1135CC">
      <w:pPr>
        <w:spacing w:before="62" w:beforeLines="20" w:after="62" w:afterLines="20" w:line="264" w:lineRule="auto"/>
        <w:ind w:firstLine="440" w:firstLineChars="200"/>
        <w:rPr>
          <w:rFonts w:eastAsia="仿宋_GB2312"/>
          <w:sz w:val="22"/>
          <w:szCs w:val="22"/>
        </w:rPr>
      </w:pPr>
      <w:r>
        <w:rPr>
          <w:rFonts w:hint="eastAsia" w:eastAsia="仿宋_GB2312"/>
          <w:sz w:val="22"/>
          <w:szCs w:val="22"/>
        </w:rPr>
        <w:t>现状基本满足需求。</w:t>
      </w:r>
    </w:p>
    <w:p w14:paraId="72499A10">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二</w:t>
      </w:r>
      <w:r>
        <w:rPr>
          <w:rFonts w:ascii="楷体" w:hAnsi="楷体" w:eastAsia="楷体" w:cs="楷体"/>
          <w:sz w:val="22"/>
          <w:szCs w:val="22"/>
        </w:rPr>
        <w:t>）</w:t>
      </w:r>
      <w:r>
        <w:rPr>
          <w:rFonts w:hint="eastAsia" w:ascii="楷体" w:hAnsi="楷体" w:eastAsia="楷体" w:cs="楷体"/>
          <w:sz w:val="22"/>
          <w:szCs w:val="22"/>
        </w:rPr>
        <w:t>文体服务设施</w:t>
      </w:r>
    </w:p>
    <w:p w14:paraId="0CA8588B">
      <w:pPr>
        <w:spacing w:before="62" w:beforeLines="20" w:after="62" w:afterLines="20" w:line="264" w:lineRule="auto"/>
        <w:ind w:firstLine="440" w:firstLineChars="200"/>
        <w:rPr>
          <w:rFonts w:eastAsia="仿宋_GB2312"/>
          <w:sz w:val="22"/>
          <w:szCs w:val="22"/>
        </w:rPr>
      </w:pPr>
      <w:r>
        <w:rPr>
          <w:rFonts w:hint="eastAsia" w:eastAsia="仿宋_GB2312"/>
          <w:sz w:val="22"/>
          <w:szCs w:val="22"/>
        </w:rPr>
        <w:t>鲊石村新建2处健身广场，同时结合7个新建聚居点配套内部健身广场，新民村垭谷组新建1处健身广场，对片区现状4处健身广场的设施进行及时更新。</w:t>
      </w:r>
    </w:p>
    <w:p w14:paraId="3159825F">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三</w:t>
      </w:r>
      <w:r>
        <w:rPr>
          <w:rFonts w:ascii="楷体" w:hAnsi="楷体" w:eastAsia="楷体" w:cs="楷体"/>
          <w:sz w:val="22"/>
          <w:szCs w:val="22"/>
        </w:rPr>
        <w:t>）</w:t>
      </w:r>
      <w:r>
        <w:rPr>
          <w:rFonts w:hint="eastAsia" w:ascii="楷体" w:hAnsi="楷体" w:eastAsia="楷体" w:cs="楷体"/>
          <w:sz w:val="22"/>
          <w:szCs w:val="22"/>
        </w:rPr>
        <w:t>教育医疗服务设施</w:t>
      </w:r>
    </w:p>
    <w:p w14:paraId="22A02F94">
      <w:pPr>
        <w:spacing w:before="62" w:beforeLines="20" w:after="62" w:afterLines="20" w:line="264" w:lineRule="auto"/>
        <w:ind w:firstLine="440" w:firstLineChars="200"/>
        <w:rPr>
          <w:rFonts w:eastAsia="仿宋_GB2312"/>
          <w:sz w:val="22"/>
          <w:szCs w:val="22"/>
        </w:rPr>
      </w:pPr>
      <w:r>
        <w:rPr>
          <w:rFonts w:hint="eastAsia" w:eastAsia="仿宋_GB2312"/>
          <w:sz w:val="22"/>
          <w:szCs w:val="22"/>
        </w:rPr>
        <w:t>保留现状教育医疗设施；鲊石村结合村委会新建1处日间照料中心；新民村现有县级养老院覆盖益民村养老设施需求</w:t>
      </w:r>
      <w:r>
        <w:rPr>
          <w:rFonts w:eastAsia="仿宋_GB2312"/>
          <w:sz w:val="22"/>
          <w:szCs w:val="22"/>
        </w:rPr>
        <w:t>。</w:t>
      </w:r>
    </w:p>
    <w:p w14:paraId="247EE6F3">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四</w:t>
      </w:r>
      <w:r>
        <w:rPr>
          <w:rFonts w:ascii="楷体" w:hAnsi="楷体" w:eastAsia="楷体" w:cs="楷体"/>
          <w:sz w:val="22"/>
          <w:szCs w:val="22"/>
        </w:rPr>
        <w:t>）</w:t>
      </w:r>
      <w:r>
        <w:rPr>
          <w:rFonts w:hint="eastAsia" w:ascii="楷体" w:hAnsi="楷体" w:eastAsia="楷体" w:cs="楷体"/>
          <w:sz w:val="22"/>
          <w:szCs w:val="22"/>
        </w:rPr>
        <w:t>商业服务设施</w:t>
      </w:r>
    </w:p>
    <w:p w14:paraId="336ECDC6">
      <w:pPr>
        <w:spacing w:before="62" w:beforeLines="20" w:after="62" w:afterLines="20" w:line="264" w:lineRule="auto"/>
        <w:ind w:firstLine="440" w:firstLineChars="200"/>
        <w:rPr>
          <w:rFonts w:eastAsia="仿宋_GB2312"/>
          <w:sz w:val="22"/>
          <w:szCs w:val="22"/>
        </w:rPr>
      </w:pPr>
      <w:r>
        <w:rPr>
          <w:rFonts w:hint="eastAsia" w:eastAsia="仿宋_GB2312"/>
          <w:sz w:val="22"/>
          <w:szCs w:val="22"/>
        </w:rPr>
        <w:t>保留现状商服设施，并进行品质提升；新民村结合垂钓、火烧天等产业布局新增三处商业配套，新增面积为1.0190平方米，益民村结合水库配套商业，共计998平方米，鲊石村结合芒果、滨江休闲产业新增零售商业等，面积共计5756平方米</w:t>
      </w:r>
      <w:r>
        <w:rPr>
          <w:rFonts w:eastAsia="仿宋_GB2312"/>
          <w:sz w:val="22"/>
          <w:szCs w:val="22"/>
        </w:rPr>
        <w:t>。</w:t>
      </w:r>
    </w:p>
    <w:p w14:paraId="3CD8E212">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五</w:t>
      </w:r>
      <w:r>
        <w:rPr>
          <w:rFonts w:ascii="楷体" w:hAnsi="楷体" w:eastAsia="楷体" w:cs="楷体"/>
          <w:sz w:val="22"/>
          <w:szCs w:val="22"/>
        </w:rPr>
        <w:t>）</w:t>
      </w:r>
      <w:r>
        <w:rPr>
          <w:rFonts w:hint="eastAsia" w:ascii="楷体" w:hAnsi="楷体" w:eastAsia="楷体" w:cs="楷体"/>
          <w:sz w:val="22"/>
          <w:szCs w:val="22"/>
        </w:rPr>
        <w:t>盘活闲置公共服务设施</w:t>
      </w:r>
    </w:p>
    <w:p w14:paraId="6765AEC5">
      <w:pPr>
        <w:spacing w:before="62" w:beforeLines="20" w:after="62" w:afterLines="20" w:line="264" w:lineRule="auto"/>
        <w:ind w:firstLine="440" w:firstLineChars="200"/>
        <w:rPr>
          <w:rFonts w:eastAsia="仿宋_GB2312"/>
          <w:sz w:val="22"/>
          <w:szCs w:val="22"/>
        </w:rPr>
      </w:pPr>
      <w:r>
        <w:rPr>
          <w:rFonts w:hint="eastAsia" w:eastAsia="仿宋_GB2312"/>
          <w:sz w:val="22"/>
          <w:szCs w:val="22"/>
        </w:rPr>
        <w:t>规划将新民村龙头村闲置村委会转用为商业服务、垭谷组闲置村委会用作冻库；益民村闲置村委会转用为农产品初加工，益民村闲置商业转用为养牛设施用房；鲊石村闲置幼儿园转</w:t>
      </w:r>
      <w:r>
        <w:rPr>
          <w:rFonts w:hint="eastAsia" w:eastAsia="仿宋_GB2312"/>
          <w:sz w:val="22"/>
          <w:szCs w:val="22"/>
          <w:lang w:eastAsia="zh-CN"/>
        </w:rPr>
        <w:t>用为</w:t>
      </w:r>
      <w:r>
        <w:rPr>
          <w:rFonts w:hint="eastAsia" w:eastAsia="仿宋_GB2312"/>
          <w:sz w:val="22"/>
          <w:szCs w:val="22"/>
        </w:rPr>
        <w:t>果蔬分拣中心，闲置小学改造为幼儿园</w:t>
      </w:r>
      <w:r>
        <w:rPr>
          <w:rFonts w:eastAsia="仿宋_GB2312"/>
          <w:sz w:val="22"/>
          <w:szCs w:val="22"/>
        </w:rPr>
        <w:t>。</w:t>
      </w:r>
    </w:p>
    <w:p w14:paraId="7CA24621">
      <w:pPr>
        <w:spacing w:before="62" w:beforeLines="20" w:after="62" w:afterLines="20" w:line="264" w:lineRule="auto"/>
        <w:ind w:firstLine="440" w:firstLineChars="200"/>
        <w:jc w:val="center"/>
        <w:rPr>
          <w:rFonts w:eastAsia="仿宋_GB2312"/>
          <w:sz w:val="22"/>
          <w:szCs w:val="22"/>
        </w:rPr>
      </w:pPr>
      <w:r>
        <w:rPr>
          <w:rFonts w:hint="eastAsia" w:eastAsia="仿宋_GB2312"/>
          <w:sz w:val="22"/>
          <w:szCs w:val="22"/>
        </w:rPr>
        <w:t>表8-1：规划公共服务设施一览表</w:t>
      </w:r>
    </w:p>
    <w:tbl>
      <w:tblPr>
        <w:tblStyle w:val="15"/>
        <w:tblW w:w="5000" w:type="pct"/>
        <w:tblInd w:w="0" w:type="dxa"/>
        <w:tblLayout w:type="autofit"/>
        <w:tblCellMar>
          <w:top w:w="0" w:type="dxa"/>
          <w:left w:w="108" w:type="dxa"/>
          <w:bottom w:w="0" w:type="dxa"/>
          <w:right w:w="108" w:type="dxa"/>
        </w:tblCellMar>
      </w:tblPr>
      <w:tblGrid>
        <w:gridCol w:w="1181"/>
        <w:gridCol w:w="2666"/>
        <w:gridCol w:w="2687"/>
        <w:gridCol w:w="2252"/>
        <w:gridCol w:w="1989"/>
      </w:tblGrid>
      <w:tr w14:paraId="75830C08">
        <w:tblPrEx>
          <w:tblCellMar>
            <w:top w:w="0" w:type="dxa"/>
            <w:left w:w="108" w:type="dxa"/>
            <w:bottom w:w="0" w:type="dxa"/>
            <w:right w:w="108" w:type="dxa"/>
          </w:tblCellMar>
        </w:tblPrEx>
        <w:trPr>
          <w:trHeight w:val="285" w:hRule="atLeast"/>
        </w:trPr>
        <w:tc>
          <w:tcPr>
            <w:tcW w:w="1785" w:type="pct"/>
            <w:gridSpan w:val="2"/>
            <w:tcBorders>
              <w:top w:val="single" w:color="auto" w:sz="4" w:space="0"/>
              <w:left w:val="single" w:color="auto" w:sz="4" w:space="0"/>
              <w:bottom w:val="single" w:color="auto" w:sz="4" w:space="0"/>
              <w:right w:val="single" w:color="auto" w:sz="4" w:space="0"/>
            </w:tcBorders>
            <w:vAlign w:val="center"/>
          </w:tcPr>
          <w:p w14:paraId="61F81727">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类别</w:t>
            </w:r>
          </w:p>
        </w:tc>
        <w:tc>
          <w:tcPr>
            <w:tcW w:w="1247" w:type="pct"/>
            <w:tcBorders>
              <w:top w:val="single" w:color="auto" w:sz="4" w:space="0"/>
              <w:left w:val="nil"/>
              <w:bottom w:val="single" w:color="auto" w:sz="4" w:space="0"/>
              <w:right w:val="single" w:color="auto" w:sz="4" w:space="0"/>
            </w:tcBorders>
            <w:vAlign w:val="center"/>
          </w:tcPr>
          <w:p w14:paraId="059D1E78">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新民村</w:t>
            </w:r>
          </w:p>
        </w:tc>
        <w:tc>
          <w:tcPr>
            <w:tcW w:w="1045" w:type="pct"/>
            <w:tcBorders>
              <w:top w:val="single" w:color="auto" w:sz="4" w:space="0"/>
              <w:left w:val="nil"/>
              <w:bottom w:val="single" w:color="auto" w:sz="4" w:space="0"/>
              <w:right w:val="single" w:color="auto" w:sz="4" w:space="0"/>
            </w:tcBorders>
            <w:vAlign w:val="center"/>
          </w:tcPr>
          <w:p w14:paraId="77A69943">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益民村</w:t>
            </w:r>
          </w:p>
        </w:tc>
        <w:tc>
          <w:tcPr>
            <w:tcW w:w="923" w:type="pct"/>
            <w:tcBorders>
              <w:top w:val="single" w:color="auto" w:sz="4" w:space="0"/>
              <w:left w:val="nil"/>
              <w:bottom w:val="single" w:color="auto" w:sz="4" w:space="0"/>
              <w:right w:val="single" w:color="auto" w:sz="4" w:space="0"/>
            </w:tcBorders>
            <w:vAlign w:val="center"/>
          </w:tcPr>
          <w:p w14:paraId="4D529DF8">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鲊石村</w:t>
            </w:r>
          </w:p>
        </w:tc>
      </w:tr>
      <w:tr w14:paraId="16BD0FA4">
        <w:tblPrEx>
          <w:tblCellMar>
            <w:top w:w="0" w:type="dxa"/>
            <w:left w:w="108" w:type="dxa"/>
            <w:bottom w:w="0" w:type="dxa"/>
            <w:right w:w="108" w:type="dxa"/>
          </w:tblCellMar>
        </w:tblPrEx>
        <w:trPr>
          <w:trHeight w:val="285" w:hRule="atLeast"/>
        </w:trPr>
        <w:tc>
          <w:tcPr>
            <w:tcW w:w="548" w:type="pct"/>
            <w:vMerge w:val="restart"/>
            <w:tcBorders>
              <w:top w:val="nil"/>
              <w:left w:val="single" w:color="auto" w:sz="4" w:space="0"/>
              <w:bottom w:val="single" w:color="auto" w:sz="4" w:space="0"/>
              <w:right w:val="single" w:color="auto" w:sz="4" w:space="0"/>
            </w:tcBorders>
            <w:vAlign w:val="center"/>
          </w:tcPr>
          <w:p w14:paraId="3F71800C">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行政管理</w:t>
            </w:r>
          </w:p>
        </w:tc>
        <w:tc>
          <w:tcPr>
            <w:tcW w:w="1237" w:type="pct"/>
            <w:tcBorders>
              <w:top w:val="nil"/>
              <w:left w:val="nil"/>
              <w:bottom w:val="single" w:color="auto" w:sz="4" w:space="0"/>
              <w:right w:val="single" w:color="auto" w:sz="4" w:space="0"/>
            </w:tcBorders>
            <w:vAlign w:val="center"/>
          </w:tcPr>
          <w:p w14:paraId="004A30FE">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村委会（个）</w:t>
            </w:r>
          </w:p>
        </w:tc>
        <w:tc>
          <w:tcPr>
            <w:tcW w:w="1247" w:type="pct"/>
            <w:tcBorders>
              <w:top w:val="nil"/>
              <w:left w:val="nil"/>
              <w:bottom w:val="single" w:color="auto" w:sz="4" w:space="0"/>
              <w:right w:val="single" w:color="auto" w:sz="4" w:space="0"/>
            </w:tcBorders>
            <w:vAlign w:val="center"/>
          </w:tcPr>
          <w:p w14:paraId="39463194">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1045" w:type="pct"/>
            <w:tcBorders>
              <w:top w:val="nil"/>
              <w:left w:val="nil"/>
              <w:bottom w:val="single" w:color="auto" w:sz="4" w:space="0"/>
              <w:right w:val="single" w:color="auto" w:sz="4" w:space="0"/>
            </w:tcBorders>
            <w:vAlign w:val="center"/>
          </w:tcPr>
          <w:p w14:paraId="54E8C22C">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923" w:type="pct"/>
            <w:tcBorders>
              <w:top w:val="nil"/>
              <w:left w:val="nil"/>
              <w:bottom w:val="single" w:color="auto" w:sz="4" w:space="0"/>
              <w:right w:val="single" w:color="auto" w:sz="4" w:space="0"/>
            </w:tcBorders>
            <w:vAlign w:val="center"/>
          </w:tcPr>
          <w:p w14:paraId="006DFE2F">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r>
      <w:tr w14:paraId="179EBC53">
        <w:tblPrEx>
          <w:tblCellMar>
            <w:top w:w="0" w:type="dxa"/>
            <w:left w:w="108" w:type="dxa"/>
            <w:bottom w:w="0" w:type="dxa"/>
            <w:right w:w="108" w:type="dxa"/>
          </w:tblCellMar>
        </w:tblPrEx>
        <w:trPr>
          <w:trHeight w:val="285" w:hRule="atLeast"/>
        </w:trPr>
        <w:tc>
          <w:tcPr>
            <w:tcW w:w="548" w:type="pct"/>
            <w:vMerge w:val="continue"/>
            <w:tcBorders>
              <w:top w:val="nil"/>
              <w:left w:val="single" w:color="auto" w:sz="4" w:space="0"/>
              <w:bottom w:val="single" w:color="auto" w:sz="4" w:space="0"/>
              <w:right w:val="single" w:color="auto" w:sz="4" w:space="0"/>
            </w:tcBorders>
            <w:vAlign w:val="center"/>
          </w:tcPr>
          <w:p w14:paraId="6E0DD3C1">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23817BE7">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便民服务（个）</w:t>
            </w:r>
          </w:p>
        </w:tc>
        <w:tc>
          <w:tcPr>
            <w:tcW w:w="1247" w:type="pct"/>
            <w:tcBorders>
              <w:top w:val="nil"/>
              <w:left w:val="nil"/>
              <w:bottom w:val="single" w:color="auto" w:sz="4" w:space="0"/>
              <w:right w:val="single" w:color="auto" w:sz="4" w:space="0"/>
            </w:tcBorders>
            <w:vAlign w:val="center"/>
          </w:tcPr>
          <w:p w14:paraId="397B14A0">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1045" w:type="pct"/>
            <w:tcBorders>
              <w:top w:val="nil"/>
              <w:left w:val="nil"/>
              <w:bottom w:val="single" w:color="auto" w:sz="4" w:space="0"/>
              <w:right w:val="single" w:color="auto" w:sz="4" w:space="0"/>
            </w:tcBorders>
            <w:vAlign w:val="center"/>
          </w:tcPr>
          <w:p w14:paraId="41D31172">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923" w:type="pct"/>
            <w:tcBorders>
              <w:top w:val="nil"/>
              <w:left w:val="nil"/>
              <w:bottom w:val="single" w:color="auto" w:sz="4" w:space="0"/>
              <w:right w:val="single" w:color="auto" w:sz="4" w:space="0"/>
            </w:tcBorders>
            <w:vAlign w:val="center"/>
          </w:tcPr>
          <w:p w14:paraId="59511BA7">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r>
      <w:tr w14:paraId="6652265A">
        <w:tblPrEx>
          <w:tblCellMar>
            <w:top w:w="0" w:type="dxa"/>
            <w:left w:w="108" w:type="dxa"/>
            <w:bottom w:w="0" w:type="dxa"/>
            <w:right w:w="108" w:type="dxa"/>
          </w:tblCellMar>
        </w:tblPrEx>
        <w:trPr>
          <w:trHeight w:val="285" w:hRule="atLeast"/>
        </w:trPr>
        <w:tc>
          <w:tcPr>
            <w:tcW w:w="548" w:type="pct"/>
            <w:vMerge w:val="continue"/>
            <w:tcBorders>
              <w:top w:val="nil"/>
              <w:left w:val="single" w:color="auto" w:sz="4" w:space="0"/>
              <w:bottom w:val="single" w:color="auto" w:sz="4" w:space="0"/>
              <w:right w:val="single" w:color="auto" w:sz="4" w:space="0"/>
            </w:tcBorders>
            <w:vAlign w:val="center"/>
          </w:tcPr>
          <w:p w14:paraId="3FAB69C9">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2E060F40">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综合调节室（个）</w:t>
            </w:r>
          </w:p>
        </w:tc>
        <w:tc>
          <w:tcPr>
            <w:tcW w:w="1247" w:type="pct"/>
            <w:tcBorders>
              <w:top w:val="nil"/>
              <w:left w:val="nil"/>
              <w:bottom w:val="single" w:color="auto" w:sz="4" w:space="0"/>
              <w:right w:val="single" w:color="auto" w:sz="4" w:space="0"/>
            </w:tcBorders>
            <w:vAlign w:val="center"/>
          </w:tcPr>
          <w:p w14:paraId="3983CBD0">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1045" w:type="pct"/>
            <w:tcBorders>
              <w:top w:val="nil"/>
              <w:left w:val="nil"/>
              <w:bottom w:val="single" w:color="auto" w:sz="4" w:space="0"/>
              <w:right w:val="single" w:color="auto" w:sz="4" w:space="0"/>
            </w:tcBorders>
            <w:vAlign w:val="center"/>
          </w:tcPr>
          <w:p w14:paraId="102EC1EF">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923" w:type="pct"/>
            <w:tcBorders>
              <w:top w:val="nil"/>
              <w:left w:val="nil"/>
              <w:bottom w:val="single" w:color="auto" w:sz="4" w:space="0"/>
              <w:right w:val="single" w:color="auto" w:sz="4" w:space="0"/>
            </w:tcBorders>
            <w:vAlign w:val="center"/>
          </w:tcPr>
          <w:p w14:paraId="6CD2995B">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r>
      <w:tr w14:paraId="34993DE5">
        <w:tblPrEx>
          <w:tblCellMar>
            <w:top w:w="0" w:type="dxa"/>
            <w:left w:w="108" w:type="dxa"/>
            <w:bottom w:w="0" w:type="dxa"/>
            <w:right w:w="108" w:type="dxa"/>
          </w:tblCellMar>
        </w:tblPrEx>
        <w:trPr>
          <w:trHeight w:val="285" w:hRule="atLeast"/>
        </w:trPr>
        <w:tc>
          <w:tcPr>
            <w:tcW w:w="548" w:type="pct"/>
            <w:vMerge w:val="continue"/>
            <w:tcBorders>
              <w:top w:val="nil"/>
              <w:left w:val="single" w:color="auto" w:sz="4" w:space="0"/>
              <w:bottom w:val="single" w:color="auto" w:sz="4" w:space="0"/>
              <w:right w:val="single" w:color="auto" w:sz="4" w:space="0"/>
            </w:tcBorders>
            <w:vAlign w:val="center"/>
          </w:tcPr>
          <w:p w14:paraId="789632EB">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352C549D">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村民培训中心（个）</w:t>
            </w:r>
          </w:p>
        </w:tc>
        <w:tc>
          <w:tcPr>
            <w:tcW w:w="1247" w:type="pct"/>
            <w:tcBorders>
              <w:top w:val="nil"/>
              <w:left w:val="nil"/>
              <w:bottom w:val="single" w:color="auto" w:sz="4" w:space="0"/>
              <w:right w:val="single" w:color="auto" w:sz="4" w:space="0"/>
            </w:tcBorders>
            <w:vAlign w:val="center"/>
          </w:tcPr>
          <w:p w14:paraId="00B6CC9A">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1045" w:type="pct"/>
            <w:tcBorders>
              <w:top w:val="nil"/>
              <w:left w:val="nil"/>
              <w:bottom w:val="single" w:color="auto" w:sz="4" w:space="0"/>
              <w:right w:val="single" w:color="auto" w:sz="4" w:space="0"/>
            </w:tcBorders>
            <w:vAlign w:val="center"/>
          </w:tcPr>
          <w:p w14:paraId="7FD3E0F2">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923" w:type="pct"/>
            <w:tcBorders>
              <w:top w:val="nil"/>
              <w:left w:val="nil"/>
              <w:bottom w:val="single" w:color="auto" w:sz="4" w:space="0"/>
              <w:right w:val="single" w:color="auto" w:sz="4" w:space="0"/>
            </w:tcBorders>
            <w:vAlign w:val="center"/>
          </w:tcPr>
          <w:p w14:paraId="7E699C2C">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r>
      <w:tr w14:paraId="6F518745">
        <w:tblPrEx>
          <w:tblCellMar>
            <w:top w:w="0" w:type="dxa"/>
            <w:left w:w="108" w:type="dxa"/>
            <w:bottom w:w="0" w:type="dxa"/>
            <w:right w:w="108" w:type="dxa"/>
          </w:tblCellMar>
        </w:tblPrEx>
        <w:trPr>
          <w:trHeight w:val="285" w:hRule="atLeast"/>
        </w:trPr>
        <w:tc>
          <w:tcPr>
            <w:tcW w:w="548" w:type="pct"/>
            <w:vMerge w:val="continue"/>
            <w:tcBorders>
              <w:top w:val="nil"/>
              <w:left w:val="single" w:color="auto" w:sz="4" w:space="0"/>
              <w:bottom w:val="single" w:color="auto" w:sz="4" w:space="0"/>
              <w:right w:val="single" w:color="auto" w:sz="4" w:space="0"/>
            </w:tcBorders>
            <w:vAlign w:val="center"/>
          </w:tcPr>
          <w:p w14:paraId="75E8420B">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6A3AA79D">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派出所（个）</w:t>
            </w:r>
          </w:p>
        </w:tc>
        <w:tc>
          <w:tcPr>
            <w:tcW w:w="1247" w:type="pct"/>
            <w:tcBorders>
              <w:top w:val="nil"/>
              <w:left w:val="nil"/>
              <w:bottom w:val="single" w:color="auto" w:sz="4" w:space="0"/>
              <w:right w:val="single" w:color="auto" w:sz="4" w:space="0"/>
            </w:tcBorders>
            <w:vAlign w:val="center"/>
          </w:tcPr>
          <w:p w14:paraId="673D298B">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w:t>
            </w:r>
          </w:p>
        </w:tc>
        <w:tc>
          <w:tcPr>
            <w:tcW w:w="1045" w:type="pct"/>
            <w:tcBorders>
              <w:top w:val="nil"/>
              <w:left w:val="nil"/>
              <w:bottom w:val="single" w:color="auto" w:sz="4" w:space="0"/>
              <w:right w:val="single" w:color="auto" w:sz="4" w:space="0"/>
            </w:tcBorders>
            <w:vAlign w:val="center"/>
          </w:tcPr>
          <w:p w14:paraId="306FAED6">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交警队</w:t>
            </w:r>
          </w:p>
        </w:tc>
        <w:tc>
          <w:tcPr>
            <w:tcW w:w="923" w:type="pct"/>
            <w:tcBorders>
              <w:top w:val="nil"/>
              <w:left w:val="nil"/>
              <w:bottom w:val="single" w:color="auto" w:sz="4" w:space="0"/>
              <w:right w:val="single" w:color="auto" w:sz="4" w:space="0"/>
            </w:tcBorders>
            <w:vAlign w:val="center"/>
          </w:tcPr>
          <w:p w14:paraId="47930C74">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w:t>
            </w:r>
          </w:p>
        </w:tc>
      </w:tr>
      <w:tr w14:paraId="03222E39">
        <w:tblPrEx>
          <w:tblCellMar>
            <w:top w:w="0" w:type="dxa"/>
            <w:left w:w="108" w:type="dxa"/>
            <w:bottom w:w="0" w:type="dxa"/>
            <w:right w:w="108" w:type="dxa"/>
          </w:tblCellMar>
        </w:tblPrEx>
        <w:trPr>
          <w:trHeight w:val="285" w:hRule="atLeast"/>
        </w:trPr>
        <w:tc>
          <w:tcPr>
            <w:tcW w:w="548" w:type="pct"/>
            <w:vMerge w:val="restart"/>
            <w:tcBorders>
              <w:top w:val="nil"/>
              <w:left w:val="single" w:color="auto" w:sz="4" w:space="0"/>
              <w:bottom w:val="single" w:color="auto" w:sz="4" w:space="0"/>
              <w:right w:val="single" w:color="auto" w:sz="4" w:space="0"/>
            </w:tcBorders>
            <w:vAlign w:val="center"/>
          </w:tcPr>
          <w:p w14:paraId="25BF46B2">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教育设施</w:t>
            </w:r>
          </w:p>
        </w:tc>
        <w:tc>
          <w:tcPr>
            <w:tcW w:w="1237" w:type="pct"/>
            <w:tcBorders>
              <w:top w:val="nil"/>
              <w:left w:val="nil"/>
              <w:bottom w:val="single" w:color="auto" w:sz="4" w:space="0"/>
              <w:right w:val="single" w:color="auto" w:sz="4" w:space="0"/>
            </w:tcBorders>
            <w:vAlign w:val="center"/>
          </w:tcPr>
          <w:p w14:paraId="3607F268">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初中（个）</w:t>
            </w:r>
          </w:p>
        </w:tc>
        <w:tc>
          <w:tcPr>
            <w:tcW w:w="3215" w:type="pct"/>
            <w:gridSpan w:val="3"/>
            <w:tcBorders>
              <w:top w:val="single" w:color="auto" w:sz="4" w:space="0"/>
              <w:left w:val="nil"/>
              <w:bottom w:val="single" w:color="auto" w:sz="4" w:space="0"/>
              <w:right w:val="single" w:color="auto" w:sz="4" w:space="0"/>
            </w:tcBorders>
            <w:vAlign w:val="center"/>
          </w:tcPr>
          <w:p w14:paraId="69EB4E27">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与镇区共享</w:t>
            </w:r>
          </w:p>
        </w:tc>
      </w:tr>
      <w:tr w14:paraId="098C6D78">
        <w:tblPrEx>
          <w:tblCellMar>
            <w:top w:w="0" w:type="dxa"/>
            <w:left w:w="108" w:type="dxa"/>
            <w:bottom w:w="0" w:type="dxa"/>
            <w:right w:w="108" w:type="dxa"/>
          </w:tblCellMar>
        </w:tblPrEx>
        <w:trPr>
          <w:trHeight w:val="285" w:hRule="atLeast"/>
        </w:trPr>
        <w:tc>
          <w:tcPr>
            <w:tcW w:w="548" w:type="pct"/>
            <w:vMerge w:val="continue"/>
            <w:tcBorders>
              <w:top w:val="nil"/>
              <w:left w:val="single" w:color="auto" w:sz="4" w:space="0"/>
              <w:bottom w:val="single" w:color="auto" w:sz="4" w:space="0"/>
              <w:right w:val="single" w:color="auto" w:sz="4" w:space="0"/>
            </w:tcBorders>
            <w:vAlign w:val="center"/>
          </w:tcPr>
          <w:p w14:paraId="51540471">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1F3B44B0">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小学（个）</w:t>
            </w:r>
          </w:p>
        </w:tc>
        <w:tc>
          <w:tcPr>
            <w:tcW w:w="1247" w:type="pct"/>
            <w:tcBorders>
              <w:top w:val="nil"/>
              <w:left w:val="nil"/>
              <w:bottom w:val="single" w:color="auto" w:sz="4" w:space="0"/>
              <w:right w:val="single" w:color="auto" w:sz="4" w:space="0"/>
            </w:tcBorders>
            <w:vAlign w:val="center"/>
          </w:tcPr>
          <w:p w14:paraId="3FC6D20E">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w:t>
            </w:r>
          </w:p>
        </w:tc>
        <w:tc>
          <w:tcPr>
            <w:tcW w:w="1045" w:type="pct"/>
            <w:tcBorders>
              <w:top w:val="nil"/>
              <w:left w:val="nil"/>
              <w:bottom w:val="single" w:color="auto" w:sz="4" w:space="0"/>
              <w:right w:val="single" w:color="auto" w:sz="4" w:space="0"/>
            </w:tcBorders>
            <w:vAlign w:val="center"/>
          </w:tcPr>
          <w:p w14:paraId="49752CD1">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益民中心校</w:t>
            </w:r>
          </w:p>
        </w:tc>
        <w:tc>
          <w:tcPr>
            <w:tcW w:w="923" w:type="pct"/>
            <w:tcBorders>
              <w:top w:val="nil"/>
              <w:left w:val="nil"/>
              <w:bottom w:val="single" w:color="auto" w:sz="4" w:space="0"/>
              <w:right w:val="single" w:color="auto" w:sz="4" w:space="0"/>
            </w:tcBorders>
            <w:vAlign w:val="center"/>
          </w:tcPr>
          <w:p w14:paraId="2F451D93">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w:t>
            </w:r>
          </w:p>
        </w:tc>
      </w:tr>
      <w:tr w14:paraId="65D478D5">
        <w:tblPrEx>
          <w:tblCellMar>
            <w:top w:w="0" w:type="dxa"/>
            <w:left w:w="108" w:type="dxa"/>
            <w:bottom w:w="0" w:type="dxa"/>
            <w:right w:w="108" w:type="dxa"/>
          </w:tblCellMar>
        </w:tblPrEx>
        <w:trPr>
          <w:trHeight w:val="285" w:hRule="atLeast"/>
        </w:trPr>
        <w:tc>
          <w:tcPr>
            <w:tcW w:w="548" w:type="pct"/>
            <w:vMerge w:val="continue"/>
            <w:tcBorders>
              <w:top w:val="nil"/>
              <w:left w:val="single" w:color="auto" w:sz="4" w:space="0"/>
              <w:bottom w:val="single" w:color="auto" w:sz="4" w:space="0"/>
              <w:right w:val="single" w:color="auto" w:sz="4" w:space="0"/>
            </w:tcBorders>
            <w:vAlign w:val="center"/>
          </w:tcPr>
          <w:p w14:paraId="6B5038A2">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7F9986D9">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幼儿园（个）</w:t>
            </w:r>
          </w:p>
        </w:tc>
        <w:tc>
          <w:tcPr>
            <w:tcW w:w="1247" w:type="pct"/>
            <w:tcBorders>
              <w:top w:val="nil"/>
              <w:left w:val="nil"/>
              <w:bottom w:val="single" w:color="auto" w:sz="4" w:space="0"/>
              <w:right w:val="single" w:color="auto" w:sz="4" w:space="0"/>
            </w:tcBorders>
            <w:vAlign w:val="center"/>
          </w:tcPr>
          <w:p w14:paraId="3FD73788">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w:t>
            </w:r>
          </w:p>
        </w:tc>
        <w:tc>
          <w:tcPr>
            <w:tcW w:w="1045" w:type="pct"/>
            <w:tcBorders>
              <w:top w:val="nil"/>
              <w:left w:val="nil"/>
              <w:bottom w:val="single" w:color="auto" w:sz="4" w:space="0"/>
              <w:right w:val="single" w:color="auto" w:sz="4" w:space="0"/>
            </w:tcBorders>
            <w:vAlign w:val="center"/>
          </w:tcPr>
          <w:p w14:paraId="3E7A2A42">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923" w:type="pct"/>
            <w:tcBorders>
              <w:top w:val="nil"/>
              <w:left w:val="nil"/>
              <w:bottom w:val="single" w:color="auto" w:sz="4" w:space="0"/>
              <w:right w:val="single" w:color="auto" w:sz="4" w:space="0"/>
            </w:tcBorders>
            <w:vAlign w:val="center"/>
          </w:tcPr>
          <w:p w14:paraId="6FB3F540">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r>
      <w:tr w14:paraId="503022B1">
        <w:tblPrEx>
          <w:tblCellMar>
            <w:top w:w="0" w:type="dxa"/>
            <w:left w:w="108" w:type="dxa"/>
            <w:bottom w:w="0" w:type="dxa"/>
            <w:right w:w="108" w:type="dxa"/>
          </w:tblCellMar>
        </w:tblPrEx>
        <w:trPr>
          <w:trHeight w:val="540" w:hRule="atLeast"/>
        </w:trPr>
        <w:tc>
          <w:tcPr>
            <w:tcW w:w="548" w:type="pct"/>
            <w:vMerge w:val="restart"/>
            <w:tcBorders>
              <w:top w:val="nil"/>
              <w:left w:val="single" w:color="auto" w:sz="4" w:space="0"/>
              <w:bottom w:val="single" w:color="auto" w:sz="4" w:space="0"/>
              <w:right w:val="single" w:color="auto" w:sz="4" w:space="0"/>
            </w:tcBorders>
            <w:vAlign w:val="center"/>
          </w:tcPr>
          <w:p w14:paraId="232C6277">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文体设施</w:t>
            </w:r>
          </w:p>
        </w:tc>
        <w:tc>
          <w:tcPr>
            <w:tcW w:w="1237" w:type="pct"/>
            <w:tcBorders>
              <w:top w:val="nil"/>
              <w:left w:val="nil"/>
              <w:bottom w:val="single" w:color="auto" w:sz="4" w:space="0"/>
              <w:right w:val="single" w:color="auto" w:sz="4" w:space="0"/>
            </w:tcBorders>
            <w:vAlign w:val="center"/>
          </w:tcPr>
          <w:p w14:paraId="78CA35F6">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文化活动室（个）</w:t>
            </w:r>
          </w:p>
        </w:tc>
        <w:tc>
          <w:tcPr>
            <w:tcW w:w="1247" w:type="pct"/>
            <w:tcBorders>
              <w:top w:val="nil"/>
              <w:left w:val="nil"/>
              <w:bottom w:val="single" w:color="auto" w:sz="4" w:space="0"/>
              <w:right w:val="single" w:color="auto" w:sz="4" w:space="0"/>
            </w:tcBorders>
            <w:vAlign w:val="center"/>
          </w:tcPr>
          <w:p w14:paraId="00850A31">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1个   与村委会共建</w:t>
            </w:r>
          </w:p>
        </w:tc>
        <w:tc>
          <w:tcPr>
            <w:tcW w:w="1045" w:type="pct"/>
            <w:tcBorders>
              <w:top w:val="nil"/>
              <w:left w:val="nil"/>
              <w:bottom w:val="single" w:color="auto" w:sz="4" w:space="0"/>
              <w:right w:val="single" w:color="auto" w:sz="4" w:space="0"/>
            </w:tcBorders>
            <w:vAlign w:val="center"/>
          </w:tcPr>
          <w:p w14:paraId="0AE4BBF7">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923" w:type="pct"/>
            <w:tcBorders>
              <w:top w:val="nil"/>
              <w:left w:val="nil"/>
              <w:bottom w:val="single" w:color="auto" w:sz="4" w:space="0"/>
              <w:right w:val="single" w:color="auto" w:sz="4" w:space="0"/>
            </w:tcBorders>
            <w:vAlign w:val="center"/>
          </w:tcPr>
          <w:p w14:paraId="040BB51F">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1个   与村委会共建</w:t>
            </w:r>
          </w:p>
        </w:tc>
      </w:tr>
      <w:tr w14:paraId="017F627B">
        <w:tblPrEx>
          <w:tblCellMar>
            <w:top w:w="0" w:type="dxa"/>
            <w:left w:w="108" w:type="dxa"/>
            <w:bottom w:w="0" w:type="dxa"/>
            <w:right w:w="108" w:type="dxa"/>
          </w:tblCellMar>
        </w:tblPrEx>
        <w:trPr>
          <w:trHeight w:val="540" w:hRule="atLeast"/>
        </w:trPr>
        <w:tc>
          <w:tcPr>
            <w:tcW w:w="548" w:type="pct"/>
            <w:vMerge w:val="continue"/>
            <w:tcBorders>
              <w:top w:val="nil"/>
              <w:left w:val="single" w:color="auto" w:sz="4" w:space="0"/>
              <w:bottom w:val="single" w:color="auto" w:sz="4" w:space="0"/>
              <w:right w:val="single" w:color="auto" w:sz="4" w:space="0"/>
            </w:tcBorders>
            <w:vAlign w:val="center"/>
          </w:tcPr>
          <w:p w14:paraId="61AFB9E0">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2D7AB92B">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健身广场（个）</w:t>
            </w:r>
          </w:p>
        </w:tc>
        <w:tc>
          <w:tcPr>
            <w:tcW w:w="1247" w:type="pct"/>
            <w:tcBorders>
              <w:top w:val="nil"/>
              <w:left w:val="nil"/>
              <w:bottom w:val="single" w:color="auto" w:sz="4" w:space="0"/>
              <w:right w:val="single" w:color="auto" w:sz="4" w:space="0"/>
            </w:tcBorders>
            <w:vAlign w:val="center"/>
          </w:tcPr>
          <w:p w14:paraId="581E6496">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1个   与村委会共建</w:t>
            </w:r>
          </w:p>
        </w:tc>
        <w:tc>
          <w:tcPr>
            <w:tcW w:w="1045" w:type="pct"/>
            <w:tcBorders>
              <w:top w:val="nil"/>
              <w:left w:val="nil"/>
              <w:bottom w:val="single" w:color="auto" w:sz="4" w:space="0"/>
              <w:right w:val="single" w:color="auto" w:sz="4" w:space="0"/>
            </w:tcBorders>
            <w:vAlign w:val="center"/>
          </w:tcPr>
          <w:p w14:paraId="2105B0A7">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w:t>
            </w:r>
          </w:p>
        </w:tc>
        <w:tc>
          <w:tcPr>
            <w:tcW w:w="923" w:type="pct"/>
            <w:tcBorders>
              <w:top w:val="nil"/>
              <w:left w:val="nil"/>
              <w:bottom w:val="single" w:color="auto" w:sz="4" w:space="0"/>
              <w:right w:val="single" w:color="auto" w:sz="4" w:space="0"/>
            </w:tcBorders>
            <w:vAlign w:val="center"/>
          </w:tcPr>
          <w:p w14:paraId="7256A831">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现状2处 新增2处</w:t>
            </w:r>
          </w:p>
        </w:tc>
      </w:tr>
      <w:tr w14:paraId="4ADB4983">
        <w:tblPrEx>
          <w:tblCellMar>
            <w:top w:w="0" w:type="dxa"/>
            <w:left w:w="108" w:type="dxa"/>
            <w:bottom w:w="0" w:type="dxa"/>
            <w:right w:w="108" w:type="dxa"/>
          </w:tblCellMar>
        </w:tblPrEx>
        <w:trPr>
          <w:trHeight w:val="285" w:hRule="atLeast"/>
        </w:trPr>
        <w:tc>
          <w:tcPr>
            <w:tcW w:w="548" w:type="pct"/>
            <w:vMerge w:val="restart"/>
            <w:tcBorders>
              <w:top w:val="nil"/>
              <w:left w:val="single" w:color="auto" w:sz="4" w:space="0"/>
              <w:bottom w:val="single" w:color="auto" w:sz="4" w:space="0"/>
              <w:right w:val="single" w:color="auto" w:sz="4" w:space="0"/>
            </w:tcBorders>
            <w:vAlign w:val="center"/>
          </w:tcPr>
          <w:p w14:paraId="0EF1B3C5">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养老设施</w:t>
            </w:r>
          </w:p>
        </w:tc>
        <w:tc>
          <w:tcPr>
            <w:tcW w:w="1237" w:type="pct"/>
            <w:tcBorders>
              <w:top w:val="nil"/>
              <w:left w:val="nil"/>
              <w:bottom w:val="single" w:color="auto" w:sz="4" w:space="0"/>
              <w:right w:val="single" w:color="auto" w:sz="4" w:space="0"/>
            </w:tcBorders>
            <w:vAlign w:val="center"/>
          </w:tcPr>
          <w:p w14:paraId="698A510D">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养老院（个）</w:t>
            </w:r>
          </w:p>
        </w:tc>
        <w:tc>
          <w:tcPr>
            <w:tcW w:w="1247" w:type="pct"/>
            <w:tcBorders>
              <w:top w:val="nil"/>
              <w:left w:val="nil"/>
              <w:bottom w:val="single" w:color="auto" w:sz="4" w:space="0"/>
              <w:right w:val="single" w:color="auto" w:sz="4" w:space="0"/>
            </w:tcBorders>
            <w:vAlign w:val="center"/>
          </w:tcPr>
          <w:p w14:paraId="7A5445CF">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1（县级）</w:t>
            </w:r>
          </w:p>
        </w:tc>
        <w:tc>
          <w:tcPr>
            <w:tcW w:w="1045" w:type="pct"/>
            <w:tcBorders>
              <w:top w:val="nil"/>
              <w:left w:val="nil"/>
              <w:bottom w:val="single" w:color="auto" w:sz="4" w:space="0"/>
              <w:right w:val="single" w:color="auto" w:sz="4" w:space="0"/>
            </w:tcBorders>
            <w:vAlign w:val="center"/>
          </w:tcPr>
          <w:p w14:paraId="0E0715E1">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w:t>
            </w:r>
          </w:p>
        </w:tc>
        <w:tc>
          <w:tcPr>
            <w:tcW w:w="923" w:type="pct"/>
            <w:tcBorders>
              <w:top w:val="nil"/>
              <w:left w:val="nil"/>
              <w:bottom w:val="single" w:color="auto" w:sz="4" w:space="0"/>
              <w:right w:val="single" w:color="auto" w:sz="4" w:space="0"/>
            </w:tcBorders>
            <w:vAlign w:val="center"/>
          </w:tcPr>
          <w:p w14:paraId="40DF1FFF">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w:t>
            </w:r>
          </w:p>
        </w:tc>
      </w:tr>
      <w:tr w14:paraId="53B13A5B">
        <w:tblPrEx>
          <w:tblCellMar>
            <w:top w:w="0" w:type="dxa"/>
            <w:left w:w="108" w:type="dxa"/>
            <w:bottom w:w="0" w:type="dxa"/>
            <w:right w:w="108" w:type="dxa"/>
          </w:tblCellMar>
        </w:tblPrEx>
        <w:trPr>
          <w:trHeight w:val="540" w:hRule="atLeast"/>
        </w:trPr>
        <w:tc>
          <w:tcPr>
            <w:tcW w:w="548" w:type="pct"/>
            <w:vMerge w:val="continue"/>
            <w:tcBorders>
              <w:top w:val="nil"/>
              <w:left w:val="single" w:color="auto" w:sz="4" w:space="0"/>
              <w:bottom w:val="single" w:color="auto" w:sz="4" w:space="0"/>
              <w:right w:val="single" w:color="auto" w:sz="4" w:space="0"/>
            </w:tcBorders>
            <w:vAlign w:val="center"/>
          </w:tcPr>
          <w:p w14:paraId="599FF231">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681B2634">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日间照料中心（个）</w:t>
            </w:r>
          </w:p>
        </w:tc>
        <w:tc>
          <w:tcPr>
            <w:tcW w:w="1247" w:type="pct"/>
            <w:tcBorders>
              <w:top w:val="nil"/>
              <w:left w:val="nil"/>
              <w:bottom w:val="single" w:color="auto" w:sz="4" w:space="0"/>
              <w:right w:val="single" w:color="auto" w:sz="4" w:space="0"/>
            </w:tcBorders>
            <w:vAlign w:val="center"/>
          </w:tcPr>
          <w:p w14:paraId="74958203">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1个 与村委会共建</w:t>
            </w:r>
          </w:p>
        </w:tc>
        <w:tc>
          <w:tcPr>
            <w:tcW w:w="1045" w:type="pct"/>
            <w:tcBorders>
              <w:top w:val="nil"/>
              <w:left w:val="nil"/>
              <w:bottom w:val="single" w:color="auto" w:sz="4" w:space="0"/>
              <w:right w:val="single" w:color="auto" w:sz="4" w:space="0"/>
            </w:tcBorders>
            <w:vAlign w:val="center"/>
          </w:tcPr>
          <w:p w14:paraId="26A9A73A">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1个与村委会共建</w:t>
            </w:r>
          </w:p>
        </w:tc>
        <w:tc>
          <w:tcPr>
            <w:tcW w:w="923" w:type="pct"/>
            <w:tcBorders>
              <w:top w:val="nil"/>
              <w:left w:val="nil"/>
              <w:bottom w:val="single" w:color="auto" w:sz="4" w:space="0"/>
              <w:right w:val="single" w:color="auto" w:sz="4" w:space="0"/>
            </w:tcBorders>
            <w:vAlign w:val="center"/>
          </w:tcPr>
          <w:p w14:paraId="5581128B">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新增1个与村委会共建</w:t>
            </w:r>
          </w:p>
        </w:tc>
      </w:tr>
      <w:tr w14:paraId="3A649DDF">
        <w:tblPrEx>
          <w:tblCellMar>
            <w:top w:w="0" w:type="dxa"/>
            <w:left w:w="108" w:type="dxa"/>
            <w:bottom w:w="0" w:type="dxa"/>
            <w:right w:w="108" w:type="dxa"/>
          </w:tblCellMar>
        </w:tblPrEx>
        <w:trPr>
          <w:trHeight w:val="285" w:hRule="atLeast"/>
        </w:trPr>
        <w:tc>
          <w:tcPr>
            <w:tcW w:w="548" w:type="pct"/>
            <w:vMerge w:val="restart"/>
            <w:tcBorders>
              <w:top w:val="nil"/>
              <w:left w:val="single" w:color="auto" w:sz="4" w:space="0"/>
              <w:bottom w:val="single" w:color="auto" w:sz="4" w:space="0"/>
              <w:right w:val="single" w:color="auto" w:sz="4" w:space="0"/>
            </w:tcBorders>
            <w:vAlign w:val="center"/>
          </w:tcPr>
          <w:p w14:paraId="5118A96C">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医疗设施</w:t>
            </w:r>
          </w:p>
        </w:tc>
        <w:tc>
          <w:tcPr>
            <w:tcW w:w="1237" w:type="pct"/>
            <w:tcBorders>
              <w:top w:val="nil"/>
              <w:left w:val="nil"/>
              <w:bottom w:val="single" w:color="auto" w:sz="4" w:space="0"/>
              <w:right w:val="single" w:color="auto" w:sz="4" w:space="0"/>
            </w:tcBorders>
            <w:vAlign w:val="center"/>
          </w:tcPr>
          <w:p w14:paraId="3A287172">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卫生院（个）</w:t>
            </w:r>
          </w:p>
        </w:tc>
        <w:tc>
          <w:tcPr>
            <w:tcW w:w="3215" w:type="pct"/>
            <w:gridSpan w:val="3"/>
            <w:tcBorders>
              <w:top w:val="single" w:color="auto" w:sz="4" w:space="0"/>
              <w:left w:val="nil"/>
              <w:bottom w:val="single" w:color="auto" w:sz="4" w:space="0"/>
              <w:right w:val="single" w:color="auto" w:sz="4" w:space="0"/>
            </w:tcBorders>
            <w:vAlign w:val="center"/>
          </w:tcPr>
          <w:p w14:paraId="3C94FAC1">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与镇区共享　</w:t>
            </w:r>
          </w:p>
        </w:tc>
      </w:tr>
      <w:tr w14:paraId="78476B46">
        <w:tblPrEx>
          <w:tblCellMar>
            <w:top w:w="0" w:type="dxa"/>
            <w:left w:w="108" w:type="dxa"/>
            <w:bottom w:w="0" w:type="dxa"/>
            <w:right w:w="108" w:type="dxa"/>
          </w:tblCellMar>
        </w:tblPrEx>
        <w:trPr>
          <w:trHeight w:val="285" w:hRule="atLeast"/>
        </w:trPr>
        <w:tc>
          <w:tcPr>
            <w:tcW w:w="548" w:type="pct"/>
            <w:vMerge w:val="continue"/>
            <w:tcBorders>
              <w:top w:val="nil"/>
              <w:left w:val="single" w:color="auto" w:sz="4" w:space="0"/>
              <w:bottom w:val="single" w:color="auto" w:sz="4" w:space="0"/>
              <w:right w:val="single" w:color="auto" w:sz="4" w:space="0"/>
            </w:tcBorders>
            <w:vAlign w:val="center"/>
          </w:tcPr>
          <w:p w14:paraId="41095319">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1DC5ACD1">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卫生室（个）</w:t>
            </w:r>
          </w:p>
        </w:tc>
        <w:tc>
          <w:tcPr>
            <w:tcW w:w="1247" w:type="pct"/>
            <w:tcBorders>
              <w:top w:val="nil"/>
              <w:left w:val="nil"/>
              <w:bottom w:val="single" w:color="auto" w:sz="4" w:space="0"/>
              <w:right w:val="single" w:color="auto" w:sz="4" w:space="0"/>
            </w:tcBorders>
            <w:vAlign w:val="center"/>
          </w:tcPr>
          <w:p w14:paraId="43839362">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3</w:t>
            </w:r>
          </w:p>
        </w:tc>
        <w:tc>
          <w:tcPr>
            <w:tcW w:w="1045" w:type="pct"/>
            <w:tcBorders>
              <w:top w:val="nil"/>
              <w:left w:val="nil"/>
              <w:bottom w:val="single" w:color="auto" w:sz="4" w:space="0"/>
              <w:right w:val="single" w:color="auto" w:sz="4" w:space="0"/>
            </w:tcBorders>
            <w:vAlign w:val="center"/>
          </w:tcPr>
          <w:p w14:paraId="29B9FF0E">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2</w:t>
            </w:r>
          </w:p>
        </w:tc>
        <w:tc>
          <w:tcPr>
            <w:tcW w:w="923" w:type="pct"/>
            <w:tcBorders>
              <w:top w:val="nil"/>
              <w:left w:val="nil"/>
              <w:bottom w:val="single" w:color="auto" w:sz="4" w:space="0"/>
              <w:right w:val="single" w:color="auto" w:sz="4" w:space="0"/>
            </w:tcBorders>
            <w:vAlign w:val="center"/>
          </w:tcPr>
          <w:p w14:paraId="5F7A7781">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新增1处　</w:t>
            </w:r>
          </w:p>
        </w:tc>
      </w:tr>
      <w:tr w14:paraId="78211B70">
        <w:tblPrEx>
          <w:tblCellMar>
            <w:top w:w="0" w:type="dxa"/>
            <w:left w:w="108" w:type="dxa"/>
            <w:bottom w:w="0" w:type="dxa"/>
            <w:right w:w="108" w:type="dxa"/>
          </w:tblCellMar>
        </w:tblPrEx>
        <w:trPr>
          <w:trHeight w:val="285" w:hRule="atLeast"/>
        </w:trPr>
        <w:tc>
          <w:tcPr>
            <w:tcW w:w="548" w:type="pct"/>
            <w:vMerge w:val="restart"/>
            <w:tcBorders>
              <w:top w:val="nil"/>
              <w:left w:val="single" w:color="auto" w:sz="4" w:space="0"/>
              <w:bottom w:val="single" w:color="auto" w:sz="4" w:space="0"/>
              <w:right w:val="single" w:color="auto" w:sz="4" w:space="0"/>
            </w:tcBorders>
            <w:vAlign w:val="center"/>
          </w:tcPr>
          <w:p w14:paraId="66EB4D58">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便民设施</w:t>
            </w:r>
          </w:p>
        </w:tc>
        <w:tc>
          <w:tcPr>
            <w:tcW w:w="1237" w:type="pct"/>
            <w:tcBorders>
              <w:top w:val="nil"/>
              <w:left w:val="nil"/>
              <w:bottom w:val="single" w:color="auto" w:sz="4" w:space="0"/>
              <w:right w:val="single" w:color="auto" w:sz="4" w:space="0"/>
            </w:tcBorders>
            <w:vAlign w:val="center"/>
          </w:tcPr>
          <w:p w14:paraId="6C031EFA">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农贸市场（个）</w:t>
            </w:r>
          </w:p>
        </w:tc>
        <w:tc>
          <w:tcPr>
            <w:tcW w:w="3215" w:type="pct"/>
            <w:gridSpan w:val="3"/>
            <w:tcBorders>
              <w:top w:val="single" w:color="auto" w:sz="4" w:space="0"/>
              <w:left w:val="nil"/>
              <w:bottom w:val="single" w:color="auto" w:sz="4" w:space="0"/>
              <w:right w:val="single" w:color="auto" w:sz="4" w:space="0"/>
            </w:tcBorders>
            <w:vAlign w:val="center"/>
          </w:tcPr>
          <w:p w14:paraId="4EC8603E">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与镇区共享</w:t>
            </w:r>
          </w:p>
        </w:tc>
      </w:tr>
      <w:tr w14:paraId="3D21E3A4">
        <w:tblPrEx>
          <w:tblCellMar>
            <w:top w:w="0" w:type="dxa"/>
            <w:left w:w="108" w:type="dxa"/>
            <w:bottom w:w="0" w:type="dxa"/>
            <w:right w:w="108" w:type="dxa"/>
          </w:tblCellMar>
        </w:tblPrEx>
        <w:trPr>
          <w:trHeight w:val="285" w:hRule="atLeast"/>
        </w:trPr>
        <w:tc>
          <w:tcPr>
            <w:tcW w:w="548" w:type="pct"/>
            <w:vMerge w:val="continue"/>
            <w:tcBorders>
              <w:top w:val="nil"/>
              <w:left w:val="single" w:color="auto" w:sz="4" w:space="0"/>
              <w:bottom w:val="single" w:color="auto" w:sz="4" w:space="0"/>
              <w:right w:val="single" w:color="auto" w:sz="4" w:space="0"/>
            </w:tcBorders>
            <w:vAlign w:val="center"/>
          </w:tcPr>
          <w:p w14:paraId="29268DA0">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4714095E">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便民店（个）</w:t>
            </w:r>
          </w:p>
        </w:tc>
        <w:tc>
          <w:tcPr>
            <w:tcW w:w="1247" w:type="pct"/>
            <w:tcBorders>
              <w:top w:val="nil"/>
              <w:left w:val="nil"/>
              <w:bottom w:val="single" w:color="auto" w:sz="4" w:space="0"/>
              <w:right w:val="single" w:color="auto" w:sz="4" w:space="0"/>
            </w:tcBorders>
            <w:vAlign w:val="center"/>
          </w:tcPr>
          <w:p w14:paraId="66B8379C">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28</w:t>
            </w:r>
          </w:p>
        </w:tc>
        <w:tc>
          <w:tcPr>
            <w:tcW w:w="1045" w:type="pct"/>
            <w:tcBorders>
              <w:top w:val="nil"/>
              <w:left w:val="nil"/>
              <w:bottom w:val="single" w:color="auto" w:sz="4" w:space="0"/>
              <w:right w:val="single" w:color="auto" w:sz="4" w:space="0"/>
            </w:tcBorders>
            <w:vAlign w:val="center"/>
          </w:tcPr>
          <w:p w14:paraId="443A3B0E">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11</w:t>
            </w:r>
          </w:p>
        </w:tc>
        <w:tc>
          <w:tcPr>
            <w:tcW w:w="923" w:type="pct"/>
            <w:tcBorders>
              <w:top w:val="nil"/>
              <w:left w:val="nil"/>
              <w:bottom w:val="single" w:color="auto" w:sz="4" w:space="0"/>
              <w:right w:val="single" w:color="auto" w:sz="4" w:space="0"/>
            </w:tcBorders>
            <w:vAlign w:val="center"/>
          </w:tcPr>
          <w:p w14:paraId="08F86AB2">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12</w:t>
            </w:r>
          </w:p>
        </w:tc>
      </w:tr>
      <w:tr w14:paraId="763260D9">
        <w:tblPrEx>
          <w:tblCellMar>
            <w:top w:w="0" w:type="dxa"/>
            <w:left w:w="108" w:type="dxa"/>
            <w:bottom w:w="0" w:type="dxa"/>
            <w:right w:w="108" w:type="dxa"/>
          </w:tblCellMar>
        </w:tblPrEx>
        <w:trPr>
          <w:trHeight w:val="285" w:hRule="atLeast"/>
        </w:trPr>
        <w:tc>
          <w:tcPr>
            <w:tcW w:w="548" w:type="pct"/>
            <w:vMerge w:val="continue"/>
            <w:tcBorders>
              <w:top w:val="nil"/>
              <w:left w:val="single" w:color="auto" w:sz="4" w:space="0"/>
              <w:bottom w:val="single" w:color="auto" w:sz="4" w:space="0"/>
              <w:right w:val="single" w:color="auto" w:sz="4" w:space="0"/>
            </w:tcBorders>
            <w:vAlign w:val="center"/>
          </w:tcPr>
          <w:p w14:paraId="5826CE2A">
            <w:pPr>
              <w:pStyle w:val="23"/>
              <w:ind w:firstLine="0" w:firstLineChars="0"/>
              <w:jc w:val="center"/>
              <w:rPr>
                <w:rFonts w:hint="eastAsia" w:ascii="仿宋" w:hAnsi="仿宋" w:eastAsia="仿宋"/>
                <w:sz w:val="20"/>
                <w:szCs w:val="20"/>
                <w:lang w:val="en-US"/>
              </w:rPr>
            </w:pPr>
          </w:p>
        </w:tc>
        <w:tc>
          <w:tcPr>
            <w:tcW w:w="1237" w:type="pct"/>
            <w:tcBorders>
              <w:top w:val="nil"/>
              <w:left w:val="nil"/>
              <w:bottom w:val="single" w:color="auto" w:sz="4" w:space="0"/>
              <w:right w:val="single" w:color="auto" w:sz="4" w:space="0"/>
            </w:tcBorders>
            <w:vAlign w:val="center"/>
          </w:tcPr>
          <w:p w14:paraId="63BFF4F3">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超市（个）</w:t>
            </w:r>
          </w:p>
        </w:tc>
        <w:tc>
          <w:tcPr>
            <w:tcW w:w="1247" w:type="pct"/>
            <w:tcBorders>
              <w:top w:val="nil"/>
              <w:left w:val="nil"/>
              <w:bottom w:val="single" w:color="auto" w:sz="4" w:space="0"/>
              <w:right w:val="single" w:color="auto" w:sz="4" w:space="0"/>
            </w:tcBorders>
            <w:vAlign w:val="center"/>
          </w:tcPr>
          <w:p w14:paraId="56250A5C">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w:t>
            </w:r>
          </w:p>
        </w:tc>
        <w:tc>
          <w:tcPr>
            <w:tcW w:w="1045" w:type="pct"/>
            <w:tcBorders>
              <w:top w:val="nil"/>
              <w:left w:val="nil"/>
              <w:bottom w:val="single" w:color="auto" w:sz="4" w:space="0"/>
              <w:right w:val="single" w:color="auto" w:sz="4" w:space="0"/>
            </w:tcBorders>
            <w:vAlign w:val="center"/>
          </w:tcPr>
          <w:p w14:paraId="660B3D77">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　</w:t>
            </w:r>
          </w:p>
        </w:tc>
        <w:tc>
          <w:tcPr>
            <w:tcW w:w="923" w:type="pct"/>
            <w:tcBorders>
              <w:top w:val="nil"/>
              <w:left w:val="nil"/>
              <w:bottom w:val="single" w:color="auto" w:sz="4" w:space="0"/>
              <w:right w:val="single" w:color="auto" w:sz="4" w:space="0"/>
            </w:tcBorders>
            <w:vAlign w:val="center"/>
          </w:tcPr>
          <w:p w14:paraId="5841FA76">
            <w:pPr>
              <w:pStyle w:val="23"/>
              <w:ind w:firstLine="0" w:firstLineChars="0"/>
              <w:jc w:val="center"/>
              <w:rPr>
                <w:rFonts w:hint="eastAsia" w:ascii="仿宋" w:hAnsi="仿宋" w:eastAsia="仿宋"/>
                <w:sz w:val="20"/>
                <w:szCs w:val="20"/>
                <w:lang w:val="en-US"/>
              </w:rPr>
            </w:pPr>
            <w:r>
              <w:rPr>
                <w:rFonts w:hint="eastAsia" w:ascii="仿宋" w:hAnsi="仿宋" w:eastAsia="仿宋"/>
                <w:sz w:val="20"/>
                <w:szCs w:val="20"/>
                <w:lang w:val="en-US"/>
              </w:rPr>
              <w:t>3</w:t>
            </w:r>
          </w:p>
        </w:tc>
      </w:tr>
    </w:tbl>
    <w:p w14:paraId="78696B94">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道路交通规划</w:t>
      </w:r>
    </w:p>
    <w:p w14:paraId="7754E398">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一</w:t>
      </w:r>
      <w:r>
        <w:rPr>
          <w:rFonts w:ascii="楷体" w:hAnsi="楷体" w:eastAsia="楷体" w:cs="楷体"/>
          <w:sz w:val="22"/>
          <w:szCs w:val="22"/>
        </w:rPr>
        <w:t>）</w:t>
      </w:r>
      <w:r>
        <w:rPr>
          <w:rFonts w:hint="eastAsia" w:ascii="楷体" w:hAnsi="楷体" w:eastAsia="楷体" w:cs="楷体"/>
          <w:sz w:val="22"/>
          <w:szCs w:val="22"/>
        </w:rPr>
        <w:t>道路网布局</w:t>
      </w:r>
    </w:p>
    <w:p w14:paraId="0EAC3821">
      <w:pPr>
        <w:numPr>
          <w:ilvl w:val="0"/>
          <w:numId w:val="3"/>
        </w:numPr>
        <w:spacing w:before="62" w:beforeLines="20" w:after="62" w:afterLines="20" w:line="264" w:lineRule="auto"/>
        <w:rPr>
          <w:rFonts w:eastAsia="仿宋_GB2312"/>
          <w:sz w:val="22"/>
          <w:szCs w:val="22"/>
        </w:rPr>
      </w:pPr>
      <w:r>
        <w:rPr>
          <w:rFonts w:hint="eastAsia" w:eastAsia="仿宋_GB2312"/>
          <w:sz w:val="22"/>
          <w:szCs w:val="22"/>
        </w:rPr>
        <w:t>对外交通规划</w:t>
      </w:r>
    </w:p>
    <w:p w14:paraId="0344F9D5">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“高速+国县乡”多级对外交通网络密织，交通优势十分突出。</w:t>
      </w:r>
    </w:p>
    <w:p w14:paraId="08310805">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现状：片区对外交通体系完善，高速、国道、省道、县道、乡道穿越片区，片区整体道路交通等级高，交通便捷度高，对外交通优势十分明显。</w:t>
      </w:r>
    </w:p>
    <w:p w14:paraId="621C1DD1">
      <w:pPr>
        <w:spacing w:before="62" w:beforeLines="20" w:after="62" w:afterLines="20" w:line="264" w:lineRule="auto"/>
        <w:ind w:firstLine="440" w:firstLineChars="200"/>
        <w:rPr>
          <w:rFonts w:eastAsia="仿宋_GB2312"/>
          <w:sz w:val="22"/>
          <w:szCs w:val="22"/>
        </w:rPr>
      </w:pPr>
      <w:r>
        <w:rPr>
          <w:rFonts w:hint="eastAsia" w:eastAsia="仿宋_GB2312"/>
          <w:sz w:val="22"/>
          <w:szCs w:val="22"/>
        </w:rPr>
        <w:t>规划：结合片区的产业发展与设施提升，规划对片区内的县道X039、X040等道路进行局部路段黑化或拓宽处理，提升片区对外通行能力。</w:t>
      </w:r>
    </w:p>
    <w:p w14:paraId="6BB0C5FF">
      <w:pPr>
        <w:numPr>
          <w:ilvl w:val="0"/>
          <w:numId w:val="3"/>
        </w:numPr>
        <w:spacing w:before="62" w:beforeLines="20" w:after="62" w:afterLines="20" w:line="264" w:lineRule="auto"/>
        <w:rPr>
          <w:rFonts w:eastAsia="仿宋_GB2312"/>
          <w:sz w:val="22"/>
          <w:szCs w:val="22"/>
        </w:rPr>
      </w:pPr>
      <w:r>
        <w:rPr>
          <w:rFonts w:hint="eastAsia" w:eastAsia="仿宋_GB2312"/>
          <w:sz w:val="22"/>
          <w:szCs w:val="22"/>
        </w:rPr>
        <w:t>内部交通规划</w:t>
      </w:r>
    </w:p>
    <w:p w14:paraId="5DE89CE7">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打通断头路，对局部路段进行拓宽/硬化等处理，构建内部交通网络。</w:t>
      </w:r>
    </w:p>
    <w:p w14:paraId="3FD82C86">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新民村：主要拓宽垭谷组至G353段的村道，打通G353至星空露营基地段道路，打造共富综合发展带；</w:t>
      </w:r>
    </w:p>
    <w:p w14:paraId="6330EC04">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鲊石村：主要硬化鲊石村村委会至朗雷组的村道，提升道路通行能力；</w:t>
      </w:r>
    </w:p>
    <w:p w14:paraId="66DB3F66">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益民村：主要黑化与拓宽火烧天至G353段村道，提升道路通行能力；</w:t>
      </w:r>
    </w:p>
    <w:p w14:paraId="77A8B720">
      <w:pPr>
        <w:spacing w:before="62" w:beforeLines="20" w:after="62" w:afterLines="20" w:line="264" w:lineRule="auto"/>
        <w:ind w:firstLine="440" w:firstLineChars="200"/>
        <w:rPr>
          <w:rFonts w:eastAsia="仿宋_GB2312"/>
          <w:sz w:val="22"/>
          <w:szCs w:val="22"/>
        </w:rPr>
      </w:pPr>
      <w:r>
        <w:rPr>
          <w:rFonts w:hint="eastAsia" w:eastAsia="仿宋_GB2312"/>
          <w:sz w:val="22"/>
          <w:szCs w:val="22"/>
        </w:rPr>
        <w:t>至规划末期，片区内县道黑化/拓宽需求约为5km；需通过拓宽/硬化/黑化等手段提升道路品质的村道约为22km；新建村道约为3km；需硬化/新建的入户路约为3km。</w:t>
      </w:r>
    </w:p>
    <w:p w14:paraId="1E86519F">
      <w:pPr>
        <w:spacing w:before="62" w:beforeLines="20" w:after="62" w:afterLines="20" w:line="264" w:lineRule="auto"/>
        <w:ind w:firstLine="440" w:firstLineChars="200"/>
        <w:rPr>
          <w:rFonts w:hint="eastAsia" w:ascii="楷体" w:hAnsi="楷体" w:eastAsia="楷体" w:cs="楷体"/>
          <w:sz w:val="22"/>
          <w:szCs w:val="22"/>
        </w:rPr>
      </w:pPr>
      <w:bookmarkStart w:id="4" w:name="OLE_LINK3"/>
      <w:r>
        <w:rPr>
          <w:rFonts w:ascii="楷体" w:hAnsi="楷体" w:eastAsia="楷体" w:cs="楷体"/>
          <w:sz w:val="22"/>
          <w:szCs w:val="22"/>
        </w:rPr>
        <w:t>（</w:t>
      </w:r>
      <w:r>
        <w:rPr>
          <w:rFonts w:hint="eastAsia" w:ascii="楷体" w:hAnsi="楷体" w:eastAsia="楷体" w:cs="楷体"/>
          <w:sz w:val="22"/>
          <w:szCs w:val="22"/>
        </w:rPr>
        <w:t>二</w:t>
      </w:r>
      <w:r>
        <w:rPr>
          <w:rFonts w:ascii="楷体" w:hAnsi="楷体" w:eastAsia="楷体" w:cs="楷体"/>
          <w:sz w:val="22"/>
          <w:szCs w:val="22"/>
        </w:rPr>
        <w:t>）</w:t>
      </w:r>
      <w:bookmarkEnd w:id="4"/>
      <w:r>
        <w:rPr>
          <w:rFonts w:hint="eastAsia" w:ascii="楷体" w:hAnsi="楷体" w:eastAsia="楷体" w:cs="楷体"/>
          <w:sz w:val="22"/>
          <w:szCs w:val="22"/>
        </w:rPr>
        <w:t>道路设施规划</w:t>
      </w:r>
    </w:p>
    <w:p w14:paraId="067E48E8">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结合旅游发展增设停车设施与充电设施。</w:t>
      </w:r>
    </w:p>
    <w:p w14:paraId="6547C2A1">
      <w:pPr>
        <w:spacing w:before="62" w:beforeLines="20" w:after="62" w:afterLines="20" w:line="264" w:lineRule="auto"/>
        <w:ind w:firstLine="420" w:firstLineChars="200"/>
        <w:rPr>
          <w:rFonts w:eastAsia="仿宋_GB2312"/>
          <w:sz w:val="22"/>
          <w:szCs w:val="22"/>
        </w:rPr>
      </w:pPr>
      <w:r>
        <w:drawing>
          <wp:anchor distT="0" distB="0" distL="114300" distR="114300" simplePos="0" relativeHeight="251660288" behindDoc="0" locked="0" layoutInCell="1" allowOverlap="1">
            <wp:simplePos x="0" y="0"/>
            <wp:positionH relativeFrom="column">
              <wp:posOffset>71755</wp:posOffset>
            </wp:positionH>
            <wp:positionV relativeFrom="paragraph">
              <wp:posOffset>1313815</wp:posOffset>
            </wp:positionV>
            <wp:extent cx="6372225" cy="3122295"/>
            <wp:effectExtent l="0" t="0" r="9525" b="190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6372225" cy="3122295"/>
                    </a:xfrm>
                    <a:prstGeom prst="rect">
                      <a:avLst/>
                    </a:prstGeom>
                  </pic:spPr>
                </pic:pic>
              </a:graphicData>
            </a:graphic>
          </wp:anchor>
        </w:drawing>
      </w:r>
      <w:r>
        <w:rPr>
          <w:rFonts w:hint="eastAsia" w:eastAsia="仿宋_GB2312"/>
          <w:sz w:val="22"/>
          <w:szCs w:val="22"/>
        </w:rPr>
        <w:t>完善片区停车设施，规划结合公服设施、居民建新点、旅游设施等配置6处社会停车场，2处充电站；其余各项目停车需求结合项目布局，配建停车场解决；同时，完善错车道和标志标线配置，增强片区内部交通通行能力。</w:t>
      </w:r>
    </w:p>
    <w:p w14:paraId="75D5CAC3">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农村建房通则式指引</w:t>
      </w:r>
    </w:p>
    <w:p w14:paraId="5DC4FB9D">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一</w:t>
      </w:r>
      <w:r>
        <w:rPr>
          <w:rFonts w:ascii="楷体" w:hAnsi="楷体" w:eastAsia="楷体" w:cs="楷体"/>
          <w:sz w:val="22"/>
          <w:szCs w:val="22"/>
        </w:rPr>
        <w:t>）</w:t>
      </w:r>
      <w:r>
        <w:rPr>
          <w:rFonts w:hint="eastAsia" w:ascii="楷体" w:hAnsi="楷体" w:eastAsia="楷体" w:cs="楷体"/>
          <w:sz w:val="22"/>
          <w:szCs w:val="22"/>
        </w:rPr>
        <w:t>农房建设布局</w:t>
      </w:r>
    </w:p>
    <w:p w14:paraId="6BCF2CA5">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规划采取组团式布局，保护耕地、集约用地，加强建筑与水系、林田等自然环境的融合，采用组团化、生态化布局。</w:t>
      </w:r>
    </w:p>
    <w:p w14:paraId="05F0A37E">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综合考虑地理环境、人文特征等因素，梳理现状建筑情况，并结合规划产业特色，将新民片区划分为两大风貌特色分区。</w:t>
      </w:r>
    </w:p>
    <w:p w14:paraId="7BBCBB76">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川南特色风貌核心区，主要分布在片区西部鲊石村。建筑风格：采用川南传统民居的穿斗结构、坡屋顶、灰瓦白墙，结合现代材料（如仿木铝合金）提升耐久性；景观节点：在村口、广场等区域增设传统凉亭、石砌步道，结合“红格脐橙”种植园打造田园景观走廊；功能融合：在传统院落中嵌入民宿、手工艺体验馆，利用“艺术大菜场”模式（参考联合村经验）开发文创空间。</w:t>
      </w:r>
    </w:p>
    <w:p w14:paraId="30E2276F">
      <w:pPr>
        <w:spacing w:before="62" w:beforeLines="20" w:after="62" w:afterLines="20" w:line="264" w:lineRule="auto"/>
        <w:ind w:firstLine="440" w:firstLineChars="200"/>
        <w:rPr>
          <w:rFonts w:eastAsia="仿宋_GB2312"/>
          <w:sz w:val="22"/>
          <w:szCs w:val="22"/>
        </w:rPr>
      </w:pPr>
      <w:r>
        <w:rPr>
          <w:rFonts w:hint="eastAsia" w:eastAsia="仿宋_GB2312"/>
          <w:sz w:val="22"/>
          <w:szCs w:val="22"/>
        </w:rPr>
        <w:t>现代生态宜居风貌示范区主要分布在片区东侧，包括新民村、益民村。建筑风格：采用现代简约风格，结合坡屋顶、大阳台设计，外立面以暖色调（如浅黄、陶土色）为主。以简洁的现代几何线条为主，屋顶采用轻质坡顶或平顶，局部点缀木格栅、竹编装饰，呼应田园气息；产业配套：结合果蔬种植基地（如荔枝、芒果），设计透明玻璃温室、生态展销中心，建筑色彩以浅灰、米白为主，搭配绿色景观带；公共空间：沿农田边界设置骑行绿道、观景平台，强化“田园变公园”的规划理念。</w:t>
      </w:r>
    </w:p>
    <w:p w14:paraId="6F0FA164">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二</w:t>
      </w:r>
      <w:r>
        <w:rPr>
          <w:rFonts w:ascii="楷体" w:hAnsi="楷体" w:eastAsia="楷体" w:cs="楷体"/>
          <w:sz w:val="22"/>
          <w:szCs w:val="22"/>
        </w:rPr>
        <w:t>）</w:t>
      </w:r>
      <w:r>
        <w:rPr>
          <w:rFonts w:hint="eastAsia" w:ascii="楷体" w:hAnsi="楷体" w:eastAsia="楷体" w:cs="楷体"/>
          <w:sz w:val="22"/>
          <w:szCs w:val="22"/>
        </w:rPr>
        <w:t>典型居民点建设规划</w:t>
      </w:r>
    </w:p>
    <w:p w14:paraId="45AF71E3">
      <w:pPr>
        <w:numPr>
          <w:ilvl w:val="0"/>
          <w:numId w:val="4"/>
        </w:numPr>
        <w:spacing w:before="62" w:beforeLines="20" w:after="62" w:afterLines="20" w:line="264" w:lineRule="auto"/>
        <w:rPr>
          <w:rFonts w:eastAsia="仿宋_GB2312"/>
          <w:sz w:val="22"/>
          <w:szCs w:val="22"/>
        </w:rPr>
      </w:pPr>
      <w:r>
        <w:rPr>
          <w:rFonts w:hint="eastAsia" w:eastAsia="仿宋_GB2312"/>
          <w:sz w:val="22"/>
          <w:szCs w:val="22"/>
        </w:rPr>
        <w:t>总体形态</w:t>
      </w:r>
    </w:p>
    <w:p w14:paraId="76B0F557">
      <w:pPr>
        <w:spacing w:before="62" w:beforeLines="20" w:after="62" w:afterLines="20" w:line="264" w:lineRule="auto"/>
        <w:ind w:firstLine="440" w:firstLineChars="200"/>
        <w:rPr>
          <w:rFonts w:eastAsia="仿宋_GB2312"/>
          <w:sz w:val="22"/>
          <w:szCs w:val="22"/>
        </w:rPr>
      </w:pPr>
      <w:r>
        <w:rPr>
          <w:rFonts w:hint="eastAsia" w:eastAsia="仿宋_GB2312"/>
          <w:sz w:val="22"/>
          <w:szCs w:val="22"/>
        </w:rPr>
        <w:t>遵循地形、生态有机的布局原则，尊重自然环境、突出地方特色，统筹考虑公共空间、配套设施、</w:t>
      </w:r>
      <w:r>
        <w:rPr>
          <w:rFonts w:hint="eastAsia" w:eastAsia="仿宋_GB2312"/>
          <w:sz w:val="22"/>
          <w:szCs w:val="22"/>
          <w:lang w:eastAsia="zh-CN"/>
        </w:rPr>
        <w:t>园林</w:t>
      </w:r>
      <w:r>
        <w:rPr>
          <w:rFonts w:hint="eastAsia" w:eastAsia="仿宋_GB2312"/>
          <w:sz w:val="22"/>
          <w:szCs w:val="22"/>
        </w:rPr>
        <w:t>菜地等各方面的需求，形成与自然环境相融合的总体布局形态。规划结合片区实际情况，以“组团式、生态化”理念新建4个聚居点，共计3.98公顷。鲊石村：现状人口2987人，因高速建设、地灾与分户需求，到2035年共安置人口约365人。益民村：现状人口2875人，因分户需求，到2035年共安置人口约200人。组团间结合周边山丘和水系，留有生态廊道和视线通廊，间隔打造景观小节点，并结合商业公服设施设置大型景观节点，组团内设置公共院坝，形成生态良好、环境优美、生活便利的居住环境。</w:t>
      </w:r>
    </w:p>
    <w:p w14:paraId="7DC10FAD">
      <w:pPr>
        <w:numPr>
          <w:ilvl w:val="0"/>
          <w:numId w:val="4"/>
        </w:numPr>
        <w:spacing w:before="62" w:beforeLines="20" w:after="62" w:afterLines="20" w:line="264" w:lineRule="auto"/>
        <w:rPr>
          <w:rFonts w:eastAsia="仿宋_GB2312"/>
          <w:sz w:val="22"/>
          <w:szCs w:val="22"/>
        </w:rPr>
      </w:pPr>
      <w:r>
        <w:rPr>
          <w:rFonts w:hint="eastAsia" w:eastAsia="仿宋_GB2312"/>
          <w:sz w:val="22"/>
          <w:szCs w:val="22"/>
        </w:rPr>
        <w:t>农房户型</w:t>
      </w:r>
    </w:p>
    <w:p w14:paraId="72835076">
      <w:pPr>
        <w:spacing w:before="62" w:beforeLines="20" w:after="62" w:afterLines="20" w:line="264" w:lineRule="auto"/>
        <w:ind w:firstLine="440" w:firstLineChars="200"/>
        <w:rPr>
          <w:rFonts w:eastAsia="仿宋_GB2312"/>
          <w:sz w:val="22"/>
          <w:szCs w:val="22"/>
        </w:rPr>
      </w:pPr>
      <w:r>
        <w:rPr>
          <w:rFonts w:hint="eastAsia" w:eastAsia="仿宋_GB2312"/>
          <w:sz w:val="22"/>
          <w:szCs w:val="22"/>
        </w:rPr>
        <w:t>根</w:t>
      </w:r>
      <w:r>
        <w:rPr>
          <w:rFonts w:hint="eastAsia" w:eastAsia="仿宋_GB2312"/>
          <w:sz w:val="22"/>
          <w:szCs w:val="22"/>
          <w:lang w:eastAsia="zh-CN"/>
        </w:rPr>
        <w:t>据</w:t>
      </w:r>
      <w:r>
        <w:rPr>
          <w:rFonts w:hint="eastAsia" w:eastAsia="仿宋_GB2312"/>
          <w:sz w:val="22"/>
          <w:szCs w:val="22"/>
        </w:rPr>
        <w:t>当地人口特征及现有居住习惯，规划提供 2人户、3人户、4人户、5人户四类共4种户型，建筑面积54㎡-150㎡。户型设计重视村民的生活习惯与生产需求，设置屋前院落，满足村民种植蔬菜、养殖家禽、生产劳作与休憩娱乐的各类需求。室内设置储藏间，用于存放农具杂物；二楼露台可作为赏景休憩与农作物晾晒的场所。</w:t>
      </w:r>
    </w:p>
    <w:p w14:paraId="32B2BF5F">
      <w:pPr>
        <w:numPr>
          <w:ilvl w:val="0"/>
          <w:numId w:val="4"/>
        </w:numPr>
        <w:spacing w:before="62" w:beforeLines="20" w:after="62" w:afterLines="20" w:line="264" w:lineRule="auto"/>
        <w:rPr>
          <w:rFonts w:eastAsia="仿宋_GB2312"/>
          <w:sz w:val="22"/>
          <w:szCs w:val="22"/>
        </w:rPr>
      </w:pPr>
      <w:r>
        <w:rPr>
          <w:rFonts w:hint="eastAsia" w:eastAsia="仿宋_GB2312"/>
          <w:sz w:val="22"/>
          <w:szCs w:val="22"/>
        </w:rPr>
        <w:t>配套设施</w:t>
      </w:r>
    </w:p>
    <w:p w14:paraId="6D89DA1F">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道路设施：村庄内部干路作为居民点对外主要道路，路面为沥青路面，宽度不超过5.5米；支路作为居民点对外次要道路，路面以水泥路为主，以3.5米左右为宜；入户路作为居民点内部主要道路，路面以水泥路面为主，控制1.5~2.5米左右。结合零散分布的空地设置停车位，供机动车及其他农用车辆停放</w:t>
      </w:r>
      <w:bookmarkStart w:id="5" w:name="_GoBack"/>
      <w:r>
        <w:rPr>
          <w:rFonts w:hint="eastAsia" w:eastAsia="仿宋_GB2312"/>
          <w:sz w:val="22"/>
          <w:szCs w:val="22"/>
          <w:lang w:eastAsia="zh-CN"/>
        </w:rPr>
        <w:t>，</w:t>
      </w:r>
      <w:bookmarkEnd w:id="5"/>
      <w:r>
        <w:rPr>
          <w:rFonts w:hint="eastAsia" w:eastAsia="仿宋_GB2312"/>
          <w:sz w:val="22"/>
          <w:szCs w:val="22"/>
        </w:rPr>
        <w:t>停车配套标准不低于1辆/户。</w:t>
      </w:r>
    </w:p>
    <w:p w14:paraId="5C81B6F2">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给水设施：聚居点内给水管宜采用球墨铸铁管和 PE 等塑料材质，管径不宜小于 DN50；消防给水与集中供水为同一系统，室外消火栓的间距不应大于120m。</w:t>
      </w:r>
    </w:p>
    <w:p w14:paraId="77543A1A">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燃气设施：燃气管道宜直埋敷设，燃气管网可按枝状布置；聚居点内燃气管径不宜小于 De32。</w:t>
      </w:r>
    </w:p>
    <w:p w14:paraId="7545EFA1">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电力电信设施：结合聚居点实际条件，电力电信线路采用架空或埋地敷设；10kV主干线路线径不宜小于150mm2，埋地通信管道管孔容量为 2~3 孔。</w:t>
      </w:r>
    </w:p>
    <w:p w14:paraId="1706DAD1">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环卫设施：公共节点及组团内设置一个小型垃圾桶，共设置12处，村民将生活垃圾集中收集至垃圾桶再由保洁员进行集中清运。沿居民点村主路设置2处垃圾收集点，服务半径500米。</w:t>
      </w:r>
    </w:p>
    <w:p w14:paraId="41A1A279">
      <w:pPr>
        <w:spacing w:before="62" w:beforeLines="20" w:after="62" w:afterLines="20" w:line="264" w:lineRule="auto"/>
        <w:ind w:firstLine="440" w:firstLineChars="200"/>
        <w:rPr>
          <w:rFonts w:eastAsia="仿宋_GB2312"/>
          <w:sz w:val="22"/>
          <w:szCs w:val="22"/>
        </w:rPr>
      </w:pPr>
      <w:r>
        <w:rPr>
          <w:rFonts w:hint="eastAsia" w:eastAsia="仿宋_GB2312"/>
          <w:sz w:val="22"/>
          <w:szCs w:val="22"/>
        </w:rPr>
        <w:t>排水设施：新建聚居点排水体制采用集中处理的方式，污水收集管网最小管径采用 DN200。雨水排水系统宜结合现有沟渠、道路边沟就近排至周边受纳水体。</w:t>
      </w:r>
    </w:p>
    <w:p w14:paraId="70E2D425">
      <w:pPr>
        <w:pStyle w:val="2"/>
        <w:ind w:left="0" w:leftChars="0" w:firstLine="0" w:firstLineChars="0"/>
        <w:sectPr>
          <w:type w:val="continuous"/>
          <w:pgSz w:w="23811" w:h="16838" w:orient="landscape"/>
          <w:pgMar w:top="1134" w:right="1134" w:bottom="1134" w:left="1134" w:header="851" w:footer="992" w:gutter="0"/>
          <w:cols w:equalWidth="0" w:num="2">
            <w:col w:w="10559" w:space="844"/>
            <w:col w:w="10140"/>
          </w:cols>
          <w:docGrid w:type="lines" w:linePitch="312" w:charSpace="0"/>
        </w:sectPr>
      </w:pPr>
    </w:p>
    <w:p w14:paraId="5DDE747B">
      <w:pPr>
        <w:jc w:val="center"/>
        <w:rPr>
          <w:rFonts w:eastAsia="仿宋_GB2312"/>
          <w:sz w:val="32"/>
          <w:szCs w:val="32"/>
        </w:rPr>
      </w:pPr>
    </w:p>
    <w:p w14:paraId="19A8723F">
      <w:pPr>
        <w:pStyle w:val="2"/>
        <w:ind w:left="840" w:hanging="420"/>
      </w:pPr>
      <w:r>
        <w:br w:type="page"/>
      </w:r>
    </w:p>
    <w:p w14:paraId="12FD9BD5">
      <w:pPr>
        <w:sectPr>
          <w:type w:val="continuous"/>
          <w:pgSz w:w="23811" w:h="16838" w:orient="landscape"/>
          <w:pgMar w:top="1361" w:right="1701" w:bottom="1361" w:left="1474" w:header="851" w:footer="992" w:gutter="0"/>
          <w:cols w:space="425" w:num="1"/>
          <w:docGrid w:type="lines" w:linePitch="312" w:charSpace="0"/>
        </w:sectPr>
      </w:pPr>
    </w:p>
    <w:p w14:paraId="4B1195A5">
      <w:r>
        <w:rPr>
          <w:lang w:bidi="zh-CN"/>
        </w:rPr>
        <w:drawing>
          <wp:inline distT="0" distB="0" distL="0" distR="0">
            <wp:extent cx="12969240" cy="9169400"/>
            <wp:effectExtent l="0" t="0" r="3810" b="0"/>
            <wp:docPr id="15438429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842905"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2977328" cy="9174772"/>
                    </a:xfrm>
                    <a:prstGeom prst="rect">
                      <a:avLst/>
                    </a:prstGeom>
                    <a:noFill/>
                    <a:ln>
                      <a:noFill/>
                    </a:ln>
                  </pic:spPr>
                </pic:pic>
              </a:graphicData>
            </a:graphic>
          </wp:inline>
        </w:drawing>
      </w:r>
    </w:p>
    <w:p w14:paraId="48F187A0">
      <w:pPr>
        <w:pStyle w:val="2"/>
        <w:ind w:left="226" w:leftChars="13" w:hanging="199" w:hangingChars="95"/>
        <w:jc w:val="left"/>
        <w:sectPr>
          <w:headerReference r:id="rId5" w:type="default"/>
          <w:pgSz w:w="23811" w:h="16838" w:orient="landscape"/>
          <w:pgMar w:top="1361" w:right="1701" w:bottom="1361" w:left="1474" w:header="851" w:footer="992" w:gutter="0"/>
          <w:cols w:space="425" w:num="1"/>
          <w:docGrid w:type="lines" w:linePitch="312" w:charSpace="0"/>
        </w:sectPr>
      </w:pPr>
    </w:p>
    <w:p w14:paraId="37D99A77">
      <w:r>
        <w:rPr>
          <w:lang w:bidi="zh-CN"/>
        </w:rPr>
        <w:drawing>
          <wp:inline distT="0" distB="0" distL="0" distR="0">
            <wp:extent cx="12843510" cy="9080500"/>
            <wp:effectExtent l="0" t="0" r="0" b="6350"/>
            <wp:docPr id="4369781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978171" name="图片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2852110" cy="9086245"/>
                    </a:xfrm>
                    <a:prstGeom prst="rect">
                      <a:avLst/>
                    </a:prstGeom>
                    <a:noFill/>
                    <a:ln>
                      <a:noFill/>
                    </a:ln>
                  </pic:spPr>
                </pic:pic>
              </a:graphicData>
            </a:graphic>
          </wp:inline>
        </w:drawing>
      </w:r>
    </w:p>
    <w:p w14:paraId="32079622">
      <w:pPr>
        <w:pStyle w:val="2"/>
        <w:ind w:left="226" w:leftChars="13" w:hanging="199" w:hangingChars="95"/>
        <w:jc w:val="left"/>
        <w:sectPr>
          <w:headerReference r:id="rId6" w:type="default"/>
          <w:pgSz w:w="23811" w:h="16838" w:orient="landscape"/>
          <w:pgMar w:top="1361" w:right="1701" w:bottom="1361" w:left="1474" w:header="851" w:footer="992" w:gutter="0"/>
          <w:cols w:space="425" w:num="1"/>
          <w:docGrid w:type="lines" w:linePitch="312" w:charSpace="0"/>
        </w:sectPr>
      </w:pPr>
    </w:p>
    <w:p w14:paraId="599ABD00">
      <w:r>
        <w:drawing>
          <wp:inline distT="0" distB="0" distL="0" distR="0">
            <wp:extent cx="12742545" cy="9004300"/>
            <wp:effectExtent l="0" t="0" r="1905" b="6350"/>
            <wp:docPr id="98540098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400989" name="图片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2753370" cy="9011630"/>
                    </a:xfrm>
                    <a:prstGeom prst="rect">
                      <a:avLst/>
                    </a:prstGeom>
                    <a:noFill/>
                  </pic:spPr>
                </pic:pic>
              </a:graphicData>
            </a:graphic>
          </wp:inline>
        </w:drawing>
      </w:r>
    </w:p>
    <w:p w14:paraId="20518277">
      <w:pPr>
        <w:pStyle w:val="2"/>
        <w:ind w:left="226" w:leftChars="13" w:hanging="199" w:hangingChars="95"/>
        <w:jc w:val="left"/>
        <w:sectPr>
          <w:headerReference r:id="rId7" w:type="default"/>
          <w:pgSz w:w="23811" w:h="16838" w:orient="landscape"/>
          <w:pgMar w:top="1361" w:right="1701" w:bottom="1361" w:left="1474" w:header="851" w:footer="992" w:gutter="0"/>
          <w:cols w:space="425" w:num="1"/>
          <w:docGrid w:type="lines" w:linePitch="312" w:charSpace="0"/>
        </w:sectPr>
      </w:pPr>
    </w:p>
    <w:p w14:paraId="5280095B">
      <w:r>
        <w:drawing>
          <wp:inline distT="0" distB="0" distL="0" distR="0">
            <wp:extent cx="12677775" cy="8966200"/>
            <wp:effectExtent l="0" t="0" r="9525"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685084" cy="8971192"/>
                    </a:xfrm>
                    <a:prstGeom prst="rect">
                      <a:avLst/>
                    </a:prstGeom>
                  </pic:spPr>
                </pic:pic>
              </a:graphicData>
            </a:graphic>
          </wp:inline>
        </w:drawing>
      </w:r>
    </w:p>
    <w:p w14:paraId="74ECEC73">
      <w:r>
        <w:rPr>
          <w:rFonts w:ascii="仿宋" w:hAnsi="仿宋" w:eastAsia="仿宋"/>
          <w:b/>
          <w:bCs/>
          <w:sz w:val="52"/>
          <w:szCs w:val="52"/>
        </w:rPr>
        <w:drawing>
          <wp:inline distT="0" distB="0" distL="0" distR="0">
            <wp:extent cx="12695555" cy="89789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711384" cy="8989792"/>
                    </a:xfrm>
                    <a:prstGeom prst="rect">
                      <a:avLst/>
                    </a:prstGeom>
                  </pic:spPr>
                </pic:pic>
              </a:graphicData>
            </a:graphic>
          </wp:inline>
        </w:drawing>
      </w:r>
    </w:p>
    <w:sectPr>
      <w:headerReference r:id="rId8" w:type="default"/>
      <w:pgSz w:w="23811" w:h="16838" w:orient="landscape"/>
      <w:pgMar w:top="1361" w:right="1701" w:bottom="1361"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ISOCT">
    <w:altName w:val="Segoe Print"/>
    <w:panose1 w:val="00000400000000000000"/>
    <w:charset w:val="00"/>
    <w:family w:val="auto"/>
    <w:pitch w:val="default"/>
    <w:sig w:usb0="00000000" w:usb1="00000000" w:usb2="00000000" w:usb3="00000000" w:csb0="0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63701">
    <w:pPr>
      <w:pStyle w:val="11"/>
      <w:jc w:val="right"/>
      <w:rPr>
        <w:rFonts w:hint="eastAsia" w:ascii="宋体" w:hAnsi="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5715" b="4445"/>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97985">
                          <w:pPr>
                            <w:pStyle w:val="11"/>
                            <w:jc w:val="right"/>
                            <w:rPr>
                              <w:sz w:val="15"/>
                              <w:szCs w:val="15"/>
                            </w:rPr>
                          </w:pPr>
                          <w:r>
                            <w:rPr>
                              <w:sz w:val="22"/>
                              <w:szCs w:val="22"/>
                            </w:rPr>
                            <w:t>—</w:t>
                          </w:r>
                          <w:r>
                            <w:rPr>
                              <w:sz w:val="22"/>
                              <w:szCs w:val="22"/>
                            </w:rPr>
                            <w:fldChar w:fldCharType="begin"/>
                          </w:r>
                          <w:r>
                            <w:rPr>
                              <w:sz w:val="22"/>
                              <w:szCs w:val="22"/>
                            </w:rPr>
                            <w:instrText xml:space="preserve">PAGE   \* MERGEFORMAT</w:instrText>
                          </w:r>
                          <w:r>
                            <w:rPr>
                              <w:sz w:val="22"/>
                              <w:szCs w:val="22"/>
                            </w:rPr>
                            <w:fldChar w:fldCharType="separate"/>
                          </w:r>
                          <w:r>
                            <w:rPr>
                              <w:sz w:val="22"/>
                              <w:szCs w:val="22"/>
                              <w:lang w:val="zh-CN"/>
                            </w:rPr>
                            <w:t>8</w:t>
                          </w:r>
                          <w:r>
                            <w:rPr>
                              <w:sz w:val="22"/>
                              <w:szCs w:val="22"/>
                            </w:rPr>
                            <w:fldChar w:fldCharType="end"/>
                          </w:r>
                          <w:r>
                            <w:rPr>
                              <w:sz w:val="22"/>
                              <w:szCs w:val="22"/>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60497985">
                    <w:pPr>
                      <w:pStyle w:val="11"/>
                      <w:jc w:val="right"/>
                      <w:rPr>
                        <w:sz w:val="15"/>
                        <w:szCs w:val="15"/>
                      </w:rPr>
                    </w:pPr>
                    <w:r>
                      <w:rPr>
                        <w:sz w:val="22"/>
                        <w:szCs w:val="22"/>
                      </w:rPr>
                      <w:t>—</w:t>
                    </w:r>
                    <w:r>
                      <w:rPr>
                        <w:sz w:val="22"/>
                        <w:szCs w:val="22"/>
                      </w:rPr>
                      <w:fldChar w:fldCharType="begin"/>
                    </w:r>
                    <w:r>
                      <w:rPr>
                        <w:sz w:val="22"/>
                        <w:szCs w:val="22"/>
                      </w:rPr>
                      <w:instrText xml:space="preserve">PAGE   \* MERGEFORMAT</w:instrText>
                    </w:r>
                    <w:r>
                      <w:rPr>
                        <w:sz w:val="22"/>
                        <w:szCs w:val="22"/>
                      </w:rPr>
                      <w:fldChar w:fldCharType="separate"/>
                    </w:r>
                    <w:r>
                      <w:rPr>
                        <w:sz w:val="22"/>
                        <w:szCs w:val="22"/>
                        <w:lang w:val="zh-CN"/>
                      </w:rPr>
                      <w:t>8</w:t>
                    </w:r>
                    <w:r>
                      <w:rPr>
                        <w:sz w:val="22"/>
                        <w:szCs w:val="22"/>
                      </w:rPr>
                      <w:fldChar w:fldCharType="end"/>
                    </w:r>
                    <w:r>
                      <w:rPr>
                        <w:sz w:val="22"/>
                        <w:szCs w:val="22"/>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1CBA9">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024FC">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F2268">
    <w:pPr>
      <w:pStyle w:val="12"/>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AAB84">
    <w:pPr>
      <w:pStyle w:val="1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C0F79">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7D22C0"/>
    <w:multiLevelType w:val="singleLevel"/>
    <w:tmpl w:val="147D22C0"/>
    <w:lvl w:ilvl="0" w:tentative="0">
      <w:start w:val="1"/>
      <w:numFmt w:val="decimal"/>
      <w:suff w:val="nothing"/>
      <w:lvlText w:val="%1．"/>
      <w:lvlJc w:val="left"/>
      <w:pPr>
        <w:ind w:left="0" w:firstLine="400"/>
      </w:pPr>
      <w:rPr>
        <w:rFonts w:hint="default"/>
      </w:rPr>
    </w:lvl>
  </w:abstractNum>
  <w:abstractNum w:abstractNumId="1">
    <w:nsid w:val="219E59A8"/>
    <w:multiLevelType w:val="singleLevel"/>
    <w:tmpl w:val="219E59A8"/>
    <w:lvl w:ilvl="0" w:tentative="0">
      <w:start w:val="1"/>
      <w:numFmt w:val="decimal"/>
      <w:suff w:val="nothing"/>
      <w:lvlText w:val="%1．"/>
      <w:lvlJc w:val="left"/>
      <w:pPr>
        <w:ind w:left="0" w:firstLine="400"/>
      </w:pPr>
      <w:rPr>
        <w:rFonts w:hint="default"/>
      </w:rPr>
    </w:lvl>
  </w:abstractNum>
  <w:abstractNum w:abstractNumId="2">
    <w:nsid w:val="78B30651"/>
    <w:multiLevelType w:val="singleLevel"/>
    <w:tmpl w:val="78B30651"/>
    <w:lvl w:ilvl="0" w:tentative="0">
      <w:start w:val="1"/>
      <w:numFmt w:val="decimal"/>
      <w:suff w:val="nothing"/>
      <w:lvlText w:val="%1．"/>
      <w:lvlJc w:val="left"/>
      <w:pPr>
        <w:ind w:left="0" w:firstLine="400"/>
      </w:pPr>
      <w:rPr>
        <w:rFonts w:hint="default"/>
      </w:rPr>
    </w:lvl>
  </w:abstractNum>
  <w:abstractNum w:abstractNumId="3">
    <w:nsid w:val="7AAFE10F"/>
    <w:multiLevelType w:val="singleLevel"/>
    <w:tmpl w:val="7AAFE10F"/>
    <w:lvl w:ilvl="0" w:tentative="0">
      <w:start w:val="1"/>
      <w:numFmt w:val="chineseCounting"/>
      <w:suff w:val="nothing"/>
      <w:lvlText w:val="%1、"/>
      <w:lvlJc w:val="left"/>
      <w:pPr>
        <w:ind w:left="-22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5ODUzNGE2YzgwMDNlMWE1MzRiNmY3YTUxMzVmMTIifQ=="/>
  </w:docVars>
  <w:rsids>
    <w:rsidRoot w:val="00172A27"/>
    <w:rsid w:val="00002415"/>
    <w:rsid w:val="000072AD"/>
    <w:rsid w:val="00020327"/>
    <w:rsid w:val="000222F3"/>
    <w:rsid w:val="00030CE1"/>
    <w:rsid w:val="000400AA"/>
    <w:rsid w:val="00063702"/>
    <w:rsid w:val="00072AD6"/>
    <w:rsid w:val="00095519"/>
    <w:rsid w:val="000B4F0E"/>
    <w:rsid w:val="000C6885"/>
    <w:rsid w:val="00103F98"/>
    <w:rsid w:val="00124C33"/>
    <w:rsid w:val="00125C66"/>
    <w:rsid w:val="0014671D"/>
    <w:rsid w:val="00172A27"/>
    <w:rsid w:val="00192367"/>
    <w:rsid w:val="0019327B"/>
    <w:rsid w:val="00196063"/>
    <w:rsid w:val="001A4F58"/>
    <w:rsid w:val="001B4FAE"/>
    <w:rsid w:val="001B666F"/>
    <w:rsid w:val="001B6962"/>
    <w:rsid w:val="001C3F19"/>
    <w:rsid w:val="001E3CBF"/>
    <w:rsid w:val="001F367E"/>
    <w:rsid w:val="00201495"/>
    <w:rsid w:val="00221C65"/>
    <w:rsid w:val="00225ECD"/>
    <w:rsid w:val="00263C87"/>
    <w:rsid w:val="00270433"/>
    <w:rsid w:val="0027768F"/>
    <w:rsid w:val="00287CB1"/>
    <w:rsid w:val="00292372"/>
    <w:rsid w:val="002C1B11"/>
    <w:rsid w:val="002C5ACC"/>
    <w:rsid w:val="002D6BDE"/>
    <w:rsid w:val="002F16BE"/>
    <w:rsid w:val="002F334D"/>
    <w:rsid w:val="00305CCF"/>
    <w:rsid w:val="003404F3"/>
    <w:rsid w:val="00363D28"/>
    <w:rsid w:val="003A3275"/>
    <w:rsid w:val="003E0A41"/>
    <w:rsid w:val="003E4A92"/>
    <w:rsid w:val="003E61FA"/>
    <w:rsid w:val="00404B0A"/>
    <w:rsid w:val="0040546F"/>
    <w:rsid w:val="00405F05"/>
    <w:rsid w:val="00414555"/>
    <w:rsid w:val="00414D14"/>
    <w:rsid w:val="00417C09"/>
    <w:rsid w:val="004425FD"/>
    <w:rsid w:val="0045255E"/>
    <w:rsid w:val="00464F53"/>
    <w:rsid w:val="004760DE"/>
    <w:rsid w:val="004A1ABF"/>
    <w:rsid w:val="004A79C7"/>
    <w:rsid w:val="004C0942"/>
    <w:rsid w:val="004C28DC"/>
    <w:rsid w:val="004D072D"/>
    <w:rsid w:val="005272A3"/>
    <w:rsid w:val="0052760B"/>
    <w:rsid w:val="005342DE"/>
    <w:rsid w:val="00541FFF"/>
    <w:rsid w:val="00551E4F"/>
    <w:rsid w:val="005F2FFB"/>
    <w:rsid w:val="00621E6F"/>
    <w:rsid w:val="006324C3"/>
    <w:rsid w:val="00634123"/>
    <w:rsid w:val="00637F7A"/>
    <w:rsid w:val="00640F19"/>
    <w:rsid w:val="00646003"/>
    <w:rsid w:val="00685A6F"/>
    <w:rsid w:val="00697215"/>
    <w:rsid w:val="006D0010"/>
    <w:rsid w:val="006D308B"/>
    <w:rsid w:val="006F46D0"/>
    <w:rsid w:val="006F5B58"/>
    <w:rsid w:val="0070591D"/>
    <w:rsid w:val="00706179"/>
    <w:rsid w:val="00712CD6"/>
    <w:rsid w:val="00717E59"/>
    <w:rsid w:val="0072530E"/>
    <w:rsid w:val="00726F80"/>
    <w:rsid w:val="00751F47"/>
    <w:rsid w:val="00751FC0"/>
    <w:rsid w:val="00793716"/>
    <w:rsid w:val="007B24BC"/>
    <w:rsid w:val="007C58E4"/>
    <w:rsid w:val="007D5476"/>
    <w:rsid w:val="007D7BDC"/>
    <w:rsid w:val="007E23B3"/>
    <w:rsid w:val="007F5CA3"/>
    <w:rsid w:val="0080179C"/>
    <w:rsid w:val="0081782E"/>
    <w:rsid w:val="00825F47"/>
    <w:rsid w:val="00846FE8"/>
    <w:rsid w:val="0087211B"/>
    <w:rsid w:val="008B42A7"/>
    <w:rsid w:val="008D282E"/>
    <w:rsid w:val="008E72B8"/>
    <w:rsid w:val="00912FB4"/>
    <w:rsid w:val="00917658"/>
    <w:rsid w:val="00922ACF"/>
    <w:rsid w:val="0094781F"/>
    <w:rsid w:val="00964425"/>
    <w:rsid w:val="00966FC7"/>
    <w:rsid w:val="0098016C"/>
    <w:rsid w:val="00995B5D"/>
    <w:rsid w:val="009A7086"/>
    <w:rsid w:val="009E562E"/>
    <w:rsid w:val="009F0140"/>
    <w:rsid w:val="00A01BC4"/>
    <w:rsid w:val="00A01DC4"/>
    <w:rsid w:val="00A25FF7"/>
    <w:rsid w:val="00A272CF"/>
    <w:rsid w:val="00A53421"/>
    <w:rsid w:val="00A534C3"/>
    <w:rsid w:val="00A56A12"/>
    <w:rsid w:val="00A7193B"/>
    <w:rsid w:val="00A725AC"/>
    <w:rsid w:val="00A83E5B"/>
    <w:rsid w:val="00A92C4A"/>
    <w:rsid w:val="00A949C4"/>
    <w:rsid w:val="00A954C3"/>
    <w:rsid w:val="00AB22BE"/>
    <w:rsid w:val="00AC264E"/>
    <w:rsid w:val="00AC6F29"/>
    <w:rsid w:val="00AD24C7"/>
    <w:rsid w:val="00AE0051"/>
    <w:rsid w:val="00AE5474"/>
    <w:rsid w:val="00B06269"/>
    <w:rsid w:val="00B14447"/>
    <w:rsid w:val="00B25FE8"/>
    <w:rsid w:val="00B40928"/>
    <w:rsid w:val="00B420E0"/>
    <w:rsid w:val="00B5546D"/>
    <w:rsid w:val="00B778BA"/>
    <w:rsid w:val="00B8624C"/>
    <w:rsid w:val="00B95682"/>
    <w:rsid w:val="00BB3E2F"/>
    <w:rsid w:val="00BB73BB"/>
    <w:rsid w:val="00BC5B5B"/>
    <w:rsid w:val="00BD191B"/>
    <w:rsid w:val="00BF0DFE"/>
    <w:rsid w:val="00BF4FBC"/>
    <w:rsid w:val="00BF5066"/>
    <w:rsid w:val="00C1251E"/>
    <w:rsid w:val="00C12E1A"/>
    <w:rsid w:val="00C22850"/>
    <w:rsid w:val="00C31F9F"/>
    <w:rsid w:val="00C45AF8"/>
    <w:rsid w:val="00C65FCD"/>
    <w:rsid w:val="00C70AA4"/>
    <w:rsid w:val="00C74ED3"/>
    <w:rsid w:val="00CC35DF"/>
    <w:rsid w:val="00CD629E"/>
    <w:rsid w:val="00CF5F10"/>
    <w:rsid w:val="00CF642C"/>
    <w:rsid w:val="00D0242F"/>
    <w:rsid w:val="00D21DEA"/>
    <w:rsid w:val="00D47EC5"/>
    <w:rsid w:val="00D5072F"/>
    <w:rsid w:val="00D6449D"/>
    <w:rsid w:val="00D66206"/>
    <w:rsid w:val="00D708A0"/>
    <w:rsid w:val="00D7616A"/>
    <w:rsid w:val="00D93C0F"/>
    <w:rsid w:val="00D97595"/>
    <w:rsid w:val="00DA42B4"/>
    <w:rsid w:val="00DD018D"/>
    <w:rsid w:val="00DD7E70"/>
    <w:rsid w:val="00DE3FFC"/>
    <w:rsid w:val="00E206D8"/>
    <w:rsid w:val="00E3129A"/>
    <w:rsid w:val="00E52705"/>
    <w:rsid w:val="00E52BBE"/>
    <w:rsid w:val="00E678F0"/>
    <w:rsid w:val="00E72794"/>
    <w:rsid w:val="00E820D3"/>
    <w:rsid w:val="00EA728A"/>
    <w:rsid w:val="00F07E4D"/>
    <w:rsid w:val="00F1066E"/>
    <w:rsid w:val="00F229A0"/>
    <w:rsid w:val="00F274AE"/>
    <w:rsid w:val="00F5275D"/>
    <w:rsid w:val="00F73054"/>
    <w:rsid w:val="00F915BB"/>
    <w:rsid w:val="00FB1B86"/>
    <w:rsid w:val="00FB699A"/>
    <w:rsid w:val="00FD5D48"/>
    <w:rsid w:val="00FD756A"/>
    <w:rsid w:val="00FE7622"/>
    <w:rsid w:val="00FF5718"/>
    <w:rsid w:val="0C232EC3"/>
    <w:rsid w:val="14242793"/>
    <w:rsid w:val="150F2B80"/>
    <w:rsid w:val="159864EB"/>
    <w:rsid w:val="187C2FD1"/>
    <w:rsid w:val="18831CFF"/>
    <w:rsid w:val="18B73B2E"/>
    <w:rsid w:val="1D281389"/>
    <w:rsid w:val="24016EB7"/>
    <w:rsid w:val="25FF1B34"/>
    <w:rsid w:val="27657B11"/>
    <w:rsid w:val="28693CD9"/>
    <w:rsid w:val="28795BCE"/>
    <w:rsid w:val="2A883B46"/>
    <w:rsid w:val="2AC67422"/>
    <w:rsid w:val="2B3E3722"/>
    <w:rsid w:val="2C52347D"/>
    <w:rsid w:val="35A3750F"/>
    <w:rsid w:val="3F6E5909"/>
    <w:rsid w:val="41713B1F"/>
    <w:rsid w:val="429709CE"/>
    <w:rsid w:val="43F064ED"/>
    <w:rsid w:val="452B6EA7"/>
    <w:rsid w:val="4A2837F2"/>
    <w:rsid w:val="4D7D4F9F"/>
    <w:rsid w:val="54E21637"/>
    <w:rsid w:val="58DC3983"/>
    <w:rsid w:val="5AB7285C"/>
    <w:rsid w:val="5B646A6B"/>
    <w:rsid w:val="5CD43155"/>
    <w:rsid w:val="5D0B433F"/>
    <w:rsid w:val="601C02F3"/>
    <w:rsid w:val="68354DAA"/>
    <w:rsid w:val="695C089D"/>
    <w:rsid w:val="7A195361"/>
    <w:rsid w:val="7EC746F5"/>
    <w:rsid w:val="7FA17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spacing w:before="100" w:beforeAutospacing="1" w:after="100" w:afterAutospacing="1"/>
      <w:jc w:val="left"/>
      <w:outlineLvl w:val="0"/>
    </w:pPr>
    <w:rPr>
      <w:rFonts w:hint="eastAsia" w:ascii="宋体" w:hAnsi="宋体"/>
      <w:b/>
      <w:bCs/>
      <w:kern w:val="44"/>
      <w:sz w:val="48"/>
      <w:szCs w:val="48"/>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7">
    <w:name w:val="Default Paragraph Font"/>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7">
    <w:name w:val="Normal Indent"/>
    <w:basedOn w:val="1"/>
    <w:autoRedefine/>
    <w:qFormat/>
    <w:uiPriority w:val="0"/>
    <w:pPr>
      <w:spacing w:line="360" w:lineRule="auto"/>
      <w:ind w:firstLine="420"/>
    </w:pPr>
    <w:rPr>
      <w:sz w:val="24"/>
      <w:szCs w:val="21"/>
    </w:rPr>
  </w:style>
  <w:style w:type="paragraph" w:styleId="8">
    <w:name w:val="Body Text"/>
    <w:basedOn w:val="1"/>
    <w:next w:val="1"/>
    <w:autoRedefine/>
    <w:qFormat/>
    <w:uiPriority w:val="99"/>
    <w:rPr>
      <w:sz w:val="28"/>
      <w:szCs w:val="28"/>
    </w:rPr>
  </w:style>
  <w:style w:type="paragraph" w:styleId="9">
    <w:name w:val="Plain Text"/>
    <w:basedOn w:val="1"/>
    <w:autoRedefine/>
    <w:qFormat/>
    <w:uiPriority w:val="0"/>
    <w:rPr>
      <w:rFonts w:ascii="宋体" w:hAnsi="ISOCT"/>
    </w:rPr>
  </w:style>
  <w:style w:type="paragraph" w:styleId="10">
    <w:name w:val="Balloon Text"/>
    <w:basedOn w:val="1"/>
    <w:autoRedefine/>
    <w:qFormat/>
    <w:uiPriority w:val="0"/>
    <w:rPr>
      <w:sz w:val="18"/>
      <w:szCs w:val="18"/>
    </w:rPr>
  </w:style>
  <w:style w:type="paragraph" w:styleId="11">
    <w:name w:val="footer"/>
    <w:basedOn w:val="1"/>
    <w:link w:val="21"/>
    <w:autoRedefine/>
    <w:qFormat/>
    <w:uiPriority w:val="99"/>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autoRedefine/>
    <w:qFormat/>
    <w:uiPriority w:val="0"/>
    <w:pPr>
      <w:spacing w:after="120"/>
      <w:ind w:left="420" w:leftChars="200"/>
    </w:pPr>
    <w:rPr>
      <w:sz w:val="16"/>
      <w:szCs w:val="16"/>
    </w:rPr>
  </w:style>
  <w:style w:type="paragraph" w:styleId="14">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table" w:styleId="16">
    <w:name w:val="Table Grid"/>
    <w:basedOn w:val="15"/>
    <w:autoRedefine/>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autoRedefine/>
    <w:qFormat/>
    <w:uiPriority w:val="0"/>
  </w:style>
  <w:style w:type="character" w:styleId="19">
    <w:name w:val="Emphasis"/>
    <w:autoRedefine/>
    <w:qFormat/>
    <w:uiPriority w:val="20"/>
    <w:rPr>
      <w:i/>
    </w:rPr>
  </w:style>
  <w:style w:type="character" w:styleId="20">
    <w:name w:val="Hyperlink"/>
    <w:autoRedefine/>
    <w:unhideWhenUsed/>
    <w:qFormat/>
    <w:uiPriority w:val="99"/>
    <w:rPr>
      <w:color w:val="0000FF"/>
      <w:u w:val="single"/>
    </w:rPr>
  </w:style>
  <w:style w:type="character" w:customStyle="1" w:styleId="21">
    <w:name w:val="页脚 字符"/>
    <w:link w:val="11"/>
    <w:autoRedefine/>
    <w:qFormat/>
    <w:uiPriority w:val="99"/>
    <w:rPr>
      <w:kern w:val="2"/>
      <w:sz w:val="18"/>
      <w:szCs w:val="18"/>
    </w:rPr>
  </w:style>
  <w:style w:type="paragraph" w:styleId="22">
    <w:name w:val="List Paragraph"/>
    <w:basedOn w:val="1"/>
    <w:autoRedefine/>
    <w:qFormat/>
    <w:uiPriority w:val="0"/>
    <w:pPr>
      <w:ind w:firstLine="420" w:firstLineChars="200"/>
    </w:pPr>
  </w:style>
  <w:style w:type="paragraph" w:customStyle="1" w:styleId="23">
    <w:name w:val="0正文"/>
    <w:basedOn w:val="1"/>
    <w:link w:val="24"/>
    <w:qFormat/>
    <w:uiPriority w:val="0"/>
    <w:pPr>
      <w:spacing w:line="360" w:lineRule="auto"/>
      <w:ind w:firstLine="480" w:firstLineChars="200"/>
    </w:pPr>
    <w:rPr>
      <w:rFonts w:ascii="仿宋_GB2312" w:hAnsi="微软雅黑" w:eastAsia="仿宋_GB2312" w:cstheme="minorBidi"/>
      <w:sz w:val="24"/>
      <w:lang w:val="zh-CN" w:bidi="zh-CN"/>
    </w:rPr>
  </w:style>
  <w:style w:type="character" w:customStyle="1" w:styleId="24">
    <w:name w:val="0正文 字符"/>
    <w:basedOn w:val="17"/>
    <w:link w:val="23"/>
    <w:qFormat/>
    <w:uiPriority w:val="0"/>
    <w:rPr>
      <w:rFonts w:ascii="仿宋_GB2312" w:hAnsi="微软雅黑" w:eastAsia="仿宋_GB2312" w:cstheme="minorBidi"/>
      <w:kern w:val="2"/>
      <w:sz w:val="24"/>
      <w:szCs w:val="24"/>
      <w:lang w:val="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2DD7B6-45D1-4743-844F-E9E827E374F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5657</Words>
  <Characters>5835</Characters>
  <Lines>368</Lines>
  <Paragraphs>380</Paragraphs>
  <TotalTime>42</TotalTime>
  <ScaleCrop>false</ScaleCrop>
  <LinksUpToDate>false</LinksUpToDate>
  <CharactersWithSpaces>5847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2025-07-22T03:37:00Z</dcterms:created>
  <dc:creator>微软用户</dc:creator>
  <cp:lastModifiedBy>WPS_1650676078</cp:lastModifiedBy>
  <cp:lastPrinted>2025-01-20T10:43:00Z</cp:lastPrinted>
  <dcterms:modified xsi:type="dcterms:W3CDTF">2025-07-22T08:27:31Z</dcterms:modified>
  <dc:title>四川省攀枝花市丽攀高速公路瓜子坪和高粱坪出入口控制性详细规划及城市设计简介</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914470ECE2444120944D28457472DBBB_13</vt:lpwstr>
  </property>
  <property fmtid="{D5CDD505-2E9C-101B-9397-08002B2CF9AE}" pid="4" name="commondata">
    <vt:lpwstr>eyJoZGlkIjoiOTE5YTBkYWQ0NDFhYmFhZGFkYTIzYWVmMGY3ZTIxZWIifQ==</vt:lpwstr>
  </property>
  <property fmtid="{D5CDD505-2E9C-101B-9397-08002B2CF9AE}" pid="5" name="KSOTemplateDocerSaveRecord">
    <vt:lpwstr>eyJoZGlkIjoiZDg0NDNiYTUxOWU4N2FhYTE5YTc3OTM5YzA0NWVjYWEiLCJ1c2VySWQiOiIxMzY3NTIyMzE2In0=</vt:lpwstr>
  </property>
</Properties>
</file>