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606240">
      <w:pPr>
        <w:spacing w:line="560" w:lineRule="exact"/>
        <w:jc w:val="center"/>
        <w:outlineLvl w:val="0"/>
        <w:rPr>
          <w:rFonts w:ascii="方正小标宋_GBK" w:eastAsia="方正小标宋_GBK"/>
          <w:b/>
          <w:bCs/>
          <w:sz w:val="44"/>
          <w:szCs w:val="44"/>
        </w:rPr>
      </w:pPr>
      <w:bookmarkStart w:id="0" w:name="_Hlk136613650"/>
      <w:r>
        <w:rPr>
          <w:rFonts w:hint="eastAsia" w:ascii="方正小标宋_GBK" w:eastAsia="方正小标宋_GBK"/>
          <w:b/>
          <w:bCs/>
          <w:sz w:val="44"/>
          <w:szCs w:val="44"/>
        </w:rPr>
        <w:t>盐边县红格镇红格村级片区国土空间规划（2024-2035）规划简介</w:t>
      </w:r>
    </w:p>
    <w:p w14:paraId="42A605C5">
      <w:pPr>
        <w:spacing w:line="560" w:lineRule="exact"/>
        <w:jc w:val="center"/>
        <w:rPr>
          <w:rFonts w:ascii="方正小标宋_GBK" w:eastAsia="方正小标宋_GBK"/>
          <w:b/>
          <w:bCs/>
          <w:sz w:val="44"/>
          <w:szCs w:val="44"/>
        </w:rPr>
      </w:pPr>
    </w:p>
    <w:bookmarkEnd w:id="0"/>
    <w:p w14:paraId="76382C35">
      <w:pPr>
        <w:numPr>
          <w:ilvl w:val="0"/>
          <w:numId w:val="1"/>
        </w:numPr>
        <w:spacing w:line="280" w:lineRule="exact"/>
        <w:ind w:firstLine="640"/>
        <w:outlineLvl w:val="0"/>
        <w:rPr>
          <w:rFonts w:eastAsia="黑体"/>
          <w:bCs/>
          <w:sz w:val="22"/>
          <w:szCs w:val="22"/>
        </w:rPr>
        <w:sectPr>
          <w:headerReference r:id="rId3" w:type="default"/>
          <w:footerReference r:id="rId4" w:type="default"/>
          <w:type w:val="continuous"/>
          <w:pgSz w:w="23811" w:h="16838" w:orient="landscape"/>
          <w:pgMar w:top="1134" w:right="1134" w:bottom="1134" w:left="1134" w:header="851" w:footer="992" w:gutter="0"/>
          <w:cols w:space="425" w:num="1"/>
          <w:docGrid w:type="lines" w:linePitch="312" w:charSpace="0"/>
        </w:sectPr>
      </w:pPr>
    </w:p>
    <w:p w14:paraId="6404DEB2">
      <w:pPr>
        <w:numPr>
          <w:ilvl w:val="0"/>
          <w:numId w:val="1"/>
        </w:numPr>
        <w:spacing w:before="62" w:beforeLines="20" w:after="62" w:afterLines="20" w:line="264" w:lineRule="auto"/>
        <w:ind w:firstLine="640"/>
        <w:outlineLvl w:val="0"/>
        <w:rPr>
          <w:rFonts w:eastAsia="黑体"/>
          <w:bCs/>
          <w:sz w:val="22"/>
          <w:szCs w:val="22"/>
        </w:rPr>
      </w:pPr>
      <w:r>
        <w:rPr>
          <w:rFonts w:eastAsia="黑体"/>
          <w:bCs/>
          <w:sz w:val="22"/>
          <w:szCs w:val="22"/>
        </w:rPr>
        <w:t>规划范围及位置</w:t>
      </w:r>
    </w:p>
    <w:p w14:paraId="2828A532">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本次规划范围为攀枝花市盐边县红格镇红格村、昔格达村两个村，规划区面积</w:t>
      </w:r>
      <w:r>
        <w:rPr>
          <w:rFonts w:hint="eastAsia" w:eastAsiaTheme="minorEastAsia"/>
          <w:sz w:val="22"/>
          <w:szCs w:val="22"/>
        </w:rPr>
        <w:t>63.76</w:t>
      </w:r>
      <w:r>
        <w:rPr>
          <w:rFonts w:hint="eastAsia" w:eastAsia="仿宋_GB2312"/>
          <w:sz w:val="22"/>
          <w:szCs w:val="22"/>
        </w:rPr>
        <w:t>平方公里</w:t>
      </w:r>
      <w:r>
        <w:rPr>
          <w:rFonts w:hint="eastAsia" w:asciiTheme="minorEastAsia" w:hAnsiTheme="minorEastAsia" w:eastAsiaTheme="minorEastAsia"/>
          <w:sz w:val="22"/>
          <w:szCs w:val="22"/>
        </w:rPr>
        <w:t>；</w:t>
      </w:r>
      <w:r>
        <w:rPr>
          <w:rFonts w:hint="eastAsia" w:eastAsia="仿宋_GB2312"/>
          <w:sz w:val="22"/>
          <w:szCs w:val="22"/>
        </w:rPr>
        <w:t>其中</w:t>
      </w:r>
      <w:bookmarkStart w:id="1" w:name="_Hlk188292253"/>
      <w:r>
        <w:rPr>
          <w:rFonts w:hint="eastAsia" w:eastAsia="仿宋_GB2312"/>
          <w:sz w:val="22"/>
          <w:szCs w:val="22"/>
        </w:rPr>
        <w:t>红格村为中心村</w:t>
      </w:r>
      <w:r>
        <w:rPr>
          <w:rFonts w:hint="eastAsia" w:asciiTheme="minorEastAsia" w:hAnsiTheme="minorEastAsia" w:eastAsiaTheme="minorEastAsia"/>
          <w:sz w:val="22"/>
          <w:szCs w:val="22"/>
        </w:rPr>
        <w:t>，</w:t>
      </w:r>
      <w:r>
        <w:rPr>
          <w:rFonts w:hint="eastAsia" w:eastAsia="仿宋_GB2312"/>
          <w:sz w:val="22"/>
          <w:szCs w:val="22"/>
        </w:rPr>
        <w:t>昔格达村为一般村</w:t>
      </w:r>
      <w:bookmarkEnd w:id="1"/>
      <w:r>
        <w:rPr>
          <w:rFonts w:hint="eastAsia" w:eastAsia="仿宋_GB2312"/>
          <w:sz w:val="22"/>
          <w:szCs w:val="22"/>
        </w:rPr>
        <w:t>。区位于盐边县南端，红格镇东北处，东侧与会理市接壤，北侧与新九镇</w:t>
      </w:r>
      <w:r>
        <w:rPr>
          <w:rFonts w:hint="eastAsia" w:eastAsia="仿宋_GB2312"/>
          <w:sz w:val="22"/>
          <w:szCs w:val="22"/>
          <w:lang w:eastAsia="zh-CN"/>
        </w:rPr>
        <w:t>交界</w:t>
      </w:r>
      <w:r>
        <w:rPr>
          <w:rFonts w:hint="eastAsia" w:eastAsia="仿宋_GB2312"/>
          <w:sz w:val="22"/>
          <w:szCs w:val="22"/>
        </w:rPr>
        <w:t>，西侧与红格镇新民村、益民村、永渔村毗邻，南与北与新隆村、金沙村</w:t>
      </w:r>
      <w:bookmarkStart w:id="21" w:name="_GoBack"/>
      <w:r>
        <w:rPr>
          <w:rFonts w:hint="eastAsia" w:eastAsia="仿宋_GB2312"/>
          <w:sz w:val="22"/>
          <w:szCs w:val="22"/>
        </w:rPr>
        <w:t>、和</w:t>
      </w:r>
      <w:bookmarkEnd w:id="21"/>
      <w:r>
        <w:rPr>
          <w:rFonts w:hint="eastAsia" w:eastAsia="仿宋_GB2312"/>
          <w:sz w:val="22"/>
          <w:szCs w:val="22"/>
        </w:rPr>
        <w:t>爱村相邻。地位于攀枝花市盐边县红格国际运动康养度假区，位于红格镇核心区，IP发展前景较好。同时，对外交通十分便捷，紧邻G5京昆高速新九出入口与G4216蓉丽高速和爱出入口。国道 G353线横穿片区，连接攀枝花市与会理市，交通区位好。省道S310与S218纵横贯穿；与攀枝花市、盐边县40分钟可达，与会理市1小时可达，交通区位优势十分突出。</w:t>
      </w:r>
    </w:p>
    <w:p w14:paraId="1823A205">
      <w:pPr>
        <w:numPr>
          <w:ilvl w:val="0"/>
          <w:numId w:val="1"/>
        </w:numPr>
        <w:spacing w:before="62" w:beforeLines="20" w:after="62" w:afterLines="20" w:line="264" w:lineRule="auto"/>
        <w:ind w:firstLine="640"/>
        <w:outlineLvl w:val="0"/>
        <w:rPr>
          <w:rFonts w:eastAsia="黑体"/>
          <w:bCs/>
          <w:sz w:val="22"/>
          <w:szCs w:val="22"/>
        </w:rPr>
      </w:pPr>
      <w:r>
        <w:rPr>
          <w:rFonts w:hint="eastAsia" w:eastAsia="黑体"/>
          <w:bCs/>
          <w:sz w:val="22"/>
          <w:szCs w:val="22"/>
        </w:rPr>
        <w:t>规划期限</w:t>
      </w:r>
    </w:p>
    <w:p w14:paraId="2A0B62B9">
      <w:pPr>
        <w:spacing w:before="62" w:beforeLines="20" w:after="62" w:afterLines="20" w:line="264" w:lineRule="auto"/>
        <w:ind w:firstLine="440" w:firstLineChars="200"/>
        <w:rPr>
          <w:rFonts w:eastAsiaTheme="minorEastAsia"/>
          <w:sz w:val="22"/>
          <w:szCs w:val="22"/>
        </w:rPr>
      </w:pPr>
      <w:r>
        <w:rPr>
          <w:rFonts w:hint="eastAsia" w:eastAsia="仿宋_GB2312"/>
          <w:sz w:val="22"/>
          <w:szCs w:val="22"/>
        </w:rPr>
        <w:t>规划基期年为2023年，期限为2024</w:t>
      </w:r>
      <w:r>
        <w:rPr>
          <w:rFonts w:hint="eastAsia" w:eastAsia="仿宋_GB2312"/>
          <w:sz w:val="22"/>
          <w:szCs w:val="22"/>
          <w:lang w:eastAsia="zh-CN"/>
        </w:rPr>
        <w:t>—</w:t>
      </w:r>
      <w:r>
        <w:rPr>
          <w:rFonts w:hint="eastAsia" w:eastAsia="仿宋_GB2312"/>
          <w:sz w:val="22"/>
          <w:szCs w:val="22"/>
        </w:rPr>
        <w:t>2035年，近期至2025年</w:t>
      </w:r>
      <w:r>
        <w:rPr>
          <w:rFonts w:hint="eastAsia" w:asciiTheme="minorEastAsia" w:hAnsiTheme="minorEastAsia" w:eastAsiaTheme="minorEastAsia"/>
          <w:sz w:val="22"/>
          <w:szCs w:val="22"/>
        </w:rPr>
        <w:t>，中期至</w:t>
      </w:r>
      <w:r>
        <w:rPr>
          <w:rFonts w:hint="eastAsia" w:eastAsiaTheme="minorEastAsia"/>
          <w:sz w:val="22"/>
          <w:szCs w:val="22"/>
        </w:rPr>
        <w:t>2030年，远期至2035年。</w:t>
      </w:r>
    </w:p>
    <w:p w14:paraId="11D722EF">
      <w:pPr>
        <w:numPr>
          <w:ilvl w:val="0"/>
          <w:numId w:val="1"/>
        </w:numPr>
        <w:spacing w:before="62" w:beforeLines="20" w:after="62" w:afterLines="20" w:line="264" w:lineRule="auto"/>
        <w:ind w:firstLine="640"/>
        <w:outlineLvl w:val="0"/>
        <w:rPr>
          <w:rFonts w:eastAsia="黑体"/>
          <w:bCs/>
          <w:sz w:val="22"/>
          <w:szCs w:val="22"/>
        </w:rPr>
      </w:pPr>
      <w:bookmarkStart w:id="2" w:name="OLE_LINK29"/>
      <w:r>
        <w:rPr>
          <w:rFonts w:hint="eastAsia" w:eastAsia="黑体"/>
          <w:bCs/>
          <w:sz w:val="22"/>
          <w:szCs w:val="22"/>
        </w:rPr>
        <w:t>规划定位</w:t>
      </w:r>
    </w:p>
    <w:p w14:paraId="0563E87E">
      <w:pPr>
        <w:pStyle w:val="14"/>
        <w:spacing w:before="62" w:beforeLines="20" w:beforeAutospacing="0" w:after="62" w:afterLines="20" w:afterAutospacing="0" w:line="264" w:lineRule="auto"/>
        <w:ind w:firstLine="440" w:firstLineChars="200"/>
        <w:jc w:val="both"/>
        <w:rPr>
          <w:rFonts w:ascii="Times New Roman" w:hAnsi="Times New Roman" w:eastAsia="仿宋_GB2312" w:cs="Times New Roman"/>
          <w:kern w:val="2"/>
          <w:sz w:val="22"/>
          <w:szCs w:val="22"/>
        </w:rPr>
      </w:pPr>
      <w:r>
        <w:rPr>
          <w:rFonts w:hint="eastAsia" w:ascii="Times New Roman" w:hAnsi="Times New Roman" w:eastAsia="仿宋_GB2312" w:cs="Times New Roman"/>
          <w:kern w:val="2"/>
          <w:sz w:val="22"/>
          <w:szCs w:val="22"/>
        </w:rPr>
        <w:t>发展目标：</w:t>
      </w:r>
      <w:bookmarkStart w:id="3" w:name="OLE_LINK1"/>
      <w:r>
        <w:rPr>
          <w:rFonts w:hint="eastAsia" w:ascii="Times New Roman" w:hAnsi="Times New Roman" w:eastAsia="仿宋_GB2312" w:cs="Times New Roman"/>
          <w:kern w:val="2"/>
          <w:sz w:val="22"/>
          <w:szCs w:val="22"/>
        </w:rPr>
        <w:t>城郊农旅融合发展示范点   产城乡共富试验样板间</w:t>
      </w:r>
    </w:p>
    <w:p w14:paraId="797E1F6D">
      <w:pPr>
        <w:pStyle w:val="14"/>
        <w:spacing w:before="62" w:beforeLines="20" w:beforeAutospacing="0" w:after="62" w:afterLines="20" w:afterAutospacing="0" w:line="264" w:lineRule="auto"/>
        <w:ind w:firstLine="440" w:firstLineChars="200"/>
        <w:jc w:val="both"/>
        <w:rPr>
          <w:rFonts w:ascii="Times New Roman" w:hAnsi="Times New Roman" w:eastAsia="仿宋_GB2312" w:cs="Times New Roman"/>
          <w:kern w:val="2"/>
          <w:sz w:val="22"/>
          <w:szCs w:val="22"/>
        </w:rPr>
      </w:pPr>
      <w:r>
        <w:rPr>
          <w:rFonts w:hint="eastAsia" w:ascii="Times New Roman" w:hAnsi="Times New Roman" w:eastAsia="仿宋_GB2312" w:cs="Times New Roman"/>
          <w:kern w:val="2"/>
          <w:sz w:val="22"/>
          <w:szCs w:val="22"/>
        </w:rPr>
        <w:t>功能定位：</w:t>
      </w:r>
      <w:bookmarkStart w:id="4" w:name="OLE_LINK4"/>
      <w:r>
        <w:rPr>
          <w:rFonts w:hint="eastAsia" w:ascii="Times New Roman" w:hAnsi="Times New Roman" w:eastAsia="仿宋_GB2312" w:cs="Times New Roman"/>
          <w:kern w:val="2"/>
          <w:sz w:val="22"/>
          <w:szCs w:val="22"/>
        </w:rPr>
        <w:t>高品质特色温泉康养产业集群、近郊精品蔬果科技赋能示范集群、和美乡村先富带动共富建设示范集群。</w:t>
      </w:r>
      <w:bookmarkEnd w:id="4"/>
    </w:p>
    <w:p w14:paraId="3092EBFA">
      <w:pPr>
        <w:spacing w:before="62" w:beforeLines="20" w:after="62" w:afterLines="20" w:line="264" w:lineRule="auto"/>
        <w:ind w:firstLine="440" w:firstLineChars="200"/>
        <w:rPr>
          <w:rFonts w:eastAsia="仿宋_GB2312"/>
          <w:sz w:val="22"/>
          <w:szCs w:val="22"/>
        </w:rPr>
      </w:pPr>
      <w:r>
        <w:rPr>
          <w:rFonts w:hint="eastAsia" w:eastAsia="仿宋_GB2312"/>
          <w:sz w:val="22"/>
          <w:szCs w:val="22"/>
        </w:rPr>
        <w:t>形象定位：特色康养共富核心  精品蔬果农旅智谷。</w:t>
      </w:r>
    </w:p>
    <w:bookmarkEnd w:id="3"/>
    <w:p w14:paraId="64DAF00E">
      <w:pPr>
        <w:numPr>
          <w:ilvl w:val="0"/>
          <w:numId w:val="1"/>
        </w:numPr>
        <w:spacing w:before="62" w:beforeLines="20" w:after="62" w:afterLines="20" w:line="264" w:lineRule="auto"/>
        <w:ind w:firstLine="640"/>
        <w:outlineLvl w:val="0"/>
        <w:rPr>
          <w:rFonts w:eastAsia="黑体"/>
          <w:bCs/>
          <w:sz w:val="22"/>
          <w:szCs w:val="22"/>
        </w:rPr>
      </w:pPr>
      <w:r>
        <w:rPr>
          <w:rFonts w:hint="eastAsia" w:eastAsia="黑体"/>
          <w:bCs/>
          <w:sz w:val="22"/>
          <w:szCs w:val="22"/>
        </w:rPr>
        <w:t>规划策略</w:t>
      </w:r>
    </w:p>
    <w:p w14:paraId="3A749F0B">
      <w:pPr>
        <w:spacing w:before="62" w:beforeLines="20" w:after="62" w:afterLines="20" w:line="264" w:lineRule="auto"/>
        <w:ind w:left="640"/>
        <w:rPr>
          <w:rFonts w:hint="eastAsia" w:ascii="楷体" w:hAnsi="楷体" w:eastAsia="楷体" w:cs="楷体"/>
          <w:sz w:val="22"/>
          <w:szCs w:val="22"/>
        </w:rPr>
      </w:pPr>
      <w:bookmarkStart w:id="5" w:name="_Hlk136612254"/>
      <w:r>
        <w:rPr>
          <w:rFonts w:hint="eastAsia" w:ascii="楷体" w:hAnsi="楷体" w:eastAsia="楷体" w:cs="楷体"/>
          <w:sz w:val="22"/>
          <w:szCs w:val="22"/>
          <w:lang w:eastAsia="zh-CN"/>
        </w:rPr>
        <w:t>（</w:t>
      </w:r>
      <w:r>
        <w:rPr>
          <w:rFonts w:hint="eastAsia" w:ascii="楷体" w:hAnsi="楷体" w:eastAsia="楷体" w:cs="楷体"/>
          <w:sz w:val="22"/>
          <w:szCs w:val="22"/>
        </w:rPr>
        <w:t>一</w:t>
      </w:r>
      <w:r>
        <w:rPr>
          <w:rFonts w:hint="eastAsia" w:ascii="楷体" w:hAnsi="楷体" w:eastAsia="楷体" w:cs="楷体"/>
          <w:sz w:val="22"/>
          <w:szCs w:val="22"/>
          <w:lang w:eastAsia="zh-CN"/>
        </w:rPr>
        <w:t>）</w:t>
      </w:r>
      <w:r>
        <w:rPr>
          <w:rFonts w:hint="eastAsia" w:ascii="楷体" w:hAnsi="楷体" w:eastAsia="楷体" w:cs="楷体"/>
          <w:sz w:val="22"/>
          <w:szCs w:val="22"/>
        </w:rPr>
        <w:tab/>
      </w:r>
      <w:r>
        <w:rPr>
          <w:rFonts w:hint="eastAsia" w:ascii="楷体" w:hAnsi="楷体" w:eastAsia="楷体" w:cs="楷体"/>
          <w:sz w:val="22"/>
          <w:szCs w:val="22"/>
        </w:rPr>
        <w:t>策略一：空间重构</w:t>
      </w:r>
    </w:p>
    <w:p w14:paraId="2706325A">
      <w:pPr>
        <w:spacing w:before="62" w:beforeLines="20" w:after="62" w:afterLines="20" w:line="264" w:lineRule="auto"/>
        <w:ind w:firstLine="440" w:firstLineChars="200"/>
        <w:rPr>
          <w:rFonts w:eastAsia="仿宋_GB2312"/>
          <w:sz w:val="22"/>
          <w:szCs w:val="22"/>
        </w:rPr>
      </w:pPr>
      <w:r>
        <w:rPr>
          <w:rFonts w:hint="eastAsia" w:eastAsia="仿宋_GB2312"/>
          <w:sz w:val="22"/>
          <w:szCs w:val="22"/>
        </w:rPr>
        <w:t>突破传统功能分区，在空间上引导农业种植（一产）、加工仓储（二产）与休闲观光、电商服务（三产）等功能适度混合布局，形成“田间车间”、“农旅综合体”等节点。沿交通脉络布局加工、旅游、物流等关键载体，串联产业链条。预留弹性空间保障新兴业态发展需求，激发乡村内生动力。</w:t>
      </w:r>
    </w:p>
    <w:p w14:paraId="33C679DE">
      <w:pPr>
        <w:spacing w:before="62" w:beforeLines="20" w:after="62" w:afterLines="20" w:line="264" w:lineRule="auto"/>
        <w:ind w:left="640"/>
        <w:rPr>
          <w:rFonts w:hint="eastAsia" w:ascii="楷体" w:hAnsi="楷体" w:eastAsia="楷体" w:cs="楷体"/>
          <w:sz w:val="22"/>
          <w:szCs w:val="22"/>
        </w:rPr>
      </w:pPr>
      <w:r>
        <w:rPr>
          <w:rFonts w:hint="eastAsia" w:ascii="楷体" w:hAnsi="楷体" w:eastAsia="楷体" w:cs="楷体"/>
          <w:sz w:val="22"/>
          <w:szCs w:val="22"/>
          <w:lang w:eastAsia="zh-CN"/>
        </w:rPr>
        <w:t>（</w:t>
      </w:r>
      <w:r>
        <w:rPr>
          <w:rFonts w:hint="eastAsia" w:ascii="楷体" w:hAnsi="楷体" w:eastAsia="楷体" w:cs="楷体"/>
          <w:sz w:val="22"/>
          <w:szCs w:val="22"/>
        </w:rPr>
        <w:t>二</w:t>
      </w:r>
      <w:r>
        <w:rPr>
          <w:rFonts w:hint="eastAsia" w:ascii="楷体" w:hAnsi="楷体" w:eastAsia="楷体" w:cs="楷体"/>
          <w:sz w:val="22"/>
          <w:szCs w:val="22"/>
          <w:lang w:eastAsia="zh-CN"/>
        </w:rPr>
        <w:t>）</w:t>
      </w:r>
      <w:r>
        <w:rPr>
          <w:rFonts w:hint="eastAsia" w:ascii="楷体" w:hAnsi="楷体" w:eastAsia="楷体" w:cs="楷体"/>
          <w:sz w:val="22"/>
          <w:szCs w:val="22"/>
        </w:rPr>
        <w:tab/>
      </w:r>
      <w:r>
        <w:rPr>
          <w:rFonts w:hint="eastAsia" w:ascii="楷体" w:hAnsi="楷体" w:eastAsia="楷体" w:cs="楷体"/>
          <w:sz w:val="22"/>
          <w:szCs w:val="22"/>
        </w:rPr>
        <w:t>策略二：产业联动</w:t>
      </w:r>
    </w:p>
    <w:p w14:paraId="24DBE43B">
      <w:pPr>
        <w:spacing w:before="62" w:beforeLines="20" w:after="62" w:afterLines="20" w:line="264" w:lineRule="auto"/>
        <w:ind w:firstLine="440" w:firstLineChars="200"/>
        <w:rPr>
          <w:rFonts w:eastAsia="仿宋_GB2312"/>
          <w:sz w:val="22"/>
          <w:szCs w:val="22"/>
        </w:rPr>
      </w:pPr>
      <w:r>
        <w:rPr>
          <w:rFonts w:hint="eastAsia" w:eastAsia="仿宋_GB2312"/>
          <w:sz w:val="22"/>
          <w:szCs w:val="22"/>
        </w:rPr>
        <w:t>构建城乡产业加工链-供应链-价值链融合体系，推动农产品精深加工、乡村旅游与城市消费市场紧密对接。引导城市资本、技术、人才下乡，激活乡村资源，承接城市功能外溢。优化空间布局，形成以城带乡、功能互补、网络联动的城乡产业融合发展新格局，实现资源高效配置与区域协调共生。</w:t>
      </w:r>
    </w:p>
    <w:p w14:paraId="22CF7DB5">
      <w:pPr>
        <w:spacing w:before="62" w:beforeLines="20" w:after="62" w:afterLines="20" w:line="264" w:lineRule="auto"/>
        <w:ind w:left="640"/>
        <w:rPr>
          <w:rFonts w:hint="eastAsia" w:ascii="楷体" w:hAnsi="楷体" w:eastAsia="楷体" w:cs="楷体"/>
          <w:sz w:val="22"/>
          <w:szCs w:val="22"/>
        </w:rPr>
      </w:pPr>
      <w:r>
        <w:rPr>
          <w:rFonts w:hint="eastAsia" w:ascii="楷体" w:hAnsi="楷体" w:eastAsia="楷体" w:cs="楷体"/>
          <w:sz w:val="22"/>
          <w:szCs w:val="22"/>
          <w:lang w:eastAsia="zh-CN"/>
        </w:rPr>
        <w:t>（</w:t>
      </w:r>
      <w:r>
        <w:rPr>
          <w:rFonts w:hint="eastAsia" w:ascii="楷体" w:hAnsi="楷体" w:eastAsia="楷体" w:cs="楷体"/>
          <w:sz w:val="22"/>
          <w:szCs w:val="22"/>
        </w:rPr>
        <w:t>三</w:t>
      </w:r>
      <w:r>
        <w:rPr>
          <w:rFonts w:hint="eastAsia" w:ascii="楷体" w:hAnsi="楷体" w:eastAsia="楷体" w:cs="楷体"/>
          <w:sz w:val="22"/>
          <w:szCs w:val="22"/>
          <w:lang w:eastAsia="zh-CN"/>
        </w:rPr>
        <w:t>）</w:t>
      </w:r>
      <w:r>
        <w:rPr>
          <w:rFonts w:hint="eastAsia" w:ascii="楷体" w:hAnsi="楷体" w:eastAsia="楷体" w:cs="楷体"/>
          <w:sz w:val="22"/>
          <w:szCs w:val="22"/>
        </w:rPr>
        <w:tab/>
      </w:r>
      <w:r>
        <w:rPr>
          <w:rFonts w:hint="eastAsia" w:ascii="楷体" w:hAnsi="楷体" w:eastAsia="楷体" w:cs="楷体"/>
          <w:sz w:val="22"/>
          <w:szCs w:val="22"/>
        </w:rPr>
        <w:t>策略三：功能织补</w:t>
      </w:r>
    </w:p>
    <w:p w14:paraId="3E383176">
      <w:pPr>
        <w:spacing w:before="62" w:beforeLines="20" w:after="62" w:afterLines="20" w:line="264" w:lineRule="auto"/>
        <w:ind w:firstLine="440" w:firstLineChars="200"/>
        <w:rPr>
          <w:rFonts w:eastAsia="仿宋_GB2312"/>
          <w:sz w:val="22"/>
          <w:szCs w:val="22"/>
        </w:rPr>
      </w:pPr>
      <w:r>
        <w:rPr>
          <w:rFonts w:hint="eastAsia" w:eastAsia="仿宋_GB2312"/>
          <w:sz w:val="22"/>
          <w:szCs w:val="22"/>
        </w:rPr>
        <w:t>以乡村道路、水系、绿道为脉络，串联分散的公共空间、历史遗存、产业节点与居住组团。针灸式嵌入便民服务、文化展示、休闲交往等复合功能，修补空间割裂。强化节点特色营造与文化场景植入，激活闲置空间，形成连续、活力、富有烟火气与乡愁记忆的乡村生活场景网络。</w:t>
      </w:r>
      <w:bookmarkEnd w:id="5"/>
    </w:p>
    <w:bookmarkEnd w:id="2"/>
    <w:p w14:paraId="6933D7E3">
      <w:pPr>
        <w:numPr>
          <w:ilvl w:val="0"/>
          <w:numId w:val="1"/>
        </w:numPr>
        <w:spacing w:before="62" w:beforeLines="20" w:after="62" w:afterLines="20" w:line="264" w:lineRule="auto"/>
        <w:ind w:firstLine="640"/>
        <w:outlineLvl w:val="0"/>
        <w:rPr>
          <w:rFonts w:eastAsia="黑体"/>
          <w:bCs/>
          <w:sz w:val="22"/>
          <w:szCs w:val="22"/>
        </w:rPr>
      </w:pPr>
      <w:r>
        <w:rPr>
          <w:rFonts w:hint="eastAsia" w:eastAsia="黑体"/>
          <w:bCs/>
          <w:sz w:val="22"/>
          <w:szCs w:val="22"/>
        </w:rPr>
        <w:t>规划目标</w:t>
      </w:r>
    </w:p>
    <w:p w14:paraId="17CBEFCD">
      <w:pPr>
        <w:spacing w:before="62" w:beforeLines="20" w:after="62" w:afterLines="20" w:line="264" w:lineRule="auto"/>
        <w:ind w:firstLine="440" w:firstLineChars="200"/>
        <w:rPr>
          <w:rFonts w:eastAsia="仿宋_GB2312"/>
          <w:sz w:val="22"/>
          <w:szCs w:val="22"/>
        </w:rPr>
      </w:pPr>
      <w:bookmarkStart w:id="6" w:name="OLE_LINK28"/>
      <w:bookmarkStart w:id="7" w:name="OLE_LINK30"/>
      <w:r>
        <w:rPr>
          <w:rFonts w:hint="eastAsia" w:eastAsia="仿宋_GB2312"/>
          <w:sz w:val="22"/>
          <w:szCs w:val="22"/>
        </w:rPr>
        <w:t>规划至2025年，三条空间控制线全面落地，闲置用地持续盘活，温泉康养启动区初步建成，精品蔬果科技示范项目落地，城乡融合基础设施覆盖，“先富带后富”机制试点运行。</w:t>
      </w:r>
    </w:p>
    <w:p w14:paraId="64C0BD9E">
      <w:pPr>
        <w:spacing w:before="62" w:beforeLines="20" w:after="62" w:afterLines="20" w:line="264" w:lineRule="auto"/>
        <w:ind w:firstLine="440" w:firstLineChars="200"/>
        <w:rPr>
          <w:rFonts w:eastAsia="仿宋_GB2312"/>
          <w:sz w:val="22"/>
          <w:szCs w:val="22"/>
        </w:rPr>
      </w:pPr>
      <w:r>
        <w:rPr>
          <w:rFonts w:hint="eastAsia" w:eastAsia="仿宋_GB2312"/>
          <w:sz w:val="22"/>
          <w:szCs w:val="22"/>
        </w:rPr>
        <w:t>规划至2030年，温泉康养产业集群效应显现，精品蔬果智慧化种植示范基地建成，加工物流体系高效运转；“田间车间</w:t>
      </w:r>
      <w:r>
        <w:rPr>
          <w:rFonts w:hint="eastAsia" w:eastAsia="仿宋_GB2312"/>
          <w:sz w:val="22"/>
          <w:szCs w:val="22"/>
          <w:lang w:eastAsia="zh-CN"/>
        </w:rPr>
        <w:t>”“</w:t>
      </w:r>
      <w:r>
        <w:rPr>
          <w:rFonts w:hint="eastAsia" w:eastAsia="仿宋_GB2312"/>
          <w:sz w:val="22"/>
          <w:szCs w:val="22"/>
        </w:rPr>
        <w:t>农旅综合体”等节点成熟，乡村旅游品质提升。城乡产业加工链-供应链-价值链融合体系基本建立；乡村道路、水系、绿道串联活力网络形成，便民服务与文化节点有效嵌入。</w:t>
      </w:r>
    </w:p>
    <w:p w14:paraId="45F0BFCC">
      <w:pPr>
        <w:spacing w:before="62" w:beforeLines="20" w:after="62" w:afterLines="20" w:line="264" w:lineRule="auto"/>
        <w:ind w:firstLine="440" w:firstLineChars="200"/>
        <w:rPr>
          <w:rFonts w:eastAsia="仿宋_GB2312"/>
          <w:sz w:val="22"/>
          <w:szCs w:val="22"/>
        </w:rPr>
      </w:pPr>
      <w:r>
        <w:rPr>
          <w:rFonts w:hint="eastAsia" w:eastAsia="仿宋_GB2312"/>
          <w:sz w:val="22"/>
          <w:szCs w:val="22"/>
        </w:rPr>
        <w:t>规划至2035年，建成特色温泉康养共富核心区与精品蔬果农旅智谷，“温泉康养+精品农业+乡村旅游”产业生态圈成熟，形成区域农旅融合大品牌；“产城乡共富”机制成熟高效，村强民富；覆盖全域、普惠共享、城乡一体的高标准基础设施和均等化公共服务网络全面建成。</w:t>
      </w:r>
      <w:bookmarkEnd w:id="6"/>
    </w:p>
    <w:bookmarkEnd w:id="7"/>
    <w:p w14:paraId="4CF12FF8">
      <w:pPr>
        <w:spacing w:before="62" w:beforeLines="20" w:after="62" w:afterLines="20" w:line="264" w:lineRule="auto"/>
        <w:ind w:firstLine="440" w:firstLineChars="200"/>
        <w:rPr>
          <w:rFonts w:eastAsia="仿宋_GB2312"/>
          <w:sz w:val="22"/>
          <w:szCs w:val="22"/>
        </w:rPr>
      </w:pPr>
      <w:r>
        <w:rPr>
          <w:rFonts w:hint="eastAsia" w:eastAsia="仿宋_GB2312"/>
          <w:sz w:val="22"/>
          <w:szCs w:val="22"/>
        </w:rPr>
        <w:t>依据《攀枝花市盐边县红格片区国土空间总体规划（2021</w:t>
      </w:r>
      <w:r>
        <w:rPr>
          <w:rFonts w:hint="eastAsia" w:eastAsia="仿宋_GB2312"/>
          <w:sz w:val="22"/>
          <w:szCs w:val="22"/>
          <w:lang w:eastAsia="zh-CN"/>
        </w:rPr>
        <w:t>—</w:t>
      </w:r>
      <w:r>
        <w:rPr>
          <w:rFonts w:hint="eastAsia" w:eastAsia="仿宋_GB2312"/>
          <w:sz w:val="22"/>
          <w:szCs w:val="22"/>
        </w:rPr>
        <w:t>2035年） 》，永久基本农田保护面积不低于359.29公顷，不涉及生态保护红线，耕地保有量不低于465.63公顷，不涉及城镇开发边界，</w:t>
      </w:r>
      <w:bookmarkStart w:id="8" w:name="_Hlk188288441"/>
      <w:r>
        <w:rPr>
          <w:rFonts w:hint="eastAsia" w:eastAsia="仿宋_GB2312"/>
          <w:sz w:val="22"/>
          <w:szCs w:val="22"/>
        </w:rPr>
        <w:t>村庄建设边界规模</w:t>
      </w:r>
      <w:r>
        <w:rPr>
          <w:rFonts w:eastAsia="仿宋_GB2312"/>
          <w:sz w:val="22"/>
          <w:szCs w:val="22"/>
        </w:rPr>
        <w:t>251.91</w:t>
      </w:r>
      <w:r>
        <w:rPr>
          <w:rFonts w:hint="eastAsia" w:eastAsia="仿宋_GB2312"/>
          <w:sz w:val="22"/>
          <w:szCs w:val="22"/>
        </w:rPr>
        <w:t>公顷</w:t>
      </w:r>
      <w:bookmarkEnd w:id="8"/>
      <w:r>
        <w:rPr>
          <w:rFonts w:hint="eastAsia" w:eastAsia="仿宋_GB2312"/>
          <w:sz w:val="22"/>
          <w:szCs w:val="22"/>
        </w:rPr>
        <w:t>，常住人口3200人。</w:t>
      </w:r>
    </w:p>
    <w:p w14:paraId="4DBAD991">
      <w:pPr>
        <w:numPr>
          <w:ilvl w:val="0"/>
          <w:numId w:val="1"/>
        </w:numPr>
        <w:spacing w:before="62" w:beforeLines="20" w:after="62" w:afterLines="20" w:line="264" w:lineRule="auto"/>
        <w:ind w:firstLine="640"/>
        <w:outlineLvl w:val="0"/>
        <w:rPr>
          <w:rFonts w:eastAsia="黑体"/>
          <w:bCs/>
          <w:sz w:val="22"/>
          <w:szCs w:val="22"/>
        </w:rPr>
      </w:pPr>
      <w:r>
        <w:rPr>
          <w:rFonts w:hint="eastAsia" w:eastAsia="黑体"/>
          <w:bCs/>
          <w:sz w:val="22"/>
          <w:szCs w:val="22"/>
        </w:rPr>
        <w:t>底线约束</w:t>
      </w:r>
    </w:p>
    <w:p w14:paraId="143962C6">
      <w:pPr>
        <w:spacing w:before="62" w:beforeLines="20" w:after="62" w:afterLines="20" w:line="264" w:lineRule="auto"/>
        <w:ind w:left="64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一</w:t>
      </w:r>
      <w:r>
        <w:rPr>
          <w:rFonts w:ascii="楷体" w:hAnsi="楷体" w:eastAsia="楷体" w:cs="楷体"/>
          <w:sz w:val="22"/>
          <w:szCs w:val="22"/>
        </w:rPr>
        <w:t>）</w:t>
      </w:r>
      <w:r>
        <w:rPr>
          <w:rFonts w:hint="eastAsia" w:ascii="楷体" w:hAnsi="楷体" w:eastAsia="楷体" w:cs="楷体"/>
          <w:sz w:val="22"/>
          <w:szCs w:val="22"/>
        </w:rPr>
        <w:t>耕地和永久基本农田</w:t>
      </w:r>
    </w:p>
    <w:p w14:paraId="18061C44">
      <w:pPr>
        <w:spacing w:before="62" w:beforeLines="20" w:after="62" w:afterLines="20" w:line="264" w:lineRule="auto"/>
        <w:ind w:firstLine="440" w:firstLineChars="200"/>
        <w:rPr>
          <w:rFonts w:eastAsia="仿宋_GB2312"/>
          <w:sz w:val="22"/>
          <w:szCs w:val="22"/>
        </w:rPr>
      </w:pPr>
      <w:r>
        <w:rPr>
          <w:rFonts w:hint="eastAsia" w:eastAsia="仿宋_GB2312"/>
          <w:sz w:val="22"/>
          <w:szCs w:val="22"/>
        </w:rPr>
        <w:t>耕地保护。严格落实上位规划确定的耕地保有量目标，在确保现有耕地格局稳定的基础上，明确复垦或开垦为耕地的地块，按照高标准农田建设要求，完善田间道路、灌排渠系等，进一步优化片区耕地布局，规划耕地</w:t>
      </w:r>
      <w:r>
        <w:rPr>
          <w:rFonts w:eastAsia="仿宋_GB2312"/>
          <w:sz w:val="22"/>
          <w:szCs w:val="22"/>
        </w:rPr>
        <w:t>732.03</w:t>
      </w:r>
      <w:r>
        <w:rPr>
          <w:rFonts w:hint="eastAsia" w:eastAsia="仿宋_GB2312"/>
          <w:sz w:val="22"/>
          <w:szCs w:val="22"/>
        </w:rPr>
        <w:t>公顷，达到耕地保有量</w:t>
      </w:r>
      <w:r>
        <w:rPr>
          <w:rFonts w:eastAsia="仿宋_GB2312"/>
          <w:sz w:val="22"/>
          <w:szCs w:val="22"/>
        </w:rPr>
        <w:t>465.63</w:t>
      </w:r>
      <w:r>
        <w:rPr>
          <w:rFonts w:hint="eastAsia" w:eastAsia="仿宋_GB2312"/>
          <w:sz w:val="22"/>
          <w:szCs w:val="22"/>
        </w:rPr>
        <w:t>公顷目标。</w:t>
      </w:r>
    </w:p>
    <w:p w14:paraId="3D772622">
      <w:pPr>
        <w:spacing w:before="62" w:beforeLines="20" w:after="62" w:afterLines="20" w:line="264" w:lineRule="auto"/>
        <w:ind w:firstLine="440" w:firstLineChars="200"/>
        <w:rPr>
          <w:rFonts w:eastAsia="仿宋_GB2312"/>
          <w:sz w:val="22"/>
          <w:szCs w:val="22"/>
        </w:rPr>
      </w:pPr>
      <w:r>
        <w:rPr>
          <w:rFonts w:hint="eastAsia" w:eastAsia="仿宋_GB2312"/>
          <w:sz w:val="22"/>
          <w:szCs w:val="22"/>
        </w:rPr>
        <w:t>永久基本农田保护。严格落实盐边县“三区三线”划定方案永久基本农田保护目标，将区域集中连片、质量等别较高的耕地以及山区耕地坡度小于 25°的集中连片的稳定耕地划入永久基本农田。落实永久基本农田</w:t>
      </w:r>
      <w:r>
        <w:rPr>
          <w:rFonts w:eastAsia="仿宋_GB2312"/>
          <w:sz w:val="22"/>
          <w:szCs w:val="22"/>
        </w:rPr>
        <w:t>359.29</w:t>
      </w:r>
      <w:r>
        <w:rPr>
          <w:rFonts w:hint="eastAsia" w:eastAsia="仿宋_GB2312"/>
          <w:sz w:val="22"/>
          <w:szCs w:val="22"/>
        </w:rPr>
        <w:t>公顷。</w:t>
      </w:r>
    </w:p>
    <w:p w14:paraId="788F0A43">
      <w:pPr>
        <w:spacing w:before="62" w:beforeLines="20" w:after="62" w:afterLines="20" w:line="264" w:lineRule="auto"/>
        <w:ind w:firstLine="440" w:firstLineChars="200"/>
        <w:rPr>
          <w:rFonts w:eastAsia="仿宋_GB2312"/>
          <w:sz w:val="22"/>
          <w:szCs w:val="22"/>
        </w:rPr>
      </w:pPr>
      <w:r>
        <w:rPr>
          <w:rFonts w:hint="eastAsia" w:eastAsia="仿宋_GB2312"/>
          <w:sz w:val="22"/>
          <w:szCs w:val="22"/>
        </w:rPr>
        <w:t>永久基本农田管控要求：永久基本农田一经划定，任何单位和个人不得私自占用，或者擅自改变用途。除法律规定的能源、交通、水利、军事设施等国家重点建设项目选址无法避让以外，其他任何建设都不得占用。符合法定条件的，确需占用和改变永久基本农田的，必须经过可行性论证，确实难以避让的，应当将土地利用总体规划调整方案和永久基本农田补划方案一并报国务院批准，及时补划数量相等、质量相当的永久基本农田。</w:t>
      </w:r>
    </w:p>
    <w:p w14:paraId="22899F5B">
      <w:pPr>
        <w:spacing w:before="62" w:beforeLines="20" w:after="62" w:afterLines="20" w:line="264" w:lineRule="auto"/>
        <w:ind w:left="64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二</w:t>
      </w:r>
      <w:r>
        <w:rPr>
          <w:rFonts w:ascii="楷体" w:hAnsi="楷体" w:eastAsia="楷体" w:cs="楷体"/>
          <w:sz w:val="22"/>
          <w:szCs w:val="22"/>
        </w:rPr>
        <w:t>）</w:t>
      </w:r>
      <w:r>
        <w:rPr>
          <w:rFonts w:hint="eastAsia" w:ascii="楷体" w:hAnsi="楷体" w:eastAsia="楷体" w:cs="楷体"/>
          <w:sz w:val="22"/>
          <w:szCs w:val="22"/>
        </w:rPr>
        <w:t>生态保护红线</w:t>
      </w:r>
    </w:p>
    <w:p w14:paraId="14B33902">
      <w:pPr>
        <w:spacing w:before="62" w:beforeLines="20" w:after="62" w:afterLines="20" w:line="264" w:lineRule="auto"/>
        <w:ind w:firstLine="440" w:firstLineChars="200"/>
        <w:rPr>
          <w:rFonts w:eastAsiaTheme="minorEastAsia"/>
          <w:sz w:val="22"/>
          <w:szCs w:val="22"/>
        </w:rPr>
      </w:pPr>
      <w:r>
        <w:rPr>
          <w:rFonts w:hint="eastAsia" w:eastAsia="仿宋_GB2312"/>
          <w:sz w:val="22"/>
          <w:szCs w:val="22"/>
        </w:rPr>
        <w:t>红格村级片区内无生态保护红线。</w:t>
      </w:r>
    </w:p>
    <w:p w14:paraId="50B688DE">
      <w:pPr>
        <w:spacing w:before="62" w:beforeLines="20" w:after="62" w:afterLines="20" w:line="264" w:lineRule="auto"/>
        <w:ind w:left="64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三</w:t>
      </w:r>
      <w:r>
        <w:rPr>
          <w:rFonts w:ascii="楷体" w:hAnsi="楷体" w:eastAsia="楷体" w:cs="楷体"/>
          <w:sz w:val="22"/>
          <w:szCs w:val="22"/>
        </w:rPr>
        <w:t>）</w:t>
      </w:r>
      <w:r>
        <w:rPr>
          <w:rFonts w:hint="eastAsia" w:ascii="楷体" w:hAnsi="楷体" w:eastAsia="楷体" w:cs="楷体"/>
          <w:sz w:val="22"/>
          <w:szCs w:val="22"/>
        </w:rPr>
        <w:t>城镇开发边界</w:t>
      </w:r>
    </w:p>
    <w:p w14:paraId="169866AE">
      <w:pPr>
        <w:pStyle w:val="2"/>
        <w:ind w:left="860" w:hanging="440"/>
        <w:rPr>
          <w:rFonts w:eastAsiaTheme="minorEastAsia"/>
          <w:sz w:val="22"/>
          <w:szCs w:val="22"/>
        </w:rPr>
      </w:pPr>
      <w:bookmarkStart w:id="9" w:name="_Hlk188288450"/>
      <w:r>
        <w:rPr>
          <w:rFonts w:hint="eastAsia" w:eastAsia="仿宋_GB2312"/>
          <w:sz w:val="22"/>
          <w:szCs w:val="22"/>
        </w:rPr>
        <w:t>红格村级片区</w:t>
      </w:r>
      <w:bookmarkEnd w:id="9"/>
      <w:r>
        <w:rPr>
          <w:rFonts w:hint="eastAsia" w:eastAsia="仿宋_GB2312"/>
          <w:sz w:val="22"/>
          <w:szCs w:val="22"/>
        </w:rPr>
        <w:t>内无城镇开发边界。</w:t>
      </w:r>
    </w:p>
    <w:p w14:paraId="52B7D756">
      <w:pPr>
        <w:spacing w:before="62" w:beforeLines="20" w:after="62" w:afterLines="20" w:line="264" w:lineRule="auto"/>
        <w:ind w:left="64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四</w:t>
      </w:r>
      <w:r>
        <w:rPr>
          <w:rFonts w:ascii="楷体" w:hAnsi="楷体" w:eastAsia="楷体" w:cs="楷体"/>
          <w:sz w:val="22"/>
          <w:szCs w:val="22"/>
        </w:rPr>
        <w:t>）</w:t>
      </w:r>
      <w:r>
        <w:rPr>
          <w:rFonts w:hint="eastAsia" w:ascii="楷体" w:hAnsi="楷体" w:eastAsia="楷体" w:cs="楷体"/>
          <w:sz w:val="22"/>
          <w:szCs w:val="22"/>
        </w:rPr>
        <w:t>村庄建设边界</w:t>
      </w:r>
    </w:p>
    <w:p w14:paraId="7B321527">
      <w:pPr>
        <w:pStyle w:val="2"/>
        <w:ind w:left="860" w:hanging="440"/>
        <w:rPr>
          <w:rFonts w:eastAsiaTheme="minorEastAsia"/>
          <w:sz w:val="22"/>
          <w:szCs w:val="22"/>
        </w:rPr>
      </w:pPr>
      <w:r>
        <w:rPr>
          <w:rFonts w:hint="eastAsia" w:eastAsia="仿宋_GB2312"/>
          <w:sz w:val="22"/>
          <w:szCs w:val="22"/>
        </w:rPr>
        <w:t>红格村级片区村庄建设边界规模</w:t>
      </w:r>
      <w:r>
        <w:rPr>
          <w:rFonts w:eastAsia="仿宋_GB2312"/>
          <w:sz w:val="22"/>
          <w:szCs w:val="22"/>
        </w:rPr>
        <w:t>251.91</w:t>
      </w:r>
      <w:r>
        <w:rPr>
          <w:rFonts w:hint="eastAsia" w:eastAsia="仿宋_GB2312"/>
          <w:sz w:val="22"/>
          <w:szCs w:val="22"/>
        </w:rPr>
        <w:t>公顷。</w:t>
      </w:r>
    </w:p>
    <w:p w14:paraId="3A9EB820">
      <w:pPr>
        <w:spacing w:before="62" w:beforeLines="20" w:after="62" w:afterLines="20" w:line="264" w:lineRule="auto"/>
        <w:ind w:left="64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五</w:t>
      </w:r>
      <w:r>
        <w:rPr>
          <w:rFonts w:ascii="楷体" w:hAnsi="楷体" w:eastAsia="楷体" w:cs="楷体"/>
          <w:sz w:val="22"/>
          <w:szCs w:val="22"/>
        </w:rPr>
        <w:t>）</w:t>
      </w:r>
      <w:r>
        <w:rPr>
          <w:rFonts w:hint="eastAsia" w:ascii="楷体" w:hAnsi="楷体" w:eastAsia="楷体" w:cs="楷体"/>
          <w:sz w:val="22"/>
          <w:szCs w:val="22"/>
        </w:rPr>
        <w:t>其他保护线</w:t>
      </w:r>
    </w:p>
    <w:p w14:paraId="71BCE46F">
      <w:pPr>
        <w:numPr>
          <w:ilvl w:val="0"/>
          <w:numId w:val="2"/>
        </w:numPr>
        <w:spacing w:before="62" w:beforeLines="20" w:after="62" w:afterLines="20" w:line="264" w:lineRule="auto"/>
        <w:rPr>
          <w:rFonts w:eastAsia="仿宋_GB2312"/>
          <w:sz w:val="22"/>
          <w:szCs w:val="22"/>
        </w:rPr>
      </w:pPr>
      <w:bookmarkStart w:id="10" w:name="OLE_LINK13"/>
      <w:r>
        <w:rPr>
          <w:rFonts w:hint="eastAsia" w:eastAsia="仿宋_GB2312"/>
          <w:sz w:val="22"/>
          <w:szCs w:val="22"/>
        </w:rPr>
        <w:t>洪涝风险控制线</w:t>
      </w:r>
    </w:p>
    <w:bookmarkEnd w:id="10"/>
    <w:p w14:paraId="769478EC">
      <w:pPr>
        <w:pStyle w:val="2"/>
        <w:ind w:left="420" w:leftChars="0" w:firstLine="440" w:firstLineChars="200"/>
        <w:rPr>
          <w:rFonts w:eastAsia="仿宋_GB2312"/>
          <w:sz w:val="22"/>
          <w:szCs w:val="22"/>
        </w:rPr>
      </w:pPr>
      <w:r>
        <w:rPr>
          <w:rFonts w:hint="eastAsia" w:eastAsia="仿宋_GB2312"/>
          <w:sz w:val="22"/>
          <w:szCs w:val="22"/>
        </w:rPr>
        <w:t>严格落实水利部门划定的河湖管理范围，落实河流的河湖管理范围，划定洪涝风险控制线，并按照水利部门相关要求进行管理。片区洪涝灾害控制线内无建设用地。</w:t>
      </w:r>
    </w:p>
    <w:p w14:paraId="38EFE6A7">
      <w:pPr>
        <w:numPr>
          <w:ilvl w:val="0"/>
          <w:numId w:val="2"/>
        </w:numPr>
        <w:spacing w:before="62" w:beforeLines="20" w:after="62" w:afterLines="20" w:line="264" w:lineRule="auto"/>
        <w:rPr>
          <w:rFonts w:eastAsia="仿宋_GB2312"/>
          <w:sz w:val="22"/>
          <w:szCs w:val="22"/>
        </w:rPr>
      </w:pPr>
      <w:r>
        <w:rPr>
          <w:rFonts w:hint="eastAsia" w:eastAsia="仿宋_GB2312"/>
          <w:sz w:val="22"/>
          <w:szCs w:val="22"/>
        </w:rPr>
        <w:t>长江干支流域保护线</w:t>
      </w:r>
    </w:p>
    <w:p w14:paraId="66706451">
      <w:pPr>
        <w:pStyle w:val="2"/>
        <w:ind w:left="420" w:leftChars="0" w:firstLine="440" w:firstLineChars="200"/>
        <w:rPr>
          <w:rFonts w:eastAsia="仿宋_GB2312"/>
          <w:sz w:val="22"/>
          <w:szCs w:val="22"/>
        </w:rPr>
      </w:pPr>
      <w:r>
        <w:rPr>
          <w:rFonts w:hint="eastAsia" w:eastAsia="仿宋_GB2312"/>
          <w:sz w:val="22"/>
          <w:szCs w:val="22"/>
        </w:rPr>
        <w:t>按照《中华人民共和国长江保护法》第二十二条相关规定：禁止在长江流域重点生态功能区布局对生态系统有严重影响的产业。禁止重污染企业和项目向长江中上游转移。以及第二十六条相关规定：禁止在长江干支流岸线一公里范围内新建、扩建化工园和化工项目。禁止在长江干支流岸线三公里范围内和重要支流岸线一公里范围内新建、改建、扩建尾矿库；但是以提升安全、生态环境保护水平为目的的改建除外。片区内凡涉及长江干支流域内的建设均应严格执行以上法规要求。</w:t>
      </w:r>
    </w:p>
    <w:p w14:paraId="00C5547E">
      <w:pPr>
        <w:numPr>
          <w:ilvl w:val="0"/>
          <w:numId w:val="2"/>
        </w:numPr>
        <w:spacing w:before="62" w:beforeLines="20" w:after="62" w:afterLines="20" w:line="264" w:lineRule="auto"/>
      </w:pPr>
      <w:r>
        <w:rPr>
          <w:rFonts w:hint="eastAsia" w:eastAsia="仿宋_GB2312"/>
          <w:sz w:val="22"/>
          <w:szCs w:val="22"/>
        </w:rPr>
        <w:t>市政廊道管控线</w:t>
      </w:r>
    </w:p>
    <w:p w14:paraId="11B10F31">
      <w:pPr>
        <w:pStyle w:val="2"/>
        <w:ind w:left="420" w:firstLine="440" w:firstLineChars="200"/>
        <w:rPr>
          <w:rFonts w:hint="eastAsia" w:eastAsia="仿宋_GB2312"/>
          <w:sz w:val="22"/>
          <w:szCs w:val="22"/>
        </w:rPr>
      </w:pPr>
      <w:r>
        <w:rPr>
          <w:rFonts w:hint="eastAsia" w:eastAsia="仿宋_GB2312"/>
          <w:sz w:val="22"/>
          <w:szCs w:val="22"/>
        </w:rPr>
        <w:t>目标任务：落实上位规划市政廊道管控要求，红格村级片区涉及1条110KV高压线和3条35KV高压线，35kV架空高压线走廊宽度按两侧各7.5m控制，110kV架空高压线走廊宽度按两侧各12.5m控制。</w:t>
      </w:r>
    </w:p>
    <w:p w14:paraId="2D4709D1">
      <w:pPr>
        <w:pStyle w:val="2"/>
        <w:ind w:left="420" w:leftChars="0" w:firstLine="440" w:firstLineChars="200"/>
        <w:rPr>
          <w:rFonts w:eastAsia="仿宋_GB2312"/>
          <w:sz w:val="22"/>
          <w:szCs w:val="22"/>
        </w:rPr>
      </w:pPr>
      <w:r>
        <w:rPr>
          <w:rFonts w:hint="eastAsia" w:eastAsia="仿宋_GB2312"/>
          <w:sz w:val="22"/>
          <w:szCs w:val="22"/>
        </w:rPr>
        <w:t>管控要求：35kV架空高压线走廊宽度按两侧各10m控制，110kV架空高压线走廊宽度按两侧各12.5m控制，220kV架空高压线走廊宽度按两侧各20米控制。攀枝花—米易长输燃气管线两侧安全间距不宜低于200米，建设条件困难区域依据专门安全评价严格控制燃气管道安全距离。市政设施廊道控制线范围内禁止城乡建设，基础设施需按程序审批。</w:t>
      </w:r>
    </w:p>
    <w:p w14:paraId="4453DC1D">
      <w:pPr>
        <w:numPr>
          <w:ilvl w:val="0"/>
          <w:numId w:val="2"/>
        </w:numPr>
        <w:spacing w:before="62" w:beforeLines="20" w:after="62" w:afterLines="20" w:line="264" w:lineRule="auto"/>
        <w:rPr>
          <w:rFonts w:eastAsia="仿宋_GB2312"/>
          <w:sz w:val="22"/>
          <w:szCs w:val="22"/>
        </w:rPr>
      </w:pPr>
      <w:r>
        <w:rPr>
          <w:rFonts w:hint="eastAsia" w:eastAsia="仿宋_GB2312"/>
          <w:sz w:val="22"/>
          <w:szCs w:val="22"/>
        </w:rPr>
        <w:t>公路建筑控制区</w:t>
      </w:r>
    </w:p>
    <w:p w14:paraId="4C640CF3">
      <w:pPr>
        <w:pStyle w:val="2"/>
        <w:ind w:left="420" w:firstLine="440" w:firstLineChars="200"/>
        <w:rPr>
          <w:rFonts w:hint="eastAsia" w:eastAsia="仿宋_GB2312"/>
          <w:sz w:val="22"/>
          <w:szCs w:val="22"/>
        </w:rPr>
      </w:pPr>
      <w:r>
        <w:rPr>
          <w:rFonts w:hint="eastAsia" w:eastAsia="仿宋_GB2312"/>
          <w:sz w:val="22"/>
          <w:szCs w:val="22"/>
        </w:rPr>
        <w:t>目标任务：衔接上位规划，落实道路绿线管控区，管控区内部的新建建筑物、构筑物，不得堆放垃圾、建渣等污染环境的物品，本次规划落实攀枝花绕城高速、蓉丽高速、G353、S218、红格大道等道路的管控范围。</w:t>
      </w:r>
    </w:p>
    <w:p w14:paraId="1C5A3A51">
      <w:pPr>
        <w:pStyle w:val="2"/>
        <w:ind w:left="420" w:leftChars="0" w:firstLine="440" w:firstLineChars="200"/>
        <w:rPr>
          <w:rFonts w:eastAsia="仿宋_GB2312"/>
          <w:sz w:val="22"/>
          <w:szCs w:val="22"/>
        </w:rPr>
      </w:pPr>
      <w:r>
        <w:rPr>
          <w:rFonts w:hint="eastAsia" w:eastAsia="仿宋_GB2312"/>
          <w:sz w:val="22"/>
          <w:szCs w:val="22"/>
        </w:rPr>
        <w:t>管控要求：根据《中华人民共和国公路法》，公路两侧自边沟、截水沟、坡脚护坡道外缘起不少于1米的范围为公路用地。根据《中华人民共和国公路安全保护条例》《四川省农村公路条例》，公路建筑控制区的范围，从公路用地外缘起向外的距离标准为：高速公路不少于30米；国道不少于20米；省道不少于15米；县道不少于10米；乡道不少于5米，村道不少于3米。具体范围以县级人民政府公布为准。</w:t>
      </w:r>
    </w:p>
    <w:p w14:paraId="52529424">
      <w:pPr>
        <w:numPr>
          <w:ilvl w:val="0"/>
          <w:numId w:val="1"/>
        </w:numPr>
        <w:spacing w:before="62" w:beforeLines="20" w:after="62" w:afterLines="20" w:line="264" w:lineRule="auto"/>
        <w:ind w:firstLine="640"/>
        <w:outlineLvl w:val="0"/>
        <w:rPr>
          <w:rFonts w:hint="eastAsia" w:eastAsia="黑体"/>
          <w:bCs/>
          <w:sz w:val="22"/>
          <w:szCs w:val="22"/>
        </w:rPr>
      </w:pPr>
      <w:r>
        <w:rPr>
          <w:rFonts w:hint="eastAsia" w:eastAsia="黑体"/>
          <w:bCs/>
          <w:sz w:val="22"/>
          <w:szCs w:val="22"/>
        </w:rPr>
        <w:t>产业规划</w:t>
      </w:r>
    </w:p>
    <w:p w14:paraId="450A1A72">
      <w:pPr>
        <w:spacing w:before="62" w:beforeLines="20" w:after="62" w:afterLines="20" w:line="264" w:lineRule="auto"/>
        <w:ind w:left="64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一</w:t>
      </w:r>
      <w:r>
        <w:rPr>
          <w:rFonts w:ascii="楷体" w:hAnsi="楷体" w:eastAsia="楷体" w:cs="楷体"/>
          <w:sz w:val="22"/>
          <w:szCs w:val="22"/>
        </w:rPr>
        <w:t>）</w:t>
      </w:r>
      <w:r>
        <w:rPr>
          <w:rFonts w:hint="eastAsia" w:ascii="楷体" w:hAnsi="楷体" w:eastAsia="楷体" w:cs="楷体"/>
          <w:sz w:val="22"/>
          <w:szCs w:val="22"/>
        </w:rPr>
        <w:t>产业空间结构</w:t>
      </w:r>
    </w:p>
    <w:p w14:paraId="1379D1C6">
      <w:pPr>
        <w:pStyle w:val="2"/>
        <w:ind w:left="420" w:firstLine="440" w:firstLineChars="200"/>
        <w:rPr>
          <w:rFonts w:hint="eastAsia" w:eastAsia="仿宋_GB2312"/>
          <w:sz w:val="22"/>
          <w:szCs w:val="22"/>
        </w:rPr>
      </w:pPr>
      <w:r>
        <w:rPr>
          <w:rFonts w:hint="eastAsia" w:eastAsia="仿宋_GB2312"/>
          <w:sz w:val="22"/>
          <w:szCs w:val="22"/>
        </w:rPr>
        <w:t>以共富示范带为空间主轴，依托农业产业基底，深挖“一社一品”特色资源，串联滨水生态优势，构建三大产业单元，包括北部转型绿色产业，西部融合生产与生活，东部激活生态价值，三大单元各有侧重、协同发展，共同探索生态修复、产业升级与城乡共富的创新路径。</w:t>
      </w:r>
    </w:p>
    <w:p w14:paraId="43714344">
      <w:pPr>
        <w:pStyle w:val="2"/>
        <w:ind w:left="420" w:firstLine="440" w:firstLineChars="200"/>
        <w:rPr>
          <w:rFonts w:hint="eastAsia" w:eastAsia="仿宋_GB2312"/>
          <w:sz w:val="22"/>
          <w:szCs w:val="22"/>
        </w:rPr>
      </w:pPr>
      <w:r>
        <w:rPr>
          <w:rFonts w:hint="eastAsia" w:eastAsia="仿宋_GB2312"/>
          <w:sz w:val="22"/>
          <w:szCs w:val="22"/>
        </w:rPr>
        <w:t>北部“矿伏” 单元：以工矿和光伏产业为主导，重点推进生态修复与产业升级。针对矿区生态脆弱现状，实施“三步走”修复战略：前期通过土壤改良与植被复绿重构生态基底，中期植入光伏板阵列打造清洁</w:t>
      </w:r>
      <w:r>
        <w:rPr>
          <w:rFonts w:hint="eastAsia" w:eastAsia="仿宋_GB2312"/>
          <w:sz w:val="22"/>
          <w:szCs w:val="22"/>
          <w:lang w:eastAsia="zh-CN"/>
        </w:rPr>
        <w:t>能源</w:t>
      </w:r>
      <w:r>
        <w:rPr>
          <w:rFonts w:hint="eastAsia" w:eastAsia="仿宋_GB2312"/>
          <w:sz w:val="22"/>
          <w:szCs w:val="22"/>
        </w:rPr>
        <w:t>矩阵，后期结合工矿文化遗存开发工业研学旅游。推动传统工矿区域向生态友好型经济转型。</w:t>
      </w:r>
    </w:p>
    <w:p w14:paraId="6B2E533B">
      <w:pPr>
        <w:pStyle w:val="2"/>
        <w:ind w:left="420" w:firstLine="440" w:firstLineChars="200"/>
        <w:rPr>
          <w:rFonts w:hint="eastAsia" w:eastAsia="仿宋_GB2312"/>
          <w:sz w:val="22"/>
          <w:szCs w:val="22"/>
        </w:rPr>
      </w:pPr>
      <w:r>
        <w:rPr>
          <w:rFonts w:hint="eastAsia" w:eastAsia="仿宋_GB2312"/>
          <w:sz w:val="22"/>
          <w:szCs w:val="22"/>
        </w:rPr>
        <w:t>西部产居融合单元：聚焦温泉康养和精品蔬果种植两大特色，打造宜居宜业的产-城-村融合示范区。通过升级蔬果种植技术、完善冷链物流和农产品加工，提升产业附加值。康养产业重点培育“温泉疗愈+运动康复+中医养生”特色品牌，建设银发友好社区与亲子康养营地。通过农田景观化改造、民居功能置换、康养设施嵌入，形成“推门见田、百步入汤”的产居共同体。</w:t>
      </w:r>
    </w:p>
    <w:p w14:paraId="4C37115E">
      <w:pPr>
        <w:pStyle w:val="2"/>
        <w:ind w:left="420" w:leftChars="0" w:firstLine="440" w:firstLineChars="200"/>
        <w:rPr>
          <w:rFonts w:eastAsia="仿宋_GB2312"/>
          <w:sz w:val="22"/>
          <w:szCs w:val="22"/>
        </w:rPr>
      </w:pPr>
      <w:r>
        <w:rPr>
          <w:rFonts w:hint="eastAsia" w:eastAsia="仿宋_GB2312"/>
          <w:sz w:val="22"/>
          <w:szCs w:val="22"/>
        </w:rPr>
        <w:t>东部生态保育单元：依托优质森林资源，强化生态保护与可持续发展。通过科学育林、保护动植物多样性提升森林质量，并开发碳汇交易项目，将生态资源转化为经济效益。同步发展林下种植（如菌菇、药材）、森林研学游和自然疗愈基地，让森林既能守护生态，又能带动旅游和特色产业，实现“生态保护-价值转化-村民受益”的良性循环。</w:t>
      </w:r>
    </w:p>
    <w:p w14:paraId="2B54F210">
      <w:pPr>
        <w:spacing w:before="62" w:beforeLines="20" w:after="62" w:afterLines="20" w:line="264" w:lineRule="auto"/>
        <w:ind w:firstLine="440" w:firstLineChars="200"/>
        <w:rPr>
          <w:rFonts w:ascii="楷体" w:hAnsi="楷体" w:eastAsia="楷体" w:cs="楷体"/>
          <w:sz w:val="22"/>
          <w:szCs w:val="22"/>
        </w:rPr>
      </w:pPr>
      <w:bookmarkStart w:id="11" w:name="_Hlk204085149"/>
      <w:r>
        <w:rPr>
          <w:rFonts w:hint="eastAsia" w:ascii="楷体" w:hAnsi="楷体" w:eastAsia="楷体" w:cs="楷体"/>
          <w:sz w:val="22"/>
          <w:szCs w:val="22"/>
        </w:rPr>
        <w:t>（二）产业发展指引</w:t>
      </w:r>
    </w:p>
    <w:bookmarkEnd w:id="11"/>
    <w:p w14:paraId="24F88682">
      <w:pPr>
        <w:numPr>
          <w:ilvl w:val="0"/>
          <w:numId w:val="3"/>
        </w:numPr>
        <w:spacing w:before="62" w:beforeLines="20" w:after="62" w:afterLines="20" w:line="264" w:lineRule="auto"/>
        <w:rPr>
          <w:rFonts w:eastAsia="仿宋_GB2312"/>
          <w:sz w:val="22"/>
          <w:szCs w:val="22"/>
        </w:rPr>
      </w:pPr>
      <w:bookmarkStart w:id="12" w:name="_Hlk204085101"/>
      <w:r>
        <w:rPr>
          <w:rFonts w:hint="eastAsia" w:eastAsia="仿宋_GB2312"/>
          <w:sz w:val="22"/>
          <w:szCs w:val="22"/>
        </w:rPr>
        <w:t>西部产居融合单元产业指引</w:t>
      </w:r>
    </w:p>
    <w:bookmarkEnd w:id="12"/>
    <w:p w14:paraId="29CB85AB">
      <w:pPr>
        <w:pStyle w:val="2"/>
        <w:ind w:left="420" w:firstLine="440" w:firstLineChars="200"/>
        <w:rPr>
          <w:rFonts w:hint="eastAsia" w:eastAsia="仿宋_GB2312"/>
          <w:sz w:val="22"/>
          <w:szCs w:val="22"/>
        </w:rPr>
      </w:pPr>
      <w:r>
        <w:rPr>
          <w:rFonts w:hint="eastAsia" w:eastAsia="仿宋_GB2312"/>
          <w:sz w:val="22"/>
          <w:szCs w:val="22"/>
        </w:rPr>
        <w:t>昔格达村2、3组以发展精品水果为主，将现状芒果更换为金柑和无籽荔枝品种，带头研发与改进产品品类，做好带头作用。</w:t>
      </w:r>
    </w:p>
    <w:p w14:paraId="7FD3C3FD">
      <w:pPr>
        <w:pStyle w:val="2"/>
        <w:ind w:left="420" w:firstLine="440" w:firstLineChars="200"/>
        <w:rPr>
          <w:rFonts w:hint="eastAsia" w:eastAsia="仿宋_GB2312"/>
          <w:sz w:val="22"/>
          <w:szCs w:val="22"/>
        </w:rPr>
      </w:pPr>
      <w:r>
        <w:rPr>
          <w:rFonts w:hint="eastAsia" w:eastAsia="仿宋_GB2312"/>
          <w:sz w:val="22"/>
          <w:szCs w:val="22"/>
        </w:rPr>
        <w:t>红格村4、5、6组以发展精品水果为主，引进先进种植</w:t>
      </w:r>
      <w:r>
        <w:rPr>
          <w:rFonts w:hint="eastAsia" w:eastAsia="仿宋_GB2312"/>
          <w:sz w:val="22"/>
          <w:szCs w:val="22"/>
          <w:lang w:eastAsia="zh-CN"/>
        </w:rPr>
        <w:t>技术</w:t>
      </w:r>
      <w:r>
        <w:rPr>
          <w:rFonts w:hint="eastAsia" w:eastAsia="仿宋_GB2312"/>
          <w:sz w:val="22"/>
          <w:szCs w:val="22"/>
        </w:rPr>
        <w:t>，进一步完善芒果+葡萄+可视化生态蔬菜产业，提升体验感。</w:t>
      </w:r>
    </w:p>
    <w:p w14:paraId="7A12BD10">
      <w:pPr>
        <w:pStyle w:val="2"/>
        <w:ind w:left="420" w:firstLine="440" w:firstLineChars="200"/>
        <w:rPr>
          <w:rFonts w:hint="eastAsia" w:eastAsia="仿宋_GB2312"/>
          <w:sz w:val="22"/>
          <w:szCs w:val="22"/>
        </w:rPr>
      </w:pPr>
      <w:r>
        <w:rPr>
          <w:rFonts w:hint="eastAsia" w:eastAsia="仿宋_GB2312"/>
          <w:sz w:val="22"/>
          <w:szCs w:val="22"/>
        </w:rPr>
        <w:t>红格村1、2、4组以发展精品果蔬为主，发展早市蔬菜、精品芒果种植，引进现代化种植技术。</w:t>
      </w:r>
    </w:p>
    <w:p w14:paraId="6991D522">
      <w:pPr>
        <w:pStyle w:val="2"/>
        <w:ind w:left="420" w:firstLine="440" w:firstLineChars="200"/>
        <w:rPr>
          <w:rFonts w:eastAsia="仿宋_GB2312"/>
          <w:sz w:val="22"/>
          <w:szCs w:val="22"/>
        </w:rPr>
      </w:pPr>
      <w:r>
        <w:rPr>
          <w:rFonts w:hint="eastAsia" w:eastAsia="仿宋_GB2312"/>
          <w:sz w:val="22"/>
          <w:szCs w:val="22"/>
        </w:rPr>
        <w:t>结合昔格达现状康养村基础，在昔格达村1、4、5组以发展多品类的现代化农业研学公园发展早市蔬菜、精品水稻、精品芒果、金柑、无籽荔枝、葡萄等多个研学基地，引进先进种植技术，做好片区产业研究与技术支撑，发展片区的核心产业技术研发与指导，同时与校外教育结合，做好课外教育。</w:t>
      </w:r>
    </w:p>
    <w:p w14:paraId="2F75CDE8">
      <w:pPr>
        <w:numPr>
          <w:ilvl w:val="0"/>
          <w:numId w:val="3"/>
        </w:numPr>
        <w:spacing w:before="62" w:beforeLines="20" w:after="62" w:afterLines="20" w:line="264" w:lineRule="auto"/>
        <w:rPr>
          <w:rFonts w:eastAsia="仿宋_GB2312"/>
          <w:sz w:val="22"/>
          <w:szCs w:val="22"/>
        </w:rPr>
      </w:pPr>
      <w:r>
        <w:rPr>
          <w:rFonts w:hint="eastAsia" w:eastAsia="仿宋_GB2312"/>
          <w:sz w:val="22"/>
          <w:szCs w:val="22"/>
        </w:rPr>
        <w:t>北部“矿伏” 单元产业指引</w:t>
      </w:r>
    </w:p>
    <w:p w14:paraId="37555BB6">
      <w:pPr>
        <w:pStyle w:val="2"/>
        <w:ind w:left="420" w:firstLine="440" w:firstLineChars="200"/>
        <w:rPr>
          <w:rFonts w:hint="eastAsia" w:eastAsia="仿宋_GB2312"/>
          <w:sz w:val="22"/>
          <w:szCs w:val="22"/>
        </w:rPr>
      </w:pPr>
      <w:r>
        <w:rPr>
          <w:rFonts w:hint="eastAsia" w:eastAsia="仿宋_GB2312"/>
          <w:sz w:val="22"/>
          <w:szCs w:val="22"/>
        </w:rPr>
        <w:t>昔格达村5组依托现状工矿区发展二产，在发展工矿的前提下，同时对复垦区域加强产业引导，注重生态修复。</w:t>
      </w:r>
    </w:p>
    <w:p w14:paraId="71FB4BBE">
      <w:pPr>
        <w:pStyle w:val="2"/>
        <w:ind w:left="420" w:firstLine="440" w:firstLineChars="200"/>
        <w:rPr>
          <w:rFonts w:eastAsia="仿宋_GB2312"/>
          <w:sz w:val="22"/>
          <w:szCs w:val="22"/>
        </w:rPr>
      </w:pPr>
      <w:r>
        <w:rPr>
          <w:rFonts w:hint="eastAsia" w:eastAsia="仿宋_GB2312"/>
          <w:sz w:val="22"/>
          <w:szCs w:val="22"/>
        </w:rPr>
        <w:t>昔格达村4组拓展</w:t>
      </w:r>
      <w:r>
        <w:rPr>
          <w:rFonts w:hint="eastAsia" w:eastAsia="仿宋_GB2312"/>
          <w:sz w:val="22"/>
          <w:szCs w:val="22"/>
          <w:lang w:eastAsia="zh-CN"/>
        </w:rPr>
        <w:t>光伏产业现状</w:t>
      </w:r>
      <w:r>
        <w:rPr>
          <w:rFonts w:hint="eastAsia" w:eastAsia="仿宋_GB2312"/>
          <w:sz w:val="22"/>
          <w:szCs w:val="22"/>
        </w:rPr>
        <w:t>，增强片区产业收入。</w:t>
      </w:r>
    </w:p>
    <w:p w14:paraId="5BCC59F5">
      <w:pPr>
        <w:spacing w:before="62" w:beforeLines="20" w:after="62" w:afterLines="20" w:line="264" w:lineRule="auto"/>
        <w:ind w:firstLine="440" w:firstLineChars="200"/>
        <w:rPr>
          <w:rFonts w:ascii="楷体" w:hAnsi="楷体" w:eastAsia="楷体" w:cs="楷体"/>
          <w:sz w:val="22"/>
          <w:szCs w:val="22"/>
        </w:rPr>
      </w:pPr>
      <w:bookmarkStart w:id="13" w:name="_Hlk204085185"/>
      <w:r>
        <w:rPr>
          <w:rFonts w:hint="eastAsia" w:ascii="楷体" w:hAnsi="楷体" w:eastAsia="楷体" w:cs="楷体"/>
          <w:sz w:val="22"/>
          <w:szCs w:val="22"/>
        </w:rPr>
        <w:t>（三）片区旅游发展指引</w:t>
      </w:r>
    </w:p>
    <w:p w14:paraId="291A9558">
      <w:pPr>
        <w:pStyle w:val="2"/>
        <w:ind w:left="420" w:firstLine="440" w:firstLineChars="200"/>
        <w:rPr>
          <w:rFonts w:eastAsia="仿宋_GB2312"/>
          <w:sz w:val="22"/>
          <w:szCs w:val="22"/>
        </w:rPr>
      </w:pPr>
      <w:r>
        <w:rPr>
          <w:rFonts w:hint="eastAsia" w:eastAsia="仿宋_GB2312"/>
          <w:sz w:val="22"/>
          <w:szCs w:val="22"/>
        </w:rPr>
        <w:t>构建“康养+研学体验</w:t>
      </w:r>
      <w:r>
        <w:rPr>
          <w:rFonts w:hint="eastAsia" w:eastAsia="仿宋_GB2312"/>
          <w:sz w:val="22"/>
          <w:szCs w:val="22"/>
          <w:lang w:eastAsia="zh-CN"/>
        </w:rPr>
        <w:t>”“</w:t>
      </w:r>
      <w:r>
        <w:rPr>
          <w:rFonts w:hint="eastAsia" w:eastAsia="仿宋_GB2312"/>
          <w:sz w:val="22"/>
          <w:szCs w:val="22"/>
        </w:rPr>
        <w:t>采摘+观光体验</w:t>
      </w:r>
      <w:r>
        <w:rPr>
          <w:rFonts w:hint="eastAsia" w:eastAsia="仿宋_GB2312"/>
          <w:sz w:val="22"/>
          <w:szCs w:val="22"/>
          <w:lang w:eastAsia="zh-CN"/>
        </w:rPr>
        <w:t>”“</w:t>
      </w:r>
      <w:r>
        <w:rPr>
          <w:rFonts w:hint="eastAsia" w:eastAsia="仿宋_GB2312"/>
          <w:sz w:val="22"/>
          <w:szCs w:val="22"/>
        </w:rPr>
        <w:t>品质康养体验</w:t>
      </w:r>
      <w:r>
        <w:rPr>
          <w:rFonts w:hint="eastAsia" w:eastAsia="仿宋_GB2312"/>
          <w:sz w:val="22"/>
          <w:szCs w:val="22"/>
          <w:lang w:eastAsia="zh-CN"/>
        </w:rPr>
        <w:t>”“</w:t>
      </w:r>
      <w:r>
        <w:rPr>
          <w:rFonts w:hint="eastAsia" w:eastAsia="仿宋_GB2312"/>
          <w:sz w:val="22"/>
          <w:szCs w:val="22"/>
        </w:rPr>
        <w:t>美食+康养体验”的旅游发展路径，</w:t>
      </w:r>
      <w:bookmarkEnd w:id="13"/>
      <w:r>
        <w:rPr>
          <w:rFonts w:hint="eastAsia" w:eastAsia="仿宋_GB2312"/>
          <w:sz w:val="22"/>
          <w:szCs w:val="22"/>
        </w:rPr>
        <w:t>片区率先形成农业种植先行区，做好体验、技术、研学、科普的领头人，种植技术人员要加强学习农业技术，同时要形成生态农业实践区，以农业筑底，减少环境污染，发展农业观光体验，在做好农业的基础上，要发展片区特色产业，形成特色康养示范区，做好多类型康养体验、品质体验、康养示范，最后在康养产业的基础上叠加其他附加产业，如“康养+美食”等，做好康养体验的后续商业服务。</w:t>
      </w:r>
    </w:p>
    <w:p w14:paraId="0002D21E">
      <w:pPr>
        <w:spacing w:before="62" w:beforeLines="20" w:after="62" w:afterLines="20" w:line="264" w:lineRule="auto"/>
        <w:ind w:firstLine="440" w:firstLineChars="200"/>
        <w:rPr>
          <w:rFonts w:ascii="楷体" w:hAnsi="楷体" w:eastAsia="楷体" w:cs="楷体"/>
          <w:sz w:val="22"/>
          <w:szCs w:val="22"/>
        </w:rPr>
      </w:pPr>
      <w:r>
        <w:rPr>
          <w:rFonts w:hint="eastAsia" w:ascii="楷体" w:hAnsi="楷体" w:eastAsia="楷体" w:cs="楷体"/>
          <w:sz w:val="22"/>
          <w:szCs w:val="22"/>
        </w:rPr>
        <w:t>（四）片区服务配套指引</w:t>
      </w:r>
    </w:p>
    <w:p w14:paraId="13E304E5">
      <w:pPr>
        <w:pStyle w:val="2"/>
        <w:ind w:left="420" w:firstLine="440" w:firstLineChars="200"/>
        <w:rPr>
          <w:rFonts w:hint="eastAsia" w:eastAsia="仿宋_GB2312"/>
          <w:sz w:val="22"/>
          <w:szCs w:val="22"/>
        </w:rPr>
      </w:pPr>
      <w:r>
        <w:rPr>
          <w:rFonts w:hint="eastAsia" w:eastAsia="仿宋_GB2312"/>
          <w:sz w:val="22"/>
          <w:szCs w:val="22"/>
        </w:rPr>
        <w:t>结合各级驿站完善旅游服务设施配套，鼓励生活配套和旅游服务配套设施的一体化布局，形成片区级和村级“5+12”产业设施服务体系，依托镇区产业设施共享，主要包括红格镇级物流服</w:t>
      </w:r>
      <w:r>
        <w:rPr>
          <w:rFonts w:hint="eastAsia" w:eastAsia="仿宋_GB2312"/>
          <w:sz w:val="22"/>
          <w:szCs w:val="22"/>
          <w:lang w:eastAsia="zh-CN"/>
        </w:rPr>
        <w:t>务站</w:t>
      </w:r>
      <w:r>
        <w:rPr>
          <w:rFonts w:hint="eastAsia" w:eastAsia="仿宋_GB2312"/>
          <w:sz w:val="22"/>
          <w:szCs w:val="22"/>
        </w:rPr>
        <w:t>、红格镇级展销中心、红格镇级农机库房、红格镇级电商中心、片区精品水果物流仓储基地，同时打造村级产业服务设施，主要包括红格村村级物流服务点、红格村电商中心、红格村冷链物流基地、昔格达村冷链物流基地、昔格达村电商中心、昔格达村研学基地、农业研发与技术中心（配建）、昔格达村村级物流服务点、米线加工厂、昔格达村冻库、昔格达村农产品初加工基地、昔格达村展销中心。</w:t>
      </w:r>
    </w:p>
    <w:p w14:paraId="74D7248E">
      <w:pPr>
        <w:numPr>
          <w:ilvl w:val="0"/>
          <w:numId w:val="1"/>
        </w:numPr>
        <w:spacing w:before="62" w:beforeLines="20" w:after="62" w:afterLines="20" w:line="264" w:lineRule="auto"/>
        <w:ind w:firstLine="640"/>
        <w:outlineLvl w:val="0"/>
        <w:rPr>
          <w:rFonts w:eastAsia="黑体"/>
          <w:bCs/>
          <w:sz w:val="22"/>
          <w:szCs w:val="22"/>
        </w:rPr>
      </w:pPr>
      <w:r>
        <w:rPr>
          <w:rFonts w:hint="eastAsia" w:eastAsia="黑体"/>
          <w:bCs/>
          <w:sz w:val="22"/>
          <w:szCs w:val="22"/>
        </w:rPr>
        <w:t>公服设施规划</w:t>
      </w:r>
    </w:p>
    <w:p w14:paraId="77E3D810">
      <w:pPr>
        <w:spacing w:before="62" w:beforeLines="20" w:after="62" w:afterLines="20" w:line="264" w:lineRule="auto"/>
        <w:ind w:firstLine="440" w:firstLineChars="200"/>
        <w:rPr>
          <w:rFonts w:eastAsia="仿宋_GB2312"/>
          <w:sz w:val="22"/>
          <w:szCs w:val="22"/>
        </w:rPr>
      </w:pPr>
      <w:r>
        <w:rPr>
          <w:rFonts w:hint="eastAsia" w:eastAsia="仿宋_GB2312"/>
          <w:sz w:val="22"/>
          <w:szCs w:val="22"/>
        </w:rPr>
        <w:t>聚焦解决乡村设施“闲置”与“紧缺”</w:t>
      </w:r>
      <w:r>
        <w:rPr>
          <w:rFonts w:hint="eastAsia" w:eastAsia="仿宋_GB2312"/>
          <w:sz w:val="22"/>
          <w:szCs w:val="22"/>
          <w:lang w:eastAsia="zh-CN"/>
        </w:rPr>
        <w:t>并存</w:t>
      </w:r>
      <w:r>
        <w:rPr>
          <w:rFonts w:hint="eastAsia" w:eastAsia="仿宋_GB2312"/>
          <w:sz w:val="22"/>
          <w:szCs w:val="22"/>
        </w:rPr>
        <w:t>问题，结合专项规划及镇级片区规划，结合现状及民意调查，考虑居住人群、旅游人群、产业人群三类人群的需求，统筹公共服务设施和基础设施布局，以安全、经济、服务产业发展及村民生活为原则，提出设施建设的选址、规模和标准。</w:t>
      </w:r>
    </w:p>
    <w:p w14:paraId="72220B1C">
      <w:pPr>
        <w:spacing w:before="62" w:beforeLines="20" w:after="62" w:afterLines="20" w:line="264" w:lineRule="auto"/>
        <w:ind w:firstLine="440" w:firstLineChars="20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一</w:t>
      </w:r>
      <w:r>
        <w:rPr>
          <w:rFonts w:ascii="楷体" w:hAnsi="楷体" w:eastAsia="楷体" w:cs="楷体"/>
          <w:sz w:val="22"/>
          <w:szCs w:val="22"/>
        </w:rPr>
        <w:t>）</w:t>
      </w:r>
      <w:r>
        <w:rPr>
          <w:rFonts w:hint="eastAsia" w:ascii="楷体" w:hAnsi="楷体" w:eastAsia="楷体" w:cs="楷体"/>
          <w:sz w:val="22"/>
          <w:szCs w:val="22"/>
        </w:rPr>
        <w:t>行政管理服务设施</w:t>
      </w:r>
    </w:p>
    <w:p w14:paraId="1F1135CC">
      <w:pPr>
        <w:spacing w:before="62" w:beforeLines="20" w:after="62" w:afterLines="20" w:line="264" w:lineRule="auto"/>
        <w:ind w:firstLine="440" w:firstLineChars="200"/>
        <w:rPr>
          <w:rFonts w:eastAsia="仿宋_GB2312"/>
          <w:sz w:val="22"/>
          <w:szCs w:val="22"/>
        </w:rPr>
      </w:pPr>
      <w:r>
        <w:rPr>
          <w:rFonts w:hint="eastAsia" w:eastAsia="仿宋_GB2312"/>
          <w:sz w:val="22"/>
          <w:szCs w:val="22"/>
        </w:rPr>
        <w:t>现状基本满足需求。</w:t>
      </w:r>
    </w:p>
    <w:p w14:paraId="72499A10">
      <w:pPr>
        <w:spacing w:before="62" w:beforeLines="20" w:after="62" w:afterLines="20" w:line="264" w:lineRule="auto"/>
        <w:ind w:firstLine="440" w:firstLineChars="20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二</w:t>
      </w:r>
      <w:r>
        <w:rPr>
          <w:rFonts w:ascii="楷体" w:hAnsi="楷体" w:eastAsia="楷体" w:cs="楷体"/>
          <w:sz w:val="22"/>
          <w:szCs w:val="22"/>
        </w:rPr>
        <w:t>）</w:t>
      </w:r>
      <w:r>
        <w:rPr>
          <w:rFonts w:hint="eastAsia" w:ascii="楷体" w:hAnsi="楷体" w:eastAsia="楷体" w:cs="楷体"/>
          <w:sz w:val="22"/>
          <w:szCs w:val="22"/>
        </w:rPr>
        <w:t>文体服务设施</w:t>
      </w:r>
    </w:p>
    <w:p w14:paraId="0CA8588B">
      <w:pPr>
        <w:spacing w:before="62" w:beforeLines="20" w:after="62" w:afterLines="20" w:line="264" w:lineRule="auto"/>
        <w:ind w:firstLine="440" w:firstLineChars="200"/>
        <w:rPr>
          <w:rFonts w:eastAsia="仿宋_GB2312"/>
          <w:sz w:val="22"/>
          <w:szCs w:val="22"/>
        </w:rPr>
      </w:pPr>
      <w:r>
        <w:rPr>
          <w:rFonts w:hint="eastAsia" w:eastAsia="仿宋_GB2312"/>
          <w:sz w:val="22"/>
          <w:szCs w:val="22"/>
        </w:rPr>
        <w:t>红格村规划新增2处健身广场，昔格达村规划新增4处健身广场；对现状健身广场的设施进行及时更新。</w:t>
      </w:r>
    </w:p>
    <w:p w14:paraId="3159825F">
      <w:pPr>
        <w:spacing w:before="62" w:beforeLines="20" w:after="62" w:afterLines="20" w:line="264" w:lineRule="auto"/>
        <w:ind w:firstLine="440" w:firstLineChars="200"/>
        <w:rPr>
          <w:rFonts w:hint="eastAsia" w:ascii="楷体" w:hAnsi="楷体" w:eastAsia="楷体" w:cs="楷体"/>
          <w:sz w:val="22"/>
          <w:szCs w:val="22"/>
        </w:rPr>
      </w:pPr>
      <w:bookmarkStart w:id="14" w:name="_Hlk204085382"/>
      <w:r>
        <w:rPr>
          <w:rFonts w:ascii="楷体" w:hAnsi="楷体" w:eastAsia="楷体" w:cs="楷体"/>
          <w:sz w:val="22"/>
          <w:szCs w:val="22"/>
        </w:rPr>
        <w:t>（</w:t>
      </w:r>
      <w:r>
        <w:rPr>
          <w:rFonts w:hint="eastAsia" w:ascii="楷体" w:hAnsi="楷体" w:eastAsia="楷体" w:cs="楷体"/>
          <w:sz w:val="22"/>
          <w:szCs w:val="22"/>
        </w:rPr>
        <w:t>三</w:t>
      </w:r>
      <w:r>
        <w:rPr>
          <w:rFonts w:ascii="楷体" w:hAnsi="楷体" w:eastAsia="楷体" w:cs="楷体"/>
          <w:sz w:val="22"/>
          <w:szCs w:val="22"/>
        </w:rPr>
        <w:t>）</w:t>
      </w:r>
      <w:r>
        <w:rPr>
          <w:rFonts w:hint="eastAsia" w:ascii="楷体" w:hAnsi="楷体" w:eastAsia="楷体" w:cs="楷体"/>
          <w:sz w:val="22"/>
          <w:szCs w:val="22"/>
        </w:rPr>
        <w:t>教育医疗服务设施</w:t>
      </w:r>
    </w:p>
    <w:p w14:paraId="22A02F94">
      <w:pPr>
        <w:spacing w:before="62" w:beforeLines="20" w:after="62" w:afterLines="20" w:line="264" w:lineRule="auto"/>
        <w:ind w:firstLine="440" w:firstLineChars="200"/>
        <w:rPr>
          <w:rFonts w:eastAsia="仿宋_GB2312"/>
          <w:sz w:val="22"/>
          <w:szCs w:val="22"/>
        </w:rPr>
      </w:pPr>
      <w:r>
        <w:rPr>
          <w:rFonts w:hint="eastAsia" w:eastAsia="仿宋_GB2312"/>
          <w:sz w:val="22"/>
          <w:szCs w:val="22"/>
        </w:rPr>
        <w:t>现状基本满足需求</w:t>
      </w:r>
      <w:r>
        <w:rPr>
          <w:rFonts w:eastAsia="仿宋_GB2312"/>
          <w:sz w:val="22"/>
          <w:szCs w:val="22"/>
        </w:rPr>
        <w:t>。</w:t>
      </w:r>
    </w:p>
    <w:bookmarkEnd w:id="14"/>
    <w:p w14:paraId="675210AE">
      <w:pPr>
        <w:spacing w:before="62" w:beforeLines="20" w:after="62" w:afterLines="20" w:line="264" w:lineRule="auto"/>
        <w:ind w:firstLine="440" w:firstLineChars="200"/>
        <w:rPr>
          <w:rFonts w:hint="eastAsia" w:ascii="楷体" w:hAnsi="楷体" w:eastAsia="楷体" w:cs="楷体"/>
          <w:sz w:val="22"/>
          <w:szCs w:val="22"/>
        </w:rPr>
      </w:pPr>
      <w:bookmarkStart w:id="15" w:name="_Hlk204085474"/>
      <w:r>
        <w:rPr>
          <w:rFonts w:ascii="楷体" w:hAnsi="楷体" w:eastAsia="楷体" w:cs="楷体"/>
          <w:sz w:val="22"/>
          <w:szCs w:val="22"/>
        </w:rPr>
        <w:t>（</w:t>
      </w:r>
      <w:r>
        <w:rPr>
          <w:rFonts w:hint="eastAsia" w:ascii="楷体" w:hAnsi="楷体" w:eastAsia="楷体" w:cs="楷体"/>
          <w:sz w:val="22"/>
          <w:szCs w:val="22"/>
        </w:rPr>
        <w:t>四</w:t>
      </w:r>
      <w:r>
        <w:rPr>
          <w:rFonts w:ascii="楷体" w:hAnsi="楷体" w:eastAsia="楷体" w:cs="楷体"/>
          <w:sz w:val="22"/>
          <w:szCs w:val="22"/>
        </w:rPr>
        <w:t>）</w:t>
      </w:r>
      <w:r>
        <w:rPr>
          <w:rFonts w:hint="eastAsia" w:ascii="楷体" w:hAnsi="楷体" w:eastAsia="楷体" w:cs="楷体"/>
          <w:sz w:val="22"/>
          <w:szCs w:val="22"/>
        </w:rPr>
        <w:t>商业服务设施</w:t>
      </w:r>
    </w:p>
    <w:p w14:paraId="5256CA16">
      <w:pPr>
        <w:spacing w:before="62" w:beforeLines="20" w:after="62" w:afterLines="20" w:line="264" w:lineRule="auto"/>
        <w:ind w:firstLine="440" w:firstLineChars="200"/>
        <w:rPr>
          <w:rFonts w:eastAsia="仿宋_GB2312"/>
          <w:sz w:val="22"/>
          <w:szCs w:val="22"/>
        </w:rPr>
      </w:pPr>
      <w:r>
        <w:rPr>
          <w:rFonts w:hint="eastAsia" w:eastAsia="仿宋_GB2312"/>
          <w:sz w:val="22"/>
          <w:szCs w:val="22"/>
        </w:rPr>
        <w:t>保留现状商服设施，并进行品质提升；昔格达村结合农业公园，新增2处农家便利店</w:t>
      </w:r>
      <w:r>
        <w:rPr>
          <w:rFonts w:eastAsia="仿宋_GB2312"/>
          <w:sz w:val="22"/>
          <w:szCs w:val="22"/>
        </w:rPr>
        <w:t>。</w:t>
      </w:r>
    </w:p>
    <w:bookmarkEnd w:id="15"/>
    <w:p w14:paraId="38936340">
      <w:pPr>
        <w:spacing w:line="360" w:lineRule="auto"/>
        <w:ind w:firstLine="440" w:firstLineChars="200"/>
        <w:jc w:val="center"/>
        <w:rPr>
          <w:rFonts w:hint="eastAsia" w:ascii="仿宋" w:hAnsi="仿宋" w:eastAsia="仿宋"/>
          <w:sz w:val="22"/>
          <w:lang w:bidi="zh-CN"/>
        </w:rPr>
      </w:pPr>
      <w:r>
        <w:rPr>
          <w:rFonts w:hint="eastAsia" w:ascii="仿宋" w:hAnsi="仿宋" w:eastAsia="仿宋"/>
          <w:sz w:val="22"/>
          <w:lang w:bidi="zh-CN"/>
        </w:rPr>
        <w:t>表</w:t>
      </w:r>
      <w:r>
        <w:rPr>
          <w:rFonts w:ascii="仿宋" w:hAnsi="仿宋" w:eastAsia="仿宋"/>
          <w:sz w:val="22"/>
          <w:lang w:bidi="zh-CN"/>
        </w:rPr>
        <w:t>8-1</w:t>
      </w:r>
      <w:r>
        <w:rPr>
          <w:rFonts w:hint="eastAsia" w:ascii="仿宋" w:hAnsi="仿宋" w:eastAsia="仿宋"/>
          <w:sz w:val="22"/>
          <w:lang w:bidi="zh-CN"/>
        </w:rPr>
        <w:t>：规划公共服务设施一览表</w:t>
      </w:r>
    </w:p>
    <w:tbl>
      <w:tblPr>
        <w:tblStyle w:val="15"/>
        <w:tblW w:w="5000" w:type="pct"/>
        <w:tblInd w:w="0" w:type="dxa"/>
        <w:tblLayout w:type="autofit"/>
        <w:tblCellMar>
          <w:top w:w="0" w:type="dxa"/>
          <w:left w:w="108" w:type="dxa"/>
          <w:bottom w:w="0" w:type="dxa"/>
          <w:right w:w="108" w:type="dxa"/>
        </w:tblCellMar>
      </w:tblPr>
      <w:tblGrid>
        <w:gridCol w:w="1534"/>
        <w:gridCol w:w="3015"/>
        <w:gridCol w:w="2842"/>
        <w:gridCol w:w="3384"/>
      </w:tblGrid>
      <w:tr w14:paraId="7BE8BE15">
        <w:tblPrEx>
          <w:tblCellMar>
            <w:top w:w="0" w:type="dxa"/>
            <w:left w:w="108" w:type="dxa"/>
            <w:bottom w:w="0" w:type="dxa"/>
            <w:right w:w="108" w:type="dxa"/>
          </w:tblCellMar>
        </w:tblPrEx>
        <w:trPr>
          <w:trHeight w:val="330" w:hRule="atLeast"/>
        </w:trPr>
        <w:tc>
          <w:tcPr>
            <w:tcW w:w="712" w:type="pct"/>
            <w:tcBorders>
              <w:top w:val="single" w:color="auto" w:sz="4" w:space="0"/>
              <w:left w:val="single" w:color="auto" w:sz="4" w:space="0"/>
              <w:bottom w:val="single" w:color="auto" w:sz="4" w:space="0"/>
              <w:right w:val="single" w:color="auto" w:sz="4" w:space="0"/>
            </w:tcBorders>
            <w:vAlign w:val="center"/>
          </w:tcPr>
          <w:p w14:paraId="095350DD">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类别</w:t>
            </w:r>
          </w:p>
        </w:tc>
        <w:tc>
          <w:tcPr>
            <w:tcW w:w="1399" w:type="pct"/>
            <w:tcBorders>
              <w:top w:val="single" w:color="auto" w:sz="4" w:space="0"/>
              <w:left w:val="nil"/>
              <w:bottom w:val="single" w:color="auto" w:sz="4" w:space="0"/>
              <w:right w:val="single" w:color="auto" w:sz="4" w:space="0"/>
            </w:tcBorders>
            <w:vAlign w:val="center"/>
          </w:tcPr>
          <w:p w14:paraId="5C51F41E">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设施名称</w:t>
            </w:r>
          </w:p>
        </w:tc>
        <w:tc>
          <w:tcPr>
            <w:tcW w:w="1319" w:type="pct"/>
            <w:tcBorders>
              <w:top w:val="single" w:color="auto" w:sz="4" w:space="0"/>
              <w:left w:val="nil"/>
              <w:bottom w:val="single" w:color="auto" w:sz="4" w:space="0"/>
              <w:right w:val="single" w:color="auto" w:sz="4" w:space="0"/>
            </w:tcBorders>
            <w:vAlign w:val="center"/>
          </w:tcPr>
          <w:p w14:paraId="4F0F07D4">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红格村</w:t>
            </w:r>
          </w:p>
        </w:tc>
        <w:tc>
          <w:tcPr>
            <w:tcW w:w="1570" w:type="pct"/>
            <w:tcBorders>
              <w:top w:val="single" w:color="auto" w:sz="4" w:space="0"/>
              <w:left w:val="nil"/>
              <w:bottom w:val="single" w:color="auto" w:sz="4" w:space="0"/>
              <w:right w:val="single" w:color="auto" w:sz="4" w:space="0"/>
            </w:tcBorders>
            <w:vAlign w:val="center"/>
          </w:tcPr>
          <w:p w14:paraId="0EAC1D32">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昔格达村</w:t>
            </w:r>
          </w:p>
        </w:tc>
      </w:tr>
      <w:tr w14:paraId="7EB93487">
        <w:tblPrEx>
          <w:tblCellMar>
            <w:top w:w="0" w:type="dxa"/>
            <w:left w:w="108" w:type="dxa"/>
            <w:bottom w:w="0" w:type="dxa"/>
            <w:right w:w="108" w:type="dxa"/>
          </w:tblCellMar>
        </w:tblPrEx>
        <w:trPr>
          <w:trHeight w:val="330" w:hRule="atLeast"/>
        </w:trPr>
        <w:tc>
          <w:tcPr>
            <w:tcW w:w="712" w:type="pct"/>
            <w:vMerge w:val="restart"/>
            <w:tcBorders>
              <w:top w:val="nil"/>
              <w:left w:val="single" w:color="auto" w:sz="4" w:space="0"/>
              <w:bottom w:val="single" w:color="auto" w:sz="4" w:space="0"/>
              <w:right w:val="single" w:color="auto" w:sz="4" w:space="0"/>
            </w:tcBorders>
            <w:vAlign w:val="center"/>
          </w:tcPr>
          <w:p w14:paraId="2AD1314D">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行政管理</w:t>
            </w:r>
          </w:p>
        </w:tc>
        <w:tc>
          <w:tcPr>
            <w:tcW w:w="1399" w:type="pct"/>
            <w:tcBorders>
              <w:top w:val="nil"/>
              <w:left w:val="nil"/>
              <w:bottom w:val="single" w:color="auto" w:sz="4" w:space="0"/>
              <w:right w:val="single" w:color="auto" w:sz="4" w:space="0"/>
            </w:tcBorders>
            <w:vAlign w:val="center"/>
          </w:tcPr>
          <w:p w14:paraId="365D329C">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村委会</w:t>
            </w:r>
          </w:p>
        </w:tc>
        <w:tc>
          <w:tcPr>
            <w:tcW w:w="1319" w:type="pct"/>
            <w:tcBorders>
              <w:top w:val="nil"/>
              <w:left w:val="nil"/>
              <w:bottom w:val="single" w:color="auto" w:sz="4" w:space="0"/>
              <w:right w:val="single" w:color="auto" w:sz="4" w:space="0"/>
            </w:tcBorders>
            <w:vAlign w:val="center"/>
          </w:tcPr>
          <w:p w14:paraId="306B6A22">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c>
          <w:tcPr>
            <w:tcW w:w="1570" w:type="pct"/>
            <w:tcBorders>
              <w:top w:val="nil"/>
              <w:left w:val="nil"/>
              <w:bottom w:val="single" w:color="auto" w:sz="4" w:space="0"/>
              <w:right w:val="single" w:color="auto" w:sz="4" w:space="0"/>
            </w:tcBorders>
            <w:vAlign w:val="center"/>
          </w:tcPr>
          <w:p w14:paraId="23D35D90">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r>
      <w:tr w14:paraId="3427D297">
        <w:tblPrEx>
          <w:tblCellMar>
            <w:top w:w="0" w:type="dxa"/>
            <w:left w:w="108" w:type="dxa"/>
            <w:bottom w:w="0" w:type="dxa"/>
            <w:right w:w="108" w:type="dxa"/>
          </w:tblCellMar>
        </w:tblPrEx>
        <w:trPr>
          <w:trHeight w:val="330" w:hRule="atLeast"/>
        </w:trPr>
        <w:tc>
          <w:tcPr>
            <w:tcW w:w="712" w:type="pct"/>
            <w:vMerge w:val="continue"/>
            <w:tcBorders>
              <w:top w:val="nil"/>
              <w:left w:val="single" w:color="auto" w:sz="4" w:space="0"/>
              <w:bottom w:val="single" w:color="auto" w:sz="4" w:space="0"/>
              <w:right w:val="single" w:color="auto" w:sz="4" w:space="0"/>
            </w:tcBorders>
            <w:vAlign w:val="center"/>
          </w:tcPr>
          <w:p w14:paraId="2221095E">
            <w:pPr>
              <w:widowControl/>
              <w:jc w:val="left"/>
              <w:rPr>
                <w:rFonts w:hint="eastAsia" w:ascii="仿宋" w:hAnsi="仿宋" w:eastAsia="仿宋" w:cs="宋体"/>
                <w:color w:val="000000"/>
                <w:kern w:val="0"/>
                <w:sz w:val="20"/>
                <w:szCs w:val="20"/>
              </w:rPr>
            </w:pPr>
          </w:p>
        </w:tc>
        <w:tc>
          <w:tcPr>
            <w:tcW w:w="1399" w:type="pct"/>
            <w:tcBorders>
              <w:top w:val="nil"/>
              <w:left w:val="nil"/>
              <w:bottom w:val="single" w:color="auto" w:sz="4" w:space="0"/>
              <w:right w:val="single" w:color="auto" w:sz="4" w:space="0"/>
            </w:tcBorders>
            <w:vAlign w:val="center"/>
          </w:tcPr>
          <w:p w14:paraId="68712B65">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便民服务站</w:t>
            </w:r>
          </w:p>
        </w:tc>
        <w:tc>
          <w:tcPr>
            <w:tcW w:w="1319" w:type="pct"/>
            <w:tcBorders>
              <w:top w:val="nil"/>
              <w:left w:val="nil"/>
              <w:bottom w:val="single" w:color="auto" w:sz="4" w:space="0"/>
              <w:right w:val="single" w:color="auto" w:sz="4" w:space="0"/>
            </w:tcBorders>
            <w:vAlign w:val="center"/>
          </w:tcPr>
          <w:p w14:paraId="589AB022">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c>
          <w:tcPr>
            <w:tcW w:w="1570" w:type="pct"/>
            <w:tcBorders>
              <w:top w:val="nil"/>
              <w:left w:val="nil"/>
              <w:bottom w:val="single" w:color="auto" w:sz="4" w:space="0"/>
              <w:right w:val="single" w:color="auto" w:sz="4" w:space="0"/>
            </w:tcBorders>
            <w:vAlign w:val="center"/>
          </w:tcPr>
          <w:p w14:paraId="4163FE84">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r>
      <w:tr w14:paraId="5F017D58">
        <w:tblPrEx>
          <w:tblCellMar>
            <w:top w:w="0" w:type="dxa"/>
            <w:left w:w="108" w:type="dxa"/>
            <w:bottom w:w="0" w:type="dxa"/>
            <w:right w:w="108" w:type="dxa"/>
          </w:tblCellMar>
        </w:tblPrEx>
        <w:trPr>
          <w:trHeight w:val="330" w:hRule="atLeast"/>
        </w:trPr>
        <w:tc>
          <w:tcPr>
            <w:tcW w:w="712" w:type="pct"/>
            <w:vMerge w:val="continue"/>
            <w:tcBorders>
              <w:top w:val="nil"/>
              <w:left w:val="single" w:color="auto" w:sz="4" w:space="0"/>
              <w:bottom w:val="single" w:color="auto" w:sz="4" w:space="0"/>
              <w:right w:val="single" w:color="auto" w:sz="4" w:space="0"/>
            </w:tcBorders>
            <w:vAlign w:val="center"/>
          </w:tcPr>
          <w:p w14:paraId="76C6AD04">
            <w:pPr>
              <w:widowControl/>
              <w:jc w:val="left"/>
              <w:rPr>
                <w:rFonts w:hint="eastAsia" w:ascii="仿宋" w:hAnsi="仿宋" w:eastAsia="仿宋" w:cs="宋体"/>
                <w:color w:val="000000"/>
                <w:kern w:val="0"/>
                <w:sz w:val="20"/>
                <w:szCs w:val="20"/>
              </w:rPr>
            </w:pPr>
          </w:p>
        </w:tc>
        <w:tc>
          <w:tcPr>
            <w:tcW w:w="1399" w:type="pct"/>
            <w:tcBorders>
              <w:top w:val="nil"/>
              <w:left w:val="nil"/>
              <w:bottom w:val="single" w:color="auto" w:sz="4" w:space="0"/>
              <w:right w:val="single" w:color="auto" w:sz="4" w:space="0"/>
            </w:tcBorders>
            <w:vAlign w:val="center"/>
          </w:tcPr>
          <w:p w14:paraId="3EE85B34">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综合调节中心</w:t>
            </w:r>
          </w:p>
        </w:tc>
        <w:tc>
          <w:tcPr>
            <w:tcW w:w="1319" w:type="pct"/>
            <w:tcBorders>
              <w:top w:val="nil"/>
              <w:left w:val="nil"/>
              <w:bottom w:val="single" w:color="auto" w:sz="4" w:space="0"/>
              <w:right w:val="single" w:color="auto" w:sz="4" w:space="0"/>
            </w:tcBorders>
            <w:vAlign w:val="center"/>
          </w:tcPr>
          <w:p w14:paraId="72FFB154">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c>
          <w:tcPr>
            <w:tcW w:w="1570" w:type="pct"/>
            <w:tcBorders>
              <w:top w:val="nil"/>
              <w:left w:val="nil"/>
              <w:bottom w:val="single" w:color="auto" w:sz="4" w:space="0"/>
              <w:right w:val="single" w:color="auto" w:sz="4" w:space="0"/>
            </w:tcBorders>
            <w:vAlign w:val="center"/>
          </w:tcPr>
          <w:p w14:paraId="5642E2BE">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r>
      <w:tr w14:paraId="30B78905">
        <w:tblPrEx>
          <w:tblCellMar>
            <w:top w:w="0" w:type="dxa"/>
            <w:left w:w="108" w:type="dxa"/>
            <w:bottom w:w="0" w:type="dxa"/>
            <w:right w:w="108" w:type="dxa"/>
          </w:tblCellMar>
        </w:tblPrEx>
        <w:trPr>
          <w:trHeight w:val="330" w:hRule="atLeast"/>
        </w:trPr>
        <w:tc>
          <w:tcPr>
            <w:tcW w:w="712" w:type="pct"/>
            <w:vMerge w:val="restart"/>
            <w:tcBorders>
              <w:top w:val="nil"/>
              <w:left w:val="single" w:color="auto" w:sz="4" w:space="0"/>
              <w:right w:val="single" w:color="auto" w:sz="4" w:space="0"/>
            </w:tcBorders>
            <w:vAlign w:val="center"/>
          </w:tcPr>
          <w:p w14:paraId="7CEEC1EF">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文体设施</w:t>
            </w:r>
          </w:p>
          <w:p w14:paraId="57328F81">
            <w:pPr>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　</w:t>
            </w:r>
          </w:p>
        </w:tc>
        <w:tc>
          <w:tcPr>
            <w:tcW w:w="1399" w:type="pct"/>
            <w:tcBorders>
              <w:top w:val="nil"/>
              <w:left w:val="nil"/>
              <w:bottom w:val="single" w:color="auto" w:sz="4" w:space="0"/>
              <w:right w:val="single" w:color="auto" w:sz="4" w:space="0"/>
            </w:tcBorders>
            <w:vAlign w:val="center"/>
          </w:tcPr>
          <w:p w14:paraId="49B82F57">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文化活动室</w:t>
            </w:r>
          </w:p>
        </w:tc>
        <w:tc>
          <w:tcPr>
            <w:tcW w:w="1319" w:type="pct"/>
            <w:tcBorders>
              <w:top w:val="nil"/>
              <w:left w:val="nil"/>
              <w:bottom w:val="single" w:color="auto" w:sz="4" w:space="0"/>
              <w:right w:val="single" w:color="auto" w:sz="4" w:space="0"/>
            </w:tcBorders>
            <w:vAlign w:val="center"/>
          </w:tcPr>
          <w:p w14:paraId="39FCF087">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c>
          <w:tcPr>
            <w:tcW w:w="1570" w:type="pct"/>
            <w:tcBorders>
              <w:top w:val="nil"/>
              <w:left w:val="nil"/>
              <w:bottom w:val="single" w:color="auto" w:sz="4" w:space="0"/>
              <w:right w:val="single" w:color="auto" w:sz="4" w:space="0"/>
            </w:tcBorders>
            <w:vAlign w:val="center"/>
          </w:tcPr>
          <w:p w14:paraId="37A42F4E">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r>
      <w:tr w14:paraId="7CE735FB">
        <w:tblPrEx>
          <w:tblCellMar>
            <w:top w:w="0" w:type="dxa"/>
            <w:left w:w="108" w:type="dxa"/>
            <w:bottom w:w="0" w:type="dxa"/>
            <w:right w:w="108" w:type="dxa"/>
          </w:tblCellMar>
        </w:tblPrEx>
        <w:trPr>
          <w:trHeight w:val="386" w:hRule="atLeast"/>
        </w:trPr>
        <w:tc>
          <w:tcPr>
            <w:tcW w:w="712" w:type="pct"/>
            <w:vMerge w:val="continue"/>
            <w:tcBorders>
              <w:left w:val="single" w:color="auto" w:sz="4" w:space="0"/>
              <w:right w:val="single" w:color="auto" w:sz="4" w:space="0"/>
            </w:tcBorders>
            <w:vAlign w:val="center"/>
          </w:tcPr>
          <w:p w14:paraId="0C105BD0">
            <w:pPr>
              <w:jc w:val="center"/>
              <w:rPr>
                <w:rFonts w:hint="eastAsia" w:ascii="仿宋" w:hAnsi="仿宋" w:eastAsia="仿宋" w:cs="宋体"/>
                <w:color w:val="000000"/>
                <w:kern w:val="0"/>
                <w:sz w:val="20"/>
                <w:szCs w:val="20"/>
              </w:rPr>
            </w:pPr>
          </w:p>
        </w:tc>
        <w:tc>
          <w:tcPr>
            <w:tcW w:w="1399" w:type="pct"/>
            <w:tcBorders>
              <w:top w:val="nil"/>
              <w:left w:val="nil"/>
              <w:bottom w:val="single" w:color="auto" w:sz="4" w:space="0"/>
              <w:right w:val="single" w:color="auto" w:sz="4" w:space="0"/>
            </w:tcBorders>
            <w:vAlign w:val="center"/>
          </w:tcPr>
          <w:p w14:paraId="6A9EE99D">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健身场地</w:t>
            </w:r>
          </w:p>
        </w:tc>
        <w:tc>
          <w:tcPr>
            <w:tcW w:w="1319" w:type="pct"/>
            <w:tcBorders>
              <w:top w:val="nil"/>
              <w:left w:val="nil"/>
              <w:bottom w:val="single" w:color="auto" w:sz="4" w:space="0"/>
              <w:right w:val="single" w:color="auto" w:sz="4" w:space="0"/>
            </w:tcBorders>
            <w:vAlign w:val="center"/>
          </w:tcPr>
          <w:p w14:paraId="6D752EEF">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现状3处，新增2处（1社、5社）</w:t>
            </w:r>
          </w:p>
        </w:tc>
        <w:tc>
          <w:tcPr>
            <w:tcW w:w="1570" w:type="pct"/>
            <w:tcBorders>
              <w:top w:val="nil"/>
              <w:left w:val="nil"/>
              <w:bottom w:val="single" w:color="auto" w:sz="4" w:space="0"/>
              <w:right w:val="single" w:color="auto" w:sz="4" w:space="0"/>
            </w:tcBorders>
            <w:vAlign w:val="center"/>
          </w:tcPr>
          <w:p w14:paraId="43966D2D">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现状4处 新增5处（1、2、3、4社）</w:t>
            </w:r>
          </w:p>
        </w:tc>
      </w:tr>
      <w:tr w14:paraId="064D18DE">
        <w:tblPrEx>
          <w:tblCellMar>
            <w:top w:w="0" w:type="dxa"/>
            <w:left w:w="108" w:type="dxa"/>
            <w:bottom w:w="0" w:type="dxa"/>
            <w:right w:w="108" w:type="dxa"/>
          </w:tblCellMar>
        </w:tblPrEx>
        <w:trPr>
          <w:trHeight w:val="330" w:hRule="atLeast"/>
        </w:trPr>
        <w:tc>
          <w:tcPr>
            <w:tcW w:w="712" w:type="pct"/>
            <w:vMerge w:val="continue"/>
            <w:tcBorders>
              <w:left w:val="single" w:color="auto" w:sz="4" w:space="0"/>
              <w:right w:val="single" w:color="auto" w:sz="4" w:space="0"/>
            </w:tcBorders>
            <w:vAlign w:val="center"/>
          </w:tcPr>
          <w:p w14:paraId="4D0EC7D5">
            <w:pPr>
              <w:jc w:val="center"/>
              <w:rPr>
                <w:rFonts w:hint="eastAsia" w:ascii="仿宋" w:hAnsi="仿宋" w:eastAsia="仿宋" w:cs="宋体"/>
                <w:color w:val="000000"/>
                <w:kern w:val="0"/>
                <w:sz w:val="20"/>
                <w:szCs w:val="20"/>
              </w:rPr>
            </w:pPr>
          </w:p>
        </w:tc>
        <w:tc>
          <w:tcPr>
            <w:tcW w:w="1399" w:type="pct"/>
            <w:tcBorders>
              <w:top w:val="nil"/>
              <w:left w:val="nil"/>
              <w:bottom w:val="single" w:color="auto" w:sz="4" w:space="0"/>
              <w:right w:val="single" w:color="auto" w:sz="4" w:space="0"/>
            </w:tcBorders>
            <w:vAlign w:val="center"/>
          </w:tcPr>
          <w:p w14:paraId="4B1514B7">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文化展览馆</w:t>
            </w:r>
          </w:p>
        </w:tc>
        <w:tc>
          <w:tcPr>
            <w:tcW w:w="1319" w:type="pct"/>
            <w:tcBorders>
              <w:top w:val="nil"/>
              <w:left w:val="nil"/>
              <w:bottom w:val="single" w:color="auto" w:sz="4" w:space="0"/>
              <w:right w:val="single" w:color="auto" w:sz="4" w:space="0"/>
            </w:tcBorders>
            <w:vAlign w:val="center"/>
          </w:tcPr>
          <w:p w14:paraId="02C87E43">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c>
          <w:tcPr>
            <w:tcW w:w="1570" w:type="pct"/>
            <w:tcBorders>
              <w:top w:val="nil"/>
              <w:left w:val="nil"/>
              <w:bottom w:val="single" w:color="auto" w:sz="4" w:space="0"/>
              <w:right w:val="single" w:color="auto" w:sz="4" w:space="0"/>
            </w:tcBorders>
            <w:vAlign w:val="center"/>
          </w:tcPr>
          <w:p w14:paraId="60A07248">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r>
      <w:tr w14:paraId="001959CC">
        <w:tblPrEx>
          <w:tblCellMar>
            <w:top w:w="0" w:type="dxa"/>
            <w:left w:w="108" w:type="dxa"/>
            <w:bottom w:w="0" w:type="dxa"/>
            <w:right w:w="108" w:type="dxa"/>
          </w:tblCellMar>
        </w:tblPrEx>
        <w:trPr>
          <w:trHeight w:val="330" w:hRule="atLeast"/>
        </w:trPr>
        <w:tc>
          <w:tcPr>
            <w:tcW w:w="712" w:type="pct"/>
            <w:vMerge w:val="continue"/>
            <w:tcBorders>
              <w:left w:val="single" w:color="auto" w:sz="4" w:space="0"/>
              <w:bottom w:val="single" w:color="auto" w:sz="4" w:space="0"/>
              <w:right w:val="single" w:color="auto" w:sz="4" w:space="0"/>
            </w:tcBorders>
            <w:vAlign w:val="center"/>
          </w:tcPr>
          <w:p w14:paraId="56BFA58F">
            <w:pPr>
              <w:widowControl/>
              <w:jc w:val="center"/>
              <w:rPr>
                <w:rFonts w:hint="eastAsia" w:ascii="仿宋" w:hAnsi="仿宋" w:eastAsia="仿宋" w:cs="宋体"/>
                <w:color w:val="000000"/>
                <w:kern w:val="0"/>
                <w:sz w:val="20"/>
                <w:szCs w:val="20"/>
              </w:rPr>
            </w:pPr>
          </w:p>
        </w:tc>
        <w:tc>
          <w:tcPr>
            <w:tcW w:w="1399" w:type="pct"/>
            <w:tcBorders>
              <w:top w:val="nil"/>
              <w:left w:val="nil"/>
              <w:bottom w:val="single" w:color="auto" w:sz="4" w:space="0"/>
              <w:right w:val="single" w:color="auto" w:sz="4" w:space="0"/>
            </w:tcBorders>
            <w:vAlign w:val="center"/>
          </w:tcPr>
          <w:p w14:paraId="113F3F89">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幼儿园</w:t>
            </w:r>
          </w:p>
        </w:tc>
        <w:tc>
          <w:tcPr>
            <w:tcW w:w="1319" w:type="pct"/>
            <w:tcBorders>
              <w:top w:val="nil"/>
              <w:left w:val="nil"/>
              <w:bottom w:val="single" w:color="auto" w:sz="4" w:space="0"/>
              <w:right w:val="single" w:color="auto" w:sz="4" w:space="0"/>
            </w:tcBorders>
            <w:vAlign w:val="center"/>
          </w:tcPr>
          <w:p w14:paraId="4275236A">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与镇区共享</w:t>
            </w:r>
          </w:p>
        </w:tc>
        <w:tc>
          <w:tcPr>
            <w:tcW w:w="1570" w:type="pct"/>
            <w:tcBorders>
              <w:top w:val="nil"/>
              <w:left w:val="nil"/>
              <w:bottom w:val="single" w:color="auto" w:sz="4" w:space="0"/>
              <w:right w:val="single" w:color="auto" w:sz="4" w:space="0"/>
            </w:tcBorders>
            <w:vAlign w:val="center"/>
          </w:tcPr>
          <w:p w14:paraId="22DC7FA3">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r>
      <w:tr w14:paraId="49A9FD5E">
        <w:tblPrEx>
          <w:tblCellMar>
            <w:top w:w="0" w:type="dxa"/>
            <w:left w:w="108" w:type="dxa"/>
            <w:bottom w:w="0" w:type="dxa"/>
            <w:right w:w="108" w:type="dxa"/>
          </w:tblCellMar>
        </w:tblPrEx>
        <w:trPr>
          <w:trHeight w:val="330" w:hRule="atLeast"/>
        </w:trPr>
        <w:tc>
          <w:tcPr>
            <w:tcW w:w="712" w:type="pct"/>
            <w:vMerge w:val="restart"/>
            <w:tcBorders>
              <w:top w:val="nil"/>
              <w:left w:val="single" w:color="auto" w:sz="4" w:space="0"/>
              <w:right w:val="single" w:color="auto" w:sz="4" w:space="0"/>
            </w:tcBorders>
            <w:vAlign w:val="center"/>
          </w:tcPr>
          <w:p w14:paraId="7A790357">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教育医疗</w:t>
            </w:r>
          </w:p>
          <w:p w14:paraId="0F8227EE">
            <w:pPr>
              <w:widowControl/>
              <w:jc w:val="center"/>
              <w:rPr>
                <w:rFonts w:hint="eastAsia" w:ascii="仿宋" w:hAnsi="仿宋" w:eastAsia="仿宋" w:cs="宋体"/>
                <w:color w:val="000000"/>
                <w:kern w:val="0"/>
                <w:sz w:val="22"/>
                <w:szCs w:val="22"/>
              </w:rPr>
            </w:pPr>
            <w:r>
              <w:rPr>
                <w:rFonts w:hint="eastAsia" w:ascii="仿宋" w:hAnsi="仿宋" w:eastAsia="仿宋" w:cs="宋体"/>
                <w:color w:val="000000"/>
                <w:kern w:val="0"/>
                <w:sz w:val="22"/>
                <w:szCs w:val="22"/>
              </w:rPr>
              <w:t>　</w:t>
            </w:r>
          </w:p>
          <w:p w14:paraId="0F428ABD">
            <w:pPr>
              <w:widowControl/>
              <w:jc w:val="center"/>
              <w:rPr>
                <w:rFonts w:hint="eastAsia" w:ascii="仿宋" w:hAnsi="仿宋" w:eastAsia="仿宋" w:cs="宋体"/>
                <w:color w:val="000000"/>
                <w:kern w:val="0"/>
                <w:sz w:val="22"/>
                <w:szCs w:val="22"/>
              </w:rPr>
            </w:pPr>
            <w:r>
              <w:rPr>
                <w:rFonts w:hint="eastAsia" w:ascii="仿宋" w:hAnsi="仿宋" w:eastAsia="仿宋" w:cs="宋体"/>
                <w:color w:val="000000"/>
                <w:kern w:val="0"/>
                <w:sz w:val="22"/>
                <w:szCs w:val="22"/>
              </w:rPr>
              <w:t>　</w:t>
            </w:r>
          </w:p>
          <w:p w14:paraId="06D12DC2">
            <w:pPr>
              <w:widowControl/>
              <w:jc w:val="center"/>
              <w:rPr>
                <w:rFonts w:hint="eastAsia" w:ascii="仿宋" w:hAnsi="仿宋" w:eastAsia="仿宋" w:cs="宋体"/>
                <w:color w:val="000000"/>
                <w:kern w:val="0"/>
                <w:sz w:val="22"/>
                <w:szCs w:val="22"/>
              </w:rPr>
            </w:pPr>
            <w:r>
              <w:rPr>
                <w:rFonts w:hint="eastAsia" w:ascii="仿宋" w:hAnsi="仿宋" w:eastAsia="仿宋" w:cs="宋体"/>
                <w:color w:val="000000"/>
                <w:kern w:val="0"/>
                <w:sz w:val="22"/>
                <w:szCs w:val="22"/>
              </w:rPr>
              <w:t>　</w:t>
            </w:r>
          </w:p>
          <w:p w14:paraId="6796A8D2">
            <w:pPr>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2"/>
                <w:szCs w:val="22"/>
              </w:rPr>
              <w:t>　</w:t>
            </w:r>
          </w:p>
        </w:tc>
        <w:tc>
          <w:tcPr>
            <w:tcW w:w="1399" w:type="pct"/>
            <w:tcBorders>
              <w:top w:val="nil"/>
              <w:left w:val="nil"/>
              <w:bottom w:val="single" w:color="auto" w:sz="4" w:space="0"/>
              <w:right w:val="single" w:color="auto" w:sz="4" w:space="0"/>
            </w:tcBorders>
            <w:vAlign w:val="center"/>
          </w:tcPr>
          <w:p w14:paraId="19D76599">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小学</w:t>
            </w:r>
          </w:p>
        </w:tc>
        <w:tc>
          <w:tcPr>
            <w:tcW w:w="1319" w:type="pct"/>
            <w:tcBorders>
              <w:top w:val="nil"/>
              <w:left w:val="nil"/>
              <w:bottom w:val="single" w:color="auto" w:sz="4" w:space="0"/>
              <w:right w:val="single" w:color="auto" w:sz="4" w:space="0"/>
            </w:tcBorders>
            <w:vAlign w:val="center"/>
          </w:tcPr>
          <w:p w14:paraId="77614F82">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与镇区共享</w:t>
            </w:r>
          </w:p>
        </w:tc>
        <w:tc>
          <w:tcPr>
            <w:tcW w:w="1570" w:type="pct"/>
            <w:tcBorders>
              <w:top w:val="nil"/>
              <w:left w:val="nil"/>
              <w:bottom w:val="single" w:color="auto" w:sz="4" w:space="0"/>
              <w:right w:val="single" w:color="auto" w:sz="4" w:space="0"/>
            </w:tcBorders>
            <w:vAlign w:val="center"/>
          </w:tcPr>
          <w:p w14:paraId="6B341F84">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r>
      <w:tr w14:paraId="2A4A699F">
        <w:tblPrEx>
          <w:tblCellMar>
            <w:top w:w="0" w:type="dxa"/>
            <w:left w:w="108" w:type="dxa"/>
            <w:bottom w:w="0" w:type="dxa"/>
            <w:right w:w="108" w:type="dxa"/>
          </w:tblCellMar>
        </w:tblPrEx>
        <w:trPr>
          <w:trHeight w:val="330" w:hRule="atLeast"/>
        </w:trPr>
        <w:tc>
          <w:tcPr>
            <w:tcW w:w="712" w:type="pct"/>
            <w:vMerge w:val="continue"/>
            <w:tcBorders>
              <w:left w:val="single" w:color="auto" w:sz="4" w:space="0"/>
              <w:right w:val="single" w:color="auto" w:sz="4" w:space="0"/>
            </w:tcBorders>
            <w:vAlign w:val="center"/>
          </w:tcPr>
          <w:p w14:paraId="1969E714">
            <w:pPr>
              <w:jc w:val="center"/>
              <w:rPr>
                <w:rFonts w:hint="eastAsia" w:ascii="仿宋" w:hAnsi="仿宋" w:eastAsia="仿宋" w:cs="宋体"/>
                <w:color w:val="000000"/>
                <w:kern w:val="0"/>
                <w:sz w:val="22"/>
                <w:szCs w:val="22"/>
              </w:rPr>
            </w:pPr>
          </w:p>
        </w:tc>
        <w:tc>
          <w:tcPr>
            <w:tcW w:w="1399" w:type="pct"/>
            <w:tcBorders>
              <w:top w:val="nil"/>
              <w:left w:val="nil"/>
              <w:bottom w:val="single" w:color="auto" w:sz="4" w:space="0"/>
              <w:right w:val="single" w:color="auto" w:sz="4" w:space="0"/>
            </w:tcBorders>
            <w:vAlign w:val="center"/>
          </w:tcPr>
          <w:p w14:paraId="0ED29B46">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农民夜校</w:t>
            </w:r>
          </w:p>
        </w:tc>
        <w:tc>
          <w:tcPr>
            <w:tcW w:w="1319" w:type="pct"/>
            <w:tcBorders>
              <w:top w:val="nil"/>
              <w:left w:val="nil"/>
              <w:bottom w:val="single" w:color="auto" w:sz="4" w:space="0"/>
              <w:right w:val="single" w:color="auto" w:sz="4" w:space="0"/>
            </w:tcBorders>
            <w:vAlign w:val="center"/>
          </w:tcPr>
          <w:p w14:paraId="409B77F7">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c>
          <w:tcPr>
            <w:tcW w:w="1570" w:type="pct"/>
            <w:tcBorders>
              <w:top w:val="nil"/>
              <w:left w:val="nil"/>
              <w:bottom w:val="single" w:color="auto" w:sz="4" w:space="0"/>
              <w:right w:val="single" w:color="auto" w:sz="4" w:space="0"/>
            </w:tcBorders>
            <w:vAlign w:val="center"/>
          </w:tcPr>
          <w:p w14:paraId="275606AA">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r>
      <w:tr w14:paraId="2AACA997">
        <w:tblPrEx>
          <w:tblCellMar>
            <w:top w:w="0" w:type="dxa"/>
            <w:left w:w="108" w:type="dxa"/>
            <w:bottom w:w="0" w:type="dxa"/>
            <w:right w:w="108" w:type="dxa"/>
          </w:tblCellMar>
        </w:tblPrEx>
        <w:trPr>
          <w:trHeight w:val="330" w:hRule="atLeast"/>
        </w:trPr>
        <w:tc>
          <w:tcPr>
            <w:tcW w:w="712" w:type="pct"/>
            <w:vMerge w:val="continue"/>
            <w:tcBorders>
              <w:left w:val="single" w:color="auto" w:sz="4" w:space="0"/>
              <w:right w:val="single" w:color="auto" w:sz="4" w:space="0"/>
            </w:tcBorders>
            <w:vAlign w:val="center"/>
          </w:tcPr>
          <w:p w14:paraId="03C2C5A4">
            <w:pPr>
              <w:jc w:val="center"/>
              <w:rPr>
                <w:rFonts w:hint="eastAsia" w:ascii="仿宋" w:hAnsi="仿宋" w:eastAsia="仿宋" w:cs="宋体"/>
                <w:color w:val="000000"/>
                <w:kern w:val="0"/>
                <w:sz w:val="22"/>
                <w:szCs w:val="22"/>
              </w:rPr>
            </w:pPr>
          </w:p>
        </w:tc>
        <w:tc>
          <w:tcPr>
            <w:tcW w:w="1399" w:type="pct"/>
            <w:tcBorders>
              <w:top w:val="nil"/>
              <w:left w:val="nil"/>
              <w:bottom w:val="single" w:color="auto" w:sz="4" w:space="0"/>
              <w:right w:val="single" w:color="auto" w:sz="4" w:space="0"/>
            </w:tcBorders>
            <w:vAlign w:val="center"/>
          </w:tcPr>
          <w:p w14:paraId="6224E5FD">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农村卫生室</w:t>
            </w:r>
          </w:p>
        </w:tc>
        <w:tc>
          <w:tcPr>
            <w:tcW w:w="1319" w:type="pct"/>
            <w:tcBorders>
              <w:top w:val="nil"/>
              <w:left w:val="nil"/>
              <w:bottom w:val="single" w:color="auto" w:sz="4" w:space="0"/>
              <w:right w:val="single" w:color="auto" w:sz="4" w:space="0"/>
            </w:tcBorders>
            <w:vAlign w:val="center"/>
          </w:tcPr>
          <w:p w14:paraId="3C980AB4">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与镇区共享</w:t>
            </w:r>
          </w:p>
        </w:tc>
        <w:tc>
          <w:tcPr>
            <w:tcW w:w="1570" w:type="pct"/>
            <w:tcBorders>
              <w:top w:val="nil"/>
              <w:left w:val="nil"/>
              <w:bottom w:val="single" w:color="auto" w:sz="4" w:space="0"/>
              <w:right w:val="single" w:color="auto" w:sz="4" w:space="0"/>
            </w:tcBorders>
            <w:vAlign w:val="center"/>
          </w:tcPr>
          <w:p w14:paraId="2FDF7588">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r>
      <w:tr w14:paraId="3FDF6BA0">
        <w:tblPrEx>
          <w:tblCellMar>
            <w:top w:w="0" w:type="dxa"/>
            <w:left w:w="108" w:type="dxa"/>
            <w:bottom w:w="0" w:type="dxa"/>
            <w:right w:w="108" w:type="dxa"/>
          </w:tblCellMar>
        </w:tblPrEx>
        <w:trPr>
          <w:trHeight w:val="330" w:hRule="atLeast"/>
        </w:trPr>
        <w:tc>
          <w:tcPr>
            <w:tcW w:w="712" w:type="pct"/>
            <w:vMerge w:val="continue"/>
            <w:tcBorders>
              <w:left w:val="single" w:color="auto" w:sz="4" w:space="0"/>
              <w:right w:val="single" w:color="auto" w:sz="4" w:space="0"/>
            </w:tcBorders>
            <w:vAlign w:val="center"/>
          </w:tcPr>
          <w:p w14:paraId="3CF2CEC3">
            <w:pPr>
              <w:jc w:val="center"/>
              <w:rPr>
                <w:rFonts w:hint="eastAsia" w:ascii="仿宋" w:hAnsi="仿宋" w:eastAsia="仿宋" w:cs="宋体"/>
                <w:color w:val="000000"/>
                <w:kern w:val="0"/>
                <w:sz w:val="22"/>
                <w:szCs w:val="22"/>
              </w:rPr>
            </w:pPr>
          </w:p>
        </w:tc>
        <w:tc>
          <w:tcPr>
            <w:tcW w:w="1399" w:type="pct"/>
            <w:tcBorders>
              <w:top w:val="nil"/>
              <w:left w:val="nil"/>
              <w:bottom w:val="single" w:color="auto" w:sz="4" w:space="0"/>
              <w:right w:val="single" w:color="auto" w:sz="4" w:space="0"/>
            </w:tcBorders>
            <w:vAlign w:val="center"/>
          </w:tcPr>
          <w:p w14:paraId="49F2DE90">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儿童之家</w:t>
            </w:r>
          </w:p>
        </w:tc>
        <w:tc>
          <w:tcPr>
            <w:tcW w:w="1319" w:type="pct"/>
            <w:tcBorders>
              <w:top w:val="nil"/>
              <w:left w:val="nil"/>
              <w:bottom w:val="single" w:color="auto" w:sz="4" w:space="0"/>
              <w:right w:val="single" w:color="auto" w:sz="4" w:space="0"/>
            </w:tcBorders>
            <w:vAlign w:val="center"/>
          </w:tcPr>
          <w:p w14:paraId="05511E58">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c>
          <w:tcPr>
            <w:tcW w:w="1570" w:type="pct"/>
            <w:tcBorders>
              <w:top w:val="nil"/>
              <w:left w:val="nil"/>
              <w:bottom w:val="single" w:color="auto" w:sz="4" w:space="0"/>
              <w:right w:val="single" w:color="auto" w:sz="4" w:space="0"/>
            </w:tcBorders>
            <w:vAlign w:val="center"/>
          </w:tcPr>
          <w:p w14:paraId="1405DC41">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r>
      <w:tr w14:paraId="6FE92509">
        <w:tblPrEx>
          <w:tblCellMar>
            <w:top w:w="0" w:type="dxa"/>
            <w:left w:w="108" w:type="dxa"/>
            <w:bottom w:w="0" w:type="dxa"/>
            <w:right w:w="108" w:type="dxa"/>
          </w:tblCellMar>
        </w:tblPrEx>
        <w:trPr>
          <w:trHeight w:val="660" w:hRule="atLeast"/>
        </w:trPr>
        <w:tc>
          <w:tcPr>
            <w:tcW w:w="712" w:type="pct"/>
            <w:vMerge w:val="continue"/>
            <w:tcBorders>
              <w:left w:val="single" w:color="auto" w:sz="4" w:space="0"/>
              <w:bottom w:val="single" w:color="auto" w:sz="4" w:space="0"/>
              <w:right w:val="single" w:color="auto" w:sz="4" w:space="0"/>
            </w:tcBorders>
            <w:vAlign w:val="center"/>
          </w:tcPr>
          <w:p w14:paraId="7930B3EF">
            <w:pPr>
              <w:widowControl/>
              <w:jc w:val="center"/>
              <w:rPr>
                <w:rFonts w:hint="eastAsia" w:ascii="仿宋" w:hAnsi="仿宋" w:eastAsia="仿宋" w:cs="宋体"/>
                <w:color w:val="000000"/>
                <w:kern w:val="0"/>
                <w:sz w:val="22"/>
                <w:szCs w:val="22"/>
              </w:rPr>
            </w:pPr>
          </w:p>
        </w:tc>
        <w:tc>
          <w:tcPr>
            <w:tcW w:w="1399" w:type="pct"/>
            <w:tcBorders>
              <w:top w:val="nil"/>
              <w:left w:val="nil"/>
              <w:bottom w:val="single" w:color="auto" w:sz="4" w:space="0"/>
              <w:right w:val="single" w:color="auto" w:sz="4" w:space="0"/>
            </w:tcBorders>
            <w:vAlign w:val="center"/>
          </w:tcPr>
          <w:p w14:paraId="5C73DDB8">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日间照料中心</w:t>
            </w:r>
          </w:p>
        </w:tc>
        <w:tc>
          <w:tcPr>
            <w:tcW w:w="1319" w:type="pct"/>
            <w:tcBorders>
              <w:top w:val="nil"/>
              <w:left w:val="nil"/>
              <w:bottom w:val="single" w:color="auto" w:sz="4" w:space="0"/>
              <w:right w:val="single" w:color="auto" w:sz="4" w:space="0"/>
            </w:tcBorders>
            <w:vAlign w:val="center"/>
          </w:tcPr>
          <w:p w14:paraId="640DCC76">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闲置康养党建中心  功能转用</w:t>
            </w:r>
          </w:p>
        </w:tc>
        <w:tc>
          <w:tcPr>
            <w:tcW w:w="1570" w:type="pct"/>
            <w:tcBorders>
              <w:top w:val="nil"/>
              <w:left w:val="nil"/>
              <w:bottom w:val="single" w:color="auto" w:sz="4" w:space="0"/>
              <w:right w:val="single" w:color="auto" w:sz="4" w:space="0"/>
            </w:tcBorders>
            <w:vAlign w:val="center"/>
          </w:tcPr>
          <w:p w14:paraId="0069A4EF">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r>
      <w:tr w14:paraId="447A9564">
        <w:tblPrEx>
          <w:tblCellMar>
            <w:top w:w="0" w:type="dxa"/>
            <w:left w:w="108" w:type="dxa"/>
            <w:bottom w:w="0" w:type="dxa"/>
            <w:right w:w="108" w:type="dxa"/>
          </w:tblCellMar>
        </w:tblPrEx>
        <w:trPr>
          <w:trHeight w:val="660" w:hRule="atLeast"/>
        </w:trPr>
        <w:tc>
          <w:tcPr>
            <w:tcW w:w="712" w:type="pct"/>
            <w:vMerge w:val="restart"/>
            <w:tcBorders>
              <w:top w:val="nil"/>
              <w:left w:val="single" w:color="auto" w:sz="4" w:space="0"/>
              <w:bottom w:val="single" w:color="auto" w:sz="4" w:space="0"/>
              <w:right w:val="single" w:color="auto" w:sz="4" w:space="0"/>
            </w:tcBorders>
            <w:vAlign w:val="center"/>
          </w:tcPr>
          <w:p w14:paraId="5E3EBDA9">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商业服务设施配套</w:t>
            </w:r>
          </w:p>
        </w:tc>
        <w:tc>
          <w:tcPr>
            <w:tcW w:w="1399" w:type="pct"/>
            <w:tcBorders>
              <w:top w:val="nil"/>
              <w:left w:val="nil"/>
              <w:bottom w:val="single" w:color="auto" w:sz="4" w:space="0"/>
              <w:right w:val="single" w:color="auto" w:sz="4" w:space="0"/>
            </w:tcBorders>
            <w:vAlign w:val="center"/>
          </w:tcPr>
          <w:p w14:paraId="27FEDA22">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农家便利店</w:t>
            </w:r>
          </w:p>
        </w:tc>
        <w:tc>
          <w:tcPr>
            <w:tcW w:w="1319" w:type="pct"/>
            <w:tcBorders>
              <w:top w:val="nil"/>
              <w:left w:val="nil"/>
              <w:bottom w:val="single" w:color="auto" w:sz="4" w:space="0"/>
              <w:right w:val="single" w:color="auto" w:sz="4" w:space="0"/>
            </w:tcBorders>
            <w:vAlign w:val="center"/>
          </w:tcPr>
          <w:p w14:paraId="770306BE">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c>
          <w:tcPr>
            <w:tcW w:w="1570" w:type="pct"/>
            <w:tcBorders>
              <w:top w:val="nil"/>
              <w:left w:val="nil"/>
              <w:bottom w:val="single" w:color="auto" w:sz="4" w:space="0"/>
              <w:right w:val="single" w:color="auto" w:sz="4" w:space="0"/>
            </w:tcBorders>
            <w:vAlign w:val="center"/>
          </w:tcPr>
          <w:p w14:paraId="4A26904C">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现状保留1处 新增2处</w:t>
            </w:r>
          </w:p>
        </w:tc>
      </w:tr>
      <w:tr w14:paraId="1433108E">
        <w:tblPrEx>
          <w:tblCellMar>
            <w:top w:w="0" w:type="dxa"/>
            <w:left w:w="108" w:type="dxa"/>
            <w:bottom w:w="0" w:type="dxa"/>
            <w:right w:w="108" w:type="dxa"/>
          </w:tblCellMar>
        </w:tblPrEx>
        <w:trPr>
          <w:trHeight w:val="70" w:hRule="atLeast"/>
        </w:trPr>
        <w:tc>
          <w:tcPr>
            <w:tcW w:w="712" w:type="pct"/>
            <w:vMerge w:val="continue"/>
            <w:tcBorders>
              <w:top w:val="nil"/>
              <w:left w:val="single" w:color="auto" w:sz="4" w:space="0"/>
              <w:bottom w:val="single" w:color="auto" w:sz="4" w:space="0"/>
              <w:right w:val="single" w:color="auto" w:sz="4" w:space="0"/>
            </w:tcBorders>
            <w:vAlign w:val="center"/>
          </w:tcPr>
          <w:p w14:paraId="2DC1F8BE">
            <w:pPr>
              <w:widowControl/>
              <w:jc w:val="left"/>
              <w:rPr>
                <w:rFonts w:hint="eastAsia" w:ascii="仿宋" w:hAnsi="仿宋" w:eastAsia="仿宋" w:cs="宋体"/>
                <w:color w:val="000000"/>
                <w:kern w:val="0"/>
                <w:sz w:val="20"/>
                <w:szCs w:val="20"/>
              </w:rPr>
            </w:pPr>
          </w:p>
        </w:tc>
        <w:tc>
          <w:tcPr>
            <w:tcW w:w="1399" w:type="pct"/>
            <w:tcBorders>
              <w:top w:val="nil"/>
              <w:left w:val="nil"/>
              <w:bottom w:val="single" w:color="auto" w:sz="4" w:space="0"/>
              <w:right w:val="single" w:color="auto" w:sz="4" w:space="0"/>
            </w:tcBorders>
            <w:vAlign w:val="center"/>
          </w:tcPr>
          <w:p w14:paraId="05705B95">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物流配送点</w:t>
            </w:r>
          </w:p>
        </w:tc>
        <w:tc>
          <w:tcPr>
            <w:tcW w:w="1319" w:type="pct"/>
            <w:tcBorders>
              <w:top w:val="nil"/>
              <w:left w:val="nil"/>
              <w:bottom w:val="single" w:color="auto" w:sz="4" w:space="0"/>
              <w:right w:val="single" w:color="auto" w:sz="4" w:space="0"/>
            </w:tcBorders>
            <w:vAlign w:val="center"/>
          </w:tcPr>
          <w:p w14:paraId="42760C57">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与镇区共享</w:t>
            </w:r>
          </w:p>
        </w:tc>
        <w:tc>
          <w:tcPr>
            <w:tcW w:w="1570" w:type="pct"/>
            <w:tcBorders>
              <w:top w:val="nil"/>
              <w:left w:val="nil"/>
              <w:bottom w:val="single" w:color="auto" w:sz="4" w:space="0"/>
              <w:right w:val="single" w:color="auto" w:sz="4" w:space="0"/>
            </w:tcBorders>
            <w:vAlign w:val="center"/>
          </w:tcPr>
          <w:p w14:paraId="45C43BB3">
            <w:pPr>
              <w:widowControl/>
              <w:jc w:val="center"/>
              <w:rPr>
                <w:rFonts w:hint="eastAsia" w:ascii="仿宋" w:hAnsi="仿宋" w:eastAsia="仿宋" w:cs="宋体"/>
                <w:color w:val="000000"/>
                <w:kern w:val="0"/>
                <w:sz w:val="20"/>
                <w:szCs w:val="20"/>
              </w:rPr>
            </w:pPr>
            <w:r>
              <w:rPr>
                <w:rFonts w:hint="eastAsia" w:ascii="仿宋" w:hAnsi="仿宋" w:eastAsia="仿宋" w:cs="宋体"/>
                <w:color w:val="000000"/>
                <w:kern w:val="0"/>
                <w:sz w:val="20"/>
                <w:szCs w:val="20"/>
              </w:rPr>
              <w:t>现状保留</w:t>
            </w:r>
          </w:p>
        </w:tc>
      </w:tr>
    </w:tbl>
    <w:p w14:paraId="3B69C502">
      <w:pPr>
        <w:spacing w:before="62" w:beforeLines="20" w:after="62" w:afterLines="20" w:line="264" w:lineRule="auto"/>
        <w:ind w:firstLine="440" w:firstLineChars="20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五</w:t>
      </w:r>
      <w:r>
        <w:rPr>
          <w:rFonts w:ascii="楷体" w:hAnsi="楷体" w:eastAsia="楷体" w:cs="楷体"/>
          <w:sz w:val="22"/>
          <w:szCs w:val="22"/>
        </w:rPr>
        <w:t>）</w:t>
      </w:r>
      <w:r>
        <w:rPr>
          <w:rFonts w:hint="eastAsia" w:ascii="楷体" w:hAnsi="楷体" w:eastAsia="楷体" w:cs="楷体"/>
          <w:sz w:val="22"/>
          <w:szCs w:val="22"/>
        </w:rPr>
        <w:t>旅游服务设施</w:t>
      </w:r>
    </w:p>
    <w:p w14:paraId="63B79F24">
      <w:pPr>
        <w:spacing w:before="62" w:beforeLines="20" w:after="62" w:afterLines="20" w:line="264" w:lineRule="auto"/>
        <w:ind w:firstLine="440" w:firstLineChars="200"/>
        <w:rPr>
          <w:rFonts w:eastAsia="仿宋_GB2312"/>
          <w:sz w:val="22"/>
          <w:szCs w:val="22"/>
        </w:rPr>
      </w:pPr>
      <w:r>
        <w:rPr>
          <w:rFonts w:hint="eastAsia" w:eastAsia="仿宋_GB2312"/>
          <w:sz w:val="22"/>
          <w:szCs w:val="22"/>
        </w:rPr>
        <w:t>依据产业发展需要，结合生活设施配套和利用闲置公共管理用地，进行综合配置，提高利用效率，盘活土地资源。参考旅游区配套标准，增设旅游标识系统</w:t>
      </w:r>
      <w:r>
        <w:rPr>
          <w:rFonts w:hint="eastAsia" w:eastAsia="仿宋_GB2312"/>
          <w:sz w:val="22"/>
          <w:szCs w:val="22"/>
          <w:lang w:eastAsia="zh-CN"/>
        </w:rPr>
        <w:t>，</w:t>
      </w:r>
      <w:r>
        <w:rPr>
          <w:rFonts w:hint="eastAsia" w:eastAsia="仿宋_GB2312"/>
          <w:sz w:val="22"/>
          <w:szCs w:val="22"/>
        </w:rPr>
        <w:t>结合服务半径及交通转接点设置旅游服务中心及服务节点；承担旅游服务、休憩娱乐、文化展示等功能</w:t>
      </w:r>
      <w:r>
        <w:rPr>
          <w:rFonts w:eastAsia="仿宋_GB2312"/>
          <w:sz w:val="22"/>
          <w:szCs w:val="22"/>
        </w:rPr>
        <w:t>。</w:t>
      </w:r>
    </w:p>
    <w:p w14:paraId="3718DC68">
      <w:pPr>
        <w:spacing w:line="360" w:lineRule="auto"/>
        <w:ind w:firstLine="440" w:firstLineChars="200"/>
        <w:jc w:val="center"/>
        <w:rPr>
          <w:rFonts w:hint="eastAsia" w:ascii="仿宋" w:hAnsi="仿宋" w:eastAsia="仿宋"/>
          <w:sz w:val="22"/>
          <w:lang w:bidi="zh-CN"/>
        </w:rPr>
      </w:pPr>
      <w:r>
        <w:rPr>
          <w:rFonts w:hint="eastAsia" w:ascii="仿宋" w:hAnsi="仿宋" w:eastAsia="仿宋"/>
          <w:sz w:val="22"/>
          <w:lang w:bidi="zh-CN"/>
        </w:rPr>
        <w:t>表8-2 旅游设施配套一览表</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2502"/>
        <w:gridCol w:w="3933"/>
        <w:gridCol w:w="2961"/>
      </w:tblGrid>
      <w:tr w14:paraId="59772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01" w:type="pct"/>
            <w:gridSpan w:val="2"/>
            <w:vAlign w:val="center"/>
          </w:tcPr>
          <w:p w14:paraId="4FCC4930">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设施名称</w:t>
            </w:r>
          </w:p>
        </w:tc>
        <w:tc>
          <w:tcPr>
            <w:tcW w:w="1825" w:type="pct"/>
            <w:vAlign w:val="center"/>
          </w:tcPr>
          <w:p w14:paraId="6B20943F">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红格村</w:t>
            </w:r>
          </w:p>
        </w:tc>
        <w:tc>
          <w:tcPr>
            <w:tcW w:w="1374" w:type="pct"/>
            <w:vAlign w:val="center"/>
          </w:tcPr>
          <w:p w14:paraId="5BE41E9C">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昔格达村</w:t>
            </w:r>
          </w:p>
        </w:tc>
      </w:tr>
      <w:tr w14:paraId="0546F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640" w:type="pct"/>
            <w:vMerge w:val="restart"/>
            <w:vAlign w:val="center"/>
          </w:tcPr>
          <w:p w14:paraId="4BDBFF9B">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基础服务设施</w:t>
            </w:r>
          </w:p>
        </w:tc>
        <w:tc>
          <w:tcPr>
            <w:tcW w:w="1161" w:type="pct"/>
            <w:vAlign w:val="center"/>
          </w:tcPr>
          <w:p w14:paraId="51E9AA1C">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游客中心</w:t>
            </w:r>
          </w:p>
        </w:tc>
        <w:tc>
          <w:tcPr>
            <w:tcW w:w="1825" w:type="pct"/>
            <w:vAlign w:val="center"/>
          </w:tcPr>
          <w:p w14:paraId="0C2FD4FC">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红山国际度假区1处，7社闲置康养党建中心配建1处</w:t>
            </w:r>
          </w:p>
        </w:tc>
        <w:tc>
          <w:tcPr>
            <w:tcW w:w="1374" w:type="pct"/>
            <w:vAlign w:val="center"/>
          </w:tcPr>
          <w:p w14:paraId="220A6EBD">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与村委会共设1处</w:t>
            </w:r>
          </w:p>
        </w:tc>
      </w:tr>
      <w:tr w14:paraId="5BA0D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40" w:type="pct"/>
            <w:vMerge w:val="continue"/>
            <w:vAlign w:val="center"/>
          </w:tcPr>
          <w:p w14:paraId="0F40BC85">
            <w:pPr>
              <w:widowControl/>
              <w:jc w:val="left"/>
              <w:rPr>
                <w:rFonts w:hint="eastAsia" w:ascii="仿宋" w:hAnsi="仿宋" w:eastAsia="仿宋" w:cs="宋体"/>
                <w:color w:val="000000"/>
                <w:kern w:val="0"/>
                <w:sz w:val="18"/>
                <w:szCs w:val="18"/>
              </w:rPr>
            </w:pPr>
          </w:p>
        </w:tc>
        <w:tc>
          <w:tcPr>
            <w:tcW w:w="1161" w:type="pct"/>
            <w:vAlign w:val="center"/>
          </w:tcPr>
          <w:p w14:paraId="418CF177">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餐饮民宿设施</w:t>
            </w:r>
          </w:p>
        </w:tc>
        <w:tc>
          <w:tcPr>
            <w:tcW w:w="1825" w:type="pct"/>
            <w:vAlign w:val="center"/>
          </w:tcPr>
          <w:p w14:paraId="57183014">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w:t>
            </w:r>
          </w:p>
        </w:tc>
        <w:tc>
          <w:tcPr>
            <w:tcW w:w="1374" w:type="pct"/>
            <w:vAlign w:val="center"/>
          </w:tcPr>
          <w:p w14:paraId="55F964E7">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10处</w:t>
            </w:r>
          </w:p>
        </w:tc>
      </w:tr>
      <w:tr w14:paraId="7AAA9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40" w:type="pct"/>
            <w:vMerge w:val="continue"/>
            <w:vAlign w:val="center"/>
          </w:tcPr>
          <w:p w14:paraId="43B85782">
            <w:pPr>
              <w:widowControl/>
              <w:jc w:val="left"/>
              <w:rPr>
                <w:rFonts w:hint="eastAsia" w:ascii="仿宋" w:hAnsi="仿宋" w:eastAsia="仿宋" w:cs="宋体"/>
                <w:color w:val="000000"/>
                <w:kern w:val="0"/>
                <w:sz w:val="18"/>
                <w:szCs w:val="18"/>
              </w:rPr>
            </w:pPr>
          </w:p>
        </w:tc>
        <w:tc>
          <w:tcPr>
            <w:tcW w:w="1161" w:type="pct"/>
            <w:vAlign w:val="center"/>
          </w:tcPr>
          <w:p w14:paraId="1201FC5B">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服务驿站</w:t>
            </w:r>
          </w:p>
        </w:tc>
        <w:tc>
          <w:tcPr>
            <w:tcW w:w="1825" w:type="pct"/>
            <w:vAlign w:val="center"/>
          </w:tcPr>
          <w:p w14:paraId="713AF8A3">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4处（1社、4社、5社、7社）</w:t>
            </w:r>
          </w:p>
        </w:tc>
        <w:tc>
          <w:tcPr>
            <w:tcW w:w="1374" w:type="pct"/>
            <w:vAlign w:val="center"/>
          </w:tcPr>
          <w:p w14:paraId="7E616D49">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3处（4社2</w:t>
            </w:r>
            <w:r>
              <w:rPr>
                <w:rFonts w:hint="eastAsia" w:ascii="仿宋" w:hAnsi="仿宋" w:eastAsia="仿宋" w:cs="宋体"/>
                <w:color w:val="000000"/>
                <w:kern w:val="0"/>
                <w:sz w:val="18"/>
                <w:szCs w:val="18"/>
                <w:lang w:eastAsia="zh-CN"/>
              </w:rPr>
              <w:t>处</w:t>
            </w:r>
            <w:r>
              <w:rPr>
                <w:rFonts w:hint="eastAsia" w:ascii="仿宋" w:hAnsi="仿宋" w:eastAsia="仿宋" w:cs="宋体"/>
                <w:color w:val="000000"/>
                <w:kern w:val="0"/>
                <w:sz w:val="18"/>
                <w:szCs w:val="18"/>
              </w:rPr>
              <w:t>、3社1处）</w:t>
            </w:r>
          </w:p>
        </w:tc>
      </w:tr>
      <w:tr w14:paraId="44D72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40" w:type="pct"/>
            <w:vMerge w:val="continue"/>
            <w:vAlign w:val="center"/>
          </w:tcPr>
          <w:p w14:paraId="7D2CFC09">
            <w:pPr>
              <w:widowControl/>
              <w:jc w:val="left"/>
              <w:rPr>
                <w:rFonts w:hint="eastAsia" w:ascii="仿宋" w:hAnsi="仿宋" w:eastAsia="仿宋" w:cs="宋体"/>
                <w:color w:val="000000"/>
                <w:kern w:val="0"/>
                <w:sz w:val="18"/>
                <w:szCs w:val="18"/>
              </w:rPr>
            </w:pPr>
          </w:p>
        </w:tc>
        <w:tc>
          <w:tcPr>
            <w:tcW w:w="1161" w:type="pct"/>
            <w:vAlign w:val="center"/>
          </w:tcPr>
          <w:p w14:paraId="41CDD73C">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旅游停车场</w:t>
            </w:r>
          </w:p>
        </w:tc>
        <w:tc>
          <w:tcPr>
            <w:tcW w:w="1825" w:type="pct"/>
            <w:vAlign w:val="center"/>
          </w:tcPr>
          <w:p w14:paraId="10C6FD47">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3处</w:t>
            </w:r>
          </w:p>
        </w:tc>
        <w:tc>
          <w:tcPr>
            <w:tcW w:w="1374" w:type="pct"/>
            <w:vAlign w:val="center"/>
          </w:tcPr>
          <w:p w14:paraId="3CEF5686">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5处</w:t>
            </w:r>
          </w:p>
        </w:tc>
      </w:tr>
      <w:tr w14:paraId="2E544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40" w:type="pct"/>
            <w:vMerge w:val="continue"/>
            <w:vAlign w:val="center"/>
          </w:tcPr>
          <w:p w14:paraId="0C4CCD94">
            <w:pPr>
              <w:widowControl/>
              <w:jc w:val="left"/>
              <w:rPr>
                <w:rFonts w:hint="eastAsia" w:ascii="仿宋" w:hAnsi="仿宋" w:eastAsia="仿宋" w:cs="宋体"/>
                <w:color w:val="000000"/>
                <w:kern w:val="0"/>
                <w:sz w:val="18"/>
                <w:szCs w:val="18"/>
              </w:rPr>
            </w:pPr>
          </w:p>
        </w:tc>
        <w:tc>
          <w:tcPr>
            <w:tcW w:w="1161" w:type="pct"/>
            <w:vAlign w:val="center"/>
          </w:tcPr>
          <w:p w14:paraId="7977712B">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旅游集市</w:t>
            </w:r>
          </w:p>
        </w:tc>
        <w:tc>
          <w:tcPr>
            <w:tcW w:w="1825" w:type="pct"/>
            <w:vAlign w:val="center"/>
          </w:tcPr>
          <w:p w14:paraId="763D669E">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与镇区共用</w:t>
            </w:r>
          </w:p>
        </w:tc>
        <w:tc>
          <w:tcPr>
            <w:tcW w:w="1374" w:type="pct"/>
            <w:vAlign w:val="center"/>
          </w:tcPr>
          <w:p w14:paraId="2C96C019">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现状农家乐配建</w:t>
            </w:r>
          </w:p>
        </w:tc>
      </w:tr>
      <w:tr w14:paraId="3D843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40" w:type="pct"/>
            <w:vMerge w:val="continue"/>
            <w:vAlign w:val="center"/>
          </w:tcPr>
          <w:p w14:paraId="73183C18">
            <w:pPr>
              <w:widowControl/>
              <w:jc w:val="left"/>
              <w:rPr>
                <w:rFonts w:hint="eastAsia" w:ascii="仿宋" w:hAnsi="仿宋" w:eastAsia="仿宋" w:cs="宋体"/>
                <w:color w:val="000000"/>
                <w:kern w:val="0"/>
                <w:sz w:val="18"/>
                <w:szCs w:val="18"/>
              </w:rPr>
            </w:pPr>
          </w:p>
        </w:tc>
        <w:tc>
          <w:tcPr>
            <w:tcW w:w="1161" w:type="pct"/>
            <w:vAlign w:val="center"/>
          </w:tcPr>
          <w:p w14:paraId="03C66BAB">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管理用房</w:t>
            </w:r>
          </w:p>
        </w:tc>
        <w:tc>
          <w:tcPr>
            <w:tcW w:w="1825" w:type="pct"/>
            <w:vAlign w:val="center"/>
          </w:tcPr>
          <w:p w14:paraId="6E1D37D7">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与村委会共设一处</w:t>
            </w:r>
          </w:p>
        </w:tc>
        <w:tc>
          <w:tcPr>
            <w:tcW w:w="1374" w:type="pct"/>
            <w:vAlign w:val="center"/>
          </w:tcPr>
          <w:p w14:paraId="71F42033">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与村委会共设一处</w:t>
            </w:r>
          </w:p>
        </w:tc>
      </w:tr>
      <w:tr w14:paraId="3F5CA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40" w:type="pct"/>
            <w:vMerge w:val="continue"/>
            <w:vAlign w:val="center"/>
          </w:tcPr>
          <w:p w14:paraId="133FAEDC">
            <w:pPr>
              <w:widowControl/>
              <w:jc w:val="left"/>
              <w:rPr>
                <w:rFonts w:hint="eastAsia" w:ascii="仿宋" w:hAnsi="仿宋" w:eastAsia="仿宋" w:cs="宋体"/>
                <w:color w:val="000000"/>
                <w:kern w:val="0"/>
                <w:sz w:val="18"/>
                <w:szCs w:val="18"/>
              </w:rPr>
            </w:pPr>
          </w:p>
        </w:tc>
        <w:tc>
          <w:tcPr>
            <w:tcW w:w="1161" w:type="pct"/>
            <w:vAlign w:val="center"/>
          </w:tcPr>
          <w:p w14:paraId="0D23F050">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医疗点</w:t>
            </w:r>
          </w:p>
        </w:tc>
        <w:tc>
          <w:tcPr>
            <w:tcW w:w="1825" w:type="pct"/>
            <w:vAlign w:val="center"/>
          </w:tcPr>
          <w:p w14:paraId="36C6DDFE">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与镇区共用，党建康养中心配建1处</w:t>
            </w:r>
          </w:p>
        </w:tc>
        <w:tc>
          <w:tcPr>
            <w:tcW w:w="1374" w:type="pct"/>
            <w:vAlign w:val="center"/>
          </w:tcPr>
          <w:p w14:paraId="063F2435">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2处</w:t>
            </w:r>
          </w:p>
        </w:tc>
      </w:tr>
      <w:tr w14:paraId="1E763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40" w:type="pct"/>
            <w:vMerge w:val="continue"/>
            <w:vAlign w:val="center"/>
          </w:tcPr>
          <w:p w14:paraId="6116C766">
            <w:pPr>
              <w:widowControl/>
              <w:jc w:val="left"/>
              <w:rPr>
                <w:rFonts w:hint="eastAsia" w:ascii="仿宋" w:hAnsi="仿宋" w:eastAsia="仿宋" w:cs="宋体"/>
                <w:color w:val="000000"/>
                <w:kern w:val="0"/>
                <w:sz w:val="18"/>
                <w:szCs w:val="18"/>
              </w:rPr>
            </w:pPr>
          </w:p>
        </w:tc>
        <w:tc>
          <w:tcPr>
            <w:tcW w:w="1161" w:type="pct"/>
            <w:vAlign w:val="center"/>
          </w:tcPr>
          <w:p w14:paraId="41EC8AD1">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治安设施</w:t>
            </w:r>
          </w:p>
        </w:tc>
        <w:tc>
          <w:tcPr>
            <w:tcW w:w="1825" w:type="pct"/>
            <w:vAlign w:val="center"/>
          </w:tcPr>
          <w:p w14:paraId="2A9649F2">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与村委会共设一处</w:t>
            </w:r>
          </w:p>
        </w:tc>
        <w:tc>
          <w:tcPr>
            <w:tcW w:w="1374" w:type="pct"/>
            <w:vAlign w:val="center"/>
          </w:tcPr>
          <w:p w14:paraId="629F9078">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与村委会共设一处</w:t>
            </w:r>
          </w:p>
        </w:tc>
      </w:tr>
      <w:tr w14:paraId="0C249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40" w:type="pct"/>
            <w:vMerge w:val="continue"/>
            <w:vAlign w:val="center"/>
          </w:tcPr>
          <w:p w14:paraId="3835E617">
            <w:pPr>
              <w:widowControl/>
              <w:jc w:val="left"/>
              <w:rPr>
                <w:rFonts w:hint="eastAsia" w:ascii="仿宋" w:hAnsi="仿宋" w:eastAsia="仿宋" w:cs="宋体"/>
                <w:color w:val="000000"/>
                <w:kern w:val="0"/>
                <w:sz w:val="18"/>
                <w:szCs w:val="18"/>
              </w:rPr>
            </w:pPr>
          </w:p>
        </w:tc>
        <w:tc>
          <w:tcPr>
            <w:tcW w:w="1161" w:type="pct"/>
            <w:vAlign w:val="center"/>
          </w:tcPr>
          <w:p w14:paraId="06C8BFE6">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公共厕所</w:t>
            </w:r>
          </w:p>
        </w:tc>
        <w:tc>
          <w:tcPr>
            <w:tcW w:w="1825" w:type="pct"/>
            <w:vAlign w:val="center"/>
          </w:tcPr>
          <w:p w14:paraId="5E768F3A">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6处</w:t>
            </w:r>
          </w:p>
        </w:tc>
        <w:tc>
          <w:tcPr>
            <w:tcW w:w="1374" w:type="pct"/>
            <w:vAlign w:val="center"/>
          </w:tcPr>
          <w:p w14:paraId="05619883">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7处</w:t>
            </w:r>
          </w:p>
        </w:tc>
      </w:tr>
      <w:tr w14:paraId="1ABF8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40" w:type="pct"/>
            <w:vMerge w:val="continue"/>
            <w:vAlign w:val="center"/>
          </w:tcPr>
          <w:p w14:paraId="72D144FF">
            <w:pPr>
              <w:widowControl/>
              <w:jc w:val="left"/>
              <w:rPr>
                <w:rFonts w:hint="eastAsia" w:ascii="仿宋" w:hAnsi="仿宋" w:eastAsia="仿宋" w:cs="宋体"/>
                <w:color w:val="000000"/>
                <w:kern w:val="0"/>
                <w:sz w:val="18"/>
                <w:szCs w:val="18"/>
              </w:rPr>
            </w:pPr>
          </w:p>
        </w:tc>
        <w:tc>
          <w:tcPr>
            <w:tcW w:w="1161" w:type="pct"/>
            <w:vAlign w:val="center"/>
          </w:tcPr>
          <w:p w14:paraId="6150F122">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解说设施</w:t>
            </w:r>
          </w:p>
        </w:tc>
        <w:tc>
          <w:tcPr>
            <w:tcW w:w="1825" w:type="pct"/>
            <w:vAlign w:val="center"/>
          </w:tcPr>
          <w:p w14:paraId="793F80FC">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根据资源点合理布置</w:t>
            </w:r>
          </w:p>
        </w:tc>
        <w:tc>
          <w:tcPr>
            <w:tcW w:w="1374" w:type="pct"/>
            <w:vAlign w:val="center"/>
          </w:tcPr>
          <w:p w14:paraId="1444495F">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根据资源点合理布置</w:t>
            </w:r>
          </w:p>
        </w:tc>
      </w:tr>
      <w:tr w14:paraId="702A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40" w:type="pct"/>
            <w:vMerge w:val="continue"/>
            <w:vAlign w:val="center"/>
          </w:tcPr>
          <w:p w14:paraId="4059442A">
            <w:pPr>
              <w:widowControl/>
              <w:jc w:val="left"/>
              <w:rPr>
                <w:rFonts w:hint="eastAsia" w:ascii="仿宋" w:hAnsi="仿宋" w:eastAsia="仿宋" w:cs="宋体"/>
                <w:color w:val="000000"/>
                <w:kern w:val="0"/>
                <w:sz w:val="18"/>
                <w:szCs w:val="18"/>
              </w:rPr>
            </w:pPr>
          </w:p>
        </w:tc>
        <w:tc>
          <w:tcPr>
            <w:tcW w:w="1161" w:type="pct"/>
            <w:vAlign w:val="center"/>
          </w:tcPr>
          <w:p w14:paraId="3B98E157">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标识导览设施</w:t>
            </w:r>
          </w:p>
        </w:tc>
        <w:tc>
          <w:tcPr>
            <w:tcW w:w="1825" w:type="pct"/>
            <w:vAlign w:val="center"/>
          </w:tcPr>
          <w:p w14:paraId="73099786">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根据资源点合理布置</w:t>
            </w:r>
          </w:p>
        </w:tc>
        <w:tc>
          <w:tcPr>
            <w:tcW w:w="1374" w:type="pct"/>
            <w:vAlign w:val="center"/>
          </w:tcPr>
          <w:p w14:paraId="5206F67A">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根据资源点合理布置</w:t>
            </w:r>
          </w:p>
        </w:tc>
      </w:tr>
      <w:tr w14:paraId="27F30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40" w:type="pct"/>
            <w:vMerge w:val="continue"/>
            <w:vAlign w:val="center"/>
          </w:tcPr>
          <w:p w14:paraId="28360592">
            <w:pPr>
              <w:widowControl/>
              <w:jc w:val="left"/>
              <w:rPr>
                <w:rFonts w:hint="eastAsia" w:ascii="仿宋" w:hAnsi="仿宋" w:eastAsia="仿宋" w:cs="宋体"/>
                <w:color w:val="000000"/>
                <w:kern w:val="0"/>
                <w:sz w:val="18"/>
                <w:szCs w:val="18"/>
              </w:rPr>
            </w:pPr>
          </w:p>
        </w:tc>
        <w:tc>
          <w:tcPr>
            <w:tcW w:w="1161" w:type="pct"/>
            <w:vAlign w:val="center"/>
          </w:tcPr>
          <w:p w14:paraId="3B8076E6">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垃圾箱</w:t>
            </w:r>
          </w:p>
        </w:tc>
        <w:tc>
          <w:tcPr>
            <w:tcW w:w="1825" w:type="pct"/>
            <w:vAlign w:val="center"/>
          </w:tcPr>
          <w:p w14:paraId="4A5E2C9F">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根据资源点合理布置</w:t>
            </w:r>
          </w:p>
        </w:tc>
        <w:tc>
          <w:tcPr>
            <w:tcW w:w="1374" w:type="pct"/>
            <w:vAlign w:val="center"/>
          </w:tcPr>
          <w:p w14:paraId="19E2AC27">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根据资源点合理布置</w:t>
            </w:r>
          </w:p>
        </w:tc>
      </w:tr>
      <w:tr w14:paraId="0A863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40" w:type="pct"/>
            <w:vMerge w:val="continue"/>
            <w:vAlign w:val="center"/>
          </w:tcPr>
          <w:p w14:paraId="31427912">
            <w:pPr>
              <w:widowControl/>
              <w:jc w:val="left"/>
              <w:rPr>
                <w:rFonts w:hint="eastAsia" w:ascii="仿宋" w:hAnsi="仿宋" w:eastAsia="仿宋" w:cs="宋体"/>
                <w:color w:val="000000"/>
                <w:kern w:val="0"/>
                <w:sz w:val="18"/>
                <w:szCs w:val="18"/>
              </w:rPr>
            </w:pPr>
          </w:p>
        </w:tc>
        <w:tc>
          <w:tcPr>
            <w:tcW w:w="1161" w:type="pct"/>
            <w:vAlign w:val="center"/>
          </w:tcPr>
          <w:p w14:paraId="5E2B8280">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照明设施</w:t>
            </w:r>
          </w:p>
        </w:tc>
        <w:tc>
          <w:tcPr>
            <w:tcW w:w="1825" w:type="pct"/>
            <w:vAlign w:val="center"/>
          </w:tcPr>
          <w:p w14:paraId="463A55F8">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根据资源点合理布置</w:t>
            </w:r>
          </w:p>
        </w:tc>
        <w:tc>
          <w:tcPr>
            <w:tcW w:w="1374" w:type="pct"/>
            <w:vAlign w:val="center"/>
          </w:tcPr>
          <w:p w14:paraId="4700F365">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根据资源点合理布置</w:t>
            </w:r>
          </w:p>
        </w:tc>
      </w:tr>
      <w:tr w14:paraId="03BB7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40" w:type="pct"/>
            <w:vMerge w:val="continue"/>
            <w:vAlign w:val="center"/>
          </w:tcPr>
          <w:p w14:paraId="5AF3946C">
            <w:pPr>
              <w:widowControl/>
              <w:jc w:val="left"/>
              <w:rPr>
                <w:rFonts w:hint="eastAsia" w:ascii="仿宋" w:hAnsi="仿宋" w:eastAsia="仿宋" w:cs="宋体"/>
                <w:color w:val="000000"/>
                <w:kern w:val="0"/>
                <w:sz w:val="18"/>
                <w:szCs w:val="18"/>
              </w:rPr>
            </w:pPr>
          </w:p>
        </w:tc>
        <w:tc>
          <w:tcPr>
            <w:tcW w:w="1161" w:type="pct"/>
            <w:vAlign w:val="center"/>
          </w:tcPr>
          <w:p w14:paraId="4D91E367">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休息设施</w:t>
            </w:r>
          </w:p>
        </w:tc>
        <w:tc>
          <w:tcPr>
            <w:tcW w:w="1825" w:type="pct"/>
            <w:vAlign w:val="center"/>
          </w:tcPr>
          <w:p w14:paraId="70CDBD08">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根据资源点合理布置</w:t>
            </w:r>
          </w:p>
        </w:tc>
        <w:tc>
          <w:tcPr>
            <w:tcW w:w="1374" w:type="pct"/>
            <w:vAlign w:val="center"/>
          </w:tcPr>
          <w:p w14:paraId="1FD9DB36">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根据资源点合理布置</w:t>
            </w:r>
          </w:p>
        </w:tc>
      </w:tr>
      <w:tr w14:paraId="78E98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40" w:type="pct"/>
            <w:vMerge w:val="continue"/>
            <w:vAlign w:val="center"/>
          </w:tcPr>
          <w:p w14:paraId="48FCF40A">
            <w:pPr>
              <w:widowControl/>
              <w:jc w:val="left"/>
              <w:rPr>
                <w:rFonts w:hint="eastAsia" w:ascii="仿宋" w:hAnsi="仿宋" w:eastAsia="仿宋" w:cs="宋体"/>
                <w:color w:val="000000"/>
                <w:kern w:val="0"/>
                <w:sz w:val="18"/>
                <w:szCs w:val="18"/>
              </w:rPr>
            </w:pPr>
          </w:p>
        </w:tc>
        <w:tc>
          <w:tcPr>
            <w:tcW w:w="1161" w:type="pct"/>
            <w:vAlign w:val="center"/>
          </w:tcPr>
          <w:p w14:paraId="2B2B0F9B">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饮水点</w:t>
            </w:r>
          </w:p>
        </w:tc>
        <w:tc>
          <w:tcPr>
            <w:tcW w:w="1825" w:type="pct"/>
            <w:vAlign w:val="center"/>
          </w:tcPr>
          <w:p w14:paraId="2E027D55">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根据资源点合理布置</w:t>
            </w:r>
          </w:p>
        </w:tc>
        <w:tc>
          <w:tcPr>
            <w:tcW w:w="1374" w:type="pct"/>
            <w:vAlign w:val="center"/>
          </w:tcPr>
          <w:p w14:paraId="308EFF6B">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根据资源点合理布置</w:t>
            </w:r>
          </w:p>
        </w:tc>
      </w:tr>
      <w:tr w14:paraId="2B20D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40" w:type="pct"/>
            <w:vMerge w:val="continue"/>
            <w:vAlign w:val="center"/>
          </w:tcPr>
          <w:p w14:paraId="321484C8">
            <w:pPr>
              <w:widowControl/>
              <w:jc w:val="left"/>
              <w:rPr>
                <w:rFonts w:hint="eastAsia" w:ascii="仿宋" w:hAnsi="仿宋" w:eastAsia="仿宋" w:cs="宋体"/>
                <w:color w:val="000000"/>
                <w:kern w:val="0"/>
                <w:sz w:val="18"/>
                <w:szCs w:val="18"/>
              </w:rPr>
            </w:pPr>
          </w:p>
        </w:tc>
        <w:tc>
          <w:tcPr>
            <w:tcW w:w="1161" w:type="pct"/>
            <w:vAlign w:val="center"/>
          </w:tcPr>
          <w:p w14:paraId="5836B975">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观景台</w:t>
            </w:r>
          </w:p>
        </w:tc>
        <w:tc>
          <w:tcPr>
            <w:tcW w:w="1825" w:type="pct"/>
            <w:vAlign w:val="center"/>
          </w:tcPr>
          <w:p w14:paraId="46759E50">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1处</w:t>
            </w:r>
          </w:p>
        </w:tc>
        <w:tc>
          <w:tcPr>
            <w:tcW w:w="1374" w:type="pct"/>
            <w:vAlign w:val="center"/>
          </w:tcPr>
          <w:p w14:paraId="2947309D">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2处</w:t>
            </w:r>
          </w:p>
        </w:tc>
      </w:tr>
      <w:tr w14:paraId="73FB9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40" w:type="pct"/>
            <w:vMerge w:val="continue"/>
            <w:vAlign w:val="center"/>
          </w:tcPr>
          <w:p w14:paraId="24F7132E">
            <w:pPr>
              <w:widowControl/>
              <w:jc w:val="left"/>
              <w:rPr>
                <w:rFonts w:hint="eastAsia" w:ascii="仿宋" w:hAnsi="仿宋" w:eastAsia="仿宋" w:cs="宋体"/>
                <w:color w:val="000000"/>
                <w:kern w:val="0"/>
                <w:sz w:val="18"/>
                <w:szCs w:val="18"/>
              </w:rPr>
            </w:pPr>
          </w:p>
        </w:tc>
        <w:tc>
          <w:tcPr>
            <w:tcW w:w="1161" w:type="pct"/>
            <w:vAlign w:val="center"/>
          </w:tcPr>
          <w:p w14:paraId="35A782DC">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研学基地</w:t>
            </w:r>
          </w:p>
        </w:tc>
        <w:tc>
          <w:tcPr>
            <w:tcW w:w="1825" w:type="pct"/>
            <w:vAlign w:val="center"/>
          </w:tcPr>
          <w:p w14:paraId="7653FFC5">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1处</w:t>
            </w:r>
          </w:p>
        </w:tc>
        <w:tc>
          <w:tcPr>
            <w:tcW w:w="1374" w:type="pct"/>
            <w:vAlign w:val="center"/>
          </w:tcPr>
          <w:p w14:paraId="0F881E35">
            <w:pPr>
              <w:widowControl/>
              <w:jc w:val="center"/>
              <w:rPr>
                <w:rFonts w:hint="eastAsia" w:ascii="仿宋" w:hAnsi="仿宋" w:eastAsia="仿宋" w:cs="宋体"/>
                <w:color w:val="000000"/>
                <w:kern w:val="0"/>
                <w:sz w:val="18"/>
                <w:szCs w:val="18"/>
              </w:rPr>
            </w:pPr>
            <w:r>
              <w:rPr>
                <w:rFonts w:hint="eastAsia" w:ascii="仿宋" w:hAnsi="仿宋" w:eastAsia="仿宋" w:cs="宋体"/>
                <w:color w:val="000000"/>
                <w:kern w:val="0"/>
                <w:sz w:val="18"/>
                <w:szCs w:val="18"/>
              </w:rPr>
              <w:t>1处</w:t>
            </w:r>
          </w:p>
        </w:tc>
      </w:tr>
    </w:tbl>
    <w:p w14:paraId="78696B94">
      <w:pPr>
        <w:numPr>
          <w:ilvl w:val="0"/>
          <w:numId w:val="1"/>
        </w:numPr>
        <w:spacing w:before="62" w:beforeLines="20" w:after="62" w:afterLines="20" w:line="264" w:lineRule="auto"/>
        <w:ind w:firstLine="640"/>
        <w:outlineLvl w:val="0"/>
        <w:rPr>
          <w:rFonts w:eastAsia="黑体"/>
          <w:bCs/>
          <w:sz w:val="22"/>
          <w:szCs w:val="22"/>
        </w:rPr>
      </w:pPr>
      <w:r>
        <w:rPr>
          <w:rFonts w:hint="eastAsia" w:eastAsia="黑体"/>
          <w:bCs/>
          <w:sz w:val="22"/>
          <w:szCs w:val="22"/>
        </w:rPr>
        <w:t>道路交通规划</w:t>
      </w:r>
    </w:p>
    <w:p w14:paraId="7754E398">
      <w:pPr>
        <w:spacing w:before="62" w:beforeLines="20" w:after="62" w:afterLines="20" w:line="264" w:lineRule="auto"/>
        <w:ind w:firstLine="440" w:firstLineChars="20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一</w:t>
      </w:r>
      <w:r>
        <w:rPr>
          <w:rFonts w:ascii="楷体" w:hAnsi="楷体" w:eastAsia="楷体" w:cs="楷体"/>
          <w:sz w:val="22"/>
          <w:szCs w:val="22"/>
        </w:rPr>
        <w:t>）</w:t>
      </w:r>
      <w:r>
        <w:rPr>
          <w:rFonts w:hint="eastAsia" w:ascii="楷体" w:hAnsi="楷体" w:eastAsia="楷体" w:cs="楷体"/>
          <w:sz w:val="22"/>
          <w:szCs w:val="22"/>
        </w:rPr>
        <w:t>道路网布局</w:t>
      </w:r>
    </w:p>
    <w:p w14:paraId="0EAC3821">
      <w:pPr>
        <w:numPr>
          <w:ilvl w:val="0"/>
          <w:numId w:val="4"/>
        </w:numPr>
        <w:spacing w:before="62" w:beforeLines="20" w:after="62" w:afterLines="20" w:line="264" w:lineRule="auto"/>
        <w:rPr>
          <w:rFonts w:eastAsia="仿宋_GB2312"/>
          <w:sz w:val="22"/>
          <w:szCs w:val="22"/>
        </w:rPr>
      </w:pPr>
      <w:r>
        <w:rPr>
          <w:rFonts w:hint="eastAsia" w:eastAsia="仿宋_GB2312"/>
          <w:sz w:val="22"/>
          <w:szCs w:val="22"/>
        </w:rPr>
        <w:t>对外交通规划</w:t>
      </w:r>
    </w:p>
    <w:p w14:paraId="2B754FDD">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“高速+国省县乡”多级对外交通网络密织，交通优势是片区发展最大动力之一。</w:t>
      </w:r>
    </w:p>
    <w:p w14:paraId="4E859C4A">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现状：片区对外交通体系完善，高速、国道、省道、县道、乡道穿越片区，片区整体道路交通等级高，交通便捷度高，对外交通优势十分明显。</w:t>
      </w:r>
    </w:p>
    <w:p w14:paraId="621C1DD1">
      <w:pPr>
        <w:spacing w:before="62" w:beforeLines="20" w:after="62" w:afterLines="20" w:line="264" w:lineRule="auto"/>
        <w:ind w:firstLine="440" w:firstLineChars="200"/>
        <w:rPr>
          <w:rFonts w:eastAsia="仿宋_GB2312"/>
          <w:sz w:val="22"/>
          <w:szCs w:val="22"/>
        </w:rPr>
      </w:pPr>
      <w:r>
        <w:rPr>
          <w:rFonts w:hint="eastAsia" w:eastAsia="仿宋_GB2312"/>
          <w:sz w:val="22"/>
          <w:szCs w:val="22"/>
        </w:rPr>
        <w:t>规划：攀枝花绕城高速穿越片区腹中，且在昔格达3社设有高速出入口，该高速建成后进攀时长将有很大提升。</w:t>
      </w:r>
    </w:p>
    <w:p w14:paraId="6BB0C5FF">
      <w:pPr>
        <w:numPr>
          <w:ilvl w:val="0"/>
          <w:numId w:val="4"/>
        </w:numPr>
        <w:spacing w:before="62" w:beforeLines="20" w:after="62" w:afterLines="20" w:line="264" w:lineRule="auto"/>
        <w:rPr>
          <w:rFonts w:eastAsia="仿宋_GB2312"/>
          <w:sz w:val="22"/>
          <w:szCs w:val="22"/>
        </w:rPr>
      </w:pPr>
      <w:bookmarkStart w:id="16" w:name="_Hlk204085596"/>
      <w:r>
        <w:rPr>
          <w:rFonts w:hint="eastAsia" w:eastAsia="仿宋_GB2312"/>
          <w:sz w:val="22"/>
          <w:szCs w:val="22"/>
        </w:rPr>
        <w:t>内部交通规划</w:t>
      </w:r>
    </w:p>
    <w:bookmarkEnd w:id="16"/>
    <w:p w14:paraId="5300F84F">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村道已全硬化，与区域交通衔接有效，内部交通网络畅通。</w:t>
      </w:r>
    </w:p>
    <w:p w14:paraId="77A8B720">
      <w:pPr>
        <w:spacing w:before="62" w:beforeLines="20" w:after="62" w:afterLines="20" w:line="264" w:lineRule="auto"/>
        <w:ind w:firstLine="440" w:firstLineChars="200"/>
        <w:rPr>
          <w:rFonts w:eastAsia="仿宋_GB2312"/>
          <w:sz w:val="22"/>
          <w:szCs w:val="22"/>
        </w:rPr>
      </w:pPr>
      <w:r>
        <w:rPr>
          <w:rFonts w:hint="eastAsia" w:eastAsia="仿宋_GB2312"/>
          <w:sz w:val="22"/>
          <w:szCs w:val="22"/>
        </w:rPr>
        <w:t>内部村道路网系统完善；对昔格达村5社、红格村5、6社道路部分路段进行拓宽，实现入户路全硬化，持续发挥交通优势。</w:t>
      </w:r>
    </w:p>
    <w:p w14:paraId="200E72A5">
      <w:pPr>
        <w:numPr>
          <w:ilvl w:val="0"/>
          <w:numId w:val="4"/>
        </w:numPr>
        <w:spacing w:before="62" w:beforeLines="20" w:after="62" w:afterLines="20" w:line="264" w:lineRule="auto"/>
        <w:rPr>
          <w:rFonts w:eastAsia="仿宋_GB2312"/>
          <w:sz w:val="22"/>
          <w:szCs w:val="22"/>
        </w:rPr>
      </w:pPr>
      <w:r>
        <w:rPr>
          <w:rFonts w:hint="eastAsia" w:eastAsia="仿宋_GB2312"/>
          <w:sz w:val="22"/>
          <w:szCs w:val="22"/>
        </w:rPr>
        <w:t>交通设施规划</w:t>
      </w:r>
    </w:p>
    <w:p w14:paraId="3EB2A9DD">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结合旅游发展增设停车设施。</w:t>
      </w:r>
    </w:p>
    <w:p w14:paraId="7EB1CB41">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完善片区停车设施，规划结合公服设施、居民建新点、旅游设施等配置6处社会停车场；其余各项目停车需求结合项目布局，配建停车场解决；同时，完善错车道和标志标线配置，增强片区内部交通通行能力。</w:t>
      </w:r>
    </w:p>
    <w:p w14:paraId="1E86519F">
      <w:pPr>
        <w:spacing w:before="62" w:beforeLines="20" w:after="62" w:afterLines="20" w:line="264" w:lineRule="auto"/>
        <w:ind w:firstLine="440" w:firstLineChars="200"/>
        <w:rPr>
          <w:rFonts w:hint="eastAsia" w:ascii="楷体" w:hAnsi="楷体" w:eastAsia="楷体" w:cs="楷体"/>
          <w:sz w:val="22"/>
          <w:szCs w:val="22"/>
        </w:rPr>
      </w:pPr>
      <w:bookmarkStart w:id="17" w:name="OLE_LINK3"/>
      <w:r>
        <w:rPr>
          <w:rFonts w:ascii="楷体" w:hAnsi="楷体" w:eastAsia="楷体" w:cs="楷体"/>
          <w:sz w:val="22"/>
          <w:szCs w:val="22"/>
        </w:rPr>
        <w:t>（</w:t>
      </w:r>
      <w:r>
        <w:rPr>
          <w:rFonts w:hint="eastAsia" w:ascii="楷体" w:hAnsi="楷体" w:eastAsia="楷体" w:cs="楷体"/>
          <w:sz w:val="22"/>
          <w:szCs w:val="22"/>
        </w:rPr>
        <w:t>二</w:t>
      </w:r>
      <w:r>
        <w:rPr>
          <w:rFonts w:ascii="楷体" w:hAnsi="楷体" w:eastAsia="楷体" w:cs="楷体"/>
          <w:sz w:val="22"/>
          <w:szCs w:val="22"/>
        </w:rPr>
        <w:t>）</w:t>
      </w:r>
      <w:bookmarkEnd w:id="17"/>
      <w:r>
        <w:rPr>
          <w:rFonts w:hint="eastAsia" w:ascii="楷体" w:hAnsi="楷体" w:eastAsia="楷体" w:cs="楷体"/>
          <w:sz w:val="22"/>
          <w:szCs w:val="22"/>
        </w:rPr>
        <w:t>公交游线规划</w:t>
      </w:r>
    </w:p>
    <w:p w14:paraId="3D460A04">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利用交通网络与产业发展优势，构建康养观光专线巴士，利用已建招呼站与特色产业，设立康养观光专线巴士，促进片区联动</w:t>
      </w:r>
    </w:p>
    <w:p w14:paraId="6547C2A1">
      <w:pPr>
        <w:spacing w:before="62" w:beforeLines="20" w:after="62" w:afterLines="20" w:line="264" w:lineRule="auto"/>
        <w:ind w:firstLine="440" w:firstLineChars="200"/>
        <w:rPr>
          <w:rFonts w:eastAsia="仿宋_GB2312"/>
          <w:sz w:val="22"/>
          <w:szCs w:val="22"/>
        </w:rPr>
      </w:pPr>
      <w:r>
        <w:rPr>
          <w:rFonts w:hint="eastAsia" w:eastAsia="仿宋_GB2312"/>
          <w:sz w:val="22"/>
          <w:szCs w:val="22"/>
        </w:rPr>
        <w:t>结合招呼站与片区未来产业发展，打造一条集观光、康养、采摘、美食的专线巴士。</w:t>
      </w:r>
    </w:p>
    <w:p w14:paraId="75D5CAC3">
      <w:pPr>
        <w:numPr>
          <w:ilvl w:val="0"/>
          <w:numId w:val="1"/>
        </w:numPr>
        <w:spacing w:before="62" w:beforeLines="20" w:after="62" w:afterLines="20" w:line="264" w:lineRule="auto"/>
        <w:ind w:firstLine="640"/>
        <w:outlineLvl w:val="0"/>
        <w:rPr>
          <w:rFonts w:eastAsia="黑体"/>
          <w:bCs/>
          <w:sz w:val="22"/>
          <w:szCs w:val="22"/>
        </w:rPr>
      </w:pPr>
      <w:r>
        <w:rPr>
          <w:rFonts w:hint="eastAsia" w:eastAsia="黑体"/>
          <w:bCs/>
          <w:sz w:val="22"/>
          <w:szCs w:val="22"/>
        </w:rPr>
        <w:t>乡村居住用地规划</w:t>
      </w:r>
    </w:p>
    <w:p w14:paraId="5DC4FB9D">
      <w:pPr>
        <w:spacing w:before="62" w:beforeLines="20" w:after="62" w:afterLines="20" w:line="264" w:lineRule="auto"/>
        <w:ind w:firstLine="440" w:firstLineChars="200"/>
        <w:rPr>
          <w:rFonts w:hint="eastAsia" w:ascii="楷体" w:hAnsi="楷体" w:eastAsia="楷体" w:cs="楷体"/>
          <w:sz w:val="22"/>
          <w:szCs w:val="22"/>
        </w:rPr>
      </w:pPr>
      <w:r>
        <w:rPr>
          <w:rFonts w:ascii="楷体" w:hAnsi="楷体" w:eastAsia="楷体" w:cs="楷体"/>
          <w:sz w:val="22"/>
          <w:szCs w:val="22"/>
        </w:rPr>
        <w:t>（</w:t>
      </w:r>
      <w:r>
        <w:rPr>
          <w:rFonts w:hint="eastAsia" w:ascii="楷体" w:hAnsi="楷体" w:eastAsia="楷体" w:cs="楷体"/>
          <w:sz w:val="22"/>
          <w:szCs w:val="22"/>
        </w:rPr>
        <w:t>一</w:t>
      </w:r>
      <w:r>
        <w:rPr>
          <w:rFonts w:ascii="楷体" w:hAnsi="楷体" w:eastAsia="楷体" w:cs="楷体"/>
          <w:sz w:val="22"/>
          <w:szCs w:val="22"/>
        </w:rPr>
        <w:t>）</w:t>
      </w:r>
      <w:r>
        <w:rPr>
          <w:rFonts w:hint="eastAsia" w:ascii="楷体" w:hAnsi="楷体" w:eastAsia="楷体" w:cs="楷体"/>
          <w:sz w:val="22"/>
          <w:szCs w:val="22"/>
        </w:rPr>
        <w:t>新建居民点风貌引导</w:t>
      </w:r>
    </w:p>
    <w:p w14:paraId="60B9D1AC">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规划采取组团式布局，保护耕地、集约用地，加强建筑与水系、林田等自然环境的融合，采用组团化、生态化布局。</w:t>
      </w:r>
    </w:p>
    <w:p w14:paraId="30E2276F">
      <w:pPr>
        <w:spacing w:before="62" w:beforeLines="20" w:after="62" w:afterLines="20" w:line="264" w:lineRule="auto"/>
        <w:ind w:firstLine="440" w:firstLineChars="200"/>
        <w:rPr>
          <w:rFonts w:eastAsia="仿宋_GB2312"/>
          <w:sz w:val="22"/>
          <w:szCs w:val="22"/>
        </w:rPr>
      </w:pPr>
      <w:r>
        <w:rPr>
          <w:rFonts w:hint="eastAsia" w:eastAsia="仿宋_GB2312"/>
          <w:sz w:val="22"/>
          <w:szCs w:val="22"/>
        </w:rPr>
        <w:t>延续川南民居传统韵味，统筹推进“新居”建设，衔接《攀枝花市乡村风貌整治导则》，落实建筑风貌引导，保留传统川南民居的元素如坡屋顶、外廊、青瓦白墙等，墙面用深色线条划分模仿穿斗的梁柱墙裙采用当地石材贴面，屋顶形式以小青瓦悬山双坡屋顶为主辅以单坡形式屋脊采用小 青瓦组合装饰、栏杆、扶手、 线脚、垂花等特色构件采用混凝</w:t>
      </w:r>
      <w:r>
        <w:rPr>
          <w:rFonts w:hint="eastAsia" w:eastAsia="仿宋_GB2312"/>
          <w:sz w:val="22"/>
          <w:szCs w:val="22"/>
          <w:lang w:eastAsia="zh-CN"/>
        </w:rPr>
        <w:t>。</w:t>
      </w:r>
    </w:p>
    <w:p w14:paraId="6F0FA164">
      <w:pPr>
        <w:spacing w:before="62" w:beforeLines="20" w:after="62" w:afterLines="20" w:line="264" w:lineRule="auto"/>
        <w:ind w:firstLine="440" w:firstLineChars="200"/>
        <w:rPr>
          <w:rFonts w:hint="eastAsia" w:ascii="楷体" w:hAnsi="楷体" w:eastAsia="楷体" w:cs="楷体"/>
          <w:sz w:val="22"/>
          <w:szCs w:val="22"/>
        </w:rPr>
      </w:pPr>
      <w:bookmarkStart w:id="18" w:name="_Hlk204085836"/>
      <w:r>
        <w:rPr>
          <w:rFonts w:ascii="楷体" w:hAnsi="楷体" w:eastAsia="楷体" w:cs="楷体"/>
          <w:sz w:val="22"/>
          <w:szCs w:val="22"/>
        </w:rPr>
        <w:t>（</w:t>
      </w:r>
      <w:r>
        <w:rPr>
          <w:rFonts w:hint="eastAsia" w:ascii="楷体" w:hAnsi="楷体" w:eastAsia="楷体" w:cs="楷体"/>
          <w:sz w:val="22"/>
          <w:szCs w:val="22"/>
        </w:rPr>
        <w:t>二</w:t>
      </w:r>
      <w:r>
        <w:rPr>
          <w:rFonts w:ascii="楷体" w:hAnsi="楷体" w:eastAsia="楷体" w:cs="楷体"/>
          <w:sz w:val="22"/>
          <w:szCs w:val="22"/>
        </w:rPr>
        <w:t>）</w:t>
      </w:r>
      <w:r>
        <w:rPr>
          <w:rFonts w:hint="eastAsia" w:ascii="楷体" w:hAnsi="楷体" w:eastAsia="楷体" w:cs="楷体"/>
          <w:sz w:val="22"/>
          <w:szCs w:val="22"/>
        </w:rPr>
        <w:t>典型居民点建设规划</w:t>
      </w:r>
    </w:p>
    <w:bookmarkEnd w:id="18"/>
    <w:p w14:paraId="45AF71E3">
      <w:pPr>
        <w:numPr>
          <w:ilvl w:val="0"/>
          <w:numId w:val="5"/>
        </w:numPr>
        <w:spacing w:before="62" w:beforeLines="20" w:after="62" w:afterLines="20" w:line="264" w:lineRule="auto"/>
        <w:rPr>
          <w:rFonts w:eastAsia="仿宋_GB2312"/>
          <w:sz w:val="22"/>
          <w:szCs w:val="22"/>
        </w:rPr>
      </w:pPr>
      <w:r>
        <w:rPr>
          <w:rFonts w:hint="eastAsia" w:eastAsia="仿宋_GB2312"/>
          <w:sz w:val="22"/>
          <w:szCs w:val="22"/>
        </w:rPr>
        <w:t>总体形态</w:t>
      </w:r>
    </w:p>
    <w:p w14:paraId="76B0F557">
      <w:pPr>
        <w:spacing w:before="62" w:beforeLines="20" w:after="62" w:afterLines="20" w:line="264" w:lineRule="auto"/>
        <w:ind w:firstLine="440" w:firstLineChars="200"/>
        <w:rPr>
          <w:rFonts w:eastAsia="仿宋_GB2312"/>
          <w:sz w:val="22"/>
          <w:szCs w:val="22"/>
        </w:rPr>
      </w:pPr>
      <w:r>
        <w:rPr>
          <w:rFonts w:hint="eastAsia" w:eastAsia="仿宋_GB2312"/>
          <w:sz w:val="22"/>
          <w:szCs w:val="22"/>
        </w:rPr>
        <w:t>遵循地形、生态有机的布局原则，尊重自然环境、突出地方特色，统筹考虑公共空间、配套设施、</w:t>
      </w:r>
      <w:r>
        <w:rPr>
          <w:rFonts w:hint="eastAsia" w:eastAsia="仿宋_GB2312"/>
          <w:sz w:val="22"/>
          <w:szCs w:val="22"/>
          <w:lang w:eastAsia="zh-CN"/>
        </w:rPr>
        <w:t>园林</w:t>
      </w:r>
      <w:r>
        <w:rPr>
          <w:rFonts w:hint="eastAsia" w:eastAsia="仿宋_GB2312"/>
          <w:sz w:val="22"/>
          <w:szCs w:val="22"/>
        </w:rPr>
        <w:t>菜地等各方面的需求，形成与自然环境相融合的总体布局形态。规划结合片区实际情况，以“组团式、生态化”理念新建8个聚居点，共计17.42公顷。红格村：现状人口4452人，因分户需求，到2035年共安置人口约2050人。昔格达村：现状人口2815人，因基础设施建设、产业发展与分户需求，到2035年共安置人口约336人。组团间结合周边山丘和水系，留有生态廊道和视线通廊，间隔打造景观小节点，并结合商业公服设施设置大型景观节点，组团内设置公共院坝，形成生态良好、环境优美、生活便利的居住环境。</w:t>
      </w:r>
    </w:p>
    <w:p w14:paraId="7DC10FAD">
      <w:pPr>
        <w:numPr>
          <w:ilvl w:val="0"/>
          <w:numId w:val="5"/>
        </w:numPr>
        <w:spacing w:before="62" w:beforeLines="20" w:after="62" w:afterLines="20" w:line="264" w:lineRule="auto"/>
        <w:rPr>
          <w:rFonts w:eastAsia="仿宋_GB2312"/>
          <w:sz w:val="22"/>
          <w:szCs w:val="22"/>
        </w:rPr>
      </w:pPr>
      <w:r>
        <w:rPr>
          <w:rFonts w:hint="eastAsia" w:eastAsia="仿宋_GB2312"/>
          <w:sz w:val="22"/>
          <w:szCs w:val="22"/>
        </w:rPr>
        <w:t>农房户型</w:t>
      </w:r>
    </w:p>
    <w:p w14:paraId="72835076">
      <w:pPr>
        <w:spacing w:before="62" w:beforeLines="20" w:after="62" w:afterLines="20" w:line="264" w:lineRule="auto"/>
        <w:ind w:firstLine="440" w:firstLineChars="200"/>
        <w:rPr>
          <w:rFonts w:eastAsia="仿宋_GB2312"/>
          <w:sz w:val="22"/>
          <w:szCs w:val="22"/>
        </w:rPr>
      </w:pPr>
      <w:r>
        <w:rPr>
          <w:rFonts w:hint="eastAsia" w:eastAsia="仿宋_GB2312"/>
          <w:sz w:val="22"/>
          <w:szCs w:val="22"/>
        </w:rPr>
        <w:t>根据当地人口特征及现有居住习惯，规划提供 1人</w:t>
      </w:r>
      <w:r>
        <w:rPr>
          <w:rFonts w:hint="eastAsia" w:eastAsia="仿宋_GB2312"/>
          <w:sz w:val="22"/>
          <w:szCs w:val="22"/>
          <w:lang w:eastAsia="zh-CN"/>
        </w:rPr>
        <w:t>户2</w:t>
      </w:r>
      <w:r>
        <w:rPr>
          <w:rFonts w:hint="eastAsia" w:eastAsia="仿宋_GB2312"/>
          <w:sz w:val="22"/>
          <w:szCs w:val="22"/>
        </w:rPr>
        <w:t>人户、3人户、4人户四类共4种户型，建筑面积42.2㎡-160.35㎡。户型设计重视村民的生活习惯与生产需求，设置屋前院落，满足村民种植蔬菜、养殖家禽、生产劳作与休憩娱乐的各类需求。室内设置储藏间，用于存放农具杂物；二楼露台可作为赏景休憩与农作物晾晒的场所。</w:t>
      </w:r>
    </w:p>
    <w:p w14:paraId="32B2BF5F">
      <w:pPr>
        <w:numPr>
          <w:ilvl w:val="0"/>
          <w:numId w:val="5"/>
        </w:numPr>
        <w:spacing w:before="62" w:beforeLines="20" w:after="62" w:afterLines="20" w:line="264" w:lineRule="auto"/>
        <w:rPr>
          <w:rFonts w:eastAsia="仿宋_GB2312"/>
          <w:sz w:val="22"/>
          <w:szCs w:val="22"/>
        </w:rPr>
      </w:pPr>
      <w:r>
        <w:rPr>
          <w:rFonts w:hint="eastAsia" w:eastAsia="仿宋_GB2312"/>
          <w:sz w:val="22"/>
          <w:szCs w:val="22"/>
        </w:rPr>
        <w:t>配套设施</w:t>
      </w:r>
    </w:p>
    <w:p w14:paraId="4924A296">
      <w:pPr>
        <w:spacing w:before="62" w:beforeLines="20" w:after="62" w:afterLines="20" w:line="264" w:lineRule="auto"/>
        <w:ind w:firstLine="440" w:firstLineChars="200"/>
        <w:rPr>
          <w:rFonts w:eastAsia="仿宋_GB2312"/>
          <w:sz w:val="22"/>
          <w:szCs w:val="22"/>
        </w:rPr>
        <w:sectPr>
          <w:type w:val="continuous"/>
          <w:pgSz w:w="23811" w:h="16838" w:orient="landscape"/>
          <w:pgMar w:top="1134" w:right="1134" w:bottom="1134" w:left="1134" w:header="851" w:footer="992" w:gutter="0"/>
          <w:cols w:equalWidth="0" w:num="2">
            <w:col w:w="10559" w:space="844"/>
            <w:col w:w="10140"/>
          </w:cols>
          <w:docGrid w:type="lines" w:linePitch="312" w:charSpace="0"/>
        </w:sectPr>
      </w:pPr>
      <w:r>
        <w:rPr>
          <w:rFonts w:hint="eastAsia" w:eastAsia="仿宋_GB2312"/>
          <w:sz w:val="22"/>
          <w:szCs w:val="22"/>
        </w:rPr>
        <w:t>道路设施：村庄内部干路作为居民点对外主要道路，路面为沥青路面，宽度不超过5.5米；支路作为居民点对外次要道路，路面以水泥路为主，以3.5米左右为宜；入户路作为居民点内部主要道路，路面以水泥路面为主，控制1.5~2.5米左右。结合零散分布的空地设置停车位，供机动车及其他农用车辆停放,停车配</w:t>
      </w:r>
    </w:p>
    <w:p w14:paraId="2D757156">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套标准不低于1辆/户。</w:t>
      </w:r>
    </w:p>
    <w:p w14:paraId="0D89C570">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给水设施：聚居点内给水管宜采用球墨铸铁管和 PE 等塑料材质，管径不宜小于 DN50；消防给水与集中供水为同一系统，室外消火栓的间距不应大于120m。</w:t>
      </w:r>
    </w:p>
    <w:p w14:paraId="79682151">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燃气设施：燃气管道宜直埋敷设，燃气管网可按枝状布置；聚居点内燃气管径不宜小于 De32。</w:t>
      </w:r>
    </w:p>
    <w:p w14:paraId="2AD31325">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电力电信设施：结合聚居点实际条件，电力电信线路采用架空或埋地敷设；10kV主干线路线径不宜小于150</w:t>
      </w:r>
      <w:r>
        <w:rPr>
          <w:rFonts w:hint="eastAsia" w:ascii="仿宋" w:hAnsi="仿宋" w:eastAsia="仿宋"/>
          <w:sz w:val="22"/>
          <w:szCs w:val="22"/>
        </w:rPr>
        <w:t>m</w:t>
      </w:r>
      <w:r>
        <w:rPr>
          <w:rFonts w:hint="eastAsia" w:eastAsia="仿宋_GB2312"/>
          <w:sz w:val="22"/>
          <w:szCs w:val="22"/>
        </w:rPr>
        <w:t>㎡，埋地通信管道管孔容量为 2~3 孔。</w:t>
      </w:r>
    </w:p>
    <w:p w14:paraId="7E922983">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环卫设施：公共节点及组团内设置一个小型垃圾桶，村民将生活垃圾集中收集至垃圾桶再由保洁员进行集中清运。沿居民点村主路设置垃圾收集点，服务半径500米。</w:t>
      </w:r>
    </w:p>
    <w:p w14:paraId="41A1A279">
      <w:pPr>
        <w:spacing w:before="62" w:beforeLines="20" w:after="62" w:afterLines="20" w:line="264" w:lineRule="auto"/>
        <w:ind w:firstLine="440" w:firstLineChars="200"/>
        <w:rPr>
          <w:rFonts w:eastAsia="仿宋_GB2312"/>
          <w:sz w:val="22"/>
          <w:szCs w:val="22"/>
        </w:rPr>
      </w:pPr>
      <w:r>
        <w:rPr>
          <w:rFonts w:hint="eastAsia" w:eastAsia="仿宋_GB2312"/>
          <w:sz w:val="22"/>
          <w:szCs w:val="22"/>
        </w:rPr>
        <w:t>排水设施：新建聚居点排水体制采用集中处理的方式，污水收集管网最小管径采用 DN200。雨水排水系统宜结合现有沟渠、道路边沟就近排至周边受纳水体。</w:t>
      </w:r>
    </w:p>
    <w:p w14:paraId="487D9A19">
      <w:pPr>
        <w:spacing w:before="62" w:beforeLines="20" w:after="62" w:afterLines="20" w:line="264" w:lineRule="auto"/>
        <w:ind w:firstLine="440" w:firstLineChars="200"/>
        <w:rPr>
          <w:rFonts w:hint="eastAsia" w:ascii="楷体" w:hAnsi="楷体" w:eastAsia="楷体" w:cs="楷体"/>
          <w:sz w:val="22"/>
          <w:szCs w:val="22"/>
        </w:rPr>
      </w:pPr>
      <w:bookmarkStart w:id="19" w:name="_Hlk204086390"/>
      <w:r>
        <w:rPr>
          <w:rFonts w:ascii="楷体" w:hAnsi="楷体" w:eastAsia="楷体" w:cs="楷体"/>
          <w:sz w:val="22"/>
          <w:szCs w:val="22"/>
        </w:rPr>
        <w:t>（</w:t>
      </w:r>
      <w:r>
        <w:rPr>
          <w:rFonts w:hint="eastAsia" w:ascii="楷体" w:hAnsi="楷体" w:eastAsia="楷体" w:cs="楷体"/>
          <w:sz w:val="22"/>
          <w:szCs w:val="22"/>
        </w:rPr>
        <w:t>三</w:t>
      </w:r>
      <w:r>
        <w:rPr>
          <w:rFonts w:ascii="楷体" w:hAnsi="楷体" w:eastAsia="楷体" w:cs="楷体"/>
          <w:sz w:val="22"/>
          <w:szCs w:val="22"/>
        </w:rPr>
        <w:t>）</w:t>
      </w:r>
      <w:r>
        <w:rPr>
          <w:rFonts w:hint="eastAsia" w:ascii="楷体" w:hAnsi="楷体" w:eastAsia="楷体" w:cs="楷体"/>
          <w:sz w:val="22"/>
          <w:szCs w:val="22"/>
        </w:rPr>
        <w:t>保留聚居点提升指引</w:t>
      </w:r>
    </w:p>
    <w:p w14:paraId="5FB240DD">
      <w:pPr>
        <w:numPr>
          <w:ilvl w:val="0"/>
          <w:numId w:val="6"/>
        </w:numPr>
        <w:spacing w:before="62" w:beforeLines="20" w:after="62" w:afterLines="20" w:line="264" w:lineRule="auto"/>
        <w:rPr>
          <w:rFonts w:eastAsia="仿宋_GB2312"/>
          <w:sz w:val="22"/>
          <w:szCs w:val="22"/>
        </w:rPr>
      </w:pPr>
      <w:bookmarkStart w:id="20" w:name="_Hlk204086325"/>
      <w:r>
        <w:rPr>
          <w:rFonts w:hint="eastAsia" w:eastAsia="仿宋_GB2312"/>
          <w:sz w:val="22"/>
          <w:szCs w:val="22"/>
        </w:rPr>
        <w:t>建筑风貌提升</w:t>
      </w:r>
    </w:p>
    <w:p w14:paraId="789BBA9F">
      <w:pPr>
        <w:spacing w:before="62" w:beforeLines="20" w:after="62" w:afterLines="20" w:line="264" w:lineRule="auto"/>
        <w:ind w:firstLine="440" w:firstLineChars="200"/>
        <w:rPr>
          <w:rFonts w:eastAsia="仿宋_GB2312"/>
          <w:sz w:val="22"/>
          <w:szCs w:val="22"/>
        </w:rPr>
      </w:pPr>
      <w:r>
        <w:rPr>
          <w:rFonts w:hint="eastAsia" w:eastAsia="仿宋_GB2312"/>
          <w:sz w:val="22"/>
          <w:szCs w:val="22"/>
        </w:rPr>
        <w:t>现状居民点建筑分为传统风貌和现代风貌进行引导。其中传统风貌以保护修复为主，现代风貌以整治改造为主。对保留民居进行立面整改，统一风貌，延续地域特色。针对保留民居加盖普遍、风格杂乱的问题，采取针对性的整改措施：拆除屋顶加盖的彩钢房，统一为坡屋顶；整体风格依据建筑风貌分区进行样式统一。</w:t>
      </w:r>
      <w:bookmarkEnd w:id="19"/>
      <w:bookmarkEnd w:id="20"/>
    </w:p>
    <w:p w14:paraId="427ACFF0">
      <w:pPr>
        <w:numPr>
          <w:ilvl w:val="0"/>
          <w:numId w:val="6"/>
        </w:numPr>
        <w:spacing w:before="62" w:beforeLines="20" w:after="62" w:afterLines="20" w:line="264" w:lineRule="auto"/>
        <w:rPr>
          <w:rFonts w:eastAsia="仿宋_GB2312"/>
          <w:sz w:val="22"/>
          <w:szCs w:val="22"/>
        </w:rPr>
      </w:pPr>
      <w:r>
        <w:rPr>
          <w:rFonts w:hint="eastAsia" w:eastAsia="仿宋_GB2312"/>
          <w:sz w:val="22"/>
          <w:szCs w:val="22"/>
        </w:rPr>
        <w:t>农居环境整治</w:t>
      </w:r>
    </w:p>
    <w:p w14:paraId="06019A21">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庭院卫生专项整治：充分利用土地资源发展庭院经济，积极引导村民在房前屋后和空闲土地种植果树，在增收的同时也起到绿化美化庭院的作用。鼓励庭院间用绿化分割，保持整洁；前院作为生活休憩庭院，不乱堆乱放，留出活动场所；后院作为生产庭院，种植瓜果蔬菜；整修院内有碍观瞻的棚厦和废弃圈舍，建栅栏，矮墙、仓库设施等；庭院的生活区、养殖区、种植区要进行分离。</w:t>
      </w:r>
    </w:p>
    <w:p w14:paraId="0682A987">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道路沿线改造：主要实施“三化”提升，主要包括道路硬化、道路绿化、道路亮化三个方面，在道路硬化方面，村道路兼具生活与交通功能，对未硬化的道路采取硬化措施，宜采用沥青混凝土路面、水泥混凝土路面等，保证道路通行能力。在道路绿化方面，沿道路两侧种植本土植被，绿化美化道路沿线环境，改变原有单一、简单的景观和色彩效果，减缓司乘人员视觉疲劳，提高行车安全。在道路亮化方面，沿村主干道进行亮化工程，通过安装具 有节能、环保、亮度高等特点的LED太阳 能路灯，提高夜间出行安全系数。</w:t>
      </w:r>
    </w:p>
    <w:p w14:paraId="5DAE42BC">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节点打造: 优化主要界面和重要节点，营造山、村、园、田、远近皆宜的景象，让城乡互为风景。减少重要景观节点沿线的视线遮挡：对于道路两侧平视界面，清除重点农业、生态景观路段两侧遮挡视线的连片灌木、乔木，特别在道路平面弯道界限内必须清除高于1.2米的障碍物。分层管控远中近景：呈现舒缓自然的景观层次，维育自然美好的乡村农业风貌。合理引导建筑设计：协调视线通廊内的建筑建设，通过对视廊内建筑密度、建筑形态、建筑风貌的控制，形成良好的视线通廊界面，营造山、城、园、田远近皆宜的景象。</w:t>
      </w:r>
    </w:p>
    <w:p w14:paraId="014303F6">
      <w:pPr>
        <w:spacing w:before="62" w:beforeLines="20" w:after="62" w:afterLines="20" w:line="264" w:lineRule="auto"/>
        <w:ind w:firstLine="440" w:firstLineChars="200"/>
        <w:rPr>
          <w:rFonts w:hint="eastAsia" w:eastAsia="仿宋_GB2312"/>
          <w:sz w:val="22"/>
          <w:szCs w:val="22"/>
        </w:rPr>
      </w:pPr>
      <w:r>
        <w:rPr>
          <w:rFonts w:hint="eastAsia" w:eastAsia="仿宋_GB2312"/>
          <w:sz w:val="22"/>
          <w:szCs w:val="22"/>
        </w:rPr>
        <w:t>公共空间打造：结合乡土植物、景观小品、公共设施、标识性场所等，打造活力节点，与现代活动功能相匹配，形成内涵丰富、尺度宜人、环境整洁的公共空间，打造“山水怡情、飨乐乡韵”的乡村生活。。</w:t>
      </w:r>
    </w:p>
    <w:p w14:paraId="237B3727">
      <w:pPr>
        <w:spacing w:before="62" w:beforeLines="20" w:after="62" w:afterLines="20" w:line="264" w:lineRule="auto"/>
        <w:ind w:firstLine="440" w:firstLineChars="200"/>
        <w:rPr>
          <w:rFonts w:eastAsia="仿宋_GB2312"/>
          <w:sz w:val="22"/>
          <w:szCs w:val="22"/>
        </w:rPr>
      </w:pPr>
      <w:r>
        <w:rPr>
          <w:rFonts w:hint="eastAsia" w:eastAsia="仿宋_GB2312"/>
          <w:sz w:val="22"/>
          <w:szCs w:val="22"/>
        </w:rPr>
        <w:t>休闲设施提升：结合差异化的植物设置休闲设施，搭配</w:t>
      </w:r>
      <w:r>
        <w:rPr>
          <w:rFonts w:hint="eastAsia" w:eastAsia="仿宋_GB2312"/>
          <w:sz w:val="22"/>
          <w:szCs w:val="22"/>
          <w:lang w:eastAsia="zh-CN"/>
        </w:rPr>
        <w:t>小品</w:t>
      </w:r>
      <w:r>
        <w:rPr>
          <w:rFonts w:hint="eastAsia" w:eastAsia="仿宋_GB2312"/>
          <w:sz w:val="22"/>
          <w:szCs w:val="22"/>
        </w:rPr>
        <w:t>塑造各不相同的景观性空间。</w:t>
      </w:r>
    </w:p>
    <w:p w14:paraId="438DDCA1">
      <w:pPr>
        <w:pStyle w:val="2"/>
        <w:ind w:left="840" w:hanging="420"/>
        <w:rPr>
          <w:rFonts w:hint="eastAsia"/>
        </w:rPr>
      </w:pPr>
    </w:p>
    <w:p w14:paraId="70E2D425">
      <w:pPr>
        <w:pStyle w:val="2"/>
        <w:ind w:left="0" w:leftChars="0" w:firstLine="0" w:firstLineChars="0"/>
        <w:rPr>
          <w:rFonts w:hint="eastAsia"/>
        </w:rPr>
        <w:sectPr>
          <w:type w:val="continuous"/>
          <w:pgSz w:w="23811" w:h="16838" w:orient="landscape"/>
          <w:pgMar w:top="1134" w:right="1134" w:bottom="1134" w:left="1134" w:header="851" w:footer="992" w:gutter="0"/>
          <w:cols w:space="720" w:num="2"/>
          <w:docGrid w:type="lines" w:linePitch="312" w:charSpace="0"/>
        </w:sectPr>
      </w:pPr>
    </w:p>
    <w:p w14:paraId="12FD9BD5">
      <w:pPr>
        <w:pStyle w:val="2"/>
        <w:ind w:left="298" w:leftChars="47" w:hanging="199" w:hangingChars="95"/>
        <w:rPr>
          <w:rFonts w:hint="eastAsia"/>
        </w:rPr>
        <w:sectPr>
          <w:type w:val="continuous"/>
          <w:pgSz w:w="23811" w:h="16838" w:orient="landscape"/>
          <w:pgMar w:top="1361" w:right="1701" w:bottom="1361" w:left="1474" w:header="851" w:footer="992" w:gutter="0"/>
          <w:cols w:space="425" w:num="2"/>
          <w:docGrid w:type="lines" w:linePitch="312" w:charSpace="0"/>
        </w:sectPr>
      </w:pPr>
    </w:p>
    <w:p w14:paraId="1D7E4064">
      <w:pPr>
        <w:sectPr>
          <w:headerReference r:id="rId5" w:type="default"/>
          <w:pgSz w:w="16838" w:h="23811"/>
          <w:pgMar w:top="1701" w:right="1361" w:bottom="1474" w:left="1361" w:header="851" w:footer="992" w:gutter="0"/>
          <w:cols w:space="425" w:num="1"/>
          <w:docGrid w:type="lines" w:linePitch="312" w:charSpace="0"/>
        </w:sectPr>
      </w:pPr>
      <w:r>
        <w:drawing>
          <wp:anchor distT="0" distB="0" distL="114300" distR="114300" simplePos="0" relativeHeight="251659264" behindDoc="0" locked="0" layoutInCell="1" allowOverlap="1">
            <wp:simplePos x="0" y="0"/>
            <wp:positionH relativeFrom="margin">
              <wp:align>center</wp:align>
            </wp:positionH>
            <wp:positionV relativeFrom="margin">
              <wp:align>center</wp:align>
            </wp:positionV>
            <wp:extent cx="8962390" cy="12691110"/>
            <wp:effectExtent l="0" t="0" r="0" b="0"/>
            <wp:wrapSquare wrapText="bothSides"/>
            <wp:docPr id="64379363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793639" name="图片 3"/>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962842" cy="12691704"/>
                    </a:xfrm>
                    <a:prstGeom prst="rect">
                      <a:avLst/>
                    </a:prstGeom>
                    <a:noFill/>
                    <a:ln>
                      <a:noFill/>
                    </a:ln>
                  </pic:spPr>
                </pic:pic>
              </a:graphicData>
            </a:graphic>
          </wp:anchor>
        </w:drawing>
      </w:r>
    </w:p>
    <w:p w14:paraId="4B1195A5"/>
    <w:p w14:paraId="48F187A0">
      <w:pPr>
        <w:pStyle w:val="2"/>
        <w:ind w:left="226" w:leftChars="13" w:hanging="199" w:hangingChars="95"/>
        <w:jc w:val="left"/>
        <w:sectPr>
          <w:type w:val="continuous"/>
          <w:pgSz w:w="16838" w:h="23811"/>
          <w:pgMar w:top="1701" w:right="1361" w:bottom="1474" w:left="1361" w:header="851" w:footer="992" w:gutter="0"/>
          <w:cols w:space="425" w:num="1"/>
          <w:docGrid w:type="lines" w:linePitch="312" w:charSpace="0"/>
        </w:sectPr>
      </w:pPr>
    </w:p>
    <w:p w14:paraId="37D99A77">
      <w:r>
        <w:drawing>
          <wp:anchor distT="0" distB="0" distL="114300" distR="114300" simplePos="0" relativeHeight="251661312" behindDoc="0" locked="0" layoutInCell="1" allowOverlap="1">
            <wp:simplePos x="0" y="0"/>
            <wp:positionH relativeFrom="margin">
              <wp:align>center</wp:align>
            </wp:positionH>
            <wp:positionV relativeFrom="margin">
              <wp:align>center</wp:align>
            </wp:positionV>
            <wp:extent cx="8962390" cy="12691110"/>
            <wp:effectExtent l="0" t="0" r="0" b="0"/>
            <wp:wrapSquare wrapText="bothSides"/>
            <wp:docPr id="61495428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954285" name="图片 3"/>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962842" cy="12691704"/>
                    </a:xfrm>
                    <a:prstGeom prst="rect">
                      <a:avLst/>
                    </a:prstGeom>
                    <a:noFill/>
                    <a:ln>
                      <a:noFill/>
                    </a:ln>
                  </pic:spPr>
                </pic:pic>
              </a:graphicData>
            </a:graphic>
          </wp:anchor>
        </w:drawing>
      </w:r>
    </w:p>
    <w:p w14:paraId="32079622">
      <w:pPr>
        <w:pStyle w:val="2"/>
        <w:ind w:left="226" w:leftChars="13" w:hanging="199" w:hangingChars="95"/>
        <w:jc w:val="left"/>
        <w:sectPr>
          <w:headerReference r:id="rId6" w:type="default"/>
          <w:pgSz w:w="16838" w:h="23811"/>
          <w:pgMar w:top="1701" w:right="1361" w:bottom="1474" w:left="1361" w:header="851" w:footer="992" w:gutter="0"/>
          <w:cols w:space="425" w:num="1"/>
          <w:docGrid w:type="lines" w:linePitch="312" w:charSpace="0"/>
        </w:sectPr>
      </w:pPr>
    </w:p>
    <w:p w14:paraId="599ABD00">
      <w:r>
        <w:drawing>
          <wp:anchor distT="0" distB="0" distL="114300" distR="114300" simplePos="0" relativeHeight="251663360" behindDoc="0" locked="0" layoutInCell="1" allowOverlap="1">
            <wp:simplePos x="0" y="0"/>
            <wp:positionH relativeFrom="margin">
              <wp:align>center</wp:align>
            </wp:positionH>
            <wp:positionV relativeFrom="margin">
              <wp:align>center</wp:align>
            </wp:positionV>
            <wp:extent cx="8962390" cy="12691110"/>
            <wp:effectExtent l="0" t="0" r="0" b="0"/>
            <wp:wrapSquare wrapText="bothSides"/>
            <wp:docPr id="6835517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551722" name="图片 2"/>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962842" cy="12691704"/>
                    </a:xfrm>
                    <a:prstGeom prst="rect">
                      <a:avLst/>
                    </a:prstGeom>
                    <a:noFill/>
                    <a:ln>
                      <a:noFill/>
                    </a:ln>
                  </pic:spPr>
                </pic:pic>
              </a:graphicData>
            </a:graphic>
          </wp:anchor>
        </w:drawing>
      </w:r>
    </w:p>
    <w:p w14:paraId="20518277">
      <w:pPr>
        <w:pStyle w:val="2"/>
        <w:ind w:left="226" w:leftChars="13" w:hanging="199" w:hangingChars="95"/>
        <w:jc w:val="left"/>
        <w:sectPr>
          <w:headerReference r:id="rId7" w:type="default"/>
          <w:pgSz w:w="16838" w:h="23811"/>
          <w:pgMar w:top="1701" w:right="1361" w:bottom="1474" w:left="1361" w:header="851" w:footer="992" w:gutter="0"/>
          <w:cols w:space="425" w:num="1"/>
          <w:docGrid w:type="lines" w:linePitch="312" w:charSpace="0"/>
        </w:sectPr>
      </w:pPr>
      <w:r>
        <w:drawing>
          <wp:anchor distT="0" distB="0" distL="114300" distR="114300" simplePos="0" relativeHeight="251662336" behindDoc="0" locked="0" layoutInCell="1" allowOverlap="1">
            <wp:simplePos x="0" y="0"/>
            <wp:positionH relativeFrom="margin">
              <wp:align>center</wp:align>
            </wp:positionH>
            <wp:positionV relativeFrom="margin">
              <wp:align>center</wp:align>
            </wp:positionV>
            <wp:extent cx="8963660" cy="12697460"/>
            <wp:effectExtent l="0" t="0" r="8890" b="8890"/>
            <wp:wrapSquare wrapText="bothSides"/>
            <wp:docPr id="133227789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277893" name="图片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8963660" cy="12697460"/>
                    </a:xfrm>
                    <a:prstGeom prst="rect">
                      <a:avLst/>
                    </a:prstGeom>
                    <a:noFill/>
                    <a:ln>
                      <a:noFill/>
                    </a:ln>
                  </pic:spPr>
                </pic:pic>
              </a:graphicData>
            </a:graphic>
          </wp:anchor>
        </w:drawing>
      </w:r>
    </w:p>
    <w:p w14:paraId="0CEB1D8B">
      <w:r>
        <w:drawing>
          <wp:anchor distT="0" distB="0" distL="114300" distR="114300" simplePos="0" relativeHeight="251665408" behindDoc="0" locked="0" layoutInCell="1" allowOverlap="1">
            <wp:simplePos x="0" y="0"/>
            <wp:positionH relativeFrom="margin">
              <wp:posOffset>-6985</wp:posOffset>
            </wp:positionH>
            <wp:positionV relativeFrom="margin">
              <wp:posOffset>196215</wp:posOffset>
            </wp:positionV>
            <wp:extent cx="8962390" cy="12691110"/>
            <wp:effectExtent l="0" t="0" r="0" b="0"/>
            <wp:wrapSquare wrapText="bothSides"/>
            <wp:docPr id="74811938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119380" name="图片 2"/>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962390" cy="12691110"/>
                    </a:xfrm>
                    <a:prstGeom prst="rect">
                      <a:avLst/>
                    </a:prstGeom>
                    <a:noFill/>
                    <a:ln>
                      <a:noFill/>
                    </a:ln>
                  </pic:spPr>
                </pic:pic>
              </a:graphicData>
            </a:graphic>
          </wp:anchor>
        </w:drawing>
      </w:r>
    </w:p>
    <w:p w14:paraId="32D90715">
      <w:pPr>
        <w:pStyle w:val="2"/>
        <w:ind w:left="209" w:leftChars="5" w:hanging="199" w:hangingChars="95"/>
        <w:jc w:val="left"/>
        <w:rPr>
          <w:rFonts w:hint="eastAsia"/>
        </w:rPr>
        <w:sectPr>
          <w:headerReference r:id="rId8" w:type="default"/>
          <w:pgSz w:w="16838" w:h="23811"/>
          <w:pgMar w:top="1701" w:right="1361" w:bottom="1474" w:left="1361" w:header="851" w:footer="992" w:gutter="0"/>
          <w:cols w:space="425" w:num="1"/>
          <w:docGrid w:type="lines" w:linePitch="312" w:charSpace="0"/>
        </w:sectPr>
      </w:pPr>
    </w:p>
    <w:p w14:paraId="5280095B">
      <w:r>
        <w:drawing>
          <wp:anchor distT="0" distB="0" distL="114300" distR="114300" simplePos="0" relativeHeight="251664384" behindDoc="0" locked="0" layoutInCell="1" allowOverlap="1">
            <wp:simplePos x="0" y="0"/>
            <wp:positionH relativeFrom="margin">
              <wp:align>center</wp:align>
            </wp:positionH>
            <wp:positionV relativeFrom="margin">
              <wp:align>center</wp:align>
            </wp:positionV>
            <wp:extent cx="8962390" cy="12691110"/>
            <wp:effectExtent l="0" t="0" r="0" b="0"/>
            <wp:wrapSquare wrapText="bothSides"/>
            <wp:docPr id="209117569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175696" name="图片 2"/>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962842" cy="12691704"/>
                    </a:xfrm>
                    <a:prstGeom prst="rect">
                      <a:avLst/>
                    </a:prstGeom>
                    <a:noFill/>
                    <a:ln>
                      <a:noFill/>
                    </a:ln>
                  </pic:spPr>
                </pic:pic>
              </a:graphicData>
            </a:graphic>
          </wp:anchor>
        </w:drawing>
      </w:r>
    </w:p>
    <w:p w14:paraId="74ECEC73">
      <w:pPr>
        <w:rPr>
          <w:rFonts w:hint="eastAsia"/>
        </w:rPr>
      </w:pPr>
    </w:p>
    <w:sectPr>
      <w:headerReference r:id="rId9" w:type="default"/>
      <w:pgSz w:w="16838" w:h="23811"/>
      <w:pgMar w:top="1701" w:right="1361" w:bottom="1474"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ISOCT">
    <w:altName w:val="Segoe Print"/>
    <w:panose1 w:val="00000400000000000000"/>
    <w:charset w:val="00"/>
    <w:family w:val="auto"/>
    <w:pitch w:val="default"/>
    <w:sig w:usb0="00000000" w:usb1="00000000" w:usb2="00000000" w:usb3="00000000" w:csb0="0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863701">
    <w:pPr>
      <w:pStyle w:val="11"/>
      <w:jc w:val="right"/>
      <w:rPr>
        <w:rFonts w:hint="eastAsia" w:ascii="宋体" w:hAnsi="宋体" w:cs="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5715" b="4445"/>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497985">
                          <w:pPr>
                            <w:pStyle w:val="11"/>
                            <w:jc w:val="right"/>
                            <w:rPr>
                              <w:sz w:val="15"/>
                              <w:szCs w:val="15"/>
                            </w:rPr>
                          </w:pPr>
                          <w:r>
                            <w:rPr>
                              <w:sz w:val="22"/>
                              <w:szCs w:val="22"/>
                            </w:rPr>
                            <w:t>—</w:t>
                          </w:r>
                          <w:r>
                            <w:rPr>
                              <w:sz w:val="22"/>
                              <w:szCs w:val="22"/>
                            </w:rPr>
                            <w:fldChar w:fldCharType="begin"/>
                          </w:r>
                          <w:r>
                            <w:rPr>
                              <w:sz w:val="22"/>
                              <w:szCs w:val="22"/>
                            </w:rPr>
                            <w:instrText xml:space="preserve">PAGE   \* MERGEFORMAT</w:instrText>
                          </w:r>
                          <w:r>
                            <w:rPr>
                              <w:sz w:val="22"/>
                              <w:szCs w:val="22"/>
                            </w:rPr>
                            <w:fldChar w:fldCharType="separate"/>
                          </w:r>
                          <w:r>
                            <w:rPr>
                              <w:sz w:val="22"/>
                              <w:szCs w:val="22"/>
                              <w:lang w:val="zh-CN"/>
                            </w:rPr>
                            <w:t>8</w:t>
                          </w:r>
                          <w:r>
                            <w:rPr>
                              <w:sz w:val="22"/>
                              <w:szCs w:val="22"/>
                            </w:rPr>
                            <w:fldChar w:fldCharType="end"/>
                          </w:r>
                          <w:r>
                            <w:rPr>
                              <w:sz w:val="22"/>
                              <w:szCs w:val="22"/>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63mM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Jut5jKwIAAFcEAAAOAAAAAAAAAAEAIAAAAB8BAABkcnMvZTJvRG9jLnhtbFBLBQYAAAAABgAG&#10;AFkBAAC8BQAAAAA=&#10;">
              <v:fill on="f" focussize="0,0"/>
              <v:stroke on="f" weight="0.5pt"/>
              <v:imagedata o:title=""/>
              <o:lock v:ext="edit" aspectratio="f"/>
              <v:textbox inset="0mm,0mm,0mm,0mm" style="mso-fit-shape-to-text:t;">
                <w:txbxContent>
                  <w:p w14:paraId="60497985">
                    <w:pPr>
                      <w:pStyle w:val="11"/>
                      <w:jc w:val="right"/>
                      <w:rPr>
                        <w:sz w:val="15"/>
                        <w:szCs w:val="15"/>
                      </w:rPr>
                    </w:pPr>
                    <w:r>
                      <w:rPr>
                        <w:sz w:val="22"/>
                        <w:szCs w:val="22"/>
                      </w:rPr>
                      <w:t>—</w:t>
                    </w:r>
                    <w:r>
                      <w:rPr>
                        <w:sz w:val="22"/>
                        <w:szCs w:val="22"/>
                      </w:rPr>
                      <w:fldChar w:fldCharType="begin"/>
                    </w:r>
                    <w:r>
                      <w:rPr>
                        <w:sz w:val="22"/>
                        <w:szCs w:val="22"/>
                      </w:rPr>
                      <w:instrText xml:space="preserve">PAGE   \* MERGEFORMAT</w:instrText>
                    </w:r>
                    <w:r>
                      <w:rPr>
                        <w:sz w:val="22"/>
                        <w:szCs w:val="22"/>
                      </w:rPr>
                      <w:fldChar w:fldCharType="separate"/>
                    </w:r>
                    <w:r>
                      <w:rPr>
                        <w:sz w:val="22"/>
                        <w:szCs w:val="22"/>
                        <w:lang w:val="zh-CN"/>
                      </w:rPr>
                      <w:t>8</w:t>
                    </w:r>
                    <w:r>
                      <w:rPr>
                        <w:sz w:val="22"/>
                        <w:szCs w:val="22"/>
                      </w:rPr>
                      <w:fldChar w:fldCharType="end"/>
                    </w:r>
                    <w:r>
                      <w:rPr>
                        <w:sz w:val="22"/>
                        <w:szCs w:val="22"/>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1CBA9">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024FC">
    <w:pPr>
      <w:pStyle w:val="12"/>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9F2268">
    <w:pPr>
      <w:pStyle w:val="12"/>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0AAB84">
    <w:pPr>
      <w:pStyle w:val="12"/>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4B07E0">
    <w:pPr>
      <w:pStyle w:val="12"/>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5C0F79">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7D22C0"/>
    <w:multiLevelType w:val="singleLevel"/>
    <w:tmpl w:val="147D22C0"/>
    <w:lvl w:ilvl="0" w:tentative="0">
      <w:start w:val="1"/>
      <w:numFmt w:val="decimal"/>
      <w:suff w:val="nothing"/>
      <w:lvlText w:val="%1．"/>
      <w:lvlJc w:val="left"/>
      <w:pPr>
        <w:ind w:left="0" w:firstLine="400"/>
      </w:pPr>
      <w:rPr>
        <w:rFonts w:hint="default"/>
      </w:rPr>
    </w:lvl>
  </w:abstractNum>
  <w:abstractNum w:abstractNumId="1">
    <w:nsid w:val="219E59A8"/>
    <w:multiLevelType w:val="singleLevel"/>
    <w:tmpl w:val="219E59A8"/>
    <w:lvl w:ilvl="0" w:tentative="0">
      <w:start w:val="1"/>
      <w:numFmt w:val="decimal"/>
      <w:suff w:val="nothing"/>
      <w:lvlText w:val="%1．"/>
      <w:lvlJc w:val="left"/>
      <w:pPr>
        <w:ind w:left="0" w:firstLine="400"/>
      </w:pPr>
      <w:rPr>
        <w:rFonts w:hint="default"/>
      </w:rPr>
    </w:lvl>
  </w:abstractNum>
  <w:abstractNum w:abstractNumId="2">
    <w:nsid w:val="28686641"/>
    <w:multiLevelType w:val="singleLevel"/>
    <w:tmpl w:val="28686641"/>
    <w:lvl w:ilvl="0" w:tentative="0">
      <w:start w:val="1"/>
      <w:numFmt w:val="decimal"/>
      <w:suff w:val="nothing"/>
      <w:lvlText w:val="%1．"/>
      <w:lvlJc w:val="left"/>
      <w:pPr>
        <w:ind w:left="0" w:firstLine="400"/>
      </w:pPr>
      <w:rPr>
        <w:rFonts w:hint="default"/>
      </w:rPr>
    </w:lvl>
  </w:abstractNum>
  <w:abstractNum w:abstractNumId="3">
    <w:nsid w:val="738A53FE"/>
    <w:multiLevelType w:val="singleLevel"/>
    <w:tmpl w:val="738A53FE"/>
    <w:lvl w:ilvl="0" w:tentative="0">
      <w:start w:val="1"/>
      <w:numFmt w:val="decimal"/>
      <w:suff w:val="nothing"/>
      <w:lvlText w:val="%1．"/>
      <w:lvlJc w:val="left"/>
      <w:pPr>
        <w:ind w:left="0" w:firstLine="400"/>
      </w:pPr>
      <w:rPr>
        <w:rFonts w:hint="default"/>
      </w:rPr>
    </w:lvl>
  </w:abstractNum>
  <w:abstractNum w:abstractNumId="4">
    <w:nsid w:val="78B30651"/>
    <w:multiLevelType w:val="singleLevel"/>
    <w:tmpl w:val="78B30651"/>
    <w:lvl w:ilvl="0" w:tentative="0">
      <w:start w:val="1"/>
      <w:numFmt w:val="decimal"/>
      <w:suff w:val="nothing"/>
      <w:lvlText w:val="%1．"/>
      <w:lvlJc w:val="left"/>
      <w:pPr>
        <w:ind w:left="0" w:firstLine="400"/>
      </w:pPr>
      <w:rPr>
        <w:rFonts w:hint="default"/>
      </w:rPr>
    </w:lvl>
  </w:abstractNum>
  <w:abstractNum w:abstractNumId="5">
    <w:nsid w:val="7AAFE10F"/>
    <w:multiLevelType w:val="singleLevel"/>
    <w:tmpl w:val="7AAFE10F"/>
    <w:lvl w:ilvl="0" w:tentative="0">
      <w:start w:val="1"/>
      <w:numFmt w:val="chineseCounting"/>
      <w:suff w:val="nothing"/>
      <w:lvlText w:val="%1、"/>
      <w:lvlJc w:val="left"/>
      <w:pPr>
        <w:ind w:left="-220"/>
      </w:pPr>
      <w:rPr>
        <w:rFonts w:hint="eastAsia"/>
      </w:rPr>
    </w:lvl>
  </w:abstractNum>
  <w:num w:numId="1">
    <w:abstractNumId w:val="5"/>
  </w:num>
  <w:num w:numId="2">
    <w:abstractNumId w:val="4"/>
  </w:num>
  <w:num w:numId="3">
    <w:abstractNumId w:val="2"/>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I5ODUzNGE2YzgwMDNlMWE1MzRiNmY3YTUxMzVmMTIifQ=="/>
  </w:docVars>
  <w:rsids>
    <w:rsidRoot w:val="00172A27"/>
    <w:rsid w:val="00002415"/>
    <w:rsid w:val="000072AD"/>
    <w:rsid w:val="00020327"/>
    <w:rsid w:val="000222F3"/>
    <w:rsid w:val="000400AA"/>
    <w:rsid w:val="0006049A"/>
    <w:rsid w:val="00063702"/>
    <w:rsid w:val="00072AD6"/>
    <w:rsid w:val="00095519"/>
    <w:rsid w:val="000B4F0E"/>
    <w:rsid w:val="000C6885"/>
    <w:rsid w:val="00103F98"/>
    <w:rsid w:val="00124C33"/>
    <w:rsid w:val="00125C66"/>
    <w:rsid w:val="0014671D"/>
    <w:rsid w:val="00172A27"/>
    <w:rsid w:val="00192367"/>
    <w:rsid w:val="0019327B"/>
    <w:rsid w:val="00196063"/>
    <w:rsid w:val="001A4F58"/>
    <w:rsid w:val="001B4FAE"/>
    <w:rsid w:val="001B6962"/>
    <w:rsid w:val="001C2B6D"/>
    <w:rsid w:val="001C3F19"/>
    <w:rsid w:val="001E3CBF"/>
    <w:rsid w:val="001F367E"/>
    <w:rsid w:val="0020064E"/>
    <w:rsid w:val="00201495"/>
    <w:rsid w:val="00221C65"/>
    <w:rsid w:val="00263C87"/>
    <w:rsid w:val="00270433"/>
    <w:rsid w:val="0027768F"/>
    <w:rsid w:val="00287CB1"/>
    <w:rsid w:val="00292372"/>
    <w:rsid w:val="002C1B11"/>
    <w:rsid w:val="002C5ACC"/>
    <w:rsid w:val="002D6BDE"/>
    <w:rsid w:val="002F16BE"/>
    <w:rsid w:val="002F334D"/>
    <w:rsid w:val="00305CCF"/>
    <w:rsid w:val="003404F3"/>
    <w:rsid w:val="00345E2D"/>
    <w:rsid w:val="00363D28"/>
    <w:rsid w:val="003A3275"/>
    <w:rsid w:val="003E0A41"/>
    <w:rsid w:val="003E4A92"/>
    <w:rsid w:val="003E61FA"/>
    <w:rsid w:val="00404B0A"/>
    <w:rsid w:val="0040546F"/>
    <w:rsid w:val="00405F05"/>
    <w:rsid w:val="004110F7"/>
    <w:rsid w:val="00414555"/>
    <w:rsid w:val="00414D14"/>
    <w:rsid w:val="00417C09"/>
    <w:rsid w:val="0045255E"/>
    <w:rsid w:val="00464F53"/>
    <w:rsid w:val="004725C9"/>
    <w:rsid w:val="004760DE"/>
    <w:rsid w:val="004A1ABF"/>
    <w:rsid w:val="004A79C7"/>
    <w:rsid w:val="004C0942"/>
    <w:rsid w:val="004C28DC"/>
    <w:rsid w:val="004D072D"/>
    <w:rsid w:val="005272A3"/>
    <w:rsid w:val="0052760B"/>
    <w:rsid w:val="005342DE"/>
    <w:rsid w:val="00541FFF"/>
    <w:rsid w:val="00551E4F"/>
    <w:rsid w:val="005F2FFB"/>
    <w:rsid w:val="005F6B7A"/>
    <w:rsid w:val="00621E6F"/>
    <w:rsid w:val="006324C3"/>
    <w:rsid w:val="00634123"/>
    <w:rsid w:val="00637F7A"/>
    <w:rsid w:val="00640F19"/>
    <w:rsid w:val="0064507A"/>
    <w:rsid w:val="00646003"/>
    <w:rsid w:val="00685A6F"/>
    <w:rsid w:val="006860A8"/>
    <w:rsid w:val="00697215"/>
    <w:rsid w:val="006A22E2"/>
    <w:rsid w:val="006D0010"/>
    <w:rsid w:val="006D308B"/>
    <w:rsid w:val="006E3D25"/>
    <w:rsid w:val="006F46D0"/>
    <w:rsid w:val="006F5B58"/>
    <w:rsid w:val="0070591D"/>
    <w:rsid w:val="00706179"/>
    <w:rsid w:val="00712CD6"/>
    <w:rsid w:val="00717E59"/>
    <w:rsid w:val="0072530E"/>
    <w:rsid w:val="00726F80"/>
    <w:rsid w:val="00751F47"/>
    <w:rsid w:val="00751FC0"/>
    <w:rsid w:val="00793716"/>
    <w:rsid w:val="007B24BC"/>
    <w:rsid w:val="007C58E4"/>
    <w:rsid w:val="007D5476"/>
    <w:rsid w:val="007D71AF"/>
    <w:rsid w:val="007D7BDC"/>
    <w:rsid w:val="007E23B3"/>
    <w:rsid w:val="007F5CA3"/>
    <w:rsid w:val="0080179C"/>
    <w:rsid w:val="0081782E"/>
    <w:rsid w:val="00825F47"/>
    <w:rsid w:val="00846FE8"/>
    <w:rsid w:val="0087211B"/>
    <w:rsid w:val="008B42A7"/>
    <w:rsid w:val="008D282E"/>
    <w:rsid w:val="008E72B8"/>
    <w:rsid w:val="00912FB4"/>
    <w:rsid w:val="00917658"/>
    <w:rsid w:val="00922ACF"/>
    <w:rsid w:val="0094781F"/>
    <w:rsid w:val="00964425"/>
    <w:rsid w:val="00966FC7"/>
    <w:rsid w:val="0098016C"/>
    <w:rsid w:val="00995B5D"/>
    <w:rsid w:val="009A7086"/>
    <w:rsid w:val="009E562E"/>
    <w:rsid w:val="009F0140"/>
    <w:rsid w:val="00A01BC4"/>
    <w:rsid w:val="00A01DC4"/>
    <w:rsid w:val="00A25FF7"/>
    <w:rsid w:val="00A272CF"/>
    <w:rsid w:val="00A53421"/>
    <w:rsid w:val="00A534C3"/>
    <w:rsid w:val="00A56A12"/>
    <w:rsid w:val="00A7193B"/>
    <w:rsid w:val="00A725AC"/>
    <w:rsid w:val="00A83E5B"/>
    <w:rsid w:val="00A92C4A"/>
    <w:rsid w:val="00A949C4"/>
    <w:rsid w:val="00A954C3"/>
    <w:rsid w:val="00AB22BE"/>
    <w:rsid w:val="00AC264E"/>
    <w:rsid w:val="00AC6F29"/>
    <w:rsid w:val="00AD24C7"/>
    <w:rsid w:val="00AE0051"/>
    <w:rsid w:val="00AE5474"/>
    <w:rsid w:val="00B06269"/>
    <w:rsid w:val="00B14447"/>
    <w:rsid w:val="00B25FE8"/>
    <w:rsid w:val="00B420E0"/>
    <w:rsid w:val="00B5546D"/>
    <w:rsid w:val="00B778BA"/>
    <w:rsid w:val="00B8624C"/>
    <w:rsid w:val="00B95682"/>
    <w:rsid w:val="00BB3E2F"/>
    <w:rsid w:val="00BB73BB"/>
    <w:rsid w:val="00BC5B5B"/>
    <w:rsid w:val="00BD191B"/>
    <w:rsid w:val="00BE4DB1"/>
    <w:rsid w:val="00BF0DFE"/>
    <w:rsid w:val="00BF4FBC"/>
    <w:rsid w:val="00BF5066"/>
    <w:rsid w:val="00C1251E"/>
    <w:rsid w:val="00C12E1A"/>
    <w:rsid w:val="00C31F9F"/>
    <w:rsid w:val="00C45AF8"/>
    <w:rsid w:val="00C65FCD"/>
    <w:rsid w:val="00C70AA4"/>
    <w:rsid w:val="00C93F75"/>
    <w:rsid w:val="00CC35DF"/>
    <w:rsid w:val="00CD629E"/>
    <w:rsid w:val="00CF642C"/>
    <w:rsid w:val="00D0242F"/>
    <w:rsid w:val="00D21DEA"/>
    <w:rsid w:val="00D47EC5"/>
    <w:rsid w:val="00D5072F"/>
    <w:rsid w:val="00D6449D"/>
    <w:rsid w:val="00D708A0"/>
    <w:rsid w:val="00D7616A"/>
    <w:rsid w:val="00D93C0F"/>
    <w:rsid w:val="00D97595"/>
    <w:rsid w:val="00DA42B4"/>
    <w:rsid w:val="00DD018D"/>
    <w:rsid w:val="00DD7E70"/>
    <w:rsid w:val="00DE3FFC"/>
    <w:rsid w:val="00E206D8"/>
    <w:rsid w:val="00E3129A"/>
    <w:rsid w:val="00E52705"/>
    <w:rsid w:val="00E52BBE"/>
    <w:rsid w:val="00E678F0"/>
    <w:rsid w:val="00E72794"/>
    <w:rsid w:val="00E820D3"/>
    <w:rsid w:val="00E87704"/>
    <w:rsid w:val="00EA728A"/>
    <w:rsid w:val="00F07E4D"/>
    <w:rsid w:val="00F1066E"/>
    <w:rsid w:val="00F20753"/>
    <w:rsid w:val="00F229A0"/>
    <w:rsid w:val="00F274AE"/>
    <w:rsid w:val="00F5275D"/>
    <w:rsid w:val="00F73054"/>
    <w:rsid w:val="00F76685"/>
    <w:rsid w:val="00F915BB"/>
    <w:rsid w:val="00FB1B86"/>
    <w:rsid w:val="00FB699A"/>
    <w:rsid w:val="00FD5D48"/>
    <w:rsid w:val="00FD756A"/>
    <w:rsid w:val="00FE7622"/>
    <w:rsid w:val="00FF5718"/>
    <w:rsid w:val="0C232EC3"/>
    <w:rsid w:val="14242793"/>
    <w:rsid w:val="150F2B80"/>
    <w:rsid w:val="159864EB"/>
    <w:rsid w:val="187C2FD1"/>
    <w:rsid w:val="18831CFF"/>
    <w:rsid w:val="18B73B2E"/>
    <w:rsid w:val="1D281389"/>
    <w:rsid w:val="24016EB7"/>
    <w:rsid w:val="25FF1B34"/>
    <w:rsid w:val="27657B11"/>
    <w:rsid w:val="28693CD9"/>
    <w:rsid w:val="28795BCE"/>
    <w:rsid w:val="2AC67422"/>
    <w:rsid w:val="2B3E3722"/>
    <w:rsid w:val="2C52347D"/>
    <w:rsid w:val="35A3750F"/>
    <w:rsid w:val="3CC4086C"/>
    <w:rsid w:val="3F6E5909"/>
    <w:rsid w:val="41713B1F"/>
    <w:rsid w:val="429709CE"/>
    <w:rsid w:val="43F064ED"/>
    <w:rsid w:val="452B6EA7"/>
    <w:rsid w:val="4A2837F2"/>
    <w:rsid w:val="4D7D4F9F"/>
    <w:rsid w:val="54E21637"/>
    <w:rsid w:val="58DC3983"/>
    <w:rsid w:val="5AB7285C"/>
    <w:rsid w:val="5B646A6B"/>
    <w:rsid w:val="5CD43155"/>
    <w:rsid w:val="5D0B433F"/>
    <w:rsid w:val="601C02F3"/>
    <w:rsid w:val="68354DAA"/>
    <w:rsid w:val="695C089D"/>
    <w:rsid w:val="7A195361"/>
    <w:rsid w:val="7EC746F5"/>
    <w:rsid w:val="7FA17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spacing w:before="100" w:beforeAutospacing="1" w:after="100" w:afterAutospacing="1"/>
      <w:jc w:val="left"/>
      <w:outlineLvl w:val="0"/>
    </w:pPr>
    <w:rPr>
      <w:rFonts w:hint="eastAsia" w:ascii="宋体" w:hAnsi="宋体"/>
      <w:b/>
      <w:bCs/>
      <w:kern w:val="44"/>
      <w:sz w:val="48"/>
      <w:szCs w:val="48"/>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7">
    <w:name w:val="Default Paragraph Font"/>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2">
    <w:name w:val="table of figures"/>
    <w:basedOn w:val="1"/>
    <w:next w:val="1"/>
    <w:qFormat/>
    <w:uiPriority w:val="99"/>
    <w:pPr>
      <w:ind w:left="200" w:leftChars="200" w:hanging="200" w:hangingChars="200"/>
    </w:pPr>
  </w:style>
  <w:style w:type="paragraph" w:styleId="7">
    <w:name w:val="Normal Indent"/>
    <w:basedOn w:val="1"/>
    <w:autoRedefine/>
    <w:qFormat/>
    <w:uiPriority w:val="0"/>
    <w:pPr>
      <w:spacing w:line="360" w:lineRule="auto"/>
      <w:ind w:firstLine="420"/>
    </w:pPr>
    <w:rPr>
      <w:sz w:val="24"/>
      <w:szCs w:val="21"/>
    </w:rPr>
  </w:style>
  <w:style w:type="paragraph" w:styleId="8">
    <w:name w:val="Body Text"/>
    <w:basedOn w:val="1"/>
    <w:next w:val="1"/>
    <w:autoRedefine/>
    <w:qFormat/>
    <w:uiPriority w:val="99"/>
    <w:rPr>
      <w:sz w:val="28"/>
      <w:szCs w:val="28"/>
    </w:rPr>
  </w:style>
  <w:style w:type="paragraph" w:styleId="9">
    <w:name w:val="Plain Text"/>
    <w:basedOn w:val="1"/>
    <w:autoRedefine/>
    <w:qFormat/>
    <w:uiPriority w:val="0"/>
    <w:rPr>
      <w:rFonts w:ascii="宋体" w:hAnsi="ISOCT"/>
    </w:rPr>
  </w:style>
  <w:style w:type="paragraph" w:styleId="10">
    <w:name w:val="Balloon Text"/>
    <w:basedOn w:val="1"/>
    <w:autoRedefine/>
    <w:qFormat/>
    <w:uiPriority w:val="0"/>
    <w:rPr>
      <w:sz w:val="18"/>
      <w:szCs w:val="18"/>
    </w:rPr>
  </w:style>
  <w:style w:type="paragraph" w:styleId="11">
    <w:name w:val="footer"/>
    <w:basedOn w:val="1"/>
    <w:link w:val="21"/>
    <w:autoRedefine/>
    <w:qFormat/>
    <w:uiPriority w:val="99"/>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autoRedefine/>
    <w:qFormat/>
    <w:uiPriority w:val="0"/>
    <w:pPr>
      <w:spacing w:after="120"/>
      <w:ind w:left="420" w:leftChars="200"/>
    </w:pPr>
    <w:rPr>
      <w:sz w:val="16"/>
      <w:szCs w:val="16"/>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table" w:styleId="16">
    <w:name w:val="Table Grid"/>
    <w:basedOn w:val="15"/>
    <w:autoRedefine/>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autoRedefine/>
    <w:qFormat/>
    <w:uiPriority w:val="0"/>
  </w:style>
  <w:style w:type="character" w:styleId="19">
    <w:name w:val="Emphasis"/>
    <w:autoRedefine/>
    <w:qFormat/>
    <w:uiPriority w:val="20"/>
    <w:rPr>
      <w:i/>
    </w:rPr>
  </w:style>
  <w:style w:type="character" w:styleId="20">
    <w:name w:val="Hyperlink"/>
    <w:autoRedefine/>
    <w:unhideWhenUsed/>
    <w:qFormat/>
    <w:uiPriority w:val="99"/>
    <w:rPr>
      <w:color w:val="0000FF"/>
      <w:u w:val="single"/>
    </w:rPr>
  </w:style>
  <w:style w:type="character" w:customStyle="1" w:styleId="21">
    <w:name w:val="页脚 字符"/>
    <w:link w:val="11"/>
    <w:autoRedefine/>
    <w:qFormat/>
    <w:uiPriority w:val="99"/>
    <w:rPr>
      <w:kern w:val="2"/>
      <w:sz w:val="18"/>
      <w:szCs w:val="18"/>
    </w:rPr>
  </w:style>
  <w:style w:type="paragraph" w:styleId="22">
    <w:name w:val="List Paragraph"/>
    <w:basedOn w:val="1"/>
    <w:autoRedefine/>
    <w:qFormat/>
    <w:uiPriority w:val="0"/>
    <w:pPr>
      <w:ind w:firstLine="420" w:firstLineChars="200"/>
    </w:pPr>
  </w:style>
  <w:style w:type="paragraph" w:customStyle="1" w:styleId="23">
    <w:name w:val="0正文"/>
    <w:basedOn w:val="1"/>
    <w:link w:val="24"/>
    <w:qFormat/>
    <w:uiPriority w:val="0"/>
    <w:pPr>
      <w:spacing w:line="360" w:lineRule="auto"/>
      <w:ind w:firstLine="480" w:firstLineChars="200"/>
    </w:pPr>
    <w:rPr>
      <w:rFonts w:ascii="仿宋_GB2312" w:hAnsi="微软雅黑" w:eastAsia="仿宋_GB2312" w:cstheme="minorBidi"/>
      <w:sz w:val="24"/>
      <w:lang w:val="zh-CN" w:bidi="zh-CN"/>
    </w:rPr>
  </w:style>
  <w:style w:type="character" w:customStyle="1" w:styleId="24">
    <w:name w:val="0正文 字符"/>
    <w:basedOn w:val="17"/>
    <w:link w:val="23"/>
    <w:qFormat/>
    <w:uiPriority w:val="0"/>
    <w:rPr>
      <w:rFonts w:ascii="仿宋_GB2312" w:hAnsi="微软雅黑" w:eastAsia="仿宋_GB2312" w:cstheme="minorBidi"/>
      <w:kern w:val="2"/>
      <w:sz w:val="24"/>
      <w:szCs w:val="24"/>
      <w:lang w:val="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6.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2DD7B6-45D1-4743-844F-E9E827E374FE}">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9</Pages>
  <Words>4089</Words>
  <Characters>4247</Characters>
  <Lines>57</Lines>
  <Paragraphs>16</Paragraphs>
  <TotalTime>86</TotalTime>
  <ScaleCrop>false</ScaleCrop>
  <LinksUpToDate>false</LinksUpToDate>
  <CharactersWithSpaces>4260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2025-01-20T10:32:00Z</dcterms:created>
  <dc:creator>微软用户</dc:creator>
  <cp:lastModifiedBy>WPS_1650676078</cp:lastModifiedBy>
  <cp:lastPrinted>2025-01-20T10:43:00Z</cp:lastPrinted>
  <dcterms:modified xsi:type="dcterms:W3CDTF">2025-07-22T08:26:11Z</dcterms:modified>
  <dc:title>四川省攀枝花市丽攀高速公路瓜子坪和高粱坪出入口控制性详细规划及城市设计简介</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914470ECE2444120944D28457472DBBB_13</vt:lpwstr>
  </property>
  <property fmtid="{D5CDD505-2E9C-101B-9397-08002B2CF9AE}" pid="4" name="commondata">
    <vt:lpwstr>eyJoZGlkIjoiOTE5YTBkYWQ0NDFhYmFhZGFkYTIzYWVmMGY3ZTIxZWIifQ==</vt:lpwstr>
  </property>
  <property fmtid="{D5CDD505-2E9C-101B-9397-08002B2CF9AE}" pid="5" name="KSOTemplateDocerSaveRecord">
    <vt:lpwstr>eyJoZGlkIjoiZDg0NDNiYTUxOWU4N2FhYTE5YTc3OTM5YzA0NWVjYWEiLCJ1c2VySWQiOiIxMzY3NTIyMzE2In0=</vt:lpwstr>
  </property>
</Properties>
</file>