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4F4FAA">
      <w:pPr>
        <w:spacing w:line="600" w:lineRule="exact"/>
        <w:jc w:val="center"/>
        <w:outlineLvl w:val="0"/>
        <w:rPr>
          <w:rFonts w:ascii="方正小标宋简体" w:hAnsi="宋体" w:eastAsia="方正小标宋简体"/>
          <w:sz w:val="72"/>
          <w:szCs w:val="72"/>
        </w:rPr>
      </w:pPr>
      <w:bookmarkStart w:id="0" w:name="_Toc15377193"/>
      <w:bookmarkStart w:id="1" w:name="_Toc15377425"/>
      <w:bookmarkStart w:id="2" w:name="_Toc15396475"/>
      <w:bookmarkStart w:id="3" w:name="_Toc15378441"/>
      <w:bookmarkStart w:id="4" w:name="_Toc15396597"/>
      <w:bookmarkStart w:id="5" w:name="_Toc15306267"/>
    </w:p>
    <w:p w14:paraId="68B009D1">
      <w:pPr>
        <w:spacing w:line="600" w:lineRule="exact"/>
        <w:jc w:val="center"/>
        <w:outlineLvl w:val="0"/>
        <w:rPr>
          <w:rFonts w:ascii="方正小标宋简体" w:hAnsi="宋体" w:eastAsia="方正小标宋简体"/>
          <w:sz w:val="72"/>
          <w:szCs w:val="72"/>
        </w:rPr>
      </w:pPr>
    </w:p>
    <w:p w14:paraId="447587B1">
      <w:pPr>
        <w:spacing w:line="600" w:lineRule="exact"/>
        <w:jc w:val="center"/>
        <w:outlineLvl w:val="0"/>
        <w:rPr>
          <w:rFonts w:ascii="方正小标宋简体" w:hAnsi="宋体" w:eastAsia="方正小标宋简体"/>
          <w:sz w:val="72"/>
          <w:szCs w:val="72"/>
        </w:rPr>
      </w:pPr>
    </w:p>
    <w:p w14:paraId="6BE3794D">
      <w:pPr>
        <w:spacing w:line="600" w:lineRule="exact"/>
        <w:jc w:val="center"/>
        <w:outlineLvl w:val="0"/>
        <w:rPr>
          <w:rFonts w:ascii="方正小标宋简体" w:hAnsi="宋体" w:eastAsia="方正小标宋简体"/>
          <w:sz w:val="72"/>
          <w:szCs w:val="72"/>
        </w:rPr>
      </w:pPr>
    </w:p>
    <w:p w14:paraId="10B15D50">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41" w:name="_GoBack"/>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p>
    <w:p w14:paraId="7F556D8C">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426"/>
      <w:bookmarkStart w:id="7" w:name="_Toc15396598"/>
      <w:bookmarkStart w:id="8" w:name="_Toc15377194"/>
      <w:bookmarkStart w:id="9" w:name="_Toc15396476"/>
      <w:bookmarkStart w:id="10" w:name="_Toc15378442"/>
      <w:r>
        <w:rPr>
          <w:rFonts w:hint="eastAsia" w:ascii="方正小标宋简体" w:hAnsi="方正小标宋简体" w:eastAsia="方正小标宋简体" w:cs="方正小标宋简体"/>
          <w:sz w:val="72"/>
          <w:szCs w:val="72"/>
        </w:rPr>
        <w:t>盐边县</w:t>
      </w:r>
      <w:bookmarkEnd w:id="5"/>
      <w:bookmarkStart w:id="11" w:name="_Toc15306268"/>
      <w:r>
        <w:rPr>
          <w:rFonts w:hint="eastAsia" w:ascii="方正小标宋简体" w:hAnsi="方正小标宋简体" w:eastAsia="方正小标宋简体" w:cs="方正小标宋简体"/>
          <w:sz w:val="72"/>
          <w:szCs w:val="72"/>
        </w:rPr>
        <w:t>幼儿园单位决算</w:t>
      </w:r>
      <w:bookmarkEnd w:id="6"/>
      <w:bookmarkEnd w:id="7"/>
      <w:bookmarkEnd w:id="8"/>
      <w:bookmarkEnd w:id="9"/>
      <w:bookmarkEnd w:id="10"/>
      <w:bookmarkEnd w:id="11"/>
      <w:bookmarkEnd w:id="141"/>
    </w:p>
    <w:p w14:paraId="0B588980">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5E9FADDE">
      <w:pPr>
        <w:widowControl/>
        <w:jc w:val="center"/>
        <w:rPr>
          <w:rFonts w:ascii="黑体" w:hAnsi="黑体" w:eastAsia="黑体" w:cstheme="minorBidi"/>
          <w:sz w:val="28"/>
          <w:szCs w:val="28"/>
        </w:rPr>
      </w:pPr>
    </w:p>
    <w:p w14:paraId="2EDE0A98">
      <w:pPr>
        <w:pStyle w:val="12"/>
      </w:pPr>
      <w:r>
        <w:rPr>
          <w:rFonts w:hint="eastAsia"/>
        </w:rPr>
        <w:t>公开时间：2022年10月20日</w:t>
      </w:r>
    </w:p>
    <w:p w14:paraId="1749471B"/>
    <w:sdt>
      <w:sdtPr>
        <w:rPr>
          <w:rFonts w:ascii="宋体" w:hAnsi="宋体"/>
          <w:kern w:val="0"/>
          <w:sz w:val="20"/>
          <w:szCs w:val="20"/>
        </w:rPr>
        <w:id w:val="-399210467"/>
        <w15:color w:val="DBDBDB"/>
        <w:docPartObj>
          <w:docPartGallery w:val="Table of Contents"/>
          <w:docPartUnique/>
        </w:docPartObj>
      </w:sdtPr>
      <w:sdtEndPr>
        <w:rPr>
          <w:rFonts w:hint="eastAsia" w:ascii="仿宋" w:hAnsi="仿宋" w:eastAsia="仿宋" w:cs="仿宋"/>
          <w:kern w:val="0"/>
          <w:sz w:val="28"/>
          <w:szCs w:val="28"/>
        </w:rPr>
      </w:sdtEndPr>
      <w:sdtContent>
        <w:p w14:paraId="7139A123">
          <w:pPr>
            <w:jc w:val="center"/>
          </w:pPr>
          <w:bookmarkStart w:id="12" w:name="_Toc121_WPSOffice_Type2"/>
          <w:bookmarkStart w:id="13" w:name="_Toc15377196"/>
          <w:bookmarkStart w:id="14" w:name="_Toc15396599"/>
        </w:p>
        <w:p w14:paraId="4AE79CBF">
          <w:pPr>
            <w:pStyle w:val="33"/>
            <w:tabs>
              <w:tab w:val="right" w:leader="dot" w:pos="8306"/>
            </w:tabs>
            <w:rPr>
              <w:rFonts w:ascii="仿宋" w:hAnsi="仿宋" w:eastAsia="仿宋" w:cs="仿宋"/>
              <w:sz w:val="28"/>
              <w:szCs w:val="28"/>
            </w:rPr>
          </w:pPr>
          <w:r>
            <w:fldChar w:fldCharType="begin"/>
          </w:r>
          <w:r>
            <w:instrText xml:space="preserve"> HYPERLINK \l "_Toc7522_WPSOffice_Level1" </w:instrText>
          </w:r>
          <w:r>
            <w:fldChar w:fldCharType="separate"/>
          </w:r>
          <w:sdt>
            <w:sdtPr>
              <w:rPr>
                <w:rFonts w:hint="eastAsia" w:ascii="仿宋" w:hAnsi="仿宋" w:eastAsia="仿宋" w:cs="仿宋"/>
                <w:b/>
                <w:bCs/>
                <w:kern w:val="2"/>
                <w:sz w:val="28"/>
                <w:szCs w:val="28"/>
              </w:rPr>
              <w:id w:val="147453421"/>
              <w:placeholder>
                <w:docPart w:val="{55824b27-2898-401e-9192-846946663ad9}"/>
              </w:placeholder>
              <w15:color w:val="509DF3"/>
            </w:sdtPr>
            <w:sdtEndPr>
              <w:rPr>
                <w:rFonts w:hint="eastAsia" w:ascii="仿宋" w:hAnsi="仿宋" w:eastAsia="仿宋" w:cs="仿宋"/>
                <w:b/>
                <w:bCs/>
                <w:kern w:val="2"/>
                <w:sz w:val="28"/>
                <w:szCs w:val="28"/>
              </w:rPr>
            </w:sdtEndPr>
            <w:sdtContent>
              <w:r>
                <w:rPr>
                  <w:rFonts w:hint="eastAsia" w:ascii="仿宋" w:hAnsi="仿宋" w:eastAsia="仿宋" w:cs="仿宋"/>
                  <w:b/>
                  <w:bCs/>
                  <w:sz w:val="28"/>
                  <w:szCs w:val="28"/>
                </w:rPr>
                <w:t>第一部分 部门概况</w:t>
              </w:r>
            </w:sdtContent>
          </w:sdt>
          <w:r>
            <w:rPr>
              <w:rFonts w:hint="eastAsia" w:ascii="仿宋" w:hAnsi="仿宋" w:eastAsia="仿宋" w:cs="仿宋"/>
              <w:b/>
              <w:bCs/>
              <w:sz w:val="28"/>
              <w:szCs w:val="28"/>
            </w:rPr>
            <w:tab/>
          </w:r>
          <w:bookmarkStart w:id="15" w:name="_Toc7522_WPSOffice_Level1Page"/>
          <w:r>
            <w:rPr>
              <w:rFonts w:hint="eastAsia" w:ascii="仿宋" w:hAnsi="仿宋" w:eastAsia="仿宋" w:cs="仿宋"/>
              <w:b/>
              <w:bCs/>
              <w:sz w:val="28"/>
              <w:szCs w:val="28"/>
            </w:rPr>
            <w:t>4</w:t>
          </w:r>
          <w:bookmarkEnd w:id="15"/>
          <w:r>
            <w:rPr>
              <w:rFonts w:hint="eastAsia" w:ascii="仿宋" w:hAnsi="仿宋" w:eastAsia="仿宋" w:cs="仿宋"/>
              <w:b/>
              <w:bCs/>
              <w:sz w:val="28"/>
              <w:szCs w:val="28"/>
            </w:rPr>
            <w:fldChar w:fldCharType="end"/>
          </w:r>
        </w:p>
        <w:p w14:paraId="32752DEB">
          <w:pPr>
            <w:pStyle w:val="34"/>
            <w:tabs>
              <w:tab w:val="right" w:leader="dot" w:pos="8306"/>
            </w:tabs>
            <w:ind w:left="420"/>
            <w:rPr>
              <w:rFonts w:ascii="仿宋" w:hAnsi="仿宋" w:eastAsia="仿宋" w:cs="仿宋"/>
              <w:sz w:val="28"/>
              <w:szCs w:val="28"/>
            </w:rPr>
          </w:pPr>
          <w:r>
            <w:fldChar w:fldCharType="begin"/>
          </w:r>
          <w:r>
            <w:instrText xml:space="preserve"> HYPERLINK \l "_Toc121_WPSOffice_Level2" </w:instrText>
          </w:r>
          <w:r>
            <w:fldChar w:fldCharType="separate"/>
          </w:r>
          <w:sdt>
            <w:sdtPr>
              <w:rPr>
                <w:rFonts w:hint="eastAsia" w:ascii="仿宋" w:hAnsi="仿宋" w:eastAsia="仿宋" w:cs="仿宋"/>
                <w:kern w:val="2"/>
                <w:sz w:val="28"/>
                <w:szCs w:val="28"/>
              </w:rPr>
              <w:id w:val="-1646424189"/>
              <w:placeholder>
                <w:docPart w:val="{2548d882-64c5-4e01-9bbd-9d8f83638439}"/>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一、基本职能及主要工作</w:t>
              </w:r>
            </w:sdtContent>
          </w:sdt>
          <w:r>
            <w:rPr>
              <w:rFonts w:hint="eastAsia" w:ascii="仿宋" w:hAnsi="仿宋" w:eastAsia="仿宋" w:cs="仿宋"/>
              <w:sz w:val="28"/>
              <w:szCs w:val="28"/>
            </w:rPr>
            <w:tab/>
          </w:r>
          <w:bookmarkStart w:id="16" w:name="_Toc121_WPSOffice_Level2Page"/>
          <w:r>
            <w:rPr>
              <w:rFonts w:hint="eastAsia" w:ascii="仿宋" w:hAnsi="仿宋" w:eastAsia="仿宋" w:cs="仿宋"/>
              <w:sz w:val="28"/>
              <w:szCs w:val="28"/>
            </w:rPr>
            <w:t>4</w:t>
          </w:r>
          <w:bookmarkEnd w:id="16"/>
          <w:r>
            <w:rPr>
              <w:rFonts w:hint="eastAsia" w:ascii="仿宋" w:hAnsi="仿宋" w:eastAsia="仿宋" w:cs="仿宋"/>
              <w:sz w:val="28"/>
              <w:szCs w:val="28"/>
            </w:rPr>
            <w:fldChar w:fldCharType="end"/>
          </w:r>
        </w:p>
        <w:p w14:paraId="546F64BD">
          <w:pPr>
            <w:pStyle w:val="34"/>
            <w:tabs>
              <w:tab w:val="right" w:leader="dot" w:pos="8306"/>
            </w:tabs>
            <w:ind w:left="420"/>
            <w:rPr>
              <w:rFonts w:ascii="仿宋" w:hAnsi="仿宋" w:eastAsia="仿宋" w:cs="仿宋"/>
              <w:sz w:val="28"/>
              <w:szCs w:val="28"/>
            </w:rPr>
          </w:pPr>
          <w:r>
            <w:fldChar w:fldCharType="begin"/>
          </w:r>
          <w:r>
            <w:instrText xml:space="preserve"> HYPERLINK \l "_Toc20300_WPSOffice_Level2" </w:instrText>
          </w:r>
          <w:r>
            <w:fldChar w:fldCharType="separate"/>
          </w:r>
          <w:sdt>
            <w:sdtPr>
              <w:rPr>
                <w:rFonts w:hint="eastAsia" w:ascii="仿宋" w:hAnsi="仿宋" w:eastAsia="仿宋" w:cs="仿宋"/>
                <w:kern w:val="2"/>
                <w:sz w:val="28"/>
                <w:szCs w:val="28"/>
              </w:rPr>
              <w:id w:val="39563240"/>
              <w:placeholder>
                <w:docPart w:val="{eb2dcbb0-3dd6-4b76-b60a-a1dce811b5c2}"/>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二、机构设置</w:t>
              </w:r>
            </w:sdtContent>
          </w:sdt>
          <w:r>
            <w:rPr>
              <w:rFonts w:hint="eastAsia" w:ascii="仿宋" w:hAnsi="仿宋" w:eastAsia="仿宋" w:cs="仿宋"/>
              <w:sz w:val="28"/>
              <w:szCs w:val="28"/>
            </w:rPr>
            <w:tab/>
          </w:r>
          <w:bookmarkStart w:id="17" w:name="_Toc20300_WPSOffice_Level2Page"/>
          <w:r>
            <w:rPr>
              <w:rFonts w:hint="eastAsia" w:ascii="仿宋" w:hAnsi="仿宋" w:eastAsia="仿宋" w:cs="仿宋"/>
              <w:sz w:val="28"/>
              <w:szCs w:val="28"/>
            </w:rPr>
            <w:t>10</w:t>
          </w:r>
          <w:bookmarkEnd w:id="17"/>
          <w:r>
            <w:rPr>
              <w:rFonts w:hint="eastAsia" w:ascii="仿宋" w:hAnsi="仿宋" w:eastAsia="仿宋" w:cs="仿宋"/>
              <w:sz w:val="28"/>
              <w:szCs w:val="28"/>
            </w:rPr>
            <w:fldChar w:fldCharType="end"/>
          </w:r>
        </w:p>
        <w:p w14:paraId="507894BB">
          <w:pPr>
            <w:pStyle w:val="33"/>
            <w:tabs>
              <w:tab w:val="right" w:leader="dot" w:pos="8306"/>
            </w:tabs>
            <w:rPr>
              <w:rFonts w:ascii="仿宋" w:hAnsi="仿宋" w:eastAsia="仿宋" w:cs="仿宋"/>
              <w:sz w:val="28"/>
              <w:szCs w:val="28"/>
            </w:rPr>
          </w:pPr>
          <w:r>
            <w:fldChar w:fldCharType="begin"/>
          </w:r>
          <w:r>
            <w:instrText xml:space="preserve"> HYPERLINK \l "_Toc121_WPSOffice_Level1" </w:instrText>
          </w:r>
          <w:r>
            <w:fldChar w:fldCharType="separate"/>
          </w:r>
          <w:sdt>
            <w:sdtPr>
              <w:rPr>
                <w:rFonts w:hint="eastAsia" w:ascii="仿宋" w:hAnsi="仿宋" w:eastAsia="仿宋" w:cs="仿宋"/>
                <w:b/>
                <w:bCs/>
                <w:kern w:val="2"/>
                <w:sz w:val="28"/>
                <w:szCs w:val="28"/>
              </w:rPr>
              <w:id w:val="-1440835849"/>
              <w:placeholder>
                <w:docPart w:val="{0605f78c-cdef-46fd-af31-ef10b0ce254b}"/>
              </w:placeholder>
              <w15:color w:val="509DF3"/>
            </w:sdtPr>
            <w:sdtEndPr>
              <w:rPr>
                <w:rFonts w:hint="eastAsia" w:ascii="仿宋" w:hAnsi="仿宋" w:eastAsia="仿宋" w:cs="仿宋"/>
                <w:b/>
                <w:bCs/>
                <w:kern w:val="2"/>
                <w:sz w:val="28"/>
                <w:szCs w:val="28"/>
              </w:rPr>
            </w:sdtEndPr>
            <w:sdtContent>
              <w:r>
                <w:rPr>
                  <w:rFonts w:hint="eastAsia" w:ascii="仿宋" w:hAnsi="仿宋" w:eastAsia="仿宋" w:cs="仿宋"/>
                  <w:b/>
                  <w:bCs/>
                  <w:sz w:val="28"/>
                  <w:szCs w:val="28"/>
                </w:rPr>
                <w:t>第二部分 2021年度部门决算情况说明</w:t>
              </w:r>
            </w:sdtContent>
          </w:sdt>
          <w:r>
            <w:rPr>
              <w:rFonts w:hint="eastAsia" w:ascii="仿宋" w:hAnsi="仿宋" w:eastAsia="仿宋" w:cs="仿宋"/>
              <w:b/>
              <w:bCs/>
              <w:sz w:val="28"/>
              <w:szCs w:val="28"/>
            </w:rPr>
            <w:tab/>
          </w:r>
          <w:bookmarkStart w:id="18" w:name="_Toc121_WPSOffice_Level1Page"/>
          <w:r>
            <w:rPr>
              <w:rFonts w:hint="eastAsia" w:ascii="仿宋" w:hAnsi="仿宋" w:eastAsia="仿宋" w:cs="仿宋"/>
              <w:b/>
              <w:bCs/>
              <w:sz w:val="28"/>
              <w:szCs w:val="28"/>
            </w:rPr>
            <w:t>11</w:t>
          </w:r>
          <w:bookmarkEnd w:id="18"/>
          <w:r>
            <w:rPr>
              <w:rFonts w:hint="eastAsia" w:ascii="仿宋" w:hAnsi="仿宋" w:eastAsia="仿宋" w:cs="仿宋"/>
              <w:b/>
              <w:bCs/>
              <w:sz w:val="28"/>
              <w:szCs w:val="28"/>
            </w:rPr>
            <w:fldChar w:fldCharType="end"/>
          </w:r>
        </w:p>
        <w:p w14:paraId="3CEE9D41">
          <w:pPr>
            <w:pStyle w:val="34"/>
            <w:tabs>
              <w:tab w:val="right" w:leader="dot" w:pos="8306"/>
            </w:tabs>
            <w:ind w:left="420"/>
            <w:rPr>
              <w:rFonts w:ascii="仿宋" w:hAnsi="仿宋" w:eastAsia="仿宋" w:cs="仿宋"/>
              <w:sz w:val="28"/>
              <w:szCs w:val="28"/>
            </w:rPr>
          </w:pPr>
          <w:r>
            <w:fldChar w:fldCharType="begin"/>
          </w:r>
          <w:r>
            <w:instrText xml:space="preserve"> HYPERLINK \l "_Toc7151_WPSOffice_Level2" </w:instrText>
          </w:r>
          <w:r>
            <w:fldChar w:fldCharType="separate"/>
          </w:r>
          <w:sdt>
            <w:sdtPr>
              <w:rPr>
                <w:rFonts w:hint="eastAsia" w:ascii="仿宋" w:hAnsi="仿宋" w:eastAsia="仿宋" w:cs="仿宋"/>
                <w:kern w:val="2"/>
                <w:sz w:val="28"/>
                <w:szCs w:val="28"/>
              </w:rPr>
              <w:id w:val="-434911678"/>
              <w:placeholder>
                <w:docPart w:val="{a6e2606d-5c26-4708-b32c-d7e7875d55f1}"/>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一、 收入支出决算总体情况说明</w:t>
              </w:r>
            </w:sdtContent>
          </w:sdt>
          <w:r>
            <w:rPr>
              <w:rFonts w:hint="eastAsia" w:ascii="仿宋" w:hAnsi="仿宋" w:eastAsia="仿宋" w:cs="仿宋"/>
              <w:sz w:val="28"/>
              <w:szCs w:val="28"/>
            </w:rPr>
            <w:tab/>
          </w:r>
          <w:bookmarkStart w:id="19" w:name="_Toc7151_WPSOffice_Level2Page"/>
          <w:r>
            <w:rPr>
              <w:rFonts w:hint="eastAsia" w:ascii="仿宋" w:hAnsi="仿宋" w:eastAsia="仿宋" w:cs="仿宋"/>
              <w:sz w:val="28"/>
              <w:szCs w:val="28"/>
            </w:rPr>
            <w:t>11</w:t>
          </w:r>
          <w:bookmarkEnd w:id="19"/>
          <w:r>
            <w:rPr>
              <w:rFonts w:hint="eastAsia" w:ascii="仿宋" w:hAnsi="仿宋" w:eastAsia="仿宋" w:cs="仿宋"/>
              <w:sz w:val="28"/>
              <w:szCs w:val="28"/>
            </w:rPr>
            <w:fldChar w:fldCharType="end"/>
          </w:r>
        </w:p>
        <w:p w14:paraId="29139FDB">
          <w:pPr>
            <w:pStyle w:val="34"/>
            <w:tabs>
              <w:tab w:val="right" w:leader="dot" w:pos="8306"/>
            </w:tabs>
            <w:ind w:left="420"/>
            <w:rPr>
              <w:rFonts w:ascii="仿宋" w:hAnsi="仿宋" w:eastAsia="仿宋" w:cs="仿宋"/>
              <w:sz w:val="28"/>
              <w:szCs w:val="28"/>
            </w:rPr>
          </w:pPr>
          <w:r>
            <w:fldChar w:fldCharType="begin"/>
          </w:r>
          <w:r>
            <w:instrText xml:space="preserve"> HYPERLINK \l "_Toc16676_WPSOffice_Level2" </w:instrText>
          </w:r>
          <w:r>
            <w:fldChar w:fldCharType="separate"/>
          </w:r>
          <w:sdt>
            <w:sdtPr>
              <w:rPr>
                <w:rFonts w:hint="eastAsia" w:ascii="仿宋" w:hAnsi="仿宋" w:eastAsia="仿宋" w:cs="仿宋"/>
                <w:kern w:val="2"/>
                <w:sz w:val="28"/>
                <w:szCs w:val="28"/>
              </w:rPr>
              <w:id w:val="802968142"/>
              <w:placeholder>
                <w:docPart w:val="{91b2bbf6-dcda-46a5-9983-f8290a984a46}"/>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二、 收入决算情况说明</w:t>
              </w:r>
            </w:sdtContent>
          </w:sdt>
          <w:r>
            <w:rPr>
              <w:rFonts w:hint="eastAsia" w:ascii="仿宋" w:hAnsi="仿宋" w:eastAsia="仿宋" w:cs="仿宋"/>
              <w:sz w:val="28"/>
              <w:szCs w:val="28"/>
            </w:rPr>
            <w:tab/>
          </w:r>
          <w:bookmarkStart w:id="20" w:name="_Toc16676_WPSOffice_Level2Page"/>
          <w:r>
            <w:rPr>
              <w:rFonts w:hint="eastAsia" w:ascii="仿宋" w:hAnsi="仿宋" w:eastAsia="仿宋" w:cs="仿宋"/>
              <w:sz w:val="28"/>
              <w:szCs w:val="28"/>
            </w:rPr>
            <w:t>11</w:t>
          </w:r>
          <w:bookmarkEnd w:id="20"/>
          <w:r>
            <w:rPr>
              <w:rFonts w:hint="eastAsia" w:ascii="仿宋" w:hAnsi="仿宋" w:eastAsia="仿宋" w:cs="仿宋"/>
              <w:sz w:val="28"/>
              <w:szCs w:val="28"/>
            </w:rPr>
            <w:fldChar w:fldCharType="end"/>
          </w:r>
        </w:p>
        <w:p w14:paraId="70E854D8">
          <w:pPr>
            <w:pStyle w:val="34"/>
            <w:tabs>
              <w:tab w:val="right" w:leader="dot" w:pos="8306"/>
            </w:tabs>
            <w:ind w:left="420"/>
            <w:rPr>
              <w:rFonts w:ascii="仿宋" w:hAnsi="仿宋" w:eastAsia="仿宋" w:cs="仿宋"/>
              <w:sz w:val="28"/>
              <w:szCs w:val="28"/>
            </w:rPr>
          </w:pPr>
          <w:r>
            <w:fldChar w:fldCharType="begin"/>
          </w:r>
          <w:r>
            <w:instrText xml:space="preserve"> HYPERLINK \l "_Toc19671_WPSOffice_Level2" </w:instrText>
          </w:r>
          <w:r>
            <w:fldChar w:fldCharType="separate"/>
          </w:r>
          <w:sdt>
            <w:sdtPr>
              <w:rPr>
                <w:rFonts w:hint="eastAsia" w:ascii="仿宋" w:hAnsi="仿宋" w:eastAsia="仿宋" w:cs="仿宋"/>
                <w:kern w:val="2"/>
                <w:sz w:val="28"/>
                <w:szCs w:val="28"/>
              </w:rPr>
              <w:id w:val="-747968063"/>
              <w:placeholder>
                <w:docPart w:val="{7db4d32c-2b69-48cd-905d-f6a939fb2cfb}"/>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三、 支出决算情况说明</w:t>
              </w:r>
            </w:sdtContent>
          </w:sdt>
          <w:r>
            <w:rPr>
              <w:rFonts w:hint="eastAsia" w:ascii="仿宋" w:hAnsi="仿宋" w:eastAsia="仿宋" w:cs="仿宋"/>
              <w:sz w:val="28"/>
              <w:szCs w:val="28"/>
            </w:rPr>
            <w:tab/>
          </w:r>
          <w:bookmarkStart w:id="21" w:name="_Toc19671_WPSOffice_Level2Page"/>
          <w:r>
            <w:rPr>
              <w:rFonts w:hint="eastAsia" w:ascii="仿宋" w:hAnsi="仿宋" w:eastAsia="仿宋" w:cs="仿宋"/>
              <w:sz w:val="28"/>
              <w:szCs w:val="28"/>
            </w:rPr>
            <w:t>12</w:t>
          </w:r>
          <w:bookmarkEnd w:id="21"/>
          <w:r>
            <w:rPr>
              <w:rFonts w:hint="eastAsia" w:ascii="仿宋" w:hAnsi="仿宋" w:eastAsia="仿宋" w:cs="仿宋"/>
              <w:sz w:val="28"/>
              <w:szCs w:val="28"/>
            </w:rPr>
            <w:fldChar w:fldCharType="end"/>
          </w:r>
        </w:p>
        <w:p w14:paraId="1C0BDCD4">
          <w:pPr>
            <w:pStyle w:val="34"/>
            <w:tabs>
              <w:tab w:val="right" w:leader="dot" w:pos="8306"/>
            </w:tabs>
            <w:ind w:left="420"/>
            <w:rPr>
              <w:rFonts w:ascii="仿宋" w:hAnsi="仿宋" w:eastAsia="仿宋" w:cs="仿宋"/>
              <w:sz w:val="28"/>
              <w:szCs w:val="28"/>
            </w:rPr>
          </w:pPr>
          <w:r>
            <w:fldChar w:fldCharType="begin"/>
          </w:r>
          <w:r>
            <w:instrText xml:space="preserve"> HYPERLINK \l "_Toc8632_WPSOffice_Level2" </w:instrText>
          </w:r>
          <w:r>
            <w:fldChar w:fldCharType="separate"/>
          </w:r>
          <w:sdt>
            <w:sdtPr>
              <w:rPr>
                <w:rFonts w:hint="eastAsia" w:ascii="仿宋" w:hAnsi="仿宋" w:eastAsia="仿宋" w:cs="仿宋"/>
                <w:kern w:val="2"/>
                <w:sz w:val="28"/>
                <w:szCs w:val="28"/>
              </w:rPr>
              <w:id w:val="-137034805"/>
              <w:placeholder>
                <w:docPart w:val="{e9c2165f-2a9c-4d45-a0c5-04f1ea3b26fd}"/>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四、财政拨款收入支出决算总体情况说明</w:t>
              </w:r>
            </w:sdtContent>
          </w:sdt>
          <w:r>
            <w:rPr>
              <w:rFonts w:hint="eastAsia" w:ascii="仿宋" w:hAnsi="仿宋" w:eastAsia="仿宋" w:cs="仿宋"/>
              <w:sz w:val="28"/>
              <w:szCs w:val="28"/>
            </w:rPr>
            <w:tab/>
          </w:r>
          <w:bookmarkStart w:id="22" w:name="_Toc8632_WPSOffice_Level2Page"/>
          <w:r>
            <w:rPr>
              <w:rFonts w:hint="eastAsia" w:ascii="仿宋" w:hAnsi="仿宋" w:eastAsia="仿宋" w:cs="仿宋"/>
              <w:sz w:val="28"/>
              <w:szCs w:val="28"/>
            </w:rPr>
            <w:t>12</w:t>
          </w:r>
          <w:bookmarkEnd w:id="22"/>
          <w:r>
            <w:rPr>
              <w:rFonts w:hint="eastAsia" w:ascii="仿宋" w:hAnsi="仿宋" w:eastAsia="仿宋" w:cs="仿宋"/>
              <w:sz w:val="28"/>
              <w:szCs w:val="28"/>
            </w:rPr>
            <w:fldChar w:fldCharType="end"/>
          </w:r>
        </w:p>
        <w:p w14:paraId="0E237C52">
          <w:pPr>
            <w:pStyle w:val="34"/>
            <w:tabs>
              <w:tab w:val="right" w:leader="dot" w:pos="8306"/>
            </w:tabs>
            <w:ind w:left="420"/>
            <w:rPr>
              <w:rFonts w:ascii="仿宋" w:hAnsi="仿宋" w:eastAsia="仿宋" w:cs="仿宋"/>
              <w:sz w:val="28"/>
              <w:szCs w:val="28"/>
            </w:rPr>
          </w:pPr>
          <w:r>
            <w:fldChar w:fldCharType="begin"/>
          </w:r>
          <w:r>
            <w:instrText xml:space="preserve"> HYPERLINK \l "_Toc15701_WPSOffice_Level2" </w:instrText>
          </w:r>
          <w:r>
            <w:fldChar w:fldCharType="separate"/>
          </w:r>
          <w:sdt>
            <w:sdtPr>
              <w:rPr>
                <w:rFonts w:hint="eastAsia" w:ascii="仿宋" w:hAnsi="仿宋" w:eastAsia="仿宋" w:cs="仿宋"/>
                <w:kern w:val="2"/>
                <w:sz w:val="28"/>
                <w:szCs w:val="28"/>
              </w:rPr>
              <w:id w:val="-730464584"/>
              <w:placeholder>
                <w:docPart w:val="{a9056bf5-713b-42b8-93f4-add23ae3a32c}"/>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五、一般公共预算财政拨款支出决算情况说明</w:t>
              </w:r>
            </w:sdtContent>
          </w:sdt>
          <w:r>
            <w:rPr>
              <w:rFonts w:hint="eastAsia" w:ascii="仿宋" w:hAnsi="仿宋" w:eastAsia="仿宋" w:cs="仿宋"/>
              <w:sz w:val="28"/>
              <w:szCs w:val="28"/>
            </w:rPr>
            <w:tab/>
          </w:r>
          <w:bookmarkStart w:id="23" w:name="_Toc15701_WPSOffice_Level2Page"/>
          <w:r>
            <w:rPr>
              <w:rFonts w:hint="eastAsia" w:ascii="仿宋" w:hAnsi="仿宋" w:eastAsia="仿宋" w:cs="仿宋"/>
              <w:sz w:val="28"/>
              <w:szCs w:val="28"/>
            </w:rPr>
            <w:t>13</w:t>
          </w:r>
          <w:bookmarkEnd w:id="23"/>
          <w:r>
            <w:rPr>
              <w:rFonts w:hint="eastAsia" w:ascii="仿宋" w:hAnsi="仿宋" w:eastAsia="仿宋" w:cs="仿宋"/>
              <w:sz w:val="28"/>
              <w:szCs w:val="28"/>
            </w:rPr>
            <w:fldChar w:fldCharType="end"/>
          </w:r>
        </w:p>
        <w:p w14:paraId="02651E53">
          <w:pPr>
            <w:pStyle w:val="34"/>
            <w:tabs>
              <w:tab w:val="right" w:leader="dot" w:pos="8306"/>
            </w:tabs>
            <w:ind w:left="420"/>
            <w:rPr>
              <w:rFonts w:ascii="仿宋" w:hAnsi="仿宋" w:eastAsia="仿宋" w:cs="仿宋"/>
              <w:sz w:val="28"/>
              <w:szCs w:val="28"/>
            </w:rPr>
          </w:pPr>
          <w:r>
            <w:fldChar w:fldCharType="begin"/>
          </w:r>
          <w:r>
            <w:instrText xml:space="preserve"> HYPERLINK \l "_Toc21808_WPSOffice_Level2" </w:instrText>
          </w:r>
          <w:r>
            <w:fldChar w:fldCharType="separate"/>
          </w:r>
          <w:sdt>
            <w:sdtPr>
              <w:rPr>
                <w:rFonts w:hint="eastAsia" w:ascii="仿宋" w:hAnsi="仿宋" w:eastAsia="仿宋" w:cs="仿宋"/>
                <w:kern w:val="2"/>
                <w:sz w:val="28"/>
                <w:szCs w:val="28"/>
              </w:rPr>
              <w:id w:val="1014188056"/>
              <w:placeholder>
                <w:docPart w:val="{77a0c007-5061-433a-8b92-32225974ad65}"/>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六、一般公共预算财政拨款基本支出决算情况说明</w:t>
              </w:r>
            </w:sdtContent>
          </w:sdt>
          <w:r>
            <w:rPr>
              <w:rFonts w:hint="eastAsia" w:ascii="仿宋" w:hAnsi="仿宋" w:eastAsia="仿宋" w:cs="仿宋"/>
              <w:sz w:val="28"/>
              <w:szCs w:val="28"/>
            </w:rPr>
            <w:tab/>
          </w:r>
          <w:bookmarkStart w:id="24" w:name="_Toc21808_WPSOffice_Level2Page"/>
          <w:r>
            <w:rPr>
              <w:rFonts w:hint="eastAsia" w:ascii="仿宋" w:hAnsi="仿宋" w:eastAsia="仿宋" w:cs="仿宋"/>
              <w:sz w:val="28"/>
              <w:szCs w:val="28"/>
            </w:rPr>
            <w:t>15</w:t>
          </w:r>
          <w:bookmarkEnd w:id="24"/>
          <w:r>
            <w:rPr>
              <w:rFonts w:hint="eastAsia" w:ascii="仿宋" w:hAnsi="仿宋" w:eastAsia="仿宋" w:cs="仿宋"/>
              <w:sz w:val="28"/>
              <w:szCs w:val="28"/>
            </w:rPr>
            <w:fldChar w:fldCharType="end"/>
          </w:r>
        </w:p>
        <w:p w14:paraId="7C490308">
          <w:pPr>
            <w:pStyle w:val="34"/>
            <w:tabs>
              <w:tab w:val="right" w:leader="dot" w:pos="8306"/>
            </w:tabs>
            <w:ind w:left="420"/>
            <w:rPr>
              <w:rFonts w:ascii="仿宋" w:hAnsi="仿宋" w:eastAsia="仿宋" w:cs="仿宋"/>
              <w:sz w:val="28"/>
              <w:szCs w:val="28"/>
            </w:rPr>
          </w:pPr>
          <w:r>
            <w:fldChar w:fldCharType="begin"/>
          </w:r>
          <w:r>
            <w:instrText xml:space="preserve"> HYPERLINK \l "_Toc24892_WPSOffice_Level2" </w:instrText>
          </w:r>
          <w:r>
            <w:fldChar w:fldCharType="separate"/>
          </w:r>
          <w:sdt>
            <w:sdtPr>
              <w:rPr>
                <w:rFonts w:hint="eastAsia" w:ascii="仿宋" w:hAnsi="仿宋" w:eastAsia="仿宋" w:cs="仿宋"/>
                <w:kern w:val="2"/>
                <w:sz w:val="28"/>
                <w:szCs w:val="28"/>
              </w:rPr>
              <w:id w:val="101377576"/>
              <w:placeholder>
                <w:docPart w:val="{40161692-9326-400e-ae17-c6a205cdd70a}"/>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七、“三公”经费财政拨款支出决算情况说明</w:t>
              </w:r>
            </w:sdtContent>
          </w:sdt>
          <w:r>
            <w:rPr>
              <w:rFonts w:hint="eastAsia" w:ascii="仿宋" w:hAnsi="仿宋" w:eastAsia="仿宋" w:cs="仿宋"/>
              <w:sz w:val="28"/>
              <w:szCs w:val="28"/>
            </w:rPr>
            <w:tab/>
          </w:r>
          <w:bookmarkStart w:id="25" w:name="_Toc24892_WPSOffice_Level2Page"/>
          <w:r>
            <w:rPr>
              <w:rFonts w:hint="eastAsia" w:ascii="仿宋" w:hAnsi="仿宋" w:eastAsia="仿宋" w:cs="仿宋"/>
              <w:sz w:val="28"/>
              <w:szCs w:val="28"/>
            </w:rPr>
            <w:t>15</w:t>
          </w:r>
          <w:bookmarkEnd w:id="25"/>
          <w:r>
            <w:rPr>
              <w:rFonts w:hint="eastAsia" w:ascii="仿宋" w:hAnsi="仿宋" w:eastAsia="仿宋" w:cs="仿宋"/>
              <w:sz w:val="28"/>
              <w:szCs w:val="28"/>
            </w:rPr>
            <w:fldChar w:fldCharType="end"/>
          </w:r>
        </w:p>
        <w:p w14:paraId="1806428C">
          <w:pPr>
            <w:pStyle w:val="34"/>
            <w:tabs>
              <w:tab w:val="right" w:leader="dot" w:pos="8306"/>
            </w:tabs>
            <w:ind w:left="420"/>
            <w:rPr>
              <w:rFonts w:ascii="仿宋" w:hAnsi="仿宋" w:eastAsia="仿宋" w:cs="仿宋"/>
              <w:sz w:val="28"/>
              <w:szCs w:val="28"/>
            </w:rPr>
          </w:pPr>
          <w:r>
            <w:fldChar w:fldCharType="begin"/>
          </w:r>
          <w:r>
            <w:instrText xml:space="preserve"> HYPERLINK \l "_Toc18227_WPSOffice_Level2" </w:instrText>
          </w:r>
          <w:r>
            <w:fldChar w:fldCharType="separate"/>
          </w:r>
          <w:sdt>
            <w:sdtPr>
              <w:rPr>
                <w:rFonts w:hint="eastAsia" w:ascii="仿宋" w:hAnsi="仿宋" w:eastAsia="仿宋" w:cs="仿宋"/>
                <w:kern w:val="2"/>
                <w:sz w:val="28"/>
                <w:szCs w:val="28"/>
              </w:rPr>
              <w:id w:val="186102997"/>
              <w:placeholder>
                <w:docPart w:val="{7bb14df5-6cb8-487c-8388-72ba044aebd9}"/>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八、政府性基金预算支出决算情况说明</w:t>
              </w:r>
            </w:sdtContent>
          </w:sdt>
          <w:r>
            <w:rPr>
              <w:rFonts w:hint="eastAsia" w:ascii="仿宋" w:hAnsi="仿宋" w:eastAsia="仿宋" w:cs="仿宋"/>
              <w:sz w:val="28"/>
              <w:szCs w:val="28"/>
            </w:rPr>
            <w:tab/>
          </w:r>
          <w:bookmarkStart w:id="26" w:name="_Toc18227_WPSOffice_Level2Page"/>
          <w:r>
            <w:rPr>
              <w:rFonts w:hint="eastAsia" w:ascii="仿宋" w:hAnsi="仿宋" w:eastAsia="仿宋" w:cs="仿宋"/>
              <w:sz w:val="28"/>
              <w:szCs w:val="28"/>
            </w:rPr>
            <w:t>17</w:t>
          </w:r>
          <w:bookmarkEnd w:id="26"/>
          <w:r>
            <w:rPr>
              <w:rFonts w:hint="eastAsia" w:ascii="仿宋" w:hAnsi="仿宋" w:eastAsia="仿宋" w:cs="仿宋"/>
              <w:sz w:val="28"/>
              <w:szCs w:val="28"/>
            </w:rPr>
            <w:fldChar w:fldCharType="end"/>
          </w:r>
        </w:p>
        <w:p w14:paraId="4333A9FC">
          <w:pPr>
            <w:pStyle w:val="34"/>
            <w:tabs>
              <w:tab w:val="right" w:leader="dot" w:pos="8306"/>
            </w:tabs>
            <w:ind w:left="420"/>
            <w:rPr>
              <w:rFonts w:ascii="仿宋" w:hAnsi="仿宋" w:eastAsia="仿宋" w:cs="仿宋"/>
              <w:sz w:val="28"/>
              <w:szCs w:val="28"/>
            </w:rPr>
          </w:pPr>
          <w:r>
            <w:fldChar w:fldCharType="begin"/>
          </w:r>
          <w:r>
            <w:instrText xml:space="preserve"> HYPERLINK \l "_Toc10286_WPSOffice_Level2" </w:instrText>
          </w:r>
          <w:r>
            <w:fldChar w:fldCharType="separate"/>
          </w:r>
          <w:sdt>
            <w:sdtPr>
              <w:rPr>
                <w:rFonts w:hint="eastAsia" w:ascii="仿宋" w:hAnsi="仿宋" w:eastAsia="仿宋" w:cs="仿宋"/>
                <w:kern w:val="2"/>
                <w:sz w:val="28"/>
                <w:szCs w:val="28"/>
              </w:rPr>
              <w:id w:val="-1368824651"/>
              <w:placeholder>
                <w:docPart w:val="{630eaa46-804f-44b4-9a06-fe5e35c88646}"/>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九、 国有资本经营预算支出决算情况说明</w:t>
              </w:r>
            </w:sdtContent>
          </w:sdt>
          <w:r>
            <w:rPr>
              <w:rFonts w:hint="eastAsia" w:ascii="仿宋" w:hAnsi="仿宋" w:eastAsia="仿宋" w:cs="仿宋"/>
              <w:sz w:val="28"/>
              <w:szCs w:val="28"/>
            </w:rPr>
            <w:tab/>
          </w:r>
          <w:bookmarkStart w:id="27" w:name="_Toc10286_WPSOffice_Level2Page"/>
          <w:r>
            <w:rPr>
              <w:rFonts w:hint="eastAsia" w:ascii="仿宋" w:hAnsi="仿宋" w:eastAsia="仿宋" w:cs="仿宋"/>
              <w:sz w:val="28"/>
              <w:szCs w:val="28"/>
            </w:rPr>
            <w:t>17</w:t>
          </w:r>
          <w:bookmarkEnd w:id="27"/>
          <w:r>
            <w:rPr>
              <w:rFonts w:hint="eastAsia" w:ascii="仿宋" w:hAnsi="仿宋" w:eastAsia="仿宋" w:cs="仿宋"/>
              <w:sz w:val="28"/>
              <w:szCs w:val="28"/>
            </w:rPr>
            <w:fldChar w:fldCharType="end"/>
          </w:r>
        </w:p>
        <w:p w14:paraId="300CFA12">
          <w:pPr>
            <w:pStyle w:val="34"/>
            <w:tabs>
              <w:tab w:val="right" w:leader="dot" w:pos="8306"/>
            </w:tabs>
            <w:ind w:left="420"/>
            <w:rPr>
              <w:rFonts w:ascii="仿宋" w:hAnsi="仿宋" w:eastAsia="仿宋" w:cs="仿宋"/>
              <w:sz w:val="28"/>
              <w:szCs w:val="28"/>
            </w:rPr>
          </w:pPr>
          <w:r>
            <w:fldChar w:fldCharType="begin"/>
          </w:r>
          <w:r>
            <w:instrText xml:space="preserve"> HYPERLINK \l "_Toc30988_WPSOffice_Level2" </w:instrText>
          </w:r>
          <w:r>
            <w:fldChar w:fldCharType="separate"/>
          </w:r>
          <w:sdt>
            <w:sdtPr>
              <w:rPr>
                <w:rFonts w:hint="eastAsia" w:ascii="仿宋" w:hAnsi="仿宋" w:eastAsia="仿宋" w:cs="仿宋"/>
                <w:kern w:val="2"/>
                <w:sz w:val="28"/>
                <w:szCs w:val="28"/>
              </w:rPr>
              <w:id w:val="-945534071"/>
              <w:placeholder>
                <w:docPart w:val="{61cd357f-619d-4a86-99eb-4b1f701c1ed5}"/>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十、 其他重要事项的情况说明</w:t>
              </w:r>
            </w:sdtContent>
          </w:sdt>
          <w:r>
            <w:rPr>
              <w:rFonts w:hint="eastAsia" w:ascii="仿宋" w:hAnsi="仿宋" w:eastAsia="仿宋" w:cs="仿宋"/>
              <w:sz w:val="28"/>
              <w:szCs w:val="28"/>
            </w:rPr>
            <w:tab/>
          </w:r>
          <w:bookmarkStart w:id="28" w:name="_Toc30988_WPSOffice_Level2Page"/>
          <w:r>
            <w:rPr>
              <w:rFonts w:hint="eastAsia" w:ascii="仿宋" w:hAnsi="仿宋" w:eastAsia="仿宋" w:cs="仿宋"/>
              <w:sz w:val="28"/>
              <w:szCs w:val="28"/>
            </w:rPr>
            <w:t>17</w:t>
          </w:r>
          <w:bookmarkEnd w:id="28"/>
          <w:r>
            <w:rPr>
              <w:rFonts w:hint="eastAsia" w:ascii="仿宋" w:hAnsi="仿宋" w:eastAsia="仿宋" w:cs="仿宋"/>
              <w:sz w:val="28"/>
              <w:szCs w:val="28"/>
            </w:rPr>
            <w:fldChar w:fldCharType="end"/>
          </w:r>
        </w:p>
        <w:p w14:paraId="7CE24FFD">
          <w:pPr>
            <w:pStyle w:val="33"/>
            <w:tabs>
              <w:tab w:val="right" w:leader="dot" w:pos="8306"/>
            </w:tabs>
            <w:rPr>
              <w:rFonts w:ascii="仿宋" w:hAnsi="仿宋" w:eastAsia="仿宋" w:cs="仿宋"/>
              <w:sz w:val="28"/>
              <w:szCs w:val="28"/>
            </w:rPr>
          </w:pPr>
          <w:r>
            <w:fldChar w:fldCharType="begin"/>
          </w:r>
          <w:r>
            <w:instrText xml:space="preserve"> HYPERLINK \l "_Toc20300_WPSOffice_Level1" </w:instrText>
          </w:r>
          <w:r>
            <w:fldChar w:fldCharType="separate"/>
          </w:r>
          <w:sdt>
            <w:sdtPr>
              <w:rPr>
                <w:rFonts w:hint="eastAsia" w:ascii="仿宋" w:hAnsi="仿宋" w:eastAsia="仿宋" w:cs="仿宋"/>
                <w:b/>
                <w:bCs/>
                <w:kern w:val="2"/>
                <w:sz w:val="28"/>
                <w:szCs w:val="28"/>
              </w:rPr>
              <w:id w:val="458150003"/>
              <w:placeholder>
                <w:docPart w:val="{c0d835c5-72c6-44e1-9a6d-73557d30af21}"/>
              </w:placeholder>
              <w15:color w:val="509DF3"/>
            </w:sdtPr>
            <w:sdtEndPr>
              <w:rPr>
                <w:rFonts w:hint="eastAsia" w:ascii="仿宋" w:hAnsi="仿宋" w:eastAsia="仿宋" w:cs="仿宋"/>
                <w:b/>
                <w:bCs/>
                <w:kern w:val="2"/>
                <w:sz w:val="28"/>
                <w:szCs w:val="28"/>
              </w:rPr>
            </w:sdtEndPr>
            <w:sdtContent>
              <w:r>
                <w:rPr>
                  <w:rFonts w:hint="eastAsia" w:ascii="仿宋" w:hAnsi="仿宋" w:eastAsia="仿宋" w:cs="仿宋"/>
                  <w:b/>
                  <w:bCs/>
                  <w:sz w:val="28"/>
                  <w:szCs w:val="28"/>
                </w:rPr>
                <w:t>第三部分 名词解释</w:t>
              </w:r>
            </w:sdtContent>
          </w:sdt>
          <w:r>
            <w:rPr>
              <w:rFonts w:hint="eastAsia" w:ascii="仿宋" w:hAnsi="仿宋" w:eastAsia="仿宋" w:cs="仿宋"/>
              <w:b/>
              <w:bCs/>
              <w:sz w:val="28"/>
              <w:szCs w:val="28"/>
            </w:rPr>
            <w:tab/>
          </w:r>
          <w:bookmarkStart w:id="29" w:name="_Toc20300_WPSOffice_Level1Page"/>
          <w:r>
            <w:rPr>
              <w:rFonts w:hint="eastAsia" w:ascii="仿宋" w:hAnsi="仿宋" w:eastAsia="仿宋" w:cs="仿宋"/>
              <w:b/>
              <w:bCs/>
              <w:sz w:val="28"/>
              <w:szCs w:val="28"/>
            </w:rPr>
            <w:t>19</w:t>
          </w:r>
          <w:bookmarkEnd w:id="29"/>
          <w:r>
            <w:rPr>
              <w:rFonts w:hint="eastAsia" w:ascii="仿宋" w:hAnsi="仿宋" w:eastAsia="仿宋" w:cs="仿宋"/>
              <w:b/>
              <w:bCs/>
              <w:sz w:val="28"/>
              <w:szCs w:val="28"/>
            </w:rPr>
            <w:fldChar w:fldCharType="end"/>
          </w:r>
        </w:p>
        <w:p w14:paraId="112399BE">
          <w:pPr>
            <w:pStyle w:val="33"/>
            <w:tabs>
              <w:tab w:val="right" w:leader="dot" w:pos="8306"/>
            </w:tabs>
            <w:rPr>
              <w:rFonts w:ascii="仿宋" w:hAnsi="仿宋" w:eastAsia="仿宋" w:cs="仿宋"/>
              <w:sz w:val="28"/>
              <w:szCs w:val="28"/>
            </w:rPr>
          </w:pPr>
          <w:r>
            <w:fldChar w:fldCharType="begin"/>
          </w:r>
          <w:r>
            <w:instrText xml:space="preserve"> HYPERLINK \l "_Toc7151_WPSOffice_Level1" </w:instrText>
          </w:r>
          <w:r>
            <w:fldChar w:fldCharType="separate"/>
          </w:r>
          <w:sdt>
            <w:sdtPr>
              <w:rPr>
                <w:rFonts w:hint="eastAsia" w:ascii="仿宋" w:hAnsi="仿宋" w:eastAsia="仿宋" w:cs="仿宋"/>
                <w:b/>
                <w:bCs/>
                <w:kern w:val="2"/>
                <w:sz w:val="28"/>
                <w:szCs w:val="28"/>
              </w:rPr>
              <w:id w:val="694969540"/>
              <w:placeholder>
                <w:docPart w:val="{b4697408-842c-4e0e-80fc-47e018b4227a}"/>
              </w:placeholder>
              <w15:color w:val="509DF3"/>
            </w:sdtPr>
            <w:sdtEndPr>
              <w:rPr>
                <w:rFonts w:hint="eastAsia" w:ascii="仿宋" w:hAnsi="仿宋" w:eastAsia="仿宋" w:cs="仿宋"/>
                <w:b/>
                <w:bCs/>
                <w:kern w:val="2"/>
                <w:sz w:val="28"/>
                <w:szCs w:val="28"/>
              </w:rPr>
            </w:sdtEndPr>
            <w:sdtContent>
              <w:r>
                <w:rPr>
                  <w:rFonts w:hint="eastAsia" w:ascii="仿宋" w:hAnsi="仿宋" w:eastAsia="仿宋" w:cs="仿宋"/>
                  <w:b/>
                  <w:bCs/>
                  <w:sz w:val="28"/>
                  <w:szCs w:val="28"/>
                </w:rPr>
                <w:t>第四部分 附件</w:t>
              </w:r>
            </w:sdtContent>
          </w:sdt>
          <w:r>
            <w:rPr>
              <w:rFonts w:hint="eastAsia" w:ascii="仿宋" w:hAnsi="仿宋" w:eastAsia="仿宋" w:cs="仿宋"/>
              <w:b/>
              <w:bCs/>
              <w:sz w:val="28"/>
              <w:szCs w:val="28"/>
            </w:rPr>
            <w:tab/>
          </w:r>
          <w:bookmarkStart w:id="30" w:name="_Toc7151_WPSOffice_Level1Page"/>
          <w:r>
            <w:rPr>
              <w:rFonts w:hint="eastAsia" w:ascii="仿宋" w:hAnsi="仿宋" w:eastAsia="仿宋" w:cs="仿宋"/>
              <w:b/>
              <w:bCs/>
              <w:sz w:val="28"/>
              <w:szCs w:val="28"/>
            </w:rPr>
            <w:t>22</w:t>
          </w:r>
          <w:bookmarkEnd w:id="30"/>
          <w:r>
            <w:rPr>
              <w:rFonts w:hint="eastAsia" w:ascii="仿宋" w:hAnsi="仿宋" w:eastAsia="仿宋" w:cs="仿宋"/>
              <w:b/>
              <w:bCs/>
              <w:sz w:val="28"/>
              <w:szCs w:val="28"/>
            </w:rPr>
            <w:fldChar w:fldCharType="end"/>
          </w:r>
        </w:p>
        <w:p w14:paraId="1DCDD92E">
          <w:pPr>
            <w:pStyle w:val="33"/>
            <w:tabs>
              <w:tab w:val="right" w:leader="dot" w:pos="8306"/>
            </w:tabs>
            <w:rPr>
              <w:rFonts w:ascii="仿宋" w:hAnsi="仿宋" w:eastAsia="仿宋" w:cs="仿宋"/>
              <w:sz w:val="28"/>
              <w:szCs w:val="28"/>
            </w:rPr>
          </w:pPr>
          <w:r>
            <w:fldChar w:fldCharType="begin"/>
          </w:r>
          <w:r>
            <w:instrText xml:space="preserve"> HYPERLINK \l "_Toc16676_WPSOffice_Level1" </w:instrText>
          </w:r>
          <w:r>
            <w:fldChar w:fldCharType="separate"/>
          </w:r>
          <w:sdt>
            <w:sdtPr>
              <w:rPr>
                <w:rFonts w:hint="eastAsia" w:ascii="仿宋" w:hAnsi="仿宋" w:eastAsia="仿宋" w:cs="仿宋"/>
                <w:b/>
                <w:bCs/>
                <w:kern w:val="2"/>
                <w:sz w:val="28"/>
                <w:szCs w:val="28"/>
              </w:rPr>
              <w:id w:val="-35820532"/>
              <w:placeholder>
                <w:docPart w:val="{cc1e27cc-73e9-42d2-9fee-4963d0b90cc1}"/>
              </w:placeholder>
              <w15:color w:val="509DF3"/>
            </w:sdtPr>
            <w:sdtEndPr>
              <w:rPr>
                <w:rFonts w:hint="eastAsia" w:ascii="仿宋" w:hAnsi="仿宋" w:eastAsia="仿宋" w:cs="仿宋"/>
                <w:b/>
                <w:bCs/>
                <w:kern w:val="2"/>
                <w:sz w:val="28"/>
                <w:szCs w:val="28"/>
              </w:rPr>
            </w:sdtEndPr>
            <w:sdtContent>
              <w:r>
                <w:rPr>
                  <w:rFonts w:hint="eastAsia" w:ascii="仿宋" w:hAnsi="仿宋" w:eastAsia="仿宋" w:cs="仿宋"/>
                  <w:b/>
                  <w:bCs/>
                  <w:sz w:val="28"/>
                  <w:szCs w:val="28"/>
                </w:rPr>
                <w:t>第五部分 附表</w:t>
              </w:r>
            </w:sdtContent>
          </w:sdt>
          <w:r>
            <w:rPr>
              <w:rFonts w:hint="eastAsia" w:ascii="仿宋" w:hAnsi="仿宋" w:eastAsia="仿宋" w:cs="仿宋"/>
              <w:b/>
              <w:bCs/>
              <w:sz w:val="28"/>
              <w:szCs w:val="28"/>
            </w:rPr>
            <w:tab/>
          </w:r>
          <w:bookmarkStart w:id="31" w:name="_Toc16676_WPSOffice_Level1Page"/>
          <w:r>
            <w:rPr>
              <w:rFonts w:hint="eastAsia" w:ascii="仿宋" w:hAnsi="仿宋" w:eastAsia="仿宋" w:cs="仿宋"/>
              <w:b/>
              <w:bCs/>
              <w:sz w:val="28"/>
              <w:szCs w:val="28"/>
            </w:rPr>
            <w:t>34</w:t>
          </w:r>
          <w:bookmarkEnd w:id="31"/>
          <w:r>
            <w:rPr>
              <w:rFonts w:hint="eastAsia" w:ascii="仿宋" w:hAnsi="仿宋" w:eastAsia="仿宋" w:cs="仿宋"/>
              <w:b/>
              <w:bCs/>
              <w:sz w:val="28"/>
              <w:szCs w:val="28"/>
            </w:rPr>
            <w:fldChar w:fldCharType="end"/>
          </w:r>
        </w:p>
        <w:p w14:paraId="7D11744D">
          <w:pPr>
            <w:pStyle w:val="34"/>
            <w:tabs>
              <w:tab w:val="right" w:leader="dot" w:pos="8306"/>
            </w:tabs>
            <w:ind w:left="420"/>
            <w:rPr>
              <w:rFonts w:ascii="仿宋" w:hAnsi="仿宋" w:eastAsia="仿宋" w:cs="仿宋"/>
              <w:sz w:val="28"/>
              <w:szCs w:val="28"/>
            </w:rPr>
          </w:pPr>
          <w:r>
            <w:fldChar w:fldCharType="begin"/>
          </w:r>
          <w:r>
            <w:instrText xml:space="preserve"> HYPERLINK \l "_Toc12104_WPSOffice_Level2" </w:instrText>
          </w:r>
          <w:r>
            <w:fldChar w:fldCharType="separate"/>
          </w:r>
          <w:sdt>
            <w:sdtPr>
              <w:rPr>
                <w:rFonts w:hint="eastAsia" w:ascii="仿宋" w:hAnsi="仿宋" w:eastAsia="仿宋" w:cs="仿宋"/>
                <w:kern w:val="2"/>
                <w:sz w:val="28"/>
                <w:szCs w:val="28"/>
              </w:rPr>
              <w:id w:val="1345975253"/>
              <w:placeholder>
                <w:docPart w:val="{12a96336-642f-48f7-96a1-b6bfb5a9f92e}"/>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一、收入支出决算总表</w:t>
              </w:r>
            </w:sdtContent>
          </w:sdt>
          <w:r>
            <w:rPr>
              <w:rFonts w:hint="eastAsia" w:ascii="仿宋" w:hAnsi="仿宋" w:eastAsia="仿宋" w:cs="仿宋"/>
              <w:sz w:val="28"/>
              <w:szCs w:val="28"/>
            </w:rPr>
            <w:tab/>
          </w:r>
          <w:bookmarkStart w:id="32" w:name="_Toc12104_WPSOffice_Level2Page"/>
          <w:r>
            <w:rPr>
              <w:rFonts w:hint="eastAsia" w:ascii="仿宋" w:hAnsi="仿宋" w:eastAsia="仿宋" w:cs="仿宋"/>
              <w:sz w:val="28"/>
              <w:szCs w:val="28"/>
            </w:rPr>
            <w:t>34</w:t>
          </w:r>
          <w:bookmarkEnd w:id="32"/>
          <w:r>
            <w:rPr>
              <w:rFonts w:hint="eastAsia" w:ascii="仿宋" w:hAnsi="仿宋" w:eastAsia="仿宋" w:cs="仿宋"/>
              <w:sz w:val="28"/>
              <w:szCs w:val="28"/>
            </w:rPr>
            <w:fldChar w:fldCharType="end"/>
          </w:r>
        </w:p>
        <w:p w14:paraId="21A7AFD3">
          <w:pPr>
            <w:pStyle w:val="34"/>
            <w:tabs>
              <w:tab w:val="right" w:leader="dot" w:pos="8306"/>
            </w:tabs>
            <w:ind w:left="420"/>
            <w:rPr>
              <w:rFonts w:ascii="仿宋" w:hAnsi="仿宋" w:eastAsia="仿宋" w:cs="仿宋"/>
              <w:sz w:val="28"/>
              <w:szCs w:val="28"/>
            </w:rPr>
          </w:pPr>
          <w:r>
            <w:fldChar w:fldCharType="begin"/>
          </w:r>
          <w:r>
            <w:instrText xml:space="preserve"> HYPERLINK \l "_Toc25924_WPSOffice_Level2" </w:instrText>
          </w:r>
          <w:r>
            <w:fldChar w:fldCharType="separate"/>
          </w:r>
          <w:sdt>
            <w:sdtPr>
              <w:rPr>
                <w:rFonts w:hint="eastAsia" w:ascii="仿宋" w:hAnsi="仿宋" w:eastAsia="仿宋" w:cs="仿宋"/>
                <w:kern w:val="2"/>
                <w:sz w:val="28"/>
                <w:szCs w:val="28"/>
              </w:rPr>
              <w:id w:val="-1866823719"/>
              <w:placeholder>
                <w:docPart w:val="{6209984e-3088-4b23-9068-f529fe43b9a2}"/>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二、收入决算表</w:t>
              </w:r>
            </w:sdtContent>
          </w:sdt>
          <w:r>
            <w:rPr>
              <w:rFonts w:hint="eastAsia" w:ascii="仿宋" w:hAnsi="仿宋" w:eastAsia="仿宋" w:cs="仿宋"/>
              <w:sz w:val="28"/>
              <w:szCs w:val="28"/>
            </w:rPr>
            <w:tab/>
          </w:r>
          <w:bookmarkStart w:id="33" w:name="_Toc25924_WPSOffice_Level2Page"/>
          <w:r>
            <w:rPr>
              <w:rFonts w:hint="eastAsia" w:ascii="仿宋" w:hAnsi="仿宋" w:eastAsia="仿宋" w:cs="仿宋"/>
              <w:sz w:val="28"/>
              <w:szCs w:val="28"/>
            </w:rPr>
            <w:t>34</w:t>
          </w:r>
          <w:bookmarkEnd w:id="33"/>
          <w:r>
            <w:rPr>
              <w:rFonts w:hint="eastAsia" w:ascii="仿宋" w:hAnsi="仿宋" w:eastAsia="仿宋" w:cs="仿宋"/>
              <w:sz w:val="28"/>
              <w:szCs w:val="28"/>
            </w:rPr>
            <w:fldChar w:fldCharType="end"/>
          </w:r>
        </w:p>
        <w:p w14:paraId="39110340">
          <w:pPr>
            <w:pStyle w:val="34"/>
            <w:tabs>
              <w:tab w:val="right" w:leader="dot" w:pos="8306"/>
            </w:tabs>
            <w:ind w:left="420"/>
            <w:rPr>
              <w:rFonts w:ascii="仿宋" w:hAnsi="仿宋" w:eastAsia="仿宋" w:cs="仿宋"/>
              <w:sz w:val="28"/>
              <w:szCs w:val="28"/>
            </w:rPr>
          </w:pPr>
          <w:r>
            <w:fldChar w:fldCharType="begin"/>
          </w:r>
          <w:r>
            <w:instrText xml:space="preserve"> HYPERLINK \l "_Toc757_WPSOffice_Level2" </w:instrText>
          </w:r>
          <w:r>
            <w:fldChar w:fldCharType="separate"/>
          </w:r>
          <w:sdt>
            <w:sdtPr>
              <w:rPr>
                <w:rFonts w:hint="eastAsia" w:ascii="仿宋" w:hAnsi="仿宋" w:eastAsia="仿宋" w:cs="仿宋"/>
                <w:kern w:val="2"/>
                <w:sz w:val="28"/>
                <w:szCs w:val="28"/>
              </w:rPr>
              <w:id w:val="-485785479"/>
              <w:placeholder>
                <w:docPart w:val="{dbadbabe-cc35-4a65-8e1f-440e4fda40eb}"/>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三、支出决算表</w:t>
              </w:r>
            </w:sdtContent>
          </w:sdt>
          <w:r>
            <w:rPr>
              <w:rFonts w:hint="eastAsia" w:ascii="仿宋" w:hAnsi="仿宋" w:eastAsia="仿宋" w:cs="仿宋"/>
              <w:sz w:val="28"/>
              <w:szCs w:val="28"/>
            </w:rPr>
            <w:tab/>
          </w:r>
          <w:bookmarkStart w:id="34" w:name="_Toc757_WPSOffice_Level2Page"/>
          <w:r>
            <w:rPr>
              <w:rFonts w:hint="eastAsia" w:ascii="仿宋" w:hAnsi="仿宋" w:eastAsia="仿宋" w:cs="仿宋"/>
              <w:sz w:val="28"/>
              <w:szCs w:val="28"/>
            </w:rPr>
            <w:t>34</w:t>
          </w:r>
          <w:bookmarkEnd w:id="34"/>
          <w:r>
            <w:rPr>
              <w:rFonts w:hint="eastAsia" w:ascii="仿宋" w:hAnsi="仿宋" w:eastAsia="仿宋" w:cs="仿宋"/>
              <w:sz w:val="28"/>
              <w:szCs w:val="28"/>
            </w:rPr>
            <w:fldChar w:fldCharType="end"/>
          </w:r>
        </w:p>
        <w:p w14:paraId="5CB680AB">
          <w:pPr>
            <w:pStyle w:val="34"/>
            <w:tabs>
              <w:tab w:val="right" w:leader="dot" w:pos="8306"/>
            </w:tabs>
            <w:ind w:left="420"/>
            <w:rPr>
              <w:rFonts w:ascii="仿宋" w:hAnsi="仿宋" w:eastAsia="仿宋" w:cs="仿宋"/>
              <w:sz w:val="28"/>
              <w:szCs w:val="28"/>
            </w:rPr>
          </w:pPr>
          <w:r>
            <w:fldChar w:fldCharType="begin"/>
          </w:r>
          <w:r>
            <w:instrText xml:space="preserve"> HYPERLINK \l "_Toc24803_WPSOffice_Level2" </w:instrText>
          </w:r>
          <w:r>
            <w:fldChar w:fldCharType="separate"/>
          </w:r>
          <w:sdt>
            <w:sdtPr>
              <w:rPr>
                <w:rFonts w:hint="eastAsia" w:ascii="仿宋" w:hAnsi="仿宋" w:eastAsia="仿宋" w:cs="仿宋"/>
                <w:kern w:val="2"/>
                <w:sz w:val="28"/>
                <w:szCs w:val="28"/>
              </w:rPr>
              <w:id w:val="177551210"/>
              <w:placeholder>
                <w:docPart w:val="{52c2642a-6e6e-45a0-8956-fe2768f81ebc}"/>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四、财政拨款收入支出决算总表</w:t>
              </w:r>
            </w:sdtContent>
          </w:sdt>
          <w:r>
            <w:rPr>
              <w:rFonts w:hint="eastAsia" w:ascii="仿宋" w:hAnsi="仿宋" w:eastAsia="仿宋" w:cs="仿宋"/>
              <w:sz w:val="28"/>
              <w:szCs w:val="28"/>
            </w:rPr>
            <w:tab/>
          </w:r>
          <w:bookmarkStart w:id="35" w:name="_Toc24803_WPSOffice_Level2Page"/>
          <w:r>
            <w:rPr>
              <w:rFonts w:hint="eastAsia" w:ascii="仿宋" w:hAnsi="仿宋" w:eastAsia="仿宋" w:cs="仿宋"/>
              <w:sz w:val="28"/>
              <w:szCs w:val="28"/>
            </w:rPr>
            <w:t>34</w:t>
          </w:r>
          <w:bookmarkEnd w:id="35"/>
          <w:r>
            <w:rPr>
              <w:rFonts w:hint="eastAsia" w:ascii="仿宋" w:hAnsi="仿宋" w:eastAsia="仿宋" w:cs="仿宋"/>
              <w:sz w:val="28"/>
              <w:szCs w:val="28"/>
            </w:rPr>
            <w:fldChar w:fldCharType="end"/>
          </w:r>
        </w:p>
        <w:p w14:paraId="607318D4">
          <w:pPr>
            <w:pStyle w:val="34"/>
            <w:tabs>
              <w:tab w:val="right" w:leader="dot" w:pos="8306"/>
            </w:tabs>
            <w:ind w:left="420"/>
            <w:rPr>
              <w:rFonts w:ascii="仿宋" w:hAnsi="仿宋" w:eastAsia="仿宋" w:cs="仿宋"/>
              <w:sz w:val="28"/>
              <w:szCs w:val="28"/>
            </w:rPr>
          </w:pPr>
          <w:r>
            <w:fldChar w:fldCharType="begin"/>
          </w:r>
          <w:r>
            <w:instrText xml:space="preserve"> HYPERLINK \l "_Toc69_WPSOffice_Level2" </w:instrText>
          </w:r>
          <w:r>
            <w:fldChar w:fldCharType="separate"/>
          </w:r>
          <w:sdt>
            <w:sdtPr>
              <w:rPr>
                <w:rFonts w:hint="eastAsia" w:ascii="仿宋" w:hAnsi="仿宋" w:eastAsia="仿宋" w:cs="仿宋"/>
                <w:kern w:val="2"/>
                <w:sz w:val="28"/>
                <w:szCs w:val="28"/>
              </w:rPr>
              <w:id w:val="1100684301"/>
              <w:placeholder>
                <w:docPart w:val="{e0fbc6d2-279a-42a4-9f76-7acb745f6f19}"/>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五、财政拨款支出决算明细表</w:t>
              </w:r>
            </w:sdtContent>
          </w:sdt>
          <w:r>
            <w:rPr>
              <w:rFonts w:hint="eastAsia" w:ascii="仿宋" w:hAnsi="仿宋" w:eastAsia="仿宋" w:cs="仿宋"/>
              <w:sz w:val="28"/>
              <w:szCs w:val="28"/>
            </w:rPr>
            <w:tab/>
          </w:r>
          <w:bookmarkStart w:id="36" w:name="_Toc69_WPSOffice_Level2Page"/>
          <w:r>
            <w:rPr>
              <w:rFonts w:hint="eastAsia" w:ascii="仿宋" w:hAnsi="仿宋" w:eastAsia="仿宋" w:cs="仿宋"/>
              <w:sz w:val="28"/>
              <w:szCs w:val="28"/>
            </w:rPr>
            <w:t>34</w:t>
          </w:r>
          <w:bookmarkEnd w:id="36"/>
          <w:r>
            <w:rPr>
              <w:rFonts w:hint="eastAsia" w:ascii="仿宋" w:hAnsi="仿宋" w:eastAsia="仿宋" w:cs="仿宋"/>
              <w:sz w:val="28"/>
              <w:szCs w:val="28"/>
            </w:rPr>
            <w:fldChar w:fldCharType="end"/>
          </w:r>
        </w:p>
        <w:p w14:paraId="3A8C6EC2">
          <w:pPr>
            <w:pStyle w:val="34"/>
            <w:tabs>
              <w:tab w:val="right" w:leader="dot" w:pos="8306"/>
            </w:tabs>
            <w:ind w:left="420"/>
            <w:rPr>
              <w:rFonts w:ascii="仿宋" w:hAnsi="仿宋" w:eastAsia="仿宋" w:cs="仿宋"/>
              <w:sz w:val="28"/>
              <w:szCs w:val="28"/>
            </w:rPr>
          </w:pPr>
          <w:r>
            <w:fldChar w:fldCharType="begin"/>
          </w:r>
          <w:r>
            <w:instrText xml:space="preserve"> HYPERLINK \l "_Toc7184_WPSOffice_Level2" </w:instrText>
          </w:r>
          <w:r>
            <w:fldChar w:fldCharType="separate"/>
          </w:r>
          <w:sdt>
            <w:sdtPr>
              <w:rPr>
                <w:rFonts w:hint="eastAsia" w:ascii="仿宋" w:hAnsi="仿宋" w:eastAsia="仿宋" w:cs="仿宋"/>
                <w:kern w:val="2"/>
                <w:sz w:val="28"/>
                <w:szCs w:val="28"/>
              </w:rPr>
              <w:id w:val="2048785940"/>
              <w:placeholder>
                <w:docPart w:val="{d78176a8-c811-4582-b885-30cd14ae8df7}"/>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六、一般公共预算财政拨款支出决算表</w:t>
              </w:r>
            </w:sdtContent>
          </w:sdt>
          <w:r>
            <w:rPr>
              <w:rFonts w:hint="eastAsia" w:ascii="仿宋" w:hAnsi="仿宋" w:eastAsia="仿宋" w:cs="仿宋"/>
              <w:sz w:val="28"/>
              <w:szCs w:val="28"/>
            </w:rPr>
            <w:tab/>
          </w:r>
          <w:bookmarkStart w:id="37" w:name="_Toc7184_WPSOffice_Level2Page"/>
          <w:r>
            <w:rPr>
              <w:rFonts w:hint="eastAsia" w:ascii="仿宋" w:hAnsi="仿宋" w:eastAsia="仿宋" w:cs="仿宋"/>
              <w:sz w:val="28"/>
              <w:szCs w:val="28"/>
            </w:rPr>
            <w:t>34</w:t>
          </w:r>
          <w:bookmarkEnd w:id="37"/>
          <w:r>
            <w:rPr>
              <w:rFonts w:hint="eastAsia" w:ascii="仿宋" w:hAnsi="仿宋" w:eastAsia="仿宋" w:cs="仿宋"/>
              <w:sz w:val="28"/>
              <w:szCs w:val="28"/>
            </w:rPr>
            <w:fldChar w:fldCharType="end"/>
          </w:r>
        </w:p>
        <w:p w14:paraId="3881D7FA">
          <w:pPr>
            <w:pStyle w:val="34"/>
            <w:tabs>
              <w:tab w:val="right" w:leader="dot" w:pos="8306"/>
            </w:tabs>
            <w:ind w:left="420"/>
            <w:rPr>
              <w:rFonts w:ascii="仿宋" w:hAnsi="仿宋" w:eastAsia="仿宋" w:cs="仿宋"/>
              <w:sz w:val="28"/>
              <w:szCs w:val="28"/>
            </w:rPr>
          </w:pPr>
          <w:r>
            <w:fldChar w:fldCharType="begin"/>
          </w:r>
          <w:r>
            <w:instrText xml:space="preserve"> HYPERLINK \l "_Toc10893_WPSOffice_Level2" </w:instrText>
          </w:r>
          <w:r>
            <w:fldChar w:fldCharType="separate"/>
          </w:r>
          <w:sdt>
            <w:sdtPr>
              <w:rPr>
                <w:rFonts w:hint="eastAsia" w:ascii="仿宋" w:hAnsi="仿宋" w:eastAsia="仿宋" w:cs="仿宋"/>
                <w:kern w:val="2"/>
                <w:sz w:val="28"/>
                <w:szCs w:val="28"/>
              </w:rPr>
              <w:id w:val="-1549605056"/>
              <w:placeholder>
                <w:docPart w:val="{62f0d464-f813-4aea-9dba-c6868a63684f}"/>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七、一般公共预算财政拨款支出决算明细表</w:t>
              </w:r>
            </w:sdtContent>
          </w:sdt>
          <w:r>
            <w:rPr>
              <w:rFonts w:hint="eastAsia" w:ascii="仿宋" w:hAnsi="仿宋" w:eastAsia="仿宋" w:cs="仿宋"/>
              <w:sz w:val="28"/>
              <w:szCs w:val="28"/>
            </w:rPr>
            <w:tab/>
          </w:r>
          <w:bookmarkStart w:id="38" w:name="_Toc10893_WPSOffice_Level2Page"/>
          <w:r>
            <w:rPr>
              <w:rFonts w:hint="eastAsia" w:ascii="仿宋" w:hAnsi="仿宋" w:eastAsia="仿宋" w:cs="仿宋"/>
              <w:sz w:val="28"/>
              <w:szCs w:val="28"/>
            </w:rPr>
            <w:t>34</w:t>
          </w:r>
          <w:bookmarkEnd w:id="38"/>
          <w:r>
            <w:rPr>
              <w:rFonts w:hint="eastAsia" w:ascii="仿宋" w:hAnsi="仿宋" w:eastAsia="仿宋" w:cs="仿宋"/>
              <w:sz w:val="28"/>
              <w:szCs w:val="28"/>
            </w:rPr>
            <w:fldChar w:fldCharType="end"/>
          </w:r>
        </w:p>
        <w:p w14:paraId="684760F1">
          <w:pPr>
            <w:pStyle w:val="34"/>
            <w:tabs>
              <w:tab w:val="right" w:leader="dot" w:pos="8306"/>
            </w:tabs>
            <w:ind w:left="420"/>
            <w:rPr>
              <w:rFonts w:ascii="仿宋" w:hAnsi="仿宋" w:eastAsia="仿宋" w:cs="仿宋"/>
              <w:sz w:val="28"/>
              <w:szCs w:val="28"/>
            </w:rPr>
          </w:pPr>
          <w:r>
            <w:fldChar w:fldCharType="begin"/>
          </w:r>
          <w:r>
            <w:instrText xml:space="preserve"> HYPERLINK \l "_Toc10856_WPSOffice_Level2" </w:instrText>
          </w:r>
          <w:r>
            <w:fldChar w:fldCharType="separate"/>
          </w:r>
          <w:sdt>
            <w:sdtPr>
              <w:rPr>
                <w:rFonts w:hint="eastAsia" w:ascii="仿宋" w:hAnsi="仿宋" w:eastAsia="仿宋" w:cs="仿宋"/>
                <w:kern w:val="2"/>
                <w:sz w:val="28"/>
                <w:szCs w:val="28"/>
              </w:rPr>
              <w:id w:val="-327683602"/>
              <w:placeholder>
                <w:docPart w:val="{f12c2982-c6cb-4223-ba86-6e9f0c8aafca}"/>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八、一般公共预算财政拨款基本支出决算表</w:t>
              </w:r>
            </w:sdtContent>
          </w:sdt>
          <w:r>
            <w:rPr>
              <w:rFonts w:hint="eastAsia" w:ascii="仿宋" w:hAnsi="仿宋" w:eastAsia="仿宋" w:cs="仿宋"/>
              <w:sz w:val="28"/>
              <w:szCs w:val="28"/>
            </w:rPr>
            <w:tab/>
          </w:r>
          <w:bookmarkStart w:id="39" w:name="_Toc10856_WPSOffice_Level2Page"/>
          <w:r>
            <w:rPr>
              <w:rFonts w:hint="eastAsia" w:ascii="仿宋" w:hAnsi="仿宋" w:eastAsia="仿宋" w:cs="仿宋"/>
              <w:sz w:val="28"/>
              <w:szCs w:val="28"/>
            </w:rPr>
            <w:t>34</w:t>
          </w:r>
          <w:bookmarkEnd w:id="39"/>
          <w:r>
            <w:rPr>
              <w:rFonts w:hint="eastAsia" w:ascii="仿宋" w:hAnsi="仿宋" w:eastAsia="仿宋" w:cs="仿宋"/>
              <w:sz w:val="28"/>
              <w:szCs w:val="28"/>
            </w:rPr>
            <w:fldChar w:fldCharType="end"/>
          </w:r>
        </w:p>
        <w:p w14:paraId="155EF690">
          <w:pPr>
            <w:pStyle w:val="34"/>
            <w:tabs>
              <w:tab w:val="right" w:leader="dot" w:pos="8306"/>
            </w:tabs>
            <w:ind w:left="420"/>
            <w:rPr>
              <w:rFonts w:ascii="仿宋" w:hAnsi="仿宋" w:eastAsia="仿宋" w:cs="仿宋"/>
              <w:sz w:val="28"/>
              <w:szCs w:val="28"/>
            </w:rPr>
          </w:pPr>
          <w:r>
            <w:fldChar w:fldCharType="begin"/>
          </w:r>
          <w:r>
            <w:instrText xml:space="preserve"> HYPERLINK \l "_Toc30225_WPSOffice_Level2" </w:instrText>
          </w:r>
          <w:r>
            <w:fldChar w:fldCharType="separate"/>
          </w:r>
          <w:sdt>
            <w:sdtPr>
              <w:rPr>
                <w:rFonts w:hint="eastAsia" w:ascii="仿宋" w:hAnsi="仿宋" w:eastAsia="仿宋" w:cs="仿宋"/>
                <w:kern w:val="2"/>
                <w:sz w:val="28"/>
                <w:szCs w:val="28"/>
              </w:rPr>
              <w:id w:val="-1776703030"/>
              <w:placeholder>
                <w:docPart w:val="{9eb562e9-bb6c-4f43-a952-66c08e3885c3}"/>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九、一般公共预算财政拨款项目支出决算表</w:t>
              </w:r>
            </w:sdtContent>
          </w:sdt>
          <w:r>
            <w:rPr>
              <w:rFonts w:hint="eastAsia" w:ascii="仿宋" w:hAnsi="仿宋" w:eastAsia="仿宋" w:cs="仿宋"/>
              <w:sz w:val="28"/>
              <w:szCs w:val="28"/>
            </w:rPr>
            <w:tab/>
          </w:r>
          <w:bookmarkStart w:id="40" w:name="_Toc30225_WPSOffice_Level2Page"/>
          <w:r>
            <w:rPr>
              <w:rFonts w:hint="eastAsia" w:ascii="仿宋" w:hAnsi="仿宋" w:eastAsia="仿宋" w:cs="仿宋"/>
              <w:sz w:val="28"/>
              <w:szCs w:val="28"/>
            </w:rPr>
            <w:t>34</w:t>
          </w:r>
          <w:bookmarkEnd w:id="40"/>
          <w:r>
            <w:rPr>
              <w:rFonts w:hint="eastAsia" w:ascii="仿宋" w:hAnsi="仿宋" w:eastAsia="仿宋" w:cs="仿宋"/>
              <w:sz w:val="28"/>
              <w:szCs w:val="28"/>
            </w:rPr>
            <w:fldChar w:fldCharType="end"/>
          </w:r>
        </w:p>
        <w:p w14:paraId="7725B333">
          <w:pPr>
            <w:pStyle w:val="34"/>
            <w:tabs>
              <w:tab w:val="right" w:leader="dot" w:pos="8306"/>
            </w:tabs>
            <w:ind w:left="420"/>
            <w:rPr>
              <w:rFonts w:ascii="仿宋" w:hAnsi="仿宋" w:eastAsia="仿宋" w:cs="仿宋"/>
              <w:sz w:val="28"/>
              <w:szCs w:val="28"/>
            </w:rPr>
          </w:pPr>
          <w:r>
            <w:fldChar w:fldCharType="begin"/>
          </w:r>
          <w:r>
            <w:instrText xml:space="preserve"> HYPERLINK \l "_Toc2517_WPSOffice_Level2" </w:instrText>
          </w:r>
          <w:r>
            <w:fldChar w:fldCharType="separate"/>
          </w:r>
          <w:sdt>
            <w:sdtPr>
              <w:rPr>
                <w:rFonts w:hint="eastAsia" w:ascii="仿宋" w:hAnsi="仿宋" w:eastAsia="仿宋" w:cs="仿宋"/>
                <w:kern w:val="2"/>
                <w:sz w:val="28"/>
                <w:szCs w:val="28"/>
              </w:rPr>
              <w:id w:val="189575205"/>
              <w:placeholder>
                <w:docPart w:val="{7125954a-bcd3-4800-ae75-f04bb510bd25}"/>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十、一般公共预算财政拨款“三公”经费支出决算表</w:t>
              </w:r>
            </w:sdtContent>
          </w:sdt>
          <w:r>
            <w:rPr>
              <w:rFonts w:hint="eastAsia" w:ascii="仿宋" w:hAnsi="仿宋" w:eastAsia="仿宋" w:cs="仿宋"/>
              <w:sz w:val="28"/>
              <w:szCs w:val="28"/>
            </w:rPr>
            <w:tab/>
          </w:r>
          <w:bookmarkStart w:id="41" w:name="_Toc2517_WPSOffice_Level2Page"/>
          <w:r>
            <w:rPr>
              <w:rFonts w:hint="eastAsia" w:ascii="仿宋" w:hAnsi="仿宋" w:eastAsia="仿宋" w:cs="仿宋"/>
              <w:sz w:val="28"/>
              <w:szCs w:val="28"/>
            </w:rPr>
            <w:t>34</w:t>
          </w:r>
          <w:bookmarkEnd w:id="41"/>
          <w:r>
            <w:rPr>
              <w:rFonts w:hint="eastAsia" w:ascii="仿宋" w:hAnsi="仿宋" w:eastAsia="仿宋" w:cs="仿宋"/>
              <w:sz w:val="28"/>
              <w:szCs w:val="28"/>
            </w:rPr>
            <w:fldChar w:fldCharType="end"/>
          </w:r>
        </w:p>
        <w:p w14:paraId="7C5890E7">
          <w:pPr>
            <w:pStyle w:val="34"/>
            <w:tabs>
              <w:tab w:val="right" w:leader="dot" w:pos="8306"/>
            </w:tabs>
            <w:ind w:left="420"/>
            <w:rPr>
              <w:rFonts w:ascii="仿宋" w:hAnsi="仿宋" w:eastAsia="仿宋" w:cs="仿宋"/>
              <w:sz w:val="28"/>
              <w:szCs w:val="28"/>
            </w:rPr>
          </w:pPr>
          <w:r>
            <w:fldChar w:fldCharType="begin"/>
          </w:r>
          <w:r>
            <w:instrText xml:space="preserve"> HYPERLINK \l "_Toc8449_WPSOffice_Level2" </w:instrText>
          </w:r>
          <w:r>
            <w:fldChar w:fldCharType="separate"/>
          </w:r>
          <w:sdt>
            <w:sdtPr>
              <w:rPr>
                <w:rFonts w:hint="eastAsia" w:ascii="仿宋" w:hAnsi="仿宋" w:eastAsia="仿宋" w:cs="仿宋"/>
                <w:kern w:val="2"/>
                <w:sz w:val="28"/>
                <w:szCs w:val="28"/>
              </w:rPr>
              <w:id w:val="-342855393"/>
              <w:placeholder>
                <w:docPart w:val="{244d823e-0c9d-43ed-988a-359a6fb28a5b}"/>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十一、政府性基金预算财政拨款收入支出决算表</w:t>
              </w:r>
            </w:sdtContent>
          </w:sdt>
          <w:r>
            <w:rPr>
              <w:rFonts w:hint="eastAsia" w:ascii="仿宋" w:hAnsi="仿宋" w:eastAsia="仿宋" w:cs="仿宋"/>
              <w:sz w:val="28"/>
              <w:szCs w:val="28"/>
            </w:rPr>
            <w:tab/>
          </w:r>
          <w:bookmarkStart w:id="42" w:name="_Toc8449_WPSOffice_Level2Page"/>
          <w:r>
            <w:rPr>
              <w:rFonts w:hint="eastAsia" w:ascii="仿宋" w:hAnsi="仿宋" w:eastAsia="仿宋" w:cs="仿宋"/>
              <w:sz w:val="28"/>
              <w:szCs w:val="28"/>
            </w:rPr>
            <w:t>34</w:t>
          </w:r>
          <w:bookmarkEnd w:id="42"/>
          <w:r>
            <w:rPr>
              <w:rFonts w:hint="eastAsia" w:ascii="仿宋" w:hAnsi="仿宋" w:eastAsia="仿宋" w:cs="仿宋"/>
              <w:sz w:val="28"/>
              <w:szCs w:val="28"/>
            </w:rPr>
            <w:fldChar w:fldCharType="end"/>
          </w:r>
        </w:p>
        <w:p w14:paraId="6CBBE4FA">
          <w:pPr>
            <w:pStyle w:val="34"/>
            <w:tabs>
              <w:tab w:val="right" w:leader="dot" w:pos="8306"/>
            </w:tabs>
            <w:ind w:left="420"/>
            <w:rPr>
              <w:rFonts w:ascii="仿宋" w:hAnsi="仿宋" w:eastAsia="仿宋" w:cs="仿宋"/>
              <w:sz w:val="28"/>
              <w:szCs w:val="28"/>
            </w:rPr>
          </w:pPr>
          <w:r>
            <w:fldChar w:fldCharType="begin"/>
          </w:r>
          <w:r>
            <w:instrText xml:space="preserve"> HYPERLINK \l "_Toc9_WPSOffice_Level2" </w:instrText>
          </w:r>
          <w:r>
            <w:fldChar w:fldCharType="separate"/>
          </w:r>
          <w:sdt>
            <w:sdtPr>
              <w:rPr>
                <w:rFonts w:hint="eastAsia" w:ascii="仿宋" w:hAnsi="仿宋" w:eastAsia="仿宋" w:cs="仿宋"/>
                <w:kern w:val="2"/>
                <w:sz w:val="28"/>
                <w:szCs w:val="28"/>
              </w:rPr>
              <w:id w:val="-48313371"/>
              <w:placeholder>
                <w:docPart w:val="{08ddbc36-7dfe-4fe3-b4d8-8900d75fcaa7}"/>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十二、政府性基金预算财政拨款“三公”经费支出决算表</w:t>
              </w:r>
            </w:sdtContent>
          </w:sdt>
          <w:r>
            <w:rPr>
              <w:rFonts w:hint="eastAsia" w:ascii="仿宋" w:hAnsi="仿宋" w:eastAsia="仿宋" w:cs="仿宋"/>
              <w:sz w:val="28"/>
              <w:szCs w:val="28"/>
            </w:rPr>
            <w:tab/>
          </w:r>
          <w:bookmarkStart w:id="43" w:name="_Toc9_WPSOffice_Level2Page"/>
          <w:r>
            <w:rPr>
              <w:rFonts w:hint="eastAsia" w:ascii="仿宋" w:hAnsi="仿宋" w:eastAsia="仿宋" w:cs="仿宋"/>
              <w:sz w:val="28"/>
              <w:szCs w:val="28"/>
            </w:rPr>
            <w:t>34</w:t>
          </w:r>
          <w:bookmarkEnd w:id="43"/>
          <w:r>
            <w:rPr>
              <w:rFonts w:hint="eastAsia" w:ascii="仿宋" w:hAnsi="仿宋" w:eastAsia="仿宋" w:cs="仿宋"/>
              <w:sz w:val="28"/>
              <w:szCs w:val="28"/>
            </w:rPr>
            <w:fldChar w:fldCharType="end"/>
          </w:r>
        </w:p>
        <w:p w14:paraId="7F4C3CC8">
          <w:pPr>
            <w:pStyle w:val="34"/>
            <w:tabs>
              <w:tab w:val="right" w:leader="dot" w:pos="8306"/>
            </w:tabs>
            <w:ind w:left="420"/>
            <w:rPr>
              <w:rFonts w:ascii="仿宋" w:hAnsi="仿宋" w:eastAsia="仿宋" w:cs="仿宋"/>
              <w:sz w:val="28"/>
              <w:szCs w:val="28"/>
            </w:rPr>
          </w:pPr>
          <w:r>
            <w:fldChar w:fldCharType="begin"/>
          </w:r>
          <w:r>
            <w:instrText xml:space="preserve"> HYPERLINK \l "_Toc24952_WPSOffice_Level2" </w:instrText>
          </w:r>
          <w:r>
            <w:fldChar w:fldCharType="separate"/>
          </w:r>
          <w:sdt>
            <w:sdtPr>
              <w:rPr>
                <w:rFonts w:hint="eastAsia" w:ascii="仿宋" w:hAnsi="仿宋" w:eastAsia="仿宋" w:cs="仿宋"/>
                <w:kern w:val="2"/>
                <w:sz w:val="28"/>
                <w:szCs w:val="28"/>
              </w:rPr>
              <w:id w:val="1789238552"/>
              <w:placeholder>
                <w:docPart w:val="{4f7329cc-8072-4607-b47f-66b08fbbee2b}"/>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十三、国有资本经营预算财政拨款收入支出决算表</w:t>
              </w:r>
            </w:sdtContent>
          </w:sdt>
          <w:r>
            <w:rPr>
              <w:rFonts w:hint="eastAsia" w:ascii="仿宋" w:hAnsi="仿宋" w:eastAsia="仿宋" w:cs="仿宋"/>
              <w:sz w:val="28"/>
              <w:szCs w:val="28"/>
            </w:rPr>
            <w:tab/>
          </w:r>
          <w:bookmarkStart w:id="44" w:name="_Toc24952_WPSOffice_Level2Page"/>
          <w:r>
            <w:rPr>
              <w:rFonts w:hint="eastAsia" w:ascii="仿宋" w:hAnsi="仿宋" w:eastAsia="仿宋" w:cs="仿宋"/>
              <w:sz w:val="28"/>
              <w:szCs w:val="28"/>
            </w:rPr>
            <w:t>34</w:t>
          </w:r>
          <w:bookmarkEnd w:id="44"/>
          <w:r>
            <w:rPr>
              <w:rFonts w:hint="eastAsia" w:ascii="仿宋" w:hAnsi="仿宋" w:eastAsia="仿宋" w:cs="仿宋"/>
              <w:sz w:val="28"/>
              <w:szCs w:val="28"/>
            </w:rPr>
            <w:fldChar w:fldCharType="end"/>
          </w:r>
        </w:p>
        <w:p w14:paraId="2AC4CF80">
          <w:pPr>
            <w:pStyle w:val="34"/>
            <w:tabs>
              <w:tab w:val="right" w:leader="dot" w:pos="8306"/>
            </w:tabs>
            <w:ind w:left="420"/>
            <w:rPr>
              <w:rFonts w:ascii="仿宋" w:hAnsi="仿宋" w:eastAsia="仿宋" w:cs="仿宋"/>
              <w:sz w:val="28"/>
              <w:szCs w:val="28"/>
            </w:rPr>
          </w:pPr>
          <w:r>
            <w:fldChar w:fldCharType="begin"/>
          </w:r>
          <w:r>
            <w:instrText xml:space="preserve"> HYPERLINK \l "_Toc15619_WPSOffice_Level2" </w:instrText>
          </w:r>
          <w:r>
            <w:fldChar w:fldCharType="separate"/>
          </w:r>
          <w:sdt>
            <w:sdtPr>
              <w:rPr>
                <w:rFonts w:hint="eastAsia" w:ascii="仿宋" w:hAnsi="仿宋" w:eastAsia="仿宋" w:cs="仿宋"/>
                <w:kern w:val="2"/>
                <w:sz w:val="28"/>
                <w:szCs w:val="28"/>
              </w:rPr>
              <w:id w:val="83031973"/>
              <w:placeholder>
                <w:docPart w:val="{7b463e84-23ed-4767-b0d3-d5948966e723}"/>
              </w:placeholder>
              <w15:color w:val="509DF3"/>
            </w:sdtPr>
            <w:sdtEndPr>
              <w:rPr>
                <w:rFonts w:hint="eastAsia" w:ascii="仿宋" w:hAnsi="仿宋" w:eastAsia="仿宋" w:cs="仿宋"/>
                <w:kern w:val="2"/>
                <w:sz w:val="28"/>
                <w:szCs w:val="28"/>
              </w:rPr>
            </w:sdtEndPr>
            <w:sdtContent>
              <w:r>
                <w:rPr>
                  <w:rFonts w:hint="eastAsia" w:ascii="仿宋" w:hAnsi="仿宋" w:eastAsia="仿宋" w:cs="仿宋"/>
                  <w:sz w:val="28"/>
                  <w:szCs w:val="28"/>
                </w:rPr>
                <w:t>十四、国有资本经营预算财政拨款支出决算表</w:t>
              </w:r>
            </w:sdtContent>
          </w:sdt>
          <w:r>
            <w:rPr>
              <w:rFonts w:hint="eastAsia" w:ascii="仿宋" w:hAnsi="仿宋" w:eastAsia="仿宋" w:cs="仿宋"/>
              <w:sz w:val="28"/>
              <w:szCs w:val="28"/>
            </w:rPr>
            <w:tab/>
          </w:r>
          <w:bookmarkStart w:id="45" w:name="_Toc15619_WPSOffice_Level2Page"/>
          <w:r>
            <w:rPr>
              <w:rFonts w:hint="eastAsia" w:ascii="仿宋" w:hAnsi="仿宋" w:eastAsia="仿宋" w:cs="仿宋"/>
              <w:sz w:val="28"/>
              <w:szCs w:val="28"/>
            </w:rPr>
            <w:t>34</w:t>
          </w:r>
          <w:bookmarkEnd w:id="45"/>
          <w:r>
            <w:rPr>
              <w:rFonts w:hint="eastAsia" w:ascii="仿宋" w:hAnsi="仿宋" w:eastAsia="仿宋" w:cs="仿宋"/>
              <w:sz w:val="28"/>
              <w:szCs w:val="28"/>
            </w:rPr>
            <w:fldChar w:fldCharType="end"/>
          </w:r>
        </w:p>
      </w:sdtContent>
    </w:sdt>
    <w:bookmarkEnd w:id="12"/>
    <w:p w14:paraId="5B592B4E">
      <w:pPr>
        <w:widowControl/>
        <w:spacing w:line="440" w:lineRule="exact"/>
        <w:jc w:val="left"/>
        <w:rPr>
          <w:rFonts w:ascii="仿宋" w:hAnsi="仿宋" w:eastAsia="仿宋"/>
          <w:bCs/>
          <w:kern w:val="44"/>
          <w:sz w:val="24"/>
        </w:rPr>
      </w:pPr>
      <w:r>
        <w:rPr>
          <w:rFonts w:ascii="仿宋" w:hAnsi="仿宋" w:eastAsia="仿宋"/>
          <w:b/>
          <w:sz w:val="24"/>
        </w:rPr>
        <w:br w:type="page"/>
      </w:r>
    </w:p>
    <w:p w14:paraId="06DF25F5">
      <w:pPr>
        <w:pStyle w:val="3"/>
        <w:jc w:val="center"/>
        <w:rPr>
          <w:rFonts w:ascii="黑体" w:eastAsia="黑体"/>
          <w:sz w:val="32"/>
          <w:szCs w:val="32"/>
        </w:rPr>
      </w:pPr>
      <w:bookmarkStart w:id="46" w:name="_Toc7522_WPSOffice_Level1"/>
      <w:r>
        <w:rPr>
          <w:rFonts w:hint="eastAsia" w:ascii="黑体" w:hAnsi="黑体" w:eastAsia="黑体"/>
          <w:b w:val="0"/>
        </w:rPr>
        <w:t xml:space="preserve">第一部分 </w:t>
      </w:r>
      <w:r>
        <w:rPr>
          <w:rStyle w:val="27"/>
          <w:rFonts w:hint="eastAsia" w:ascii="黑体" w:hAnsi="黑体" w:eastAsia="黑体"/>
          <w:b w:val="0"/>
          <w:bCs w:val="0"/>
        </w:rPr>
        <w:t>部门概况</w:t>
      </w:r>
      <w:bookmarkEnd w:id="13"/>
      <w:bookmarkEnd w:id="14"/>
      <w:bookmarkEnd w:id="46"/>
    </w:p>
    <w:p w14:paraId="39BFDA95">
      <w:pPr>
        <w:pStyle w:val="4"/>
        <w:rPr>
          <w:rStyle w:val="28"/>
          <w:rFonts w:ascii="仿宋" w:hAnsi="仿宋" w:eastAsia="仿宋"/>
          <w:b w:val="0"/>
          <w:bCs w:val="0"/>
        </w:rPr>
      </w:pPr>
      <w:bookmarkStart w:id="47" w:name="_Toc15377197"/>
      <w:bookmarkStart w:id="48" w:name="_Toc15396600"/>
      <w:bookmarkStart w:id="49" w:name="_Toc121_WPSOffice_Level2"/>
      <w:r>
        <w:rPr>
          <w:rFonts w:hint="eastAsia" w:ascii="黑体" w:hAnsi="黑体" w:eastAsia="黑体"/>
          <w:b w:val="0"/>
        </w:rPr>
        <w:t>一、基</w:t>
      </w:r>
      <w:r>
        <w:rPr>
          <w:rStyle w:val="28"/>
          <w:rFonts w:hint="eastAsia" w:ascii="黑体" w:hAnsi="黑体" w:eastAsia="黑体"/>
          <w:b w:val="0"/>
          <w:bCs w:val="0"/>
        </w:rPr>
        <w:t>本职能及主要工作</w:t>
      </w:r>
      <w:bookmarkEnd w:id="47"/>
      <w:bookmarkEnd w:id="48"/>
      <w:bookmarkEnd w:id="49"/>
    </w:p>
    <w:p w14:paraId="103150E9">
      <w:pPr>
        <w:pStyle w:val="6"/>
        <w:adjustRightInd w:val="0"/>
        <w:snapToGrid w:val="0"/>
        <w:spacing w:before="93" w:line="600" w:lineRule="exact"/>
        <w:ind w:firstLine="672" w:firstLineChars="210"/>
        <w:outlineLvl w:val="2"/>
        <w:rPr>
          <w:rFonts w:ascii="仿宋" w:hAnsi="仿宋" w:eastAsia="仿宋"/>
          <w:bCs/>
          <w:sz w:val="32"/>
          <w:szCs w:val="32"/>
        </w:rPr>
      </w:pPr>
      <w:bookmarkStart w:id="50" w:name="_Toc15377198"/>
      <w:bookmarkStart w:id="51" w:name="_Toc15378445"/>
      <w:r>
        <w:rPr>
          <w:rFonts w:hint="eastAsia" w:ascii="仿宋" w:hAnsi="仿宋" w:eastAsia="仿宋"/>
          <w:bCs/>
          <w:sz w:val="32"/>
          <w:szCs w:val="32"/>
        </w:rPr>
        <w:t>（一）主要职能。</w:t>
      </w:r>
      <w:bookmarkEnd w:id="50"/>
      <w:bookmarkEnd w:id="51"/>
    </w:p>
    <w:p w14:paraId="4EF9B8C2">
      <w:pPr>
        <w:spacing w:line="600" w:lineRule="exact"/>
        <w:ind w:firstLine="640" w:firstLineChars="200"/>
        <w:jc w:val="left"/>
        <w:rPr>
          <w:rFonts w:ascii="仿宋" w:hAnsi="仿宋" w:eastAsia="仿宋" w:cs="仿宋"/>
          <w:bCs/>
          <w:sz w:val="32"/>
          <w:szCs w:val="32"/>
        </w:rPr>
      </w:pPr>
      <w:r>
        <w:rPr>
          <w:rFonts w:hint="eastAsia" w:ascii="仿宋" w:hAnsi="仿宋" w:eastAsia="仿宋" w:cs="仿宋"/>
          <w:sz w:val="32"/>
          <w:szCs w:val="32"/>
        </w:rPr>
        <w:t>认真贯彻执行党和国家的有关法律法规，方针，政策，依法办园，坚持正确的办园方向；落实《3-6岁儿童学习与发展指南》的精神，遵循“正确的爱培养良好习惯，快乐游戏激发多元潜能”的办园理念；立足“幼儿乐学、家长乐道、教师乐教”的办园宗旨；以“玩中学、学中乐、乐中长”的教学理念。遵循幼儿身心发展的规律，以一日生活皆教育，提升保教质量，促进幼儿全面和谐发展。</w:t>
      </w:r>
    </w:p>
    <w:p w14:paraId="5D31DA91">
      <w:pPr>
        <w:pStyle w:val="6"/>
        <w:adjustRightInd w:val="0"/>
        <w:snapToGrid w:val="0"/>
        <w:spacing w:before="93" w:line="600" w:lineRule="exact"/>
        <w:ind w:firstLine="672" w:firstLineChars="210"/>
        <w:outlineLvl w:val="2"/>
        <w:rPr>
          <w:rFonts w:ascii="仿宋" w:hAnsi="仿宋" w:eastAsia="仿宋"/>
          <w:bCs/>
          <w:sz w:val="32"/>
          <w:szCs w:val="32"/>
        </w:rPr>
      </w:pPr>
      <w:bookmarkStart w:id="52" w:name="_Toc15377199"/>
      <w:bookmarkStart w:id="53" w:name="_Toc15378446"/>
      <w:r>
        <w:rPr>
          <w:rFonts w:hint="eastAsia" w:ascii="仿宋" w:hAnsi="仿宋" w:eastAsia="仿宋"/>
          <w:bCs/>
          <w:sz w:val="32"/>
          <w:szCs w:val="32"/>
        </w:rPr>
        <w:t>（二）</w:t>
      </w:r>
      <w:r>
        <w:rPr>
          <w:rFonts w:ascii="仿宋" w:hAnsi="仿宋" w:eastAsia="仿宋"/>
          <w:bCs/>
          <w:sz w:val="32"/>
          <w:szCs w:val="32"/>
        </w:rPr>
        <w:t>20</w:t>
      </w:r>
      <w:r>
        <w:rPr>
          <w:rFonts w:hint="eastAsia" w:ascii="仿宋" w:hAnsi="仿宋" w:eastAsia="仿宋"/>
          <w:bCs/>
          <w:sz w:val="32"/>
          <w:szCs w:val="32"/>
        </w:rPr>
        <w:t>21年重点工作完成情况。</w:t>
      </w:r>
      <w:bookmarkEnd w:id="52"/>
      <w:bookmarkEnd w:id="53"/>
    </w:p>
    <w:p w14:paraId="5C9AE2B0">
      <w:pPr>
        <w:widowControl/>
        <w:spacing w:line="600" w:lineRule="exact"/>
        <w:ind w:firstLine="640" w:firstLineChars="200"/>
        <w:jc w:val="left"/>
        <w:rPr>
          <w:rFonts w:ascii="仿宋" w:hAnsi="仿宋" w:eastAsia="仿宋" w:cs="仿宋"/>
          <w:sz w:val="32"/>
          <w:szCs w:val="32"/>
        </w:rPr>
      </w:pPr>
      <w:bookmarkStart w:id="54" w:name="_Toc15377200"/>
      <w:bookmarkStart w:id="55" w:name="_Toc15396601"/>
      <w:r>
        <w:rPr>
          <w:rFonts w:hint="eastAsia" w:ascii="仿宋" w:hAnsi="仿宋" w:eastAsia="仿宋" w:cs="仿宋"/>
          <w:sz w:val="32"/>
          <w:szCs w:val="32"/>
        </w:rPr>
        <w:t>1、指导思想</w:t>
      </w:r>
    </w:p>
    <w:p w14:paraId="3CF75700">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思想上，认真贯彻落实科学发展观，领导班子各司其职，带领全体教职员工以习近平新时代中国特色社会主义思想为指导，认真开展学党史，强信念活动，认真履行职责，充分发挥班子的整体效能， 紧紧围绕上级各类决策部署，以《纲要》《指南》为准绳，以“规范管理，彰显特色，优质发展”为目标，以贯彻落实“党史学习”主题教育增强“四个意识”、坚定“四个自信”、做到“两个维护”为重点，着力推进师资队伍建设和特色教育，推动幼儿园取得新的成绩和发展。</w:t>
      </w:r>
    </w:p>
    <w:p w14:paraId="77D16567">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认真组织广大教职工学习党的上级各部门关于防治腐败相关文件、各种警示教育，增强了自己及教职工自身廉政意识，提高拒腐防变能力。同时加强对党员干部的党性、党风、党纪教育与学习，预防和制止腐败发生。</w:t>
      </w:r>
    </w:p>
    <w:p w14:paraId="372C086B">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2、加强党风廉政建设</w:t>
      </w:r>
    </w:p>
    <w:p w14:paraId="2F4BCF35">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按照关于增强领导干部作风建设的相关要求，联系思想和工作实际，认真学习了习近平总书记在庆祝中国共产党成立100周年大会上的“七一”重要讲话精神；深入</w:t>
      </w:r>
      <w:r>
        <w:rPr>
          <w:rFonts w:hint="eastAsia" w:ascii="仿宋" w:hAnsi="仿宋" w:eastAsia="仿宋" w:cs="仿宋"/>
          <w:sz w:val="32"/>
          <w:szCs w:val="32"/>
          <w:lang w:eastAsia="zh-CN"/>
        </w:rPr>
        <w:t>贯彻落实中共十九届六中全会精神</w:t>
      </w:r>
      <w:r>
        <w:rPr>
          <w:rFonts w:hint="eastAsia" w:ascii="仿宋" w:hAnsi="仿宋" w:eastAsia="仿宋" w:cs="仿宋"/>
          <w:sz w:val="32"/>
          <w:szCs w:val="32"/>
        </w:rPr>
        <w:t>；通过集中学习、自学、主题教育等多种形式组织师幼开展学党史活动；集中组织学习《中国共产党发展史》《中国共产党党员领导干部廉洁从政若干准则》等党纪条规。认真组织广大教职工学习党的上级各部关于防治腐败相关文件、各种警示教育，增强了自己及教职工自身廉政意识，提高拒腐防变能力。</w:t>
      </w:r>
    </w:p>
    <w:p w14:paraId="0A58F208">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认真查找了班子和个人在理想信念、落实党风廉政建设责任制等方面存有的问题，剖析了存有问题的根源，并提出了今后努力的方向和整改措施。同时加强对党员干部的党性、党风、党纪教育与学习，预防和制止腐败发生。让每位员工都有“用爱拥抱童心、为孩子撑起一片纯净的蓝天，为幼儿园开辟一块快乐的土地！”的幼儿教育者角色意识。</w:t>
      </w:r>
    </w:p>
    <w:p w14:paraId="1149E537">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3、规范财经管理</w:t>
      </w:r>
    </w:p>
    <w:p w14:paraId="5AEB2D52">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本年度召开全园职工一起拟定了《幼儿园考勤制度（试行）》《盐边县幼儿园教师职称岗位补缺聘用方案》《盐边县幼儿园</w:t>
      </w:r>
      <w:r>
        <w:rPr>
          <w:rFonts w:hint="eastAsia" w:ascii="仿宋" w:hAnsi="仿宋" w:eastAsia="仿宋" w:cs="仿宋"/>
          <w:sz w:val="32"/>
          <w:szCs w:val="32"/>
          <w:lang w:eastAsia="zh-CN"/>
        </w:rPr>
        <w:t>“</w:t>
      </w:r>
      <w:r>
        <w:rPr>
          <w:rFonts w:hint="eastAsia" w:ascii="仿宋" w:hAnsi="仿宋" w:eastAsia="仿宋" w:cs="仿宋"/>
          <w:sz w:val="32"/>
          <w:szCs w:val="32"/>
        </w:rPr>
        <w:t>三重一大</w:t>
      </w:r>
      <w:r>
        <w:rPr>
          <w:rFonts w:hint="eastAsia" w:ascii="仿宋" w:hAnsi="仿宋" w:eastAsia="仿宋" w:cs="仿宋"/>
          <w:sz w:val="32"/>
          <w:szCs w:val="32"/>
          <w:lang w:eastAsia="zh-CN"/>
        </w:rPr>
        <w:t>”</w:t>
      </w:r>
      <w:r>
        <w:rPr>
          <w:rFonts w:hint="eastAsia" w:ascii="仿宋" w:hAnsi="仿宋" w:eastAsia="仿宋" w:cs="仿宋"/>
          <w:sz w:val="32"/>
          <w:szCs w:val="32"/>
        </w:rPr>
        <w:t>制度》《盐边县幼儿园幼儿资助管理办法》等制度；对教职工考核、绩效奖金发放、教职工评级晋职等工作，均依据相关制度进行，严格按制度办事，所有考核评定均让职工信服。不因人设岗，不因人定事。</w:t>
      </w:r>
    </w:p>
    <w:p w14:paraId="0B36816D">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加强幼儿园的民主管理和民主监督，促进园所党风廉政建设和行风建设的开展。在岗位调整、职务晋升、奖励晋级等问题上，不搞个人说了算，走民主集中，制度管理的道路。在班子中，提倡“合理碰撞”，提意见直言不讳，摆问题开诚布公，不积怨。</w:t>
      </w:r>
    </w:p>
    <w:p w14:paraId="450FF5E2">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4、特色重点亮点工作</w:t>
      </w:r>
    </w:p>
    <w:p w14:paraId="1058BD4A">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以党建促园所发展，取得新成效</w:t>
      </w:r>
    </w:p>
    <w:p w14:paraId="37627FB9">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园领导班子主动承担起党建工作，一年来，党支部旗帜鲜明以“推进学前教育普及普惠安全优质发展，满足人民群众对幼有所育的美好期盼，为培养德智体美劳全面发展的社会主义建设者和接班人奠定坚实基础”的办学思路，紧紧围绕社会主义核心价值观体系，研究探索园所“我们从哪里来？我们正在哪里？我们要到哪里去？”认清了“优质发展成为了园所迫切的时代担当”、“学前教育是国民教育体系的重要部分，是为党育人，为国育才之根基”，定位“幼儿园的教育必须以儿童全面启蒙、终身发展作为成长基点来谋划，从民生视角和国家未来发展的时代高度来谋划，办好高品质的学前教育是为孩子的成长负责，是为人才的涌现奠基”的园所发展方向。明确了以教师、幼儿、家长构成的“三位一体” 德育对象，把党政工作充分融入德育建设全过程，充分发挥党支部战斗堡垒和政治核心作用，有力促进全园德育工作的开展，为幼儿系好“人生第一粒扣子” ，以德育工作推动全园保教工作取得新的发展，不断提升办园品质。</w:t>
      </w:r>
    </w:p>
    <w:p w14:paraId="58CAACC1">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全面加强师德师风建设</w:t>
      </w:r>
    </w:p>
    <w:p w14:paraId="72524C11">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要求领导班子铭记：凡要求职工做到的，自己首先做到，凡要求职工不做的，自己首先不做，在执行党纪、政纪和幼儿园的各项规章制度方面，给职工做好榜样，不搞特殊，在个人利益上要做到先人后己，要有奉献精神。</w:t>
      </w:r>
    </w:p>
    <w:p w14:paraId="5A3D0DDA">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教师方面通过学习《新时代幼儿教师职业行为十项准则》等文件精神、签订《师德师风承诺书》、 开展师德师风警示教育、举办教职工法制讲座等方式，加强教职工师德师风思想意识； 通过每周开展会前学法，在建党节、教师节等节日开展师德师风主题活动、“抗击疫情、 爱在行动”班级主题墙、游戏区角比赛等活动，努力丰富师德师风教育形式:通过建立健全师德师风长效机制，通过民主评议考核、学期及年度个人考核，以及评优评选、岗位评聘、各类荣誉称号推评等工作，加大师德师风考核力度，有力促进师德师风建设巩固成效。</w:t>
      </w:r>
    </w:p>
    <w:p w14:paraId="734950C3">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特色园本课程初显成效</w:t>
      </w:r>
    </w:p>
    <w:p w14:paraId="5EAC509C">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所学校发展到一定阶段，必然需要形成具有自身特色的学校文化沉淀。一年来非常注重园本特色课程建设，结合本土实际，初步定位园所发展特色：“自然、传承、运动、阳光”，育“健怡（身体强壮、心理阳光、乐观自信、积极向上）、善思、储善、尚美”的幼儿的教育目标的办学特色。</w:t>
      </w:r>
    </w:p>
    <w:p w14:paraId="139D4F9C">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将德育工作有效融入教育教学活动中，以符合幼儿年龄特点的活动，通过开展“每周国旗下表演”、“ 书香阅读”读书角、“党史学习教育”、一起打败“冠小毒”等特色主题活动，在幼儿教育教学活动中贯彻落实新冠肺炎常态化防控工作要求，让小朋友们认识新冠病毒，初步了解国家大事，认识和感恩疫情防控英雄，从小坚定爱党爱国理想信念，从小培养爱家乡、爱祖国的情怀。</w:t>
      </w:r>
    </w:p>
    <w:p w14:paraId="1503CC78">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5、家园、社区共育成果</w:t>
      </w:r>
    </w:p>
    <w:p w14:paraId="4DC7E54B">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《幼儿园教育指导纲要》提出:“幼儿园应与家庭、 社区密切合作,与小学相互街接,综合利用各种教育资源,共同为幼儿的发展创造良好的条件。”一年来,注重发挥家庭、社区教育资源的作用,努力构建社区、家庭、幼儿园共育共享平台，把幼儿园教育与家庭、社区教育相融汇，形成社会与家园合力，培养幼儿成为健康活泼、好奇探究、亲近自然、爱护环境、勇敢自信、有初步责任感的幼儿，家园同步、协调地提高孩子的综合素质。</w:t>
      </w:r>
    </w:p>
    <w:p w14:paraId="08B455F3">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6、加强意识形态工作和民族团结工作</w:t>
      </w:r>
    </w:p>
    <w:p w14:paraId="09520DBE">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幼儿园是个多民族构建的集体，是由多民族的师生组成的一个大家庭。支部充分认识民族宗教问题与园所工作息息相关，充分认识新形式下做好民族工作的重要性。引导和带领广大师生正确认识民族宗教问题，尊重少数民族师生的风俗习惯，结合国旗下的表演、主题活动等开展形式多样的民族融合活动，建多民族和谐校园。</w:t>
      </w:r>
    </w:p>
    <w:p w14:paraId="2BE5E9EC">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7、健全运行机制，强化幼儿园安全工作</w:t>
      </w:r>
    </w:p>
    <w:p w14:paraId="2E4BC98B">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牢固树立“安全第一”的大局意识，把安全责任落实到人，实行一岗双责，建立学校安全管理工作档案。在传染病防控方面，坚持做到预防为主、防治结合的原则。扎实开展各项安全防范工作，有效保障幼儿园财产和师幼生命的安全，维护了正常的教学秩序和幼儿园的稳定。</w:t>
      </w:r>
    </w:p>
    <w:p w14:paraId="2C7FA5ED">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建立健全了安全管理工作各项规章制度，做到各司其职、各负其责、密切配合、齐抓共管。做到每会必讲安全，每活动必进行安全教育，随机进行安全检查，力求把事后监督、查处工作前移到事前防患。</w:t>
      </w:r>
    </w:p>
    <w:p w14:paraId="380D3310">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完善了重大安全事故应急处理预案，定期开展对师生开展各种安全教育和模拟演练，增强教师和幼儿面对突发事件时自救的能力。</w:t>
      </w:r>
    </w:p>
    <w:p w14:paraId="6D6CCEF7">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优化了对食品安全的管理。为了保证幼儿膳食科学合理、保证食物的多样性、丰富性，每周由分管园长、保健医师、食堂管理人员制定科学合理的食谱。贯彻落实“制止餐饮浪费”“三爱三节”教育、“光盘行动”主题教育，让孩子们从小就养成爱惜粮食，厉行节约的好习惯。</w:t>
      </w:r>
    </w:p>
    <w:p w14:paraId="024CD7FD">
      <w:pPr>
        <w:pStyle w:val="4"/>
        <w:rPr>
          <w:rStyle w:val="28"/>
          <w:b w:val="0"/>
          <w:bCs w:val="0"/>
        </w:rPr>
      </w:pPr>
      <w:bookmarkStart w:id="56" w:name="_Toc20300_WPSOffice_Level2"/>
      <w:r>
        <w:rPr>
          <w:rFonts w:hint="eastAsia" w:ascii="黑体" w:eastAsia="黑体"/>
          <w:b w:val="0"/>
        </w:rPr>
        <w:t>二、</w:t>
      </w:r>
      <w:r>
        <w:rPr>
          <w:rFonts w:hint="eastAsia" w:ascii="黑体" w:hAnsi="黑体" w:eastAsia="黑体"/>
          <w:b w:val="0"/>
        </w:rPr>
        <w:t>机</w:t>
      </w:r>
      <w:r>
        <w:rPr>
          <w:rStyle w:val="28"/>
          <w:rFonts w:hint="eastAsia" w:ascii="黑体" w:hAnsi="黑体" w:eastAsia="黑体"/>
          <w:b w:val="0"/>
          <w:bCs w:val="0"/>
        </w:rPr>
        <w:t>构设置</w:t>
      </w:r>
      <w:bookmarkEnd w:id="54"/>
      <w:bookmarkEnd w:id="55"/>
      <w:bookmarkEnd w:id="56"/>
    </w:p>
    <w:p w14:paraId="5906BAEF">
      <w:pPr>
        <w:widowControl/>
        <w:spacing w:line="600" w:lineRule="exact"/>
        <w:ind w:firstLine="640" w:firstLineChars="200"/>
        <w:jc w:val="left"/>
        <w:rPr>
          <w:rFonts w:ascii="仿宋" w:hAnsi="仿宋" w:eastAsia="仿宋" w:cs="仿宋"/>
          <w:color w:val="000000"/>
          <w:sz w:val="32"/>
          <w:szCs w:val="32"/>
        </w:rPr>
      </w:pPr>
      <w:r>
        <w:rPr>
          <w:rFonts w:hint="eastAsia" w:ascii="仿宋" w:hAnsi="仿宋" w:eastAsia="仿宋" w:cs="仿宋"/>
          <w:sz w:val="32"/>
          <w:szCs w:val="32"/>
        </w:rPr>
        <w:t>2021年设大中小教学班12 个，有在园幼儿392人，在编教职工28人，（长病4人，带病坚持上岗4人，借出1人），另有在岗不在编6人；本科学历14人，大专13人，学历达标率100%。有高级教师职称4人，中级职称14人，初级职称9人，技术工1人，市县级骨干教师学科带头人6名。</w:t>
      </w:r>
    </w:p>
    <w:p w14:paraId="723E3B3D">
      <w:pPr>
        <w:ind w:firstLine="800" w:firstLineChars="250"/>
        <w:rPr>
          <w:rFonts w:ascii="仿宋" w:hAnsi="仿宋" w:eastAsia="仿宋"/>
          <w:kern w:val="0"/>
          <w:sz w:val="32"/>
          <w:szCs w:val="32"/>
        </w:rPr>
      </w:pPr>
      <w:r>
        <w:rPr>
          <w:rFonts w:ascii="仿宋" w:hAnsi="仿宋" w:eastAsia="仿宋"/>
          <w:sz w:val="32"/>
          <w:szCs w:val="32"/>
        </w:rPr>
        <w:br w:type="page"/>
      </w:r>
    </w:p>
    <w:p w14:paraId="587390E4">
      <w:pPr>
        <w:pStyle w:val="3"/>
        <w:ind w:right="440"/>
        <w:jc w:val="center"/>
        <w:rPr>
          <w:rStyle w:val="27"/>
          <w:rFonts w:ascii="黑体" w:hAnsi="黑体" w:eastAsia="黑体"/>
          <w:b w:val="0"/>
          <w:bCs/>
        </w:rPr>
      </w:pPr>
      <w:bookmarkStart w:id="57" w:name="_Toc121_WPSOffice_Level1"/>
      <w:bookmarkStart w:id="58" w:name="_Toc15377204"/>
      <w:bookmarkStart w:id="59" w:name="_Toc15396602"/>
      <w:r>
        <w:rPr>
          <w:rFonts w:hint="eastAsia" w:ascii="黑体" w:hAnsi="黑体" w:eastAsia="黑体"/>
          <w:b w:val="0"/>
        </w:rPr>
        <w:t>第二部分 2021年度</w:t>
      </w:r>
      <w:r>
        <w:rPr>
          <w:rStyle w:val="27"/>
          <w:rFonts w:hint="eastAsia" w:ascii="黑体" w:hAnsi="黑体" w:eastAsia="黑体"/>
          <w:b w:val="0"/>
          <w:bCs/>
        </w:rPr>
        <w:t>部门决算情况说明</w:t>
      </w:r>
      <w:bookmarkEnd w:id="57"/>
      <w:bookmarkEnd w:id="58"/>
      <w:bookmarkEnd w:id="59"/>
    </w:p>
    <w:p w14:paraId="648A4CDF"/>
    <w:p w14:paraId="28B4033F">
      <w:pPr>
        <w:pStyle w:val="26"/>
        <w:numPr>
          <w:ilvl w:val="0"/>
          <w:numId w:val="1"/>
        </w:numPr>
        <w:spacing w:line="600" w:lineRule="exact"/>
        <w:ind w:firstLineChars="0"/>
        <w:outlineLvl w:val="1"/>
        <w:rPr>
          <w:rStyle w:val="28"/>
          <w:rFonts w:ascii="黑体" w:hAnsi="黑体" w:eastAsia="黑体"/>
          <w:b w:val="0"/>
        </w:rPr>
      </w:pPr>
      <w:bookmarkStart w:id="60" w:name="_Toc7151_WPSOffice_Level2"/>
      <w:bookmarkStart w:id="61" w:name="_Toc15377205"/>
      <w:bookmarkStart w:id="62" w:name="_Toc15396603"/>
      <w:r>
        <w:rPr>
          <w:rFonts w:hint="eastAsia" w:ascii="黑体" w:hAnsi="黑体" w:eastAsia="黑体"/>
          <w:sz w:val="32"/>
          <w:szCs w:val="32"/>
        </w:rPr>
        <w:t>收</w:t>
      </w:r>
      <w:r>
        <w:rPr>
          <w:rStyle w:val="28"/>
          <w:rFonts w:hint="eastAsia" w:ascii="黑体" w:hAnsi="黑体" w:eastAsia="黑体"/>
          <w:b w:val="0"/>
        </w:rPr>
        <w:t>入支出决算总体情况说明</w:t>
      </w:r>
      <w:bookmarkEnd w:id="60"/>
      <w:bookmarkEnd w:id="61"/>
      <w:bookmarkEnd w:id="62"/>
    </w:p>
    <w:p w14:paraId="1CED4182">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2021年度收、支总计578.41万元。与2020年相比，收、支总计增加50.02万元，增长9.46</w:t>
      </w:r>
      <w:r>
        <w:rPr>
          <w:rFonts w:ascii="仿宋" w:hAnsi="仿宋" w:eastAsia="仿宋"/>
          <w:sz w:val="32"/>
          <w:szCs w:val="32"/>
        </w:rPr>
        <w:t>%</w:t>
      </w:r>
      <w:r>
        <w:rPr>
          <w:rFonts w:hint="eastAsia" w:ascii="仿宋" w:hAnsi="仿宋" w:eastAsia="仿宋"/>
          <w:sz w:val="32"/>
          <w:szCs w:val="32"/>
        </w:rPr>
        <w:t>。主要变动原因是教学任务加重各项业务支出增加。</w:t>
      </w:r>
    </w:p>
    <w:p w14:paraId="54F6E5DA">
      <w:pPr>
        <w:pStyle w:val="6"/>
        <w:spacing w:before="93"/>
        <w:rPr>
          <w:sz w:val="32"/>
          <w:szCs w:val="32"/>
        </w:rPr>
      </w:pPr>
      <w:r>
        <w:drawing>
          <wp:inline distT="0" distB="0" distL="114300" distR="114300">
            <wp:extent cx="5271135" cy="3058160"/>
            <wp:effectExtent l="4445" t="4445" r="20320" b="23495"/>
            <wp:docPr id="233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1EDCBCEE">
      <w:pPr>
        <w:pStyle w:val="26"/>
        <w:numPr>
          <w:ilvl w:val="0"/>
          <w:numId w:val="1"/>
        </w:numPr>
        <w:spacing w:line="600" w:lineRule="exact"/>
        <w:ind w:firstLineChars="0"/>
        <w:outlineLvl w:val="1"/>
        <w:rPr>
          <w:rStyle w:val="28"/>
          <w:rFonts w:ascii="黑体" w:hAnsi="黑体" w:eastAsia="黑体"/>
          <w:b w:val="0"/>
        </w:rPr>
      </w:pPr>
      <w:bookmarkStart w:id="63" w:name="_Toc16676_WPSOffice_Level2"/>
      <w:bookmarkStart w:id="64" w:name="_Toc15396604"/>
      <w:bookmarkStart w:id="65" w:name="_Toc15377206"/>
      <w:r>
        <w:rPr>
          <w:rFonts w:hint="eastAsia" w:ascii="黑体" w:hAnsi="黑体" w:eastAsia="黑体"/>
          <w:sz w:val="32"/>
          <w:szCs w:val="32"/>
        </w:rPr>
        <w:t>收</w:t>
      </w:r>
      <w:r>
        <w:rPr>
          <w:rStyle w:val="28"/>
          <w:rFonts w:hint="eastAsia" w:ascii="黑体" w:hAnsi="黑体" w:eastAsia="黑体"/>
          <w:b w:val="0"/>
        </w:rPr>
        <w:t>入决算情况说明</w:t>
      </w:r>
      <w:bookmarkEnd w:id="63"/>
      <w:bookmarkEnd w:id="64"/>
      <w:bookmarkEnd w:id="65"/>
    </w:p>
    <w:p w14:paraId="1548BD0C">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21年本年收入合计570.74万元，其中：一般公共预算财政拨款收入549.56万元，占96.29</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；事业收入21.18万元，占3.71</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p>
    <w:p w14:paraId="22892CE2">
      <w:pPr>
        <w:pStyle w:val="6"/>
        <w:spacing w:before="93"/>
        <w:rPr>
          <w:sz w:val="32"/>
          <w:szCs w:val="32"/>
        </w:rPr>
      </w:pPr>
    </w:p>
    <w:p w14:paraId="038BA46F">
      <w:pPr>
        <w:pStyle w:val="6"/>
        <w:spacing w:before="93"/>
        <w:rPr>
          <w:sz w:val="32"/>
          <w:szCs w:val="32"/>
        </w:rPr>
      </w:pPr>
      <w:r>
        <w:drawing>
          <wp:inline distT="0" distB="0" distL="114300" distR="114300">
            <wp:extent cx="5269865" cy="2668270"/>
            <wp:effectExtent l="4445" t="4445" r="21590" b="13335"/>
            <wp:docPr id="2329"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1F2FF0FF">
      <w:pPr>
        <w:pStyle w:val="26"/>
        <w:numPr>
          <w:ilvl w:val="0"/>
          <w:numId w:val="1"/>
        </w:numPr>
        <w:spacing w:line="600" w:lineRule="exact"/>
        <w:ind w:firstLineChars="0"/>
        <w:outlineLvl w:val="1"/>
        <w:rPr>
          <w:rStyle w:val="28"/>
          <w:rFonts w:ascii="黑体" w:hAnsi="黑体" w:eastAsia="黑体"/>
          <w:b w:val="0"/>
        </w:rPr>
      </w:pPr>
      <w:bookmarkStart w:id="66" w:name="_Toc15377207"/>
      <w:bookmarkStart w:id="67" w:name="_Toc19671_WPSOffice_Level2"/>
      <w:bookmarkStart w:id="68" w:name="_Toc15396605"/>
      <w:r>
        <w:rPr>
          <w:rFonts w:hint="eastAsia" w:ascii="黑体" w:hAnsi="黑体" w:eastAsia="黑体"/>
          <w:sz w:val="32"/>
          <w:szCs w:val="32"/>
        </w:rPr>
        <w:t>支</w:t>
      </w:r>
      <w:r>
        <w:rPr>
          <w:rStyle w:val="28"/>
          <w:rFonts w:hint="eastAsia" w:ascii="黑体" w:hAnsi="黑体" w:eastAsia="黑体"/>
          <w:b w:val="0"/>
        </w:rPr>
        <w:t>出决算情况说明</w:t>
      </w:r>
      <w:bookmarkEnd w:id="66"/>
      <w:bookmarkEnd w:id="67"/>
      <w:bookmarkEnd w:id="68"/>
    </w:p>
    <w:p w14:paraId="0D3D22BC">
      <w:pPr>
        <w:spacing w:line="600" w:lineRule="exact"/>
        <w:ind w:firstLine="640" w:firstLineChars="200"/>
        <w:outlineLvl w:val="1"/>
        <w:rPr>
          <w:rFonts w:ascii="仿宋_GB2312" w:eastAsia="仿宋_GB2312"/>
          <w:sz w:val="32"/>
          <w:szCs w:val="32"/>
        </w:rPr>
      </w:pPr>
      <w:r>
        <w:rPr>
          <w:rFonts w:ascii="仿宋" w:hAnsi="仿宋" w:eastAsia="仿宋"/>
          <w:sz w:val="32"/>
          <w:szCs w:val="32"/>
        </w:rPr>
        <w:t>20</w:t>
      </w:r>
      <w:r>
        <w:rPr>
          <w:rFonts w:hint="eastAsia" w:ascii="仿宋" w:hAnsi="仿宋" w:eastAsia="仿宋"/>
          <w:sz w:val="32"/>
          <w:szCs w:val="32"/>
        </w:rPr>
        <w:t>21年本年支出合计578.41万元，其中：基本支出514.82万元，占89.01</w:t>
      </w:r>
      <w:r>
        <w:rPr>
          <w:rFonts w:ascii="仿宋" w:hAnsi="仿宋" w:eastAsia="仿宋"/>
          <w:sz w:val="32"/>
          <w:szCs w:val="32"/>
        </w:rPr>
        <w:t>%</w:t>
      </w:r>
      <w:r>
        <w:rPr>
          <w:rFonts w:hint="eastAsia" w:ascii="仿宋" w:hAnsi="仿宋" w:eastAsia="仿宋"/>
          <w:sz w:val="32"/>
          <w:szCs w:val="32"/>
        </w:rPr>
        <w:t>；项目支出63.59万元，占10.99</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p>
    <w:p w14:paraId="7D6A2D55">
      <w:pPr>
        <w:pStyle w:val="6"/>
        <w:spacing w:before="93"/>
        <w:rPr>
          <w:sz w:val="32"/>
          <w:szCs w:val="32"/>
        </w:rPr>
      </w:pPr>
      <w:r>
        <w:drawing>
          <wp:inline distT="0" distB="0" distL="114300" distR="114300">
            <wp:extent cx="5272405" cy="2654300"/>
            <wp:effectExtent l="4445" t="4445" r="19050" b="8255"/>
            <wp:docPr id="233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D5A0811">
      <w:pPr>
        <w:spacing w:line="600" w:lineRule="exact"/>
        <w:ind w:firstLine="640" w:firstLineChars="200"/>
        <w:outlineLvl w:val="1"/>
        <w:rPr>
          <w:rStyle w:val="28"/>
          <w:rFonts w:ascii="黑体" w:hAnsi="黑体" w:eastAsia="黑体"/>
          <w:b w:val="0"/>
        </w:rPr>
      </w:pPr>
      <w:bookmarkStart w:id="69" w:name="_Toc15396606"/>
      <w:bookmarkStart w:id="70" w:name="_Toc15377208"/>
      <w:bookmarkStart w:id="71" w:name="_Toc8632_WPSOffice_Level2"/>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69"/>
      <w:bookmarkEnd w:id="70"/>
      <w:bookmarkEnd w:id="71"/>
    </w:p>
    <w:p w14:paraId="31F46D7C">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21年财政拨款收、支总计557.23万元。与</w:t>
      </w:r>
      <w:r>
        <w:rPr>
          <w:rFonts w:ascii="仿宋" w:hAnsi="仿宋" w:eastAsia="仿宋"/>
          <w:sz w:val="32"/>
          <w:szCs w:val="32"/>
        </w:rPr>
        <w:t>20</w:t>
      </w:r>
      <w:r>
        <w:rPr>
          <w:rFonts w:hint="eastAsia" w:ascii="仿宋" w:hAnsi="仿宋" w:eastAsia="仿宋"/>
          <w:sz w:val="32"/>
          <w:szCs w:val="32"/>
        </w:rPr>
        <w:t>20年相比，财政拨款收、支总计增加84.5万元，增长17.87</w:t>
      </w:r>
      <w:r>
        <w:rPr>
          <w:rFonts w:ascii="仿宋" w:hAnsi="仿宋" w:eastAsia="仿宋"/>
          <w:sz w:val="32"/>
          <w:szCs w:val="32"/>
        </w:rPr>
        <w:t>%</w:t>
      </w:r>
      <w:r>
        <w:rPr>
          <w:rFonts w:hint="eastAsia" w:ascii="仿宋" w:hAnsi="仿宋" w:eastAsia="仿宋"/>
          <w:sz w:val="32"/>
          <w:szCs w:val="32"/>
        </w:rPr>
        <w:t>。主要变动原因是教学任务加重各项业务支出增加。</w:t>
      </w:r>
    </w:p>
    <w:p w14:paraId="09190AE3">
      <w:pPr>
        <w:pStyle w:val="6"/>
        <w:spacing w:before="93"/>
        <w:rPr>
          <w:rFonts w:ascii="仿宋" w:hAnsi="仿宋" w:eastAsia="仿宋"/>
          <w:sz w:val="32"/>
          <w:szCs w:val="32"/>
        </w:rPr>
      </w:pPr>
      <w:r>
        <w:drawing>
          <wp:inline distT="0" distB="0" distL="114300" distR="114300">
            <wp:extent cx="5269230" cy="2743835"/>
            <wp:effectExtent l="4445" t="4445" r="22225" b="13970"/>
            <wp:docPr id="2335"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0C35BF7">
      <w:pPr>
        <w:spacing w:line="600" w:lineRule="exact"/>
        <w:ind w:firstLine="640" w:firstLineChars="200"/>
        <w:outlineLvl w:val="1"/>
        <w:rPr>
          <w:rStyle w:val="28"/>
          <w:rFonts w:ascii="黑体" w:hAnsi="黑体" w:eastAsia="黑体"/>
          <w:b w:val="0"/>
        </w:rPr>
      </w:pPr>
      <w:bookmarkStart w:id="72" w:name="_Toc15377209"/>
      <w:bookmarkStart w:id="73" w:name="_Toc15396607"/>
      <w:bookmarkStart w:id="74" w:name="_Toc15701_WPSOffice_Level2"/>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72"/>
      <w:bookmarkEnd w:id="73"/>
      <w:bookmarkEnd w:id="74"/>
    </w:p>
    <w:p w14:paraId="01ABE0BC">
      <w:pPr>
        <w:spacing w:line="600" w:lineRule="exact"/>
        <w:ind w:firstLine="643" w:firstLineChars="200"/>
        <w:outlineLvl w:val="2"/>
        <w:rPr>
          <w:rFonts w:ascii="仿宋" w:hAnsi="仿宋" w:eastAsia="仿宋"/>
          <w:b/>
          <w:sz w:val="32"/>
          <w:szCs w:val="32"/>
        </w:rPr>
      </w:pPr>
      <w:bookmarkStart w:id="75" w:name="_Toc15377210"/>
      <w:r>
        <w:rPr>
          <w:rFonts w:hint="eastAsia" w:ascii="仿宋" w:hAnsi="仿宋" w:eastAsia="仿宋"/>
          <w:b/>
          <w:sz w:val="32"/>
          <w:szCs w:val="32"/>
        </w:rPr>
        <w:t>（一）一般公共预算财政拨款支出决算总体情况</w:t>
      </w:r>
      <w:bookmarkEnd w:id="75"/>
    </w:p>
    <w:p w14:paraId="39D94325">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21年一般公共预算财政拨款支出557.23万元，占本年支出合计的96.34</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20年相比，一般公共预算财政拨款支出增加增加84.5万元，增长17.87</w:t>
      </w:r>
      <w:r>
        <w:rPr>
          <w:rFonts w:ascii="仿宋" w:hAnsi="仿宋" w:eastAsia="仿宋"/>
          <w:sz w:val="32"/>
          <w:szCs w:val="32"/>
        </w:rPr>
        <w:t>%</w:t>
      </w:r>
      <w:r>
        <w:rPr>
          <w:rFonts w:hint="eastAsia" w:ascii="仿宋" w:hAnsi="仿宋" w:eastAsia="仿宋"/>
          <w:sz w:val="32"/>
          <w:szCs w:val="32"/>
        </w:rPr>
        <w:t>。主要变动原因是教学任务加重各项业务支出增加。</w:t>
      </w:r>
    </w:p>
    <w:p w14:paraId="5EF1BAC8">
      <w:pPr>
        <w:pStyle w:val="6"/>
        <w:spacing w:before="93"/>
        <w:rPr>
          <w:rFonts w:ascii="仿宋" w:hAnsi="仿宋" w:eastAsia="仿宋"/>
          <w:sz w:val="32"/>
          <w:szCs w:val="32"/>
        </w:rPr>
      </w:pPr>
      <w:r>
        <w:drawing>
          <wp:inline distT="0" distB="0" distL="114300" distR="114300">
            <wp:extent cx="5271135" cy="2699385"/>
            <wp:effectExtent l="4445" t="4445" r="20320" b="20320"/>
            <wp:docPr id="2332"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A97816A">
      <w:pPr>
        <w:pStyle w:val="6"/>
        <w:spacing w:before="93"/>
        <w:rPr>
          <w:rFonts w:ascii="仿宋" w:hAnsi="仿宋" w:eastAsia="仿宋"/>
          <w:sz w:val="32"/>
          <w:szCs w:val="32"/>
        </w:rPr>
      </w:pPr>
    </w:p>
    <w:p w14:paraId="214CBBE4">
      <w:pPr>
        <w:spacing w:line="600" w:lineRule="exact"/>
        <w:ind w:firstLine="643" w:firstLineChars="200"/>
        <w:outlineLvl w:val="2"/>
        <w:rPr>
          <w:rFonts w:ascii="仿宋" w:hAnsi="仿宋" w:eastAsia="仿宋"/>
          <w:b/>
          <w:sz w:val="32"/>
          <w:szCs w:val="32"/>
        </w:rPr>
      </w:pPr>
      <w:bookmarkStart w:id="76" w:name="_Toc15377211"/>
      <w:r>
        <w:rPr>
          <w:rFonts w:hint="eastAsia" w:ascii="仿宋" w:hAnsi="仿宋" w:eastAsia="仿宋"/>
          <w:b/>
          <w:sz w:val="32"/>
          <w:szCs w:val="32"/>
        </w:rPr>
        <w:t>（二）一般公共预算财政拨款支出决算结构情况</w:t>
      </w:r>
      <w:bookmarkEnd w:id="76"/>
    </w:p>
    <w:p w14:paraId="17D0E163">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21年一般公共预算财政拨款支出557.23万元，主要用于以下方面</w:t>
      </w:r>
      <w:r>
        <w:rPr>
          <w:rFonts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sz w:val="32"/>
          <w:szCs w:val="32"/>
        </w:rPr>
        <w:t>467.46万元，占83.88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支出48.69万元，占8.74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住房保障支出（类）</w:t>
      </w:r>
      <w:r>
        <w:rPr>
          <w:rFonts w:hint="eastAsia" w:ascii="仿宋" w:hAnsi="仿宋" w:eastAsia="仿宋"/>
          <w:sz w:val="32"/>
          <w:szCs w:val="32"/>
        </w:rPr>
        <w:t>41.08万元，占7.38</w:t>
      </w:r>
      <w:r>
        <w:rPr>
          <w:rFonts w:ascii="仿宋" w:hAnsi="仿宋" w:eastAsia="仿宋"/>
          <w:sz w:val="32"/>
          <w:szCs w:val="32"/>
        </w:rPr>
        <w:t>%</w:t>
      </w:r>
      <w:r>
        <w:rPr>
          <w:rFonts w:hint="eastAsia" w:ascii="仿宋" w:hAnsi="仿宋" w:eastAsia="仿宋"/>
          <w:sz w:val="32"/>
          <w:szCs w:val="32"/>
        </w:rPr>
        <w:t>。</w:t>
      </w:r>
    </w:p>
    <w:p w14:paraId="43635859">
      <w:pPr>
        <w:pStyle w:val="6"/>
        <w:spacing w:before="93"/>
        <w:rPr>
          <w:rFonts w:ascii="仿宋" w:hAnsi="仿宋" w:eastAsia="仿宋"/>
          <w:sz w:val="32"/>
          <w:szCs w:val="32"/>
        </w:rPr>
      </w:pPr>
      <w:r>
        <w:drawing>
          <wp:inline distT="0" distB="0" distL="114300" distR="114300">
            <wp:extent cx="5268595" cy="2823210"/>
            <wp:effectExtent l="4445" t="4445" r="22860" b="10795"/>
            <wp:docPr id="2333"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5412FD0">
      <w:pPr>
        <w:spacing w:line="600" w:lineRule="exact"/>
        <w:ind w:firstLine="643" w:firstLineChars="200"/>
        <w:outlineLvl w:val="2"/>
        <w:rPr>
          <w:rFonts w:ascii="仿宋" w:hAnsi="仿宋" w:eastAsia="仿宋"/>
          <w:b/>
          <w:sz w:val="32"/>
          <w:szCs w:val="32"/>
        </w:rPr>
      </w:pPr>
      <w:bookmarkStart w:id="77" w:name="_Toc15377212"/>
      <w:r>
        <w:rPr>
          <w:rFonts w:hint="eastAsia" w:ascii="仿宋" w:hAnsi="仿宋" w:eastAsia="仿宋"/>
          <w:b/>
          <w:sz w:val="32"/>
          <w:szCs w:val="32"/>
        </w:rPr>
        <w:t>（三）一般公共预算财政拨款支出决算具体情况</w:t>
      </w:r>
      <w:bookmarkEnd w:id="77"/>
    </w:p>
    <w:p w14:paraId="40D42477">
      <w:pPr>
        <w:spacing w:line="600" w:lineRule="exact"/>
        <w:ind w:firstLine="643" w:firstLineChars="200"/>
        <w:outlineLvl w:val="2"/>
        <w:rPr>
          <w:rFonts w:ascii="仿宋" w:hAnsi="仿宋" w:eastAsia="仿宋"/>
          <w:sz w:val="32"/>
          <w:szCs w:val="32"/>
        </w:rPr>
      </w:pPr>
      <w:bookmarkStart w:id="78" w:name="_Toc15378460"/>
      <w:bookmarkStart w:id="79" w:name="_Toc15377213"/>
      <w:bookmarkStart w:id="80" w:name="_Toc15377444"/>
      <w:r>
        <w:rPr>
          <w:rFonts w:hint="eastAsia" w:ascii="仿宋" w:hAnsi="仿宋" w:eastAsia="仿宋"/>
          <w:b/>
          <w:sz w:val="32"/>
          <w:szCs w:val="32"/>
        </w:rPr>
        <w:t>2021年一般公共预算支出决算数为557.23万元</w:t>
      </w:r>
      <w:r>
        <w:rPr>
          <w:rFonts w:hint="eastAsia" w:ascii="仿宋" w:hAnsi="仿宋" w:eastAsia="仿宋"/>
          <w:sz w:val="32"/>
          <w:szCs w:val="32"/>
        </w:rPr>
        <w:t>，</w:t>
      </w:r>
      <w:r>
        <w:rPr>
          <w:rStyle w:val="17"/>
          <w:rFonts w:hint="eastAsia" w:ascii="仿宋" w:hAnsi="仿宋" w:eastAsia="仿宋"/>
          <w:bCs/>
          <w:sz w:val="32"/>
          <w:szCs w:val="32"/>
        </w:rPr>
        <w:t>完成预算100</w:t>
      </w:r>
      <w:r>
        <w:rPr>
          <w:rStyle w:val="17"/>
          <w:rFonts w:ascii="仿宋" w:hAnsi="仿宋" w:eastAsia="仿宋"/>
          <w:bCs/>
          <w:sz w:val="32"/>
          <w:szCs w:val="32"/>
        </w:rPr>
        <w:t>%</w:t>
      </w:r>
      <w:r>
        <w:rPr>
          <w:rStyle w:val="17"/>
          <w:rFonts w:hint="eastAsia" w:ascii="仿宋" w:hAnsi="仿宋" w:eastAsia="仿宋"/>
          <w:bCs/>
          <w:sz w:val="32"/>
          <w:szCs w:val="32"/>
        </w:rPr>
        <w:t>。其中：</w:t>
      </w:r>
      <w:bookmarkEnd w:id="78"/>
      <w:bookmarkEnd w:id="79"/>
      <w:bookmarkEnd w:id="80"/>
    </w:p>
    <w:p w14:paraId="2587C445">
      <w:pPr>
        <w:spacing w:line="600" w:lineRule="exact"/>
        <w:ind w:firstLine="643" w:firstLineChars="200"/>
      </w:pPr>
      <w:r>
        <w:rPr>
          <w:rStyle w:val="17"/>
          <w:rFonts w:hint="eastAsia" w:ascii="仿宋" w:hAnsi="仿宋" w:eastAsia="仿宋"/>
          <w:bCs/>
          <w:sz w:val="32"/>
          <w:szCs w:val="32"/>
        </w:rPr>
        <w:t>1</w:t>
      </w:r>
      <w:r>
        <w:rPr>
          <w:rStyle w:val="17"/>
          <w:rFonts w:ascii="仿宋" w:hAnsi="仿宋" w:eastAsia="仿宋"/>
          <w:bCs/>
          <w:sz w:val="32"/>
          <w:szCs w:val="32"/>
        </w:rPr>
        <w:t>.</w:t>
      </w:r>
      <w:r>
        <w:rPr>
          <w:rStyle w:val="17"/>
          <w:rFonts w:hint="eastAsia" w:ascii="仿宋" w:hAnsi="仿宋" w:eastAsia="仿宋"/>
          <w:bCs/>
          <w:sz w:val="32"/>
          <w:szCs w:val="32"/>
        </w:rPr>
        <w:t>教育（类）普通教育（款）学期教育（项）</w:t>
      </w:r>
      <w:r>
        <w:rPr>
          <w:rStyle w:val="17"/>
          <w:rFonts w:ascii="仿宋" w:hAnsi="仿宋" w:eastAsia="仿宋"/>
          <w:bCs/>
          <w:sz w:val="32"/>
          <w:szCs w:val="32"/>
        </w:rPr>
        <w:t>:</w:t>
      </w:r>
      <w:r>
        <w:rPr>
          <w:rStyle w:val="17"/>
          <w:rFonts w:hint="eastAsia" w:ascii="仿宋" w:hAnsi="仿宋" w:eastAsia="仿宋"/>
          <w:b w:val="0"/>
          <w:bCs/>
          <w:sz w:val="32"/>
          <w:szCs w:val="32"/>
        </w:rPr>
        <w:t>支出决算为444.05万元，完成预算100</w:t>
      </w:r>
      <w:r>
        <w:rPr>
          <w:rStyle w:val="17"/>
          <w:rFonts w:ascii="仿宋" w:hAnsi="仿宋" w:eastAsia="仿宋"/>
          <w:b w:val="0"/>
          <w:bCs/>
          <w:sz w:val="32"/>
          <w:szCs w:val="32"/>
        </w:rPr>
        <w:t>%</w:t>
      </w:r>
      <w:r>
        <w:rPr>
          <w:rStyle w:val="17"/>
          <w:rFonts w:hint="eastAsia" w:ascii="仿宋" w:hAnsi="仿宋" w:eastAsia="仿宋"/>
          <w:b w:val="0"/>
          <w:bCs/>
          <w:sz w:val="32"/>
          <w:szCs w:val="32"/>
        </w:rPr>
        <w:t>，决算数小于等于预算数。</w:t>
      </w:r>
    </w:p>
    <w:p w14:paraId="64815924">
      <w:pPr>
        <w:spacing w:line="600" w:lineRule="exact"/>
        <w:ind w:firstLine="643" w:firstLineChars="200"/>
        <w:rPr>
          <w:rStyle w:val="17"/>
          <w:rFonts w:ascii="仿宋" w:hAnsi="仿宋" w:eastAsia="仿宋"/>
          <w:b w:val="0"/>
          <w:bCs/>
          <w:sz w:val="32"/>
          <w:szCs w:val="32"/>
        </w:rPr>
      </w:pPr>
      <w:r>
        <w:rPr>
          <w:rStyle w:val="17"/>
          <w:rFonts w:hint="eastAsia" w:ascii="仿宋" w:hAnsi="仿宋" w:eastAsia="仿宋"/>
          <w:bCs/>
          <w:sz w:val="32"/>
          <w:szCs w:val="32"/>
        </w:rPr>
        <w:t>2</w:t>
      </w:r>
      <w:r>
        <w:rPr>
          <w:rStyle w:val="17"/>
          <w:rFonts w:ascii="仿宋" w:hAnsi="仿宋" w:eastAsia="仿宋"/>
          <w:bCs/>
          <w:sz w:val="32"/>
          <w:szCs w:val="32"/>
        </w:rPr>
        <w:t>.</w:t>
      </w:r>
      <w:r>
        <w:rPr>
          <w:rStyle w:val="17"/>
          <w:rFonts w:hint="eastAsia" w:ascii="仿宋" w:hAnsi="仿宋" w:eastAsia="仿宋"/>
          <w:bCs/>
          <w:sz w:val="32"/>
          <w:szCs w:val="32"/>
        </w:rPr>
        <w:t>教育（类）教育费附加安排的支出（款）其他教育费附加安排的支出（项）</w:t>
      </w:r>
      <w:r>
        <w:rPr>
          <w:rStyle w:val="17"/>
          <w:rFonts w:ascii="仿宋" w:hAnsi="仿宋" w:eastAsia="仿宋"/>
          <w:bCs/>
          <w:sz w:val="32"/>
          <w:szCs w:val="32"/>
        </w:rPr>
        <w:t>:</w:t>
      </w:r>
      <w:r>
        <w:rPr>
          <w:rStyle w:val="17"/>
          <w:rFonts w:hint="eastAsia" w:ascii="仿宋" w:hAnsi="仿宋" w:eastAsia="仿宋"/>
          <w:b w:val="0"/>
          <w:bCs/>
          <w:sz w:val="32"/>
          <w:szCs w:val="32"/>
        </w:rPr>
        <w:t>支出决算为23.41万元，完成预算100</w:t>
      </w:r>
      <w:r>
        <w:rPr>
          <w:rStyle w:val="17"/>
          <w:rFonts w:ascii="仿宋" w:hAnsi="仿宋" w:eastAsia="仿宋"/>
          <w:b w:val="0"/>
          <w:bCs/>
          <w:sz w:val="32"/>
          <w:szCs w:val="32"/>
        </w:rPr>
        <w:t>%</w:t>
      </w:r>
      <w:r>
        <w:rPr>
          <w:rStyle w:val="17"/>
          <w:rFonts w:hint="eastAsia" w:ascii="仿宋" w:hAnsi="仿宋" w:eastAsia="仿宋"/>
          <w:b w:val="0"/>
          <w:bCs/>
          <w:sz w:val="32"/>
          <w:szCs w:val="32"/>
        </w:rPr>
        <w:t>，决算数小于等于预算数</w:t>
      </w:r>
    </w:p>
    <w:p w14:paraId="51459E42">
      <w:pPr>
        <w:spacing w:line="600" w:lineRule="exact"/>
        <w:ind w:firstLine="643" w:firstLineChars="200"/>
        <w:rPr>
          <w:rStyle w:val="17"/>
          <w:rFonts w:ascii="仿宋" w:hAnsi="仿宋" w:eastAsia="仿宋"/>
          <w:bCs/>
          <w:sz w:val="32"/>
          <w:szCs w:val="32"/>
        </w:rPr>
      </w:pPr>
      <w:r>
        <w:rPr>
          <w:rStyle w:val="17"/>
          <w:rFonts w:hint="eastAsia" w:ascii="仿宋" w:hAnsi="仿宋" w:eastAsia="仿宋"/>
          <w:bCs/>
          <w:sz w:val="32"/>
          <w:szCs w:val="32"/>
        </w:rPr>
        <w:t>3</w:t>
      </w:r>
      <w:r>
        <w:rPr>
          <w:rStyle w:val="17"/>
          <w:rFonts w:ascii="仿宋" w:hAnsi="仿宋" w:eastAsia="仿宋"/>
          <w:bCs/>
          <w:sz w:val="32"/>
          <w:szCs w:val="32"/>
        </w:rPr>
        <w:t>.</w:t>
      </w:r>
      <w:r>
        <w:rPr>
          <w:rStyle w:val="17"/>
          <w:rFonts w:hint="eastAsia" w:ascii="仿宋" w:hAnsi="仿宋" w:eastAsia="仿宋"/>
          <w:bCs/>
          <w:sz w:val="32"/>
          <w:szCs w:val="32"/>
        </w:rPr>
        <w:t>社会保障和就业（类）行政事业单位养老支出（款）</w:t>
      </w:r>
      <w:r>
        <w:rPr>
          <w:rStyle w:val="17"/>
          <w:rFonts w:ascii="仿宋" w:hAnsi="仿宋" w:eastAsia="仿宋"/>
          <w:bCs/>
          <w:sz w:val="32"/>
          <w:szCs w:val="32"/>
        </w:rPr>
        <w:t>:</w:t>
      </w:r>
    </w:p>
    <w:p w14:paraId="76D51E31">
      <w:pPr>
        <w:spacing w:line="600" w:lineRule="exact"/>
        <w:ind w:firstLine="640" w:firstLineChars="200"/>
        <w:rPr>
          <w:rStyle w:val="17"/>
          <w:rFonts w:ascii="仿宋" w:hAnsi="仿宋" w:eastAsia="仿宋"/>
          <w:b w:val="0"/>
          <w:bCs/>
          <w:sz w:val="32"/>
          <w:szCs w:val="32"/>
        </w:rPr>
      </w:pPr>
      <w:r>
        <w:rPr>
          <w:rStyle w:val="17"/>
          <w:rFonts w:ascii="仿宋" w:hAnsi="仿宋" w:eastAsia="仿宋"/>
          <w:b w:val="0"/>
          <w:sz w:val="32"/>
          <w:szCs w:val="32"/>
        </w:rPr>
        <w:sym w:font="Wingdings" w:char="F081"/>
      </w:r>
      <w:r>
        <w:rPr>
          <w:rStyle w:val="17"/>
          <w:rFonts w:hint="eastAsia" w:ascii="仿宋" w:hAnsi="仿宋" w:eastAsia="仿宋"/>
          <w:b w:val="0"/>
          <w:sz w:val="32"/>
          <w:szCs w:val="32"/>
        </w:rPr>
        <w:t>机关事业单位基本养老保险缴费支出：</w:t>
      </w:r>
      <w:r>
        <w:rPr>
          <w:rStyle w:val="17"/>
          <w:rFonts w:hint="eastAsia" w:ascii="仿宋" w:hAnsi="仿宋" w:eastAsia="仿宋"/>
          <w:b w:val="0"/>
          <w:bCs/>
          <w:sz w:val="32"/>
          <w:szCs w:val="32"/>
        </w:rPr>
        <w:t>支出决算为42.27万元，完成预算100</w:t>
      </w:r>
      <w:r>
        <w:rPr>
          <w:rStyle w:val="17"/>
          <w:rFonts w:ascii="仿宋" w:hAnsi="仿宋" w:eastAsia="仿宋"/>
          <w:b w:val="0"/>
          <w:bCs/>
          <w:sz w:val="32"/>
          <w:szCs w:val="32"/>
        </w:rPr>
        <w:t>%</w:t>
      </w:r>
      <w:r>
        <w:rPr>
          <w:rStyle w:val="17"/>
          <w:rFonts w:hint="eastAsia" w:ascii="仿宋" w:hAnsi="仿宋" w:eastAsia="仿宋"/>
          <w:b w:val="0"/>
          <w:bCs/>
          <w:sz w:val="32"/>
          <w:szCs w:val="32"/>
        </w:rPr>
        <w:t>，决算数等于预算数。</w:t>
      </w:r>
    </w:p>
    <w:p w14:paraId="68F4444B">
      <w:pPr>
        <w:spacing w:line="600" w:lineRule="exact"/>
        <w:ind w:firstLine="640" w:firstLineChars="200"/>
      </w:pPr>
      <w:r>
        <w:rPr>
          <w:sz w:val="32"/>
          <w:szCs w:val="32"/>
        </w:rPr>
        <w:sym w:font="Wingdings" w:char="F082"/>
      </w:r>
      <w:r>
        <w:rPr>
          <w:rStyle w:val="17"/>
          <w:rFonts w:hint="eastAsia" w:ascii="仿宋" w:hAnsi="仿宋" w:eastAsia="仿宋"/>
          <w:b w:val="0"/>
          <w:sz w:val="32"/>
          <w:szCs w:val="32"/>
        </w:rPr>
        <w:t>机关事业单位职业年金缴费支出：</w:t>
      </w:r>
      <w:r>
        <w:rPr>
          <w:rStyle w:val="17"/>
          <w:rFonts w:hint="eastAsia" w:ascii="仿宋" w:hAnsi="仿宋" w:eastAsia="仿宋"/>
          <w:b w:val="0"/>
          <w:bCs/>
          <w:sz w:val="32"/>
          <w:szCs w:val="32"/>
        </w:rPr>
        <w:t>支出决算为6.42万元，完成预算100</w:t>
      </w:r>
      <w:r>
        <w:rPr>
          <w:rStyle w:val="17"/>
          <w:rFonts w:ascii="仿宋" w:hAnsi="仿宋" w:eastAsia="仿宋"/>
          <w:b w:val="0"/>
          <w:bCs/>
          <w:sz w:val="32"/>
          <w:szCs w:val="32"/>
        </w:rPr>
        <w:t>%</w:t>
      </w:r>
      <w:r>
        <w:rPr>
          <w:rStyle w:val="17"/>
          <w:rFonts w:hint="eastAsia" w:ascii="仿宋" w:hAnsi="仿宋" w:eastAsia="仿宋"/>
          <w:b w:val="0"/>
          <w:bCs/>
          <w:sz w:val="32"/>
          <w:szCs w:val="32"/>
        </w:rPr>
        <w:t>，决算数等于预算数。</w:t>
      </w:r>
    </w:p>
    <w:p w14:paraId="7DECF33E">
      <w:pPr>
        <w:spacing w:line="600" w:lineRule="exact"/>
        <w:ind w:firstLine="643" w:firstLineChars="200"/>
        <w:rPr>
          <w:rFonts w:ascii="仿宋" w:hAnsi="仿宋" w:eastAsia="仿宋"/>
          <w:b/>
          <w:sz w:val="32"/>
          <w:szCs w:val="32"/>
        </w:rPr>
      </w:pPr>
      <w:r>
        <w:rPr>
          <w:rStyle w:val="17"/>
          <w:rFonts w:hint="eastAsia" w:ascii="仿宋" w:hAnsi="仿宋" w:eastAsia="仿宋"/>
          <w:bCs/>
          <w:sz w:val="32"/>
          <w:szCs w:val="32"/>
        </w:rPr>
        <w:t>4</w:t>
      </w:r>
      <w:r>
        <w:rPr>
          <w:rStyle w:val="17"/>
          <w:rFonts w:ascii="仿宋" w:hAnsi="仿宋" w:eastAsia="仿宋"/>
          <w:bCs/>
          <w:sz w:val="32"/>
          <w:szCs w:val="32"/>
        </w:rPr>
        <w:t>.</w:t>
      </w:r>
      <w:r>
        <w:rPr>
          <w:rFonts w:hint="eastAsia" w:ascii="仿宋" w:hAnsi="仿宋" w:eastAsia="仿宋"/>
          <w:b/>
          <w:bCs/>
          <w:sz w:val="32"/>
          <w:szCs w:val="32"/>
        </w:rPr>
        <w:t>住房保障支出</w:t>
      </w:r>
      <w:r>
        <w:rPr>
          <w:rStyle w:val="17"/>
          <w:rFonts w:hint="eastAsia" w:ascii="仿宋" w:hAnsi="仿宋" w:eastAsia="仿宋"/>
          <w:bCs/>
          <w:sz w:val="32"/>
          <w:szCs w:val="32"/>
        </w:rPr>
        <w:t>（类）住房改革支出（款）</w:t>
      </w:r>
      <w:r>
        <w:rPr>
          <w:rStyle w:val="17"/>
          <w:rFonts w:ascii="仿宋" w:hAnsi="仿宋" w:eastAsia="仿宋"/>
          <w:bCs/>
          <w:sz w:val="32"/>
          <w:szCs w:val="32"/>
        </w:rPr>
        <w:t>:</w:t>
      </w:r>
    </w:p>
    <w:p w14:paraId="063C9759">
      <w:pPr>
        <w:spacing w:line="600" w:lineRule="exact"/>
        <w:ind w:firstLine="640" w:firstLineChars="200"/>
        <w:rPr>
          <w:rStyle w:val="17"/>
          <w:rFonts w:ascii="仿宋" w:hAnsi="仿宋" w:eastAsia="仿宋"/>
          <w:b w:val="0"/>
          <w:bCs/>
          <w:sz w:val="32"/>
          <w:szCs w:val="32"/>
        </w:rPr>
      </w:pPr>
      <w:r>
        <w:rPr>
          <w:rStyle w:val="17"/>
          <w:rFonts w:ascii="仿宋" w:hAnsi="仿宋" w:eastAsia="仿宋"/>
          <w:b w:val="0"/>
          <w:sz w:val="32"/>
          <w:szCs w:val="32"/>
        </w:rPr>
        <w:sym w:font="Wingdings" w:char="F081"/>
      </w:r>
      <w:r>
        <w:rPr>
          <w:rStyle w:val="17"/>
          <w:rFonts w:hint="eastAsia" w:ascii="仿宋" w:hAnsi="仿宋" w:eastAsia="仿宋"/>
          <w:b w:val="0"/>
          <w:sz w:val="32"/>
          <w:szCs w:val="32"/>
        </w:rPr>
        <w:t>住房公积金：</w:t>
      </w:r>
      <w:r>
        <w:rPr>
          <w:rStyle w:val="17"/>
          <w:rFonts w:hint="eastAsia" w:ascii="仿宋" w:hAnsi="仿宋" w:eastAsia="仿宋"/>
          <w:b w:val="0"/>
          <w:bCs/>
          <w:sz w:val="32"/>
          <w:szCs w:val="32"/>
        </w:rPr>
        <w:t>支出决算为39.51万元，完成预算100</w:t>
      </w:r>
      <w:r>
        <w:rPr>
          <w:rStyle w:val="17"/>
          <w:rFonts w:ascii="仿宋" w:hAnsi="仿宋" w:eastAsia="仿宋"/>
          <w:b w:val="0"/>
          <w:bCs/>
          <w:sz w:val="32"/>
          <w:szCs w:val="32"/>
        </w:rPr>
        <w:t>%</w:t>
      </w:r>
      <w:r>
        <w:rPr>
          <w:rStyle w:val="17"/>
          <w:rFonts w:hint="eastAsia" w:ascii="仿宋" w:hAnsi="仿宋" w:eastAsia="仿宋"/>
          <w:b w:val="0"/>
          <w:bCs/>
          <w:sz w:val="32"/>
          <w:szCs w:val="32"/>
        </w:rPr>
        <w:t>，决算数等于预算数。</w:t>
      </w:r>
    </w:p>
    <w:p w14:paraId="5D86F4B1">
      <w:pPr>
        <w:spacing w:line="600" w:lineRule="exact"/>
        <w:ind w:firstLine="640" w:firstLineChars="200"/>
        <w:rPr>
          <w:rFonts w:ascii="仿宋" w:hAnsi="仿宋" w:eastAsia="仿宋"/>
          <w:b/>
          <w:sz w:val="32"/>
          <w:szCs w:val="32"/>
        </w:rPr>
      </w:pPr>
      <w:r>
        <w:rPr>
          <w:sz w:val="32"/>
          <w:szCs w:val="32"/>
        </w:rPr>
        <w:sym w:font="Wingdings" w:char="F082"/>
      </w:r>
      <w:r>
        <w:rPr>
          <w:rStyle w:val="17"/>
          <w:rFonts w:hint="eastAsia" w:ascii="仿宋" w:hAnsi="仿宋" w:eastAsia="仿宋"/>
          <w:b w:val="0"/>
          <w:sz w:val="32"/>
          <w:szCs w:val="32"/>
        </w:rPr>
        <w:t>购房补贴：</w:t>
      </w:r>
      <w:r>
        <w:rPr>
          <w:rStyle w:val="17"/>
          <w:rFonts w:hint="eastAsia" w:ascii="仿宋" w:hAnsi="仿宋" w:eastAsia="仿宋"/>
          <w:b w:val="0"/>
          <w:bCs/>
          <w:sz w:val="32"/>
          <w:szCs w:val="32"/>
        </w:rPr>
        <w:t>支出决算为1.57万元，完成预算100</w:t>
      </w:r>
      <w:r>
        <w:rPr>
          <w:rStyle w:val="17"/>
          <w:rFonts w:ascii="仿宋" w:hAnsi="仿宋" w:eastAsia="仿宋"/>
          <w:b w:val="0"/>
          <w:bCs/>
          <w:sz w:val="32"/>
          <w:szCs w:val="32"/>
        </w:rPr>
        <w:t>%</w:t>
      </w:r>
      <w:r>
        <w:rPr>
          <w:rStyle w:val="17"/>
          <w:rFonts w:hint="eastAsia" w:ascii="仿宋" w:hAnsi="仿宋" w:eastAsia="仿宋"/>
          <w:b w:val="0"/>
          <w:bCs/>
          <w:sz w:val="32"/>
          <w:szCs w:val="32"/>
        </w:rPr>
        <w:t>，决算数等于预算数。</w:t>
      </w:r>
    </w:p>
    <w:p w14:paraId="1D660F75">
      <w:pPr>
        <w:tabs>
          <w:tab w:val="right" w:pos="8306"/>
        </w:tabs>
        <w:spacing w:line="600" w:lineRule="exact"/>
        <w:ind w:firstLine="640"/>
        <w:outlineLvl w:val="1"/>
        <w:rPr>
          <w:rStyle w:val="28"/>
        </w:rPr>
      </w:pPr>
      <w:bookmarkStart w:id="81" w:name="_Toc15377214"/>
      <w:bookmarkStart w:id="82" w:name="_Toc15396608"/>
      <w:bookmarkStart w:id="83" w:name="_Toc21808_WPSOffice_Level2"/>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81"/>
      <w:bookmarkEnd w:id="82"/>
      <w:bookmarkEnd w:id="83"/>
      <w:r>
        <w:rPr>
          <w:rStyle w:val="28"/>
          <w:rFonts w:ascii="黑体" w:hAnsi="黑体" w:eastAsia="黑体"/>
          <w:b w:val="0"/>
        </w:rPr>
        <w:tab/>
      </w:r>
    </w:p>
    <w:p w14:paraId="6F6BB738">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21年一般公共预算财政拨款基本支出514.82万元，其中：</w:t>
      </w:r>
    </w:p>
    <w:p w14:paraId="1260D6A2">
      <w:pPr>
        <w:spacing w:line="600" w:lineRule="exact"/>
        <w:ind w:firstLine="645"/>
        <w:rPr>
          <w:rFonts w:ascii="仿宋" w:hAnsi="仿宋" w:eastAsia="仿宋"/>
          <w:b/>
          <w:sz w:val="32"/>
          <w:szCs w:val="32"/>
        </w:rPr>
      </w:pPr>
      <w:r>
        <w:rPr>
          <w:rFonts w:hint="eastAsia" w:ascii="仿宋" w:hAnsi="仿宋" w:eastAsia="仿宋"/>
          <w:sz w:val="32"/>
          <w:szCs w:val="32"/>
        </w:rPr>
        <w:t>人员经费483.69万元，主要包括：基本工资、津贴补贴、绩效工资、机关事业单位基本养老保险缴费、职业年金缴费、其他社会保障缴费、生活补助、医疗费补助、奖励金、住房公积金等。</w:t>
      </w:r>
      <w:r>
        <w:rPr>
          <w:rFonts w:ascii="仿宋" w:hAnsi="仿宋" w:eastAsia="仿宋"/>
          <w:sz w:val="32"/>
          <w:szCs w:val="32"/>
        </w:rPr>
        <w:br w:type="textWrapping"/>
      </w:r>
      <w:r>
        <w:rPr>
          <w:rFonts w:hint="eastAsia" w:ascii="仿宋" w:hAnsi="仿宋" w:eastAsia="仿宋"/>
          <w:sz w:val="32"/>
          <w:szCs w:val="32"/>
        </w:rPr>
        <w:t>　　公用经费31.13万元，主要包括：办公费、水费、电费、邮电费、差旅费、维修（护）费、租赁费、会议费、培训费、劳务费、工会经费、福利费等。</w:t>
      </w:r>
    </w:p>
    <w:p w14:paraId="2816BEEC">
      <w:pPr>
        <w:spacing w:line="600" w:lineRule="exact"/>
        <w:ind w:firstLine="640"/>
        <w:outlineLvl w:val="1"/>
        <w:rPr>
          <w:rStyle w:val="28"/>
          <w:rFonts w:ascii="黑体" w:hAnsi="黑体" w:eastAsia="黑体"/>
          <w:b w:val="0"/>
        </w:rPr>
      </w:pPr>
      <w:bookmarkStart w:id="84" w:name="_Toc15377215"/>
      <w:bookmarkStart w:id="85" w:name="_Toc15396609"/>
      <w:bookmarkStart w:id="86" w:name="_Toc24892_WPSOffice_Level2"/>
      <w:r>
        <w:rPr>
          <w:rFonts w:hint="eastAsia" w:ascii="黑体" w:eastAsia="黑体"/>
          <w:sz w:val="32"/>
          <w:szCs w:val="32"/>
        </w:rPr>
        <w:t>七、</w:t>
      </w:r>
      <w:r>
        <w:rPr>
          <w:rStyle w:val="28"/>
          <w:rFonts w:hint="eastAsia" w:ascii="黑体" w:hAnsi="黑体" w:eastAsia="黑体"/>
        </w:rPr>
        <w:t>“</w:t>
      </w:r>
      <w:r>
        <w:rPr>
          <w:rStyle w:val="28"/>
          <w:rFonts w:hint="eastAsia" w:ascii="黑体" w:hAnsi="黑体" w:eastAsia="黑体"/>
          <w:b w:val="0"/>
        </w:rPr>
        <w:t>三公”经费财政拨款支出决算情况说明</w:t>
      </w:r>
      <w:bookmarkEnd w:id="84"/>
      <w:bookmarkEnd w:id="85"/>
      <w:bookmarkEnd w:id="86"/>
    </w:p>
    <w:p w14:paraId="0BA734CF">
      <w:pPr>
        <w:spacing w:line="600" w:lineRule="exact"/>
        <w:ind w:firstLine="640"/>
        <w:outlineLvl w:val="2"/>
        <w:rPr>
          <w:rFonts w:ascii="仿宋" w:hAnsi="仿宋" w:eastAsia="仿宋"/>
          <w:b/>
          <w:sz w:val="32"/>
          <w:szCs w:val="32"/>
        </w:rPr>
      </w:pPr>
      <w:bookmarkStart w:id="87" w:name="_Toc15377216"/>
      <w:r>
        <w:rPr>
          <w:rFonts w:hint="eastAsia" w:ascii="仿宋" w:hAnsi="仿宋" w:eastAsia="仿宋"/>
          <w:b/>
          <w:sz w:val="32"/>
          <w:szCs w:val="32"/>
        </w:rPr>
        <w:t>（一）“三公”经费财政拨款支出决算总体情况说明</w:t>
      </w:r>
      <w:bookmarkEnd w:id="87"/>
    </w:p>
    <w:p w14:paraId="28A1B135">
      <w:pPr>
        <w:spacing w:line="600" w:lineRule="exact"/>
        <w:ind w:firstLine="640"/>
        <w:rPr>
          <w:rFonts w:ascii="仿宋" w:hAnsi="仿宋" w:eastAsia="仿宋"/>
          <w:color w:val="000000"/>
          <w:sz w:val="32"/>
          <w:szCs w:val="32"/>
        </w:rPr>
      </w:pPr>
      <w:bookmarkStart w:id="88" w:name="_Toc15396610"/>
      <w:bookmarkStart w:id="89" w:name="_Toc15377218"/>
      <w:r>
        <w:rPr>
          <w:rFonts w:ascii="仿宋" w:hAnsi="仿宋" w:eastAsia="仿宋"/>
          <w:color w:val="000000"/>
          <w:sz w:val="32"/>
          <w:szCs w:val="32"/>
        </w:rPr>
        <w:t>202</w:t>
      </w:r>
      <w:r>
        <w:rPr>
          <w:rFonts w:hint="eastAsia" w:ascii="仿宋" w:hAnsi="仿宋" w:eastAsia="仿宋"/>
          <w:color w:val="000000"/>
          <w:sz w:val="32"/>
          <w:szCs w:val="32"/>
        </w:rPr>
        <w:t>1年“三公”经费财政拨款支出决算为0万元，完成预算0</w:t>
      </w:r>
      <w:r>
        <w:rPr>
          <w:rFonts w:ascii="仿宋" w:hAnsi="仿宋" w:eastAsia="仿宋"/>
          <w:color w:val="000000"/>
          <w:sz w:val="32"/>
          <w:szCs w:val="32"/>
        </w:rPr>
        <w:t>%</w:t>
      </w:r>
      <w:r>
        <w:rPr>
          <w:rFonts w:hint="eastAsia" w:ascii="仿宋" w:hAnsi="仿宋" w:eastAsia="仿宋"/>
          <w:color w:val="000000"/>
          <w:sz w:val="32"/>
          <w:szCs w:val="32"/>
        </w:rPr>
        <w:t>，决算数与预算数持平的主要原因是本幼儿园年初无“三公”预算经费支出。</w:t>
      </w:r>
    </w:p>
    <w:p w14:paraId="5E180715">
      <w:pPr>
        <w:spacing w:line="600" w:lineRule="exact"/>
        <w:ind w:firstLine="640"/>
        <w:outlineLvl w:val="2"/>
        <w:rPr>
          <w:rFonts w:ascii="仿宋" w:hAnsi="仿宋" w:eastAsia="仿宋"/>
          <w:b/>
          <w:color w:val="000000"/>
          <w:sz w:val="32"/>
          <w:szCs w:val="32"/>
        </w:rPr>
      </w:pPr>
      <w:bookmarkStart w:id="90" w:name="_Toc15377217"/>
      <w:r>
        <w:rPr>
          <w:rFonts w:hint="eastAsia" w:ascii="仿宋" w:hAnsi="仿宋" w:eastAsia="仿宋"/>
          <w:b/>
          <w:color w:val="000000"/>
          <w:sz w:val="32"/>
          <w:szCs w:val="32"/>
        </w:rPr>
        <w:t>（二）“三公”经费财政拨款支出决算具体情况说明</w:t>
      </w:r>
      <w:bookmarkEnd w:id="90"/>
    </w:p>
    <w:p w14:paraId="5AD49FBF">
      <w:pPr>
        <w:spacing w:line="600" w:lineRule="exact"/>
        <w:ind w:firstLine="640"/>
        <w:rPr>
          <w:rFonts w:ascii="仿宋" w:hAnsi="仿宋" w:eastAsia="仿宋"/>
          <w:color w:val="000000"/>
          <w:sz w:val="32"/>
          <w:szCs w:val="32"/>
        </w:rPr>
      </w:pPr>
      <w:r>
        <w:rPr>
          <w:rFonts w:ascii="仿宋" w:hAnsi="仿宋" w:eastAsia="仿宋"/>
          <w:color w:val="000000"/>
          <w:sz w:val="32"/>
          <w:szCs w:val="32"/>
        </w:rPr>
        <w:t>202</w:t>
      </w:r>
      <w:r>
        <w:rPr>
          <w:rFonts w:hint="eastAsia" w:ascii="仿宋" w:hAnsi="仿宋" w:eastAsia="仿宋"/>
          <w:color w:val="000000"/>
          <w:sz w:val="32"/>
          <w:szCs w:val="32"/>
        </w:rPr>
        <w:t>1年“三公”经费财政拨款支出决算中，因公出国（境）费支出决算0万元，占0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；公务用车购置及运行维护费支出决算0万元，占0</w:t>
      </w:r>
      <w:r>
        <w:rPr>
          <w:rFonts w:ascii="仿宋" w:hAnsi="仿宋" w:eastAsia="仿宋"/>
          <w:color w:val="000000"/>
          <w:sz w:val="32"/>
          <w:szCs w:val="32"/>
        </w:rPr>
        <w:t>%</w:t>
      </w:r>
      <w:r>
        <w:rPr>
          <w:rFonts w:hint="eastAsia" w:ascii="仿宋" w:hAnsi="仿宋" w:eastAsia="仿宋"/>
          <w:color w:val="000000"/>
          <w:sz w:val="32"/>
          <w:szCs w:val="32"/>
        </w:rPr>
        <w:t>；公务接待费支出决算0万元，占0</w:t>
      </w:r>
      <w:r>
        <w:rPr>
          <w:rFonts w:ascii="仿宋" w:hAnsi="仿宋" w:eastAsia="仿宋"/>
          <w:color w:val="000000"/>
          <w:sz w:val="32"/>
          <w:szCs w:val="32"/>
        </w:rPr>
        <w:t>%</w:t>
      </w:r>
      <w:r>
        <w:rPr>
          <w:rFonts w:hint="eastAsia" w:ascii="仿宋" w:hAnsi="仿宋" w:eastAsia="仿宋"/>
          <w:color w:val="000000"/>
          <w:sz w:val="32"/>
          <w:szCs w:val="32"/>
        </w:rPr>
        <w:t>。具体情况如下：</w:t>
      </w:r>
    </w:p>
    <w:p w14:paraId="2A014A8A">
      <w:pPr>
        <w:spacing w:line="600" w:lineRule="exact"/>
        <w:ind w:firstLine="640"/>
        <w:rPr>
          <w:rFonts w:ascii="仿宋" w:hAnsi="仿宋" w:eastAsia="仿宋"/>
          <w:color w:val="000000"/>
          <w:sz w:val="32"/>
          <w:szCs w:val="32"/>
        </w:rPr>
      </w:pPr>
      <w:r>
        <w:drawing>
          <wp:anchor distT="0" distB="0" distL="114300" distR="114300" simplePos="0" relativeHeight="251659264" behindDoc="1" locked="0" layoutInCell="1" allowOverlap="1">
            <wp:simplePos x="0" y="0"/>
            <wp:positionH relativeFrom="column">
              <wp:posOffset>586740</wp:posOffset>
            </wp:positionH>
            <wp:positionV relativeFrom="paragraph">
              <wp:posOffset>53975</wp:posOffset>
            </wp:positionV>
            <wp:extent cx="4029075" cy="2085340"/>
            <wp:effectExtent l="0" t="0" r="0" b="1016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2"/>
                    <a:stretch>
                      <a:fillRect/>
                    </a:stretch>
                  </pic:blipFill>
                  <pic:spPr>
                    <a:xfrm>
                      <a:off x="0" y="0"/>
                      <a:ext cx="4029075" cy="2085340"/>
                    </a:xfrm>
                    <a:prstGeom prst="rect">
                      <a:avLst/>
                    </a:prstGeom>
                    <a:noFill/>
                    <a:ln>
                      <a:noFill/>
                    </a:ln>
                  </pic:spPr>
                </pic:pic>
              </a:graphicData>
            </a:graphic>
          </wp:anchor>
        </w:drawing>
      </w:r>
    </w:p>
    <w:p w14:paraId="0E95560B">
      <w:pPr>
        <w:spacing w:line="600" w:lineRule="exact"/>
        <w:ind w:firstLine="640"/>
        <w:rPr>
          <w:rFonts w:ascii="仿宋" w:hAnsi="仿宋" w:eastAsia="仿宋"/>
          <w:color w:val="000000"/>
          <w:sz w:val="32"/>
          <w:szCs w:val="32"/>
        </w:rPr>
      </w:pPr>
    </w:p>
    <w:p w14:paraId="1212A988">
      <w:pPr>
        <w:spacing w:line="600" w:lineRule="exact"/>
        <w:ind w:firstLine="640"/>
        <w:rPr>
          <w:rFonts w:ascii="仿宋" w:hAnsi="仿宋" w:eastAsia="仿宋"/>
          <w:color w:val="000000"/>
          <w:sz w:val="32"/>
          <w:szCs w:val="32"/>
        </w:rPr>
      </w:pPr>
    </w:p>
    <w:p w14:paraId="70FE8F75">
      <w:pPr>
        <w:spacing w:line="600" w:lineRule="exact"/>
        <w:ind w:firstLine="640"/>
        <w:rPr>
          <w:rFonts w:ascii="仿宋" w:hAnsi="仿宋" w:eastAsia="仿宋"/>
          <w:color w:val="000000"/>
          <w:sz w:val="32"/>
          <w:szCs w:val="32"/>
        </w:rPr>
      </w:pPr>
    </w:p>
    <w:p w14:paraId="70D27F86">
      <w:pPr>
        <w:spacing w:line="600" w:lineRule="exact"/>
        <w:ind w:firstLine="640"/>
        <w:rPr>
          <w:rFonts w:ascii="仿宋_GB2312" w:eastAsia="仿宋_GB2312"/>
          <w:b/>
          <w:color w:val="000000"/>
          <w:sz w:val="32"/>
          <w:szCs w:val="32"/>
        </w:rPr>
      </w:pPr>
    </w:p>
    <w:p w14:paraId="567339FB">
      <w:pPr>
        <w:spacing w:line="600" w:lineRule="exact"/>
        <w:ind w:firstLine="640"/>
        <w:rPr>
          <w:rFonts w:ascii="仿宋_GB2312" w:eastAsia="仿宋_GB2312"/>
          <w:b/>
          <w:color w:val="000000"/>
          <w:sz w:val="32"/>
          <w:szCs w:val="32"/>
        </w:rPr>
      </w:pPr>
    </w:p>
    <w:p w14:paraId="1D84273B">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rPr>
        <w:t>0万元，</w:t>
      </w:r>
      <w:r>
        <w:rPr>
          <w:rStyle w:val="17"/>
          <w:rFonts w:hint="eastAsia" w:ascii="仿宋" w:hAnsi="仿宋" w:eastAsia="仿宋"/>
          <w:b w:val="0"/>
          <w:bCs/>
          <w:color w:val="000000"/>
          <w:sz w:val="32"/>
          <w:szCs w:val="32"/>
        </w:rPr>
        <w:t>完成预算0</w:t>
      </w:r>
      <w:r>
        <w:rPr>
          <w:rStyle w:val="17"/>
          <w:rFonts w:ascii="仿宋" w:hAnsi="仿宋" w:eastAsia="仿宋"/>
          <w:b w:val="0"/>
          <w:bCs/>
          <w:color w:val="000000"/>
          <w:sz w:val="32"/>
          <w:szCs w:val="32"/>
        </w:rPr>
        <w:t>%</w:t>
      </w:r>
      <w:r>
        <w:rPr>
          <w:rStyle w:val="17"/>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全年安排因公出国（境）团组0次，出国（境）0人。因公出国（境）支出决算与2020年持平。主要原因是盐边县幼儿园年初无因公出国出境预算支出。</w:t>
      </w:r>
    </w:p>
    <w:p w14:paraId="71E1BC20">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0万元，</w:t>
      </w:r>
      <w:r>
        <w:rPr>
          <w:rStyle w:val="17"/>
          <w:rFonts w:hint="eastAsia" w:ascii="仿宋" w:hAnsi="仿宋" w:eastAsia="仿宋"/>
          <w:b w:val="0"/>
          <w:bCs/>
          <w:color w:val="000000"/>
          <w:sz w:val="32"/>
          <w:szCs w:val="32"/>
        </w:rPr>
        <w:t>完成预算0</w:t>
      </w:r>
      <w:r>
        <w:rPr>
          <w:rStyle w:val="17"/>
          <w:rFonts w:ascii="仿宋" w:hAnsi="仿宋" w:eastAsia="仿宋"/>
          <w:b w:val="0"/>
          <w:bCs/>
          <w:color w:val="000000"/>
          <w:sz w:val="32"/>
          <w:szCs w:val="32"/>
        </w:rPr>
        <w:t>%</w:t>
      </w:r>
      <w:r>
        <w:rPr>
          <w:rStyle w:val="17"/>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公务用车购置及运行维护费支出决算与2020年持平。主要原因是盐边县幼儿园无公务用车支出。</w:t>
      </w:r>
    </w:p>
    <w:p w14:paraId="7BFB1294">
      <w:pPr>
        <w:spacing w:line="600" w:lineRule="exact"/>
        <w:ind w:firstLine="640" w:firstLineChars="200"/>
        <w:rPr>
          <w:rFonts w:ascii="仿宋_GB2312" w:eastAsia="仿宋_GB2312"/>
          <w:b/>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公务用车购置支出0</w:t>
      </w:r>
      <w:r>
        <w:rPr>
          <w:rFonts w:hint="eastAsia" w:ascii="仿宋_GB2312" w:eastAsia="仿宋_GB2312"/>
          <w:color w:val="000000"/>
          <w:sz w:val="32"/>
          <w:szCs w:val="32"/>
        </w:rPr>
        <w:t>万元。全年按规定更新购置公务用车0辆，其中：轿车0辆、金额0万元，越野车0辆、金额0万元，载客汽车0辆、金额0万元，截至</w:t>
      </w:r>
      <w:r>
        <w:rPr>
          <w:rFonts w:ascii="仿宋_GB2312" w:eastAsia="仿宋_GB2312"/>
          <w:color w:val="000000"/>
          <w:sz w:val="32"/>
          <w:szCs w:val="32"/>
        </w:rPr>
        <w:t>202</w:t>
      </w:r>
      <w:r>
        <w:rPr>
          <w:rFonts w:hint="eastAsia" w:ascii="仿宋_GB2312" w:eastAsia="仿宋_GB2312"/>
          <w:color w:val="000000"/>
          <w:sz w:val="32"/>
          <w:szCs w:val="32"/>
        </w:rPr>
        <w:t>1年</w:t>
      </w:r>
      <w:r>
        <w:rPr>
          <w:rFonts w:ascii="仿宋_GB2312" w:eastAsia="仿宋_GB2312"/>
          <w:color w:val="000000"/>
          <w:sz w:val="32"/>
          <w:szCs w:val="32"/>
        </w:rPr>
        <w:t>12</w:t>
      </w:r>
      <w:r>
        <w:rPr>
          <w:rFonts w:hint="eastAsia" w:ascii="仿宋_GB2312" w:eastAsia="仿宋_GB2312"/>
          <w:color w:val="000000"/>
          <w:sz w:val="32"/>
          <w:szCs w:val="32"/>
        </w:rPr>
        <w:t>月底，单位共有公务用车0辆，其中：轿车0辆、越野车0辆、载客汽车0辆。</w:t>
      </w:r>
    </w:p>
    <w:p w14:paraId="6A04BAD0">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0万元。主要用于因公所需的公务用车燃料费、维修费、过路过桥费、保险费等支出。</w:t>
      </w:r>
    </w:p>
    <w:p w14:paraId="527FB1ED">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公务接待费支出0</w:t>
      </w:r>
      <w:r>
        <w:rPr>
          <w:rFonts w:hint="eastAsia" w:ascii="仿宋_GB2312" w:eastAsia="仿宋_GB2312"/>
          <w:color w:val="000000"/>
          <w:sz w:val="32"/>
          <w:szCs w:val="32"/>
        </w:rPr>
        <w:t>万元，</w:t>
      </w:r>
      <w:r>
        <w:rPr>
          <w:rStyle w:val="17"/>
          <w:rFonts w:hint="eastAsia" w:ascii="仿宋" w:hAnsi="仿宋" w:eastAsia="仿宋"/>
          <w:b w:val="0"/>
          <w:bCs/>
          <w:color w:val="000000"/>
          <w:sz w:val="32"/>
          <w:szCs w:val="32"/>
        </w:rPr>
        <w:t>完成预算0</w:t>
      </w:r>
      <w:r>
        <w:rPr>
          <w:rStyle w:val="17"/>
          <w:rFonts w:ascii="仿宋" w:hAnsi="仿宋" w:eastAsia="仿宋"/>
          <w:b w:val="0"/>
          <w:bCs/>
          <w:color w:val="000000"/>
          <w:sz w:val="32"/>
          <w:szCs w:val="32"/>
        </w:rPr>
        <w:t>%</w:t>
      </w:r>
      <w:r>
        <w:rPr>
          <w:rStyle w:val="17"/>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公务接待费支出决算与2020年持平。主要原因是无公务接待。</w:t>
      </w:r>
    </w:p>
    <w:p w14:paraId="07D9AE50">
      <w:pPr>
        <w:spacing w:line="600" w:lineRule="exact"/>
        <w:ind w:firstLine="640"/>
        <w:rPr>
          <w:rFonts w:ascii="仿宋_GB2312" w:eastAsia="仿宋_GB2312"/>
          <w:color w:val="000000"/>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rPr>
        <w:t>0</w:t>
      </w:r>
      <w:r>
        <w:rPr>
          <w:rFonts w:hint="eastAsia" w:ascii="仿宋_GB2312" w:eastAsia="仿宋_GB2312"/>
          <w:color w:val="000000"/>
          <w:sz w:val="32"/>
          <w:szCs w:val="32"/>
        </w:rPr>
        <w:t>万元，主要用于（执行公务、开展业务活动开支的交通费、住宿费、用餐费等）。国内公务接待0批次，0人次（不包括陪同人员），共计支出0万元。</w:t>
      </w:r>
    </w:p>
    <w:p w14:paraId="4500E50A">
      <w:pPr>
        <w:spacing w:line="600" w:lineRule="exact"/>
        <w:ind w:firstLine="643" w:firstLineChars="200"/>
        <w:rPr>
          <w:rFonts w:ascii="黑体" w:eastAsia="黑体"/>
          <w:sz w:val="32"/>
          <w:szCs w:val="32"/>
        </w:rPr>
      </w:pPr>
      <w:r>
        <w:rPr>
          <w:rFonts w:hint="eastAsia" w:ascii="仿宋" w:hAnsi="仿宋" w:eastAsia="仿宋"/>
          <w:b/>
          <w:color w:val="000000"/>
          <w:sz w:val="32"/>
          <w:szCs w:val="32"/>
        </w:rPr>
        <w:t>外事接待支出</w:t>
      </w:r>
      <w:r>
        <w:rPr>
          <w:rFonts w:hint="eastAsia" w:ascii="仿宋" w:hAnsi="仿宋" w:eastAsia="仿宋"/>
          <w:color w:val="000000"/>
          <w:sz w:val="32"/>
          <w:szCs w:val="32"/>
        </w:rPr>
        <w:t>0</w:t>
      </w:r>
      <w:r>
        <w:rPr>
          <w:rFonts w:hint="eastAsia" w:ascii="仿宋_GB2312" w:eastAsia="仿宋_GB2312"/>
          <w:color w:val="000000"/>
          <w:sz w:val="32"/>
          <w:szCs w:val="32"/>
        </w:rPr>
        <w:t>万元，外事接待0批次，0人，共计支出0万元。</w:t>
      </w:r>
    </w:p>
    <w:p w14:paraId="4E5F9064">
      <w:pPr>
        <w:spacing w:line="600" w:lineRule="exact"/>
        <w:ind w:firstLine="640"/>
        <w:outlineLvl w:val="1"/>
        <w:rPr>
          <w:rStyle w:val="28"/>
          <w:rFonts w:ascii="黑体" w:hAnsi="黑体" w:eastAsia="黑体"/>
        </w:rPr>
      </w:pPr>
      <w:bookmarkStart w:id="91" w:name="_Toc18227_WPSOffice_Level2"/>
      <w:r>
        <w:rPr>
          <w:rFonts w:hint="eastAsia" w:ascii="黑体" w:eastAsia="黑体"/>
          <w:sz w:val="32"/>
          <w:szCs w:val="32"/>
        </w:rPr>
        <w:t>八、</w:t>
      </w:r>
      <w:r>
        <w:rPr>
          <w:rStyle w:val="28"/>
          <w:rFonts w:hint="eastAsia" w:ascii="黑体" w:hAnsi="黑体" w:eastAsia="黑体"/>
          <w:b w:val="0"/>
        </w:rPr>
        <w:t>政府性基金预算支出决算情况说明</w:t>
      </w:r>
      <w:bookmarkEnd w:id="88"/>
      <w:bookmarkEnd w:id="89"/>
      <w:bookmarkEnd w:id="91"/>
    </w:p>
    <w:p w14:paraId="43332B6A">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14:paraId="1D15483E">
      <w:pPr>
        <w:numPr>
          <w:ilvl w:val="0"/>
          <w:numId w:val="2"/>
        </w:numPr>
        <w:spacing w:line="600" w:lineRule="exact"/>
        <w:ind w:firstLine="640"/>
        <w:outlineLvl w:val="1"/>
        <w:rPr>
          <w:rStyle w:val="28"/>
          <w:rFonts w:ascii="黑体" w:hAnsi="黑体" w:eastAsia="黑体"/>
          <w:b w:val="0"/>
        </w:rPr>
      </w:pPr>
      <w:bookmarkStart w:id="92" w:name="_Toc10286_WPSOffice_Level2"/>
      <w:bookmarkStart w:id="93" w:name="_Toc15377219"/>
      <w:bookmarkStart w:id="94" w:name="_Toc15396611"/>
      <w:r>
        <w:rPr>
          <w:rStyle w:val="28"/>
          <w:rFonts w:hint="eastAsia" w:ascii="黑体" w:hAnsi="黑体" w:eastAsia="黑体"/>
          <w:b w:val="0"/>
        </w:rPr>
        <w:t>国有资本经营预算支出决算情况说明</w:t>
      </w:r>
      <w:bookmarkEnd w:id="92"/>
      <w:bookmarkEnd w:id="93"/>
      <w:bookmarkEnd w:id="94"/>
    </w:p>
    <w:p w14:paraId="548137FB">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14:paraId="7C4D80A1">
      <w:pPr>
        <w:numPr>
          <w:ilvl w:val="0"/>
          <w:numId w:val="2"/>
        </w:numPr>
        <w:spacing w:line="600" w:lineRule="exact"/>
        <w:ind w:firstLine="640"/>
        <w:outlineLvl w:val="1"/>
        <w:rPr>
          <w:rStyle w:val="28"/>
          <w:rFonts w:ascii="黑体" w:hAnsi="黑体" w:eastAsia="黑体"/>
          <w:b w:val="0"/>
        </w:rPr>
      </w:pPr>
      <w:bookmarkStart w:id="95" w:name="_Toc30988_WPSOffice_Level2"/>
      <w:bookmarkStart w:id="96" w:name="_Toc15396612"/>
      <w:bookmarkStart w:id="97" w:name="_Toc15377221"/>
      <w:r>
        <w:rPr>
          <w:rStyle w:val="28"/>
          <w:rFonts w:hint="eastAsia" w:ascii="黑体" w:hAnsi="黑体" w:eastAsia="黑体"/>
          <w:b w:val="0"/>
        </w:rPr>
        <w:t>其他重要事项的情况说明</w:t>
      </w:r>
      <w:bookmarkEnd w:id="95"/>
      <w:bookmarkEnd w:id="96"/>
      <w:bookmarkEnd w:id="97"/>
    </w:p>
    <w:p w14:paraId="444CA8A2">
      <w:pPr>
        <w:spacing w:line="600" w:lineRule="exact"/>
        <w:ind w:firstLine="643" w:firstLineChars="200"/>
        <w:outlineLvl w:val="2"/>
        <w:rPr>
          <w:rFonts w:ascii="仿宋" w:hAnsi="仿宋" w:eastAsia="仿宋"/>
          <w:sz w:val="32"/>
          <w:szCs w:val="32"/>
        </w:rPr>
      </w:pPr>
      <w:bookmarkStart w:id="98" w:name="_Toc15377222"/>
      <w:r>
        <w:rPr>
          <w:rFonts w:hint="eastAsia" w:ascii="仿宋" w:hAnsi="仿宋" w:eastAsia="仿宋"/>
          <w:b/>
          <w:sz w:val="32"/>
          <w:szCs w:val="32"/>
        </w:rPr>
        <w:t>（一）机关运行经费支出情况</w:t>
      </w:r>
      <w:bookmarkEnd w:id="98"/>
    </w:p>
    <w:p w14:paraId="4BEE2A57">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21年，盐边幼儿园机关运行经费支出0万元，与</w:t>
      </w:r>
      <w:r>
        <w:rPr>
          <w:rFonts w:ascii="仿宋_GB2312" w:eastAsia="仿宋_GB2312"/>
          <w:sz w:val="32"/>
          <w:szCs w:val="32"/>
        </w:rPr>
        <w:t>20</w:t>
      </w:r>
      <w:r>
        <w:rPr>
          <w:rFonts w:hint="eastAsia" w:ascii="仿宋_GB2312" w:eastAsia="仿宋_GB2312"/>
          <w:sz w:val="32"/>
          <w:szCs w:val="32"/>
        </w:rPr>
        <w:t>20年决算数持平。主要原因是我单位为事业单位不反映机关运行经费。</w:t>
      </w:r>
    </w:p>
    <w:p w14:paraId="0ADB1D22">
      <w:pPr>
        <w:autoSpaceDE w:val="0"/>
        <w:autoSpaceDN w:val="0"/>
        <w:adjustRightInd w:val="0"/>
        <w:spacing w:line="600" w:lineRule="exact"/>
        <w:ind w:firstLine="643" w:firstLineChars="200"/>
        <w:jc w:val="left"/>
        <w:outlineLvl w:val="2"/>
        <w:rPr>
          <w:rFonts w:ascii="仿宋" w:hAnsi="仿宋" w:eastAsia="仿宋"/>
          <w:b/>
          <w:sz w:val="32"/>
          <w:szCs w:val="32"/>
        </w:rPr>
      </w:pPr>
      <w:bookmarkStart w:id="99" w:name="_Toc15377223"/>
      <w:r>
        <w:rPr>
          <w:rFonts w:hint="eastAsia" w:ascii="仿宋" w:hAnsi="仿宋" w:eastAsia="仿宋"/>
          <w:b/>
          <w:sz w:val="32"/>
          <w:szCs w:val="32"/>
        </w:rPr>
        <w:t>（二）政府采购支出情况</w:t>
      </w:r>
      <w:bookmarkEnd w:id="99"/>
    </w:p>
    <w:p w14:paraId="12F94672">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color w:val="000000"/>
          <w:sz w:val="32"/>
          <w:szCs w:val="32"/>
        </w:rPr>
        <w:t>盐边县幼儿园政府采购支出总额0万元，其中：政府采购货物支出0万元、政府采购工程支出0万元、政府采购服务支出0万元。主要用于授予中小企业合同金额0万元，占政府采购支出总额的0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，其中：授予小微企业合同金额0万元，占政府采购支出总额的0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w:t>
      </w:r>
    </w:p>
    <w:p w14:paraId="00103386">
      <w:pPr>
        <w:autoSpaceDE w:val="0"/>
        <w:autoSpaceDN w:val="0"/>
        <w:adjustRightInd w:val="0"/>
        <w:spacing w:line="600" w:lineRule="exact"/>
        <w:ind w:firstLine="643" w:firstLineChars="200"/>
        <w:jc w:val="left"/>
        <w:outlineLvl w:val="2"/>
        <w:rPr>
          <w:rFonts w:ascii="仿宋" w:hAnsi="仿宋" w:eastAsia="仿宋"/>
          <w:b/>
          <w:sz w:val="32"/>
          <w:szCs w:val="32"/>
        </w:rPr>
      </w:pPr>
      <w:bookmarkStart w:id="100" w:name="_Toc15377224"/>
      <w:r>
        <w:rPr>
          <w:rFonts w:hint="eastAsia" w:ascii="仿宋" w:hAnsi="仿宋" w:eastAsia="仿宋"/>
          <w:b/>
          <w:sz w:val="32"/>
          <w:szCs w:val="32"/>
        </w:rPr>
        <w:t>（三）国有资产占有使用情况</w:t>
      </w:r>
      <w:bookmarkEnd w:id="100"/>
    </w:p>
    <w:p w14:paraId="08954053">
      <w:pPr>
        <w:autoSpaceDE w:val="0"/>
        <w:autoSpaceDN w:val="0"/>
        <w:adjustRightInd w:val="0"/>
        <w:spacing w:line="600" w:lineRule="exact"/>
        <w:ind w:firstLine="640" w:firstLineChars="200"/>
        <w:jc w:val="left"/>
        <w:rPr>
          <w:rFonts w:ascii="仿宋" w:hAnsi="仿宋" w:eastAsia="仿宋"/>
          <w:b/>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color w:val="000000"/>
          <w:sz w:val="32"/>
          <w:szCs w:val="32"/>
        </w:rPr>
        <w:t>盐边县幼儿园共有车辆0辆，其中：主要领导干部用车0辆、机要通信用车0辆、应急保障用车0辆、其他用车0辆，其他用车主要是用于单价</w:t>
      </w:r>
      <w:r>
        <w:rPr>
          <w:rFonts w:ascii="仿宋_GB2312" w:eastAsia="仿宋_GB2312"/>
          <w:color w:val="000000"/>
          <w:sz w:val="32"/>
          <w:szCs w:val="32"/>
        </w:rPr>
        <w:t>50</w:t>
      </w:r>
      <w:r>
        <w:rPr>
          <w:rFonts w:hint="eastAsia" w:ascii="仿宋_GB2312" w:eastAsia="仿宋_GB2312"/>
          <w:color w:val="000000"/>
          <w:sz w:val="32"/>
          <w:szCs w:val="32"/>
        </w:rPr>
        <w:t>万元以上通用设备0台（套），单价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万元以上专用设备0台（套）。</w:t>
      </w:r>
    </w:p>
    <w:p w14:paraId="60D15CCF">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5AE26295">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2021年度预算编制阶段，组织对0个项目开展了预算事前绩效评估，对0个项目编制了绩效目标，预算执行过程中，选取0个项目开展绩效监控，年终执行完毕后，对0个项目开展了绩效自评。同时，本部门对2021年部门整体开展绩效自评，《2021年县幼儿园部门整体绩效评价报告》见附件（第四部分）。</w:t>
      </w:r>
    </w:p>
    <w:p w14:paraId="39ECDFA5">
      <w:pPr>
        <w:widowControl/>
        <w:jc w:val="left"/>
        <w:rPr>
          <w:rFonts w:ascii="仿宋_GB2312" w:eastAsia="仿宋_GB2312"/>
          <w:b/>
          <w:sz w:val="32"/>
          <w:szCs w:val="32"/>
        </w:rPr>
      </w:pPr>
      <w:r>
        <w:rPr>
          <w:rFonts w:ascii="仿宋_GB2312" w:eastAsia="仿宋_GB2312"/>
          <w:b/>
          <w:sz w:val="32"/>
          <w:szCs w:val="32"/>
        </w:rPr>
        <w:br w:type="page"/>
      </w:r>
    </w:p>
    <w:p w14:paraId="4F4C9DE6">
      <w:pPr>
        <w:pStyle w:val="2"/>
        <w:jc w:val="center"/>
        <w:rPr>
          <w:rFonts w:eastAsia="方正小标宋_GBK"/>
          <w:sz w:val="44"/>
          <w:szCs w:val="44"/>
        </w:rPr>
      </w:pPr>
      <w:bookmarkStart w:id="101" w:name="_Toc1969_WPSOffice_Level1"/>
      <w:bookmarkStart w:id="102" w:name="_Toc20300_WPSOffice_Level1"/>
      <w:bookmarkStart w:id="103" w:name="_Toc15377226"/>
      <w:r>
        <w:rPr>
          <w:rFonts w:eastAsia="方正小标宋_GBK"/>
          <w:sz w:val="44"/>
          <w:szCs w:val="44"/>
        </w:rPr>
        <w:t>第三部分 名词解释</w:t>
      </w:r>
      <w:bookmarkEnd w:id="101"/>
      <w:bookmarkEnd w:id="102"/>
    </w:p>
    <w:p w14:paraId="49525C0B">
      <w:pPr>
        <w:pStyle w:val="2"/>
      </w:pPr>
    </w:p>
    <w:p w14:paraId="77A1E384">
      <w:pPr>
        <w:pStyle w:val="2"/>
        <w:spacing w:line="560" w:lineRule="exact"/>
        <w:ind w:firstLine="643" w:firstLineChars="200"/>
        <w:rPr>
          <w:rFonts w:eastAsia="仿宋_GB2312"/>
          <w:sz w:val="32"/>
          <w:szCs w:val="32"/>
        </w:rPr>
      </w:pPr>
      <w:r>
        <w:rPr>
          <w:rFonts w:eastAsia="仿宋_GB2312"/>
          <w:b/>
          <w:sz w:val="32"/>
          <w:szCs w:val="32"/>
        </w:rPr>
        <w:t>1.财政拨款收入：</w:t>
      </w:r>
      <w:r>
        <w:rPr>
          <w:rFonts w:eastAsia="仿宋_GB2312"/>
          <w:sz w:val="32"/>
          <w:szCs w:val="32"/>
        </w:rPr>
        <w:t>指单位从同级财政部门取得的财政预算资金。</w:t>
      </w:r>
    </w:p>
    <w:p w14:paraId="18A230C6">
      <w:pPr>
        <w:pStyle w:val="2"/>
        <w:spacing w:line="560" w:lineRule="exact"/>
        <w:ind w:firstLine="643" w:firstLineChars="200"/>
        <w:rPr>
          <w:rFonts w:eastAsia="仿宋_GB2312"/>
          <w:sz w:val="32"/>
          <w:szCs w:val="32"/>
        </w:rPr>
      </w:pPr>
      <w:r>
        <w:rPr>
          <w:rFonts w:eastAsia="仿宋_GB2312"/>
          <w:b/>
          <w:sz w:val="32"/>
          <w:szCs w:val="32"/>
        </w:rPr>
        <w:t>2.事业收入：</w:t>
      </w:r>
      <w:r>
        <w:rPr>
          <w:rFonts w:eastAsia="仿宋_GB2312"/>
          <w:sz w:val="32"/>
          <w:szCs w:val="32"/>
        </w:rPr>
        <w:t>指事业单位开展专业业务活动及辅助活动取得的收入。如（二级预算单位事业收入情况）等。</w:t>
      </w:r>
    </w:p>
    <w:p w14:paraId="2135CC1C">
      <w:pPr>
        <w:pStyle w:val="2"/>
        <w:spacing w:line="560" w:lineRule="exact"/>
        <w:ind w:firstLine="643" w:firstLineChars="200"/>
        <w:rPr>
          <w:rFonts w:eastAsia="仿宋_GB2312"/>
          <w:sz w:val="32"/>
          <w:szCs w:val="32"/>
        </w:rPr>
      </w:pPr>
      <w:r>
        <w:rPr>
          <w:rFonts w:eastAsia="仿宋_GB2312"/>
          <w:b/>
          <w:sz w:val="32"/>
          <w:szCs w:val="32"/>
        </w:rPr>
        <w:t>3.经营收入：</w:t>
      </w:r>
      <w:r>
        <w:rPr>
          <w:rFonts w:eastAsia="仿宋_GB2312"/>
          <w:sz w:val="32"/>
          <w:szCs w:val="32"/>
        </w:rPr>
        <w:t>指事业单位在专业业务活动及其辅助活动之外开展非独立核算经营活动取得的收入。如（二级预算单位经营收入情况）等。</w:t>
      </w:r>
    </w:p>
    <w:p w14:paraId="27E42025">
      <w:pPr>
        <w:pStyle w:val="2"/>
        <w:spacing w:line="560" w:lineRule="exact"/>
        <w:ind w:firstLine="643" w:firstLineChars="200"/>
        <w:rPr>
          <w:rFonts w:eastAsia="仿宋_GB2312"/>
          <w:sz w:val="32"/>
          <w:szCs w:val="32"/>
        </w:rPr>
      </w:pPr>
      <w:r>
        <w:rPr>
          <w:rFonts w:eastAsia="仿宋_GB2312"/>
          <w:b/>
          <w:sz w:val="32"/>
          <w:szCs w:val="32"/>
        </w:rPr>
        <w:t>4.其他收入：</w:t>
      </w:r>
      <w:r>
        <w:rPr>
          <w:rFonts w:eastAsia="仿宋_GB2312"/>
          <w:sz w:val="32"/>
          <w:szCs w:val="32"/>
        </w:rPr>
        <w:t xml:space="preserve">指单位取得的除上述收入以外的各项收入。 </w:t>
      </w:r>
    </w:p>
    <w:p w14:paraId="75B1FA57">
      <w:pPr>
        <w:pStyle w:val="2"/>
        <w:spacing w:line="560" w:lineRule="exact"/>
        <w:ind w:firstLine="643" w:firstLineChars="200"/>
        <w:rPr>
          <w:rFonts w:eastAsia="仿宋_GB2312"/>
          <w:sz w:val="32"/>
          <w:szCs w:val="32"/>
        </w:rPr>
      </w:pPr>
      <w:r>
        <w:rPr>
          <w:rFonts w:eastAsia="仿宋_GB2312"/>
          <w:b/>
          <w:sz w:val="32"/>
          <w:szCs w:val="32"/>
        </w:rPr>
        <w:t>5.用事业基金弥补收支差额：</w:t>
      </w:r>
      <w:r>
        <w:rPr>
          <w:rFonts w:eastAsia="仿宋_GB2312"/>
          <w:sz w:val="32"/>
          <w:szCs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14:paraId="47DDBFB6">
      <w:pPr>
        <w:pStyle w:val="2"/>
        <w:spacing w:line="560" w:lineRule="exact"/>
        <w:ind w:firstLine="643" w:firstLineChars="200"/>
        <w:rPr>
          <w:rFonts w:eastAsia="仿宋_GB2312"/>
          <w:sz w:val="32"/>
          <w:szCs w:val="32"/>
        </w:rPr>
      </w:pPr>
      <w:r>
        <w:rPr>
          <w:rFonts w:eastAsia="仿宋_GB2312"/>
          <w:b/>
          <w:sz w:val="32"/>
          <w:szCs w:val="32"/>
        </w:rPr>
        <w:t>6.年初结转和结余：</w:t>
      </w:r>
      <w:r>
        <w:rPr>
          <w:rFonts w:eastAsia="仿宋_GB2312"/>
          <w:sz w:val="32"/>
          <w:szCs w:val="32"/>
        </w:rPr>
        <w:t xml:space="preserve">指以前年度尚未完成、结转到本年按有关规定继续使用的资金。 </w:t>
      </w:r>
    </w:p>
    <w:p w14:paraId="2110765F">
      <w:pPr>
        <w:pStyle w:val="2"/>
        <w:spacing w:line="560" w:lineRule="exact"/>
        <w:ind w:firstLine="643" w:firstLineChars="200"/>
        <w:rPr>
          <w:rFonts w:eastAsia="仿宋_GB2312"/>
          <w:sz w:val="32"/>
          <w:szCs w:val="32"/>
        </w:rPr>
      </w:pPr>
      <w:r>
        <w:rPr>
          <w:rFonts w:eastAsia="仿宋_GB2312"/>
          <w:b/>
          <w:sz w:val="32"/>
          <w:szCs w:val="32"/>
        </w:rPr>
        <w:t>7.结余分配：</w:t>
      </w:r>
      <w:r>
        <w:rPr>
          <w:rFonts w:eastAsia="仿宋_GB2312"/>
          <w:sz w:val="32"/>
          <w:szCs w:val="32"/>
        </w:rPr>
        <w:t>指事业单位按照事业单位会计制度的规定从非财政补助结余中分配的事业基金和职工福利基金等。</w:t>
      </w:r>
    </w:p>
    <w:p w14:paraId="0F99D868">
      <w:pPr>
        <w:pStyle w:val="2"/>
        <w:spacing w:line="560" w:lineRule="exact"/>
        <w:ind w:firstLine="643" w:firstLineChars="200"/>
        <w:rPr>
          <w:rFonts w:eastAsia="仿宋_GB2312"/>
          <w:sz w:val="32"/>
          <w:szCs w:val="32"/>
        </w:rPr>
      </w:pPr>
      <w:r>
        <w:rPr>
          <w:rFonts w:eastAsia="仿宋_GB2312"/>
          <w:b/>
          <w:sz w:val="32"/>
          <w:szCs w:val="32"/>
        </w:rPr>
        <w:t>8.年末结转和结余：</w:t>
      </w:r>
      <w:r>
        <w:rPr>
          <w:rFonts w:eastAsia="仿宋_GB2312"/>
          <w:sz w:val="32"/>
          <w:szCs w:val="32"/>
        </w:rPr>
        <w:t>指单位按有关规定结转到下年或以后年度继续使用的资金。</w:t>
      </w:r>
    </w:p>
    <w:p w14:paraId="1C0FC29C">
      <w:pPr>
        <w:pStyle w:val="2"/>
        <w:spacing w:line="560" w:lineRule="exact"/>
        <w:ind w:firstLine="643" w:firstLineChars="200"/>
        <w:rPr>
          <w:rFonts w:eastAsia="仿宋_GB2312"/>
          <w:bCs/>
          <w:sz w:val="32"/>
          <w:szCs w:val="32"/>
        </w:rPr>
      </w:pPr>
      <w:r>
        <w:rPr>
          <w:rFonts w:eastAsia="仿宋_GB2312"/>
          <w:b/>
          <w:sz w:val="32"/>
          <w:szCs w:val="32"/>
        </w:rPr>
        <w:t>9.</w:t>
      </w:r>
      <w:r>
        <w:rPr>
          <w:rFonts w:hint="eastAsia" w:eastAsia="仿宋_GB2312"/>
          <w:b/>
          <w:sz w:val="32"/>
          <w:szCs w:val="32"/>
        </w:rPr>
        <w:t>教育支出</w:t>
      </w:r>
      <w:r>
        <w:rPr>
          <w:rFonts w:eastAsia="仿宋_GB2312"/>
          <w:b/>
          <w:sz w:val="32"/>
          <w:szCs w:val="32"/>
        </w:rPr>
        <w:t>（类）</w:t>
      </w:r>
      <w:r>
        <w:rPr>
          <w:rFonts w:hint="eastAsia" w:eastAsia="仿宋_GB2312"/>
          <w:b/>
          <w:sz w:val="32"/>
          <w:szCs w:val="32"/>
        </w:rPr>
        <w:t>普通教育</w:t>
      </w:r>
      <w:r>
        <w:rPr>
          <w:rFonts w:eastAsia="仿宋_GB2312"/>
          <w:b/>
          <w:sz w:val="32"/>
          <w:szCs w:val="32"/>
        </w:rPr>
        <w:t>（款）</w:t>
      </w:r>
      <w:r>
        <w:rPr>
          <w:rFonts w:hint="eastAsia" w:eastAsia="仿宋_GB2312"/>
          <w:b/>
          <w:sz w:val="32"/>
          <w:szCs w:val="32"/>
        </w:rPr>
        <w:t>学期教育（项）：</w:t>
      </w:r>
      <w:r>
        <w:rPr>
          <w:rFonts w:hint="eastAsia" w:eastAsia="仿宋_GB2312"/>
          <w:bCs/>
          <w:sz w:val="32"/>
          <w:szCs w:val="32"/>
        </w:rPr>
        <w:t>指各部门举办的学期教育支出。政府各部门对社会组织等举办的幼儿园的资助，如捐赠、补贴等，也在本科目中反映。</w:t>
      </w:r>
    </w:p>
    <w:p w14:paraId="23A99053">
      <w:pPr>
        <w:ind w:firstLine="643" w:firstLineChars="200"/>
      </w:pPr>
      <w:r>
        <w:rPr>
          <w:rFonts w:hint="eastAsia" w:eastAsia="仿宋_GB2312"/>
          <w:b/>
          <w:sz w:val="32"/>
          <w:szCs w:val="32"/>
        </w:rPr>
        <w:t>10</w:t>
      </w:r>
      <w:r>
        <w:rPr>
          <w:rFonts w:eastAsia="仿宋_GB2312"/>
          <w:b/>
          <w:sz w:val="32"/>
          <w:szCs w:val="32"/>
        </w:rPr>
        <w:t>.</w:t>
      </w:r>
      <w:r>
        <w:rPr>
          <w:rFonts w:hint="eastAsia" w:eastAsia="仿宋_GB2312"/>
          <w:b/>
          <w:sz w:val="32"/>
          <w:szCs w:val="32"/>
        </w:rPr>
        <w:t>教育支出</w:t>
      </w:r>
      <w:r>
        <w:rPr>
          <w:rFonts w:eastAsia="仿宋_GB2312"/>
          <w:b/>
          <w:sz w:val="32"/>
          <w:szCs w:val="32"/>
        </w:rPr>
        <w:t>（类）</w:t>
      </w:r>
      <w:r>
        <w:rPr>
          <w:rFonts w:hint="eastAsia" w:eastAsia="仿宋_GB2312"/>
          <w:b/>
          <w:sz w:val="32"/>
          <w:szCs w:val="32"/>
        </w:rPr>
        <w:t>教育费附加安排的支出</w:t>
      </w:r>
      <w:r>
        <w:rPr>
          <w:rFonts w:eastAsia="仿宋_GB2312"/>
          <w:b/>
          <w:sz w:val="32"/>
          <w:szCs w:val="32"/>
        </w:rPr>
        <w:t>（款）</w:t>
      </w:r>
      <w:r>
        <w:rPr>
          <w:rFonts w:hint="eastAsia" w:eastAsia="仿宋_GB2312"/>
          <w:b/>
          <w:sz w:val="32"/>
          <w:szCs w:val="32"/>
        </w:rPr>
        <w:t>教育费附加安排的支出（项）：</w:t>
      </w:r>
      <w:r>
        <w:rPr>
          <w:rFonts w:hint="eastAsia" w:eastAsia="仿宋_GB2312"/>
          <w:bCs/>
          <w:sz w:val="32"/>
          <w:szCs w:val="32"/>
        </w:rPr>
        <w:t>指除上述项目以外的教育费附加支出。</w:t>
      </w:r>
    </w:p>
    <w:p w14:paraId="3B1275BA">
      <w:pPr>
        <w:pStyle w:val="2"/>
        <w:spacing w:line="560" w:lineRule="exact"/>
        <w:ind w:firstLine="643" w:firstLineChars="200"/>
        <w:rPr>
          <w:rFonts w:eastAsia="仿宋_GB2312"/>
          <w:b/>
          <w:sz w:val="32"/>
          <w:szCs w:val="32"/>
        </w:rPr>
      </w:pPr>
      <w:r>
        <w:rPr>
          <w:rFonts w:eastAsia="仿宋_GB2312"/>
          <w:b/>
          <w:sz w:val="32"/>
          <w:szCs w:val="32"/>
        </w:rPr>
        <w:t>1</w:t>
      </w:r>
      <w:r>
        <w:rPr>
          <w:rFonts w:hint="eastAsia" w:eastAsia="仿宋_GB2312"/>
          <w:b/>
          <w:sz w:val="32"/>
          <w:szCs w:val="32"/>
        </w:rPr>
        <w:t>1</w:t>
      </w:r>
      <w:r>
        <w:rPr>
          <w:rFonts w:eastAsia="仿宋_GB2312"/>
          <w:b/>
          <w:sz w:val="32"/>
          <w:szCs w:val="32"/>
        </w:rPr>
        <w:t xml:space="preserve">.社会保障和就业（类）行政事业单位养老支出（款）  </w:t>
      </w:r>
    </w:p>
    <w:p w14:paraId="4E3B358A">
      <w:pPr>
        <w:pStyle w:val="2"/>
        <w:spacing w:line="560" w:lineRule="exact"/>
        <w:ind w:firstLine="640" w:firstLineChars="200"/>
        <w:rPr>
          <w:rFonts w:eastAsia="仿宋_GB2312"/>
          <w:sz w:val="32"/>
          <w:szCs w:val="32"/>
        </w:rPr>
      </w:pPr>
      <w:r>
        <w:rPr>
          <w:rFonts w:eastAsia="仿宋_GB2312"/>
          <w:sz w:val="32"/>
          <w:szCs w:val="32"/>
        </w:rPr>
        <w:t>①行政单位离退休: 指行政单位（包括实行公务员管理的事业单位）开支的离退休支出。</w:t>
      </w:r>
    </w:p>
    <w:p w14:paraId="5081C839">
      <w:pPr>
        <w:pStyle w:val="2"/>
        <w:spacing w:line="560" w:lineRule="exact"/>
        <w:ind w:firstLine="640" w:firstLineChars="200"/>
        <w:rPr>
          <w:rFonts w:ascii="仿宋_GB2312" w:hAnsi="仿宋_GB2312" w:eastAsia="仿宋_GB2312" w:cs="仿宋_GB2312"/>
          <w:sz w:val="32"/>
          <w:szCs w:val="32"/>
        </w:rPr>
      </w:pPr>
      <w:r>
        <w:rPr>
          <w:rFonts w:eastAsia="仿宋_GB2312"/>
          <w:sz w:val="32"/>
          <w:szCs w:val="32"/>
        </w:rPr>
        <w:t>②</w:t>
      </w:r>
      <w:r>
        <w:rPr>
          <w:rFonts w:hint="eastAsia" w:ascii="仿宋_GB2312" w:hAnsi="仿宋_GB2312" w:eastAsia="仿宋_GB2312" w:cs="仿宋_GB2312"/>
          <w:sz w:val="32"/>
          <w:szCs w:val="32"/>
        </w:rPr>
        <w:t>机关事业单位基本养老保险缴费支出：指机关事业单位实施养老保险制度有单位缴纳的基本养老保险费支出。</w:t>
      </w:r>
    </w:p>
    <w:p w14:paraId="1DEB0B6D">
      <w:pPr>
        <w:pStyle w:val="2"/>
        <w:numPr>
          <w:ilvl w:val="0"/>
          <w:numId w:val="3"/>
        </w:numPr>
        <w:spacing w:line="560" w:lineRule="exact"/>
        <w:ind w:firstLine="643" w:firstLineChars="200"/>
        <w:rPr>
          <w:rFonts w:eastAsia="仿宋_GB2312"/>
          <w:b/>
          <w:sz w:val="32"/>
          <w:szCs w:val="32"/>
        </w:rPr>
      </w:pPr>
      <w:r>
        <w:rPr>
          <w:rFonts w:eastAsia="仿宋_GB2312"/>
          <w:b/>
          <w:sz w:val="32"/>
          <w:szCs w:val="32"/>
        </w:rPr>
        <w:t>住房保障支出（类）住房改革支出（款）</w:t>
      </w:r>
    </w:p>
    <w:p w14:paraId="5D220A78">
      <w:pPr>
        <w:pStyle w:val="2"/>
        <w:spacing w:line="560" w:lineRule="exact"/>
        <w:ind w:firstLine="640" w:firstLineChars="200"/>
        <w:rPr>
          <w:rFonts w:eastAsia="仿宋_GB2312"/>
          <w:sz w:val="32"/>
          <w:szCs w:val="32"/>
        </w:rPr>
      </w:pPr>
      <w:r>
        <w:rPr>
          <w:rFonts w:eastAsia="仿宋_GB2312"/>
          <w:bCs/>
          <w:sz w:val="32"/>
          <w:szCs w:val="32"/>
        </w:rPr>
        <w:sym w:font="Wingdings" w:char="F081"/>
      </w:r>
      <w:r>
        <w:rPr>
          <w:rFonts w:eastAsia="仿宋_GB2312"/>
          <w:bCs/>
          <w:sz w:val="32"/>
          <w:szCs w:val="32"/>
        </w:rPr>
        <w:t>住房公积金：</w:t>
      </w:r>
      <w:r>
        <w:rPr>
          <w:rFonts w:eastAsia="仿宋_GB2312"/>
          <w:sz w:val="32"/>
          <w:szCs w:val="32"/>
        </w:rPr>
        <w:t>指行政事业单位按人力资源和社会保障部、财政部规定的基本工资和津贴补贴以及规定比例为职工缴纳的住房公积金。</w:t>
      </w:r>
    </w:p>
    <w:p w14:paraId="7DF88E6F">
      <w:pPr>
        <w:ind w:firstLine="640" w:firstLineChars="200"/>
        <w:rPr>
          <w:rFonts w:ascii="仿宋_GB2312" w:hAnsi="仿宋_GB2312" w:eastAsia="仿宋_GB2312" w:cs="仿宋_GB2312"/>
          <w:sz w:val="32"/>
          <w:szCs w:val="32"/>
        </w:rPr>
      </w:pPr>
      <w:r>
        <w:rPr>
          <w:sz w:val="32"/>
          <w:szCs w:val="32"/>
        </w:rPr>
        <w:sym w:font="Wingdings" w:char="F082"/>
      </w:r>
      <w:r>
        <w:rPr>
          <w:rFonts w:hint="eastAsia" w:ascii="仿宋_GB2312" w:hAnsi="仿宋_GB2312" w:eastAsia="仿宋_GB2312" w:cs="仿宋_GB2312"/>
          <w:sz w:val="32"/>
          <w:szCs w:val="32"/>
        </w:rPr>
        <w:t>购房补贴：指按房改政策规定，行政事业单位向符合条件职工（含离休人员）、军队（含武警）向转役复员退休人员发放的用于购买住房的补贴。</w:t>
      </w:r>
    </w:p>
    <w:p w14:paraId="437D274B">
      <w:pPr>
        <w:pStyle w:val="2"/>
        <w:spacing w:line="560" w:lineRule="exact"/>
        <w:ind w:firstLine="643" w:firstLineChars="200"/>
        <w:rPr>
          <w:rFonts w:eastAsia="仿宋_GB2312"/>
          <w:sz w:val="32"/>
          <w:szCs w:val="32"/>
        </w:rPr>
      </w:pPr>
      <w:r>
        <w:rPr>
          <w:rFonts w:hint="eastAsia" w:eastAsia="仿宋_GB2312"/>
          <w:b/>
          <w:sz w:val="32"/>
          <w:szCs w:val="32"/>
        </w:rPr>
        <w:t>13</w:t>
      </w:r>
      <w:r>
        <w:rPr>
          <w:rFonts w:eastAsia="仿宋_GB2312"/>
          <w:b/>
          <w:sz w:val="32"/>
          <w:szCs w:val="32"/>
        </w:rPr>
        <w:t>.基本支出：</w:t>
      </w:r>
      <w:r>
        <w:rPr>
          <w:rFonts w:eastAsia="仿宋_GB2312"/>
          <w:sz w:val="32"/>
          <w:szCs w:val="32"/>
        </w:rPr>
        <w:t>指为保障机构正常运转、完成日常工作任务而发生的人员支出和公用支出。</w:t>
      </w:r>
    </w:p>
    <w:p w14:paraId="33594289">
      <w:pPr>
        <w:pStyle w:val="2"/>
        <w:spacing w:line="56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4</w:t>
      </w:r>
      <w:r>
        <w:rPr>
          <w:rFonts w:eastAsia="仿宋_GB2312"/>
          <w:b/>
          <w:sz w:val="32"/>
          <w:szCs w:val="32"/>
        </w:rPr>
        <w:t>.项目支出：</w:t>
      </w:r>
      <w:r>
        <w:rPr>
          <w:rFonts w:eastAsia="仿宋_GB2312"/>
          <w:sz w:val="32"/>
          <w:szCs w:val="32"/>
        </w:rPr>
        <w:t xml:space="preserve">指在基本支出之外为完成特定行政任务和事业发展目标所发生的支出。 </w:t>
      </w:r>
    </w:p>
    <w:p w14:paraId="025A56E4">
      <w:pPr>
        <w:pStyle w:val="2"/>
        <w:spacing w:line="56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5</w:t>
      </w:r>
      <w:r>
        <w:rPr>
          <w:rFonts w:eastAsia="仿宋_GB2312"/>
          <w:b/>
          <w:sz w:val="32"/>
          <w:szCs w:val="32"/>
        </w:rPr>
        <w:t>.经营支出：</w:t>
      </w:r>
      <w:r>
        <w:rPr>
          <w:rFonts w:eastAsia="仿宋_GB2312"/>
          <w:sz w:val="32"/>
          <w:szCs w:val="32"/>
        </w:rPr>
        <w:t>指事业单位在专业业务活动及其辅助活动之外开展非独立核算经营活动发生的支出。</w:t>
      </w:r>
    </w:p>
    <w:p w14:paraId="5EC4297D">
      <w:pPr>
        <w:pStyle w:val="2"/>
        <w:spacing w:line="56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6</w:t>
      </w:r>
      <w:r>
        <w:rPr>
          <w:rFonts w:eastAsia="仿宋_GB2312"/>
          <w:b/>
          <w:sz w:val="32"/>
          <w:szCs w:val="32"/>
        </w:rPr>
        <w:t>.“三公”经费：</w:t>
      </w:r>
      <w:r>
        <w:rPr>
          <w:rFonts w:eastAsia="仿宋_GB2312"/>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26789740">
      <w:pPr>
        <w:pStyle w:val="2"/>
        <w:spacing w:line="560" w:lineRule="exact"/>
        <w:ind w:firstLine="643" w:firstLineChars="200"/>
      </w:pPr>
      <w:r>
        <w:rPr>
          <w:rFonts w:hint="eastAsia" w:eastAsia="仿宋_GB2312"/>
          <w:b/>
          <w:sz w:val="32"/>
          <w:szCs w:val="32"/>
        </w:rPr>
        <w:t>17</w:t>
      </w:r>
      <w:r>
        <w:rPr>
          <w:rFonts w:eastAsia="仿宋_GB2312"/>
          <w:b/>
          <w:sz w:val="32"/>
          <w:szCs w:val="32"/>
        </w:rPr>
        <w:t>.机关运行经费：</w:t>
      </w:r>
      <w:r>
        <w:rPr>
          <w:rFonts w:eastAsia="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7B4F3FDF">
      <w:pPr>
        <w:spacing w:line="600" w:lineRule="exact"/>
        <w:jc w:val="center"/>
        <w:outlineLvl w:val="0"/>
        <w:rPr>
          <w:rFonts w:ascii="黑体" w:hAnsi="黑体" w:eastAsia="黑体"/>
          <w:sz w:val="44"/>
          <w:szCs w:val="44"/>
        </w:rPr>
      </w:pPr>
    </w:p>
    <w:p w14:paraId="2A52551C">
      <w:pPr>
        <w:spacing w:line="600" w:lineRule="exact"/>
        <w:jc w:val="center"/>
        <w:outlineLvl w:val="0"/>
        <w:rPr>
          <w:rFonts w:ascii="黑体" w:hAnsi="黑体" w:eastAsia="黑体"/>
          <w:sz w:val="44"/>
          <w:szCs w:val="44"/>
        </w:rPr>
      </w:pPr>
    </w:p>
    <w:p w14:paraId="3397D9D5">
      <w:pPr>
        <w:spacing w:line="600" w:lineRule="exact"/>
        <w:jc w:val="center"/>
        <w:outlineLvl w:val="0"/>
        <w:rPr>
          <w:rFonts w:ascii="黑体" w:hAnsi="黑体" w:eastAsia="黑体"/>
          <w:sz w:val="44"/>
          <w:szCs w:val="44"/>
        </w:rPr>
      </w:pPr>
    </w:p>
    <w:p w14:paraId="638C7EDE">
      <w:pPr>
        <w:pStyle w:val="6"/>
        <w:spacing w:before="93"/>
        <w:rPr>
          <w:rFonts w:ascii="黑体" w:hAnsi="黑体" w:eastAsia="黑体"/>
          <w:sz w:val="44"/>
          <w:szCs w:val="44"/>
        </w:rPr>
      </w:pPr>
    </w:p>
    <w:p w14:paraId="1FEBF739">
      <w:pPr>
        <w:pStyle w:val="6"/>
        <w:spacing w:before="93"/>
        <w:rPr>
          <w:rFonts w:ascii="黑体" w:hAnsi="黑体" w:eastAsia="黑体"/>
          <w:sz w:val="44"/>
          <w:szCs w:val="44"/>
        </w:rPr>
      </w:pPr>
    </w:p>
    <w:p w14:paraId="3A7800C0">
      <w:pPr>
        <w:pStyle w:val="6"/>
        <w:spacing w:before="93"/>
        <w:rPr>
          <w:rFonts w:ascii="黑体" w:hAnsi="黑体" w:eastAsia="黑体"/>
          <w:sz w:val="44"/>
          <w:szCs w:val="44"/>
        </w:rPr>
      </w:pPr>
    </w:p>
    <w:p w14:paraId="28C1A4B0">
      <w:pPr>
        <w:pStyle w:val="6"/>
        <w:spacing w:before="93"/>
        <w:rPr>
          <w:rFonts w:ascii="黑体" w:hAnsi="黑体" w:eastAsia="黑体"/>
          <w:sz w:val="44"/>
          <w:szCs w:val="44"/>
        </w:rPr>
      </w:pPr>
    </w:p>
    <w:p w14:paraId="27D7ACBC">
      <w:pPr>
        <w:pStyle w:val="6"/>
        <w:spacing w:before="93"/>
        <w:rPr>
          <w:rFonts w:ascii="黑体" w:hAnsi="黑体" w:eastAsia="黑体"/>
          <w:sz w:val="44"/>
          <w:szCs w:val="44"/>
        </w:rPr>
      </w:pPr>
    </w:p>
    <w:p w14:paraId="180A7600">
      <w:pPr>
        <w:spacing w:line="600" w:lineRule="exact"/>
        <w:jc w:val="center"/>
        <w:outlineLvl w:val="0"/>
        <w:rPr>
          <w:rStyle w:val="27"/>
          <w:rFonts w:ascii="黑体" w:hAnsi="黑体" w:eastAsia="黑体"/>
          <w:b w:val="0"/>
        </w:rPr>
      </w:pPr>
      <w:r>
        <w:rPr>
          <w:rFonts w:ascii="宋体"/>
          <w:b/>
          <w:sz w:val="44"/>
          <w:szCs w:val="44"/>
        </w:rPr>
        <w:br w:type="page"/>
      </w:r>
      <w:bookmarkStart w:id="104" w:name="_Toc15396614"/>
      <w:bookmarkStart w:id="105" w:name="_Toc7151_WPSOffice_Level1"/>
      <w:r>
        <w:rPr>
          <w:rFonts w:hint="eastAsia" w:ascii="黑体" w:hAnsi="黑体" w:eastAsia="黑体"/>
          <w:sz w:val="44"/>
          <w:szCs w:val="44"/>
        </w:rPr>
        <w:t>第</w:t>
      </w:r>
      <w:r>
        <w:rPr>
          <w:rStyle w:val="27"/>
          <w:rFonts w:hint="eastAsia" w:ascii="黑体" w:hAnsi="黑体" w:eastAsia="黑体"/>
          <w:b w:val="0"/>
        </w:rPr>
        <w:t>四部分 附件</w:t>
      </w:r>
      <w:bookmarkEnd w:id="104"/>
      <w:bookmarkEnd w:id="105"/>
    </w:p>
    <w:p w14:paraId="645D9F56">
      <w:pPr>
        <w:spacing w:line="572" w:lineRule="exact"/>
        <w:jc w:val="left"/>
        <w:outlineLvl w:val="0"/>
        <w:rPr>
          <w:rFonts w:ascii="方正小标宋简体" w:hAnsi="方正小标宋简体" w:eastAsia="方正小标宋简体" w:cs="方正小标宋简体"/>
          <w:sz w:val="44"/>
          <w:szCs w:val="44"/>
        </w:rPr>
      </w:pPr>
      <w:r>
        <w:rPr>
          <w:rFonts w:hint="eastAsia" w:ascii="黑体" w:hAnsi="黑体" w:eastAsia="黑体" w:cs="黑体"/>
          <w:sz w:val="32"/>
          <w:szCs w:val="32"/>
        </w:rPr>
        <w:t>附件</w:t>
      </w:r>
    </w:p>
    <w:p w14:paraId="76B68F10">
      <w:pPr>
        <w:spacing w:line="640" w:lineRule="exact"/>
        <w:jc w:val="center"/>
        <w:rPr>
          <w:rFonts w:ascii="方正小标宋_GBK" w:hAnsi="方正小标宋_GBK" w:eastAsia="方正小标宋_GBK" w:cs="方正小标宋_GBK"/>
          <w:sz w:val="44"/>
          <w:szCs w:val="44"/>
        </w:rPr>
      </w:pPr>
      <w:bookmarkStart w:id="106" w:name="_Toc26037_WPSOffice_Level2"/>
      <w:r>
        <w:rPr>
          <w:rFonts w:hint="eastAsia" w:ascii="方正小标宋_GBK" w:hAnsi="方正小标宋_GBK" w:eastAsia="方正小标宋_GBK" w:cs="方正小标宋_GBK"/>
          <w:sz w:val="44"/>
          <w:szCs w:val="44"/>
        </w:rPr>
        <w:t>2021年盐边县幼儿园</w:t>
      </w:r>
      <w:bookmarkEnd w:id="106"/>
    </w:p>
    <w:p w14:paraId="549B5D6F">
      <w:pPr>
        <w:spacing w:line="640" w:lineRule="exact"/>
        <w:jc w:val="center"/>
        <w:rPr>
          <w:rFonts w:ascii="方正小标宋_GBK" w:hAnsi="方正小标宋_GBK" w:eastAsia="方正小标宋_GBK" w:cs="方正小标宋_GBK"/>
          <w:sz w:val="32"/>
          <w:szCs w:val="32"/>
        </w:rPr>
      </w:pPr>
      <w:bookmarkStart w:id="107" w:name="_Toc4576_WPSOffice_Level2"/>
      <w:r>
        <w:rPr>
          <w:rFonts w:hint="eastAsia" w:ascii="方正小标宋_GBK" w:hAnsi="方正小标宋_GBK" w:eastAsia="方正小标宋_GBK" w:cs="方正小标宋_GBK"/>
          <w:sz w:val="44"/>
          <w:szCs w:val="44"/>
        </w:rPr>
        <w:t>部门整体支出绩效评价报告</w:t>
      </w:r>
      <w:bookmarkEnd w:id="107"/>
    </w:p>
    <w:p w14:paraId="675C58A4">
      <w:pPr>
        <w:rPr>
          <w:rFonts w:ascii="宋体" w:hAnsi="宋体" w:cs="宋体"/>
        </w:rPr>
      </w:pPr>
    </w:p>
    <w:p w14:paraId="5CC18C4E"/>
    <w:p w14:paraId="0830686D">
      <w:pPr>
        <w:spacing w:line="560" w:lineRule="exact"/>
        <w:ind w:firstLine="640" w:firstLineChars="200"/>
        <w:rPr>
          <w:rFonts w:ascii="仿宋_GB2312" w:hAnsi="仿宋_GB2312" w:eastAsia="仿宋_GB2312" w:cs="仿宋_GB2312"/>
          <w:sz w:val="32"/>
          <w:szCs w:val="32"/>
        </w:rPr>
      </w:pPr>
      <w:bookmarkStart w:id="108" w:name="_Toc18202_WPSOffice_Level2"/>
      <w:r>
        <w:rPr>
          <w:rFonts w:hint="eastAsia" w:ascii="仿宋_GB2312" w:hAnsi="仿宋_GB2312" w:eastAsia="仿宋_GB2312" w:cs="仿宋_GB2312"/>
          <w:sz w:val="32"/>
          <w:szCs w:val="32"/>
        </w:rPr>
        <w:t>一、部门概况。</w:t>
      </w:r>
      <w:bookmarkEnd w:id="108"/>
    </w:p>
    <w:p w14:paraId="4422DA24">
      <w:pPr>
        <w:snapToGrid w:val="0"/>
        <w:spacing w:line="520" w:lineRule="exact"/>
        <w:ind w:firstLine="640" w:firstLineChars="200"/>
        <w:rPr>
          <w:rFonts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lang w:val="zh-CN"/>
        </w:rPr>
        <w:t>（一）机构组成：</w:t>
      </w:r>
    </w:p>
    <w:p w14:paraId="081767EE">
      <w:pPr>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为学龄前儿童提供保育和教育服务。幼儿教育，幼儿保育。</w:t>
      </w:r>
    </w:p>
    <w:p w14:paraId="04FAC891">
      <w:pPr>
        <w:pStyle w:val="6"/>
        <w:adjustRightInd w:val="0"/>
        <w:snapToGrid w:val="0"/>
        <w:spacing w:before="93" w:line="600" w:lineRule="exact"/>
        <w:ind w:firstLine="672" w:firstLineChars="210"/>
        <w:outlineLvl w:val="2"/>
        <w:rPr>
          <w:rFonts w:hAnsi="仿宋_GB2312" w:cs="仿宋_GB2312"/>
          <w:bCs/>
          <w:color w:val="000000"/>
          <w:sz w:val="32"/>
          <w:szCs w:val="32"/>
        </w:rPr>
      </w:pPr>
      <w:r>
        <w:rPr>
          <w:rFonts w:hint="eastAsia" w:hAnsi="仿宋_GB2312" w:cs="仿宋_GB2312"/>
          <w:color w:val="000000"/>
          <w:sz w:val="32"/>
          <w:szCs w:val="32"/>
          <w:shd w:val="clear" w:color="auto" w:fill="FFFFFF"/>
          <w:lang w:val="zh-CN"/>
        </w:rPr>
        <w:t>（二）单位基本职能。</w:t>
      </w:r>
    </w:p>
    <w:p w14:paraId="23ED1182">
      <w:pPr>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认真贯彻执行党和国家的有关法律法规，方针，政策，依法办园，坚持正确的办园方向；落实《3-6岁儿童学习与发展指南》的精神，遵循“正确的爱培养良好习惯，快乐游戏激发多元潜能”的办园理念；立足“幼儿乐学、家长乐道、教师乐教”的办园宗旨；以“玩中学、学中乐、乐中长”的教学理念。遵循幼儿身心发展的规律，以一日生活皆教育，提升保教质量，促进幼儿全面和谐发展。</w:t>
      </w:r>
    </w:p>
    <w:p w14:paraId="58C56FDB">
      <w:pPr>
        <w:widowControl/>
        <w:spacing w:line="60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2021年设大中小教学班12 个，有在园幼儿392人，在编教职工28人，（长病4人，带病坚持上岗4人，借出1人），另有在岗不在编6人；本科学历14人，大专13人，学历达标率100%。有高级教师职称4人，中级职称14人，初级职称9人，技术工1人，市县级骨干教师学科带头人6名。</w:t>
      </w:r>
    </w:p>
    <w:p w14:paraId="29611747">
      <w:pPr>
        <w:snapToGrid w:val="0"/>
        <w:spacing w:line="520" w:lineRule="exact"/>
        <w:ind w:firstLine="321" w:firstLineChars="100"/>
        <w:rPr>
          <w:rFonts w:ascii="仿宋_GB2312" w:hAnsi="仿宋_GB2312" w:eastAsia="仿宋_GB2312" w:cs="仿宋_GB2312"/>
          <w:b/>
          <w:sz w:val="32"/>
          <w:szCs w:val="32"/>
        </w:rPr>
      </w:pPr>
      <w:r>
        <w:rPr>
          <w:rFonts w:hint="eastAsia" w:ascii="仿宋_GB2312" w:hAnsi="仿宋_GB2312" w:eastAsia="仿宋_GB2312" w:cs="仿宋_GB2312"/>
          <w:b/>
          <w:sz w:val="32"/>
          <w:szCs w:val="32"/>
        </w:rPr>
        <w:t>（三）当年取得的主要事业成效。</w:t>
      </w:r>
    </w:p>
    <w:p w14:paraId="0CC6B5CB">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1、指导思想</w:t>
      </w:r>
    </w:p>
    <w:p w14:paraId="3E38ECA9">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思想上，认真贯彻落实科学发展观，领导班子各司其职，带领全体教职员工以习近平新时代中国特色社会主义思想为指导，认真开展学党史，强信念活动，认真履行职责，充分发挥班子的整体效能， 紧紧围绕上级各类决策部署，以《纲要》《指南》为准绳，以“规范管理，彰显特色，优质发展”为目标，以贯彻落实“党史学习”主题教育增强“四个意识”、坚定“四个自信”、做到“两个维护”为重点，着力推进师资队伍建设和特色教育，推动幼儿园取得新的成绩和发展。</w:t>
      </w:r>
    </w:p>
    <w:p w14:paraId="28DBE6EA">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认真组织广大教职工学习党的上级各部门关于防治腐败相关文件、各种警示教育，增强了自己及教职工自身廉政意识，提高拒腐防变能力。同时加强对党员干部的党性、党风、党纪教育与学习，预防和制止腐败发生。</w:t>
      </w:r>
    </w:p>
    <w:p w14:paraId="1736587B">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2、加强党风廉政建设</w:t>
      </w:r>
    </w:p>
    <w:p w14:paraId="1AED2660">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按照关于增强领导干部作风建设的相关要求，联系思想和工作实际，认真学习了习近平总书记在庆祝中国共产党成立100周年大会上的“七一”重要讲话精神；深入</w:t>
      </w:r>
      <w:r>
        <w:rPr>
          <w:rFonts w:hint="eastAsia" w:ascii="仿宋_GB2312" w:hAnsi="仿宋_GB2312" w:eastAsia="仿宋_GB2312" w:cs="仿宋_GB2312"/>
          <w:sz w:val="32"/>
          <w:szCs w:val="32"/>
          <w:lang w:eastAsia="zh-CN"/>
        </w:rPr>
        <w:t>贯彻落实中共十九届六中全会精神</w:t>
      </w:r>
      <w:r>
        <w:rPr>
          <w:rFonts w:hint="eastAsia" w:ascii="仿宋_GB2312" w:hAnsi="仿宋_GB2312" w:eastAsia="仿宋_GB2312" w:cs="仿宋_GB2312"/>
          <w:sz w:val="32"/>
          <w:szCs w:val="32"/>
        </w:rPr>
        <w:t>；通过集中学习、自学、主题教育等多种形式组织师幼开展学党史活动；集中组织学习《中国共产党发展史》《中国共产党党员领导干部廉洁从政若干准则》等党纪条规。认真组织广大教职工学习党的上级各部关于防治腐败相关文件、各种警示教育，增强了自己及教职工自身廉政意识，提高拒腐防变能力。</w:t>
      </w:r>
    </w:p>
    <w:p w14:paraId="16E5F37D">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认真查找了班子和个人在理想信念、落实党风廉政建设责任制等方面存有的问题，剖析了存有问题的根源，并提出了今后努力的方向和整改措施。同时加强对党员干部的党性、党风、党纪教育与学习，预防和制止腐败发生。让每位员工都有“用爱拥抱童心、为孩子撑起一片纯净的蓝天，为幼儿园开辟一块快乐的土地！”的幼儿教育者角色意识。</w:t>
      </w:r>
    </w:p>
    <w:p w14:paraId="0EBAC83F">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3、规范财经管理</w:t>
      </w:r>
    </w:p>
    <w:p w14:paraId="2EA0D774">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本年度召开全园职工一起拟定了《幼儿园考勤制度（试行）》《盐边县幼儿园教师职称岗位补缺聘用方案》《盐边县幼儿园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三重一大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制度》《盐边县幼儿园幼儿资助管理办法》等制度；对教职工考核、绩效奖金发放、教职工评级晋职等工作，均依据相关制度进行，严格按制度办事，所有考核评定均让职工信服。不因人设岗，不因人定事。</w:t>
      </w:r>
    </w:p>
    <w:p w14:paraId="6B764A50">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加强幼儿园的民主管理和民主监督，促进园所党风廉政建设和行风建设的开展。在岗位调整、职务晋升、奖励晋级等问题上，不搞个人说了算，走民主集中，制度管理的道路。在班子中，提倡“合理碰撞”，提意见直言不讳，摆问题开诚布公，不积怨。</w:t>
      </w:r>
    </w:p>
    <w:p w14:paraId="340DE2B6">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4、特色重点亮点工作</w:t>
      </w:r>
    </w:p>
    <w:p w14:paraId="13BF3F81">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以党建促园所发展，取得新成效</w:t>
      </w:r>
    </w:p>
    <w:p w14:paraId="2AF3F41B">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园领导班子主动承担起党建工作，一年来，党支部旗帜鲜明以“推进学前教育普及普惠安全优质发展，满足人民群众对幼有所育的美好期盼，为培养德智体美劳全面发展的社会主义建设者和接班人奠定坚实基础”的办学思路，紧紧围绕社会主义核心价值观体系，研究探索园所“我们从哪里来？我们正在哪里？我们要到哪里去？”认清了“优质发展成为了园所迫切的时代担当”、“学前教育是国民教育体系的重要部分，是为党育人，为国育才之根基”，定位“幼儿园的教育必须以儿童全面启蒙、终身发展作为成长基点来谋划，从民生视角和国家未来发展的时代高度来谋划，办好高品质的学前教育是为孩子的成长负责，是为人才的涌现奠基”的园所发展方向。明确了以教师、幼儿、家长构成的“三位一体” 德育对象，把党政工作充分融入德育建设全过程，充分发挥党支部战斗堡垒和政治核心作用，有力促进全园德育工作的开展，为幼儿系好“人生第一粒扣子” ，以德育工作推动全园保教工作取得新的发展，不断提升办园品质。</w:t>
      </w:r>
    </w:p>
    <w:p w14:paraId="6BE88B25">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全面加强师德师风建设</w:t>
      </w:r>
    </w:p>
    <w:p w14:paraId="532EF464">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要求领导班子铭记：凡要求职工做到的，自己首先做到，凡要求职工不做的，自己首先不做，在执行党纪、政纪和幼儿园的各项规章制度方面，给职工做好榜样，不搞特殊，在个人利益上要做到先人后己，要有奉献精神。</w:t>
      </w:r>
    </w:p>
    <w:p w14:paraId="4B62742C">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教师方面通过学习《新时代幼儿教师职业行为十项准则》等文件精神、签订《师德师风承诺书》、 开展师德师风警示教育、举办教职工法制讲座等方式，加强教职工师德师风思想意识； 通过每周开展会前学法，在建党节、教师节等节日开展师德师风主题活动、“抗击疫情、 爱在行动”班级主题墙、游戏区角比赛等活动，努力丰富师德师风教育形式:通过建立健全师德师风长效机制，通过民主评议考核、学期及年度个人考核，以及评优评选、岗位评聘、各类荣誉称号推评等工作，加大师德师风考核力度，有力促进师德师风建设巩固成效。</w:t>
      </w:r>
    </w:p>
    <w:p w14:paraId="1B0F9FA4">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特色园本课程初显成效</w:t>
      </w:r>
    </w:p>
    <w:p w14:paraId="416C2062">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所学校发展到一定阶段，必然需要形成具有自身特色的学校文化沉淀。一年来非常注重园本特色课程建设，结合本土实际，初步定位园所发展特色：“自然、传承、运动、阳光”，育“健怡（身体强壮、心理阳光、乐观自信、积极向上）、善思、储善、尚美”的幼儿的教育目标的办学特色。</w:t>
      </w:r>
    </w:p>
    <w:p w14:paraId="6C232637">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将德育工作有效融入教育教学活动中，以符合幼儿年龄特点的活动，通过开展“每周国旗下表演”、“ 书香阅读”读书角、“党史学习教育”、一起打败“冠小毒”等特色主题活动，在幼儿教育教学活动中贯彻落实新冠肺炎常态化防控工作要求，让小朋友们认识新冠病毒，初步了解国家大事，认识和感恩疫情防控英雄，从小坚定爱党爱国理想信念，从小培养爱家乡、爱祖国的情怀。</w:t>
      </w:r>
    </w:p>
    <w:p w14:paraId="1B7E0B49">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5、家园、社区共育成果</w:t>
      </w:r>
    </w:p>
    <w:p w14:paraId="4D83BA5F">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《幼儿园教育指导纲要》提出:“幼儿园应与家庭、 社区密切合作,与小学相互街接,综合利用各种教育资源,共同为幼儿的发展创造良好的条件。”一年来,注重发挥家庭、社区教育资源的作用,努力构建社区、家庭、幼儿园共育共享平台，把幼儿园教育与家庭、社区教育相融汇，形成社会与家园合力，培养幼儿成为健康活泼、好奇探究、亲近自然、爱护环境、勇敢自信、有初步责任感的幼儿，家园同步、协调地提高孩子的综合素质。</w:t>
      </w:r>
    </w:p>
    <w:p w14:paraId="5191B9F5">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6、加强意识形态工作和民族团结工作</w:t>
      </w:r>
    </w:p>
    <w:p w14:paraId="5E97D7F9">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幼儿园是个多民族构建的集体，是由多民族的师生组成的一个大家庭。支部充分认识民族宗教问题与园所工作息息相关，充分认识新形式下做好民族工作的重要性。引导和带领广大师生正确认识民族宗教问题，尊重少数民族师生的风俗习惯，结合国旗下的表演、主题活动等开展形式多样的民族融合活动，建多民族和谐校园。</w:t>
      </w:r>
    </w:p>
    <w:p w14:paraId="024561D9">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7、健全运行机制，强化幼儿园安全工作</w:t>
      </w:r>
    </w:p>
    <w:p w14:paraId="3AC77502">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牢固树立“安全第一”的大局意识，把安全责任落实到人，实行一岗双责，建立学校安全管理工作档案。在传染病防控方面，坚持做到预防为主、防治结合的原则。扎实开展各项安全防范工作，有效保障幼儿园财产和师幼生命的安全，维护了正常的教学秩序和幼儿园的稳定。</w:t>
      </w:r>
    </w:p>
    <w:p w14:paraId="10E0A9E5">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建立健全了安全管理工作各项规章制度，做到各司其职、各负其责、密切配合、齐抓共管。做到每会必讲安全，每活动必进行安全教育，随机进行安全检查，力求把事后监督、查处工作前移到事前防患。</w:t>
      </w:r>
    </w:p>
    <w:p w14:paraId="15E26A58">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完善了重大安全事故应急处理预案，定期开展对师生开展各种安全教育和模拟演练，增强教师和幼儿面对突发事件时自救的能力。</w:t>
      </w:r>
    </w:p>
    <w:p w14:paraId="2A1675A1">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优化了对食品安全的管理。为了保证幼儿膳食科学合理、保证食物的多样性、丰富性，每周由分管园长、保健医师、食堂管理人员制定科学合理的食谱。贯彻落实“制止餐饮浪费”“三爱三节”教育、“光盘行动”主题教育，让孩子们从小就养成爱惜粮食，厉行节约的好习惯。</w:t>
      </w:r>
    </w:p>
    <w:p w14:paraId="3AAB7C27">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8、存在主要问题</w:t>
      </w:r>
    </w:p>
    <w:p w14:paraId="5FC6B5C3">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一是原定于2021年暑假期间开展的幼儿园维修改造工程因多种原因未能如期实施。</w:t>
      </w:r>
    </w:p>
    <w:p w14:paraId="6537F29F">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二是内部分工合作不到位，领导班子中存在怕担工作责任的情况。</w:t>
      </w:r>
    </w:p>
    <w:p w14:paraId="2E63B679">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9、下步工作思路</w:t>
      </w:r>
    </w:p>
    <w:p w14:paraId="425C0B56">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1.目前幼儿园围墙、挡墙有裂缝、瓷砖脱落严重、未按要求设置消防喷淋系统、监控未全覆盖，存在安全隐患。争取资金，改善办学条件。</w:t>
      </w:r>
    </w:p>
    <w:p w14:paraId="602BB1BD">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2.进一步提高幼儿园办园质量，彰显办园特色。</w:t>
      </w:r>
    </w:p>
    <w:p w14:paraId="074E9527">
      <w:pPr>
        <w:pStyle w:val="8"/>
        <w:spacing w:line="600" w:lineRule="exact"/>
        <w:ind w:firstLine="640" w:firstLineChars="200"/>
        <w:jc w:val="left"/>
        <w:rPr>
          <w:rFonts w:ascii="仿宋_GB2312" w:hAnsi="仿宋_GB2312" w:eastAsia="仿宋_GB2312" w:cs="仿宋_GB2312"/>
          <w:sz w:val="32"/>
          <w:szCs w:val="32"/>
        </w:rPr>
      </w:pPr>
      <w:bookmarkStart w:id="109" w:name="_Toc2469_WPSOffice_Level2"/>
      <w:r>
        <w:rPr>
          <w:rFonts w:hint="eastAsia" w:ascii="仿宋_GB2312" w:hAnsi="仿宋_GB2312" w:eastAsia="仿宋_GB2312" w:cs="仿宋_GB2312"/>
          <w:sz w:val="32"/>
          <w:szCs w:val="32"/>
        </w:rPr>
        <w:t>二、部门财政资金基本情况</w:t>
      </w:r>
      <w:bookmarkEnd w:id="109"/>
    </w:p>
    <w:p w14:paraId="6CBCA573">
      <w:pPr>
        <w:widowControl/>
        <w:adjustRightInd w:val="0"/>
        <w:snapToGrid w:val="0"/>
        <w:spacing w:line="580" w:lineRule="exact"/>
        <w:ind w:firstLine="640" w:firstLineChars="200"/>
        <w:contextualSpacing/>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（一）财政资金收入情况。</w:t>
      </w:r>
    </w:p>
    <w:p w14:paraId="1C241408">
      <w:pPr>
        <w:widowControl/>
        <w:adjustRightInd w:val="0"/>
        <w:snapToGrid w:val="0"/>
        <w:spacing w:line="580" w:lineRule="exact"/>
        <w:ind w:firstLine="640" w:firstLineChars="200"/>
        <w:contextualSpacing/>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2021年财政年初预算414.3万元，调整预算数570.7万元，（事业收入21.2）；决算数570.7万元，（事业收入21.2）年末结余结转7.7万元，2021年实现财政资金项目及基本收入总额578.4万元。</w:t>
      </w:r>
    </w:p>
    <w:p w14:paraId="2F213612">
      <w:pPr>
        <w:widowControl/>
        <w:adjustRightInd w:val="0"/>
        <w:snapToGrid w:val="0"/>
        <w:spacing w:line="580" w:lineRule="exact"/>
        <w:ind w:firstLine="640" w:firstLineChars="200"/>
        <w:contextualSpacing/>
        <w:jc w:val="left"/>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（二）财政资金支出情况。</w:t>
      </w:r>
    </w:p>
    <w:p w14:paraId="28242F1A">
      <w:pPr>
        <w:widowControl/>
        <w:adjustRightInd w:val="0"/>
        <w:snapToGrid w:val="0"/>
        <w:spacing w:line="580" w:lineRule="exact"/>
        <w:ind w:firstLine="640" w:firstLineChars="200"/>
        <w:contextualSpacing/>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2021年财政年支出初预算414.3万元，调整预算数578.4万元，决算数578.4万元，年末结余结转0万元，2021年实现财政资金项目及基本支出总额578.4万元。</w:t>
      </w:r>
    </w:p>
    <w:p w14:paraId="0F2FB4C4">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color w:val="000000"/>
          <w:sz w:val="32"/>
          <w:szCs w:val="32"/>
        </w:rPr>
        <w:t>1、基本支出：年初预算数414.3万元，调整预算数513.3万元，决算数513.3万元，分别为</w:t>
      </w:r>
      <w:r>
        <w:rPr>
          <w:rFonts w:hint="eastAsia" w:ascii="仿宋_GB2312" w:hAnsi="仿宋_GB2312" w:eastAsia="仿宋_GB2312" w:cs="仿宋_GB2312"/>
          <w:kern w:val="0"/>
          <w:sz w:val="32"/>
          <w:szCs w:val="32"/>
        </w:rPr>
        <w:t>人员经费年初预算数381.1万元，调整预算数482.1万元，决算数482.1万元；（其中：工资福利支出417.7万元。分别为：基本工资139.5万元、津贴补贴28.5万元、绩效工资131.7万元；机关事业单位基本养老保险缴费42.3万元；职业年金缴费6.4万元；职工基本医疗保险缴费22.6万元，公务员医疗补助缴费2.3万元，其他社会保障缴费4.9万元；住房公积金39.5万元。</w:t>
      </w:r>
    </w:p>
    <w:p w14:paraId="34367F26">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公用支出年初预算数33.2万元，调整预算数31.1万元，决算31.1万元：（其中商品和服务支出31.1万元；分别为：办公费10.1万元；水费2万元；电费3万元；邮电费0.4万元；差旅费1.5万元；维修（护）费1.6万元；会议费0.1万元；培训费1.1有限元；劳务费5.8万元；工会经费2.4万元；福利费0.05万元。</w:t>
      </w:r>
    </w:p>
    <w:p w14:paraId="29B8944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3、对个人和家庭的补助支出64.5元，分别为：生活补助62.4万元、医疗费2万元、奖励金0.04万元。</w:t>
      </w:r>
    </w:p>
    <w:p w14:paraId="291CEF23">
      <w:pPr>
        <w:spacing w:line="560" w:lineRule="exact"/>
        <w:ind w:firstLine="803" w:firstLineChars="25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4.项目支出：决算数65.2万元，分别为</w:t>
      </w:r>
    </w:p>
    <w:p w14:paraId="560EE3E9">
      <w:pPr>
        <w:widowControl/>
        <w:adjustRightInd w:val="0"/>
        <w:snapToGrid w:val="0"/>
        <w:spacing w:line="580" w:lineRule="exact"/>
        <w:ind w:firstLine="640" w:firstLineChars="200"/>
        <w:contextualSpacing/>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（1）工资福利支出：1.6万元；分别为：盐边县2018年下达（2013-2042年度）全县机关事业单位退休职工住房补贴1.6万元</w:t>
      </w:r>
    </w:p>
    <w:p w14:paraId="144A4574">
      <w:pPr>
        <w:widowControl/>
        <w:adjustRightInd w:val="0"/>
        <w:snapToGrid w:val="0"/>
        <w:spacing w:line="580" w:lineRule="exact"/>
        <w:ind w:firstLine="640" w:firstLineChars="200"/>
        <w:contextualSpacing/>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（2）商品和服务支出57.6万元。（其中：办公费10.1万元；水费0.2万元；电费2.3万元；物业管理费0.03万元；差旅费0.5万元；会议费4.8万元；劳务费39万元；其他商品和服务支出0.3万元）。</w:t>
      </w:r>
    </w:p>
    <w:p w14:paraId="00572486">
      <w:pPr>
        <w:widowControl/>
        <w:adjustRightInd w:val="0"/>
        <w:snapToGrid w:val="0"/>
        <w:spacing w:line="580" w:lineRule="exact"/>
        <w:ind w:firstLine="640" w:firstLineChars="200"/>
        <w:contextualSpacing/>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（3）对个人和家庭的补助6万元。（其中：其他对个人和家庭的补助6万元）</w:t>
      </w:r>
    </w:p>
    <w:p w14:paraId="2A20D0B1">
      <w:pPr>
        <w:widowControl/>
        <w:adjustRightInd w:val="0"/>
        <w:snapToGrid w:val="0"/>
        <w:spacing w:line="580" w:lineRule="exact"/>
        <w:ind w:firstLine="640" w:firstLineChars="200"/>
        <w:contextualSpacing/>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（三）财政资金结转结余情况。</w:t>
      </w:r>
    </w:p>
    <w:p w14:paraId="47F2EFFE">
      <w:pPr>
        <w:widowControl/>
        <w:adjustRightInd w:val="0"/>
        <w:snapToGrid w:val="0"/>
        <w:spacing w:line="580" w:lineRule="exact"/>
        <w:ind w:firstLine="640" w:firstLineChars="200"/>
        <w:contextualSpacing/>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我校年末结余根据盐财资行118号文件归集上缴</w:t>
      </w:r>
    </w:p>
    <w:p w14:paraId="4DEDB565">
      <w:pPr>
        <w:widowControl/>
        <w:adjustRightInd w:val="0"/>
        <w:snapToGrid w:val="0"/>
        <w:spacing w:line="580" w:lineRule="exact"/>
        <w:ind w:firstLine="640" w:firstLineChars="200"/>
        <w:contextualSpacing/>
        <w:jc w:val="left"/>
        <w:rPr>
          <w:rFonts w:ascii="仿宋_GB2312" w:hAnsi="仿宋_GB2312" w:eastAsia="仿宋_GB2312" w:cs="仿宋_GB2312"/>
          <w:color w:val="000000"/>
          <w:sz w:val="32"/>
          <w:szCs w:val="32"/>
        </w:rPr>
      </w:pPr>
      <w:bookmarkStart w:id="110" w:name="_Toc11531_WPSOffice_Level2"/>
      <w:r>
        <w:rPr>
          <w:rFonts w:hint="eastAsia" w:ascii="仿宋_GB2312" w:hAnsi="仿宋_GB2312" w:eastAsia="仿宋_GB2312" w:cs="仿宋_GB2312"/>
          <w:color w:val="000000"/>
          <w:sz w:val="32"/>
          <w:szCs w:val="32"/>
        </w:rPr>
        <w:t>三、部门预算绩效管理情况</w:t>
      </w:r>
      <w:bookmarkEnd w:id="110"/>
    </w:p>
    <w:p w14:paraId="3354C087">
      <w:pPr>
        <w:widowControl/>
        <w:adjustRightInd w:val="0"/>
        <w:snapToGrid w:val="0"/>
        <w:spacing w:line="580" w:lineRule="exact"/>
        <w:ind w:firstLine="640" w:firstLineChars="200"/>
        <w:contextualSpacing/>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（一）部门预算绩效管理。</w:t>
      </w:r>
    </w:p>
    <w:p w14:paraId="556AD6E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严格全园债务工作管理，按照“无资金来源项目一律不予实施，已安排资金项目一律不留缺口的原则”进行教学设备采购及教学设施改造，不断优化学校教学环境；二是严格政府采购，园区购置办公设备、教学设备设施严格按照《中华人民共和国政府采购法》相关规定执行，并按照要求报县机关事务管理局、县国资办审批备案，加强固定资产管理，避免造成国有资产流失等现象发生；三是建立健全全园内部管理控制制度，财务管理报账员与会计分设、印章专人管理、园区财产由总务办公室统一管理，并逐一登记台账，主动公开全院财务、园务情况，依法接受财政监督情况等。</w:t>
      </w:r>
    </w:p>
    <w:p w14:paraId="7EC3504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2.部门内部控制制度的执行。</w:t>
      </w:r>
    </w:p>
    <w:p w14:paraId="25EBB75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制定内部控制建设工作方案、成立内部控制领导小组、设立内部控制工作小组办公室；修订原有的内部控制制度、补充新的内部控制制度、重点落实内部控制制度的执行与督查；建立权力运行制衡机制，完善分事行权、分级授权、分岗设权、定期轮岗、明晰职责、集体决策等制度；对预算、收支、采购、资产、建设项目、合同管理等制度的严格执行；清理领导权力清单、部门责任清单、岗位职责清单等，内部控制工作取得了一定的成效。</w:t>
      </w:r>
    </w:p>
    <w:p w14:paraId="5EE6697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3.信息公开。</w:t>
      </w:r>
    </w:p>
    <w:p w14:paraId="4869C02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结合本单位的实际，具有较强的目标性和可操作性，绩效自评结果也可以为下一年度的绩效管理提供参考和帮助。我校将进一步加强绩效管理，更好地履行本部门的职能职责，提高财政资金的使用效率，将有限的财政投入发挥最大的经济效益和社会效益，并及时完整按照上级要求在内网或外网向社会公开。</w:t>
      </w:r>
    </w:p>
    <w:p w14:paraId="1BFE10B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4.绩效监控。2021年预算执行进度监控情况。</w:t>
      </w:r>
    </w:p>
    <w:p w14:paraId="7CD3B67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为了改进教学环境，提高校园文化建设，完缮园区的基础建设，增添教学设施设备得到充实，办学条件得到很大改善，大力推动了办学条件达标建设，奠定了坚实基础。</w:t>
      </w:r>
    </w:p>
    <w:p w14:paraId="610C9EDE">
      <w:pPr>
        <w:pStyle w:val="8"/>
        <w:spacing w:line="600" w:lineRule="exact"/>
        <w:ind w:left="420" w:leftChars="200"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（1）、年初我园满意度指标为:调研报告基本达到市委党校和县委县政府要求，并完成结项、教师教学水平达到学员基本满意。全年均按计划有序进行，完成率为100%。</w:t>
      </w:r>
    </w:p>
    <w:p w14:paraId="3C37932D">
      <w:pPr>
        <w:pStyle w:val="8"/>
        <w:spacing w:line="600" w:lineRule="exact"/>
        <w:ind w:firstLine="960" w:firstLineChars="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（2）、年初我园产出指标为：开展师资培368次、全年均按计划有序进行上级主管部门交办的各项教学任务，完成率为100%。</w:t>
      </w:r>
    </w:p>
    <w:p w14:paraId="3B15E7BC">
      <w:pPr>
        <w:pStyle w:val="8"/>
        <w:spacing w:line="600" w:lineRule="exact"/>
        <w:ind w:firstLine="960" w:firstLineChars="300"/>
        <w:jc w:val="left"/>
        <w:rPr>
          <w:rFonts w:ascii="仿宋_GB2312" w:hAnsi="仿宋_GB2312" w:eastAsia="仿宋_GB2312" w:cs="仿宋_GB2312"/>
          <w:b/>
          <w:bCs/>
          <w:sz w:val="32"/>
          <w:szCs w:val="32"/>
        </w:rPr>
      </w:pPr>
      <w:r>
        <w:rPr>
          <w:rFonts w:hint="eastAsia" w:ascii="仿宋_GB2312" w:hAnsi="仿宋_GB2312" w:eastAsia="仿宋_GB2312" w:cs="仿宋_GB2312"/>
          <w:sz w:val="32"/>
          <w:szCs w:val="32"/>
        </w:rPr>
        <w:t>（3）、年初我园效益指标为:提升教师教学授课水平。全年均按计划有序进行，完成率为100%。</w:t>
      </w:r>
    </w:p>
    <w:p w14:paraId="5267EE96">
      <w:pPr>
        <w:widowControl/>
        <w:adjustRightInd w:val="0"/>
        <w:snapToGrid w:val="0"/>
        <w:spacing w:line="580" w:lineRule="exact"/>
        <w:ind w:firstLine="960" w:firstLineChars="300"/>
        <w:contextualSpacing/>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（4）、年初我园满意度指标为:通过学校领导组织统一安排，统一部署，年初有工作计划、课题研讨，促进教教育教学水平达到预期效应，完成率为100%。</w:t>
      </w:r>
    </w:p>
    <w:p w14:paraId="7838E1C8">
      <w:pPr>
        <w:pStyle w:val="14"/>
        <w:spacing w:before="0" w:beforeAutospacing="0" w:after="0" w:afterAutospacing="0"/>
        <w:ind w:firstLine="1280" w:firstLineChars="4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我园整体支出绩效情况：自评优，得分  95   分</w:t>
      </w:r>
    </w:p>
    <w:p w14:paraId="393AA813">
      <w:pPr>
        <w:widowControl/>
        <w:adjustRightInd w:val="0"/>
        <w:snapToGrid w:val="0"/>
        <w:spacing w:line="580" w:lineRule="exact"/>
        <w:ind w:firstLine="640" w:firstLineChars="200"/>
        <w:contextualSpacing/>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（二）结果应用情况。</w:t>
      </w:r>
    </w:p>
    <w:p w14:paraId="1A4EA27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我园结合盐边县财政局《关于开展2021年度部门预算整体级项目支出绩效自评工作的通知》（盐边财绩</w:t>
      </w:r>
      <w:r>
        <w:rPr>
          <w:rFonts w:hint="eastAsia" w:ascii="仿宋_GB2312" w:hAnsi="仿宋_GB2312" w:eastAsia="仿宋_GB2312" w:cs="仿宋_GB2312"/>
          <w:color w:val="000000"/>
          <w:sz w:val="32"/>
          <w:szCs w:val="32"/>
        </w:rPr>
        <w:t>〔2022〕</w:t>
      </w:r>
      <w:r>
        <w:rPr>
          <w:rFonts w:hint="eastAsia" w:ascii="仿宋_GB2312" w:hAnsi="仿宋_GB2312" w:eastAsia="仿宋_GB2312" w:cs="仿宋_GB2312"/>
          <w:sz w:val="32"/>
          <w:szCs w:val="32"/>
        </w:rPr>
        <w:t>3号）文件要求，对2021年度部门支出绩效进行了认真自评，自评等级为良好。在资金的管理和使用上，严格按照相关法律、法规规定，遵守财经纪律，认真履行部门职能职责，深入了解资金的执行和使用情况，加强预算绩效信息发布管理制度建设，完善绩效信息公开机制，及时将财政部门批复的部门预算及报表等信息按相关规定和要求在盐边县公众信息网“财政信息”栏中进行公开公示。同时对2021年预算绩效情况于近日通过公众信息网站公开，接受广大群众监督。</w:t>
      </w:r>
    </w:p>
    <w:p w14:paraId="55BB8699">
      <w:pPr>
        <w:widowControl/>
        <w:adjustRightInd w:val="0"/>
        <w:snapToGrid w:val="0"/>
        <w:spacing w:line="580" w:lineRule="exact"/>
        <w:ind w:firstLine="640" w:firstLineChars="200"/>
        <w:contextualSpacing/>
        <w:jc w:val="left"/>
        <w:rPr>
          <w:rFonts w:ascii="仿宋_GB2312" w:hAnsi="仿宋_GB2312" w:eastAsia="仿宋_GB2312" w:cs="仿宋_GB2312"/>
          <w:color w:val="000000"/>
          <w:sz w:val="32"/>
          <w:szCs w:val="32"/>
        </w:rPr>
      </w:pPr>
      <w:bookmarkStart w:id="111" w:name="_Toc3255_WPSOffice_Level2"/>
      <w:r>
        <w:rPr>
          <w:rFonts w:hint="eastAsia" w:ascii="仿宋_GB2312" w:hAnsi="仿宋_GB2312" w:eastAsia="仿宋_GB2312" w:cs="仿宋_GB2312"/>
          <w:color w:val="000000"/>
          <w:sz w:val="32"/>
          <w:szCs w:val="32"/>
        </w:rPr>
        <w:t>四、评价结论及建议</w:t>
      </w:r>
      <w:bookmarkEnd w:id="111"/>
    </w:p>
    <w:p w14:paraId="16276D7B">
      <w:pPr>
        <w:widowControl/>
        <w:adjustRightInd w:val="0"/>
        <w:snapToGrid w:val="0"/>
        <w:spacing w:line="580" w:lineRule="exact"/>
        <w:ind w:firstLine="640" w:firstLineChars="200"/>
        <w:contextualSpacing/>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（一）评价结论。</w:t>
      </w:r>
    </w:p>
    <w:p w14:paraId="019FCF9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我园的公用金费主要收取幼儿保教费，财政拨款比例较小，公用经费开支比较困难。</w:t>
      </w:r>
    </w:p>
    <w:p w14:paraId="6AECA24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（二）改进建议。</w:t>
      </w:r>
    </w:p>
    <w:p w14:paraId="1319B138">
      <w:pPr>
        <w:pStyle w:val="14"/>
        <w:spacing w:before="0" w:beforeAutospacing="0" w:after="0" w:afterAutospacing="0"/>
        <w:ind w:firstLine="84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切实做好预算编制工作，做好本单位情况调查，仔细测算部门资金需求，努力使预算资金合理。及时支出资金，减少部门资金结转。</w:t>
      </w:r>
    </w:p>
    <w:p w14:paraId="5BB07E4B">
      <w:pPr>
        <w:pStyle w:val="14"/>
        <w:spacing w:before="0" w:beforeAutospacing="0" w:after="0" w:afterAutospacing="0"/>
        <w:ind w:firstLine="560"/>
        <w:jc w:val="both"/>
        <w:rPr>
          <w:rFonts w:ascii="仿宋_GB2312" w:hAnsi="仿宋_GB2312" w:eastAsia="仿宋_GB2312" w:cs="仿宋_GB2312"/>
          <w:color w:val="333333"/>
          <w:sz w:val="32"/>
          <w:szCs w:val="32"/>
        </w:rPr>
      </w:pPr>
      <w:r>
        <w:rPr>
          <w:rFonts w:hint="eastAsia" w:ascii="仿宋_GB2312" w:hAnsi="仿宋_GB2312" w:eastAsia="仿宋_GB2312" w:cs="仿宋_GB2312"/>
          <w:kern w:val="2"/>
          <w:sz w:val="32"/>
          <w:szCs w:val="32"/>
        </w:rPr>
        <w:t>进一步建立健全财务制度，规范财务管理，规范教育教学行为；提高教育教学质量，加强校园文化建设，加强学校廉政建设</w:t>
      </w:r>
      <w:r>
        <w:rPr>
          <w:rFonts w:hint="eastAsia" w:ascii="仿宋_GB2312" w:hAnsi="仿宋_GB2312" w:eastAsia="仿宋_GB2312" w:cs="仿宋_GB2312"/>
          <w:color w:val="333333"/>
          <w:sz w:val="32"/>
          <w:szCs w:val="32"/>
        </w:rPr>
        <w:t>。</w:t>
      </w:r>
    </w:p>
    <w:p w14:paraId="1CE9F1F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w:t>
      </w:r>
      <w:r>
        <w:rPr>
          <w:rFonts w:hint="eastAsia" w:ascii="仿宋_GB2312" w:hAnsi="仿宋_GB2312" w:eastAsia="仿宋_GB2312" w:cs="仿宋_GB2312"/>
          <w:color w:val="000000"/>
          <w:sz w:val="32"/>
          <w:szCs w:val="32"/>
        </w:rPr>
        <w:t>预算绩效管理</w:t>
      </w:r>
      <w:r>
        <w:rPr>
          <w:rFonts w:hint="eastAsia" w:ascii="仿宋_GB2312" w:hAnsi="仿宋_GB2312" w:eastAsia="仿宋_GB2312" w:cs="仿宋_GB2312"/>
          <w:sz w:val="32"/>
          <w:szCs w:val="32"/>
        </w:rPr>
        <w:t>业务学习及培训，提高业务人员绩效管理意识， 进一步加强预算绩效管理工作，优化项目支出绩效指标体系，完善预算绩效管理制度，推动我单位 2022年预算绩效管理工作常态化、规范化。</w:t>
      </w:r>
    </w:p>
    <w:p w14:paraId="55F56295">
      <w:pPr>
        <w:pStyle w:val="6"/>
        <w:spacing w:before="93"/>
        <w:rPr>
          <w:lang w:val="zh-CN"/>
        </w:rPr>
      </w:pPr>
    </w:p>
    <w:p w14:paraId="41D3C8A4">
      <w:pPr>
        <w:pStyle w:val="6"/>
        <w:spacing w:before="93"/>
        <w:rPr>
          <w:lang w:val="zh-CN"/>
        </w:rPr>
      </w:pPr>
    </w:p>
    <w:p w14:paraId="74C52599">
      <w:pPr>
        <w:pStyle w:val="6"/>
        <w:spacing w:before="93"/>
        <w:rPr>
          <w:lang w:val="zh-CN"/>
        </w:rPr>
      </w:pPr>
    </w:p>
    <w:p w14:paraId="4A405F9C">
      <w:pPr>
        <w:pStyle w:val="6"/>
        <w:spacing w:before="93"/>
        <w:rPr>
          <w:lang w:val="zh-CN"/>
        </w:rPr>
      </w:pPr>
    </w:p>
    <w:p w14:paraId="22A0B56C">
      <w:pPr>
        <w:pStyle w:val="6"/>
        <w:spacing w:before="93"/>
        <w:rPr>
          <w:lang w:val="zh-CN"/>
        </w:rPr>
      </w:pPr>
    </w:p>
    <w:p w14:paraId="0A5CAA3C">
      <w:pPr>
        <w:pStyle w:val="6"/>
        <w:spacing w:before="93"/>
        <w:rPr>
          <w:lang w:val="zh-CN"/>
        </w:rPr>
      </w:pPr>
    </w:p>
    <w:p w14:paraId="1FFB638A">
      <w:pPr>
        <w:pStyle w:val="6"/>
        <w:spacing w:before="93"/>
        <w:rPr>
          <w:lang w:val="zh-CN"/>
        </w:rPr>
      </w:pPr>
    </w:p>
    <w:p w14:paraId="0A267143">
      <w:pPr>
        <w:pStyle w:val="6"/>
        <w:spacing w:before="93"/>
        <w:rPr>
          <w:lang w:val="zh-CN"/>
        </w:rPr>
      </w:pPr>
    </w:p>
    <w:p w14:paraId="7FD3DFCB">
      <w:pPr>
        <w:pStyle w:val="6"/>
        <w:spacing w:before="93"/>
        <w:rPr>
          <w:lang w:val="zh-CN"/>
        </w:rPr>
      </w:pPr>
    </w:p>
    <w:p w14:paraId="7E3D6162">
      <w:pPr>
        <w:pStyle w:val="6"/>
        <w:spacing w:before="93"/>
        <w:rPr>
          <w:lang w:val="zh-CN"/>
        </w:rPr>
      </w:pPr>
    </w:p>
    <w:p w14:paraId="13CDE983">
      <w:pPr>
        <w:pStyle w:val="6"/>
        <w:spacing w:before="93"/>
        <w:rPr>
          <w:lang w:val="zh-CN"/>
        </w:rPr>
      </w:pPr>
    </w:p>
    <w:p w14:paraId="5D83F246">
      <w:pPr>
        <w:pStyle w:val="6"/>
        <w:spacing w:before="93"/>
        <w:rPr>
          <w:lang w:val="zh-CN"/>
        </w:rPr>
      </w:pPr>
    </w:p>
    <w:p w14:paraId="29F23D4D">
      <w:pPr>
        <w:pStyle w:val="6"/>
        <w:spacing w:before="93"/>
        <w:rPr>
          <w:lang w:val="zh-CN"/>
        </w:rPr>
      </w:pPr>
    </w:p>
    <w:p w14:paraId="4D266C98">
      <w:pPr>
        <w:pStyle w:val="6"/>
        <w:spacing w:before="93"/>
        <w:rPr>
          <w:lang w:val="zh-CN"/>
        </w:rPr>
      </w:pPr>
    </w:p>
    <w:p w14:paraId="5620D0D8">
      <w:pPr>
        <w:pStyle w:val="6"/>
        <w:spacing w:before="93"/>
        <w:rPr>
          <w:lang w:val="zh-CN"/>
        </w:rPr>
      </w:pPr>
    </w:p>
    <w:p w14:paraId="43F8CF34">
      <w:pPr>
        <w:pStyle w:val="6"/>
        <w:spacing w:before="93"/>
        <w:rPr>
          <w:lang w:val="zh-CN"/>
        </w:rPr>
      </w:pPr>
    </w:p>
    <w:p w14:paraId="3B31C479">
      <w:pPr>
        <w:pStyle w:val="6"/>
        <w:spacing w:before="93"/>
        <w:rPr>
          <w:lang w:val="zh-CN"/>
        </w:rPr>
      </w:pPr>
    </w:p>
    <w:tbl>
      <w:tblPr>
        <w:tblStyle w:val="15"/>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14:paraId="32350625">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14:paraId="7F4B33D7">
            <w:pPr>
              <w:widowControl/>
              <w:textAlignment w:val="center"/>
              <w:rPr>
                <w:rFonts w:ascii="宋体" w:hAnsi="宋体" w:cs="宋体"/>
                <w:b/>
                <w:sz w:val="32"/>
                <w:szCs w:val="32"/>
              </w:rPr>
            </w:pPr>
            <w:r>
              <w:rPr>
                <w:rFonts w:hint="eastAsia" w:ascii="宋体" w:hAnsi="宋体" w:cs="宋体"/>
                <w:b/>
                <w:sz w:val="32"/>
                <w:szCs w:val="32"/>
              </w:rPr>
              <w:t>2021年100万元以上（含）特定目标类部门预算项目绩效目标自评</w:t>
            </w:r>
          </w:p>
        </w:tc>
        <w:tc>
          <w:tcPr>
            <w:tcW w:w="236" w:type="dxa"/>
            <w:tcBorders>
              <w:top w:val="nil"/>
              <w:left w:val="nil"/>
              <w:bottom w:val="nil"/>
              <w:right w:val="nil"/>
            </w:tcBorders>
            <w:shd w:val="clear" w:color="auto" w:fill="auto"/>
            <w:vAlign w:val="center"/>
          </w:tcPr>
          <w:p w14:paraId="0310AFCD">
            <w:pPr>
              <w:widowControl/>
              <w:jc w:val="center"/>
              <w:textAlignment w:val="center"/>
              <w:rPr>
                <w:rFonts w:ascii="宋体" w:hAnsi="宋体" w:cs="宋体"/>
                <w:b/>
                <w:kern w:val="0"/>
                <w:sz w:val="32"/>
                <w:szCs w:val="32"/>
              </w:rPr>
            </w:pPr>
          </w:p>
        </w:tc>
      </w:tr>
      <w:tr w14:paraId="5AADB563">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397589">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EED2D">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D9A1B">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DF7F1">
            <w:pPr>
              <w:widowControl/>
              <w:spacing w:line="320" w:lineRule="exact"/>
              <w:jc w:val="center"/>
              <w:textAlignment w:val="center"/>
              <w:rPr>
                <w:rFonts w:ascii="宋体" w:hAnsi="宋体" w:cs="宋体"/>
                <w:sz w:val="24"/>
              </w:rPr>
            </w:pPr>
          </w:p>
        </w:tc>
      </w:tr>
      <w:tr w14:paraId="40ECBA57">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1472D3">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5FD05">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85FAB">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AD518">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DFFD7">
            <w:pPr>
              <w:widowControl/>
              <w:spacing w:line="320" w:lineRule="exact"/>
              <w:jc w:val="right"/>
              <w:textAlignment w:val="center"/>
              <w:rPr>
                <w:rFonts w:ascii="宋体" w:hAnsi="宋体" w:cs="宋体"/>
                <w:sz w:val="24"/>
              </w:rPr>
            </w:pPr>
          </w:p>
        </w:tc>
      </w:tr>
      <w:tr w14:paraId="12962A91">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B57046">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11102">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711662EC">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F8D7">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00263">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4D883EDF">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0D69C">
            <w:pPr>
              <w:widowControl/>
              <w:spacing w:line="320" w:lineRule="exact"/>
              <w:textAlignment w:val="center"/>
              <w:rPr>
                <w:rFonts w:ascii="宋体" w:hAnsi="宋体" w:cs="宋体"/>
                <w:sz w:val="24"/>
              </w:rPr>
            </w:pPr>
          </w:p>
        </w:tc>
      </w:tr>
      <w:tr w14:paraId="48FD671F">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BB4F3">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99190">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21F7F">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F3158">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4A727">
            <w:pPr>
              <w:widowControl/>
              <w:spacing w:line="320" w:lineRule="exact"/>
              <w:jc w:val="center"/>
              <w:textAlignment w:val="center"/>
              <w:rPr>
                <w:rFonts w:ascii="宋体" w:hAnsi="宋体" w:cs="宋体"/>
                <w:sz w:val="24"/>
              </w:rPr>
            </w:pPr>
          </w:p>
        </w:tc>
      </w:tr>
      <w:tr w14:paraId="6781D039">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69F5F1">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14:paraId="480CE4AF">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ADE804">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AA9E24">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5FD9131C">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1E125D">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14:paraId="6EB37D0F">
            <w:pPr>
              <w:widowControl/>
              <w:spacing w:line="320" w:lineRule="exact"/>
              <w:jc w:val="left"/>
              <w:textAlignment w:val="top"/>
              <w:rPr>
                <w:rFonts w:ascii="宋体" w:hAnsi="宋体" w:cs="宋体"/>
                <w:sz w:val="24"/>
              </w:rPr>
            </w:pP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14:paraId="76D18B47">
            <w:pPr>
              <w:widowControl/>
              <w:spacing w:line="320" w:lineRule="exact"/>
              <w:jc w:val="left"/>
              <w:textAlignment w:val="top"/>
              <w:rPr>
                <w:rFonts w:ascii="宋体" w:hAnsi="宋体" w:cs="宋体"/>
                <w:sz w:val="24"/>
              </w:rPr>
            </w:pPr>
          </w:p>
        </w:tc>
      </w:tr>
      <w:tr w14:paraId="06A8C99B">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14:paraId="25BEFDCD">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14:paraId="2B1B7924">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14:paraId="5803217C">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6FDC">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14:paraId="29580E49">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8C550">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14:paraId="612649C7">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94E95">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86433">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14:paraId="71EF5B45">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14:paraId="144AE0F4">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A4B979">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14:paraId="256C1FB7">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09714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54B29F9">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F96215A">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D8A691C">
            <w:pPr>
              <w:widowControl/>
              <w:spacing w:line="320" w:lineRule="exact"/>
              <w:jc w:val="center"/>
              <w:textAlignment w:val="bottom"/>
              <w:rPr>
                <w:rFonts w:ascii="仿宋_GB2312" w:hAnsi="仿宋_GB2312" w:eastAsia="仿宋_GB2312" w:cs="仿宋_GB2312"/>
                <w:sz w:val="28"/>
                <w:szCs w:val="28"/>
              </w:rPr>
            </w:pPr>
          </w:p>
        </w:tc>
      </w:tr>
      <w:tr w14:paraId="27CBBBC0">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14:paraId="068D48E7">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75326982">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A0684C8">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720BD81">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12D754">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3DB86B5">
            <w:pPr>
              <w:widowControl/>
              <w:spacing w:line="320" w:lineRule="exact"/>
              <w:jc w:val="center"/>
              <w:textAlignment w:val="bottom"/>
              <w:rPr>
                <w:rFonts w:ascii="仿宋_GB2312" w:hAnsi="仿宋_GB2312" w:eastAsia="仿宋_GB2312" w:cs="仿宋_GB2312"/>
                <w:sz w:val="28"/>
                <w:szCs w:val="28"/>
              </w:rPr>
            </w:pPr>
          </w:p>
        </w:tc>
      </w:tr>
      <w:tr w14:paraId="79D58930">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14:paraId="4DEE811A">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1DB9FCE">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18E881C">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408980E">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8BE0A8E">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A7CFA4">
            <w:pPr>
              <w:widowControl/>
              <w:spacing w:line="320" w:lineRule="exact"/>
              <w:jc w:val="center"/>
              <w:textAlignment w:val="bottom"/>
              <w:rPr>
                <w:rFonts w:ascii="仿宋_GB2312" w:hAnsi="仿宋_GB2312" w:eastAsia="仿宋_GB2312" w:cs="仿宋_GB2312"/>
                <w:sz w:val="28"/>
                <w:szCs w:val="28"/>
              </w:rPr>
            </w:pPr>
          </w:p>
        </w:tc>
      </w:tr>
      <w:tr w14:paraId="3F14956D">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0FFCE2A3">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738F45C7">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A74D6D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F6286D0">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1DAC6D0">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109C699">
            <w:pPr>
              <w:widowControl/>
              <w:spacing w:line="320" w:lineRule="exact"/>
              <w:jc w:val="center"/>
              <w:textAlignment w:val="bottom"/>
              <w:rPr>
                <w:rFonts w:ascii="仿宋_GB2312" w:hAnsi="仿宋_GB2312" w:eastAsia="仿宋_GB2312" w:cs="仿宋_GB2312"/>
                <w:sz w:val="28"/>
                <w:szCs w:val="28"/>
              </w:rPr>
            </w:pPr>
          </w:p>
        </w:tc>
      </w:tr>
      <w:tr w14:paraId="3979F540">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13B55922">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291B5C">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70B6021">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A73A54E">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199A0F0">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DBFFDD7">
            <w:pPr>
              <w:widowControl/>
              <w:spacing w:line="320" w:lineRule="exact"/>
              <w:jc w:val="center"/>
              <w:textAlignment w:val="bottom"/>
              <w:rPr>
                <w:rFonts w:ascii="仿宋_GB2312" w:hAnsi="仿宋_GB2312" w:eastAsia="仿宋_GB2312" w:cs="仿宋_GB2312"/>
                <w:sz w:val="28"/>
                <w:szCs w:val="28"/>
              </w:rPr>
            </w:pPr>
          </w:p>
        </w:tc>
      </w:tr>
      <w:tr w14:paraId="160184FF">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16C2716B">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3C85CF31">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46A62EA">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0619C3A">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BB3223B">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234FE03">
            <w:pPr>
              <w:widowControl/>
              <w:spacing w:line="320" w:lineRule="exact"/>
              <w:jc w:val="center"/>
              <w:textAlignment w:val="bottom"/>
              <w:rPr>
                <w:rFonts w:ascii="仿宋_GB2312" w:hAnsi="仿宋_GB2312" w:eastAsia="仿宋_GB2312" w:cs="仿宋_GB2312"/>
                <w:sz w:val="28"/>
                <w:szCs w:val="28"/>
              </w:rPr>
            </w:pPr>
          </w:p>
        </w:tc>
      </w:tr>
      <w:tr w14:paraId="369DA9A3">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14:paraId="5357DE30">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6CF3B013">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BB6C488">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9E8A86">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634E67D">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7AF88B">
            <w:pPr>
              <w:widowControl/>
              <w:spacing w:line="320" w:lineRule="exact"/>
              <w:jc w:val="center"/>
              <w:textAlignment w:val="bottom"/>
              <w:rPr>
                <w:rFonts w:ascii="仿宋_GB2312" w:hAnsi="仿宋_GB2312" w:eastAsia="仿宋_GB2312" w:cs="仿宋_GB2312"/>
                <w:sz w:val="28"/>
                <w:szCs w:val="28"/>
              </w:rPr>
            </w:pPr>
          </w:p>
        </w:tc>
      </w:tr>
      <w:tr w14:paraId="29A246EA">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5981B472">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FF45846">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EB4D9F">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0D9E95">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89A175">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103CB7D">
            <w:pPr>
              <w:widowControl/>
              <w:spacing w:line="320" w:lineRule="exact"/>
              <w:jc w:val="center"/>
              <w:textAlignment w:val="bottom"/>
              <w:rPr>
                <w:rFonts w:ascii="仿宋_GB2312" w:hAnsi="仿宋_GB2312" w:eastAsia="仿宋_GB2312" w:cs="仿宋_GB2312"/>
                <w:sz w:val="28"/>
                <w:szCs w:val="28"/>
              </w:rPr>
            </w:pPr>
          </w:p>
        </w:tc>
      </w:tr>
      <w:tr w14:paraId="2DDFF8AA">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14:paraId="518743F1">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465296">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DDB1CC3">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14:paraId="79EB1743">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AE86EE8">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F3A700">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B5A9A59">
            <w:pPr>
              <w:widowControl/>
              <w:spacing w:line="320" w:lineRule="exact"/>
              <w:jc w:val="center"/>
              <w:textAlignment w:val="bottom"/>
              <w:rPr>
                <w:rFonts w:ascii="仿宋_GB2312" w:hAnsi="仿宋_GB2312" w:eastAsia="仿宋_GB2312" w:cs="仿宋_GB2312"/>
                <w:sz w:val="28"/>
                <w:szCs w:val="28"/>
              </w:rPr>
            </w:pPr>
          </w:p>
        </w:tc>
      </w:tr>
    </w:tbl>
    <w:p w14:paraId="04534B4F">
      <w:pPr>
        <w:widowControl/>
        <w:adjustRightInd w:val="0"/>
        <w:snapToGrid w:val="0"/>
        <w:spacing w:line="580" w:lineRule="exact"/>
        <w:ind w:firstLine="640" w:firstLineChars="200"/>
        <w:contextualSpacing/>
        <w:jc w:val="left"/>
        <w:rPr>
          <w:rFonts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附表：</w:t>
      </w:r>
    </w:p>
    <w:p w14:paraId="0A7CB5FF">
      <w:pPr>
        <w:widowControl/>
        <w:adjustRightInd w:val="0"/>
        <w:snapToGrid w:val="0"/>
        <w:spacing w:line="580" w:lineRule="exact"/>
        <w:contextualSpacing/>
        <w:jc w:val="left"/>
      </w:pPr>
      <w:r>
        <w:rPr>
          <w:rFonts w:hint="eastAsia" w:ascii="仿宋_GB2312" w:hAnsi="宋体" w:eastAsia="仿宋_GB2312" w:cs="宋体"/>
          <w:kern w:val="0"/>
          <w:sz w:val="32"/>
          <w:szCs w:val="32"/>
          <w:shd w:val="clear" w:color="auto" w:fill="FFFFFF"/>
        </w:rPr>
        <w:t>（注：有两个及以上100万元以上（含）特定目标类部门预算项目的，需分别开展绩效目标自评并填写附表）</w:t>
      </w:r>
    </w:p>
    <w:p w14:paraId="6D5EB620">
      <w:pPr>
        <w:spacing w:line="580" w:lineRule="exact"/>
        <w:rPr>
          <w:rStyle w:val="27"/>
          <w:rFonts w:ascii="黑体" w:hAnsi="黑体" w:eastAsia="黑体"/>
          <w:b w:val="0"/>
        </w:rPr>
      </w:pPr>
    </w:p>
    <w:p w14:paraId="657DD632">
      <w:pPr>
        <w:widowControl/>
        <w:jc w:val="left"/>
        <w:rPr>
          <w:rStyle w:val="27"/>
          <w:rFonts w:ascii="黑体" w:hAnsi="黑体" w:eastAsia="黑体"/>
          <w:b w:val="0"/>
        </w:rPr>
      </w:pPr>
      <w:r>
        <w:rPr>
          <w:rStyle w:val="27"/>
          <w:rFonts w:ascii="黑体" w:hAnsi="黑体" w:eastAsia="黑体"/>
          <w:b w:val="0"/>
        </w:rPr>
        <w:br w:type="page"/>
      </w:r>
    </w:p>
    <w:p w14:paraId="278F1DA6">
      <w:pPr>
        <w:spacing w:line="600" w:lineRule="exact"/>
        <w:jc w:val="center"/>
        <w:outlineLvl w:val="0"/>
        <w:rPr>
          <w:rFonts w:ascii="仿宋" w:hAnsi="仿宋" w:eastAsia="仿宋"/>
        </w:rPr>
      </w:pPr>
      <w:bookmarkStart w:id="112" w:name="_Toc16676_WPSOffice_Level1"/>
      <w:bookmarkStart w:id="113" w:name="_Toc15396618"/>
      <w:r>
        <w:rPr>
          <w:rFonts w:hint="eastAsia" w:ascii="黑体" w:hAnsi="黑体" w:eastAsia="黑体"/>
          <w:sz w:val="44"/>
          <w:szCs w:val="44"/>
        </w:rPr>
        <w:t>第</w:t>
      </w:r>
      <w:r>
        <w:rPr>
          <w:rStyle w:val="27"/>
          <w:rFonts w:hint="eastAsia" w:ascii="黑体" w:hAnsi="黑体" w:eastAsia="黑体"/>
          <w:b w:val="0"/>
        </w:rPr>
        <w:t>五部分 附表</w:t>
      </w:r>
      <w:bookmarkEnd w:id="103"/>
      <w:bookmarkEnd w:id="112"/>
      <w:bookmarkEnd w:id="113"/>
      <w:bookmarkStart w:id="114" w:name="_Toc15396619"/>
    </w:p>
    <w:p w14:paraId="387128D8">
      <w:pPr>
        <w:pStyle w:val="4"/>
        <w:rPr>
          <w:rFonts w:ascii="仿宋" w:hAnsi="仿宋" w:eastAsia="仿宋"/>
        </w:rPr>
      </w:pPr>
      <w:bookmarkStart w:id="115" w:name="_Toc12104_WPSOffice_Level2"/>
      <w:r>
        <w:rPr>
          <w:rFonts w:hint="eastAsia" w:ascii="仿宋" w:hAnsi="仿宋" w:eastAsia="仿宋"/>
          <w:b w:val="0"/>
        </w:rPr>
        <w:t>一、收</w:t>
      </w:r>
      <w:r>
        <w:rPr>
          <w:rStyle w:val="28"/>
          <w:rFonts w:hint="eastAsia" w:ascii="仿宋" w:hAnsi="仿宋" w:eastAsia="仿宋"/>
          <w:b w:val="0"/>
          <w:bCs w:val="0"/>
        </w:rPr>
        <w:t>入支出决算总表</w:t>
      </w:r>
      <w:bookmarkEnd w:id="114"/>
      <w:bookmarkEnd w:id="115"/>
    </w:p>
    <w:p w14:paraId="6838C181">
      <w:pPr>
        <w:pStyle w:val="4"/>
        <w:rPr>
          <w:rFonts w:ascii="仿宋" w:hAnsi="仿宋" w:eastAsia="仿宋"/>
        </w:rPr>
      </w:pPr>
      <w:bookmarkStart w:id="116" w:name="_Toc25924_WPSOffice_Level2"/>
      <w:bookmarkStart w:id="117" w:name="_Toc15396620"/>
      <w:r>
        <w:rPr>
          <w:rFonts w:hint="eastAsia" w:ascii="仿宋" w:hAnsi="仿宋" w:eastAsia="仿宋"/>
          <w:b w:val="0"/>
        </w:rPr>
        <w:t>二、收</w:t>
      </w:r>
      <w:r>
        <w:rPr>
          <w:rStyle w:val="28"/>
          <w:rFonts w:hint="eastAsia" w:ascii="仿宋" w:hAnsi="仿宋" w:eastAsia="仿宋"/>
          <w:b w:val="0"/>
          <w:bCs w:val="0"/>
        </w:rPr>
        <w:t>入决算表</w:t>
      </w:r>
      <w:bookmarkEnd w:id="116"/>
      <w:bookmarkEnd w:id="117"/>
    </w:p>
    <w:p w14:paraId="6464664D">
      <w:pPr>
        <w:pStyle w:val="4"/>
        <w:rPr>
          <w:rFonts w:ascii="仿宋" w:hAnsi="仿宋" w:eastAsia="仿宋"/>
        </w:rPr>
      </w:pPr>
      <w:bookmarkStart w:id="118" w:name="_Toc757_WPSOffice_Level2"/>
      <w:bookmarkStart w:id="119" w:name="_Toc15396621"/>
      <w:r>
        <w:rPr>
          <w:rStyle w:val="28"/>
          <w:rFonts w:hint="eastAsia" w:ascii="仿宋" w:hAnsi="仿宋" w:eastAsia="仿宋"/>
          <w:b w:val="0"/>
          <w:bCs w:val="0"/>
        </w:rPr>
        <w:t>三、</w:t>
      </w:r>
      <w:r>
        <w:rPr>
          <w:rFonts w:hint="eastAsia" w:ascii="仿宋" w:hAnsi="仿宋" w:eastAsia="仿宋"/>
          <w:b w:val="0"/>
        </w:rPr>
        <w:t>支</w:t>
      </w:r>
      <w:r>
        <w:rPr>
          <w:rStyle w:val="28"/>
          <w:rFonts w:hint="eastAsia" w:ascii="仿宋" w:hAnsi="仿宋" w:eastAsia="仿宋"/>
          <w:b w:val="0"/>
          <w:bCs w:val="0"/>
        </w:rPr>
        <w:t>出决算表</w:t>
      </w:r>
      <w:bookmarkEnd w:id="118"/>
      <w:bookmarkEnd w:id="119"/>
    </w:p>
    <w:p w14:paraId="7AB57C26">
      <w:pPr>
        <w:pStyle w:val="4"/>
        <w:rPr>
          <w:rFonts w:ascii="仿宋" w:hAnsi="仿宋" w:eastAsia="仿宋"/>
          <w:b w:val="0"/>
        </w:rPr>
      </w:pPr>
      <w:bookmarkStart w:id="120" w:name="_Toc15396622"/>
      <w:bookmarkStart w:id="121" w:name="_Toc24803_WPSOffice_Level2"/>
      <w:r>
        <w:rPr>
          <w:rStyle w:val="28"/>
          <w:rFonts w:hint="eastAsia" w:ascii="仿宋" w:hAnsi="仿宋" w:eastAsia="仿宋"/>
          <w:b w:val="0"/>
          <w:bCs w:val="0"/>
        </w:rPr>
        <w:t>四、</w:t>
      </w:r>
      <w:r>
        <w:rPr>
          <w:rFonts w:hint="eastAsia" w:ascii="仿宋" w:hAnsi="仿宋" w:eastAsia="仿宋"/>
          <w:b w:val="0"/>
        </w:rPr>
        <w:t>财</w:t>
      </w:r>
      <w:r>
        <w:rPr>
          <w:rStyle w:val="28"/>
          <w:rFonts w:hint="eastAsia" w:ascii="仿宋" w:hAnsi="仿宋" w:eastAsia="仿宋"/>
          <w:b w:val="0"/>
          <w:bCs w:val="0"/>
        </w:rPr>
        <w:t>政拨款收入支出决算总表</w:t>
      </w:r>
      <w:bookmarkEnd w:id="120"/>
      <w:bookmarkEnd w:id="121"/>
    </w:p>
    <w:p w14:paraId="1F68B864">
      <w:pPr>
        <w:pStyle w:val="4"/>
        <w:rPr>
          <w:rStyle w:val="28"/>
          <w:rFonts w:ascii="仿宋" w:hAnsi="仿宋" w:eastAsia="仿宋"/>
          <w:b w:val="0"/>
          <w:bCs w:val="0"/>
        </w:rPr>
      </w:pPr>
      <w:bookmarkStart w:id="122" w:name="_Toc15396623"/>
      <w:bookmarkStart w:id="123" w:name="_Toc69_WPSOffice_Level2"/>
      <w:r>
        <w:rPr>
          <w:rStyle w:val="28"/>
          <w:rFonts w:hint="eastAsia" w:ascii="仿宋" w:hAnsi="仿宋" w:eastAsia="仿宋"/>
          <w:b w:val="0"/>
          <w:bCs w:val="0"/>
        </w:rPr>
        <w:t>五、</w:t>
      </w:r>
      <w:r>
        <w:rPr>
          <w:rFonts w:hint="eastAsia" w:ascii="仿宋" w:hAnsi="仿宋" w:eastAsia="仿宋"/>
          <w:b w:val="0"/>
        </w:rPr>
        <w:t>财</w:t>
      </w:r>
      <w:r>
        <w:rPr>
          <w:rStyle w:val="28"/>
          <w:rFonts w:hint="eastAsia" w:ascii="仿宋" w:hAnsi="仿宋" w:eastAsia="仿宋"/>
          <w:b w:val="0"/>
          <w:bCs w:val="0"/>
        </w:rPr>
        <w:t>政拨款支出决算明细表</w:t>
      </w:r>
      <w:bookmarkEnd w:id="122"/>
      <w:bookmarkEnd w:id="123"/>
      <w:bookmarkStart w:id="124" w:name="_Toc15396624"/>
    </w:p>
    <w:p w14:paraId="0F768E1A">
      <w:pPr>
        <w:pStyle w:val="4"/>
        <w:rPr>
          <w:rFonts w:ascii="仿宋" w:hAnsi="仿宋" w:eastAsia="仿宋"/>
        </w:rPr>
      </w:pPr>
      <w:bookmarkStart w:id="125" w:name="_Toc7184_WPSOffice_Level2"/>
      <w:r>
        <w:rPr>
          <w:rStyle w:val="28"/>
          <w:rFonts w:hint="eastAsia" w:ascii="仿宋" w:hAnsi="仿宋" w:eastAsia="仿宋"/>
          <w:b w:val="0"/>
          <w:bCs w:val="0"/>
        </w:rPr>
        <w:t>六、</w:t>
      </w:r>
      <w:r>
        <w:rPr>
          <w:rFonts w:hint="eastAsia" w:ascii="仿宋" w:hAnsi="仿宋" w:eastAsia="仿宋"/>
          <w:b w:val="0"/>
        </w:rPr>
        <w:t>一</w:t>
      </w:r>
      <w:r>
        <w:rPr>
          <w:rStyle w:val="28"/>
          <w:rFonts w:hint="eastAsia" w:ascii="仿宋" w:hAnsi="仿宋" w:eastAsia="仿宋"/>
          <w:b w:val="0"/>
          <w:bCs w:val="0"/>
        </w:rPr>
        <w:t>般公共预算财政拨款支出决算表</w:t>
      </w:r>
      <w:bookmarkEnd w:id="124"/>
      <w:bookmarkEnd w:id="125"/>
    </w:p>
    <w:p w14:paraId="523630A5">
      <w:pPr>
        <w:pStyle w:val="4"/>
        <w:rPr>
          <w:rFonts w:ascii="仿宋" w:hAnsi="仿宋" w:eastAsia="仿宋"/>
        </w:rPr>
      </w:pPr>
      <w:bookmarkStart w:id="126" w:name="_Toc15396625"/>
      <w:bookmarkStart w:id="127" w:name="_Toc10893_WPSOffice_Level2"/>
      <w:r>
        <w:rPr>
          <w:rStyle w:val="28"/>
          <w:rFonts w:hint="eastAsia" w:ascii="仿宋" w:hAnsi="仿宋" w:eastAsia="仿宋"/>
          <w:b w:val="0"/>
          <w:bCs w:val="0"/>
        </w:rPr>
        <w:t>七、</w:t>
      </w:r>
      <w:r>
        <w:rPr>
          <w:rFonts w:hint="eastAsia" w:ascii="仿宋" w:hAnsi="仿宋" w:eastAsia="仿宋"/>
          <w:b w:val="0"/>
        </w:rPr>
        <w:t>一</w:t>
      </w:r>
      <w:r>
        <w:rPr>
          <w:rStyle w:val="28"/>
          <w:rFonts w:hint="eastAsia" w:ascii="仿宋" w:hAnsi="仿宋" w:eastAsia="仿宋"/>
          <w:b w:val="0"/>
          <w:bCs w:val="0"/>
        </w:rPr>
        <w:t>般公共预算财政拨款支出决算明细表</w:t>
      </w:r>
      <w:bookmarkEnd w:id="126"/>
      <w:bookmarkEnd w:id="127"/>
    </w:p>
    <w:p w14:paraId="03F50270">
      <w:pPr>
        <w:pStyle w:val="4"/>
        <w:rPr>
          <w:rFonts w:ascii="仿宋" w:hAnsi="仿宋" w:eastAsia="仿宋"/>
        </w:rPr>
      </w:pPr>
      <w:bookmarkStart w:id="128" w:name="_Toc10856_WPSOffice_Level2"/>
      <w:bookmarkStart w:id="129" w:name="_Toc15396626"/>
      <w:r>
        <w:rPr>
          <w:rStyle w:val="28"/>
          <w:rFonts w:hint="eastAsia" w:ascii="仿宋" w:hAnsi="仿宋" w:eastAsia="仿宋"/>
          <w:b w:val="0"/>
          <w:bCs w:val="0"/>
        </w:rPr>
        <w:t>八、</w:t>
      </w:r>
      <w:r>
        <w:rPr>
          <w:rFonts w:hint="eastAsia" w:ascii="仿宋" w:hAnsi="仿宋" w:eastAsia="仿宋"/>
          <w:b w:val="0"/>
        </w:rPr>
        <w:t>一</w:t>
      </w:r>
      <w:r>
        <w:rPr>
          <w:rStyle w:val="28"/>
          <w:rFonts w:hint="eastAsia" w:ascii="仿宋" w:hAnsi="仿宋" w:eastAsia="仿宋"/>
          <w:b w:val="0"/>
          <w:bCs w:val="0"/>
        </w:rPr>
        <w:t>般公共预算财政拨款基本支出决算表</w:t>
      </w:r>
      <w:bookmarkEnd w:id="128"/>
      <w:bookmarkEnd w:id="129"/>
    </w:p>
    <w:p w14:paraId="696B23A7">
      <w:pPr>
        <w:pStyle w:val="4"/>
        <w:rPr>
          <w:rFonts w:ascii="仿宋" w:hAnsi="仿宋" w:eastAsia="仿宋"/>
        </w:rPr>
      </w:pPr>
      <w:bookmarkStart w:id="130" w:name="_Toc15396627"/>
      <w:bookmarkStart w:id="131" w:name="_Toc30225_WPSOffice_Level2"/>
      <w:r>
        <w:rPr>
          <w:rStyle w:val="28"/>
          <w:rFonts w:hint="eastAsia" w:ascii="仿宋" w:hAnsi="仿宋" w:eastAsia="仿宋"/>
          <w:b w:val="0"/>
          <w:bCs w:val="0"/>
        </w:rPr>
        <w:t>九、</w:t>
      </w:r>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130"/>
      <w:bookmarkEnd w:id="131"/>
    </w:p>
    <w:p w14:paraId="4E43BADF">
      <w:pPr>
        <w:pStyle w:val="4"/>
        <w:rPr>
          <w:rFonts w:ascii="仿宋" w:hAnsi="仿宋" w:eastAsia="仿宋"/>
        </w:rPr>
      </w:pPr>
      <w:bookmarkStart w:id="132" w:name="_Toc15396628"/>
      <w:bookmarkStart w:id="133" w:name="_Toc2517_WPSOffice_Level2"/>
      <w:r>
        <w:rPr>
          <w:rStyle w:val="28"/>
          <w:rFonts w:hint="eastAsia" w:ascii="仿宋" w:hAnsi="仿宋" w:eastAsia="仿宋"/>
          <w:b w:val="0"/>
          <w:bCs w:val="0"/>
        </w:rPr>
        <w:t>十、</w:t>
      </w:r>
      <w:r>
        <w:rPr>
          <w:rFonts w:hint="eastAsia" w:ascii="仿宋" w:hAnsi="仿宋" w:eastAsia="仿宋"/>
          <w:b w:val="0"/>
        </w:rPr>
        <w:t>一</w:t>
      </w:r>
      <w:r>
        <w:rPr>
          <w:rStyle w:val="28"/>
          <w:rFonts w:hint="eastAsia" w:ascii="仿宋" w:hAnsi="仿宋" w:eastAsia="仿宋"/>
          <w:b w:val="0"/>
          <w:bCs w:val="0"/>
        </w:rPr>
        <w:t>般公共预算财政拨款“三公”经费支出决算表</w:t>
      </w:r>
      <w:bookmarkEnd w:id="132"/>
      <w:bookmarkEnd w:id="133"/>
    </w:p>
    <w:p w14:paraId="1764EADC">
      <w:pPr>
        <w:pStyle w:val="4"/>
        <w:rPr>
          <w:rFonts w:ascii="仿宋" w:hAnsi="仿宋" w:eastAsia="仿宋"/>
        </w:rPr>
      </w:pPr>
      <w:bookmarkStart w:id="134" w:name="_Toc15396629"/>
      <w:bookmarkStart w:id="135" w:name="_Toc8449_WPSOffice_Level2"/>
      <w:r>
        <w:rPr>
          <w:rStyle w:val="28"/>
          <w:rFonts w:hint="eastAsia" w:ascii="仿宋" w:hAnsi="仿宋" w:eastAsia="仿宋"/>
          <w:b w:val="0"/>
          <w:bCs w:val="0"/>
        </w:rPr>
        <w:t>十一、</w:t>
      </w:r>
      <w:r>
        <w:rPr>
          <w:rFonts w:hint="eastAsia" w:ascii="仿宋" w:hAnsi="仿宋" w:eastAsia="仿宋"/>
          <w:b w:val="0"/>
        </w:rPr>
        <w:t>政</w:t>
      </w:r>
      <w:r>
        <w:rPr>
          <w:rStyle w:val="28"/>
          <w:rFonts w:hint="eastAsia" w:ascii="仿宋" w:hAnsi="仿宋" w:eastAsia="仿宋"/>
          <w:b w:val="0"/>
          <w:bCs w:val="0"/>
        </w:rPr>
        <w:t>府性基金预算财政拨款收入支出决算表</w:t>
      </w:r>
      <w:bookmarkEnd w:id="134"/>
      <w:bookmarkEnd w:id="135"/>
    </w:p>
    <w:p w14:paraId="1592B857">
      <w:pPr>
        <w:pStyle w:val="4"/>
        <w:rPr>
          <w:rFonts w:ascii="仿宋" w:hAnsi="仿宋" w:eastAsia="仿宋"/>
        </w:rPr>
      </w:pPr>
      <w:bookmarkStart w:id="136" w:name="_Toc9_WPSOffice_Level2"/>
      <w:bookmarkStart w:id="137" w:name="_Toc15396630"/>
      <w:r>
        <w:rPr>
          <w:rStyle w:val="28"/>
          <w:rFonts w:hint="eastAsia" w:ascii="仿宋" w:hAnsi="仿宋" w:eastAsia="仿宋"/>
          <w:b w:val="0"/>
          <w:bCs w:val="0"/>
        </w:rPr>
        <w:t>十二、</w:t>
      </w:r>
      <w:r>
        <w:rPr>
          <w:rFonts w:hint="eastAsia" w:ascii="仿宋" w:hAnsi="仿宋" w:eastAsia="仿宋"/>
          <w:b w:val="0"/>
        </w:rPr>
        <w:t>政</w:t>
      </w:r>
      <w:r>
        <w:rPr>
          <w:rStyle w:val="28"/>
          <w:rFonts w:hint="eastAsia" w:ascii="仿宋" w:hAnsi="仿宋" w:eastAsia="仿宋"/>
          <w:b w:val="0"/>
          <w:bCs w:val="0"/>
        </w:rPr>
        <w:t>府性基金预算财政拨款“三公”经费支出决算表</w:t>
      </w:r>
      <w:bookmarkEnd w:id="136"/>
      <w:bookmarkEnd w:id="137"/>
    </w:p>
    <w:p w14:paraId="38B6A0D9">
      <w:pPr>
        <w:pStyle w:val="4"/>
        <w:rPr>
          <w:rStyle w:val="28"/>
          <w:rFonts w:ascii="仿宋" w:hAnsi="仿宋" w:eastAsia="仿宋"/>
          <w:b w:val="0"/>
          <w:bCs w:val="0"/>
        </w:rPr>
      </w:pPr>
      <w:bookmarkStart w:id="138" w:name="_Toc24952_WPSOffice_Level2"/>
      <w:bookmarkStart w:id="139" w:name="_Toc15396631"/>
      <w:r>
        <w:rPr>
          <w:rStyle w:val="28"/>
          <w:rFonts w:hint="eastAsia" w:ascii="仿宋" w:hAnsi="仿宋" w:eastAsia="仿宋"/>
          <w:b w:val="0"/>
          <w:bCs w:val="0"/>
        </w:rPr>
        <w:t>十三、</w:t>
      </w:r>
      <w:r>
        <w:rPr>
          <w:rFonts w:hint="eastAsia" w:ascii="仿宋" w:hAnsi="仿宋" w:eastAsia="仿宋"/>
          <w:b w:val="0"/>
        </w:rPr>
        <w:t>国</w:t>
      </w:r>
      <w:r>
        <w:rPr>
          <w:rStyle w:val="28"/>
          <w:rFonts w:hint="eastAsia" w:ascii="仿宋" w:hAnsi="仿宋" w:eastAsia="仿宋"/>
          <w:b w:val="0"/>
          <w:bCs w:val="0"/>
        </w:rPr>
        <w:t>有资本经营预算财政拨款收入支出决算表</w:t>
      </w:r>
      <w:bookmarkEnd w:id="138"/>
      <w:bookmarkEnd w:id="139"/>
    </w:p>
    <w:p w14:paraId="514563FF">
      <w:pPr>
        <w:rPr>
          <w:rFonts w:eastAsia="仿宋"/>
        </w:rPr>
      </w:pPr>
      <w:bookmarkStart w:id="140" w:name="_Toc15619_WPSOffice_Level2"/>
      <w:r>
        <w:rPr>
          <w:rStyle w:val="28"/>
          <w:rFonts w:hint="eastAsia" w:ascii="仿宋" w:hAnsi="仿宋" w:eastAsia="仿宋"/>
          <w:b w:val="0"/>
          <w:bCs w:val="0"/>
        </w:rPr>
        <w:t>十四、国有资本经营预算财政拨款支出决算表</w:t>
      </w:r>
      <w:bookmarkEnd w:id="140"/>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Arial">
    <w:panose1 w:val="020B0604020202020204"/>
    <w:charset w:val="00"/>
    <w:family w:val=""/>
    <w:pitch w:val="default"/>
    <w:sig w:usb0="E0002EFF" w:usb1="C000785B"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396666B4">
        <w:pPr>
          <w:pStyle w:val="10"/>
          <w:jc w:val="center"/>
        </w:pPr>
        <w:r>
          <w:fldChar w:fldCharType="begin"/>
        </w:r>
        <w:r>
          <w:instrText xml:space="preserve">PAGE   \* MERGEFORMAT</w:instrText>
        </w:r>
        <w:r>
          <w:fldChar w:fldCharType="separate"/>
        </w:r>
        <w:r>
          <w:rPr>
            <w:lang w:val="zh-CN"/>
          </w:rPr>
          <w:t>22</w:t>
        </w:r>
        <w:r>
          <w:fldChar w:fldCharType="end"/>
        </w:r>
      </w:p>
    </w:sdtContent>
  </w:sdt>
  <w:p w14:paraId="287EDF35">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E42F62">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59815C7B"/>
    <w:multiLevelType w:val="singleLevel"/>
    <w:tmpl w:val="59815C7B"/>
    <w:lvl w:ilvl="0" w:tentative="0">
      <w:start w:val="12"/>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2DFC"/>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C1240"/>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7233D"/>
    <w:rsid w:val="00280496"/>
    <w:rsid w:val="00287B43"/>
    <w:rsid w:val="00294DC9"/>
    <w:rsid w:val="00295495"/>
    <w:rsid w:val="002A31DE"/>
    <w:rsid w:val="002B2613"/>
    <w:rsid w:val="002D6D05"/>
    <w:rsid w:val="002E25C2"/>
    <w:rsid w:val="002F1818"/>
    <w:rsid w:val="002F410F"/>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1F7A"/>
    <w:rsid w:val="004223DE"/>
    <w:rsid w:val="00434489"/>
    <w:rsid w:val="00437085"/>
    <w:rsid w:val="00443880"/>
    <w:rsid w:val="004464F4"/>
    <w:rsid w:val="00457321"/>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50C"/>
    <w:rsid w:val="00566590"/>
    <w:rsid w:val="00566FFA"/>
    <w:rsid w:val="0057481D"/>
    <w:rsid w:val="0058486E"/>
    <w:rsid w:val="00585B33"/>
    <w:rsid w:val="0059014D"/>
    <w:rsid w:val="00596F7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72CB"/>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3F0B"/>
    <w:rsid w:val="0075404D"/>
    <w:rsid w:val="0076182A"/>
    <w:rsid w:val="00767B7E"/>
    <w:rsid w:val="007770C3"/>
    <w:rsid w:val="00784D24"/>
    <w:rsid w:val="00785FBA"/>
    <w:rsid w:val="00786E4A"/>
    <w:rsid w:val="007875EB"/>
    <w:rsid w:val="0079426B"/>
    <w:rsid w:val="007D1682"/>
    <w:rsid w:val="007D312A"/>
    <w:rsid w:val="007D3F19"/>
    <w:rsid w:val="007D4186"/>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2E62"/>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96B60"/>
    <w:rsid w:val="00AB64C9"/>
    <w:rsid w:val="00AC3C6A"/>
    <w:rsid w:val="00AD0C25"/>
    <w:rsid w:val="00AD5620"/>
    <w:rsid w:val="00AD656B"/>
    <w:rsid w:val="00AD7C1B"/>
    <w:rsid w:val="00AE15FD"/>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22BD0"/>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36F5"/>
    <w:rsid w:val="00F45853"/>
    <w:rsid w:val="00F602DF"/>
    <w:rsid w:val="00F754A1"/>
    <w:rsid w:val="00F81FD9"/>
    <w:rsid w:val="00F841AA"/>
    <w:rsid w:val="00F84A94"/>
    <w:rsid w:val="00F87E96"/>
    <w:rsid w:val="00FA23E8"/>
    <w:rsid w:val="00FD3CC1"/>
    <w:rsid w:val="00FF1E02"/>
    <w:rsid w:val="00FF30B4"/>
    <w:rsid w:val="03A918CD"/>
    <w:rsid w:val="066E0107"/>
    <w:rsid w:val="07996F6E"/>
    <w:rsid w:val="0A2032A3"/>
    <w:rsid w:val="0BFA3F10"/>
    <w:rsid w:val="101860EC"/>
    <w:rsid w:val="10C055FF"/>
    <w:rsid w:val="118107EC"/>
    <w:rsid w:val="13D50BC4"/>
    <w:rsid w:val="16AD67F6"/>
    <w:rsid w:val="16BB723D"/>
    <w:rsid w:val="1BE8440E"/>
    <w:rsid w:val="1D155CEE"/>
    <w:rsid w:val="229628CB"/>
    <w:rsid w:val="23860B96"/>
    <w:rsid w:val="240371BF"/>
    <w:rsid w:val="24E63DEB"/>
    <w:rsid w:val="29FD04D3"/>
    <w:rsid w:val="2C8A61B5"/>
    <w:rsid w:val="2DF04E50"/>
    <w:rsid w:val="2FF2075E"/>
    <w:rsid w:val="319F7F4E"/>
    <w:rsid w:val="354463AE"/>
    <w:rsid w:val="36AA5135"/>
    <w:rsid w:val="37E16F03"/>
    <w:rsid w:val="38A4415C"/>
    <w:rsid w:val="3D98207C"/>
    <w:rsid w:val="44D97B1C"/>
    <w:rsid w:val="44E268DA"/>
    <w:rsid w:val="493D45B3"/>
    <w:rsid w:val="4A627F82"/>
    <w:rsid w:val="4B4F25DA"/>
    <w:rsid w:val="4BE068DB"/>
    <w:rsid w:val="4D577224"/>
    <w:rsid w:val="4EAB630A"/>
    <w:rsid w:val="4ECE2238"/>
    <w:rsid w:val="4F330FDF"/>
    <w:rsid w:val="518C2B7C"/>
    <w:rsid w:val="5AF92295"/>
    <w:rsid w:val="5CD71FC4"/>
    <w:rsid w:val="68715860"/>
    <w:rsid w:val="6BEC6D6D"/>
    <w:rsid w:val="6C4A05C8"/>
    <w:rsid w:val="6E7E3605"/>
    <w:rsid w:val="6FF5CC65"/>
    <w:rsid w:val="715C0E4B"/>
    <w:rsid w:val="72734D90"/>
    <w:rsid w:val="73AD73D5"/>
    <w:rsid w:val="73B6EB34"/>
    <w:rsid w:val="79EE5BA4"/>
    <w:rsid w:val="7A894339"/>
    <w:rsid w:val="7EEF11D3"/>
    <w:rsid w:val="7FA30C79"/>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unhideWhenUsed/>
    <w:qFormat/>
    <w:uiPriority w:val="99"/>
  </w:style>
  <w:style w:type="paragraph" w:styleId="6">
    <w:name w:val="Body Text"/>
    <w:basedOn w:val="1"/>
    <w:link w:val="24"/>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Plain Text"/>
    <w:basedOn w:val="1"/>
    <w:qFormat/>
    <w:uiPriority w:val="0"/>
    <w:rPr>
      <w:rFonts w:ascii="宋体" w:hAnsi="Courier New"/>
    </w:r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customStyle="1" w:styleId="19">
    <w:name w:val="Header Char"/>
    <w:basedOn w:val="16"/>
    <w:semiHidden/>
    <w:qFormat/>
    <w:uiPriority w:val="99"/>
    <w:rPr>
      <w:rFonts w:ascii="Times New Roman" w:hAnsi="Times New Roman"/>
      <w:sz w:val="18"/>
      <w:szCs w:val="18"/>
    </w:rPr>
  </w:style>
  <w:style w:type="character" w:customStyle="1" w:styleId="20">
    <w:name w:val="页眉 字符"/>
    <w:link w:val="11"/>
    <w:semiHidden/>
    <w:qFormat/>
    <w:locked/>
    <w:uiPriority w:val="99"/>
    <w:rPr>
      <w:sz w:val="18"/>
    </w:rPr>
  </w:style>
  <w:style w:type="character" w:customStyle="1" w:styleId="21">
    <w:name w:val="Footer Char"/>
    <w:basedOn w:val="16"/>
    <w:semiHidden/>
    <w:qFormat/>
    <w:uiPriority w:val="99"/>
    <w:rPr>
      <w:rFonts w:ascii="Times New Roman" w:hAnsi="Times New Roman"/>
      <w:sz w:val="18"/>
      <w:szCs w:val="18"/>
    </w:rPr>
  </w:style>
  <w:style w:type="character" w:customStyle="1" w:styleId="22">
    <w:name w:val="页脚 字符"/>
    <w:link w:val="10"/>
    <w:qFormat/>
    <w:locked/>
    <w:uiPriority w:val="99"/>
    <w:rPr>
      <w:sz w:val="18"/>
    </w:rPr>
  </w:style>
  <w:style w:type="character" w:customStyle="1" w:styleId="23">
    <w:name w:val="Body Text Char"/>
    <w:basedOn w:val="16"/>
    <w:semiHidden/>
    <w:qFormat/>
    <w:uiPriority w:val="99"/>
    <w:rPr>
      <w:rFonts w:ascii="Times New Roman" w:hAnsi="Times New Roman"/>
      <w:szCs w:val="24"/>
    </w:rPr>
  </w:style>
  <w:style w:type="character" w:customStyle="1" w:styleId="24">
    <w:name w:val="正文文本 字符"/>
    <w:link w:val="6"/>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6"/>
    <w:link w:val="3"/>
    <w:qFormat/>
    <w:uiPriority w:val="9"/>
    <w:rPr>
      <w:rFonts w:ascii="Times New Roman" w:hAnsi="Times New Roman"/>
      <w:b/>
      <w:bCs/>
      <w:kern w:val="44"/>
      <w:sz w:val="44"/>
      <w:szCs w:val="44"/>
    </w:rPr>
  </w:style>
  <w:style w:type="character" w:customStyle="1" w:styleId="28">
    <w:name w:val="标题 2 字符"/>
    <w:basedOn w:val="16"/>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6"/>
    <w:link w:val="9"/>
    <w:semiHidden/>
    <w:qFormat/>
    <w:uiPriority w:val="99"/>
    <w:rPr>
      <w:rFonts w:ascii="Times New Roman" w:hAnsi="Times New Roman"/>
      <w:kern w:val="2"/>
      <w:sz w:val="18"/>
      <w:szCs w:val="18"/>
    </w:rPr>
  </w:style>
  <w:style w:type="character" w:customStyle="1" w:styleId="31">
    <w:name w:val="标题 3 字符"/>
    <w:basedOn w:val="16"/>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WPSOffice手动目录 1"/>
    <w:uiPriority w:val="0"/>
    <w:rPr>
      <w:rFonts w:ascii="Calibri" w:hAnsi="Calibri" w:eastAsia="宋体" w:cs="Times New Roman"/>
      <w:lang w:val="en-US" w:eastAsia="zh-CN" w:bidi="ar-SA"/>
    </w:rPr>
  </w:style>
  <w:style w:type="paragraph" w:customStyle="1" w:styleId="34">
    <w:name w:val="WPSOffice手动目录 2"/>
    <w:uiPriority w:val="0"/>
    <w:pPr>
      <w:ind w:left="200" w:leftChars="200"/>
    </w:pPr>
    <w:rPr>
      <w:rFonts w:ascii="Calibri" w:hAnsi="Calibri"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glossaryDocument" Target="glossary/document.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1.emf"/><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I:\2022&#24180;&#24037;&#20316;\&#20915;&#31639;&#20844;&#24320;\YEY\2021&#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I:\2022&#24180;&#24037;&#20316;\&#20915;&#31639;&#20844;&#24320;\YEY\2021&#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I:\2022&#24180;&#24037;&#20316;\&#20915;&#31639;&#20844;&#24320;\YEY\2021&#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I:\2022&#24180;&#24037;&#20316;\&#20915;&#31639;&#20844;&#24320;\YEY\2021&#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I:\2022&#24180;&#24037;&#20316;\&#20915;&#31639;&#20844;&#24320;\YEY\2021&#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I:\2022&#24180;&#24037;&#20316;\&#20915;&#31639;&#20844;&#24320;\YEY\2021&#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1   </a:t>
            </a:r>
            <a:r>
              <a:rPr lang="zh-CN" altLang="en-US"/>
              <a:t>收入、支出决算总计变动情况</a:t>
            </a:r>
            <a:endParaRPr lang="zh-CN" altLang="en-US"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[2021决算公开图表.xls]Sheet1!$A$58</c:f>
              <c:strCache>
                <c:ptCount val="1"/>
                <c:pt idx="0">
                  <c:v>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[2021决算公开图表.xls]Sheet1!$B$58:$C$58</c:f>
              <c:numCache>
                <c:formatCode>General</c:formatCode>
                <c:ptCount val="2"/>
                <c:pt idx="0">
                  <c:v>2020</c:v>
                </c:pt>
                <c:pt idx="1">
                  <c:v>2021</c:v>
                </c:pt>
              </c:numCache>
            </c:numRef>
          </c:cat>
          <c:val>
            <c:numRef>
              <c:f>[2021决算公开图表.xls]Sheet1!$B$59:$C$59</c:f>
              <c:numCache>
                <c:formatCode>General</c:formatCode>
                <c:ptCount val="2"/>
                <c:pt idx="0">
                  <c:v>528.38</c:v>
                </c:pt>
                <c:pt idx="1">
                  <c:v>578.41</c:v>
                </c:pt>
              </c:numCache>
            </c:numRef>
          </c:val>
        </c:ser>
        <c:dLbls>
          <c:showLegendKey val="0"/>
          <c:showVal val="0"/>
          <c:showCatName val="0"/>
          <c:showSerName val="0"/>
          <c:showPercent val="0"/>
          <c:showBubbleSize val="0"/>
        </c:dLbls>
        <c:gapWidth val="150"/>
        <c:axId val="760506043"/>
        <c:axId val="476093399"/>
      </c:barChart>
      <c:catAx>
        <c:axId val="760506043"/>
        <c:scaling>
          <c:orientation val="minMax"/>
        </c:scaling>
        <c:delete val="0"/>
        <c:axPos val="b"/>
        <c:numFmt formatCode="General" sourceLinked="0"/>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476093399"/>
        <c:crosses val="autoZero"/>
        <c:auto val="1"/>
        <c:lblAlgn val="ctr"/>
        <c:lblOffset val="100"/>
        <c:noMultiLvlLbl val="0"/>
      </c:catAx>
      <c:valAx>
        <c:axId val="476093399"/>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760506043"/>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95446331767257"/>
          <c:y val="0.507475083056478"/>
          <c:w val="0.198530297554512"/>
          <c:h val="0.232765780730897"/>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72504456-4748-47b1-930e-95f982b55562}"/>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2    </a:t>
            </a:r>
            <a:r>
              <a:rPr lang="zh-CN" altLang="en-US"/>
              <a:t>收入决算结构图</a:t>
            </a:r>
            <a:endParaRPr lang="zh-CN" altLang="en-US"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Pt>
            <c:idx val="5"/>
            <c:bubble3D val="0"/>
            <c:spPr>
              <a:solidFill>
                <a:srgbClr val="FF8080"/>
              </a:solidFill>
              <a:ln w="12700">
                <a:solidFill>
                  <a:srgbClr val="000000">
                    <a:alpha val="100000"/>
                  </a:srgbClr>
                </a:solidFill>
                <a:prstDash val="solid"/>
              </a:ln>
              <a:effectLst/>
            </c:spPr>
          </c:dPt>
          <c:dLbls>
            <c:dLbl>
              <c:idx val="0"/>
              <c:layout>
                <c:manualLayout>
                  <c:x val="-0.24496758789383"/>
                  <c:y val="-0.153912599958452"/>
                </c:manualLayout>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lang="en-US" altLang="zh-CN" sz="1200" b="0" i="0" u="none" strike="noStrike" baseline="0">
                        <a:solidFill>
                          <a:srgbClr val="FF0000"/>
                        </a:solidFill>
                        <a:latin typeface="宋体" panose="02010600030101010101" charset="-122"/>
                        <a:ea typeface="宋体" panose="02010600030101010101" charset="-122"/>
                        <a:cs typeface="宋体" panose="02010600030101010101" charset="-122"/>
                      </a:rPr>
                      <a:t>549.56</a:t>
                    </a:r>
                    <a:r>
                      <a:rPr lang="en-US" sz="1200" b="0" i="0" u="none" strike="noStrike" baseline="0">
                        <a:solidFill>
                          <a:srgbClr val="FF0000"/>
                        </a:solidFill>
                        <a:latin typeface="宋体" panose="02010600030101010101" charset="-122"/>
                        <a:ea typeface="宋体" panose="02010600030101010101" charset="-122"/>
                        <a:cs typeface="宋体" panose="02010600030101010101" charset="-122"/>
                      </a:rPr>
                      <a:t>,</a:t>
                    </a:r>
                    <a:r>
                      <a:rPr lang="en-US" altLang="zh-CN" sz="1200" b="0" i="0" u="none" strike="noStrike" baseline="0">
                        <a:solidFill>
                          <a:srgbClr val="FF0000"/>
                        </a:solidFill>
                        <a:latin typeface="宋体" panose="02010600030101010101" charset="-122"/>
                        <a:ea typeface="宋体" panose="02010600030101010101" charset="-122"/>
                        <a:cs typeface="宋体" panose="02010600030101010101" charset="-122"/>
                      </a:rPr>
                      <a:t>96.29</a:t>
                    </a:r>
                    <a:r>
                      <a:rPr lang="en-US" sz="1200" b="0" i="0" u="none" strike="noStrike" baseline="0">
                        <a:solidFill>
                          <a:srgbClr val="FF0000"/>
                        </a:solidFill>
                        <a:latin typeface="宋体" panose="02010600030101010101" charset="-122"/>
                        <a:ea typeface="宋体" panose="02010600030101010101" charset="-122"/>
                        <a:cs typeface="宋体" panose="02010600030101010101" charset="-122"/>
                      </a:rPr>
                      <a:t>%</a:t>
                    </a:r>
                    <a:endParaRPr lang="en-US" sz="1200" b="0" i="0" u="none" strike="noStrike" cap="none" normalizeH="0" baseline="0">
                      <a:solidFill>
                        <a:srgbClr val="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15:layout>
                    <c:manualLayout>
                      <c:w val="0.243638992649717"/>
                      <c:h val="0.169443122322703"/>
                    </c:manualLayout>
                  </c15:layout>
                </c:ext>
              </c:extLst>
            </c:dLbl>
            <c:dLbl>
              <c:idx val="1"/>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sz="1200" b="0" i="0" u="none" strike="noStrike" baseline="0">
                        <a:solidFill>
                          <a:srgbClr val="FF0000"/>
                        </a:solidFill>
                        <a:latin typeface="宋体" panose="02010600030101010101" charset="-122"/>
                        <a:ea typeface="宋体" panose="02010600030101010101" charset="-122"/>
                        <a:cs typeface="宋体" panose="02010600030101010101" charset="-122"/>
                      </a:rPr>
                      <a:t>27.08, </a:t>
                    </a:r>
                    <a:r>
                      <a:rPr lang="en-US" altLang="zh-CN" sz="1200" b="0" i="0" u="none" strike="noStrike" baseline="0">
                        <a:solidFill>
                          <a:srgbClr val="333333"/>
                        </a:solidFill>
                        <a:latin typeface="Arial" panose="020B0604020202020204" pitchFamily="7" charset="0"/>
                        <a:ea typeface="Arial" panose="020B0604020202020204" pitchFamily="7" charset="0"/>
                        <a:cs typeface="Arial" panose="020B0604020202020204" pitchFamily="7" charset="0"/>
                      </a:rPr>
                      <a:t>2.5</a:t>
                    </a:r>
                    <a:r>
                      <a:rPr sz="1200" b="0" i="0" u="none" strike="noStrike" baseline="0">
                        <a:solidFill>
                          <a:srgbClr val="FF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rgbClr val="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extLst>
            </c:dLbl>
            <c:dLbl>
              <c:idx val="3"/>
              <c:layout>
                <c:manualLayout>
                  <c:x val="-0.172697681048186"/>
                  <c:y val="0.112956522610458"/>
                </c:manualLayout>
              </c:layout>
              <c:tx>
                <c:rich>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rPr lang="en-US" altLang="zh-CN"/>
                      <a:t>21.18, 4%</a:t>
                    </a:r>
                    <a:endParaRPr lang="en-US" altLang="zh-CN"/>
                  </a:p>
                </c:rich>
              </c:tx>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143057503506311"/>
                  <c:y val="0.0166204986149584"/>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0310092246493281"/>
                  <c:y val="0.0526186518952927"/>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[2021决算公开图表.xls]Sheet1!$C$3:$C$8</c:f>
              <c:numCache>
                <c:formatCode>General</c:formatCode>
                <c:ptCount val="6"/>
                <c:pt idx="0">
                  <c:v>549.56</c:v>
                </c:pt>
                <c:pt idx="2">
                  <c:v>0</c:v>
                </c:pt>
                <c:pt idx="3">
                  <c:v>21.17</c:v>
                </c:pt>
                <c:pt idx="4">
                  <c:v>0</c:v>
                </c:pt>
                <c:pt idx="5">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dLbls>
            <c:delete val="1"/>
          </c:dLbls>
          <c:cat>
            <c:strRef>
              <c:f>[2021决算公开图表.xls]Sheet1!$B$3:$B$8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[2021决算公开图表.xls]Sheet1!$D$3:$D$8</c:f>
              <c:numCache>
                <c:formatCode>0.00%</c:formatCode>
                <c:ptCount val="6"/>
                <c:pt idx="0">
                  <c:v>0.9659</c:v>
                </c:pt>
                <c:pt idx="2" c:formatCode="0%">
                  <c:v>0</c:v>
                </c:pt>
                <c:pt idx="3" c:formatCode="0%">
                  <c:v>0.0371</c:v>
                </c:pt>
                <c:pt idx="4" c:formatCode="0%">
                  <c:v>0</c:v>
                </c:pt>
                <c:pt idx="5" c:formatCode="0%">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95"/>
          <c:y val="0.23575"/>
          <c:w val="0.3345"/>
          <c:h val="0.6647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f1369edf-ea6b-44f3-92c9-19b3b1822979}"/>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3    </a:t>
            </a:r>
            <a:r>
              <a:rPr lang="zh-CN" altLang="en-US"/>
              <a:t>支出决算结构图</a:t>
            </a:r>
            <a:endParaRPr lang="zh-CN" altLang="en-US"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Lbls>
            <c:dLbl>
              <c:idx val="1"/>
              <c:layout>
                <c:manualLayout>
                  <c:x val="-0.136177847376161"/>
                  <c:y val="-0.0119584684048254"/>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228730822873082"/>
                  <c:y val="0.18562984854082"/>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39888423988842"/>
                  <c:y val="0.166235685260436"/>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[2021决算公开图表.xls]Sheet1!$C$34:$C$38</c:f>
              <c:numCache>
                <c:formatCode>General</c:formatCode>
                <c:ptCount val="5"/>
                <c:pt idx="0">
                  <c:v>514.82</c:v>
                </c:pt>
                <c:pt idx="1">
                  <c:v>63.59</c:v>
                </c:pt>
                <c:pt idx="2">
                  <c:v>0</c:v>
                </c:pt>
                <c:pt idx="3">
                  <c:v>0</c:v>
                </c:pt>
                <c:pt idx="4">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Lbls>
            <c:delete val="1"/>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[2021决算公开图表.xls]Sheet1!$D$34:$D$38</c:f>
              <c:numCache>
                <c:formatCode>0.00%</c:formatCode>
                <c:ptCount val="5"/>
                <c:pt idx="0">
                  <c:v>0.8901</c:v>
                </c:pt>
                <c:pt idx="1">
                  <c:v>0.1099</c:v>
                </c:pt>
                <c:pt idx="2">
                  <c:v>0</c:v>
                </c:pt>
                <c:pt idx="3">
                  <c:v>0</c:v>
                </c:pt>
                <c:pt idx="4">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7"/>
          <c:y val="0.4175"/>
          <c:w val="0.23725"/>
          <c:h val="0.2982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4ed1c297-115b-4b40-b379-aac742702c19}"/>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4    </a:t>
            </a:r>
            <a:r>
              <a:rPr lang="zh-CN" altLang="en-US"/>
              <a:t>财政拨款收、支总计决算变动情况</a:t>
            </a:r>
            <a:endParaRPr lang="zh-CN" altLang="en-US"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[2021决算公开图表.xls]Sheet1!$A$168</c:f>
              <c:strCache>
                <c:ptCount val="1"/>
                <c:pt idx="0">
                  <c:v>财政拨款收入、支出总计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[2021决算公开图表.xls]Sheet1!$B$167:$C$167</c:f>
              <c:strCache>
                <c:ptCount val="2"/>
                <c:pt idx="0">
                  <c:v>2020年</c:v>
                </c:pt>
                <c:pt idx="1">
                  <c:v>2021年</c:v>
                </c:pt>
              </c:strCache>
            </c:strRef>
          </c:cat>
          <c:val>
            <c:numRef>
              <c:f>[2021决算公开图表.xls]Sheet1!$B$168:$C$168</c:f>
              <c:numCache>
                <c:formatCode>General</c:formatCode>
                <c:ptCount val="2"/>
                <c:pt idx="0">
                  <c:v>472.73</c:v>
                </c:pt>
                <c:pt idx="1">
                  <c:v>557.23</c:v>
                </c:pt>
              </c:numCache>
            </c:numRef>
          </c:val>
        </c:ser>
        <c:dLbls>
          <c:showLegendKey val="0"/>
          <c:showVal val="0"/>
          <c:showCatName val="0"/>
          <c:showSerName val="0"/>
          <c:showPercent val="0"/>
          <c:showBubbleSize val="0"/>
        </c:dLbls>
        <c:gapWidth val="150"/>
        <c:axId val="375975856"/>
        <c:axId val="54197342"/>
      </c:barChart>
      <c:catAx>
        <c:axId val="375975856"/>
        <c:scaling>
          <c:orientation val="minMax"/>
        </c:scaling>
        <c:delete val="0"/>
        <c:axPos val="b"/>
        <c:numFmt formatCode="General" sourceLinked="0"/>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54197342"/>
        <c:crosses val="autoZero"/>
        <c:auto val="1"/>
        <c:lblAlgn val="ctr"/>
        <c:lblOffset val="100"/>
        <c:noMultiLvlLbl val="0"/>
      </c:catAx>
      <c:valAx>
        <c:axId val="54197342"/>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375975856"/>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025"/>
          <c:y val="0.50425"/>
          <c:w val="0.2905"/>
          <c:h val="0.059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50955753-2cda-4bd5-b3ef-1fffacbdb383}"/>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5      </a:t>
            </a:r>
            <a:r>
              <a:rPr lang="zh-CN" altLang="en-US"/>
              <a:t>一般公共预算财政拨款支出决算变动情况</a:t>
            </a:r>
            <a:endParaRPr lang="zh-CN" altLang="en-US"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[2021决算公开图表.xls]Sheet1!$A$85</c:f>
              <c:strCache>
                <c:ptCount val="1"/>
                <c:pt idx="0">
                  <c:v>一般公共预算财政拨款支出</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[2021决算公开图表.xls]Sheet1!$B$84:$C$84</c:f>
              <c:strCache>
                <c:ptCount val="2"/>
                <c:pt idx="0">
                  <c:v>2020年</c:v>
                </c:pt>
                <c:pt idx="1">
                  <c:v>2021年</c:v>
                </c:pt>
              </c:strCache>
            </c:strRef>
          </c:cat>
          <c:val>
            <c:numRef>
              <c:f>[2021决算公开图表.xls]Sheet1!$B$85:$C$85</c:f>
              <c:numCache>
                <c:formatCode>General</c:formatCode>
                <c:ptCount val="2"/>
                <c:pt idx="0">
                  <c:v>472.73</c:v>
                </c:pt>
                <c:pt idx="1">
                  <c:v>557.23</c:v>
                </c:pt>
              </c:numCache>
            </c:numRef>
          </c:val>
        </c:ser>
        <c:dLbls>
          <c:showLegendKey val="0"/>
          <c:showVal val="0"/>
          <c:showCatName val="0"/>
          <c:showSerName val="0"/>
          <c:showPercent val="0"/>
          <c:showBubbleSize val="0"/>
        </c:dLbls>
        <c:gapWidth val="150"/>
        <c:axId val="986551235"/>
        <c:axId val="271296611"/>
      </c:barChart>
      <c:catAx>
        <c:axId val="986551235"/>
        <c:scaling>
          <c:orientation val="minMax"/>
        </c:scaling>
        <c:delete val="0"/>
        <c:axPos val="b"/>
        <c:numFmt formatCode="General" sourceLinked="0"/>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271296611"/>
        <c:crosses val="autoZero"/>
        <c:auto val="1"/>
        <c:lblAlgn val="ctr"/>
        <c:lblOffset val="100"/>
        <c:noMultiLvlLbl val="0"/>
      </c:catAx>
      <c:valAx>
        <c:axId val="271296611"/>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986551235"/>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67875"/>
          <c:y val="0.50575"/>
          <c:w val="0.31525"/>
          <c:h val="0.0597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542caf95-ed6d-427e-8b59-fcc5856b3a33}"/>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6    </a:t>
            </a:r>
            <a:r>
              <a:rPr lang="zh-CN" altLang="en-US"/>
              <a:t>一般公共预算财政拨款支出决算结构</a:t>
            </a:r>
            <a:endParaRPr lang="zh-CN" altLang="en-US"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3925479618915"/>
          <c:y val="0.0179802217560683"/>
        </c:manualLayout>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Lbls>
            <c:dLbl>
              <c:idx val="1"/>
              <c:layout>
                <c:manualLayout>
                  <c:x val="-0.0552486187845304"/>
                  <c:y val="0.0966436919388673"/>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205801104972376"/>
                  <c:y val="0.0179802217560683"/>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25"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[2021决算公开图表.xls]Sheet1!$A$110:$A$112</c:f>
              <c:strCache>
                <c:ptCount val="3"/>
                <c:pt idx="0">
                  <c:v>教育支出</c:v>
                </c:pt>
                <c:pt idx="1">
                  <c:v>社会保障和就业支出</c:v>
                </c:pt>
                <c:pt idx="2">
                  <c:v>住房保障支出</c:v>
                </c:pt>
              </c:strCache>
            </c:strRef>
          </c:cat>
          <c:val>
            <c:numRef>
              <c:f>[2021决算公开图表.xls]Sheet1!$B$110:$B$112</c:f>
              <c:numCache>
                <c:formatCode>General</c:formatCode>
                <c:ptCount val="3"/>
                <c:pt idx="0">
                  <c:v>467.46</c:v>
                </c:pt>
                <c:pt idx="1">
                  <c:v>48.69</c:v>
                </c:pt>
                <c:pt idx="2">
                  <c:v>41.08</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Lbls>
            <c:delete val="1"/>
          </c:dLbls>
          <c:cat>
            <c:strRef>
              <c:f>[2021决算公开图表.xls]Sheet1!$A$110:$A$112</c:f>
              <c:strCache>
                <c:ptCount val="3"/>
                <c:pt idx="0">
                  <c:v>教育支出</c:v>
                </c:pt>
                <c:pt idx="1">
                  <c:v>社会保障和就业支出</c:v>
                </c:pt>
                <c:pt idx="2">
                  <c:v>住房保障支出</c:v>
                </c:pt>
              </c:strCache>
            </c:strRef>
          </c:cat>
          <c:val>
            <c:numRef>
              <c:f>[2021决算公开图表.xls]Sheet1!$C$110:$C$112</c:f>
              <c:numCache>
                <c:formatCode>0.00%</c:formatCode>
                <c:ptCount val="3"/>
                <c:pt idx="0">
                  <c:v>0.8388</c:v>
                </c:pt>
                <c:pt idx="1">
                  <c:v>0.0874</c:v>
                </c:pt>
                <c:pt idx="2">
                  <c:v>0.0738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569482945643"/>
          <c:y val="0.421952316689159"/>
          <c:w val="0.238760997951067"/>
          <c:h val="0.47323436797121"/>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7bff43b0-bda0-442c-b16d-870edc8e5985}"/>
      </c:ext>
    </c:extLst>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5824b27-2898-401e-9192-846946663ad9}"/>
        <w:style w:val=""/>
        <w:category>
          <w:name w:val="常规"/>
          <w:gallery w:val="placeholder"/>
        </w:category>
        <w:types>
          <w:type w:val="bbPlcHdr"/>
        </w:types>
        <w:behaviors>
          <w:behavior w:val="content"/>
        </w:behaviors>
        <w:description w:val=""/>
        <w:guid w:val="{55824B27-2898-401E-9192-846946663AD9}"/>
      </w:docPartPr>
      <w:docPartBody>
        <w:p w14:paraId="1DB0E1E0">
          <w:r>
            <w:rPr>
              <w:color w:val="808080"/>
            </w:rPr>
            <w:t>单击此处输入文字。</w:t>
          </w:r>
        </w:p>
      </w:docPartBody>
    </w:docPart>
    <w:docPart>
      <w:docPartPr>
        <w:name w:val="{2548d882-64c5-4e01-9bbd-9d8f83638439}"/>
        <w:style w:val=""/>
        <w:category>
          <w:name w:val="常规"/>
          <w:gallery w:val="placeholder"/>
        </w:category>
        <w:types>
          <w:type w:val="bbPlcHdr"/>
        </w:types>
        <w:behaviors>
          <w:behavior w:val="content"/>
        </w:behaviors>
        <w:description w:val=""/>
        <w:guid w:val="{2548D882-64C5-4E01-9BBD-9D8F83638439}"/>
      </w:docPartPr>
      <w:docPartBody>
        <w:p w14:paraId="55F1BDE6">
          <w:r>
            <w:rPr>
              <w:color w:val="808080"/>
            </w:rPr>
            <w:t>单击此处输入文字。</w:t>
          </w:r>
        </w:p>
      </w:docPartBody>
    </w:docPart>
    <w:docPart>
      <w:docPartPr>
        <w:name w:val="{eb2dcbb0-3dd6-4b76-b60a-a1dce811b5c2}"/>
        <w:style w:val=""/>
        <w:category>
          <w:name w:val="常规"/>
          <w:gallery w:val="placeholder"/>
        </w:category>
        <w:types>
          <w:type w:val="bbPlcHdr"/>
        </w:types>
        <w:behaviors>
          <w:behavior w:val="content"/>
        </w:behaviors>
        <w:description w:val=""/>
        <w:guid w:val="{EB2DCBB0-3DD6-4B76-B60A-A1DCE811B5C2}"/>
      </w:docPartPr>
      <w:docPartBody>
        <w:p w14:paraId="2C1128E1">
          <w:r>
            <w:rPr>
              <w:color w:val="808080"/>
            </w:rPr>
            <w:t>单击此处输入文字。</w:t>
          </w:r>
        </w:p>
      </w:docPartBody>
    </w:docPart>
    <w:docPart>
      <w:docPartPr>
        <w:name w:val="{0605f78c-cdef-46fd-af31-ef10b0ce254b}"/>
        <w:style w:val=""/>
        <w:category>
          <w:name w:val="常规"/>
          <w:gallery w:val="placeholder"/>
        </w:category>
        <w:types>
          <w:type w:val="bbPlcHdr"/>
        </w:types>
        <w:behaviors>
          <w:behavior w:val="content"/>
        </w:behaviors>
        <w:description w:val=""/>
        <w:guid w:val="{0605F78C-CDEF-46FD-AF31-EF10B0CE254B}"/>
      </w:docPartPr>
      <w:docPartBody>
        <w:p w14:paraId="764C77A7">
          <w:r>
            <w:rPr>
              <w:color w:val="808080"/>
            </w:rPr>
            <w:t>单击此处输入文字。</w:t>
          </w:r>
        </w:p>
      </w:docPartBody>
    </w:docPart>
    <w:docPart>
      <w:docPartPr>
        <w:name w:val="{a6e2606d-5c26-4708-b32c-d7e7875d55f1}"/>
        <w:style w:val=""/>
        <w:category>
          <w:name w:val="常规"/>
          <w:gallery w:val="placeholder"/>
        </w:category>
        <w:types>
          <w:type w:val="bbPlcHdr"/>
        </w:types>
        <w:behaviors>
          <w:behavior w:val="content"/>
        </w:behaviors>
        <w:description w:val=""/>
        <w:guid w:val="{A6E2606D-5C26-4708-B32C-D7E7875D55F1}"/>
      </w:docPartPr>
      <w:docPartBody>
        <w:p w14:paraId="32981833">
          <w:r>
            <w:rPr>
              <w:color w:val="808080"/>
            </w:rPr>
            <w:t>单击此处输入文字。</w:t>
          </w:r>
        </w:p>
      </w:docPartBody>
    </w:docPart>
    <w:docPart>
      <w:docPartPr>
        <w:name w:val="{91b2bbf6-dcda-46a5-9983-f8290a984a46}"/>
        <w:style w:val=""/>
        <w:category>
          <w:name w:val="常规"/>
          <w:gallery w:val="placeholder"/>
        </w:category>
        <w:types>
          <w:type w:val="bbPlcHdr"/>
        </w:types>
        <w:behaviors>
          <w:behavior w:val="content"/>
        </w:behaviors>
        <w:description w:val=""/>
        <w:guid w:val="{91B2BBF6-DCDA-46A5-9983-F8290A984A46}"/>
      </w:docPartPr>
      <w:docPartBody>
        <w:p w14:paraId="5CC7A338">
          <w:r>
            <w:rPr>
              <w:color w:val="808080"/>
            </w:rPr>
            <w:t>单击此处输入文字。</w:t>
          </w:r>
        </w:p>
      </w:docPartBody>
    </w:docPart>
    <w:docPart>
      <w:docPartPr>
        <w:name w:val="{7db4d32c-2b69-48cd-905d-f6a939fb2cfb}"/>
        <w:style w:val=""/>
        <w:category>
          <w:name w:val="常规"/>
          <w:gallery w:val="placeholder"/>
        </w:category>
        <w:types>
          <w:type w:val="bbPlcHdr"/>
        </w:types>
        <w:behaviors>
          <w:behavior w:val="content"/>
        </w:behaviors>
        <w:description w:val=""/>
        <w:guid w:val="{7DB4D32C-2B69-48CD-905D-F6A939FB2CFB}"/>
      </w:docPartPr>
      <w:docPartBody>
        <w:p w14:paraId="071C7AC2">
          <w:r>
            <w:rPr>
              <w:color w:val="808080"/>
            </w:rPr>
            <w:t>单击此处输入文字。</w:t>
          </w:r>
        </w:p>
      </w:docPartBody>
    </w:docPart>
    <w:docPart>
      <w:docPartPr>
        <w:name w:val="{e9c2165f-2a9c-4d45-a0c5-04f1ea3b26fd}"/>
        <w:style w:val=""/>
        <w:category>
          <w:name w:val="常规"/>
          <w:gallery w:val="placeholder"/>
        </w:category>
        <w:types>
          <w:type w:val="bbPlcHdr"/>
        </w:types>
        <w:behaviors>
          <w:behavior w:val="content"/>
        </w:behaviors>
        <w:description w:val=""/>
        <w:guid w:val="{E9C2165F-2A9C-4D45-A0C5-04F1EA3B26FD}"/>
      </w:docPartPr>
      <w:docPartBody>
        <w:p w14:paraId="35F50686">
          <w:r>
            <w:rPr>
              <w:color w:val="808080"/>
            </w:rPr>
            <w:t>单击此处输入文字。</w:t>
          </w:r>
        </w:p>
      </w:docPartBody>
    </w:docPart>
    <w:docPart>
      <w:docPartPr>
        <w:name w:val="{a9056bf5-713b-42b8-93f4-add23ae3a32c}"/>
        <w:style w:val=""/>
        <w:category>
          <w:name w:val="常规"/>
          <w:gallery w:val="placeholder"/>
        </w:category>
        <w:types>
          <w:type w:val="bbPlcHdr"/>
        </w:types>
        <w:behaviors>
          <w:behavior w:val="content"/>
        </w:behaviors>
        <w:description w:val=""/>
        <w:guid w:val="{A9056BF5-713B-42B8-93F4-ADD23AE3A32C}"/>
      </w:docPartPr>
      <w:docPartBody>
        <w:p w14:paraId="161559B9">
          <w:r>
            <w:rPr>
              <w:color w:val="808080"/>
            </w:rPr>
            <w:t>单击此处输入文字。</w:t>
          </w:r>
        </w:p>
      </w:docPartBody>
    </w:docPart>
    <w:docPart>
      <w:docPartPr>
        <w:name w:val="{77a0c007-5061-433a-8b92-32225974ad65}"/>
        <w:style w:val=""/>
        <w:category>
          <w:name w:val="常规"/>
          <w:gallery w:val="placeholder"/>
        </w:category>
        <w:types>
          <w:type w:val="bbPlcHdr"/>
        </w:types>
        <w:behaviors>
          <w:behavior w:val="content"/>
        </w:behaviors>
        <w:description w:val=""/>
        <w:guid w:val="{77A0C007-5061-433A-8B92-32225974AD65}"/>
      </w:docPartPr>
      <w:docPartBody>
        <w:p w14:paraId="33E1E087">
          <w:r>
            <w:rPr>
              <w:color w:val="808080"/>
            </w:rPr>
            <w:t>单击此处输入文字。</w:t>
          </w:r>
        </w:p>
      </w:docPartBody>
    </w:docPart>
    <w:docPart>
      <w:docPartPr>
        <w:name w:val="{40161692-9326-400e-ae17-c6a205cdd70a}"/>
        <w:style w:val=""/>
        <w:category>
          <w:name w:val="常规"/>
          <w:gallery w:val="placeholder"/>
        </w:category>
        <w:types>
          <w:type w:val="bbPlcHdr"/>
        </w:types>
        <w:behaviors>
          <w:behavior w:val="content"/>
        </w:behaviors>
        <w:description w:val=""/>
        <w:guid w:val="{40161692-9326-400E-AE17-C6A205CDD70A}"/>
      </w:docPartPr>
      <w:docPartBody>
        <w:p w14:paraId="630F593C">
          <w:r>
            <w:rPr>
              <w:color w:val="808080"/>
            </w:rPr>
            <w:t>单击此处输入文字。</w:t>
          </w:r>
        </w:p>
      </w:docPartBody>
    </w:docPart>
    <w:docPart>
      <w:docPartPr>
        <w:name w:val="{7bb14df5-6cb8-487c-8388-72ba044aebd9}"/>
        <w:style w:val=""/>
        <w:category>
          <w:name w:val="常规"/>
          <w:gallery w:val="placeholder"/>
        </w:category>
        <w:types>
          <w:type w:val="bbPlcHdr"/>
        </w:types>
        <w:behaviors>
          <w:behavior w:val="content"/>
        </w:behaviors>
        <w:description w:val=""/>
        <w:guid w:val="{7BB14DF5-6CB8-487C-8388-72BA044AEBD9}"/>
      </w:docPartPr>
      <w:docPartBody>
        <w:p w14:paraId="7FAF055F">
          <w:r>
            <w:rPr>
              <w:color w:val="808080"/>
            </w:rPr>
            <w:t>单击此处输入文字。</w:t>
          </w:r>
        </w:p>
      </w:docPartBody>
    </w:docPart>
    <w:docPart>
      <w:docPartPr>
        <w:name w:val="{630eaa46-804f-44b4-9a06-fe5e35c88646}"/>
        <w:style w:val=""/>
        <w:category>
          <w:name w:val="常规"/>
          <w:gallery w:val="placeholder"/>
        </w:category>
        <w:types>
          <w:type w:val="bbPlcHdr"/>
        </w:types>
        <w:behaviors>
          <w:behavior w:val="content"/>
        </w:behaviors>
        <w:description w:val=""/>
        <w:guid w:val="{630EAA46-804F-44B4-9A06-FE5E35C88646}"/>
      </w:docPartPr>
      <w:docPartBody>
        <w:p w14:paraId="75B1B7A1">
          <w:r>
            <w:rPr>
              <w:color w:val="808080"/>
            </w:rPr>
            <w:t>单击此处输入文字。</w:t>
          </w:r>
        </w:p>
      </w:docPartBody>
    </w:docPart>
    <w:docPart>
      <w:docPartPr>
        <w:name w:val="{61cd357f-619d-4a86-99eb-4b1f701c1ed5}"/>
        <w:style w:val=""/>
        <w:category>
          <w:name w:val="常规"/>
          <w:gallery w:val="placeholder"/>
        </w:category>
        <w:types>
          <w:type w:val="bbPlcHdr"/>
        </w:types>
        <w:behaviors>
          <w:behavior w:val="content"/>
        </w:behaviors>
        <w:description w:val=""/>
        <w:guid w:val="{61CD357F-619D-4A86-99EB-4B1F701C1ED5}"/>
      </w:docPartPr>
      <w:docPartBody>
        <w:p w14:paraId="08301567">
          <w:r>
            <w:rPr>
              <w:color w:val="808080"/>
            </w:rPr>
            <w:t>单击此处输入文字。</w:t>
          </w:r>
        </w:p>
      </w:docPartBody>
    </w:docPart>
    <w:docPart>
      <w:docPartPr>
        <w:name w:val="{c0d835c5-72c6-44e1-9a6d-73557d30af21}"/>
        <w:style w:val=""/>
        <w:category>
          <w:name w:val="常规"/>
          <w:gallery w:val="placeholder"/>
        </w:category>
        <w:types>
          <w:type w:val="bbPlcHdr"/>
        </w:types>
        <w:behaviors>
          <w:behavior w:val="content"/>
        </w:behaviors>
        <w:description w:val=""/>
        <w:guid w:val="{C0D835C5-72C6-44E1-9A6D-73557D30AF21}"/>
      </w:docPartPr>
      <w:docPartBody>
        <w:p w14:paraId="49DA2901">
          <w:r>
            <w:rPr>
              <w:color w:val="808080"/>
            </w:rPr>
            <w:t>单击此处输入文字。</w:t>
          </w:r>
        </w:p>
      </w:docPartBody>
    </w:docPart>
    <w:docPart>
      <w:docPartPr>
        <w:name w:val="{b4697408-842c-4e0e-80fc-47e018b4227a}"/>
        <w:style w:val=""/>
        <w:category>
          <w:name w:val="常规"/>
          <w:gallery w:val="placeholder"/>
        </w:category>
        <w:types>
          <w:type w:val="bbPlcHdr"/>
        </w:types>
        <w:behaviors>
          <w:behavior w:val="content"/>
        </w:behaviors>
        <w:description w:val=""/>
        <w:guid w:val="{B4697408-842C-4E0E-80FC-47E018B4227A}"/>
      </w:docPartPr>
      <w:docPartBody>
        <w:p w14:paraId="5B4111A2">
          <w:r>
            <w:rPr>
              <w:color w:val="808080"/>
            </w:rPr>
            <w:t>单击此处输入文字。</w:t>
          </w:r>
        </w:p>
      </w:docPartBody>
    </w:docPart>
    <w:docPart>
      <w:docPartPr>
        <w:name w:val="{cc1e27cc-73e9-42d2-9fee-4963d0b90cc1}"/>
        <w:style w:val=""/>
        <w:category>
          <w:name w:val="常规"/>
          <w:gallery w:val="placeholder"/>
        </w:category>
        <w:types>
          <w:type w:val="bbPlcHdr"/>
        </w:types>
        <w:behaviors>
          <w:behavior w:val="content"/>
        </w:behaviors>
        <w:description w:val=""/>
        <w:guid w:val="{CC1E27CC-73E9-42D2-9FEE-4963D0B90CC1}"/>
      </w:docPartPr>
      <w:docPartBody>
        <w:p w14:paraId="34834DD6">
          <w:r>
            <w:rPr>
              <w:color w:val="808080"/>
            </w:rPr>
            <w:t>单击此处输入文字。</w:t>
          </w:r>
        </w:p>
      </w:docPartBody>
    </w:docPart>
    <w:docPart>
      <w:docPartPr>
        <w:name w:val="{12a96336-642f-48f7-96a1-b6bfb5a9f92e}"/>
        <w:style w:val=""/>
        <w:category>
          <w:name w:val="常规"/>
          <w:gallery w:val="placeholder"/>
        </w:category>
        <w:types>
          <w:type w:val="bbPlcHdr"/>
        </w:types>
        <w:behaviors>
          <w:behavior w:val="content"/>
        </w:behaviors>
        <w:description w:val=""/>
        <w:guid w:val="{12A96336-642F-48F7-96A1-B6BFB5A9F92E}"/>
      </w:docPartPr>
      <w:docPartBody>
        <w:p w14:paraId="01FB3BA2">
          <w:r>
            <w:rPr>
              <w:color w:val="808080"/>
            </w:rPr>
            <w:t>单击此处输入文字。</w:t>
          </w:r>
        </w:p>
      </w:docPartBody>
    </w:docPart>
    <w:docPart>
      <w:docPartPr>
        <w:name w:val="{6209984e-3088-4b23-9068-f529fe43b9a2}"/>
        <w:style w:val=""/>
        <w:category>
          <w:name w:val="常规"/>
          <w:gallery w:val="placeholder"/>
        </w:category>
        <w:types>
          <w:type w:val="bbPlcHdr"/>
        </w:types>
        <w:behaviors>
          <w:behavior w:val="content"/>
        </w:behaviors>
        <w:description w:val=""/>
        <w:guid w:val="{6209984E-3088-4B23-9068-F529FE43B9A2}"/>
      </w:docPartPr>
      <w:docPartBody>
        <w:p w14:paraId="4D000E64">
          <w:r>
            <w:rPr>
              <w:color w:val="808080"/>
            </w:rPr>
            <w:t>单击此处输入文字。</w:t>
          </w:r>
        </w:p>
      </w:docPartBody>
    </w:docPart>
    <w:docPart>
      <w:docPartPr>
        <w:name w:val="{dbadbabe-cc35-4a65-8e1f-440e4fda40eb}"/>
        <w:style w:val=""/>
        <w:category>
          <w:name w:val="常规"/>
          <w:gallery w:val="placeholder"/>
        </w:category>
        <w:types>
          <w:type w:val="bbPlcHdr"/>
        </w:types>
        <w:behaviors>
          <w:behavior w:val="content"/>
        </w:behaviors>
        <w:description w:val=""/>
        <w:guid w:val="{DBADBABE-CC35-4A65-8E1F-440E4FDA40EB}"/>
      </w:docPartPr>
      <w:docPartBody>
        <w:p w14:paraId="799313FA">
          <w:r>
            <w:rPr>
              <w:color w:val="808080"/>
            </w:rPr>
            <w:t>单击此处输入文字。</w:t>
          </w:r>
        </w:p>
      </w:docPartBody>
    </w:docPart>
    <w:docPart>
      <w:docPartPr>
        <w:name w:val="{52c2642a-6e6e-45a0-8956-fe2768f81ebc}"/>
        <w:style w:val=""/>
        <w:category>
          <w:name w:val="常规"/>
          <w:gallery w:val="placeholder"/>
        </w:category>
        <w:types>
          <w:type w:val="bbPlcHdr"/>
        </w:types>
        <w:behaviors>
          <w:behavior w:val="content"/>
        </w:behaviors>
        <w:description w:val=""/>
        <w:guid w:val="{52C2642A-6E6E-45A0-8956-FE2768F81EBC}"/>
      </w:docPartPr>
      <w:docPartBody>
        <w:p w14:paraId="7A9810CC">
          <w:r>
            <w:rPr>
              <w:color w:val="808080"/>
            </w:rPr>
            <w:t>单击此处输入文字。</w:t>
          </w:r>
        </w:p>
      </w:docPartBody>
    </w:docPart>
    <w:docPart>
      <w:docPartPr>
        <w:name w:val="{e0fbc6d2-279a-42a4-9f76-7acb745f6f19}"/>
        <w:style w:val=""/>
        <w:category>
          <w:name w:val="常规"/>
          <w:gallery w:val="placeholder"/>
        </w:category>
        <w:types>
          <w:type w:val="bbPlcHdr"/>
        </w:types>
        <w:behaviors>
          <w:behavior w:val="content"/>
        </w:behaviors>
        <w:description w:val=""/>
        <w:guid w:val="{E0FBC6D2-279A-42A4-9F76-7ACB745F6F19}"/>
      </w:docPartPr>
      <w:docPartBody>
        <w:p w14:paraId="0F165EB9">
          <w:r>
            <w:rPr>
              <w:color w:val="808080"/>
            </w:rPr>
            <w:t>单击此处输入文字。</w:t>
          </w:r>
        </w:p>
      </w:docPartBody>
    </w:docPart>
    <w:docPart>
      <w:docPartPr>
        <w:name w:val="{d78176a8-c811-4582-b885-30cd14ae8df7}"/>
        <w:style w:val=""/>
        <w:category>
          <w:name w:val="常规"/>
          <w:gallery w:val="placeholder"/>
        </w:category>
        <w:types>
          <w:type w:val="bbPlcHdr"/>
        </w:types>
        <w:behaviors>
          <w:behavior w:val="content"/>
        </w:behaviors>
        <w:description w:val=""/>
        <w:guid w:val="{D78176A8-C811-4582-B885-30CD14AE8DF7}"/>
      </w:docPartPr>
      <w:docPartBody>
        <w:p w14:paraId="4FDEE8B1">
          <w:r>
            <w:rPr>
              <w:color w:val="808080"/>
            </w:rPr>
            <w:t>单击此处输入文字。</w:t>
          </w:r>
        </w:p>
      </w:docPartBody>
    </w:docPart>
    <w:docPart>
      <w:docPartPr>
        <w:name w:val="{62f0d464-f813-4aea-9dba-c6868a63684f}"/>
        <w:style w:val=""/>
        <w:category>
          <w:name w:val="常规"/>
          <w:gallery w:val="placeholder"/>
        </w:category>
        <w:types>
          <w:type w:val="bbPlcHdr"/>
        </w:types>
        <w:behaviors>
          <w:behavior w:val="content"/>
        </w:behaviors>
        <w:description w:val=""/>
        <w:guid w:val="{62F0D464-F813-4AEA-9DBA-C6868A63684F}"/>
      </w:docPartPr>
      <w:docPartBody>
        <w:p w14:paraId="7DBE2880">
          <w:r>
            <w:rPr>
              <w:color w:val="808080"/>
            </w:rPr>
            <w:t>单击此处输入文字。</w:t>
          </w:r>
        </w:p>
      </w:docPartBody>
    </w:docPart>
    <w:docPart>
      <w:docPartPr>
        <w:name w:val="{f12c2982-c6cb-4223-ba86-6e9f0c8aafca}"/>
        <w:style w:val=""/>
        <w:category>
          <w:name w:val="常规"/>
          <w:gallery w:val="placeholder"/>
        </w:category>
        <w:types>
          <w:type w:val="bbPlcHdr"/>
        </w:types>
        <w:behaviors>
          <w:behavior w:val="content"/>
        </w:behaviors>
        <w:description w:val=""/>
        <w:guid w:val="{F12C2982-C6CB-4223-BA86-6E9F0C8AAFCA}"/>
      </w:docPartPr>
      <w:docPartBody>
        <w:p w14:paraId="1578E041">
          <w:r>
            <w:rPr>
              <w:color w:val="808080"/>
            </w:rPr>
            <w:t>单击此处输入文字。</w:t>
          </w:r>
        </w:p>
      </w:docPartBody>
    </w:docPart>
    <w:docPart>
      <w:docPartPr>
        <w:name w:val="{9eb562e9-bb6c-4f43-a952-66c08e3885c3}"/>
        <w:style w:val=""/>
        <w:category>
          <w:name w:val="常规"/>
          <w:gallery w:val="placeholder"/>
        </w:category>
        <w:types>
          <w:type w:val="bbPlcHdr"/>
        </w:types>
        <w:behaviors>
          <w:behavior w:val="content"/>
        </w:behaviors>
        <w:description w:val=""/>
        <w:guid w:val="{9EB562E9-BB6C-4F43-A952-66C08E3885C3}"/>
      </w:docPartPr>
      <w:docPartBody>
        <w:p w14:paraId="20FFB41A">
          <w:r>
            <w:rPr>
              <w:color w:val="808080"/>
            </w:rPr>
            <w:t>单击此处输入文字。</w:t>
          </w:r>
        </w:p>
      </w:docPartBody>
    </w:docPart>
    <w:docPart>
      <w:docPartPr>
        <w:name w:val="{7125954a-bcd3-4800-ae75-f04bb510bd25}"/>
        <w:style w:val=""/>
        <w:category>
          <w:name w:val="常规"/>
          <w:gallery w:val="placeholder"/>
        </w:category>
        <w:types>
          <w:type w:val="bbPlcHdr"/>
        </w:types>
        <w:behaviors>
          <w:behavior w:val="content"/>
        </w:behaviors>
        <w:description w:val=""/>
        <w:guid w:val="{7125954A-BCD3-4800-AE75-F04BB510BD25}"/>
      </w:docPartPr>
      <w:docPartBody>
        <w:p w14:paraId="4064BD32">
          <w:r>
            <w:rPr>
              <w:color w:val="808080"/>
            </w:rPr>
            <w:t>单击此处输入文字。</w:t>
          </w:r>
        </w:p>
      </w:docPartBody>
    </w:docPart>
    <w:docPart>
      <w:docPartPr>
        <w:name w:val="{244d823e-0c9d-43ed-988a-359a6fb28a5b}"/>
        <w:style w:val=""/>
        <w:category>
          <w:name w:val="常规"/>
          <w:gallery w:val="placeholder"/>
        </w:category>
        <w:types>
          <w:type w:val="bbPlcHdr"/>
        </w:types>
        <w:behaviors>
          <w:behavior w:val="content"/>
        </w:behaviors>
        <w:description w:val=""/>
        <w:guid w:val="{244D823E-0C9D-43ED-988A-359A6FB28A5B}"/>
      </w:docPartPr>
      <w:docPartBody>
        <w:p w14:paraId="7E5415ED">
          <w:r>
            <w:rPr>
              <w:color w:val="808080"/>
            </w:rPr>
            <w:t>单击此处输入文字。</w:t>
          </w:r>
        </w:p>
      </w:docPartBody>
    </w:docPart>
    <w:docPart>
      <w:docPartPr>
        <w:name w:val="{08ddbc36-7dfe-4fe3-b4d8-8900d75fcaa7}"/>
        <w:style w:val=""/>
        <w:category>
          <w:name w:val="常规"/>
          <w:gallery w:val="placeholder"/>
        </w:category>
        <w:types>
          <w:type w:val="bbPlcHdr"/>
        </w:types>
        <w:behaviors>
          <w:behavior w:val="content"/>
        </w:behaviors>
        <w:description w:val=""/>
        <w:guid w:val="{08DDBC36-7DFE-4FE3-B4D8-8900D75FCAA7}"/>
      </w:docPartPr>
      <w:docPartBody>
        <w:p w14:paraId="6A4CA010">
          <w:r>
            <w:rPr>
              <w:color w:val="808080"/>
            </w:rPr>
            <w:t>单击此处输入文字。</w:t>
          </w:r>
        </w:p>
      </w:docPartBody>
    </w:docPart>
    <w:docPart>
      <w:docPartPr>
        <w:name w:val="{4f7329cc-8072-4607-b47f-66b08fbbee2b}"/>
        <w:style w:val=""/>
        <w:category>
          <w:name w:val="常规"/>
          <w:gallery w:val="placeholder"/>
        </w:category>
        <w:types>
          <w:type w:val="bbPlcHdr"/>
        </w:types>
        <w:behaviors>
          <w:behavior w:val="content"/>
        </w:behaviors>
        <w:description w:val=""/>
        <w:guid w:val="{4F7329CC-8072-4607-B47F-66B08FBBEE2B}"/>
      </w:docPartPr>
      <w:docPartBody>
        <w:p w14:paraId="0EEB55C0">
          <w:r>
            <w:rPr>
              <w:color w:val="808080"/>
            </w:rPr>
            <w:t>单击此处输入文字。</w:t>
          </w:r>
        </w:p>
      </w:docPartBody>
    </w:docPart>
    <w:docPart>
      <w:docPartPr>
        <w:name w:val="{7b463e84-23ed-4767-b0d3-d5948966e723}"/>
        <w:style w:val=""/>
        <w:category>
          <w:name w:val="常规"/>
          <w:gallery w:val="placeholder"/>
        </w:category>
        <w:types>
          <w:type w:val="bbPlcHdr"/>
        </w:types>
        <w:behaviors>
          <w:behavior w:val="content"/>
        </w:behaviors>
        <w:description w:val=""/>
        <w:guid w:val="{7B463E84-23ED-4767-B0D3-D5948966E723}"/>
      </w:docPartPr>
      <w:docPartBody>
        <w:p w14:paraId="4DE8B340">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5"/>
  </w:compat>
  <w:rsids>
    <w:rsidRoot w:val="00003978"/>
    <w:rsid w:val="00003978"/>
    <w:rsid w:val="007032A2"/>
    <w:rsid w:val="008701AA"/>
    <w:rsid w:val="00B11B55"/>
    <w:rsid w:val="00BC6D0B"/>
    <w:rsid w:val="00DA616F"/>
    <w:rsid w:val="00E44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36</Pages>
  <Words>26</Words>
  <Characters>34</Characters>
  <Lines>113</Lines>
  <Paragraphs>31</Paragraphs>
  <TotalTime>2</TotalTime>
  <ScaleCrop>false</ScaleCrop>
  <LinksUpToDate>false</LinksUpToDate>
  <CharactersWithSpaces>34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2024-02-26T01:23:00Z</dcterms:created>
  <dc:creator>曹颖</dc:creator>
  <cp:lastModifiedBy>陈泓琏</cp:lastModifiedBy>
  <cp:lastPrinted>2022-08-08T09:11:00Z</cp:lastPrinted>
  <dcterms:modified xsi:type="dcterms:W3CDTF">2025-07-21T12:10:17Z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eyJoZGlkIjoiNWIwYjgyMzAyYjdlMTc0NjlhNjFkZTU2NDY0NzJjZGIiLCJ1c2VySWQiOiIzNTQwMzUzMTgifQ==</vt:lpwstr>
  </property>
  <property fmtid="{D5CDD505-2E9C-101B-9397-08002B2CF9AE}" pid="4" name="ICV">
    <vt:lpwstr>8F61939C03D44F5A9D10923B6796194A_12</vt:lpwstr>
  </property>
</Properties>
</file>