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082908">
      <w:pPr>
        <w:spacing w:line="600" w:lineRule="exact"/>
        <w:jc w:val="center"/>
        <w:outlineLvl w:val="0"/>
        <w:rPr>
          <w:rFonts w:ascii="方正小标宋简体" w:hAnsi="宋体" w:eastAsia="方正小标宋简体"/>
          <w:sz w:val="72"/>
          <w:szCs w:val="72"/>
        </w:rPr>
      </w:pPr>
      <w:bookmarkStart w:id="0" w:name="_Toc15378441"/>
      <w:bookmarkStart w:id="1" w:name="_Toc15396475"/>
      <w:bookmarkStart w:id="2" w:name="_Toc15396597"/>
      <w:bookmarkStart w:id="3" w:name="_Toc15377193"/>
      <w:bookmarkStart w:id="4" w:name="_Toc15377425"/>
      <w:bookmarkStart w:id="5" w:name="_Toc15306267"/>
    </w:p>
    <w:p w14:paraId="285B2F7D">
      <w:pPr>
        <w:spacing w:line="600" w:lineRule="exact"/>
        <w:jc w:val="center"/>
        <w:outlineLvl w:val="0"/>
        <w:rPr>
          <w:rFonts w:ascii="方正小标宋简体" w:hAnsi="宋体" w:eastAsia="方正小标宋简体"/>
          <w:sz w:val="72"/>
          <w:szCs w:val="72"/>
        </w:rPr>
      </w:pPr>
    </w:p>
    <w:p w14:paraId="164FB254">
      <w:pPr>
        <w:spacing w:line="600" w:lineRule="exact"/>
        <w:jc w:val="center"/>
        <w:outlineLvl w:val="0"/>
        <w:rPr>
          <w:rFonts w:ascii="方正小标宋简体" w:hAnsi="宋体" w:eastAsia="方正小标宋简体"/>
          <w:sz w:val="72"/>
          <w:szCs w:val="72"/>
        </w:rPr>
      </w:pPr>
    </w:p>
    <w:p w14:paraId="74A699E3">
      <w:pPr>
        <w:spacing w:line="600" w:lineRule="exact"/>
        <w:jc w:val="center"/>
        <w:outlineLvl w:val="0"/>
        <w:rPr>
          <w:rFonts w:ascii="方正小标宋简体" w:hAnsi="宋体" w:eastAsia="方正小标宋简体"/>
          <w:sz w:val="72"/>
          <w:szCs w:val="72"/>
        </w:rPr>
      </w:pPr>
    </w:p>
    <w:p w14:paraId="3B513024">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p>
    <w:p w14:paraId="2A27EBD5">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8442"/>
      <w:bookmarkStart w:id="7" w:name="_Toc15396476"/>
      <w:bookmarkStart w:id="8" w:name="_Toc15377426"/>
      <w:bookmarkStart w:id="9" w:name="_Toc15377194"/>
      <w:bookmarkStart w:id="10" w:name="_Toc15396598"/>
      <w:r>
        <w:rPr>
          <w:rFonts w:hint="eastAsia" w:ascii="方正小标宋简体" w:hAnsi="方正小标宋简体" w:eastAsia="方正小标宋简体" w:cs="方正小标宋简体"/>
          <w:sz w:val="72"/>
          <w:szCs w:val="72"/>
        </w:rPr>
        <w:t>盐边县</w:t>
      </w:r>
      <w:bookmarkEnd w:id="5"/>
      <w:bookmarkStart w:id="11" w:name="_Toc15306268"/>
      <w:r>
        <w:rPr>
          <w:rFonts w:hint="eastAsia" w:ascii="方正小标宋简体" w:hAnsi="方正小标宋简体" w:eastAsia="方正小标宋简体" w:cs="方正小标宋简体"/>
          <w:sz w:val="72"/>
          <w:szCs w:val="72"/>
        </w:rPr>
        <w:t>司法局部门决算</w:t>
      </w:r>
      <w:bookmarkEnd w:id="6"/>
      <w:bookmarkEnd w:id="7"/>
      <w:bookmarkEnd w:id="8"/>
      <w:bookmarkEnd w:id="9"/>
      <w:bookmarkEnd w:id="10"/>
      <w:bookmarkEnd w:id="11"/>
    </w:p>
    <w:p w14:paraId="14AE05B7">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3623100B">
      <w:pPr>
        <w:widowControl/>
        <w:jc w:val="center"/>
        <w:rPr>
          <w:rFonts w:ascii="黑体" w:hAnsi="黑体" w:eastAsia="黑体" w:cstheme="minorBidi"/>
          <w:sz w:val="28"/>
          <w:szCs w:val="28"/>
        </w:rPr>
      </w:pPr>
    </w:p>
    <w:p w14:paraId="5A31DF14">
      <w:pPr>
        <w:pStyle w:val="14"/>
      </w:pPr>
      <w:r>
        <w:rPr>
          <w:rFonts w:hint="eastAsia"/>
        </w:rPr>
        <w:t>公开时间：2022年10月24日</w:t>
      </w:r>
    </w:p>
    <w:p w14:paraId="1CF1D909"/>
    <w:sdt>
      <w:sdtPr>
        <w:rPr>
          <w:rFonts w:ascii="宋体" w:hAnsi="宋体" w:eastAsia="微软雅黑"/>
          <w:kern w:val="0"/>
          <w:sz w:val="20"/>
          <w:szCs w:val="20"/>
        </w:rPr>
        <w:id w:val="-1354483635"/>
        <w:docPartObj>
          <w:docPartGallery w:val="Table of Contents"/>
          <w:docPartUnique/>
        </w:docPartObj>
      </w:sdtPr>
      <w:sdtEndPr>
        <w:rPr>
          <w:rFonts w:ascii="宋体" w:hAnsi="宋体" w:eastAsia="微软雅黑"/>
          <w:kern w:val="0"/>
          <w:sz w:val="20"/>
          <w:szCs w:val="20"/>
        </w:rPr>
      </w:sdtEndPr>
      <w:sdtContent>
        <w:p w14:paraId="1A581A52">
          <w:pPr>
            <w:jc w:val="center"/>
          </w:pPr>
          <w:bookmarkStart w:id="12" w:name="_Toc27435_WPSOffice_Type2"/>
        </w:p>
        <w:p w14:paraId="47A0B4C5">
          <w:pPr>
            <w:pStyle w:val="41"/>
            <w:tabs>
              <w:tab w:val="right" w:leader="dot" w:pos="8306"/>
            </w:tabs>
            <w:rPr>
              <w:rFonts w:ascii="仿宋_GB2312" w:hAnsi="仿宋_GB2312" w:eastAsia="仿宋_GB2312" w:cs="仿宋_GB2312"/>
              <w:sz w:val="28"/>
              <w:szCs w:val="28"/>
            </w:rPr>
          </w:pPr>
          <w:r>
            <w:fldChar w:fldCharType="begin"/>
          </w:r>
          <w:r>
            <w:instrText xml:space="preserve"> HYPERLINK \l "_Toc15198_WPSOffice_Level1" </w:instrText>
          </w:r>
          <w:r>
            <w:fldChar w:fldCharType="separate"/>
          </w:r>
          <w:sdt>
            <w:sdtPr>
              <w:rPr>
                <w:rFonts w:hint="eastAsia" w:ascii="仿宋_GB2312" w:hAnsi="仿宋_GB2312" w:eastAsia="仿宋_GB2312" w:cs="仿宋_GB2312"/>
                <w:b/>
                <w:bCs/>
                <w:kern w:val="2"/>
                <w:sz w:val="28"/>
                <w:szCs w:val="28"/>
              </w:rPr>
              <w:id w:val="147477104"/>
              <w:placeholder>
                <w:docPart w:val="{1a8555f8-e10c-408f-9e51-6063ee49ec02}"/>
              </w:placeholder>
            </w:sdtPr>
            <w:sdtEndPr>
              <w:rPr>
                <w:rFonts w:hint="eastAsia" w:ascii="仿宋_GB2312" w:hAnsi="仿宋_GB2312" w:eastAsia="仿宋_GB2312" w:cs="仿宋_GB2312"/>
                <w:b/>
                <w:bCs/>
                <w:kern w:val="2"/>
                <w:sz w:val="28"/>
                <w:szCs w:val="28"/>
              </w:rPr>
            </w:sdtEndPr>
            <w:sdtContent>
              <w:r>
                <w:rPr>
                  <w:rFonts w:hint="eastAsia" w:ascii="仿宋_GB2312" w:hAnsi="仿宋_GB2312" w:eastAsia="仿宋_GB2312" w:cs="仿宋_GB2312"/>
                  <w:b/>
                  <w:bCs/>
                  <w:sz w:val="28"/>
                  <w:szCs w:val="28"/>
                </w:rPr>
                <w:t>第一部分 部门概况</w:t>
              </w:r>
            </w:sdtContent>
          </w:sdt>
          <w:r>
            <w:rPr>
              <w:rFonts w:hint="eastAsia" w:ascii="仿宋_GB2312" w:hAnsi="仿宋_GB2312" w:eastAsia="仿宋_GB2312" w:cs="仿宋_GB2312"/>
              <w:b/>
              <w:bCs/>
              <w:sz w:val="28"/>
              <w:szCs w:val="28"/>
            </w:rPr>
            <w:tab/>
          </w:r>
          <w:bookmarkStart w:id="13" w:name="_Toc15198_WPSOffice_Level1Page"/>
          <w:r>
            <w:rPr>
              <w:rFonts w:hint="eastAsia" w:ascii="仿宋_GB2312" w:hAnsi="仿宋_GB2312" w:eastAsia="仿宋_GB2312" w:cs="仿宋_GB2312"/>
              <w:b/>
              <w:bCs/>
              <w:sz w:val="28"/>
              <w:szCs w:val="28"/>
            </w:rPr>
            <w:t>4</w:t>
          </w:r>
          <w:bookmarkEnd w:id="13"/>
          <w:r>
            <w:rPr>
              <w:rFonts w:hint="eastAsia" w:ascii="仿宋_GB2312" w:hAnsi="仿宋_GB2312" w:eastAsia="仿宋_GB2312" w:cs="仿宋_GB2312"/>
              <w:b/>
              <w:bCs/>
              <w:sz w:val="28"/>
              <w:szCs w:val="28"/>
            </w:rPr>
            <w:fldChar w:fldCharType="end"/>
          </w:r>
        </w:p>
        <w:p w14:paraId="304532B5">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"_Toc20898_WPSOffice_Level2" </w:instrText>
          </w:r>
          <w:r>
            <w:fldChar w:fldCharType="separate"/>
          </w:r>
          <w:sdt>
            <w:sdtPr>
              <w:rPr>
                <w:rFonts w:hint="eastAsia" w:ascii="仿宋_GB2312" w:hAnsi="仿宋_GB2312" w:eastAsia="仿宋_GB2312" w:cs="仿宋_GB2312"/>
                <w:kern w:val="2"/>
                <w:sz w:val="28"/>
                <w:szCs w:val="28"/>
              </w:rPr>
              <w:id w:val="1449739092"/>
              <w:placeholder>
                <w:docPart w:val="{f41cbe46-effa-41f6-8539-08543f20b4b1}"/>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一、职能简介</w:t>
              </w:r>
            </w:sdtContent>
          </w:sdt>
          <w:r>
            <w:rPr>
              <w:rFonts w:hint="eastAsia" w:ascii="仿宋_GB2312" w:hAnsi="仿宋_GB2312" w:eastAsia="仿宋_GB2312" w:cs="仿宋_GB2312"/>
              <w:sz w:val="28"/>
              <w:szCs w:val="28"/>
            </w:rPr>
            <w:tab/>
          </w:r>
          <w:bookmarkStart w:id="14" w:name="_Toc20898_WPSOffice_Level2Page"/>
          <w:r>
            <w:rPr>
              <w:rFonts w:hint="eastAsia" w:ascii="仿宋_GB2312" w:hAnsi="仿宋_GB2312" w:eastAsia="仿宋_GB2312" w:cs="仿宋_GB2312"/>
              <w:sz w:val="28"/>
              <w:szCs w:val="28"/>
            </w:rPr>
            <w:t>4</w:t>
          </w:r>
          <w:bookmarkEnd w:id="14"/>
          <w:r>
            <w:rPr>
              <w:rFonts w:hint="eastAsia" w:ascii="仿宋_GB2312" w:hAnsi="仿宋_GB2312" w:eastAsia="仿宋_GB2312" w:cs="仿宋_GB2312"/>
              <w:sz w:val="28"/>
              <w:szCs w:val="28"/>
            </w:rPr>
            <w:fldChar w:fldCharType="end"/>
          </w:r>
        </w:p>
        <w:p w14:paraId="321F7B77">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"_Toc2060_WPSOffice_Level2" </w:instrText>
          </w:r>
          <w:r>
            <w:fldChar w:fldCharType="separate"/>
          </w:r>
          <w:sdt>
            <w:sdtPr>
              <w:rPr>
                <w:rFonts w:hint="eastAsia" w:ascii="仿宋_GB2312" w:hAnsi="仿宋_GB2312" w:eastAsia="仿宋_GB2312" w:cs="仿宋_GB2312"/>
                <w:kern w:val="2"/>
                <w:sz w:val="28"/>
                <w:szCs w:val="28"/>
              </w:rPr>
              <w:id w:val="864090510"/>
              <w:placeholder>
                <w:docPart w:val="{7f814290-3702-46f9-ab24-3d7478ecc781}"/>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二、2021年重点工作完成情况</w:t>
              </w:r>
            </w:sdtContent>
          </w:sdt>
          <w:r>
            <w:rPr>
              <w:rFonts w:hint="eastAsia" w:ascii="仿宋_GB2312" w:hAnsi="仿宋_GB2312" w:eastAsia="仿宋_GB2312" w:cs="仿宋_GB2312"/>
              <w:sz w:val="28"/>
              <w:szCs w:val="28"/>
            </w:rPr>
            <w:tab/>
          </w:r>
          <w:bookmarkStart w:id="15" w:name="_Toc2060_WPSOffice_Level2Page"/>
          <w:r>
            <w:rPr>
              <w:rFonts w:hint="eastAsia" w:ascii="仿宋_GB2312" w:hAnsi="仿宋_GB2312" w:eastAsia="仿宋_GB2312" w:cs="仿宋_GB2312"/>
              <w:sz w:val="28"/>
              <w:szCs w:val="28"/>
            </w:rPr>
            <w:t>5</w:t>
          </w:r>
          <w:bookmarkEnd w:id="15"/>
          <w:r>
            <w:rPr>
              <w:rFonts w:hint="eastAsia" w:ascii="仿宋_GB2312" w:hAnsi="仿宋_GB2312" w:eastAsia="仿宋_GB2312" w:cs="仿宋_GB2312"/>
              <w:sz w:val="28"/>
              <w:szCs w:val="28"/>
            </w:rPr>
            <w:fldChar w:fldCharType="end"/>
          </w:r>
        </w:p>
        <w:p w14:paraId="4900A1D9">
          <w:pPr>
            <w:pStyle w:val="41"/>
            <w:tabs>
              <w:tab w:val="right" w:leader="dot" w:pos="8306"/>
            </w:tabs>
            <w:rPr>
              <w:rFonts w:ascii="仿宋_GB2312" w:hAnsi="仿宋_GB2312" w:eastAsia="仿宋_GB2312" w:cs="仿宋_GB2312"/>
              <w:sz w:val="28"/>
              <w:szCs w:val="28"/>
            </w:rPr>
          </w:pPr>
          <w:r>
            <w:fldChar w:fldCharType="begin"/>
          </w:r>
          <w:r>
            <w:instrText xml:space="preserve"> HYPERLINK \l "_Toc27435_WPSOffice_Level1" </w:instrText>
          </w:r>
          <w:r>
            <w:fldChar w:fldCharType="separate"/>
          </w:r>
          <w:sdt>
            <w:sdtPr>
              <w:rPr>
                <w:rFonts w:hint="eastAsia" w:ascii="仿宋_GB2312" w:hAnsi="仿宋_GB2312" w:eastAsia="仿宋_GB2312" w:cs="仿宋_GB2312"/>
                <w:b/>
                <w:bCs/>
                <w:kern w:val="2"/>
                <w:sz w:val="28"/>
                <w:szCs w:val="28"/>
              </w:rPr>
              <w:id w:val="951748686"/>
              <w:placeholder>
                <w:docPart w:val="{2a13ede9-10ac-4a11-92e4-72d4510057e1}"/>
              </w:placeholder>
            </w:sdtPr>
            <w:sdtEndPr>
              <w:rPr>
                <w:rFonts w:hint="eastAsia" w:ascii="仿宋_GB2312" w:hAnsi="仿宋_GB2312" w:eastAsia="仿宋_GB2312" w:cs="仿宋_GB2312"/>
                <w:b/>
                <w:bCs/>
                <w:kern w:val="2"/>
                <w:sz w:val="28"/>
                <w:szCs w:val="28"/>
              </w:rPr>
            </w:sdtEndPr>
            <w:sdtContent>
              <w:r>
                <w:rPr>
                  <w:rFonts w:hint="eastAsia" w:ascii="仿宋_GB2312" w:hAnsi="仿宋_GB2312" w:eastAsia="仿宋_GB2312" w:cs="仿宋_GB2312"/>
                  <w:b/>
                  <w:bCs/>
                  <w:sz w:val="28"/>
                  <w:szCs w:val="28"/>
                </w:rPr>
                <w:t>第二部分 2021年度部门决算情况说明</w:t>
              </w:r>
            </w:sdtContent>
          </w:sdt>
          <w:r>
            <w:rPr>
              <w:rFonts w:hint="eastAsia" w:ascii="仿宋_GB2312" w:hAnsi="仿宋_GB2312" w:eastAsia="仿宋_GB2312" w:cs="仿宋_GB2312"/>
              <w:b/>
              <w:bCs/>
              <w:sz w:val="28"/>
              <w:szCs w:val="28"/>
            </w:rPr>
            <w:tab/>
          </w:r>
          <w:bookmarkStart w:id="16" w:name="_Toc27435_WPSOffice_Level1Page"/>
          <w:r>
            <w:rPr>
              <w:rFonts w:hint="eastAsia" w:ascii="仿宋_GB2312" w:hAnsi="仿宋_GB2312" w:eastAsia="仿宋_GB2312" w:cs="仿宋_GB2312"/>
              <w:b/>
              <w:bCs/>
              <w:sz w:val="28"/>
              <w:szCs w:val="28"/>
            </w:rPr>
            <w:t>12</w:t>
          </w:r>
          <w:bookmarkEnd w:id="16"/>
          <w:r>
            <w:rPr>
              <w:rFonts w:hint="eastAsia" w:ascii="仿宋_GB2312" w:hAnsi="仿宋_GB2312" w:eastAsia="仿宋_GB2312" w:cs="仿宋_GB2312"/>
              <w:b/>
              <w:bCs/>
              <w:sz w:val="28"/>
              <w:szCs w:val="28"/>
            </w:rPr>
            <w:fldChar w:fldCharType="end"/>
          </w:r>
        </w:p>
        <w:p w14:paraId="1F812824">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"_Toc23074_WPSOffice_Level2" </w:instrText>
          </w:r>
          <w:r>
            <w:fldChar w:fldCharType="separate"/>
          </w:r>
          <w:sdt>
            <w:sdtPr>
              <w:rPr>
                <w:rFonts w:hint="eastAsia" w:ascii="仿宋_GB2312" w:hAnsi="仿宋_GB2312" w:eastAsia="仿宋_GB2312" w:cs="仿宋_GB2312"/>
                <w:kern w:val="2"/>
                <w:sz w:val="28"/>
                <w:szCs w:val="28"/>
              </w:rPr>
              <w:id w:val="1674678127"/>
              <w:placeholder>
                <w:docPart w:val="{48a11a16-0d0b-4ac7-b45f-016a577b21b3}"/>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一、 收入支出决算总体情况说明</w:t>
              </w:r>
            </w:sdtContent>
          </w:sdt>
          <w:r>
            <w:rPr>
              <w:rFonts w:hint="eastAsia" w:ascii="仿宋_GB2312" w:hAnsi="仿宋_GB2312" w:eastAsia="仿宋_GB2312" w:cs="仿宋_GB2312"/>
              <w:sz w:val="28"/>
              <w:szCs w:val="28"/>
            </w:rPr>
            <w:tab/>
          </w:r>
          <w:bookmarkStart w:id="17" w:name="_Toc23074_WPSOffice_Level2Page"/>
          <w:r>
            <w:rPr>
              <w:rFonts w:hint="eastAsia" w:ascii="仿宋_GB2312" w:hAnsi="仿宋_GB2312" w:eastAsia="仿宋_GB2312" w:cs="仿宋_GB2312"/>
              <w:sz w:val="28"/>
              <w:szCs w:val="28"/>
            </w:rPr>
            <w:t>12</w:t>
          </w:r>
          <w:bookmarkEnd w:id="17"/>
          <w:r>
            <w:rPr>
              <w:rFonts w:hint="eastAsia" w:ascii="仿宋_GB2312" w:hAnsi="仿宋_GB2312" w:eastAsia="仿宋_GB2312" w:cs="仿宋_GB2312"/>
              <w:sz w:val="28"/>
              <w:szCs w:val="28"/>
            </w:rPr>
            <w:fldChar w:fldCharType="end"/>
          </w:r>
        </w:p>
        <w:p w14:paraId="3504C42E">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"_Toc23867_WPSOffice_Level2" </w:instrText>
          </w:r>
          <w:r>
            <w:fldChar w:fldCharType="separate"/>
          </w:r>
          <w:sdt>
            <w:sdtPr>
              <w:rPr>
                <w:rFonts w:hint="eastAsia" w:ascii="仿宋_GB2312" w:hAnsi="仿宋_GB2312" w:eastAsia="仿宋_GB2312" w:cs="仿宋_GB2312"/>
                <w:kern w:val="2"/>
                <w:sz w:val="28"/>
                <w:szCs w:val="28"/>
              </w:rPr>
              <w:id w:val="-3519460"/>
              <w:placeholder>
                <w:docPart w:val="{ce4d297c-2b70-42e6-9f71-a8d9c545a741}"/>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二、 收入决算情况说明</w:t>
              </w:r>
            </w:sdtContent>
          </w:sdt>
          <w:r>
            <w:rPr>
              <w:rFonts w:hint="eastAsia" w:ascii="仿宋_GB2312" w:hAnsi="仿宋_GB2312" w:eastAsia="仿宋_GB2312" w:cs="仿宋_GB2312"/>
              <w:sz w:val="28"/>
              <w:szCs w:val="28"/>
            </w:rPr>
            <w:tab/>
          </w:r>
          <w:bookmarkStart w:id="18" w:name="_Toc23867_WPSOffice_Level2Page"/>
          <w:r>
            <w:rPr>
              <w:rFonts w:hint="eastAsia" w:ascii="仿宋_GB2312" w:hAnsi="仿宋_GB2312" w:eastAsia="仿宋_GB2312" w:cs="仿宋_GB2312"/>
              <w:sz w:val="28"/>
              <w:szCs w:val="28"/>
            </w:rPr>
            <w:t>12</w:t>
          </w:r>
          <w:bookmarkEnd w:id="18"/>
          <w:r>
            <w:rPr>
              <w:rFonts w:hint="eastAsia" w:ascii="仿宋_GB2312" w:hAnsi="仿宋_GB2312" w:eastAsia="仿宋_GB2312" w:cs="仿宋_GB2312"/>
              <w:sz w:val="28"/>
              <w:szCs w:val="28"/>
            </w:rPr>
            <w:fldChar w:fldCharType="end"/>
          </w:r>
        </w:p>
        <w:p w14:paraId="1A5E1DB7">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"_Toc22788_WPSOffice_Level2" </w:instrText>
          </w:r>
          <w:r>
            <w:fldChar w:fldCharType="separate"/>
          </w:r>
          <w:sdt>
            <w:sdtPr>
              <w:rPr>
                <w:rFonts w:hint="eastAsia" w:ascii="仿宋_GB2312" w:hAnsi="仿宋_GB2312" w:eastAsia="仿宋_GB2312" w:cs="仿宋_GB2312"/>
                <w:kern w:val="2"/>
                <w:sz w:val="28"/>
                <w:szCs w:val="28"/>
              </w:rPr>
              <w:id w:val="686797677"/>
              <w:placeholder>
                <w:docPart w:val="{e4ffa142-767e-4608-91fc-6aca770076ab}"/>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三、 支出决算情况说明</w:t>
              </w:r>
            </w:sdtContent>
          </w:sdt>
          <w:r>
            <w:rPr>
              <w:rFonts w:hint="eastAsia" w:ascii="仿宋_GB2312" w:hAnsi="仿宋_GB2312" w:eastAsia="仿宋_GB2312" w:cs="仿宋_GB2312"/>
              <w:sz w:val="28"/>
              <w:szCs w:val="28"/>
            </w:rPr>
            <w:tab/>
          </w:r>
          <w:bookmarkStart w:id="19" w:name="_Toc22788_WPSOffice_Level2Page"/>
          <w:r>
            <w:rPr>
              <w:rFonts w:hint="eastAsia" w:ascii="仿宋_GB2312" w:hAnsi="仿宋_GB2312" w:eastAsia="仿宋_GB2312" w:cs="仿宋_GB2312"/>
              <w:sz w:val="28"/>
              <w:szCs w:val="28"/>
            </w:rPr>
            <w:t>13</w:t>
          </w:r>
          <w:bookmarkEnd w:id="19"/>
          <w:r>
            <w:rPr>
              <w:rFonts w:hint="eastAsia" w:ascii="仿宋_GB2312" w:hAnsi="仿宋_GB2312" w:eastAsia="仿宋_GB2312" w:cs="仿宋_GB2312"/>
              <w:sz w:val="28"/>
              <w:szCs w:val="28"/>
            </w:rPr>
            <w:fldChar w:fldCharType="end"/>
          </w:r>
        </w:p>
        <w:p w14:paraId="07564F65">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"_Toc11866_WPSOffice_Level2" </w:instrText>
          </w:r>
          <w:r>
            <w:fldChar w:fldCharType="separate"/>
          </w:r>
          <w:sdt>
            <w:sdtPr>
              <w:rPr>
                <w:rFonts w:hint="eastAsia" w:ascii="仿宋_GB2312" w:hAnsi="仿宋_GB2312" w:eastAsia="仿宋_GB2312" w:cs="仿宋_GB2312"/>
                <w:kern w:val="2"/>
                <w:sz w:val="28"/>
                <w:szCs w:val="28"/>
              </w:rPr>
              <w:id w:val="-1114598425"/>
              <w:placeholder>
                <w:docPart w:val="{0efe054b-9fc5-4403-bc1b-12dd11c979be}"/>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四、财政拨款收入支出决算总体情况说明</w:t>
              </w:r>
            </w:sdtContent>
          </w:sdt>
          <w:r>
            <w:rPr>
              <w:rFonts w:hint="eastAsia" w:ascii="仿宋_GB2312" w:hAnsi="仿宋_GB2312" w:eastAsia="仿宋_GB2312" w:cs="仿宋_GB2312"/>
              <w:sz w:val="28"/>
              <w:szCs w:val="28"/>
            </w:rPr>
            <w:tab/>
          </w:r>
          <w:bookmarkStart w:id="20" w:name="_Toc11866_WPSOffice_Level2Page"/>
          <w:r>
            <w:rPr>
              <w:rFonts w:hint="eastAsia" w:ascii="仿宋_GB2312" w:hAnsi="仿宋_GB2312" w:eastAsia="仿宋_GB2312" w:cs="仿宋_GB2312"/>
              <w:sz w:val="28"/>
              <w:szCs w:val="28"/>
            </w:rPr>
            <w:t>14</w:t>
          </w:r>
          <w:bookmarkEnd w:id="20"/>
          <w:r>
            <w:rPr>
              <w:rFonts w:hint="eastAsia" w:ascii="仿宋_GB2312" w:hAnsi="仿宋_GB2312" w:eastAsia="仿宋_GB2312" w:cs="仿宋_GB2312"/>
              <w:sz w:val="28"/>
              <w:szCs w:val="28"/>
            </w:rPr>
            <w:fldChar w:fldCharType="end"/>
          </w:r>
        </w:p>
        <w:p w14:paraId="771CC122">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"_Toc3192_WPSOffice_Level2" </w:instrText>
          </w:r>
          <w:r>
            <w:fldChar w:fldCharType="separate"/>
          </w:r>
          <w:sdt>
            <w:sdtPr>
              <w:rPr>
                <w:rFonts w:hint="eastAsia" w:ascii="仿宋_GB2312" w:hAnsi="仿宋_GB2312" w:eastAsia="仿宋_GB2312" w:cs="仿宋_GB2312"/>
                <w:kern w:val="2"/>
                <w:sz w:val="28"/>
                <w:szCs w:val="28"/>
              </w:rPr>
              <w:id w:val="1580564177"/>
              <w:placeholder>
                <w:docPart w:val="{f7b02a15-21b7-4b38-8361-ca9ca43b2d4c}"/>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五、一般公共预算财政拨款支出决算情况说明</w:t>
              </w:r>
            </w:sdtContent>
          </w:sdt>
          <w:r>
            <w:rPr>
              <w:rFonts w:hint="eastAsia" w:ascii="仿宋_GB2312" w:hAnsi="仿宋_GB2312" w:eastAsia="仿宋_GB2312" w:cs="仿宋_GB2312"/>
              <w:sz w:val="28"/>
              <w:szCs w:val="28"/>
            </w:rPr>
            <w:tab/>
          </w:r>
          <w:bookmarkStart w:id="21" w:name="_Toc3192_WPSOffice_Level2Page"/>
          <w:r>
            <w:rPr>
              <w:rFonts w:hint="eastAsia" w:ascii="仿宋_GB2312" w:hAnsi="仿宋_GB2312" w:eastAsia="仿宋_GB2312" w:cs="仿宋_GB2312"/>
              <w:sz w:val="28"/>
              <w:szCs w:val="28"/>
            </w:rPr>
            <w:t>14</w:t>
          </w:r>
          <w:bookmarkEnd w:id="21"/>
          <w:r>
            <w:rPr>
              <w:rFonts w:hint="eastAsia" w:ascii="仿宋_GB2312" w:hAnsi="仿宋_GB2312" w:eastAsia="仿宋_GB2312" w:cs="仿宋_GB2312"/>
              <w:sz w:val="28"/>
              <w:szCs w:val="28"/>
            </w:rPr>
            <w:fldChar w:fldCharType="end"/>
          </w:r>
        </w:p>
        <w:p w14:paraId="54D04B71">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"_Toc28462_WPSOffice_Level2" </w:instrText>
          </w:r>
          <w:r>
            <w:fldChar w:fldCharType="separate"/>
          </w:r>
          <w:sdt>
            <w:sdtPr>
              <w:rPr>
                <w:rFonts w:hint="eastAsia" w:ascii="仿宋_GB2312" w:hAnsi="仿宋_GB2312" w:eastAsia="仿宋_GB2312" w:cs="仿宋_GB2312"/>
                <w:kern w:val="2"/>
                <w:sz w:val="28"/>
                <w:szCs w:val="28"/>
              </w:rPr>
              <w:id w:val="2103602457"/>
              <w:placeholder>
                <w:docPart w:val="{2b3f102f-b6de-480b-985c-11fa7583321d}"/>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六、一般公共预算财政拨款基本支出决算情况说明</w:t>
              </w:r>
            </w:sdtContent>
          </w:sdt>
          <w:r>
            <w:rPr>
              <w:rFonts w:hint="eastAsia" w:ascii="仿宋_GB2312" w:hAnsi="仿宋_GB2312" w:eastAsia="仿宋_GB2312" w:cs="仿宋_GB2312"/>
              <w:sz w:val="28"/>
              <w:szCs w:val="28"/>
            </w:rPr>
            <w:tab/>
          </w:r>
          <w:bookmarkStart w:id="22" w:name="_Toc28462_WPSOffice_Level2Page"/>
          <w:r>
            <w:rPr>
              <w:rFonts w:hint="eastAsia" w:ascii="仿宋_GB2312" w:hAnsi="仿宋_GB2312" w:eastAsia="仿宋_GB2312" w:cs="仿宋_GB2312"/>
              <w:sz w:val="28"/>
              <w:szCs w:val="28"/>
            </w:rPr>
            <w:t>17</w:t>
          </w:r>
          <w:bookmarkEnd w:id="22"/>
          <w:r>
            <w:rPr>
              <w:rFonts w:hint="eastAsia" w:ascii="仿宋_GB2312" w:hAnsi="仿宋_GB2312" w:eastAsia="仿宋_GB2312" w:cs="仿宋_GB2312"/>
              <w:sz w:val="28"/>
              <w:szCs w:val="28"/>
            </w:rPr>
            <w:fldChar w:fldCharType="end"/>
          </w:r>
        </w:p>
        <w:p w14:paraId="16A8235D">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"_Toc18821_WPSOffice_Level2" </w:instrText>
          </w:r>
          <w:r>
            <w:fldChar w:fldCharType="separate"/>
          </w:r>
          <w:sdt>
            <w:sdtPr>
              <w:rPr>
                <w:rFonts w:hint="eastAsia" w:ascii="仿宋_GB2312" w:hAnsi="仿宋_GB2312" w:eastAsia="仿宋_GB2312" w:cs="仿宋_GB2312"/>
                <w:kern w:val="2"/>
                <w:sz w:val="28"/>
                <w:szCs w:val="28"/>
              </w:rPr>
              <w:id w:val="-1190682364"/>
              <w:placeholder>
                <w:docPart w:val="{81a4def6-4d40-43c7-a418-77dd7e9f8be9}"/>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七、“三公”经费财政拨款支出决算情况说明</w:t>
              </w:r>
            </w:sdtContent>
          </w:sdt>
          <w:r>
            <w:rPr>
              <w:rFonts w:hint="eastAsia" w:ascii="仿宋_GB2312" w:hAnsi="仿宋_GB2312" w:eastAsia="仿宋_GB2312" w:cs="仿宋_GB2312"/>
              <w:sz w:val="28"/>
              <w:szCs w:val="28"/>
            </w:rPr>
            <w:tab/>
          </w:r>
          <w:bookmarkStart w:id="23" w:name="_Toc18821_WPSOffice_Level2Page"/>
          <w:r>
            <w:rPr>
              <w:rFonts w:hint="eastAsia" w:ascii="仿宋_GB2312" w:hAnsi="仿宋_GB2312" w:eastAsia="仿宋_GB2312" w:cs="仿宋_GB2312"/>
              <w:sz w:val="28"/>
              <w:szCs w:val="28"/>
            </w:rPr>
            <w:t>17</w:t>
          </w:r>
          <w:bookmarkEnd w:id="23"/>
          <w:r>
            <w:rPr>
              <w:rFonts w:hint="eastAsia" w:ascii="仿宋_GB2312" w:hAnsi="仿宋_GB2312" w:eastAsia="仿宋_GB2312" w:cs="仿宋_GB2312"/>
              <w:sz w:val="28"/>
              <w:szCs w:val="28"/>
            </w:rPr>
            <w:fldChar w:fldCharType="end"/>
          </w:r>
        </w:p>
        <w:p w14:paraId="4EA6F66C">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"_Toc1546_WPSOffice_Level2" </w:instrText>
          </w:r>
          <w:r>
            <w:fldChar w:fldCharType="separate"/>
          </w:r>
          <w:sdt>
            <w:sdtPr>
              <w:rPr>
                <w:rFonts w:hint="eastAsia" w:ascii="仿宋_GB2312" w:hAnsi="仿宋_GB2312" w:eastAsia="仿宋_GB2312" w:cs="仿宋_GB2312"/>
                <w:kern w:val="2"/>
                <w:sz w:val="28"/>
                <w:szCs w:val="28"/>
              </w:rPr>
              <w:id w:val="1701208989"/>
              <w:placeholder>
                <w:docPart w:val="{689c0db2-b797-4331-b282-60f20fdfd21a}"/>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八、政府性基金预算支出决算情况说明</w:t>
              </w:r>
            </w:sdtContent>
          </w:sdt>
          <w:r>
            <w:rPr>
              <w:rFonts w:hint="eastAsia" w:ascii="仿宋_GB2312" w:hAnsi="仿宋_GB2312" w:eastAsia="仿宋_GB2312" w:cs="仿宋_GB2312"/>
              <w:sz w:val="28"/>
              <w:szCs w:val="28"/>
            </w:rPr>
            <w:tab/>
          </w:r>
          <w:bookmarkStart w:id="24" w:name="_Toc1546_WPSOffice_Level2Page"/>
          <w:r>
            <w:rPr>
              <w:rFonts w:hint="eastAsia" w:ascii="仿宋_GB2312" w:hAnsi="仿宋_GB2312" w:eastAsia="仿宋_GB2312" w:cs="仿宋_GB2312"/>
              <w:sz w:val="28"/>
              <w:szCs w:val="28"/>
            </w:rPr>
            <w:t>19</w:t>
          </w:r>
          <w:bookmarkEnd w:id="24"/>
          <w:r>
            <w:rPr>
              <w:rFonts w:hint="eastAsia" w:ascii="仿宋_GB2312" w:hAnsi="仿宋_GB2312" w:eastAsia="仿宋_GB2312" w:cs="仿宋_GB2312"/>
              <w:sz w:val="28"/>
              <w:szCs w:val="28"/>
            </w:rPr>
            <w:fldChar w:fldCharType="end"/>
          </w:r>
        </w:p>
        <w:p w14:paraId="3261BAF8">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"_Toc13586_WPSOffice_Level2" </w:instrText>
          </w:r>
          <w:r>
            <w:fldChar w:fldCharType="separate"/>
          </w:r>
          <w:sdt>
            <w:sdtPr>
              <w:rPr>
                <w:rFonts w:hint="eastAsia" w:ascii="仿宋_GB2312" w:hAnsi="仿宋_GB2312" w:eastAsia="仿宋_GB2312" w:cs="仿宋_GB2312"/>
                <w:kern w:val="2"/>
                <w:sz w:val="28"/>
                <w:szCs w:val="28"/>
              </w:rPr>
              <w:id w:val="-577518869"/>
              <w:placeholder>
                <w:docPart w:val="{5d6fb4cf-bfdb-4407-b2f9-243a01edccfa}"/>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九、 国有资本经营预算支出决算情况说明</w:t>
              </w:r>
            </w:sdtContent>
          </w:sdt>
          <w:r>
            <w:rPr>
              <w:rFonts w:hint="eastAsia" w:ascii="仿宋_GB2312" w:hAnsi="仿宋_GB2312" w:eastAsia="仿宋_GB2312" w:cs="仿宋_GB2312"/>
              <w:sz w:val="28"/>
              <w:szCs w:val="28"/>
            </w:rPr>
            <w:tab/>
          </w:r>
          <w:bookmarkStart w:id="25" w:name="_Toc13586_WPSOffice_Level2Page"/>
          <w:r>
            <w:rPr>
              <w:rFonts w:hint="eastAsia" w:ascii="仿宋_GB2312" w:hAnsi="仿宋_GB2312" w:eastAsia="仿宋_GB2312" w:cs="仿宋_GB2312"/>
              <w:sz w:val="28"/>
              <w:szCs w:val="28"/>
            </w:rPr>
            <w:t>19</w:t>
          </w:r>
          <w:bookmarkEnd w:id="25"/>
          <w:r>
            <w:rPr>
              <w:rFonts w:hint="eastAsia" w:ascii="仿宋_GB2312" w:hAnsi="仿宋_GB2312" w:eastAsia="仿宋_GB2312" w:cs="仿宋_GB2312"/>
              <w:sz w:val="28"/>
              <w:szCs w:val="28"/>
            </w:rPr>
            <w:fldChar w:fldCharType="end"/>
          </w:r>
        </w:p>
        <w:p w14:paraId="35A81932">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"_Toc25762_WPSOffice_Level2" </w:instrText>
          </w:r>
          <w:r>
            <w:fldChar w:fldCharType="separate"/>
          </w:r>
          <w:sdt>
            <w:sdtPr>
              <w:rPr>
                <w:rFonts w:hint="eastAsia" w:ascii="仿宋_GB2312" w:hAnsi="仿宋_GB2312" w:eastAsia="仿宋_GB2312" w:cs="仿宋_GB2312"/>
                <w:kern w:val="2"/>
                <w:sz w:val="28"/>
                <w:szCs w:val="28"/>
              </w:rPr>
              <w:id w:val="328176802"/>
              <w:placeholder>
                <w:docPart w:val="{782da690-5716-4470-aae3-763b6c772acd}"/>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十、 其他重要事项的情况说明</w:t>
              </w:r>
            </w:sdtContent>
          </w:sdt>
          <w:r>
            <w:rPr>
              <w:rFonts w:hint="eastAsia" w:ascii="仿宋_GB2312" w:hAnsi="仿宋_GB2312" w:eastAsia="仿宋_GB2312" w:cs="仿宋_GB2312"/>
              <w:sz w:val="28"/>
              <w:szCs w:val="28"/>
            </w:rPr>
            <w:tab/>
          </w:r>
          <w:bookmarkStart w:id="26" w:name="_Toc25762_WPSOffice_Level2Page"/>
          <w:r>
            <w:rPr>
              <w:rFonts w:hint="eastAsia" w:ascii="仿宋_GB2312" w:hAnsi="仿宋_GB2312" w:eastAsia="仿宋_GB2312" w:cs="仿宋_GB2312"/>
              <w:sz w:val="28"/>
              <w:szCs w:val="28"/>
            </w:rPr>
            <w:t>19</w:t>
          </w:r>
          <w:bookmarkEnd w:id="26"/>
          <w:r>
            <w:rPr>
              <w:rFonts w:hint="eastAsia" w:ascii="仿宋_GB2312" w:hAnsi="仿宋_GB2312" w:eastAsia="仿宋_GB2312" w:cs="仿宋_GB2312"/>
              <w:sz w:val="28"/>
              <w:szCs w:val="28"/>
            </w:rPr>
            <w:fldChar w:fldCharType="end"/>
          </w:r>
        </w:p>
        <w:p w14:paraId="636C1E6F">
          <w:pPr>
            <w:pStyle w:val="41"/>
            <w:tabs>
              <w:tab w:val="right" w:leader="dot" w:pos="8306"/>
            </w:tabs>
            <w:rPr>
              <w:rFonts w:ascii="仿宋_GB2312" w:hAnsi="仿宋_GB2312" w:eastAsia="仿宋_GB2312" w:cs="仿宋_GB2312"/>
              <w:sz w:val="28"/>
              <w:szCs w:val="28"/>
            </w:rPr>
          </w:pPr>
          <w:r>
            <w:fldChar w:fldCharType="begin"/>
          </w:r>
          <w:r>
            <w:instrText xml:space="preserve"> HYPERLINK \l "_Toc20898_WPSOffice_Level1" </w:instrText>
          </w:r>
          <w:r>
            <w:fldChar w:fldCharType="separate"/>
          </w:r>
          <w:sdt>
            <w:sdtPr>
              <w:rPr>
                <w:rFonts w:hint="eastAsia" w:ascii="仿宋_GB2312" w:hAnsi="仿宋_GB2312" w:eastAsia="仿宋_GB2312" w:cs="仿宋_GB2312"/>
                <w:b/>
                <w:bCs/>
                <w:kern w:val="2"/>
                <w:sz w:val="28"/>
                <w:szCs w:val="28"/>
              </w:rPr>
              <w:id w:val="1869401145"/>
              <w:placeholder>
                <w:docPart w:val="{ca18c728-9d8a-4b42-8d1d-1b7565053923}"/>
              </w:placeholder>
            </w:sdtPr>
            <w:sdtEndPr>
              <w:rPr>
                <w:rFonts w:hint="eastAsia" w:ascii="仿宋_GB2312" w:hAnsi="仿宋_GB2312" w:eastAsia="仿宋_GB2312" w:cs="仿宋_GB2312"/>
                <w:b/>
                <w:bCs/>
                <w:kern w:val="2"/>
                <w:sz w:val="28"/>
                <w:szCs w:val="28"/>
              </w:rPr>
            </w:sdtEndPr>
            <w:sdtContent>
              <w:r>
                <w:rPr>
                  <w:rFonts w:hint="eastAsia" w:ascii="仿宋_GB2312" w:hAnsi="仿宋_GB2312" w:eastAsia="仿宋_GB2312" w:cs="仿宋_GB2312"/>
                  <w:b/>
                  <w:bCs/>
                  <w:sz w:val="28"/>
                  <w:szCs w:val="28"/>
                </w:rPr>
                <w:t>第三部分 名词解释</w:t>
              </w:r>
            </w:sdtContent>
          </w:sdt>
          <w:r>
            <w:rPr>
              <w:rFonts w:hint="eastAsia" w:ascii="仿宋_GB2312" w:hAnsi="仿宋_GB2312" w:eastAsia="仿宋_GB2312" w:cs="仿宋_GB2312"/>
              <w:b/>
              <w:bCs/>
              <w:sz w:val="28"/>
              <w:szCs w:val="28"/>
            </w:rPr>
            <w:tab/>
          </w:r>
          <w:bookmarkStart w:id="27" w:name="_Toc20898_WPSOffice_Level1Page"/>
          <w:r>
            <w:rPr>
              <w:rFonts w:hint="eastAsia" w:ascii="仿宋_GB2312" w:hAnsi="仿宋_GB2312" w:eastAsia="仿宋_GB2312" w:cs="仿宋_GB2312"/>
              <w:b/>
              <w:bCs/>
              <w:sz w:val="28"/>
              <w:szCs w:val="28"/>
            </w:rPr>
            <w:t>21</w:t>
          </w:r>
          <w:bookmarkEnd w:id="27"/>
          <w:r>
            <w:rPr>
              <w:rFonts w:hint="eastAsia" w:ascii="仿宋_GB2312" w:hAnsi="仿宋_GB2312" w:eastAsia="仿宋_GB2312" w:cs="仿宋_GB2312"/>
              <w:b/>
              <w:bCs/>
              <w:sz w:val="28"/>
              <w:szCs w:val="28"/>
            </w:rPr>
            <w:fldChar w:fldCharType="end"/>
          </w:r>
        </w:p>
        <w:p w14:paraId="61F3382B">
          <w:pPr>
            <w:pStyle w:val="41"/>
            <w:tabs>
              <w:tab w:val="right" w:leader="dot" w:pos="8306"/>
            </w:tabs>
            <w:rPr>
              <w:rFonts w:ascii="仿宋_GB2312" w:hAnsi="仿宋_GB2312" w:eastAsia="仿宋_GB2312" w:cs="仿宋_GB2312"/>
              <w:sz w:val="28"/>
              <w:szCs w:val="28"/>
            </w:rPr>
          </w:pPr>
          <w:r>
            <w:fldChar w:fldCharType="begin"/>
          </w:r>
          <w:r>
            <w:instrText xml:space="preserve"> HYPERLINK \l "_Toc2060_WPSOffice_Level1" </w:instrText>
          </w:r>
          <w:r>
            <w:fldChar w:fldCharType="separate"/>
          </w:r>
          <w:sdt>
            <w:sdtPr>
              <w:rPr>
                <w:rFonts w:hint="eastAsia" w:ascii="仿宋_GB2312" w:hAnsi="仿宋_GB2312" w:eastAsia="仿宋_GB2312" w:cs="仿宋_GB2312"/>
                <w:b/>
                <w:bCs/>
                <w:kern w:val="2"/>
                <w:sz w:val="28"/>
                <w:szCs w:val="28"/>
              </w:rPr>
              <w:id w:val="304590012"/>
              <w:placeholder>
                <w:docPart w:val="{ad06cc70-8650-457a-8c7f-c095d383fe51}"/>
              </w:placeholder>
            </w:sdtPr>
            <w:sdtEndPr>
              <w:rPr>
                <w:rFonts w:hint="eastAsia" w:ascii="仿宋_GB2312" w:hAnsi="仿宋_GB2312" w:eastAsia="仿宋_GB2312" w:cs="仿宋_GB2312"/>
                <w:b/>
                <w:bCs/>
                <w:kern w:val="2"/>
                <w:sz w:val="28"/>
                <w:szCs w:val="28"/>
              </w:rPr>
            </w:sdtEndPr>
            <w:sdtContent>
              <w:r>
                <w:rPr>
                  <w:rFonts w:hint="eastAsia" w:ascii="仿宋_GB2312" w:hAnsi="仿宋_GB2312" w:eastAsia="仿宋_GB2312" w:cs="仿宋_GB2312"/>
                  <w:b/>
                  <w:bCs/>
                  <w:sz w:val="28"/>
                  <w:szCs w:val="28"/>
                </w:rPr>
                <w:t>第四部分 附件</w:t>
              </w:r>
            </w:sdtContent>
          </w:sdt>
          <w:r>
            <w:rPr>
              <w:rFonts w:hint="eastAsia" w:ascii="仿宋_GB2312" w:hAnsi="仿宋_GB2312" w:eastAsia="仿宋_GB2312" w:cs="仿宋_GB2312"/>
              <w:b/>
              <w:bCs/>
              <w:sz w:val="28"/>
              <w:szCs w:val="28"/>
            </w:rPr>
            <w:tab/>
          </w:r>
          <w:bookmarkStart w:id="28" w:name="_Toc2060_WPSOffice_Level1Page"/>
          <w:r>
            <w:rPr>
              <w:rFonts w:hint="eastAsia" w:ascii="仿宋_GB2312" w:hAnsi="仿宋_GB2312" w:eastAsia="仿宋_GB2312" w:cs="仿宋_GB2312"/>
              <w:b/>
              <w:bCs/>
              <w:sz w:val="28"/>
              <w:szCs w:val="28"/>
            </w:rPr>
            <w:t>25</w:t>
          </w:r>
          <w:bookmarkEnd w:id="28"/>
          <w:r>
            <w:rPr>
              <w:rFonts w:hint="eastAsia" w:ascii="仿宋_GB2312" w:hAnsi="仿宋_GB2312" w:eastAsia="仿宋_GB2312" w:cs="仿宋_GB2312"/>
              <w:b/>
              <w:bCs/>
              <w:sz w:val="28"/>
              <w:szCs w:val="28"/>
            </w:rPr>
            <w:fldChar w:fldCharType="end"/>
          </w:r>
        </w:p>
        <w:p w14:paraId="06A30DDD">
          <w:pPr>
            <w:pStyle w:val="41"/>
            <w:tabs>
              <w:tab w:val="right" w:leader="dot" w:pos="8306"/>
            </w:tabs>
            <w:rPr>
              <w:rFonts w:ascii="仿宋_GB2312" w:hAnsi="仿宋_GB2312" w:eastAsia="仿宋_GB2312" w:cs="仿宋_GB2312"/>
              <w:sz w:val="28"/>
              <w:szCs w:val="28"/>
            </w:rPr>
          </w:pPr>
          <w:r>
            <w:fldChar w:fldCharType="begin"/>
          </w:r>
          <w:r>
            <w:instrText xml:space="preserve"> HYPERLINK \l "_Toc29778_WPSOffice_Level1" </w:instrText>
          </w:r>
          <w:r>
            <w:fldChar w:fldCharType="separate"/>
          </w:r>
          <w:sdt>
            <w:sdtPr>
              <w:rPr>
                <w:rFonts w:hint="eastAsia" w:ascii="仿宋_GB2312" w:hAnsi="仿宋_GB2312" w:eastAsia="仿宋_GB2312" w:cs="仿宋_GB2312"/>
                <w:b/>
                <w:bCs/>
                <w:kern w:val="2"/>
                <w:sz w:val="28"/>
                <w:szCs w:val="28"/>
              </w:rPr>
              <w:id w:val="152563704"/>
              <w:placeholder>
                <w:docPart w:val="{691262eb-7899-4764-899f-d8ac9928c6b2}"/>
              </w:placeholder>
            </w:sdtPr>
            <w:sdtEndPr>
              <w:rPr>
                <w:rFonts w:hint="eastAsia" w:ascii="仿宋_GB2312" w:hAnsi="仿宋_GB2312" w:eastAsia="仿宋_GB2312" w:cs="仿宋_GB2312"/>
                <w:b/>
                <w:bCs/>
                <w:kern w:val="2"/>
                <w:sz w:val="28"/>
                <w:szCs w:val="28"/>
              </w:rPr>
            </w:sdtEndPr>
            <w:sdtContent>
              <w:r>
                <w:rPr>
                  <w:rFonts w:hint="eastAsia" w:ascii="仿宋_GB2312" w:hAnsi="仿宋_GB2312" w:eastAsia="仿宋_GB2312" w:cs="仿宋_GB2312"/>
                  <w:b/>
                  <w:bCs/>
                  <w:sz w:val="28"/>
                  <w:szCs w:val="28"/>
                </w:rPr>
                <w:t>第五部分 附表</w:t>
              </w:r>
            </w:sdtContent>
          </w:sdt>
          <w:r>
            <w:rPr>
              <w:rFonts w:hint="eastAsia" w:ascii="仿宋_GB2312" w:hAnsi="仿宋_GB2312" w:eastAsia="仿宋_GB2312" w:cs="仿宋_GB2312"/>
              <w:b/>
              <w:bCs/>
              <w:sz w:val="28"/>
              <w:szCs w:val="28"/>
            </w:rPr>
            <w:tab/>
          </w:r>
          <w:bookmarkStart w:id="29" w:name="_Toc29778_WPSOffice_Level1Page"/>
          <w:r>
            <w:rPr>
              <w:rFonts w:hint="eastAsia" w:ascii="仿宋_GB2312" w:hAnsi="仿宋_GB2312" w:eastAsia="仿宋_GB2312" w:cs="仿宋_GB2312"/>
              <w:b/>
              <w:bCs/>
              <w:sz w:val="28"/>
              <w:szCs w:val="28"/>
            </w:rPr>
            <w:t>58</w:t>
          </w:r>
          <w:bookmarkEnd w:id="29"/>
          <w:r>
            <w:rPr>
              <w:rFonts w:hint="eastAsia" w:ascii="仿宋_GB2312" w:hAnsi="仿宋_GB2312" w:eastAsia="仿宋_GB2312" w:cs="仿宋_GB2312"/>
              <w:b/>
              <w:bCs/>
              <w:sz w:val="28"/>
              <w:szCs w:val="28"/>
            </w:rPr>
            <w:fldChar w:fldCharType="end"/>
          </w:r>
        </w:p>
        <w:p w14:paraId="2AAFA73A">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"_Toc6729_WPSOffice_Level2" </w:instrText>
          </w:r>
          <w:r>
            <w:fldChar w:fldCharType="separate"/>
          </w:r>
          <w:sdt>
            <w:sdtPr>
              <w:rPr>
                <w:rFonts w:hint="eastAsia" w:ascii="仿宋_GB2312" w:hAnsi="仿宋_GB2312" w:eastAsia="仿宋_GB2312" w:cs="仿宋_GB2312"/>
                <w:kern w:val="2"/>
                <w:sz w:val="28"/>
                <w:szCs w:val="28"/>
              </w:rPr>
              <w:id w:val="1637527602"/>
              <w:placeholder>
                <w:docPart w:val="{bad3cb22-b0de-483d-a06e-6d6de808beac}"/>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一、收入支出决算总表</w:t>
              </w:r>
            </w:sdtContent>
          </w:sdt>
          <w:r>
            <w:rPr>
              <w:rFonts w:hint="eastAsia" w:ascii="仿宋_GB2312" w:hAnsi="仿宋_GB2312" w:eastAsia="仿宋_GB2312" w:cs="仿宋_GB2312"/>
              <w:sz w:val="28"/>
              <w:szCs w:val="28"/>
            </w:rPr>
            <w:tab/>
          </w:r>
          <w:bookmarkStart w:id="30" w:name="_Toc6729_WPSOffice_Level2Page"/>
          <w:r>
            <w:rPr>
              <w:rFonts w:hint="eastAsia" w:ascii="仿宋_GB2312" w:hAnsi="仿宋_GB2312" w:eastAsia="仿宋_GB2312" w:cs="仿宋_GB2312"/>
              <w:sz w:val="28"/>
              <w:szCs w:val="28"/>
            </w:rPr>
            <w:t>58</w:t>
          </w:r>
          <w:bookmarkEnd w:id="30"/>
          <w:r>
            <w:rPr>
              <w:rFonts w:hint="eastAsia" w:ascii="仿宋_GB2312" w:hAnsi="仿宋_GB2312" w:eastAsia="仿宋_GB2312" w:cs="仿宋_GB2312"/>
              <w:sz w:val="28"/>
              <w:szCs w:val="28"/>
            </w:rPr>
            <w:fldChar w:fldCharType="end"/>
          </w:r>
        </w:p>
        <w:p w14:paraId="0A28CD34">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"_Toc24441_WPSOffice_Level2" </w:instrText>
          </w:r>
          <w:r>
            <w:fldChar w:fldCharType="separate"/>
          </w:r>
          <w:sdt>
            <w:sdtPr>
              <w:rPr>
                <w:rFonts w:hint="eastAsia" w:ascii="仿宋_GB2312" w:hAnsi="仿宋_GB2312" w:eastAsia="仿宋_GB2312" w:cs="仿宋_GB2312"/>
                <w:kern w:val="2"/>
                <w:sz w:val="28"/>
                <w:szCs w:val="28"/>
              </w:rPr>
              <w:id w:val="-541141702"/>
              <w:placeholder>
                <w:docPart w:val="{8e217fe0-855d-4c8d-8854-09715464049c}"/>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二、收入决算表</w:t>
              </w:r>
            </w:sdtContent>
          </w:sdt>
          <w:r>
            <w:rPr>
              <w:rFonts w:hint="eastAsia" w:ascii="仿宋_GB2312" w:hAnsi="仿宋_GB2312" w:eastAsia="仿宋_GB2312" w:cs="仿宋_GB2312"/>
              <w:sz w:val="28"/>
              <w:szCs w:val="28"/>
            </w:rPr>
            <w:tab/>
          </w:r>
          <w:bookmarkStart w:id="31" w:name="_Toc24441_WPSOffice_Level2Page"/>
          <w:r>
            <w:rPr>
              <w:rFonts w:hint="eastAsia" w:ascii="仿宋_GB2312" w:hAnsi="仿宋_GB2312" w:eastAsia="仿宋_GB2312" w:cs="仿宋_GB2312"/>
              <w:sz w:val="28"/>
              <w:szCs w:val="28"/>
            </w:rPr>
            <w:t>58</w:t>
          </w:r>
          <w:bookmarkEnd w:id="31"/>
          <w:r>
            <w:rPr>
              <w:rFonts w:hint="eastAsia" w:ascii="仿宋_GB2312" w:hAnsi="仿宋_GB2312" w:eastAsia="仿宋_GB2312" w:cs="仿宋_GB2312"/>
              <w:sz w:val="28"/>
              <w:szCs w:val="28"/>
            </w:rPr>
            <w:fldChar w:fldCharType="end"/>
          </w:r>
        </w:p>
        <w:p w14:paraId="2C8D03E5">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"_Toc32460_WPSOffice_Level2" </w:instrText>
          </w:r>
          <w:r>
            <w:fldChar w:fldCharType="separate"/>
          </w:r>
          <w:sdt>
            <w:sdtPr>
              <w:rPr>
                <w:rFonts w:hint="eastAsia" w:ascii="仿宋_GB2312" w:hAnsi="仿宋_GB2312" w:eastAsia="仿宋_GB2312" w:cs="仿宋_GB2312"/>
                <w:kern w:val="2"/>
                <w:sz w:val="28"/>
                <w:szCs w:val="28"/>
              </w:rPr>
              <w:id w:val="1784696942"/>
              <w:placeholder>
                <w:docPart w:val="{3facd74b-6939-41bd-b4aa-b532d614e6bf}"/>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三、支出决算表</w:t>
              </w:r>
            </w:sdtContent>
          </w:sdt>
          <w:r>
            <w:rPr>
              <w:rFonts w:hint="eastAsia" w:ascii="仿宋_GB2312" w:hAnsi="仿宋_GB2312" w:eastAsia="仿宋_GB2312" w:cs="仿宋_GB2312"/>
              <w:sz w:val="28"/>
              <w:szCs w:val="28"/>
            </w:rPr>
            <w:tab/>
          </w:r>
          <w:bookmarkStart w:id="32" w:name="_Toc32460_WPSOffice_Level2Page"/>
          <w:r>
            <w:rPr>
              <w:rFonts w:hint="eastAsia" w:ascii="仿宋_GB2312" w:hAnsi="仿宋_GB2312" w:eastAsia="仿宋_GB2312" w:cs="仿宋_GB2312"/>
              <w:sz w:val="28"/>
              <w:szCs w:val="28"/>
            </w:rPr>
            <w:t>58</w:t>
          </w:r>
          <w:bookmarkEnd w:id="32"/>
          <w:r>
            <w:rPr>
              <w:rFonts w:hint="eastAsia" w:ascii="仿宋_GB2312" w:hAnsi="仿宋_GB2312" w:eastAsia="仿宋_GB2312" w:cs="仿宋_GB2312"/>
              <w:sz w:val="28"/>
              <w:szCs w:val="28"/>
            </w:rPr>
            <w:fldChar w:fldCharType="end"/>
          </w:r>
        </w:p>
        <w:p w14:paraId="26FD554B">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"_Toc22939_WPSOffice_Level2" </w:instrText>
          </w:r>
          <w:r>
            <w:fldChar w:fldCharType="separate"/>
          </w:r>
          <w:sdt>
            <w:sdtPr>
              <w:rPr>
                <w:rFonts w:hint="eastAsia" w:ascii="仿宋_GB2312" w:hAnsi="仿宋_GB2312" w:eastAsia="仿宋_GB2312" w:cs="仿宋_GB2312"/>
                <w:kern w:val="2"/>
                <w:sz w:val="28"/>
                <w:szCs w:val="28"/>
              </w:rPr>
              <w:id w:val="-713653584"/>
              <w:placeholder>
                <w:docPart w:val="{290be6d3-50a0-4fb2-a286-da62c5057760}"/>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四、财政拨款收入支出决算总表</w:t>
              </w:r>
            </w:sdtContent>
          </w:sdt>
          <w:r>
            <w:rPr>
              <w:rFonts w:hint="eastAsia" w:ascii="仿宋_GB2312" w:hAnsi="仿宋_GB2312" w:eastAsia="仿宋_GB2312" w:cs="仿宋_GB2312"/>
              <w:sz w:val="28"/>
              <w:szCs w:val="28"/>
            </w:rPr>
            <w:tab/>
          </w:r>
          <w:bookmarkStart w:id="33" w:name="_Toc22939_WPSOffice_Level2Page"/>
          <w:r>
            <w:rPr>
              <w:rFonts w:hint="eastAsia" w:ascii="仿宋_GB2312" w:hAnsi="仿宋_GB2312" w:eastAsia="仿宋_GB2312" w:cs="仿宋_GB2312"/>
              <w:sz w:val="28"/>
              <w:szCs w:val="28"/>
            </w:rPr>
            <w:t>58</w:t>
          </w:r>
          <w:bookmarkEnd w:id="33"/>
          <w:r>
            <w:rPr>
              <w:rFonts w:hint="eastAsia" w:ascii="仿宋_GB2312" w:hAnsi="仿宋_GB2312" w:eastAsia="仿宋_GB2312" w:cs="仿宋_GB2312"/>
              <w:sz w:val="28"/>
              <w:szCs w:val="28"/>
            </w:rPr>
            <w:fldChar w:fldCharType="end"/>
          </w:r>
        </w:p>
        <w:p w14:paraId="0F289E95">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"_Toc20104_WPSOffice_Level2" </w:instrText>
          </w:r>
          <w:r>
            <w:fldChar w:fldCharType="separate"/>
          </w:r>
          <w:sdt>
            <w:sdtPr>
              <w:rPr>
                <w:rFonts w:hint="eastAsia" w:ascii="仿宋_GB2312" w:hAnsi="仿宋_GB2312" w:eastAsia="仿宋_GB2312" w:cs="仿宋_GB2312"/>
                <w:kern w:val="2"/>
                <w:sz w:val="28"/>
                <w:szCs w:val="28"/>
              </w:rPr>
              <w:id w:val="-31659770"/>
              <w:placeholder>
                <w:docPart w:val="{ebc68f09-e910-4fe0-b3a8-6318eab3a0de}"/>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五、财政拨款支出决算明细表</w:t>
              </w:r>
            </w:sdtContent>
          </w:sdt>
          <w:r>
            <w:rPr>
              <w:rFonts w:hint="eastAsia" w:ascii="仿宋_GB2312" w:hAnsi="仿宋_GB2312" w:eastAsia="仿宋_GB2312" w:cs="仿宋_GB2312"/>
              <w:sz w:val="28"/>
              <w:szCs w:val="28"/>
            </w:rPr>
            <w:tab/>
          </w:r>
          <w:bookmarkStart w:id="34" w:name="_Toc20104_WPSOffice_Level2Page"/>
          <w:r>
            <w:rPr>
              <w:rFonts w:hint="eastAsia" w:ascii="仿宋_GB2312" w:hAnsi="仿宋_GB2312" w:eastAsia="仿宋_GB2312" w:cs="仿宋_GB2312"/>
              <w:sz w:val="28"/>
              <w:szCs w:val="28"/>
            </w:rPr>
            <w:t>58</w:t>
          </w:r>
          <w:bookmarkEnd w:id="34"/>
          <w:r>
            <w:rPr>
              <w:rFonts w:hint="eastAsia" w:ascii="仿宋_GB2312" w:hAnsi="仿宋_GB2312" w:eastAsia="仿宋_GB2312" w:cs="仿宋_GB2312"/>
              <w:sz w:val="28"/>
              <w:szCs w:val="28"/>
            </w:rPr>
            <w:fldChar w:fldCharType="end"/>
          </w:r>
        </w:p>
        <w:p w14:paraId="284F2083">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"_Toc4266_WPSOffice_Level2" </w:instrText>
          </w:r>
          <w:r>
            <w:fldChar w:fldCharType="separate"/>
          </w:r>
          <w:sdt>
            <w:sdtPr>
              <w:rPr>
                <w:rFonts w:hint="eastAsia" w:ascii="仿宋_GB2312" w:hAnsi="仿宋_GB2312" w:eastAsia="仿宋_GB2312" w:cs="仿宋_GB2312"/>
                <w:kern w:val="2"/>
                <w:sz w:val="28"/>
                <w:szCs w:val="28"/>
              </w:rPr>
              <w:id w:val="37784202"/>
              <w:placeholder>
                <w:docPart w:val="{102d1fc5-23ce-4b2d-8226-89302dea06c6}"/>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六、一般公共预算财政拨款支出决算表</w:t>
              </w:r>
            </w:sdtContent>
          </w:sdt>
          <w:r>
            <w:rPr>
              <w:rFonts w:hint="eastAsia" w:ascii="仿宋_GB2312" w:hAnsi="仿宋_GB2312" w:eastAsia="仿宋_GB2312" w:cs="仿宋_GB2312"/>
              <w:sz w:val="28"/>
              <w:szCs w:val="28"/>
            </w:rPr>
            <w:tab/>
          </w:r>
          <w:bookmarkStart w:id="35" w:name="_Toc4266_WPSOffice_Level2Page"/>
          <w:r>
            <w:rPr>
              <w:rFonts w:hint="eastAsia" w:ascii="仿宋_GB2312" w:hAnsi="仿宋_GB2312" w:eastAsia="仿宋_GB2312" w:cs="仿宋_GB2312"/>
              <w:sz w:val="28"/>
              <w:szCs w:val="28"/>
            </w:rPr>
            <w:t>58</w:t>
          </w:r>
          <w:bookmarkEnd w:id="35"/>
          <w:r>
            <w:rPr>
              <w:rFonts w:hint="eastAsia" w:ascii="仿宋_GB2312" w:hAnsi="仿宋_GB2312" w:eastAsia="仿宋_GB2312" w:cs="仿宋_GB2312"/>
              <w:sz w:val="28"/>
              <w:szCs w:val="28"/>
            </w:rPr>
            <w:fldChar w:fldCharType="end"/>
          </w:r>
        </w:p>
        <w:p w14:paraId="2C9FD0FC">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"_Toc5303_WPSOffice_Level2" </w:instrText>
          </w:r>
          <w:r>
            <w:fldChar w:fldCharType="separate"/>
          </w:r>
          <w:sdt>
            <w:sdtPr>
              <w:rPr>
                <w:rFonts w:hint="eastAsia" w:ascii="仿宋_GB2312" w:hAnsi="仿宋_GB2312" w:eastAsia="仿宋_GB2312" w:cs="仿宋_GB2312"/>
                <w:kern w:val="2"/>
                <w:sz w:val="28"/>
                <w:szCs w:val="28"/>
              </w:rPr>
              <w:id w:val="959760884"/>
              <w:placeholder>
                <w:docPart w:val="{9bc65dd8-7067-4138-b8e0-dcd3a60a47b5}"/>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七、一般公共预算财政拨款支出决算明细表</w:t>
              </w:r>
            </w:sdtContent>
          </w:sdt>
          <w:r>
            <w:rPr>
              <w:rFonts w:hint="eastAsia" w:ascii="仿宋_GB2312" w:hAnsi="仿宋_GB2312" w:eastAsia="仿宋_GB2312" w:cs="仿宋_GB2312"/>
              <w:sz w:val="28"/>
              <w:szCs w:val="28"/>
            </w:rPr>
            <w:tab/>
          </w:r>
          <w:bookmarkStart w:id="36" w:name="_Toc5303_WPSOffice_Level2Page"/>
          <w:r>
            <w:rPr>
              <w:rFonts w:hint="eastAsia" w:ascii="仿宋_GB2312" w:hAnsi="仿宋_GB2312" w:eastAsia="仿宋_GB2312" w:cs="仿宋_GB2312"/>
              <w:sz w:val="28"/>
              <w:szCs w:val="28"/>
            </w:rPr>
            <w:t>58</w:t>
          </w:r>
          <w:bookmarkEnd w:id="36"/>
          <w:r>
            <w:rPr>
              <w:rFonts w:hint="eastAsia" w:ascii="仿宋_GB2312" w:hAnsi="仿宋_GB2312" w:eastAsia="仿宋_GB2312" w:cs="仿宋_GB2312"/>
              <w:sz w:val="28"/>
              <w:szCs w:val="28"/>
            </w:rPr>
            <w:fldChar w:fldCharType="end"/>
          </w:r>
        </w:p>
        <w:p w14:paraId="74C2899F">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"_Toc24996_WPSOffice_Level2" </w:instrText>
          </w:r>
          <w:r>
            <w:fldChar w:fldCharType="separate"/>
          </w:r>
          <w:sdt>
            <w:sdtPr>
              <w:rPr>
                <w:rFonts w:hint="eastAsia" w:ascii="仿宋_GB2312" w:hAnsi="仿宋_GB2312" w:eastAsia="仿宋_GB2312" w:cs="仿宋_GB2312"/>
                <w:kern w:val="2"/>
                <w:sz w:val="28"/>
                <w:szCs w:val="28"/>
              </w:rPr>
              <w:id w:val="-310184626"/>
              <w:placeholder>
                <w:docPart w:val="{bf7af394-5787-4f88-95d1-150c2852424c}"/>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八、一般公共预算财政拨款基本支出决算表</w:t>
              </w:r>
            </w:sdtContent>
          </w:sdt>
          <w:r>
            <w:rPr>
              <w:rFonts w:hint="eastAsia" w:ascii="仿宋_GB2312" w:hAnsi="仿宋_GB2312" w:eastAsia="仿宋_GB2312" w:cs="仿宋_GB2312"/>
              <w:sz w:val="28"/>
              <w:szCs w:val="28"/>
            </w:rPr>
            <w:tab/>
          </w:r>
          <w:bookmarkStart w:id="37" w:name="_Toc24996_WPSOffice_Level2Page"/>
          <w:r>
            <w:rPr>
              <w:rFonts w:hint="eastAsia" w:ascii="仿宋_GB2312" w:hAnsi="仿宋_GB2312" w:eastAsia="仿宋_GB2312" w:cs="仿宋_GB2312"/>
              <w:sz w:val="28"/>
              <w:szCs w:val="28"/>
            </w:rPr>
            <w:t>58</w:t>
          </w:r>
          <w:bookmarkEnd w:id="37"/>
          <w:r>
            <w:rPr>
              <w:rFonts w:hint="eastAsia" w:ascii="仿宋_GB2312" w:hAnsi="仿宋_GB2312" w:eastAsia="仿宋_GB2312" w:cs="仿宋_GB2312"/>
              <w:sz w:val="28"/>
              <w:szCs w:val="28"/>
            </w:rPr>
            <w:fldChar w:fldCharType="end"/>
          </w:r>
        </w:p>
        <w:p w14:paraId="6538F711">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"_Toc1611_WPSOffice_Level2" </w:instrText>
          </w:r>
          <w:r>
            <w:fldChar w:fldCharType="separate"/>
          </w:r>
          <w:sdt>
            <w:sdtPr>
              <w:rPr>
                <w:rFonts w:hint="eastAsia" w:ascii="仿宋_GB2312" w:hAnsi="仿宋_GB2312" w:eastAsia="仿宋_GB2312" w:cs="仿宋_GB2312"/>
                <w:kern w:val="2"/>
                <w:sz w:val="28"/>
                <w:szCs w:val="28"/>
              </w:rPr>
              <w:id w:val="417218618"/>
              <w:placeholder>
                <w:docPart w:val="{3971f8a8-9567-4541-8465-261f815ed2a8}"/>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九、一般公共预算财政拨款项目支出决算表</w:t>
              </w:r>
            </w:sdtContent>
          </w:sdt>
          <w:r>
            <w:rPr>
              <w:rFonts w:hint="eastAsia" w:ascii="仿宋_GB2312" w:hAnsi="仿宋_GB2312" w:eastAsia="仿宋_GB2312" w:cs="仿宋_GB2312"/>
              <w:sz w:val="28"/>
              <w:szCs w:val="28"/>
            </w:rPr>
            <w:tab/>
          </w:r>
          <w:bookmarkStart w:id="38" w:name="_Toc1611_WPSOffice_Level2Page"/>
          <w:r>
            <w:rPr>
              <w:rFonts w:hint="eastAsia" w:ascii="仿宋_GB2312" w:hAnsi="仿宋_GB2312" w:eastAsia="仿宋_GB2312" w:cs="仿宋_GB2312"/>
              <w:sz w:val="28"/>
              <w:szCs w:val="28"/>
            </w:rPr>
            <w:t>58</w:t>
          </w:r>
          <w:bookmarkEnd w:id="38"/>
          <w:r>
            <w:rPr>
              <w:rFonts w:hint="eastAsia" w:ascii="仿宋_GB2312" w:hAnsi="仿宋_GB2312" w:eastAsia="仿宋_GB2312" w:cs="仿宋_GB2312"/>
              <w:sz w:val="28"/>
              <w:szCs w:val="28"/>
            </w:rPr>
            <w:fldChar w:fldCharType="end"/>
          </w:r>
        </w:p>
        <w:p w14:paraId="558C6347">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"_Toc29180_WPSOffice_Level2" </w:instrText>
          </w:r>
          <w:r>
            <w:fldChar w:fldCharType="separate"/>
          </w:r>
          <w:sdt>
            <w:sdtPr>
              <w:rPr>
                <w:rFonts w:hint="eastAsia" w:ascii="仿宋_GB2312" w:hAnsi="仿宋_GB2312" w:eastAsia="仿宋_GB2312" w:cs="仿宋_GB2312"/>
                <w:kern w:val="2"/>
                <w:sz w:val="28"/>
                <w:szCs w:val="28"/>
              </w:rPr>
              <w:id w:val="1220476592"/>
              <w:placeholder>
                <w:docPart w:val="{cc0c1020-e4ca-4545-b091-b9ef39d84295}"/>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十、一般公共预算财政拨款“三公”经费支出决算表</w:t>
              </w:r>
            </w:sdtContent>
          </w:sdt>
          <w:r>
            <w:rPr>
              <w:rFonts w:hint="eastAsia" w:ascii="仿宋_GB2312" w:hAnsi="仿宋_GB2312" w:eastAsia="仿宋_GB2312" w:cs="仿宋_GB2312"/>
              <w:sz w:val="28"/>
              <w:szCs w:val="28"/>
            </w:rPr>
            <w:tab/>
          </w:r>
          <w:bookmarkStart w:id="39" w:name="_Toc29180_WPSOffice_Level2Page"/>
          <w:r>
            <w:rPr>
              <w:rFonts w:hint="eastAsia" w:ascii="仿宋_GB2312" w:hAnsi="仿宋_GB2312" w:eastAsia="仿宋_GB2312" w:cs="仿宋_GB2312"/>
              <w:sz w:val="28"/>
              <w:szCs w:val="28"/>
            </w:rPr>
            <w:t>58</w:t>
          </w:r>
          <w:bookmarkEnd w:id="39"/>
          <w:r>
            <w:rPr>
              <w:rFonts w:hint="eastAsia" w:ascii="仿宋_GB2312" w:hAnsi="仿宋_GB2312" w:eastAsia="仿宋_GB2312" w:cs="仿宋_GB2312"/>
              <w:sz w:val="28"/>
              <w:szCs w:val="28"/>
            </w:rPr>
            <w:fldChar w:fldCharType="end"/>
          </w:r>
        </w:p>
        <w:p w14:paraId="0EF5592A">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"_Toc28201_WPSOffice_Level2" </w:instrText>
          </w:r>
          <w:r>
            <w:fldChar w:fldCharType="separate"/>
          </w:r>
          <w:sdt>
            <w:sdtPr>
              <w:rPr>
                <w:rFonts w:hint="eastAsia" w:ascii="仿宋_GB2312" w:hAnsi="仿宋_GB2312" w:eastAsia="仿宋_GB2312" w:cs="仿宋_GB2312"/>
                <w:kern w:val="2"/>
                <w:sz w:val="28"/>
                <w:szCs w:val="28"/>
              </w:rPr>
              <w:id w:val="356857993"/>
              <w:placeholder>
                <w:docPart w:val="{405ac222-20ef-4eed-b0f6-c5f11a559281}"/>
              </w:placeholder>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十一、政府性基金预算财政拨款收入支出决算表</w:t>
              </w:r>
            </w:sdtContent>
          </w:sdt>
          <w:r>
            <w:rPr>
              <w:rFonts w:hint="eastAsia" w:ascii="仿宋_GB2312" w:hAnsi="仿宋_GB2312" w:eastAsia="仿宋_GB2312" w:cs="仿宋_GB2312"/>
              <w:sz w:val="28"/>
              <w:szCs w:val="28"/>
            </w:rPr>
            <w:tab/>
          </w:r>
          <w:bookmarkStart w:id="40" w:name="_Toc28201_WPSOffice_Level2Page"/>
          <w:r>
            <w:rPr>
              <w:rFonts w:hint="eastAsia" w:ascii="仿宋_GB2312" w:hAnsi="仿宋_GB2312" w:eastAsia="仿宋_GB2312" w:cs="仿宋_GB2312"/>
              <w:sz w:val="28"/>
              <w:szCs w:val="28"/>
            </w:rPr>
            <w:t>58</w:t>
          </w:r>
          <w:bookmarkEnd w:id="40"/>
          <w:r>
            <w:rPr>
              <w:rFonts w:hint="eastAsia" w:ascii="仿宋_GB2312" w:hAnsi="仿宋_GB2312" w:eastAsia="仿宋_GB2312" w:cs="仿宋_GB2312"/>
              <w:sz w:val="28"/>
              <w:szCs w:val="28"/>
            </w:rPr>
            <w:fldChar w:fldCharType="end"/>
          </w:r>
        </w:p>
        <w:p w14:paraId="3081BFDF">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"_Toc5971_WPSOffice_Level2" </w:instrText>
          </w:r>
          <w:r>
            <w:fldChar w:fldCharType="separate"/>
          </w:r>
          <w:sdt>
            <w:sdtPr>
              <w:rPr>
                <w:rFonts w:hint="eastAsia" w:ascii="仿宋_GB2312" w:hAnsi="仿宋_GB2312" w:eastAsia="仿宋_GB2312" w:cs="仿宋_GB2312"/>
                <w:kern w:val="2"/>
                <w:sz w:val="28"/>
                <w:szCs w:val="28"/>
              </w:rPr>
              <w:id w:val="979506704"/>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十二、政府性基金预算财政拨款“三公”经费支出决算表</w:t>
              </w:r>
            </w:sdtContent>
          </w:sdt>
          <w:r>
            <w:rPr>
              <w:rFonts w:hint="eastAsia" w:ascii="仿宋_GB2312" w:hAnsi="仿宋_GB2312" w:eastAsia="仿宋_GB2312" w:cs="仿宋_GB2312"/>
              <w:sz w:val="28"/>
              <w:szCs w:val="28"/>
            </w:rPr>
            <w:tab/>
          </w:r>
          <w:bookmarkStart w:id="41" w:name="_Toc5971_WPSOffice_Level2Page"/>
          <w:r>
            <w:rPr>
              <w:rFonts w:hint="eastAsia" w:ascii="仿宋_GB2312" w:hAnsi="仿宋_GB2312" w:eastAsia="仿宋_GB2312" w:cs="仿宋_GB2312"/>
              <w:sz w:val="28"/>
              <w:szCs w:val="28"/>
            </w:rPr>
            <w:t>58</w:t>
          </w:r>
          <w:bookmarkEnd w:id="41"/>
          <w:r>
            <w:rPr>
              <w:rFonts w:hint="eastAsia" w:ascii="仿宋_GB2312" w:hAnsi="仿宋_GB2312" w:eastAsia="仿宋_GB2312" w:cs="仿宋_GB2312"/>
              <w:sz w:val="28"/>
              <w:szCs w:val="28"/>
            </w:rPr>
            <w:fldChar w:fldCharType="end"/>
          </w:r>
        </w:p>
        <w:p w14:paraId="1D6B0A0B">
          <w:pPr>
            <w:pStyle w:val="42"/>
            <w:tabs>
              <w:tab w:val="right" w:leader="dot" w:pos="8306"/>
            </w:tabs>
            <w:ind w:left="420"/>
            <w:rPr>
              <w:rFonts w:ascii="仿宋_GB2312" w:hAnsi="仿宋_GB2312" w:eastAsia="仿宋_GB2312" w:cs="仿宋_GB2312"/>
              <w:sz w:val="28"/>
              <w:szCs w:val="28"/>
            </w:rPr>
          </w:pPr>
          <w:r>
            <w:fldChar w:fldCharType="begin"/>
          </w:r>
          <w:r>
            <w:instrText xml:space="preserve"> HYPERLINK \l "_Toc28789_WPSOffice_Level2" </w:instrText>
          </w:r>
          <w:r>
            <w:fldChar w:fldCharType="separate"/>
          </w:r>
          <w:sdt>
            <w:sdtPr>
              <w:rPr>
                <w:rFonts w:hint="eastAsia" w:ascii="仿宋_GB2312" w:hAnsi="仿宋_GB2312" w:eastAsia="仿宋_GB2312" w:cs="仿宋_GB2312"/>
                <w:kern w:val="2"/>
                <w:sz w:val="28"/>
                <w:szCs w:val="28"/>
              </w:rPr>
              <w:id w:val="-1563638691"/>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十三、国有资本经营预算财政拨款收入支出决算表</w:t>
              </w:r>
            </w:sdtContent>
          </w:sdt>
          <w:r>
            <w:rPr>
              <w:rFonts w:hint="eastAsia" w:ascii="仿宋_GB2312" w:hAnsi="仿宋_GB2312" w:eastAsia="仿宋_GB2312" w:cs="仿宋_GB2312"/>
              <w:sz w:val="28"/>
              <w:szCs w:val="28"/>
            </w:rPr>
            <w:tab/>
          </w:r>
          <w:bookmarkStart w:id="42" w:name="_Toc28789_WPSOffice_Level2Page"/>
          <w:r>
            <w:rPr>
              <w:rFonts w:hint="eastAsia" w:ascii="仿宋_GB2312" w:hAnsi="仿宋_GB2312" w:eastAsia="仿宋_GB2312" w:cs="仿宋_GB2312"/>
              <w:sz w:val="28"/>
              <w:szCs w:val="28"/>
            </w:rPr>
            <w:t>58</w:t>
          </w:r>
          <w:bookmarkEnd w:id="42"/>
          <w:r>
            <w:rPr>
              <w:rFonts w:hint="eastAsia" w:ascii="仿宋_GB2312" w:hAnsi="仿宋_GB2312" w:eastAsia="仿宋_GB2312" w:cs="仿宋_GB2312"/>
              <w:sz w:val="28"/>
              <w:szCs w:val="28"/>
            </w:rPr>
            <w:fldChar w:fldCharType="end"/>
          </w:r>
        </w:p>
        <w:p w14:paraId="4ED63A26">
          <w:pPr>
            <w:pStyle w:val="42"/>
            <w:tabs>
              <w:tab w:val="right" w:leader="dot" w:pos="8306"/>
            </w:tabs>
            <w:ind w:left="420"/>
          </w:pPr>
          <w:r>
            <w:fldChar w:fldCharType="begin"/>
          </w:r>
          <w:r>
            <w:instrText xml:space="preserve"> HYPERLINK \l "_Toc7708_WPSOffice_Level2" </w:instrText>
          </w:r>
          <w:r>
            <w:fldChar w:fldCharType="separate"/>
          </w:r>
          <w:sdt>
            <w:sdtPr>
              <w:rPr>
                <w:rFonts w:hint="eastAsia" w:ascii="仿宋_GB2312" w:hAnsi="仿宋_GB2312" w:eastAsia="仿宋_GB2312" w:cs="仿宋_GB2312"/>
                <w:kern w:val="2"/>
                <w:sz w:val="28"/>
                <w:szCs w:val="28"/>
              </w:rPr>
              <w:id w:val="-1804999457"/>
            </w:sdtPr>
            <w:sdtEndPr>
              <w:rPr>
                <w:rFonts w:hint="eastAsia" w:ascii="仿宋_GB2312" w:hAnsi="仿宋_GB2312" w:eastAsia="仿宋_GB2312" w:cs="仿宋_GB2312"/>
                <w:kern w:val="2"/>
                <w:sz w:val="28"/>
                <w:szCs w:val="28"/>
              </w:rPr>
            </w:sdtEndPr>
            <w:sdtContent>
              <w:r>
                <w:rPr>
                  <w:rFonts w:hint="eastAsia" w:ascii="仿宋_GB2312" w:hAnsi="仿宋_GB2312" w:eastAsia="仿宋_GB2312" w:cs="仿宋_GB2312"/>
                  <w:sz w:val="28"/>
                  <w:szCs w:val="28"/>
                </w:rPr>
                <w:t>十四、国有资本经营预算财政拨款支出决算表</w:t>
              </w:r>
            </w:sdtContent>
          </w:sdt>
          <w:r>
            <w:rPr>
              <w:rFonts w:hint="eastAsia" w:ascii="仿宋_GB2312" w:hAnsi="仿宋_GB2312" w:eastAsia="仿宋_GB2312" w:cs="仿宋_GB2312"/>
              <w:sz w:val="28"/>
              <w:szCs w:val="28"/>
            </w:rPr>
            <w:tab/>
          </w:r>
          <w:bookmarkStart w:id="43" w:name="_Toc7708_WPSOffice_Level2Page"/>
          <w:r>
            <w:rPr>
              <w:rFonts w:hint="eastAsia" w:ascii="仿宋_GB2312" w:hAnsi="仿宋_GB2312" w:eastAsia="仿宋_GB2312" w:cs="仿宋_GB2312"/>
              <w:sz w:val="28"/>
              <w:szCs w:val="28"/>
            </w:rPr>
            <w:t>58</w:t>
          </w:r>
          <w:bookmarkEnd w:id="43"/>
          <w:r>
            <w:rPr>
              <w:rFonts w:hint="eastAsia" w:ascii="仿宋_GB2312" w:hAnsi="仿宋_GB2312" w:eastAsia="仿宋_GB2312" w:cs="仿宋_GB2312"/>
              <w:sz w:val="28"/>
              <w:szCs w:val="28"/>
            </w:rPr>
            <w:fldChar w:fldCharType="end"/>
          </w:r>
        </w:p>
      </w:sdtContent>
    </w:sdt>
    <w:bookmarkEnd w:id="12"/>
    <w:p w14:paraId="6C6800C9">
      <w:pPr>
        <w:widowControl/>
        <w:spacing w:line="440" w:lineRule="exact"/>
        <w:jc w:val="left"/>
        <w:rPr>
          <w:rFonts w:ascii="仿宋" w:hAnsi="仿宋" w:eastAsia="仿宋"/>
          <w:bCs/>
          <w:kern w:val="44"/>
          <w:sz w:val="24"/>
        </w:rPr>
      </w:pPr>
      <w:bookmarkStart w:id="44" w:name="_Toc15377196"/>
      <w:bookmarkStart w:id="45" w:name="_Toc15396599"/>
      <w:r>
        <w:rPr>
          <w:rFonts w:ascii="仿宋" w:hAnsi="仿宋" w:eastAsia="仿宋"/>
          <w:b/>
          <w:sz w:val="24"/>
        </w:rPr>
        <w:br w:type="page"/>
      </w:r>
    </w:p>
    <w:p w14:paraId="3327CE73">
      <w:pPr>
        <w:pStyle w:val="3"/>
        <w:jc w:val="center"/>
        <w:rPr>
          <w:rFonts w:ascii="黑体" w:eastAsia="黑体"/>
          <w:sz w:val="32"/>
          <w:szCs w:val="32"/>
        </w:rPr>
      </w:pPr>
      <w:bookmarkStart w:id="46" w:name="_Toc15198_WPSOffice_Level1"/>
      <w:r>
        <w:rPr>
          <w:rFonts w:hint="eastAsia" w:ascii="黑体" w:hAnsi="黑体" w:eastAsia="黑体"/>
          <w:b w:val="0"/>
        </w:rPr>
        <w:t xml:space="preserve">第一部分 </w:t>
      </w:r>
      <w:r>
        <w:rPr>
          <w:rStyle w:val="31"/>
          <w:rFonts w:hint="eastAsia" w:ascii="黑体" w:hAnsi="黑体" w:eastAsia="黑体"/>
          <w:b w:val="0"/>
          <w:bCs w:val="0"/>
        </w:rPr>
        <w:t>部门概况</w:t>
      </w:r>
      <w:bookmarkEnd w:id="44"/>
      <w:bookmarkEnd w:id="45"/>
      <w:bookmarkEnd w:id="46"/>
    </w:p>
    <w:p w14:paraId="7444AA98">
      <w:pPr>
        <w:pStyle w:val="4"/>
        <w:rPr>
          <w:rStyle w:val="32"/>
          <w:rFonts w:ascii="仿宋" w:hAnsi="仿宋" w:eastAsia="仿宋"/>
          <w:b w:val="0"/>
          <w:bCs w:val="0"/>
        </w:rPr>
      </w:pPr>
      <w:bookmarkStart w:id="47" w:name="_Toc27435_WPSOffice_Level2"/>
      <w:bookmarkStart w:id="48" w:name="_Toc15396600"/>
      <w:bookmarkStart w:id="49" w:name="_Toc15377197"/>
      <w:r>
        <w:rPr>
          <w:rFonts w:hint="eastAsia" w:ascii="黑体" w:hAnsi="黑体" w:eastAsia="黑体"/>
          <w:b w:val="0"/>
        </w:rPr>
        <w:t>一、基</w:t>
      </w:r>
      <w:r>
        <w:rPr>
          <w:rStyle w:val="32"/>
          <w:rFonts w:hint="eastAsia" w:ascii="黑体" w:hAnsi="黑体" w:eastAsia="黑体"/>
          <w:b w:val="0"/>
          <w:bCs w:val="0"/>
        </w:rPr>
        <w:t>本职能及主要工作</w:t>
      </w:r>
      <w:bookmarkEnd w:id="47"/>
      <w:bookmarkEnd w:id="48"/>
      <w:bookmarkEnd w:id="49"/>
    </w:p>
    <w:p w14:paraId="041217BA">
      <w:pPr>
        <w:pStyle w:val="4"/>
        <w:rPr>
          <w:rStyle w:val="32"/>
          <w:rFonts w:ascii="黑体" w:hAnsi="黑体" w:eastAsia="黑体"/>
          <w:b w:val="0"/>
          <w:bCs w:val="0"/>
        </w:rPr>
      </w:pPr>
      <w:bookmarkStart w:id="50" w:name="_Toc20898_WPSOffice_Level2"/>
      <w:bookmarkStart w:id="51" w:name="_Toc20435_WPSOffice_Level2"/>
      <w:bookmarkStart w:id="52" w:name="_Toc15377200"/>
      <w:bookmarkStart w:id="53" w:name="_Toc15396601"/>
      <w:r>
        <w:rPr>
          <w:rStyle w:val="32"/>
          <w:rFonts w:hint="eastAsia" w:ascii="黑体" w:hAnsi="黑体" w:eastAsia="黑体"/>
          <w:b w:val="0"/>
          <w:bCs w:val="0"/>
        </w:rPr>
        <w:t>一、职能简介</w:t>
      </w:r>
      <w:bookmarkEnd w:id="50"/>
      <w:bookmarkEnd w:id="51"/>
    </w:p>
    <w:p w14:paraId="19289296">
      <w:pPr>
        <w:pStyle w:val="16"/>
        <w:shd w:val="clear" w:color="auto" w:fill="FFFFFF"/>
        <w:spacing w:before="93" w:beforeAutospacing="0" w:after="0" w:afterAutospacing="0" w:line="560" w:lineRule="exact"/>
        <w:ind w:firstLine="672"/>
        <w:jc w:val="both"/>
        <w:rPr>
          <w:color w:val="333333"/>
          <w:sz w:val="32"/>
        </w:rPr>
      </w:pPr>
      <w:bookmarkStart w:id="54" w:name="_Toc2060_WPSOffice_Level2"/>
      <w:bookmarkStart w:id="55" w:name="_Toc9693_WPSOffice_Level2"/>
      <w:r>
        <w:rPr>
          <w:rFonts w:hint="eastAsia" w:ascii="仿宋_GB2312"/>
          <w:color w:val="333333"/>
          <w:sz w:val="32"/>
        </w:rPr>
        <w:t>1.贯彻执行国家关于司法行政工作的方针、政策和法律、法规及规章，制定全县司法行政规范性文件和工作发展规划、工作计划并组织实施。</w:t>
      </w:r>
    </w:p>
    <w:p w14:paraId="76F9F3A7">
      <w:pPr>
        <w:pStyle w:val="16"/>
        <w:shd w:val="clear" w:color="auto" w:fill="FFFFFF"/>
        <w:spacing w:before="93" w:beforeAutospacing="0" w:after="0" w:afterAutospacing="0" w:line="560" w:lineRule="exact"/>
        <w:ind w:firstLine="672"/>
        <w:jc w:val="both"/>
        <w:rPr>
          <w:color w:val="333333"/>
          <w:sz w:val="32"/>
        </w:rPr>
      </w:pPr>
      <w:r>
        <w:rPr>
          <w:rFonts w:hint="eastAsia" w:ascii="仿宋_GB2312"/>
          <w:color w:val="333333"/>
          <w:sz w:val="32"/>
        </w:rPr>
        <w:t>2.拟定全县普及法律常识规划和法制宣传教育计划并组织实施，指导全县各行业的法制宣传和依法治理工作。</w:t>
      </w:r>
    </w:p>
    <w:p w14:paraId="056AD214">
      <w:pPr>
        <w:pStyle w:val="16"/>
        <w:shd w:val="clear" w:color="auto" w:fill="FFFFFF"/>
        <w:spacing w:before="0" w:beforeAutospacing="0" w:after="0" w:afterAutospacing="0" w:line="560" w:lineRule="exact"/>
        <w:ind w:firstLine="672"/>
        <w:jc w:val="both"/>
        <w:rPr>
          <w:rFonts w:ascii="仿宋_GB2312"/>
          <w:color w:val="333333"/>
          <w:sz w:val="32"/>
        </w:rPr>
      </w:pPr>
      <w:r>
        <w:rPr>
          <w:rFonts w:hint="eastAsia" w:ascii="仿宋_GB2312"/>
          <w:color w:val="333333"/>
          <w:sz w:val="32"/>
        </w:rPr>
        <w:t>3.组织开展全面依法治县重大问题的政策研究，协调督促有关方面落实委员会决定事项、工作部署和要求等。</w:t>
      </w:r>
    </w:p>
    <w:p w14:paraId="7611C050">
      <w:pPr>
        <w:pStyle w:val="16"/>
        <w:shd w:val="clear" w:color="auto" w:fill="FFFFFF"/>
        <w:spacing w:before="0" w:beforeAutospacing="0" w:after="0" w:afterAutospacing="0" w:line="560" w:lineRule="exact"/>
        <w:ind w:firstLine="672"/>
        <w:jc w:val="both"/>
        <w:rPr>
          <w:rFonts w:ascii="仿宋_GB2312"/>
          <w:color w:val="333333"/>
          <w:sz w:val="32"/>
        </w:rPr>
      </w:pPr>
      <w:r>
        <w:rPr>
          <w:rFonts w:hint="eastAsia" w:ascii="仿宋_GB2312"/>
          <w:color w:val="333333"/>
          <w:sz w:val="32"/>
        </w:rPr>
        <w:t>4.承担统筹推进法治政府建设的责任。</w:t>
      </w:r>
    </w:p>
    <w:p w14:paraId="0E937D4B">
      <w:pPr>
        <w:pStyle w:val="16"/>
        <w:shd w:val="clear" w:color="auto" w:fill="FFFFFF"/>
        <w:spacing w:before="0" w:beforeAutospacing="0" w:after="0" w:afterAutospacing="0" w:line="560" w:lineRule="exact"/>
        <w:ind w:firstLine="672"/>
        <w:jc w:val="both"/>
        <w:rPr>
          <w:color w:val="333333"/>
          <w:sz w:val="32"/>
        </w:rPr>
      </w:pPr>
      <w:r>
        <w:rPr>
          <w:rFonts w:hint="eastAsia" w:ascii="仿宋_GB2312"/>
          <w:color w:val="333333"/>
          <w:sz w:val="32"/>
        </w:rPr>
        <w:t>5.负责指导监督全县律师、法律援助、公证、基层法律服务管理工作。</w:t>
      </w:r>
    </w:p>
    <w:p w14:paraId="1410B7E5">
      <w:pPr>
        <w:pStyle w:val="16"/>
        <w:shd w:val="clear" w:color="auto" w:fill="FFFFFF"/>
        <w:spacing w:before="0" w:beforeAutospacing="0" w:after="0" w:afterAutospacing="0" w:line="560" w:lineRule="exact"/>
        <w:ind w:firstLine="672"/>
        <w:jc w:val="both"/>
        <w:rPr>
          <w:rFonts w:ascii="仿宋_GB2312"/>
          <w:color w:val="333333"/>
          <w:sz w:val="32"/>
        </w:rPr>
      </w:pPr>
      <w:r>
        <w:rPr>
          <w:rFonts w:hint="eastAsia" w:ascii="仿宋_GB2312"/>
          <w:color w:val="333333"/>
          <w:sz w:val="32"/>
        </w:rPr>
        <w:t>6.指导全县人民调解工作和基层司法所工作。</w:t>
      </w:r>
    </w:p>
    <w:p w14:paraId="34421B49">
      <w:pPr>
        <w:pStyle w:val="16"/>
        <w:shd w:val="clear" w:color="auto" w:fill="FFFFFF"/>
        <w:spacing w:before="0" w:beforeAutospacing="0" w:after="0" w:afterAutospacing="0" w:line="560" w:lineRule="exact"/>
        <w:ind w:firstLine="672"/>
        <w:jc w:val="both"/>
        <w:rPr>
          <w:color w:val="333333"/>
          <w:sz w:val="32"/>
        </w:rPr>
      </w:pPr>
      <w:r>
        <w:rPr>
          <w:rFonts w:hint="eastAsia" w:ascii="仿宋_GB2312"/>
          <w:color w:val="333333"/>
          <w:sz w:val="32"/>
        </w:rPr>
        <w:t>7.指导管理全县社区矫正工作。指导刑满释放人员安置帮教工作。</w:t>
      </w:r>
    </w:p>
    <w:p w14:paraId="7D8137A4">
      <w:pPr>
        <w:pStyle w:val="16"/>
        <w:shd w:val="clear" w:color="auto" w:fill="FFFFFF"/>
        <w:spacing w:before="0" w:beforeAutospacing="0" w:after="0" w:afterAutospacing="0" w:line="560" w:lineRule="exact"/>
        <w:ind w:firstLine="672"/>
        <w:jc w:val="both"/>
        <w:rPr>
          <w:color w:val="333333"/>
          <w:sz w:val="32"/>
        </w:rPr>
      </w:pPr>
      <w:r>
        <w:rPr>
          <w:rFonts w:hint="eastAsia" w:ascii="仿宋_GB2312"/>
          <w:color w:val="333333"/>
          <w:sz w:val="32"/>
        </w:rPr>
        <w:t>8.组织开展全县司法行政系统队伍建设和思想政治工作。</w:t>
      </w:r>
    </w:p>
    <w:p w14:paraId="557C3332">
      <w:pPr>
        <w:pStyle w:val="16"/>
        <w:shd w:val="clear" w:color="auto" w:fill="FFFFFF"/>
        <w:spacing w:before="0" w:beforeAutospacing="0" w:after="0" w:afterAutospacing="0" w:line="560" w:lineRule="exact"/>
        <w:ind w:firstLine="672"/>
        <w:jc w:val="both"/>
        <w:rPr>
          <w:rFonts w:ascii="Times New Roman"/>
          <w:bCs/>
          <w:sz w:val="32"/>
          <w:u w:val="single"/>
        </w:rPr>
      </w:pPr>
      <w:r>
        <w:rPr>
          <w:rFonts w:hint="eastAsia" w:ascii="仿宋_GB2312"/>
          <w:color w:val="333333"/>
          <w:sz w:val="32"/>
        </w:rPr>
        <w:t>9.完成县委、县政府交办的其他任务。</w:t>
      </w:r>
    </w:p>
    <w:p w14:paraId="1242FF25">
      <w:pPr>
        <w:pStyle w:val="4"/>
        <w:rPr>
          <w:rFonts w:ascii="黑体" w:hAnsi="黑体" w:eastAsia="黑体"/>
          <w:b w:val="0"/>
        </w:rPr>
      </w:pPr>
      <w:r>
        <w:rPr>
          <w:rFonts w:hint="eastAsia" w:ascii="黑体" w:hAnsi="黑体" w:eastAsia="黑体"/>
          <w:b w:val="0"/>
        </w:rPr>
        <w:t>二、2021年重点工作完成情况</w:t>
      </w:r>
      <w:bookmarkEnd w:id="54"/>
      <w:bookmarkEnd w:id="55"/>
    </w:p>
    <w:p w14:paraId="1ACD1F56">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（一）聚焦主业，全面依法治县统筹推进</w:t>
      </w:r>
    </w:p>
    <w:p w14:paraId="16B9AAC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2021年，依法治县办坚持以习近平新时代中国特色社会主义思想为指导，深入学习贯彻习近平法治思想，持续加强统筹协调，印发了《中共盐边县委全面依法治县委员会2021年工作要点》及任务清单，确定了6个方面20项重点工作97项具体任务，深入推进全面依法治县各项工作，不断促进党委依法执政、科学民主依法立法、政府依法行政、司法公正高效、社会有效治理。聚焦解决基层法治领域突出问题，努力抓好全面依法治县示范试点暨示范推动解决法治建设八个具体问题相关工作，主动作为，在全市率先制定并印发《盐边县行政裁决示范建设试点工作方案》，起草《盐边县行政裁决程序规定》。积极组织全县各部门、乡（镇）参加攀枝花市 2021 年度法治实践课题研究工作，向市委依法治市办报送并被采用法治实践课题3篇。    </w:t>
      </w:r>
    </w:p>
    <w:p w14:paraId="0CF466AF">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（二）聚焦主旨，法治政府建设全面提速</w:t>
      </w:r>
    </w:p>
    <w:p w14:paraId="7BA6C6D9">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1.健全依法决策机制，加大合法性审查力度。</w:t>
      </w:r>
      <w:r>
        <w:rPr>
          <w:rFonts w:hint="eastAsia" w:ascii="仿宋_GB2312" w:hAnsi="仿宋_GB2312" w:eastAsia="仿宋_GB2312" w:cs="仿宋_GB2312"/>
          <w:sz w:val="32"/>
          <w:szCs w:val="32"/>
        </w:rPr>
        <w:t>坚持重大行政决策必经合法性审查，未经合法性审查或经审查不合法的，不提交决策机关讨论。作出合法性审查66件（其中：重大合同31件，重大决策35件）；审查行政规范性文件1件，备案行政规范性文件1件；备案重大行政处罚案件14件。</w:t>
      </w:r>
    </w:p>
    <w:p w14:paraId="0DA2E753">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2.加强执法规范化建设，提升依法行政水平。</w:t>
      </w:r>
      <w:r>
        <w:rPr>
          <w:rFonts w:hint="eastAsia" w:ascii="仿宋_GB2312" w:hAnsi="仿宋_GB2312" w:eastAsia="仿宋_GB2312" w:cs="仿宋_GB2312"/>
          <w:sz w:val="32"/>
          <w:szCs w:val="32"/>
        </w:rPr>
        <w:t xml:space="preserve">印发《关于纵深推进行政执法“三项制度”的通知》等文件，将全面落实“三项制度”纳入2021年度法治政府建设重点工作安排。深入推进行政执法标准化建设，大力推广使用《攀枝花市行政执法标准化体系汇编》，开展盐边县行政裁决试点工作。开展行政执法人员大学习大练兵大比武活动，组织31家行政执法单位487人进行线上线下测试，开展2021年度盐边县行政执法证件申领、报名、换证工作，组织全县31个行政执法单位487人进行大学习活动，并对其中307名拟申领或换证人员参加行政执法人员资格认证考试，合格率100％。按照“谁起草、谁清理”“谁实施、谁清理”“应取尽取”的原则，积极开展全县证明事项告知承诺制的清理工作，全县保留证明事项54项。  </w:t>
      </w:r>
    </w:p>
    <w:p w14:paraId="47FEA285">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3.提升行政复议质效，有效提升政府公信力。</w:t>
      </w:r>
      <w:r>
        <w:rPr>
          <w:rFonts w:hint="eastAsia" w:ascii="仿宋_GB2312" w:hAnsi="仿宋_GB2312" w:eastAsia="仿宋_GB2312" w:cs="仿宋_GB2312"/>
          <w:sz w:val="32"/>
          <w:szCs w:val="32"/>
        </w:rPr>
        <w:t>积极推进行政复议与应诉工作平台建设试点工作，切实做好案件录入工作。2021年截至目前，受（审）理行政复议案件22件，驳回申请人行政复议申请2件，维持7件，撤销3件，不予受理7件，审理中1件；办理行政诉讼案件26件（含二审），驳回上诉维持原判（原裁定）4件，驳回原告诉讼请求1件，驳回原告起诉2件，发回重审1件，审理中18件。及时协调我县行政负责人出庭应诉，出庭应诉率100%；组织29家部门40余人参加案件庭审观摩2次。</w:t>
      </w:r>
    </w:p>
    <w:p w14:paraId="5CBDB6F7">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（三）聚焦主责，服务中心工作精准有力</w:t>
      </w:r>
    </w:p>
    <w:p w14:paraId="7363B0DB">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1.深化法治宣传教育。</w:t>
      </w:r>
      <w:r>
        <w:rPr>
          <w:rFonts w:hint="eastAsia" w:ascii="仿宋_GB2312" w:hAnsi="仿宋_GB2312" w:eastAsia="仿宋_GB2312" w:cs="仿宋_GB2312"/>
          <w:sz w:val="32"/>
          <w:szCs w:val="32"/>
        </w:rPr>
        <w:t>依托各类法律服务平台，深入推进“法律七进”活动，全县38名普法讲师团成员纷纷入驻平台、深入现场，与服务对象进行面对面交流。建立联席会议制度，通过各类法宣阵地推进以案释法，深入落实“谁执法谁普法”责任制。全面落实“一月一主题”法治宣传活动，采取摆摊设点的“地摊式”普法，在广场、菜市场等人流量较多的地方，开展“三下乡”、“美好生活.民法典相伴”“12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4”国家宪法日等十多项主题活动法治宣传，在全县营造了良好法治环境。开展关爱青少年健康行动法治讲堂8场次，增强青少年法治观念教育活动16次；开展“法律七进”集中宣传活动23场次，进机关5次、进学校13次、进社区20次、进乡村40次、进寺庙1次、进企业1次、进单位3次，解答群众咨询206余件；法律进学校”共举行法治宣传教育活动89次（法治副校长举办法治教育讲座56次，青少年走进青少年法治教育基地7次，开展模拟法庭6次）；进入10个重点村（社区）开展“民法典走进乡村（社区）”“三个一百”主题宣讲活动”。共发放普法宣传材料30000余份、民法典年历、法治围裙、法治环保袋等法治宣传用品10000余份。</w:t>
      </w:r>
    </w:p>
    <w:p w14:paraId="21B47D96">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2.优化法律援助服务。</w:t>
      </w:r>
      <w:r>
        <w:rPr>
          <w:rFonts w:hint="eastAsia" w:ascii="仿宋_GB2312" w:hAnsi="仿宋_GB2312" w:eastAsia="仿宋_GB2312" w:cs="仿宋_GB2312"/>
          <w:sz w:val="32"/>
          <w:szCs w:val="32"/>
        </w:rPr>
        <w:t>简化法律援助受案程序，对集体案件实行优先受理、优先审批、优先指派，对情况紧急的群众申请事项先行提供法律援助。重点关注农民工欠薪、妇女儿童受家暴、中小学生欺凌等特殊群体的法律服务需求，开展“法援惠民生，关爱特殊群体”活动。目前，县法律援助中心共接待来访来电咨询1720件、1760人次，办理法律援助案件263件（其中，涉及农民工讨薪案件39件，为农民工追讨欠薪113万余元；妇女儿童案件17件；未成年人案件38件；处理涉及130余人的群体性案件2件；成功化解一起上访纠纷）。</w:t>
      </w:r>
    </w:p>
    <w:p w14:paraId="41123CE5">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3.完善多层次多领域公共法律服务。</w:t>
      </w:r>
      <w:r>
        <w:rPr>
          <w:rFonts w:hint="eastAsia" w:ascii="仿宋_GB2312" w:hAnsi="仿宋_GB2312" w:eastAsia="仿宋_GB2312" w:cs="仿宋_GB2312"/>
          <w:sz w:val="32"/>
          <w:szCs w:val="32"/>
        </w:rPr>
        <w:t>以县级公共法律服务中心为中心、12个乡（镇）公共法律服务站为依托、88个村（社区）公共法律服务工作室为支点的公共法律服务网络已具规模，88个村（社区）法律顾问实现全覆盖。组织律师、基层法律服务工作者深入企业开展“法治体检”工作，解答企业生产、经营中面临的法律问题和困难，制定个性化“体检报告”，对症下药开出“法律良方”，帮助企业提升防范法律风险能力。村（社区）法律顾问走村入社区81次，咨询714人次（含电话咨询），与村（社区）建立微信联络群53个，张贴农村法治宣传稿30份，为村民免费代书51件、开展普法讲座21场次，共发放宣传资料2600余份，审查合同24份，办理涉村（社区）案件13件（含调解）。律师、基层法律服务工作者已为33家企业提供法治体检，解决企业问题和困难17件，收集企业提出的营造法治化营商环境等建议4条，审查劳动合同32份，开展法治宣讲9次，发放宣传资料305份。</w:t>
      </w:r>
    </w:p>
    <w:p w14:paraId="78331AF8">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4.做好便捷公证服务。</w:t>
      </w:r>
      <w:r>
        <w:rPr>
          <w:rFonts w:hint="eastAsia" w:ascii="仿宋_GB2312" w:hAnsi="仿宋_GB2312" w:eastAsia="仿宋_GB2312" w:cs="仿宋_GB2312"/>
          <w:sz w:val="32"/>
          <w:szCs w:val="32"/>
        </w:rPr>
        <w:t>开通便民“绿色通道”，提供“反向跑”办证服务，对行动不便的老年人、残疾人、伤病患等特殊人群及有实际困难的群众，提供预约安排、上门服务。县公证处从8月份正常开展办证业务以来，办理各类公证43件，解答群众法律咨询598人次，修改法律文书182份。</w:t>
      </w:r>
    </w:p>
    <w:p w14:paraId="22F4C055">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（四）聚焦主线，维护社会稳定勇担使命</w:t>
      </w:r>
    </w:p>
    <w:p w14:paraId="479A66B3">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1.做强矛盾纠纷化解。</w:t>
      </w:r>
      <w:r>
        <w:rPr>
          <w:rFonts w:hint="eastAsia" w:ascii="仿宋_GB2312" w:hAnsi="仿宋_GB2312" w:eastAsia="仿宋_GB2312" w:cs="仿宋_GB2312"/>
          <w:sz w:val="32"/>
          <w:szCs w:val="32"/>
        </w:rPr>
        <w:t>切实做好村级建制改革期间人民调解组织建设工作，形成过渡期人民调解委员会124个，人民调解员685名；遵法评理会88个，遵法评理员505名。专业调委会调解纠纷491件、乡镇(村、社区)调委会调解案件总数939件，司法所及时参与矛盾纠纷调解及信访维稳工作，开展矛盾纠纷排查84次，参与并成功调解矛盾纠纷166件。组织人民调解员培训20余次，参加人数达到1300人以上。</w:t>
      </w:r>
    </w:p>
    <w:p w14:paraId="769F33D9">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2.做严“两类”人员管控。</w:t>
      </w:r>
      <w:r>
        <w:rPr>
          <w:rFonts w:hint="eastAsia" w:ascii="仿宋_GB2312" w:hAnsi="仿宋_GB2312" w:eastAsia="仿宋_GB2312" w:cs="仿宋_GB2312"/>
          <w:sz w:val="32"/>
          <w:szCs w:val="32"/>
        </w:rPr>
        <w:t>完善出台《盐边县司法局社区矫正工作月督查制度》、《盐边县司法局“两类人员”救助制度》等制度，在实践中不断加强社区矫正工作机制建设。严格开展刑罚执行工作，规范做好接收宣告、管理教育、考核奖惩、解除终止等环节，把好“入矫关”。投入资金改造远程视频会见系统，推动亲情帮扶。2021年，全县接收社区矫正对象109名，解除矫正107名，撤销缓刑3人，训戒14人（次），警告处分8人（次），开展社会调查评估57件，现有在矫人员133人，走访社区矫正对象近700人（次），为困难社区矫正对象捐款1200元，为困难社区矫正对象未成年子女发放文具、书包等物品88件。共接收监狱刑满释放人员102人，社区矫正解除107人，走访安置帮教对象300余人次，为2名重点帮教对象协调解决住房及推荐就业，安置率达到100%，帮教率100%。远程探视预约274次，会见186场次420人次。</w:t>
      </w:r>
    </w:p>
    <w:p w14:paraId="4A56D790">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3.深入开展扫黑除恶工作。</w:t>
      </w:r>
      <w:r>
        <w:rPr>
          <w:rFonts w:hint="eastAsia" w:ascii="仿宋_GB2312" w:hAnsi="仿宋_GB2312" w:eastAsia="仿宋_GB2312" w:cs="仿宋_GB2312"/>
          <w:sz w:val="32"/>
          <w:szCs w:val="32"/>
        </w:rPr>
        <w:t>加强扫黑除恶工作法治宣传，推送普法信息、制作固定专项宣传栏、编印发放宣传资料。强化对“两类人员”的思想教育和心理疏导工作，积极参与“坦检”活动。加强对律师办理扫黑除恶案件辩护代理工作的监督指导，规范律师办理黑恶势力犯罪案件执业行为。共开展专项排查84次，开展教育学习1500余人次，个别谈话1300余人次，扫黑除恶坦检活动，社区服刑人员检举线索0条。</w:t>
      </w:r>
    </w:p>
    <w:p w14:paraId="2D491CE1">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（五）聚焦主题，队伍教育整顿走深走实</w:t>
      </w:r>
    </w:p>
    <w:p w14:paraId="5527F525">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1.强化组织领导，压实主体责任。</w:t>
      </w:r>
      <w:r>
        <w:rPr>
          <w:rFonts w:hint="eastAsia" w:ascii="仿宋_GB2312" w:hAnsi="仿宋_GB2312" w:eastAsia="仿宋_GB2312" w:cs="仿宋_GB2312"/>
          <w:sz w:val="32"/>
          <w:szCs w:val="32"/>
        </w:rPr>
        <w:t>队伍教育整顿以来先后召开局党组会议10次，领导小组及办公室会议10次，制定13项工作方案，谋划部署教育整顿工作。</w:t>
      </w:r>
    </w:p>
    <w:p w14:paraId="2805923B">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2.学习教育“走心”，筑牢思想根基。</w:t>
      </w:r>
      <w:r>
        <w:rPr>
          <w:rFonts w:hint="eastAsia" w:ascii="仿宋_GB2312" w:hAnsi="仿宋_GB2312" w:eastAsia="仿宋_GB2312" w:cs="仿宋_GB2312"/>
          <w:sz w:val="32"/>
          <w:szCs w:val="32"/>
        </w:rPr>
        <w:t>学习教育环节，发放各类学习资料、学习记录本400余份，安排40个专题学习，参加市委政法委政法大讲堂视频学习6次，参加市委书记、县委书记讲党课2次，组织参加省司法厅、市司法局视频专题教育4次；全局干警共撰写“四项教育”、训词精神等学习心得体会320篇，开展学习讨论交流会5次、27名干警交流学习心得体会；组织四项教育知识网络测试，参加率100%，合格率100%。</w:t>
      </w:r>
    </w:p>
    <w:p w14:paraId="598634E4">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3.党史教育不断深化。</w:t>
      </w:r>
      <w:r>
        <w:rPr>
          <w:rFonts w:hint="eastAsia" w:ascii="仿宋_GB2312" w:hAnsi="仿宋_GB2312" w:eastAsia="仿宋_GB2312" w:cs="仿宋_GB2312"/>
          <w:sz w:val="32"/>
          <w:szCs w:val="32"/>
        </w:rPr>
        <w:t>以党组理论</w:t>
      </w:r>
      <w:r>
        <w:rPr>
          <w:rFonts w:hint="eastAsia" w:ascii="仿宋_GB2312" w:hAnsi="仿宋_GB2312" w:eastAsia="仿宋_GB2312" w:cs="仿宋_GB2312"/>
          <w:sz w:val="32"/>
          <w:szCs w:val="32"/>
          <w:lang w:val="en-US" w:eastAsia="zh-CN"/>
        </w:rPr>
        <w:t>学习</w:t>
      </w:r>
      <w:r>
        <w:rPr>
          <w:rFonts w:hint="eastAsia" w:ascii="仿宋_GB2312" w:hAnsi="仿宋_GB2312" w:eastAsia="仿宋_GB2312" w:cs="仿宋_GB2312"/>
          <w:sz w:val="32"/>
          <w:szCs w:val="32"/>
        </w:rPr>
        <w:t>中心组学习为牵引，系统组织学习习近平《论中国共产党历史》等指定学习材料，用好《中国共产党的100年》等必读书目，购买党史学习资料210本。开展党史专题讲座学习2次</w:t>
      </w:r>
      <w:bookmarkStart w:id="174" w:name="_GoBack"/>
      <w:bookmarkEnd w:id="174"/>
      <w:r>
        <w:rPr>
          <w:rFonts w:hint="eastAsia" w:ascii="仿宋_GB2312" w:hAnsi="仿宋_GB2312" w:eastAsia="仿宋_GB2312" w:cs="仿宋_GB2312"/>
          <w:sz w:val="32"/>
          <w:szCs w:val="32"/>
        </w:rPr>
        <w:t>，班子成员带头讲党课5次，集中开展党史学习教育28场次。开展政治轮训，组织集中学习58场次。</w:t>
      </w:r>
    </w:p>
    <w:p w14:paraId="43578444">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4.教育整顿成效凸显。</w:t>
      </w:r>
      <w:r>
        <w:rPr>
          <w:rFonts w:hint="eastAsia" w:ascii="仿宋_GB2312" w:hAnsi="仿宋_GB2312" w:eastAsia="仿宋_GB2312" w:cs="仿宋_GB2312"/>
          <w:sz w:val="32"/>
          <w:szCs w:val="32"/>
        </w:rPr>
        <w:t>以为群众办实事检验教育整顿效果，开展为民办实事561次，解决群众困难问题3700余人次，收到群众锦旗4面。</w:t>
      </w:r>
    </w:p>
    <w:p w14:paraId="42C53C5C">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5.查纠整改走深，抓源治本从严。</w:t>
      </w:r>
      <w:r>
        <w:rPr>
          <w:rFonts w:hint="eastAsia" w:ascii="仿宋_GB2312" w:hAnsi="仿宋_GB2312" w:eastAsia="仿宋_GB2312" w:cs="仿宋_GB2312"/>
          <w:sz w:val="32"/>
          <w:szCs w:val="32"/>
        </w:rPr>
        <w:t>查纠整改环节，开展集中警示教育学习4次，集中开展“自查从宽、被查从严”政策宣讲4次，已组织干警学习正反面典型案例10余起，发放倡议书53份，廉政承诺书53份，家庭助廉承诺书53份，组织干警学习正反面典型案例10余起。组织开展谈心谈话4次155人次，掌握不同层级、不同岗位、不同年龄段干警的思想动态。开展征求意见座谈会1场次，“开门纳谏”活动征求队伍教育整顿意见建议26条，制定整改措施79条；征求党员、干部和群众在“发挥班子政治引领作用、创新支部组织活动方式、加强党员管理教育”等方面意见建议17条。召开高质量的专题民主生活会，围绕6个方面查摆班子存在的问题和不足6条（整合后），局班子成员围绕“六个方面”剖析查找问题23条；召开机关党支部专题民主生活会，查找机关党支部支委班子问题5条，查找32名党员问题82条。</w:t>
      </w:r>
    </w:p>
    <w:p w14:paraId="29B2419E">
      <w:pPr>
        <w:pStyle w:val="4"/>
        <w:rPr>
          <w:rStyle w:val="32"/>
          <w:b w:val="0"/>
          <w:bCs w:val="0"/>
        </w:rPr>
      </w:pPr>
      <w:bookmarkStart w:id="56" w:name="_Toc29778_WPSOffice_Level2"/>
      <w:r>
        <w:rPr>
          <w:rFonts w:hint="eastAsia" w:ascii="黑体" w:eastAsia="黑体"/>
          <w:b w:val="0"/>
        </w:rPr>
        <w:t>二、</w:t>
      </w:r>
      <w:r>
        <w:rPr>
          <w:rFonts w:hint="eastAsia" w:ascii="黑体" w:hAnsi="黑体" w:eastAsia="黑体"/>
          <w:b w:val="0"/>
        </w:rPr>
        <w:t>机</w:t>
      </w:r>
      <w:r>
        <w:rPr>
          <w:rStyle w:val="32"/>
          <w:rFonts w:hint="eastAsia" w:ascii="黑体" w:hAnsi="黑体" w:eastAsia="黑体"/>
          <w:b w:val="0"/>
          <w:bCs w:val="0"/>
        </w:rPr>
        <w:t>构设置</w:t>
      </w:r>
      <w:bookmarkEnd w:id="52"/>
      <w:bookmarkEnd w:id="53"/>
      <w:bookmarkEnd w:id="56"/>
    </w:p>
    <w:p w14:paraId="392D11DB">
      <w:pPr>
        <w:pStyle w:val="8"/>
        <w:adjustRightInd w:val="0"/>
        <w:snapToGrid w:val="0"/>
        <w:spacing w:before="93" w:line="600" w:lineRule="exact"/>
        <w:ind w:firstLine="1120" w:firstLineChars="350"/>
        <w:rPr>
          <w:rFonts w:ascii="仿宋" w:hAnsi="仿宋" w:eastAsia="仿宋"/>
          <w:sz w:val="32"/>
          <w:szCs w:val="32"/>
        </w:rPr>
      </w:pPr>
      <w:bookmarkStart w:id="57" w:name="_Toc15377201"/>
      <w:bookmarkStart w:id="58" w:name="_Toc15377432"/>
      <w:bookmarkStart w:id="59" w:name="_Toc15378448"/>
      <w:bookmarkStart w:id="60" w:name="_Toc15306275"/>
      <w:r>
        <w:rPr>
          <w:rFonts w:hint="eastAsia" w:cs="仿宋_GB2312"/>
          <w:sz w:val="32"/>
          <w:szCs w:val="32"/>
        </w:rPr>
        <w:t>盐边县司法局无下属二级预算单位，在2021年末</w:t>
      </w:r>
      <w:r>
        <w:rPr>
          <w:rFonts w:hint="eastAsia" w:cs="仿宋_GB2312"/>
          <w:sz w:val="32"/>
          <w:szCs w:val="32"/>
          <w:shd w:val="clear" w:color="auto" w:fill="FFFFFF"/>
        </w:rPr>
        <w:t>司法局编制数</w:t>
      </w:r>
      <w:r>
        <w:rPr>
          <w:rFonts w:cs="仿宋_GB2312"/>
          <w:sz w:val="32"/>
          <w:szCs w:val="32"/>
          <w:shd w:val="clear" w:color="auto" w:fill="FFFFFF"/>
        </w:rPr>
        <w:t>4</w:t>
      </w:r>
      <w:r>
        <w:rPr>
          <w:rFonts w:hint="eastAsia" w:cs="仿宋_GB2312"/>
          <w:sz w:val="32"/>
          <w:szCs w:val="32"/>
          <w:shd w:val="clear" w:color="auto" w:fill="FFFFFF"/>
        </w:rPr>
        <w:t>4名，其中行政编制</w:t>
      </w:r>
      <w:r>
        <w:rPr>
          <w:rFonts w:cs="仿宋_GB2312"/>
          <w:sz w:val="32"/>
          <w:szCs w:val="32"/>
          <w:shd w:val="clear" w:color="auto" w:fill="FFFFFF"/>
        </w:rPr>
        <w:t>4</w:t>
      </w:r>
      <w:r>
        <w:rPr>
          <w:rFonts w:hint="eastAsia" w:cs="仿宋_GB2312"/>
          <w:sz w:val="32"/>
          <w:szCs w:val="32"/>
          <w:shd w:val="clear" w:color="auto" w:fill="FFFFFF"/>
        </w:rPr>
        <w:t>0名，机关后勤编制</w:t>
      </w:r>
      <w:r>
        <w:rPr>
          <w:rFonts w:cs="仿宋_GB2312"/>
          <w:sz w:val="32"/>
          <w:szCs w:val="32"/>
          <w:shd w:val="clear" w:color="auto" w:fill="FFFFFF"/>
        </w:rPr>
        <w:t>1</w:t>
      </w:r>
      <w:r>
        <w:rPr>
          <w:rFonts w:hint="eastAsia" w:cs="仿宋_GB2312"/>
          <w:sz w:val="32"/>
          <w:szCs w:val="32"/>
          <w:shd w:val="clear" w:color="auto" w:fill="FFFFFF"/>
        </w:rPr>
        <w:t>名，参照公务员管理编制</w:t>
      </w:r>
      <w:r>
        <w:rPr>
          <w:rFonts w:cs="仿宋_GB2312"/>
          <w:sz w:val="32"/>
          <w:szCs w:val="32"/>
          <w:shd w:val="clear" w:color="auto" w:fill="FFFFFF"/>
        </w:rPr>
        <w:t>3</w:t>
      </w:r>
      <w:r>
        <w:rPr>
          <w:rFonts w:hint="eastAsia" w:cs="仿宋_GB2312"/>
          <w:sz w:val="32"/>
          <w:szCs w:val="32"/>
          <w:shd w:val="clear" w:color="auto" w:fill="FFFFFF"/>
        </w:rPr>
        <w:t>名。</w:t>
      </w:r>
      <w:r>
        <w:rPr>
          <w:rFonts w:ascii="仿宋" w:hAnsi="仿宋" w:eastAsia="仿宋"/>
          <w:color w:val="000000"/>
          <w:sz w:val="32"/>
          <w:szCs w:val="32"/>
        </w:rPr>
        <w:br w:type="page"/>
      </w:r>
      <w:bookmarkEnd w:id="57"/>
      <w:bookmarkEnd w:id="58"/>
      <w:bookmarkEnd w:id="59"/>
      <w:bookmarkEnd w:id="60"/>
    </w:p>
    <w:p w14:paraId="22029681">
      <w:pPr>
        <w:widowControl/>
        <w:jc w:val="center"/>
        <w:rPr>
          <w:rStyle w:val="31"/>
          <w:rFonts w:ascii="黑体" w:hAnsi="黑体" w:eastAsia="黑体"/>
          <w:b w:val="0"/>
        </w:rPr>
      </w:pPr>
      <w:bookmarkStart w:id="61" w:name="_Toc27435_WPSOffice_Level1"/>
      <w:bookmarkStart w:id="62" w:name="_Toc15377204"/>
      <w:bookmarkStart w:id="63" w:name="_Toc15396602"/>
      <w:r>
        <w:rPr>
          <w:rFonts w:hint="eastAsia" w:ascii="黑体" w:hAnsi="黑体" w:eastAsia="黑体"/>
          <w:sz w:val="44"/>
          <w:szCs w:val="44"/>
        </w:rPr>
        <w:t>第二部分 2021年度</w:t>
      </w:r>
      <w:r>
        <w:rPr>
          <w:rStyle w:val="31"/>
          <w:rFonts w:hint="eastAsia" w:ascii="黑体" w:hAnsi="黑体" w:eastAsia="黑体"/>
          <w:b w:val="0"/>
        </w:rPr>
        <w:t>部门决算情况说明</w:t>
      </w:r>
      <w:bookmarkEnd w:id="61"/>
      <w:bookmarkEnd w:id="62"/>
      <w:bookmarkEnd w:id="63"/>
    </w:p>
    <w:p w14:paraId="718E88DE"/>
    <w:p w14:paraId="4E112223">
      <w:pPr>
        <w:pStyle w:val="30"/>
        <w:numPr>
          <w:ilvl w:val="0"/>
          <w:numId w:val="1"/>
        </w:numPr>
        <w:spacing w:line="600" w:lineRule="exact"/>
        <w:ind w:firstLineChars="0"/>
        <w:outlineLvl w:val="1"/>
        <w:rPr>
          <w:rStyle w:val="32"/>
          <w:rFonts w:ascii="黑体" w:hAnsi="黑体" w:eastAsia="黑体"/>
          <w:b w:val="0"/>
        </w:rPr>
      </w:pPr>
      <w:bookmarkStart w:id="64" w:name="_Toc15396603"/>
      <w:bookmarkStart w:id="65" w:name="_Toc23074_WPSOffice_Level2"/>
      <w:bookmarkStart w:id="66" w:name="_Toc15377205"/>
      <w:r>
        <w:rPr>
          <w:rFonts w:hint="eastAsia" w:ascii="黑体" w:hAnsi="黑体" w:eastAsia="黑体"/>
          <w:sz w:val="32"/>
          <w:szCs w:val="32"/>
        </w:rPr>
        <w:t>收</w:t>
      </w:r>
      <w:r>
        <w:rPr>
          <w:rStyle w:val="32"/>
          <w:rFonts w:hint="eastAsia" w:ascii="黑体" w:hAnsi="黑体" w:eastAsia="黑体"/>
          <w:b w:val="0"/>
        </w:rPr>
        <w:t>入支出决算总体情况说明</w:t>
      </w:r>
      <w:bookmarkEnd w:id="64"/>
      <w:bookmarkEnd w:id="65"/>
      <w:bookmarkEnd w:id="66"/>
    </w:p>
    <w:p w14:paraId="012C65C7">
      <w:pPr>
        <w:spacing w:line="600" w:lineRule="exact"/>
        <w:ind w:firstLine="640" w:firstLineChars="200"/>
        <w:rPr>
          <w:rFonts w:ascii="仿宋_GB2312" w:eastAsia="仿宋_GB2312"/>
          <w:sz w:val="32"/>
          <w:szCs w:val="32"/>
        </w:rPr>
      </w:pPr>
      <w:r>
        <w:rPr>
          <w:rFonts w:hint="eastAsia" w:ascii="仿宋" w:hAnsi="仿宋" w:eastAsia="仿宋"/>
          <w:sz w:val="32"/>
          <w:szCs w:val="32"/>
        </w:rPr>
        <w:t>2021年度收、支总计1122.88万元。与2020年相比，收、支总计增加14.29万元，增长1.29</w:t>
      </w:r>
      <w:r>
        <w:rPr>
          <w:rFonts w:ascii="仿宋" w:hAnsi="仿宋" w:eastAsia="仿宋"/>
          <w:sz w:val="32"/>
          <w:szCs w:val="32"/>
        </w:rPr>
        <w:t>%</w:t>
      </w:r>
      <w:r>
        <w:rPr>
          <w:rFonts w:hint="eastAsia" w:ascii="仿宋" w:hAnsi="仿宋" w:eastAsia="仿宋"/>
          <w:sz w:val="32"/>
          <w:szCs w:val="32"/>
        </w:rPr>
        <w:t>。主要变动原因是单位业务增多支出增加。</w:t>
      </w:r>
    </w:p>
    <w:p w14:paraId="36A881BC">
      <w:r>
        <w:drawing>
          <wp:inline distT="0" distB="0" distL="114300" distR="114300">
            <wp:extent cx="5273040" cy="3050540"/>
            <wp:effectExtent l="4445" t="4445" r="18415" b="12065"/>
            <wp:docPr id="3138"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A87CEA3">
      <w:pPr>
        <w:pStyle w:val="30"/>
        <w:numPr>
          <w:ilvl w:val="0"/>
          <w:numId w:val="1"/>
        </w:numPr>
        <w:spacing w:line="600" w:lineRule="exact"/>
        <w:ind w:firstLineChars="0"/>
        <w:outlineLvl w:val="1"/>
        <w:rPr>
          <w:rStyle w:val="32"/>
          <w:rFonts w:ascii="黑体" w:hAnsi="黑体" w:eastAsia="黑体"/>
          <w:b w:val="0"/>
        </w:rPr>
      </w:pPr>
      <w:bookmarkStart w:id="67" w:name="_Toc6443_WPSOffice_Level2"/>
      <w:bookmarkStart w:id="68" w:name="_Toc23867_WPSOffice_Level2"/>
      <w:bookmarkStart w:id="69" w:name="_Toc15396604"/>
      <w:bookmarkStart w:id="70" w:name="_Toc15377206"/>
      <w:r>
        <w:rPr>
          <w:rFonts w:hint="eastAsia" w:ascii="黑体" w:hAnsi="黑体" w:eastAsia="黑体"/>
          <w:sz w:val="32"/>
          <w:szCs w:val="32"/>
        </w:rPr>
        <w:t>收</w:t>
      </w:r>
      <w:r>
        <w:rPr>
          <w:rStyle w:val="32"/>
          <w:rFonts w:hint="eastAsia" w:ascii="黑体" w:hAnsi="黑体" w:eastAsia="黑体"/>
          <w:b w:val="0"/>
        </w:rPr>
        <w:t>入决算情况说明</w:t>
      </w:r>
      <w:bookmarkEnd w:id="67"/>
      <w:bookmarkEnd w:id="68"/>
      <w:bookmarkEnd w:id="69"/>
      <w:bookmarkEnd w:id="70"/>
    </w:p>
    <w:p w14:paraId="6B09CBED">
      <w:pPr>
        <w:spacing w:line="600" w:lineRule="exact"/>
        <w:ind w:firstLine="640" w:firstLineChars="200"/>
        <w:outlineLvl w:val="1"/>
        <w:rPr>
          <w:rFonts w:ascii="仿宋_GB2312" w:eastAsia="仿宋_GB2312"/>
          <w:sz w:val="32"/>
          <w:szCs w:val="32"/>
        </w:rPr>
      </w:pPr>
      <w:r>
        <w:rPr>
          <w:rFonts w:ascii="仿宋" w:hAnsi="仿宋" w:eastAsia="仿宋"/>
          <w:sz w:val="32"/>
          <w:szCs w:val="32"/>
        </w:rPr>
        <w:t>20</w:t>
      </w:r>
      <w:r>
        <w:rPr>
          <w:rFonts w:hint="eastAsia" w:ascii="仿宋" w:hAnsi="仿宋" w:eastAsia="仿宋"/>
          <w:sz w:val="32"/>
          <w:szCs w:val="32"/>
        </w:rPr>
        <w:t>21年本年收入合计1070.13万元，其中：一般公共预算财政拨款收入1070.13万元，占100</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p>
    <w:p w14:paraId="74181A0E">
      <w:r>
        <w:drawing>
          <wp:inline distT="0" distB="0" distL="114300" distR="114300">
            <wp:extent cx="5271135" cy="2661285"/>
            <wp:effectExtent l="4445" t="4445" r="20320" b="20320"/>
            <wp:docPr id="313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517C49C">
      <w:pPr>
        <w:pStyle w:val="30"/>
        <w:numPr>
          <w:ilvl w:val="0"/>
          <w:numId w:val="1"/>
        </w:numPr>
        <w:spacing w:line="600" w:lineRule="exact"/>
        <w:ind w:firstLineChars="0"/>
        <w:outlineLvl w:val="1"/>
        <w:rPr>
          <w:rStyle w:val="32"/>
          <w:rFonts w:ascii="黑体" w:hAnsi="黑体" w:eastAsia="黑体"/>
          <w:b w:val="0"/>
        </w:rPr>
      </w:pPr>
      <w:bookmarkStart w:id="71" w:name="_Toc15396605"/>
      <w:bookmarkStart w:id="72" w:name="_Toc22788_WPSOffice_Level2"/>
      <w:bookmarkStart w:id="73" w:name="_Toc6874_WPSOffice_Level2"/>
      <w:bookmarkStart w:id="74" w:name="_Toc15377207"/>
      <w:r>
        <w:rPr>
          <w:rFonts w:hint="eastAsia" w:ascii="黑体" w:hAnsi="黑体" w:eastAsia="黑体"/>
          <w:sz w:val="32"/>
          <w:szCs w:val="32"/>
        </w:rPr>
        <w:t>支</w:t>
      </w:r>
      <w:r>
        <w:rPr>
          <w:rStyle w:val="32"/>
          <w:rFonts w:hint="eastAsia" w:ascii="黑体" w:hAnsi="黑体" w:eastAsia="黑体"/>
          <w:b w:val="0"/>
        </w:rPr>
        <w:t>出决算情况说明</w:t>
      </w:r>
      <w:bookmarkEnd w:id="71"/>
      <w:bookmarkEnd w:id="72"/>
      <w:bookmarkEnd w:id="73"/>
      <w:bookmarkEnd w:id="74"/>
    </w:p>
    <w:p w14:paraId="18430F17">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21年本年支出合计1122.88万元，其中：基本支出912.83万元，占81.29</w:t>
      </w:r>
      <w:r>
        <w:rPr>
          <w:rFonts w:ascii="仿宋" w:hAnsi="仿宋" w:eastAsia="仿宋"/>
          <w:sz w:val="32"/>
          <w:szCs w:val="32"/>
        </w:rPr>
        <w:t>%</w:t>
      </w:r>
      <w:r>
        <w:rPr>
          <w:rFonts w:hint="eastAsia" w:ascii="仿宋" w:hAnsi="仿宋" w:eastAsia="仿宋"/>
          <w:sz w:val="32"/>
          <w:szCs w:val="32"/>
        </w:rPr>
        <w:t>；项目支出210.05万元，占18.71</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14:paraId="008FF9F3">
      <w:pPr>
        <w:spacing w:line="600" w:lineRule="exact"/>
        <w:ind w:firstLine="420" w:firstLineChars="200"/>
        <w:rPr>
          <w:rFonts w:ascii="仿宋_GB2312" w:eastAsia="仿宋_GB2312"/>
          <w:sz w:val="32"/>
          <w:szCs w:val="32"/>
        </w:rPr>
      </w:pPr>
      <w:r>
        <w:drawing>
          <wp:anchor distT="0" distB="0" distL="114300" distR="114300" simplePos="0" relativeHeight="251662336" behindDoc="0" locked="0" layoutInCell="1" allowOverlap="1">
            <wp:simplePos x="0" y="0"/>
            <wp:positionH relativeFrom="column">
              <wp:posOffset>90170</wp:posOffset>
            </wp:positionH>
            <wp:positionV relativeFrom="paragraph">
              <wp:posOffset>170815</wp:posOffset>
            </wp:positionV>
            <wp:extent cx="4779645" cy="2645410"/>
            <wp:effectExtent l="4445" t="4445" r="16510" b="17145"/>
            <wp:wrapSquare wrapText="bothSides"/>
            <wp:docPr id="317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14:paraId="2157EDAA">
      <w:pPr>
        <w:pStyle w:val="2"/>
        <w:rPr>
          <w:rFonts w:ascii="仿宋_GB2312" w:eastAsia="仿宋_GB2312"/>
        </w:rPr>
      </w:pPr>
    </w:p>
    <w:p w14:paraId="6EFC3F66">
      <w:pPr>
        <w:pStyle w:val="2"/>
        <w:rPr>
          <w:rFonts w:ascii="仿宋_GB2312" w:eastAsia="仿宋_GB2312"/>
        </w:rPr>
      </w:pPr>
    </w:p>
    <w:p w14:paraId="2E347283">
      <w:pPr>
        <w:pStyle w:val="2"/>
        <w:rPr>
          <w:rFonts w:ascii="仿宋_GB2312" w:eastAsia="仿宋_GB2312"/>
        </w:rPr>
      </w:pPr>
    </w:p>
    <w:p w14:paraId="753C5C63">
      <w:pPr>
        <w:pStyle w:val="2"/>
        <w:rPr>
          <w:rFonts w:ascii="仿宋_GB2312" w:eastAsia="仿宋_GB2312"/>
        </w:rPr>
      </w:pPr>
    </w:p>
    <w:p w14:paraId="3A756DAA">
      <w:pPr>
        <w:pStyle w:val="2"/>
        <w:rPr>
          <w:rFonts w:ascii="仿宋_GB2312" w:eastAsia="仿宋_GB2312"/>
        </w:rPr>
      </w:pPr>
    </w:p>
    <w:p w14:paraId="1C56FDCE">
      <w:pPr>
        <w:pStyle w:val="2"/>
        <w:rPr>
          <w:rFonts w:ascii="仿宋_GB2312" w:eastAsia="仿宋_GB2312"/>
        </w:rPr>
      </w:pPr>
    </w:p>
    <w:p w14:paraId="569308A0">
      <w:pPr>
        <w:pStyle w:val="2"/>
        <w:rPr>
          <w:rFonts w:ascii="仿宋_GB2312" w:eastAsia="仿宋_GB2312"/>
        </w:rPr>
      </w:pPr>
      <w:r>
        <w:drawing>
          <wp:anchor distT="0" distB="0" distL="114300" distR="114300" simplePos="0" relativeHeight="251661312" behindDoc="1" locked="0" layoutInCell="1" allowOverlap="1">
            <wp:simplePos x="0" y="0"/>
            <wp:positionH relativeFrom="column">
              <wp:posOffset>1917065</wp:posOffset>
            </wp:positionH>
            <wp:positionV relativeFrom="paragraph">
              <wp:posOffset>4765040</wp:posOffset>
            </wp:positionV>
            <wp:extent cx="4156710" cy="2440305"/>
            <wp:effectExtent l="4445" t="4445" r="10795" b="12700"/>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drawing>
          <wp:anchor distT="0" distB="0" distL="114300" distR="114300" simplePos="0" relativeHeight="251659264" behindDoc="1" locked="0" layoutInCell="1" allowOverlap="1">
            <wp:simplePos x="0" y="0"/>
            <wp:positionH relativeFrom="column">
              <wp:posOffset>1899285</wp:posOffset>
            </wp:positionH>
            <wp:positionV relativeFrom="paragraph">
              <wp:posOffset>4756785</wp:posOffset>
            </wp:positionV>
            <wp:extent cx="4156710" cy="2440305"/>
            <wp:effectExtent l="4445" t="4445" r="10795" b="12700"/>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6F7FE9D6">
      <w:pPr>
        <w:pStyle w:val="2"/>
        <w:rPr>
          <w:rFonts w:ascii="仿宋_GB2312" w:eastAsia="仿宋_GB2312"/>
        </w:rPr>
      </w:pPr>
    </w:p>
    <w:p w14:paraId="17DFE55E">
      <w:pPr>
        <w:pStyle w:val="2"/>
        <w:rPr>
          <w:rFonts w:ascii="仿宋_GB2312" w:eastAsia="仿宋_GB2312"/>
        </w:rPr>
      </w:pPr>
    </w:p>
    <w:p w14:paraId="64C054C3">
      <w:pPr>
        <w:spacing w:line="600" w:lineRule="exact"/>
        <w:outlineLvl w:val="1"/>
        <w:rPr>
          <w:rFonts w:ascii="黑体" w:hAnsi="黑体" w:eastAsia="黑体"/>
          <w:sz w:val="32"/>
          <w:szCs w:val="32"/>
        </w:rPr>
      </w:pPr>
      <w:bookmarkStart w:id="75" w:name="_Toc15377208"/>
      <w:bookmarkStart w:id="76" w:name="_Toc15396606"/>
      <w:r>
        <w:drawing>
          <wp:anchor distT="0" distB="0" distL="114300" distR="114300" simplePos="0" relativeHeight="251660288" behindDoc="1" locked="0" layoutInCell="1" allowOverlap="1">
            <wp:simplePos x="0" y="0"/>
            <wp:positionH relativeFrom="column">
              <wp:posOffset>1899285</wp:posOffset>
            </wp:positionH>
            <wp:positionV relativeFrom="paragraph">
              <wp:posOffset>4756785</wp:posOffset>
            </wp:positionV>
            <wp:extent cx="4156710" cy="2440305"/>
            <wp:effectExtent l="4445" t="4445" r="10795" b="12700"/>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772DE70D">
      <w:pPr>
        <w:spacing w:line="600" w:lineRule="exact"/>
        <w:ind w:firstLine="640" w:firstLineChars="200"/>
        <w:outlineLvl w:val="1"/>
        <w:rPr>
          <w:rStyle w:val="32"/>
          <w:rFonts w:ascii="黑体" w:hAnsi="黑体" w:eastAsia="黑体"/>
          <w:b w:val="0"/>
        </w:rPr>
      </w:pPr>
      <w:bookmarkStart w:id="77" w:name="_Toc11866_WPSOffice_Level2"/>
      <w:r>
        <w:rPr>
          <w:rFonts w:hint="eastAsia" w:ascii="黑体" w:hAnsi="黑体" w:eastAsia="黑体"/>
          <w:sz w:val="32"/>
          <w:szCs w:val="32"/>
        </w:rPr>
        <w:t>四、财</w:t>
      </w:r>
      <w:r>
        <w:rPr>
          <w:rStyle w:val="32"/>
          <w:rFonts w:hint="eastAsia" w:ascii="黑体" w:hAnsi="黑体" w:eastAsia="黑体"/>
          <w:b w:val="0"/>
        </w:rPr>
        <w:t>政拨款收入支出决算总体情况说明</w:t>
      </w:r>
      <w:bookmarkEnd w:id="75"/>
      <w:bookmarkEnd w:id="76"/>
      <w:bookmarkEnd w:id="77"/>
    </w:p>
    <w:p w14:paraId="2CA6CA44">
      <w:pPr>
        <w:spacing w:line="600" w:lineRule="exact"/>
        <w:ind w:firstLine="640" w:firstLineChars="200"/>
        <w:rPr>
          <w:rFonts w:ascii="仿宋_GB2312" w:eastAsia="仿宋_GB2312"/>
          <w:sz w:val="32"/>
          <w:szCs w:val="32"/>
        </w:rPr>
      </w:pPr>
      <w:r>
        <w:rPr>
          <w:rFonts w:ascii="仿宋" w:hAnsi="仿宋" w:eastAsia="仿宋"/>
          <w:sz w:val="32"/>
          <w:szCs w:val="32"/>
        </w:rPr>
        <w:t>20</w:t>
      </w:r>
      <w:r>
        <w:rPr>
          <w:rFonts w:hint="eastAsia" w:ascii="仿宋" w:hAnsi="仿宋" w:eastAsia="仿宋"/>
          <w:sz w:val="32"/>
          <w:szCs w:val="32"/>
        </w:rPr>
        <w:t>21年财政拨款收、支总计1122.88万元。与</w:t>
      </w:r>
      <w:r>
        <w:rPr>
          <w:rFonts w:ascii="仿宋" w:hAnsi="仿宋" w:eastAsia="仿宋"/>
          <w:sz w:val="32"/>
          <w:szCs w:val="32"/>
        </w:rPr>
        <w:t>20</w:t>
      </w:r>
      <w:r>
        <w:rPr>
          <w:rFonts w:hint="eastAsia" w:ascii="仿宋" w:hAnsi="仿宋" w:eastAsia="仿宋"/>
          <w:sz w:val="32"/>
          <w:szCs w:val="32"/>
        </w:rPr>
        <w:t>20年相比，财政拨款收、支总计增加14.29万元，增长1.29</w:t>
      </w:r>
      <w:r>
        <w:rPr>
          <w:rFonts w:ascii="仿宋" w:hAnsi="仿宋" w:eastAsia="仿宋"/>
          <w:sz w:val="32"/>
          <w:szCs w:val="32"/>
        </w:rPr>
        <w:t>%</w:t>
      </w:r>
      <w:r>
        <w:rPr>
          <w:rFonts w:hint="eastAsia" w:ascii="仿宋" w:hAnsi="仿宋" w:eastAsia="仿宋"/>
          <w:sz w:val="32"/>
          <w:szCs w:val="32"/>
        </w:rPr>
        <w:t>。主要变动原因是单位业务增多支出增加。</w:t>
      </w:r>
    </w:p>
    <w:p w14:paraId="2E0CB728">
      <w:pPr>
        <w:spacing w:line="600" w:lineRule="exact"/>
        <w:ind w:firstLine="640"/>
        <w:rPr>
          <w:rFonts w:ascii="仿宋" w:hAnsi="仿宋" w:eastAsia="仿宋"/>
          <w:b/>
          <w:sz w:val="32"/>
          <w:szCs w:val="32"/>
        </w:rPr>
      </w:pPr>
    </w:p>
    <w:p w14:paraId="51B716EC">
      <w:pPr>
        <w:pStyle w:val="2"/>
        <w:ind w:firstLine="643"/>
        <w:rPr>
          <w:rFonts w:ascii="仿宋" w:hAnsi="仿宋" w:eastAsia="仿宋"/>
          <w:b/>
        </w:rPr>
      </w:pPr>
    </w:p>
    <w:p w14:paraId="5745BA93">
      <w:pPr>
        <w:pStyle w:val="2"/>
        <w:ind w:firstLine="643"/>
        <w:rPr>
          <w:rFonts w:ascii="仿宋" w:hAnsi="仿宋" w:eastAsia="仿宋"/>
          <w:b/>
        </w:rPr>
      </w:pPr>
    </w:p>
    <w:p w14:paraId="1682E4BE">
      <w:pPr>
        <w:pStyle w:val="2"/>
        <w:ind w:firstLine="643"/>
        <w:rPr>
          <w:rFonts w:ascii="仿宋" w:hAnsi="仿宋" w:eastAsia="仿宋"/>
          <w:b/>
        </w:rPr>
      </w:pPr>
    </w:p>
    <w:p w14:paraId="3DFBC010">
      <w:pPr>
        <w:pStyle w:val="2"/>
        <w:ind w:firstLine="643"/>
        <w:rPr>
          <w:rFonts w:ascii="仿宋" w:hAnsi="仿宋" w:eastAsia="仿宋"/>
          <w:b/>
        </w:rPr>
      </w:pPr>
    </w:p>
    <w:p w14:paraId="08DE1749">
      <w:pPr>
        <w:pStyle w:val="2"/>
        <w:rPr>
          <w:rFonts w:ascii="仿宋" w:hAnsi="仿宋" w:eastAsia="仿宋"/>
          <w:b/>
        </w:rPr>
      </w:pPr>
      <w:r>
        <w:drawing>
          <wp:anchor distT="0" distB="0" distL="114300" distR="114300" simplePos="0" relativeHeight="251663360" behindDoc="1" locked="0" layoutInCell="1" allowOverlap="1">
            <wp:simplePos x="0" y="0"/>
            <wp:positionH relativeFrom="column">
              <wp:posOffset>410845</wp:posOffset>
            </wp:positionH>
            <wp:positionV relativeFrom="paragraph">
              <wp:posOffset>-1901825</wp:posOffset>
            </wp:positionV>
            <wp:extent cx="4308475" cy="2112010"/>
            <wp:effectExtent l="4445" t="4445" r="68580" b="55245"/>
            <wp:wrapTight wrapText="bothSides">
              <wp:wrapPolygon>
                <wp:start x="-22" y="-45"/>
                <wp:lineTo x="-22" y="21386"/>
                <wp:lineTo x="21562" y="21386"/>
                <wp:lineTo x="21562" y="-45"/>
                <wp:lineTo x="-22" y="-45"/>
              </wp:wrapPolygon>
            </wp:wrapTight>
            <wp:docPr id="317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3F90B886">
      <w:pPr>
        <w:spacing w:line="600" w:lineRule="exact"/>
        <w:ind w:firstLine="640" w:firstLineChars="200"/>
        <w:outlineLvl w:val="1"/>
        <w:rPr>
          <w:rStyle w:val="32"/>
          <w:rFonts w:ascii="黑体" w:hAnsi="黑体" w:eastAsia="黑体"/>
          <w:b w:val="0"/>
        </w:rPr>
      </w:pPr>
      <w:bookmarkStart w:id="78" w:name="_Toc3192_WPSOffice_Level2"/>
      <w:bookmarkStart w:id="79" w:name="_Toc15396607"/>
      <w:bookmarkStart w:id="80" w:name="_Toc15377209"/>
      <w:r>
        <w:rPr>
          <w:rFonts w:hint="eastAsia" w:ascii="黑体" w:hAnsi="黑体" w:eastAsia="黑体"/>
          <w:sz w:val="32"/>
          <w:szCs w:val="32"/>
        </w:rPr>
        <w:t>五、</w:t>
      </w:r>
      <w:r>
        <w:rPr>
          <w:rFonts w:hint="eastAsia" w:ascii="黑体" w:hAnsi="黑体" w:eastAsia="黑体"/>
          <w:b/>
          <w:sz w:val="32"/>
          <w:szCs w:val="32"/>
        </w:rPr>
        <w:t>一</w:t>
      </w:r>
      <w:r>
        <w:rPr>
          <w:rStyle w:val="32"/>
          <w:rFonts w:hint="eastAsia" w:ascii="黑体" w:hAnsi="黑体" w:eastAsia="黑体"/>
          <w:b w:val="0"/>
        </w:rPr>
        <w:t>般公共预算财政拨款支出决算情况说明</w:t>
      </w:r>
      <w:bookmarkEnd w:id="78"/>
      <w:bookmarkEnd w:id="79"/>
      <w:bookmarkEnd w:id="80"/>
    </w:p>
    <w:p w14:paraId="42486AC4">
      <w:pPr>
        <w:spacing w:line="600" w:lineRule="exact"/>
        <w:ind w:firstLine="643" w:firstLineChars="200"/>
        <w:outlineLvl w:val="2"/>
        <w:rPr>
          <w:rFonts w:ascii="仿宋" w:hAnsi="仿宋" w:eastAsia="仿宋"/>
          <w:b/>
          <w:sz w:val="32"/>
          <w:szCs w:val="32"/>
        </w:rPr>
      </w:pPr>
      <w:bookmarkStart w:id="81" w:name="_Toc15377210"/>
      <w:r>
        <w:rPr>
          <w:rFonts w:hint="eastAsia" w:ascii="仿宋" w:hAnsi="仿宋" w:eastAsia="仿宋"/>
          <w:b/>
          <w:sz w:val="32"/>
          <w:szCs w:val="32"/>
        </w:rPr>
        <w:t>（一）一般公共预算财政拨款支出决算总体情况</w:t>
      </w:r>
      <w:bookmarkEnd w:id="81"/>
    </w:p>
    <w:p w14:paraId="7BF5B020">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21年一般公共预算财政拨款支出1122.88万元，占本年支出合计的100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20年相比，一般公共预算财政拨款支出增加74.89万元，增长6.66</w:t>
      </w:r>
      <w:r>
        <w:rPr>
          <w:rFonts w:ascii="仿宋" w:hAnsi="仿宋" w:eastAsia="仿宋"/>
          <w:sz w:val="32"/>
          <w:szCs w:val="32"/>
        </w:rPr>
        <w:t>%</w:t>
      </w:r>
      <w:r>
        <w:rPr>
          <w:rFonts w:hint="eastAsia" w:ascii="仿宋" w:hAnsi="仿宋" w:eastAsia="仿宋"/>
          <w:sz w:val="32"/>
          <w:szCs w:val="32"/>
        </w:rPr>
        <w:t>。主要变动原因是单位业务增多支出增加。</w:t>
      </w:r>
    </w:p>
    <w:p w14:paraId="36D4B1FD">
      <w:pPr>
        <w:spacing w:line="600" w:lineRule="exact"/>
        <w:ind w:firstLine="640" w:firstLineChars="200"/>
        <w:rPr>
          <w:rFonts w:ascii="仿宋" w:hAnsi="仿宋" w:eastAsia="仿宋"/>
          <w:sz w:val="32"/>
          <w:szCs w:val="32"/>
        </w:rPr>
      </w:pPr>
    </w:p>
    <w:p w14:paraId="260C8D61">
      <w:pPr>
        <w:pStyle w:val="2"/>
        <w:rPr>
          <w:rFonts w:ascii="仿宋" w:hAnsi="仿宋" w:eastAsia="仿宋"/>
        </w:rPr>
      </w:pPr>
    </w:p>
    <w:p w14:paraId="0E2E1B6E">
      <w:pPr>
        <w:pStyle w:val="2"/>
        <w:rPr>
          <w:rFonts w:ascii="仿宋" w:hAnsi="仿宋" w:eastAsia="仿宋"/>
        </w:rPr>
      </w:pPr>
    </w:p>
    <w:p w14:paraId="48E68505">
      <w:pPr>
        <w:pStyle w:val="2"/>
        <w:rPr>
          <w:rFonts w:ascii="仿宋" w:hAnsi="仿宋" w:eastAsia="仿宋"/>
        </w:rPr>
      </w:pPr>
    </w:p>
    <w:p w14:paraId="77B9C08D">
      <w:pPr>
        <w:pStyle w:val="2"/>
        <w:rPr>
          <w:rFonts w:ascii="仿宋" w:hAnsi="仿宋" w:eastAsia="仿宋"/>
        </w:rPr>
      </w:pPr>
    </w:p>
    <w:p w14:paraId="1B787A78">
      <w:pPr>
        <w:pStyle w:val="2"/>
        <w:rPr>
          <w:rFonts w:ascii="仿宋" w:hAnsi="仿宋" w:eastAsia="仿宋"/>
        </w:rPr>
      </w:pPr>
      <w:r>
        <w:drawing>
          <wp:anchor distT="0" distB="0" distL="114300" distR="114300" simplePos="0" relativeHeight="251664384" behindDoc="1" locked="0" layoutInCell="1" allowOverlap="1">
            <wp:simplePos x="0" y="0"/>
            <wp:positionH relativeFrom="column">
              <wp:posOffset>410845</wp:posOffset>
            </wp:positionH>
            <wp:positionV relativeFrom="paragraph">
              <wp:posOffset>-1710690</wp:posOffset>
            </wp:positionV>
            <wp:extent cx="4476115" cy="2354580"/>
            <wp:effectExtent l="4445" t="5080" r="15240" b="21590"/>
            <wp:wrapTight wrapText="bothSides">
              <wp:wrapPolygon>
                <wp:start x="-21" y="-47"/>
                <wp:lineTo x="-21" y="21449"/>
                <wp:lineTo x="21490" y="21449"/>
                <wp:lineTo x="21490" y="-47"/>
                <wp:lineTo x="-21" y="-47"/>
              </wp:wrapPolygon>
            </wp:wrapTight>
            <wp:docPr id="317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720F2DC1">
      <w:pPr>
        <w:pStyle w:val="2"/>
        <w:rPr>
          <w:rFonts w:ascii="仿宋" w:hAnsi="仿宋" w:eastAsia="仿宋"/>
        </w:rPr>
      </w:pPr>
    </w:p>
    <w:p w14:paraId="5B97AAEC">
      <w:pPr>
        <w:spacing w:line="600" w:lineRule="exact"/>
        <w:ind w:firstLine="643" w:firstLineChars="200"/>
        <w:outlineLvl w:val="2"/>
        <w:rPr>
          <w:rFonts w:ascii="仿宋" w:hAnsi="仿宋" w:eastAsia="仿宋"/>
          <w:b/>
          <w:sz w:val="32"/>
          <w:szCs w:val="32"/>
        </w:rPr>
      </w:pPr>
      <w:bookmarkStart w:id="82" w:name="_Toc15377211"/>
      <w:r>
        <w:rPr>
          <w:rFonts w:hint="eastAsia" w:ascii="仿宋" w:hAnsi="仿宋" w:eastAsia="仿宋"/>
          <w:b/>
          <w:sz w:val="32"/>
          <w:szCs w:val="32"/>
        </w:rPr>
        <w:t>（二）一般公共预算财政拨款支出决算结构情况</w:t>
      </w:r>
      <w:bookmarkEnd w:id="82"/>
    </w:p>
    <w:p w14:paraId="5E0F3DF0">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21年一般公共预算财政拨款支出1122.88万元，主要用于以下方面</w:t>
      </w:r>
      <w:r>
        <w:rPr>
          <w:rFonts w:ascii="仿宋" w:hAnsi="仿宋" w:eastAsia="仿宋"/>
          <w:sz w:val="32"/>
          <w:szCs w:val="32"/>
        </w:rPr>
        <w:t>:</w:t>
      </w:r>
      <w:r>
        <w:rPr>
          <w:rFonts w:hint="eastAsia" w:ascii="仿宋_GB2312" w:eastAsia="仿宋_GB2312" w:cs="仿宋_GB2312"/>
          <w:color w:val="000000"/>
          <w:sz w:val="32"/>
          <w:szCs w:val="32"/>
        </w:rPr>
        <w:t>公共安全支出（类）893.65万元，占79.59</w:t>
      </w:r>
      <w:r>
        <w:rPr>
          <w:rFonts w:ascii="仿宋_GB2312" w:eastAsia="仿宋_GB2312" w:cs="仿宋_GB2312"/>
          <w:color w:val="000000"/>
          <w:sz w:val="32"/>
          <w:szCs w:val="32"/>
        </w:rPr>
        <w:t>%</w:t>
      </w:r>
      <w:r>
        <w:rPr>
          <w:rFonts w:hint="eastAsia" w:ascii="仿宋_GB2312" w:eastAsia="仿宋_GB2312" w:cs="仿宋_GB2312"/>
          <w:color w:val="000000"/>
          <w:sz w:val="32"/>
          <w:szCs w:val="32"/>
        </w:rPr>
        <w:t>；</w:t>
      </w:r>
      <w:r>
        <w:rPr>
          <w:rFonts w:hint="eastAsia" w:ascii="仿宋" w:hAnsi="仿宋" w:eastAsia="仿宋" w:cs="仿宋"/>
          <w:color w:val="000000"/>
          <w:sz w:val="32"/>
          <w:szCs w:val="32"/>
        </w:rPr>
        <w:t>社会保障和就业（类）支出104.63万元，占9.32</w:t>
      </w:r>
      <w:r>
        <w:rPr>
          <w:rFonts w:ascii="仿宋" w:hAnsi="仿宋" w:eastAsia="仿宋" w:cs="仿宋"/>
          <w:color w:val="000000"/>
          <w:sz w:val="32"/>
          <w:szCs w:val="32"/>
        </w:rPr>
        <w:t>%</w:t>
      </w:r>
      <w:r>
        <w:rPr>
          <w:rFonts w:hint="eastAsia" w:ascii="仿宋" w:hAnsi="仿宋" w:eastAsia="仿宋" w:cs="仿宋"/>
          <w:color w:val="000000"/>
          <w:sz w:val="32"/>
          <w:szCs w:val="32"/>
        </w:rPr>
        <w:t>；卫生健康（类）支出45.3万元，占4.03</w:t>
      </w:r>
      <w:r>
        <w:rPr>
          <w:rFonts w:ascii="仿宋" w:hAnsi="仿宋" w:eastAsia="仿宋" w:cs="仿宋"/>
          <w:color w:val="000000"/>
          <w:sz w:val="32"/>
          <w:szCs w:val="32"/>
        </w:rPr>
        <w:t>%</w:t>
      </w:r>
      <w:r>
        <w:rPr>
          <w:rFonts w:hint="eastAsia" w:ascii="仿宋" w:hAnsi="仿宋" w:eastAsia="仿宋" w:cs="仿宋"/>
          <w:color w:val="000000"/>
          <w:sz w:val="32"/>
          <w:szCs w:val="32"/>
        </w:rPr>
        <w:t>；其他支出（类）6万元，占0.53%；住房保障支出73.31万元，占6.53</w:t>
      </w:r>
      <w:r>
        <w:rPr>
          <w:rFonts w:ascii="仿宋" w:hAnsi="仿宋" w:eastAsia="仿宋" w:cs="仿宋"/>
          <w:color w:val="000000"/>
          <w:sz w:val="32"/>
          <w:szCs w:val="32"/>
        </w:rPr>
        <w:t>%</w:t>
      </w:r>
      <w:r>
        <w:rPr>
          <w:rFonts w:hint="eastAsia" w:ascii="仿宋" w:hAnsi="仿宋" w:eastAsia="仿宋" w:cs="仿宋"/>
          <w:color w:val="000000"/>
          <w:sz w:val="32"/>
          <w:szCs w:val="32"/>
        </w:rPr>
        <w:t>。</w:t>
      </w:r>
      <w:r>
        <w:drawing>
          <wp:anchor distT="0" distB="0" distL="114300" distR="114300" simplePos="0" relativeHeight="251665408" behindDoc="1" locked="0" layoutInCell="1" allowOverlap="1">
            <wp:simplePos x="0" y="0"/>
            <wp:positionH relativeFrom="column">
              <wp:posOffset>410845</wp:posOffset>
            </wp:positionH>
            <wp:positionV relativeFrom="paragraph">
              <wp:posOffset>85725</wp:posOffset>
            </wp:positionV>
            <wp:extent cx="4854575" cy="3194050"/>
            <wp:effectExtent l="4445" t="4445" r="17780" b="20955"/>
            <wp:wrapTight wrapText="bothSides">
              <wp:wrapPolygon>
                <wp:start x="-20" y="-30"/>
                <wp:lineTo x="-20" y="21484"/>
                <wp:lineTo x="21510" y="21484"/>
                <wp:lineTo x="21510" y="-30"/>
                <wp:lineTo x="-20" y="-30"/>
              </wp:wrapPolygon>
            </wp:wrapTight>
            <wp:docPr id="317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bookmarkStart w:id="83" w:name="_Toc15377212"/>
    </w:p>
    <w:p w14:paraId="5107BF4D">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（三）一般公共预算财政拨款支出决算具体情况</w:t>
      </w:r>
      <w:bookmarkEnd w:id="83"/>
    </w:p>
    <w:p w14:paraId="071EF8C2">
      <w:pPr>
        <w:spacing w:line="600" w:lineRule="exact"/>
        <w:ind w:firstLine="643" w:firstLineChars="200"/>
        <w:outlineLvl w:val="2"/>
        <w:rPr>
          <w:rFonts w:ascii="仿宋" w:hAnsi="仿宋" w:eastAsia="仿宋"/>
          <w:sz w:val="32"/>
          <w:szCs w:val="32"/>
        </w:rPr>
      </w:pPr>
      <w:bookmarkStart w:id="84" w:name="_Toc15377213"/>
      <w:bookmarkStart w:id="85" w:name="_Toc15377444"/>
      <w:bookmarkStart w:id="86" w:name="_Toc15378460"/>
      <w:r>
        <w:rPr>
          <w:rFonts w:hint="eastAsia" w:ascii="仿宋" w:hAnsi="仿宋" w:eastAsia="仿宋"/>
          <w:b/>
          <w:sz w:val="32"/>
          <w:szCs w:val="32"/>
        </w:rPr>
        <w:t>2021年一般公共预算支出决算数为1122.88万元</w:t>
      </w:r>
      <w:r>
        <w:rPr>
          <w:rFonts w:hint="eastAsia" w:ascii="仿宋" w:hAnsi="仿宋" w:eastAsia="仿宋"/>
          <w:sz w:val="32"/>
          <w:szCs w:val="32"/>
        </w:rPr>
        <w:t>，</w:t>
      </w:r>
      <w:r>
        <w:rPr>
          <w:rStyle w:val="20"/>
          <w:rFonts w:hint="eastAsia" w:ascii="仿宋" w:hAnsi="仿宋" w:eastAsia="仿宋"/>
          <w:bCs/>
          <w:sz w:val="32"/>
          <w:szCs w:val="32"/>
        </w:rPr>
        <w:t>完成预算100</w:t>
      </w:r>
      <w:r>
        <w:rPr>
          <w:rStyle w:val="20"/>
          <w:rFonts w:ascii="仿宋" w:hAnsi="仿宋" w:eastAsia="仿宋"/>
          <w:bCs/>
          <w:sz w:val="32"/>
          <w:szCs w:val="32"/>
        </w:rPr>
        <w:t>%</w:t>
      </w:r>
      <w:r>
        <w:rPr>
          <w:rStyle w:val="20"/>
          <w:rFonts w:hint="eastAsia" w:ascii="仿宋" w:hAnsi="仿宋" w:eastAsia="仿宋"/>
          <w:bCs/>
          <w:sz w:val="32"/>
          <w:szCs w:val="32"/>
        </w:rPr>
        <w:t>。其中：</w:t>
      </w:r>
      <w:bookmarkEnd w:id="84"/>
      <w:bookmarkEnd w:id="85"/>
      <w:bookmarkEnd w:id="86"/>
    </w:p>
    <w:p w14:paraId="7EA74D9B">
      <w:pPr>
        <w:spacing w:line="600" w:lineRule="exact"/>
        <w:ind w:firstLine="643" w:firstLineChars="200"/>
        <w:rPr>
          <w:rStyle w:val="20"/>
          <w:rFonts w:ascii="仿宋_GB2312" w:eastAsia="仿宋_GB2312"/>
          <w:color w:val="000000"/>
          <w:sz w:val="32"/>
          <w:szCs w:val="32"/>
        </w:rPr>
      </w:pPr>
      <w:r>
        <w:rPr>
          <w:rStyle w:val="20"/>
          <w:rFonts w:ascii="仿宋_GB2312" w:eastAsia="仿宋_GB2312" w:cs="仿宋_GB2312"/>
          <w:color w:val="000000"/>
          <w:sz w:val="32"/>
          <w:szCs w:val="32"/>
        </w:rPr>
        <w:t>1.</w:t>
      </w:r>
      <w:r>
        <w:rPr>
          <w:rStyle w:val="20"/>
          <w:rFonts w:hint="eastAsia" w:ascii="仿宋_GB2312" w:eastAsia="仿宋_GB2312" w:cs="仿宋_GB2312"/>
          <w:color w:val="000000"/>
          <w:sz w:val="32"/>
          <w:szCs w:val="32"/>
        </w:rPr>
        <w:t>公共安全支出（类）司法（款）</w:t>
      </w:r>
    </w:p>
    <w:p w14:paraId="35BF69FA">
      <w:pPr>
        <w:spacing w:line="600" w:lineRule="exact"/>
        <w:ind w:firstLine="643" w:firstLineChars="200"/>
        <w:rPr>
          <w:rStyle w:val="20"/>
          <w:rFonts w:ascii="仿宋_GB2312" w:eastAsia="仿宋_GB2312"/>
          <w:b w:val="0"/>
          <w:color w:val="000000"/>
          <w:sz w:val="32"/>
          <w:szCs w:val="32"/>
        </w:rPr>
      </w:pPr>
      <w:r>
        <w:rPr>
          <w:rStyle w:val="20"/>
          <w:rFonts w:hint="eastAsia" w:ascii="仿宋_GB2312" w:eastAsia="仿宋_GB2312" w:cs="仿宋_GB2312"/>
          <w:color w:val="000000"/>
          <w:sz w:val="32"/>
          <w:szCs w:val="32"/>
        </w:rPr>
        <w:t>①、行政运行</w:t>
      </w:r>
      <w:r>
        <w:rPr>
          <w:rStyle w:val="20"/>
          <w:rFonts w:ascii="仿宋_GB2312" w:eastAsia="仿宋_GB2312" w:cs="仿宋_GB2312"/>
          <w:color w:val="000000"/>
          <w:sz w:val="32"/>
          <w:szCs w:val="32"/>
        </w:rPr>
        <w:t>:</w:t>
      </w:r>
      <w:r>
        <w:rPr>
          <w:rStyle w:val="20"/>
          <w:rFonts w:hint="eastAsia" w:ascii="仿宋_GB2312" w:eastAsia="仿宋_GB2312" w:cs="仿宋_GB2312"/>
          <w:b w:val="0"/>
          <w:color w:val="000000"/>
          <w:sz w:val="32"/>
          <w:szCs w:val="32"/>
        </w:rPr>
        <w:t>支出决算为689.59万元，完成预算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4698FC54">
      <w:pPr>
        <w:spacing w:line="600" w:lineRule="exact"/>
        <w:ind w:firstLine="643" w:firstLineChars="200"/>
        <w:rPr>
          <w:rStyle w:val="20"/>
          <w:rFonts w:ascii="仿宋_GB2312" w:eastAsia="仿宋_GB2312"/>
          <w:b w:val="0"/>
          <w:color w:val="000000"/>
          <w:sz w:val="32"/>
          <w:szCs w:val="32"/>
        </w:rPr>
      </w:pPr>
      <w:r>
        <w:rPr>
          <w:rStyle w:val="20"/>
          <w:rFonts w:hint="eastAsia" w:ascii="仿宋_GB2312" w:eastAsia="仿宋_GB2312" w:cs="仿宋_GB2312"/>
          <w:color w:val="000000"/>
          <w:sz w:val="32"/>
          <w:szCs w:val="32"/>
        </w:rPr>
        <w:t>②、一般行政管理事务：</w:t>
      </w:r>
      <w:r>
        <w:rPr>
          <w:rStyle w:val="20"/>
          <w:rFonts w:hint="eastAsia" w:ascii="仿宋_GB2312" w:eastAsia="仿宋_GB2312" w:cs="仿宋_GB2312"/>
          <w:b w:val="0"/>
          <w:color w:val="000000"/>
          <w:sz w:val="32"/>
          <w:szCs w:val="32"/>
        </w:rPr>
        <w:t>支出决算为46.79万元，完成预算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016A747A">
      <w:pPr>
        <w:spacing w:line="600" w:lineRule="exact"/>
        <w:ind w:firstLine="643" w:firstLineChars="200"/>
        <w:rPr>
          <w:rStyle w:val="20"/>
          <w:rFonts w:ascii="仿宋_GB2312" w:eastAsia="仿宋_GB2312"/>
          <w:b w:val="0"/>
          <w:color w:val="000000"/>
          <w:sz w:val="32"/>
          <w:szCs w:val="32"/>
        </w:rPr>
      </w:pPr>
      <w:r>
        <w:rPr>
          <w:rStyle w:val="20"/>
          <w:rFonts w:hint="eastAsia" w:ascii="宋体" w:hAnsi="宋体" w:cs="宋体"/>
          <w:color w:val="000000"/>
          <w:sz w:val="32"/>
          <w:szCs w:val="32"/>
        </w:rPr>
        <w:t>③、基层司法业务：</w:t>
      </w:r>
      <w:r>
        <w:rPr>
          <w:rStyle w:val="20"/>
          <w:rFonts w:hint="eastAsia" w:ascii="仿宋_GB2312" w:eastAsia="仿宋_GB2312" w:cs="仿宋_GB2312"/>
          <w:b w:val="0"/>
          <w:color w:val="000000"/>
          <w:sz w:val="32"/>
          <w:szCs w:val="32"/>
        </w:rPr>
        <w:t>支出决算为79.70万元，完成预算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597CC68C">
      <w:pPr>
        <w:spacing w:line="600" w:lineRule="exact"/>
        <w:ind w:firstLine="643" w:firstLineChars="200"/>
        <w:rPr>
          <w:rStyle w:val="20"/>
          <w:rFonts w:ascii="仿宋_GB2312" w:eastAsia="仿宋_GB2312"/>
          <w:color w:val="000000"/>
          <w:sz w:val="32"/>
          <w:szCs w:val="32"/>
        </w:rPr>
      </w:pPr>
      <w:r>
        <w:rPr>
          <w:rStyle w:val="20"/>
          <w:rFonts w:hint="eastAsia" w:ascii="宋体" w:hAnsi="宋体" w:cs="宋体"/>
          <w:color w:val="000000"/>
          <w:sz w:val="32"/>
          <w:szCs w:val="32"/>
        </w:rPr>
        <w:t>④、其他司法支出：</w:t>
      </w:r>
      <w:r>
        <w:rPr>
          <w:rStyle w:val="20"/>
          <w:rFonts w:hint="eastAsia" w:ascii="仿宋_GB2312" w:eastAsia="仿宋_GB2312" w:cs="仿宋_GB2312"/>
          <w:b w:val="0"/>
          <w:color w:val="000000"/>
          <w:sz w:val="32"/>
          <w:szCs w:val="32"/>
        </w:rPr>
        <w:t>支出决算为11.18万元，完成预算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6B209EE6">
      <w:pPr>
        <w:spacing w:line="600" w:lineRule="exact"/>
        <w:ind w:firstLine="643" w:firstLineChars="200"/>
        <w:rPr>
          <w:rStyle w:val="20"/>
          <w:rFonts w:ascii="仿宋_GB2312" w:eastAsia="仿宋_GB2312"/>
          <w:b w:val="0"/>
          <w:color w:val="000000"/>
          <w:sz w:val="32"/>
          <w:szCs w:val="32"/>
        </w:rPr>
      </w:pPr>
      <w:r>
        <w:rPr>
          <w:rStyle w:val="20"/>
          <w:rFonts w:hint="eastAsia" w:ascii="仿宋_GB2312" w:eastAsia="仿宋_GB2312" w:cs="仿宋_GB2312"/>
          <w:color w:val="000000"/>
          <w:sz w:val="32"/>
          <w:szCs w:val="32"/>
        </w:rPr>
        <w:t>⑤、公共法律服务：</w:t>
      </w:r>
      <w:r>
        <w:rPr>
          <w:rStyle w:val="20"/>
          <w:rFonts w:hint="eastAsia" w:ascii="仿宋_GB2312" w:eastAsia="仿宋_GB2312" w:cs="仿宋_GB2312"/>
          <w:b w:val="0"/>
          <w:color w:val="000000"/>
          <w:sz w:val="32"/>
          <w:szCs w:val="32"/>
        </w:rPr>
        <w:t>支出决算为29.00万元，完成预算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67396A69">
      <w:pPr>
        <w:spacing w:line="600" w:lineRule="exact"/>
        <w:ind w:firstLine="482" w:firstLineChars="150"/>
        <w:rPr>
          <w:rStyle w:val="20"/>
          <w:rFonts w:ascii="仿宋_GB2312" w:eastAsia="仿宋_GB2312"/>
          <w:b w:val="0"/>
          <w:color w:val="000000"/>
          <w:sz w:val="32"/>
          <w:szCs w:val="32"/>
        </w:rPr>
      </w:pPr>
      <w:r>
        <w:rPr>
          <w:rStyle w:val="20"/>
          <w:rFonts w:hint="eastAsia" w:ascii="宋体" w:hAnsi="宋体" w:cs="宋体"/>
          <w:color w:val="000000"/>
          <w:sz w:val="32"/>
          <w:szCs w:val="32"/>
        </w:rPr>
        <w:t>⑥、社区矫正：</w:t>
      </w:r>
      <w:r>
        <w:rPr>
          <w:rStyle w:val="20"/>
          <w:rFonts w:hint="eastAsia" w:ascii="仿宋_GB2312" w:eastAsia="仿宋_GB2312" w:cs="仿宋_GB2312"/>
          <w:b w:val="0"/>
          <w:color w:val="000000"/>
          <w:sz w:val="32"/>
          <w:szCs w:val="32"/>
        </w:rPr>
        <w:t>支出决算为0.02万元，完成预算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51ACE6E1">
      <w:pPr>
        <w:spacing w:line="600" w:lineRule="exact"/>
        <w:ind w:firstLine="482" w:firstLineChars="150"/>
        <w:rPr>
          <w:rStyle w:val="20"/>
          <w:rFonts w:ascii="仿宋_GB2312" w:eastAsia="仿宋_GB2312" w:cs="仿宋_GB2312"/>
          <w:b w:val="0"/>
          <w:color w:val="000000"/>
          <w:sz w:val="32"/>
          <w:szCs w:val="32"/>
        </w:rPr>
      </w:pPr>
      <w:r>
        <w:rPr>
          <w:rStyle w:val="20"/>
          <w:rFonts w:hint="eastAsia" w:ascii="仿宋_GB2312" w:eastAsia="仿宋_GB2312" w:cs="仿宋_GB2312"/>
          <w:color w:val="000000"/>
          <w:sz w:val="32"/>
          <w:szCs w:val="32"/>
        </w:rPr>
        <w:t>⑦、法制建设：</w:t>
      </w:r>
      <w:r>
        <w:rPr>
          <w:rStyle w:val="20"/>
          <w:rFonts w:hint="eastAsia" w:ascii="仿宋_GB2312" w:eastAsia="仿宋_GB2312" w:cs="仿宋_GB2312"/>
          <w:b w:val="0"/>
          <w:color w:val="000000"/>
          <w:sz w:val="32"/>
          <w:szCs w:val="32"/>
        </w:rPr>
        <w:t>支出决算为10.93万元，完成预算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2A4000B0">
      <w:pPr>
        <w:spacing w:line="600" w:lineRule="exact"/>
        <w:ind w:firstLine="643" w:firstLineChars="200"/>
        <w:rPr>
          <w:rStyle w:val="20"/>
          <w:rFonts w:ascii="仿宋_GB2312" w:eastAsia="仿宋_GB2312" w:cs="仿宋_GB2312"/>
          <w:b w:val="0"/>
          <w:color w:val="000000"/>
          <w:sz w:val="32"/>
          <w:szCs w:val="32"/>
        </w:rPr>
      </w:pPr>
      <w:r>
        <w:rPr>
          <w:rFonts w:hint="eastAsia" w:ascii="仿宋_GB2312" w:hAnsi="仿宋_GB2312" w:eastAsia="仿宋_GB2312" w:cs="仿宋_GB2312"/>
          <w:b/>
          <w:bCs/>
          <w:sz w:val="32"/>
          <w:szCs w:val="32"/>
        </w:rPr>
        <w:t>⑧、普法宣传：</w:t>
      </w:r>
      <w:r>
        <w:rPr>
          <w:rStyle w:val="20"/>
          <w:rFonts w:hint="eastAsia" w:ascii="仿宋_GB2312" w:eastAsia="仿宋_GB2312" w:cs="仿宋_GB2312"/>
          <w:b w:val="0"/>
          <w:color w:val="000000"/>
          <w:sz w:val="32"/>
          <w:szCs w:val="32"/>
        </w:rPr>
        <w:t>支出决算为2.30万元，完成预算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43030C7A">
      <w:pPr>
        <w:spacing w:line="60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⑨、律师管理：</w:t>
      </w:r>
      <w:r>
        <w:rPr>
          <w:rStyle w:val="20"/>
          <w:rFonts w:hint="eastAsia" w:ascii="仿宋_GB2312" w:eastAsia="仿宋_GB2312" w:cs="仿宋_GB2312"/>
          <w:b w:val="0"/>
          <w:color w:val="000000"/>
          <w:sz w:val="32"/>
          <w:szCs w:val="32"/>
        </w:rPr>
        <w:t>支出决算为20.71万元，完成预算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0E18A8E5">
      <w:pPr>
        <w:pStyle w:val="17"/>
        <w:ind w:firstLine="643" w:firstLineChars="200"/>
        <w:jc w:val="both"/>
      </w:pPr>
      <w:r>
        <w:rPr>
          <w:rStyle w:val="20"/>
          <w:rFonts w:hint="eastAsia" w:ascii="仿宋_GB2312" w:eastAsia="仿宋_GB2312" w:cs="仿宋_GB2312"/>
          <w:b/>
          <w:color w:val="000000"/>
          <w:sz w:val="32"/>
        </w:rPr>
        <w:t>2.公共安全支出（类）其他公共安全支出（款）其他公共安全支出（项）：</w:t>
      </w:r>
      <w:r>
        <w:rPr>
          <w:rStyle w:val="20"/>
          <w:rFonts w:hint="eastAsia" w:ascii="仿宋_GB2312" w:eastAsia="仿宋_GB2312" w:cs="仿宋_GB2312"/>
          <w:b w:val="0"/>
          <w:bCs w:val="0"/>
          <w:color w:val="000000"/>
          <w:sz w:val="32"/>
        </w:rPr>
        <w:t>支出决算为3.43万元，完成预算</w:t>
      </w:r>
      <w:r>
        <w:rPr>
          <w:rStyle w:val="20"/>
          <w:rFonts w:ascii="仿宋_GB2312" w:eastAsia="仿宋_GB2312" w:cs="仿宋_GB2312"/>
          <w:b w:val="0"/>
          <w:bCs w:val="0"/>
          <w:color w:val="000000"/>
          <w:sz w:val="32"/>
        </w:rPr>
        <w:t>100%</w:t>
      </w:r>
      <w:r>
        <w:rPr>
          <w:rStyle w:val="20"/>
          <w:rFonts w:hint="eastAsia" w:ascii="仿宋_GB2312" w:eastAsia="仿宋_GB2312" w:cs="仿宋_GB2312"/>
          <w:b w:val="0"/>
          <w:bCs w:val="0"/>
          <w:color w:val="000000"/>
          <w:sz w:val="32"/>
        </w:rPr>
        <w:t>。</w:t>
      </w:r>
    </w:p>
    <w:p w14:paraId="49FD1E0E">
      <w:pPr>
        <w:spacing w:line="600" w:lineRule="exact"/>
        <w:ind w:firstLine="643" w:firstLineChars="200"/>
        <w:rPr>
          <w:rStyle w:val="20"/>
          <w:rFonts w:ascii="仿宋_GB2312" w:eastAsia="仿宋_GB2312"/>
          <w:color w:val="000000"/>
          <w:sz w:val="32"/>
          <w:szCs w:val="32"/>
        </w:rPr>
      </w:pPr>
      <w:r>
        <w:rPr>
          <w:rStyle w:val="20"/>
          <w:rFonts w:hint="eastAsia" w:ascii="仿宋_GB2312" w:eastAsia="仿宋_GB2312" w:cs="仿宋_GB2312"/>
          <w:color w:val="000000"/>
          <w:sz w:val="32"/>
          <w:szCs w:val="32"/>
        </w:rPr>
        <w:t>3</w:t>
      </w:r>
      <w:r>
        <w:rPr>
          <w:rStyle w:val="20"/>
          <w:rFonts w:ascii="仿宋_GB2312" w:eastAsia="仿宋_GB2312" w:cs="仿宋_GB2312"/>
          <w:color w:val="000000"/>
          <w:sz w:val="32"/>
          <w:szCs w:val="32"/>
        </w:rPr>
        <w:t>.</w:t>
      </w:r>
      <w:r>
        <w:rPr>
          <w:rStyle w:val="20"/>
          <w:rFonts w:hint="eastAsia" w:ascii="仿宋_GB2312" w:eastAsia="仿宋_GB2312" w:cs="仿宋_GB2312"/>
          <w:color w:val="000000"/>
          <w:sz w:val="32"/>
          <w:szCs w:val="32"/>
        </w:rPr>
        <w:t>社会保障和就业（类）行政事业单位养老支出（款）</w:t>
      </w:r>
    </w:p>
    <w:p w14:paraId="299F8A19">
      <w:pPr>
        <w:spacing w:line="600" w:lineRule="exact"/>
        <w:ind w:firstLine="643" w:firstLineChars="200"/>
        <w:rPr>
          <w:rStyle w:val="20"/>
          <w:rFonts w:ascii="仿宋_GB2312" w:eastAsia="仿宋_GB2312"/>
          <w:b w:val="0"/>
          <w:color w:val="000000"/>
          <w:sz w:val="32"/>
          <w:szCs w:val="32"/>
        </w:rPr>
      </w:pPr>
      <w:r>
        <w:rPr>
          <w:rStyle w:val="20"/>
          <w:rFonts w:hint="eastAsia" w:ascii="仿宋_GB2312" w:eastAsia="仿宋_GB2312" w:cs="仿宋_GB2312"/>
          <w:color w:val="000000"/>
          <w:sz w:val="32"/>
          <w:szCs w:val="32"/>
        </w:rPr>
        <w:t>①、行政单位离退休</w:t>
      </w:r>
      <w:r>
        <w:rPr>
          <w:rStyle w:val="20"/>
          <w:rFonts w:ascii="仿宋_GB2312" w:eastAsia="仿宋_GB2312" w:cs="仿宋_GB2312"/>
          <w:color w:val="000000"/>
          <w:sz w:val="32"/>
          <w:szCs w:val="32"/>
        </w:rPr>
        <w:t>:</w:t>
      </w:r>
      <w:r>
        <w:rPr>
          <w:rStyle w:val="20"/>
          <w:rFonts w:hint="eastAsia" w:ascii="仿宋_GB2312" w:eastAsia="仿宋_GB2312" w:cs="仿宋_GB2312"/>
          <w:b w:val="0"/>
          <w:color w:val="000000"/>
          <w:sz w:val="32"/>
          <w:szCs w:val="32"/>
        </w:rPr>
        <w:t>支出决算为43.30万元，完成预算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1641309E">
      <w:pPr>
        <w:spacing w:line="600" w:lineRule="exact"/>
        <w:ind w:firstLine="643" w:firstLineChars="200"/>
        <w:rPr>
          <w:rStyle w:val="20"/>
          <w:rFonts w:ascii="仿宋_GB2312" w:eastAsia="仿宋_GB2312" w:cs="仿宋_GB2312"/>
          <w:b w:val="0"/>
          <w:color w:val="000000"/>
          <w:sz w:val="32"/>
          <w:szCs w:val="32"/>
        </w:rPr>
      </w:pPr>
      <w:r>
        <w:rPr>
          <w:rFonts w:hint="eastAsia" w:ascii="仿宋_GB2312" w:eastAsia="仿宋_GB2312" w:cs="仿宋_GB2312"/>
          <w:b/>
          <w:bCs/>
          <w:color w:val="000000"/>
          <w:sz w:val="32"/>
          <w:szCs w:val="32"/>
        </w:rPr>
        <w:t>②、机关事业单位基本养老保险缴费支出：</w:t>
      </w:r>
      <w:r>
        <w:rPr>
          <w:rStyle w:val="20"/>
          <w:rFonts w:hint="eastAsia" w:ascii="仿宋_GB2312" w:eastAsia="仿宋_GB2312" w:cs="仿宋_GB2312"/>
          <w:b w:val="0"/>
          <w:color w:val="000000"/>
          <w:sz w:val="32"/>
          <w:szCs w:val="32"/>
        </w:rPr>
        <w:t>支出决算为54.79万元，完成预算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009B7676">
      <w:pPr>
        <w:spacing w:line="600" w:lineRule="exact"/>
        <w:ind w:firstLine="643" w:firstLineChars="200"/>
      </w:pPr>
      <w:r>
        <w:rPr>
          <w:rFonts w:hint="eastAsia" w:ascii="仿宋_GB2312" w:eastAsia="仿宋_GB2312" w:cs="仿宋_GB2312"/>
          <w:b/>
          <w:bCs/>
          <w:color w:val="000000"/>
          <w:sz w:val="32"/>
          <w:szCs w:val="32"/>
        </w:rPr>
        <w:sym w:font="Wingdings" w:char="F083"/>
      </w:r>
      <w:r>
        <w:rPr>
          <w:rFonts w:hint="eastAsia" w:ascii="仿宋_GB2312" w:eastAsia="仿宋_GB2312" w:cs="仿宋_GB2312"/>
          <w:b/>
          <w:bCs/>
          <w:color w:val="000000"/>
          <w:sz w:val="32"/>
          <w:szCs w:val="32"/>
        </w:rPr>
        <w:t>、机关事业单位职业年金缴费支出：</w:t>
      </w:r>
      <w:r>
        <w:rPr>
          <w:rStyle w:val="20"/>
          <w:rFonts w:hint="eastAsia" w:ascii="仿宋_GB2312" w:eastAsia="仿宋_GB2312" w:cs="仿宋_GB2312"/>
          <w:b w:val="0"/>
          <w:color w:val="000000"/>
          <w:sz w:val="32"/>
          <w:szCs w:val="32"/>
        </w:rPr>
        <w:t>支出决算为6.54万元，完成预算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21838C44">
      <w:pPr>
        <w:spacing w:line="600" w:lineRule="exact"/>
        <w:ind w:firstLine="643" w:firstLineChars="200"/>
        <w:rPr>
          <w:rStyle w:val="20"/>
          <w:rFonts w:ascii="仿宋_GB2312" w:eastAsia="仿宋_GB2312" w:cs="仿宋_GB2312"/>
          <w:b w:val="0"/>
          <w:color w:val="000000"/>
          <w:sz w:val="32"/>
          <w:szCs w:val="32"/>
        </w:rPr>
      </w:pPr>
      <w:r>
        <w:rPr>
          <w:rStyle w:val="20"/>
          <w:rFonts w:hint="eastAsia" w:ascii="仿宋_GB2312" w:eastAsia="仿宋_GB2312" w:cs="仿宋_GB2312"/>
          <w:bCs/>
          <w:color w:val="000000"/>
          <w:sz w:val="32"/>
          <w:szCs w:val="32"/>
        </w:rPr>
        <w:t>4.住房保障支出（类）住房改革支出（款）住房公积金（项）：</w:t>
      </w:r>
      <w:r>
        <w:rPr>
          <w:rStyle w:val="20"/>
          <w:rFonts w:hint="eastAsia" w:ascii="仿宋_GB2312" w:eastAsia="仿宋_GB2312" w:cs="仿宋_GB2312"/>
          <w:b w:val="0"/>
          <w:color w:val="000000"/>
          <w:sz w:val="32"/>
          <w:szCs w:val="32"/>
        </w:rPr>
        <w:t>支出决算为73.31万元，完成预算</w:t>
      </w:r>
      <w:r>
        <w:rPr>
          <w:rStyle w:val="20"/>
          <w:rFonts w:ascii="仿宋_GB2312" w:eastAsia="仿宋_GB2312" w:cs="仿宋_GB2312"/>
          <w:b w:val="0"/>
          <w:color w:val="000000"/>
          <w:sz w:val="32"/>
          <w:szCs w:val="32"/>
        </w:rPr>
        <w:t>100%</w:t>
      </w:r>
      <w:r>
        <w:rPr>
          <w:rStyle w:val="20"/>
          <w:rFonts w:hint="eastAsia" w:ascii="仿宋_GB2312" w:eastAsia="仿宋_GB2312" w:cs="仿宋_GB2312"/>
          <w:b w:val="0"/>
          <w:color w:val="000000"/>
          <w:sz w:val="32"/>
          <w:szCs w:val="32"/>
        </w:rPr>
        <w:t>。</w:t>
      </w:r>
    </w:p>
    <w:p w14:paraId="710E9BAE">
      <w:pPr>
        <w:spacing w:line="560" w:lineRule="exact"/>
        <w:ind w:firstLine="643" w:firstLineChars="200"/>
        <w:rPr>
          <w:rFonts w:eastAsia="仿宋_GB2312"/>
          <w:b/>
          <w:sz w:val="32"/>
          <w:szCs w:val="32"/>
        </w:rPr>
      </w:pPr>
      <w:r>
        <w:rPr>
          <w:rFonts w:eastAsia="仿宋_GB2312"/>
          <w:b/>
          <w:sz w:val="32"/>
          <w:szCs w:val="32"/>
        </w:rPr>
        <w:t>5.卫生健康支出（类）</w:t>
      </w:r>
      <w:r>
        <w:rPr>
          <w:rFonts w:hint="eastAsia" w:eastAsia="仿宋_GB2312"/>
          <w:b/>
          <w:sz w:val="32"/>
          <w:szCs w:val="32"/>
        </w:rPr>
        <w:t>行政事业单位医疗</w:t>
      </w:r>
      <w:r>
        <w:rPr>
          <w:rFonts w:eastAsia="仿宋_GB2312"/>
          <w:b/>
          <w:sz w:val="32"/>
          <w:szCs w:val="32"/>
        </w:rPr>
        <w:t>（款）</w:t>
      </w:r>
      <w:r>
        <w:rPr>
          <w:rFonts w:hint="eastAsia" w:eastAsia="仿宋_GB2312"/>
          <w:b/>
          <w:sz w:val="32"/>
          <w:szCs w:val="32"/>
        </w:rPr>
        <w:t>：</w:t>
      </w:r>
    </w:p>
    <w:p w14:paraId="3EEDB41B">
      <w:pPr>
        <w:spacing w:line="560" w:lineRule="exact"/>
        <w:ind w:firstLine="643" w:firstLineChars="200"/>
        <w:rPr>
          <w:rFonts w:eastAsia="仿宋_GB2312"/>
          <w:sz w:val="32"/>
          <w:szCs w:val="32"/>
        </w:rPr>
      </w:pPr>
      <w:r>
        <w:rPr>
          <w:rFonts w:hint="eastAsia" w:ascii="仿宋_GB2312" w:hAnsi="仿宋_GB2312" w:eastAsia="仿宋_GB2312" w:cs="仿宋_GB2312"/>
          <w:b/>
          <w:bCs/>
          <w:sz w:val="32"/>
          <w:szCs w:val="32"/>
        </w:rPr>
        <w:sym w:font="Wingdings" w:char="F081"/>
      </w:r>
      <w:r>
        <w:rPr>
          <w:rFonts w:hint="eastAsia" w:ascii="仿宋_GB2312" w:hAnsi="仿宋_GB2312" w:eastAsia="仿宋_GB2312" w:cs="仿宋_GB2312"/>
          <w:b/>
          <w:bCs/>
          <w:sz w:val="32"/>
          <w:szCs w:val="32"/>
        </w:rPr>
        <w:t>行政单位医疗：</w:t>
      </w:r>
      <w:r>
        <w:rPr>
          <w:rFonts w:eastAsia="仿宋_GB2312"/>
          <w:sz w:val="32"/>
          <w:szCs w:val="32"/>
        </w:rPr>
        <w:t>支出决算为</w:t>
      </w:r>
      <w:r>
        <w:rPr>
          <w:rFonts w:hint="eastAsia" w:eastAsia="仿宋_GB2312"/>
          <w:sz w:val="32"/>
          <w:szCs w:val="32"/>
        </w:rPr>
        <w:t>43.30</w:t>
      </w:r>
      <w:r>
        <w:rPr>
          <w:rFonts w:eastAsia="仿宋_GB2312"/>
          <w:sz w:val="32"/>
          <w:szCs w:val="32"/>
        </w:rPr>
        <w:t>万元，完成预算100%，决算数等于预算数。</w:t>
      </w:r>
    </w:p>
    <w:p w14:paraId="7E6D1220">
      <w:pPr>
        <w:spacing w:line="560" w:lineRule="exact"/>
        <w:ind w:firstLine="643" w:firstLineChars="200"/>
        <w:jc w:val="left"/>
        <w:rPr>
          <w:rFonts w:eastAsia="仿宋_GB2312"/>
          <w:sz w:val="32"/>
          <w:szCs w:val="32"/>
        </w:rPr>
      </w:pPr>
      <w:r>
        <w:rPr>
          <w:rFonts w:hint="eastAsia"/>
          <w:b/>
          <w:bCs/>
          <w:sz w:val="32"/>
          <w:szCs w:val="32"/>
        </w:rPr>
        <w:sym w:font="Wingdings" w:char="F082"/>
      </w:r>
      <w:r>
        <w:rPr>
          <w:rFonts w:hint="eastAsia"/>
          <w:b/>
          <w:bCs/>
          <w:sz w:val="32"/>
          <w:szCs w:val="32"/>
        </w:rPr>
        <w:t>公务员医疗补助：</w:t>
      </w:r>
      <w:r>
        <w:rPr>
          <w:rFonts w:eastAsia="仿宋_GB2312"/>
          <w:sz w:val="32"/>
          <w:szCs w:val="32"/>
        </w:rPr>
        <w:t>支出决算为</w:t>
      </w:r>
      <w:r>
        <w:rPr>
          <w:rFonts w:hint="eastAsia" w:eastAsia="仿宋_GB2312"/>
          <w:sz w:val="32"/>
          <w:szCs w:val="32"/>
        </w:rPr>
        <w:t>4.08</w:t>
      </w:r>
      <w:r>
        <w:rPr>
          <w:rFonts w:eastAsia="仿宋_GB2312"/>
          <w:sz w:val="32"/>
          <w:szCs w:val="32"/>
        </w:rPr>
        <w:t>万元，完成预算100%，决算数等于预算数。</w:t>
      </w:r>
    </w:p>
    <w:p w14:paraId="57B42C1B">
      <w:pPr>
        <w:spacing w:line="560" w:lineRule="exact"/>
        <w:ind w:firstLine="643" w:firstLineChars="200"/>
        <w:rPr>
          <w:rFonts w:ascii="仿宋" w:hAnsi="仿宋" w:eastAsia="仿宋"/>
          <w:b/>
          <w:sz w:val="32"/>
          <w:szCs w:val="32"/>
        </w:rPr>
      </w:pPr>
      <w:r>
        <w:rPr>
          <w:rFonts w:hint="eastAsia" w:ascii="仿宋_GB2312" w:hAnsi="仿宋_GB2312" w:eastAsia="仿宋_GB2312" w:cs="仿宋_GB2312"/>
          <w:b/>
          <w:bCs/>
          <w:sz w:val="32"/>
          <w:szCs w:val="32"/>
        </w:rPr>
        <w:t>6.</w:t>
      </w:r>
      <w:r>
        <w:rPr>
          <w:rFonts w:hint="eastAsia"/>
          <w:b/>
          <w:sz w:val="32"/>
          <w:szCs w:val="32"/>
        </w:rPr>
        <w:t>其他</w:t>
      </w:r>
      <w:r>
        <w:rPr>
          <w:rFonts w:eastAsia="仿宋_GB2312"/>
          <w:b/>
          <w:sz w:val="32"/>
          <w:szCs w:val="32"/>
        </w:rPr>
        <w:t>支出（类）</w:t>
      </w:r>
      <w:r>
        <w:rPr>
          <w:rFonts w:hint="eastAsia"/>
          <w:b/>
          <w:sz w:val="32"/>
          <w:szCs w:val="32"/>
        </w:rPr>
        <w:t>其他支出</w:t>
      </w:r>
      <w:r>
        <w:rPr>
          <w:rFonts w:eastAsia="仿宋_GB2312"/>
          <w:b/>
          <w:sz w:val="32"/>
          <w:szCs w:val="32"/>
        </w:rPr>
        <w:t>（款）其他支出（项）</w:t>
      </w:r>
      <w:r>
        <w:rPr>
          <w:rFonts w:hint="eastAsia"/>
          <w:b/>
          <w:sz w:val="32"/>
          <w:szCs w:val="32"/>
        </w:rPr>
        <w:t>：</w:t>
      </w:r>
      <w:r>
        <w:rPr>
          <w:rFonts w:hint="eastAsia"/>
          <w:bCs/>
          <w:sz w:val="32"/>
          <w:szCs w:val="32"/>
        </w:rPr>
        <w:t>支</w:t>
      </w:r>
      <w:r>
        <w:rPr>
          <w:rFonts w:eastAsia="仿宋_GB2312"/>
          <w:sz w:val="32"/>
          <w:szCs w:val="32"/>
        </w:rPr>
        <w:t>出决算为</w:t>
      </w:r>
      <w:r>
        <w:rPr>
          <w:rFonts w:hint="eastAsia" w:eastAsia="仿宋_GB2312"/>
          <w:sz w:val="32"/>
          <w:szCs w:val="32"/>
        </w:rPr>
        <w:t>6</w:t>
      </w:r>
      <w:r>
        <w:rPr>
          <w:rFonts w:eastAsia="仿宋_GB2312"/>
          <w:sz w:val="32"/>
          <w:szCs w:val="32"/>
        </w:rPr>
        <w:t>元，完成预算100%，决算数等于预算数。</w:t>
      </w:r>
    </w:p>
    <w:p w14:paraId="12CF8750">
      <w:pPr>
        <w:tabs>
          <w:tab w:val="right" w:pos="8306"/>
        </w:tabs>
        <w:spacing w:line="600" w:lineRule="exact"/>
        <w:ind w:firstLine="640"/>
        <w:outlineLvl w:val="1"/>
        <w:rPr>
          <w:rStyle w:val="32"/>
        </w:rPr>
      </w:pPr>
      <w:bookmarkStart w:id="87" w:name="_Toc15377214"/>
      <w:bookmarkStart w:id="88" w:name="_Toc28462_WPSOffice_Level2"/>
      <w:bookmarkStart w:id="89"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2"/>
          <w:rFonts w:hint="eastAsia" w:ascii="黑体" w:hAnsi="黑体" w:eastAsia="黑体"/>
          <w:b w:val="0"/>
        </w:rPr>
        <w:t>般公共预算财政拨款基本支出决算情况说明</w:t>
      </w:r>
      <w:bookmarkEnd w:id="87"/>
      <w:bookmarkEnd w:id="88"/>
      <w:bookmarkEnd w:id="89"/>
      <w:r>
        <w:rPr>
          <w:rStyle w:val="32"/>
          <w:rFonts w:ascii="黑体" w:hAnsi="黑体" w:eastAsia="黑体"/>
          <w:b w:val="0"/>
        </w:rPr>
        <w:tab/>
      </w:r>
    </w:p>
    <w:p w14:paraId="4894A029">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21年一般公共预算财政拨款基本支出912.83万元，其中：</w:t>
      </w:r>
    </w:p>
    <w:p w14:paraId="0649AC81">
      <w:pPr>
        <w:spacing w:line="600" w:lineRule="exact"/>
        <w:ind w:firstLine="645"/>
        <w:rPr>
          <w:rFonts w:ascii="仿宋" w:hAnsi="仿宋" w:eastAsia="仿宋"/>
          <w:sz w:val="32"/>
          <w:szCs w:val="32"/>
        </w:rPr>
      </w:pPr>
      <w:r>
        <w:rPr>
          <w:rFonts w:hint="eastAsia" w:ascii="仿宋" w:hAnsi="仿宋" w:eastAsia="仿宋"/>
          <w:sz w:val="32"/>
          <w:szCs w:val="32"/>
        </w:rPr>
        <w:t>人员经费821.05万元，主要包括：基本工资、津贴补贴、奖金、机关事业单位基本养老保险缴费、职业年金缴费、其他社会保障缴费、其他工资福利支出、离休费、退休费、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91.78万元，主要包括：办公费、印刷费、手续费、水费、电费、邮电费、差旅费、维修（护）费、租赁费、会议费、培训费、公务接待费、劳务费、工会经费、福利费、公务用车运行维护费、其他交通费、其他商品和服务支出等。</w:t>
      </w:r>
    </w:p>
    <w:p w14:paraId="74E185EF">
      <w:pPr>
        <w:spacing w:line="600" w:lineRule="exact"/>
        <w:ind w:firstLine="640"/>
        <w:outlineLvl w:val="1"/>
        <w:rPr>
          <w:rStyle w:val="32"/>
          <w:rFonts w:ascii="黑体" w:hAnsi="黑体" w:eastAsia="黑体"/>
          <w:b w:val="0"/>
        </w:rPr>
      </w:pPr>
      <w:bookmarkStart w:id="90" w:name="_Toc15396609"/>
      <w:bookmarkStart w:id="91" w:name="_Toc15377215"/>
      <w:bookmarkStart w:id="92" w:name="_Toc18821_WPSOffice_Level2"/>
      <w:r>
        <w:rPr>
          <w:rFonts w:hint="eastAsia" w:ascii="黑体" w:eastAsia="黑体"/>
          <w:sz w:val="32"/>
          <w:szCs w:val="32"/>
        </w:rPr>
        <w:t>七、</w:t>
      </w:r>
      <w:r>
        <w:rPr>
          <w:rStyle w:val="32"/>
          <w:rFonts w:hint="eastAsia" w:ascii="黑体" w:hAnsi="黑体" w:eastAsia="黑体"/>
        </w:rPr>
        <w:t>“</w:t>
      </w:r>
      <w:r>
        <w:rPr>
          <w:rStyle w:val="32"/>
          <w:rFonts w:hint="eastAsia" w:ascii="黑体" w:hAnsi="黑体" w:eastAsia="黑体"/>
          <w:b w:val="0"/>
        </w:rPr>
        <w:t>三公”经费财政拨款支出决算情况说明</w:t>
      </w:r>
      <w:bookmarkEnd w:id="90"/>
      <w:bookmarkEnd w:id="91"/>
      <w:bookmarkEnd w:id="92"/>
    </w:p>
    <w:p w14:paraId="59095706">
      <w:pPr>
        <w:spacing w:line="600" w:lineRule="exact"/>
        <w:ind w:firstLine="640"/>
        <w:outlineLvl w:val="2"/>
        <w:rPr>
          <w:rFonts w:ascii="仿宋" w:hAnsi="仿宋" w:eastAsia="仿宋"/>
          <w:b/>
          <w:sz w:val="32"/>
          <w:szCs w:val="32"/>
        </w:rPr>
      </w:pPr>
      <w:bookmarkStart w:id="93" w:name="_Toc15377216"/>
      <w:r>
        <w:rPr>
          <w:rFonts w:hint="eastAsia" w:ascii="仿宋" w:hAnsi="仿宋" w:eastAsia="仿宋"/>
          <w:b/>
          <w:sz w:val="32"/>
          <w:szCs w:val="32"/>
        </w:rPr>
        <w:t>（一）“三公”经费财政拨款支出决算总体情况说明</w:t>
      </w:r>
      <w:bookmarkEnd w:id="93"/>
    </w:p>
    <w:p w14:paraId="61CCDEE2">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21年“三公”经费财政拨款支出决算为12.73万元，完成预算100</w:t>
      </w:r>
      <w:r>
        <w:rPr>
          <w:rFonts w:ascii="仿宋" w:hAnsi="仿宋" w:eastAsia="仿宋"/>
          <w:sz w:val="32"/>
          <w:szCs w:val="32"/>
        </w:rPr>
        <w:t>%</w:t>
      </w:r>
      <w:r>
        <w:rPr>
          <w:rFonts w:hint="eastAsia" w:ascii="仿宋" w:hAnsi="仿宋" w:eastAsia="仿宋"/>
          <w:sz w:val="32"/>
          <w:szCs w:val="32"/>
        </w:rPr>
        <w:t>，决算数与预算数持平。</w:t>
      </w:r>
    </w:p>
    <w:p w14:paraId="79BEBE6C">
      <w:pPr>
        <w:spacing w:line="600" w:lineRule="exact"/>
        <w:ind w:firstLine="640"/>
        <w:outlineLvl w:val="2"/>
        <w:rPr>
          <w:rFonts w:ascii="仿宋" w:hAnsi="仿宋" w:eastAsia="仿宋"/>
          <w:b/>
          <w:sz w:val="32"/>
          <w:szCs w:val="32"/>
        </w:rPr>
      </w:pPr>
      <w:bookmarkStart w:id="94" w:name="_Toc15377217"/>
      <w:r>
        <w:rPr>
          <w:rFonts w:hint="eastAsia" w:ascii="仿宋" w:hAnsi="仿宋" w:eastAsia="仿宋"/>
          <w:b/>
          <w:sz w:val="32"/>
          <w:szCs w:val="32"/>
        </w:rPr>
        <w:t>（二）“三公”经费财政拨款支出决算具体情况说明</w:t>
      </w:r>
      <w:bookmarkEnd w:id="94"/>
    </w:p>
    <w:p w14:paraId="1BA4F545">
      <w:pPr>
        <w:spacing w:line="600" w:lineRule="exact"/>
        <w:ind w:firstLine="640"/>
        <w:rPr>
          <w:rFonts w:ascii="仿宋_GB2312" w:eastAsia="仿宋_GB2312"/>
          <w:b/>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；公务用车购置及运行维护费支出决算11.83万元，占93</w:t>
      </w:r>
      <w:r>
        <w:rPr>
          <w:rFonts w:ascii="仿宋" w:hAnsi="仿宋" w:eastAsia="仿宋"/>
          <w:sz w:val="32"/>
          <w:szCs w:val="32"/>
        </w:rPr>
        <w:t>%</w:t>
      </w:r>
      <w:r>
        <w:rPr>
          <w:rFonts w:hint="eastAsia" w:ascii="仿宋" w:hAnsi="仿宋" w:eastAsia="仿宋"/>
          <w:sz w:val="32"/>
          <w:szCs w:val="32"/>
        </w:rPr>
        <w:t>；公务接待费支出决算0.9万元，占7</w:t>
      </w:r>
      <w:r>
        <w:rPr>
          <w:rFonts w:ascii="仿宋" w:hAnsi="仿宋" w:eastAsia="仿宋"/>
          <w:sz w:val="32"/>
          <w:szCs w:val="32"/>
        </w:rPr>
        <w:t>%</w:t>
      </w:r>
      <w:r>
        <w:rPr>
          <w:rFonts w:hint="eastAsia" w:ascii="仿宋" w:hAnsi="仿宋" w:eastAsia="仿宋"/>
          <w:sz w:val="32"/>
          <w:szCs w:val="32"/>
        </w:rPr>
        <w:t>。具体情况如下：</w:t>
      </w:r>
    </w:p>
    <w:p w14:paraId="2C6C7CF9">
      <w:pPr>
        <w:pStyle w:val="7"/>
      </w:pPr>
      <w:r>
        <w:drawing>
          <wp:inline distT="0" distB="0" distL="114300" distR="114300">
            <wp:extent cx="5268595" cy="2740660"/>
            <wp:effectExtent l="4445" t="4445" r="22860" b="17145"/>
            <wp:docPr id="317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0F83B10">
      <w:pPr>
        <w:spacing w:line="600" w:lineRule="exact"/>
        <w:ind w:firstLine="640"/>
        <w:rPr>
          <w:rFonts w:ascii="仿宋_GB2312" w:eastAsia="仿宋_GB2312"/>
          <w:b/>
          <w:bCs/>
          <w:color w:val="000000"/>
          <w:sz w:val="32"/>
          <w:szCs w:val="32"/>
        </w:rPr>
      </w:pPr>
      <w:bookmarkStart w:id="95" w:name="_Toc15396610"/>
      <w:bookmarkStart w:id="96" w:name="_Toc15377218"/>
      <w:r>
        <w:rPr>
          <w:rFonts w:ascii="仿宋_GB2312" w:eastAsia="仿宋_GB2312" w:cs="仿宋_GB2312"/>
          <w:b/>
          <w:bCs/>
          <w:color w:val="000000"/>
          <w:sz w:val="32"/>
          <w:szCs w:val="32"/>
        </w:rPr>
        <w:t>1.</w:t>
      </w:r>
      <w:r>
        <w:rPr>
          <w:rFonts w:hint="eastAsia" w:ascii="仿宋_GB2312" w:eastAsia="仿宋_GB2312" w:cs="仿宋_GB2312"/>
          <w:b/>
          <w:bCs/>
          <w:color w:val="000000"/>
          <w:sz w:val="32"/>
          <w:szCs w:val="32"/>
        </w:rPr>
        <w:t>因公出国（境）经费支出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w:t>
      </w:r>
      <w:r>
        <w:rPr>
          <w:rStyle w:val="20"/>
          <w:rFonts w:hint="eastAsia" w:ascii="仿宋" w:hAnsi="仿宋" w:eastAsia="仿宋" w:cs="仿宋"/>
          <w:b w:val="0"/>
          <w:color w:val="000000"/>
          <w:sz w:val="32"/>
          <w:szCs w:val="32"/>
        </w:rPr>
        <w:t>完成预算</w:t>
      </w:r>
      <w:r>
        <w:rPr>
          <w:rStyle w:val="20"/>
          <w:rFonts w:ascii="仿宋" w:hAnsi="仿宋" w:eastAsia="仿宋" w:cs="仿宋"/>
          <w:b w:val="0"/>
          <w:color w:val="000000"/>
          <w:sz w:val="32"/>
          <w:szCs w:val="32"/>
        </w:rPr>
        <w:t>0%</w:t>
      </w:r>
      <w:r>
        <w:rPr>
          <w:rStyle w:val="20"/>
          <w:rFonts w:hint="eastAsia" w:ascii="仿宋" w:hAnsi="仿宋" w:eastAsia="仿宋" w:cs="仿宋"/>
          <w:b w:val="0"/>
          <w:color w:val="000000"/>
          <w:sz w:val="32"/>
          <w:szCs w:val="32"/>
        </w:rPr>
        <w:t>。</w:t>
      </w:r>
      <w:r>
        <w:rPr>
          <w:rFonts w:hint="eastAsia" w:ascii="仿宋_GB2312" w:eastAsia="仿宋_GB2312" w:cs="仿宋_GB2312"/>
          <w:color w:val="000000"/>
          <w:sz w:val="32"/>
          <w:szCs w:val="32"/>
        </w:rPr>
        <w:t>全年安排因公出国（境）团组</w:t>
      </w:r>
      <w:r>
        <w:rPr>
          <w:rFonts w:ascii="仿宋_GB2312" w:eastAsia="仿宋_GB2312" w:cs="仿宋_GB2312"/>
          <w:color w:val="000000"/>
          <w:sz w:val="32"/>
          <w:szCs w:val="32"/>
        </w:rPr>
        <w:t>0</w:t>
      </w:r>
      <w:r>
        <w:rPr>
          <w:rFonts w:hint="eastAsia" w:ascii="仿宋_GB2312" w:eastAsia="仿宋_GB2312" w:cs="仿宋_GB2312"/>
          <w:color w:val="000000"/>
          <w:sz w:val="32"/>
          <w:szCs w:val="32"/>
        </w:rPr>
        <w:t>次，出国（境）</w:t>
      </w:r>
      <w:r>
        <w:rPr>
          <w:rFonts w:ascii="仿宋_GB2312" w:eastAsia="仿宋_GB2312" w:cs="仿宋_GB2312"/>
          <w:color w:val="000000"/>
          <w:sz w:val="32"/>
          <w:szCs w:val="32"/>
        </w:rPr>
        <w:t>0</w:t>
      </w:r>
      <w:r>
        <w:rPr>
          <w:rFonts w:hint="eastAsia" w:ascii="仿宋_GB2312" w:eastAsia="仿宋_GB2312" w:cs="仿宋_GB2312"/>
          <w:color w:val="000000"/>
          <w:sz w:val="32"/>
          <w:szCs w:val="32"/>
        </w:rPr>
        <w:t>人。因公出国（境）支出决算比2020年无增减变动。主要原因是我单位2021年无因公出国（境）支出。</w:t>
      </w:r>
    </w:p>
    <w:p w14:paraId="76942543">
      <w:pPr>
        <w:spacing w:line="600" w:lineRule="exact"/>
        <w:ind w:firstLine="640"/>
        <w:rPr>
          <w:rFonts w:ascii="仿宋_GB2312" w:eastAsia="仿宋_GB2312"/>
          <w:color w:val="000000"/>
          <w:sz w:val="32"/>
          <w:szCs w:val="32"/>
        </w:rPr>
      </w:pPr>
      <w:r>
        <w:rPr>
          <w:rFonts w:hint="eastAsia" w:ascii="仿宋_GB2312" w:eastAsia="仿宋_GB2312" w:cs="仿宋_GB2312"/>
          <w:color w:val="000000"/>
          <w:sz w:val="32"/>
          <w:szCs w:val="32"/>
        </w:rPr>
        <w:t>开支内容包括：（团组名称、出访地点、取得成效）</w:t>
      </w:r>
    </w:p>
    <w:p w14:paraId="20536713">
      <w:pPr>
        <w:spacing w:line="600" w:lineRule="exact"/>
        <w:ind w:firstLine="640"/>
        <w:rPr>
          <w:rFonts w:ascii="仿宋_GB2312" w:eastAsia="仿宋_GB2312"/>
          <w:b/>
          <w:bCs/>
          <w:color w:val="000000"/>
          <w:sz w:val="32"/>
          <w:szCs w:val="32"/>
        </w:rPr>
      </w:pPr>
      <w:r>
        <w:rPr>
          <w:rFonts w:ascii="仿宋_GB2312" w:eastAsia="仿宋_GB2312" w:cs="仿宋_GB2312"/>
          <w:b/>
          <w:bCs/>
          <w:color w:val="000000"/>
          <w:sz w:val="32"/>
          <w:szCs w:val="32"/>
        </w:rPr>
        <w:t>2.</w:t>
      </w:r>
      <w:r>
        <w:rPr>
          <w:rFonts w:hint="eastAsia" w:ascii="仿宋_GB2312" w:eastAsia="仿宋_GB2312" w:cs="仿宋_GB2312"/>
          <w:b/>
          <w:bCs/>
          <w:color w:val="000000"/>
          <w:sz w:val="32"/>
          <w:szCs w:val="32"/>
        </w:rPr>
        <w:t>公务用车购置及运行维护费支出</w:t>
      </w:r>
      <w:r>
        <w:rPr>
          <w:rFonts w:hint="eastAsia" w:ascii="仿宋_GB2312" w:eastAsia="仿宋_GB2312" w:cs="仿宋_GB2312"/>
          <w:color w:val="000000"/>
          <w:sz w:val="32"/>
          <w:szCs w:val="32"/>
        </w:rPr>
        <w:t>11.83万元</w:t>
      </w:r>
      <w:r>
        <w:rPr>
          <w:rFonts w:ascii="仿宋_GB2312" w:eastAsia="仿宋_GB2312" w:cs="仿宋_GB2312"/>
          <w:color w:val="000000"/>
          <w:sz w:val="32"/>
          <w:szCs w:val="32"/>
        </w:rPr>
        <w:t>,</w:t>
      </w:r>
      <w:r>
        <w:rPr>
          <w:rStyle w:val="20"/>
          <w:rFonts w:hint="eastAsia" w:ascii="仿宋" w:hAnsi="仿宋" w:eastAsia="仿宋" w:cs="仿宋"/>
          <w:b w:val="0"/>
          <w:color w:val="000000"/>
          <w:sz w:val="32"/>
          <w:szCs w:val="32"/>
        </w:rPr>
        <w:t>完成预算</w:t>
      </w:r>
      <w:r>
        <w:rPr>
          <w:rStyle w:val="20"/>
          <w:rFonts w:ascii="仿宋" w:hAnsi="仿宋" w:eastAsia="仿宋" w:cs="仿宋"/>
          <w:b w:val="0"/>
          <w:color w:val="000000"/>
          <w:sz w:val="32"/>
          <w:szCs w:val="32"/>
        </w:rPr>
        <w:t>100%</w:t>
      </w:r>
      <w:r>
        <w:rPr>
          <w:rStyle w:val="20"/>
          <w:rFonts w:hint="eastAsia" w:ascii="仿宋" w:hAnsi="仿宋" w:eastAsia="仿宋" w:cs="仿宋"/>
          <w:b w:val="0"/>
          <w:color w:val="000000"/>
          <w:sz w:val="32"/>
          <w:szCs w:val="32"/>
        </w:rPr>
        <w:t>。</w:t>
      </w:r>
      <w:r>
        <w:rPr>
          <w:rFonts w:hint="eastAsia" w:ascii="仿宋_GB2312" w:eastAsia="仿宋_GB2312" w:cs="仿宋_GB2312"/>
          <w:color w:val="000000"/>
          <w:sz w:val="32"/>
          <w:szCs w:val="32"/>
        </w:rPr>
        <w:t>公务用车购置及运行维护费支出决算比2020年减少11.71万元，下降4.97%。主要原因是单位2021年无购置车辆，费用都为车辆运行维护费用。</w:t>
      </w:r>
    </w:p>
    <w:p w14:paraId="72C1B113">
      <w:pPr>
        <w:spacing w:line="60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其中：</w:t>
      </w:r>
      <w:r>
        <w:rPr>
          <w:rFonts w:hint="eastAsia" w:ascii="仿宋_GB2312" w:eastAsia="仿宋_GB2312" w:cs="仿宋_GB2312"/>
          <w:b/>
          <w:bCs/>
          <w:color w:val="000000"/>
          <w:sz w:val="32"/>
          <w:szCs w:val="32"/>
        </w:rPr>
        <w:t>公务用车购置支出</w:t>
      </w:r>
      <w:r>
        <w:rPr>
          <w:rFonts w:hint="eastAsia" w:ascii="仿宋_GB2312" w:eastAsia="仿宋_GB2312" w:cs="仿宋_GB2312"/>
          <w:color w:val="000000"/>
          <w:sz w:val="32"/>
          <w:szCs w:val="32"/>
        </w:rPr>
        <w:t>0万元。全年按规定更新购置公务用车0辆，金额0万元。截至2021年</w:t>
      </w:r>
      <w:r>
        <w:rPr>
          <w:rFonts w:ascii="仿宋_GB2312" w:eastAsia="仿宋_GB2312" w:cs="仿宋_GB2312"/>
          <w:color w:val="000000"/>
          <w:sz w:val="32"/>
          <w:szCs w:val="32"/>
        </w:rPr>
        <w:t>12</w:t>
      </w:r>
      <w:r>
        <w:rPr>
          <w:rFonts w:hint="eastAsia" w:ascii="仿宋_GB2312" w:eastAsia="仿宋_GB2312" w:cs="仿宋_GB2312"/>
          <w:color w:val="000000"/>
          <w:sz w:val="32"/>
          <w:szCs w:val="32"/>
        </w:rPr>
        <w:t>月底，单位共有公务用车3辆，其中：主要领导干部用车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辆、机要通信用车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辆、应急保障用车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辆、执法执勤用车3辆。</w:t>
      </w:r>
    </w:p>
    <w:p w14:paraId="681C7358">
      <w:pPr>
        <w:spacing w:line="600" w:lineRule="exact"/>
        <w:ind w:firstLine="640"/>
        <w:rPr>
          <w:rFonts w:ascii="仿宋_GB2312" w:eastAsia="仿宋_GB2312"/>
          <w:sz w:val="32"/>
          <w:szCs w:val="32"/>
        </w:rPr>
      </w:pPr>
      <w:r>
        <w:rPr>
          <w:rFonts w:hint="eastAsia" w:ascii="仿宋_GB2312" w:eastAsia="仿宋_GB2312" w:cs="仿宋_GB2312"/>
          <w:b/>
          <w:bCs/>
          <w:color w:val="000000"/>
          <w:sz w:val="32"/>
          <w:szCs w:val="32"/>
        </w:rPr>
        <w:t>公务用车运行维护费支出</w:t>
      </w:r>
      <w:r>
        <w:rPr>
          <w:rFonts w:hint="eastAsia" w:ascii="仿宋_GB2312" w:eastAsia="仿宋_GB2312" w:cs="仿宋_GB2312"/>
          <w:color w:val="000000"/>
          <w:sz w:val="32"/>
          <w:szCs w:val="32"/>
        </w:rPr>
        <w:t>11.83万元。主要</w:t>
      </w:r>
      <w:r>
        <w:rPr>
          <w:rFonts w:hint="eastAsia" w:ascii="仿宋_GB2312" w:eastAsia="仿宋_GB2312" w:cs="仿宋_GB2312"/>
          <w:sz w:val="32"/>
          <w:szCs w:val="32"/>
        </w:rPr>
        <w:t>用于各股室下乡出差等所需的公务用车燃料费、过路过桥费，单位车辆全年所需的维修费、保险费支出</w:t>
      </w:r>
    </w:p>
    <w:p w14:paraId="619123E6">
      <w:pPr>
        <w:spacing w:line="600" w:lineRule="exact"/>
        <w:ind w:firstLine="640"/>
        <w:rPr>
          <w:rFonts w:ascii="仿宋_GB2312" w:eastAsia="仿宋_GB2312"/>
          <w:color w:val="000000"/>
          <w:sz w:val="32"/>
          <w:szCs w:val="32"/>
        </w:rPr>
      </w:pPr>
      <w:r>
        <w:rPr>
          <w:rFonts w:ascii="仿宋_GB2312" w:eastAsia="仿宋_GB2312" w:cs="仿宋_GB2312"/>
          <w:b/>
          <w:bCs/>
          <w:color w:val="000000"/>
          <w:sz w:val="32"/>
          <w:szCs w:val="32"/>
        </w:rPr>
        <w:t>3.</w:t>
      </w:r>
      <w:r>
        <w:rPr>
          <w:rFonts w:hint="eastAsia" w:ascii="仿宋_GB2312" w:eastAsia="仿宋_GB2312" w:cs="仿宋_GB2312"/>
          <w:b/>
          <w:bCs/>
          <w:color w:val="000000"/>
          <w:sz w:val="32"/>
          <w:szCs w:val="32"/>
        </w:rPr>
        <w:t>公务接待费支出</w:t>
      </w:r>
      <w:r>
        <w:rPr>
          <w:rFonts w:hint="eastAsia" w:ascii="仿宋_GB2312" w:eastAsia="仿宋_GB2312" w:cs="仿宋_GB2312"/>
          <w:color w:val="000000"/>
          <w:sz w:val="32"/>
          <w:szCs w:val="32"/>
        </w:rPr>
        <w:t>0.9万元，</w:t>
      </w:r>
      <w:r>
        <w:rPr>
          <w:rStyle w:val="20"/>
          <w:rFonts w:hint="eastAsia" w:ascii="仿宋" w:hAnsi="仿宋" w:eastAsia="仿宋" w:cs="仿宋"/>
          <w:b w:val="0"/>
          <w:color w:val="000000"/>
          <w:sz w:val="32"/>
          <w:szCs w:val="32"/>
        </w:rPr>
        <w:t>完成预算</w:t>
      </w:r>
      <w:r>
        <w:rPr>
          <w:rStyle w:val="20"/>
          <w:rFonts w:ascii="仿宋" w:hAnsi="仿宋" w:eastAsia="仿宋" w:cs="仿宋"/>
          <w:b w:val="0"/>
          <w:color w:val="000000"/>
          <w:sz w:val="32"/>
          <w:szCs w:val="32"/>
        </w:rPr>
        <w:t>100%</w:t>
      </w:r>
      <w:r>
        <w:rPr>
          <w:rStyle w:val="20"/>
          <w:rFonts w:hint="eastAsia" w:ascii="仿宋" w:hAnsi="仿宋" w:eastAsia="仿宋" w:cs="仿宋"/>
          <w:b w:val="0"/>
          <w:color w:val="000000"/>
          <w:sz w:val="32"/>
          <w:szCs w:val="32"/>
        </w:rPr>
        <w:t>。</w:t>
      </w:r>
      <w:r>
        <w:rPr>
          <w:rFonts w:hint="eastAsia" w:ascii="仿宋_GB2312" w:eastAsia="仿宋_GB2312" w:cs="仿宋_GB2312"/>
          <w:color w:val="000000"/>
          <w:sz w:val="32"/>
          <w:szCs w:val="32"/>
        </w:rPr>
        <w:t>公务接待费支出决算比2020年增加0.25万元，增长3.85</w:t>
      </w:r>
      <w:r>
        <w:rPr>
          <w:rFonts w:ascii="仿宋_GB2312" w:eastAsia="仿宋_GB2312" w:cs="仿宋_GB2312"/>
          <w:color w:val="000000"/>
          <w:sz w:val="32"/>
          <w:szCs w:val="32"/>
        </w:rPr>
        <w:t>%</w:t>
      </w:r>
      <w:r>
        <w:rPr>
          <w:rFonts w:hint="eastAsia" w:ascii="仿宋_GB2312" w:eastAsia="仿宋_GB2312" w:cs="仿宋_GB2312"/>
          <w:color w:val="000000"/>
          <w:sz w:val="32"/>
          <w:szCs w:val="32"/>
        </w:rPr>
        <w:t>。主要原因是经费支出增加。其中：</w:t>
      </w:r>
    </w:p>
    <w:p w14:paraId="01FF3F49">
      <w:pPr>
        <w:spacing w:line="600" w:lineRule="exact"/>
        <w:ind w:firstLine="640"/>
        <w:rPr>
          <w:rFonts w:ascii="仿宋_GB2312" w:eastAsia="仿宋_GB2312"/>
          <w:color w:val="000000"/>
          <w:sz w:val="32"/>
          <w:szCs w:val="32"/>
        </w:rPr>
      </w:pPr>
      <w:r>
        <w:rPr>
          <w:rFonts w:hint="eastAsia" w:ascii="仿宋" w:hAnsi="仿宋" w:eastAsia="仿宋" w:cs="仿宋"/>
          <w:b/>
          <w:bCs/>
          <w:color w:val="000000"/>
          <w:sz w:val="32"/>
          <w:szCs w:val="32"/>
        </w:rPr>
        <w:t>国内公务接待支出</w:t>
      </w:r>
      <w:r>
        <w:rPr>
          <w:rFonts w:hint="eastAsia" w:ascii="仿宋" w:hAnsi="仿宋" w:eastAsia="仿宋" w:cs="仿宋"/>
          <w:color w:val="000000"/>
          <w:sz w:val="32"/>
          <w:szCs w:val="32"/>
        </w:rPr>
        <w:t>0.90</w:t>
      </w:r>
      <w:r>
        <w:rPr>
          <w:rFonts w:hint="eastAsia" w:ascii="仿宋_GB2312" w:eastAsia="仿宋_GB2312" w:cs="仿宋_GB2312"/>
          <w:color w:val="000000"/>
          <w:sz w:val="32"/>
          <w:szCs w:val="32"/>
        </w:rPr>
        <w:t>万元，主要用于执行公务、开展业务活动开支的交通费、住宿费、用餐费等。国内公务接待25批次，120人次（不包括陪同人员），共计支出0.90万元，具体内容包括上级单位到我单位检查工作接待支出。</w:t>
      </w:r>
    </w:p>
    <w:p w14:paraId="298FD518">
      <w:pPr>
        <w:spacing w:line="600" w:lineRule="exact"/>
        <w:ind w:firstLine="640"/>
        <w:rPr>
          <w:rFonts w:ascii="黑体" w:eastAsia="黑体"/>
          <w:sz w:val="32"/>
          <w:szCs w:val="32"/>
        </w:rPr>
      </w:pPr>
      <w:r>
        <w:rPr>
          <w:rFonts w:hint="eastAsia" w:ascii="仿宋" w:hAnsi="仿宋" w:eastAsia="仿宋" w:cs="仿宋"/>
          <w:b/>
          <w:bCs/>
          <w:color w:val="000000"/>
          <w:sz w:val="32"/>
          <w:szCs w:val="32"/>
        </w:rPr>
        <w:t>外事接待支出</w:t>
      </w:r>
      <w:r>
        <w:rPr>
          <w:rFonts w:ascii="仿宋" w:hAnsi="仿宋" w:eastAsia="仿宋" w:cs="仿宋"/>
          <w:color w:val="000000"/>
          <w:sz w:val="32"/>
          <w:szCs w:val="32"/>
        </w:rPr>
        <w:t>0</w:t>
      </w:r>
      <w:r>
        <w:rPr>
          <w:rFonts w:hint="eastAsia" w:ascii="仿宋_GB2312" w:eastAsia="仿宋_GB2312" w:cs="仿宋_GB2312"/>
          <w:color w:val="000000"/>
          <w:sz w:val="32"/>
          <w:szCs w:val="32"/>
        </w:rPr>
        <w:t>万元，外事接待</w:t>
      </w:r>
      <w:r>
        <w:rPr>
          <w:rFonts w:ascii="仿宋_GB2312" w:eastAsia="仿宋_GB2312" w:cs="仿宋_GB2312"/>
          <w:color w:val="000000"/>
          <w:sz w:val="32"/>
          <w:szCs w:val="32"/>
        </w:rPr>
        <w:t>0</w:t>
      </w:r>
      <w:r>
        <w:rPr>
          <w:rFonts w:hint="eastAsia" w:ascii="仿宋_GB2312" w:eastAsia="仿宋_GB2312" w:cs="仿宋_GB2312"/>
          <w:color w:val="000000"/>
          <w:sz w:val="32"/>
          <w:szCs w:val="32"/>
        </w:rPr>
        <w:t>批次，</w:t>
      </w:r>
      <w:r>
        <w:rPr>
          <w:rFonts w:ascii="仿宋_GB2312" w:eastAsia="仿宋_GB2312" w:cs="仿宋_GB2312"/>
          <w:color w:val="000000"/>
          <w:sz w:val="32"/>
          <w:szCs w:val="32"/>
        </w:rPr>
        <w:t>0</w:t>
      </w:r>
      <w:r>
        <w:rPr>
          <w:rFonts w:hint="eastAsia" w:ascii="仿宋_GB2312" w:eastAsia="仿宋_GB2312" w:cs="仿宋_GB2312"/>
          <w:color w:val="000000"/>
          <w:sz w:val="32"/>
          <w:szCs w:val="32"/>
        </w:rPr>
        <w:t>人，共计支出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万元，主要用于接待（具体项目）</w:t>
      </w:r>
    </w:p>
    <w:p w14:paraId="6B14D319">
      <w:pPr>
        <w:spacing w:line="600" w:lineRule="exact"/>
        <w:ind w:firstLine="640"/>
        <w:outlineLvl w:val="1"/>
        <w:rPr>
          <w:rStyle w:val="32"/>
          <w:rFonts w:ascii="黑体" w:hAnsi="黑体" w:eastAsia="黑体"/>
        </w:rPr>
      </w:pPr>
      <w:bookmarkStart w:id="97" w:name="_Toc1546_WPSOffice_Level2"/>
      <w:r>
        <w:rPr>
          <w:rFonts w:hint="eastAsia" w:ascii="黑体" w:eastAsia="黑体"/>
          <w:sz w:val="32"/>
          <w:szCs w:val="32"/>
        </w:rPr>
        <w:t>八、</w:t>
      </w:r>
      <w:r>
        <w:rPr>
          <w:rStyle w:val="32"/>
          <w:rFonts w:hint="eastAsia" w:ascii="黑体" w:hAnsi="黑体" w:eastAsia="黑体"/>
          <w:b w:val="0"/>
        </w:rPr>
        <w:t>政府性基金预算支出决算情况说明</w:t>
      </w:r>
      <w:bookmarkEnd w:id="95"/>
      <w:bookmarkEnd w:id="96"/>
      <w:bookmarkEnd w:id="97"/>
    </w:p>
    <w:p w14:paraId="670088E3">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14:paraId="11340916">
      <w:pPr>
        <w:numPr>
          <w:ilvl w:val="0"/>
          <w:numId w:val="2"/>
        </w:numPr>
        <w:spacing w:line="600" w:lineRule="exact"/>
        <w:ind w:firstLine="640"/>
        <w:outlineLvl w:val="1"/>
        <w:rPr>
          <w:rStyle w:val="32"/>
          <w:rFonts w:ascii="黑体" w:hAnsi="黑体" w:eastAsia="黑体"/>
          <w:b w:val="0"/>
        </w:rPr>
      </w:pPr>
      <w:bookmarkStart w:id="98" w:name="_Toc13586_WPSOffice_Level2"/>
      <w:bookmarkStart w:id="99" w:name="_Toc15377219"/>
      <w:bookmarkStart w:id="100" w:name="_Toc15396611"/>
      <w:r>
        <w:rPr>
          <w:rStyle w:val="32"/>
          <w:rFonts w:hint="eastAsia" w:ascii="黑体" w:hAnsi="黑体" w:eastAsia="黑体"/>
          <w:b w:val="0"/>
        </w:rPr>
        <w:t>国有资本经营预算支出决算情况说明</w:t>
      </w:r>
      <w:bookmarkEnd w:id="98"/>
      <w:bookmarkEnd w:id="99"/>
      <w:bookmarkEnd w:id="100"/>
    </w:p>
    <w:p w14:paraId="01A8B4DE">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14:paraId="0DCE9D8B">
      <w:pPr>
        <w:numPr>
          <w:ilvl w:val="0"/>
          <w:numId w:val="2"/>
        </w:numPr>
        <w:spacing w:line="600" w:lineRule="exact"/>
        <w:ind w:firstLine="640"/>
        <w:outlineLvl w:val="1"/>
        <w:rPr>
          <w:rStyle w:val="32"/>
          <w:rFonts w:ascii="黑体" w:hAnsi="黑体" w:eastAsia="黑体"/>
          <w:b w:val="0"/>
        </w:rPr>
      </w:pPr>
      <w:bookmarkStart w:id="101" w:name="_Toc15396612"/>
      <w:bookmarkStart w:id="102" w:name="_Toc15377221"/>
      <w:bookmarkStart w:id="103" w:name="_Toc25762_WPSOffice_Level2"/>
      <w:r>
        <w:rPr>
          <w:rStyle w:val="32"/>
          <w:rFonts w:hint="eastAsia" w:ascii="黑体" w:hAnsi="黑体" w:eastAsia="黑体"/>
          <w:b w:val="0"/>
        </w:rPr>
        <w:t>其他重要事项的情况说明</w:t>
      </w:r>
      <w:bookmarkEnd w:id="101"/>
      <w:bookmarkEnd w:id="102"/>
      <w:bookmarkEnd w:id="103"/>
    </w:p>
    <w:p w14:paraId="1D2D5349">
      <w:pPr>
        <w:spacing w:line="600" w:lineRule="exact"/>
        <w:ind w:firstLine="643" w:firstLineChars="200"/>
        <w:outlineLvl w:val="2"/>
        <w:rPr>
          <w:rFonts w:ascii="仿宋" w:hAnsi="仿宋" w:eastAsia="仿宋"/>
          <w:sz w:val="32"/>
          <w:szCs w:val="32"/>
        </w:rPr>
      </w:pPr>
      <w:bookmarkStart w:id="104" w:name="_Toc15377222"/>
      <w:r>
        <w:rPr>
          <w:rFonts w:hint="eastAsia" w:ascii="仿宋" w:hAnsi="仿宋" w:eastAsia="仿宋"/>
          <w:b/>
          <w:sz w:val="32"/>
          <w:szCs w:val="32"/>
        </w:rPr>
        <w:t>（一）机关运行经费支出情况</w:t>
      </w:r>
      <w:bookmarkEnd w:id="104"/>
    </w:p>
    <w:p w14:paraId="53FF20A6">
      <w:pPr>
        <w:spacing w:line="600" w:lineRule="exact"/>
        <w:ind w:firstLine="640" w:firstLineChars="200"/>
        <w:rPr>
          <w:rFonts w:ascii="仿宋" w:hAnsi="仿宋" w:eastAsia="仿宋"/>
          <w:b/>
          <w:sz w:val="32"/>
          <w:szCs w:val="32"/>
        </w:rPr>
      </w:pPr>
      <w:r>
        <w:rPr>
          <w:rFonts w:hint="eastAsia" w:ascii="仿宋_GB2312" w:eastAsia="仿宋_GB2312" w:cs="仿宋_GB2312"/>
          <w:color w:val="000000"/>
          <w:sz w:val="32"/>
          <w:szCs w:val="32"/>
        </w:rPr>
        <w:t>2021年，司法局机关运行经费支出91.78万元，比2019年增加11.44万元，增长12.46</w:t>
      </w:r>
      <w:r>
        <w:rPr>
          <w:rFonts w:ascii="仿宋_GB2312" w:eastAsia="仿宋_GB2312" w:cs="仿宋_GB2312"/>
          <w:color w:val="000000"/>
          <w:sz w:val="32"/>
          <w:szCs w:val="32"/>
        </w:rPr>
        <w:t>%</w:t>
      </w:r>
      <w:r>
        <w:rPr>
          <w:rFonts w:hint="eastAsia" w:ascii="仿宋_GB2312" w:eastAsia="仿宋_GB2312" w:cs="仿宋_GB2312"/>
          <w:color w:val="000000"/>
          <w:sz w:val="32"/>
          <w:szCs w:val="32"/>
        </w:rPr>
        <w:t>。主要原因是节约经费支出。</w:t>
      </w:r>
    </w:p>
    <w:p w14:paraId="5D5B6B28">
      <w:pPr>
        <w:autoSpaceDE w:val="0"/>
        <w:autoSpaceDN w:val="0"/>
        <w:adjustRightInd w:val="0"/>
        <w:spacing w:line="600" w:lineRule="exact"/>
        <w:ind w:firstLine="643" w:firstLineChars="200"/>
        <w:jc w:val="left"/>
        <w:outlineLvl w:val="2"/>
        <w:rPr>
          <w:rFonts w:ascii="仿宋" w:hAnsi="仿宋" w:eastAsia="仿宋"/>
          <w:b/>
          <w:sz w:val="32"/>
          <w:szCs w:val="32"/>
        </w:rPr>
      </w:pPr>
      <w:bookmarkStart w:id="105" w:name="_Toc15377223"/>
      <w:r>
        <w:rPr>
          <w:rFonts w:hint="eastAsia" w:ascii="仿宋" w:hAnsi="仿宋" w:eastAsia="仿宋"/>
          <w:b/>
          <w:sz w:val="32"/>
          <w:szCs w:val="32"/>
        </w:rPr>
        <w:t>（二）政府采购支出情况</w:t>
      </w:r>
      <w:bookmarkEnd w:id="105"/>
    </w:p>
    <w:p w14:paraId="1D8B7F9C">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cs="仿宋_GB2312"/>
          <w:color w:val="000000"/>
          <w:sz w:val="32"/>
          <w:szCs w:val="32"/>
        </w:rPr>
        <w:t>司法局政府采购支出总额11.49万元，其中：政府采购货物支出11.49万元、政府采购工程支出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万元、政府采购服务支出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万元。主要用于办公设备购置。授予中小企业合同金额</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万元，占政府采购支出总额的</w:t>
      </w:r>
      <w:r>
        <w:rPr>
          <w:rFonts w:ascii="仿宋_GB2312" w:eastAsia="仿宋_GB2312" w:cs="仿宋_GB2312"/>
          <w:color w:val="000000"/>
          <w:sz w:val="32"/>
          <w:szCs w:val="32"/>
        </w:rPr>
        <w:t>0%</w:t>
      </w:r>
      <w:r>
        <w:rPr>
          <w:rFonts w:hint="eastAsia" w:ascii="仿宋_GB2312" w:eastAsia="仿宋_GB2312" w:cs="仿宋_GB2312"/>
          <w:color w:val="000000"/>
          <w:sz w:val="32"/>
          <w:szCs w:val="32"/>
        </w:rPr>
        <w:t xml:space="preserve">，其中：   </w:t>
      </w:r>
    </w:p>
    <w:p w14:paraId="7F25C637">
      <w:pPr>
        <w:autoSpaceDE w:val="0"/>
        <w:autoSpaceDN w:val="0"/>
        <w:adjustRightInd w:val="0"/>
        <w:spacing w:line="600" w:lineRule="exact"/>
        <w:ind w:firstLine="643" w:firstLineChars="200"/>
        <w:jc w:val="left"/>
        <w:outlineLvl w:val="2"/>
        <w:rPr>
          <w:rFonts w:ascii="仿宋" w:hAnsi="仿宋" w:eastAsia="仿宋"/>
          <w:b/>
          <w:sz w:val="32"/>
          <w:szCs w:val="32"/>
        </w:rPr>
      </w:pPr>
      <w:bookmarkStart w:id="106" w:name="_Toc15377224"/>
      <w:r>
        <w:rPr>
          <w:rFonts w:hint="eastAsia" w:ascii="仿宋" w:hAnsi="仿宋" w:eastAsia="仿宋"/>
          <w:b/>
          <w:sz w:val="32"/>
          <w:szCs w:val="32"/>
        </w:rPr>
        <w:t>（三）国有资产占有使用情况</w:t>
      </w:r>
      <w:bookmarkEnd w:id="106"/>
    </w:p>
    <w:p w14:paraId="318D4AC9">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cs="仿宋_GB2312"/>
          <w:color w:val="000000"/>
          <w:sz w:val="32"/>
          <w:szCs w:val="32"/>
        </w:rPr>
        <w:t>司法局共有车辆3辆，其中：主要领导干部用车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辆、机要通信用车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辆、应急保障用车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辆、一般执法执勤用车3辆、其他用车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辆，单价</w:t>
      </w:r>
      <w:r>
        <w:rPr>
          <w:rFonts w:ascii="仿宋_GB2312" w:eastAsia="仿宋_GB2312" w:cs="仿宋_GB2312"/>
          <w:color w:val="000000"/>
          <w:sz w:val="32"/>
          <w:szCs w:val="32"/>
        </w:rPr>
        <w:t>50</w:t>
      </w:r>
      <w:r>
        <w:rPr>
          <w:rFonts w:hint="eastAsia" w:ascii="仿宋_GB2312" w:eastAsia="仿宋_GB2312" w:cs="仿宋_GB2312"/>
          <w:color w:val="000000"/>
          <w:sz w:val="32"/>
          <w:szCs w:val="32"/>
        </w:rPr>
        <w:t>万元以上通用设备</w:t>
      </w:r>
      <w:r>
        <w:rPr>
          <w:rFonts w:ascii="仿宋_GB2312" w:eastAsia="仿宋_GB2312" w:cs="仿宋_GB2312"/>
          <w:color w:val="000000"/>
          <w:sz w:val="32"/>
          <w:szCs w:val="32"/>
        </w:rPr>
        <w:t>0</w:t>
      </w:r>
      <w:r>
        <w:rPr>
          <w:rFonts w:hint="eastAsia" w:ascii="仿宋_GB2312" w:eastAsia="仿宋_GB2312" w:cs="仿宋_GB2312"/>
          <w:color w:val="000000"/>
          <w:sz w:val="32"/>
          <w:szCs w:val="32"/>
        </w:rPr>
        <w:t>台（套），单价</w:t>
      </w:r>
      <w:r>
        <w:rPr>
          <w:rFonts w:ascii="仿宋_GB2312" w:eastAsia="仿宋_GB2312" w:cs="仿宋_GB2312"/>
          <w:color w:val="000000"/>
          <w:sz w:val="32"/>
          <w:szCs w:val="32"/>
        </w:rPr>
        <w:t>100</w:t>
      </w:r>
      <w:r>
        <w:rPr>
          <w:rFonts w:hint="eastAsia" w:ascii="仿宋_GB2312" w:eastAsia="仿宋_GB2312" w:cs="仿宋_GB2312"/>
          <w:color w:val="000000"/>
          <w:sz w:val="32"/>
          <w:szCs w:val="32"/>
        </w:rPr>
        <w:t>万元以上专用设备</w:t>
      </w:r>
      <w:r>
        <w:rPr>
          <w:rFonts w:ascii="仿宋_GB2312" w:eastAsia="仿宋_GB2312" w:cs="仿宋_GB2312"/>
          <w:color w:val="000000"/>
          <w:sz w:val="32"/>
          <w:szCs w:val="32"/>
        </w:rPr>
        <w:t>0</w:t>
      </w:r>
      <w:r>
        <w:rPr>
          <w:rFonts w:hint="eastAsia" w:ascii="仿宋_GB2312" w:eastAsia="仿宋_GB2312" w:cs="仿宋_GB2312"/>
          <w:color w:val="000000"/>
          <w:sz w:val="32"/>
          <w:szCs w:val="32"/>
        </w:rPr>
        <w:t>台（套）。</w:t>
      </w:r>
    </w:p>
    <w:p w14:paraId="3A3B59D1">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522577B0">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根据预算绩效管理要求，本部门在2021年度预算编制阶段，组织对中央转移支付办案业务费”“全县政法队伍教育整顿工作经费”“人民调解专项经费”“普法工作相关经费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对上争取资金奖励金”等22个项目开展了预算事前绩效评估，对4个项目编制了绩效目标，预算执行过程中，选取4个项目开展绩效监控，年终执行完毕后，对4个项目开展了绩效自评。同时，本部门对2021年部门整体开展绩效自评，《2021年盐边县司法局部门整体绩效评价报告》见附件（第四部分）。</w:t>
      </w:r>
    </w:p>
    <w:p w14:paraId="5D07CC55">
      <w:pPr>
        <w:widowControl/>
        <w:jc w:val="left"/>
        <w:rPr>
          <w:rFonts w:ascii="仿宋_GB2312" w:eastAsia="仿宋_GB2312"/>
          <w:b/>
          <w:sz w:val="32"/>
          <w:szCs w:val="32"/>
        </w:rPr>
      </w:pPr>
      <w:r>
        <w:rPr>
          <w:rFonts w:ascii="仿宋_GB2312" w:eastAsia="仿宋_GB2312"/>
          <w:b/>
          <w:sz w:val="32"/>
          <w:szCs w:val="32"/>
        </w:rPr>
        <w:br w:type="page"/>
      </w:r>
    </w:p>
    <w:p w14:paraId="41A7E0DA">
      <w:pPr>
        <w:numPr>
          <w:ilvl w:val="0"/>
          <w:numId w:val="3"/>
        </w:numPr>
        <w:spacing w:line="600" w:lineRule="exact"/>
        <w:ind w:firstLine="660" w:firstLineChars="150"/>
        <w:jc w:val="center"/>
        <w:outlineLvl w:val="0"/>
        <w:rPr>
          <w:rStyle w:val="37"/>
          <w:rFonts w:ascii="黑体" w:hAnsi="黑体" w:eastAsia="黑体"/>
          <w:b w:val="0"/>
          <w:bCs w:val="0"/>
        </w:rPr>
      </w:pPr>
      <w:bookmarkStart w:id="107" w:name="_Toc15396613"/>
      <w:bookmarkStart w:id="108" w:name="_Toc52180096"/>
      <w:bookmarkStart w:id="109" w:name="_Toc15377225"/>
      <w:bookmarkStart w:id="110" w:name="_Toc20898_WPSOffice_Level1"/>
      <w:bookmarkStart w:id="111" w:name="_Toc15377226"/>
      <w:r>
        <w:rPr>
          <w:rFonts w:hint="eastAsia" w:ascii="黑体" w:hAnsi="黑体" w:eastAsia="黑体" w:cs="黑体"/>
          <w:color w:val="000000"/>
          <w:sz w:val="44"/>
          <w:szCs w:val="44"/>
        </w:rPr>
        <w:t>名</w:t>
      </w:r>
      <w:r>
        <w:rPr>
          <w:rStyle w:val="37"/>
          <w:rFonts w:hint="eastAsia" w:ascii="黑体" w:hAnsi="黑体" w:eastAsia="黑体" w:cs="黑体"/>
          <w:b w:val="0"/>
          <w:bCs w:val="0"/>
        </w:rPr>
        <w:t>词解释</w:t>
      </w:r>
      <w:bookmarkEnd w:id="107"/>
      <w:bookmarkEnd w:id="108"/>
      <w:bookmarkEnd w:id="109"/>
      <w:bookmarkEnd w:id="110"/>
    </w:p>
    <w:p w14:paraId="5DD7B3BB">
      <w:pPr>
        <w:spacing w:line="600" w:lineRule="exact"/>
        <w:jc w:val="left"/>
        <w:rPr>
          <w:rFonts w:ascii="宋体"/>
          <w:b/>
          <w:bCs/>
          <w:color w:val="000000"/>
          <w:sz w:val="44"/>
          <w:szCs w:val="44"/>
        </w:rPr>
      </w:pPr>
    </w:p>
    <w:p w14:paraId="413BF8CF">
      <w:pPr>
        <w:pStyle w:val="29"/>
        <w:spacing w:line="560" w:lineRule="exact"/>
        <w:ind w:firstLine="640" w:firstLineChars="200"/>
        <w:rPr>
          <w:rFonts w:ascii="仿宋_GB2312" w:eastAsia="仿宋_GB2312"/>
          <w:sz w:val="32"/>
          <w:szCs w:val="32"/>
        </w:rPr>
      </w:pPr>
      <w:r>
        <w:rPr>
          <w:rFonts w:hint="eastAsia" w:ascii="仿宋_GB2312" w:eastAsia="仿宋_GB2312"/>
          <w:sz w:val="32"/>
          <w:szCs w:val="32"/>
        </w:rPr>
        <w:t>1.财政拨款收入：指单位从同级财政部门取得的财政预算资金。</w:t>
      </w:r>
    </w:p>
    <w:p w14:paraId="31AE1CF5">
      <w:pPr>
        <w:pStyle w:val="29"/>
        <w:spacing w:line="560" w:lineRule="exact"/>
        <w:ind w:firstLine="640" w:firstLineChars="200"/>
        <w:rPr>
          <w:rFonts w:ascii="仿宋_GB2312" w:eastAsia="仿宋_GB2312"/>
          <w:sz w:val="32"/>
          <w:szCs w:val="32"/>
        </w:rPr>
      </w:pPr>
      <w:r>
        <w:rPr>
          <w:rFonts w:hint="eastAsia" w:ascii="仿宋_GB2312" w:eastAsia="仿宋_GB2312"/>
          <w:sz w:val="32"/>
          <w:szCs w:val="32"/>
        </w:rPr>
        <w:t>2.事业收入：指事业单位开展专业业务活动及辅助活动取得的收入。如（二级预算单位事业收入情况）等。</w:t>
      </w:r>
    </w:p>
    <w:p w14:paraId="3E194594">
      <w:pPr>
        <w:pStyle w:val="29"/>
        <w:spacing w:line="560" w:lineRule="exact"/>
        <w:ind w:firstLine="640" w:firstLineChars="200"/>
        <w:rPr>
          <w:rFonts w:ascii="仿宋_GB2312" w:eastAsia="仿宋_GB2312"/>
          <w:sz w:val="32"/>
          <w:szCs w:val="32"/>
        </w:rPr>
      </w:pPr>
      <w:r>
        <w:rPr>
          <w:rFonts w:hint="eastAsia" w:ascii="仿宋_GB2312" w:eastAsia="仿宋_GB2312"/>
          <w:sz w:val="32"/>
          <w:szCs w:val="32"/>
        </w:rPr>
        <w:t>3.经营收入：指事业单位在专业业务活动及其辅助活动之外开展非独立核算经营活动取得的收入。如…（二级预算单位经营收入情况）等。</w:t>
      </w:r>
    </w:p>
    <w:p w14:paraId="4ACBC23C">
      <w:pPr>
        <w:pStyle w:val="29"/>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4.其他收入：指单位取得的除上述收入以外的各项收入。主要是（收入类型）等。 </w:t>
      </w:r>
    </w:p>
    <w:p w14:paraId="703533B9">
      <w:pPr>
        <w:pStyle w:val="29"/>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14:paraId="4D8EAEA6">
      <w:pPr>
        <w:pStyle w:val="29"/>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6.年初结转和结余：指以前年度尚未完成、结转到本年按有关规定继续使用的资金。 </w:t>
      </w:r>
    </w:p>
    <w:p w14:paraId="0620B1BD">
      <w:pPr>
        <w:pStyle w:val="29"/>
        <w:spacing w:line="560" w:lineRule="exact"/>
        <w:ind w:firstLine="640" w:firstLineChars="200"/>
        <w:rPr>
          <w:rFonts w:ascii="仿宋_GB2312" w:eastAsia="仿宋_GB2312"/>
          <w:sz w:val="32"/>
          <w:szCs w:val="32"/>
        </w:rPr>
      </w:pPr>
      <w:r>
        <w:rPr>
          <w:rFonts w:hint="eastAsia" w:ascii="仿宋_GB2312" w:eastAsia="仿宋_GB2312"/>
          <w:sz w:val="32"/>
          <w:szCs w:val="32"/>
        </w:rPr>
        <w:t>7.结余分配：指事业单位按照事业单位会计制度的规定从非财政补助结余中分配的事业基金和职工福利基金等。</w:t>
      </w:r>
    </w:p>
    <w:p w14:paraId="0B6A9DAB">
      <w:pPr>
        <w:pStyle w:val="29"/>
        <w:spacing w:line="560" w:lineRule="exact"/>
        <w:ind w:firstLine="640" w:firstLineChars="200"/>
        <w:rPr>
          <w:rFonts w:ascii="仿宋_GB2312" w:eastAsia="仿宋_GB2312"/>
          <w:sz w:val="32"/>
          <w:szCs w:val="32"/>
        </w:rPr>
      </w:pPr>
      <w:r>
        <w:rPr>
          <w:rFonts w:hint="eastAsia" w:ascii="仿宋_GB2312" w:eastAsia="仿宋_GB2312"/>
          <w:sz w:val="32"/>
          <w:szCs w:val="32"/>
        </w:rPr>
        <w:t>8、年末结转和结余：指单位按有关规定结转到下年或以后年度继续使用的资金。</w:t>
      </w:r>
    </w:p>
    <w:p w14:paraId="117569DE">
      <w:pPr>
        <w:spacing w:line="600" w:lineRule="exact"/>
        <w:ind w:firstLine="640" w:firstLineChars="200"/>
        <w:outlineLvl w:val="0"/>
        <w:rPr>
          <w:rStyle w:val="20"/>
          <w:rFonts w:ascii="仿宋_GB2312" w:eastAsia="仿宋_GB2312"/>
          <w:b w:val="0"/>
          <w:color w:val="000000"/>
          <w:sz w:val="32"/>
          <w:szCs w:val="32"/>
        </w:rPr>
      </w:pPr>
      <w:r>
        <w:rPr>
          <w:rStyle w:val="20"/>
          <w:rFonts w:hint="eastAsia" w:ascii="仿宋_GB2312" w:eastAsia="仿宋_GB2312"/>
          <w:b w:val="0"/>
          <w:color w:val="000000"/>
          <w:sz w:val="32"/>
          <w:szCs w:val="32"/>
        </w:rPr>
        <w:t>9.公共安全支出（类）司法（款）</w:t>
      </w:r>
    </w:p>
    <w:p w14:paraId="5F2F172D">
      <w:pPr>
        <w:widowControl/>
        <w:shd w:val="clear" w:color="auto" w:fill="FFFFFF"/>
        <w:spacing w:line="600" w:lineRule="atLeast"/>
        <w:ind w:firstLine="640" w:firstLineChars="200"/>
        <w:jc w:val="left"/>
        <w:rPr>
          <w:rFonts w:ascii="仿宋_GB2312" w:hAnsi="宋体" w:eastAsia="仿宋_GB2312" w:cs="宋体"/>
          <w:color w:val="333333"/>
          <w:kern w:val="0"/>
          <w:sz w:val="32"/>
          <w:szCs w:val="32"/>
        </w:rPr>
      </w:pPr>
      <w:r>
        <w:rPr>
          <w:rStyle w:val="20"/>
          <w:rFonts w:hint="eastAsia" w:ascii="仿宋_GB2312" w:eastAsia="仿宋_GB2312"/>
          <w:b w:val="0"/>
          <w:color w:val="000000"/>
          <w:sz w:val="32"/>
          <w:szCs w:val="32"/>
        </w:rPr>
        <w:t xml:space="preserve">①、行政运行: </w:t>
      </w:r>
      <w:r>
        <w:rPr>
          <w:rFonts w:hint="eastAsia" w:ascii="仿宋_GB2312" w:hAnsi="宋体" w:eastAsia="仿宋_GB2312" w:cs="宋体"/>
          <w:color w:val="000000"/>
          <w:kern w:val="0"/>
          <w:sz w:val="32"/>
          <w:szCs w:val="32"/>
        </w:rPr>
        <w:t>指行政单位（包括实行公务员管理的事业单位）的基本支出。</w:t>
      </w:r>
    </w:p>
    <w:p w14:paraId="24DF94EA">
      <w:pPr>
        <w:spacing w:line="600" w:lineRule="exact"/>
        <w:ind w:firstLine="640" w:firstLineChars="200"/>
        <w:rPr>
          <w:rStyle w:val="20"/>
          <w:rFonts w:ascii="仿宋_GB2312" w:eastAsia="仿宋_GB2312"/>
          <w:b w:val="0"/>
          <w:color w:val="000000"/>
          <w:sz w:val="32"/>
          <w:szCs w:val="32"/>
        </w:rPr>
      </w:pPr>
      <w:r>
        <w:rPr>
          <w:rStyle w:val="20"/>
          <w:rFonts w:hint="eastAsia" w:ascii="仿宋_GB2312" w:eastAsia="仿宋_GB2312"/>
          <w:b w:val="0"/>
          <w:color w:val="000000"/>
          <w:sz w:val="32"/>
          <w:szCs w:val="32"/>
        </w:rPr>
        <w:t>②、一般行政管理事务：指行政单位（包括实行公务员管理的事业单位）未单独设置项级科目的其他项目支出。</w:t>
      </w:r>
    </w:p>
    <w:p w14:paraId="15C0F91A">
      <w:pPr>
        <w:spacing w:line="600" w:lineRule="exact"/>
        <w:ind w:firstLine="640" w:firstLineChars="200"/>
        <w:rPr>
          <w:rStyle w:val="20"/>
          <w:rFonts w:ascii="仿宋_GB2312" w:eastAsia="仿宋_GB2312"/>
          <w:b w:val="0"/>
          <w:color w:val="000000"/>
          <w:sz w:val="32"/>
          <w:szCs w:val="32"/>
        </w:rPr>
      </w:pPr>
      <w:r>
        <w:rPr>
          <w:rStyle w:val="20"/>
          <w:rFonts w:hint="eastAsia" w:ascii="仿宋_GB2312" w:eastAsia="仿宋_GB2312"/>
          <w:b w:val="0"/>
          <w:color w:val="000000"/>
          <w:sz w:val="32"/>
          <w:szCs w:val="32"/>
        </w:rPr>
        <w:t>③、公共法律服务：指司法行政部门用于法律援助、司法鉴定、公证、仲裁等公共法律服务工作的相关支出。</w:t>
      </w:r>
    </w:p>
    <w:p w14:paraId="7D3A9F63">
      <w:pPr>
        <w:spacing w:line="600" w:lineRule="exact"/>
        <w:ind w:firstLine="640" w:firstLineChars="200"/>
        <w:rPr>
          <w:rStyle w:val="20"/>
          <w:rFonts w:ascii="仿宋_GB2312" w:eastAsia="仿宋_GB2312"/>
          <w:b w:val="0"/>
          <w:color w:val="000000"/>
          <w:sz w:val="32"/>
          <w:szCs w:val="32"/>
        </w:rPr>
      </w:pPr>
      <w:r>
        <w:rPr>
          <w:rStyle w:val="20"/>
          <w:rFonts w:hint="eastAsia" w:ascii="仿宋_GB2312" w:eastAsia="仿宋_GB2312"/>
          <w:b w:val="0"/>
          <w:color w:val="000000"/>
          <w:sz w:val="32"/>
          <w:szCs w:val="32"/>
        </w:rPr>
        <w:t>④、基层司法业务：指各级司法行政部门用于基层业务的支出，包括基层工作指导费、调解费、安置帮教费、司法所经费和公共法律服务平台相关支出、人民陪审员选任管理费用、人民监督员选任管理费用支出。</w:t>
      </w:r>
    </w:p>
    <w:p w14:paraId="40F7FD31">
      <w:pPr>
        <w:spacing w:line="600" w:lineRule="exact"/>
        <w:ind w:firstLine="640" w:firstLineChars="200"/>
        <w:rPr>
          <w:rStyle w:val="20"/>
          <w:rFonts w:ascii="仿宋_GB2312" w:eastAsia="仿宋_GB2312"/>
          <w:b w:val="0"/>
          <w:color w:val="000000"/>
          <w:sz w:val="32"/>
          <w:szCs w:val="32"/>
        </w:rPr>
      </w:pPr>
      <w:r>
        <w:rPr>
          <w:rStyle w:val="20"/>
          <w:rFonts w:hint="eastAsia" w:ascii="仿宋_GB2312" w:eastAsia="仿宋_GB2312"/>
          <w:b w:val="0"/>
          <w:color w:val="000000"/>
          <w:sz w:val="32"/>
          <w:szCs w:val="32"/>
        </w:rPr>
        <w:t>⑤、其他司法支出：反映除上述项目以外其他用于司法方面的支出。</w:t>
      </w:r>
    </w:p>
    <w:p w14:paraId="1ACBB186">
      <w:pPr>
        <w:spacing w:line="600" w:lineRule="exact"/>
        <w:ind w:firstLine="640" w:firstLineChars="200"/>
        <w:rPr>
          <w:rStyle w:val="20"/>
          <w:rFonts w:ascii="仿宋_GB2312" w:eastAsia="仿宋_GB2312"/>
          <w:b w:val="0"/>
          <w:color w:val="000000"/>
          <w:sz w:val="32"/>
          <w:szCs w:val="32"/>
        </w:rPr>
      </w:pPr>
      <w:r>
        <w:rPr>
          <w:rStyle w:val="20"/>
          <w:rFonts w:hint="eastAsia" w:ascii="仿宋_GB2312" w:eastAsia="仿宋_GB2312"/>
          <w:b w:val="0"/>
          <w:color w:val="000000"/>
          <w:sz w:val="32"/>
          <w:szCs w:val="32"/>
        </w:rPr>
        <w:t>⑥、社区矫正：指各级司法行政部门用于社区的支出。</w:t>
      </w:r>
    </w:p>
    <w:p w14:paraId="5D0E8EC3">
      <w:pPr>
        <w:spacing w:line="600" w:lineRule="exact"/>
        <w:ind w:firstLine="640" w:firstLineChars="200"/>
        <w:rPr>
          <w:rStyle w:val="20"/>
          <w:rFonts w:ascii="仿宋_GB2312" w:eastAsia="仿宋_GB2312"/>
          <w:b w:val="0"/>
          <w:color w:val="000000"/>
          <w:sz w:val="32"/>
          <w:szCs w:val="32"/>
        </w:rPr>
      </w:pPr>
      <w:r>
        <w:rPr>
          <w:rStyle w:val="20"/>
          <w:rFonts w:hint="eastAsia" w:ascii="仿宋_GB2312" w:eastAsia="仿宋_GB2312"/>
          <w:b w:val="0"/>
          <w:color w:val="000000"/>
          <w:sz w:val="32"/>
          <w:szCs w:val="32"/>
        </w:rPr>
        <w:t>⑦、法制建设：指各级政府用于法制建设方面的支出。</w:t>
      </w:r>
    </w:p>
    <w:p w14:paraId="0B6A46DD">
      <w:pPr>
        <w:pStyle w:val="7"/>
        <w:ind w:firstLine="640"/>
        <w:rPr>
          <w:rStyle w:val="20"/>
          <w:rFonts w:ascii="仿宋_GB2312" w:eastAsia="仿宋_GB2312"/>
          <w:b w:val="0"/>
          <w:color w:val="000000"/>
          <w:sz w:val="32"/>
          <w:szCs w:val="32"/>
        </w:rPr>
      </w:pPr>
      <w:r>
        <w:rPr>
          <w:rStyle w:val="20"/>
          <w:rFonts w:hint="eastAsia" w:ascii="宋体" w:hAnsi="宋体" w:cs="宋体"/>
          <w:b w:val="0"/>
          <w:color w:val="000000"/>
          <w:sz w:val="32"/>
          <w:szCs w:val="32"/>
        </w:rPr>
        <w:t>⑧</w:t>
      </w:r>
      <w:r>
        <w:rPr>
          <w:rStyle w:val="20"/>
          <w:rFonts w:hint="eastAsia" w:ascii="仿宋_GB2312" w:eastAsia="仿宋_GB2312"/>
          <w:b w:val="0"/>
          <w:color w:val="000000"/>
          <w:sz w:val="32"/>
          <w:szCs w:val="32"/>
        </w:rPr>
        <w:t>、普法宣传：指各级司法行政部门用于组织各种媒体的宣传、普法装备与设施、宣传资料、对外宣传、法制作品的审读评审等方面的支出。</w:t>
      </w:r>
    </w:p>
    <w:p w14:paraId="13C5B590">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⑨、律师管理：指司法行政部门用于律师管理和法律顾问的相关支出。</w:t>
      </w:r>
    </w:p>
    <w:p w14:paraId="199D4B08">
      <w:pPr>
        <w:spacing w:line="600" w:lineRule="exact"/>
        <w:ind w:firstLine="640" w:firstLineChars="200"/>
      </w:pPr>
      <w:r>
        <w:rPr>
          <w:rStyle w:val="20"/>
          <w:rFonts w:hint="eastAsia" w:ascii="仿宋_GB2312" w:eastAsia="仿宋_GB2312"/>
          <w:b w:val="0"/>
          <w:color w:val="000000"/>
          <w:sz w:val="32"/>
          <w:szCs w:val="32"/>
        </w:rPr>
        <w:t>10.公共安全支出（类）其他公共安全支出（款）其他公共安全支出（项）：反映除上述项目以外其他用于公共安全支出方面的支出。</w:t>
      </w:r>
    </w:p>
    <w:p w14:paraId="0DC96679">
      <w:pPr>
        <w:spacing w:line="600" w:lineRule="exact"/>
        <w:ind w:firstLine="640" w:firstLineChars="200"/>
        <w:rPr>
          <w:rStyle w:val="20"/>
          <w:rFonts w:ascii="仿宋_GB2312" w:eastAsia="仿宋_GB2312"/>
          <w:b w:val="0"/>
          <w:color w:val="000000"/>
          <w:sz w:val="32"/>
          <w:szCs w:val="32"/>
        </w:rPr>
      </w:pPr>
      <w:r>
        <w:rPr>
          <w:rStyle w:val="20"/>
          <w:rFonts w:hint="eastAsia" w:ascii="仿宋_GB2312" w:eastAsia="仿宋_GB2312"/>
          <w:b w:val="0"/>
          <w:color w:val="000000"/>
          <w:sz w:val="32"/>
          <w:szCs w:val="32"/>
        </w:rPr>
        <w:t xml:space="preserve">11.社会保障和就业（类）行政事业单位离退休（款）  </w:t>
      </w:r>
    </w:p>
    <w:p w14:paraId="47E5ED2A">
      <w:pPr>
        <w:spacing w:line="600" w:lineRule="exact"/>
        <w:ind w:firstLine="640" w:firstLineChars="200"/>
        <w:rPr>
          <w:rStyle w:val="20"/>
          <w:rFonts w:ascii="仿宋_GB2312" w:eastAsia="仿宋_GB2312"/>
          <w:b w:val="0"/>
          <w:color w:val="000000"/>
          <w:sz w:val="32"/>
          <w:szCs w:val="32"/>
        </w:rPr>
      </w:pPr>
      <w:r>
        <w:rPr>
          <w:rStyle w:val="20"/>
          <w:rFonts w:hint="eastAsia" w:ascii="仿宋_GB2312" w:eastAsia="仿宋_GB2312"/>
          <w:b w:val="0"/>
          <w:color w:val="000000"/>
          <w:sz w:val="32"/>
          <w:szCs w:val="32"/>
        </w:rPr>
        <w:t>①、行政单位离退休: 指行政单位（包括实行公务员管理的事业单位）开支的离退休支出。</w:t>
      </w:r>
    </w:p>
    <w:p w14:paraId="2461A0AB">
      <w:pPr>
        <w:spacing w:line="600" w:lineRule="exact"/>
        <w:ind w:firstLine="640" w:firstLineChars="200"/>
        <w:rPr>
          <w:rStyle w:val="20"/>
          <w:rFonts w:ascii="仿宋_GB2312" w:eastAsia="仿宋_GB2312"/>
          <w:b w:val="0"/>
          <w:color w:val="000000"/>
          <w:sz w:val="32"/>
          <w:szCs w:val="32"/>
        </w:rPr>
      </w:pPr>
      <w:r>
        <w:rPr>
          <w:rFonts w:hint="eastAsia" w:ascii="仿宋_GB2312" w:eastAsia="仿宋_GB2312"/>
          <w:color w:val="000000"/>
          <w:sz w:val="32"/>
          <w:szCs w:val="32"/>
        </w:rPr>
        <w:t>②、机关事业单位基本养老保险缴费支出：</w:t>
      </w:r>
      <w:r>
        <w:rPr>
          <w:rStyle w:val="20"/>
          <w:rFonts w:hint="eastAsia" w:ascii="仿宋_GB2312" w:eastAsia="仿宋_GB2312"/>
          <w:b w:val="0"/>
          <w:color w:val="000000"/>
          <w:sz w:val="32"/>
          <w:szCs w:val="32"/>
        </w:rPr>
        <w:t>指机关事业单位实施养老保险制度有单位缴纳的基本养老保险费支出。</w:t>
      </w:r>
    </w:p>
    <w:p w14:paraId="1985D46B">
      <w:pPr>
        <w:pStyle w:val="7"/>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w:char="F083"/>
      </w:r>
      <w:r>
        <w:rPr>
          <w:rFonts w:hint="eastAsia" w:ascii="仿宋_GB2312" w:hAnsi="仿宋_GB2312" w:eastAsia="仿宋_GB2312" w:cs="仿宋_GB2312"/>
          <w:sz w:val="32"/>
          <w:szCs w:val="32"/>
        </w:rPr>
        <w:t>、</w:t>
      </w:r>
      <w:r>
        <w:rPr>
          <w:rFonts w:hint="eastAsia" w:ascii="仿宋_GB2312" w:eastAsia="仿宋_GB2312"/>
          <w:color w:val="000000"/>
          <w:sz w:val="32"/>
          <w:szCs w:val="32"/>
        </w:rPr>
        <w:t>机关事业单位职业年金缴费支出：指机关事业单位实施养老保险制度由单位实际缴纳的职业年金。</w:t>
      </w:r>
    </w:p>
    <w:p w14:paraId="364A1CF9">
      <w:pPr>
        <w:spacing w:line="600" w:lineRule="exact"/>
        <w:ind w:firstLine="640" w:firstLineChars="200"/>
        <w:rPr>
          <w:rStyle w:val="20"/>
          <w:rFonts w:ascii="仿宋_GB2312" w:eastAsia="仿宋_GB2312"/>
          <w:b w:val="0"/>
          <w:color w:val="000000"/>
          <w:sz w:val="32"/>
          <w:szCs w:val="32"/>
        </w:rPr>
      </w:pPr>
      <w:r>
        <w:rPr>
          <w:rStyle w:val="20"/>
          <w:rFonts w:hint="eastAsia" w:ascii="仿宋_GB2312" w:eastAsia="仿宋_GB2312"/>
          <w:b w:val="0"/>
          <w:color w:val="000000"/>
          <w:sz w:val="32"/>
          <w:szCs w:val="32"/>
        </w:rPr>
        <w:t>12、住房保障支出（类）住房改革支出（款）住房公积金（项）：指行政事业单位按人力资源和社会保障部、财政部规定的基本工资和津贴补贴以及规定比例为职工缴纳的住房公积金。</w:t>
      </w:r>
    </w:p>
    <w:p w14:paraId="77550380">
      <w:pPr>
        <w:pStyle w:val="7"/>
        <w:spacing w:line="560" w:lineRule="exact"/>
        <w:ind w:firstLine="640" w:firstLineChars="200"/>
        <w:rPr>
          <w:rFonts w:eastAsia="仿宋_GB2312"/>
          <w:bCs/>
          <w:sz w:val="32"/>
          <w:szCs w:val="32"/>
        </w:rPr>
      </w:pPr>
      <w:r>
        <w:rPr>
          <w:rFonts w:eastAsia="仿宋_GB2312"/>
          <w:bCs/>
          <w:sz w:val="32"/>
          <w:szCs w:val="32"/>
        </w:rPr>
        <w:t>13.卫生健康支出（类）</w:t>
      </w:r>
      <w:r>
        <w:rPr>
          <w:rFonts w:hint="eastAsia" w:eastAsia="仿宋_GB2312"/>
          <w:bCs/>
          <w:sz w:val="32"/>
          <w:szCs w:val="32"/>
        </w:rPr>
        <w:t>行政事业单位医疗</w:t>
      </w:r>
      <w:r>
        <w:rPr>
          <w:rFonts w:eastAsia="仿宋_GB2312"/>
          <w:bCs/>
          <w:sz w:val="32"/>
          <w:szCs w:val="32"/>
        </w:rPr>
        <w:t>（款）</w:t>
      </w:r>
    </w:p>
    <w:p w14:paraId="4479BC47">
      <w:pPr>
        <w:rPr>
          <w:rFonts w:eastAsia="仿宋_GB2312"/>
          <w:bCs/>
        </w:rPr>
      </w:pPr>
      <w:r>
        <w:rPr>
          <w:rFonts w:hint="eastAsia" w:eastAsia="仿宋_GB2312"/>
          <w:bCs/>
          <w:sz w:val="32"/>
          <w:szCs w:val="32"/>
        </w:rPr>
        <w:sym w:font="Wingdings" w:char="F081"/>
      </w:r>
      <w:r>
        <w:rPr>
          <w:rFonts w:hint="eastAsia" w:eastAsia="仿宋_GB2312"/>
          <w:bCs/>
          <w:sz w:val="32"/>
          <w:szCs w:val="32"/>
        </w:rPr>
        <w:t>行政单位医疗：指财政部门安排的行政单位（包括实行公务员管理的事业单位，下同）基本医疗保险缴费经费，未参加医疗保险的行政单位的公费医疗经费，按国家规定享受离休人员、红军老战士待遇人员的医疗经费。</w:t>
      </w:r>
    </w:p>
    <w:p w14:paraId="1A82177D">
      <w:r>
        <w:rPr>
          <w:rFonts w:hint="eastAsia" w:eastAsia="仿宋_GB2312"/>
          <w:bCs/>
          <w:sz w:val="32"/>
          <w:szCs w:val="32"/>
        </w:rPr>
        <w:sym w:font="Wingdings" w:char="F082"/>
      </w:r>
      <w:r>
        <w:rPr>
          <w:rFonts w:hint="eastAsia"/>
          <w:bCs/>
          <w:sz w:val="32"/>
          <w:szCs w:val="32"/>
        </w:rPr>
        <w:t>公务员医疗补助：指财政部门安排的公务员医疗补助经费</w:t>
      </w:r>
    </w:p>
    <w:p w14:paraId="2B22ECE4">
      <w:pPr>
        <w:ind w:firstLine="640" w:firstLineChars="200"/>
      </w:pPr>
      <w:r>
        <w:rPr>
          <w:rFonts w:hint="eastAsia" w:ascii="仿宋_GB2312" w:hAnsi="Calibri" w:eastAsia="仿宋_GB2312" w:cs="仿宋"/>
          <w:color w:val="000000"/>
          <w:kern w:val="0"/>
          <w:sz w:val="32"/>
          <w:szCs w:val="32"/>
        </w:rPr>
        <w:t>14、其他支出（类）其他支出（款）其他支出（项）：指除上述项目以外其他不能划分到具体功能科目中的支出项目。</w:t>
      </w:r>
    </w:p>
    <w:p w14:paraId="26175835">
      <w:pPr>
        <w:ind w:firstLine="640" w:firstLineChars="200"/>
        <w:rPr>
          <w:rFonts w:ascii="仿宋_GB2312" w:eastAsia="仿宋_GB2312"/>
          <w:color w:val="000000"/>
          <w:sz w:val="32"/>
          <w:szCs w:val="32"/>
        </w:rPr>
      </w:pPr>
      <w:r>
        <w:rPr>
          <w:rFonts w:hint="eastAsia" w:ascii="仿宋_GB2312" w:eastAsia="仿宋_GB2312"/>
          <w:color w:val="000000"/>
          <w:sz w:val="32"/>
          <w:szCs w:val="32"/>
        </w:rPr>
        <w:t>15.基本支出：指为保障机构正常运转、完成日常工作任务而发生的人员支出和公用支出。</w:t>
      </w:r>
    </w:p>
    <w:p w14:paraId="13DD785D">
      <w:pPr>
        <w:ind w:firstLine="640" w:firstLineChars="200"/>
        <w:rPr>
          <w:rFonts w:ascii="仿宋_GB2312" w:eastAsia="仿宋_GB2312"/>
          <w:color w:val="000000"/>
          <w:sz w:val="32"/>
          <w:szCs w:val="32"/>
        </w:rPr>
      </w:pPr>
      <w:r>
        <w:rPr>
          <w:rFonts w:hint="eastAsia" w:ascii="仿宋_GB2312" w:eastAsia="仿宋_GB2312"/>
          <w:color w:val="000000"/>
          <w:sz w:val="32"/>
          <w:szCs w:val="32"/>
        </w:rPr>
        <w:t xml:space="preserve">16.项目支出：指在基本支出之外为完成特定行政任务和事业发展目标所发生的支出。 </w:t>
      </w:r>
    </w:p>
    <w:p w14:paraId="319DF120">
      <w:pPr>
        <w:ind w:firstLine="640" w:firstLineChars="200"/>
        <w:rPr>
          <w:rFonts w:ascii="仿宋_GB2312" w:eastAsia="仿宋_GB2312"/>
          <w:color w:val="000000"/>
          <w:sz w:val="32"/>
          <w:szCs w:val="32"/>
        </w:rPr>
      </w:pPr>
      <w:r>
        <w:rPr>
          <w:rFonts w:hint="eastAsia" w:ascii="仿宋_GB2312" w:eastAsia="仿宋_GB2312"/>
          <w:color w:val="000000"/>
          <w:sz w:val="32"/>
          <w:szCs w:val="32"/>
        </w:rPr>
        <w:t>17.经营支出：指事业单位在专业业务活动及其辅助活动之外开展非独立核算经营活动发生的支出。</w:t>
      </w:r>
    </w:p>
    <w:p w14:paraId="64D64EDC">
      <w:pPr>
        <w:pStyle w:val="29"/>
        <w:spacing w:line="560" w:lineRule="exact"/>
        <w:ind w:firstLine="640" w:firstLineChars="200"/>
        <w:rPr>
          <w:rFonts w:ascii="仿宋_GB2312" w:eastAsia="仿宋_GB2312"/>
          <w:sz w:val="32"/>
          <w:szCs w:val="32"/>
        </w:rPr>
      </w:pPr>
      <w:r>
        <w:rPr>
          <w:rFonts w:hint="eastAsia" w:ascii="仿宋_GB2312" w:eastAsia="仿宋_GB2312"/>
          <w:sz w:val="32"/>
          <w:szCs w:val="32"/>
        </w:rPr>
        <w:t>18.“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F4072BE">
      <w:pPr>
        <w:pStyle w:val="29"/>
        <w:spacing w:line="560" w:lineRule="exact"/>
        <w:ind w:firstLine="640" w:firstLineChars="200"/>
        <w:rPr>
          <w:rFonts w:ascii="仿宋_GB2312" w:eastAsia="仿宋_GB2312"/>
          <w:sz w:val="32"/>
          <w:szCs w:val="32"/>
        </w:rPr>
      </w:pPr>
      <w:r>
        <w:rPr>
          <w:rFonts w:hint="eastAsia" w:ascii="仿宋_GB2312" w:eastAsia="仿宋_GB2312"/>
          <w:sz w:val="32"/>
          <w:szCs w:val="32"/>
        </w:rPr>
        <w:t>19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1D80BF6">
      <w:pPr>
        <w:spacing w:line="600" w:lineRule="exact"/>
        <w:jc w:val="center"/>
        <w:outlineLvl w:val="0"/>
        <w:rPr>
          <w:rStyle w:val="31"/>
          <w:rFonts w:ascii="黑体" w:hAnsi="黑体" w:eastAsia="黑体"/>
          <w:b w:val="0"/>
        </w:rPr>
      </w:pPr>
      <w:r>
        <w:rPr>
          <w:rFonts w:ascii="宋体"/>
          <w:b/>
          <w:sz w:val="44"/>
          <w:szCs w:val="44"/>
        </w:rPr>
        <w:br w:type="page"/>
      </w:r>
      <w:bookmarkStart w:id="112" w:name="_Toc2060_WPSOffice_Level1"/>
      <w:bookmarkStart w:id="113" w:name="_Toc15396614"/>
      <w:r>
        <w:rPr>
          <w:rFonts w:hint="eastAsia" w:ascii="黑体" w:hAnsi="黑体" w:eastAsia="黑体"/>
          <w:sz w:val="44"/>
          <w:szCs w:val="44"/>
        </w:rPr>
        <w:t>第</w:t>
      </w:r>
      <w:r>
        <w:rPr>
          <w:rStyle w:val="31"/>
          <w:rFonts w:hint="eastAsia" w:ascii="黑体" w:hAnsi="黑体" w:eastAsia="黑体"/>
          <w:b w:val="0"/>
        </w:rPr>
        <w:t>四部分 附件</w:t>
      </w:r>
      <w:bookmarkEnd w:id="112"/>
      <w:bookmarkEnd w:id="113"/>
    </w:p>
    <w:p w14:paraId="71F0E23C">
      <w:pPr>
        <w:spacing w:line="560" w:lineRule="exact"/>
        <w:jc w:val="center"/>
        <w:rPr>
          <w:rFonts w:ascii="方正小标宋_GBK" w:hAnsi="方正小标宋_GBK" w:eastAsia="方正小标宋_GBK" w:cs="方正小标宋_GBK"/>
          <w:sz w:val="36"/>
          <w:szCs w:val="36"/>
        </w:rPr>
      </w:pPr>
      <w:bookmarkStart w:id="114" w:name="_Toc8362_WPSOffice_Level2"/>
      <w:r>
        <w:rPr>
          <w:rFonts w:hint="eastAsia" w:ascii="方正小标宋_GBK" w:hAnsi="方正小标宋_GBK" w:eastAsia="方正小标宋_GBK" w:cs="方正小标宋_GBK"/>
          <w:sz w:val="36"/>
          <w:szCs w:val="36"/>
        </w:rPr>
        <w:t>盐边县司法局</w:t>
      </w:r>
      <w:bookmarkEnd w:id="114"/>
    </w:p>
    <w:p w14:paraId="0BFCFF3A">
      <w:pPr>
        <w:spacing w:line="560" w:lineRule="exact"/>
        <w:jc w:val="center"/>
        <w:rPr>
          <w:rFonts w:ascii="方正小标宋_GBK" w:hAnsi="方正小标宋_GBK" w:eastAsia="方正小标宋_GBK" w:cs="方正小标宋_GBK"/>
          <w:sz w:val="36"/>
          <w:szCs w:val="36"/>
        </w:rPr>
      </w:pPr>
      <w:bookmarkStart w:id="115" w:name="_Toc19036_WPSOffice_Level2"/>
      <w:r>
        <w:rPr>
          <w:rFonts w:hint="eastAsia" w:ascii="方正小标宋_GBK" w:hAnsi="方正小标宋_GBK" w:eastAsia="方正小标宋_GBK" w:cs="方正小标宋_GBK"/>
          <w:sz w:val="36"/>
          <w:szCs w:val="36"/>
        </w:rPr>
        <w:t>2021年部门整体支出绩效评价报告</w:t>
      </w:r>
      <w:bookmarkEnd w:id="115"/>
    </w:p>
    <w:p w14:paraId="1D0323DB">
      <w:pPr>
        <w:widowControl/>
        <w:adjustRightInd w:val="0"/>
        <w:snapToGrid w:val="0"/>
        <w:spacing w:line="560" w:lineRule="exact"/>
        <w:ind w:firstLine="640"/>
        <w:jc w:val="left"/>
        <w:rPr>
          <w:rFonts w:ascii="方正仿宋_GBK" w:hAnsi="宋体" w:eastAsia="方正仿宋_GBK" w:cs="宋体"/>
          <w:color w:val="000000"/>
          <w:sz w:val="32"/>
          <w:szCs w:val="32"/>
        </w:rPr>
      </w:pPr>
    </w:p>
    <w:p w14:paraId="1E68FD26">
      <w:pPr>
        <w:spacing w:line="560" w:lineRule="exact"/>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 xml:space="preserve"> 为牢固树立预算绩效理念，进一步规范财政资金管理，提高资金使用效益及部门预算整体绩效目标管理水平，按照《盐边县财政局关于开展2021年度部门预算整体及项目支出绩效自评工作的通知》（盐边财绩〔2022〕3号）要求，结合我局的实际情况，通过自查收入支出情况、账表一致情况，对相关资料进行收集整理、分析汇总，现将县司法局2021年预算整体绩效评价结果报告如下。</w:t>
      </w:r>
    </w:p>
    <w:p w14:paraId="3FA00F74">
      <w:pPr>
        <w:spacing w:line="560" w:lineRule="exact"/>
        <w:jc w:val="left"/>
        <w:rPr>
          <w:rFonts w:ascii="仿宋_GB2312" w:hAnsi="仿宋_GB2312" w:eastAsia="仿宋_GB2312" w:cs="仿宋_GB2312"/>
          <w:b/>
          <w:color w:val="000000"/>
          <w:sz w:val="32"/>
          <w:szCs w:val="32"/>
        </w:rPr>
      </w:pPr>
      <w:bookmarkStart w:id="116" w:name="_Toc14866_WPSOffice_Level2"/>
      <w:r>
        <w:rPr>
          <w:rFonts w:hint="eastAsia" w:ascii="仿宋_GB2312" w:hAnsi="仿宋_GB2312" w:eastAsia="仿宋_GB2312" w:cs="仿宋_GB2312"/>
          <w:b/>
          <w:color w:val="000000"/>
          <w:sz w:val="32"/>
          <w:szCs w:val="32"/>
        </w:rPr>
        <w:t>一、部门概况</w:t>
      </w:r>
      <w:bookmarkEnd w:id="116"/>
    </w:p>
    <w:p w14:paraId="21AB20C7">
      <w:pPr>
        <w:widowControl/>
        <w:adjustRightInd w:val="0"/>
        <w:snapToGrid w:val="0"/>
        <w:spacing w:line="560" w:lineRule="exact"/>
        <w:jc w:val="left"/>
        <w:rPr>
          <w:rFonts w:ascii="仿宋_GB2312" w:hAnsi="仿宋_GB2312" w:eastAsia="仿宋_GB2312" w:cs="仿宋_GB2312"/>
          <w:b/>
          <w:bCs/>
          <w:color w:val="000000"/>
          <w:kern w:val="0"/>
          <w:sz w:val="32"/>
          <w:szCs w:val="32"/>
          <w:shd w:val="clear" w:color="auto" w:fill="FFFFFF"/>
          <w:lang w:val="zh-CN"/>
        </w:rPr>
      </w:pPr>
      <w:r>
        <w:rPr>
          <w:rFonts w:hint="eastAsia" w:ascii="仿宋_GB2312" w:hAnsi="仿宋_GB2312" w:eastAsia="仿宋_GB2312" w:cs="仿宋_GB2312"/>
          <w:b/>
          <w:bCs/>
          <w:color w:val="000000"/>
          <w:kern w:val="0"/>
          <w:sz w:val="32"/>
          <w:szCs w:val="32"/>
          <w:shd w:val="clear" w:color="auto" w:fill="FFFFFF"/>
          <w:lang w:val="zh-CN"/>
        </w:rPr>
        <w:t>（</w:t>
      </w:r>
      <w:r>
        <w:rPr>
          <w:rFonts w:hint="eastAsia" w:ascii="仿宋_GB2312" w:hAnsi="仿宋_GB2312" w:eastAsia="仿宋_GB2312" w:cs="仿宋_GB2312"/>
          <w:b/>
          <w:bCs/>
          <w:sz w:val="32"/>
          <w:szCs w:val="32"/>
          <w:lang w:val="zh-CN"/>
        </w:rPr>
        <w:t>一</w:t>
      </w:r>
      <w:r>
        <w:rPr>
          <w:rFonts w:hint="eastAsia" w:ascii="仿宋_GB2312" w:hAnsi="仿宋_GB2312" w:eastAsia="仿宋_GB2312" w:cs="仿宋_GB2312"/>
          <w:b/>
          <w:bCs/>
          <w:color w:val="000000"/>
          <w:kern w:val="0"/>
          <w:sz w:val="32"/>
          <w:szCs w:val="32"/>
          <w:shd w:val="clear" w:color="auto" w:fill="FFFFFF"/>
          <w:lang w:val="zh-CN"/>
        </w:rPr>
        <w:t>）</w:t>
      </w:r>
      <w:r>
        <w:rPr>
          <w:rFonts w:hint="eastAsia" w:ascii="仿宋_GB2312" w:hAnsi="仿宋_GB2312" w:eastAsia="仿宋_GB2312" w:cs="仿宋_GB2312"/>
          <w:b/>
          <w:bCs/>
          <w:sz w:val="32"/>
          <w:szCs w:val="32"/>
          <w:lang w:val="zh-CN"/>
        </w:rPr>
        <w:t>机构组成。</w:t>
      </w:r>
    </w:p>
    <w:p w14:paraId="77048110">
      <w:pPr>
        <w:widowControl/>
        <w:adjustRightInd w:val="0"/>
        <w:snapToGrid w:val="0"/>
        <w:spacing w:line="580" w:lineRule="exact"/>
        <w:ind w:firstLine="640" w:firstLineChars="200"/>
        <w:jc w:val="left"/>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rPr>
        <w:t>盐边县司法局内设9个股室，分别为：办公室、普法与法治指导股、法制综合股、社区矫正管理股、人民参与和促进法治股、公共法律服务管理股、政治部、组织干部人事股、机关党总支；司法局设置12个司法所，作为县司法局的派出机构，分别为盐边县司法局桐子林司法所、盐边县司法局红格司法所、盐边县司法局渔门司法所、盐边县司法局新九司法所、盐边县司法局红果司法所、盐边县司法局共和司法所、盐边县司法局永兴司法所、盐边县司法局红宝司法所、盐边县司法局国胜司法所、盐边县司法局惠民司法所、盐边县司法局温泉司法所、盐边县司法局格萨拉司法所。</w:t>
      </w:r>
    </w:p>
    <w:p w14:paraId="04F03434">
      <w:pPr>
        <w:widowControl/>
        <w:adjustRightInd w:val="0"/>
        <w:snapToGrid w:val="0"/>
        <w:spacing w:line="560" w:lineRule="exact"/>
        <w:ind w:firstLine="640"/>
        <w:jc w:val="left"/>
        <w:rPr>
          <w:rFonts w:ascii="仿宋_GB2312" w:hAnsi="仿宋_GB2312" w:eastAsia="仿宋_GB2312" w:cs="仿宋_GB2312"/>
          <w:b/>
          <w:bCs/>
          <w:sz w:val="32"/>
          <w:szCs w:val="32"/>
          <w:lang w:val="zh-CN"/>
        </w:rPr>
      </w:pPr>
      <w:r>
        <w:rPr>
          <w:rFonts w:hint="eastAsia" w:ascii="仿宋_GB2312" w:hAnsi="仿宋_GB2312" w:eastAsia="仿宋_GB2312" w:cs="仿宋_GB2312"/>
          <w:b/>
          <w:bCs/>
          <w:color w:val="000000"/>
          <w:kern w:val="0"/>
          <w:sz w:val="32"/>
          <w:szCs w:val="32"/>
          <w:shd w:val="clear" w:color="auto" w:fill="FFFFFF"/>
          <w:lang w:val="zh-CN"/>
        </w:rPr>
        <w:t>（二）</w:t>
      </w:r>
      <w:r>
        <w:rPr>
          <w:rFonts w:hint="eastAsia" w:ascii="仿宋_GB2312" w:hAnsi="仿宋_GB2312" w:eastAsia="仿宋_GB2312" w:cs="仿宋_GB2312"/>
          <w:b/>
          <w:bCs/>
          <w:sz w:val="32"/>
          <w:szCs w:val="32"/>
          <w:lang w:val="zh-CN"/>
        </w:rPr>
        <w:t>机构职能。</w:t>
      </w:r>
    </w:p>
    <w:p w14:paraId="50193D84">
      <w:pPr>
        <w:pStyle w:val="16"/>
        <w:shd w:val="clear" w:color="auto" w:fill="FFFFFF"/>
        <w:spacing w:before="93" w:beforeAutospacing="0" w:after="0" w:afterAutospacing="0" w:line="560" w:lineRule="exact"/>
        <w:ind w:firstLine="672"/>
        <w:jc w:val="both"/>
        <w:rPr>
          <w:rFonts w:ascii="仿宋_GB2312" w:hAnsi="仿宋_GB2312" w:cs="仿宋_GB2312"/>
          <w:color w:val="333333"/>
          <w:sz w:val="32"/>
          <w:szCs w:val="32"/>
        </w:rPr>
      </w:pPr>
      <w:r>
        <w:rPr>
          <w:rFonts w:hint="eastAsia" w:ascii="仿宋_GB2312" w:hAnsi="仿宋_GB2312" w:cs="仿宋_GB2312"/>
          <w:color w:val="333333"/>
          <w:sz w:val="32"/>
          <w:szCs w:val="32"/>
        </w:rPr>
        <w:t>1、贯彻执行国家关于司法行政工作的方针、政策和法律、法规及规章，制定全县司法行政规范性文件和工作发展规划、工作计划并组织实施。</w:t>
      </w:r>
    </w:p>
    <w:p w14:paraId="6D7DAEE0">
      <w:pPr>
        <w:pStyle w:val="16"/>
        <w:shd w:val="clear" w:color="auto" w:fill="FFFFFF"/>
        <w:spacing w:before="93" w:beforeAutospacing="0" w:after="0" w:afterAutospacing="0" w:line="560" w:lineRule="exact"/>
        <w:ind w:firstLine="672"/>
        <w:jc w:val="both"/>
        <w:rPr>
          <w:rFonts w:ascii="仿宋_GB2312" w:hAnsi="仿宋_GB2312" w:cs="仿宋_GB2312"/>
          <w:color w:val="333333"/>
          <w:sz w:val="32"/>
          <w:szCs w:val="32"/>
        </w:rPr>
      </w:pPr>
      <w:r>
        <w:rPr>
          <w:rFonts w:hint="eastAsia" w:ascii="仿宋_GB2312" w:hAnsi="仿宋_GB2312" w:cs="仿宋_GB2312"/>
          <w:color w:val="333333"/>
          <w:sz w:val="32"/>
          <w:szCs w:val="32"/>
        </w:rPr>
        <w:t>2、拟定全县普及法律常识规划和法制宣传教育计划并组织实施，指导全县各行业的法制宣传和依法治理工作。</w:t>
      </w:r>
    </w:p>
    <w:p w14:paraId="79A4D3CB">
      <w:pPr>
        <w:pStyle w:val="16"/>
        <w:shd w:val="clear" w:color="auto" w:fill="FFFFFF"/>
        <w:spacing w:before="0" w:beforeAutospacing="0" w:after="0" w:afterAutospacing="0" w:line="560" w:lineRule="exact"/>
        <w:ind w:firstLine="672"/>
        <w:jc w:val="both"/>
        <w:rPr>
          <w:rFonts w:ascii="仿宋_GB2312" w:hAnsi="仿宋_GB2312" w:cs="仿宋_GB2312"/>
          <w:color w:val="333333"/>
          <w:sz w:val="32"/>
          <w:szCs w:val="32"/>
        </w:rPr>
      </w:pPr>
      <w:r>
        <w:rPr>
          <w:rFonts w:hint="eastAsia" w:ascii="仿宋_GB2312" w:hAnsi="仿宋_GB2312" w:cs="仿宋_GB2312"/>
          <w:color w:val="333333"/>
          <w:sz w:val="32"/>
          <w:szCs w:val="32"/>
        </w:rPr>
        <w:t>3、负责指导、管理和监督全县律师工作、公证工作、基层法律服务工作，负责行政处罚工作。</w:t>
      </w:r>
    </w:p>
    <w:p w14:paraId="3F45EA04">
      <w:pPr>
        <w:pStyle w:val="16"/>
        <w:shd w:val="clear" w:color="auto" w:fill="FFFFFF"/>
        <w:spacing w:before="0" w:beforeAutospacing="0" w:after="0" w:afterAutospacing="0" w:line="560" w:lineRule="exact"/>
        <w:ind w:firstLine="672"/>
        <w:jc w:val="both"/>
        <w:rPr>
          <w:rFonts w:ascii="仿宋_GB2312" w:hAnsi="仿宋_GB2312" w:cs="仿宋_GB2312"/>
          <w:color w:val="333333"/>
          <w:sz w:val="32"/>
          <w:szCs w:val="32"/>
        </w:rPr>
      </w:pPr>
      <w:r>
        <w:rPr>
          <w:rFonts w:hint="eastAsia" w:ascii="仿宋_GB2312" w:hAnsi="仿宋_GB2312" w:cs="仿宋_GB2312"/>
          <w:color w:val="333333"/>
          <w:sz w:val="32"/>
          <w:szCs w:val="32"/>
        </w:rPr>
        <w:t>4、组织实施法律援助工作。</w:t>
      </w:r>
    </w:p>
    <w:p w14:paraId="46B312E6">
      <w:pPr>
        <w:pStyle w:val="16"/>
        <w:shd w:val="clear" w:color="auto" w:fill="FFFFFF"/>
        <w:spacing w:before="0" w:beforeAutospacing="0" w:after="0" w:afterAutospacing="0" w:line="560" w:lineRule="exact"/>
        <w:ind w:firstLine="672"/>
        <w:jc w:val="both"/>
        <w:rPr>
          <w:rFonts w:ascii="仿宋_GB2312" w:hAnsi="仿宋_GB2312" w:cs="仿宋_GB2312"/>
          <w:color w:val="333333"/>
          <w:sz w:val="32"/>
          <w:szCs w:val="32"/>
        </w:rPr>
      </w:pPr>
      <w:r>
        <w:rPr>
          <w:rFonts w:hint="eastAsia" w:ascii="仿宋_GB2312" w:hAnsi="仿宋_GB2312" w:cs="仿宋_GB2312"/>
          <w:color w:val="333333"/>
          <w:sz w:val="32"/>
          <w:szCs w:val="32"/>
        </w:rPr>
        <w:t>5、指导全县人民调解工作和基层司法所工作。</w:t>
      </w:r>
    </w:p>
    <w:p w14:paraId="391DB817">
      <w:pPr>
        <w:pStyle w:val="16"/>
        <w:shd w:val="clear" w:color="auto" w:fill="FFFFFF"/>
        <w:spacing w:before="0" w:beforeAutospacing="0" w:after="0" w:afterAutospacing="0" w:line="560" w:lineRule="exact"/>
        <w:ind w:firstLine="672"/>
        <w:jc w:val="both"/>
        <w:rPr>
          <w:rFonts w:ascii="仿宋_GB2312" w:hAnsi="仿宋_GB2312" w:cs="仿宋_GB2312"/>
          <w:color w:val="333333"/>
          <w:sz w:val="32"/>
          <w:szCs w:val="32"/>
        </w:rPr>
      </w:pPr>
      <w:r>
        <w:rPr>
          <w:rFonts w:hint="eastAsia" w:ascii="仿宋_GB2312" w:hAnsi="仿宋_GB2312" w:cs="仿宋_GB2312"/>
          <w:color w:val="333333"/>
          <w:sz w:val="32"/>
          <w:szCs w:val="32"/>
        </w:rPr>
        <w:t>6、组织开展对非监禁刑罚执行对象的社区矫正工作；协助当地政府做好刑释解教人员的安置帮教工作。</w:t>
      </w:r>
    </w:p>
    <w:p w14:paraId="33BF4C9F">
      <w:pPr>
        <w:pStyle w:val="16"/>
        <w:shd w:val="clear" w:color="auto" w:fill="FFFFFF"/>
        <w:spacing w:before="0" w:beforeAutospacing="0" w:after="0" w:afterAutospacing="0" w:line="560" w:lineRule="exact"/>
        <w:ind w:firstLine="672"/>
        <w:jc w:val="both"/>
        <w:rPr>
          <w:rFonts w:ascii="仿宋_GB2312" w:hAnsi="仿宋_GB2312" w:cs="仿宋_GB2312"/>
          <w:color w:val="333333"/>
          <w:sz w:val="32"/>
          <w:szCs w:val="32"/>
        </w:rPr>
      </w:pPr>
      <w:r>
        <w:rPr>
          <w:rFonts w:hint="eastAsia" w:ascii="仿宋_GB2312" w:hAnsi="仿宋_GB2312" w:cs="仿宋_GB2312"/>
          <w:color w:val="333333"/>
          <w:sz w:val="32"/>
          <w:szCs w:val="32"/>
        </w:rPr>
        <w:t>7、组织开展全县司法行政系统队伍建设和思想政治工作。</w:t>
      </w:r>
    </w:p>
    <w:p w14:paraId="199E3C8F">
      <w:pPr>
        <w:pStyle w:val="16"/>
        <w:shd w:val="clear" w:color="auto" w:fill="FFFFFF"/>
        <w:spacing w:before="0" w:beforeAutospacing="0" w:after="0" w:afterAutospacing="0" w:line="560" w:lineRule="exact"/>
        <w:ind w:firstLine="672"/>
        <w:jc w:val="both"/>
        <w:rPr>
          <w:rFonts w:ascii="仿宋_GB2312" w:hAnsi="仿宋_GB2312" w:cs="仿宋_GB2312"/>
          <w:bCs/>
          <w:sz w:val="32"/>
          <w:szCs w:val="32"/>
          <w:u w:val="single"/>
        </w:rPr>
      </w:pPr>
      <w:r>
        <w:rPr>
          <w:rFonts w:hint="eastAsia" w:ascii="仿宋_GB2312" w:hAnsi="仿宋_GB2312" w:cs="仿宋_GB2312"/>
          <w:color w:val="333333"/>
          <w:sz w:val="32"/>
          <w:szCs w:val="32"/>
        </w:rPr>
        <w:t>8、承办县政府交办的其他事项。</w:t>
      </w:r>
    </w:p>
    <w:p w14:paraId="43390393">
      <w:pPr>
        <w:widowControl/>
        <w:adjustRightInd w:val="0"/>
        <w:snapToGrid w:val="0"/>
        <w:spacing w:line="560" w:lineRule="exact"/>
        <w:ind w:firstLine="640"/>
        <w:jc w:val="left"/>
        <w:rPr>
          <w:rFonts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（三）人员概况。</w:t>
      </w:r>
    </w:p>
    <w:p w14:paraId="5AC05918">
      <w:pPr>
        <w:pStyle w:val="7"/>
        <w:spacing w:line="560" w:lineRule="exact"/>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2021年末在职人员38人，其中行政在编人员34人，参照公务员管理人员4人。退休人员12人。</w:t>
      </w:r>
    </w:p>
    <w:p w14:paraId="4DEA94E8">
      <w:pPr>
        <w:pStyle w:val="10"/>
        <w:numPr>
          <w:ilvl w:val="0"/>
          <w:numId w:val="4"/>
        </w:numPr>
        <w:spacing w:line="560" w:lineRule="exact"/>
        <w:ind w:firstLine="643" w:firstLineChars="200"/>
        <w:jc w:val="left"/>
        <w:rPr>
          <w:rFonts w:ascii="仿宋_GB2312" w:hAnsi="仿宋_GB2312" w:eastAsia="仿宋_GB2312" w:cs="仿宋_GB2312"/>
          <w:sz w:val="32"/>
          <w:szCs w:val="32"/>
        </w:rPr>
      </w:pPr>
      <w:bookmarkStart w:id="117" w:name="_Toc20986_WPSOffice_Level2"/>
      <w:r>
        <w:rPr>
          <w:rFonts w:hint="eastAsia" w:ascii="仿宋_GB2312" w:hAnsi="仿宋_GB2312" w:eastAsia="仿宋_GB2312" w:cs="仿宋_GB2312"/>
          <w:b/>
          <w:color w:val="000000"/>
          <w:sz w:val="32"/>
          <w:szCs w:val="32"/>
        </w:rPr>
        <w:t>部门财政资金基本情况</w:t>
      </w:r>
      <w:bookmarkEnd w:id="117"/>
    </w:p>
    <w:p w14:paraId="6ABA4CA3">
      <w:pPr>
        <w:pStyle w:val="10"/>
        <w:spacing w:line="560" w:lineRule="exact"/>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（一）部门财政资金收入情况</w:t>
      </w:r>
    </w:p>
    <w:p w14:paraId="3BCAD77F">
      <w:pPr>
        <w:pStyle w:val="10"/>
        <w:spacing w:line="560" w:lineRule="exact"/>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 xml:space="preserve"> 2021年年初部门预算安排收入为742.45万元。当年调增及调减后实际预算下达收入1070.13万元</w:t>
      </w:r>
      <w:r>
        <w:rPr>
          <w:rFonts w:hint="eastAsia" w:ascii="仿宋_GB2312" w:hAnsi="仿宋_GB2312" w:eastAsia="仿宋_GB2312" w:cs="仿宋_GB2312"/>
          <w:color w:val="000000"/>
          <w:sz w:val="32"/>
          <w:szCs w:val="32"/>
        </w:rPr>
        <w:t>。</w:t>
      </w:r>
    </w:p>
    <w:p w14:paraId="04F54B2B">
      <w:pPr>
        <w:pStyle w:val="10"/>
        <w:spacing w:line="560" w:lineRule="exact"/>
        <w:ind w:firstLine="643"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（二）</w:t>
      </w:r>
      <w:r>
        <w:rPr>
          <w:rFonts w:hint="eastAsia" w:ascii="仿宋_GB2312" w:hAnsi="仿宋_GB2312" w:eastAsia="仿宋_GB2312" w:cs="仿宋_GB2312"/>
          <w:b/>
          <w:bCs/>
          <w:sz w:val="32"/>
          <w:szCs w:val="32"/>
        </w:rPr>
        <w:t>部门财政资金</w:t>
      </w:r>
      <w:r>
        <w:rPr>
          <w:rFonts w:hint="eastAsia" w:ascii="仿宋_GB2312" w:hAnsi="仿宋_GB2312" w:eastAsia="仿宋_GB2312" w:cs="仿宋_GB2312"/>
          <w:b/>
          <w:bCs/>
          <w:color w:val="000000"/>
          <w:sz w:val="32"/>
          <w:szCs w:val="32"/>
        </w:rPr>
        <w:t>支出情况</w:t>
      </w:r>
    </w:p>
    <w:p w14:paraId="4AAEAD48">
      <w:pPr>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1.部门预算基本支出情况</w:t>
      </w:r>
    </w:p>
    <w:p w14:paraId="7EA4A8F5">
      <w:pPr>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2021年年初部门预算安排基本支出为681.87万元。其中：工资福利支出587.49万元，日常公用支出94.38万元。当年调增及调减后实际预算下达基本支出912.83万元。</w:t>
      </w:r>
    </w:p>
    <w:p w14:paraId="5650C62E">
      <w:pPr>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基本支出中的工资福利、对个人和家庭补助支出主要用于职工基本工资、绩效工资、津贴补贴、养老保险等各类保险缴费、在职及退休人员目标奖奖金、住房公积金等。日常公用支出主要用于办公费、水电费、邮电费、差旅费、工会经费、其他交通费等方面。</w:t>
      </w:r>
    </w:p>
    <w:p w14:paraId="072BA8B4">
      <w:pPr>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2.部门预算项目安排及支出情况。</w:t>
      </w:r>
    </w:p>
    <w:p w14:paraId="106FF948">
      <w:pPr>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2021年年初部门预算安排项目支出为60.57万元；2021年调增及调减后实际预算下达项目支出210.05万元。</w:t>
      </w:r>
    </w:p>
    <w:p w14:paraId="2B0FC938">
      <w:pPr>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项目支出主要用于法律援助、社区矫正、人民调解等方面支出。</w:t>
      </w:r>
    </w:p>
    <w:p w14:paraId="73FD03A7">
      <w:pPr>
        <w:pStyle w:val="10"/>
        <w:numPr>
          <w:ilvl w:val="0"/>
          <w:numId w:val="5"/>
        </w:num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zh-CN"/>
        </w:rPr>
        <w:t>结转结余情况</w:t>
      </w:r>
    </w:p>
    <w:p w14:paraId="0ADC3896">
      <w:pPr>
        <w:pStyle w:val="10"/>
        <w:spacing w:line="560" w:lineRule="exact"/>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无结转结余。</w:t>
      </w:r>
    </w:p>
    <w:p w14:paraId="17810F61">
      <w:pPr>
        <w:pStyle w:val="10"/>
        <w:spacing w:line="560" w:lineRule="exact"/>
        <w:jc w:val="left"/>
        <w:rPr>
          <w:rFonts w:ascii="仿宋_GB2312" w:hAnsi="仿宋_GB2312" w:eastAsia="仿宋_GB2312" w:cs="仿宋_GB2312"/>
          <w:b/>
          <w:color w:val="000000"/>
          <w:sz w:val="32"/>
          <w:szCs w:val="32"/>
        </w:rPr>
      </w:pPr>
      <w:bookmarkStart w:id="118" w:name="_Toc3284_WPSOffice_Level2"/>
      <w:r>
        <w:rPr>
          <w:rFonts w:hint="eastAsia" w:ascii="仿宋_GB2312" w:hAnsi="仿宋_GB2312" w:eastAsia="仿宋_GB2312" w:cs="仿宋_GB2312"/>
          <w:sz w:val="32"/>
          <w:szCs w:val="32"/>
        </w:rPr>
        <w:t>三</w:t>
      </w:r>
      <w:r>
        <w:rPr>
          <w:rFonts w:hint="eastAsia" w:ascii="仿宋_GB2312" w:hAnsi="仿宋_GB2312" w:eastAsia="仿宋_GB2312" w:cs="仿宋_GB2312"/>
          <w:b/>
          <w:color w:val="000000"/>
          <w:sz w:val="32"/>
          <w:szCs w:val="32"/>
        </w:rPr>
        <w:t>、部门预算绩效管理情况</w:t>
      </w:r>
      <w:bookmarkEnd w:id="118"/>
    </w:p>
    <w:p w14:paraId="6EDC4155">
      <w:pPr>
        <w:numPr>
          <w:ilvl w:val="0"/>
          <w:numId w:val="6"/>
        </w:num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部门预算绩效管理。</w:t>
      </w:r>
    </w:p>
    <w:p w14:paraId="2B6AAF73">
      <w:pPr>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 xml:space="preserve"> 1.绩效目标制定</w:t>
      </w:r>
    </w:p>
    <w:p w14:paraId="26CA226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盐边县司法局坚持以习近平新时代中国特色社会主义思想为指导，立足司法行政职能和盐边工作实际，围绕县委县政府中心工作，切实维护社会和谐稳定，保障和改善民生，促进经济健康发展，维护社会公平正义。</w:t>
      </w:r>
    </w:p>
    <w:p w14:paraId="6709EBF8">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shd w:val="clear" w:color="auto" w:fill="FFFFFF"/>
        </w:rPr>
        <w:t>绩效目标执行情况</w:t>
      </w:r>
    </w:p>
    <w:p w14:paraId="76AD7CB8">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盐边县司法局2021年度全年资金拨付和使用均按计划进度完成，在资金的使用上，严守法律底线、纪律底线，无违反财务管理、财经纪律情况发生，会计核算真实完整，项 目资金支出和原定用途、预算批复用途相符，财政资金使用效率进一步提高。在资金的管理方面，进一步强化资金统筹，优化资金结构，明确开支范围，细化资金用途，确保各项工作的顺利开展和财政资金的有效使用。</w:t>
      </w:r>
    </w:p>
    <w:p w14:paraId="2625F346">
      <w:pPr>
        <w:snapToGrid w:val="0"/>
        <w:spacing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（1）人员类</w:t>
      </w:r>
    </w:p>
    <w:p w14:paraId="11F0D6C3">
      <w:pPr>
        <w:snapToGrid w:val="0"/>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2021年度人员经费支出821.05万元，主要用于职工工资及福利待遇支出，未将人员工资福利支出等大平台指标挪作他用，基本支出保障有力，确保全年平稳保障职工工资支出，维持基本行政运转，预算执行率100%。</w:t>
      </w:r>
    </w:p>
    <w:p w14:paraId="7596E21A">
      <w:pPr>
        <w:snapToGrid w:val="0"/>
        <w:spacing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（2）运转类</w:t>
      </w:r>
    </w:p>
    <w:p w14:paraId="11354FEA">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2021年度公用经费支出91.78万元，主要用于办公费、印刷费、水电费、差旅费、维修（护）费等日常公用经费，严格按照资金用途申报、使用资金，均已足额按时支付，有力保障了各项工作的顺利开展。预算执行率100%。</w:t>
      </w:r>
    </w:p>
    <w:p w14:paraId="79A591E9">
      <w:pPr>
        <w:widowControl/>
        <w:adjustRightInd w:val="0"/>
        <w:snapToGrid w:val="0"/>
        <w:spacing w:line="560" w:lineRule="exact"/>
        <w:ind w:firstLine="643" w:firstLineChars="200"/>
        <w:contextualSpacing/>
        <w:jc w:val="left"/>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（3）特定目标类</w:t>
      </w:r>
    </w:p>
    <w:p w14:paraId="48F03EE3">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2021年项目支出210.05万元，有效保障了司法开展法律援助、人民调解、社区矫正等办案业务工作正常运行。预算执行率100%。</w:t>
      </w:r>
    </w:p>
    <w:p w14:paraId="04CD37F9">
      <w:pPr>
        <w:numPr>
          <w:ilvl w:val="0"/>
          <w:numId w:val="7"/>
        </w:num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绩效目标完成情况</w:t>
      </w:r>
    </w:p>
    <w:p w14:paraId="10E7C4BD">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（一）聚焦主业，全面依法治县统筹推进</w:t>
      </w:r>
    </w:p>
    <w:p w14:paraId="55C19BB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2021年，依法治县办坚持以习近平新时代中国特色社会主义思想为指导，深入学习贯彻习近平法治思想，持续加强统筹协调，印发了《中共盐边县委全面依法治县委员会2021年工作要点》及任务清单，确定了6个方面20项重点工作97项具体任务，深入推进全面依法治县各项工作，不断促进党委依法执政、科学民主依法立法、政府依法行政、司法公正高效、社会有效治理。聚焦解决基层法治领域突出问题，努力抓好全面依法治县示范试点暨示范推动解决法治建设八个具体问题相关工作，主动作为，在全市率先制定并印发《盐边县行政裁决示范建设试点工作方案》，起草《盐边县行政裁决程序规定》。积极组织全县各部门、乡（镇）参加攀枝花市 2021 年度法治实践课题研究工作，向市委依法治市办报送并被采用法治实践课题3篇。    </w:t>
      </w:r>
    </w:p>
    <w:p w14:paraId="380502E6">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（二）聚焦主旨，法治政府建设全面提速</w:t>
      </w:r>
    </w:p>
    <w:p w14:paraId="182792A8">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1.健全依法决策机制，加大合法性审查力度。</w:t>
      </w:r>
      <w:r>
        <w:rPr>
          <w:rFonts w:hint="eastAsia" w:ascii="仿宋_GB2312" w:hAnsi="仿宋_GB2312" w:eastAsia="仿宋_GB2312" w:cs="仿宋_GB2312"/>
          <w:sz w:val="32"/>
          <w:szCs w:val="32"/>
        </w:rPr>
        <w:t>坚持重大行政决策必经合法性审查，未经合法性审查或经审查不合法的，不提交决策机关讨论。作出合法性审查66件（其中：重大合同31件，重大决策35件）；审查行政规范性文件1件，备案行政规范性文件1件；备案重大行政处罚案件14件。</w:t>
      </w:r>
    </w:p>
    <w:p w14:paraId="171743EA">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2.加强执法规范化建设，提升依法行政水平。</w:t>
      </w:r>
      <w:r>
        <w:rPr>
          <w:rFonts w:hint="eastAsia" w:ascii="仿宋_GB2312" w:hAnsi="仿宋_GB2312" w:eastAsia="仿宋_GB2312" w:cs="仿宋_GB2312"/>
          <w:sz w:val="32"/>
          <w:szCs w:val="32"/>
        </w:rPr>
        <w:t xml:space="preserve">印发《关于纵深推进行政执法“三项制度”的通知》等文件，将全面落实“三项制度”纳入2021年度法治政府建设重点工作安排。深入推进行政执法标准化建设，大力推广使用《攀枝花市行政执法标准化体系汇编》，开展盐边县行政裁决试点工作。开展行政执法人员大学习大练兵大比武活动，组织31家行政执法单位487人进行线上线下测试，开展2021年度盐边县行政执法证件申领、报名、换证工作，组织全县31个行政执法单位487人进行大学习活动，并对其中307名拟申领或换证人员参加行政执法人员资格认证考试，合格率100％。按照“谁起草、谁清理”“谁实施、谁清理”“应取尽取”的原则，积极开展全县证明事项告知承诺制的清理工作，全县保留证明事项54项。  </w:t>
      </w:r>
    </w:p>
    <w:p w14:paraId="033CB80C">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3.提升行政复议质效，有效提升政府公信力。</w:t>
      </w:r>
      <w:r>
        <w:rPr>
          <w:rFonts w:hint="eastAsia" w:ascii="仿宋_GB2312" w:hAnsi="仿宋_GB2312" w:eastAsia="仿宋_GB2312" w:cs="仿宋_GB2312"/>
          <w:sz w:val="32"/>
          <w:szCs w:val="32"/>
        </w:rPr>
        <w:t>积极推进行政复议与应诉工作平台建设试点工作，切实做好案件录入工作。2021年截至目前，受（审）理行政复议案件22件，驳回申请人行政复议申请2件，维持7件，撤销3件，不予受理7件，审理中1件；办理行政诉讼案件26件（含二审），驳回上诉维持原判（原裁定）4件，驳回原告诉讼请求1件，驳回原告起诉2件，发回重审1件，审理中18件。及时协调我县行政负责人出庭应诉，出庭应诉率100%；组织29家部门40余人参加案件庭审观摩2次。</w:t>
      </w:r>
    </w:p>
    <w:p w14:paraId="0304AE40">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（三）聚焦主责，服务中心工作精准有力</w:t>
      </w:r>
    </w:p>
    <w:p w14:paraId="067BFCFF">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1.深化法治宣传教育。</w:t>
      </w:r>
      <w:r>
        <w:rPr>
          <w:rFonts w:hint="eastAsia" w:ascii="仿宋_GB2312" w:hAnsi="仿宋_GB2312" w:eastAsia="仿宋_GB2312" w:cs="仿宋_GB2312"/>
          <w:sz w:val="32"/>
          <w:szCs w:val="32"/>
        </w:rPr>
        <w:t>依托各类法律服务平台，深入推进“法律七进”活动，全县38名普法讲师团成员纷纷入驻平台、深入现场，与服务对象进行面对面交流。建立联席会议制度，通过各类法宣阵地推进以案释法，深入落实“谁执法谁普法”责任制。全面落实“一月一主题”法治宣传活动，采取摆摊设点的“地摊式”普法，在广场、菜市场等人流量较多的地方，开展“三下乡”、“美好生活.民法典相伴”“12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4”国家宪法日等十多项主题活动法治宣传，在全县营造了良好法治环境。开展关爱青少年健康行动法治讲堂8场次，增强青少年法治观念教育活动16次；开展“法律七进”集中宣传活动23场次，进机关5次、进学校13次、进社区20次、进乡村40次、进寺庙1次、进企业1次、进单位3次，解答群众咨询206余件；法律进学校”共举行法治宣传教育活动89次（法治副校长举办法治教育讲座56次，青少年走进青少年法治教育基地7次，开展模拟法庭6次）；进入10个重点村（社区）开展“民法典走进乡村（社区）”“三个一百”主题宣讲活动”。共发放普法宣传材料30000余份、民法典年历、法治围裙、法治环保袋等法治宣传用品10000余份。</w:t>
      </w:r>
    </w:p>
    <w:p w14:paraId="574C06AA">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2.优化法律援助服务。</w:t>
      </w:r>
      <w:r>
        <w:rPr>
          <w:rFonts w:hint="eastAsia" w:ascii="仿宋_GB2312" w:hAnsi="仿宋_GB2312" w:eastAsia="仿宋_GB2312" w:cs="仿宋_GB2312"/>
          <w:sz w:val="32"/>
          <w:szCs w:val="32"/>
        </w:rPr>
        <w:t>简化法律援助受案程序，对集体案件实行优先受理、优先审批、优先指派，对情况紧急的群众申请事项先行提供法律援助。重点关注农民工欠薪、妇女儿童受家暴、中小学生欺凌等特殊群体的法律服务需求，开展“法援惠民生，关爱特殊群体”活动。目前，县法律援助中心共接待来访来电咨询1720件、1760人次，办理法律援助案件263件（其中，涉及农民工讨薪案件39件，为农民工追讨欠薪113万余元；妇女儿童案件17件；未成年人案件38件；处理涉及130余人的群体性案件2件；成功化解一起上访纠纷）。</w:t>
      </w:r>
    </w:p>
    <w:p w14:paraId="700B7C3F">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3.完善多层次多领域公共法律服务。</w:t>
      </w:r>
      <w:r>
        <w:rPr>
          <w:rFonts w:hint="eastAsia" w:ascii="仿宋_GB2312" w:hAnsi="仿宋_GB2312" w:eastAsia="仿宋_GB2312" w:cs="仿宋_GB2312"/>
          <w:sz w:val="32"/>
          <w:szCs w:val="32"/>
        </w:rPr>
        <w:t>以县级公共法律服务中心为中心、12个乡（镇）公共法律服务站为依托、88个村（社区）公共法律服务工作室为支点的公共法律服务网络已具规模，88个村（社区）法律顾问实现全覆盖。组织律师、基层法律服务工作者深入企业开展“法治体检”工作，解答企业生产、经营中面临的法律问题和困难，制定个性化“体检报告”，对症下药开出“法律良方”，帮助企业提升防范法律风险能力。村（社区）法律顾问走村入社区81次，咨询714人次（含电话咨询），与村（社区）建立微信联络群53个，张贴农村法治宣传稿30份，为村民免费代书51件、开展普法讲座21场次，共发放宣传资料2600余份，审查合同24份，办理涉村（社区）案件13件（含调解）。律师、基层法律服务工作者已为33家企业提供法治体检，解决企业问题和困难17件，收集企业提出的营造法治化营商环境等建议4条，审查劳动合同32份，开展法治宣讲9次，发放宣传资料305份。</w:t>
      </w:r>
    </w:p>
    <w:p w14:paraId="1B4720CD">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4.做好便捷公证服务。</w:t>
      </w:r>
      <w:r>
        <w:rPr>
          <w:rFonts w:hint="eastAsia" w:ascii="仿宋_GB2312" w:hAnsi="仿宋_GB2312" w:eastAsia="仿宋_GB2312" w:cs="仿宋_GB2312"/>
          <w:sz w:val="32"/>
          <w:szCs w:val="32"/>
        </w:rPr>
        <w:t>开通便民“绿色通道”，提供“反向跑”办证服务，对行动不便的老年人、残疾人、伤病患等特殊人群及有实际困难的群众，提供预约安排、上门服务。县公证处从8月份正常开展办证业务以来，办理各类公证43件，解答群众法律咨询598人次，修改法律文书182份。</w:t>
      </w:r>
    </w:p>
    <w:p w14:paraId="6052EF39">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（四）聚焦主线，维护社会稳定勇担使命</w:t>
      </w:r>
    </w:p>
    <w:p w14:paraId="6FCC7F2F">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1.做强矛盾纠纷化解。</w:t>
      </w:r>
      <w:r>
        <w:rPr>
          <w:rFonts w:hint="eastAsia" w:ascii="仿宋_GB2312" w:hAnsi="仿宋_GB2312" w:eastAsia="仿宋_GB2312" w:cs="仿宋_GB2312"/>
          <w:sz w:val="32"/>
          <w:szCs w:val="32"/>
        </w:rPr>
        <w:t>切实做好村级建制改革期间人民调解组织建设工作，形成过渡期人民调解委员会124个，人民调解员685名；遵法评理会88个，遵法评理员505名。专业调委会调解纠纷491件、乡镇(村、社区)调委会调解案件总数939件，司法所及时参与矛盾纠纷调解及信访维稳工作，开展矛盾纠纷排查84次，参与并成功调解矛盾纠纷166件。组织人民调解员培训20余次，参加人数达到1300人以上。</w:t>
      </w:r>
    </w:p>
    <w:p w14:paraId="1EA79175">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2.做严“两类”人员管控。</w:t>
      </w:r>
      <w:r>
        <w:rPr>
          <w:rFonts w:hint="eastAsia" w:ascii="仿宋_GB2312" w:hAnsi="仿宋_GB2312" w:eastAsia="仿宋_GB2312" w:cs="仿宋_GB2312"/>
          <w:sz w:val="32"/>
          <w:szCs w:val="32"/>
        </w:rPr>
        <w:t>完善出台《盐边县司法局社区矫正工作月督查制度》、《盐边县司法局“两类人员”救助制度》等制度，在实践中不断加强社区矫正工作机制建设。严格开展刑罚执行工作，规范做好接收宣告、管理教育、考核奖惩、解除终止等环节，把好“入矫关”。投入资金改造远程视频会见系统，推动亲情帮扶。2021年，全县接收社区矫正对象109名，解除矫正107名，撤销缓刑3人，训戒14人（次），警告处分8人（次），开展社会调查评估57件，现有在矫人员133人，走访社区矫正对象近700人（次），为困难社区矫正对象捐款1200元，为困难社区矫正对象未成年子女发放文具、书包等物品88件。共接收监狱刑满释放人员102人，社区矫正解除107人，走访安置帮教对象300余人次，为2名重点帮教对象协调解决住房及推荐就业，安置率达到100%，帮教率100%。远程探视预约274次，会见186场次420人次。</w:t>
      </w:r>
    </w:p>
    <w:p w14:paraId="42BC17EB">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3.深入开展扫黑除恶工作。</w:t>
      </w:r>
      <w:r>
        <w:rPr>
          <w:rFonts w:hint="eastAsia" w:ascii="仿宋_GB2312" w:hAnsi="仿宋_GB2312" w:eastAsia="仿宋_GB2312" w:cs="仿宋_GB2312"/>
          <w:sz w:val="32"/>
          <w:szCs w:val="32"/>
        </w:rPr>
        <w:t>加强扫黑除恶工作法治宣传，推送普法信息、制作固定专项宣传栏、编印发放宣传资料。强化对“两类人员”的思想教育和心理疏导工作，积极参与“坦检”活动。加强对律师办理扫黑除恶案件辩护代理工作的监督指导，规范律师办理黑恶势力犯罪案件执业行为。共开展专项排查84次，开展教育学习1500余人次，个别谈话1300余人次，扫黑除恶坦检活动，社区服刑人员检举线索0条。</w:t>
      </w:r>
    </w:p>
    <w:p w14:paraId="1B1AD50C">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（五）聚焦主题，队伍教育整顿走深走实</w:t>
      </w:r>
    </w:p>
    <w:p w14:paraId="274ABB2D">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1.强化组织领导，压实主体责任。</w:t>
      </w:r>
      <w:r>
        <w:rPr>
          <w:rFonts w:hint="eastAsia" w:ascii="仿宋_GB2312" w:hAnsi="仿宋_GB2312" w:eastAsia="仿宋_GB2312" w:cs="仿宋_GB2312"/>
          <w:sz w:val="32"/>
          <w:szCs w:val="32"/>
        </w:rPr>
        <w:t>队伍教育整顿以来先后召开局党组会议10次，领导小组及办公室会议10次，制定13项工作方案，谋划部署教育整顿工作。</w:t>
      </w:r>
    </w:p>
    <w:p w14:paraId="511731C8">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2.学习教育“走心”，筑牢思想根基。</w:t>
      </w:r>
      <w:r>
        <w:rPr>
          <w:rFonts w:hint="eastAsia" w:ascii="仿宋_GB2312" w:hAnsi="仿宋_GB2312" w:eastAsia="仿宋_GB2312" w:cs="仿宋_GB2312"/>
          <w:sz w:val="32"/>
          <w:szCs w:val="32"/>
        </w:rPr>
        <w:t>学习教育环节，发放各类学习资料、学习记录本400余份，安排40个专题学习，参加市委政法委政法大讲堂视频学习6次，参加市委书记、县委书记讲党课2次，组织参加省司法厅、市司法局视频专题教育4次；全局干警共撰写“四项教育”、训词精神等学习心得体会320篇，开展学习讨论交流会5次、27名干警交流学习心得体会；组织四项教育知识网络测试，参加率100%，合格率100%。</w:t>
      </w:r>
    </w:p>
    <w:p w14:paraId="7F829BDB">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3.党史教育不断深化。</w:t>
      </w:r>
      <w:r>
        <w:rPr>
          <w:rFonts w:hint="eastAsia" w:ascii="仿宋_GB2312" w:hAnsi="仿宋_GB2312" w:eastAsia="仿宋_GB2312" w:cs="仿宋_GB2312"/>
          <w:sz w:val="32"/>
          <w:szCs w:val="32"/>
        </w:rPr>
        <w:t>以党组理论</w:t>
      </w:r>
      <w:r>
        <w:rPr>
          <w:rFonts w:hint="eastAsia" w:ascii="仿宋_GB2312" w:hAnsi="仿宋_GB2312" w:eastAsia="仿宋_GB2312" w:cs="仿宋_GB2312"/>
          <w:sz w:val="32"/>
          <w:szCs w:val="32"/>
          <w:lang w:eastAsia="zh-CN"/>
        </w:rPr>
        <w:t>学习</w:t>
      </w:r>
      <w:r>
        <w:rPr>
          <w:rFonts w:hint="eastAsia" w:ascii="仿宋_GB2312" w:hAnsi="仿宋_GB2312" w:eastAsia="仿宋_GB2312" w:cs="仿宋_GB2312"/>
          <w:sz w:val="32"/>
          <w:szCs w:val="32"/>
        </w:rPr>
        <w:t>中心组学习为牵引，系统组织学习习近平《论中国共产党历史》等指定学习材料，用好《中国共产党的100年》等必读书目，购买党史学习资料210本。开展党史专题讲座学习2次，班子成员带头讲党课5次，集中开展党史学习教育28场次。开展政治轮训，组织集中学习58场次。</w:t>
      </w:r>
    </w:p>
    <w:p w14:paraId="766B852D">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4.教育整顿成效凸显。</w:t>
      </w:r>
      <w:r>
        <w:rPr>
          <w:rFonts w:hint="eastAsia" w:ascii="仿宋_GB2312" w:hAnsi="仿宋_GB2312" w:eastAsia="仿宋_GB2312" w:cs="仿宋_GB2312"/>
          <w:sz w:val="32"/>
          <w:szCs w:val="32"/>
        </w:rPr>
        <w:t>以为群众办实事检验教育整顿效果，开展为民办实事561次，解决群众困难问题3700余人次，收到群众锦旗4面。</w:t>
      </w:r>
    </w:p>
    <w:p w14:paraId="3E80F591">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5.查纠整改走深，抓源治本从严。</w:t>
      </w:r>
      <w:r>
        <w:rPr>
          <w:rFonts w:hint="eastAsia" w:ascii="仿宋_GB2312" w:hAnsi="仿宋_GB2312" w:eastAsia="仿宋_GB2312" w:cs="仿宋_GB2312"/>
          <w:sz w:val="32"/>
          <w:szCs w:val="32"/>
        </w:rPr>
        <w:t>查纠整改环节，开展集中警示教育学习4次，集中开展“自查从宽、被查从严”政策宣讲4次，已组织干警学习正反面典型案例10余起，发放倡议书53份，廉政承诺书53份，家庭助廉承诺书53份，组织干警学习正反面典型案例10余起。组织开展谈心谈话4次155人次，掌握不同层级、不同岗位、不同年龄段干警的思想动态。开展征求意见座谈会1场次，“开门纳谏”活动征求队伍教育整顿意见建议26条，制定整改措施79条；征求党员、干部和群众在“发挥班子政治引领作用、创新支部组织活动方式、加强党员管理教育”等方面意见建议17条。召开高质量的专题民主生活会，围绕6个方面查摆班子存在的问题和不足6条（整合后），局班子成员围绕“六个方面”剖析查找问题23条；召开机关党支部专题民主生活会，查找机关党支部支委班子问题5条，查找32名党员问题82条。</w:t>
      </w:r>
    </w:p>
    <w:p w14:paraId="7B76BC58">
      <w:pPr>
        <w:widowControl/>
        <w:adjustRightInd w:val="0"/>
        <w:snapToGrid w:val="0"/>
        <w:spacing w:line="560" w:lineRule="exact"/>
        <w:contextualSpacing/>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（二）结果应用情况。</w:t>
      </w:r>
    </w:p>
    <w:p w14:paraId="54A1EFCB">
      <w:pPr>
        <w:adjustRightInd w:val="0"/>
        <w:snapToGrid w:val="0"/>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绩效自评对规范财政资金支出管理、强化绩效目标管理理念、加强资金使用效率起到了积极的促进作用。我单位将此次绩效自评的结果运用到2022年工作统筹安排、项目资金合理分配使用上，进一步提高工作效率，保质保量完成县委、县政府以及上级业务主管部门交办的各项工作。</w:t>
      </w:r>
    </w:p>
    <w:p w14:paraId="205028A7">
      <w:pPr>
        <w:adjustRightInd w:val="0"/>
        <w:snapToGrid w:val="0"/>
        <w:spacing w:line="560" w:lineRule="exact"/>
        <w:ind w:firstLine="640" w:firstLineChars="200"/>
        <w:rPr>
          <w:rFonts w:ascii="仿宋_GB2312" w:hAnsi="仿宋_GB2312" w:eastAsia="仿宋_GB2312" w:cs="仿宋_GB2312"/>
          <w:b/>
          <w:bCs/>
          <w:color w:val="000000"/>
          <w:kern w:val="0"/>
          <w:sz w:val="32"/>
          <w:szCs w:val="32"/>
          <w:shd w:val="clear" w:color="auto" w:fill="FFFFFF"/>
        </w:rPr>
      </w:pPr>
      <w:r>
        <w:rPr>
          <w:rFonts w:hint="eastAsia" w:ascii="仿宋_GB2312" w:hAnsi="仿宋_GB2312" w:eastAsia="仿宋_GB2312" w:cs="仿宋_GB2312"/>
          <w:color w:val="000000"/>
          <w:sz w:val="32"/>
          <w:szCs w:val="32"/>
          <w:shd w:val="clear" w:color="auto" w:fill="FFFFFF"/>
        </w:rPr>
        <w:t>绩效自评工作完成后将结果在“盐边县公众信息网”财政信息版块下的“财政绩效评价信息专栏”进行公示。</w:t>
      </w:r>
    </w:p>
    <w:p w14:paraId="57302910">
      <w:pPr>
        <w:spacing w:line="560" w:lineRule="exact"/>
        <w:ind w:firstLine="640" w:firstLineChars="200"/>
        <w:rPr>
          <w:rFonts w:ascii="仿宋_GB2312" w:hAnsi="仿宋_GB2312" w:eastAsia="仿宋_GB2312" w:cs="仿宋_GB2312"/>
          <w:sz w:val="32"/>
          <w:szCs w:val="32"/>
        </w:rPr>
      </w:pPr>
      <w:bookmarkStart w:id="119" w:name="_Toc28036_WPSOffice_Level2"/>
      <w:r>
        <w:rPr>
          <w:rFonts w:hint="eastAsia" w:ascii="仿宋_GB2312" w:hAnsi="仿宋_GB2312" w:eastAsia="仿宋_GB2312" w:cs="仿宋_GB2312"/>
          <w:sz w:val="32"/>
          <w:szCs w:val="32"/>
        </w:rPr>
        <w:t>五、评价结论及建议</w:t>
      </w:r>
      <w:bookmarkEnd w:id="119"/>
    </w:p>
    <w:p w14:paraId="76B8DE64">
      <w:pPr>
        <w:numPr>
          <w:ilvl w:val="0"/>
          <w:numId w:val="8"/>
        </w:num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评价结论。</w:t>
      </w:r>
    </w:p>
    <w:p w14:paraId="495E8689">
      <w:pPr>
        <w:adjustRightInd w:val="0"/>
        <w:snapToGrid w:val="0"/>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val="zh-CN"/>
        </w:rPr>
        <w:t>通过自评，20</w:t>
      </w:r>
      <w:r>
        <w:rPr>
          <w:rFonts w:hint="eastAsia" w:ascii="仿宋_GB2312" w:hAnsi="仿宋_GB2312" w:eastAsia="仿宋_GB2312" w:cs="仿宋_GB2312"/>
          <w:color w:val="000000"/>
          <w:sz w:val="32"/>
          <w:szCs w:val="32"/>
          <w:shd w:val="clear" w:color="auto" w:fill="FFFFFF"/>
        </w:rPr>
        <w:t>21</w:t>
      </w:r>
      <w:r>
        <w:rPr>
          <w:rFonts w:hint="eastAsia" w:ascii="仿宋_GB2312" w:hAnsi="仿宋_GB2312" w:eastAsia="仿宋_GB2312" w:cs="仿宋_GB2312"/>
          <w:color w:val="000000"/>
          <w:sz w:val="32"/>
          <w:szCs w:val="32"/>
          <w:shd w:val="clear" w:color="auto" w:fill="FFFFFF"/>
          <w:lang w:val="zh-CN"/>
        </w:rPr>
        <w:t>年度县司法局</w:t>
      </w:r>
      <w:r>
        <w:rPr>
          <w:rFonts w:hint="eastAsia" w:ascii="仿宋_GB2312" w:hAnsi="仿宋_GB2312" w:eastAsia="仿宋_GB2312" w:cs="仿宋_GB2312"/>
          <w:color w:val="000000"/>
          <w:sz w:val="32"/>
          <w:szCs w:val="32"/>
          <w:shd w:val="clear" w:color="auto" w:fill="FFFFFF"/>
        </w:rPr>
        <w:t>各项经费达到对应的绩效目标，圆满完成了县委、县政府下达的各项工作任务。达到预期绩效目标，总体较满意。</w:t>
      </w:r>
    </w:p>
    <w:p w14:paraId="29CA8FCB">
      <w:pPr>
        <w:numPr>
          <w:ilvl w:val="0"/>
          <w:numId w:val="8"/>
        </w:num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存在问题。</w:t>
      </w:r>
    </w:p>
    <w:p w14:paraId="33B9C312">
      <w:pPr>
        <w:pStyle w:val="16"/>
        <w:spacing w:before="0" w:beforeAutospacing="0" w:after="0" w:afterAutospacing="0" w:line="560" w:lineRule="exact"/>
        <w:ind w:left="640"/>
        <w:jc w:val="both"/>
        <w:rPr>
          <w:rFonts w:ascii="仿宋_GB2312" w:hAnsi="仿宋_GB2312" w:cs="仿宋_GB2312"/>
          <w:kern w:val="2"/>
          <w:sz w:val="32"/>
          <w:szCs w:val="32"/>
        </w:rPr>
      </w:pPr>
      <w:r>
        <w:rPr>
          <w:rFonts w:hint="eastAsia" w:ascii="仿宋_GB2312" w:hAnsi="仿宋_GB2312" w:cs="仿宋_GB2312"/>
          <w:kern w:val="2"/>
          <w:sz w:val="32"/>
          <w:szCs w:val="32"/>
        </w:rPr>
        <w:t>1. 绩效目标设立不够明确、细化和量化。项目单位虽然设立了项目资金绩效目标，但目标不够明确、细化和量化。</w:t>
      </w:r>
    </w:p>
    <w:p w14:paraId="2C68A426">
      <w:pPr>
        <w:pStyle w:val="16"/>
        <w:spacing w:before="0" w:beforeAutospacing="0" w:after="0" w:afterAutospacing="0" w:line="560" w:lineRule="exact"/>
        <w:ind w:firstLine="640" w:firstLineChars="200"/>
        <w:jc w:val="both"/>
        <w:rPr>
          <w:rFonts w:ascii="仿宋_GB2312" w:hAnsi="仿宋_GB2312" w:cs="仿宋_GB2312"/>
          <w:kern w:val="2"/>
          <w:sz w:val="32"/>
          <w:szCs w:val="32"/>
        </w:rPr>
      </w:pPr>
      <w:r>
        <w:rPr>
          <w:rFonts w:hint="eastAsia" w:ascii="仿宋_GB2312" w:hAnsi="仿宋_GB2312" w:cs="仿宋_GB2312"/>
          <w:kern w:val="2"/>
          <w:sz w:val="32"/>
          <w:szCs w:val="32"/>
        </w:rPr>
        <w:t>2. 资金使用效益有待进一步提高。</w:t>
      </w:r>
    </w:p>
    <w:p w14:paraId="4FB781BD">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b/>
          <w:bCs/>
          <w:sz w:val="32"/>
          <w:szCs w:val="32"/>
        </w:rPr>
        <w:t>改进建议。</w:t>
      </w:r>
    </w:p>
    <w:p w14:paraId="354C71A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zh-CN"/>
        </w:rPr>
        <w:t>遵循预算管理办法，从严控制年中追加预算规模。对于年度无法预计的临时追加的相关工作所需经费，严格按照预算调整追加程序，逐级申报报批，有效降低预算控制率。</w:t>
      </w:r>
    </w:p>
    <w:p w14:paraId="6E22C29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zh-CN"/>
        </w:rPr>
        <w:t>保障预算执行进度。加快推进项目实施进度，加强项目开展进度的跟踪，开展项目绩效的跟踪和评价，确保项目绩效的完成，发挥资金的使用效益，提高预算完成率。</w:t>
      </w:r>
    </w:p>
    <w:p w14:paraId="10362E11">
      <w:pPr>
        <w:spacing w:line="560" w:lineRule="exact"/>
        <w:ind w:firstLine="640" w:firstLineChars="200"/>
        <w:rPr>
          <w:rFonts w:ascii="仿宋_GB2312" w:hAnsi="仿宋_GB2312" w:eastAsia="仿宋_GB2312" w:cs="仿宋_GB2312"/>
          <w:sz w:val="32"/>
          <w:szCs w:val="32"/>
        </w:rPr>
      </w:pPr>
    </w:p>
    <w:p w14:paraId="31957119">
      <w:pPr>
        <w:pStyle w:val="10"/>
        <w:spacing w:line="600" w:lineRule="exact"/>
        <w:ind w:firstLine="720" w:firstLineChars="200"/>
        <w:jc w:val="center"/>
        <w:rPr>
          <w:rFonts w:ascii="方正小标宋_GBK" w:hAnsi="黑体" w:eastAsia="方正小标宋_GBK" w:cs="黑体"/>
          <w:sz w:val="36"/>
          <w:szCs w:val="36"/>
        </w:rPr>
      </w:pPr>
      <w:bookmarkStart w:id="120" w:name="_Toc3313_WPSOffice_Level2"/>
      <w:r>
        <w:rPr>
          <w:rFonts w:hint="eastAsia" w:ascii="方正小标宋_GBK" w:hAnsi="方正小标宋_GBK" w:eastAsia="方正小标宋_GBK" w:cs="方正小标宋_GBK"/>
          <w:sz w:val="36"/>
          <w:szCs w:val="36"/>
          <w:shd w:val="clear" w:color="auto" w:fill="FFFFFF"/>
        </w:rPr>
        <w:t>人民调解专项经费</w:t>
      </w:r>
      <w:r>
        <w:rPr>
          <w:rFonts w:hint="eastAsia" w:ascii="方正小标宋_GBK" w:hAnsi="黑体" w:eastAsia="方正小标宋_GBK" w:cs="黑体"/>
          <w:sz w:val="36"/>
          <w:szCs w:val="36"/>
        </w:rPr>
        <w:t>绩效自评报告</w:t>
      </w:r>
      <w:bookmarkEnd w:id="120"/>
    </w:p>
    <w:p w14:paraId="0E7FB3BD">
      <w:pPr>
        <w:pStyle w:val="10"/>
        <w:spacing w:line="600" w:lineRule="exact"/>
        <w:ind w:firstLine="640" w:firstLineChars="200"/>
        <w:jc w:val="left"/>
        <w:rPr>
          <w:rFonts w:ascii="仿宋_GB2312" w:hAnsi="仿宋_GB2312" w:eastAsia="仿宋_GB2312" w:cs="仿宋_GB2312"/>
          <w:sz w:val="32"/>
          <w:szCs w:val="32"/>
        </w:rPr>
      </w:pPr>
    </w:p>
    <w:p w14:paraId="058B175E">
      <w:pPr>
        <w:autoSpaceDE w:val="0"/>
        <w:autoSpaceDN w:val="0"/>
        <w:adjustRightInd w:val="0"/>
        <w:spacing w:line="600" w:lineRule="exact"/>
        <w:ind w:firstLine="640" w:firstLineChars="200"/>
        <w:jc w:val="left"/>
        <w:rPr>
          <w:rFonts w:eastAsia="黑体"/>
          <w:kern w:val="0"/>
          <w:sz w:val="32"/>
          <w:szCs w:val="32"/>
        </w:rPr>
      </w:pPr>
      <w:bookmarkStart w:id="121" w:name="_Toc19106_WPSOffice_Level2"/>
      <w:r>
        <w:rPr>
          <w:rFonts w:eastAsia="黑体"/>
          <w:kern w:val="0"/>
          <w:sz w:val="32"/>
          <w:szCs w:val="32"/>
        </w:rPr>
        <w:t>一、项目概况</w:t>
      </w:r>
      <w:bookmarkEnd w:id="121"/>
    </w:p>
    <w:p w14:paraId="1121B4A0">
      <w:pPr>
        <w:widowControl/>
        <w:shd w:val="clear" w:color="auto" w:fill="FFFFFF"/>
        <w:spacing w:after="225" w:line="580" w:lineRule="exact"/>
        <w:ind w:firstLine="420"/>
        <w:jc w:val="left"/>
        <w:rPr>
          <w:rFonts w:ascii="仿宋" w:hAnsi="仿宋" w:eastAsia="仿宋" w:cs="仿宋"/>
          <w:sz w:val="32"/>
          <w:szCs w:val="32"/>
        </w:rPr>
      </w:pPr>
      <w:r>
        <w:rPr>
          <w:rFonts w:hint="eastAsia" w:ascii="仿宋" w:hAnsi="仿宋" w:eastAsia="仿宋" w:cs="仿宋"/>
          <w:color w:val="333333"/>
          <w:kern w:val="0"/>
          <w:sz w:val="32"/>
          <w:szCs w:val="32"/>
          <w:shd w:val="clear" w:color="auto" w:fill="FFFFFF"/>
        </w:rPr>
        <w:t>我县现有</w:t>
      </w:r>
      <w:r>
        <w:rPr>
          <w:rFonts w:hint="eastAsia" w:ascii="仿宋" w:hAnsi="仿宋" w:eastAsia="仿宋" w:cs="仿宋"/>
          <w:sz w:val="32"/>
          <w:szCs w:val="32"/>
        </w:rPr>
        <w:t>人民调解委员会124个（其中村（社区）人民调解委员会88个、乡（镇）人民调解委员会12个、企事业人民调解委员会20个、专业人民调解委员会4个），人民调解员685名。遵法评理会88个，遵法评理员505名。需要开支人民调解“个案补助”、驻法院调解室和专业调委会坐班补助、参与信访矛盾化解等经费。</w:t>
      </w:r>
    </w:p>
    <w:p w14:paraId="218D23CF">
      <w:pPr>
        <w:widowControl/>
        <w:shd w:val="clear" w:color="auto" w:fill="FFFFFF"/>
        <w:spacing w:after="225" w:line="580" w:lineRule="exact"/>
        <w:ind w:firstLine="420"/>
        <w:jc w:val="left"/>
        <w:rPr>
          <w:rFonts w:eastAsia="楷体_GB2312"/>
          <w:kern w:val="0"/>
          <w:sz w:val="32"/>
          <w:szCs w:val="32"/>
        </w:rPr>
      </w:pPr>
      <w:r>
        <w:rPr>
          <w:rFonts w:eastAsia="楷体_GB2312"/>
          <w:kern w:val="0"/>
          <w:sz w:val="32"/>
          <w:szCs w:val="32"/>
        </w:rPr>
        <w:t>（二）项目绩效目标。</w:t>
      </w:r>
    </w:p>
    <w:p w14:paraId="7DE16DD8">
      <w:pPr>
        <w:spacing w:line="580" w:lineRule="exact"/>
        <w:ind w:left="164" w:leftChars="78" w:firstLine="640" w:firstLineChars="200"/>
        <w:rPr>
          <w:rFonts w:ascii="仿宋" w:hAnsi="仿宋" w:eastAsia="仿宋" w:cs="仿宋"/>
          <w:sz w:val="32"/>
          <w:szCs w:val="32"/>
        </w:rPr>
      </w:pPr>
      <w:r>
        <w:rPr>
          <w:rFonts w:hint="eastAsia" w:ascii="仿宋" w:hAnsi="仿宋" w:eastAsia="仿宋" w:cs="仿宋"/>
          <w:sz w:val="32"/>
          <w:szCs w:val="32"/>
        </w:rPr>
        <w:t>为深入贯彻落实《人民调解法》，按照《人民调解法》《四川省人民调解条例》规定，保障必要的人民调解专项经费，确保人民调解工作正常开展，充分发挥人民调解在促进社会和谐稳定中的重要作用。</w:t>
      </w:r>
    </w:p>
    <w:p w14:paraId="2C46D18A">
      <w:pPr>
        <w:autoSpaceDE w:val="0"/>
        <w:autoSpaceDN w:val="0"/>
        <w:adjustRightInd w:val="0"/>
        <w:spacing w:line="600" w:lineRule="exact"/>
        <w:ind w:firstLine="640" w:firstLineChars="200"/>
        <w:jc w:val="left"/>
        <w:rPr>
          <w:rFonts w:eastAsia="楷体_GB2312"/>
          <w:kern w:val="0"/>
          <w:sz w:val="32"/>
          <w:szCs w:val="32"/>
        </w:rPr>
      </w:pPr>
      <w:bookmarkStart w:id="122" w:name="_Toc23638_WPSOffice_Level2"/>
      <w:r>
        <w:rPr>
          <w:rFonts w:eastAsia="黑体"/>
          <w:kern w:val="0"/>
          <w:sz w:val="32"/>
          <w:szCs w:val="32"/>
        </w:rPr>
        <w:t>二、项目资金申报及使用情况</w:t>
      </w:r>
      <w:bookmarkEnd w:id="122"/>
    </w:p>
    <w:p w14:paraId="32F68D15">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（一）项目资金申报及批复情况。</w:t>
      </w:r>
    </w:p>
    <w:p w14:paraId="5CF6AA7F">
      <w:pPr>
        <w:autoSpaceDE w:val="0"/>
        <w:autoSpaceDN w:val="0"/>
        <w:adjustRightInd w:val="0"/>
        <w:spacing w:line="60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根据盐边财政[2021]394号文件执行中追加批复下达资金18.93万元。</w:t>
      </w:r>
    </w:p>
    <w:p w14:paraId="6CAE6F91">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（二）资金计划、到位及使用情况（可用表格形式反映）。</w:t>
      </w:r>
    </w:p>
    <w:p w14:paraId="735A6CB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该项目计划资金18.93万元，到位资金18.93万元，全部是县级财政资金，到位率100%。项目支出主要包括人民调解员补助经费。</w:t>
      </w:r>
    </w:p>
    <w:p w14:paraId="73239704">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（三）项目财务管理情况。</w:t>
      </w:r>
    </w:p>
    <w:p w14:paraId="5F214B6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w:t>
      </w:r>
      <w:r>
        <w:rPr>
          <w:rFonts w:hint="eastAsia" w:ascii="仿宋_GB2312" w:hAnsi="仿宋_GB2312" w:eastAsia="仿宋_GB2312" w:cs="仿宋_GB2312"/>
          <w:color w:val="000000"/>
          <w:kern w:val="0"/>
          <w:sz w:val="32"/>
          <w:szCs w:val="32"/>
          <w:shd w:val="clear" w:color="auto" w:fill="FFFFFF"/>
        </w:rPr>
        <w:t>建立健全了专项经费管理制度，</w:t>
      </w:r>
      <w:r>
        <w:rPr>
          <w:rFonts w:hint="eastAsia" w:ascii="仿宋_GB2312" w:hAnsi="仿宋_GB2312" w:eastAsia="仿宋_GB2312" w:cs="仿宋_GB2312"/>
          <w:color w:val="000000"/>
          <w:sz w:val="32"/>
          <w:szCs w:val="32"/>
          <w:shd w:val="clear" w:color="auto" w:fill="FFFFFF"/>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单位所有专项经费支出都必须先拟定明细，说明理由并报经分管财务领导，经审批后方能执行。同时大笔专项经费支出必须经局党组研究决定。禁止铺张浪费、杜绝挪用和截留，并强化事后跟踪监督。三是</w:t>
      </w:r>
      <w:r>
        <w:rPr>
          <w:rFonts w:hint="eastAsia" w:ascii="仿宋_GB2312" w:hAnsi="仿宋_GB2312" w:eastAsia="仿宋_GB2312" w:cs="仿宋_GB2312"/>
          <w:sz w:val="32"/>
          <w:szCs w:val="32"/>
        </w:rPr>
        <w:t>严格执行项目有关制度规定，做到专款专用，无挪用和截留现象。支出合理，没有列支与项目内容无关的费用。</w:t>
      </w:r>
    </w:p>
    <w:p w14:paraId="58E1D36D">
      <w:pPr>
        <w:autoSpaceDE w:val="0"/>
        <w:autoSpaceDN w:val="0"/>
        <w:adjustRightInd w:val="0"/>
        <w:spacing w:line="600" w:lineRule="exact"/>
        <w:ind w:firstLine="640" w:firstLineChars="200"/>
        <w:jc w:val="left"/>
        <w:rPr>
          <w:rFonts w:eastAsia="黑体"/>
          <w:kern w:val="0"/>
          <w:sz w:val="32"/>
          <w:szCs w:val="32"/>
        </w:rPr>
      </w:pPr>
      <w:bookmarkStart w:id="123" w:name="_Toc10960_WPSOffice_Level2"/>
      <w:r>
        <w:rPr>
          <w:rFonts w:eastAsia="黑体"/>
          <w:kern w:val="0"/>
          <w:sz w:val="32"/>
          <w:szCs w:val="32"/>
        </w:rPr>
        <w:t>三、项目实施及管理情况</w:t>
      </w:r>
      <w:bookmarkEnd w:id="123"/>
    </w:p>
    <w:p w14:paraId="67F921D3">
      <w:pPr>
        <w:autoSpaceDE w:val="0"/>
        <w:autoSpaceDN w:val="0"/>
        <w:adjustRightInd w:val="0"/>
        <w:spacing w:line="600" w:lineRule="exact"/>
        <w:ind w:firstLine="640" w:firstLineChars="200"/>
        <w:jc w:val="left"/>
        <w:rPr>
          <w:rFonts w:eastAsia="仿宋_GB2312"/>
          <w:sz w:val="32"/>
          <w:szCs w:val="32"/>
        </w:rPr>
      </w:pPr>
      <w:r>
        <w:rPr>
          <w:rFonts w:hint="eastAsia" w:eastAsia="仿宋_GB2312"/>
          <w:sz w:val="32"/>
          <w:szCs w:val="32"/>
        </w:rPr>
        <w:t>本项目支出均按照有关规章制度和项目实施完成情况进行支付。并建立相关的管理制度，有专人负责，项目进行前进行集体研究讨论，项目进行时负责人及时跟踪项目实施情况，并及时提出意见和建议。</w:t>
      </w:r>
    </w:p>
    <w:p w14:paraId="069C2461">
      <w:pPr>
        <w:autoSpaceDE w:val="0"/>
        <w:autoSpaceDN w:val="0"/>
        <w:adjustRightInd w:val="0"/>
        <w:spacing w:line="600" w:lineRule="exact"/>
        <w:ind w:firstLine="640" w:firstLineChars="200"/>
        <w:jc w:val="left"/>
        <w:rPr>
          <w:rFonts w:eastAsia="黑体"/>
          <w:kern w:val="0"/>
          <w:sz w:val="32"/>
          <w:szCs w:val="32"/>
        </w:rPr>
      </w:pPr>
      <w:bookmarkStart w:id="124" w:name="_Toc18637_WPSOffice_Level2"/>
      <w:r>
        <w:rPr>
          <w:rFonts w:eastAsia="黑体"/>
          <w:kern w:val="0"/>
          <w:sz w:val="32"/>
          <w:szCs w:val="32"/>
        </w:rPr>
        <w:t>四、项目绩效情况</w:t>
      </w:r>
      <w:bookmarkEnd w:id="124"/>
    </w:p>
    <w:p w14:paraId="2CFCABEB">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（一）项目完成情况。</w:t>
      </w:r>
    </w:p>
    <w:p w14:paraId="02462808">
      <w:pPr>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项目支出主要包括人民调解员补助经费。完成整个项目支出18.93万元。</w:t>
      </w:r>
    </w:p>
    <w:p w14:paraId="6BD9E2C5">
      <w:pPr>
        <w:numPr>
          <w:ilvl w:val="0"/>
          <w:numId w:val="9"/>
        </w:num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项目效益情况。</w:t>
      </w:r>
    </w:p>
    <w:p w14:paraId="13DD2F8C">
      <w:pPr>
        <w:spacing w:line="580" w:lineRule="exact"/>
        <w:ind w:firstLine="660" w:firstLineChars="200"/>
        <w:rPr>
          <w:rFonts w:ascii="仿宋" w:hAnsi="仿宋" w:eastAsia="仿宋" w:cs="仿宋"/>
          <w:sz w:val="32"/>
          <w:szCs w:val="32"/>
        </w:rPr>
      </w:pPr>
      <w:r>
        <w:rPr>
          <w:rFonts w:eastAsia="方正仿宋_GBK"/>
          <w:sz w:val="33"/>
          <w:szCs w:val="33"/>
        </w:rPr>
        <w:t>切实做好村级建制改革期间人民调解组织建设工作，形成过渡期人民调解委员会124个，人民调解员685名；遵法评理会88个，遵法评理员505名。专业调委会调解纠纷491件、乡镇(村、社区)调委会调解案件总数939件，司法所及时参与矛盾纠纷调解及信访维稳工作，开展矛盾纠纷排查84次，参与并成功调解矛盾纠纷166件。组织人民调解员培训20余次，参加人数达到1300人以上。</w:t>
      </w:r>
      <w:r>
        <w:rPr>
          <w:rFonts w:hint="eastAsia" w:ascii="仿宋" w:hAnsi="仿宋" w:eastAsia="仿宋" w:cs="仿宋"/>
          <w:sz w:val="32"/>
          <w:szCs w:val="32"/>
        </w:rPr>
        <w:t>促进了人民调解“第一道防线”的作用，维护盐边社会和谐稳定，为全县经济建设有序发展贡献力量。</w:t>
      </w:r>
    </w:p>
    <w:p w14:paraId="4A4185A7">
      <w:pPr>
        <w:autoSpaceDE w:val="0"/>
        <w:autoSpaceDN w:val="0"/>
        <w:adjustRightInd w:val="0"/>
        <w:spacing w:line="600" w:lineRule="exact"/>
        <w:ind w:firstLine="640" w:firstLineChars="200"/>
        <w:jc w:val="left"/>
        <w:rPr>
          <w:rFonts w:eastAsia="黑体"/>
          <w:kern w:val="0"/>
          <w:sz w:val="32"/>
          <w:szCs w:val="32"/>
        </w:rPr>
      </w:pPr>
      <w:bookmarkStart w:id="125" w:name="_Toc22024_WPSOffice_Level2"/>
      <w:r>
        <w:rPr>
          <w:rFonts w:eastAsia="黑体"/>
          <w:kern w:val="0"/>
          <w:sz w:val="32"/>
          <w:szCs w:val="32"/>
        </w:rPr>
        <w:t>五、评价结论及建议</w:t>
      </w:r>
      <w:bookmarkEnd w:id="125"/>
    </w:p>
    <w:p w14:paraId="6A1945E7">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（一）评价结论。</w:t>
      </w:r>
    </w:p>
    <w:p w14:paraId="5E75004F">
      <w:pPr>
        <w:spacing w:line="560" w:lineRule="exact"/>
        <w:ind w:firstLine="640" w:firstLineChars="200"/>
        <w:rPr>
          <w:rFonts w:eastAsia="仿宋_GB2312"/>
          <w:sz w:val="32"/>
          <w:szCs w:val="32"/>
        </w:rPr>
      </w:pPr>
      <w:r>
        <w:rPr>
          <w:rFonts w:hint="eastAsia" w:ascii="方正仿宋_GBK" w:hAnsi="仿宋" w:eastAsia="方正仿宋_GBK"/>
          <w:sz w:val="32"/>
          <w:szCs w:val="32"/>
        </w:rPr>
        <w:t>本年度专项工作经费管理规范，按计划圆满完成了各项工作目标，该项工作总体较满意。</w:t>
      </w:r>
    </w:p>
    <w:p w14:paraId="0B757111">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（二）存在的问题。</w:t>
      </w:r>
    </w:p>
    <w:p w14:paraId="24BFC72C">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无</w:t>
      </w:r>
    </w:p>
    <w:p w14:paraId="7871DE2F">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（三）相关建议。</w:t>
      </w:r>
    </w:p>
    <w:p w14:paraId="7A7CC806">
      <w:pPr>
        <w:pStyle w:val="10"/>
        <w:spacing w:line="600" w:lineRule="exact"/>
        <w:ind w:firstLine="640" w:firstLineChars="200"/>
        <w:jc w:val="left"/>
        <w:rPr>
          <w:rFonts w:ascii="黑体" w:hAnsi="黑体" w:eastAsia="黑体" w:cs="仿宋_GB2312"/>
          <w:sz w:val="32"/>
          <w:szCs w:val="32"/>
        </w:rPr>
      </w:pPr>
      <w:r>
        <w:rPr>
          <w:rFonts w:hint="eastAsia" w:ascii="Times New Roman" w:hAnsi="Times New Roman" w:eastAsia="仿宋_GB2312"/>
          <w:kern w:val="0"/>
          <w:sz w:val="32"/>
          <w:szCs w:val="32"/>
        </w:rPr>
        <w:t>无</w:t>
      </w:r>
    </w:p>
    <w:p w14:paraId="2B963C52">
      <w:pPr>
        <w:pStyle w:val="10"/>
        <w:spacing w:line="600" w:lineRule="exact"/>
        <w:ind w:firstLine="720" w:firstLineChars="200"/>
        <w:jc w:val="center"/>
        <w:rPr>
          <w:rFonts w:ascii="方正小标宋_GBK" w:hAnsi="黑体" w:eastAsia="方正小标宋_GBK" w:cs="黑体"/>
          <w:sz w:val="36"/>
          <w:szCs w:val="36"/>
        </w:rPr>
      </w:pPr>
      <w:bookmarkStart w:id="126" w:name="_Toc11890_WPSOffice_Level2"/>
      <w:r>
        <w:rPr>
          <w:rFonts w:hint="eastAsia" w:ascii="方正小标宋_GBK" w:hAnsi="方正小标宋_GBK" w:eastAsia="方正小标宋_GBK" w:cs="方正小标宋_GBK"/>
          <w:sz w:val="36"/>
          <w:szCs w:val="36"/>
          <w:shd w:val="clear" w:color="auto" w:fill="FFFFFF"/>
        </w:rPr>
        <w:t>普法工作相关经费</w:t>
      </w:r>
      <w:r>
        <w:rPr>
          <w:rFonts w:hint="eastAsia" w:ascii="方正小标宋_GBK" w:hAnsi="黑体" w:eastAsia="方正小标宋_GBK" w:cs="黑体"/>
          <w:sz w:val="36"/>
          <w:szCs w:val="36"/>
        </w:rPr>
        <w:t>绩效自评报告</w:t>
      </w:r>
      <w:bookmarkEnd w:id="126"/>
    </w:p>
    <w:p w14:paraId="468E3513">
      <w:pPr>
        <w:pStyle w:val="10"/>
        <w:spacing w:line="600" w:lineRule="exact"/>
        <w:ind w:firstLine="640" w:firstLineChars="200"/>
        <w:jc w:val="left"/>
        <w:rPr>
          <w:rFonts w:ascii="仿宋_GB2312" w:hAnsi="仿宋_GB2312" w:eastAsia="仿宋_GB2312" w:cs="仿宋_GB2312"/>
          <w:sz w:val="32"/>
          <w:szCs w:val="32"/>
        </w:rPr>
      </w:pPr>
    </w:p>
    <w:p w14:paraId="44B02A30">
      <w:pPr>
        <w:autoSpaceDE w:val="0"/>
        <w:autoSpaceDN w:val="0"/>
        <w:adjustRightInd w:val="0"/>
        <w:spacing w:line="600" w:lineRule="exact"/>
        <w:ind w:firstLine="640" w:firstLineChars="200"/>
        <w:jc w:val="left"/>
        <w:rPr>
          <w:rFonts w:eastAsia="黑体"/>
          <w:kern w:val="0"/>
          <w:sz w:val="32"/>
          <w:szCs w:val="32"/>
        </w:rPr>
      </w:pPr>
      <w:bookmarkStart w:id="127" w:name="_Toc17363_WPSOffice_Level2"/>
      <w:r>
        <w:rPr>
          <w:rFonts w:eastAsia="黑体"/>
          <w:kern w:val="0"/>
          <w:sz w:val="32"/>
          <w:szCs w:val="32"/>
        </w:rPr>
        <w:t>一、项目概况</w:t>
      </w:r>
      <w:bookmarkEnd w:id="127"/>
    </w:p>
    <w:p w14:paraId="0FCFDC21">
      <w:pPr>
        <w:spacing w:line="580" w:lineRule="exact"/>
        <w:ind w:firstLine="640"/>
        <w:rPr>
          <w:rFonts w:ascii="仿宋_GB2312" w:hAnsi="方正小标宋_GBK" w:eastAsia="仿宋_GB2312" w:cs="方正小标宋_GBK"/>
          <w:color w:val="000000"/>
          <w:sz w:val="32"/>
          <w:szCs w:val="32"/>
        </w:rPr>
      </w:pPr>
      <w:r>
        <w:rPr>
          <w:rFonts w:hint="eastAsia" w:ascii="仿宋" w:hAnsi="仿宋" w:eastAsia="仿宋" w:cs="仿宋"/>
          <w:sz w:val="32"/>
          <w:szCs w:val="32"/>
        </w:rPr>
        <w:t>全民普法教育是依法治国的基础性工程，2020年“七五”普法规划实施执行完毕，从2021年进入“八五”普法时期，目前，国家“八五”普法规划已正式印发，四川省、攀枝花市以及我县“八五”普法规划正在谋划制定中。在过去的普法规划中，均对普法经费的保障作出了指示性安排。</w:t>
      </w:r>
    </w:p>
    <w:p w14:paraId="06CB3272">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（二）项目绩效目标。</w:t>
      </w:r>
    </w:p>
    <w:p w14:paraId="756FFEDF">
      <w:pPr>
        <w:spacing w:line="580" w:lineRule="exact"/>
        <w:ind w:left="164" w:leftChars="78" w:firstLine="640" w:firstLineChars="200"/>
        <w:rPr>
          <w:rFonts w:ascii="仿宋" w:hAnsi="仿宋" w:eastAsia="仿宋" w:cs="仿宋"/>
          <w:sz w:val="32"/>
          <w:szCs w:val="32"/>
        </w:rPr>
      </w:pPr>
      <w:r>
        <w:rPr>
          <w:rFonts w:hint="eastAsia" w:ascii="仿宋" w:hAnsi="仿宋" w:eastAsia="仿宋" w:cs="仿宋"/>
          <w:sz w:val="32"/>
          <w:szCs w:val="32"/>
        </w:rPr>
        <w:t>普法宣传教育是一项长期的社会系统的工程，为全面贯彻落实国家、省、市、县各级人大常委会关于开展全民法治宣传教育的决议和各级党委、政府制定出台的普法规划，推动全民普法教育深入开展，提升公民法律素养，给予普法保障，推动工作开展，确保全县法治宣传教育决议、规划各项目标任务的完成十分必要。</w:t>
      </w:r>
    </w:p>
    <w:p w14:paraId="380DCE32">
      <w:pPr>
        <w:autoSpaceDE w:val="0"/>
        <w:autoSpaceDN w:val="0"/>
        <w:adjustRightInd w:val="0"/>
        <w:spacing w:line="600" w:lineRule="exact"/>
        <w:ind w:firstLine="640" w:firstLineChars="200"/>
        <w:jc w:val="left"/>
        <w:rPr>
          <w:rFonts w:eastAsia="楷体_GB2312"/>
          <w:kern w:val="0"/>
          <w:sz w:val="32"/>
          <w:szCs w:val="32"/>
        </w:rPr>
      </w:pPr>
      <w:bookmarkStart w:id="128" w:name="_Toc2820_WPSOffice_Level2"/>
      <w:r>
        <w:rPr>
          <w:rFonts w:eastAsia="黑体"/>
          <w:kern w:val="0"/>
          <w:sz w:val="32"/>
          <w:szCs w:val="32"/>
        </w:rPr>
        <w:t>二、项目资金申报及使用情况</w:t>
      </w:r>
      <w:bookmarkEnd w:id="128"/>
    </w:p>
    <w:p w14:paraId="728AF6D4">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（一）项目资金申报及批复情况。</w:t>
      </w:r>
    </w:p>
    <w:p w14:paraId="7F32A7B8">
      <w:pPr>
        <w:autoSpaceDE w:val="0"/>
        <w:autoSpaceDN w:val="0"/>
        <w:adjustRightInd w:val="0"/>
        <w:spacing w:line="60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根据盐边财政[2021]399号文件执行中追加批复下达资金3.94万元。</w:t>
      </w:r>
    </w:p>
    <w:p w14:paraId="5005DDA0">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（二）资金计划、到位及使用情况（可用表格形式反映）。</w:t>
      </w:r>
    </w:p>
    <w:p w14:paraId="174D01D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该项目计划资金3.94万元，到位资金3.94万元，全部是县级财政资金，到位率100%。项目支出主要包括法治宣传费及资料印刷费。</w:t>
      </w:r>
    </w:p>
    <w:p w14:paraId="6020074D">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（三）项目财务管理情况。</w:t>
      </w:r>
    </w:p>
    <w:p w14:paraId="0EBC94B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w:t>
      </w:r>
      <w:r>
        <w:rPr>
          <w:rFonts w:hint="eastAsia" w:ascii="仿宋_GB2312" w:hAnsi="仿宋_GB2312" w:eastAsia="仿宋_GB2312" w:cs="仿宋_GB2312"/>
          <w:color w:val="000000"/>
          <w:kern w:val="0"/>
          <w:sz w:val="32"/>
          <w:szCs w:val="32"/>
          <w:shd w:val="clear" w:color="auto" w:fill="FFFFFF"/>
        </w:rPr>
        <w:t>建立健全了专项经费管理制度，</w:t>
      </w:r>
      <w:r>
        <w:rPr>
          <w:rFonts w:hint="eastAsia" w:ascii="仿宋_GB2312" w:hAnsi="仿宋_GB2312" w:eastAsia="仿宋_GB2312" w:cs="仿宋_GB2312"/>
          <w:color w:val="000000"/>
          <w:sz w:val="32"/>
          <w:szCs w:val="32"/>
          <w:shd w:val="clear" w:color="auto" w:fill="FFFFFF"/>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规规定，单位所有专项经费支出都必须先拟定明细，说明理由并报经分管财务领导，经审批后方能执行。同时大笔专项经费支出必须经局党组研究决定。禁止铺张浪费、杜绝挪用和截留，并强化事后跟踪监督。三是</w:t>
      </w:r>
      <w:r>
        <w:rPr>
          <w:rFonts w:hint="eastAsia" w:ascii="仿宋_GB2312" w:hAnsi="仿宋_GB2312" w:eastAsia="仿宋_GB2312" w:cs="仿宋_GB2312"/>
          <w:sz w:val="32"/>
          <w:szCs w:val="32"/>
        </w:rPr>
        <w:t>严格执行项目有关制度规定，做到专款专用，无挪用和截留现象。支出合理，没有列支与项目内容无关的费用。</w:t>
      </w:r>
    </w:p>
    <w:p w14:paraId="4EE9AF64">
      <w:pPr>
        <w:autoSpaceDE w:val="0"/>
        <w:autoSpaceDN w:val="0"/>
        <w:adjustRightInd w:val="0"/>
        <w:spacing w:line="600" w:lineRule="exact"/>
        <w:ind w:firstLine="640" w:firstLineChars="200"/>
        <w:jc w:val="left"/>
        <w:rPr>
          <w:rFonts w:eastAsia="黑体"/>
          <w:kern w:val="0"/>
          <w:sz w:val="32"/>
          <w:szCs w:val="32"/>
        </w:rPr>
      </w:pPr>
      <w:bookmarkStart w:id="129" w:name="_Toc13800_WPSOffice_Level2"/>
      <w:r>
        <w:rPr>
          <w:rFonts w:eastAsia="黑体"/>
          <w:kern w:val="0"/>
          <w:sz w:val="32"/>
          <w:szCs w:val="32"/>
        </w:rPr>
        <w:t>三、项目实施及管理情况</w:t>
      </w:r>
      <w:bookmarkEnd w:id="129"/>
    </w:p>
    <w:p w14:paraId="6EFF6F70">
      <w:pPr>
        <w:autoSpaceDE w:val="0"/>
        <w:autoSpaceDN w:val="0"/>
        <w:adjustRightInd w:val="0"/>
        <w:spacing w:line="600" w:lineRule="exact"/>
        <w:ind w:firstLine="640" w:firstLineChars="200"/>
        <w:jc w:val="left"/>
        <w:rPr>
          <w:rFonts w:eastAsia="仿宋_GB2312"/>
          <w:sz w:val="32"/>
          <w:szCs w:val="32"/>
        </w:rPr>
      </w:pPr>
      <w:r>
        <w:rPr>
          <w:rFonts w:hint="eastAsia" w:eastAsia="仿宋_GB2312"/>
          <w:sz w:val="32"/>
          <w:szCs w:val="32"/>
        </w:rPr>
        <w:t>本项目支出均按照有关规章制度和项目实施完成情况进行支付。并建立相关的管理制度，有专人负责，项目进行前进行集体研究讨论，项目进行时负责人及时跟踪项目实施情况，并及时提出意见和建议。</w:t>
      </w:r>
    </w:p>
    <w:p w14:paraId="2A6B5AA8">
      <w:pPr>
        <w:autoSpaceDE w:val="0"/>
        <w:autoSpaceDN w:val="0"/>
        <w:adjustRightInd w:val="0"/>
        <w:spacing w:line="600" w:lineRule="exact"/>
        <w:ind w:firstLine="640" w:firstLineChars="200"/>
        <w:jc w:val="left"/>
        <w:rPr>
          <w:rFonts w:eastAsia="黑体"/>
          <w:kern w:val="0"/>
          <w:sz w:val="32"/>
          <w:szCs w:val="32"/>
        </w:rPr>
      </w:pPr>
      <w:bookmarkStart w:id="130" w:name="_Toc12421_WPSOffice_Level2"/>
      <w:r>
        <w:rPr>
          <w:rFonts w:eastAsia="黑体"/>
          <w:kern w:val="0"/>
          <w:sz w:val="32"/>
          <w:szCs w:val="32"/>
        </w:rPr>
        <w:t>四、项目绩效情况</w:t>
      </w:r>
      <w:bookmarkEnd w:id="130"/>
    </w:p>
    <w:p w14:paraId="50B80E27">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（一）项目完成情况。</w:t>
      </w:r>
    </w:p>
    <w:p w14:paraId="410D021E">
      <w:pPr>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项目支出主要包括法治宣传费及资料印刷费。完成整个项目支出3.94万元。</w:t>
      </w:r>
    </w:p>
    <w:p w14:paraId="4C429603">
      <w:pPr>
        <w:numPr>
          <w:ilvl w:val="0"/>
          <w:numId w:val="9"/>
        </w:num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项目效益情况。</w:t>
      </w:r>
    </w:p>
    <w:p w14:paraId="6D135FD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开展“三下乡”、“美好生活.民法典相伴”“12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4”国家宪法日等十多项主题活动法治宣传，在全县营造了良好法治环境。开展关爱青少年健康行动法治讲堂8场次，增强青少年法治观念教育活动16次；开展“法律七进”集中宣传活动23场次，进机关5次、进学校13次、进社区20次、进乡村40次、进寺庙1次、进企业1次、进单位3次，解答群众咨询206余件；法律进学校”共举行法治宣传教育活动89次（法治副校长举办法治教育讲座56次，青少年走进青少年法治教育基地7次，开展模拟法庭6次）；进入10个重点村（社区）开展“民法典走进乡村（社区）”“三个一百”主题宣讲活动”。共发放普法宣传材料30000余份、民法典年历、法治围裙、法治环保袋等法治宣传用品10000余份。推动全民普法教育深入开展，提升公民法律素养，给予普法保障，推动工作开展。</w:t>
      </w:r>
    </w:p>
    <w:p w14:paraId="3909C59B">
      <w:pPr>
        <w:autoSpaceDE w:val="0"/>
        <w:autoSpaceDN w:val="0"/>
        <w:adjustRightInd w:val="0"/>
        <w:spacing w:line="600" w:lineRule="exact"/>
        <w:ind w:firstLine="640" w:firstLineChars="200"/>
        <w:jc w:val="left"/>
        <w:rPr>
          <w:rFonts w:eastAsia="黑体"/>
          <w:kern w:val="0"/>
          <w:sz w:val="32"/>
          <w:szCs w:val="32"/>
        </w:rPr>
      </w:pPr>
      <w:bookmarkStart w:id="131" w:name="_Toc6338_WPSOffice_Level2"/>
      <w:r>
        <w:rPr>
          <w:rFonts w:eastAsia="黑体"/>
          <w:kern w:val="0"/>
          <w:sz w:val="32"/>
          <w:szCs w:val="32"/>
        </w:rPr>
        <w:t>五、评价结论及建议</w:t>
      </w:r>
      <w:bookmarkEnd w:id="131"/>
    </w:p>
    <w:p w14:paraId="6E53B33A">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（一）评价结论。</w:t>
      </w:r>
    </w:p>
    <w:p w14:paraId="7329F1C2">
      <w:pPr>
        <w:spacing w:line="560" w:lineRule="exact"/>
        <w:ind w:firstLine="640" w:firstLineChars="200"/>
        <w:rPr>
          <w:rFonts w:eastAsia="仿宋_GB2312"/>
          <w:sz w:val="32"/>
          <w:szCs w:val="32"/>
        </w:rPr>
      </w:pPr>
      <w:r>
        <w:rPr>
          <w:rFonts w:hint="eastAsia" w:ascii="方正仿宋_GBK" w:hAnsi="仿宋" w:eastAsia="方正仿宋_GBK"/>
          <w:sz w:val="32"/>
          <w:szCs w:val="32"/>
        </w:rPr>
        <w:t>本年度专项工作经费管理规范，按计划圆满完成了各项工作目标，该项工作总体较满意。</w:t>
      </w:r>
    </w:p>
    <w:p w14:paraId="6DA395C7">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（二）存在的问题。</w:t>
      </w:r>
    </w:p>
    <w:p w14:paraId="33DA01C2">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无</w:t>
      </w:r>
    </w:p>
    <w:p w14:paraId="40C44541">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（三）相关建议。</w:t>
      </w:r>
    </w:p>
    <w:p w14:paraId="0ED92C6E">
      <w:pPr>
        <w:pStyle w:val="10"/>
        <w:spacing w:line="600" w:lineRule="exact"/>
        <w:ind w:firstLine="640" w:firstLineChars="200"/>
        <w:jc w:val="left"/>
        <w:rPr>
          <w:rFonts w:ascii="黑体" w:hAnsi="黑体" w:eastAsia="黑体" w:cs="仿宋_GB2312"/>
          <w:sz w:val="32"/>
          <w:szCs w:val="32"/>
        </w:rPr>
      </w:pPr>
      <w:r>
        <w:rPr>
          <w:rFonts w:hint="eastAsia" w:ascii="Times New Roman" w:hAnsi="Times New Roman" w:eastAsia="仿宋_GB2312"/>
          <w:kern w:val="0"/>
          <w:sz w:val="32"/>
          <w:szCs w:val="32"/>
        </w:rPr>
        <w:t>无</w:t>
      </w:r>
    </w:p>
    <w:p w14:paraId="04A03EE1">
      <w:pPr>
        <w:autoSpaceDE w:val="0"/>
        <w:autoSpaceDN w:val="0"/>
        <w:adjustRightInd w:val="0"/>
        <w:spacing w:line="600" w:lineRule="exact"/>
        <w:jc w:val="center"/>
        <w:rPr>
          <w:rFonts w:ascii="方正小标宋_GBK" w:hAnsi="方正小标宋_GBK" w:eastAsia="方正小标宋_GBK" w:cs="方正小标宋_GBK"/>
          <w:sz w:val="36"/>
          <w:szCs w:val="36"/>
        </w:rPr>
      </w:pPr>
      <w:bookmarkStart w:id="132" w:name="_Toc14849_WPSOffice_Level2"/>
      <w:r>
        <w:rPr>
          <w:rFonts w:hint="eastAsia" w:ascii="方正小标宋_GBK" w:hAnsi="方正小标宋_GBK" w:eastAsia="方正小标宋_GBK" w:cs="方正小标宋_GBK"/>
          <w:sz w:val="36"/>
          <w:szCs w:val="36"/>
        </w:rPr>
        <w:t>政法队伍教育整顿工作经费</w:t>
      </w:r>
      <w:bookmarkEnd w:id="132"/>
    </w:p>
    <w:p w14:paraId="27FCF83D">
      <w:pPr>
        <w:autoSpaceDE w:val="0"/>
        <w:autoSpaceDN w:val="0"/>
        <w:adjustRightInd w:val="0"/>
        <w:spacing w:line="600" w:lineRule="exact"/>
        <w:jc w:val="center"/>
        <w:rPr>
          <w:rFonts w:ascii="方正小标宋_GBK" w:hAnsi="方正小标宋_GBK" w:eastAsia="方正小标宋_GBK" w:cs="方正小标宋_GBK"/>
          <w:sz w:val="36"/>
          <w:szCs w:val="36"/>
        </w:rPr>
      </w:pPr>
      <w:bookmarkStart w:id="133" w:name="_Toc25037_WPSOffice_Level2"/>
      <w:r>
        <w:rPr>
          <w:rFonts w:hint="eastAsia" w:ascii="方正小标宋_GBK" w:hAnsi="方正小标宋_GBK" w:eastAsia="方正小标宋_GBK" w:cs="方正小标宋_GBK"/>
          <w:sz w:val="36"/>
          <w:szCs w:val="36"/>
        </w:rPr>
        <w:t>绩效自评报告</w:t>
      </w:r>
      <w:bookmarkEnd w:id="133"/>
    </w:p>
    <w:p w14:paraId="2AD5EDB6">
      <w:pPr>
        <w:autoSpaceDE w:val="0"/>
        <w:autoSpaceDN w:val="0"/>
        <w:adjustRightInd w:val="0"/>
        <w:spacing w:line="600" w:lineRule="exact"/>
        <w:ind w:firstLine="880" w:firstLineChars="200"/>
        <w:jc w:val="left"/>
        <w:rPr>
          <w:rFonts w:ascii="黑体" w:hAnsi="黑体" w:eastAsia="黑体" w:cs="黑体"/>
          <w:sz w:val="44"/>
          <w:szCs w:val="44"/>
        </w:rPr>
      </w:pPr>
    </w:p>
    <w:p w14:paraId="10C8149E">
      <w:pPr>
        <w:autoSpaceDE w:val="0"/>
        <w:autoSpaceDN w:val="0"/>
        <w:adjustRightInd w:val="0"/>
        <w:spacing w:line="600" w:lineRule="exact"/>
        <w:ind w:firstLine="640" w:firstLineChars="200"/>
        <w:jc w:val="left"/>
        <w:rPr>
          <w:rFonts w:eastAsia="黑体"/>
          <w:kern w:val="0"/>
          <w:sz w:val="32"/>
          <w:szCs w:val="32"/>
        </w:rPr>
      </w:pPr>
      <w:bookmarkStart w:id="134" w:name="_Toc15230_WPSOffice_Level2"/>
      <w:r>
        <w:rPr>
          <w:rFonts w:eastAsia="黑体"/>
          <w:kern w:val="0"/>
          <w:sz w:val="32"/>
          <w:szCs w:val="32"/>
        </w:rPr>
        <w:t>一、项目概况</w:t>
      </w:r>
      <w:bookmarkEnd w:id="134"/>
    </w:p>
    <w:p w14:paraId="1002EA34">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（一）项目基本情况</w:t>
      </w:r>
    </w:p>
    <w:p w14:paraId="7A6CBECC">
      <w:pPr>
        <w:spacing w:line="560" w:lineRule="exact"/>
        <w:ind w:firstLine="660"/>
        <w:rPr>
          <w:rFonts w:eastAsia="仿宋_GB2312"/>
          <w:sz w:val="32"/>
          <w:szCs w:val="32"/>
        </w:rPr>
      </w:pPr>
      <w:r>
        <w:rPr>
          <w:rFonts w:eastAsia="仿宋_GB2312"/>
          <w:sz w:val="32"/>
          <w:szCs w:val="32"/>
        </w:rPr>
        <w:t>1.</w:t>
      </w:r>
      <w:r>
        <w:rPr>
          <w:rFonts w:hint="eastAsia" w:eastAsia="仿宋_GB2312"/>
          <w:sz w:val="32"/>
          <w:szCs w:val="32"/>
        </w:rPr>
        <w:t>2021年全省开展政法队伍教育整顿工作，为保障政法队伍教育整顿工作有序推进，申请政法队伍教育整顿工作经费11.18万元。</w:t>
      </w:r>
    </w:p>
    <w:p w14:paraId="33118A60">
      <w:pPr>
        <w:spacing w:line="560" w:lineRule="exact"/>
        <w:ind w:firstLine="640" w:firstLineChars="200"/>
        <w:rPr>
          <w:rFonts w:eastAsia="仿宋_GB2312"/>
          <w:sz w:val="32"/>
          <w:szCs w:val="32"/>
        </w:rPr>
      </w:pPr>
      <w:r>
        <w:rPr>
          <w:rFonts w:eastAsia="仿宋_GB2312"/>
          <w:sz w:val="32"/>
          <w:szCs w:val="32"/>
        </w:rPr>
        <w:t>2.项目立项、资金申报的依据。</w:t>
      </w:r>
    </w:p>
    <w:p w14:paraId="58948BFF">
      <w:pPr>
        <w:spacing w:line="560" w:lineRule="exact"/>
        <w:ind w:firstLine="640" w:firstLineChars="200"/>
        <w:jc w:val="left"/>
        <w:rPr>
          <w:rFonts w:eastAsia="仿宋_GB2312"/>
          <w:sz w:val="32"/>
          <w:szCs w:val="32"/>
        </w:rPr>
      </w:pPr>
      <w:r>
        <w:rPr>
          <w:rFonts w:hint="eastAsia" w:eastAsia="仿宋_GB2312"/>
          <w:sz w:val="32"/>
          <w:szCs w:val="32"/>
        </w:rPr>
        <w:t>根据盐边县政法队伍教育整顿领导小组办公室《关于请求拨付全县政法队伍教育整顿工作经费的请示》（盐政整顿办</w:t>
      </w:r>
      <w:r>
        <w:rPr>
          <w:rFonts w:hint="eastAsia" w:ascii="仿宋" w:hAnsi="仿宋" w:eastAsia="仿宋" w:cs="仿宋"/>
          <w:sz w:val="32"/>
          <w:szCs w:val="32"/>
        </w:rPr>
        <w:t>〔2021〕41号</w:t>
      </w:r>
      <w:r>
        <w:rPr>
          <w:rFonts w:hint="eastAsia" w:eastAsia="仿宋_GB2312"/>
          <w:sz w:val="32"/>
          <w:szCs w:val="32"/>
        </w:rPr>
        <w:t>），下达县政法委工作经费11.18万元。</w:t>
      </w:r>
    </w:p>
    <w:p w14:paraId="1A3D049A">
      <w:pPr>
        <w:spacing w:line="560" w:lineRule="exact"/>
        <w:ind w:firstLine="640" w:firstLineChars="200"/>
        <w:rPr>
          <w:rFonts w:ascii="仿宋" w:hAnsi="仿宋" w:eastAsia="仿宋" w:cs="仿宋"/>
          <w:color w:val="000000"/>
          <w:kern w:val="0"/>
          <w:sz w:val="32"/>
          <w:szCs w:val="32"/>
        </w:rPr>
      </w:pPr>
      <w:r>
        <w:rPr>
          <w:rFonts w:eastAsia="仿宋_GB2312"/>
          <w:sz w:val="32"/>
          <w:szCs w:val="32"/>
        </w:rPr>
        <w:t>3.</w:t>
      </w:r>
      <w:r>
        <w:rPr>
          <w:rFonts w:hint="eastAsia" w:ascii="仿宋" w:hAnsi="仿宋" w:eastAsia="仿宋" w:cs="仿宋"/>
          <w:color w:val="000000"/>
          <w:kern w:val="0"/>
          <w:sz w:val="32"/>
          <w:szCs w:val="32"/>
        </w:rPr>
        <w:t>盐边县司法局严格按照项目目标任务，资金使用方向，严格审核把关，按工作开展进度及时报送计划、支付，严格执行专款专用。</w:t>
      </w:r>
    </w:p>
    <w:p w14:paraId="3D02B87D">
      <w:pPr>
        <w:spacing w:line="560" w:lineRule="exact"/>
        <w:ind w:firstLine="640" w:firstLineChars="200"/>
        <w:rPr>
          <w:rFonts w:eastAsia="楷体_GB2312"/>
          <w:kern w:val="0"/>
          <w:sz w:val="32"/>
          <w:szCs w:val="32"/>
        </w:rPr>
      </w:pPr>
      <w:r>
        <w:rPr>
          <w:rFonts w:eastAsia="仿宋_GB2312"/>
          <w:sz w:val="32"/>
          <w:szCs w:val="32"/>
        </w:rPr>
        <w:t>4.资金分配的原则及考虑因素。</w:t>
      </w:r>
      <w:r>
        <w:rPr>
          <w:rFonts w:hint="eastAsia" w:eastAsia="仿宋_GB2312"/>
          <w:sz w:val="32"/>
          <w:szCs w:val="32"/>
        </w:rPr>
        <w:t>政法队伍教育整顿工作经费11.18万元，按实际工作开展需求：宣传费及办公费7.04万元，印刷费1.2万元，差旅费1.82万元，车辆运行维护费1.00万元，其他业务费0.13万元。</w:t>
      </w:r>
    </w:p>
    <w:p w14:paraId="7A6B6B1D">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（二）项目绩效目标</w:t>
      </w:r>
    </w:p>
    <w:p w14:paraId="12ED941D">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1.</w:t>
      </w:r>
      <w:r>
        <w:rPr>
          <w:rFonts w:eastAsia="仿宋_GB2312"/>
          <w:kern w:val="0"/>
          <w:sz w:val="32"/>
          <w:szCs w:val="32"/>
        </w:rPr>
        <w:t>项目主要内容</w:t>
      </w:r>
      <w:r>
        <w:rPr>
          <w:rFonts w:hint="eastAsia" w:eastAsia="仿宋_GB2312"/>
          <w:kern w:val="0"/>
          <w:sz w:val="32"/>
          <w:szCs w:val="32"/>
        </w:rPr>
        <w:t>。</w:t>
      </w:r>
    </w:p>
    <w:p w14:paraId="45FA08CF">
      <w:pPr>
        <w:spacing w:line="560" w:lineRule="exact"/>
        <w:ind w:firstLine="640" w:firstLineChars="200"/>
        <w:jc w:val="left"/>
        <w:rPr>
          <w:rFonts w:eastAsia="仿宋_GB2312"/>
          <w:sz w:val="32"/>
          <w:szCs w:val="32"/>
        </w:rPr>
      </w:pPr>
      <w:r>
        <w:rPr>
          <w:rFonts w:hint="eastAsia" w:eastAsia="仿宋_GB2312"/>
          <w:sz w:val="32"/>
          <w:szCs w:val="32"/>
        </w:rPr>
        <w:t>2021年全省开展政法队伍教育整顿工作，为保障政法队伍教育整顿工作有序推进，根据盐边县政法队伍教育整顿领导小组办公室《关于请求拨付全县政法队伍教育整顿工作经费的请示》（盐政整顿办</w:t>
      </w:r>
      <w:r>
        <w:rPr>
          <w:rFonts w:hint="eastAsia" w:ascii="仿宋" w:hAnsi="仿宋" w:eastAsia="仿宋" w:cs="仿宋"/>
          <w:sz w:val="32"/>
          <w:szCs w:val="32"/>
        </w:rPr>
        <w:t>〔2021〕41号</w:t>
      </w:r>
      <w:r>
        <w:rPr>
          <w:rFonts w:hint="eastAsia" w:eastAsia="仿宋_GB2312"/>
          <w:sz w:val="32"/>
          <w:szCs w:val="32"/>
        </w:rPr>
        <w:t>），下达县司法局工作经费11.18万元。</w:t>
      </w:r>
    </w:p>
    <w:p w14:paraId="1416BD87">
      <w:pPr>
        <w:spacing w:line="560" w:lineRule="exact"/>
        <w:ind w:firstLine="640" w:firstLineChars="200"/>
        <w:jc w:val="left"/>
        <w:rPr>
          <w:rFonts w:eastAsia="仿宋_GB2312"/>
          <w:sz w:val="32"/>
          <w:szCs w:val="32"/>
        </w:rPr>
      </w:pPr>
      <w:r>
        <w:rPr>
          <w:rFonts w:hint="eastAsia" w:eastAsia="仿宋_GB2312"/>
          <w:sz w:val="32"/>
          <w:szCs w:val="32"/>
        </w:rPr>
        <w:t>2.</w:t>
      </w:r>
      <w:r>
        <w:rPr>
          <w:rFonts w:hint="eastAsia" w:ascii="仿宋" w:hAnsi="仿宋" w:eastAsia="仿宋" w:cs="仿宋"/>
          <w:sz w:val="32"/>
          <w:szCs w:val="32"/>
        </w:rPr>
        <w:t>盐边县</w:t>
      </w:r>
      <w:r>
        <w:rPr>
          <w:rFonts w:hint="eastAsia" w:eastAsia="仿宋_GB2312"/>
          <w:sz w:val="32"/>
          <w:szCs w:val="32"/>
        </w:rPr>
        <w:t>司法局</w:t>
      </w:r>
      <w:r>
        <w:rPr>
          <w:rFonts w:hint="eastAsia" w:ascii="仿宋" w:hAnsi="仿宋" w:eastAsia="仿宋" w:cs="仿宋"/>
          <w:sz w:val="32"/>
          <w:szCs w:val="32"/>
        </w:rPr>
        <w:t>政法队伍教育整顿工作经费</w:t>
      </w:r>
      <w:r>
        <w:rPr>
          <w:rFonts w:hint="eastAsia" w:eastAsia="仿宋_GB2312"/>
          <w:kern w:val="0"/>
          <w:sz w:val="32"/>
          <w:szCs w:val="32"/>
        </w:rPr>
        <w:t>及时下拨支出，</w:t>
      </w:r>
      <w:r>
        <w:rPr>
          <w:rFonts w:hint="eastAsia" w:eastAsia="仿宋_GB2312"/>
          <w:sz w:val="32"/>
          <w:szCs w:val="32"/>
        </w:rPr>
        <w:t>有力保障了县司法局政法队伍教育整顿的顺利开展，对提升司法局整体素质，促进司法局业务的发展具有巨大作用。</w:t>
      </w:r>
    </w:p>
    <w:p w14:paraId="593FDBF5">
      <w:pPr>
        <w:autoSpaceDE w:val="0"/>
        <w:autoSpaceDN w:val="0"/>
        <w:adjustRightInd w:val="0"/>
        <w:spacing w:line="600" w:lineRule="exact"/>
        <w:ind w:firstLine="640" w:firstLineChars="200"/>
        <w:jc w:val="left"/>
        <w:rPr>
          <w:rFonts w:eastAsia="仿宋_GB2312"/>
          <w:sz w:val="32"/>
          <w:szCs w:val="32"/>
        </w:rPr>
      </w:pPr>
      <w:r>
        <w:rPr>
          <w:rFonts w:hint="eastAsia" w:eastAsia="仿宋_GB2312"/>
          <w:kern w:val="0"/>
          <w:sz w:val="32"/>
          <w:szCs w:val="32"/>
        </w:rPr>
        <w:t>3.</w:t>
      </w:r>
      <w:r>
        <w:rPr>
          <w:rFonts w:hint="eastAsia" w:eastAsia="仿宋_GB2312"/>
          <w:sz w:val="32"/>
          <w:szCs w:val="32"/>
        </w:rPr>
        <w:t>项目分析评价申报内容与实际相符，申报目标合理可行。</w:t>
      </w:r>
    </w:p>
    <w:p w14:paraId="77E72B6B">
      <w:pPr>
        <w:autoSpaceDE w:val="0"/>
        <w:autoSpaceDN w:val="0"/>
        <w:adjustRightInd w:val="0"/>
        <w:spacing w:line="600" w:lineRule="exact"/>
        <w:ind w:firstLine="640" w:firstLineChars="200"/>
        <w:jc w:val="left"/>
        <w:rPr>
          <w:rFonts w:eastAsia="楷体_GB2312"/>
          <w:kern w:val="0"/>
          <w:sz w:val="32"/>
          <w:szCs w:val="32"/>
        </w:rPr>
      </w:pPr>
      <w:bookmarkStart w:id="135" w:name="_Toc8222_WPSOffice_Level2"/>
      <w:r>
        <w:rPr>
          <w:rFonts w:eastAsia="黑体"/>
          <w:kern w:val="0"/>
          <w:sz w:val="32"/>
          <w:szCs w:val="32"/>
        </w:rPr>
        <w:t>二、项目资金申报及使用情况</w:t>
      </w:r>
      <w:bookmarkEnd w:id="135"/>
    </w:p>
    <w:p w14:paraId="1D4862E2">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（一）项目资金申报及批复情况</w:t>
      </w:r>
    </w:p>
    <w:p w14:paraId="75ADE3C6">
      <w:pPr>
        <w:spacing w:line="560" w:lineRule="exact"/>
        <w:ind w:firstLine="640" w:firstLineChars="200"/>
        <w:rPr>
          <w:rFonts w:ascii="仿宋" w:hAnsi="仿宋" w:eastAsia="仿宋" w:cs="仿宋"/>
          <w:sz w:val="32"/>
          <w:szCs w:val="32"/>
        </w:rPr>
      </w:pPr>
      <w:r>
        <w:rPr>
          <w:rFonts w:hint="eastAsia" w:eastAsia="仿宋_GB2312"/>
          <w:sz w:val="32"/>
          <w:szCs w:val="32"/>
        </w:rPr>
        <w:t>根据盐边县政法队伍教育整顿领导小组办公室《关于请求拨付全县政法队伍教育整顿工作经费的请示》（盐政整顿办</w:t>
      </w:r>
      <w:r>
        <w:rPr>
          <w:rFonts w:hint="eastAsia" w:ascii="仿宋" w:hAnsi="仿宋" w:eastAsia="仿宋" w:cs="仿宋"/>
          <w:sz w:val="32"/>
          <w:szCs w:val="32"/>
        </w:rPr>
        <w:t>〔2021〕41号</w:t>
      </w:r>
      <w:r>
        <w:rPr>
          <w:rFonts w:hint="eastAsia" w:eastAsia="仿宋_GB2312"/>
          <w:sz w:val="32"/>
          <w:szCs w:val="32"/>
        </w:rPr>
        <w:t>），经县政府同意，下达政法委政法队伍教育整顿工作经费11.18万元。</w:t>
      </w:r>
    </w:p>
    <w:p w14:paraId="536EC7C7">
      <w:pPr>
        <w:spacing w:line="560" w:lineRule="exact"/>
        <w:ind w:firstLine="643" w:firstLineChars="200"/>
        <w:rPr>
          <w:rFonts w:eastAsia="楷体_GB2312"/>
          <w:kern w:val="0"/>
          <w:sz w:val="32"/>
          <w:szCs w:val="32"/>
        </w:rPr>
      </w:pPr>
      <w:r>
        <w:rPr>
          <w:rFonts w:eastAsia="楷体_GB2312"/>
          <w:b/>
          <w:bCs/>
          <w:kern w:val="0"/>
          <w:sz w:val="32"/>
          <w:szCs w:val="32"/>
        </w:rPr>
        <w:t>（二）资金计划、到位及使用情况</w:t>
      </w:r>
    </w:p>
    <w:p w14:paraId="4E30F5E8">
      <w:pPr>
        <w:spacing w:line="560" w:lineRule="exact"/>
        <w:ind w:firstLine="643" w:firstLineChars="200"/>
        <w:rPr>
          <w:rFonts w:eastAsia="仿宋_GB2312"/>
          <w:b/>
          <w:sz w:val="32"/>
          <w:szCs w:val="32"/>
        </w:rPr>
      </w:pPr>
      <w:r>
        <w:rPr>
          <w:rFonts w:eastAsia="仿宋_GB2312"/>
          <w:b/>
          <w:sz w:val="32"/>
          <w:szCs w:val="32"/>
        </w:rPr>
        <w:t>1.资金计划</w:t>
      </w:r>
    </w:p>
    <w:p w14:paraId="439C8720">
      <w:pPr>
        <w:spacing w:line="560" w:lineRule="exact"/>
        <w:ind w:firstLine="660"/>
        <w:rPr>
          <w:rFonts w:eastAsia="仿宋_GB2312"/>
          <w:b/>
          <w:sz w:val="32"/>
          <w:szCs w:val="32"/>
        </w:rPr>
      </w:pPr>
      <w:r>
        <w:rPr>
          <w:rFonts w:hint="eastAsia" w:eastAsia="仿宋_GB2312"/>
          <w:sz w:val="32"/>
          <w:szCs w:val="32"/>
        </w:rPr>
        <w:t>2021年全省开展政法队伍教育整顿工作，为保障政法队伍教育整顿工作有序推进，申请政法队伍教育整顿工作经费11.18万元。</w:t>
      </w:r>
    </w:p>
    <w:p w14:paraId="47BD0F79">
      <w:pPr>
        <w:spacing w:line="560" w:lineRule="exact"/>
        <w:ind w:firstLine="643" w:firstLineChars="200"/>
        <w:rPr>
          <w:rFonts w:eastAsia="仿宋_GB2312"/>
          <w:b/>
          <w:sz w:val="32"/>
          <w:szCs w:val="32"/>
        </w:rPr>
      </w:pPr>
      <w:r>
        <w:rPr>
          <w:rFonts w:eastAsia="仿宋_GB2312"/>
          <w:b/>
          <w:sz w:val="32"/>
          <w:szCs w:val="32"/>
        </w:rPr>
        <w:t>2.资金到位</w:t>
      </w:r>
    </w:p>
    <w:p w14:paraId="65394B9C">
      <w:pPr>
        <w:autoSpaceDE w:val="0"/>
        <w:autoSpaceDN w:val="0"/>
        <w:adjustRightInd w:val="0"/>
        <w:spacing w:line="600" w:lineRule="exact"/>
        <w:ind w:firstLine="640" w:firstLineChars="200"/>
        <w:jc w:val="left"/>
        <w:rPr>
          <w:rFonts w:eastAsia="仿宋_GB2312"/>
          <w:sz w:val="32"/>
          <w:szCs w:val="32"/>
        </w:rPr>
      </w:pPr>
      <w:r>
        <w:rPr>
          <w:rFonts w:hint="eastAsia" w:ascii="仿宋" w:hAnsi="仿宋" w:eastAsia="仿宋" w:cs="仿宋"/>
          <w:sz w:val="32"/>
          <w:szCs w:val="32"/>
        </w:rPr>
        <w:t>2021年5月由盐财资行【2021】174号文，下达解决盐边县</w:t>
      </w:r>
      <w:r>
        <w:rPr>
          <w:rFonts w:hint="eastAsia" w:eastAsia="仿宋_GB2312"/>
          <w:sz w:val="32"/>
          <w:szCs w:val="32"/>
        </w:rPr>
        <w:t>司法局</w:t>
      </w:r>
      <w:r>
        <w:rPr>
          <w:rFonts w:hint="eastAsia" w:ascii="仿宋" w:hAnsi="仿宋" w:eastAsia="仿宋" w:cs="仿宋"/>
          <w:sz w:val="32"/>
          <w:szCs w:val="32"/>
        </w:rPr>
        <w:t>政法队伍教育整顿工作经费11.18</w:t>
      </w:r>
      <w:r>
        <w:rPr>
          <w:rFonts w:hint="eastAsia" w:eastAsia="仿宋_GB2312"/>
          <w:kern w:val="0"/>
          <w:sz w:val="32"/>
          <w:szCs w:val="32"/>
        </w:rPr>
        <w:t>万元，资金</w:t>
      </w:r>
      <w:r>
        <w:rPr>
          <w:rFonts w:hint="eastAsia" w:ascii="仿宋" w:hAnsi="仿宋" w:eastAsia="仿宋" w:cs="仿宋"/>
          <w:sz w:val="32"/>
          <w:szCs w:val="32"/>
        </w:rPr>
        <w:t>到位率100%。</w:t>
      </w:r>
    </w:p>
    <w:p w14:paraId="67FF8037">
      <w:pPr>
        <w:spacing w:line="560" w:lineRule="exact"/>
        <w:ind w:firstLine="643" w:firstLineChars="200"/>
        <w:rPr>
          <w:rFonts w:eastAsia="仿宋_GB2312"/>
          <w:b/>
          <w:sz w:val="32"/>
          <w:szCs w:val="32"/>
        </w:rPr>
      </w:pPr>
      <w:r>
        <w:rPr>
          <w:rFonts w:eastAsia="仿宋_GB2312"/>
          <w:b/>
          <w:sz w:val="32"/>
          <w:szCs w:val="32"/>
        </w:rPr>
        <w:t>3.资金使用</w:t>
      </w:r>
    </w:p>
    <w:p w14:paraId="72D1938E">
      <w:pPr>
        <w:spacing w:line="560" w:lineRule="exact"/>
        <w:ind w:firstLine="640" w:firstLineChars="200"/>
        <w:rPr>
          <w:rFonts w:eastAsia="仿宋_GB2312"/>
          <w:sz w:val="32"/>
          <w:szCs w:val="32"/>
        </w:rPr>
      </w:pPr>
      <w:r>
        <w:rPr>
          <w:rFonts w:hint="eastAsia" w:ascii="仿宋" w:hAnsi="仿宋" w:eastAsia="仿宋" w:cs="仿宋"/>
          <w:sz w:val="32"/>
          <w:szCs w:val="32"/>
        </w:rPr>
        <w:t>盐边县</w:t>
      </w:r>
      <w:r>
        <w:rPr>
          <w:rFonts w:hint="eastAsia" w:eastAsia="仿宋_GB2312"/>
          <w:sz w:val="32"/>
          <w:szCs w:val="32"/>
        </w:rPr>
        <w:t>司法局</w:t>
      </w:r>
      <w:r>
        <w:rPr>
          <w:rFonts w:hint="eastAsia" w:ascii="仿宋" w:hAnsi="仿宋" w:eastAsia="仿宋" w:cs="仿宋"/>
          <w:sz w:val="32"/>
          <w:szCs w:val="32"/>
        </w:rPr>
        <w:t>政法队伍教育整顿工作经费</w:t>
      </w:r>
      <w:r>
        <w:rPr>
          <w:rFonts w:hint="eastAsia" w:eastAsia="仿宋_GB2312"/>
          <w:sz w:val="32"/>
          <w:szCs w:val="32"/>
        </w:rPr>
        <w:t>到位后，县司法局严格按财经纪律、财务管理等相关规定，严格审核各项支出，及时支付，专款专用，资金支付完成100%。</w:t>
      </w:r>
    </w:p>
    <w:p w14:paraId="1DB3C7A5">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（三）项目财务管理情况</w:t>
      </w:r>
    </w:p>
    <w:p w14:paraId="59FFE996">
      <w:pPr>
        <w:spacing w:line="560" w:lineRule="exact"/>
        <w:ind w:firstLine="640" w:firstLineChars="200"/>
        <w:rPr>
          <w:rFonts w:eastAsia="仿宋_GB2312"/>
          <w:sz w:val="32"/>
          <w:szCs w:val="32"/>
        </w:rPr>
      </w:pPr>
      <w:r>
        <w:rPr>
          <w:rFonts w:hint="eastAsia" w:ascii="仿宋" w:hAnsi="仿宋" w:eastAsia="仿宋" w:cs="仿宋"/>
          <w:sz w:val="32"/>
          <w:szCs w:val="32"/>
        </w:rPr>
        <w:t>我单位严格执行《行政事业单位财务管理制度》，严格按照上级要求上报专项资金使用计划，并在实施过程中做到资金专项专用。所有支出严格按照财务会计管理规定，做到专项资金使用有计划、审批有手续、支出合理规范。</w:t>
      </w:r>
    </w:p>
    <w:p w14:paraId="5B40C608">
      <w:pPr>
        <w:autoSpaceDE w:val="0"/>
        <w:autoSpaceDN w:val="0"/>
        <w:adjustRightInd w:val="0"/>
        <w:spacing w:line="600" w:lineRule="exact"/>
        <w:ind w:firstLine="640" w:firstLineChars="200"/>
        <w:jc w:val="left"/>
        <w:rPr>
          <w:rFonts w:eastAsia="黑体"/>
          <w:kern w:val="0"/>
          <w:sz w:val="32"/>
          <w:szCs w:val="32"/>
        </w:rPr>
      </w:pPr>
      <w:bookmarkStart w:id="136" w:name="_Toc11862_WPSOffice_Level2"/>
      <w:r>
        <w:rPr>
          <w:rFonts w:eastAsia="黑体"/>
          <w:kern w:val="0"/>
          <w:sz w:val="32"/>
          <w:szCs w:val="32"/>
        </w:rPr>
        <w:t>三、项目实施及管理情况</w:t>
      </w:r>
      <w:bookmarkEnd w:id="136"/>
    </w:p>
    <w:p w14:paraId="66BCDF62">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（一）项目组织架构及实施流程</w:t>
      </w:r>
    </w:p>
    <w:p w14:paraId="0D494C97">
      <w:pPr>
        <w:autoSpaceDE w:val="0"/>
        <w:autoSpaceDN w:val="0"/>
        <w:adjustRightInd w:val="0"/>
        <w:spacing w:line="600" w:lineRule="exact"/>
        <w:ind w:firstLine="640" w:firstLineChars="200"/>
        <w:jc w:val="left"/>
        <w:rPr>
          <w:rFonts w:eastAsia="楷体_GB2312"/>
          <w:kern w:val="0"/>
          <w:sz w:val="32"/>
          <w:szCs w:val="32"/>
        </w:rPr>
      </w:pPr>
      <w:r>
        <w:rPr>
          <w:rFonts w:hint="eastAsia" w:eastAsia="仿宋_GB2312"/>
          <w:sz w:val="32"/>
          <w:szCs w:val="32"/>
        </w:rPr>
        <w:t>我单位严格按照政府采购流程及报销流程，审核、把关，由</w:t>
      </w:r>
      <w:r>
        <w:rPr>
          <w:rFonts w:hint="eastAsia" w:ascii="仿宋" w:hAnsi="仿宋" w:eastAsia="仿宋" w:cs="仿宋"/>
          <w:color w:val="000000"/>
          <w:kern w:val="0"/>
          <w:sz w:val="32"/>
          <w:szCs w:val="32"/>
        </w:rPr>
        <w:t>财务人员将计划录入平台后，再由县财政局进行审批后执行。</w:t>
      </w:r>
    </w:p>
    <w:p w14:paraId="70A667FC">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（二）项目管理情况</w:t>
      </w:r>
    </w:p>
    <w:p w14:paraId="1AEF5BE4">
      <w:pPr>
        <w:autoSpaceDE w:val="0"/>
        <w:autoSpaceDN w:val="0"/>
        <w:adjustRightInd w:val="0"/>
        <w:spacing w:line="600" w:lineRule="exact"/>
        <w:ind w:firstLine="640" w:firstLineChars="200"/>
        <w:jc w:val="left"/>
        <w:rPr>
          <w:rFonts w:eastAsia="仿宋_GB2312"/>
          <w:sz w:val="32"/>
          <w:szCs w:val="32"/>
        </w:rPr>
      </w:pPr>
      <w:r>
        <w:rPr>
          <w:rFonts w:hint="eastAsia" w:ascii="仿宋" w:hAnsi="仿宋" w:eastAsia="仿宋" w:cs="仿宋"/>
          <w:sz w:val="32"/>
          <w:szCs w:val="32"/>
        </w:rPr>
        <w:t>盐边县</w:t>
      </w:r>
      <w:r>
        <w:rPr>
          <w:rFonts w:hint="eastAsia" w:eastAsia="仿宋_GB2312"/>
          <w:sz w:val="32"/>
          <w:szCs w:val="32"/>
        </w:rPr>
        <w:t>司法局</w:t>
      </w:r>
      <w:r>
        <w:rPr>
          <w:rFonts w:hint="eastAsia" w:ascii="仿宋" w:hAnsi="仿宋" w:eastAsia="仿宋" w:cs="仿宋"/>
          <w:sz w:val="32"/>
          <w:szCs w:val="32"/>
        </w:rPr>
        <w:t>政法队伍教育整顿工作经费</w:t>
      </w:r>
      <w:r>
        <w:rPr>
          <w:rFonts w:hint="eastAsia" w:eastAsia="仿宋_GB2312"/>
          <w:sz w:val="32"/>
          <w:szCs w:val="32"/>
        </w:rPr>
        <w:t>支出严格按照财务管理制度执行。凭原始凭证进行审核报销，并对项目实施进度、资金支付真实性、必要性、及时性进行时时跟踪管理。</w:t>
      </w:r>
    </w:p>
    <w:p w14:paraId="581DC722">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（三）项目监管情况</w:t>
      </w:r>
    </w:p>
    <w:p w14:paraId="55EC34C2">
      <w:pPr>
        <w:autoSpaceDE w:val="0"/>
        <w:autoSpaceDN w:val="0"/>
        <w:adjustRightInd w:val="0"/>
        <w:spacing w:line="600" w:lineRule="exact"/>
        <w:ind w:firstLine="640" w:firstLineChars="200"/>
        <w:jc w:val="left"/>
        <w:rPr>
          <w:rFonts w:eastAsia="仿宋_GB2312"/>
          <w:kern w:val="0"/>
          <w:sz w:val="32"/>
          <w:szCs w:val="32"/>
        </w:rPr>
      </w:pPr>
      <w:r>
        <w:rPr>
          <w:rFonts w:hint="eastAsia" w:ascii="仿宋" w:hAnsi="仿宋" w:eastAsia="仿宋" w:cs="仿宋"/>
          <w:sz w:val="32"/>
          <w:szCs w:val="32"/>
        </w:rPr>
        <w:t>盐边县</w:t>
      </w:r>
      <w:r>
        <w:rPr>
          <w:rFonts w:hint="eastAsia" w:eastAsia="仿宋_GB2312"/>
          <w:sz w:val="32"/>
          <w:szCs w:val="32"/>
        </w:rPr>
        <w:t>司法局</w:t>
      </w:r>
      <w:r>
        <w:rPr>
          <w:rFonts w:hint="eastAsia" w:ascii="仿宋" w:hAnsi="仿宋" w:eastAsia="仿宋" w:cs="仿宋"/>
          <w:sz w:val="32"/>
          <w:szCs w:val="32"/>
        </w:rPr>
        <w:t>政法队伍教育整顿工作经费</w:t>
      </w:r>
      <w:r>
        <w:rPr>
          <w:rFonts w:hint="eastAsia" w:eastAsia="仿宋_GB2312"/>
          <w:kern w:val="0"/>
          <w:sz w:val="32"/>
          <w:szCs w:val="32"/>
        </w:rPr>
        <w:t>支出，县</w:t>
      </w:r>
      <w:r>
        <w:rPr>
          <w:rFonts w:hint="eastAsia" w:eastAsia="仿宋_GB2312"/>
          <w:sz w:val="32"/>
          <w:szCs w:val="32"/>
        </w:rPr>
        <w:t>司法局</w:t>
      </w:r>
      <w:r>
        <w:rPr>
          <w:rFonts w:hint="eastAsia" w:eastAsia="仿宋_GB2312"/>
          <w:kern w:val="0"/>
          <w:sz w:val="32"/>
          <w:szCs w:val="32"/>
        </w:rPr>
        <w:t>严格按照财经纪律，对项目后期实施进度、项目质效进行跟踪管理。</w:t>
      </w:r>
    </w:p>
    <w:p w14:paraId="39BDD47E">
      <w:pPr>
        <w:autoSpaceDE w:val="0"/>
        <w:autoSpaceDN w:val="0"/>
        <w:adjustRightInd w:val="0"/>
        <w:spacing w:line="600" w:lineRule="exact"/>
        <w:ind w:firstLine="640" w:firstLineChars="200"/>
        <w:jc w:val="left"/>
        <w:rPr>
          <w:rFonts w:eastAsia="黑体"/>
          <w:kern w:val="0"/>
          <w:sz w:val="32"/>
          <w:szCs w:val="32"/>
        </w:rPr>
      </w:pPr>
      <w:bookmarkStart w:id="137" w:name="_Toc23509_WPSOffice_Level2"/>
      <w:r>
        <w:rPr>
          <w:rFonts w:eastAsia="黑体"/>
          <w:kern w:val="0"/>
          <w:sz w:val="32"/>
          <w:szCs w:val="32"/>
        </w:rPr>
        <w:t>四、项目绩效情况</w:t>
      </w:r>
      <w:bookmarkEnd w:id="137"/>
    </w:p>
    <w:p w14:paraId="5C4349C9">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（一）项目完成情况</w:t>
      </w:r>
    </w:p>
    <w:p w14:paraId="693CA706">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政法队伍教育整顿开展以来，盐边县司法局始终将政法队伍教育整顿作为首要政治任务，迅速把思想和行动统一到中央和省委、市委、县委部署要求上来，局党组切实扛起全面从严管党治警的主体责任，围绕“五个过硬”要求，突出“四项任务”，狠抓“三个环节”，高标准谋划、高效率推进、高质量落实，确保教育整顿深入开展、取得实效。</w:t>
      </w:r>
    </w:p>
    <w:p w14:paraId="462F6BDC">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（二）项目效益情况</w:t>
      </w:r>
    </w:p>
    <w:p w14:paraId="65244DBC">
      <w:pPr>
        <w:pStyle w:val="6"/>
        <w:spacing w:line="576" w:lineRule="exact"/>
        <w:ind w:firstLine="640"/>
        <w:rPr>
          <w:rFonts w:ascii="仿宋_GB2312" w:eastAsia="仿宋_GB2312"/>
          <w:sz w:val="32"/>
          <w:szCs w:val="32"/>
        </w:rPr>
      </w:pPr>
      <w:r>
        <w:rPr>
          <w:rFonts w:hint="eastAsia" w:ascii="仿宋_GB2312" w:eastAsia="仿宋_GB2312"/>
          <w:sz w:val="32"/>
          <w:szCs w:val="32"/>
        </w:rPr>
        <w:t>盐边县司法局将持续总结教育整顿中暴露的突出问题，探索队伍建设、司法执法的全面从严管党治警制度机制，通过加强干部队伍思政教育和专业培训，进一步增强“四个意识”、坚定“四个自信”、做到“两个维护”，筑牢忠诚干净担当政治本色的思想基础；继续探索“我为群众办实事”常态化工作机制，通过持续开展“遵法评理会”建设、率先探索行政裁决和人民调解购买服务试点工作、全覆盖开通基层司法所“远程探视”平台，继续拓展司法便民、利民各项举措，坚持以奋发有为、昂扬向上的精神状态，将“我为群众办实事”实践活动开展得有声有色，不断提高人民群众的获得感和满意度，以实际行动推动我县司法行政系统队伍教育整顿工作深入开展、抓出成效。</w:t>
      </w:r>
    </w:p>
    <w:p w14:paraId="50793C53">
      <w:pPr>
        <w:autoSpaceDE w:val="0"/>
        <w:autoSpaceDN w:val="0"/>
        <w:adjustRightInd w:val="0"/>
        <w:spacing w:line="600" w:lineRule="exact"/>
        <w:ind w:firstLine="640" w:firstLineChars="200"/>
        <w:jc w:val="left"/>
        <w:rPr>
          <w:rFonts w:eastAsia="黑体"/>
          <w:kern w:val="0"/>
          <w:sz w:val="32"/>
          <w:szCs w:val="32"/>
        </w:rPr>
      </w:pPr>
      <w:bookmarkStart w:id="138" w:name="_Toc26004_WPSOffice_Level2"/>
      <w:r>
        <w:rPr>
          <w:rFonts w:eastAsia="黑体"/>
          <w:kern w:val="0"/>
          <w:sz w:val="32"/>
          <w:szCs w:val="32"/>
        </w:rPr>
        <w:t>五、评价结论及建议</w:t>
      </w:r>
      <w:bookmarkEnd w:id="138"/>
    </w:p>
    <w:p w14:paraId="4438888F">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（一）评价结论</w:t>
      </w:r>
    </w:p>
    <w:p w14:paraId="4CFD8E16">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该项目的及时、完整实施，</w:t>
      </w:r>
      <w:r>
        <w:rPr>
          <w:rFonts w:hint="eastAsia" w:eastAsia="仿宋_GB2312"/>
          <w:sz w:val="32"/>
          <w:szCs w:val="32"/>
        </w:rPr>
        <w:t>有力保障了县司法局政法队伍教育整顿的顺利开展，对提升司法局整体素质，促进司法局业务的发展具有巨大作用。</w:t>
      </w:r>
      <w:r>
        <w:rPr>
          <w:rFonts w:hint="eastAsia" w:ascii="仿宋" w:hAnsi="仿宋" w:eastAsia="仿宋" w:cs="仿宋"/>
          <w:sz w:val="32"/>
          <w:szCs w:val="32"/>
        </w:rPr>
        <w:t>项目执行率100%，满意度100%。</w:t>
      </w:r>
    </w:p>
    <w:p w14:paraId="299579D8">
      <w:pPr>
        <w:spacing w:line="560" w:lineRule="exact"/>
        <w:ind w:firstLine="643" w:firstLineChars="200"/>
        <w:rPr>
          <w:rFonts w:eastAsia="楷体_GB2312"/>
          <w:b/>
          <w:bCs/>
          <w:kern w:val="0"/>
          <w:sz w:val="32"/>
          <w:szCs w:val="32"/>
        </w:rPr>
      </w:pPr>
      <w:r>
        <w:rPr>
          <w:rFonts w:eastAsia="楷体_GB2312"/>
          <w:b/>
          <w:bCs/>
          <w:kern w:val="0"/>
          <w:sz w:val="32"/>
          <w:szCs w:val="32"/>
        </w:rPr>
        <w:t>（二）存在的问题</w:t>
      </w:r>
    </w:p>
    <w:p w14:paraId="0883FF56">
      <w:pPr>
        <w:autoSpaceDE w:val="0"/>
        <w:autoSpaceDN w:val="0"/>
        <w:adjustRightInd w:val="0"/>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无</w:t>
      </w:r>
    </w:p>
    <w:p w14:paraId="6A9598D2">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（三）相关建议</w:t>
      </w:r>
    </w:p>
    <w:p w14:paraId="37CFD0CE">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1.加强预算管理，细化项目管理</w:t>
      </w:r>
    </w:p>
    <w:p w14:paraId="688A43F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在编年年度预算时，在进行调查研究的基础上，充分论证项目立项的必要性、经济型、绩效目标合理性、实施方案可行性，项目实施达到预期效果，发挥最大效益。认真细化方案，明确责任人，做好各项支出绩效目标执行中的控制挂不努力，确保资金对应绩效目标执行，强化项目管理，确保项目按计划推进。</w:t>
      </w:r>
    </w:p>
    <w:p w14:paraId="2FE3E1E2">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2.严格人员管理，提高绩效目标管理水平</w:t>
      </w:r>
    </w:p>
    <w:p w14:paraId="2BDF9BA7">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加强财务人员培训，熟练掌握预算编制和预算执行等各项政策，严格遵守各项财经纪律，不断提高业务能力，不断提高绩效目标管理水平。</w:t>
      </w:r>
    </w:p>
    <w:p w14:paraId="666D1201"/>
    <w:p w14:paraId="1135C41C">
      <w:pPr>
        <w:autoSpaceDE w:val="0"/>
        <w:autoSpaceDN w:val="0"/>
        <w:adjustRightInd w:val="0"/>
        <w:spacing w:line="600" w:lineRule="exact"/>
        <w:jc w:val="center"/>
        <w:rPr>
          <w:rFonts w:ascii="方正小标宋_GBK" w:hAnsi="方正小标宋_GBK" w:eastAsia="方正小标宋_GBK" w:cs="方正小标宋_GBK"/>
          <w:sz w:val="36"/>
          <w:szCs w:val="36"/>
        </w:rPr>
      </w:pPr>
      <w:bookmarkStart w:id="139" w:name="_Toc403_WPSOffice_Level2"/>
      <w:r>
        <w:rPr>
          <w:rFonts w:hint="eastAsia" w:ascii="方正小标宋_GBK" w:hAnsi="方正小标宋_GBK" w:eastAsia="方正小标宋_GBK" w:cs="方正小标宋_GBK"/>
          <w:sz w:val="36"/>
          <w:szCs w:val="36"/>
        </w:rPr>
        <w:t>对上争取资金奖励自评报告</w:t>
      </w:r>
      <w:bookmarkEnd w:id="139"/>
    </w:p>
    <w:p w14:paraId="40C0F5E4">
      <w:pPr>
        <w:autoSpaceDE w:val="0"/>
        <w:autoSpaceDN w:val="0"/>
        <w:adjustRightInd w:val="0"/>
        <w:spacing w:line="600" w:lineRule="exact"/>
        <w:ind w:firstLine="880" w:firstLineChars="200"/>
        <w:jc w:val="left"/>
        <w:rPr>
          <w:rFonts w:ascii="黑体" w:hAnsi="黑体" w:eastAsia="黑体" w:cs="黑体"/>
          <w:sz w:val="44"/>
          <w:szCs w:val="44"/>
        </w:rPr>
      </w:pPr>
    </w:p>
    <w:p w14:paraId="7F10EE8D">
      <w:pPr>
        <w:autoSpaceDE w:val="0"/>
        <w:autoSpaceDN w:val="0"/>
        <w:adjustRightInd w:val="0"/>
        <w:spacing w:line="600" w:lineRule="exact"/>
        <w:ind w:firstLine="640" w:firstLineChars="200"/>
        <w:jc w:val="left"/>
        <w:rPr>
          <w:rFonts w:eastAsia="黑体"/>
          <w:kern w:val="0"/>
          <w:sz w:val="32"/>
          <w:szCs w:val="32"/>
        </w:rPr>
      </w:pPr>
      <w:bookmarkStart w:id="140" w:name="_Toc29195_WPSOffice_Level2"/>
      <w:r>
        <w:rPr>
          <w:rFonts w:eastAsia="黑体"/>
          <w:kern w:val="0"/>
          <w:sz w:val="32"/>
          <w:szCs w:val="32"/>
        </w:rPr>
        <w:t>一、项目概况</w:t>
      </w:r>
      <w:bookmarkEnd w:id="140"/>
    </w:p>
    <w:p w14:paraId="3C0A2C82">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（一）项目基本情况</w:t>
      </w:r>
    </w:p>
    <w:p w14:paraId="44C86867">
      <w:pPr>
        <w:spacing w:line="560" w:lineRule="exact"/>
        <w:ind w:firstLine="660"/>
        <w:rPr>
          <w:rFonts w:eastAsia="仿宋_GB2312"/>
          <w:sz w:val="32"/>
          <w:szCs w:val="32"/>
        </w:rPr>
      </w:pPr>
      <w:r>
        <w:rPr>
          <w:rFonts w:eastAsia="仿宋_GB2312"/>
          <w:sz w:val="32"/>
          <w:szCs w:val="32"/>
        </w:rPr>
        <w:t>1.</w:t>
      </w:r>
      <w:r>
        <w:rPr>
          <w:rFonts w:hint="eastAsia" w:eastAsia="仿宋_GB2312"/>
          <w:sz w:val="32"/>
          <w:szCs w:val="32"/>
        </w:rPr>
        <w:t>根据盐财资预【2021】28号下达2019年9至12月及2020年1至10月对上争取资金奖励；</w:t>
      </w:r>
      <w:r>
        <w:rPr>
          <w:rFonts w:hint="eastAsia" w:eastAsia="方正仿宋_GBK"/>
          <w:sz w:val="32"/>
          <w:szCs w:val="32"/>
        </w:rPr>
        <w:t>根据盐财资预〔2021〕80号下达2021年1至6月对上争取资金奖励，</w:t>
      </w:r>
      <w:r>
        <w:rPr>
          <w:rFonts w:hint="eastAsia" w:eastAsia="仿宋_GB2312"/>
          <w:sz w:val="32"/>
          <w:szCs w:val="32"/>
        </w:rPr>
        <w:t>下达司法局奖励经费6万元。</w:t>
      </w:r>
    </w:p>
    <w:p w14:paraId="6AFEAB8D">
      <w:pPr>
        <w:spacing w:line="560" w:lineRule="exact"/>
        <w:ind w:firstLine="640" w:firstLineChars="200"/>
        <w:rPr>
          <w:rFonts w:eastAsia="仿宋_GB2312"/>
          <w:sz w:val="32"/>
          <w:szCs w:val="32"/>
        </w:rPr>
      </w:pPr>
      <w:r>
        <w:rPr>
          <w:rFonts w:eastAsia="仿宋_GB2312"/>
          <w:sz w:val="32"/>
          <w:szCs w:val="32"/>
        </w:rPr>
        <w:t>2.项目立项、资金申报的依据。</w:t>
      </w:r>
    </w:p>
    <w:p w14:paraId="41302D18">
      <w:pPr>
        <w:spacing w:line="560" w:lineRule="exact"/>
        <w:ind w:firstLine="660"/>
        <w:rPr>
          <w:rFonts w:eastAsia="仿宋_GB2312"/>
          <w:sz w:val="32"/>
          <w:szCs w:val="32"/>
        </w:rPr>
      </w:pPr>
      <w:r>
        <w:rPr>
          <w:rFonts w:hint="eastAsia" w:eastAsia="仿宋_GB2312"/>
          <w:sz w:val="32"/>
          <w:szCs w:val="32"/>
        </w:rPr>
        <w:t>根据盐财资预【2021】28号下达2019年9至12月及2020年1至10月对上争取资金奖励；</w:t>
      </w:r>
      <w:r>
        <w:rPr>
          <w:rFonts w:hint="eastAsia" w:eastAsia="方正仿宋_GBK"/>
          <w:sz w:val="32"/>
          <w:szCs w:val="32"/>
        </w:rPr>
        <w:t>根据盐财资预〔2021〕80号下达2021年1至6月对上争取资金奖励，</w:t>
      </w:r>
      <w:r>
        <w:rPr>
          <w:rFonts w:hint="eastAsia" w:eastAsia="仿宋_GB2312"/>
          <w:sz w:val="32"/>
          <w:szCs w:val="32"/>
        </w:rPr>
        <w:t>下达司法局奖励经费6万元。用于司法业务工作支出</w:t>
      </w:r>
    </w:p>
    <w:p w14:paraId="6DC2287C">
      <w:pPr>
        <w:spacing w:line="560" w:lineRule="exact"/>
        <w:ind w:firstLine="640" w:firstLineChars="200"/>
        <w:rPr>
          <w:rFonts w:ascii="仿宋" w:hAnsi="仿宋" w:eastAsia="仿宋" w:cs="仿宋"/>
          <w:color w:val="000000"/>
          <w:kern w:val="0"/>
          <w:sz w:val="32"/>
          <w:szCs w:val="32"/>
        </w:rPr>
      </w:pPr>
      <w:r>
        <w:rPr>
          <w:rFonts w:eastAsia="仿宋_GB2312"/>
          <w:sz w:val="32"/>
          <w:szCs w:val="32"/>
        </w:rPr>
        <w:t>3.</w:t>
      </w:r>
      <w:r>
        <w:rPr>
          <w:rFonts w:hint="eastAsia" w:ascii="仿宋" w:hAnsi="仿宋" w:eastAsia="仿宋" w:cs="仿宋"/>
          <w:color w:val="000000"/>
          <w:kern w:val="0"/>
          <w:sz w:val="32"/>
          <w:szCs w:val="32"/>
        </w:rPr>
        <w:t>盐边县司法局严格按照项目目标任务，资金使用方向，严格审核把关，按工作开展进度及时报送计划、支付，严格执行专款专用。</w:t>
      </w:r>
    </w:p>
    <w:p w14:paraId="6274B810">
      <w:pPr>
        <w:spacing w:line="560" w:lineRule="exact"/>
        <w:ind w:firstLine="640" w:firstLineChars="200"/>
        <w:rPr>
          <w:rFonts w:eastAsia="仿宋_GB2312"/>
          <w:kern w:val="0"/>
          <w:sz w:val="32"/>
          <w:szCs w:val="32"/>
        </w:rPr>
      </w:pPr>
      <w:r>
        <w:rPr>
          <w:rFonts w:eastAsia="仿宋_GB2312"/>
          <w:sz w:val="32"/>
          <w:szCs w:val="32"/>
        </w:rPr>
        <w:t>4.资金分配的原则及考虑因素。</w:t>
      </w:r>
      <w:r>
        <w:rPr>
          <w:rFonts w:hint="eastAsia" w:eastAsia="仿宋_GB2312"/>
          <w:sz w:val="32"/>
          <w:szCs w:val="32"/>
        </w:rPr>
        <w:t>县财政下达司法局对上争取资金奖励经费3万元，用于司法业务工作需要。</w:t>
      </w:r>
    </w:p>
    <w:p w14:paraId="6F6AAC4B">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（二）项目绩效目标</w:t>
      </w:r>
    </w:p>
    <w:p w14:paraId="3A7E8A1D">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1.</w:t>
      </w:r>
      <w:r>
        <w:rPr>
          <w:rFonts w:eastAsia="仿宋_GB2312"/>
          <w:kern w:val="0"/>
          <w:sz w:val="32"/>
          <w:szCs w:val="32"/>
        </w:rPr>
        <w:t>项目主要内容</w:t>
      </w:r>
      <w:r>
        <w:rPr>
          <w:rFonts w:hint="eastAsia" w:eastAsia="仿宋_GB2312"/>
          <w:kern w:val="0"/>
          <w:sz w:val="32"/>
          <w:szCs w:val="32"/>
        </w:rPr>
        <w:t>。</w:t>
      </w:r>
    </w:p>
    <w:p w14:paraId="3E0E321E">
      <w:pPr>
        <w:spacing w:line="560" w:lineRule="exact"/>
        <w:ind w:firstLine="660"/>
        <w:rPr>
          <w:rFonts w:eastAsia="仿宋_GB2312"/>
          <w:sz w:val="32"/>
          <w:szCs w:val="32"/>
        </w:rPr>
      </w:pPr>
      <w:r>
        <w:rPr>
          <w:rFonts w:hint="eastAsia" w:eastAsia="仿宋_GB2312"/>
          <w:sz w:val="32"/>
          <w:szCs w:val="32"/>
        </w:rPr>
        <w:t>根据盐财资预【2021】28号下达2019年9至12月及2020年1至10月对上争取资金奖励；</w:t>
      </w:r>
      <w:r>
        <w:rPr>
          <w:rFonts w:hint="eastAsia" w:eastAsia="方正仿宋_GBK"/>
          <w:sz w:val="32"/>
          <w:szCs w:val="32"/>
        </w:rPr>
        <w:t>根据盐财资预〔2021〕80号下达2021年1至6月对上争取资金奖励，</w:t>
      </w:r>
      <w:r>
        <w:rPr>
          <w:rFonts w:hint="eastAsia" w:eastAsia="仿宋_GB2312"/>
          <w:sz w:val="32"/>
          <w:szCs w:val="32"/>
        </w:rPr>
        <w:t>下达司法局奖励经费6万元。</w:t>
      </w:r>
    </w:p>
    <w:p w14:paraId="26D1607E">
      <w:pPr>
        <w:spacing w:line="560" w:lineRule="exact"/>
        <w:ind w:firstLine="640" w:firstLineChars="200"/>
        <w:rPr>
          <w:rFonts w:eastAsia="仿宋_GB2312"/>
          <w:sz w:val="32"/>
          <w:szCs w:val="32"/>
        </w:rPr>
      </w:pPr>
      <w:r>
        <w:rPr>
          <w:rFonts w:hint="eastAsia" w:eastAsia="仿宋_GB2312"/>
          <w:sz w:val="32"/>
          <w:szCs w:val="32"/>
        </w:rPr>
        <w:t>2.</w:t>
      </w:r>
      <w:r>
        <w:rPr>
          <w:rFonts w:hint="eastAsia" w:ascii="Calibri" w:hAnsi="Calibri" w:eastAsia="仿宋_GB2312"/>
          <w:sz w:val="32"/>
          <w:szCs w:val="32"/>
        </w:rPr>
        <w:t>盐边县</w:t>
      </w:r>
      <w:r>
        <w:rPr>
          <w:rFonts w:hint="eastAsia" w:eastAsia="仿宋_GB2312"/>
          <w:sz w:val="32"/>
          <w:szCs w:val="32"/>
        </w:rPr>
        <w:t>司法</w:t>
      </w:r>
      <w:r>
        <w:rPr>
          <w:rFonts w:hint="eastAsia" w:ascii="Calibri" w:hAnsi="Calibri" w:eastAsia="仿宋_GB2312"/>
          <w:sz w:val="32"/>
          <w:szCs w:val="32"/>
        </w:rPr>
        <w:t>局对上争取资金奖励</w:t>
      </w:r>
      <w:r>
        <w:rPr>
          <w:rFonts w:hint="eastAsia" w:eastAsia="仿宋_GB2312"/>
          <w:sz w:val="32"/>
          <w:szCs w:val="32"/>
        </w:rPr>
        <w:t>经费</w:t>
      </w:r>
      <w:r>
        <w:rPr>
          <w:rFonts w:hint="eastAsia" w:ascii="Calibri" w:hAnsi="Calibri" w:eastAsia="仿宋_GB2312"/>
          <w:sz w:val="32"/>
          <w:szCs w:val="32"/>
        </w:rPr>
        <w:t>及</w:t>
      </w:r>
      <w:r>
        <w:rPr>
          <w:rFonts w:hint="eastAsia" w:eastAsia="仿宋_GB2312"/>
          <w:kern w:val="0"/>
          <w:sz w:val="32"/>
          <w:szCs w:val="32"/>
        </w:rPr>
        <w:t>时下拨支出，</w:t>
      </w:r>
      <w:r>
        <w:rPr>
          <w:rFonts w:hint="eastAsia" w:eastAsia="仿宋_GB2312"/>
          <w:sz w:val="32"/>
          <w:szCs w:val="32"/>
        </w:rPr>
        <w:t>对促进司法业务工作开展，鼓励县司法局加大对上争取资金具有重要意义。</w:t>
      </w:r>
    </w:p>
    <w:p w14:paraId="2A6672E5">
      <w:pPr>
        <w:autoSpaceDE w:val="0"/>
        <w:autoSpaceDN w:val="0"/>
        <w:adjustRightInd w:val="0"/>
        <w:spacing w:line="600" w:lineRule="exact"/>
        <w:ind w:firstLine="640" w:firstLineChars="200"/>
        <w:jc w:val="left"/>
        <w:rPr>
          <w:rFonts w:eastAsia="仿宋_GB2312"/>
          <w:sz w:val="32"/>
          <w:szCs w:val="32"/>
        </w:rPr>
      </w:pPr>
      <w:r>
        <w:rPr>
          <w:rFonts w:hint="eastAsia" w:eastAsia="仿宋_GB2312"/>
          <w:kern w:val="0"/>
          <w:sz w:val="32"/>
          <w:szCs w:val="32"/>
        </w:rPr>
        <w:t>3.</w:t>
      </w:r>
      <w:r>
        <w:rPr>
          <w:rFonts w:hint="eastAsia" w:eastAsia="仿宋_GB2312"/>
          <w:sz w:val="32"/>
          <w:szCs w:val="32"/>
        </w:rPr>
        <w:t>项目分析评价申报内容与实际相符，申报目标合理可行。</w:t>
      </w:r>
    </w:p>
    <w:p w14:paraId="64BDA8CB">
      <w:pPr>
        <w:autoSpaceDE w:val="0"/>
        <w:autoSpaceDN w:val="0"/>
        <w:adjustRightInd w:val="0"/>
        <w:spacing w:line="600" w:lineRule="exact"/>
        <w:ind w:firstLine="640" w:firstLineChars="200"/>
        <w:jc w:val="left"/>
        <w:rPr>
          <w:rFonts w:eastAsia="楷体_GB2312"/>
          <w:kern w:val="0"/>
          <w:sz w:val="32"/>
          <w:szCs w:val="32"/>
        </w:rPr>
      </w:pPr>
      <w:bookmarkStart w:id="141" w:name="_Toc17076_WPSOffice_Level2"/>
      <w:r>
        <w:rPr>
          <w:rFonts w:eastAsia="黑体"/>
          <w:kern w:val="0"/>
          <w:sz w:val="32"/>
          <w:szCs w:val="32"/>
        </w:rPr>
        <w:t>二、项目资金申报及使用情况</w:t>
      </w:r>
      <w:bookmarkEnd w:id="141"/>
    </w:p>
    <w:p w14:paraId="05BA58ED">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（一）项目资金申报及批复情况</w:t>
      </w:r>
    </w:p>
    <w:p w14:paraId="100E3AF3">
      <w:pPr>
        <w:spacing w:line="560" w:lineRule="exact"/>
        <w:ind w:firstLine="660"/>
        <w:rPr>
          <w:rFonts w:eastAsia="仿宋_GB2312"/>
          <w:sz w:val="32"/>
          <w:szCs w:val="32"/>
        </w:rPr>
      </w:pPr>
      <w:r>
        <w:rPr>
          <w:rFonts w:hint="eastAsia" w:eastAsia="仿宋_GB2312"/>
          <w:sz w:val="32"/>
          <w:szCs w:val="32"/>
        </w:rPr>
        <w:t>根据盐财资预【2021】28号下达2019年9至12月及2020年1至10月对上争取资金奖励；</w:t>
      </w:r>
      <w:r>
        <w:rPr>
          <w:rFonts w:hint="eastAsia" w:eastAsia="方正仿宋_GBK"/>
          <w:sz w:val="32"/>
          <w:szCs w:val="32"/>
        </w:rPr>
        <w:t>根据盐财资预〔2021〕80号下达2021年1至6月对上争取资金奖励，</w:t>
      </w:r>
      <w:r>
        <w:rPr>
          <w:rFonts w:hint="eastAsia" w:eastAsia="仿宋_GB2312"/>
          <w:sz w:val="32"/>
          <w:szCs w:val="32"/>
        </w:rPr>
        <w:t>下达司法局奖励经费6万元。</w:t>
      </w:r>
    </w:p>
    <w:p w14:paraId="0F66D12F">
      <w:pPr>
        <w:spacing w:line="560" w:lineRule="exact"/>
        <w:ind w:firstLine="643" w:firstLineChars="200"/>
        <w:rPr>
          <w:rFonts w:eastAsia="楷体_GB2312"/>
          <w:kern w:val="0"/>
          <w:sz w:val="32"/>
          <w:szCs w:val="32"/>
        </w:rPr>
      </w:pPr>
      <w:r>
        <w:rPr>
          <w:rFonts w:eastAsia="楷体_GB2312"/>
          <w:b/>
          <w:bCs/>
          <w:kern w:val="0"/>
          <w:sz w:val="32"/>
          <w:szCs w:val="32"/>
        </w:rPr>
        <w:t>（二）资金计划、到位及使用情况</w:t>
      </w:r>
    </w:p>
    <w:p w14:paraId="6EFF78C4">
      <w:pPr>
        <w:spacing w:line="560" w:lineRule="exact"/>
        <w:ind w:firstLine="643" w:firstLineChars="200"/>
        <w:rPr>
          <w:rFonts w:eastAsia="仿宋_GB2312"/>
          <w:b/>
          <w:sz w:val="32"/>
          <w:szCs w:val="32"/>
        </w:rPr>
      </w:pPr>
      <w:r>
        <w:rPr>
          <w:rFonts w:eastAsia="仿宋_GB2312"/>
          <w:b/>
          <w:sz w:val="32"/>
          <w:szCs w:val="32"/>
        </w:rPr>
        <w:t>1.资金计划</w:t>
      </w:r>
    </w:p>
    <w:p w14:paraId="704F6C39">
      <w:pPr>
        <w:spacing w:line="560" w:lineRule="exact"/>
        <w:ind w:firstLine="660"/>
        <w:rPr>
          <w:rFonts w:eastAsia="仿宋_GB2312"/>
          <w:sz w:val="32"/>
          <w:szCs w:val="32"/>
        </w:rPr>
      </w:pPr>
      <w:r>
        <w:rPr>
          <w:rFonts w:hint="eastAsia" w:eastAsia="仿宋_GB2312"/>
          <w:sz w:val="32"/>
          <w:szCs w:val="32"/>
        </w:rPr>
        <w:t>根据盐财资预【2021】28号下达2019年9至12月及2020年1至10月对上争取资金奖励；</w:t>
      </w:r>
      <w:r>
        <w:rPr>
          <w:rFonts w:hint="eastAsia" w:eastAsia="方正仿宋_GBK"/>
          <w:sz w:val="32"/>
          <w:szCs w:val="32"/>
        </w:rPr>
        <w:t>根据盐财资预〔2021〕80号下达2021年1至6月对上争取资金奖励，</w:t>
      </w:r>
      <w:r>
        <w:rPr>
          <w:rFonts w:hint="eastAsia" w:eastAsia="仿宋_GB2312"/>
          <w:sz w:val="32"/>
          <w:szCs w:val="32"/>
        </w:rPr>
        <w:t>下达司法局奖励经费6万元。</w:t>
      </w:r>
    </w:p>
    <w:p w14:paraId="67C6688B">
      <w:pPr>
        <w:spacing w:line="560" w:lineRule="exact"/>
        <w:ind w:firstLine="643" w:firstLineChars="200"/>
        <w:rPr>
          <w:rFonts w:eastAsia="仿宋_GB2312"/>
          <w:b/>
          <w:sz w:val="32"/>
          <w:szCs w:val="32"/>
        </w:rPr>
      </w:pPr>
      <w:r>
        <w:rPr>
          <w:rFonts w:eastAsia="仿宋_GB2312"/>
          <w:b/>
          <w:sz w:val="32"/>
          <w:szCs w:val="32"/>
        </w:rPr>
        <w:t>2.资金到位</w:t>
      </w:r>
    </w:p>
    <w:p w14:paraId="38CFB5B5">
      <w:pPr>
        <w:autoSpaceDE w:val="0"/>
        <w:autoSpaceDN w:val="0"/>
        <w:adjustRightInd w:val="0"/>
        <w:spacing w:line="600" w:lineRule="exact"/>
        <w:ind w:firstLine="640" w:firstLineChars="200"/>
        <w:jc w:val="left"/>
        <w:rPr>
          <w:rFonts w:eastAsia="仿宋_GB2312"/>
          <w:sz w:val="32"/>
          <w:szCs w:val="32"/>
        </w:rPr>
      </w:pPr>
      <w:r>
        <w:rPr>
          <w:rFonts w:hint="eastAsia" w:ascii="仿宋" w:hAnsi="仿宋" w:eastAsia="仿宋" w:cs="仿宋"/>
          <w:sz w:val="32"/>
          <w:szCs w:val="32"/>
        </w:rPr>
        <w:t>2021年3月由</w:t>
      </w:r>
      <w:r>
        <w:rPr>
          <w:rFonts w:hint="eastAsia" w:eastAsia="仿宋_GB2312"/>
          <w:sz w:val="32"/>
          <w:szCs w:val="32"/>
        </w:rPr>
        <w:t>盐财资预【2021】28号文</w:t>
      </w:r>
      <w:r>
        <w:rPr>
          <w:rFonts w:hint="eastAsia" w:ascii="仿宋" w:hAnsi="仿宋" w:eastAsia="仿宋" w:cs="仿宋"/>
          <w:sz w:val="32"/>
          <w:szCs w:val="32"/>
        </w:rPr>
        <w:t>，</w:t>
      </w:r>
      <w:r>
        <w:rPr>
          <w:rFonts w:hint="eastAsia" w:eastAsia="方正仿宋_GBK"/>
          <w:sz w:val="32"/>
          <w:szCs w:val="32"/>
        </w:rPr>
        <w:t>根据盐财资预〔2021〕80号</w:t>
      </w:r>
      <w:r>
        <w:rPr>
          <w:rFonts w:hint="eastAsia" w:ascii="仿宋" w:hAnsi="仿宋" w:eastAsia="仿宋" w:cs="仿宋"/>
          <w:sz w:val="32"/>
          <w:szCs w:val="32"/>
        </w:rPr>
        <w:t>下达解决</w:t>
      </w:r>
      <w:r>
        <w:rPr>
          <w:rFonts w:hint="eastAsia" w:ascii="Calibri" w:hAnsi="Calibri" w:eastAsia="仿宋_GB2312"/>
          <w:sz w:val="32"/>
          <w:szCs w:val="32"/>
        </w:rPr>
        <w:t>盐边县</w:t>
      </w:r>
      <w:r>
        <w:rPr>
          <w:rFonts w:hint="eastAsia" w:eastAsia="仿宋_GB2312"/>
          <w:sz w:val="32"/>
          <w:szCs w:val="32"/>
        </w:rPr>
        <w:t>司法</w:t>
      </w:r>
      <w:r>
        <w:rPr>
          <w:rFonts w:hint="eastAsia" w:ascii="Calibri" w:hAnsi="Calibri" w:eastAsia="仿宋_GB2312"/>
          <w:sz w:val="32"/>
          <w:szCs w:val="32"/>
        </w:rPr>
        <w:t>局对上争取资金奖励</w:t>
      </w:r>
      <w:r>
        <w:rPr>
          <w:rFonts w:hint="eastAsia" w:eastAsia="仿宋_GB2312"/>
          <w:sz w:val="32"/>
          <w:szCs w:val="32"/>
        </w:rPr>
        <w:t>经费6万元</w:t>
      </w:r>
      <w:r>
        <w:rPr>
          <w:rFonts w:hint="eastAsia" w:eastAsia="仿宋_GB2312"/>
          <w:kern w:val="0"/>
          <w:sz w:val="32"/>
          <w:szCs w:val="32"/>
        </w:rPr>
        <w:t>，资金</w:t>
      </w:r>
      <w:r>
        <w:rPr>
          <w:rFonts w:hint="eastAsia" w:ascii="仿宋" w:hAnsi="仿宋" w:eastAsia="仿宋" w:cs="仿宋"/>
          <w:sz w:val="32"/>
          <w:szCs w:val="32"/>
        </w:rPr>
        <w:t>到位率100%。</w:t>
      </w:r>
    </w:p>
    <w:p w14:paraId="4AEC84B3">
      <w:pPr>
        <w:spacing w:line="560" w:lineRule="exact"/>
        <w:ind w:firstLine="643" w:firstLineChars="200"/>
        <w:rPr>
          <w:rFonts w:eastAsia="仿宋_GB2312"/>
          <w:b/>
          <w:sz w:val="32"/>
          <w:szCs w:val="32"/>
        </w:rPr>
      </w:pPr>
      <w:r>
        <w:rPr>
          <w:rFonts w:eastAsia="仿宋_GB2312"/>
          <w:b/>
          <w:sz w:val="32"/>
          <w:szCs w:val="32"/>
        </w:rPr>
        <w:t>3.资金使用</w:t>
      </w:r>
    </w:p>
    <w:p w14:paraId="117E2E50">
      <w:pPr>
        <w:spacing w:line="560" w:lineRule="exact"/>
        <w:ind w:firstLine="640" w:firstLineChars="200"/>
        <w:rPr>
          <w:rFonts w:eastAsia="仿宋_GB2312"/>
          <w:sz w:val="32"/>
          <w:szCs w:val="32"/>
        </w:rPr>
      </w:pPr>
      <w:r>
        <w:rPr>
          <w:rFonts w:hint="eastAsia" w:eastAsia="仿宋_GB2312"/>
          <w:sz w:val="32"/>
          <w:szCs w:val="32"/>
        </w:rPr>
        <w:t>县财政下达司法对上争取资金奖励经费6万元，用于司法业务工作需要。经费到位后，县司法局严格按财经纪律、财务管理等相关规定，严格审核各项支出，及时支付，专款专用，资金支付完成100%。</w:t>
      </w:r>
    </w:p>
    <w:p w14:paraId="520C4481">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（三）项目财务管理情况</w:t>
      </w:r>
    </w:p>
    <w:p w14:paraId="07DCBA4D">
      <w:pPr>
        <w:spacing w:line="560" w:lineRule="exact"/>
        <w:ind w:firstLine="640" w:firstLineChars="200"/>
        <w:rPr>
          <w:rFonts w:eastAsia="仿宋_GB2312"/>
          <w:sz w:val="32"/>
          <w:szCs w:val="32"/>
        </w:rPr>
      </w:pPr>
      <w:r>
        <w:rPr>
          <w:rFonts w:hint="eastAsia" w:ascii="仿宋" w:hAnsi="仿宋" w:eastAsia="仿宋" w:cs="仿宋"/>
          <w:sz w:val="32"/>
          <w:szCs w:val="32"/>
        </w:rPr>
        <w:t>我单位严格执行《行政事业单位财务管理制度》，严格按照上级要求上报专项资金使用计划，并在实施过程中做到资金专项专用。所有支出严格按照财务会计管理规定，做到专项资金使用有计划、审批有手续、支出合理规范。</w:t>
      </w:r>
    </w:p>
    <w:p w14:paraId="2668DDC2">
      <w:pPr>
        <w:autoSpaceDE w:val="0"/>
        <w:autoSpaceDN w:val="0"/>
        <w:adjustRightInd w:val="0"/>
        <w:spacing w:line="600" w:lineRule="exact"/>
        <w:ind w:firstLine="640" w:firstLineChars="200"/>
        <w:jc w:val="left"/>
        <w:rPr>
          <w:rFonts w:eastAsia="黑体"/>
          <w:kern w:val="0"/>
          <w:sz w:val="32"/>
          <w:szCs w:val="32"/>
        </w:rPr>
      </w:pPr>
      <w:bookmarkStart w:id="142" w:name="_Toc23609_WPSOffice_Level2"/>
      <w:r>
        <w:rPr>
          <w:rFonts w:eastAsia="黑体"/>
          <w:kern w:val="0"/>
          <w:sz w:val="32"/>
          <w:szCs w:val="32"/>
        </w:rPr>
        <w:t>三、项目实施及管理情况</w:t>
      </w:r>
      <w:bookmarkEnd w:id="142"/>
    </w:p>
    <w:p w14:paraId="62BDD9CA">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（一）项目组织架构及实施流程</w:t>
      </w:r>
    </w:p>
    <w:p w14:paraId="19ABBD83">
      <w:pPr>
        <w:autoSpaceDE w:val="0"/>
        <w:autoSpaceDN w:val="0"/>
        <w:adjustRightInd w:val="0"/>
        <w:spacing w:line="600" w:lineRule="exact"/>
        <w:ind w:firstLine="640" w:firstLineChars="200"/>
        <w:jc w:val="left"/>
        <w:rPr>
          <w:rFonts w:eastAsia="楷体_GB2312"/>
          <w:kern w:val="0"/>
          <w:sz w:val="32"/>
          <w:szCs w:val="32"/>
        </w:rPr>
      </w:pPr>
      <w:r>
        <w:rPr>
          <w:rFonts w:hint="eastAsia" w:eastAsia="仿宋_GB2312"/>
          <w:sz w:val="32"/>
          <w:szCs w:val="32"/>
        </w:rPr>
        <w:t>我单位严格按照政府采购流程及报销流程，审核、把关，由</w:t>
      </w:r>
      <w:r>
        <w:rPr>
          <w:rFonts w:hint="eastAsia" w:ascii="仿宋" w:hAnsi="仿宋" w:eastAsia="仿宋" w:cs="仿宋"/>
          <w:color w:val="000000"/>
          <w:kern w:val="0"/>
          <w:sz w:val="32"/>
          <w:szCs w:val="32"/>
        </w:rPr>
        <w:t>财务人员将计划录入平台后，再由县财政局进行审批后执行。</w:t>
      </w:r>
    </w:p>
    <w:p w14:paraId="2126F97D">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（二）项目管理情况</w:t>
      </w:r>
    </w:p>
    <w:p w14:paraId="28EE58C1">
      <w:pPr>
        <w:autoSpaceDE w:val="0"/>
        <w:autoSpaceDN w:val="0"/>
        <w:adjustRightInd w:val="0"/>
        <w:spacing w:line="600" w:lineRule="exact"/>
        <w:ind w:firstLine="640" w:firstLineChars="200"/>
        <w:jc w:val="left"/>
        <w:rPr>
          <w:rFonts w:eastAsia="仿宋_GB2312"/>
          <w:sz w:val="32"/>
          <w:szCs w:val="32"/>
        </w:rPr>
      </w:pPr>
      <w:r>
        <w:rPr>
          <w:rFonts w:hint="eastAsia" w:eastAsia="仿宋_GB2312"/>
          <w:sz w:val="32"/>
          <w:szCs w:val="32"/>
        </w:rPr>
        <w:t>盐边县司法局对上争取资金奖励经费支出严格按照财务管理制度执行。凭原始凭证进行审核报销，并对项目实施进度、资金支付真实性、必要性、及时性进行时时跟踪管理。</w:t>
      </w:r>
    </w:p>
    <w:p w14:paraId="453E6CAC">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（三）项目监管情况</w:t>
      </w:r>
    </w:p>
    <w:p w14:paraId="2C95D2D2">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sz w:val="32"/>
          <w:szCs w:val="32"/>
        </w:rPr>
        <w:t>盐边县司法局对上争取资金奖励经费</w:t>
      </w:r>
      <w:r>
        <w:rPr>
          <w:rFonts w:hint="eastAsia" w:eastAsia="仿宋_GB2312"/>
          <w:kern w:val="0"/>
          <w:sz w:val="32"/>
          <w:szCs w:val="32"/>
        </w:rPr>
        <w:t>支出，县司法局严格按照财经纪律，对项目后期实施进度、项目质效进行跟踪管理。</w:t>
      </w:r>
    </w:p>
    <w:p w14:paraId="3C2564B5">
      <w:pPr>
        <w:autoSpaceDE w:val="0"/>
        <w:autoSpaceDN w:val="0"/>
        <w:adjustRightInd w:val="0"/>
        <w:spacing w:line="600" w:lineRule="exact"/>
        <w:ind w:firstLine="640" w:firstLineChars="200"/>
        <w:jc w:val="left"/>
        <w:rPr>
          <w:rFonts w:eastAsia="黑体"/>
          <w:kern w:val="0"/>
          <w:sz w:val="32"/>
          <w:szCs w:val="32"/>
        </w:rPr>
      </w:pPr>
      <w:bookmarkStart w:id="143" w:name="_Toc22561_WPSOffice_Level2"/>
      <w:r>
        <w:rPr>
          <w:rFonts w:eastAsia="黑体"/>
          <w:kern w:val="0"/>
          <w:sz w:val="32"/>
          <w:szCs w:val="32"/>
        </w:rPr>
        <w:t>四、项目绩效情况</w:t>
      </w:r>
      <w:bookmarkEnd w:id="143"/>
    </w:p>
    <w:p w14:paraId="63FE2C1A">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（一）项目完成情况</w:t>
      </w:r>
    </w:p>
    <w:p w14:paraId="64C1B5FC">
      <w:pPr>
        <w:spacing w:line="560" w:lineRule="exact"/>
        <w:ind w:firstLine="640" w:firstLineChars="200"/>
        <w:rPr>
          <w:rFonts w:eastAsia="仿宋_GB2312"/>
          <w:kern w:val="0"/>
          <w:sz w:val="32"/>
          <w:szCs w:val="32"/>
        </w:rPr>
      </w:pPr>
      <w:r>
        <w:rPr>
          <w:rFonts w:hint="eastAsia" w:eastAsia="仿宋_GB2312"/>
          <w:sz w:val="32"/>
          <w:szCs w:val="32"/>
        </w:rPr>
        <w:t>盐边县司法局对上争取资金奖励经费在当期完成了项目的总体实施，执行率100%。对促进司法业务工作开展，鼓励县司法局加大对上争取资金具有重要意义。</w:t>
      </w:r>
    </w:p>
    <w:p w14:paraId="50A2BC46">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（二）项目效益情况</w:t>
      </w:r>
    </w:p>
    <w:p w14:paraId="2F5DE1FD">
      <w:pPr>
        <w:spacing w:line="560" w:lineRule="exact"/>
        <w:ind w:firstLine="640" w:firstLineChars="200"/>
        <w:rPr>
          <w:rFonts w:eastAsia="仿宋_GB2312"/>
          <w:kern w:val="0"/>
          <w:sz w:val="32"/>
          <w:szCs w:val="32"/>
        </w:rPr>
      </w:pPr>
      <w:r>
        <w:rPr>
          <w:rFonts w:hint="eastAsia" w:eastAsia="仿宋_GB2312"/>
          <w:sz w:val="32"/>
          <w:szCs w:val="32"/>
        </w:rPr>
        <w:t>盐边县司法局对上争取资金奖励经费在当期完成了项目的总体实施，执行率100%。对促进司法业务工作开展，鼓励县司法局加大对上争取资金具有重要意义。</w:t>
      </w:r>
    </w:p>
    <w:p w14:paraId="04960498">
      <w:pPr>
        <w:autoSpaceDE w:val="0"/>
        <w:autoSpaceDN w:val="0"/>
        <w:adjustRightInd w:val="0"/>
        <w:spacing w:line="600" w:lineRule="exact"/>
        <w:ind w:firstLine="640" w:firstLineChars="200"/>
        <w:jc w:val="left"/>
        <w:rPr>
          <w:rFonts w:eastAsia="黑体"/>
          <w:kern w:val="0"/>
          <w:sz w:val="32"/>
          <w:szCs w:val="32"/>
        </w:rPr>
      </w:pPr>
      <w:bookmarkStart w:id="144" w:name="_Toc2614_WPSOffice_Level2"/>
      <w:r>
        <w:rPr>
          <w:rFonts w:eastAsia="黑体"/>
          <w:kern w:val="0"/>
          <w:sz w:val="32"/>
          <w:szCs w:val="32"/>
        </w:rPr>
        <w:t>五、评价结论及建议</w:t>
      </w:r>
      <w:bookmarkEnd w:id="144"/>
    </w:p>
    <w:p w14:paraId="68B82AA3">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（一）评价结论</w:t>
      </w:r>
    </w:p>
    <w:p w14:paraId="62361D2E">
      <w:pPr>
        <w:spacing w:line="560" w:lineRule="exact"/>
        <w:ind w:firstLine="640" w:firstLineChars="200"/>
        <w:rPr>
          <w:rFonts w:ascii="仿宋" w:hAnsi="仿宋" w:eastAsia="仿宋" w:cs="仿宋"/>
          <w:sz w:val="32"/>
          <w:szCs w:val="32"/>
        </w:rPr>
      </w:pPr>
      <w:r>
        <w:rPr>
          <w:rFonts w:hint="eastAsia" w:eastAsia="仿宋_GB2312"/>
          <w:sz w:val="32"/>
          <w:szCs w:val="32"/>
        </w:rPr>
        <w:t>盐边县司法局对上争取资金奖励经费在当期完成了项目的总体实施，执行率100%。对促进公安业务工作开展，鼓励县司法局加大对上争取资金具有重要意义</w:t>
      </w:r>
      <w:r>
        <w:rPr>
          <w:rFonts w:eastAsia="仿宋_GB2312"/>
          <w:sz w:val="32"/>
          <w:szCs w:val="32"/>
        </w:rPr>
        <w:t>。</w:t>
      </w:r>
      <w:r>
        <w:rPr>
          <w:rFonts w:hint="eastAsia" w:ascii="仿宋" w:hAnsi="仿宋" w:eastAsia="仿宋" w:cs="仿宋"/>
          <w:sz w:val="32"/>
          <w:szCs w:val="32"/>
        </w:rPr>
        <w:t>项目执行率100%，满意度100%。</w:t>
      </w:r>
    </w:p>
    <w:p w14:paraId="53EBDFA0">
      <w:pPr>
        <w:spacing w:line="560" w:lineRule="exact"/>
        <w:ind w:firstLine="643" w:firstLineChars="200"/>
        <w:rPr>
          <w:rFonts w:eastAsia="楷体_GB2312"/>
          <w:b/>
          <w:bCs/>
          <w:kern w:val="0"/>
          <w:sz w:val="32"/>
          <w:szCs w:val="32"/>
        </w:rPr>
      </w:pPr>
      <w:r>
        <w:rPr>
          <w:rFonts w:eastAsia="楷体_GB2312"/>
          <w:b/>
          <w:bCs/>
          <w:kern w:val="0"/>
          <w:sz w:val="32"/>
          <w:szCs w:val="32"/>
        </w:rPr>
        <w:t>（二）存在的问题</w:t>
      </w:r>
    </w:p>
    <w:p w14:paraId="15951468">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w:t>
      </w:r>
      <w:r>
        <w:rPr>
          <w:rFonts w:hint="eastAsia" w:ascii="仿宋" w:hAnsi="仿宋" w:eastAsia="仿宋" w:cs="仿宋"/>
          <w:sz w:val="32"/>
          <w:szCs w:val="32"/>
        </w:rPr>
        <w:tab/>
      </w:r>
    </w:p>
    <w:p w14:paraId="0B08FE35">
      <w:pPr>
        <w:autoSpaceDE w:val="0"/>
        <w:autoSpaceDN w:val="0"/>
        <w:adjustRightInd w:val="0"/>
        <w:spacing w:line="600" w:lineRule="exact"/>
        <w:ind w:firstLine="643" w:firstLineChars="200"/>
        <w:jc w:val="left"/>
        <w:rPr>
          <w:rFonts w:eastAsia="楷体_GB2312"/>
          <w:b/>
          <w:bCs/>
          <w:kern w:val="0"/>
          <w:sz w:val="32"/>
          <w:szCs w:val="32"/>
        </w:rPr>
      </w:pPr>
      <w:r>
        <w:rPr>
          <w:rFonts w:eastAsia="楷体_GB2312"/>
          <w:b/>
          <w:bCs/>
          <w:kern w:val="0"/>
          <w:sz w:val="32"/>
          <w:szCs w:val="32"/>
        </w:rPr>
        <w:t>（三）相关建议</w:t>
      </w:r>
    </w:p>
    <w:p w14:paraId="2C63D46A">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1.加强预算管理，细化项目管理</w:t>
      </w:r>
    </w:p>
    <w:p w14:paraId="79A80EA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在编年年度预算时，在进行调查研究的基础上，充分论证项目立项的必要性、经济型、绩效目标合理性、实施方案可行性，项目实施达到预期效果，发挥最大效益。认真细化方案，明确责任人，做好各项支出绩效目标执行中的控制挂不努力，确保资金对应绩效目标执行，强化项目管理，确保项目按计划推进。</w:t>
      </w:r>
    </w:p>
    <w:p w14:paraId="594B92EE">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2.严格人员管理，提高绩效目标管理水平</w:t>
      </w:r>
    </w:p>
    <w:p w14:paraId="33B1BE1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加强财务人员培训，熟练掌握预算编制和预算执行等各项政策，严格遵守各项财经纪律，不断提高业务能力，不断提高绩效目标管理水平。</w:t>
      </w:r>
    </w:p>
    <w:p w14:paraId="267E8C14"/>
    <w:p w14:paraId="5E8B68A8">
      <w:pPr>
        <w:pStyle w:val="8"/>
        <w:spacing w:before="93"/>
        <w:rPr>
          <w:lang w:val="zh-CN"/>
        </w:rPr>
      </w:pPr>
    </w:p>
    <w:tbl>
      <w:tblPr>
        <w:tblStyle w:val="18"/>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9575"/>
        <w:gridCol w:w="236"/>
      </w:tblGrid>
      <w:tr w14:paraId="72CCCB64">
        <w:tblPrEx>
          <w:tblCellMar>
            <w:top w:w="0" w:type="dxa"/>
            <w:left w:w="108" w:type="dxa"/>
            <w:bottom w:w="0" w:type="dxa"/>
            <w:right w:w="108" w:type="dxa"/>
          </w:tblCellMar>
        </w:tblPrEx>
        <w:trPr>
          <w:trHeight w:val="675" w:hRule="atLeast"/>
        </w:trPr>
        <w:tc>
          <w:tcPr>
            <w:tcW w:w="9575" w:type="dxa"/>
            <w:tcBorders>
              <w:top w:val="nil"/>
              <w:left w:val="nil"/>
              <w:bottom w:val="nil"/>
              <w:right w:val="nil"/>
            </w:tcBorders>
            <w:shd w:val="clear" w:color="auto" w:fill="auto"/>
            <w:vAlign w:val="center"/>
          </w:tcPr>
          <w:p w14:paraId="0659D487">
            <w:pPr>
              <w:widowControl/>
              <w:jc w:val="center"/>
              <w:textAlignment w:val="center"/>
              <w:rPr>
                <w:rFonts w:ascii="宋体" w:hAnsi="宋体" w:cs="宋体"/>
                <w:b/>
                <w:sz w:val="32"/>
                <w:szCs w:val="32"/>
              </w:rPr>
            </w:pPr>
            <w:r>
              <w:rPr>
                <w:rFonts w:hint="eastAsia" w:ascii="宋体" w:hAnsi="宋体" w:cs="宋体"/>
                <w:b/>
                <w:sz w:val="32"/>
                <w:szCs w:val="32"/>
              </w:rPr>
              <w:t>2021年</w:t>
            </w:r>
            <w:r>
              <w:rPr>
                <w:rFonts w:hint="eastAsia" w:ascii="宋体" w:hAnsi="宋体" w:cs="宋体"/>
                <w:b/>
                <w:color w:val="000000"/>
                <w:kern w:val="0"/>
                <w:sz w:val="32"/>
                <w:szCs w:val="32"/>
              </w:rPr>
              <w:t>对上争取资金奖励</w:t>
            </w:r>
            <w:r>
              <w:rPr>
                <w:rFonts w:hint="eastAsia" w:ascii="宋体" w:hAnsi="宋体" w:cs="宋体"/>
                <w:b/>
                <w:sz w:val="32"/>
                <w:szCs w:val="32"/>
              </w:rPr>
              <w:t>项目绩效目标自评</w:t>
            </w:r>
          </w:p>
        </w:tc>
        <w:tc>
          <w:tcPr>
            <w:tcW w:w="236" w:type="dxa"/>
            <w:tcBorders>
              <w:top w:val="nil"/>
              <w:left w:val="nil"/>
              <w:bottom w:val="nil"/>
              <w:right w:val="nil"/>
            </w:tcBorders>
            <w:shd w:val="clear" w:color="auto" w:fill="auto"/>
            <w:vAlign w:val="center"/>
          </w:tcPr>
          <w:p w14:paraId="005C9662">
            <w:pPr>
              <w:widowControl/>
              <w:jc w:val="center"/>
              <w:textAlignment w:val="center"/>
              <w:rPr>
                <w:rFonts w:ascii="宋体" w:hAnsi="宋体" w:cs="宋体"/>
                <w:b/>
                <w:kern w:val="0"/>
                <w:sz w:val="32"/>
                <w:szCs w:val="32"/>
              </w:rPr>
            </w:pPr>
          </w:p>
        </w:tc>
      </w:tr>
    </w:tbl>
    <w:p w14:paraId="0A4A89D8">
      <w:pPr>
        <w:widowControl/>
        <w:adjustRightInd w:val="0"/>
        <w:snapToGrid w:val="0"/>
        <w:spacing w:line="580" w:lineRule="exact"/>
        <w:contextualSpacing/>
        <w:jc w:val="left"/>
      </w:pPr>
    </w:p>
    <w:tbl>
      <w:tblPr>
        <w:tblStyle w:val="18"/>
        <w:tblW w:w="8336" w:type="dxa"/>
        <w:tblInd w:w="0" w:type="dxa"/>
        <w:tblLayout w:type="fixed"/>
        <w:tblCellMar>
          <w:top w:w="0" w:type="dxa"/>
          <w:left w:w="0" w:type="dxa"/>
          <w:bottom w:w="0" w:type="dxa"/>
          <w:right w:w="0" w:type="dxa"/>
        </w:tblCellMar>
      </w:tblPr>
      <w:tblGrid>
        <w:gridCol w:w="270"/>
        <w:gridCol w:w="452"/>
        <w:gridCol w:w="452"/>
        <w:gridCol w:w="2840"/>
        <w:gridCol w:w="1231"/>
        <w:gridCol w:w="1691"/>
        <w:gridCol w:w="1009"/>
        <w:gridCol w:w="391"/>
      </w:tblGrid>
      <w:tr w14:paraId="73BBAE9C">
        <w:tblPrEx>
          <w:tblCellMar>
            <w:top w:w="0" w:type="dxa"/>
            <w:left w:w="0" w:type="dxa"/>
            <w:bottom w:w="0" w:type="dxa"/>
            <w:right w:w="0" w:type="dxa"/>
          </w:tblCellMar>
        </w:tblPrEx>
        <w:trPr>
          <w:trHeight w:val="439" w:hRule="atLeast"/>
        </w:trPr>
        <w:tc>
          <w:tcPr>
            <w:tcW w:w="11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E3222D">
            <w:pPr>
              <w:widowControl/>
              <w:jc w:val="center"/>
              <w:textAlignment w:val="center"/>
              <w:rPr>
                <w:rFonts w:ascii="宋体" w:hAnsi="宋体" w:cs="宋体"/>
                <w:color w:val="000000"/>
                <w:sz w:val="24"/>
              </w:rPr>
            </w:pPr>
            <w:r>
              <w:rPr>
                <w:rFonts w:hint="eastAsia" w:ascii="宋体" w:hAnsi="宋体" w:cs="宋体"/>
                <w:color w:val="000000"/>
                <w:kern w:val="0"/>
                <w:sz w:val="24"/>
              </w:rPr>
              <w:t>专项（项目）名称</w:t>
            </w:r>
          </w:p>
        </w:tc>
        <w:tc>
          <w:tcPr>
            <w:tcW w:w="716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F2399">
            <w:pPr>
              <w:widowControl/>
              <w:jc w:val="center"/>
              <w:textAlignment w:val="center"/>
              <w:rPr>
                <w:rFonts w:ascii="宋体" w:hAnsi="宋体" w:cs="宋体"/>
                <w:color w:val="000000"/>
                <w:sz w:val="24"/>
              </w:rPr>
            </w:pPr>
            <w:r>
              <w:rPr>
                <w:rFonts w:hint="eastAsia" w:ascii="宋体" w:hAnsi="宋体" w:cs="宋体"/>
                <w:color w:val="000000"/>
                <w:kern w:val="0"/>
                <w:sz w:val="24"/>
              </w:rPr>
              <w:t>对上争取资金奖励</w:t>
            </w:r>
          </w:p>
        </w:tc>
      </w:tr>
      <w:tr w14:paraId="4034512C">
        <w:tblPrEx>
          <w:tblCellMar>
            <w:top w:w="0" w:type="dxa"/>
            <w:left w:w="0" w:type="dxa"/>
            <w:bottom w:w="0" w:type="dxa"/>
            <w:right w:w="0" w:type="dxa"/>
          </w:tblCellMar>
        </w:tblPrEx>
        <w:trPr>
          <w:trHeight w:val="439" w:hRule="atLeast"/>
        </w:trPr>
        <w:tc>
          <w:tcPr>
            <w:tcW w:w="11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83D58A">
            <w:pPr>
              <w:widowControl/>
              <w:jc w:val="center"/>
              <w:textAlignment w:val="center"/>
              <w:rPr>
                <w:rFonts w:ascii="宋体" w:hAnsi="宋体" w:cs="宋体"/>
                <w:color w:val="000000"/>
                <w:sz w:val="24"/>
              </w:rPr>
            </w:pPr>
            <w:r>
              <w:rPr>
                <w:rFonts w:hint="eastAsia" w:ascii="宋体" w:hAnsi="宋体" w:cs="宋体"/>
                <w:color w:val="000000"/>
                <w:kern w:val="0"/>
                <w:sz w:val="24"/>
              </w:rPr>
              <w:t>项目主管单位</w:t>
            </w:r>
          </w:p>
        </w:tc>
        <w:tc>
          <w:tcPr>
            <w:tcW w:w="716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B7BC88">
            <w:pPr>
              <w:widowControl/>
              <w:jc w:val="center"/>
              <w:textAlignment w:val="center"/>
              <w:rPr>
                <w:rFonts w:ascii="宋体" w:hAnsi="宋体" w:cs="宋体"/>
                <w:color w:val="000000"/>
                <w:sz w:val="24"/>
              </w:rPr>
            </w:pPr>
            <w:r>
              <w:rPr>
                <w:rFonts w:hint="eastAsia" w:ascii="宋体" w:hAnsi="宋体" w:cs="宋体"/>
                <w:color w:val="000000"/>
                <w:kern w:val="0"/>
                <w:sz w:val="24"/>
              </w:rPr>
              <w:t>盐边县司法局</w:t>
            </w:r>
          </w:p>
        </w:tc>
      </w:tr>
      <w:tr w14:paraId="7752257A">
        <w:tblPrEx>
          <w:tblCellMar>
            <w:top w:w="0" w:type="dxa"/>
            <w:left w:w="0" w:type="dxa"/>
            <w:bottom w:w="0" w:type="dxa"/>
            <w:right w:w="0" w:type="dxa"/>
          </w:tblCellMar>
        </w:tblPrEx>
        <w:trPr>
          <w:trHeight w:val="439" w:hRule="atLeast"/>
        </w:trPr>
        <w:tc>
          <w:tcPr>
            <w:tcW w:w="11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F706D">
            <w:pPr>
              <w:widowControl/>
              <w:jc w:val="center"/>
              <w:textAlignment w:val="center"/>
              <w:rPr>
                <w:rFonts w:ascii="宋体" w:hAnsi="宋体" w:cs="宋体"/>
                <w:color w:val="000000"/>
                <w:sz w:val="24"/>
              </w:rPr>
            </w:pPr>
            <w:r>
              <w:rPr>
                <w:rFonts w:hint="eastAsia" w:ascii="宋体" w:hAnsi="宋体" w:cs="宋体"/>
                <w:color w:val="000000"/>
                <w:kern w:val="0"/>
                <w:sz w:val="24"/>
              </w:rPr>
              <w:t>项目实施单位</w:t>
            </w:r>
          </w:p>
        </w:tc>
        <w:tc>
          <w:tcPr>
            <w:tcW w:w="716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7A4C0A">
            <w:pPr>
              <w:widowControl/>
              <w:jc w:val="center"/>
              <w:textAlignment w:val="center"/>
              <w:rPr>
                <w:rFonts w:ascii="宋体" w:hAnsi="宋体" w:cs="宋体"/>
                <w:color w:val="000000"/>
                <w:sz w:val="24"/>
              </w:rPr>
            </w:pPr>
            <w:r>
              <w:rPr>
                <w:rFonts w:hint="eastAsia" w:ascii="宋体" w:hAnsi="宋体" w:cs="宋体"/>
                <w:color w:val="000000"/>
                <w:kern w:val="0"/>
                <w:sz w:val="24"/>
              </w:rPr>
              <w:t>盐边县司法局</w:t>
            </w:r>
          </w:p>
        </w:tc>
      </w:tr>
      <w:tr w14:paraId="6524EBED">
        <w:tblPrEx>
          <w:tblCellMar>
            <w:top w:w="0" w:type="dxa"/>
            <w:left w:w="0" w:type="dxa"/>
            <w:bottom w:w="0" w:type="dxa"/>
            <w:right w:w="0" w:type="dxa"/>
          </w:tblCellMar>
        </w:tblPrEx>
        <w:trPr>
          <w:trHeight w:val="439" w:hRule="atLeast"/>
        </w:trPr>
        <w:tc>
          <w:tcPr>
            <w:tcW w:w="117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6BD37B">
            <w:pPr>
              <w:widowControl/>
              <w:jc w:val="center"/>
              <w:textAlignment w:val="center"/>
              <w:rPr>
                <w:rFonts w:ascii="宋体" w:hAnsi="宋体" w:cs="宋体"/>
                <w:color w:val="000000"/>
                <w:sz w:val="24"/>
              </w:rPr>
            </w:pPr>
            <w:r>
              <w:rPr>
                <w:rFonts w:hint="eastAsia" w:ascii="宋体" w:hAnsi="宋体" w:cs="宋体"/>
                <w:color w:val="000000"/>
                <w:kern w:val="0"/>
                <w:sz w:val="24"/>
              </w:rPr>
              <w:t>项目资金</w:t>
            </w:r>
            <w:r>
              <w:rPr>
                <w:rFonts w:hint="eastAsia" w:ascii="宋体" w:hAnsi="宋体" w:cs="宋体"/>
                <w:color w:val="000000"/>
                <w:kern w:val="0"/>
                <w:sz w:val="24"/>
              </w:rPr>
              <w:br w:type="textWrapping"/>
            </w:r>
            <w:r>
              <w:rPr>
                <w:rFonts w:hint="eastAsia" w:ascii="宋体" w:hAnsi="宋体" w:cs="宋体"/>
                <w:color w:val="000000"/>
                <w:kern w:val="0"/>
                <w:sz w:val="24"/>
              </w:rPr>
              <w:t>（万元）</w:t>
            </w: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272718">
            <w:pPr>
              <w:jc w:val="center"/>
              <w:rPr>
                <w:rFonts w:ascii="宋体" w:hAnsi="宋体" w:cs="宋体"/>
                <w:color w:val="000000"/>
                <w:sz w:val="24"/>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5C5816">
            <w:pPr>
              <w:widowControl/>
              <w:jc w:val="center"/>
              <w:textAlignment w:val="center"/>
              <w:rPr>
                <w:rFonts w:ascii="宋体" w:hAnsi="宋体" w:cs="宋体"/>
                <w:color w:val="000000"/>
                <w:sz w:val="24"/>
              </w:rPr>
            </w:pPr>
            <w:r>
              <w:rPr>
                <w:rFonts w:hint="eastAsia" w:ascii="宋体" w:hAnsi="宋体" w:cs="宋体"/>
                <w:color w:val="000000"/>
                <w:kern w:val="0"/>
                <w:sz w:val="24"/>
              </w:rPr>
              <w:t>全年预算数</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AFEE89">
            <w:pPr>
              <w:widowControl/>
              <w:jc w:val="center"/>
              <w:textAlignment w:val="center"/>
              <w:rPr>
                <w:rFonts w:ascii="宋体" w:hAnsi="宋体" w:cs="宋体"/>
                <w:color w:val="000000"/>
                <w:sz w:val="24"/>
              </w:rPr>
            </w:pPr>
            <w:r>
              <w:rPr>
                <w:rFonts w:hint="eastAsia" w:ascii="宋体" w:hAnsi="宋体" w:cs="宋体"/>
                <w:color w:val="000000"/>
                <w:kern w:val="0"/>
                <w:sz w:val="24"/>
              </w:rPr>
              <w:t>实际完成数</w:t>
            </w:r>
          </w:p>
        </w:tc>
        <w:tc>
          <w:tcPr>
            <w:tcW w:w="140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A6E3E5">
            <w:pPr>
              <w:widowControl/>
              <w:jc w:val="center"/>
              <w:textAlignment w:val="center"/>
              <w:rPr>
                <w:rFonts w:ascii="宋体" w:hAnsi="宋体" w:cs="宋体"/>
                <w:color w:val="000000"/>
                <w:sz w:val="24"/>
              </w:rPr>
            </w:pPr>
            <w:r>
              <w:rPr>
                <w:rFonts w:hint="eastAsia" w:ascii="宋体" w:hAnsi="宋体" w:cs="宋体"/>
                <w:color w:val="000000"/>
                <w:kern w:val="0"/>
                <w:sz w:val="24"/>
              </w:rPr>
              <w:t>执行率（%）</w:t>
            </w:r>
          </w:p>
        </w:tc>
      </w:tr>
      <w:tr w14:paraId="0F5E4968">
        <w:tblPrEx>
          <w:tblCellMar>
            <w:top w:w="0" w:type="dxa"/>
            <w:left w:w="0" w:type="dxa"/>
            <w:bottom w:w="0" w:type="dxa"/>
            <w:right w:w="0" w:type="dxa"/>
          </w:tblCellMar>
        </w:tblPrEx>
        <w:trPr>
          <w:trHeight w:val="439" w:hRule="atLeast"/>
        </w:trPr>
        <w:tc>
          <w:tcPr>
            <w:tcW w:w="117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B98904">
            <w:pPr>
              <w:jc w:val="center"/>
              <w:rPr>
                <w:rFonts w:ascii="宋体" w:hAnsi="宋体" w:cs="宋体"/>
                <w:color w:val="000000"/>
                <w:sz w:val="24"/>
              </w:rPr>
            </w:pP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C7F706">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年度资金总额：</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6B3261">
            <w:pPr>
              <w:widowControl/>
              <w:jc w:val="center"/>
              <w:textAlignment w:val="center"/>
              <w:rPr>
                <w:rFonts w:ascii="宋体" w:hAnsi="宋体" w:cs="宋体"/>
                <w:color w:val="000000"/>
                <w:sz w:val="24"/>
              </w:rPr>
            </w:pPr>
            <w:r>
              <w:rPr>
                <w:rFonts w:hint="eastAsia" w:ascii="宋体" w:hAnsi="宋体" w:cs="宋体"/>
                <w:color w:val="000000"/>
                <w:kern w:val="0"/>
                <w:sz w:val="24"/>
              </w:rPr>
              <w:t>6</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917184">
            <w:pPr>
              <w:widowControl/>
              <w:jc w:val="center"/>
              <w:textAlignment w:val="center"/>
              <w:rPr>
                <w:rFonts w:ascii="宋体" w:hAnsi="宋体" w:cs="宋体"/>
                <w:color w:val="000000"/>
                <w:sz w:val="24"/>
              </w:rPr>
            </w:pPr>
            <w:r>
              <w:rPr>
                <w:rFonts w:hint="eastAsia" w:ascii="宋体" w:hAnsi="宋体" w:cs="宋体"/>
                <w:color w:val="000000"/>
                <w:kern w:val="0"/>
                <w:sz w:val="24"/>
              </w:rPr>
              <w:t>6</w:t>
            </w:r>
          </w:p>
        </w:tc>
        <w:tc>
          <w:tcPr>
            <w:tcW w:w="140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44F981">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14:paraId="52D408BD">
        <w:tblPrEx>
          <w:tblCellMar>
            <w:top w:w="0" w:type="dxa"/>
            <w:left w:w="0" w:type="dxa"/>
            <w:bottom w:w="0" w:type="dxa"/>
            <w:right w:w="0" w:type="dxa"/>
          </w:tblCellMar>
        </w:tblPrEx>
        <w:trPr>
          <w:trHeight w:val="439" w:hRule="atLeast"/>
        </w:trPr>
        <w:tc>
          <w:tcPr>
            <w:tcW w:w="117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3A1F9A">
            <w:pPr>
              <w:jc w:val="center"/>
              <w:rPr>
                <w:rFonts w:ascii="宋体" w:hAnsi="宋体" w:cs="宋体"/>
                <w:color w:val="000000"/>
                <w:sz w:val="24"/>
              </w:rPr>
            </w:pP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9AC39">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其中：上级财政资金</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0B7CC">
            <w:pPr>
              <w:jc w:val="center"/>
              <w:rPr>
                <w:rFonts w:ascii="宋体" w:hAnsi="宋体" w:cs="宋体"/>
                <w:color w:val="000000"/>
                <w:sz w:val="24"/>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425BF3">
            <w:pPr>
              <w:jc w:val="center"/>
              <w:rPr>
                <w:rFonts w:ascii="宋体" w:hAnsi="宋体" w:cs="宋体"/>
                <w:color w:val="000000"/>
                <w:sz w:val="24"/>
              </w:rPr>
            </w:pPr>
          </w:p>
        </w:tc>
        <w:tc>
          <w:tcPr>
            <w:tcW w:w="140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F47760">
            <w:pPr>
              <w:jc w:val="center"/>
              <w:rPr>
                <w:rFonts w:ascii="宋体" w:hAnsi="宋体" w:cs="宋体"/>
                <w:color w:val="000000"/>
                <w:sz w:val="24"/>
              </w:rPr>
            </w:pPr>
          </w:p>
        </w:tc>
      </w:tr>
      <w:tr w14:paraId="3C3888E5">
        <w:tblPrEx>
          <w:tblCellMar>
            <w:top w:w="0" w:type="dxa"/>
            <w:left w:w="0" w:type="dxa"/>
            <w:bottom w:w="0" w:type="dxa"/>
            <w:right w:w="0" w:type="dxa"/>
          </w:tblCellMar>
        </w:tblPrEx>
        <w:trPr>
          <w:trHeight w:val="439" w:hRule="atLeast"/>
        </w:trPr>
        <w:tc>
          <w:tcPr>
            <w:tcW w:w="117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E44946">
            <w:pPr>
              <w:jc w:val="center"/>
              <w:rPr>
                <w:rFonts w:ascii="宋体" w:hAnsi="宋体" w:cs="宋体"/>
                <w:color w:val="000000"/>
                <w:sz w:val="24"/>
              </w:rPr>
            </w:pP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D82F0B">
            <w:pPr>
              <w:widowControl/>
              <w:jc w:val="left"/>
              <w:textAlignment w:val="center"/>
              <w:rPr>
                <w:rFonts w:ascii="宋体" w:hAnsi="宋体" w:cs="宋体"/>
                <w:color w:val="000000"/>
                <w:sz w:val="24"/>
              </w:rPr>
            </w:pPr>
            <w:r>
              <w:rPr>
                <w:rFonts w:hint="eastAsia" w:ascii="宋体" w:hAnsi="宋体" w:cs="宋体"/>
                <w:color w:val="000000"/>
                <w:kern w:val="0"/>
                <w:sz w:val="24"/>
              </w:rPr>
              <w:t xml:space="preserve">           本级财政资金</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0A24FA">
            <w:pPr>
              <w:widowControl/>
              <w:jc w:val="center"/>
              <w:textAlignment w:val="center"/>
              <w:rPr>
                <w:rFonts w:ascii="宋体" w:hAnsi="宋体" w:cs="宋体"/>
                <w:color w:val="000000"/>
                <w:sz w:val="24"/>
              </w:rPr>
            </w:pPr>
            <w:r>
              <w:rPr>
                <w:rFonts w:hint="eastAsia" w:ascii="宋体" w:hAnsi="宋体" w:cs="宋体"/>
                <w:color w:val="000000"/>
                <w:kern w:val="0"/>
                <w:sz w:val="24"/>
              </w:rPr>
              <w:t>6</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E127E0">
            <w:pPr>
              <w:widowControl/>
              <w:jc w:val="center"/>
              <w:textAlignment w:val="center"/>
              <w:rPr>
                <w:rFonts w:ascii="宋体" w:hAnsi="宋体" w:cs="宋体"/>
                <w:color w:val="000000"/>
                <w:sz w:val="24"/>
              </w:rPr>
            </w:pPr>
            <w:r>
              <w:rPr>
                <w:rFonts w:hint="eastAsia" w:ascii="宋体" w:hAnsi="宋体" w:cs="宋体"/>
                <w:color w:val="000000"/>
                <w:kern w:val="0"/>
                <w:sz w:val="24"/>
              </w:rPr>
              <w:t>6</w:t>
            </w:r>
          </w:p>
        </w:tc>
        <w:tc>
          <w:tcPr>
            <w:tcW w:w="140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69C36E">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14:paraId="1BD71F83">
        <w:tblPrEx>
          <w:tblCellMar>
            <w:top w:w="0" w:type="dxa"/>
            <w:left w:w="0" w:type="dxa"/>
            <w:bottom w:w="0" w:type="dxa"/>
            <w:right w:w="0" w:type="dxa"/>
          </w:tblCellMar>
        </w:tblPrEx>
        <w:trPr>
          <w:trHeight w:val="439" w:hRule="atLeast"/>
        </w:trPr>
        <w:tc>
          <w:tcPr>
            <w:tcW w:w="117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3CDB37">
            <w:pPr>
              <w:jc w:val="center"/>
              <w:rPr>
                <w:rFonts w:ascii="宋体" w:hAnsi="宋体" w:cs="宋体"/>
                <w:color w:val="000000"/>
                <w:sz w:val="24"/>
              </w:rPr>
            </w:pP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DA1C7C">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其他资金</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772FBD">
            <w:pPr>
              <w:rPr>
                <w:rFonts w:ascii="宋体" w:hAnsi="宋体" w:cs="宋体"/>
                <w:color w:val="000000"/>
                <w:sz w:val="24"/>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C64BF">
            <w:pPr>
              <w:rPr>
                <w:rFonts w:ascii="宋体" w:hAnsi="宋体" w:cs="宋体"/>
                <w:color w:val="000000"/>
                <w:sz w:val="24"/>
              </w:rPr>
            </w:pPr>
          </w:p>
        </w:tc>
        <w:tc>
          <w:tcPr>
            <w:tcW w:w="140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C82432">
            <w:pPr>
              <w:jc w:val="center"/>
              <w:rPr>
                <w:rFonts w:ascii="宋体" w:hAnsi="宋体" w:cs="宋体"/>
                <w:color w:val="000000"/>
                <w:sz w:val="24"/>
              </w:rPr>
            </w:pPr>
          </w:p>
        </w:tc>
      </w:tr>
      <w:tr w14:paraId="50D6409B">
        <w:tblPrEx>
          <w:tblCellMar>
            <w:top w:w="0" w:type="dxa"/>
            <w:left w:w="0" w:type="dxa"/>
            <w:bottom w:w="0" w:type="dxa"/>
            <w:right w:w="0" w:type="dxa"/>
          </w:tblCellMar>
        </w:tblPrEx>
        <w:trPr>
          <w:trHeight w:val="439" w:hRule="atLeast"/>
        </w:trPr>
        <w:tc>
          <w:tcPr>
            <w:tcW w:w="2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4D9050">
            <w:pPr>
              <w:widowControl/>
              <w:jc w:val="center"/>
              <w:textAlignment w:val="center"/>
              <w:rPr>
                <w:rFonts w:ascii="宋体" w:hAnsi="宋体" w:cs="宋体"/>
                <w:color w:val="000000"/>
                <w:sz w:val="24"/>
              </w:rPr>
            </w:pPr>
            <w:r>
              <w:rPr>
                <w:rFonts w:hint="eastAsia" w:ascii="宋体" w:hAnsi="宋体" w:cs="宋体"/>
                <w:color w:val="000000"/>
                <w:kern w:val="0"/>
                <w:sz w:val="24"/>
              </w:rPr>
              <w:t>总</w:t>
            </w:r>
            <w:r>
              <w:rPr>
                <w:rFonts w:hint="eastAsia" w:ascii="宋体" w:hAnsi="宋体" w:cs="宋体"/>
                <w:color w:val="000000"/>
                <w:kern w:val="0"/>
                <w:sz w:val="24"/>
              </w:rPr>
              <w:br w:type="textWrapping"/>
            </w:r>
            <w:r>
              <w:rPr>
                <w:rFonts w:hint="eastAsia" w:ascii="宋体" w:hAnsi="宋体" w:cs="宋体"/>
                <w:color w:val="000000"/>
                <w:kern w:val="0"/>
                <w:sz w:val="24"/>
              </w:rPr>
              <w:t>体</w:t>
            </w:r>
            <w:r>
              <w:rPr>
                <w:rFonts w:hint="eastAsia" w:ascii="宋体" w:hAnsi="宋体" w:cs="宋体"/>
                <w:color w:val="000000"/>
                <w:kern w:val="0"/>
                <w:sz w:val="24"/>
              </w:rPr>
              <w:br w:type="textWrapping"/>
            </w:r>
            <w:r>
              <w:rPr>
                <w:rFonts w:hint="eastAsia" w:ascii="宋体" w:hAnsi="宋体" w:cs="宋体"/>
                <w:color w:val="000000"/>
                <w:kern w:val="0"/>
                <w:sz w:val="24"/>
              </w:rPr>
              <w:t>目</w:t>
            </w:r>
            <w:r>
              <w:rPr>
                <w:rFonts w:hint="eastAsia" w:ascii="宋体" w:hAnsi="宋体" w:cs="宋体"/>
                <w:color w:val="000000"/>
                <w:kern w:val="0"/>
                <w:sz w:val="24"/>
              </w:rPr>
              <w:br w:type="textWrapping"/>
            </w:r>
            <w:r>
              <w:rPr>
                <w:rFonts w:hint="eastAsia" w:ascii="宋体" w:hAnsi="宋体" w:cs="宋体"/>
                <w:color w:val="000000"/>
                <w:kern w:val="0"/>
                <w:sz w:val="24"/>
              </w:rPr>
              <w:t>标</w:t>
            </w:r>
          </w:p>
        </w:tc>
        <w:tc>
          <w:tcPr>
            <w:tcW w:w="374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A69E87">
            <w:pPr>
              <w:widowControl/>
              <w:jc w:val="center"/>
              <w:textAlignment w:val="center"/>
              <w:rPr>
                <w:rFonts w:ascii="宋体" w:hAnsi="宋体" w:cs="宋体"/>
                <w:color w:val="000000"/>
                <w:sz w:val="24"/>
              </w:rPr>
            </w:pPr>
            <w:r>
              <w:rPr>
                <w:rFonts w:hint="eastAsia" w:ascii="宋体" w:hAnsi="宋体" w:cs="宋体"/>
                <w:color w:val="000000"/>
                <w:kern w:val="0"/>
                <w:sz w:val="24"/>
              </w:rPr>
              <w:t>年度设定目标</w:t>
            </w:r>
          </w:p>
        </w:tc>
        <w:tc>
          <w:tcPr>
            <w:tcW w:w="432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922E37">
            <w:pPr>
              <w:widowControl/>
              <w:jc w:val="center"/>
              <w:textAlignment w:val="center"/>
              <w:rPr>
                <w:rFonts w:ascii="宋体" w:hAnsi="宋体" w:cs="宋体"/>
                <w:color w:val="000000"/>
                <w:sz w:val="24"/>
              </w:rPr>
            </w:pPr>
            <w:r>
              <w:rPr>
                <w:rFonts w:hint="eastAsia" w:ascii="宋体" w:hAnsi="宋体" w:cs="宋体"/>
                <w:color w:val="000000"/>
                <w:kern w:val="0"/>
                <w:sz w:val="24"/>
              </w:rPr>
              <w:t>实际完成情况</w:t>
            </w:r>
          </w:p>
        </w:tc>
      </w:tr>
      <w:tr w14:paraId="4286A60A">
        <w:tblPrEx>
          <w:tblCellMar>
            <w:top w:w="0" w:type="dxa"/>
            <w:left w:w="0" w:type="dxa"/>
            <w:bottom w:w="0" w:type="dxa"/>
            <w:right w:w="0" w:type="dxa"/>
          </w:tblCellMar>
        </w:tblPrEx>
        <w:trPr>
          <w:trHeight w:val="1590" w:hRule="atLeast"/>
        </w:trPr>
        <w:tc>
          <w:tcPr>
            <w:tcW w:w="2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AD6D67">
            <w:pPr>
              <w:jc w:val="center"/>
              <w:rPr>
                <w:rFonts w:ascii="宋体" w:hAnsi="宋体" w:cs="宋体"/>
                <w:color w:val="000000"/>
                <w:sz w:val="24"/>
              </w:rPr>
            </w:pPr>
          </w:p>
        </w:tc>
        <w:tc>
          <w:tcPr>
            <w:tcW w:w="374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32597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 xml:space="preserve"> 切实维护社会和谐稳定，保障和改善民生，促进经济健康发展，维护社会公平正义。</w:t>
            </w:r>
          </w:p>
        </w:tc>
        <w:tc>
          <w:tcPr>
            <w:tcW w:w="432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6CEC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切实维护社会和谐稳定，保障和改善民生，促进经济健康发展，维护社会公平正义。</w:t>
            </w:r>
          </w:p>
        </w:tc>
      </w:tr>
      <w:tr w14:paraId="75887419">
        <w:tblPrEx>
          <w:tblCellMar>
            <w:top w:w="0" w:type="dxa"/>
            <w:left w:w="0" w:type="dxa"/>
            <w:bottom w:w="0" w:type="dxa"/>
            <w:right w:w="0" w:type="dxa"/>
          </w:tblCellMar>
        </w:tblPrEx>
        <w:trPr>
          <w:trHeight w:val="1543" w:hRule="atLeast"/>
        </w:trPr>
        <w:tc>
          <w:tcPr>
            <w:tcW w:w="2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C414FF">
            <w:pPr>
              <w:widowControl/>
              <w:jc w:val="center"/>
              <w:textAlignment w:val="center"/>
              <w:rPr>
                <w:rFonts w:ascii="宋体" w:hAnsi="宋体" w:cs="宋体"/>
                <w:color w:val="000000"/>
                <w:sz w:val="24"/>
              </w:rPr>
            </w:pPr>
            <w:r>
              <w:rPr>
                <w:rFonts w:hint="eastAsia" w:ascii="宋体" w:hAnsi="宋体" w:cs="宋体"/>
                <w:color w:val="000000"/>
                <w:kern w:val="0"/>
                <w:sz w:val="24"/>
              </w:rPr>
              <w:t>绩</w:t>
            </w:r>
            <w:r>
              <w:rPr>
                <w:rFonts w:hint="eastAsia" w:ascii="宋体" w:hAnsi="宋体" w:cs="宋体"/>
                <w:color w:val="000000"/>
                <w:kern w:val="0"/>
                <w:sz w:val="24"/>
              </w:rPr>
              <w:br w:type="textWrapping"/>
            </w:r>
            <w:r>
              <w:rPr>
                <w:rFonts w:hint="eastAsia" w:ascii="宋体" w:hAnsi="宋体" w:cs="宋体"/>
                <w:color w:val="000000"/>
                <w:kern w:val="0"/>
                <w:sz w:val="24"/>
              </w:rPr>
              <w:t>效</w:t>
            </w:r>
            <w:r>
              <w:rPr>
                <w:rFonts w:hint="eastAsia" w:ascii="宋体" w:hAnsi="宋体" w:cs="宋体"/>
                <w:color w:val="000000"/>
                <w:kern w:val="0"/>
                <w:sz w:val="24"/>
              </w:rPr>
              <w:br w:type="textWrapping"/>
            </w:r>
            <w:r>
              <w:rPr>
                <w:rFonts w:hint="eastAsia" w:ascii="宋体" w:hAnsi="宋体" w:cs="宋体"/>
                <w:color w:val="000000"/>
                <w:kern w:val="0"/>
                <w:sz w:val="24"/>
              </w:rPr>
              <w:t>指</w:t>
            </w:r>
            <w:r>
              <w:rPr>
                <w:rFonts w:hint="eastAsia" w:ascii="宋体" w:hAnsi="宋体" w:cs="宋体"/>
                <w:color w:val="000000"/>
                <w:kern w:val="0"/>
                <w:sz w:val="24"/>
              </w:rPr>
              <w:br w:type="textWrapping"/>
            </w:r>
            <w:r>
              <w:rPr>
                <w:rFonts w:hint="eastAsia" w:ascii="宋体" w:hAnsi="宋体" w:cs="宋体"/>
                <w:color w:val="000000"/>
                <w:kern w:val="0"/>
                <w:sz w:val="24"/>
              </w:rPr>
              <w:t>标</w:t>
            </w:r>
          </w:p>
        </w:tc>
        <w:tc>
          <w:tcPr>
            <w:tcW w:w="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7A4415">
            <w:pPr>
              <w:widowControl/>
              <w:jc w:val="center"/>
              <w:textAlignment w:val="center"/>
              <w:rPr>
                <w:rFonts w:ascii="宋体" w:hAnsi="宋体" w:cs="宋体"/>
                <w:color w:val="000000"/>
                <w:sz w:val="24"/>
              </w:rPr>
            </w:pPr>
            <w:r>
              <w:rPr>
                <w:rFonts w:hint="eastAsia" w:ascii="宋体" w:hAnsi="宋体" w:cs="宋体"/>
                <w:color w:val="000000"/>
                <w:kern w:val="0"/>
                <w:sz w:val="24"/>
              </w:rPr>
              <w:t>一级</w:t>
            </w:r>
            <w:r>
              <w:rPr>
                <w:rFonts w:hint="eastAsia" w:ascii="宋体" w:hAnsi="宋体" w:cs="宋体"/>
                <w:color w:val="000000"/>
                <w:kern w:val="0"/>
                <w:sz w:val="24"/>
              </w:rPr>
              <w:br w:type="textWrapping"/>
            </w:r>
            <w:r>
              <w:rPr>
                <w:rFonts w:hint="eastAsia" w:ascii="宋体" w:hAnsi="宋体" w:cs="宋体"/>
                <w:color w:val="000000"/>
                <w:kern w:val="0"/>
                <w:sz w:val="24"/>
              </w:rPr>
              <w:t>指标</w:t>
            </w:r>
          </w:p>
        </w:tc>
        <w:tc>
          <w:tcPr>
            <w:tcW w:w="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8BF0F5">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19002">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38D2B">
            <w:pPr>
              <w:widowControl/>
              <w:jc w:val="center"/>
              <w:textAlignment w:val="center"/>
              <w:rPr>
                <w:rFonts w:ascii="宋体" w:hAnsi="宋体" w:cs="宋体"/>
                <w:color w:val="000000"/>
                <w:sz w:val="24"/>
              </w:rPr>
            </w:pPr>
            <w:r>
              <w:rPr>
                <w:rFonts w:hint="eastAsia" w:ascii="宋体" w:hAnsi="宋体" w:cs="宋体"/>
                <w:color w:val="000000"/>
                <w:kern w:val="0"/>
                <w:sz w:val="24"/>
              </w:rPr>
              <w:t>年度指标值</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8A43D">
            <w:pPr>
              <w:widowControl/>
              <w:jc w:val="center"/>
              <w:textAlignment w:val="center"/>
              <w:rPr>
                <w:rFonts w:ascii="宋体" w:hAns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10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7BD03">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989EF9">
            <w:pPr>
              <w:widowControl/>
              <w:jc w:val="left"/>
              <w:textAlignment w:val="center"/>
              <w:rPr>
                <w:rFonts w:ascii="宋体" w:hAnsi="宋体" w:cs="宋体"/>
                <w:color w:val="000000"/>
                <w:sz w:val="24"/>
              </w:rPr>
            </w:pPr>
          </w:p>
        </w:tc>
      </w:tr>
      <w:tr w14:paraId="58833DD5">
        <w:tblPrEx>
          <w:tblCellMar>
            <w:top w:w="0" w:type="dxa"/>
            <w:left w:w="0" w:type="dxa"/>
            <w:bottom w:w="0" w:type="dxa"/>
            <w:right w:w="0" w:type="dxa"/>
          </w:tblCellMar>
        </w:tblPrEx>
        <w:trPr>
          <w:trHeight w:val="560" w:hRule="atLeast"/>
        </w:trPr>
        <w:tc>
          <w:tcPr>
            <w:tcW w:w="2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35D865">
            <w:pPr>
              <w:jc w:val="center"/>
              <w:rPr>
                <w:rFonts w:ascii="宋体" w:hAnsi="宋体" w:cs="宋体"/>
                <w:color w:val="000000"/>
                <w:sz w:val="24"/>
              </w:rPr>
            </w:pPr>
          </w:p>
        </w:tc>
        <w:tc>
          <w:tcPr>
            <w:tcW w:w="45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EAB4DD">
            <w:pPr>
              <w:widowControl/>
              <w:jc w:val="center"/>
              <w:textAlignment w:val="center"/>
              <w:rPr>
                <w:rFonts w:ascii="宋体" w:hAnsi="宋体" w:cs="宋体"/>
                <w:color w:val="000000"/>
                <w:sz w:val="24"/>
              </w:rPr>
            </w:pPr>
            <w:r>
              <w:rPr>
                <w:rFonts w:hint="eastAsia" w:ascii="宋体" w:hAnsi="宋体" w:cs="宋体"/>
                <w:color w:val="000000"/>
                <w:kern w:val="0"/>
                <w:sz w:val="24"/>
              </w:rPr>
              <w:t>项目完成</w:t>
            </w:r>
          </w:p>
        </w:tc>
        <w:tc>
          <w:tcPr>
            <w:tcW w:w="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FEC8CE">
            <w:pPr>
              <w:widowControl/>
              <w:jc w:val="center"/>
              <w:textAlignment w:val="center"/>
              <w:rPr>
                <w:rFonts w:ascii="宋体" w:hAnsi="宋体" w:cs="宋体"/>
                <w:color w:val="000000"/>
                <w:sz w:val="24"/>
              </w:rPr>
            </w:pPr>
            <w:r>
              <w:rPr>
                <w:rFonts w:hint="eastAsia" w:ascii="宋体" w:hAnsi="宋体" w:cs="宋体"/>
                <w:color w:val="000000"/>
                <w:kern w:val="0"/>
                <w:sz w:val="24"/>
              </w:rPr>
              <w:t>数量指标</w:t>
            </w:r>
          </w:p>
        </w:tc>
        <w:tc>
          <w:tcPr>
            <w:tcW w:w="2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F81C6">
            <w:pPr>
              <w:widowControl/>
              <w:textAlignment w:val="center"/>
              <w:rPr>
                <w:rFonts w:ascii="宋体" w:hAnsi="宋体" w:cs="宋体"/>
                <w:color w:val="000000"/>
                <w:sz w:val="22"/>
                <w:szCs w:val="22"/>
              </w:rPr>
            </w:pPr>
            <w:r>
              <w:rPr>
                <w:rFonts w:hint="eastAsia" w:ascii="宋体" w:hAnsi="宋体" w:cs="宋体"/>
                <w:color w:val="000000"/>
                <w:kern w:val="0"/>
                <w:sz w:val="22"/>
                <w:szCs w:val="22"/>
              </w:rPr>
              <w:t>奖励资金</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9DB5A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按工作计划</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5A8A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已完成</w:t>
            </w:r>
          </w:p>
        </w:tc>
        <w:tc>
          <w:tcPr>
            <w:tcW w:w="10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CF267">
            <w:pPr>
              <w:widowControl/>
              <w:jc w:val="right"/>
              <w:textAlignment w:val="center"/>
              <w:rPr>
                <w:rFonts w:ascii="宋体" w:hAnsi="宋体" w:cs="宋体"/>
                <w:color w:val="000000"/>
                <w:sz w:val="22"/>
                <w:szCs w:val="22"/>
              </w:rPr>
            </w:pPr>
            <w:r>
              <w:rPr>
                <w:rFonts w:hint="eastAsia" w:ascii="宋体" w:hAnsi="宋体" w:cs="宋体"/>
                <w:color w:val="000000"/>
                <w:kern w:val="0"/>
                <w:sz w:val="22"/>
                <w:szCs w:val="22"/>
              </w:rPr>
              <w:t>100%</w:t>
            </w: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D4E63">
            <w:pPr>
              <w:rPr>
                <w:rFonts w:ascii="宋体" w:hAnsi="宋体" w:cs="宋体"/>
                <w:color w:val="000000"/>
                <w:sz w:val="24"/>
              </w:rPr>
            </w:pPr>
          </w:p>
        </w:tc>
      </w:tr>
      <w:tr w14:paraId="4F21C033">
        <w:tblPrEx>
          <w:tblCellMar>
            <w:top w:w="0" w:type="dxa"/>
            <w:left w:w="0" w:type="dxa"/>
            <w:bottom w:w="0" w:type="dxa"/>
            <w:right w:w="0" w:type="dxa"/>
          </w:tblCellMar>
        </w:tblPrEx>
        <w:trPr>
          <w:trHeight w:val="960" w:hRule="atLeast"/>
        </w:trPr>
        <w:tc>
          <w:tcPr>
            <w:tcW w:w="2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20A97E">
            <w:pPr>
              <w:jc w:val="center"/>
              <w:rPr>
                <w:rFonts w:ascii="宋体" w:hAnsi="宋体" w:cs="宋体"/>
                <w:color w:val="000000"/>
                <w:sz w:val="24"/>
              </w:rPr>
            </w:pPr>
          </w:p>
        </w:tc>
        <w:tc>
          <w:tcPr>
            <w:tcW w:w="4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EFD004">
            <w:pPr>
              <w:jc w:val="center"/>
              <w:rPr>
                <w:rFonts w:ascii="宋体" w:hAnsi="宋体" w:cs="宋体"/>
                <w:color w:val="000000"/>
                <w:sz w:val="24"/>
              </w:rPr>
            </w:pPr>
          </w:p>
        </w:tc>
        <w:tc>
          <w:tcPr>
            <w:tcW w:w="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912F4C">
            <w:pPr>
              <w:widowControl/>
              <w:jc w:val="center"/>
              <w:textAlignment w:val="center"/>
              <w:rPr>
                <w:rFonts w:ascii="宋体" w:hAnsi="宋体" w:cs="宋体"/>
                <w:color w:val="000000"/>
                <w:sz w:val="24"/>
              </w:rPr>
            </w:pPr>
            <w:r>
              <w:rPr>
                <w:rFonts w:hint="eastAsia" w:ascii="宋体" w:hAnsi="宋体" w:cs="宋体"/>
                <w:color w:val="000000"/>
                <w:kern w:val="0"/>
                <w:sz w:val="24"/>
              </w:rPr>
              <w:t>质量指标</w:t>
            </w: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96BBA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保障了盐边县司法局业务经费</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A4190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弥补了司法局差旅费，确保了司法局工作业务的开展</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B2F9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已完成</w:t>
            </w:r>
          </w:p>
        </w:tc>
        <w:tc>
          <w:tcPr>
            <w:tcW w:w="10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9E2543">
            <w:pPr>
              <w:widowControl/>
              <w:jc w:val="right"/>
              <w:textAlignment w:val="center"/>
              <w:rPr>
                <w:rFonts w:ascii="宋体" w:hAnsi="宋体" w:cs="宋体"/>
                <w:color w:val="000000"/>
                <w:sz w:val="22"/>
                <w:szCs w:val="22"/>
              </w:rPr>
            </w:pPr>
            <w:r>
              <w:rPr>
                <w:rFonts w:hint="eastAsia" w:ascii="宋体" w:hAnsi="宋体" w:cs="宋体"/>
                <w:color w:val="000000"/>
                <w:kern w:val="0"/>
                <w:sz w:val="22"/>
                <w:szCs w:val="22"/>
              </w:rPr>
              <w:t>100%</w:t>
            </w: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43884E">
            <w:pPr>
              <w:rPr>
                <w:rFonts w:ascii="宋体" w:hAnsi="宋体" w:cs="宋体"/>
                <w:color w:val="000000"/>
                <w:sz w:val="24"/>
              </w:rPr>
            </w:pPr>
          </w:p>
        </w:tc>
      </w:tr>
      <w:tr w14:paraId="2D08A529">
        <w:tblPrEx>
          <w:tblCellMar>
            <w:top w:w="0" w:type="dxa"/>
            <w:left w:w="0" w:type="dxa"/>
            <w:bottom w:w="0" w:type="dxa"/>
            <w:right w:w="0" w:type="dxa"/>
          </w:tblCellMar>
        </w:tblPrEx>
        <w:trPr>
          <w:trHeight w:val="435" w:hRule="atLeast"/>
        </w:trPr>
        <w:tc>
          <w:tcPr>
            <w:tcW w:w="2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24A5E1">
            <w:pPr>
              <w:jc w:val="center"/>
              <w:rPr>
                <w:rFonts w:ascii="宋体" w:hAnsi="宋体" w:cs="宋体"/>
                <w:color w:val="000000"/>
                <w:sz w:val="24"/>
              </w:rPr>
            </w:pPr>
          </w:p>
        </w:tc>
        <w:tc>
          <w:tcPr>
            <w:tcW w:w="4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4A396">
            <w:pPr>
              <w:jc w:val="center"/>
              <w:rPr>
                <w:rFonts w:ascii="宋体" w:hAnsi="宋体" w:cs="宋体"/>
                <w:color w:val="000000"/>
                <w:sz w:val="24"/>
              </w:rPr>
            </w:pPr>
          </w:p>
        </w:tc>
        <w:tc>
          <w:tcPr>
            <w:tcW w:w="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FF518E">
            <w:pPr>
              <w:widowControl/>
              <w:jc w:val="center"/>
              <w:textAlignment w:val="center"/>
              <w:rPr>
                <w:rFonts w:ascii="宋体" w:hAnsi="宋体" w:cs="宋体"/>
                <w:color w:val="000000"/>
                <w:sz w:val="24"/>
              </w:rPr>
            </w:pPr>
            <w:r>
              <w:rPr>
                <w:rFonts w:hint="eastAsia" w:ascii="宋体" w:hAnsi="宋体" w:cs="宋体"/>
                <w:color w:val="000000"/>
                <w:kern w:val="0"/>
                <w:sz w:val="24"/>
              </w:rPr>
              <w:t>时效指标</w:t>
            </w: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8F9CF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按工作计划</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E83D7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2021年1月至12月</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767C3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2021年1月至12月</w:t>
            </w:r>
          </w:p>
        </w:tc>
        <w:tc>
          <w:tcPr>
            <w:tcW w:w="10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8566B">
            <w:pPr>
              <w:rPr>
                <w:rFonts w:ascii="宋体" w:hAnsi="宋体" w:cs="宋体"/>
                <w:color w:val="000000"/>
                <w:sz w:val="24"/>
              </w:rPr>
            </w:pP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F387D3">
            <w:pPr>
              <w:rPr>
                <w:rFonts w:ascii="宋体" w:hAnsi="宋体" w:cs="宋体"/>
                <w:color w:val="000000"/>
                <w:sz w:val="24"/>
              </w:rPr>
            </w:pPr>
          </w:p>
        </w:tc>
      </w:tr>
      <w:tr w14:paraId="452EB57E">
        <w:tblPrEx>
          <w:tblCellMar>
            <w:top w:w="0" w:type="dxa"/>
            <w:left w:w="0" w:type="dxa"/>
            <w:bottom w:w="0" w:type="dxa"/>
            <w:right w:w="0" w:type="dxa"/>
          </w:tblCellMar>
        </w:tblPrEx>
        <w:trPr>
          <w:trHeight w:val="435" w:hRule="atLeast"/>
        </w:trPr>
        <w:tc>
          <w:tcPr>
            <w:tcW w:w="2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B9A4B">
            <w:pPr>
              <w:jc w:val="center"/>
              <w:rPr>
                <w:rFonts w:ascii="宋体" w:hAnsi="宋体" w:cs="宋体"/>
                <w:color w:val="000000"/>
                <w:sz w:val="24"/>
              </w:rPr>
            </w:pPr>
          </w:p>
        </w:tc>
        <w:tc>
          <w:tcPr>
            <w:tcW w:w="4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C2E752">
            <w:pPr>
              <w:jc w:val="center"/>
              <w:rPr>
                <w:rFonts w:ascii="宋体" w:hAnsi="宋体" w:cs="宋体"/>
                <w:color w:val="000000"/>
                <w:sz w:val="24"/>
              </w:rPr>
            </w:pPr>
          </w:p>
        </w:tc>
        <w:tc>
          <w:tcPr>
            <w:tcW w:w="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48E411">
            <w:pPr>
              <w:widowControl/>
              <w:jc w:val="center"/>
              <w:textAlignment w:val="center"/>
              <w:rPr>
                <w:rFonts w:ascii="宋体" w:hAnsi="宋体" w:cs="宋体"/>
                <w:color w:val="000000"/>
                <w:sz w:val="24"/>
              </w:rPr>
            </w:pPr>
            <w:r>
              <w:rPr>
                <w:rFonts w:hint="eastAsia" w:ascii="宋体" w:hAnsi="宋体" w:cs="宋体"/>
                <w:color w:val="000000"/>
                <w:kern w:val="0"/>
                <w:sz w:val="24"/>
              </w:rPr>
              <w:t>成本指标</w:t>
            </w:r>
          </w:p>
        </w:tc>
        <w:tc>
          <w:tcPr>
            <w:tcW w:w="2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EFEED">
            <w:pPr>
              <w:widowControl/>
              <w:textAlignment w:val="center"/>
              <w:rPr>
                <w:rFonts w:ascii="宋体" w:hAnsi="宋体" w:cs="宋体"/>
                <w:color w:val="000000"/>
                <w:sz w:val="22"/>
                <w:szCs w:val="22"/>
              </w:rPr>
            </w:pPr>
            <w:r>
              <w:rPr>
                <w:rFonts w:hint="eastAsia" w:ascii="宋体" w:hAnsi="宋体" w:cs="宋体"/>
                <w:color w:val="000000"/>
                <w:kern w:val="0"/>
                <w:sz w:val="22"/>
                <w:szCs w:val="22"/>
              </w:rPr>
              <w:t>奖励资金</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5DBDA">
            <w:pPr>
              <w:widowControl/>
              <w:jc w:val="left"/>
              <w:textAlignment w:val="center"/>
              <w:rPr>
                <w:rFonts w:ascii="宋体" w:hAnsi="宋体" w:cs="宋体"/>
                <w:color w:val="000000"/>
                <w:sz w:val="24"/>
              </w:rPr>
            </w:pPr>
            <w:r>
              <w:rPr>
                <w:rFonts w:hint="eastAsia" w:ascii="宋体" w:hAnsi="宋体" w:cs="宋体"/>
                <w:color w:val="000000"/>
                <w:kern w:val="0"/>
                <w:sz w:val="24"/>
              </w:rPr>
              <w:t>6万元</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F5BF89">
            <w:pPr>
              <w:widowControl/>
              <w:jc w:val="left"/>
              <w:textAlignment w:val="center"/>
              <w:rPr>
                <w:rFonts w:ascii="宋体" w:hAnsi="宋体" w:cs="宋体"/>
                <w:color w:val="000000"/>
                <w:sz w:val="24"/>
              </w:rPr>
            </w:pPr>
            <w:r>
              <w:rPr>
                <w:rFonts w:hint="eastAsia" w:ascii="宋体" w:hAnsi="宋体" w:cs="宋体"/>
                <w:color w:val="000000"/>
                <w:kern w:val="0"/>
                <w:sz w:val="24"/>
              </w:rPr>
              <w:t>6万元</w:t>
            </w:r>
          </w:p>
        </w:tc>
        <w:tc>
          <w:tcPr>
            <w:tcW w:w="10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0A33CB">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2ED306">
            <w:pPr>
              <w:rPr>
                <w:rFonts w:ascii="宋体" w:hAnsi="宋体" w:cs="宋体"/>
                <w:color w:val="000000"/>
                <w:sz w:val="24"/>
              </w:rPr>
            </w:pPr>
          </w:p>
        </w:tc>
      </w:tr>
      <w:tr w14:paraId="7264D454">
        <w:tblPrEx>
          <w:tblCellMar>
            <w:top w:w="0" w:type="dxa"/>
            <w:left w:w="0" w:type="dxa"/>
            <w:bottom w:w="0" w:type="dxa"/>
            <w:right w:w="0" w:type="dxa"/>
          </w:tblCellMar>
        </w:tblPrEx>
        <w:trPr>
          <w:trHeight w:val="2240" w:hRule="atLeast"/>
        </w:trPr>
        <w:tc>
          <w:tcPr>
            <w:tcW w:w="2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7A13A6">
            <w:pPr>
              <w:jc w:val="center"/>
              <w:rPr>
                <w:rFonts w:ascii="宋体" w:hAnsi="宋体" w:cs="宋体"/>
                <w:color w:val="000000"/>
                <w:sz w:val="24"/>
              </w:rPr>
            </w:pPr>
          </w:p>
        </w:tc>
        <w:tc>
          <w:tcPr>
            <w:tcW w:w="45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3C19A0">
            <w:pPr>
              <w:jc w:val="center"/>
              <w:rPr>
                <w:rFonts w:ascii="宋体" w:hAnsi="宋体" w:cs="宋体"/>
                <w:color w:val="000000"/>
                <w:sz w:val="24"/>
              </w:rPr>
            </w:pPr>
          </w:p>
        </w:tc>
        <w:tc>
          <w:tcPr>
            <w:tcW w:w="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E7D86F">
            <w:pPr>
              <w:widowControl/>
              <w:jc w:val="center"/>
              <w:textAlignment w:val="center"/>
              <w:rPr>
                <w:rFonts w:ascii="宋体" w:hAnsi="宋体" w:cs="宋体"/>
                <w:color w:val="000000"/>
                <w:sz w:val="24"/>
              </w:rPr>
            </w:pPr>
            <w:r>
              <w:rPr>
                <w:rFonts w:hint="eastAsia" w:ascii="宋体" w:hAnsi="宋体" w:cs="宋体"/>
                <w:color w:val="000000"/>
                <w:kern w:val="0"/>
                <w:sz w:val="24"/>
              </w:rPr>
              <w:t>社会效益</w:t>
            </w:r>
            <w:r>
              <w:rPr>
                <w:rFonts w:hint="eastAsia" w:ascii="宋体" w:hAnsi="宋体" w:cs="宋体"/>
                <w:color w:val="000000"/>
                <w:kern w:val="0"/>
                <w:sz w:val="24"/>
              </w:rPr>
              <w:br w:type="textWrapping"/>
            </w:r>
            <w:r>
              <w:rPr>
                <w:rFonts w:hint="eastAsia" w:ascii="宋体" w:hAnsi="宋体" w:cs="宋体"/>
                <w:color w:val="000000"/>
                <w:kern w:val="0"/>
                <w:sz w:val="24"/>
              </w:rPr>
              <w:t>指标</w:t>
            </w: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FF643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切实维护社会和谐稳定，保障和改善民生，促进经济健康发展，维护社会公平正义。</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402BD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 xml:space="preserve"> 切实维护社会和谐稳定，保障和改善民生，促进经济健康发展，维护社会公平正义。</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C817F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已完成</w:t>
            </w:r>
          </w:p>
        </w:tc>
        <w:tc>
          <w:tcPr>
            <w:tcW w:w="10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EC9A9">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CDC2D3">
            <w:pPr>
              <w:rPr>
                <w:rFonts w:ascii="宋体" w:hAnsi="宋体" w:cs="宋体"/>
                <w:color w:val="000000"/>
                <w:sz w:val="24"/>
              </w:rPr>
            </w:pPr>
          </w:p>
        </w:tc>
      </w:tr>
      <w:tr w14:paraId="0E7A993C">
        <w:tblPrEx>
          <w:tblCellMar>
            <w:top w:w="0" w:type="dxa"/>
            <w:left w:w="0" w:type="dxa"/>
            <w:bottom w:w="0" w:type="dxa"/>
            <w:right w:w="0" w:type="dxa"/>
          </w:tblCellMar>
        </w:tblPrEx>
        <w:trPr>
          <w:trHeight w:val="1120" w:hRule="atLeast"/>
        </w:trPr>
        <w:tc>
          <w:tcPr>
            <w:tcW w:w="2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88B183">
            <w:pPr>
              <w:jc w:val="center"/>
              <w:rPr>
                <w:rFonts w:ascii="宋体" w:hAnsi="宋体" w:cs="宋体"/>
                <w:color w:val="000000"/>
                <w:sz w:val="24"/>
              </w:rPr>
            </w:pPr>
          </w:p>
        </w:tc>
        <w:tc>
          <w:tcPr>
            <w:tcW w:w="4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E1890E">
            <w:pPr>
              <w:jc w:val="center"/>
              <w:rPr>
                <w:rFonts w:ascii="宋体" w:hAnsi="宋体" w:cs="宋体"/>
                <w:color w:val="000000"/>
                <w:sz w:val="24"/>
              </w:rPr>
            </w:pPr>
          </w:p>
        </w:tc>
        <w:tc>
          <w:tcPr>
            <w:tcW w:w="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F9AAC0">
            <w:pPr>
              <w:widowControl/>
              <w:jc w:val="center"/>
              <w:textAlignment w:val="center"/>
              <w:rPr>
                <w:rFonts w:ascii="宋体" w:hAnsi="宋体" w:cs="宋体"/>
                <w:color w:val="000000"/>
                <w:sz w:val="24"/>
              </w:rPr>
            </w:pPr>
            <w:r>
              <w:rPr>
                <w:rFonts w:hint="eastAsia" w:ascii="宋体" w:hAnsi="宋体" w:cs="宋体"/>
                <w:color w:val="000000"/>
                <w:kern w:val="0"/>
                <w:sz w:val="24"/>
              </w:rPr>
              <w:t>可持续影响</w:t>
            </w:r>
            <w:r>
              <w:rPr>
                <w:rFonts w:hint="eastAsia" w:ascii="宋体" w:hAnsi="宋体" w:cs="宋体"/>
                <w:color w:val="000000"/>
                <w:kern w:val="0"/>
                <w:sz w:val="24"/>
              </w:rPr>
              <w:br w:type="textWrapping"/>
            </w:r>
            <w:r>
              <w:rPr>
                <w:rFonts w:hint="eastAsia" w:ascii="宋体" w:hAnsi="宋体" w:cs="宋体"/>
                <w:color w:val="000000"/>
                <w:kern w:val="0"/>
                <w:sz w:val="24"/>
              </w:rPr>
              <w:t>指标</w:t>
            </w:r>
          </w:p>
        </w:tc>
        <w:tc>
          <w:tcPr>
            <w:tcW w:w="2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EF1A3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切实维护社会和谐稳定，保障和改善民生，促进经济健康发展，维护社会公平正义。</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90CA0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切实维护社会和谐稳定，保障和改善民生，促进经济健康发展，维护社会公平正义。</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EAC15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已完成</w:t>
            </w:r>
          </w:p>
        </w:tc>
        <w:tc>
          <w:tcPr>
            <w:tcW w:w="10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DDBCFA">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4B1B97">
            <w:pPr>
              <w:rPr>
                <w:rFonts w:ascii="宋体" w:hAnsi="宋体" w:cs="宋体"/>
                <w:color w:val="000000"/>
                <w:sz w:val="24"/>
              </w:rPr>
            </w:pPr>
          </w:p>
        </w:tc>
      </w:tr>
      <w:tr w14:paraId="168D7771">
        <w:tblPrEx>
          <w:tblCellMar>
            <w:top w:w="0" w:type="dxa"/>
            <w:left w:w="0" w:type="dxa"/>
            <w:bottom w:w="0" w:type="dxa"/>
            <w:right w:w="0" w:type="dxa"/>
          </w:tblCellMar>
        </w:tblPrEx>
        <w:trPr>
          <w:trHeight w:val="1000" w:hRule="atLeast"/>
        </w:trPr>
        <w:tc>
          <w:tcPr>
            <w:tcW w:w="2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AC49CA">
            <w:pPr>
              <w:jc w:val="center"/>
              <w:rPr>
                <w:rFonts w:ascii="宋体" w:hAnsi="宋体" w:cs="宋体"/>
                <w:color w:val="000000"/>
                <w:sz w:val="24"/>
              </w:rPr>
            </w:pPr>
          </w:p>
        </w:tc>
        <w:tc>
          <w:tcPr>
            <w:tcW w:w="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587292">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5E6EA2">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2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F7FDEC">
            <w:pPr>
              <w:widowControl/>
              <w:textAlignment w:val="center"/>
              <w:rPr>
                <w:rFonts w:ascii="宋体" w:hAnsi="宋体" w:cs="宋体"/>
                <w:color w:val="000000"/>
                <w:sz w:val="22"/>
                <w:szCs w:val="22"/>
              </w:rPr>
            </w:pPr>
            <w:r>
              <w:rPr>
                <w:rFonts w:hint="eastAsia" w:ascii="宋体" w:hAnsi="宋体" w:cs="宋体"/>
                <w:color w:val="000000"/>
                <w:kern w:val="0"/>
                <w:sz w:val="22"/>
                <w:szCs w:val="22"/>
              </w:rPr>
              <w:t>服务对象满意度</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597B6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服务对象满意度</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02D4C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抽样调查达到基本满意及以上</w:t>
            </w:r>
          </w:p>
        </w:tc>
        <w:tc>
          <w:tcPr>
            <w:tcW w:w="10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D7F4D7">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6ADC7">
            <w:pPr>
              <w:rPr>
                <w:rFonts w:ascii="宋体" w:hAnsi="宋体" w:cs="宋体"/>
                <w:color w:val="000000"/>
                <w:sz w:val="24"/>
              </w:rPr>
            </w:pPr>
          </w:p>
        </w:tc>
      </w:tr>
    </w:tbl>
    <w:p w14:paraId="01E90495">
      <w:pPr>
        <w:widowControl/>
        <w:jc w:val="left"/>
        <w:rPr>
          <w:rStyle w:val="31"/>
          <w:rFonts w:ascii="黑体" w:hAnsi="黑体" w:eastAsia="黑体"/>
          <w:b w:val="0"/>
        </w:rPr>
      </w:pPr>
    </w:p>
    <w:p w14:paraId="7AF00145">
      <w:pPr>
        <w:spacing w:line="580" w:lineRule="exact"/>
        <w:ind w:firstLine="964" w:firstLineChars="300"/>
        <w:jc w:val="center"/>
        <w:rPr>
          <w:rStyle w:val="31"/>
          <w:rFonts w:ascii="黑体" w:hAnsi="黑体" w:eastAsia="黑体"/>
          <w:b w:val="0"/>
        </w:rPr>
      </w:pPr>
      <w:bookmarkStart w:id="145" w:name="_Toc17659_WPSOffice_Level2"/>
      <w:r>
        <w:rPr>
          <w:rFonts w:hint="eastAsia" w:ascii="宋体" w:hAnsi="宋体" w:cs="宋体"/>
          <w:b/>
          <w:sz w:val="32"/>
          <w:szCs w:val="32"/>
        </w:rPr>
        <w:t>2021年</w:t>
      </w:r>
      <w:r>
        <w:rPr>
          <w:rFonts w:hint="eastAsia" w:ascii="宋体" w:hAnsi="宋体" w:cs="宋体"/>
          <w:b/>
          <w:color w:val="000000"/>
          <w:kern w:val="0"/>
          <w:sz w:val="32"/>
          <w:szCs w:val="32"/>
        </w:rPr>
        <w:t>普法工作经费</w:t>
      </w:r>
      <w:r>
        <w:rPr>
          <w:rFonts w:hint="eastAsia" w:ascii="宋体" w:hAnsi="宋体" w:cs="宋体"/>
          <w:b/>
          <w:sz w:val="32"/>
          <w:szCs w:val="32"/>
        </w:rPr>
        <w:t>项目绩效目标自评</w:t>
      </w:r>
      <w:bookmarkEnd w:id="145"/>
    </w:p>
    <w:tbl>
      <w:tblPr>
        <w:tblStyle w:val="18"/>
        <w:tblW w:w="8336" w:type="dxa"/>
        <w:tblInd w:w="0" w:type="dxa"/>
        <w:tblLayout w:type="fixed"/>
        <w:tblCellMar>
          <w:top w:w="0" w:type="dxa"/>
          <w:left w:w="0" w:type="dxa"/>
          <w:bottom w:w="0" w:type="dxa"/>
          <w:right w:w="0" w:type="dxa"/>
        </w:tblCellMar>
      </w:tblPr>
      <w:tblGrid>
        <w:gridCol w:w="233"/>
        <w:gridCol w:w="233"/>
        <w:gridCol w:w="234"/>
        <w:gridCol w:w="2390"/>
        <w:gridCol w:w="2332"/>
        <w:gridCol w:w="1691"/>
        <w:gridCol w:w="1223"/>
      </w:tblGrid>
      <w:tr w14:paraId="4F329C6B">
        <w:tblPrEx>
          <w:tblCellMar>
            <w:top w:w="0" w:type="dxa"/>
            <w:left w:w="0" w:type="dxa"/>
            <w:bottom w:w="0" w:type="dxa"/>
            <w:right w:w="0" w:type="dxa"/>
          </w:tblCellMar>
        </w:tblPrEx>
        <w:trPr>
          <w:trHeight w:val="939" w:hRule="atLeast"/>
        </w:trPr>
        <w:tc>
          <w:tcPr>
            <w:tcW w:w="70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0051D6">
            <w:pPr>
              <w:widowControl/>
              <w:jc w:val="center"/>
              <w:textAlignment w:val="center"/>
              <w:rPr>
                <w:rFonts w:ascii="宋体" w:hAnsi="宋体" w:cs="宋体"/>
                <w:color w:val="000000"/>
                <w:sz w:val="24"/>
              </w:rPr>
            </w:pPr>
            <w:r>
              <w:rPr>
                <w:rFonts w:hint="eastAsia" w:ascii="宋体" w:hAnsi="宋体" w:cs="宋体"/>
                <w:color w:val="000000"/>
                <w:kern w:val="0"/>
                <w:sz w:val="24"/>
              </w:rPr>
              <w:t>专项（项目）名称</w:t>
            </w:r>
          </w:p>
        </w:tc>
        <w:tc>
          <w:tcPr>
            <w:tcW w:w="7636"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0A3CAB">
            <w:pPr>
              <w:widowControl/>
              <w:jc w:val="center"/>
              <w:textAlignment w:val="center"/>
              <w:rPr>
                <w:rFonts w:ascii="宋体" w:hAnsi="宋体" w:cs="宋体"/>
                <w:color w:val="000000"/>
                <w:sz w:val="24"/>
              </w:rPr>
            </w:pPr>
            <w:r>
              <w:rPr>
                <w:rFonts w:hint="eastAsia" w:ascii="宋体" w:hAnsi="宋体" w:cs="宋体"/>
                <w:color w:val="000000"/>
                <w:kern w:val="0"/>
                <w:sz w:val="24"/>
              </w:rPr>
              <w:t>普法工作相关经费</w:t>
            </w:r>
          </w:p>
        </w:tc>
      </w:tr>
      <w:tr w14:paraId="4FA3E4A4">
        <w:tblPrEx>
          <w:tblCellMar>
            <w:top w:w="0" w:type="dxa"/>
            <w:left w:w="0" w:type="dxa"/>
            <w:bottom w:w="0" w:type="dxa"/>
            <w:right w:w="0" w:type="dxa"/>
          </w:tblCellMar>
        </w:tblPrEx>
        <w:trPr>
          <w:trHeight w:val="409" w:hRule="atLeast"/>
        </w:trPr>
        <w:tc>
          <w:tcPr>
            <w:tcW w:w="700" w:type="dxa"/>
            <w:gridSpan w:val="3"/>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7999D924">
            <w:pPr>
              <w:widowControl/>
              <w:jc w:val="center"/>
              <w:textAlignment w:val="center"/>
              <w:rPr>
                <w:rFonts w:ascii="宋体" w:hAnsi="宋体" w:cs="宋体"/>
                <w:color w:val="000000"/>
                <w:sz w:val="24"/>
              </w:rPr>
            </w:pPr>
            <w:r>
              <w:rPr>
                <w:rFonts w:hint="eastAsia" w:ascii="宋体" w:hAnsi="宋体" w:cs="宋体"/>
                <w:color w:val="000000"/>
                <w:kern w:val="0"/>
                <w:sz w:val="24"/>
              </w:rPr>
              <w:t>项目主管单位</w:t>
            </w:r>
          </w:p>
        </w:tc>
        <w:tc>
          <w:tcPr>
            <w:tcW w:w="7636" w:type="dxa"/>
            <w:gridSpan w:val="4"/>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40A5F6E3">
            <w:pPr>
              <w:widowControl/>
              <w:jc w:val="center"/>
              <w:textAlignment w:val="center"/>
              <w:rPr>
                <w:rFonts w:ascii="宋体" w:hAnsi="宋体" w:cs="宋体"/>
                <w:color w:val="000000"/>
                <w:sz w:val="24"/>
              </w:rPr>
            </w:pPr>
            <w:r>
              <w:rPr>
                <w:rFonts w:hint="eastAsia" w:ascii="宋体" w:hAnsi="宋体" w:cs="宋体"/>
                <w:color w:val="000000"/>
                <w:kern w:val="0"/>
                <w:sz w:val="24"/>
              </w:rPr>
              <w:t>盐边县司法局</w:t>
            </w:r>
          </w:p>
        </w:tc>
      </w:tr>
      <w:tr w14:paraId="65C0D53D">
        <w:tblPrEx>
          <w:tblCellMar>
            <w:top w:w="0" w:type="dxa"/>
            <w:left w:w="0" w:type="dxa"/>
            <w:bottom w:w="0" w:type="dxa"/>
            <w:right w:w="0" w:type="dxa"/>
          </w:tblCellMar>
        </w:tblPrEx>
        <w:trPr>
          <w:trHeight w:val="439" w:hRule="atLeast"/>
        </w:trPr>
        <w:tc>
          <w:tcPr>
            <w:tcW w:w="700" w:type="dxa"/>
            <w:gridSpan w:val="3"/>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14:paraId="70F06862">
            <w:pPr>
              <w:widowControl/>
              <w:jc w:val="center"/>
              <w:textAlignment w:val="center"/>
              <w:rPr>
                <w:rFonts w:ascii="宋体" w:hAnsi="宋体" w:cs="宋体"/>
                <w:color w:val="000000"/>
                <w:sz w:val="24"/>
              </w:rPr>
            </w:pPr>
            <w:r>
              <w:rPr>
                <w:rFonts w:hint="eastAsia" w:ascii="宋体" w:hAnsi="宋体" w:cs="宋体"/>
                <w:color w:val="000000"/>
                <w:kern w:val="0"/>
                <w:sz w:val="24"/>
              </w:rPr>
              <w:t>项目实施单位</w:t>
            </w:r>
          </w:p>
        </w:tc>
        <w:tc>
          <w:tcPr>
            <w:tcW w:w="7636" w:type="dxa"/>
            <w:gridSpan w:val="4"/>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14:paraId="7A6F0833">
            <w:pPr>
              <w:widowControl/>
              <w:jc w:val="center"/>
              <w:textAlignment w:val="center"/>
              <w:rPr>
                <w:rFonts w:ascii="宋体" w:hAnsi="宋体" w:cs="宋体"/>
                <w:color w:val="000000"/>
                <w:sz w:val="24"/>
              </w:rPr>
            </w:pPr>
            <w:r>
              <w:rPr>
                <w:rFonts w:hint="eastAsia" w:ascii="宋体" w:hAnsi="宋体" w:cs="宋体"/>
                <w:color w:val="000000"/>
                <w:kern w:val="0"/>
                <w:sz w:val="24"/>
              </w:rPr>
              <w:t>盐边县司法局</w:t>
            </w:r>
          </w:p>
        </w:tc>
      </w:tr>
      <w:tr w14:paraId="11CD4F00">
        <w:tblPrEx>
          <w:tblCellMar>
            <w:top w:w="0" w:type="dxa"/>
            <w:left w:w="0" w:type="dxa"/>
            <w:bottom w:w="0" w:type="dxa"/>
            <w:right w:w="0" w:type="dxa"/>
          </w:tblCellMar>
        </w:tblPrEx>
        <w:trPr>
          <w:trHeight w:val="439" w:hRule="atLeast"/>
        </w:trPr>
        <w:tc>
          <w:tcPr>
            <w:tcW w:w="700" w:type="dxa"/>
            <w:gridSpan w:val="3"/>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89AA0C">
            <w:pPr>
              <w:widowControl/>
              <w:jc w:val="center"/>
              <w:textAlignment w:val="center"/>
              <w:rPr>
                <w:rFonts w:ascii="宋体" w:hAnsi="宋体" w:cs="宋体"/>
                <w:color w:val="000000"/>
                <w:sz w:val="24"/>
              </w:rPr>
            </w:pPr>
            <w:r>
              <w:rPr>
                <w:rFonts w:hint="eastAsia" w:ascii="宋体" w:hAnsi="宋体" w:cs="宋体"/>
                <w:color w:val="000000"/>
                <w:kern w:val="0"/>
                <w:sz w:val="24"/>
              </w:rPr>
              <w:t>项目资金</w:t>
            </w:r>
            <w:r>
              <w:rPr>
                <w:rFonts w:hint="eastAsia" w:ascii="宋体" w:hAnsi="宋体" w:cs="宋体"/>
                <w:color w:val="000000"/>
                <w:kern w:val="0"/>
                <w:sz w:val="24"/>
              </w:rPr>
              <w:br w:type="textWrapping"/>
            </w:r>
            <w:r>
              <w:rPr>
                <w:rFonts w:hint="eastAsia" w:ascii="宋体" w:hAnsi="宋体" w:cs="宋体"/>
                <w:color w:val="000000"/>
                <w:kern w:val="0"/>
                <w:sz w:val="24"/>
              </w:rPr>
              <w:t>（万元）</w:t>
            </w:r>
          </w:p>
        </w:tc>
        <w:tc>
          <w:tcPr>
            <w:tcW w:w="23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5903CA">
            <w:pPr>
              <w:jc w:val="center"/>
              <w:rPr>
                <w:rFonts w:ascii="宋体" w:hAnsi="宋体" w:cs="宋体"/>
                <w:color w:val="000000"/>
                <w:sz w:val="24"/>
              </w:rPr>
            </w:pPr>
          </w:p>
        </w:tc>
        <w:tc>
          <w:tcPr>
            <w:tcW w:w="233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C8BDA3">
            <w:pPr>
              <w:widowControl/>
              <w:jc w:val="center"/>
              <w:textAlignment w:val="center"/>
              <w:rPr>
                <w:rFonts w:ascii="宋体" w:hAnsi="宋体" w:cs="宋体"/>
                <w:color w:val="000000"/>
                <w:sz w:val="24"/>
              </w:rPr>
            </w:pPr>
            <w:r>
              <w:rPr>
                <w:rFonts w:hint="eastAsia" w:ascii="宋体" w:hAnsi="宋体" w:cs="宋体"/>
                <w:color w:val="000000"/>
                <w:kern w:val="0"/>
                <w:sz w:val="24"/>
              </w:rPr>
              <w:t>全年预算数</w:t>
            </w:r>
          </w:p>
        </w:tc>
        <w:tc>
          <w:tcPr>
            <w:tcW w:w="1691" w:type="dxa"/>
            <w:tcBorders>
              <w:top w:val="single" w:color="auto"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15451B7E">
            <w:pPr>
              <w:widowControl/>
              <w:jc w:val="center"/>
              <w:textAlignment w:val="center"/>
              <w:rPr>
                <w:rFonts w:ascii="宋体" w:hAnsi="宋体" w:cs="宋体"/>
                <w:color w:val="000000"/>
                <w:sz w:val="24"/>
              </w:rPr>
            </w:pPr>
            <w:r>
              <w:rPr>
                <w:rFonts w:hint="eastAsia" w:ascii="宋体" w:hAnsi="宋体" w:cs="宋体"/>
                <w:color w:val="000000"/>
                <w:kern w:val="0"/>
                <w:sz w:val="24"/>
              </w:rPr>
              <w:t>实际完成数</w:t>
            </w:r>
          </w:p>
        </w:tc>
        <w:tc>
          <w:tcPr>
            <w:tcW w:w="1223" w:type="dxa"/>
            <w:tcBorders>
              <w:top w:val="single" w:color="auto"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1EFF141">
            <w:pPr>
              <w:widowControl/>
              <w:jc w:val="center"/>
              <w:textAlignment w:val="center"/>
              <w:rPr>
                <w:rFonts w:ascii="宋体" w:hAnsi="宋体" w:cs="宋体"/>
                <w:color w:val="000000"/>
                <w:sz w:val="24"/>
              </w:rPr>
            </w:pPr>
            <w:r>
              <w:rPr>
                <w:rFonts w:hint="eastAsia" w:ascii="宋体" w:hAnsi="宋体" w:cs="宋体"/>
                <w:color w:val="000000"/>
                <w:kern w:val="0"/>
                <w:sz w:val="24"/>
              </w:rPr>
              <w:t>执行率（%）</w:t>
            </w:r>
          </w:p>
        </w:tc>
      </w:tr>
      <w:tr w14:paraId="05EEF571">
        <w:tblPrEx>
          <w:tblCellMar>
            <w:top w:w="0" w:type="dxa"/>
            <w:left w:w="0" w:type="dxa"/>
            <w:bottom w:w="0" w:type="dxa"/>
            <w:right w:w="0" w:type="dxa"/>
          </w:tblCellMar>
        </w:tblPrEx>
        <w:trPr>
          <w:trHeight w:val="439" w:hRule="atLeast"/>
        </w:trPr>
        <w:tc>
          <w:tcPr>
            <w:tcW w:w="70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1DEC05">
            <w:pPr>
              <w:jc w:val="center"/>
              <w:rPr>
                <w:rFonts w:ascii="宋体" w:hAnsi="宋体" w:cs="宋体"/>
                <w:color w:val="000000"/>
                <w:sz w:val="24"/>
              </w:rPr>
            </w:pPr>
          </w:p>
        </w:tc>
        <w:tc>
          <w:tcPr>
            <w:tcW w:w="2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CC9B6B">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年度资金总额：</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6BB32B">
            <w:pPr>
              <w:widowControl/>
              <w:jc w:val="center"/>
              <w:textAlignment w:val="center"/>
              <w:rPr>
                <w:rFonts w:ascii="宋体" w:hAnsi="宋体" w:cs="宋体"/>
                <w:color w:val="000000"/>
                <w:sz w:val="24"/>
              </w:rPr>
            </w:pPr>
            <w:r>
              <w:rPr>
                <w:rFonts w:hint="eastAsia" w:ascii="宋体" w:hAnsi="宋体" w:cs="宋体"/>
                <w:color w:val="000000"/>
                <w:kern w:val="0"/>
                <w:sz w:val="24"/>
              </w:rPr>
              <w:t>3.94</w:t>
            </w:r>
          </w:p>
        </w:tc>
        <w:tc>
          <w:tcPr>
            <w:tcW w:w="1691"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22C1A8E8">
            <w:pPr>
              <w:widowControl/>
              <w:jc w:val="center"/>
              <w:textAlignment w:val="center"/>
              <w:rPr>
                <w:rFonts w:ascii="宋体" w:hAnsi="宋体" w:cs="宋体"/>
                <w:color w:val="000000"/>
                <w:sz w:val="24"/>
              </w:rPr>
            </w:pPr>
            <w:r>
              <w:rPr>
                <w:rFonts w:hint="eastAsia" w:ascii="宋体" w:hAnsi="宋体" w:cs="宋体"/>
                <w:color w:val="000000"/>
                <w:kern w:val="0"/>
                <w:sz w:val="24"/>
              </w:rPr>
              <w:t>3.94</w:t>
            </w:r>
          </w:p>
        </w:tc>
        <w:tc>
          <w:tcPr>
            <w:tcW w:w="122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51D4CC8">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14:paraId="156D93C1">
        <w:tblPrEx>
          <w:tblCellMar>
            <w:top w:w="0" w:type="dxa"/>
            <w:left w:w="0" w:type="dxa"/>
            <w:bottom w:w="0" w:type="dxa"/>
            <w:right w:w="0" w:type="dxa"/>
          </w:tblCellMar>
        </w:tblPrEx>
        <w:trPr>
          <w:trHeight w:val="439" w:hRule="atLeast"/>
        </w:trPr>
        <w:tc>
          <w:tcPr>
            <w:tcW w:w="70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F8E2DE">
            <w:pPr>
              <w:jc w:val="center"/>
              <w:rPr>
                <w:rFonts w:ascii="宋体" w:hAnsi="宋体" w:cs="宋体"/>
                <w:color w:val="000000"/>
                <w:sz w:val="24"/>
              </w:rPr>
            </w:pPr>
          </w:p>
        </w:tc>
        <w:tc>
          <w:tcPr>
            <w:tcW w:w="2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FB657F">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其中：上级财政资金</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C856C4">
            <w:pPr>
              <w:jc w:val="center"/>
              <w:rPr>
                <w:rFonts w:ascii="宋体" w:hAnsi="宋体" w:cs="宋体"/>
                <w:color w:val="000000"/>
                <w:sz w:val="24"/>
              </w:rPr>
            </w:pPr>
          </w:p>
        </w:tc>
        <w:tc>
          <w:tcPr>
            <w:tcW w:w="1691"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55F91FE5">
            <w:pPr>
              <w:jc w:val="center"/>
              <w:rPr>
                <w:rFonts w:ascii="宋体" w:hAnsi="宋体" w:cs="宋体"/>
                <w:color w:val="000000"/>
                <w:sz w:val="24"/>
              </w:rPr>
            </w:pPr>
          </w:p>
        </w:tc>
        <w:tc>
          <w:tcPr>
            <w:tcW w:w="1223" w:type="dxa"/>
            <w:tcBorders>
              <w:top w:val="single" w:color="000000"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EA4C4B9">
            <w:pPr>
              <w:jc w:val="center"/>
              <w:rPr>
                <w:rFonts w:ascii="宋体" w:hAnsi="宋体" w:cs="宋体"/>
                <w:color w:val="000000"/>
                <w:sz w:val="24"/>
              </w:rPr>
            </w:pPr>
          </w:p>
        </w:tc>
      </w:tr>
      <w:tr w14:paraId="7B5EB0FF">
        <w:tblPrEx>
          <w:tblCellMar>
            <w:top w:w="0" w:type="dxa"/>
            <w:left w:w="0" w:type="dxa"/>
            <w:bottom w:w="0" w:type="dxa"/>
            <w:right w:w="0" w:type="dxa"/>
          </w:tblCellMar>
        </w:tblPrEx>
        <w:trPr>
          <w:trHeight w:val="439" w:hRule="atLeast"/>
        </w:trPr>
        <w:tc>
          <w:tcPr>
            <w:tcW w:w="70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E304A">
            <w:pPr>
              <w:jc w:val="center"/>
              <w:rPr>
                <w:rFonts w:ascii="宋体" w:hAnsi="宋体" w:cs="宋体"/>
                <w:color w:val="000000"/>
                <w:sz w:val="24"/>
              </w:rPr>
            </w:pPr>
          </w:p>
        </w:tc>
        <w:tc>
          <w:tcPr>
            <w:tcW w:w="2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6A602C">
            <w:pPr>
              <w:widowControl/>
              <w:jc w:val="left"/>
              <w:textAlignment w:val="center"/>
              <w:rPr>
                <w:rFonts w:ascii="宋体" w:hAnsi="宋体" w:cs="宋体"/>
                <w:color w:val="000000"/>
                <w:sz w:val="24"/>
              </w:rPr>
            </w:pPr>
            <w:r>
              <w:rPr>
                <w:rFonts w:hint="eastAsia" w:ascii="宋体" w:hAnsi="宋体" w:cs="宋体"/>
                <w:color w:val="000000"/>
                <w:kern w:val="0"/>
                <w:sz w:val="24"/>
              </w:rPr>
              <w:t xml:space="preserve">       本级财政资金</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95F872">
            <w:pPr>
              <w:widowControl/>
              <w:jc w:val="center"/>
              <w:textAlignment w:val="center"/>
              <w:rPr>
                <w:rFonts w:ascii="宋体" w:hAnsi="宋体" w:cs="宋体"/>
                <w:color w:val="000000"/>
                <w:sz w:val="24"/>
              </w:rPr>
            </w:pPr>
            <w:r>
              <w:rPr>
                <w:rFonts w:hint="eastAsia" w:ascii="宋体" w:hAnsi="宋体" w:cs="宋体"/>
                <w:color w:val="000000"/>
                <w:kern w:val="0"/>
                <w:sz w:val="24"/>
              </w:rPr>
              <w:t>3.94</w:t>
            </w:r>
          </w:p>
        </w:tc>
        <w:tc>
          <w:tcPr>
            <w:tcW w:w="1691"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4473C146">
            <w:pPr>
              <w:widowControl/>
              <w:jc w:val="center"/>
              <w:textAlignment w:val="center"/>
              <w:rPr>
                <w:rFonts w:ascii="宋体" w:hAnsi="宋体" w:cs="宋体"/>
                <w:color w:val="000000"/>
                <w:sz w:val="24"/>
              </w:rPr>
            </w:pPr>
            <w:r>
              <w:rPr>
                <w:rFonts w:hint="eastAsia" w:ascii="宋体" w:hAnsi="宋体" w:cs="宋体"/>
                <w:color w:val="000000"/>
                <w:kern w:val="0"/>
                <w:sz w:val="24"/>
              </w:rPr>
              <w:t>3.94</w:t>
            </w:r>
          </w:p>
        </w:tc>
        <w:tc>
          <w:tcPr>
            <w:tcW w:w="1223" w:type="dxa"/>
            <w:tcBorders>
              <w:top w:val="single" w:color="auto"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3693B13">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14:paraId="028E763B">
        <w:tblPrEx>
          <w:tblCellMar>
            <w:top w:w="0" w:type="dxa"/>
            <w:left w:w="0" w:type="dxa"/>
            <w:bottom w:w="0" w:type="dxa"/>
            <w:right w:w="0" w:type="dxa"/>
          </w:tblCellMar>
        </w:tblPrEx>
        <w:trPr>
          <w:trHeight w:val="198" w:hRule="atLeast"/>
        </w:trPr>
        <w:tc>
          <w:tcPr>
            <w:tcW w:w="70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5E7B29">
            <w:pPr>
              <w:jc w:val="center"/>
              <w:rPr>
                <w:rFonts w:ascii="宋体" w:hAnsi="宋体" w:cs="宋体"/>
                <w:color w:val="000000"/>
                <w:sz w:val="24"/>
              </w:rPr>
            </w:pPr>
          </w:p>
        </w:tc>
        <w:tc>
          <w:tcPr>
            <w:tcW w:w="2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9E826">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其他资金</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F36A8D">
            <w:pPr>
              <w:rPr>
                <w:rFonts w:ascii="宋体" w:hAnsi="宋体" w:cs="宋体"/>
                <w:color w:val="000000"/>
                <w:sz w:val="24"/>
              </w:rPr>
            </w:pPr>
          </w:p>
        </w:tc>
        <w:tc>
          <w:tcPr>
            <w:tcW w:w="1691"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52530E0A">
            <w:pPr>
              <w:rPr>
                <w:rFonts w:ascii="宋体" w:hAnsi="宋体" w:cs="宋体"/>
                <w:color w:val="000000"/>
                <w:sz w:val="24"/>
              </w:rPr>
            </w:pPr>
          </w:p>
        </w:tc>
        <w:tc>
          <w:tcPr>
            <w:tcW w:w="1223" w:type="dxa"/>
            <w:tcBorders>
              <w:top w:val="single" w:color="000000"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478A322">
            <w:pPr>
              <w:jc w:val="center"/>
              <w:rPr>
                <w:rFonts w:ascii="宋体" w:hAnsi="宋体" w:cs="宋体"/>
                <w:color w:val="000000"/>
                <w:sz w:val="24"/>
              </w:rPr>
            </w:pPr>
          </w:p>
        </w:tc>
      </w:tr>
      <w:tr w14:paraId="28564693">
        <w:tblPrEx>
          <w:tblCellMar>
            <w:top w:w="0" w:type="dxa"/>
            <w:left w:w="0" w:type="dxa"/>
            <w:bottom w:w="0" w:type="dxa"/>
            <w:right w:w="0" w:type="dxa"/>
          </w:tblCellMar>
        </w:tblPrEx>
        <w:trPr>
          <w:trHeight w:val="439" w:hRule="atLeast"/>
        </w:trPr>
        <w:tc>
          <w:tcPr>
            <w:tcW w:w="23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4E948C">
            <w:pPr>
              <w:widowControl/>
              <w:jc w:val="center"/>
              <w:textAlignment w:val="center"/>
              <w:rPr>
                <w:rFonts w:ascii="宋体" w:hAnsi="宋体" w:cs="宋体"/>
                <w:color w:val="000000"/>
                <w:sz w:val="24"/>
              </w:rPr>
            </w:pPr>
            <w:r>
              <w:rPr>
                <w:rFonts w:hint="eastAsia" w:ascii="宋体" w:hAnsi="宋体" w:cs="宋体"/>
                <w:color w:val="000000"/>
                <w:kern w:val="0"/>
                <w:sz w:val="24"/>
              </w:rPr>
              <w:t>总</w:t>
            </w:r>
            <w:r>
              <w:rPr>
                <w:rFonts w:hint="eastAsia" w:ascii="宋体" w:hAnsi="宋体" w:cs="宋体"/>
                <w:color w:val="000000"/>
                <w:kern w:val="0"/>
                <w:sz w:val="24"/>
              </w:rPr>
              <w:br w:type="textWrapping"/>
            </w:r>
            <w:r>
              <w:rPr>
                <w:rFonts w:hint="eastAsia" w:ascii="宋体" w:hAnsi="宋体" w:cs="宋体"/>
                <w:color w:val="000000"/>
                <w:kern w:val="0"/>
                <w:sz w:val="24"/>
              </w:rPr>
              <w:t>体</w:t>
            </w:r>
            <w:r>
              <w:rPr>
                <w:rFonts w:hint="eastAsia" w:ascii="宋体" w:hAnsi="宋体" w:cs="宋体"/>
                <w:color w:val="000000"/>
                <w:kern w:val="0"/>
                <w:sz w:val="24"/>
              </w:rPr>
              <w:br w:type="textWrapping"/>
            </w:r>
            <w:r>
              <w:rPr>
                <w:rFonts w:hint="eastAsia" w:ascii="宋体" w:hAnsi="宋体" w:cs="宋体"/>
                <w:color w:val="000000"/>
                <w:kern w:val="0"/>
                <w:sz w:val="24"/>
              </w:rPr>
              <w:t>目</w:t>
            </w:r>
            <w:r>
              <w:rPr>
                <w:rFonts w:hint="eastAsia" w:ascii="宋体" w:hAnsi="宋体" w:cs="宋体"/>
                <w:color w:val="000000"/>
                <w:kern w:val="0"/>
                <w:sz w:val="24"/>
              </w:rPr>
              <w:br w:type="textWrapping"/>
            </w:r>
            <w:r>
              <w:rPr>
                <w:rFonts w:hint="eastAsia" w:ascii="宋体" w:hAnsi="宋体" w:cs="宋体"/>
                <w:color w:val="000000"/>
                <w:kern w:val="0"/>
                <w:sz w:val="24"/>
              </w:rPr>
              <w:t>标</w:t>
            </w:r>
          </w:p>
        </w:tc>
        <w:tc>
          <w:tcPr>
            <w:tcW w:w="28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0036F6">
            <w:pPr>
              <w:widowControl/>
              <w:jc w:val="center"/>
              <w:textAlignment w:val="center"/>
              <w:rPr>
                <w:rFonts w:ascii="宋体" w:hAnsi="宋体" w:cs="宋体"/>
                <w:color w:val="000000"/>
                <w:sz w:val="24"/>
              </w:rPr>
            </w:pPr>
            <w:r>
              <w:rPr>
                <w:rFonts w:hint="eastAsia" w:ascii="宋体" w:hAnsi="宋体" w:cs="宋体"/>
                <w:color w:val="000000"/>
                <w:kern w:val="0"/>
                <w:sz w:val="24"/>
              </w:rPr>
              <w:t>年度设定目标</w:t>
            </w:r>
          </w:p>
        </w:tc>
        <w:tc>
          <w:tcPr>
            <w:tcW w:w="524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944203">
            <w:pPr>
              <w:widowControl/>
              <w:jc w:val="center"/>
              <w:textAlignment w:val="center"/>
              <w:rPr>
                <w:rFonts w:ascii="宋体" w:hAnsi="宋体" w:cs="宋体"/>
                <w:color w:val="000000"/>
                <w:sz w:val="24"/>
              </w:rPr>
            </w:pPr>
            <w:r>
              <w:rPr>
                <w:rFonts w:hint="eastAsia" w:ascii="宋体" w:hAnsi="宋体" w:cs="宋体"/>
                <w:color w:val="000000"/>
                <w:kern w:val="0"/>
                <w:sz w:val="24"/>
              </w:rPr>
              <w:t>实际完成情况</w:t>
            </w:r>
          </w:p>
        </w:tc>
      </w:tr>
      <w:tr w14:paraId="32404B57">
        <w:tblPrEx>
          <w:tblCellMar>
            <w:top w:w="0" w:type="dxa"/>
            <w:left w:w="0" w:type="dxa"/>
            <w:bottom w:w="0" w:type="dxa"/>
            <w:right w:w="0" w:type="dxa"/>
          </w:tblCellMar>
        </w:tblPrEx>
        <w:trPr>
          <w:trHeight w:val="1590" w:hRule="atLeast"/>
        </w:trPr>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763CF8">
            <w:pPr>
              <w:jc w:val="center"/>
              <w:rPr>
                <w:rFonts w:ascii="宋体" w:hAnsi="宋体" w:cs="宋体"/>
                <w:color w:val="000000"/>
                <w:sz w:val="24"/>
              </w:rPr>
            </w:pPr>
          </w:p>
        </w:tc>
        <w:tc>
          <w:tcPr>
            <w:tcW w:w="285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14:paraId="1D0A94E0">
            <w:pPr>
              <w:widowControl/>
              <w:jc w:val="center"/>
              <w:textAlignment w:val="top"/>
              <w:rPr>
                <w:rFonts w:ascii="宋体" w:hAnsi="宋体" w:cs="宋体"/>
                <w:color w:val="000000"/>
                <w:sz w:val="24"/>
              </w:rPr>
            </w:pPr>
            <w:r>
              <w:rPr>
                <w:rFonts w:hint="eastAsia" w:ascii="宋体" w:hAnsi="宋体" w:cs="宋体"/>
                <w:color w:val="000000"/>
                <w:kern w:val="0"/>
                <w:sz w:val="24"/>
              </w:rPr>
              <w:t>推动全民普法教育深入开展，提升公民法律素养，给予普法保障，推动工作开展，确保全县法治宣传教育决议、规划各项目标任务的完成十分必要。</w:t>
            </w:r>
          </w:p>
        </w:tc>
        <w:tc>
          <w:tcPr>
            <w:tcW w:w="524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14:paraId="77AA716F">
            <w:pPr>
              <w:widowControl/>
              <w:jc w:val="center"/>
              <w:textAlignment w:val="top"/>
              <w:rPr>
                <w:rFonts w:ascii="宋体" w:hAnsi="宋体" w:cs="宋体"/>
                <w:color w:val="000000"/>
                <w:sz w:val="24"/>
              </w:rPr>
            </w:pPr>
            <w:r>
              <w:rPr>
                <w:rFonts w:hint="eastAsia" w:ascii="宋体" w:hAnsi="宋体" w:cs="宋体"/>
                <w:color w:val="000000"/>
                <w:kern w:val="0"/>
                <w:sz w:val="24"/>
              </w:rPr>
              <w:t>推动全民普法教育深入开展，提升公民法律素养，给予普法保障，推动工作开展，确保全县法治宣传教育决议、规划各项目标任务的完成十分必要。</w:t>
            </w:r>
          </w:p>
        </w:tc>
      </w:tr>
      <w:tr w14:paraId="0D0522F7">
        <w:tblPrEx>
          <w:tblCellMar>
            <w:top w:w="0" w:type="dxa"/>
            <w:left w:w="0" w:type="dxa"/>
            <w:bottom w:w="0" w:type="dxa"/>
            <w:right w:w="0" w:type="dxa"/>
          </w:tblCellMar>
        </w:tblPrEx>
        <w:trPr>
          <w:trHeight w:val="1140" w:hRule="atLeast"/>
        </w:trPr>
        <w:tc>
          <w:tcPr>
            <w:tcW w:w="23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9722C9">
            <w:pPr>
              <w:widowControl/>
              <w:jc w:val="center"/>
              <w:textAlignment w:val="center"/>
              <w:rPr>
                <w:rFonts w:ascii="宋体" w:hAnsi="宋体" w:cs="宋体"/>
                <w:color w:val="000000"/>
                <w:sz w:val="24"/>
              </w:rPr>
            </w:pPr>
            <w:r>
              <w:rPr>
                <w:rFonts w:hint="eastAsia" w:ascii="宋体" w:hAnsi="宋体" w:cs="宋体"/>
                <w:color w:val="000000"/>
                <w:kern w:val="0"/>
                <w:sz w:val="24"/>
              </w:rPr>
              <w:t>绩</w:t>
            </w:r>
            <w:r>
              <w:rPr>
                <w:rFonts w:hint="eastAsia" w:ascii="宋体" w:hAnsi="宋体" w:cs="宋体"/>
                <w:color w:val="000000"/>
                <w:kern w:val="0"/>
                <w:sz w:val="24"/>
              </w:rPr>
              <w:br w:type="textWrapping"/>
            </w:r>
            <w:r>
              <w:rPr>
                <w:rFonts w:hint="eastAsia" w:ascii="宋体" w:hAnsi="宋体" w:cs="宋体"/>
                <w:color w:val="000000"/>
                <w:kern w:val="0"/>
                <w:sz w:val="24"/>
              </w:rPr>
              <w:t>效</w:t>
            </w:r>
            <w:r>
              <w:rPr>
                <w:rFonts w:hint="eastAsia" w:ascii="宋体" w:hAnsi="宋体" w:cs="宋体"/>
                <w:color w:val="000000"/>
                <w:kern w:val="0"/>
                <w:sz w:val="24"/>
              </w:rPr>
              <w:br w:type="textWrapping"/>
            </w:r>
            <w:r>
              <w:rPr>
                <w:rFonts w:hint="eastAsia" w:ascii="宋体" w:hAnsi="宋体" w:cs="宋体"/>
                <w:color w:val="000000"/>
                <w:kern w:val="0"/>
                <w:sz w:val="24"/>
              </w:rPr>
              <w:t>指</w:t>
            </w:r>
            <w:r>
              <w:rPr>
                <w:rFonts w:hint="eastAsia" w:ascii="宋体" w:hAnsi="宋体" w:cs="宋体"/>
                <w:color w:val="000000"/>
                <w:kern w:val="0"/>
                <w:sz w:val="24"/>
              </w:rPr>
              <w:br w:type="textWrapping"/>
            </w:r>
            <w:r>
              <w:rPr>
                <w:rFonts w:hint="eastAsia" w:ascii="宋体" w:hAnsi="宋体" w:cs="宋体"/>
                <w:color w:val="000000"/>
                <w:kern w:val="0"/>
                <w:sz w:val="24"/>
              </w:rPr>
              <w:t>标</w:t>
            </w:r>
          </w:p>
        </w:tc>
        <w:tc>
          <w:tcPr>
            <w:tcW w:w="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A3C27">
            <w:pPr>
              <w:widowControl/>
              <w:jc w:val="center"/>
              <w:textAlignment w:val="center"/>
              <w:rPr>
                <w:rFonts w:ascii="宋体" w:hAnsi="宋体" w:cs="宋体"/>
                <w:color w:val="000000"/>
                <w:sz w:val="24"/>
              </w:rPr>
            </w:pPr>
            <w:r>
              <w:rPr>
                <w:rFonts w:hint="eastAsia" w:ascii="宋体" w:hAnsi="宋体" w:cs="宋体"/>
                <w:color w:val="000000"/>
                <w:kern w:val="0"/>
                <w:sz w:val="24"/>
              </w:rPr>
              <w:t>一级</w:t>
            </w:r>
            <w:r>
              <w:rPr>
                <w:rFonts w:hint="eastAsia" w:ascii="宋体" w:hAnsi="宋体" w:cs="宋体"/>
                <w:color w:val="000000"/>
                <w:kern w:val="0"/>
                <w:sz w:val="24"/>
              </w:rPr>
              <w:br w:type="textWrapping"/>
            </w:r>
            <w:r>
              <w:rPr>
                <w:rFonts w:hint="eastAsia" w:ascii="宋体" w:hAnsi="宋体" w:cs="宋体"/>
                <w:color w:val="000000"/>
                <w:kern w:val="0"/>
                <w:sz w:val="24"/>
              </w:rPr>
              <w:t>指标</w:t>
            </w:r>
          </w:p>
        </w:tc>
        <w:tc>
          <w:tcPr>
            <w:tcW w:w="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64BD83">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70DBE4">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D9BA82">
            <w:pPr>
              <w:widowControl/>
              <w:jc w:val="center"/>
              <w:textAlignment w:val="center"/>
              <w:rPr>
                <w:rFonts w:ascii="宋体" w:hAnsi="宋体" w:cs="宋体"/>
                <w:color w:val="000000"/>
                <w:sz w:val="24"/>
              </w:rPr>
            </w:pPr>
            <w:r>
              <w:rPr>
                <w:rFonts w:hint="eastAsia" w:ascii="宋体" w:hAnsi="宋体" w:cs="宋体"/>
                <w:color w:val="000000"/>
                <w:kern w:val="0"/>
                <w:sz w:val="24"/>
              </w:rPr>
              <w:t>年度指标值</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C1ED2">
            <w:pPr>
              <w:widowControl/>
              <w:jc w:val="center"/>
              <w:textAlignment w:val="center"/>
              <w:rPr>
                <w:rFonts w:ascii="宋体" w:hAns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30AB29">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14:paraId="78B9DB08">
        <w:tblPrEx>
          <w:tblCellMar>
            <w:top w:w="0" w:type="dxa"/>
            <w:left w:w="0" w:type="dxa"/>
            <w:bottom w:w="0" w:type="dxa"/>
            <w:right w:w="0" w:type="dxa"/>
          </w:tblCellMar>
        </w:tblPrEx>
        <w:trPr>
          <w:trHeight w:val="435" w:hRule="atLeast"/>
        </w:trPr>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63F38">
            <w:pPr>
              <w:jc w:val="center"/>
              <w:rPr>
                <w:rFonts w:ascii="宋体" w:hAnsi="宋体" w:cs="宋体"/>
                <w:color w:val="000000"/>
                <w:sz w:val="24"/>
              </w:rPr>
            </w:pPr>
          </w:p>
        </w:tc>
        <w:tc>
          <w:tcPr>
            <w:tcW w:w="23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9F0C7D">
            <w:pPr>
              <w:widowControl/>
              <w:jc w:val="center"/>
              <w:textAlignment w:val="center"/>
              <w:rPr>
                <w:rFonts w:ascii="宋体" w:hAnsi="宋体" w:cs="宋体"/>
                <w:color w:val="000000"/>
                <w:sz w:val="24"/>
              </w:rPr>
            </w:pPr>
            <w:r>
              <w:rPr>
                <w:rFonts w:hint="eastAsia" w:ascii="宋体" w:hAnsi="宋体" w:cs="宋体"/>
                <w:color w:val="000000"/>
                <w:kern w:val="0"/>
                <w:sz w:val="24"/>
              </w:rPr>
              <w:t>项目完成</w:t>
            </w:r>
          </w:p>
        </w:tc>
        <w:tc>
          <w:tcPr>
            <w:tcW w:w="23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D7CAE6">
            <w:pPr>
              <w:widowControl/>
              <w:jc w:val="center"/>
              <w:textAlignment w:val="center"/>
              <w:rPr>
                <w:rFonts w:ascii="宋体" w:hAnsi="宋体" w:cs="宋体"/>
                <w:color w:val="000000"/>
                <w:sz w:val="24"/>
              </w:rPr>
            </w:pPr>
            <w:r>
              <w:rPr>
                <w:rFonts w:hint="eastAsia" w:ascii="宋体" w:hAnsi="宋体" w:cs="宋体"/>
                <w:color w:val="000000"/>
                <w:kern w:val="0"/>
                <w:sz w:val="24"/>
              </w:rPr>
              <w:t>数量指标</w:t>
            </w:r>
          </w:p>
        </w:tc>
        <w:tc>
          <w:tcPr>
            <w:tcW w:w="2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CFE846">
            <w:pPr>
              <w:widowControl/>
              <w:jc w:val="left"/>
              <w:textAlignment w:val="center"/>
              <w:rPr>
                <w:rFonts w:ascii="宋体" w:hAnsi="宋体" w:cs="宋体"/>
                <w:color w:val="000000"/>
                <w:sz w:val="24"/>
              </w:rPr>
            </w:pPr>
            <w:r>
              <w:rPr>
                <w:rFonts w:hint="eastAsia" w:ascii="宋体" w:hAnsi="宋体" w:cs="宋体"/>
                <w:color w:val="000000"/>
                <w:kern w:val="0"/>
                <w:sz w:val="24"/>
              </w:rPr>
              <w:t>普法宣传活动经费</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A44249">
            <w:pPr>
              <w:widowControl/>
              <w:jc w:val="left"/>
              <w:textAlignment w:val="center"/>
              <w:rPr>
                <w:rFonts w:ascii="宋体" w:hAnsi="宋体" w:cs="宋体"/>
                <w:color w:val="000000"/>
                <w:sz w:val="24"/>
              </w:rPr>
            </w:pPr>
            <w:r>
              <w:rPr>
                <w:rFonts w:hint="eastAsia" w:ascii="宋体" w:hAnsi="宋体" w:cs="宋体"/>
                <w:color w:val="000000"/>
                <w:kern w:val="0"/>
                <w:sz w:val="24"/>
              </w:rPr>
              <w:t>219场次</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1DC95">
            <w:pPr>
              <w:widowControl/>
              <w:jc w:val="left"/>
              <w:textAlignment w:val="center"/>
              <w:rPr>
                <w:rFonts w:ascii="宋体" w:hAnsi="宋体" w:cs="宋体"/>
                <w:color w:val="000000"/>
                <w:sz w:val="24"/>
              </w:rPr>
            </w:pPr>
            <w:r>
              <w:rPr>
                <w:rFonts w:hint="eastAsia" w:ascii="宋体" w:hAnsi="宋体" w:cs="宋体"/>
                <w:color w:val="000000"/>
                <w:kern w:val="0"/>
                <w:sz w:val="24"/>
              </w:rPr>
              <w:t>219场次</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44EBBD">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r>
      <w:tr w14:paraId="0C464850">
        <w:tblPrEx>
          <w:tblCellMar>
            <w:top w:w="0" w:type="dxa"/>
            <w:left w:w="0" w:type="dxa"/>
            <w:bottom w:w="0" w:type="dxa"/>
            <w:right w:w="0" w:type="dxa"/>
          </w:tblCellMar>
        </w:tblPrEx>
        <w:trPr>
          <w:trHeight w:val="435" w:hRule="atLeast"/>
        </w:trPr>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6A272B">
            <w:pPr>
              <w:jc w:val="center"/>
              <w:rPr>
                <w:rFonts w:ascii="宋体" w:hAnsi="宋体" w:cs="宋体"/>
                <w:color w:val="000000"/>
                <w:sz w:val="24"/>
              </w:rPr>
            </w:pPr>
          </w:p>
        </w:tc>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2529B">
            <w:pPr>
              <w:jc w:val="center"/>
              <w:rPr>
                <w:rFonts w:ascii="宋体" w:hAnsi="宋体" w:cs="宋体"/>
                <w:color w:val="000000"/>
                <w:sz w:val="24"/>
              </w:rPr>
            </w:pPr>
          </w:p>
        </w:tc>
        <w:tc>
          <w:tcPr>
            <w:tcW w:w="23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E0FCB">
            <w:pPr>
              <w:jc w:val="center"/>
              <w:rPr>
                <w:rFonts w:ascii="宋体" w:hAnsi="宋体" w:cs="宋体"/>
                <w:color w:val="000000"/>
                <w:sz w:val="24"/>
              </w:rPr>
            </w:pPr>
          </w:p>
        </w:tc>
        <w:tc>
          <w:tcPr>
            <w:tcW w:w="2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A050C0">
            <w:pPr>
              <w:widowControl/>
              <w:jc w:val="left"/>
              <w:textAlignment w:val="center"/>
              <w:rPr>
                <w:rFonts w:ascii="宋体" w:hAnsi="宋体" w:cs="宋体"/>
                <w:color w:val="000000"/>
                <w:sz w:val="24"/>
              </w:rPr>
            </w:pPr>
            <w:r>
              <w:rPr>
                <w:rFonts w:hint="eastAsia" w:ascii="宋体" w:hAnsi="宋体" w:cs="宋体"/>
                <w:color w:val="000000"/>
                <w:kern w:val="0"/>
                <w:sz w:val="24"/>
              </w:rPr>
              <w:t>发放普法宣传资料</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F11D94">
            <w:pPr>
              <w:widowControl/>
              <w:jc w:val="left"/>
              <w:textAlignment w:val="center"/>
              <w:rPr>
                <w:rFonts w:ascii="宋体" w:hAnsi="宋体" w:cs="宋体"/>
                <w:color w:val="000000"/>
                <w:sz w:val="24"/>
              </w:rPr>
            </w:pPr>
            <w:r>
              <w:rPr>
                <w:rFonts w:hint="eastAsia" w:ascii="宋体" w:hAnsi="宋体" w:cs="宋体"/>
                <w:color w:val="000000"/>
                <w:kern w:val="0"/>
                <w:sz w:val="24"/>
              </w:rPr>
              <w:t>40000余份</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6EEC6F">
            <w:pPr>
              <w:widowControl/>
              <w:jc w:val="left"/>
              <w:textAlignment w:val="center"/>
              <w:rPr>
                <w:rFonts w:ascii="宋体" w:hAnsi="宋体" w:cs="宋体"/>
                <w:color w:val="000000"/>
                <w:sz w:val="24"/>
              </w:rPr>
            </w:pPr>
            <w:r>
              <w:rPr>
                <w:rFonts w:hint="eastAsia" w:ascii="宋体" w:hAnsi="宋体" w:cs="宋体"/>
                <w:color w:val="000000"/>
                <w:kern w:val="0"/>
                <w:sz w:val="24"/>
              </w:rPr>
              <w:t>40000余份</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DB86A9">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r>
      <w:tr w14:paraId="29F7564A">
        <w:tblPrEx>
          <w:tblCellMar>
            <w:top w:w="0" w:type="dxa"/>
            <w:left w:w="0" w:type="dxa"/>
            <w:bottom w:w="0" w:type="dxa"/>
            <w:right w:w="0" w:type="dxa"/>
          </w:tblCellMar>
        </w:tblPrEx>
        <w:trPr>
          <w:trHeight w:val="1468" w:hRule="atLeast"/>
        </w:trPr>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55557">
            <w:pPr>
              <w:jc w:val="center"/>
              <w:rPr>
                <w:rFonts w:ascii="宋体" w:hAnsi="宋体" w:cs="宋体"/>
                <w:color w:val="000000"/>
                <w:sz w:val="24"/>
              </w:rPr>
            </w:pPr>
          </w:p>
        </w:tc>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E3465F">
            <w:pPr>
              <w:jc w:val="center"/>
              <w:rPr>
                <w:rFonts w:ascii="宋体" w:hAnsi="宋体" w:cs="宋体"/>
                <w:color w:val="000000"/>
                <w:sz w:val="24"/>
              </w:rPr>
            </w:pPr>
          </w:p>
        </w:tc>
        <w:tc>
          <w:tcPr>
            <w:tcW w:w="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1662DC">
            <w:pPr>
              <w:widowControl/>
              <w:jc w:val="center"/>
              <w:textAlignment w:val="center"/>
              <w:rPr>
                <w:rFonts w:ascii="宋体" w:hAnsi="宋体" w:cs="宋体"/>
                <w:color w:val="000000"/>
                <w:sz w:val="24"/>
              </w:rPr>
            </w:pPr>
            <w:r>
              <w:rPr>
                <w:rFonts w:hint="eastAsia" w:ascii="宋体" w:hAnsi="宋体" w:cs="宋体"/>
                <w:color w:val="000000"/>
                <w:kern w:val="0"/>
                <w:sz w:val="24"/>
              </w:rPr>
              <w:t>质量指标</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E50706F">
            <w:pPr>
              <w:widowControl/>
              <w:textAlignment w:val="bottom"/>
              <w:rPr>
                <w:rFonts w:ascii="宋体" w:hAnsi="宋体" w:cs="宋体"/>
                <w:color w:val="000000"/>
                <w:sz w:val="24"/>
              </w:rPr>
            </w:pPr>
            <w:r>
              <w:rPr>
                <w:rFonts w:hint="eastAsia" w:ascii="宋体" w:hAnsi="宋体" w:cs="宋体"/>
                <w:color w:val="000000"/>
                <w:kern w:val="0"/>
                <w:sz w:val="24"/>
              </w:rPr>
              <w:t>确保普法工作正常开展，有利于全县公民感受法治教育公平、有利于提高全县公民法律素养、有利于推进法治盐边建设进程。</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5CF512">
            <w:pPr>
              <w:widowControl/>
              <w:jc w:val="left"/>
              <w:textAlignment w:val="center"/>
              <w:rPr>
                <w:rFonts w:ascii="宋体" w:hAnsi="宋体" w:cs="宋体"/>
                <w:color w:val="000000"/>
                <w:sz w:val="24"/>
              </w:rPr>
            </w:pPr>
            <w:r>
              <w:rPr>
                <w:rFonts w:hint="eastAsia" w:ascii="宋体" w:hAnsi="宋体" w:cs="宋体"/>
                <w:color w:val="000000"/>
                <w:kern w:val="0"/>
                <w:sz w:val="24"/>
              </w:rPr>
              <w:t>确保普法工作正常开展，有利于全县公民感受法治教育公平、有利于提高全县公民法律素养、有利于推进法治盐边建设进程。</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93E0F2">
            <w:pPr>
              <w:widowControl/>
              <w:jc w:val="left"/>
              <w:textAlignment w:val="center"/>
              <w:rPr>
                <w:rFonts w:ascii="宋体" w:hAnsi="宋体" w:cs="宋体"/>
                <w:color w:val="000000"/>
                <w:sz w:val="24"/>
              </w:rPr>
            </w:pPr>
            <w:r>
              <w:rPr>
                <w:rFonts w:hint="eastAsia" w:ascii="宋体" w:hAnsi="宋体" w:cs="宋体"/>
                <w:color w:val="000000"/>
                <w:kern w:val="0"/>
                <w:sz w:val="24"/>
              </w:rPr>
              <w:t>完成2021年普法宣传工作</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EA6985">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r>
      <w:tr w14:paraId="265F24EF">
        <w:tblPrEx>
          <w:tblCellMar>
            <w:top w:w="0" w:type="dxa"/>
            <w:left w:w="0" w:type="dxa"/>
            <w:bottom w:w="0" w:type="dxa"/>
            <w:right w:w="0" w:type="dxa"/>
          </w:tblCellMar>
        </w:tblPrEx>
        <w:trPr>
          <w:trHeight w:val="980" w:hRule="atLeast"/>
        </w:trPr>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40FEB4">
            <w:pPr>
              <w:jc w:val="center"/>
              <w:rPr>
                <w:rFonts w:ascii="宋体" w:hAnsi="宋体" w:cs="宋体"/>
                <w:color w:val="000000"/>
                <w:sz w:val="24"/>
              </w:rPr>
            </w:pPr>
          </w:p>
        </w:tc>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9E47B2">
            <w:pPr>
              <w:jc w:val="center"/>
              <w:rPr>
                <w:rFonts w:ascii="宋体" w:hAnsi="宋体" w:cs="宋体"/>
                <w:color w:val="000000"/>
                <w:sz w:val="24"/>
              </w:rPr>
            </w:pPr>
          </w:p>
        </w:tc>
        <w:tc>
          <w:tcPr>
            <w:tcW w:w="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1A91B5">
            <w:pPr>
              <w:widowControl/>
              <w:jc w:val="center"/>
              <w:textAlignment w:val="center"/>
              <w:rPr>
                <w:rFonts w:ascii="宋体" w:hAnsi="宋体" w:cs="宋体"/>
                <w:color w:val="000000"/>
                <w:sz w:val="24"/>
              </w:rPr>
            </w:pPr>
            <w:r>
              <w:rPr>
                <w:rFonts w:hint="eastAsia" w:ascii="宋体" w:hAnsi="宋体" w:cs="宋体"/>
                <w:color w:val="000000"/>
                <w:kern w:val="0"/>
                <w:sz w:val="24"/>
              </w:rPr>
              <w:t>时效指标</w:t>
            </w:r>
          </w:p>
        </w:tc>
        <w:tc>
          <w:tcPr>
            <w:tcW w:w="2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B47933">
            <w:pPr>
              <w:widowControl/>
              <w:jc w:val="left"/>
              <w:textAlignment w:val="center"/>
              <w:rPr>
                <w:rFonts w:ascii="宋体" w:hAnsi="宋体" w:cs="宋体"/>
                <w:color w:val="000000"/>
                <w:sz w:val="24"/>
              </w:rPr>
            </w:pPr>
            <w:r>
              <w:rPr>
                <w:rFonts w:hint="eastAsia" w:ascii="宋体" w:hAnsi="宋体" w:cs="宋体"/>
                <w:color w:val="000000"/>
                <w:kern w:val="0"/>
                <w:sz w:val="24"/>
              </w:rPr>
              <w:t>按工作计划推进</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8A3ED">
            <w:pPr>
              <w:widowControl/>
              <w:jc w:val="left"/>
              <w:textAlignment w:val="center"/>
              <w:rPr>
                <w:rFonts w:ascii="宋体" w:hAnsi="宋体" w:cs="宋体"/>
                <w:color w:val="000000"/>
                <w:sz w:val="24"/>
              </w:rPr>
            </w:pPr>
            <w:r>
              <w:rPr>
                <w:rFonts w:hint="eastAsia" w:ascii="宋体" w:hAnsi="宋体" w:cs="宋体"/>
                <w:color w:val="000000"/>
                <w:kern w:val="0"/>
                <w:sz w:val="24"/>
              </w:rPr>
              <w:t>2021全年</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B28D4">
            <w:pPr>
              <w:widowControl/>
              <w:jc w:val="left"/>
              <w:textAlignment w:val="center"/>
              <w:rPr>
                <w:rFonts w:ascii="宋体" w:hAnsi="宋体" w:cs="宋体"/>
                <w:color w:val="000000"/>
                <w:sz w:val="24"/>
              </w:rPr>
            </w:pPr>
            <w:r>
              <w:rPr>
                <w:rFonts w:hint="eastAsia" w:ascii="宋体" w:hAnsi="宋体" w:cs="宋体"/>
                <w:color w:val="000000"/>
                <w:kern w:val="0"/>
                <w:sz w:val="24"/>
              </w:rPr>
              <w:t>完成2021年普法宣传工作</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05233D">
            <w:pPr>
              <w:rPr>
                <w:rFonts w:ascii="宋体" w:hAnsi="宋体" w:cs="宋体"/>
                <w:color w:val="000000"/>
                <w:sz w:val="24"/>
              </w:rPr>
            </w:pPr>
          </w:p>
        </w:tc>
      </w:tr>
      <w:tr w14:paraId="0810F9E6">
        <w:tblPrEx>
          <w:tblCellMar>
            <w:top w:w="0" w:type="dxa"/>
            <w:left w:w="0" w:type="dxa"/>
            <w:bottom w:w="0" w:type="dxa"/>
            <w:right w:w="0" w:type="dxa"/>
          </w:tblCellMar>
        </w:tblPrEx>
        <w:trPr>
          <w:trHeight w:val="435" w:hRule="atLeast"/>
        </w:trPr>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F898B5">
            <w:pPr>
              <w:jc w:val="center"/>
              <w:rPr>
                <w:rFonts w:ascii="宋体" w:hAnsi="宋体" w:cs="宋体"/>
                <w:color w:val="000000"/>
                <w:sz w:val="24"/>
              </w:rPr>
            </w:pPr>
          </w:p>
        </w:tc>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DC449B">
            <w:pPr>
              <w:jc w:val="center"/>
              <w:rPr>
                <w:rFonts w:ascii="宋体" w:hAnsi="宋体" w:cs="宋体"/>
                <w:color w:val="000000"/>
                <w:sz w:val="24"/>
              </w:rPr>
            </w:pPr>
          </w:p>
        </w:tc>
        <w:tc>
          <w:tcPr>
            <w:tcW w:w="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060DDF">
            <w:pPr>
              <w:widowControl/>
              <w:jc w:val="center"/>
              <w:textAlignment w:val="center"/>
              <w:rPr>
                <w:rFonts w:ascii="宋体" w:hAnsi="宋体" w:cs="宋体"/>
                <w:color w:val="000000"/>
                <w:sz w:val="24"/>
              </w:rPr>
            </w:pPr>
            <w:r>
              <w:rPr>
                <w:rFonts w:hint="eastAsia" w:ascii="宋体" w:hAnsi="宋体" w:cs="宋体"/>
                <w:color w:val="000000"/>
                <w:kern w:val="0"/>
                <w:sz w:val="24"/>
              </w:rPr>
              <w:t>成本指标</w:t>
            </w:r>
          </w:p>
        </w:tc>
        <w:tc>
          <w:tcPr>
            <w:tcW w:w="2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00E7C9">
            <w:pPr>
              <w:widowControl/>
              <w:jc w:val="left"/>
              <w:textAlignment w:val="center"/>
              <w:rPr>
                <w:rFonts w:ascii="宋体" w:hAnsi="宋体" w:cs="宋体"/>
                <w:color w:val="000000"/>
                <w:sz w:val="24"/>
              </w:rPr>
            </w:pPr>
            <w:r>
              <w:rPr>
                <w:rFonts w:hint="eastAsia" w:ascii="宋体" w:hAnsi="宋体" w:cs="宋体"/>
                <w:color w:val="000000"/>
                <w:kern w:val="0"/>
                <w:sz w:val="24"/>
              </w:rPr>
              <w:t>普法工作相关经费</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E49F0">
            <w:pPr>
              <w:widowControl/>
              <w:jc w:val="left"/>
              <w:textAlignment w:val="center"/>
              <w:rPr>
                <w:rFonts w:ascii="宋体" w:hAnsi="宋体" w:cs="宋体"/>
                <w:color w:val="000000"/>
                <w:sz w:val="24"/>
              </w:rPr>
            </w:pPr>
            <w:r>
              <w:rPr>
                <w:rFonts w:hint="eastAsia" w:ascii="宋体" w:hAnsi="宋体" w:cs="宋体"/>
                <w:color w:val="000000"/>
                <w:kern w:val="0"/>
                <w:sz w:val="24"/>
              </w:rPr>
              <w:t>3.94万元</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8B2D5E">
            <w:pPr>
              <w:widowControl/>
              <w:jc w:val="left"/>
              <w:textAlignment w:val="center"/>
              <w:rPr>
                <w:rFonts w:ascii="宋体" w:hAnsi="宋体" w:cs="宋体"/>
                <w:color w:val="000000"/>
                <w:sz w:val="24"/>
              </w:rPr>
            </w:pPr>
            <w:r>
              <w:rPr>
                <w:rFonts w:hint="eastAsia" w:ascii="宋体" w:hAnsi="宋体" w:cs="宋体"/>
                <w:color w:val="000000"/>
                <w:kern w:val="0"/>
                <w:sz w:val="24"/>
              </w:rPr>
              <w:t>3.94万元</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38819">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r>
      <w:tr w14:paraId="52E078F9">
        <w:tblPrEx>
          <w:tblCellMar>
            <w:top w:w="0" w:type="dxa"/>
            <w:left w:w="0" w:type="dxa"/>
            <w:bottom w:w="0" w:type="dxa"/>
            <w:right w:w="0" w:type="dxa"/>
          </w:tblCellMar>
        </w:tblPrEx>
        <w:trPr>
          <w:trHeight w:val="1995" w:hRule="atLeast"/>
        </w:trPr>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F87157">
            <w:pPr>
              <w:jc w:val="center"/>
              <w:rPr>
                <w:rFonts w:ascii="宋体" w:hAnsi="宋体" w:cs="宋体"/>
                <w:color w:val="000000"/>
                <w:sz w:val="24"/>
              </w:rPr>
            </w:pPr>
          </w:p>
        </w:tc>
        <w:tc>
          <w:tcPr>
            <w:tcW w:w="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0A7268">
            <w:pPr>
              <w:jc w:val="center"/>
              <w:rPr>
                <w:rFonts w:ascii="宋体" w:hAnsi="宋体" w:cs="宋体"/>
                <w:color w:val="000000"/>
                <w:sz w:val="24"/>
              </w:rPr>
            </w:pPr>
          </w:p>
        </w:tc>
        <w:tc>
          <w:tcPr>
            <w:tcW w:w="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0F0C4F">
            <w:pPr>
              <w:widowControl/>
              <w:jc w:val="center"/>
              <w:textAlignment w:val="center"/>
              <w:rPr>
                <w:rFonts w:ascii="宋体" w:hAnsi="宋体" w:cs="宋体"/>
                <w:color w:val="000000"/>
                <w:sz w:val="24"/>
              </w:rPr>
            </w:pPr>
            <w:r>
              <w:rPr>
                <w:rFonts w:hint="eastAsia" w:ascii="宋体" w:hAnsi="宋体" w:cs="宋体"/>
                <w:color w:val="000000"/>
                <w:kern w:val="0"/>
                <w:sz w:val="24"/>
              </w:rPr>
              <w:t>社会效益</w:t>
            </w:r>
            <w:r>
              <w:rPr>
                <w:rFonts w:hint="eastAsia" w:ascii="宋体" w:hAnsi="宋体" w:cs="宋体"/>
                <w:color w:val="000000"/>
                <w:kern w:val="0"/>
                <w:sz w:val="24"/>
              </w:rPr>
              <w:br w:type="textWrapping"/>
            </w:r>
            <w:r>
              <w:rPr>
                <w:rFonts w:hint="eastAsia" w:ascii="宋体" w:hAnsi="宋体" w:cs="宋体"/>
                <w:color w:val="000000"/>
                <w:kern w:val="0"/>
                <w:sz w:val="24"/>
              </w:rPr>
              <w:t>指标</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A1E0157">
            <w:pPr>
              <w:widowControl/>
              <w:ind w:firstLine="480" w:firstLineChars="200"/>
              <w:textAlignment w:val="bottom"/>
              <w:rPr>
                <w:rFonts w:ascii="宋体" w:hAnsi="宋体" w:cs="宋体"/>
                <w:color w:val="000000"/>
                <w:sz w:val="24"/>
              </w:rPr>
            </w:pPr>
            <w:r>
              <w:rPr>
                <w:rFonts w:hint="eastAsia" w:ascii="宋体" w:hAnsi="宋体" w:cs="宋体"/>
                <w:color w:val="000000"/>
                <w:kern w:val="0"/>
                <w:sz w:val="24"/>
              </w:rPr>
              <w:t>普法教育在推动社会治理法治化进程中有着不可替代的作用，是利国利民的良好举措，是建设法治盐边的先导性工程，具有广泛的社会效益。</w:t>
            </w:r>
          </w:p>
        </w:tc>
        <w:tc>
          <w:tcPr>
            <w:tcW w:w="23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0FC1D4E">
            <w:pPr>
              <w:widowControl/>
              <w:ind w:firstLine="240" w:firstLineChars="100"/>
              <w:textAlignment w:val="bottom"/>
              <w:rPr>
                <w:rFonts w:ascii="宋体" w:hAnsi="宋体" w:cs="宋体"/>
                <w:color w:val="000000"/>
                <w:sz w:val="24"/>
              </w:rPr>
            </w:pPr>
            <w:r>
              <w:rPr>
                <w:rFonts w:hint="eastAsia" w:ascii="宋体" w:hAnsi="宋体" w:cs="宋体"/>
                <w:color w:val="000000"/>
                <w:kern w:val="0"/>
                <w:sz w:val="24"/>
              </w:rPr>
              <w:t>普法教育在推动社会治理法治化进程中有着不可替代的作用，是利国利民的良好举措，是建设法治盐边的先导性工程，具有广泛的社会效益。</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DDC6E4">
            <w:pPr>
              <w:widowControl/>
              <w:jc w:val="left"/>
              <w:textAlignment w:val="center"/>
              <w:rPr>
                <w:rFonts w:ascii="宋体" w:hAnsi="宋体" w:cs="宋体"/>
                <w:color w:val="000000"/>
                <w:sz w:val="24"/>
              </w:rPr>
            </w:pPr>
            <w:r>
              <w:rPr>
                <w:rFonts w:hint="eastAsia" w:ascii="宋体" w:hAnsi="宋体" w:cs="宋体"/>
                <w:color w:val="000000"/>
                <w:kern w:val="0"/>
                <w:sz w:val="24"/>
              </w:rPr>
              <w:t>完成2021年普法宣传工作</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1B1D4B">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r>
      <w:tr w14:paraId="7F2D6F88">
        <w:tblPrEx>
          <w:tblCellMar>
            <w:top w:w="0" w:type="dxa"/>
            <w:left w:w="0" w:type="dxa"/>
            <w:bottom w:w="0" w:type="dxa"/>
            <w:right w:w="0" w:type="dxa"/>
          </w:tblCellMar>
        </w:tblPrEx>
        <w:trPr>
          <w:trHeight w:val="990" w:hRule="atLeast"/>
        </w:trPr>
        <w:tc>
          <w:tcPr>
            <w:tcW w:w="23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4F1E6E">
            <w:pPr>
              <w:jc w:val="center"/>
              <w:rPr>
                <w:rFonts w:ascii="宋体" w:hAnsi="宋体" w:cs="宋体"/>
                <w:color w:val="000000"/>
                <w:sz w:val="24"/>
              </w:rPr>
            </w:pPr>
          </w:p>
        </w:tc>
        <w:tc>
          <w:tcPr>
            <w:tcW w:w="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42E90E">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2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A9AAC9">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2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F6C77">
            <w:pPr>
              <w:widowControl/>
              <w:jc w:val="left"/>
              <w:textAlignment w:val="center"/>
              <w:rPr>
                <w:rFonts w:ascii="宋体" w:hAnsi="宋体" w:cs="宋体"/>
                <w:color w:val="000000"/>
                <w:sz w:val="24"/>
              </w:rPr>
            </w:pPr>
            <w:r>
              <w:rPr>
                <w:rFonts w:hint="eastAsia" w:ascii="宋体" w:hAnsi="宋体" w:cs="宋体"/>
                <w:color w:val="000000"/>
                <w:kern w:val="0"/>
                <w:sz w:val="24"/>
              </w:rPr>
              <w:t>社会公众满意度</w:t>
            </w:r>
          </w:p>
        </w:tc>
        <w:tc>
          <w:tcPr>
            <w:tcW w:w="23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5EF072">
            <w:pPr>
              <w:widowControl/>
              <w:jc w:val="left"/>
              <w:textAlignment w:val="center"/>
              <w:rPr>
                <w:rFonts w:ascii="宋体" w:hAnsi="宋体" w:cs="宋体"/>
                <w:color w:val="000000"/>
                <w:sz w:val="24"/>
              </w:rPr>
            </w:pPr>
            <w:r>
              <w:rPr>
                <w:rFonts w:hint="eastAsia" w:ascii="宋体" w:hAnsi="宋体" w:cs="宋体"/>
                <w:color w:val="000000"/>
                <w:kern w:val="0"/>
                <w:sz w:val="24"/>
              </w:rPr>
              <w:t>社会公众满意度</w:t>
            </w:r>
          </w:p>
        </w:tc>
        <w:tc>
          <w:tcPr>
            <w:tcW w:w="1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88BFD">
            <w:pPr>
              <w:widowControl/>
              <w:jc w:val="right"/>
              <w:textAlignment w:val="center"/>
              <w:rPr>
                <w:rFonts w:ascii="宋体" w:hAnsi="宋体" w:cs="宋体"/>
                <w:color w:val="000000"/>
                <w:sz w:val="24"/>
              </w:rPr>
            </w:pPr>
            <w:r>
              <w:rPr>
                <w:rFonts w:hint="eastAsia" w:ascii="宋体" w:hAnsi="宋体" w:cs="宋体"/>
                <w:color w:val="000000"/>
                <w:kern w:val="0"/>
                <w:sz w:val="24"/>
              </w:rPr>
              <w:t>95%</w:t>
            </w:r>
          </w:p>
        </w:tc>
        <w:tc>
          <w:tcPr>
            <w:tcW w:w="1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4A064">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r>
    </w:tbl>
    <w:p w14:paraId="1B4207B1">
      <w:pPr>
        <w:widowControl/>
        <w:jc w:val="left"/>
        <w:rPr>
          <w:rStyle w:val="31"/>
          <w:rFonts w:ascii="黑体" w:hAnsi="黑体" w:eastAsia="黑体"/>
          <w:b w:val="0"/>
        </w:rPr>
      </w:pPr>
      <w:r>
        <w:rPr>
          <w:rStyle w:val="31"/>
          <w:rFonts w:ascii="黑体" w:hAnsi="黑体" w:eastAsia="黑体"/>
          <w:b w:val="0"/>
        </w:rPr>
        <w:br w:type="page"/>
      </w:r>
    </w:p>
    <w:tbl>
      <w:tblPr>
        <w:tblStyle w:val="18"/>
        <w:tblW w:w="8336" w:type="dxa"/>
        <w:tblInd w:w="0" w:type="dxa"/>
        <w:tblLayout w:type="fixed"/>
        <w:tblCellMar>
          <w:top w:w="0" w:type="dxa"/>
          <w:left w:w="0" w:type="dxa"/>
          <w:bottom w:w="0" w:type="dxa"/>
          <w:right w:w="0" w:type="dxa"/>
        </w:tblCellMar>
      </w:tblPr>
      <w:tblGrid>
        <w:gridCol w:w="8336"/>
      </w:tblGrid>
      <w:tr w14:paraId="06E968C7">
        <w:tblPrEx>
          <w:tblCellMar>
            <w:top w:w="0" w:type="dxa"/>
            <w:left w:w="0" w:type="dxa"/>
            <w:bottom w:w="0" w:type="dxa"/>
            <w:right w:w="0" w:type="dxa"/>
          </w:tblCellMar>
        </w:tblPrEx>
        <w:trPr>
          <w:trHeight w:val="675" w:hRule="atLeast"/>
        </w:trPr>
        <w:tc>
          <w:tcPr>
            <w:tcW w:w="8336" w:type="dxa"/>
            <w:tcBorders>
              <w:top w:val="nil"/>
              <w:left w:val="nil"/>
              <w:bottom w:val="nil"/>
              <w:right w:val="nil"/>
            </w:tcBorders>
            <w:shd w:val="clear" w:color="auto" w:fill="auto"/>
            <w:tcMar>
              <w:top w:w="15" w:type="dxa"/>
              <w:left w:w="15" w:type="dxa"/>
              <w:right w:w="15" w:type="dxa"/>
            </w:tcMar>
            <w:vAlign w:val="center"/>
          </w:tcPr>
          <w:tbl>
            <w:tblPr>
              <w:tblStyle w:val="18"/>
              <w:tblW w:w="8306" w:type="dxa"/>
              <w:tblInd w:w="0" w:type="dxa"/>
              <w:tblLayout w:type="fixed"/>
              <w:tblCellMar>
                <w:top w:w="0" w:type="dxa"/>
                <w:left w:w="0" w:type="dxa"/>
                <w:bottom w:w="0" w:type="dxa"/>
                <w:right w:w="0" w:type="dxa"/>
              </w:tblCellMar>
            </w:tblPr>
            <w:tblGrid>
              <w:gridCol w:w="362"/>
              <w:gridCol w:w="470"/>
              <w:gridCol w:w="949"/>
              <w:gridCol w:w="1891"/>
              <w:gridCol w:w="1119"/>
              <w:gridCol w:w="971"/>
              <w:gridCol w:w="972"/>
              <w:gridCol w:w="1572"/>
            </w:tblGrid>
            <w:tr w14:paraId="3F5E2829">
              <w:tblPrEx>
                <w:tblCellMar>
                  <w:top w:w="0" w:type="dxa"/>
                  <w:left w:w="0" w:type="dxa"/>
                  <w:bottom w:w="0" w:type="dxa"/>
                  <w:right w:w="0" w:type="dxa"/>
                </w:tblCellMar>
              </w:tblPrEx>
              <w:trPr>
                <w:trHeight w:val="675" w:hRule="atLeast"/>
              </w:trPr>
              <w:tc>
                <w:tcPr>
                  <w:tcW w:w="8306" w:type="dxa"/>
                  <w:gridSpan w:val="8"/>
                  <w:tcBorders>
                    <w:top w:val="nil"/>
                    <w:left w:val="nil"/>
                    <w:bottom w:val="nil"/>
                    <w:right w:val="nil"/>
                  </w:tcBorders>
                  <w:shd w:val="clear" w:color="auto" w:fill="auto"/>
                  <w:tcMar>
                    <w:top w:w="15" w:type="dxa"/>
                    <w:left w:w="15" w:type="dxa"/>
                    <w:right w:w="15" w:type="dxa"/>
                  </w:tcMar>
                  <w:vAlign w:val="center"/>
                </w:tcPr>
                <w:p w14:paraId="141A7324">
                  <w:pPr>
                    <w:widowControl/>
                    <w:jc w:val="center"/>
                    <w:textAlignment w:val="center"/>
                    <w:rPr>
                      <w:rFonts w:ascii="宋体" w:hAnsi="宋体" w:cs="宋体"/>
                      <w:b/>
                      <w:color w:val="000000"/>
                      <w:sz w:val="32"/>
                      <w:szCs w:val="32"/>
                    </w:rPr>
                  </w:pPr>
                  <w:r>
                    <w:rPr>
                      <w:rFonts w:hint="eastAsia" w:ascii="宋体" w:hAnsi="宋体" w:cs="宋体"/>
                      <w:b/>
                      <w:color w:val="000000"/>
                      <w:kern w:val="0"/>
                      <w:sz w:val="32"/>
                      <w:szCs w:val="32"/>
                    </w:rPr>
                    <w:t>2021年人民调解专项资金绩效自评表</w:t>
                  </w:r>
                </w:p>
              </w:tc>
            </w:tr>
            <w:tr w14:paraId="4CC226D9">
              <w:tblPrEx>
                <w:tblCellMar>
                  <w:top w:w="0" w:type="dxa"/>
                  <w:left w:w="0" w:type="dxa"/>
                  <w:bottom w:w="0" w:type="dxa"/>
                  <w:right w:w="0" w:type="dxa"/>
                </w:tblCellMar>
              </w:tblPrEx>
              <w:trPr>
                <w:trHeight w:val="319" w:hRule="atLeast"/>
              </w:trPr>
              <w:tc>
                <w:tcPr>
                  <w:tcW w:w="8306" w:type="dxa"/>
                  <w:gridSpan w:val="8"/>
                  <w:tcBorders>
                    <w:top w:val="nil"/>
                    <w:left w:val="nil"/>
                    <w:bottom w:val="nil"/>
                    <w:right w:val="nil"/>
                  </w:tcBorders>
                  <w:shd w:val="clear" w:color="auto" w:fill="auto"/>
                  <w:tcMar>
                    <w:top w:w="15" w:type="dxa"/>
                    <w:left w:w="15" w:type="dxa"/>
                    <w:right w:w="15" w:type="dxa"/>
                  </w:tcMar>
                  <w:vAlign w:val="center"/>
                </w:tcPr>
                <w:p w14:paraId="044203DD">
                  <w:pPr>
                    <w:widowControl/>
                    <w:jc w:val="center"/>
                    <w:textAlignment w:val="center"/>
                    <w:rPr>
                      <w:rFonts w:ascii="宋体" w:hAnsi="宋体" w:cs="宋体"/>
                      <w:color w:val="000000"/>
                      <w:sz w:val="24"/>
                    </w:rPr>
                  </w:pPr>
                  <w:r>
                    <w:rPr>
                      <w:rFonts w:hint="eastAsia" w:ascii="宋体" w:hAnsi="宋体" w:cs="宋体"/>
                      <w:color w:val="000000"/>
                      <w:kern w:val="0"/>
                      <w:sz w:val="24"/>
                      <w:lang w:eastAsia="en-US"/>
                    </w:rPr>
                    <w:t>（</w:t>
                  </w:r>
                  <w:r>
                    <w:rPr>
                      <w:color w:val="000000"/>
                      <w:kern w:val="0"/>
                      <w:sz w:val="24"/>
                      <w:lang w:eastAsia="en-US"/>
                    </w:rPr>
                    <w:t>2021</w:t>
                  </w:r>
                  <w:r>
                    <w:rPr>
                      <w:rFonts w:hint="eastAsia" w:ascii="宋体" w:hAnsi="宋体" w:cs="宋体"/>
                      <w:color w:val="000000"/>
                      <w:kern w:val="0"/>
                      <w:sz w:val="24"/>
                      <w:lang w:eastAsia="en-US"/>
                    </w:rPr>
                    <w:t>年度）</w:t>
                  </w:r>
                </w:p>
              </w:tc>
            </w:tr>
            <w:tr w14:paraId="7C3CFA29">
              <w:tblPrEx>
                <w:tblCellMar>
                  <w:top w:w="0" w:type="dxa"/>
                  <w:left w:w="0" w:type="dxa"/>
                  <w:bottom w:w="0" w:type="dxa"/>
                  <w:right w:w="0" w:type="dxa"/>
                </w:tblCellMar>
              </w:tblPrEx>
              <w:trPr>
                <w:trHeight w:val="435" w:hRule="atLeast"/>
              </w:trPr>
              <w:tc>
                <w:tcPr>
                  <w:tcW w:w="362" w:type="dxa"/>
                  <w:tcBorders>
                    <w:top w:val="nil"/>
                    <w:left w:val="nil"/>
                    <w:bottom w:val="single" w:color="000000" w:sz="4" w:space="0"/>
                    <w:right w:val="nil"/>
                  </w:tcBorders>
                  <w:shd w:val="clear" w:color="auto" w:fill="auto"/>
                  <w:noWrap/>
                  <w:tcMar>
                    <w:top w:w="15" w:type="dxa"/>
                    <w:left w:w="15" w:type="dxa"/>
                    <w:right w:w="15" w:type="dxa"/>
                  </w:tcMar>
                  <w:vAlign w:val="center"/>
                </w:tcPr>
                <w:p w14:paraId="2627B5C2">
                  <w:pPr>
                    <w:rPr>
                      <w:rFonts w:ascii="宋体" w:hAnsi="宋体" w:cs="宋体"/>
                      <w:color w:val="000000"/>
                      <w:sz w:val="24"/>
                    </w:rPr>
                  </w:pPr>
                </w:p>
              </w:tc>
              <w:tc>
                <w:tcPr>
                  <w:tcW w:w="470" w:type="dxa"/>
                  <w:tcBorders>
                    <w:top w:val="nil"/>
                    <w:left w:val="nil"/>
                    <w:bottom w:val="single" w:color="000000" w:sz="4" w:space="0"/>
                    <w:right w:val="nil"/>
                  </w:tcBorders>
                  <w:shd w:val="clear" w:color="auto" w:fill="auto"/>
                  <w:tcMar>
                    <w:top w:w="15" w:type="dxa"/>
                    <w:left w:w="15" w:type="dxa"/>
                    <w:right w:w="15" w:type="dxa"/>
                  </w:tcMar>
                  <w:vAlign w:val="center"/>
                </w:tcPr>
                <w:p w14:paraId="00E9E93B">
                  <w:pPr>
                    <w:rPr>
                      <w:rFonts w:ascii="宋体" w:hAnsi="宋体" w:cs="宋体"/>
                      <w:color w:val="000000"/>
                      <w:sz w:val="24"/>
                    </w:rPr>
                  </w:pPr>
                </w:p>
              </w:tc>
              <w:tc>
                <w:tcPr>
                  <w:tcW w:w="949" w:type="dxa"/>
                  <w:tcBorders>
                    <w:top w:val="nil"/>
                    <w:left w:val="nil"/>
                    <w:bottom w:val="nil"/>
                    <w:right w:val="nil"/>
                  </w:tcBorders>
                  <w:shd w:val="clear" w:color="auto" w:fill="auto"/>
                  <w:tcMar>
                    <w:top w:w="15" w:type="dxa"/>
                    <w:left w:w="15" w:type="dxa"/>
                    <w:right w:w="15" w:type="dxa"/>
                  </w:tcMar>
                  <w:vAlign w:val="center"/>
                </w:tcPr>
                <w:p w14:paraId="4208A237">
                  <w:pPr>
                    <w:rPr>
                      <w:rFonts w:ascii="宋体" w:hAnsi="宋体" w:cs="宋体"/>
                      <w:color w:val="000000"/>
                      <w:sz w:val="24"/>
                    </w:rPr>
                  </w:pPr>
                </w:p>
              </w:tc>
              <w:tc>
                <w:tcPr>
                  <w:tcW w:w="1891" w:type="dxa"/>
                  <w:tcBorders>
                    <w:top w:val="nil"/>
                    <w:left w:val="nil"/>
                    <w:bottom w:val="nil"/>
                    <w:right w:val="nil"/>
                  </w:tcBorders>
                  <w:shd w:val="clear" w:color="auto" w:fill="auto"/>
                  <w:tcMar>
                    <w:top w:w="15" w:type="dxa"/>
                    <w:left w:w="15" w:type="dxa"/>
                    <w:right w:w="15" w:type="dxa"/>
                  </w:tcMar>
                  <w:vAlign w:val="center"/>
                </w:tcPr>
                <w:p w14:paraId="45215FD9">
                  <w:pPr>
                    <w:rPr>
                      <w:rFonts w:ascii="宋体" w:hAnsi="宋体" w:cs="宋体"/>
                      <w:color w:val="000000"/>
                      <w:sz w:val="24"/>
                    </w:rPr>
                  </w:pPr>
                </w:p>
              </w:tc>
              <w:tc>
                <w:tcPr>
                  <w:tcW w:w="1119" w:type="dxa"/>
                  <w:tcBorders>
                    <w:top w:val="nil"/>
                    <w:left w:val="nil"/>
                    <w:bottom w:val="nil"/>
                    <w:right w:val="nil"/>
                  </w:tcBorders>
                  <w:shd w:val="clear" w:color="auto" w:fill="auto"/>
                  <w:tcMar>
                    <w:top w:w="15" w:type="dxa"/>
                    <w:left w:w="15" w:type="dxa"/>
                    <w:right w:w="15" w:type="dxa"/>
                  </w:tcMar>
                  <w:vAlign w:val="center"/>
                </w:tcPr>
                <w:p w14:paraId="173158D1">
                  <w:pPr>
                    <w:rPr>
                      <w:rFonts w:ascii="宋体" w:hAnsi="宋体" w:cs="宋体"/>
                      <w:color w:val="000000"/>
                      <w:sz w:val="24"/>
                    </w:rPr>
                  </w:pPr>
                </w:p>
              </w:tc>
              <w:tc>
                <w:tcPr>
                  <w:tcW w:w="971" w:type="dxa"/>
                  <w:tcBorders>
                    <w:top w:val="nil"/>
                    <w:left w:val="nil"/>
                    <w:bottom w:val="nil"/>
                    <w:right w:val="nil"/>
                  </w:tcBorders>
                  <w:shd w:val="clear" w:color="auto" w:fill="auto"/>
                  <w:tcMar>
                    <w:top w:w="15" w:type="dxa"/>
                    <w:left w:w="15" w:type="dxa"/>
                    <w:right w:w="15" w:type="dxa"/>
                  </w:tcMar>
                  <w:vAlign w:val="center"/>
                </w:tcPr>
                <w:p w14:paraId="1C01328D">
                  <w:pPr>
                    <w:rPr>
                      <w:rFonts w:ascii="宋体" w:hAnsi="宋体" w:cs="宋体"/>
                      <w:color w:val="000000"/>
                      <w:sz w:val="24"/>
                    </w:rPr>
                  </w:pPr>
                </w:p>
              </w:tc>
              <w:tc>
                <w:tcPr>
                  <w:tcW w:w="972" w:type="dxa"/>
                  <w:tcBorders>
                    <w:top w:val="nil"/>
                    <w:left w:val="nil"/>
                    <w:bottom w:val="nil"/>
                    <w:right w:val="nil"/>
                  </w:tcBorders>
                  <w:shd w:val="clear" w:color="auto" w:fill="auto"/>
                  <w:tcMar>
                    <w:top w:w="15" w:type="dxa"/>
                    <w:left w:w="15" w:type="dxa"/>
                    <w:right w:w="15" w:type="dxa"/>
                  </w:tcMar>
                  <w:vAlign w:val="center"/>
                </w:tcPr>
                <w:p w14:paraId="1C6FACFB">
                  <w:pPr>
                    <w:rPr>
                      <w:rFonts w:ascii="宋体" w:hAnsi="宋体" w:cs="宋体"/>
                      <w:color w:val="000000"/>
                      <w:sz w:val="24"/>
                    </w:rPr>
                  </w:pPr>
                </w:p>
              </w:tc>
              <w:tc>
                <w:tcPr>
                  <w:tcW w:w="1572" w:type="dxa"/>
                  <w:tcBorders>
                    <w:top w:val="nil"/>
                    <w:left w:val="nil"/>
                    <w:bottom w:val="nil"/>
                    <w:right w:val="nil"/>
                  </w:tcBorders>
                  <w:shd w:val="clear" w:color="auto" w:fill="auto"/>
                  <w:tcMar>
                    <w:top w:w="15" w:type="dxa"/>
                    <w:left w:w="15" w:type="dxa"/>
                    <w:right w:w="15" w:type="dxa"/>
                  </w:tcMar>
                  <w:vAlign w:val="center"/>
                </w:tcPr>
                <w:p w14:paraId="249C3719">
                  <w:pPr>
                    <w:rPr>
                      <w:rFonts w:ascii="宋体" w:hAnsi="宋体" w:cs="宋体"/>
                      <w:color w:val="000000"/>
                      <w:sz w:val="24"/>
                    </w:rPr>
                  </w:pPr>
                </w:p>
              </w:tc>
            </w:tr>
            <w:tr w14:paraId="72F6012C">
              <w:tblPrEx>
                <w:tblCellMar>
                  <w:top w:w="0" w:type="dxa"/>
                  <w:left w:w="0" w:type="dxa"/>
                  <w:bottom w:w="0" w:type="dxa"/>
                  <w:right w:w="0" w:type="dxa"/>
                </w:tblCellMar>
              </w:tblPrEx>
              <w:trPr>
                <w:trHeight w:val="439" w:hRule="atLeast"/>
              </w:trPr>
              <w:tc>
                <w:tcPr>
                  <w:tcW w:w="17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81C49D">
                  <w:pPr>
                    <w:widowControl/>
                    <w:jc w:val="center"/>
                    <w:textAlignment w:val="center"/>
                    <w:rPr>
                      <w:rFonts w:ascii="宋体" w:hAnsi="宋体" w:cs="宋体"/>
                      <w:color w:val="000000"/>
                      <w:sz w:val="24"/>
                    </w:rPr>
                  </w:pPr>
                  <w:r>
                    <w:rPr>
                      <w:rFonts w:hint="eastAsia" w:ascii="宋体" w:hAnsi="宋体" w:cs="宋体"/>
                      <w:color w:val="000000"/>
                      <w:kern w:val="0"/>
                      <w:sz w:val="24"/>
                    </w:rPr>
                    <w:t>专项（项目）名称</w:t>
                  </w:r>
                </w:p>
              </w:tc>
              <w:tc>
                <w:tcPr>
                  <w:tcW w:w="652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14AEA">
                  <w:pPr>
                    <w:widowControl/>
                    <w:jc w:val="center"/>
                    <w:textAlignment w:val="center"/>
                    <w:rPr>
                      <w:rFonts w:ascii="宋体" w:hAnsi="宋体" w:cs="宋体"/>
                      <w:color w:val="000000"/>
                      <w:sz w:val="24"/>
                    </w:rPr>
                  </w:pPr>
                  <w:r>
                    <w:rPr>
                      <w:rFonts w:hint="eastAsia" w:ascii="宋体" w:hAnsi="宋体" w:cs="宋体"/>
                      <w:color w:val="000000"/>
                      <w:kern w:val="0"/>
                      <w:sz w:val="24"/>
                    </w:rPr>
                    <w:t>人民调解专项经费</w:t>
                  </w:r>
                </w:p>
              </w:tc>
            </w:tr>
            <w:tr w14:paraId="3A52D555">
              <w:tblPrEx>
                <w:tblCellMar>
                  <w:top w:w="0" w:type="dxa"/>
                  <w:left w:w="0" w:type="dxa"/>
                  <w:bottom w:w="0" w:type="dxa"/>
                  <w:right w:w="0" w:type="dxa"/>
                </w:tblCellMar>
              </w:tblPrEx>
              <w:trPr>
                <w:trHeight w:val="439" w:hRule="atLeast"/>
              </w:trPr>
              <w:tc>
                <w:tcPr>
                  <w:tcW w:w="17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83B5D6">
                  <w:pPr>
                    <w:widowControl/>
                    <w:jc w:val="center"/>
                    <w:textAlignment w:val="center"/>
                    <w:rPr>
                      <w:rFonts w:ascii="宋体" w:hAnsi="宋体" w:cs="宋体"/>
                      <w:color w:val="000000"/>
                      <w:sz w:val="24"/>
                    </w:rPr>
                  </w:pPr>
                  <w:r>
                    <w:rPr>
                      <w:rFonts w:hint="eastAsia" w:ascii="宋体" w:hAnsi="宋体" w:cs="宋体"/>
                      <w:color w:val="000000"/>
                      <w:kern w:val="0"/>
                      <w:sz w:val="24"/>
                    </w:rPr>
                    <w:t>项目主管单位</w:t>
                  </w:r>
                </w:p>
              </w:tc>
              <w:tc>
                <w:tcPr>
                  <w:tcW w:w="652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391568">
                  <w:pPr>
                    <w:widowControl/>
                    <w:jc w:val="center"/>
                    <w:textAlignment w:val="center"/>
                    <w:rPr>
                      <w:rFonts w:ascii="宋体" w:hAnsi="宋体" w:cs="宋体"/>
                      <w:color w:val="000000"/>
                      <w:sz w:val="24"/>
                    </w:rPr>
                  </w:pPr>
                  <w:r>
                    <w:rPr>
                      <w:rFonts w:hint="eastAsia" w:ascii="宋体" w:hAnsi="宋体" w:cs="宋体"/>
                      <w:color w:val="000000"/>
                      <w:kern w:val="0"/>
                      <w:sz w:val="24"/>
                    </w:rPr>
                    <w:t>盐边县司法局</w:t>
                  </w:r>
                </w:p>
              </w:tc>
            </w:tr>
            <w:tr w14:paraId="4C75083A">
              <w:tblPrEx>
                <w:tblCellMar>
                  <w:top w:w="0" w:type="dxa"/>
                  <w:left w:w="0" w:type="dxa"/>
                  <w:bottom w:w="0" w:type="dxa"/>
                  <w:right w:w="0" w:type="dxa"/>
                </w:tblCellMar>
              </w:tblPrEx>
              <w:trPr>
                <w:trHeight w:val="439" w:hRule="atLeast"/>
              </w:trPr>
              <w:tc>
                <w:tcPr>
                  <w:tcW w:w="17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058C3D">
                  <w:pPr>
                    <w:widowControl/>
                    <w:jc w:val="center"/>
                    <w:textAlignment w:val="center"/>
                    <w:rPr>
                      <w:rFonts w:ascii="宋体" w:hAnsi="宋体" w:cs="宋体"/>
                      <w:color w:val="000000"/>
                      <w:sz w:val="24"/>
                    </w:rPr>
                  </w:pPr>
                  <w:r>
                    <w:rPr>
                      <w:rFonts w:hint="eastAsia" w:ascii="宋体" w:hAnsi="宋体" w:cs="宋体"/>
                      <w:color w:val="000000"/>
                      <w:kern w:val="0"/>
                      <w:sz w:val="24"/>
                    </w:rPr>
                    <w:t>项目实施单位</w:t>
                  </w:r>
                </w:p>
              </w:tc>
              <w:tc>
                <w:tcPr>
                  <w:tcW w:w="652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63336F">
                  <w:pPr>
                    <w:widowControl/>
                    <w:jc w:val="center"/>
                    <w:textAlignment w:val="center"/>
                    <w:rPr>
                      <w:rFonts w:ascii="宋体" w:hAnsi="宋体" w:cs="宋体"/>
                      <w:color w:val="000000"/>
                      <w:sz w:val="24"/>
                    </w:rPr>
                  </w:pPr>
                  <w:r>
                    <w:rPr>
                      <w:rFonts w:hint="eastAsia" w:ascii="宋体" w:hAnsi="宋体" w:cs="宋体"/>
                      <w:color w:val="000000"/>
                      <w:kern w:val="0"/>
                      <w:sz w:val="24"/>
                    </w:rPr>
                    <w:t>盐边县司法局</w:t>
                  </w:r>
                </w:p>
              </w:tc>
            </w:tr>
            <w:tr w14:paraId="6B65DDE4">
              <w:tblPrEx>
                <w:tblCellMar>
                  <w:top w:w="0" w:type="dxa"/>
                  <w:left w:w="0" w:type="dxa"/>
                  <w:bottom w:w="0" w:type="dxa"/>
                  <w:right w:w="0" w:type="dxa"/>
                </w:tblCellMar>
              </w:tblPrEx>
              <w:trPr>
                <w:trHeight w:val="439" w:hRule="atLeast"/>
              </w:trPr>
              <w:tc>
                <w:tcPr>
                  <w:tcW w:w="178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D555F8">
                  <w:pPr>
                    <w:widowControl/>
                    <w:jc w:val="center"/>
                    <w:textAlignment w:val="center"/>
                    <w:rPr>
                      <w:rFonts w:ascii="宋体" w:hAnsi="宋体" w:cs="宋体"/>
                      <w:color w:val="000000"/>
                      <w:sz w:val="24"/>
                    </w:rPr>
                  </w:pPr>
                  <w:r>
                    <w:rPr>
                      <w:rFonts w:hint="eastAsia" w:ascii="宋体" w:hAnsi="宋体" w:cs="宋体"/>
                      <w:color w:val="000000"/>
                      <w:kern w:val="0"/>
                      <w:sz w:val="24"/>
                    </w:rPr>
                    <w:t>项目资金</w:t>
                  </w:r>
                  <w:r>
                    <w:rPr>
                      <w:rFonts w:hint="eastAsia" w:ascii="宋体" w:hAnsi="宋体" w:cs="宋体"/>
                      <w:color w:val="000000"/>
                      <w:kern w:val="0"/>
                      <w:sz w:val="24"/>
                    </w:rPr>
                    <w:br w:type="textWrapping"/>
                  </w:r>
                  <w:r>
                    <w:rPr>
                      <w:rFonts w:hint="eastAsia" w:ascii="宋体" w:hAnsi="宋体" w:cs="宋体"/>
                      <w:color w:val="000000"/>
                      <w:kern w:val="0"/>
                      <w:sz w:val="24"/>
                    </w:rPr>
                    <w:t>（万元）</w:t>
                  </w: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A4E10">
                  <w:pPr>
                    <w:jc w:val="center"/>
                    <w:rPr>
                      <w:rFonts w:ascii="宋体" w:hAnsi="宋体" w:cs="宋体"/>
                      <w:color w:val="000000"/>
                      <w:sz w:val="24"/>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2DE7C6">
                  <w:pPr>
                    <w:widowControl/>
                    <w:jc w:val="center"/>
                    <w:textAlignment w:val="center"/>
                    <w:rPr>
                      <w:rFonts w:ascii="宋体" w:hAnsi="宋体" w:cs="宋体"/>
                      <w:color w:val="000000"/>
                      <w:sz w:val="24"/>
                    </w:rPr>
                  </w:pPr>
                  <w:r>
                    <w:rPr>
                      <w:rFonts w:hint="eastAsia" w:ascii="宋体" w:hAnsi="宋体" w:cs="宋体"/>
                      <w:color w:val="000000"/>
                      <w:kern w:val="0"/>
                      <w:sz w:val="24"/>
                    </w:rPr>
                    <w:t>全年预算数</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1CFF3F">
                  <w:pPr>
                    <w:widowControl/>
                    <w:jc w:val="center"/>
                    <w:textAlignment w:val="center"/>
                    <w:rPr>
                      <w:rFonts w:ascii="宋体" w:hAnsi="宋体" w:cs="宋体"/>
                      <w:color w:val="000000"/>
                      <w:sz w:val="24"/>
                    </w:rPr>
                  </w:pPr>
                  <w:r>
                    <w:rPr>
                      <w:rFonts w:hint="eastAsia" w:ascii="宋体" w:hAnsi="宋体" w:cs="宋体"/>
                      <w:color w:val="000000"/>
                      <w:kern w:val="0"/>
                      <w:sz w:val="24"/>
                    </w:rPr>
                    <w:t>实际完成数</w:t>
                  </w:r>
                </w:p>
              </w:tc>
              <w:tc>
                <w:tcPr>
                  <w:tcW w:w="25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645294">
                  <w:pPr>
                    <w:widowControl/>
                    <w:jc w:val="center"/>
                    <w:textAlignment w:val="center"/>
                    <w:rPr>
                      <w:rFonts w:ascii="宋体" w:hAnsi="宋体" w:cs="宋体"/>
                      <w:color w:val="000000"/>
                      <w:sz w:val="24"/>
                    </w:rPr>
                  </w:pPr>
                  <w:r>
                    <w:rPr>
                      <w:rFonts w:hint="eastAsia" w:ascii="宋体" w:hAnsi="宋体" w:cs="宋体"/>
                      <w:color w:val="000000"/>
                      <w:kern w:val="0"/>
                      <w:sz w:val="24"/>
                    </w:rPr>
                    <w:t>执行率（%）</w:t>
                  </w:r>
                </w:p>
              </w:tc>
            </w:tr>
            <w:tr w14:paraId="124EDB77">
              <w:tblPrEx>
                <w:tblCellMar>
                  <w:top w:w="0" w:type="dxa"/>
                  <w:left w:w="0" w:type="dxa"/>
                  <w:bottom w:w="0" w:type="dxa"/>
                  <w:right w:w="0" w:type="dxa"/>
                </w:tblCellMar>
              </w:tblPrEx>
              <w:trPr>
                <w:trHeight w:val="439" w:hRule="atLeast"/>
              </w:trPr>
              <w:tc>
                <w:tcPr>
                  <w:tcW w:w="17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ADA7C4">
                  <w:pPr>
                    <w:jc w:val="center"/>
                    <w:rPr>
                      <w:rFonts w:ascii="宋体" w:hAnsi="宋体" w:cs="宋体"/>
                      <w:color w:val="000000"/>
                      <w:sz w:val="24"/>
                    </w:rPr>
                  </w:pP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9CF20">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年度资金总额：</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C3D710">
                  <w:pPr>
                    <w:widowControl/>
                    <w:jc w:val="center"/>
                    <w:textAlignment w:val="center"/>
                    <w:rPr>
                      <w:rFonts w:ascii="宋体" w:hAnsi="宋体" w:cs="宋体"/>
                      <w:color w:val="000000"/>
                      <w:sz w:val="24"/>
                    </w:rPr>
                  </w:pPr>
                  <w:r>
                    <w:rPr>
                      <w:rFonts w:hint="eastAsia" w:ascii="宋体" w:hAnsi="宋体" w:cs="宋体"/>
                      <w:color w:val="000000"/>
                      <w:kern w:val="0"/>
                      <w:sz w:val="24"/>
                    </w:rPr>
                    <w:t>18.93</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C5A3C4">
                  <w:pPr>
                    <w:widowControl/>
                    <w:jc w:val="center"/>
                    <w:textAlignment w:val="center"/>
                    <w:rPr>
                      <w:rFonts w:ascii="宋体" w:hAnsi="宋体" w:cs="宋体"/>
                      <w:color w:val="000000"/>
                      <w:sz w:val="24"/>
                    </w:rPr>
                  </w:pPr>
                  <w:r>
                    <w:rPr>
                      <w:rFonts w:hint="eastAsia" w:ascii="宋体" w:hAnsi="宋体" w:cs="宋体"/>
                      <w:color w:val="000000"/>
                      <w:kern w:val="0"/>
                      <w:sz w:val="24"/>
                    </w:rPr>
                    <w:t>18.93</w:t>
                  </w:r>
                </w:p>
              </w:tc>
              <w:tc>
                <w:tcPr>
                  <w:tcW w:w="25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4575F9">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14:paraId="4D2E39B4">
              <w:tblPrEx>
                <w:tblCellMar>
                  <w:top w:w="0" w:type="dxa"/>
                  <w:left w:w="0" w:type="dxa"/>
                  <w:bottom w:w="0" w:type="dxa"/>
                  <w:right w:w="0" w:type="dxa"/>
                </w:tblCellMar>
              </w:tblPrEx>
              <w:trPr>
                <w:trHeight w:val="439" w:hRule="atLeast"/>
              </w:trPr>
              <w:tc>
                <w:tcPr>
                  <w:tcW w:w="17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0CA97">
                  <w:pPr>
                    <w:jc w:val="center"/>
                    <w:rPr>
                      <w:rFonts w:ascii="宋体" w:hAnsi="宋体" w:cs="宋体"/>
                      <w:color w:val="000000"/>
                      <w:sz w:val="24"/>
                    </w:rPr>
                  </w:pP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86320C">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其中：上级财政资金</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12501">
                  <w:pPr>
                    <w:jc w:val="center"/>
                    <w:rPr>
                      <w:rFonts w:ascii="宋体" w:hAnsi="宋体" w:cs="宋体"/>
                      <w:color w:val="000000"/>
                      <w:sz w:val="24"/>
                    </w:rPr>
                  </w:pP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656C3E">
                  <w:pPr>
                    <w:jc w:val="center"/>
                    <w:rPr>
                      <w:rFonts w:ascii="宋体" w:hAnsi="宋体" w:cs="宋体"/>
                      <w:color w:val="000000"/>
                      <w:sz w:val="24"/>
                    </w:rPr>
                  </w:pPr>
                </w:p>
              </w:tc>
              <w:tc>
                <w:tcPr>
                  <w:tcW w:w="25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7DC692">
                  <w:pPr>
                    <w:jc w:val="center"/>
                    <w:rPr>
                      <w:rFonts w:ascii="宋体" w:hAnsi="宋体" w:cs="宋体"/>
                      <w:color w:val="000000"/>
                      <w:sz w:val="24"/>
                    </w:rPr>
                  </w:pPr>
                </w:p>
              </w:tc>
            </w:tr>
            <w:tr w14:paraId="317291BD">
              <w:tblPrEx>
                <w:tblCellMar>
                  <w:top w:w="0" w:type="dxa"/>
                  <w:left w:w="0" w:type="dxa"/>
                  <w:bottom w:w="0" w:type="dxa"/>
                  <w:right w:w="0" w:type="dxa"/>
                </w:tblCellMar>
              </w:tblPrEx>
              <w:trPr>
                <w:trHeight w:val="439" w:hRule="atLeast"/>
              </w:trPr>
              <w:tc>
                <w:tcPr>
                  <w:tcW w:w="17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352AF">
                  <w:pPr>
                    <w:jc w:val="center"/>
                    <w:rPr>
                      <w:rFonts w:ascii="宋体" w:hAnsi="宋体" w:cs="宋体"/>
                      <w:color w:val="000000"/>
                      <w:sz w:val="24"/>
                    </w:rPr>
                  </w:pP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8108AA">
                  <w:pPr>
                    <w:widowControl/>
                    <w:jc w:val="left"/>
                    <w:textAlignment w:val="center"/>
                    <w:rPr>
                      <w:rFonts w:ascii="宋体" w:hAnsi="宋体" w:cs="宋体"/>
                      <w:color w:val="000000"/>
                      <w:sz w:val="24"/>
                    </w:rPr>
                  </w:pPr>
                  <w:r>
                    <w:rPr>
                      <w:rFonts w:hint="eastAsia" w:ascii="宋体" w:hAnsi="宋体" w:cs="宋体"/>
                      <w:color w:val="000000"/>
                      <w:kern w:val="0"/>
                      <w:sz w:val="24"/>
                    </w:rPr>
                    <w:t xml:space="preserve">   本级财政资金</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AC34E">
                  <w:pPr>
                    <w:widowControl/>
                    <w:jc w:val="center"/>
                    <w:textAlignment w:val="center"/>
                    <w:rPr>
                      <w:rFonts w:ascii="宋体" w:hAnsi="宋体" w:cs="宋体"/>
                      <w:color w:val="000000"/>
                      <w:sz w:val="24"/>
                    </w:rPr>
                  </w:pPr>
                  <w:r>
                    <w:rPr>
                      <w:rFonts w:hint="eastAsia" w:ascii="宋体" w:hAnsi="宋体" w:cs="宋体"/>
                      <w:color w:val="000000"/>
                      <w:kern w:val="0"/>
                      <w:sz w:val="24"/>
                    </w:rPr>
                    <w:t>18.93</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4C34C6">
                  <w:pPr>
                    <w:widowControl/>
                    <w:jc w:val="center"/>
                    <w:textAlignment w:val="center"/>
                    <w:rPr>
                      <w:rFonts w:ascii="宋体" w:hAnsi="宋体" w:cs="宋体"/>
                      <w:color w:val="000000"/>
                      <w:sz w:val="24"/>
                    </w:rPr>
                  </w:pPr>
                  <w:r>
                    <w:rPr>
                      <w:rFonts w:hint="eastAsia" w:ascii="宋体" w:hAnsi="宋体" w:cs="宋体"/>
                      <w:color w:val="000000"/>
                      <w:kern w:val="0"/>
                      <w:sz w:val="24"/>
                    </w:rPr>
                    <w:t>18.93</w:t>
                  </w:r>
                </w:p>
              </w:tc>
              <w:tc>
                <w:tcPr>
                  <w:tcW w:w="25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86AA51">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14:paraId="286E7C35">
              <w:tblPrEx>
                <w:tblCellMar>
                  <w:top w:w="0" w:type="dxa"/>
                  <w:left w:w="0" w:type="dxa"/>
                  <w:bottom w:w="0" w:type="dxa"/>
                  <w:right w:w="0" w:type="dxa"/>
                </w:tblCellMar>
              </w:tblPrEx>
              <w:trPr>
                <w:trHeight w:val="439" w:hRule="atLeast"/>
              </w:trPr>
              <w:tc>
                <w:tcPr>
                  <w:tcW w:w="17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0DDC31">
                  <w:pPr>
                    <w:jc w:val="center"/>
                    <w:rPr>
                      <w:rFonts w:ascii="宋体" w:hAnsi="宋体" w:cs="宋体"/>
                      <w:color w:val="000000"/>
                      <w:sz w:val="24"/>
                    </w:rPr>
                  </w:pP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3956B">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其他资金</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9BD5E0">
                  <w:pPr>
                    <w:rPr>
                      <w:rFonts w:ascii="宋体" w:hAnsi="宋体" w:cs="宋体"/>
                      <w:color w:val="000000"/>
                      <w:sz w:val="24"/>
                    </w:rPr>
                  </w:pP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3C63DC">
                  <w:pPr>
                    <w:rPr>
                      <w:rFonts w:ascii="宋体" w:hAnsi="宋体" w:cs="宋体"/>
                      <w:color w:val="000000"/>
                      <w:sz w:val="24"/>
                    </w:rPr>
                  </w:pPr>
                </w:p>
              </w:tc>
              <w:tc>
                <w:tcPr>
                  <w:tcW w:w="25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3D7051">
                  <w:pPr>
                    <w:jc w:val="center"/>
                    <w:rPr>
                      <w:rFonts w:ascii="宋体" w:hAnsi="宋体" w:cs="宋体"/>
                      <w:color w:val="000000"/>
                      <w:sz w:val="24"/>
                    </w:rPr>
                  </w:pPr>
                </w:p>
              </w:tc>
            </w:tr>
            <w:tr w14:paraId="769EC7CB">
              <w:tblPrEx>
                <w:tblCellMar>
                  <w:top w:w="0" w:type="dxa"/>
                  <w:left w:w="0" w:type="dxa"/>
                  <w:bottom w:w="0" w:type="dxa"/>
                  <w:right w:w="0" w:type="dxa"/>
                </w:tblCellMar>
              </w:tblPrEx>
              <w:trPr>
                <w:trHeight w:val="439" w:hRule="atLeast"/>
              </w:trPr>
              <w:tc>
                <w:tcPr>
                  <w:tcW w:w="36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5380BD">
                  <w:pPr>
                    <w:widowControl/>
                    <w:jc w:val="center"/>
                    <w:textAlignment w:val="center"/>
                    <w:rPr>
                      <w:rFonts w:ascii="宋体" w:hAnsi="宋体" w:cs="宋体"/>
                      <w:color w:val="000000"/>
                      <w:sz w:val="24"/>
                    </w:rPr>
                  </w:pPr>
                  <w:r>
                    <w:rPr>
                      <w:rFonts w:hint="eastAsia" w:ascii="宋体" w:hAnsi="宋体" w:cs="宋体"/>
                      <w:color w:val="000000"/>
                      <w:kern w:val="0"/>
                      <w:sz w:val="24"/>
                    </w:rPr>
                    <w:t>总</w:t>
                  </w:r>
                  <w:r>
                    <w:rPr>
                      <w:rFonts w:hint="eastAsia" w:ascii="宋体" w:hAnsi="宋体" w:cs="宋体"/>
                      <w:color w:val="000000"/>
                      <w:kern w:val="0"/>
                      <w:sz w:val="24"/>
                    </w:rPr>
                    <w:br w:type="textWrapping"/>
                  </w:r>
                  <w:r>
                    <w:rPr>
                      <w:rFonts w:hint="eastAsia" w:ascii="宋体" w:hAnsi="宋体" w:cs="宋体"/>
                      <w:color w:val="000000"/>
                      <w:kern w:val="0"/>
                      <w:sz w:val="24"/>
                    </w:rPr>
                    <w:t>体</w:t>
                  </w:r>
                  <w:r>
                    <w:rPr>
                      <w:rFonts w:hint="eastAsia" w:ascii="宋体" w:hAnsi="宋体" w:cs="宋体"/>
                      <w:color w:val="000000"/>
                      <w:kern w:val="0"/>
                      <w:sz w:val="24"/>
                    </w:rPr>
                    <w:br w:type="textWrapping"/>
                  </w:r>
                  <w:r>
                    <w:rPr>
                      <w:rFonts w:hint="eastAsia" w:ascii="宋体" w:hAnsi="宋体" w:cs="宋体"/>
                      <w:color w:val="000000"/>
                      <w:kern w:val="0"/>
                      <w:sz w:val="24"/>
                    </w:rPr>
                    <w:t>目</w:t>
                  </w:r>
                  <w:r>
                    <w:rPr>
                      <w:rFonts w:hint="eastAsia" w:ascii="宋体" w:hAnsi="宋体" w:cs="宋体"/>
                      <w:color w:val="000000"/>
                      <w:kern w:val="0"/>
                      <w:sz w:val="24"/>
                    </w:rPr>
                    <w:br w:type="textWrapping"/>
                  </w:r>
                  <w:r>
                    <w:rPr>
                      <w:rFonts w:hint="eastAsia" w:ascii="宋体" w:hAnsi="宋体" w:cs="宋体"/>
                      <w:color w:val="000000"/>
                      <w:kern w:val="0"/>
                      <w:sz w:val="24"/>
                    </w:rPr>
                    <w:t>标</w:t>
                  </w:r>
                </w:p>
              </w:tc>
              <w:tc>
                <w:tcPr>
                  <w:tcW w:w="331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10C8F">
                  <w:pPr>
                    <w:widowControl/>
                    <w:jc w:val="center"/>
                    <w:textAlignment w:val="center"/>
                    <w:rPr>
                      <w:rFonts w:ascii="宋体" w:hAnsi="宋体" w:cs="宋体"/>
                      <w:color w:val="000000"/>
                      <w:sz w:val="24"/>
                    </w:rPr>
                  </w:pPr>
                  <w:r>
                    <w:rPr>
                      <w:rFonts w:hint="eastAsia" w:ascii="宋体" w:hAnsi="宋体" w:cs="宋体"/>
                      <w:color w:val="000000"/>
                      <w:kern w:val="0"/>
                      <w:sz w:val="24"/>
                    </w:rPr>
                    <w:t>年度设定目标</w:t>
                  </w:r>
                </w:p>
              </w:tc>
              <w:tc>
                <w:tcPr>
                  <w:tcW w:w="46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1B6AF3">
                  <w:pPr>
                    <w:widowControl/>
                    <w:jc w:val="center"/>
                    <w:textAlignment w:val="center"/>
                    <w:rPr>
                      <w:rFonts w:ascii="宋体" w:hAnsi="宋体" w:cs="宋体"/>
                      <w:color w:val="000000"/>
                      <w:sz w:val="24"/>
                    </w:rPr>
                  </w:pPr>
                  <w:r>
                    <w:rPr>
                      <w:rFonts w:hint="eastAsia" w:ascii="宋体" w:hAnsi="宋体" w:cs="宋体"/>
                      <w:color w:val="000000"/>
                      <w:kern w:val="0"/>
                      <w:sz w:val="24"/>
                    </w:rPr>
                    <w:t>实际完成情况</w:t>
                  </w:r>
                </w:p>
              </w:tc>
            </w:tr>
            <w:tr w14:paraId="4DD20200">
              <w:tblPrEx>
                <w:tblCellMar>
                  <w:top w:w="0" w:type="dxa"/>
                  <w:left w:w="0" w:type="dxa"/>
                  <w:bottom w:w="0" w:type="dxa"/>
                  <w:right w:w="0" w:type="dxa"/>
                </w:tblCellMar>
              </w:tblPrEx>
              <w:trPr>
                <w:trHeight w:val="1308" w:hRule="atLeast"/>
              </w:trPr>
              <w:tc>
                <w:tcPr>
                  <w:tcW w:w="3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FEBFB5">
                  <w:pPr>
                    <w:jc w:val="center"/>
                    <w:rPr>
                      <w:rFonts w:ascii="宋体" w:hAnsi="宋体" w:cs="宋体"/>
                      <w:color w:val="000000"/>
                      <w:sz w:val="24"/>
                    </w:rPr>
                  </w:pPr>
                </w:p>
              </w:tc>
              <w:tc>
                <w:tcPr>
                  <w:tcW w:w="331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14:paraId="340A3508">
                  <w:pPr>
                    <w:widowControl/>
                    <w:jc w:val="center"/>
                    <w:textAlignment w:val="top"/>
                    <w:rPr>
                      <w:rFonts w:ascii="宋体" w:hAnsi="宋体" w:cs="宋体"/>
                      <w:color w:val="000000"/>
                      <w:sz w:val="24"/>
                    </w:rPr>
                  </w:pPr>
                  <w:r>
                    <w:rPr>
                      <w:rFonts w:hint="eastAsia" w:ascii="宋体" w:hAnsi="宋体" w:cs="宋体"/>
                      <w:color w:val="000000"/>
                      <w:kern w:val="0"/>
                      <w:sz w:val="24"/>
                    </w:rPr>
                    <w:t>保障必要的人民调解专项经费，确保人民调解工作正常开展，充分发挥人民调解在促进社会和谐稳定中的重要作用。</w:t>
                  </w:r>
                </w:p>
              </w:tc>
              <w:tc>
                <w:tcPr>
                  <w:tcW w:w="46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14:paraId="0329A7D3">
                  <w:pPr>
                    <w:widowControl/>
                    <w:jc w:val="center"/>
                    <w:textAlignment w:val="top"/>
                    <w:rPr>
                      <w:rFonts w:ascii="宋体" w:hAnsi="宋体" w:cs="宋体"/>
                      <w:color w:val="000000"/>
                      <w:sz w:val="24"/>
                    </w:rPr>
                  </w:pPr>
                  <w:r>
                    <w:rPr>
                      <w:rFonts w:hint="eastAsia" w:ascii="宋体" w:hAnsi="宋体" w:cs="宋体"/>
                      <w:color w:val="000000"/>
                      <w:kern w:val="0"/>
                      <w:sz w:val="24"/>
                    </w:rPr>
                    <w:t>保障必要的人民调解专项经费，确保人民调解工作正常开展，充分发挥人民调解在促进社会和谐稳定中的重要作用。</w:t>
                  </w:r>
                </w:p>
              </w:tc>
            </w:tr>
            <w:tr w14:paraId="046893D7">
              <w:tblPrEx>
                <w:tblCellMar>
                  <w:top w:w="0" w:type="dxa"/>
                  <w:left w:w="0" w:type="dxa"/>
                  <w:bottom w:w="0" w:type="dxa"/>
                  <w:right w:w="0" w:type="dxa"/>
                </w:tblCellMar>
              </w:tblPrEx>
              <w:trPr>
                <w:trHeight w:val="570" w:hRule="atLeast"/>
              </w:trPr>
              <w:tc>
                <w:tcPr>
                  <w:tcW w:w="36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498B89">
                  <w:pPr>
                    <w:widowControl/>
                    <w:jc w:val="center"/>
                    <w:textAlignment w:val="center"/>
                    <w:rPr>
                      <w:rFonts w:ascii="宋体" w:hAnsi="宋体" w:cs="宋体"/>
                      <w:color w:val="000000"/>
                      <w:sz w:val="24"/>
                    </w:rPr>
                  </w:pPr>
                  <w:r>
                    <w:rPr>
                      <w:rFonts w:hint="eastAsia" w:ascii="宋体" w:hAnsi="宋体" w:cs="宋体"/>
                      <w:color w:val="000000"/>
                      <w:kern w:val="0"/>
                      <w:sz w:val="24"/>
                    </w:rPr>
                    <w:t>绩</w:t>
                  </w:r>
                  <w:r>
                    <w:rPr>
                      <w:rFonts w:hint="eastAsia" w:ascii="宋体" w:hAnsi="宋体" w:cs="宋体"/>
                      <w:color w:val="000000"/>
                      <w:kern w:val="0"/>
                      <w:sz w:val="24"/>
                    </w:rPr>
                    <w:br w:type="textWrapping"/>
                  </w:r>
                  <w:r>
                    <w:rPr>
                      <w:rFonts w:hint="eastAsia" w:ascii="宋体" w:hAnsi="宋体" w:cs="宋体"/>
                      <w:color w:val="000000"/>
                      <w:kern w:val="0"/>
                      <w:sz w:val="24"/>
                    </w:rPr>
                    <w:t>效</w:t>
                  </w:r>
                  <w:r>
                    <w:rPr>
                      <w:rFonts w:hint="eastAsia" w:ascii="宋体" w:hAnsi="宋体" w:cs="宋体"/>
                      <w:color w:val="000000"/>
                      <w:kern w:val="0"/>
                      <w:sz w:val="24"/>
                    </w:rPr>
                    <w:br w:type="textWrapping"/>
                  </w:r>
                  <w:r>
                    <w:rPr>
                      <w:rFonts w:hint="eastAsia" w:ascii="宋体" w:hAnsi="宋体" w:cs="宋体"/>
                      <w:color w:val="000000"/>
                      <w:kern w:val="0"/>
                      <w:sz w:val="24"/>
                    </w:rPr>
                    <w:t>指</w:t>
                  </w:r>
                  <w:r>
                    <w:rPr>
                      <w:rFonts w:hint="eastAsia" w:ascii="宋体" w:hAnsi="宋体" w:cs="宋体"/>
                      <w:color w:val="000000"/>
                      <w:kern w:val="0"/>
                      <w:sz w:val="24"/>
                    </w:rPr>
                    <w:br w:type="textWrapping"/>
                  </w:r>
                  <w:r>
                    <w:rPr>
                      <w:rFonts w:hint="eastAsia" w:ascii="宋体" w:hAnsi="宋体" w:cs="宋体"/>
                      <w:color w:val="000000"/>
                      <w:kern w:val="0"/>
                      <w:sz w:val="24"/>
                    </w:rPr>
                    <w:t>标</w:t>
                  </w:r>
                </w:p>
              </w:tc>
              <w:tc>
                <w:tcPr>
                  <w:tcW w:w="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207769">
                  <w:pPr>
                    <w:widowControl/>
                    <w:jc w:val="center"/>
                    <w:textAlignment w:val="center"/>
                    <w:rPr>
                      <w:rFonts w:ascii="宋体" w:hAnsi="宋体" w:cs="宋体"/>
                      <w:color w:val="000000"/>
                      <w:sz w:val="24"/>
                    </w:rPr>
                  </w:pPr>
                  <w:r>
                    <w:rPr>
                      <w:rFonts w:hint="eastAsia" w:ascii="宋体" w:hAnsi="宋体" w:cs="宋体"/>
                      <w:color w:val="000000"/>
                      <w:kern w:val="0"/>
                      <w:sz w:val="24"/>
                    </w:rPr>
                    <w:t>一级</w:t>
                  </w:r>
                  <w:r>
                    <w:rPr>
                      <w:rFonts w:hint="eastAsia" w:ascii="宋体" w:hAnsi="宋体" w:cs="宋体"/>
                      <w:color w:val="000000"/>
                      <w:kern w:val="0"/>
                      <w:sz w:val="24"/>
                    </w:rPr>
                    <w:br w:type="textWrapping"/>
                  </w:r>
                  <w:r>
                    <w:rPr>
                      <w:rFonts w:hint="eastAsia" w:ascii="宋体" w:hAnsi="宋体" w:cs="宋体"/>
                      <w:color w:val="000000"/>
                      <w:kern w:val="0"/>
                      <w:sz w:val="24"/>
                    </w:rPr>
                    <w:t>指标</w:t>
                  </w: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2B14A6">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FF2DF4">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77715">
                  <w:pPr>
                    <w:widowControl/>
                    <w:jc w:val="center"/>
                    <w:textAlignment w:val="center"/>
                    <w:rPr>
                      <w:rFonts w:ascii="宋体" w:hAnsi="宋体" w:cs="宋体"/>
                      <w:color w:val="000000"/>
                      <w:sz w:val="24"/>
                    </w:rPr>
                  </w:pPr>
                  <w:r>
                    <w:rPr>
                      <w:rFonts w:hint="eastAsia" w:ascii="宋体" w:hAnsi="宋体" w:cs="宋体"/>
                      <w:color w:val="000000"/>
                      <w:kern w:val="0"/>
                      <w:sz w:val="24"/>
                    </w:rPr>
                    <w:t>年度指标值</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B0643B">
                  <w:pPr>
                    <w:widowControl/>
                    <w:jc w:val="center"/>
                    <w:textAlignment w:val="center"/>
                    <w:rPr>
                      <w:rFonts w:ascii="宋体" w:hAns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2A50D1">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1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DDB7DF">
                  <w:pPr>
                    <w:widowControl/>
                    <w:jc w:val="left"/>
                    <w:textAlignment w:val="center"/>
                    <w:rPr>
                      <w:rFonts w:ascii="宋体" w:hAnsi="宋体" w:cs="宋体"/>
                      <w:color w:val="000000"/>
                      <w:sz w:val="24"/>
                    </w:rPr>
                  </w:pPr>
                </w:p>
              </w:tc>
            </w:tr>
            <w:tr w14:paraId="5360740B">
              <w:tblPrEx>
                <w:tblCellMar>
                  <w:top w:w="0" w:type="dxa"/>
                  <w:left w:w="0" w:type="dxa"/>
                  <w:bottom w:w="0" w:type="dxa"/>
                  <w:right w:w="0" w:type="dxa"/>
                </w:tblCellMar>
              </w:tblPrEx>
              <w:trPr>
                <w:trHeight w:val="435" w:hRule="atLeast"/>
              </w:trPr>
              <w:tc>
                <w:tcPr>
                  <w:tcW w:w="3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4C2DB3">
                  <w:pPr>
                    <w:jc w:val="center"/>
                    <w:rPr>
                      <w:rFonts w:ascii="宋体" w:hAnsi="宋体" w:cs="宋体"/>
                      <w:color w:val="000000"/>
                      <w:sz w:val="24"/>
                    </w:rPr>
                  </w:pP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33C9AF">
                  <w:pPr>
                    <w:widowControl/>
                    <w:jc w:val="center"/>
                    <w:textAlignment w:val="center"/>
                    <w:rPr>
                      <w:rFonts w:ascii="宋体" w:hAnsi="宋体" w:cs="宋体"/>
                      <w:color w:val="000000"/>
                      <w:sz w:val="24"/>
                    </w:rPr>
                  </w:pPr>
                  <w:r>
                    <w:rPr>
                      <w:rFonts w:hint="eastAsia" w:ascii="宋体" w:hAnsi="宋体" w:cs="宋体"/>
                      <w:color w:val="000000"/>
                      <w:kern w:val="0"/>
                      <w:sz w:val="24"/>
                    </w:rPr>
                    <w:t>项目完成</w:t>
                  </w:r>
                </w:p>
              </w:tc>
              <w:tc>
                <w:tcPr>
                  <w:tcW w:w="9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FE8E8">
                  <w:pPr>
                    <w:widowControl/>
                    <w:jc w:val="center"/>
                    <w:textAlignment w:val="center"/>
                    <w:rPr>
                      <w:rFonts w:ascii="宋体" w:hAnsi="宋体" w:cs="宋体"/>
                      <w:color w:val="000000"/>
                      <w:sz w:val="24"/>
                    </w:rPr>
                  </w:pPr>
                  <w:r>
                    <w:rPr>
                      <w:rFonts w:hint="eastAsia" w:ascii="宋体" w:hAnsi="宋体" w:cs="宋体"/>
                      <w:color w:val="000000"/>
                      <w:kern w:val="0"/>
                      <w:sz w:val="24"/>
                    </w:rPr>
                    <w:t>数量指标</w:t>
                  </w: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E28049">
                  <w:pPr>
                    <w:widowControl/>
                    <w:jc w:val="left"/>
                    <w:textAlignment w:val="center"/>
                    <w:rPr>
                      <w:rFonts w:ascii="宋体" w:hAnsi="宋体" w:cs="宋体"/>
                      <w:color w:val="000000"/>
                      <w:sz w:val="24"/>
                    </w:rPr>
                  </w:pPr>
                  <w:r>
                    <w:rPr>
                      <w:rFonts w:hint="eastAsia" w:ascii="宋体" w:hAnsi="宋体" w:cs="宋体"/>
                      <w:color w:val="000000"/>
                      <w:kern w:val="0"/>
                      <w:sz w:val="24"/>
                    </w:rPr>
                    <w:t>专业调委会调解纠纷伤案件数</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663068">
                  <w:pPr>
                    <w:widowControl/>
                    <w:jc w:val="left"/>
                    <w:textAlignment w:val="center"/>
                    <w:rPr>
                      <w:rFonts w:ascii="宋体" w:hAnsi="宋体" w:cs="宋体"/>
                      <w:color w:val="000000"/>
                      <w:sz w:val="24"/>
                    </w:rPr>
                  </w:pPr>
                  <w:r>
                    <w:rPr>
                      <w:rFonts w:hint="eastAsia" w:ascii="宋体" w:hAnsi="宋体" w:cs="宋体"/>
                      <w:color w:val="000000"/>
                      <w:kern w:val="0"/>
                      <w:sz w:val="24"/>
                    </w:rPr>
                    <w:t>491件</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230604">
                  <w:pPr>
                    <w:widowControl/>
                    <w:jc w:val="left"/>
                    <w:textAlignment w:val="center"/>
                    <w:rPr>
                      <w:rFonts w:ascii="宋体" w:hAnsi="宋体" w:cs="宋体"/>
                      <w:color w:val="000000"/>
                      <w:sz w:val="24"/>
                    </w:rPr>
                  </w:pPr>
                  <w:r>
                    <w:rPr>
                      <w:rFonts w:hint="eastAsia" w:ascii="宋体" w:hAnsi="宋体" w:cs="宋体"/>
                      <w:color w:val="000000"/>
                      <w:kern w:val="0"/>
                      <w:sz w:val="24"/>
                    </w:rPr>
                    <w:t>491件</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1EED30">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15A713">
                  <w:pPr>
                    <w:rPr>
                      <w:rFonts w:ascii="宋体" w:hAnsi="宋体" w:cs="宋体"/>
                      <w:color w:val="000000"/>
                      <w:sz w:val="24"/>
                    </w:rPr>
                  </w:pPr>
                </w:p>
              </w:tc>
            </w:tr>
            <w:tr w14:paraId="00083CD2">
              <w:tblPrEx>
                <w:tblCellMar>
                  <w:top w:w="0" w:type="dxa"/>
                  <w:left w:w="0" w:type="dxa"/>
                  <w:bottom w:w="0" w:type="dxa"/>
                  <w:right w:w="0" w:type="dxa"/>
                </w:tblCellMar>
              </w:tblPrEx>
              <w:trPr>
                <w:trHeight w:val="435" w:hRule="atLeast"/>
              </w:trPr>
              <w:tc>
                <w:tcPr>
                  <w:tcW w:w="3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D38F2">
                  <w:pPr>
                    <w:jc w:val="center"/>
                    <w:rPr>
                      <w:rFonts w:ascii="宋体" w:hAnsi="宋体" w:cs="宋体"/>
                      <w:color w:val="000000"/>
                      <w:sz w:val="24"/>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7D22E3">
                  <w:pPr>
                    <w:jc w:val="center"/>
                    <w:rPr>
                      <w:rFonts w:ascii="宋体" w:hAnsi="宋体" w:cs="宋体"/>
                      <w:color w:val="000000"/>
                      <w:sz w:val="24"/>
                    </w:rPr>
                  </w:pPr>
                </w:p>
              </w:tc>
              <w:tc>
                <w:tcPr>
                  <w:tcW w:w="9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0AF62E">
                  <w:pPr>
                    <w:jc w:val="center"/>
                    <w:rPr>
                      <w:rFonts w:ascii="宋体" w:hAnsi="宋体" w:cs="宋体"/>
                      <w:color w:val="000000"/>
                      <w:sz w:val="24"/>
                    </w:rPr>
                  </w:pP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4BDF3E">
                  <w:pPr>
                    <w:widowControl/>
                    <w:jc w:val="left"/>
                    <w:textAlignment w:val="center"/>
                    <w:rPr>
                      <w:rFonts w:ascii="宋体" w:hAnsi="宋体" w:cs="宋体"/>
                      <w:color w:val="000000"/>
                      <w:sz w:val="24"/>
                    </w:rPr>
                  </w:pPr>
                  <w:r>
                    <w:rPr>
                      <w:rFonts w:hint="eastAsia" w:ascii="宋体" w:hAnsi="宋体" w:cs="宋体"/>
                      <w:color w:val="000000"/>
                      <w:kern w:val="0"/>
                      <w:sz w:val="24"/>
                    </w:rPr>
                    <w:t>组织人民调解员培训次数</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874781">
                  <w:pPr>
                    <w:widowControl/>
                    <w:jc w:val="left"/>
                    <w:textAlignment w:val="center"/>
                    <w:rPr>
                      <w:rFonts w:ascii="宋体" w:hAnsi="宋体" w:cs="宋体"/>
                      <w:color w:val="000000"/>
                      <w:sz w:val="24"/>
                    </w:rPr>
                  </w:pPr>
                  <w:r>
                    <w:rPr>
                      <w:rFonts w:hint="eastAsia" w:ascii="宋体" w:hAnsi="宋体" w:cs="宋体"/>
                      <w:color w:val="000000"/>
                      <w:kern w:val="0"/>
                      <w:sz w:val="24"/>
                    </w:rPr>
                    <w:t>20余场次</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6EE7A">
                  <w:pPr>
                    <w:widowControl/>
                    <w:jc w:val="left"/>
                    <w:textAlignment w:val="center"/>
                    <w:rPr>
                      <w:rFonts w:ascii="宋体" w:hAnsi="宋体" w:cs="宋体"/>
                      <w:color w:val="000000"/>
                      <w:sz w:val="24"/>
                    </w:rPr>
                  </w:pPr>
                  <w:r>
                    <w:rPr>
                      <w:rFonts w:hint="eastAsia" w:ascii="宋体" w:hAnsi="宋体" w:cs="宋体"/>
                      <w:color w:val="000000"/>
                      <w:kern w:val="0"/>
                      <w:sz w:val="24"/>
                    </w:rPr>
                    <w:t>20余场次</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6CD5E">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1C4C83">
                  <w:pPr>
                    <w:rPr>
                      <w:rFonts w:ascii="宋体" w:hAnsi="宋体" w:cs="宋体"/>
                      <w:color w:val="000000"/>
                      <w:sz w:val="24"/>
                    </w:rPr>
                  </w:pPr>
                </w:p>
              </w:tc>
            </w:tr>
            <w:tr w14:paraId="39D1E0D3">
              <w:tblPrEx>
                <w:tblCellMar>
                  <w:top w:w="0" w:type="dxa"/>
                  <w:left w:w="0" w:type="dxa"/>
                  <w:bottom w:w="0" w:type="dxa"/>
                  <w:right w:w="0" w:type="dxa"/>
                </w:tblCellMar>
              </w:tblPrEx>
              <w:trPr>
                <w:trHeight w:val="720" w:hRule="atLeast"/>
              </w:trPr>
              <w:tc>
                <w:tcPr>
                  <w:tcW w:w="3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F27198">
                  <w:pPr>
                    <w:jc w:val="center"/>
                    <w:rPr>
                      <w:rFonts w:ascii="宋体" w:hAnsi="宋体" w:cs="宋体"/>
                      <w:color w:val="000000"/>
                      <w:sz w:val="24"/>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3A717">
                  <w:pPr>
                    <w:jc w:val="center"/>
                    <w:rPr>
                      <w:rFonts w:ascii="宋体" w:hAnsi="宋体" w:cs="宋体"/>
                      <w:color w:val="000000"/>
                      <w:sz w:val="24"/>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EF11A4">
                  <w:pPr>
                    <w:widowControl/>
                    <w:jc w:val="center"/>
                    <w:textAlignment w:val="center"/>
                    <w:rPr>
                      <w:rFonts w:ascii="宋体" w:hAnsi="宋体" w:cs="宋体"/>
                      <w:color w:val="000000"/>
                      <w:sz w:val="24"/>
                    </w:rPr>
                  </w:pPr>
                  <w:r>
                    <w:rPr>
                      <w:rFonts w:hint="eastAsia" w:ascii="宋体" w:hAnsi="宋体" w:cs="宋体"/>
                      <w:color w:val="000000"/>
                      <w:kern w:val="0"/>
                      <w:sz w:val="24"/>
                    </w:rPr>
                    <w:t>质量指标</w:t>
                  </w: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7DCF61">
                  <w:pPr>
                    <w:widowControl/>
                    <w:jc w:val="left"/>
                    <w:textAlignment w:val="center"/>
                    <w:rPr>
                      <w:rFonts w:ascii="宋体" w:hAnsi="宋体" w:cs="宋体"/>
                      <w:color w:val="000000"/>
                      <w:sz w:val="24"/>
                    </w:rPr>
                  </w:pPr>
                  <w:r>
                    <w:rPr>
                      <w:rFonts w:hint="eastAsia" w:ascii="宋体" w:hAnsi="宋体" w:cs="宋体"/>
                      <w:color w:val="000000"/>
                      <w:kern w:val="0"/>
                      <w:sz w:val="24"/>
                    </w:rPr>
                    <w:t>及时参与矛盾纠纷调解及信访维稳工作，开展矛盾纠纷排查</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50C324">
                  <w:pPr>
                    <w:widowControl/>
                    <w:jc w:val="left"/>
                    <w:textAlignment w:val="center"/>
                    <w:rPr>
                      <w:rFonts w:ascii="宋体" w:hAnsi="宋体" w:cs="宋体"/>
                      <w:color w:val="000000"/>
                      <w:sz w:val="24"/>
                    </w:rPr>
                  </w:pPr>
                  <w:r>
                    <w:rPr>
                      <w:rFonts w:hint="eastAsia" w:ascii="宋体" w:hAnsi="宋体" w:cs="宋体"/>
                      <w:color w:val="000000"/>
                      <w:kern w:val="0"/>
                      <w:sz w:val="24"/>
                    </w:rPr>
                    <w:t>参与并成功调解矛盾纠纷</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C11F42">
                  <w:pPr>
                    <w:widowControl/>
                    <w:jc w:val="left"/>
                    <w:textAlignment w:val="center"/>
                    <w:rPr>
                      <w:rFonts w:ascii="宋体" w:hAnsi="宋体" w:cs="宋体"/>
                      <w:color w:val="000000"/>
                      <w:sz w:val="24"/>
                    </w:rPr>
                  </w:pPr>
                  <w:r>
                    <w:rPr>
                      <w:rFonts w:hint="eastAsia" w:ascii="宋体" w:hAnsi="宋体" w:cs="宋体"/>
                      <w:color w:val="000000"/>
                      <w:kern w:val="0"/>
                      <w:sz w:val="24"/>
                    </w:rPr>
                    <w:t>顺利完成2021年人民调解工作</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6B2DA9">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8E3DFD">
                  <w:pPr>
                    <w:rPr>
                      <w:rFonts w:ascii="宋体" w:hAnsi="宋体" w:cs="宋体"/>
                      <w:color w:val="000000"/>
                      <w:sz w:val="24"/>
                    </w:rPr>
                  </w:pPr>
                </w:p>
              </w:tc>
            </w:tr>
            <w:tr w14:paraId="37566607">
              <w:tblPrEx>
                <w:tblCellMar>
                  <w:top w:w="0" w:type="dxa"/>
                  <w:left w:w="0" w:type="dxa"/>
                  <w:bottom w:w="0" w:type="dxa"/>
                  <w:right w:w="0" w:type="dxa"/>
                </w:tblCellMar>
              </w:tblPrEx>
              <w:trPr>
                <w:trHeight w:val="720" w:hRule="atLeast"/>
              </w:trPr>
              <w:tc>
                <w:tcPr>
                  <w:tcW w:w="3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09CF4C">
                  <w:pPr>
                    <w:jc w:val="center"/>
                    <w:rPr>
                      <w:rFonts w:ascii="宋体" w:hAnsi="宋体" w:cs="宋体"/>
                      <w:color w:val="000000"/>
                      <w:sz w:val="24"/>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50192E">
                  <w:pPr>
                    <w:jc w:val="center"/>
                    <w:rPr>
                      <w:rFonts w:ascii="宋体" w:hAnsi="宋体" w:cs="宋体"/>
                      <w:color w:val="000000"/>
                      <w:sz w:val="24"/>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71ABE7">
                  <w:pPr>
                    <w:widowControl/>
                    <w:jc w:val="center"/>
                    <w:textAlignment w:val="center"/>
                    <w:rPr>
                      <w:rFonts w:ascii="宋体" w:hAnsi="宋体" w:cs="宋体"/>
                      <w:color w:val="000000"/>
                      <w:sz w:val="24"/>
                    </w:rPr>
                  </w:pPr>
                  <w:r>
                    <w:rPr>
                      <w:rFonts w:hint="eastAsia" w:ascii="宋体" w:hAnsi="宋体" w:cs="宋体"/>
                      <w:color w:val="000000"/>
                      <w:kern w:val="0"/>
                      <w:sz w:val="24"/>
                    </w:rPr>
                    <w:t>时效指标</w:t>
                  </w: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CB507">
                  <w:pPr>
                    <w:widowControl/>
                    <w:jc w:val="left"/>
                    <w:textAlignment w:val="center"/>
                    <w:rPr>
                      <w:rFonts w:ascii="宋体" w:hAnsi="宋体" w:cs="宋体"/>
                      <w:color w:val="000000"/>
                      <w:sz w:val="24"/>
                    </w:rPr>
                  </w:pPr>
                  <w:r>
                    <w:rPr>
                      <w:rFonts w:hint="eastAsia" w:ascii="宋体" w:hAnsi="宋体" w:cs="宋体"/>
                      <w:color w:val="000000"/>
                      <w:kern w:val="0"/>
                      <w:sz w:val="24"/>
                    </w:rPr>
                    <w:t>按工作计划推进</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6400E">
                  <w:pPr>
                    <w:widowControl/>
                    <w:jc w:val="left"/>
                    <w:textAlignment w:val="center"/>
                    <w:rPr>
                      <w:rFonts w:ascii="宋体" w:hAnsi="宋体" w:cs="宋体"/>
                      <w:color w:val="000000"/>
                      <w:sz w:val="24"/>
                    </w:rPr>
                  </w:pPr>
                  <w:r>
                    <w:rPr>
                      <w:rFonts w:hint="eastAsia" w:ascii="宋体" w:hAnsi="宋体" w:cs="宋体"/>
                      <w:color w:val="000000"/>
                      <w:kern w:val="0"/>
                      <w:sz w:val="24"/>
                    </w:rPr>
                    <w:t>2021年全年</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7BDB3B">
                  <w:pPr>
                    <w:widowControl/>
                    <w:jc w:val="left"/>
                    <w:textAlignment w:val="center"/>
                    <w:rPr>
                      <w:rFonts w:ascii="宋体" w:hAnsi="宋体" w:cs="宋体"/>
                      <w:color w:val="000000"/>
                      <w:sz w:val="24"/>
                    </w:rPr>
                  </w:pPr>
                  <w:r>
                    <w:rPr>
                      <w:rFonts w:hint="eastAsia" w:ascii="宋体" w:hAnsi="宋体" w:cs="宋体"/>
                      <w:color w:val="000000"/>
                      <w:kern w:val="0"/>
                      <w:sz w:val="24"/>
                    </w:rPr>
                    <w:t>顺利完成2021年人民调解工作</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F5E5CF">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125D4C">
                  <w:pPr>
                    <w:rPr>
                      <w:rFonts w:ascii="宋体" w:hAnsi="宋体" w:cs="宋体"/>
                      <w:color w:val="000000"/>
                      <w:sz w:val="24"/>
                    </w:rPr>
                  </w:pPr>
                </w:p>
              </w:tc>
            </w:tr>
            <w:tr w14:paraId="62E2CDB1">
              <w:tblPrEx>
                <w:tblCellMar>
                  <w:top w:w="0" w:type="dxa"/>
                  <w:left w:w="0" w:type="dxa"/>
                  <w:bottom w:w="0" w:type="dxa"/>
                  <w:right w:w="0" w:type="dxa"/>
                </w:tblCellMar>
              </w:tblPrEx>
              <w:trPr>
                <w:trHeight w:val="435" w:hRule="atLeast"/>
              </w:trPr>
              <w:tc>
                <w:tcPr>
                  <w:tcW w:w="3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E3B15F">
                  <w:pPr>
                    <w:jc w:val="center"/>
                    <w:rPr>
                      <w:rFonts w:ascii="宋体" w:hAnsi="宋体" w:cs="宋体"/>
                      <w:color w:val="000000"/>
                      <w:sz w:val="24"/>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9B19CD">
                  <w:pPr>
                    <w:jc w:val="center"/>
                    <w:rPr>
                      <w:rFonts w:ascii="宋体" w:hAnsi="宋体" w:cs="宋体"/>
                      <w:color w:val="000000"/>
                      <w:sz w:val="24"/>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59FBE8">
                  <w:pPr>
                    <w:widowControl/>
                    <w:jc w:val="center"/>
                    <w:textAlignment w:val="center"/>
                    <w:rPr>
                      <w:rFonts w:ascii="宋体" w:hAnsi="宋体" w:cs="宋体"/>
                      <w:color w:val="000000"/>
                      <w:sz w:val="24"/>
                    </w:rPr>
                  </w:pPr>
                  <w:r>
                    <w:rPr>
                      <w:rFonts w:hint="eastAsia" w:ascii="宋体" w:hAnsi="宋体" w:cs="宋体"/>
                      <w:color w:val="000000"/>
                      <w:kern w:val="0"/>
                      <w:sz w:val="24"/>
                    </w:rPr>
                    <w:t>成本指标</w:t>
                  </w: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8FFDC7">
                  <w:pPr>
                    <w:widowControl/>
                    <w:jc w:val="left"/>
                    <w:textAlignment w:val="center"/>
                    <w:rPr>
                      <w:rFonts w:ascii="宋体" w:hAnsi="宋体" w:cs="宋体"/>
                      <w:color w:val="000000"/>
                      <w:sz w:val="24"/>
                    </w:rPr>
                  </w:pPr>
                  <w:r>
                    <w:rPr>
                      <w:rFonts w:hint="eastAsia" w:ascii="宋体" w:hAnsi="宋体" w:cs="宋体"/>
                      <w:color w:val="000000"/>
                      <w:kern w:val="0"/>
                      <w:sz w:val="24"/>
                    </w:rPr>
                    <w:t>人民调解专项经费</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39099F">
                  <w:pPr>
                    <w:widowControl/>
                    <w:jc w:val="left"/>
                    <w:textAlignment w:val="center"/>
                    <w:rPr>
                      <w:rFonts w:ascii="宋体" w:hAnsi="宋体" w:cs="宋体"/>
                      <w:color w:val="000000"/>
                      <w:sz w:val="24"/>
                    </w:rPr>
                  </w:pPr>
                  <w:r>
                    <w:rPr>
                      <w:rFonts w:hint="eastAsia" w:ascii="宋体" w:hAnsi="宋体" w:cs="宋体"/>
                      <w:color w:val="000000"/>
                      <w:kern w:val="0"/>
                      <w:sz w:val="24"/>
                    </w:rPr>
                    <w:t>18.93万元</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CBB98A">
                  <w:pPr>
                    <w:widowControl/>
                    <w:jc w:val="left"/>
                    <w:textAlignment w:val="center"/>
                    <w:rPr>
                      <w:rFonts w:ascii="宋体" w:hAnsi="宋体" w:cs="宋体"/>
                      <w:color w:val="000000"/>
                      <w:sz w:val="24"/>
                    </w:rPr>
                  </w:pPr>
                  <w:r>
                    <w:rPr>
                      <w:rFonts w:hint="eastAsia" w:ascii="宋体" w:hAnsi="宋体" w:cs="宋体"/>
                      <w:color w:val="000000"/>
                      <w:kern w:val="0"/>
                      <w:sz w:val="24"/>
                    </w:rPr>
                    <w:t>18.93万元</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8AC6FB">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92EBB2">
                  <w:pPr>
                    <w:rPr>
                      <w:rFonts w:ascii="宋体" w:hAnsi="宋体" w:cs="宋体"/>
                      <w:color w:val="000000"/>
                      <w:sz w:val="24"/>
                    </w:rPr>
                  </w:pPr>
                </w:p>
              </w:tc>
            </w:tr>
            <w:tr w14:paraId="24FCCAF5">
              <w:tblPrEx>
                <w:tblCellMar>
                  <w:top w:w="0" w:type="dxa"/>
                  <w:left w:w="0" w:type="dxa"/>
                  <w:bottom w:w="0" w:type="dxa"/>
                  <w:right w:w="0" w:type="dxa"/>
                </w:tblCellMar>
              </w:tblPrEx>
              <w:trPr>
                <w:trHeight w:val="1995" w:hRule="atLeast"/>
              </w:trPr>
              <w:tc>
                <w:tcPr>
                  <w:tcW w:w="3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32FB6B">
                  <w:pPr>
                    <w:jc w:val="center"/>
                    <w:rPr>
                      <w:rFonts w:ascii="宋体" w:hAnsi="宋体" w:cs="宋体"/>
                      <w:color w:val="000000"/>
                      <w:sz w:val="24"/>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3A762A">
                  <w:pPr>
                    <w:jc w:val="center"/>
                    <w:rPr>
                      <w:rFonts w:ascii="宋体" w:hAnsi="宋体" w:cs="宋体"/>
                      <w:color w:val="000000"/>
                      <w:sz w:val="24"/>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C606C">
                  <w:pPr>
                    <w:widowControl/>
                    <w:jc w:val="center"/>
                    <w:textAlignment w:val="center"/>
                    <w:rPr>
                      <w:rFonts w:ascii="宋体" w:hAnsi="宋体" w:cs="宋体"/>
                      <w:color w:val="000000"/>
                      <w:sz w:val="24"/>
                    </w:rPr>
                  </w:pPr>
                  <w:r>
                    <w:rPr>
                      <w:rFonts w:hint="eastAsia" w:ascii="宋体" w:hAnsi="宋体" w:cs="宋体"/>
                      <w:color w:val="000000"/>
                      <w:kern w:val="0"/>
                      <w:sz w:val="24"/>
                    </w:rPr>
                    <w:t>社会效益</w:t>
                  </w:r>
                  <w:r>
                    <w:rPr>
                      <w:rFonts w:hint="eastAsia" w:ascii="宋体" w:hAnsi="宋体" w:cs="宋体"/>
                      <w:color w:val="000000"/>
                      <w:kern w:val="0"/>
                      <w:sz w:val="24"/>
                    </w:rPr>
                    <w:br w:type="textWrapping"/>
                  </w:r>
                  <w:r>
                    <w:rPr>
                      <w:rFonts w:hint="eastAsia" w:ascii="宋体" w:hAnsi="宋体" w:cs="宋体"/>
                      <w:color w:val="000000"/>
                      <w:kern w:val="0"/>
                      <w:sz w:val="24"/>
                    </w:rPr>
                    <w:t>指标</w:t>
                  </w:r>
                </w:p>
              </w:tc>
              <w:tc>
                <w:tcPr>
                  <w:tcW w:w="18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EDEEEC">
                  <w:pPr>
                    <w:widowControl/>
                    <w:textAlignment w:val="center"/>
                    <w:rPr>
                      <w:rFonts w:ascii="宋体" w:hAnsi="宋体" w:cs="宋体"/>
                      <w:color w:val="000000"/>
                      <w:sz w:val="24"/>
                    </w:rPr>
                  </w:pPr>
                  <w:r>
                    <w:rPr>
                      <w:rFonts w:hint="eastAsia" w:ascii="宋体" w:hAnsi="宋体" w:cs="宋体"/>
                      <w:color w:val="000000"/>
                      <w:kern w:val="0"/>
                      <w:sz w:val="24"/>
                    </w:rPr>
                    <w:t>人民调解专项经费的落实，确保人民调解工作正常开展，充分发挥人民调解员的作用，有效促进社会和谐稳定中的重要作用。</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943061">
                  <w:pPr>
                    <w:widowControl/>
                    <w:textAlignment w:val="center"/>
                    <w:rPr>
                      <w:rFonts w:ascii="宋体" w:hAnsi="宋体" w:cs="宋体"/>
                      <w:color w:val="000000"/>
                      <w:sz w:val="24"/>
                    </w:rPr>
                  </w:pPr>
                  <w:r>
                    <w:rPr>
                      <w:rFonts w:hint="eastAsia" w:ascii="宋体" w:hAnsi="宋体" w:cs="宋体"/>
                      <w:color w:val="000000"/>
                      <w:kern w:val="0"/>
                      <w:sz w:val="24"/>
                    </w:rPr>
                    <w:t>人民调解专项经费的落实，确保人民调解工作正常开展，充分发挥人民调解员的作用，有效促进社会和谐稳定中的重要作用。</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BAC5E0">
                  <w:pPr>
                    <w:widowControl/>
                    <w:jc w:val="left"/>
                    <w:textAlignment w:val="center"/>
                    <w:rPr>
                      <w:rFonts w:ascii="宋体" w:hAnsi="宋体" w:cs="宋体"/>
                      <w:color w:val="000000"/>
                      <w:sz w:val="24"/>
                    </w:rPr>
                  </w:pPr>
                  <w:r>
                    <w:rPr>
                      <w:rFonts w:hint="eastAsia" w:ascii="宋体" w:hAnsi="宋体" w:cs="宋体"/>
                      <w:color w:val="000000"/>
                      <w:kern w:val="0"/>
                      <w:sz w:val="24"/>
                    </w:rPr>
                    <w:t>顺利完成2021年人民调解工作</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CE89C0">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97A441">
                  <w:pPr>
                    <w:rPr>
                      <w:rFonts w:ascii="宋体" w:hAnsi="宋体" w:cs="宋体"/>
                      <w:color w:val="000000"/>
                      <w:sz w:val="24"/>
                    </w:rPr>
                  </w:pPr>
                </w:p>
              </w:tc>
            </w:tr>
            <w:tr w14:paraId="1E6E5B9B">
              <w:tblPrEx>
                <w:tblCellMar>
                  <w:top w:w="0" w:type="dxa"/>
                  <w:left w:w="0" w:type="dxa"/>
                  <w:bottom w:w="0" w:type="dxa"/>
                  <w:right w:w="0" w:type="dxa"/>
                </w:tblCellMar>
              </w:tblPrEx>
              <w:trPr>
                <w:trHeight w:val="855" w:hRule="atLeast"/>
              </w:trPr>
              <w:tc>
                <w:tcPr>
                  <w:tcW w:w="36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194BE0">
                  <w:pPr>
                    <w:jc w:val="center"/>
                    <w:rPr>
                      <w:rFonts w:ascii="宋体" w:hAnsi="宋体" w:cs="宋体"/>
                      <w:color w:val="000000"/>
                      <w:sz w:val="24"/>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C4D35C">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E32D77">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8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47F5E1">
                  <w:pPr>
                    <w:widowControl/>
                    <w:jc w:val="left"/>
                    <w:textAlignment w:val="center"/>
                    <w:rPr>
                      <w:rFonts w:ascii="宋体" w:hAnsi="宋体" w:cs="宋体"/>
                      <w:color w:val="000000"/>
                      <w:sz w:val="24"/>
                    </w:rPr>
                  </w:pPr>
                  <w:r>
                    <w:rPr>
                      <w:rFonts w:hint="eastAsia" w:ascii="宋体" w:hAnsi="宋体" w:cs="宋体"/>
                      <w:color w:val="000000"/>
                      <w:kern w:val="0"/>
                      <w:sz w:val="24"/>
                    </w:rPr>
                    <w:t>社会公众满意度</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633702">
                  <w:pPr>
                    <w:widowControl/>
                    <w:jc w:val="left"/>
                    <w:textAlignment w:val="center"/>
                    <w:rPr>
                      <w:rFonts w:ascii="宋体" w:hAnsi="宋体" w:cs="宋体"/>
                      <w:color w:val="000000"/>
                      <w:sz w:val="24"/>
                    </w:rPr>
                  </w:pPr>
                  <w:r>
                    <w:rPr>
                      <w:rFonts w:hint="eastAsia" w:ascii="宋体" w:hAnsi="宋体" w:cs="宋体"/>
                      <w:color w:val="000000"/>
                      <w:kern w:val="0"/>
                      <w:sz w:val="24"/>
                    </w:rPr>
                    <w:t>95%以上</w:t>
                  </w:r>
                </w:p>
              </w:tc>
              <w:tc>
                <w:tcPr>
                  <w:tcW w:w="9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98C136">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043942">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5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876AA">
                  <w:pPr>
                    <w:rPr>
                      <w:rFonts w:ascii="宋体" w:hAnsi="宋体" w:cs="宋体"/>
                      <w:color w:val="000000"/>
                      <w:sz w:val="24"/>
                    </w:rPr>
                  </w:pPr>
                </w:p>
              </w:tc>
            </w:tr>
          </w:tbl>
          <w:p w14:paraId="39A1605D">
            <w:pPr>
              <w:widowControl/>
              <w:jc w:val="center"/>
              <w:textAlignment w:val="center"/>
              <w:rPr>
                <w:rFonts w:ascii="宋体" w:hAnsi="宋体" w:cs="宋体"/>
                <w:b/>
                <w:color w:val="000000"/>
                <w:kern w:val="0"/>
                <w:sz w:val="32"/>
                <w:szCs w:val="32"/>
              </w:rPr>
            </w:pPr>
          </w:p>
          <w:tbl>
            <w:tblPr>
              <w:tblStyle w:val="18"/>
              <w:tblW w:w="8306" w:type="dxa"/>
              <w:tblInd w:w="0" w:type="dxa"/>
              <w:tblLayout w:type="fixed"/>
              <w:tblCellMar>
                <w:top w:w="0" w:type="dxa"/>
                <w:left w:w="0" w:type="dxa"/>
                <w:bottom w:w="0" w:type="dxa"/>
                <w:right w:w="0" w:type="dxa"/>
              </w:tblCellMar>
            </w:tblPr>
            <w:tblGrid>
              <w:gridCol w:w="556"/>
              <w:gridCol w:w="479"/>
              <w:gridCol w:w="479"/>
              <w:gridCol w:w="1410"/>
              <w:gridCol w:w="1602"/>
              <w:gridCol w:w="1602"/>
              <w:gridCol w:w="835"/>
              <w:gridCol w:w="1343"/>
            </w:tblGrid>
            <w:tr w14:paraId="3E722F5E">
              <w:tblPrEx>
                <w:tblCellMar>
                  <w:top w:w="0" w:type="dxa"/>
                  <w:left w:w="0" w:type="dxa"/>
                  <w:bottom w:w="0" w:type="dxa"/>
                  <w:right w:w="0" w:type="dxa"/>
                </w:tblCellMar>
              </w:tblPrEx>
              <w:trPr>
                <w:trHeight w:val="675" w:hRule="atLeast"/>
              </w:trPr>
              <w:tc>
                <w:tcPr>
                  <w:tcW w:w="8306" w:type="dxa"/>
                  <w:gridSpan w:val="8"/>
                  <w:tcBorders>
                    <w:top w:val="nil"/>
                    <w:left w:val="nil"/>
                    <w:bottom w:val="nil"/>
                    <w:right w:val="nil"/>
                  </w:tcBorders>
                  <w:shd w:val="clear" w:color="auto" w:fill="auto"/>
                  <w:tcMar>
                    <w:top w:w="15" w:type="dxa"/>
                    <w:left w:w="15" w:type="dxa"/>
                    <w:right w:w="15" w:type="dxa"/>
                  </w:tcMar>
                  <w:vAlign w:val="center"/>
                </w:tcPr>
                <w:p w14:paraId="58FCB7AE">
                  <w:pPr>
                    <w:widowControl/>
                    <w:jc w:val="center"/>
                    <w:textAlignment w:val="center"/>
                    <w:rPr>
                      <w:rFonts w:ascii="宋体" w:hAnsi="宋体" w:cs="宋体"/>
                      <w:b/>
                      <w:color w:val="000000"/>
                      <w:kern w:val="0"/>
                      <w:sz w:val="32"/>
                      <w:szCs w:val="32"/>
                    </w:rPr>
                  </w:pPr>
                </w:p>
                <w:p w14:paraId="6554B1B4">
                  <w:pPr>
                    <w:widowControl/>
                    <w:jc w:val="center"/>
                    <w:textAlignment w:val="center"/>
                    <w:rPr>
                      <w:rFonts w:ascii="宋体" w:hAnsi="宋体" w:cs="宋体"/>
                      <w:b/>
                      <w:color w:val="000000"/>
                      <w:kern w:val="0"/>
                      <w:sz w:val="32"/>
                      <w:szCs w:val="32"/>
                    </w:rPr>
                  </w:pPr>
                </w:p>
                <w:p w14:paraId="143D429B">
                  <w:pPr>
                    <w:widowControl/>
                    <w:jc w:val="center"/>
                    <w:textAlignment w:val="center"/>
                    <w:rPr>
                      <w:rFonts w:ascii="宋体" w:hAnsi="宋体" w:cs="宋体"/>
                      <w:b/>
                      <w:color w:val="000000"/>
                      <w:kern w:val="0"/>
                      <w:sz w:val="32"/>
                      <w:szCs w:val="32"/>
                    </w:rPr>
                  </w:pPr>
                </w:p>
                <w:p w14:paraId="70E0EA51">
                  <w:pPr>
                    <w:widowControl/>
                    <w:jc w:val="center"/>
                    <w:textAlignment w:val="center"/>
                    <w:rPr>
                      <w:rFonts w:ascii="宋体" w:hAnsi="宋体" w:cs="宋体"/>
                      <w:b/>
                      <w:color w:val="000000"/>
                      <w:kern w:val="0"/>
                      <w:sz w:val="32"/>
                      <w:szCs w:val="32"/>
                    </w:rPr>
                  </w:pPr>
                </w:p>
                <w:p w14:paraId="5B8000DE">
                  <w:pPr>
                    <w:widowControl/>
                    <w:jc w:val="center"/>
                    <w:textAlignment w:val="center"/>
                    <w:rPr>
                      <w:rFonts w:ascii="宋体" w:hAnsi="宋体" w:cs="宋体"/>
                      <w:b/>
                      <w:color w:val="000000"/>
                      <w:kern w:val="0"/>
                      <w:sz w:val="32"/>
                      <w:szCs w:val="32"/>
                    </w:rPr>
                  </w:pPr>
                </w:p>
                <w:p w14:paraId="6FF36FE4">
                  <w:pPr>
                    <w:widowControl/>
                    <w:jc w:val="center"/>
                    <w:textAlignment w:val="center"/>
                    <w:rPr>
                      <w:rFonts w:ascii="宋体" w:hAnsi="宋体" w:cs="宋体"/>
                      <w:b/>
                      <w:color w:val="000000"/>
                      <w:kern w:val="0"/>
                      <w:sz w:val="32"/>
                      <w:szCs w:val="32"/>
                    </w:rPr>
                  </w:pPr>
                </w:p>
                <w:p w14:paraId="4C80E27A">
                  <w:pPr>
                    <w:widowControl/>
                    <w:jc w:val="center"/>
                    <w:textAlignment w:val="center"/>
                    <w:rPr>
                      <w:rFonts w:ascii="宋体" w:hAnsi="宋体" w:cs="宋体"/>
                      <w:b/>
                      <w:color w:val="000000"/>
                      <w:kern w:val="0"/>
                      <w:sz w:val="32"/>
                      <w:szCs w:val="32"/>
                    </w:rPr>
                  </w:pPr>
                </w:p>
                <w:p w14:paraId="0A4A5C5E">
                  <w:pPr>
                    <w:widowControl/>
                    <w:jc w:val="center"/>
                    <w:textAlignment w:val="center"/>
                    <w:rPr>
                      <w:rFonts w:ascii="宋体" w:hAnsi="宋体" w:cs="宋体"/>
                      <w:b/>
                      <w:color w:val="000000"/>
                      <w:kern w:val="0"/>
                      <w:sz w:val="32"/>
                      <w:szCs w:val="32"/>
                    </w:rPr>
                  </w:pPr>
                </w:p>
                <w:p w14:paraId="1E5B39CE">
                  <w:pPr>
                    <w:widowControl/>
                    <w:jc w:val="center"/>
                    <w:textAlignment w:val="center"/>
                    <w:rPr>
                      <w:rFonts w:ascii="宋体" w:hAnsi="宋体" w:cs="宋体"/>
                      <w:b/>
                      <w:color w:val="000000"/>
                      <w:kern w:val="0"/>
                      <w:sz w:val="32"/>
                      <w:szCs w:val="32"/>
                    </w:rPr>
                  </w:pPr>
                </w:p>
                <w:p w14:paraId="74318F81">
                  <w:pPr>
                    <w:widowControl/>
                    <w:textAlignment w:val="center"/>
                    <w:rPr>
                      <w:rFonts w:ascii="宋体" w:hAnsi="宋体" w:cs="宋体"/>
                      <w:b/>
                      <w:color w:val="000000"/>
                      <w:kern w:val="0"/>
                      <w:sz w:val="32"/>
                      <w:szCs w:val="32"/>
                    </w:rPr>
                  </w:pPr>
                </w:p>
                <w:p w14:paraId="6B4FAD14">
                  <w:pPr>
                    <w:pStyle w:val="7"/>
                  </w:pPr>
                </w:p>
                <w:p w14:paraId="2A06E8E7">
                  <w:pPr>
                    <w:widowControl/>
                    <w:jc w:val="center"/>
                    <w:textAlignment w:val="center"/>
                    <w:rPr>
                      <w:rFonts w:ascii="宋体" w:hAnsi="宋体" w:cs="宋体"/>
                      <w:b/>
                      <w:color w:val="000000"/>
                      <w:sz w:val="32"/>
                      <w:szCs w:val="32"/>
                    </w:rPr>
                  </w:pPr>
                  <w:r>
                    <w:rPr>
                      <w:rFonts w:hint="eastAsia" w:ascii="宋体" w:hAnsi="宋体" w:cs="宋体"/>
                      <w:b/>
                      <w:color w:val="000000"/>
                      <w:kern w:val="0"/>
                      <w:sz w:val="32"/>
                      <w:szCs w:val="32"/>
                    </w:rPr>
                    <w:t>政法队伍教育整顿工作经费资金绩效自评表</w:t>
                  </w:r>
                </w:p>
              </w:tc>
            </w:tr>
            <w:tr w14:paraId="3C805BD0">
              <w:tblPrEx>
                <w:tblCellMar>
                  <w:top w:w="0" w:type="dxa"/>
                  <w:left w:w="0" w:type="dxa"/>
                  <w:bottom w:w="0" w:type="dxa"/>
                  <w:right w:w="0" w:type="dxa"/>
                </w:tblCellMar>
              </w:tblPrEx>
              <w:trPr>
                <w:trHeight w:val="439" w:hRule="atLeast"/>
              </w:trPr>
              <w:tc>
                <w:tcPr>
                  <w:tcW w:w="151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E992BF">
                  <w:pPr>
                    <w:widowControl/>
                    <w:jc w:val="center"/>
                    <w:textAlignment w:val="center"/>
                    <w:rPr>
                      <w:rFonts w:ascii="宋体" w:hAnsi="宋体" w:cs="宋体"/>
                      <w:color w:val="000000"/>
                      <w:sz w:val="24"/>
                    </w:rPr>
                  </w:pPr>
                  <w:r>
                    <w:rPr>
                      <w:rFonts w:hint="eastAsia" w:ascii="宋体" w:hAnsi="宋体" w:cs="宋体"/>
                      <w:color w:val="000000"/>
                      <w:kern w:val="0"/>
                      <w:sz w:val="24"/>
                    </w:rPr>
                    <w:t>专项（项目）名称</w:t>
                  </w:r>
                </w:p>
              </w:tc>
              <w:tc>
                <w:tcPr>
                  <w:tcW w:w="679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ABCAFA">
                  <w:pPr>
                    <w:widowControl/>
                    <w:jc w:val="center"/>
                    <w:textAlignment w:val="center"/>
                    <w:rPr>
                      <w:rFonts w:ascii="宋体" w:hAnsi="宋体" w:cs="宋体"/>
                      <w:color w:val="000000"/>
                      <w:sz w:val="24"/>
                    </w:rPr>
                  </w:pPr>
                  <w:r>
                    <w:rPr>
                      <w:rFonts w:hint="eastAsia" w:ascii="宋体" w:hAnsi="宋体" w:cs="宋体"/>
                      <w:color w:val="000000"/>
                      <w:kern w:val="0"/>
                      <w:sz w:val="24"/>
                    </w:rPr>
                    <w:t>盐边县司法局政法队伍教育整顿工作经费</w:t>
                  </w:r>
                </w:p>
              </w:tc>
            </w:tr>
            <w:tr w14:paraId="1A46D239">
              <w:tblPrEx>
                <w:tblCellMar>
                  <w:top w:w="0" w:type="dxa"/>
                  <w:left w:w="0" w:type="dxa"/>
                  <w:bottom w:w="0" w:type="dxa"/>
                  <w:right w:w="0" w:type="dxa"/>
                </w:tblCellMar>
              </w:tblPrEx>
              <w:trPr>
                <w:trHeight w:val="439" w:hRule="atLeast"/>
              </w:trPr>
              <w:tc>
                <w:tcPr>
                  <w:tcW w:w="151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EE5924">
                  <w:pPr>
                    <w:widowControl/>
                    <w:jc w:val="center"/>
                    <w:textAlignment w:val="center"/>
                    <w:rPr>
                      <w:rFonts w:ascii="宋体" w:hAnsi="宋体" w:cs="宋体"/>
                      <w:color w:val="000000"/>
                      <w:sz w:val="24"/>
                    </w:rPr>
                  </w:pPr>
                  <w:r>
                    <w:rPr>
                      <w:rFonts w:hint="eastAsia" w:ascii="宋体" w:hAnsi="宋体" w:cs="宋体"/>
                      <w:color w:val="000000"/>
                      <w:kern w:val="0"/>
                      <w:sz w:val="24"/>
                    </w:rPr>
                    <w:t>项目主管单位</w:t>
                  </w:r>
                </w:p>
              </w:tc>
              <w:tc>
                <w:tcPr>
                  <w:tcW w:w="679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26731B">
                  <w:pPr>
                    <w:widowControl/>
                    <w:jc w:val="center"/>
                    <w:textAlignment w:val="center"/>
                    <w:rPr>
                      <w:rFonts w:ascii="宋体" w:hAnsi="宋体" w:cs="宋体"/>
                      <w:color w:val="000000"/>
                      <w:sz w:val="24"/>
                    </w:rPr>
                  </w:pPr>
                  <w:r>
                    <w:rPr>
                      <w:rFonts w:hint="eastAsia" w:ascii="宋体" w:hAnsi="宋体" w:cs="宋体"/>
                      <w:color w:val="000000"/>
                      <w:kern w:val="0"/>
                      <w:sz w:val="24"/>
                    </w:rPr>
                    <w:t>盐边县司法局</w:t>
                  </w:r>
                </w:p>
              </w:tc>
            </w:tr>
            <w:tr w14:paraId="4806B7BE">
              <w:tblPrEx>
                <w:tblCellMar>
                  <w:top w:w="0" w:type="dxa"/>
                  <w:left w:w="0" w:type="dxa"/>
                  <w:bottom w:w="0" w:type="dxa"/>
                  <w:right w:w="0" w:type="dxa"/>
                </w:tblCellMar>
              </w:tblPrEx>
              <w:trPr>
                <w:trHeight w:val="439" w:hRule="atLeast"/>
              </w:trPr>
              <w:tc>
                <w:tcPr>
                  <w:tcW w:w="151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AEF801">
                  <w:pPr>
                    <w:widowControl/>
                    <w:jc w:val="center"/>
                    <w:textAlignment w:val="center"/>
                    <w:rPr>
                      <w:rFonts w:ascii="宋体" w:hAnsi="宋体" w:cs="宋体"/>
                      <w:color w:val="000000"/>
                      <w:sz w:val="24"/>
                    </w:rPr>
                  </w:pPr>
                  <w:r>
                    <w:rPr>
                      <w:rFonts w:hint="eastAsia" w:ascii="宋体" w:hAnsi="宋体" w:cs="宋体"/>
                      <w:color w:val="000000"/>
                      <w:kern w:val="0"/>
                      <w:sz w:val="24"/>
                    </w:rPr>
                    <w:t>项目实施单位</w:t>
                  </w:r>
                </w:p>
              </w:tc>
              <w:tc>
                <w:tcPr>
                  <w:tcW w:w="679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06F97F">
                  <w:pPr>
                    <w:widowControl/>
                    <w:jc w:val="center"/>
                    <w:textAlignment w:val="center"/>
                    <w:rPr>
                      <w:rFonts w:ascii="宋体" w:hAnsi="宋体" w:cs="宋体"/>
                      <w:color w:val="000000"/>
                      <w:sz w:val="24"/>
                    </w:rPr>
                  </w:pPr>
                  <w:r>
                    <w:rPr>
                      <w:rFonts w:hint="eastAsia" w:ascii="宋体" w:hAnsi="宋体" w:cs="宋体"/>
                      <w:color w:val="000000"/>
                      <w:kern w:val="0"/>
                      <w:sz w:val="24"/>
                    </w:rPr>
                    <w:t>盐边县司法局</w:t>
                  </w:r>
                </w:p>
              </w:tc>
            </w:tr>
            <w:tr w14:paraId="5DD13D6B">
              <w:trPr>
                <w:trHeight w:val="439" w:hRule="atLeast"/>
              </w:trPr>
              <w:tc>
                <w:tcPr>
                  <w:tcW w:w="15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0DEA0F">
                  <w:pPr>
                    <w:widowControl/>
                    <w:jc w:val="center"/>
                    <w:textAlignment w:val="center"/>
                    <w:rPr>
                      <w:rFonts w:ascii="宋体" w:hAnsi="宋体" w:cs="宋体"/>
                      <w:color w:val="000000"/>
                      <w:sz w:val="24"/>
                    </w:rPr>
                  </w:pPr>
                  <w:r>
                    <w:rPr>
                      <w:rFonts w:hint="eastAsia" w:ascii="宋体" w:hAnsi="宋体" w:cs="宋体"/>
                      <w:color w:val="000000"/>
                      <w:kern w:val="0"/>
                      <w:sz w:val="24"/>
                    </w:rPr>
                    <w:t>项目资金</w:t>
                  </w:r>
                  <w:r>
                    <w:rPr>
                      <w:rFonts w:hint="eastAsia" w:ascii="宋体" w:hAnsi="宋体" w:cs="宋体"/>
                      <w:color w:val="000000"/>
                      <w:kern w:val="0"/>
                      <w:sz w:val="24"/>
                    </w:rPr>
                    <w:br w:type="textWrapping"/>
                  </w:r>
                  <w:r>
                    <w:rPr>
                      <w:rFonts w:hint="eastAsia" w:ascii="宋体" w:hAnsi="宋体" w:cs="宋体"/>
                      <w:color w:val="000000"/>
                      <w:kern w:val="0"/>
                      <w:sz w:val="24"/>
                    </w:rPr>
                    <w:t>（万元）</w:t>
                  </w: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380A4C">
                  <w:pPr>
                    <w:jc w:val="center"/>
                    <w:rPr>
                      <w:rFonts w:ascii="宋体" w:hAnsi="宋体" w:cs="宋体"/>
                      <w:color w:val="000000"/>
                      <w:sz w:val="24"/>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D97154">
                  <w:pPr>
                    <w:widowControl/>
                    <w:jc w:val="center"/>
                    <w:textAlignment w:val="center"/>
                    <w:rPr>
                      <w:rFonts w:ascii="宋体" w:hAnsi="宋体" w:cs="宋体"/>
                      <w:color w:val="000000"/>
                      <w:sz w:val="24"/>
                    </w:rPr>
                  </w:pPr>
                  <w:r>
                    <w:rPr>
                      <w:rFonts w:hint="eastAsia" w:ascii="宋体" w:hAnsi="宋体" w:cs="宋体"/>
                      <w:color w:val="000000"/>
                      <w:kern w:val="0"/>
                      <w:sz w:val="24"/>
                    </w:rPr>
                    <w:t>全年预算数</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2386AB">
                  <w:pPr>
                    <w:widowControl/>
                    <w:jc w:val="center"/>
                    <w:textAlignment w:val="center"/>
                    <w:rPr>
                      <w:rFonts w:ascii="宋体" w:hAnsi="宋体" w:cs="宋体"/>
                      <w:color w:val="000000"/>
                      <w:sz w:val="24"/>
                    </w:rPr>
                  </w:pPr>
                  <w:r>
                    <w:rPr>
                      <w:rFonts w:hint="eastAsia" w:ascii="宋体" w:hAnsi="宋体" w:cs="宋体"/>
                      <w:color w:val="000000"/>
                      <w:kern w:val="0"/>
                      <w:sz w:val="24"/>
                    </w:rPr>
                    <w:t>实际完成数</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7DD08E">
                  <w:pPr>
                    <w:widowControl/>
                    <w:jc w:val="center"/>
                    <w:textAlignment w:val="center"/>
                    <w:rPr>
                      <w:rFonts w:ascii="宋体" w:hAnsi="宋体" w:cs="宋体"/>
                      <w:color w:val="000000"/>
                      <w:sz w:val="24"/>
                    </w:rPr>
                  </w:pPr>
                  <w:r>
                    <w:rPr>
                      <w:rFonts w:hint="eastAsia" w:ascii="宋体" w:hAnsi="宋体" w:cs="宋体"/>
                      <w:color w:val="000000"/>
                      <w:kern w:val="0"/>
                      <w:sz w:val="24"/>
                    </w:rPr>
                    <w:t>执行率（%）</w:t>
                  </w:r>
                </w:p>
              </w:tc>
            </w:tr>
            <w:tr w14:paraId="2B4E7E20">
              <w:tblPrEx>
                <w:tblCellMar>
                  <w:top w:w="0" w:type="dxa"/>
                  <w:left w:w="0" w:type="dxa"/>
                  <w:bottom w:w="0" w:type="dxa"/>
                  <w:right w:w="0" w:type="dxa"/>
                </w:tblCellMar>
              </w:tblPrEx>
              <w:trPr>
                <w:trHeight w:val="439" w:hRule="atLeast"/>
              </w:trPr>
              <w:tc>
                <w:tcPr>
                  <w:tcW w:w="15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602EC4">
                  <w:pPr>
                    <w:jc w:val="center"/>
                    <w:rPr>
                      <w:rFonts w:ascii="宋体" w:hAnsi="宋体" w:cs="宋体"/>
                      <w:color w:val="000000"/>
                      <w:sz w:val="24"/>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ED30FD">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年度资金总额：</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43BF14">
                  <w:pPr>
                    <w:widowControl/>
                    <w:jc w:val="center"/>
                    <w:textAlignment w:val="center"/>
                    <w:rPr>
                      <w:rFonts w:ascii="宋体" w:hAnsi="宋体" w:cs="宋体"/>
                      <w:color w:val="000000"/>
                      <w:sz w:val="24"/>
                    </w:rPr>
                  </w:pPr>
                  <w:r>
                    <w:rPr>
                      <w:rFonts w:hint="eastAsia" w:ascii="宋体" w:hAnsi="宋体" w:cs="宋体"/>
                      <w:color w:val="000000"/>
                      <w:kern w:val="0"/>
                      <w:sz w:val="24"/>
                    </w:rPr>
                    <w:t>11.18</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7C0BFE">
                  <w:pPr>
                    <w:widowControl/>
                    <w:jc w:val="center"/>
                    <w:textAlignment w:val="center"/>
                    <w:rPr>
                      <w:rFonts w:ascii="宋体" w:hAnsi="宋体" w:cs="宋体"/>
                      <w:color w:val="000000"/>
                      <w:sz w:val="24"/>
                    </w:rPr>
                  </w:pPr>
                  <w:r>
                    <w:rPr>
                      <w:rFonts w:hint="eastAsia" w:ascii="宋体" w:hAnsi="宋体" w:cs="宋体"/>
                      <w:color w:val="000000"/>
                      <w:kern w:val="0"/>
                      <w:sz w:val="24"/>
                    </w:rPr>
                    <w:t>11.18</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FD144B">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14:paraId="2CAC8101">
              <w:tblPrEx>
                <w:tblCellMar>
                  <w:top w:w="0" w:type="dxa"/>
                  <w:left w:w="0" w:type="dxa"/>
                  <w:bottom w:w="0" w:type="dxa"/>
                  <w:right w:w="0" w:type="dxa"/>
                </w:tblCellMar>
              </w:tblPrEx>
              <w:trPr>
                <w:trHeight w:val="329" w:hRule="atLeast"/>
              </w:trPr>
              <w:tc>
                <w:tcPr>
                  <w:tcW w:w="15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55689">
                  <w:pPr>
                    <w:jc w:val="center"/>
                    <w:rPr>
                      <w:rFonts w:ascii="宋体" w:hAnsi="宋体" w:cs="宋体"/>
                      <w:color w:val="000000"/>
                      <w:sz w:val="24"/>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F0B492">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其中：上级财政资金</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9BA5D6">
                  <w:pPr>
                    <w:jc w:val="center"/>
                    <w:rPr>
                      <w:rFonts w:ascii="宋体" w:hAnsi="宋体" w:cs="宋体"/>
                      <w:color w:val="000000"/>
                      <w:sz w:val="24"/>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A23440">
                  <w:pPr>
                    <w:jc w:val="center"/>
                    <w:rPr>
                      <w:rFonts w:ascii="宋体" w:hAnsi="宋体" w:cs="宋体"/>
                      <w:color w:val="000000"/>
                      <w:sz w:val="24"/>
                    </w:rPr>
                  </w:pP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14E404">
                  <w:pPr>
                    <w:jc w:val="center"/>
                    <w:rPr>
                      <w:rFonts w:ascii="宋体" w:hAnsi="宋体" w:cs="宋体"/>
                      <w:color w:val="000000"/>
                      <w:sz w:val="24"/>
                    </w:rPr>
                  </w:pPr>
                </w:p>
              </w:tc>
            </w:tr>
            <w:tr w14:paraId="7D0C95C0">
              <w:tblPrEx>
                <w:tblCellMar>
                  <w:top w:w="0" w:type="dxa"/>
                  <w:left w:w="0" w:type="dxa"/>
                  <w:bottom w:w="0" w:type="dxa"/>
                  <w:right w:w="0" w:type="dxa"/>
                </w:tblCellMar>
              </w:tblPrEx>
              <w:trPr>
                <w:trHeight w:val="546" w:hRule="atLeast"/>
              </w:trPr>
              <w:tc>
                <w:tcPr>
                  <w:tcW w:w="15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81716A">
                  <w:pPr>
                    <w:jc w:val="center"/>
                    <w:rPr>
                      <w:rFonts w:ascii="宋体" w:hAnsi="宋体" w:cs="宋体"/>
                      <w:color w:val="000000"/>
                      <w:sz w:val="24"/>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90D2C">
                  <w:pPr>
                    <w:widowControl/>
                    <w:jc w:val="left"/>
                    <w:textAlignment w:val="center"/>
                    <w:rPr>
                      <w:rFonts w:ascii="宋体" w:hAnsi="宋体" w:cs="宋体"/>
                      <w:color w:val="000000"/>
                      <w:sz w:val="24"/>
                    </w:rPr>
                  </w:pPr>
                  <w:r>
                    <w:rPr>
                      <w:rFonts w:hint="eastAsia" w:ascii="宋体" w:hAnsi="宋体" w:cs="宋体"/>
                      <w:color w:val="000000"/>
                      <w:kern w:val="0"/>
                      <w:sz w:val="24"/>
                    </w:rPr>
                    <w:t xml:space="preserve">            本级财政资金</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726A02">
                  <w:pPr>
                    <w:widowControl/>
                    <w:jc w:val="center"/>
                    <w:textAlignment w:val="center"/>
                    <w:rPr>
                      <w:rFonts w:ascii="宋体" w:hAnsi="宋体" w:cs="宋体"/>
                      <w:color w:val="000000"/>
                      <w:sz w:val="24"/>
                    </w:rPr>
                  </w:pPr>
                  <w:r>
                    <w:rPr>
                      <w:rFonts w:hint="eastAsia" w:ascii="宋体" w:hAnsi="宋体" w:cs="宋体"/>
                      <w:color w:val="000000"/>
                      <w:kern w:val="0"/>
                      <w:sz w:val="24"/>
                    </w:rPr>
                    <w:t>11.18</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585B99">
                  <w:pPr>
                    <w:widowControl/>
                    <w:jc w:val="center"/>
                    <w:textAlignment w:val="center"/>
                    <w:rPr>
                      <w:rFonts w:ascii="宋体" w:hAnsi="宋体" w:cs="宋体"/>
                      <w:color w:val="000000"/>
                      <w:sz w:val="24"/>
                    </w:rPr>
                  </w:pPr>
                  <w:r>
                    <w:rPr>
                      <w:rFonts w:hint="eastAsia" w:ascii="宋体" w:hAnsi="宋体" w:cs="宋体"/>
                      <w:color w:val="000000"/>
                      <w:kern w:val="0"/>
                      <w:sz w:val="24"/>
                    </w:rPr>
                    <w:t>11.18</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8872AE">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14:paraId="337D943C">
              <w:tblPrEx>
                <w:tblCellMar>
                  <w:top w:w="0" w:type="dxa"/>
                  <w:left w:w="0" w:type="dxa"/>
                  <w:bottom w:w="0" w:type="dxa"/>
                  <w:right w:w="0" w:type="dxa"/>
                </w:tblCellMar>
              </w:tblPrEx>
              <w:trPr>
                <w:trHeight w:val="179" w:hRule="atLeast"/>
              </w:trPr>
              <w:tc>
                <w:tcPr>
                  <w:tcW w:w="15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B86BEA">
                  <w:pPr>
                    <w:jc w:val="center"/>
                    <w:rPr>
                      <w:rFonts w:ascii="宋体" w:hAnsi="宋体" w:cs="宋体"/>
                      <w:color w:val="000000"/>
                      <w:sz w:val="24"/>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AD2F00">
                  <w:pPr>
                    <w:widowControl/>
                    <w:jc w:val="left"/>
                    <w:textAlignment w:val="center"/>
                    <w:rPr>
                      <w:rFonts w:ascii="宋体" w:hAnsi="宋体" w:cs="宋体"/>
                      <w:color w:val="000000"/>
                      <w:sz w:val="24"/>
                    </w:rPr>
                  </w:pPr>
                  <w:r>
                    <w:rPr>
                      <w:rFonts w:hint="eastAsia" w:ascii="宋体" w:hAnsi="宋体" w:cs="宋体"/>
                      <w:color w:val="000000"/>
                      <w:kern w:val="0"/>
                      <w:sz w:val="24"/>
                    </w:rPr>
                    <w:t xml:space="preserve">             其他资金</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38058D">
                  <w:pPr>
                    <w:rPr>
                      <w:rFonts w:ascii="宋体" w:hAnsi="宋体" w:cs="宋体"/>
                      <w:color w:val="000000"/>
                      <w:sz w:val="24"/>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09ADEB">
                  <w:pPr>
                    <w:rPr>
                      <w:rFonts w:ascii="宋体" w:hAnsi="宋体" w:cs="宋体"/>
                      <w:color w:val="000000"/>
                      <w:sz w:val="24"/>
                    </w:rPr>
                  </w:pP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EC8D70">
                  <w:pPr>
                    <w:jc w:val="center"/>
                    <w:rPr>
                      <w:rFonts w:ascii="宋体" w:hAnsi="宋体" w:cs="宋体"/>
                      <w:color w:val="000000"/>
                      <w:sz w:val="24"/>
                    </w:rPr>
                  </w:pPr>
                </w:p>
              </w:tc>
            </w:tr>
            <w:tr w14:paraId="7D5CDE6D">
              <w:tblPrEx>
                <w:tblCellMar>
                  <w:top w:w="0" w:type="dxa"/>
                  <w:left w:w="0" w:type="dxa"/>
                  <w:bottom w:w="0" w:type="dxa"/>
                  <w:right w:w="0" w:type="dxa"/>
                </w:tblCellMar>
              </w:tblPrEx>
              <w:trPr>
                <w:trHeight w:val="439" w:hRule="atLeast"/>
              </w:trPr>
              <w:tc>
                <w:tcPr>
                  <w:tcW w:w="55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01AFF5">
                  <w:pPr>
                    <w:widowControl/>
                    <w:jc w:val="center"/>
                    <w:textAlignment w:val="center"/>
                    <w:rPr>
                      <w:rFonts w:ascii="宋体" w:hAnsi="宋体" w:cs="宋体"/>
                      <w:color w:val="000000"/>
                      <w:sz w:val="24"/>
                    </w:rPr>
                  </w:pPr>
                  <w:r>
                    <w:rPr>
                      <w:rFonts w:hint="eastAsia" w:ascii="宋体" w:hAnsi="宋体" w:cs="宋体"/>
                      <w:color w:val="000000"/>
                      <w:kern w:val="0"/>
                      <w:sz w:val="24"/>
                    </w:rPr>
                    <w:t>总</w:t>
                  </w:r>
                  <w:r>
                    <w:rPr>
                      <w:rFonts w:hint="eastAsia" w:ascii="宋体" w:hAnsi="宋体" w:cs="宋体"/>
                      <w:color w:val="000000"/>
                      <w:kern w:val="0"/>
                      <w:sz w:val="24"/>
                    </w:rPr>
                    <w:br w:type="textWrapping"/>
                  </w:r>
                  <w:r>
                    <w:rPr>
                      <w:rFonts w:hint="eastAsia" w:ascii="宋体" w:hAnsi="宋体" w:cs="宋体"/>
                      <w:color w:val="000000"/>
                      <w:kern w:val="0"/>
                      <w:sz w:val="24"/>
                    </w:rPr>
                    <w:t>体</w:t>
                  </w:r>
                  <w:r>
                    <w:rPr>
                      <w:rFonts w:hint="eastAsia" w:ascii="宋体" w:hAnsi="宋体" w:cs="宋体"/>
                      <w:color w:val="000000"/>
                      <w:kern w:val="0"/>
                      <w:sz w:val="24"/>
                    </w:rPr>
                    <w:br w:type="textWrapping"/>
                  </w:r>
                  <w:r>
                    <w:rPr>
                      <w:rFonts w:hint="eastAsia" w:ascii="宋体" w:hAnsi="宋体" w:cs="宋体"/>
                      <w:color w:val="000000"/>
                      <w:kern w:val="0"/>
                      <w:sz w:val="24"/>
                    </w:rPr>
                    <w:t>目</w:t>
                  </w:r>
                  <w:r>
                    <w:rPr>
                      <w:rFonts w:hint="eastAsia" w:ascii="宋体" w:hAnsi="宋体" w:cs="宋体"/>
                      <w:color w:val="000000"/>
                      <w:kern w:val="0"/>
                      <w:sz w:val="24"/>
                    </w:rPr>
                    <w:br w:type="textWrapping"/>
                  </w:r>
                  <w:r>
                    <w:rPr>
                      <w:rFonts w:hint="eastAsia" w:ascii="宋体" w:hAnsi="宋体" w:cs="宋体"/>
                      <w:color w:val="000000"/>
                      <w:kern w:val="0"/>
                      <w:sz w:val="24"/>
                    </w:rPr>
                    <w:t>标</w:t>
                  </w:r>
                </w:p>
              </w:tc>
              <w:tc>
                <w:tcPr>
                  <w:tcW w:w="236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9B84D7">
                  <w:pPr>
                    <w:widowControl/>
                    <w:jc w:val="center"/>
                    <w:textAlignment w:val="center"/>
                    <w:rPr>
                      <w:rFonts w:ascii="宋体" w:hAnsi="宋体" w:cs="宋体"/>
                      <w:color w:val="000000"/>
                      <w:sz w:val="24"/>
                    </w:rPr>
                  </w:pPr>
                  <w:r>
                    <w:rPr>
                      <w:rFonts w:hint="eastAsia" w:ascii="宋体" w:hAnsi="宋体" w:cs="宋体"/>
                      <w:color w:val="000000"/>
                      <w:kern w:val="0"/>
                      <w:sz w:val="24"/>
                    </w:rPr>
                    <w:t>年度设定目标</w:t>
                  </w:r>
                </w:p>
              </w:tc>
              <w:tc>
                <w:tcPr>
                  <w:tcW w:w="538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8C964C">
                  <w:pPr>
                    <w:widowControl/>
                    <w:jc w:val="center"/>
                    <w:textAlignment w:val="center"/>
                    <w:rPr>
                      <w:rFonts w:ascii="宋体" w:hAnsi="宋体" w:cs="宋体"/>
                      <w:color w:val="000000"/>
                      <w:sz w:val="24"/>
                    </w:rPr>
                  </w:pPr>
                  <w:r>
                    <w:rPr>
                      <w:rFonts w:hint="eastAsia" w:ascii="宋体" w:hAnsi="宋体" w:cs="宋体"/>
                      <w:color w:val="000000"/>
                      <w:kern w:val="0"/>
                      <w:sz w:val="24"/>
                    </w:rPr>
                    <w:t>实际完成情况</w:t>
                  </w:r>
                </w:p>
              </w:tc>
            </w:tr>
            <w:tr w14:paraId="6837F4AE">
              <w:tblPrEx>
                <w:tblCellMar>
                  <w:top w:w="0" w:type="dxa"/>
                  <w:left w:w="0" w:type="dxa"/>
                  <w:bottom w:w="0" w:type="dxa"/>
                  <w:right w:w="0" w:type="dxa"/>
                </w:tblCellMar>
              </w:tblPrEx>
              <w:trPr>
                <w:trHeight w:val="1590"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5E39C">
                  <w:pPr>
                    <w:jc w:val="center"/>
                    <w:rPr>
                      <w:rFonts w:ascii="宋体" w:hAnsi="宋体" w:cs="宋体"/>
                      <w:color w:val="000000"/>
                      <w:sz w:val="24"/>
                    </w:rPr>
                  </w:pPr>
                </w:p>
              </w:tc>
              <w:tc>
                <w:tcPr>
                  <w:tcW w:w="236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14:paraId="1D98B41C">
                  <w:pPr>
                    <w:widowControl/>
                    <w:jc w:val="center"/>
                    <w:textAlignment w:val="top"/>
                    <w:rPr>
                      <w:rFonts w:ascii="宋体" w:hAnsi="宋体" w:cs="宋体"/>
                      <w:color w:val="000000"/>
                      <w:sz w:val="24"/>
                    </w:rPr>
                  </w:pPr>
                  <w:r>
                    <w:rPr>
                      <w:rFonts w:hint="eastAsia" w:ascii="宋体" w:hAnsi="宋体" w:cs="宋体"/>
                      <w:color w:val="000000"/>
                      <w:kern w:val="0"/>
                      <w:sz w:val="24"/>
                    </w:rPr>
                    <w:br w:type="textWrapping"/>
                  </w:r>
                  <w:r>
                    <w:rPr>
                      <w:rFonts w:hint="eastAsia" w:ascii="宋体" w:hAnsi="宋体" w:cs="宋体"/>
                      <w:color w:val="000000"/>
                      <w:kern w:val="0"/>
                      <w:sz w:val="24"/>
                    </w:rPr>
                    <w:t>2021年全省开展政法队伍教育整顿工作，为保障政法队伍教育整顿工作有序推进，申请政法队伍教育整顿工作经费11.18万元。</w:t>
                  </w:r>
                </w:p>
              </w:tc>
              <w:tc>
                <w:tcPr>
                  <w:tcW w:w="538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14:paraId="5D032690">
                  <w:pPr>
                    <w:widowControl/>
                    <w:jc w:val="center"/>
                    <w:textAlignment w:val="top"/>
                    <w:rPr>
                      <w:rFonts w:ascii="宋体" w:hAnsi="宋体" w:cs="宋体"/>
                      <w:color w:val="000000"/>
                      <w:sz w:val="24"/>
                    </w:rPr>
                  </w:pPr>
                  <w:r>
                    <w:rPr>
                      <w:rFonts w:hint="eastAsia" w:ascii="宋体" w:hAnsi="宋体" w:cs="宋体"/>
                      <w:color w:val="000000"/>
                      <w:kern w:val="0"/>
                      <w:sz w:val="24"/>
                    </w:rPr>
                    <w:t xml:space="preserve">                                                                                                                                                            2021年全省开展政法队伍教育整顿工作，为保障政法队伍教育整顿工作有序推进，申请政法队伍教育整顿工作经费11.18万元。</w:t>
                  </w:r>
                </w:p>
              </w:tc>
            </w:tr>
            <w:tr w14:paraId="4B17EC09">
              <w:tblPrEx>
                <w:tblCellMar>
                  <w:top w:w="0" w:type="dxa"/>
                  <w:left w:w="0" w:type="dxa"/>
                  <w:bottom w:w="0" w:type="dxa"/>
                  <w:right w:w="0" w:type="dxa"/>
                </w:tblCellMar>
              </w:tblPrEx>
              <w:trPr>
                <w:trHeight w:val="1672" w:hRule="atLeast"/>
              </w:trPr>
              <w:tc>
                <w:tcPr>
                  <w:tcW w:w="55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49EF41">
                  <w:pPr>
                    <w:widowControl/>
                    <w:jc w:val="center"/>
                    <w:textAlignment w:val="center"/>
                    <w:rPr>
                      <w:rFonts w:ascii="宋体" w:hAnsi="宋体" w:cs="宋体"/>
                      <w:color w:val="000000"/>
                      <w:sz w:val="24"/>
                    </w:rPr>
                  </w:pPr>
                  <w:r>
                    <w:rPr>
                      <w:rFonts w:hint="eastAsia" w:ascii="宋体" w:hAnsi="宋体" w:cs="宋体"/>
                      <w:color w:val="000000"/>
                      <w:kern w:val="0"/>
                      <w:sz w:val="24"/>
                    </w:rPr>
                    <w:t>绩</w:t>
                  </w:r>
                  <w:r>
                    <w:rPr>
                      <w:rFonts w:hint="eastAsia" w:ascii="宋体" w:hAnsi="宋体" w:cs="宋体"/>
                      <w:color w:val="000000"/>
                      <w:kern w:val="0"/>
                      <w:sz w:val="24"/>
                    </w:rPr>
                    <w:br w:type="textWrapping"/>
                  </w:r>
                  <w:r>
                    <w:rPr>
                      <w:rFonts w:hint="eastAsia" w:ascii="宋体" w:hAnsi="宋体" w:cs="宋体"/>
                      <w:color w:val="000000"/>
                      <w:kern w:val="0"/>
                      <w:sz w:val="24"/>
                    </w:rPr>
                    <w:t>效</w:t>
                  </w:r>
                  <w:r>
                    <w:rPr>
                      <w:rFonts w:hint="eastAsia" w:ascii="宋体" w:hAnsi="宋体" w:cs="宋体"/>
                      <w:color w:val="000000"/>
                      <w:kern w:val="0"/>
                      <w:sz w:val="24"/>
                    </w:rPr>
                    <w:br w:type="textWrapping"/>
                  </w:r>
                  <w:r>
                    <w:rPr>
                      <w:rFonts w:hint="eastAsia" w:ascii="宋体" w:hAnsi="宋体" w:cs="宋体"/>
                      <w:color w:val="000000"/>
                      <w:kern w:val="0"/>
                      <w:sz w:val="24"/>
                    </w:rPr>
                    <w:t>指</w:t>
                  </w:r>
                  <w:r>
                    <w:rPr>
                      <w:rFonts w:hint="eastAsia" w:ascii="宋体" w:hAnsi="宋体" w:cs="宋体"/>
                      <w:color w:val="000000"/>
                      <w:kern w:val="0"/>
                      <w:sz w:val="24"/>
                    </w:rPr>
                    <w:br w:type="textWrapping"/>
                  </w:r>
                  <w:r>
                    <w:rPr>
                      <w:rFonts w:hint="eastAsia" w:ascii="宋体" w:hAnsi="宋体" w:cs="宋体"/>
                      <w:color w:val="000000"/>
                      <w:kern w:val="0"/>
                      <w:sz w:val="24"/>
                    </w:rPr>
                    <w:t>标</w:t>
                  </w:r>
                </w:p>
              </w:tc>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23C48B">
                  <w:pPr>
                    <w:widowControl/>
                    <w:jc w:val="center"/>
                    <w:textAlignment w:val="center"/>
                    <w:rPr>
                      <w:rFonts w:ascii="宋体" w:hAnsi="宋体" w:cs="宋体"/>
                      <w:color w:val="000000"/>
                      <w:sz w:val="24"/>
                    </w:rPr>
                  </w:pPr>
                  <w:r>
                    <w:rPr>
                      <w:rFonts w:hint="eastAsia" w:ascii="宋体" w:hAnsi="宋体" w:cs="宋体"/>
                      <w:color w:val="000000"/>
                      <w:kern w:val="0"/>
                      <w:sz w:val="24"/>
                    </w:rPr>
                    <w:t>一级</w:t>
                  </w:r>
                  <w:r>
                    <w:rPr>
                      <w:rFonts w:hint="eastAsia" w:ascii="宋体" w:hAnsi="宋体" w:cs="宋体"/>
                      <w:color w:val="000000"/>
                      <w:kern w:val="0"/>
                      <w:sz w:val="24"/>
                    </w:rPr>
                    <w:br w:type="textWrapping"/>
                  </w:r>
                  <w:r>
                    <w:rPr>
                      <w:rFonts w:hint="eastAsia" w:ascii="宋体" w:hAnsi="宋体" w:cs="宋体"/>
                      <w:color w:val="000000"/>
                      <w:kern w:val="0"/>
                      <w:sz w:val="24"/>
                    </w:rPr>
                    <w:t>指标</w:t>
                  </w:r>
                </w:p>
              </w:tc>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A06D92">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B9CF44">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24EA89">
                  <w:pPr>
                    <w:widowControl/>
                    <w:jc w:val="center"/>
                    <w:textAlignment w:val="center"/>
                    <w:rPr>
                      <w:rFonts w:ascii="宋体" w:hAnsi="宋体" w:cs="宋体"/>
                      <w:color w:val="000000"/>
                      <w:sz w:val="24"/>
                    </w:rPr>
                  </w:pPr>
                  <w:r>
                    <w:rPr>
                      <w:rFonts w:hint="eastAsia" w:ascii="宋体" w:hAnsi="宋体" w:cs="宋体"/>
                      <w:color w:val="000000"/>
                      <w:kern w:val="0"/>
                      <w:sz w:val="24"/>
                    </w:rPr>
                    <w:t>年度指标值</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08DDE">
                  <w:pPr>
                    <w:widowControl/>
                    <w:jc w:val="center"/>
                    <w:textAlignment w:val="center"/>
                    <w:rPr>
                      <w:rFonts w:ascii="宋体" w:hAnsi="宋体" w:cs="宋体"/>
                      <w:color w:val="000000"/>
                      <w:sz w:val="24"/>
                    </w:rPr>
                  </w:pPr>
                  <w:r>
                    <w:rPr>
                      <w:rFonts w:hint="eastAsia" w:ascii="宋体" w:hAnsi="宋体" w:cs="宋体"/>
                      <w:color w:val="000000"/>
                      <w:kern w:val="0"/>
                      <w:sz w:val="24"/>
                    </w:rPr>
                    <w:t>实际完成数</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96FBD6">
                  <w:pPr>
                    <w:widowControl/>
                    <w:jc w:val="center"/>
                    <w:textAlignment w:val="center"/>
                    <w:rPr>
                      <w:rFonts w:ascii="宋体" w:hAns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EAEF9">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14:paraId="2F82BC34">
              <w:tblPrEx>
                <w:tblCellMar>
                  <w:top w:w="0" w:type="dxa"/>
                  <w:left w:w="0" w:type="dxa"/>
                  <w:bottom w:w="0" w:type="dxa"/>
                  <w:right w:w="0" w:type="dxa"/>
                </w:tblCellMar>
              </w:tblPrEx>
              <w:trPr>
                <w:trHeight w:val="840"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15FC46">
                  <w:pPr>
                    <w:jc w:val="center"/>
                    <w:rPr>
                      <w:rFonts w:ascii="宋体" w:hAnsi="宋体" w:cs="宋体"/>
                      <w:color w:val="000000"/>
                      <w:sz w:val="24"/>
                    </w:rPr>
                  </w:pPr>
                </w:p>
              </w:tc>
              <w:tc>
                <w:tcPr>
                  <w:tcW w:w="4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51A62C">
                  <w:pPr>
                    <w:widowControl/>
                    <w:jc w:val="center"/>
                    <w:textAlignment w:val="center"/>
                    <w:rPr>
                      <w:rFonts w:ascii="宋体" w:hAnsi="宋体" w:cs="宋体"/>
                      <w:color w:val="000000"/>
                      <w:sz w:val="24"/>
                    </w:rPr>
                  </w:pPr>
                  <w:r>
                    <w:rPr>
                      <w:rFonts w:hint="eastAsia" w:ascii="宋体" w:hAnsi="宋体" w:cs="宋体"/>
                      <w:color w:val="000000"/>
                      <w:kern w:val="0"/>
                      <w:sz w:val="24"/>
                    </w:rPr>
                    <w:t>项目完成</w:t>
                  </w:r>
                </w:p>
              </w:tc>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157FF7">
                  <w:pPr>
                    <w:widowControl/>
                    <w:jc w:val="center"/>
                    <w:textAlignment w:val="center"/>
                    <w:rPr>
                      <w:rFonts w:ascii="宋体" w:hAnsi="宋体" w:cs="宋体"/>
                      <w:color w:val="000000"/>
                      <w:sz w:val="24"/>
                    </w:rPr>
                  </w:pPr>
                  <w:r>
                    <w:rPr>
                      <w:rFonts w:hint="eastAsia" w:ascii="宋体" w:hAnsi="宋体" w:cs="宋体"/>
                      <w:color w:val="000000"/>
                      <w:kern w:val="0"/>
                      <w:sz w:val="24"/>
                    </w:rPr>
                    <w:t>数量指标</w:t>
                  </w: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01A345">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政法队伍教育整顿专项工作经费11.18万元</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E617BE">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政法队伍教育整顿专项工作经费11.18万元</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FF13B9">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86DBB5">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43D700">
                  <w:pPr>
                    <w:rPr>
                      <w:rFonts w:ascii="宋体" w:hAnsi="宋体" w:cs="宋体"/>
                      <w:color w:val="000000"/>
                      <w:sz w:val="24"/>
                    </w:rPr>
                  </w:pPr>
                </w:p>
              </w:tc>
            </w:tr>
            <w:tr w14:paraId="553ED674">
              <w:tblPrEx>
                <w:tblCellMar>
                  <w:top w:w="0" w:type="dxa"/>
                  <w:left w:w="0" w:type="dxa"/>
                  <w:bottom w:w="0" w:type="dxa"/>
                  <w:right w:w="0" w:type="dxa"/>
                </w:tblCellMar>
              </w:tblPrEx>
              <w:trPr>
                <w:trHeight w:val="740"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D80AED">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FA8D62">
                  <w:pPr>
                    <w:jc w:val="center"/>
                    <w:rPr>
                      <w:rFonts w:ascii="宋体" w:hAnsi="宋体" w:cs="宋体"/>
                      <w:color w:val="000000"/>
                      <w:sz w:val="24"/>
                    </w:rPr>
                  </w:pPr>
                </w:p>
              </w:tc>
              <w:tc>
                <w:tcPr>
                  <w:tcW w:w="4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BA1F72">
                  <w:pPr>
                    <w:widowControl/>
                    <w:jc w:val="center"/>
                    <w:textAlignment w:val="center"/>
                    <w:rPr>
                      <w:rFonts w:ascii="宋体" w:hAnsi="宋体" w:cs="宋体"/>
                      <w:color w:val="000000"/>
                      <w:sz w:val="24"/>
                    </w:rPr>
                  </w:pPr>
                  <w:r>
                    <w:rPr>
                      <w:rFonts w:hint="eastAsia" w:ascii="宋体" w:hAnsi="宋体" w:cs="宋体"/>
                      <w:color w:val="000000"/>
                      <w:kern w:val="0"/>
                      <w:sz w:val="24"/>
                    </w:rPr>
                    <w:t>质量指标</w:t>
                  </w: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2DF27D">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保障了司法局政法队伍教育整顿的顺利开展</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D3F99F">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保障了司法局政法队伍教育整顿的顺利开展</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3BB2AC">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2A15B5">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AB9E04">
                  <w:pPr>
                    <w:rPr>
                      <w:rFonts w:ascii="宋体" w:hAnsi="宋体" w:cs="宋体"/>
                      <w:color w:val="000000"/>
                      <w:sz w:val="24"/>
                    </w:rPr>
                  </w:pPr>
                </w:p>
              </w:tc>
            </w:tr>
            <w:tr w14:paraId="215082C2">
              <w:tblPrEx>
                <w:tblCellMar>
                  <w:top w:w="0" w:type="dxa"/>
                  <w:left w:w="0" w:type="dxa"/>
                  <w:bottom w:w="0" w:type="dxa"/>
                  <w:right w:w="0" w:type="dxa"/>
                </w:tblCellMar>
              </w:tblPrEx>
              <w:trPr>
                <w:trHeight w:val="435"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0461C7">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0C1278">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E70A3">
                  <w:pPr>
                    <w:jc w:val="center"/>
                    <w:rPr>
                      <w:rFonts w:ascii="宋体" w:hAnsi="宋体" w:cs="宋体"/>
                      <w:color w:val="000000"/>
                      <w:sz w:val="24"/>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F2CCC3">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提升司法局整体素质</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B5BDF5">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提升司法局整体素质</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8A81D">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B472AC">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A3C0D4">
                  <w:pPr>
                    <w:rPr>
                      <w:rFonts w:ascii="宋体" w:hAnsi="宋体" w:cs="宋体"/>
                      <w:color w:val="000000"/>
                      <w:sz w:val="24"/>
                    </w:rPr>
                  </w:pPr>
                </w:p>
              </w:tc>
            </w:tr>
            <w:tr w14:paraId="5810AA70">
              <w:tblPrEx>
                <w:tblCellMar>
                  <w:top w:w="0" w:type="dxa"/>
                  <w:left w:w="0" w:type="dxa"/>
                  <w:bottom w:w="0" w:type="dxa"/>
                  <w:right w:w="0" w:type="dxa"/>
                </w:tblCellMar>
              </w:tblPrEx>
              <w:trPr>
                <w:trHeight w:val="435"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0411D">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63F2C0">
                  <w:pPr>
                    <w:jc w:val="center"/>
                    <w:rPr>
                      <w:rFonts w:ascii="宋体" w:hAnsi="宋体" w:cs="宋体"/>
                      <w:color w:val="000000"/>
                      <w:sz w:val="24"/>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AC7CC0">
                  <w:pPr>
                    <w:widowControl/>
                    <w:jc w:val="center"/>
                    <w:textAlignment w:val="center"/>
                    <w:rPr>
                      <w:rFonts w:ascii="宋体" w:hAnsi="宋体" w:cs="宋体"/>
                      <w:color w:val="000000"/>
                      <w:sz w:val="24"/>
                    </w:rPr>
                  </w:pPr>
                  <w:r>
                    <w:rPr>
                      <w:rFonts w:hint="eastAsia" w:ascii="宋体" w:hAnsi="宋体" w:cs="宋体"/>
                      <w:color w:val="000000"/>
                      <w:kern w:val="0"/>
                      <w:sz w:val="24"/>
                    </w:rPr>
                    <w:t>时效指标</w:t>
                  </w: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C80639">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 按工作计划</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73164">
                  <w:pPr>
                    <w:widowControl/>
                    <w:jc w:val="left"/>
                    <w:textAlignment w:val="center"/>
                    <w:rPr>
                      <w:rFonts w:ascii="宋体" w:hAnsi="宋体" w:cs="宋体"/>
                      <w:color w:val="000000"/>
                      <w:sz w:val="24"/>
                    </w:rPr>
                  </w:pPr>
                  <w:r>
                    <w:rPr>
                      <w:rFonts w:hint="eastAsia" w:ascii="宋体" w:hAnsi="宋体" w:cs="宋体"/>
                      <w:color w:val="000000"/>
                      <w:kern w:val="0"/>
                      <w:sz w:val="24"/>
                    </w:rPr>
                    <w:t>2021年</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2AD084">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E10AB2">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939656">
                  <w:pPr>
                    <w:rPr>
                      <w:rFonts w:ascii="宋体" w:hAnsi="宋体" w:cs="宋体"/>
                      <w:color w:val="000000"/>
                      <w:sz w:val="24"/>
                    </w:rPr>
                  </w:pPr>
                </w:p>
              </w:tc>
            </w:tr>
            <w:tr w14:paraId="5F9832D0">
              <w:tblPrEx>
                <w:tblCellMar>
                  <w:top w:w="0" w:type="dxa"/>
                  <w:left w:w="0" w:type="dxa"/>
                  <w:bottom w:w="0" w:type="dxa"/>
                  <w:right w:w="0" w:type="dxa"/>
                </w:tblCellMar>
              </w:tblPrEx>
              <w:trPr>
                <w:trHeight w:val="435"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665AD3">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FCC4FD">
                  <w:pPr>
                    <w:jc w:val="center"/>
                    <w:rPr>
                      <w:rFonts w:ascii="宋体" w:hAnsi="宋体" w:cs="宋体"/>
                      <w:color w:val="000000"/>
                      <w:sz w:val="24"/>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6B9731">
                  <w:pPr>
                    <w:widowControl/>
                    <w:jc w:val="center"/>
                    <w:textAlignment w:val="center"/>
                    <w:rPr>
                      <w:rFonts w:ascii="宋体" w:hAnsi="宋体" w:cs="宋体"/>
                      <w:color w:val="000000"/>
                      <w:sz w:val="24"/>
                    </w:rPr>
                  </w:pPr>
                  <w:r>
                    <w:rPr>
                      <w:rFonts w:hint="eastAsia" w:ascii="宋体" w:hAnsi="宋体" w:cs="宋体"/>
                      <w:color w:val="000000"/>
                      <w:kern w:val="0"/>
                      <w:sz w:val="24"/>
                    </w:rPr>
                    <w:t>成本指标</w:t>
                  </w: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CD5BE3">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政法队伍教育整顿专项工作经费11.18万元</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6C260">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政法队伍教育整顿专项工作经费11.18万元</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8EEEBE">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C69F47">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37709">
                  <w:pPr>
                    <w:rPr>
                      <w:rFonts w:ascii="宋体" w:hAnsi="宋体" w:cs="宋体"/>
                      <w:color w:val="000000"/>
                      <w:sz w:val="24"/>
                    </w:rPr>
                  </w:pPr>
                </w:p>
              </w:tc>
            </w:tr>
            <w:tr w14:paraId="400C991A">
              <w:tblPrEx>
                <w:tblCellMar>
                  <w:top w:w="0" w:type="dxa"/>
                  <w:left w:w="0" w:type="dxa"/>
                  <w:bottom w:w="0" w:type="dxa"/>
                  <w:right w:w="0" w:type="dxa"/>
                </w:tblCellMar>
              </w:tblPrEx>
              <w:trPr>
                <w:trHeight w:val="480"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CC020F">
                  <w:pPr>
                    <w:jc w:val="center"/>
                    <w:rPr>
                      <w:rFonts w:ascii="宋体" w:hAnsi="宋体" w:cs="宋体"/>
                      <w:color w:val="000000"/>
                      <w:sz w:val="24"/>
                    </w:rPr>
                  </w:pPr>
                </w:p>
              </w:tc>
              <w:tc>
                <w:tcPr>
                  <w:tcW w:w="4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340820">
                  <w:pPr>
                    <w:jc w:val="center"/>
                    <w:rPr>
                      <w:rFonts w:ascii="宋体" w:hAnsi="宋体" w:cs="宋体"/>
                      <w:color w:val="000000"/>
                      <w:sz w:val="24"/>
                    </w:rPr>
                  </w:pPr>
                </w:p>
              </w:tc>
              <w:tc>
                <w:tcPr>
                  <w:tcW w:w="4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C7BD9B">
                  <w:pPr>
                    <w:widowControl/>
                    <w:jc w:val="center"/>
                    <w:textAlignment w:val="center"/>
                    <w:rPr>
                      <w:rFonts w:ascii="宋体" w:hAnsi="宋体" w:cs="宋体"/>
                      <w:color w:val="000000"/>
                      <w:sz w:val="24"/>
                    </w:rPr>
                  </w:pPr>
                  <w:r>
                    <w:rPr>
                      <w:rFonts w:hint="eastAsia" w:ascii="宋体" w:hAnsi="宋体" w:cs="宋体"/>
                      <w:color w:val="000000"/>
                      <w:kern w:val="0"/>
                      <w:sz w:val="24"/>
                    </w:rPr>
                    <w:t>社会效益</w:t>
                  </w:r>
                  <w:r>
                    <w:rPr>
                      <w:rFonts w:hint="eastAsia" w:ascii="宋体" w:hAnsi="宋体" w:cs="宋体"/>
                      <w:color w:val="000000"/>
                      <w:kern w:val="0"/>
                      <w:sz w:val="24"/>
                    </w:rPr>
                    <w:br w:type="textWrapping"/>
                  </w:r>
                  <w:r>
                    <w:rPr>
                      <w:rFonts w:hint="eastAsia" w:ascii="宋体" w:hAnsi="宋体" w:cs="宋体"/>
                      <w:color w:val="000000"/>
                      <w:kern w:val="0"/>
                      <w:sz w:val="24"/>
                    </w:rPr>
                    <w:t>指标</w:t>
                  </w: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E84CA2">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保障了司法局政法队伍教育整顿的顺利开展</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1FE4B7">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保障了司法局政法队伍教育整顿的顺利开展</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E6367B">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F2F4CB">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AACDA2">
                  <w:pPr>
                    <w:rPr>
                      <w:rFonts w:ascii="宋体" w:hAnsi="宋体" w:cs="宋体"/>
                      <w:color w:val="000000"/>
                      <w:sz w:val="24"/>
                    </w:rPr>
                  </w:pPr>
                </w:p>
              </w:tc>
            </w:tr>
            <w:tr w14:paraId="7906F2B1">
              <w:tblPrEx>
                <w:tblCellMar>
                  <w:top w:w="0" w:type="dxa"/>
                  <w:left w:w="0" w:type="dxa"/>
                  <w:bottom w:w="0" w:type="dxa"/>
                  <w:right w:w="0" w:type="dxa"/>
                </w:tblCellMar>
              </w:tblPrEx>
              <w:trPr>
                <w:trHeight w:val="285"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B833C">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0C15CE">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00C5A1">
                  <w:pPr>
                    <w:jc w:val="center"/>
                    <w:rPr>
                      <w:rFonts w:ascii="宋体" w:hAnsi="宋体" w:cs="宋体"/>
                      <w:color w:val="000000"/>
                      <w:sz w:val="24"/>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D6E31C">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提升司法局整体素质</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4CF2FD">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提升司法局整体素质</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D8F1B4">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13660C">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76459C">
                  <w:pPr>
                    <w:rPr>
                      <w:rFonts w:ascii="宋体" w:hAnsi="宋体" w:cs="宋体"/>
                      <w:color w:val="000000"/>
                      <w:sz w:val="24"/>
                    </w:rPr>
                  </w:pPr>
                </w:p>
              </w:tc>
            </w:tr>
            <w:tr w14:paraId="3AF4A249">
              <w:tblPrEx>
                <w:tblCellMar>
                  <w:top w:w="0" w:type="dxa"/>
                  <w:left w:w="0" w:type="dxa"/>
                  <w:bottom w:w="0" w:type="dxa"/>
                  <w:right w:w="0" w:type="dxa"/>
                </w:tblCellMar>
              </w:tblPrEx>
              <w:trPr>
                <w:trHeight w:val="480"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92497">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53EECE">
                  <w:pPr>
                    <w:jc w:val="center"/>
                    <w:rPr>
                      <w:rFonts w:ascii="宋体" w:hAnsi="宋体" w:cs="宋体"/>
                      <w:color w:val="000000"/>
                      <w:sz w:val="24"/>
                    </w:rPr>
                  </w:pPr>
                </w:p>
              </w:tc>
              <w:tc>
                <w:tcPr>
                  <w:tcW w:w="4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0D5E2">
                  <w:pPr>
                    <w:widowControl/>
                    <w:jc w:val="center"/>
                    <w:textAlignment w:val="center"/>
                    <w:rPr>
                      <w:rFonts w:ascii="宋体" w:hAnsi="宋体" w:cs="宋体"/>
                      <w:color w:val="000000"/>
                      <w:sz w:val="24"/>
                    </w:rPr>
                  </w:pPr>
                  <w:r>
                    <w:rPr>
                      <w:rFonts w:hint="eastAsia" w:ascii="宋体" w:hAnsi="宋体" w:cs="宋体"/>
                      <w:color w:val="000000"/>
                      <w:kern w:val="0"/>
                      <w:sz w:val="24"/>
                    </w:rPr>
                    <w:t>可持续影响</w:t>
                  </w:r>
                  <w:r>
                    <w:rPr>
                      <w:rFonts w:hint="eastAsia" w:ascii="宋体" w:hAnsi="宋体" w:cs="宋体"/>
                      <w:color w:val="000000"/>
                      <w:kern w:val="0"/>
                      <w:sz w:val="24"/>
                    </w:rPr>
                    <w:br w:type="textWrapping"/>
                  </w:r>
                  <w:r>
                    <w:rPr>
                      <w:rFonts w:hint="eastAsia" w:ascii="宋体" w:hAnsi="宋体" w:cs="宋体"/>
                      <w:color w:val="000000"/>
                      <w:kern w:val="0"/>
                      <w:sz w:val="24"/>
                    </w:rPr>
                    <w:t>指标</w:t>
                  </w: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13C38F">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保障了司法局政法队伍教育整顿的顺利开展</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0363A7">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保障了司法局政法队伍教育整顿的顺利开展</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23DD6C">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F1430">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80153">
                  <w:pPr>
                    <w:rPr>
                      <w:rFonts w:ascii="宋体" w:hAnsi="宋体" w:cs="宋体"/>
                      <w:color w:val="000000"/>
                      <w:sz w:val="24"/>
                    </w:rPr>
                  </w:pPr>
                </w:p>
              </w:tc>
            </w:tr>
            <w:tr w14:paraId="39825016">
              <w:tblPrEx>
                <w:tblCellMar>
                  <w:top w:w="0" w:type="dxa"/>
                  <w:left w:w="0" w:type="dxa"/>
                  <w:bottom w:w="0" w:type="dxa"/>
                  <w:right w:w="0" w:type="dxa"/>
                </w:tblCellMar>
              </w:tblPrEx>
              <w:trPr>
                <w:trHeight w:val="285"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2FA7FA">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9E7555">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55205">
                  <w:pPr>
                    <w:jc w:val="center"/>
                    <w:rPr>
                      <w:rFonts w:ascii="宋体" w:hAnsi="宋体" w:cs="宋体"/>
                      <w:color w:val="000000"/>
                      <w:sz w:val="24"/>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C9C0E2">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提升司法局整体素质</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BA49CA">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提升司法局整体素质</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03EDE4">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470FC1">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3B0D79">
                  <w:pPr>
                    <w:rPr>
                      <w:rFonts w:ascii="宋体" w:hAnsi="宋体" w:cs="宋体"/>
                      <w:color w:val="000000"/>
                      <w:sz w:val="24"/>
                    </w:rPr>
                  </w:pPr>
                </w:p>
              </w:tc>
            </w:tr>
            <w:tr w14:paraId="4E1A09AA">
              <w:tblPrEx>
                <w:tblCellMar>
                  <w:top w:w="0" w:type="dxa"/>
                  <w:left w:w="0" w:type="dxa"/>
                  <w:bottom w:w="0" w:type="dxa"/>
                  <w:right w:w="0" w:type="dxa"/>
                </w:tblCellMar>
              </w:tblPrEx>
              <w:trPr>
                <w:trHeight w:val="285"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CE1E2A">
                  <w:pPr>
                    <w:jc w:val="center"/>
                    <w:rPr>
                      <w:rFonts w:ascii="宋体" w:hAnsi="宋体" w:cs="宋体"/>
                      <w:color w:val="000000"/>
                      <w:sz w:val="24"/>
                    </w:rPr>
                  </w:pPr>
                </w:p>
              </w:tc>
              <w:tc>
                <w:tcPr>
                  <w:tcW w:w="4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D3F98C">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4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A47AD">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EE5CA">
                  <w:pPr>
                    <w:widowControl/>
                    <w:jc w:val="left"/>
                    <w:textAlignment w:val="center"/>
                    <w:rPr>
                      <w:rFonts w:ascii="宋体" w:hAnsi="宋体" w:cs="宋体"/>
                      <w:color w:val="000000"/>
                      <w:sz w:val="24"/>
                    </w:rPr>
                  </w:pPr>
                  <w:r>
                    <w:rPr>
                      <w:rFonts w:hint="eastAsia" w:ascii="宋体" w:hAnsi="宋体" w:cs="宋体"/>
                      <w:color w:val="000000"/>
                      <w:kern w:val="0"/>
                      <w:sz w:val="24"/>
                    </w:rPr>
                    <w:t>群众满意度</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DCA1D2">
                  <w:pPr>
                    <w:widowControl/>
                    <w:jc w:val="left"/>
                    <w:textAlignment w:val="center"/>
                    <w:rPr>
                      <w:rFonts w:ascii="宋体" w:hAnsi="宋体" w:cs="宋体"/>
                      <w:color w:val="000000"/>
                      <w:sz w:val="24"/>
                    </w:rPr>
                  </w:pPr>
                  <w:r>
                    <w:rPr>
                      <w:rFonts w:hint="eastAsia" w:ascii="宋体" w:hAnsi="宋体" w:cs="宋体"/>
                      <w:color w:val="000000"/>
                      <w:kern w:val="0"/>
                      <w:sz w:val="24"/>
                    </w:rPr>
                    <w:t>满意及以上</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9DB94">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772C0">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88249B">
                  <w:pPr>
                    <w:rPr>
                      <w:rFonts w:ascii="宋体" w:hAnsi="宋体" w:cs="宋体"/>
                      <w:color w:val="000000"/>
                      <w:sz w:val="24"/>
                    </w:rPr>
                  </w:pPr>
                </w:p>
              </w:tc>
            </w:tr>
            <w:tr w14:paraId="430242A0">
              <w:tblPrEx>
                <w:tblCellMar>
                  <w:top w:w="0" w:type="dxa"/>
                  <w:left w:w="0" w:type="dxa"/>
                  <w:bottom w:w="0" w:type="dxa"/>
                  <w:right w:w="0" w:type="dxa"/>
                </w:tblCellMar>
              </w:tblPrEx>
              <w:trPr>
                <w:trHeight w:val="285"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88665">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6B5393">
                  <w:pPr>
                    <w:jc w:val="center"/>
                    <w:rPr>
                      <w:rFonts w:ascii="宋体" w:hAnsi="宋体" w:cs="宋体"/>
                      <w:color w:val="000000"/>
                      <w:sz w:val="24"/>
                    </w:rPr>
                  </w:pPr>
                </w:p>
              </w:tc>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54DC5C">
                  <w:pPr>
                    <w:jc w:val="center"/>
                    <w:rPr>
                      <w:rFonts w:ascii="宋体" w:hAnsi="宋体" w:cs="宋体"/>
                      <w:color w:val="000000"/>
                      <w:sz w:val="24"/>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2AE87E">
                  <w:pPr>
                    <w:widowControl/>
                    <w:jc w:val="left"/>
                    <w:textAlignment w:val="center"/>
                    <w:rPr>
                      <w:rFonts w:ascii="宋体" w:hAnsi="宋体" w:cs="宋体"/>
                      <w:color w:val="000000"/>
                      <w:sz w:val="24"/>
                    </w:rPr>
                  </w:pPr>
                  <w:r>
                    <w:rPr>
                      <w:rFonts w:hint="eastAsia" w:ascii="宋体" w:hAnsi="宋体" w:cs="宋体"/>
                      <w:color w:val="000000"/>
                      <w:kern w:val="0"/>
                      <w:sz w:val="24"/>
                    </w:rPr>
                    <w:t>职工满意度</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D7AD40">
                  <w:pPr>
                    <w:widowControl/>
                    <w:jc w:val="left"/>
                    <w:textAlignment w:val="center"/>
                    <w:rPr>
                      <w:rFonts w:ascii="宋体" w:hAnsi="宋体" w:cs="宋体"/>
                      <w:color w:val="000000"/>
                      <w:sz w:val="24"/>
                    </w:rPr>
                  </w:pPr>
                  <w:r>
                    <w:rPr>
                      <w:rFonts w:hint="eastAsia" w:ascii="宋体" w:hAnsi="宋体" w:cs="宋体"/>
                      <w:color w:val="000000"/>
                      <w:kern w:val="0"/>
                      <w:sz w:val="24"/>
                    </w:rPr>
                    <w:t>满意及以上</w:t>
                  </w:r>
                </w:p>
              </w:tc>
              <w:tc>
                <w:tcPr>
                  <w:tcW w:w="1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F7F95D">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8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7B5EF7">
                  <w:pPr>
                    <w:widowControl/>
                    <w:jc w:val="right"/>
                    <w:textAlignment w:val="center"/>
                    <w:rPr>
                      <w:rFonts w:ascii="宋体" w:hAnsi="宋体" w:cs="宋体"/>
                      <w:color w:val="000000"/>
                      <w:sz w:val="24"/>
                    </w:rPr>
                  </w:pPr>
                  <w:r>
                    <w:rPr>
                      <w:rFonts w:hint="eastAsia" w:ascii="宋体" w:hAnsi="宋体" w:cs="宋体"/>
                      <w:color w:val="000000"/>
                      <w:kern w:val="0"/>
                      <w:sz w:val="24"/>
                    </w:rPr>
                    <w:t>100%</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7BE42E">
                  <w:pPr>
                    <w:rPr>
                      <w:rFonts w:ascii="宋体" w:hAnsi="宋体" w:cs="宋体"/>
                      <w:color w:val="000000"/>
                      <w:sz w:val="24"/>
                    </w:rPr>
                  </w:pPr>
                </w:p>
              </w:tc>
            </w:tr>
          </w:tbl>
          <w:p w14:paraId="6411BB8F">
            <w:pPr>
              <w:pStyle w:val="7"/>
            </w:pPr>
          </w:p>
        </w:tc>
      </w:tr>
      <w:bookmarkEnd w:id="111"/>
    </w:tbl>
    <w:p w14:paraId="0A203C9E">
      <w:pPr>
        <w:pStyle w:val="4"/>
        <w:jc w:val="center"/>
        <w:rPr>
          <w:rFonts w:ascii="黑体" w:hAnsi="黑体" w:eastAsia="黑体" w:cs="黑体"/>
          <w:b w:val="0"/>
          <w:sz w:val="44"/>
          <w:szCs w:val="44"/>
        </w:rPr>
      </w:pPr>
      <w:bookmarkStart w:id="146" w:name="_Toc29778_WPSOffice_Level1"/>
      <w:bookmarkStart w:id="147" w:name="_Toc15396619"/>
      <w:r>
        <w:rPr>
          <w:rFonts w:hint="eastAsia" w:ascii="黑体" w:hAnsi="黑体" w:eastAsia="黑体" w:cs="黑体"/>
          <w:b w:val="0"/>
          <w:sz w:val="44"/>
          <w:szCs w:val="44"/>
        </w:rPr>
        <w:t>第五部分 附表</w:t>
      </w:r>
      <w:bookmarkEnd w:id="146"/>
    </w:p>
    <w:p w14:paraId="129340E6">
      <w:pPr>
        <w:pStyle w:val="4"/>
        <w:rPr>
          <w:rFonts w:ascii="仿宋" w:hAnsi="仿宋" w:eastAsia="仿宋"/>
        </w:rPr>
      </w:pPr>
      <w:bookmarkStart w:id="148" w:name="_Toc6729_WPSOffice_Level2"/>
      <w:r>
        <w:rPr>
          <w:rFonts w:hint="eastAsia" w:ascii="仿宋" w:hAnsi="仿宋" w:eastAsia="仿宋"/>
          <w:b w:val="0"/>
        </w:rPr>
        <w:t>一、收</w:t>
      </w:r>
      <w:r>
        <w:rPr>
          <w:rStyle w:val="32"/>
          <w:rFonts w:hint="eastAsia" w:ascii="仿宋" w:hAnsi="仿宋" w:eastAsia="仿宋"/>
          <w:b w:val="0"/>
          <w:bCs w:val="0"/>
        </w:rPr>
        <w:t>入支出决算总表</w:t>
      </w:r>
      <w:bookmarkEnd w:id="147"/>
      <w:bookmarkEnd w:id="148"/>
    </w:p>
    <w:p w14:paraId="5F8B7BF7">
      <w:pPr>
        <w:pStyle w:val="4"/>
        <w:rPr>
          <w:rFonts w:ascii="仿宋" w:hAnsi="仿宋" w:eastAsia="仿宋"/>
        </w:rPr>
      </w:pPr>
      <w:bookmarkStart w:id="149" w:name="_Toc24441_WPSOffice_Level2"/>
      <w:bookmarkStart w:id="150" w:name="_Toc15396620"/>
      <w:r>
        <w:rPr>
          <w:rFonts w:hint="eastAsia" w:ascii="仿宋" w:hAnsi="仿宋" w:eastAsia="仿宋"/>
          <w:b w:val="0"/>
        </w:rPr>
        <w:t>二、收</w:t>
      </w:r>
      <w:r>
        <w:rPr>
          <w:rStyle w:val="32"/>
          <w:rFonts w:hint="eastAsia" w:ascii="仿宋" w:hAnsi="仿宋" w:eastAsia="仿宋"/>
          <w:b w:val="0"/>
          <w:bCs w:val="0"/>
        </w:rPr>
        <w:t>入决算表</w:t>
      </w:r>
      <w:bookmarkEnd w:id="149"/>
      <w:bookmarkEnd w:id="150"/>
    </w:p>
    <w:p w14:paraId="4803FFFC">
      <w:pPr>
        <w:pStyle w:val="4"/>
        <w:rPr>
          <w:rFonts w:ascii="仿宋" w:hAnsi="仿宋" w:eastAsia="仿宋"/>
        </w:rPr>
      </w:pPr>
      <w:bookmarkStart w:id="151" w:name="_Toc15396621"/>
      <w:bookmarkStart w:id="152" w:name="_Toc32460_WPSOffice_Level2"/>
      <w:r>
        <w:rPr>
          <w:rStyle w:val="32"/>
          <w:rFonts w:hint="eastAsia" w:ascii="仿宋" w:hAnsi="仿宋" w:eastAsia="仿宋"/>
          <w:b w:val="0"/>
          <w:bCs w:val="0"/>
        </w:rPr>
        <w:t>三、</w:t>
      </w:r>
      <w:r>
        <w:rPr>
          <w:rFonts w:hint="eastAsia" w:ascii="仿宋" w:hAnsi="仿宋" w:eastAsia="仿宋"/>
          <w:b w:val="0"/>
        </w:rPr>
        <w:t>支</w:t>
      </w:r>
      <w:r>
        <w:rPr>
          <w:rStyle w:val="32"/>
          <w:rFonts w:hint="eastAsia" w:ascii="仿宋" w:hAnsi="仿宋" w:eastAsia="仿宋"/>
          <w:b w:val="0"/>
          <w:bCs w:val="0"/>
        </w:rPr>
        <w:t>出决算表</w:t>
      </w:r>
      <w:bookmarkEnd w:id="151"/>
      <w:bookmarkEnd w:id="152"/>
    </w:p>
    <w:p w14:paraId="24AA78A0">
      <w:pPr>
        <w:pStyle w:val="4"/>
        <w:rPr>
          <w:rFonts w:ascii="仿宋" w:hAnsi="仿宋" w:eastAsia="仿宋"/>
          <w:b w:val="0"/>
        </w:rPr>
      </w:pPr>
      <w:bookmarkStart w:id="153" w:name="_Toc15396622"/>
      <w:bookmarkStart w:id="154" w:name="_Toc22939_WPSOffice_Level2"/>
      <w:r>
        <w:rPr>
          <w:rStyle w:val="32"/>
          <w:rFonts w:hint="eastAsia" w:ascii="仿宋" w:hAnsi="仿宋" w:eastAsia="仿宋"/>
          <w:b w:val="0"/>
          <w:bCs w:val="0"/>
        </w:rPr>
        <w:t>四、</w:t>
      </w:r>
      <w:r>
        <w:rPr>
          <w:rFonts w:hint="eastAsia" w:ascii="仿宋" w:hAnsi="仿宋" w:eastAsia="仿宋"/>
          <w:b w:val="0"/>
        </w:rPr>
        <w:t>财</w:t>
      </w:r>
      <w:r>
        <w:rPr>
          <w:rStyle w:val="32"/>
          <w:rFonts w:hint="eastAsia" w:ascii="仿宋" w:hAnsi="仿宋" w:eastAsia="仿宋"/>
          <w:b w:val="0"/>
          <w:bCs w:val="0"/>
        </w:rPr>
        <w:t>政拨款收入支出决算总表</w:t>
      </w:r>
      <w:bookmarkEnd w:id="153"/>
      <w:bookmarkEnd w:id="154"/>
    </w:p>
    <w:p w14:paraId="13F43ED6">
      <w:pPr>
        <w:pStyle w:val="4"/>
        <w:rPr>
          <w:rStyle w:val="32"/>
          <w:rFonts w:ascii="仿宋" w:hAnsi="仿宋" w:eastAsia="仿宋"/>
          <w:b w:val="0"/>
          <w:bCs w:val="0"/>
        </w:rPr>
      </w:pPr>
      <w:bookmarkStart w:id="155" w:name="_Toc20104_WPSOffice_Level2"/>
      <w:bookmarkStart w:id="156" w:name="_Toc15396623"/>
      <w:r>
        <w:rPr>
          <w:rStyle w:val="32"/>
          <w:rFonts w:hint="eastAsia" w:ascii="仿宋" w:hAnsi="仿宋" w:eastAsia="仿宋"/>
          <w:b w:val="0"/>
          <w:bCs w:val="0"/>
        </w:rPr>
        <w:t>五、</w:t>
      </w:r>
      <w:r>
        <w:rPr>
          <w:rFonts w:hint="eastAsia" w:ascii="仿宋" w:hAnsi="仿宋" w:eastAsia="仿宋"/>
          <w:b w:val="0"/>
        </w:rPr>
        <w:t>财</w:t>
      </w:r>
      <w:r>
        <w:rPr>
          <w:rStyle w:val="32"/>
          <w:rFonts w:hint="eastAsia" w:ascii="仿宋" w:hAnsi="仿宋" w:eastAsia="仿宋"/>
          <w:b w:val="0"/>
          <w:bCs w:val="0"/>
        </w:rPr>
        <w:t>政拨款支出决算明细表</w:t>
      </w:r>
      <w:bookmarkEnd w:id="155"/>
      <w:bookmarkEnd w:id="156"/>
      <w:bookmarkStart w:id="157" w:name="_Toc15396624"/>
    </w:p>
    <w:p w14:paraId="6FCC68F4">
      <w:pPr>
        <w:pStyle w:val="4"/>
        <w:rPr>
          <w:rFonts w:ascii="仿宋" w:hAnsi="仿宋" w:eastAsia="仿宋"/>
        </w:rPr>
      </w:pPr>
      <w:bookmarkStart w:id="158" w:name="_Toc4266_WPSOffice_Level2"/>
      <w:r>
        <w:rPr>
          <w:rStyle w:val="32"/>
          <w:rFonts w:hint="eastAsia" w:ascii="仿宋" w:hAnsi="仿宋" w:eastAsia="仿宋"/>
          <w:b w:val="0"/>
          <w:bCs w:val="0"/>
        </w:rPr>
        <w:t>六、</w:t>
      </w:r>
      <w:r>
        <w:rPr>
          <w:rFonts w:hint="eastAsia" w:ascii="仿宋" w:hAnsi="仿宋" w:eastAsia="仿宋"/>
          <w:b w:val="0"/>
        </w:rPr>
        <w:t>一</w:t>
      </w:r>
      <w:r>
        <w:rPr>
          <w:rStyle w:val="32"/>
          <w:rFonts w:hint="eastAsia" w:ascii="仿宋" w:hAnsi="仿宋" w:eastAsia="仿宋"/>
          <w:b w:val="0"/>
          <w:bCs w:val="0"/>
        </w:rPr>
        <w:t>般公共预算财政拨款支出决算表</w:t>
      </w:r>
      <w:bookmarkEnd w:id="157"/>
      <w:bookmarkEnd w:id="158"/>
    </w:p>
    <w:p w14:paraId="6A630561">
      <w:pPr>
        <w:pStyle w:val="4"/>
        <w:rPr>
          <w:rFonts w:ascii="仿宋" w:hAnsi="仿宋" w:eastAsia="仿宋"/>
        </w:rPr>
      </w:pPr>
      <w:bookmarkStart w:id="159" w:name="_Toc15396625"/>
      <w:bookmarkStart w:id="160" w:name="_Toc5303_WPSOffice_Level2"/>
      <w:r>
        <w:rPr>
          <w:rStyle w:val="32"/>
          <w:rFonts w:hint="eastAsia" w:ascii="仿宋" w:hAnsi="仿宋" w:eastAsia="仿宋"/>
          <w:b w:val="0"/>
          <w:bCs w:val="0"/>
        </w:rPr>
        <w:t>七、</w:t>
      </w:r>
      <w:r>
        <w:rPr>
          <w:rFonts w:hint="eastAsia" w:ascii="仿宋" w:hAnsi="仿宋" w:eastAsia="仿宋"/>
          <w:b w:val="0"/>
        </w:rPr>
        <w:t>一</w:t>
      </w:r>
      <w:r>
        <w:rPr>
          <w:rStyle w:val="32"/>
          <w:rFonts w:hint="eastAsia" w:ascii="仿宋" w:hAnsi="仿宋" w:eastAsia="仿宋"/>
          <w:b w:val="0"/>
          <w:bCs w:val="0"/>
        </w:rPr>
        <w:t>般公共预算财政拨款支出决算明细表</w:t>
      </w:r>
      <w:bookmarkEnd w:id="159"/>
      <w:bookmarkEnd w:id="160"/>
    </w:p>
    <w:p w14:paraId="10893127">
      <w:pPr>
        <w:pStyle w:val="4"/>
        <w:rPr>
          <w:rFonts w:ascii="仿宋" w:hAnsi="仿宋" w:eastAsia="仿宋"/>
        </w:rPr>
      </w:pPr>
      <w:bookmarkStart w:id="161" w:name="_Toc15396626"/>
      <w:bookmarkStart w:id="162" w:name="_Toc24996_WPSOffice_Level2"/>
      <w:r>
        <w:rPr>
          <w:rStyle w:val="32"/>
          <w:rFonts w:hint="eastAsia" w:ascii="仿宋" w:hAnsi="仿宋" w:eastAsia="仿宋"/>
          <w:b w:val="0"/>
          <w:bCs w:val="0"/>
        </w:rPr>
        <w:t>八、</w:t>
      </w:r>
      <w:r>
        <w:rPr>
          <w:rFonts w:hint="eastAsia" w:ascii="仿宋" w:hAnsi="仿宋" w:eastAsia="仿宋"/>
          <w:b w:val="0"/>
        </w:rPr>
        <w:t>一</w:t>
      </w:r>
      <w:r>
        <w:rPr>
          <w:rStyle w:val="32"/>
          <w:rFonts w:hint="eastAsia" w:ascii="仿宋" w:hAnsi="仿宋" w:eastAsia="仿宋"/>
          <w:b w:val="0"/>
          <w:bCs w:val="0"/>
        </w:rPr>
        <w:t>般公共预算财政拨款基本支出决算表</w:t>
      </w:r>
      <w:bookmarkEnd w:id="161"/>
      <w:bookmarkEnd w:id="162"/>
    </w:p>
    <w:p w14:paraId="3DA9988D">
      <w:pPr>
        <w:pStyle w:val="4"/>
        <w:rPr>
          <w:rFonts w:ascii="仿宋" w:hAnsi="仿宋" w:eastAsia="仿宋"/>
        </w:rPr>
      </w:pPr>
      <w:bookmarkStart w:id="163" w:name="_Toc1611_WPSOffice_Level2"/>
      <w:bookmarkStart w:id="164" w:name="_Toc15396627"/>
      <w:r>
        <w:rPr>
          <w:rStyle w:val="32"/>
          <w:rFonts w:hint="eastAsia" w:ascii="仿宋" w:hAnsi="仿宋" w:eastAsia="仿宋"/>
          <w:b w:val="0"/>
          <w:bCs w:val="0"/>
        </w:rPr>
        <w:t>九、</w:t>
      </w:r>
      <w:r>
        <w:rPr>
          <w:rFonts w:hint="eastAsia" w:ascii="仿宋" w:hAnsi="仿宋" w:eastAsia="仿宋"/>
          <w:b w:val="0"/>
        </w:rPr>
        <w:t>一</w:t>
      </w:r>
      <w:r>
        <w:rPr>
          <w:rStyle w:val="32"/>
          <w:rFonts w:hint="eastAsia" w:ascii="仿宋" w:hAnsi="仿宋" w:eastAsia="仿宋"/>
          <w:b w:val="0"/>
          <w:bCs w:val="0"/>
        </w:rPr>
        <w:t>般公共预算财政拨款项目支出决算表</w:t>
      </w:r>
      <w:bookmarkEnd w:id="163"/>
      <w:bookmarkEnd w:id="164"/>
    </w:p>
    <w:p w14:paraId="61386585">
      <w:pPr>
        <w:pStyle w:val="4"/>
        <w:rPr>
          <w:rFonts w:ascii="仿宋" w:hAnsi="仿宋" w:eastAsia="仿宋"/>
        </w:rPr>
      </w:pPr>
      <w:bookmarkStart w:id="165" w:name="_Toc29180_WPSOffice_Level2"/>
      <w:bookmarkStart w:id="166" w:name="_Toc15396628"/>
      <w:r>
        <w:rPr>
          <w:rStyle w:val="32"/>
          <w:rFonts w:hint="eastAsia" w:ascii="仿宋" w:hAnsi="仿宋" w:eastAsia="仿宋"/>
          <w:b w:val="0"/>
          <w:bCs w:val="0"/>
        </w:rPr>
        <w:t>十、</w:t>
      </w:r>
      <w:r>
        <w:rPr>
          <w:rFonts w:hint="eastAsia" w:ascii="仿宋" w:hAnsi="仿宋" w:eastAsia="仿宋"/>
          <w:b w:val="0"/>
        </w:rPr>
        <w:t>一</w:t>
      </w:r>
      <w:r>
        <w:rPr>
          <w:rStyle w:val="32"/>
          <w:rFonts w:hint="eastAsia" w:ascii="仿宋" w:hAnsi="仿宋" w:eastAsia="仿宋"/>
          <w:b w:val="0"/>
          <w:bCs w:val="0"/>
        </w:rPr>
        <w:t>般公共预算财政拨款“三公”经费支出决算表</w:t>
      </w:r>
      <w:bookmarkEnd w:id="165"/>
      <w:bookmarkEnd w:id="166"/>
    </w:p>
    <w:p w14:paraId="5A34A82D">
      <w:pPr>
        <w:pStyle w:val="4"/>
        <w:rPr>
          <w:rFonts w:ascii="仿宋" w:hAnsi="仿宋" w:eastAsia="仿宋"/>
        </w:rPr>
      </w:pPr>
      <w:bookmarkStart w:id="167" w:name="_Toc15396629"/>
      <w:bookmarkStart w:id="168" w:name="_Toc28201_WPSOffice_Level2"/>
      <w:r>
        <w:rPr>
          <w:rStyle w:val="32"/>
          <w:rFonts w:hint="eastAsia" w:ascii="仿宋" w:hAnsi="仿宋" w:eastAsia="仿宋"/>
          <w:b w:val="0"/>
          <w:bCs w:val="0"/>
        </w:rPr>
        <w:t>十一、</w:t>
      </w:r>
      <w:r>
        <w:rPr>
          <w:rFonts w:hint="eastAsia" w:ascii="仿宋" w:hAnsi="仿宋" w:eastAsia="仿宋"/>
          <w:b w:val="0"/>
        </w:rPr>
        <w:t>政</w:t>
      </w:r>
      <w:r>
        <w:rPr>
          <w:rStyle w:val="32"/>
          <w:rFonts w:hint="eastAsia" w:ascii="仿宋" w:hAnsi="仿宋" w:eastAsia="仿宋"/>
          <w:b w:val="0"/>
          <w:bCs w:val="0"/>
        </w:rPr>
        <w:t>府性基金预算财政拨款收入支出决算表</w:t>
      </w:r>
      <w:bookmarkEnd w:id="167"/>
      <w:bookmarkEnd w:id="168"/>
    </w:p>
    <w:p w14:paraId="20C3C1B1">
      <w:pPr>
        <w:pStyle w:val="4"/>
        <w:rPr>
          <w:rFonts w:ascii="仿宋" w:hAnsi="仿宋" w:eastAsia="仿宋"/>
        </w:rPr>
      </w:pPr>
      <w:bookmarkStart w:id="169" w:name="_Toc15396630"/>
      <w:bookmarkStart w:id="170" w:name="_Toc5971_WPSOffice_Level2"/>
      <w:r>
        <w:rPr>
          <w:rStyle w:val="32"/>
          <w:rFonts w:hint="eastAsia" w:ascii="仿宋" w:hAnsi="仿宋" w:eastAsia="仿宋"/>
          <w:b w:val="0"/>
          <w:bCs w:val="0"/>
        </w:rPr>
        <w:t>十二、</w:t>
      </w:r>
      <w:r>
        <w:rPr>
          <w:rFonts w:hint="eastAsia" w:ascii="仿宋" w:hAnsi="仿宋" w:eastAsia="仿宋"/>
          <w:b w:val="0"/>
        </w:rPr>
        <w:t>政</w:t>
      </w:r>
      <w:r>
        <w:rPr>
          <w:rStyle w:val="32"/>
          <w:rFonts w:hint="eastAsia" w:ascii="仿宋" w:hAnsi="仿宋" w:eastAsia="仿宋"/>
          <w:b w:val="0"/>
          <w:bCs w:val="0"/>
        </w:rPr>
        <w:t>府性基金预算财政拨款“三公”经费支出决算表</w:t>
      </w:r>
      <w:bookmarkEnd w:id="169"/>
      <w:bookmarkEnd w:id="170"/>
    </w:p>
    <w:p w14:paraId="2D613A73">
      <w:pPr>
        <w:pStyle w:val="4"/>
        <w:rPr>
          <w:rStyle w:val="32"/>
          <w:rFonts w:ascii="仿宋" w:hAnsi="仿宋" w:eastAsia="仿宋"/>
          <w:b w:val="0"/>
          <w:bCs w:val="0"/>
        </w:rPr>
      </w:pPr>
      <w:bookmarkStart w:id="171" w:name="_Toc15396631"/>
      <w:bookmarkStart w:id="172" w:name="_Toc28789_WPSOffice_Level2"/>
      <w:r>
        <w:rPr>
          <w:rStyle w:val="32"/>
          <w:rFonts w:hint="eastAsia" w:ascii="仿宋" w:hAnsi="仿宋" w:eastAsia="仿宋"/>
          <w:b w:val="0"/>
          <w:bCs w:val="0"/>
        </w:rPr>
        <w:t>十三、</w:t>
      </w:r>
      <w:r>
        <w:rPr>
          <w:rFonts w:hint="eastAsia" w:ascii="仿宋" w:hAnsi="仿宋" w:eastAsia="仿宋"/>
          <w:b w:val="0"/>
        </w:rPr>
        <w:t>国</w:t>
      </w:r>
      <w:r>
        <w:rPr>
          <w:rStyle w:val="32"/>
          <w:rFonts w:hint="eastAsia" w:ascii="仿宋" w:hAnsi="仿宋" w:eastAsia="仿宋"/>
          <w:b w:val="0"/>
          <w:bCs w:val="0"/>
        </w:rPr>
        <w:t>有资本经营预算财政拨款收入支出决算表</w:t>
      </w:r>
      <w:bookmarkEnd w:id="171"/>
      <w:bookmarkEnd w:id="172"/>
    </w:p>
    <w:p w14:paraId="47DC5C16">
      <w:pPr>
        <w:rPr>
          <w:rFonts w:eastAsia="仿宋"/>
        </w:rPr>
      </w:pPr>
      <w:bookmarkStart w:id="173" w:name="_Toc7708_WPSOffice_Level2"/>
      <w:r>
        <w:rPr>
          <w:rStyle w:val="32"/>
          <w:rFonts w:hint="eastAsia" w:ascii="仿宋" w:hAnsi="仿宋" w:eastAsia="仿宋"/>
          <w:b w:val="0"/>
          <w:bCs w:val="0"/>
        </w:rPr>
        <w:t>十四、国有资本经营预算财政拨款支出决算表</w:t>
      </w:r>
      <w:bookmarkEnd w:id="173"/>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538927FC">
        <w:pPr>
          <w:pStyle w:val="12"/>
          <w:jc w:val="center"/>
        </w:pPr>
        <w:r>
          <w:fldChar w:fldCharType="begin"/>
        </w:r>
        <w:r>
          <w:instrText xml:space="preserve">PAGE   \* MERGEFORMAT</w:instrText>
        </w:r>
        <w:r>
          <w:fldChar w:fldCharType="separate"/>
        </w:r>
        <w:r>
          <w:rPr>
            <w:lang w:val="zh-CN"/>
          </w:rPr>
          <w:t>30</w:t>
        </w:r>
        <w:r>
          <w:fldChar w:fldCharType="end"/>
        </w:r>
      </w:p>
    </w:sdtContent>
  </w:sdt>
  <w:p w14:paraId="388A5863">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42A86">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F8E9B74F"/>
    <w:multiLevelType w:val="singleLevel"/>
    <w:tmpl w:val="F8E9B74F"/>
    <w:lvl w:ilvl="0" w:tentative="0">
      <w:start w:val="2"/>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5F8519F5"/>
    <w:multiLevelType w:val="singleLevel"/>
    <w:tmpl w:val="5F8519F5"/>
    <w:lvl w:ilvl="0" w:tentative="0">
      <w:start w:val="2"/>
      <w:numFmt w:val="chineseCounting"/>
      <w:suff w:val="nothing"/>
      <w:lvlText w:val="%1、"/>
      <w:lvlJc w:val="left"/>
    </w:lvl>
  </w:abstractNum>
  <w:abstractNum w:abstractNumId="5">
    <w:nsid w:val="5F89045C"/>
    <w:multiLevelType w:val="singleLevel"/>
    <w:tmpl w:val="5F89045C"/>
    <w:lvl w:ilvl="0" w:tentative="0">
      <w:start w:val="3"/>
      <w:numFmt w:val="chineseCounting"/>
      <w:suff w:val="nothing"/>
      <w:lvlText w:val="（%1）"/>
      <w:lvlJc w:val="left"/>
    </w:lvl>
  </w:abstractNum>
  <w:abstractNum w:abstractNumId="6">
    <w:nsid w:val="61319331"/>
    <w:multiLevelType w:val="singleLevel"/>
    <w:tmpl w:val="61319331"/>
    <w:lvl w:ilvl="0" w:tentative="0">
      <w:start w:val="1"/>
      <w:numFmt w:val="chineseCounting"/>
      <w:suff w:val="nothing"/>
      <w:lvlText w:val="（%1）"/>
      <w:lvlJc w:val="left"/>
    </w:lvl>
  </w:abstractNum>
  <w:abstractNum w:abstractNumId="7">
    <w:nsid w:val="6135DEAC"/>
    <w:multiLevelType w:val="singleLevel"/>
    <w:tmpl w:val="6135DEAC"/>
    <w:lvl w:ilvl="0" w:tentative="0">
      <w:start w:val="1"/>
      <w:numFmt w:val="chineseCounting"/>
      <w:suff w:val="nothing"/>
      <w:lvlText w:val="（%1）"/>
      <w:lvlJc w:val="left"/>
    </w:lvl>
  </w:abstractNum>
  <w:abstractNum w:abstractNumId="8">
    <w:nsid w:val="627A298E"/>
    <w:multiLevelType w:val="singleLevel"/>
    <w:tmpl w:val="627A298E"/>
    <w:lvl w:ilvl="0" w:tentative="0">
      <w:start w:val="2"/>
      <w:numFmt w:val="decimal"/>
      <w:suff w:val="nothing"/>
      <w:lvlText w:val="%1."/>
      <w:lvlJc w:val="left"/>
    </w:lvl>
  </w:abstractNum>
  <w:num w:numId="1">
    <w:abstractNumId w:val="3"/>
  </w:num>
  <w:num w:numId="2">
    <w:abstractNumId w:val="0"/>
  </w:num>
  <w:num w:numId="3">
    <w:abstractNumId w:val="1"/>
  </w:num>
  <w:num w:numId="4">
    <w:abstractNumId w:val="4"/>
  </w:num>
  <w:num w:numId="5">
    <w:abstractNumId w:val="5"/>
  </w:num>
  <w:num w:numId="6">
    <w:abstractNumId w:val="6"/>
  </w:num>
  <w:num w:numId="7">
    <w:abstractNumId w:val="8"/>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426E"/>
    <w:rsid w:val="000D5782"/>
    <w:rsid w:val="000E4191"/>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21CCD"/>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1F7A"/>
    <w:rsid w:val="004223DE"/>
    <w:rsid w:val="00434489"/>
    <w:rsid w:val="00437085"/>
    <w:rsid w:val="00443880"/>
    <w:rsid w:val="004464F4"/>
    <w:rsid w:val="00451C72"/>
    <w:rsid w:val="00457321"/>
    <w:rsid w:val="004643DF"/>
    <w:rsid w:val="00471401"/>
    <w:rsid w:val="00473F31"/>
    <w:rsid w:val="0048263A"/>
    <w:rsid w:val="00487E5D"/>
    <w:rsid w:val="004A711F"/>
    <w:rsid w:val="004B199D"/>
    <w:rsid w:val="004B4690"/>
    <w:rsid w:val="004B549A"/>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72CB"/>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9631A"/>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96049"/>
    <w:rsid w:val="009A2E62"/>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6B60"/>
    <w:rsid w:val="00AB64C9"/>
    <w:rsid w:val="00AC3C6A"/>
    <w:rsid w:val="00AC40B2"/>
    <w:rsid w:val="00AD0C25"/>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22BD0"/>
    <w:rsid w:val="00C33E72"/>
    <w:rsid w:val="00C354B2"/>
    <w:rsid w:val="00C35554"/>
    <w:rsid w:val="00C42709"/>
    <w:rsid w:val="00C533CC"/>
    <w:rsid w:val="00C5751C"/>
    <w:rsid w:val="00C61BFC"/>
    <w:rsid w:val="00C62B85"/>
    <w:rsid w:val="00C65438"/>
    <w:rsid w:val="00C670E4"/>
    <w:rsid w:val="00C87FD8"/>
    <w:rsid w:val="00C91381"/>
    <w:rsid w:val="00C91CBB"/>
    <w:rsid w:val="00C9789A"/>
    <w:rsid w:val="00CB4E70"/>
    <w:rsid w:val="00CC09B6"/>
    <w:rsid w:val="00CC666F"/>
    <w:rsid w:val="00CD1E3F"/>
    <w:rsid w:val="00CE44F6"/>
    <w:rsid w:val="00CE49DA"/>
    <w:rsid w:val="00CE7B61"/>
    <w:rsid w:val="00D00095"/>
    <w:rsid w:val="00D114F0"/>
    <w:rsid w:val="00D20620"/>
    <w:rsid w:val="00D23131"/>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4101990"/>
    <w:rsid w:val="066E0107"/>
    <w:rsid w:val="07996F6E"/>
    <w:rsid w:val="0A2032A3"/>
    <w:rsid w:val="0B73047B"/>
    <w:rsid w:val="101860EC"/>
    <w:rsid w:val="10C055FF"/>
    <w:rsid w:val="118107EC"/>
    <w:rsid w:val="13C90583"/>
    <w:rsid w:val="13D50BC4"/>
    <w:rsid w:val="16BB723D"/>
    <w:rsid w:val="1BE8440E"/>
    <w:rsid w:val="1D155CEE"/>
    <w:rsid w:val="23860B96"/>
    <w:rsid w:val="240371BF"/>
    <w:rsid w:val="26F10941"/>
    <w:rsid w:val="29FD04D3"/>
    <w:rsid w:val="2C8A61B5"/>
    <w:rsid w:val="2CB40EEB"/>
    <w:rsid w:val="2DF04E50"/>
    <w:rsid w:val="2EA82C72"/>
    <w:rsid w:val="319F7F4E"/>
    <w:rsid w:val="36AA5135"/>
    <w:rsid w:val="36D17B93"/>
    <w:rsid w:val="37E16F03"/>
    <w:rsid w:val="3D98207C"/>
    <w:rsid w:val="44E268DA"/>
    <w:rsid w:val="4A627F82"/>
    <w:rsid w:val="4B4F25DA"/>
    <w:rsid w:val="4BE068DB"/>
    <w:rsid w:val="4D577224"/>
    <w:rsid w:val="4EAB630A"/>
    <w:rsid w:val="4ECE2238"/>
    <w:rsid w:val="59F65490"/>
    <w:rsid w:val="5AF92295"/>
    <w:rsid w:val="5BD939BB"/>
    <w:rsid w:val="5CD71FC4"/>
    <w:rsid w:val="60601885"/>
    <w:rsid w:val="65522DBD"/>
    <w:rsid w:val="6C4A05C8"/>
    <w:rsid w:val="6E7E3605"/>
    <w:rsid w:val="6FF5CC65"/>
    <w:rsid w:val="715C0E4B"/>
    <w:rsid w:val="72734D90"/>
    <w:rsid w:val="73AD73D5"/>
    <w:rsid w:val="73B6EB34"/>
    <w:rsid w:val="74D523DD"/>
    <w:rsid w:val="79EE5BA4"/>
    <w:rsid w:val="7A894339"/>
    <w:rsid w:val="7BF0579A"/>
    <w:rsid w:val="7EEF11D3"/>
    <w:rsid w:val="7FA30C79"/>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5"/>
    <w:unhideWhenUsed/>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常用样式（方正仿宋简）"/>
    <w:basedOn w:val="1"/>
    <w:qFormat/>
    <w:uiPriority w:val="0"/>
    <w:pPr>
      <w:spacing w:line="560" w:lineRule="exact"/>
      <w:ind w:firstLine="640" w:firstLineChars="200"/>
    </w:pPr>
    <w:rPr>
      <w:rFonts w:eastAsia="Times New Roman"/>
      <w:sz w:val="32"/>
      <w:szCs w:val="32"/>
    </w:rPr>
  </w:style>
  <w:style w:type="paragraph" w:styleId="6">
    <w:name w:val="Normal Indent"/>
    <w:basedOn w:val="1"/>
    <w:qFormat/>
    <w:uiPriority w:val="0"/>
    <w:pPr>
      <w:ind w:firstLine="420" w:firstLineChars="200"/>
    </w:pPr>
  </w:style>
  <w:style w:type="paragraph" w:styleId="7">
    <w:name w:val="Salutation"/>
    <w:basedOn w:val="1"/>
    <w:next w:val="1"/>
    <w:qFormat/>
    <w:uiPriority w:val="0"/>
  </w:style>
  <w:style w:type="paragraph" w:styleId="8">
    <w:name w:val="Body Text"/>
    <w:basedOn w:val="1"/>
    <w:link w:val="28"/>
    <w:qFormat/>
    <w:uiPriority w:val="99"/>
    <w:pPr>
      <w:spacing w:beforeLines="30"/>
    </w:pPr>
    <w:rPr>
      <w:rFonts w:ascii="仿宋_GB2312" w:eastAsia="仿宋_GB2312"/>
      <w:kern w:val="0"/>
      <w:sz w:val="30"/>
    </w:r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qFormat/>
    <w:uiPriority w:val="0"/>
    <w:rPr>
      <w:rFonts w:ascii="宋体" w:hAnsi="Courier New"/>
    </w:rPr>
  </w:style>
  <w:style w:type="paragraph" w:styleId="11">
    <w:name w:val="Balloon Text"/>
    <w:basedOn w:val="1"/>
    <w:link w:val="34"/>
    <w:semiHidden/>
    <w:unhideWhenUsed/>
    <w:qFormat/>
    <w:uiPriority w:val="99"/>
    <w:rPr>
      <w:sz w:val="18"/>
      <w:szCs w:val="18"/>
    </w:rPr>
  </w:style>
  <w:style w:type="paragraph" w:styleId="12">
    <w:name w:val="footer"/>
    <w:basedOn w:val="1"/>
    <w:link w:val="26"/>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4"/>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toc 2"/>
    <w:basedOn w:val="1"/>
    <w:next w:val="1"/>
    <w:unhideWhenUsed/>
    <w:qFormat/>
    <w:uiPriority w:val="39"/>
    <w:pPr>
      <w:tabs>
        <w:tab w:val="right" w:leader="dot" w:pos="8296"/>
      </w:tabs>
      <w:ind w:left="420" w:leftChars="200"/>
    </w:pPr>
  </w:style>
  <w:style w:type="paragraph" w:styleId="16">
    <w:name w:val="Normal (Web)"/>
    <w:basedOn w:val="1"/>
    <w:qFormat/>
    <w:uiPriority w:val="0"/>
    <w:pPr>
      <w:widowControl/>
      <w:spacing w:before="100" w:beforeAutospacing="1" w:after="100" w:afterAutospacing="1"/>
      <w:jc w:val="left"/>
    </w:pPr>
    <w:rPr>
      <w:rFonts w:ascii="宋体" w:hAnsi="宋体" w:eastAsia="仿宋_GB2312" w:cs="宋体"/>
      <w:kern w:val="0"/>
      <w:sz w:val="24"/>
    </w:rPr>
  </w:style>
  <w:style w:type="paragraph" w:styleId="17">
    <w:name w:val="Title"/>
    <w:basedOn w:val="1"/>
    <w:qFormat/>
    <w:uiPriority w:val="0"/>
    <w:pPr>
      <w:spacing w:line="240" w:lineRule="atLeast"/>
      <w:jc w:val="center"/>
    </w:pPr>
    <w:rPr>
      <w:rFonts w:ascii="Cambria" w:hAnsi="Cambria"/>
      <w:b/>
      <w:bCs/>
      <w:szCs w:val="32"/>
    </w:rPr>
  </w:style>
  <w:style w:type="character" w:styleId="20">
    <w:name w:val="Strong"/>
    <w:basedOn w:val="19"/>
    <w:qFormat/>
    <w:uiPriority w:val="99"/>
    <w:rPr>
      <w:b/>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paragraph" w:customStyle="1" w:styleId="22">
    <w:name w:val="_Style 4"/>
    <w:basedOn w:val="1"/>
    <w:qFormat/>
    <w:uiPriority w:val="0"/>
    <w:pPr>
      <w:widowControl/>
      <w:spacing w:after="160" w:line="240" w:lineRule="exact"/>
      <w:jc w:val="left"/>
    </w:pPr>
    <w:rPr>
      <w:rFonts w:ascii="Verdana" w:hAnsi="Verdana" w:eastAsia="仿宋_GB2312" w:cs="Verdana"/>
      <w:kern w:val="0"/>
      <w:sz w:val="24"/>
      <w:lang w:eastAsia="en-US"/>
    </w:rPr>
  </w:style>
  <w:style w:type="character" w:customStyle="1" w:styleId="23">
    <w:name w:val="Header Char"/>
    <w:basedOn w:val="19"/>
    <w:semiHidden/>
    <w:qFormat/>
    <w:uiPriority w:val="99"/>
    <w:rPr>
      <w:rFonts w:ascii="Times New Roman" w:hAnsi="Times New Roman"/>
      <w:sz w:val="18"/>
      <w:szCs w:val="18"/>
    </w:rPr>
  </w:style>
  <w:style w:type="character" w:customStyle="1" w:styleId="24">
    <w:name w:val="页眉 Char"/>
    <w:link w:val="13"/>
    <w:semiHidden/>
    <w:qFormat/>
    <w:locked/>
    <w:uiPriority w:val="99"/>
    <w:rPr>
      <w:sz w:val="18"/>
    </w:rPr>
  </w:style>
  <w:style w:type="character" w:customStyle="1" w:styleId="25">
    <w:name w:val="Footer Char"/>
    <w:basedOn w:val="19"/>
    <w:semiHidden/>
    <w:qFormat/>
    <w:uiPriority w:val="99"/>
    <w:rPr>
      <w:rFonts w:ascii="Times New Roman" w:hAnsi="Times New Roman"/>
      <w:sz w:val="18"/>
      <w:szCs w:val="18"/>
    </w:rPr>
  </w:style>
  <w:style w:type="character" w:customStyle="1" w:styleId="26">
    <w:name w:val="页脚 Char"/>
    <w:link w:val="12"/>
    <w:qFormat/>
    <w:locked/>
    <w:uiPriority w:val="99"/>
    <w:rPr>
      <w:sz w:val="18"/>
    </w:rPr>
  </w:style>
  <w:style w:type="character" w:customStyle="1" w:styleId="27">
    <w:name w:val="Body Text Char"/>
    <w:basedOn w:val="19"/>
    <w:semiHidden/>
    <w:qFormat/>
    <w:uiPriority w:val="99"/>
    <w:rPr>
      <w:rFonts w:ascii="Times New Roman" w:hAnsi="Times New Roman"/>
      <w:szCs w:val="24"/>
    </w:rPr>
  </w:style>
  <w:style w:type="character" w:customStyle="1" w:styleId="28">
    <w:name w:val="正文文本 Char"/>
    <w:link w:val="8"/>
    <w:qFormat/>
    <w:locked/>
    <w:uiPriority w:val="99"/>
    <w:rPr>
      <w:rFonts w:ascii="仿宋_GB2312" w:hAnsi="Times New Roman" w:eastAsia="仿宋_GB2312"/>
      <w:sz w:val="24"/>
    </w:r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0">
    <w:name w:val="List Paragraph"/>
    <w:basedOn w:val="1"/>
    <w:qFormat/>
    <w:uiPriority w:val="34"/>
    <w:pPr>
      <w:ind w:firstLine="420" w:firstLineChars="200"/>
    </w:pPr>
  </w:style>
  <w:style w:type="character" w:customStyle="1" w:styleId="31">
    <w:name w:val="标题 1 Char"/>
    <w:basedOn w:val="19"/>
    <w:qFormat/>
    <w:uiPriority w:val="9"/>
    <w:rPr>
      <w:rFonts w:ascii="Times New Roman" w:hAnsi="Times New Roman"/>
      <w:b/>
      <w:bCs/>
      <w:kern w:val="44"/>
      <w:sz w:val="44"/>
      <w:szCs w:val="44"/>
    </w:rPr>
  </w:style>
  <w:style w:type="character" w:customStyle="1" w:styleId="32">
    <w:name w:val="标题 2 Char"/>
    <w:basedOn w:val="19"/>
    <w:link w:val="4"/>
    <w:qFormat/>
    <w:uiPriority w:val="9"/>
    <w:rPr>
      <w:rFonts w:asciiTheme="majorHAnsi" w:hAnsiTheme="majorHAnsi" w:eastAsiaTheme="majorEastAsia" w:cstheme="majorBidi"/>
      <w:b/>
      <w:bCs/>
      <w:kern w:val="2"/>
      <w:sz w:val="32"/>
      <w:szCs w:val="32"/>
    </w:rPr>
  </w:style>
  <w:style w:type="paragraph" w:customStyle="1" w:styleId="33">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Char"/>
    <w:basedOn w:val="19"/>
    <w:link w:val="11"/>
    <w:semiHidden/>
    <w:qFormat/>
    <w:uiPriority w:val="99"/>
    <w:rPr>
      <w:rFonts w:ascii="Times New Roman" w:hAnsi="Times New Roman"/>
      <w:kern w:val="2"/>
      <w:sz w:val="18"/>
      <w:szCs w:val="18"/>
    </w:rPr>
  </w:style>
  <w:style w:type="character" w:customStyle="1" w:styleId="35">
    <w:name w:val="标题 3 Char"/>
    <w:basedOn w:val="19"/>
    <w:link w:val="5"/>
    <w:qFormat/>
    <w:uiPriority w:val="9"/>
    <w:rPr>
      <w:rFonts w:ascii="Times New Roman" w:hAnsi="Times New Roman"/>
      <w:b/>
      <w:bCs/>
      <w:kern w:val="2"/>
      <w:sz w:val="32"/>
      <w:szCs w:val="32"/>
    </w:rPr>
  </w:style>
  <w:style w:type="paragraph" w:customStyle="1" w:styleId="36">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7">
    <w:name w:val="标题 1 Char1"/>
    <w:basedOn w:val="19"/>
    <w:link w:val="3"/>
    <w:qFormat/>
    <w:locked/>
    <w:uiPriority w:val="0"/>
    <w:rPr>
      <w:rFonts w:ascii="Times New Roman" w:hAnsi="Times New Roman" w:cs="Times New Roman"/>
      <w:b/>
      <w:bCs/>
      <w:kern w:val="44"/>
      <w:sz w:val="44"/>
      <w:szCs w:val="44"/>
    </w:rPr>
  </w:style>
  <w:style w:type="character" w:customStyle="1" w:styleId="38">
    <w:name w:val="font71"/>
    <w:basedOn w:val="19"/>
    <w:qFormat/>
    <w:uiPriority w:val="0"/>
    <w:rPr>
      <w:rFonts w:hint="eastAsia" w:ascii="宋体" w:hAnsi="宋体" w:eastAsia="宋体" w:cs="宋体"/>
      <w:color w:val="000000"/>
      <w:sz w:val="24"/>
      <w:szCs w:val="24"/>
      <w:u w:val="none"/>
    </w:rPr>
  </w:style>
  <w:style w:type="character" w:customStyle="1" w:styleId="39">
    <w:name w:val="font11"/>
    <w:basedOn w:val="19"/>
    <w:qFormat/>
    <w:uiPriority w:val="0"/>
    <w:rPr>
      <w:rFonts w:hint="default" w:ascii="Times New Roman" w:hAnsi="Times New Roman" w:cs="Times New Roman"/>
      <w:color w:val="000000"/>
      <w:sz w:val="24"/>
      <w:szCs w:val="24"/>
      <w:u w:val="none"/>
    </w:rPr>
  </w:style>
  <w:style w:type="character" w:customStyle="1" w:styleId="40">
    <w:name w:val="font41"/>
    <w:basedOn w:val="19"/>
    <w:qFormat/>
    <w:uiPriority w:val="0"/>
    <w:rPr>
      <w:rFonts w:hint="eastAsia" w:ascii="宋体" w:hAnsi="宋体" w:eastAsia="宋体" w:cs="宋体"/>
      <w:color w:val="000000"/>
      <w:sz w:val="24"/>
      <w:szCs w:val="24"/>
      <w:u w:val="none"/>
    </w:rPr>
  </w:style>
  <w:style w:type="paragraph" w:customStyle="1" w:styleId="41">
    <w:name w:val="WPSOffice手动目录 1"/>
    <w:qFormat/>
    <w:uiPriority w:val="0"/>
    <w:rPr>
      <w:rFonts w:ascii="Calibri" w:hAnsi="Calibri" w:eastAsia="微软雅黑" w:cs="Times New Roman"/>
      <w:lang w:val="en-US" w:eastAsia="zh-CN" w:bidi="ar-SA"/>
    </w:rPr>
  </w:style>
  <w:style w:type="paragraph" w:customStyle="1" w:styleId="42">
    <w:name w:val="WPSOffice手动目录 2"/>
    <w:qFormat/>
    <w:uiPriority w:val="0"/>
    <w:pPr>
      <w:ind w:left="200" w:leftChars="200"/>
    </w:pPr>
    <w:rPr>
      <w:rFonts w:ascii="Calibri" w:hAnsi="Calibri" w:eastAsia="微软雅黑"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glossaryDocument" Target="glossary/document.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hart" Target="charts/chart10.xml"/><Relationship Id="rId14" Type="http://schemas.openxmlformats.org/officeDocument/2006/relationships/chart" Target="charts/chart9.xml"/><Relationship Id="rId13" Type="http://schemas.openxmlformats.org/officeDocument/2006/relationships/chart" Target="charts/chart8.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E:\2022&#24180;\2021&#24180;&#20915;&#31639;&#20844;&#24320;\SFJ\2021&#20915;&#31639;&#20844;&#24320;&#22270;&#34920;&#21496;&#2786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022&#24180;\2021&#24180;&#20915;&#31639;&#20844;&#24320;\SFJ\2021&#20915;&#31639;&#20844;&#24320;&#22270;&#34920;&#21496;&#2786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022&#24180;\2021&#24180;&#20915;&#31639;&#20844;&#24320;\SFJ\2021&#20915;&#31639;&#20844;&#24320;&#22270;&#34920;&#21496;&#27861;.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021&#24180;\&#20915;&#31639;&#20844;&#24320;\SFJ\2019&#20915;&#31639;&#20844;&#24320;&#22270;&#34920;&#21496;&#2786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021&#24180;\&#20915;&#31639;&#20844;&#24320;\SFJ\2019&#20915;&#31639;&#20844;&#24320;&#22270;&#34920;&#21496;&#27861;.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021&#24180;\&#20915;&#31639;&#20844;&#24320;\SFJ\2019&#20915;&#31639;&#20844;&#24320;&#22270;&#34920;&#21496;&#27861;.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022&#24180;\2021&#24180;&#20915;&#31639;&#20844;&#24320;\SFJ\2021&#20915;&#31639;&#20844;&#24320;&#22270;&#34920;&#21496;&#27861;.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E:\2022&#24180;\2021&#24180;&#20915;&#31639;&#20844;&#24320;\SFJ\2021&#20915;&#31639;&#20844;&#24320;&#22270;&#34920;&#21496;&#27861;.xls"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E:\2022&#24180;\2021&#24180;&#20915;&#31639;&#20844;&#24320;\SFJ\2021&#20915;&#31639;&#20844;&#24320;&#22270;&#34920;&#21496;&#27861;.xls"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E:\2022&#24180;\2021&#24180;&#20915;&#31639;&#20844;&#24320;\SFJ\2021&#20915;&#31639;&#20844;&#24320;&#22270;&#34920;&#21496;&#2786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1   </a:t>
            </a:r>
            <a:r>
              <a:rPr lang="zh-CN" altLang="en-US"/>
              <a:t>收入、支出决算总计变动情况</a:t>
            </a:r>
            <a:endParaRPr lang="zh-CN" altLang="en-US"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[2021决算公开图表司法.xls]Sheet1!$A$58</c:f>
              <c:strCache>
                <c:ptCount val="1"/>
                <c:pt idx="0">
                  <c:v>收入、支出总计</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[2021决算公开图表司法.xls]Sheet1!$B$58:$C$58</c:f>
              <c:strCache>
                <c:ptCount val="2"/>
                <c:pt idx="0">
                  <c:v>2021年</c:v>
                </c:pt>
                <c:pt idx="1">
                  <c:v>2020年</c:v>
                </c:pt>
              </c:strCache>
            </c:strRef>
          </c:cat>
          <c:val>
            <c:numRef>
              <c:f>[2021决算公开图表司法.xls]Sheet1!$B$59:$C$59</c:f>
              <c:numCache>
                <c:formatCode>General</c:formatCode>
                <c:ptCount val="2"/>
                <c:pt idx="0">
                  <c:v>1122.88</c:v>
                </c:pt>
                <c:pt idx="1">
                  <c:v>1108.59</c:v>
                </c:pt>
              </c:numCache>
            </c:numRef>
          </c:val>
        </c:ser>
        <c:dLbls>
          <c:showLegendKey val="0"/>
          <c:showVal val="0"/>
          <c:showCatName val="0"/>
          <c:showSerName val="0"/>
          <c:showPercent val="0"/>
          <c:showBubbleSize val="0"/>
        </c:dLbls>
        <c:gapWidth val="150"/>
        <c:axId val="408845696"/>
        <c:axId val="34116736"/>
      </c:barChart>
      <c:catAx>
        <c:axId val="40884569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4116736"/>
        <c:crosses val="autoZero"/>
        <c:auto val="1"/>
        <c:lblAlgn val="ctr"/>
        <c:lblOffset val="100"/>
        <c:noMultiLvlLbl val="0"/>
      </c:catAx>
      <c:valAx>
        <c:axId val="34116736"/>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0884569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99494219653179"/>
          <c:y val="0.507493755203997"/>
          <c:w val="0.194725433526012"/>
          <c:h val="0.23126561199000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8c63656d-c391-4e77-9f60-ad4d1a58538f}"/>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2    </a:t>
            </a:r>
            <a:r>
              <a:rPr lang="zh-CN" altLang="en-US"/>
              <a:t>收入决算结构图</a:t>
            </a:r>
            <a:endParaRPr lang="zh-CN" altLang="en-US"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Lbls>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[2021决算公开图表司法.xls]Sheet1!$C$3:$C$8</c:f>
              <c:numCache>
                <c:formatCode>General</c:formatCode>
                <c:ptCount val="6"/>
                <c:pt idx="0">
                  <c:v>1070.13</c:v>
                </c:pt>
                <c:pt idx="1">
                  <c:v>0</c:v>
                </c:pt>
                <c:pt idx="2">
                  <c:v>0</c:v>
                </c:pt>
                <c:pt idx="3">
                  <c:v>0</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Lbls>
            <c:delete val="1"/>
          </c:dLbls>
          <c:cat>
            <c:strRef>
              <c:f>[2021决算公开图表司法.xls]Sheet1!$B$3:$B$8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[2021决算公开图表司法.xls]Sheet1!$D$3:$D$8</c:f>
              <c:numCache>
                <c:formatCode>0%</c:formatCode>
                <c:ptCount val="6"/>
                <c:pt idx="0">
                  <c:v>1</c:v>
                </c:pt>
                <c:pt idx="1">
                  <c:v>0</c:v>
                </c:pt>
                <c:pt idx="2">
                  <c:v>0</c:v>
                </c:pt>
                <c:pt idx="3">
                  <c:v>0</c:v>
                </c:pt>
                <c:pt idx="4">
                  <c:v>0</c:v>
                </c:pt>
                <c:pt idx="5">
                  <c:v>0</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66575"/>
          <c:y val="0.23575"/>
          <c:w val="0.3285"/>
          <c:h val="0.664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6d973354-04e7-4955-8549-93ba66ace93a}"/>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3    </a:t>
            </a:r>
            <a:r>
              <a:rPr lang="zh-CN" altLang="en-US"/>
              <a:t>支出决算结构图</a:t>
            </a:r>
            <a:endPar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80427708042771"/>
          <c:y val="0.0221647580347248"/>
        </c:manualLayout>
      </c:layout>
      <c:overlay val="0"/>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Lbl>
              <c:idx val="3"/>
              <c:layout>
                <c:manualLayout>
                  <c:x val="0.158347609729998"/>
                  <c:y val="0.0620458071690044"/>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180099624931663"/>
                  <c:y val="-0.0221802733628126"/>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[2021决算公开图表司法.xls]Sheet1!$B$34:$B$38</c:f>
              <c:strCache>
                <c:ptCount val="5"/>
                <c:pt idx="0">
                  <c:v>基本支出</c:v>
                </c:pt>
                <c:pt idx="1">
                  <c:v>项目支出</c:v>
                </c:pt>
                <c:pt idx="2">
                  <c:v>上缴上级支出</c:v>
                </c:pt>
                <c:pt idx="3">
                  <c:v>经营支出</c:v>
                </c:pt>
                <c:pt idx="4">
                  <c:v>对附属单位补助支出</c:v>
                </c:pt>
              </c:strCache>
            </c:strRef>
          </c:cat>
          <c:val>
            <c:numRef>
              <c:f>[2021决算公开图表司法.xls]Sheet1!$C$34:$C$38</c:f>
              <c:numCache>
                <c:formatCode>General</c:formatCode>
                <c:ptCount val="5"/>
                <c:pt idx="0">
                  <c:v>912.83</c:v>
                </c:pt>
                <c:pt idx="1">
                  <c:v>210.05</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elete val="1"/>
          </c:dLbls>
          <c:cat>
            <c:strRef>
              <c:f>[2021决算公开图表司法.xls]Sheet1!$B$34:$B$38</c:f>
              <c:strCache>
                <c:ptCount val="5"/>
                <c:pt idx="0">
                  <c:v>基本支出</c:v>
                </c:pt>
                <c:pt idx="1">
                  <c:v>项目支出</c:v>
                </c:pt>
                <c:pt idx="2">
                  <c:v>上缴上级支出</c:v>
                </c:pt>
                <c:pt idx="3">
                  <c:v>经营支出</c:v>
                </c:pt>
                <c:pt idx="4">
                  <c:v>对附属单位补助支出</c:v>
                </c:pt>
              </c:strCache>
            </c:strRef>
          </c:cat>
          <c:val>
            <c:numRef>
              <c:f>[2021决算公开图表司法.xls]Sheet1!$D$34:$D$38</c:f>
              <c:numCache>
                <c:formatCode>0.00%</c:formatCode>
                <c:ptCount val="5"/>
                <c:pt idx="0">
                  <c:v>0.8129</c:v>
                </c:pt>
                <c:pt idx="1">
                  <c:v>0.1871</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757"/>
          <c:y val="0.4175"/>
          <c:w val="0.23725"/>
          <c:h val="0.298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bb43b3ce-1acd-44f7-b44c-2439f62fa862}"/>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3    </a:t>
            </a:r>
            <a:r>
              <a:rPr lang="zh-CN" altLang="en-US"/>
              <a:t>支出决算结构图</a:t>
            </a:r>
            <a:endPar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80427708042771"/>
          <c:y val="0.0221647580347248"/>
        </c:manualLayout>
      </c:layout>
      <c:overlay val="0"/>
    </c:title>
    <c:autoTitleDeleted val="0"/>
    <c:plotArea>
      <c:layout/>
      <c:pieChart>
        <c:varyColors val="1"/>
        <c:ser>
          <c:idx val="0"/>
          <c:order val="0"/>
          <c:spPr>
            <a:solidFill>
              <a:srgbClr val="9999FF"/>
            </a:solidFill>
            <a:ln w="12700">
              <a:solidFill>
                <a:srgbClr val="000000">
                  <a:alpha val="100000"/>
                </a:srgbClr>
              </a:solidFill>
              <a:prstDash val="solid"/>
            </a:ln>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Lbls>
            <c:dLbl>
              <c:idx val="3"/>
              <c:layout>
                <c:manualLayout>
                  <c:x val="0.158347609729998"/>
                  <c:y val="0.0620458071690044"/>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180099624931663"/>
                  <c:y val="-0.022180273362812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shade val="95000"/>
                          <a:satMod val="105000"/>
                        </a:srgbClr>
                      </a:solidFill>
                      <a:prstDash val="solid"/>
                      <a:round/>
                    </a:ln>
                    <a:effectLst/>
                  </c:spPr>
                </c15:leaderLines>
              </c:ext>
            </c:extLst>
          </c:dLbls>
          <c:cat>
            <c:strRef>
              <c:f>[2019决算公开图表司法.xls]Sheet1!$B$34:$B$38</c:f>
              <c:strCache>
                <c:ptCount val="5"/>
                <c:pt idx="0">
                  <c:v>基本支出</c:v>
                </c:pt>
                <c:pt idx="1">
                  <c:v>项目支出</c:v>
                </c:pt>
                <c:pt idx="2">
                  <c:v>上缴上级支出</c:v>
                </c:pt>
                <c:pt idx="3">
                  <c:v>经营支出</c:v>
                </c:pt>
                <c:pt idx="4">
                  <c:v>对附属单位补助支出</c:v>
                </c:pt>
              </c:strCache>
            </c:strRef>
          </c:cat>
          <c:val>
            <c:numRef>
              <c:f>[2019决算公开图表司法.xls]Sheet1!$C$34:$C$38</c:f>
              <c:numCache>
                <c:formatCode>General</c:formatCode>
                <c:ptCount val="5"/>
                <c:pt idx="0">
                  <c:v>802.26</c:v>
                </c:pt>
                <c:pt idx="1">
                  <c:v>245.76</c:v>
                </c:pt>
                <c:pt idx="2">
                  <c:v>0</c:v>
                </c:pt>
                <c:pt idx="3">
                  <c:v>0</c:v>
                </c:pt>
                <c:pt idx="4">
                  <c:v>0</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delete val="1"/>
          </c:dLbls>
          <c:cat>
            <c:strRef>
              <c:f>[2019决算公开图表司法.xls]Sheet1!$B$34:$B$38</c:f>
              <c:strCache>
                <c:ptCount val="5"/>
                <c:pt idx="0">
                  <c:v>基本支出</c:v>
                </c:pt>
                <c:pt idx="1">
                  <c:v>项目支出</c:v>
                </c:pt>
                <c:pt idx="2">
                  <c:v>上缴上级支出</c:v>
                </c:pt>
                <c:pt idx="3">
                  <c:v>经营支出</c:v>
                </c:pt>
                <c:pt idx="4">
                  <c:v>对附属单位补助支出</c:v>
                </c:pt>
              </c:strCache>
            </c:strRef>
          </c:cat>
          <c:val>
            <c:numRef>
              <c:f>[2019决算公开图表司法.xls]Sheet1!$D$34:$D$38</c:f>
              <c:numCache>
                <c:formatCode>0.00%</c:formatCode>
                <c:ptCount val="5"/>
                <c:pt idx="0">
                  <c:v>0.7655</c:v>
                </c:pt>
                <c:pt idx="1">
                  <c:v>0.2345</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r"/>
      <c:layout>
        <c:manualLayout>
          <c:xMode val="edge"/>
          <c:yMode val="edge"/>
          <c:x val="0.757"/>
          <c:y val="0.4175"/>
          <c:w val="0.23725"/>
          <c:h val="0.29825"/>
        </c:manualLayout>
      </c:layout>
      <c:overlay val="0"/>
      <c:spPr>
        <a:solidFill>
          <a:srgbClr val="FFFFFF"/>
        </a:solidFill>
        <a:ln>
          <a:solidFill>
            <a:srgbClr val="000000"/>
          </a:solidFill>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9100aaf5-a299-4970-b5e2-90707fdbc237}"/>
      </c:ext>
    </c:extLst>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3    </a:t>
            </a:r>
            <a:r>
              <a:rPr lang="zh-CN" altLang="en-US"/>
              <a:t>支出决算结构图</a:t>
            </a:r>
            <a:endPar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80427708042771"/>
          <c:y val="0.0221647580347248"/>
        </c:manualLayout>
      </c:layout>
      <c:overlay val="0"/>
    </c:title>
    <c:autoTitleDeleted val="0"/>
    <c:plotArea>
      <c:layout/>
      <c:pieChart>
        <c:varyColors val="1"/>
        <c:ser>
          <c:idx val="0"/>
          <c:order val="0"/>
          <c:spPr>
            <a:solidFill>
              <a:srgbClr val="9999FF"/>
            </a:solidFill>
            <a:ln w="12700">
              <a:solidFill>
                <a:srgbClr val="000000">
                  <a:alpha val="100000"/>
                </a:srgbClr>
              </a:solidFill>
              <a:prstDash val="solid"/>
            </a:ln>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Lbls>
            <c:dLbl>
              <c:idx val="3"/>
              <c:layout>
                <c:manualLayout>
                  <c:x val="0.158347609729998"/>
                  <c:y val="0.0620458071690044"/>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180099624931663"/>
                  <c:y val="-0.022180273362812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shade val="95000"/>
                          <a:satMod val="105000"/>
                        </a:srgbClr>
                      </a:solidFill>
                      <a:prstDash val="solid"/>
                      <a:round/>
                    </a:ln>
                    <a:effectLst/>
                  </c:spPr>
                </c15:leaderLines>
              </c:ext>
            </c:extLst>
          </c:dLbls>
          <c:cat>
            <c:strRef>
              <c:f>[2019决算公开图表司法.xls]Sheet1!$B$34:$B$38</c:f>
              <c:strCache>
                <c:ptCount val="5"/>
                <c:pt idx="0">
                  <c:v>基本支出</c:v>
                </c:pt>
                <c:pt idx="1">
                  <c:v>项目支出</c:v>
                </c:pt>
                <c:pt idx="2">
                  <c:v>上缴上级支出</c:v>
                </c:pt>
                <c:pt idx="3">
                  <c:v>经营支出</c:v>
                </c:pt>
                <c:pt idx="4">
                  <c:v>对附属单位补助支出</c:v>
                </c:pt>
              </c:strCache>
            </c:strRef>
          </c:cat>
          <c:val>
            <c:numRef>
              <c:f>[2019决算公开图表司法.xls]Sheet1!$C$34:$C$38</c:f>
              <c:numCache>
                <c:formatCode>General</c:formatCode>
                <c:ptCount val="5"/>
                <c:pt idx="0">
                  <c:v>802.26</c:v>
                </c:pt>
                <c:pt idx="1">
                  <c:v>245.76</c:v>
                </c:pt>
                <c:pt idx="2">
                  <c:v>0</c:v>
                </c:pt>
                <c:pt idx="3">
                  <c:v>0</c:v>
                </c:pt>
                <c:pt idx="4">
                  <c:v>0</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delete val="1"/>
          </c:dLbls>
          <c:cat>
            <c:strRef>
              <c:f>[2019决算公开图表司法.xls]Sheet1!$B$34:$B$38</c:f>
              <c:strCache>
                <c:ptCount val="5"/>
                <c:pt idx="0">
                  <c:v>基本支出</c:v>
                </c:pt>
                <c:pt idx="1">
                  <c:v>项目支出</c:v>
                </c:pt>
                <c:pt idx="2">
                  <c:v>上缴上级支出</c:v>
                </c:pt>
                <c:pt idx="3">
                  <c:v>经营支出</c:v>
                </c:pt>
                <c:pt idx="4">
                  <c:v>对附属单位补助支出</c:v>
                </c:pt>
              </c:strCache>
            </c:strRef>
          </c:cat>
          <c:val>
            <c:numRef>
              <c:f>[2019决算公开图表司法.xls]Sheet1!$D$34:$D$38</c:f>
              <c:numCache>
                <c:formatCode>0.00%</c:formatCode>
                <c:ptCount val="5"/>
                <c:pt idx="0">
                  <c:v>0.7655</c:v>
                </c:pt>
                <c:pt idx="1">
                  <c:v>0.2345</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r"/>
      <c:layout>
        <c:manualLayout>
          <c:xMode val="edge"/>
          <c:yMode val="edge"/>
          <c:x val="0.757"/>
          <c:y val="0.4175"/>
          <c:w val="0.23725"/>
          <c:h val="0.29825"/>
        </c:manualLayout>
      </c:layout>
      <c:overlay val="0"/>
      <c:spPr>
        <a:solidFill>
          <a:srgbClr val="FFFFFF"/>
        </a:solidFill>
        <a:ln>
          <a:solidFill>
            <a:srgbClr val="000000"/>
          </a:solidFill>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0b049340-2edb-45d0-b1b1-341afd09954d}"/>
      </c:ext>
    </c:extLst>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图</a:t>
            </a:r>
            <a:r>
              <a:rPr lang="en-US" altLang="zh-CN"/>
              <a:t>3    </a:t>
            </a:r>
            <a:r>
              <a:rPr lang="zh-CN" altLang="en-US"/>
              <a:t>支出决算结构图</a:t>
            </a:r>
            <a:endParaRPr lang="zh-CN" altLang="en-US"/>
          </a:p>
        </c:rich>
      </c:tx>
      <c:layout>
        <c:manualLayout>
          <c:xMode val="edge"/>
          <c:yMode val="edge"/>
          <c:x val="0.380427708042771"/>
          <c:y val="0.0221647580347248"/>
        </c:manualLayout>
      </c:layout>
      <c:overlay val="0"/>
      <c:spPr>
        <a:noFill/>
        <a:ln>
          <a:noFill/>
        </a:ln>
        <a:effectLst/>
      </c:spPr>
    </c:title>
    <c:autoTitleDeleted val="0"/>
    <c:plotArea>
      <c:layout/>
      <c:pieChart>
        <c:varyColors val="1"/>
        <c:ser>
          <c:idx val="0"/>
          <c:order val="0"/>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Lbl>
              <c:idx val="3"/>
              <c:layout>
                <c:manualLayout>
                  <c:x val="0.158347609729998"/>
                  <c:y val="0.0620458071690044"/>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180099624931663"/>
                  <c:y val="-0.022180273362812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[2019决算公开图表司法.xls]Sheet1!$B$34:$B$38</c:f>
              <c:strCache>
                <c:ptCount val="5"/>
                <c:pt idx="0">
                  <c:v>基本支出</c:v>
                </c:pt>
                <c:pt idx="1">
                  <c:v>项目支出</c:v>
                </c:pt>
                <c:pt idx="2">
                  <c:v>上缴上级支出</c:v>
                </c:pt>
                <c:pt idx="3">
                  <c:v>经营支出</c:v>
                </c:pt>
                <c:pt idx="4">
                  <c:v>对附属单位补助支出</c:v>
                </c:pt>
              </c:strCache>
            </c:strRef>
          </c:cat>
          <c:val>
            <c:numRef>
              <c:f>[2019决算公开图表司法.xls]Sheet1!$C$34:$C$38</c:f>
              <c:numCache>
                <c:formatCode>General</c:formatCode>
                <c:ptCount val="5"/>
                <c:pt idx="0">
                  <c:v>802.26</c:v>
                </c:pt>
                <c:pt idx="1">
                  <c:v>245.76</c:v>
                </c:pt>
                <c:pt idx="2">
                  <c:v>0</c:v>
                </c:pt>
                <c:pt idx="3">
                  <c:v>0</c:v>
                </c:pt>
                <c:pt idx="4">
                  <c:v>0</c:v>
                </c:pt>
              </c:numCache>
            </c:numRef>
          </c:val>
        </c:ser>
        <c:ser>
          <c:idx val="1"/>
          <c:order val="1"/>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elete val="1"/>
          </c:dLbls>
          <c:cat>
            <c:strRef>
              <c:f>[2019决算公开图表司法.xls]Sheet1!$B$34:$B$38</c:f>
              <c:strCache>
                <c:ptCount val="5"/>
                <c:pt idx="0">
                  <c:v>基本支出</c:v>
                </c:pt>
                <c:pt idx="1">
                  <c:v>项目支出</c:v>
                </c:pt>
                <c:pt idx="2">
                  <c:v>上缴上级支出</c:v>
                </c:pt>
                <c:pt idx="3">
                  <c:v>经营支出</c:v>
                </c:pt>
                <c:pt idx="4">
                  <c:v>对附属单位补助支出</c:v>
                </c:pt>
              </c:strCache>
            </c:strRef>
          </c:cat>
          <c:val>
            <c:numRef>
              <c:f>[2019决算公开图表司法.xls]Sheet1!$D$34:$D$38</c:f>
              <c:numCache>
                <c:formatCode>0.00%</c:formatCode>
                <c:ptCount val="5"/>
                <c:pt idx="0">
                  <c:v>0.7655</c:v>
                </c:pt>
                <c:pt idx="1">
                  <c:v>0.2345</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23b56bea-67b2-40c0-8170-93f54a92a9dc}"/>
      </c:ext>
    </c:extLst>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4    </a:t>
            </a:r>
            <a:r>
              <a:rPr lang="zh-CN" altLang="en-US"/>
              <a:t>财政拨款收、支总计决算变动情况</a:t>
            </a:r>
            <a:endParaRPr lang="zh-CN" altLang="en-US"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[2021决算公开图表司法.xls]Sheet1!$A$170</c:f>
              <c:strCache>
                <c:ptCount val="1"/>
                <c:pt idx="0">
                  <c:v>财政拨款收入、支出总计</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[2021决算公开图表司法.xls]Sheet1!$B$169:$C$169</c:f>
              <c:strCache>
                <c:ptCount val="2"/>
                <c:pt idx="0">
                  <c:v>2021年</c:v>
                </c:pt>
                <c:pt idx="1">
                  <c:v>2020年</c:v>
                </c:pt>
              </c:strCache>
            </c:strRef>
          </c:cat>
          <c:val>
            <c:numRef>
              <c:f>[2021决算公开图表司法.xls]Sheet1!$B$170:$C$170</c:f>
              <c:numCache>
                <c:formatCode>General</c:formatCode>
                <c:ptCount val="2"/>
                <c:pt idx="0">
                  <c:v>1122.88</c:v>
                </c:pt>
                <c:pt idx="1">
                  <c:v>1108.59</c:v>
                </c:pt>
              </c:numCache>
            </c:numRef>
          </c:val>
        </c:ser>
        <c:dLbls>
          <c:showLegendKey val="0"/>
          <c:showVal val="0"/>
          <c:showCatName val="0"/>
          <c:showSerName val="0"/>
          <c:showPercent val="0"/>
          <c:showBubbleSize val="0"/>
        </c:dLbls>
        <c:gapWidth val="150"/>
        <c:axId val="34377088"/>
        <c:axId val="34403456"/>
      </c:barChart>
      <c:catAx>
        <c:axId val="34377088"/>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4403456"/>
        <c:crosses val="autoZero"/>
        <c:auto val="1"/>
        <c:lblAlgn val="ctr"/>
        <c:lblOffset val="100"/>
        <c:noMultiLvlLbl val="0"/>
      </c:catAx>
      <c:valAx>
        <c:axId val="34403456"/>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34377088"/>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02431834929993"/>
          <c:y val="0.500300661455201"/>
          <c:w val="0.291230655858511"/>
          <c:h val="0.198135898977751"/>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309c6bcb-9492-4377-8ce8-745d4b3f1efc}"/>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5      </a:t>
            </a:r>
            <a:r>
              <a:rPr lang="zh-CN" altLang="en-US"/>
              <a:t>一般公共预算财政拨款支出决算变动情况</a:t>
            </a:r>
            <a:endParaRPr lang="zh-CN" altLang="en-US"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[2021决算公开图表司法.xls]Sheet1!$A$85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[2021决算公开图表司法.xls]Sheet1!$B$84:$C$84</c:f>
              <c:strCache>
                <c:ptCount val="2"/>
                <c:pt idx="0">
                  <c:v>2021年</c:v>
                </c:pt>
                <c:pt idx="1">
                  <c:v>2020年</c:v>
                </c:pt>
              </c:strCache>
            </c:strRef>
          </c:cat>
          <c:val>
            <c:numRef>
              <c:f>[2021决算公开图表司法.xls]Sheet1!$B$85:$C$85</c:f>
              <c:numCache>
                <c:formatCode>General</c:formatCode>
                <c:ptCount val="2"/>
                <c:pt idx="0">
                  <c:v>1122.88</c:v>
                </c:pt>
                <c:pt idx="1">
                  <c:v>1047.99</c:v>
                </c:pt>
              </c:numCache>
            </c:numRef>
          </c:val>
        </c:ser>
        <c:dLbls>
          <c:showLegendKey val="0"/>
          <c:showVal val="0"/>
          <c:showCatName val="0"/>
          <c:showSerName val="0"/>
          <c:showPercent val="0"/>
          <c:showBubbleSize val="0"/>
        </c:dLbls>
        <c:gapWidth val="150"/>
        <c:axId val="34428416"/>
        <c:axId val="34429952"/>
      </c:barChart>
      <c:catAx>
        <c:axId val="3442841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4429952"/>
        <c:crosses val="autoZero"/>
        <c:auto val="1"/>
        <c:lblAlgn val="ctr"/>
        <c:lblOffset val="100"/>
        <c:noMultiLvlLbl val="0"/>
      </c:catAx>
      <c:valAx>
        <c:axId val="34429952"/>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3442841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84771334276285"/>
          <c:y val="0.505817174515235"/>
          <c:w val="0.309476661951909"/>
          <c:h val="0.186703601108033"/>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0d0b8e1b-6152-4db3-9301-8e9066f6cdf6}"/>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6    </a:t>
            </a:r>
            <a:r>
              <a:rPr lang="zh-CN" altLang="en-US"/>
              <a:t>一般公共预算财政拨款支出决算结构</a:t>
            </a:r>
            <a:endParaRPr lang="zh-CN" altLang="en-US" sz="14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Lbl>
              <c:idx val="0"/>
              <c:layout>
                <c:manualLayout>
                  <c:x val="-0.25068870523416"/>
                  <c:y val="0.016565433462175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0721515587162926"/>
                  <c:y val="0.050805786566194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395405625785926"/>
                  <c:y val="0.0707726496745963"/>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053597887400671"/>
                  <c:y val="-0.0541330530529424"/>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5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[2021决算公开图表司法.xls]Sheet1!$A$110:$A$114</c:f>
              <c:strCache>
                <c:ptCount val="5"/>
                <c:pt idx="0">
                  <c:v>其他支出</c:v>
                </c:pt>
                <c:pt idx="1">
                  <c:v>社会保障和就业支出</c:v>
                </c:pt>
                <c:pt idx="2">
                  <c:v>卫生健康支出</c:v>
                </c:pt>
                <c:pt idx="3">
                  <c:v>住房保障支出</c:v>
                </c:pt>
                <c:pt idx="4">
                  <c:v>公共安全支出</c:v>
                </c:pt>
              </c:strCache>
            </c:strRef>
          </c:cat>
          <c:val>
            <c:numRef>
              <c:f>[2021决算公开图表司法.xls]Sheet1!$B$110:$B$114</c:f>
              <c:numCache>
                <c:formatCode>General</c:formatCode>
                <c:ptCount val="5"/>
                <c:pt idx="0">
                  <c:v>6</c:v>
                </c:pt>
                <c:pt idx="1">
                  <c:v>104.63</c:v>
                </c:pt>
                <c:pt idx="2">
                  <c:v>45.3</c:v>
                </c:pt>
                <c:pt idx="3">
                  <c:v>73.31</c:v>
                </c:pt>
                <c:pt idx="4">
                  <c:v>893.65</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elete val="1"/>
          </c:dLbls>
          <c:cat>
            <c:strRef>
              <c:f>[2021决算公开图表司法.xls]Sheet1!$A$110:$A$114</c:f>
              <c:strCache>
                <c:ptCount val="5"/>
                <c:pt idx="0">
                  <c:v>其他支出</c:v>
                </c:pt>
                <c:pt idx="1">
                  <c:v>社会保障和就业支出</c:v>
                </c:pt>
                <c:pt idx="2">
                  <c:v>卫生健康支出</c:v>
                </c:pt>
                <c:pt idx="3">
                  <c:v>住房保障支出</c:v>
                </c:pt>
                <c:pt idx="4">
                  <c:v>公共安全支出</c:v>
                </c:pt>
              </c:strCache>
            </c:strRef>
          </c:cat>
          <c:val>
            <c:numRef>
              <c:f>[2021决算公开图表司法.xls]Sheet1!$C$110:$C$114</c:f>
              <c:numCache>
                <c:formatCode>0.00%</c:formatCode>
                <c:ptCount val="5"/>
                <c:pt idx="0">
                  <c:v>0.0053</c:v>
                </c:pt>
                <c:pt idx="1">
                  <c:v>0.0931</c:v>
                </c:pt>
                <c:pt idx="2">
                  <c:v>0.0403</c:v>
                </c:pt>
                <c:pt idx="3">
                  <c:v>0.0653</c:v>
                </c:pt>
                <c:pt idx="4">
                  <c:v>0.7959</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76"/>
          <c:y val="0.422"/>
          <c:w val="0.23425"/>
          <c:h val="0.265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4ed157d4-d3ad-455d-9164-af2bac43a544}"/>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7   “</a:t>
            </a:r>
            <a:r>
              <a:rPr lang="zh-CN" altLang="en-US"/>
              <a:t>三公”经费财政拨款支出结构</a:t>
            </a:r>
            <a:endParaRPr lang="zh-CN" altLang="en-US"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dLbl>
              <c:idx val="0"/>
              <c:layout>
                <c:manualLayout>
                  <c:x val="0"/>
                  <c:y val="0.0304709141274238"/>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184855465188689"/>
                  <c:y val="0.064414279838287"/>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[2021决算公开图表司法.xls]Sheet1!$B$139:$B$141</c:f>
              <c:strCache>
                <c:ptCount val="3"/>
                <c:pt idx="0">
                  <c:v>因公出国（境）费支出</c:v>
                </c:pt>
                <c:pt idx="1">
                  <c:v>公务用车购置及运行维护费支出</c:v>
                </c:pt>
                <c:pt idx="2">
                  <c:v>公务接待费支出</c:v>
                </c:pt>
              </c:strCache>
            </c:strRef>
          </c:cat>
          <c:val>
            <c:numRef>
              <c:f>[2021决算公开图表司法.xls]Sheet1!$C$139:$C$141</c:f>
              <c:numCache>
                <c:formatCode>General</c:formatCode>
                <c:ptCount val="3"/>
                <c:pt idx="0">
                  <c:v>0</c:v>
                </c:pt>
                <c:pt idx="1">
                  <c:v>11.83</c:v>
                </c:pt>
                <c:pt idx="2">
                  <c:v>0.9</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delete val="1"/>
          </c:dLbls>
          <c:cat>
            <c:strRef>
              <c:f>[2021决算公开图表司法.xls]Sheet1!$B$139:$B$141</c:f>
              <c:strCache>
                <c:ptCount val="3"/>
                <c:pt idx="0">
                  <c:v>因公出国（境）费支出</c:v>
                </c:pt>
                <c:pt idx="1">
                  <c:v>公务用车购置及运行维护费支出</c:v>
                </c:pt>
                <c:pt idx="2">
                  <c:v>公务接待费支出</c:v>
                </c:pt>
              </c:strCache>
            </c:strRef>
          </c:cat>
          <c:val>
            <c:numRef>
              <c:f>[2021决算公开图表司法.xls]Sheet1!$D$139:$D$141</c:f>
              <c:numCache>
                <c:formatCode>General</c:formatCode>
                <c:ptCount val="3"/>
                <c:pt idx="0">
                  <c:v>0</c:v>
                </c:pt>
                <c:pt idx="1" c:formatCode="0.00%">
                  <c:v>0.93</c:v>
                </c:pt>
                <c:pt idx="2" c:formatCode="0.00%">
                  <c:v>0.07</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655538146317946"/>
          <c:y val="0.400602409638554"/>
          <c:w val="0.338797155598409"/>
          <c:h val="0.506487488415199"/>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a4058280-f5ab-44bc-a4eb-4a55b15c9928}"/>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a8555f8-e10c-408f-9e51-6063ee49ec02}"/>
        <w:style w:val=""/>
        <w:category>
          <w:name w:val="常规"/>
          <w:gallery w:val="placeholder"/>
        </w:category>
        <w:types>
          <w:type w:val="bbPlcHdr"/>
        </w:types>
        <w:behaviors>
          <w:behavior w:val="content"/>
        </w:behaviors>
        <w:description w:val=""/>
        <w:guid w:val="{1A8555F8-E10C-408F-9E51-6063EE49EC02}"/>
      </w:docPartPr>
      <w:docPartBody>
        <w:p w14:paraId="33B5D0E3">
          <w:r>
            <w:rPr>
              <w:color w:val="808080"/>
            </w:rPr>
            <w:t>单击此处输入文字。</w:t>
          </w:r>
        </w:p>
      </w:docPartBody>
    </w:docPart>
    <w:docPart>
      <w:docPartPr>
        <w:name w:val="{f41cbe46-effa-41f6-8539-08543f20b4b1}"/>
        <w:style w:val=""/>
        <w:category>
          <w:name w:val="常规"/>
          <w:gallery w:val="placeholder"/>
        </w:category>
        <w:types>
          <w:type w:val="bbPlcHdr"/>
        </w:types>
        <w:behaviors>
          <w:behavior w:val="content"/>
        </w:behaviors>
        <w:description w:val=""/>
        <w:guid w:val="{F41CBE46-EFFA-41F6-8539-08543F20B4B1}"/>
      </w:docPartPr>
      <w:docPartBody>
        <w:p w14:paraId="0A18AF41">
          <w:r>
            <w:rPr>
              <w:color w:val="808080"/>
            </w:rPr>
            <w:t>单击此处输入文字。</w:t>
          </w:r>
        </w:p>
      </w:docPartBody>
    </w:docPart>
    <w:docPart>
      <w:docPartPr>
        <w:name w:val="{7f814290-3702-46f9-ab24-3d7478ecc781}"/>
        <w:style w:val=""/>
        <w:category>
          <w:name w:val="常规"/>
          <w:gallery w:val="placeholder"/>
        </w:category>
        <w:types>
          <w:type w:val="bbPlcHdr"/>
        </w:types>
        <w:behaviors>
          <w:behavior w:val="content"/>
        </w:behaviors>
        <w:description w:val=""/>
        <w:guid w:val="{7F814290-3702-46F9-AB24-3D7478ECC781}"/>
      </w:docPartPr>
      <w:docPartBody>
        <w:p w14:paraId="5A297F89">
          <w:r>
            <w:rPr>
              <w:color w:val="808080"/>
            </w:rPr>
            <w:t>单击此处输入文字。</w:t>
          </w:r>
        </w:p>
      </w:docPartBody>
    </w:docPart>
    <w:docPart>
      <w:docPartPr>
        <w:name w:val="{2a13ede9-10ac-4a11-92e4-72d4510057e1}"/>
        <w:style w:val=""/>
        <w:category>
          <w:name w:val="常规"/>
          <w:gallery w:val="placeholder"/>
        </w:category>
        <w:types>
          <w:type w:val="bbPlcHdr"/>
        </w:types>
        <w:behaviors>
          <w:behavior w:val="content"/>
        </w:behaviors>
        <w:description w:val=""/>
        <w:guid w:val="{2A13EDE9-10AC-4A11-92E4-72D4510057E1}"/>
      </w:docPartPr>
      <w:docPartBody>
        <w:p w14:paraId="3D8663B7">
          <w:r>
            <w:rPr>
              <w:color w:val="808080"/>
            </w:rPr>
            <w:t>单击此处输入文字。</w:t>
          </w:r>
        </w:p>
      </w:docPartBody>
    </w:docPart>
    <w:docPart>
      <w:docPartPr>
        <w:name w:val="{48a11a16-0d0b-4ac7-b45f-016a577b21b3}"/>
        <w:style w:val=""/>
        <w:category>
          <w:name w:val="常规"/>
          <w:gallery w:val="placeholder"/>
        </w:category>
        <w:types>
          <w:type w:val="bbPlcHdr"/>
        </w:types>
        <w:behaviors>
          <w:behavior w:val="content"/>
        </w:behaviors>
        <w:description w:val=""/>
        <w:guid w:val="{48A11A16-0D0B-4AC7-B45F-016A577B21B3}"/>
      </w:docPartPr>
      <w:docPartBody>
        <w:p w14:paraId="22456FA1">
          <w:r>
            <w:rPr>
              <w:color w:val="808080"/>
            </w:rPr>
            <w:t>单击此处输入文字。</w:t>
          </w:r>
        </w:p>
      </w:docPartBody>
    </w:docPart>
    <w:docPart>
      <w:docPartPr>
        <w:name w:val="{ce4d297c-2b70-42e6-9f71-a8d9c545a741}"/>
        <w:style w:val=""/>
        <w:category>
          <w:name w:val="常规"/>
          <w:gallery w:val="placeholder"/>
        </w:category>
        <w:types>
          <w:type w:val="bbPlcHdr"/>
        </w:types>
        <w:behaviors>
          <w:behavior w:val="content"/>
        </w:behaviors>
        <w:description w:val=""/>
        <w:guid w:val="{CE4D297C-2B70-42E6-9F71-A8D9C545A741}"/>
      </w:docPartPr>
      <w:docPartBody>
        <w:p w14:paraId="5CCDDF2C">
          <w:r>
            <w:rPr>
              <w:color w:val="808080"/>
            </w:rPr>
            <w:t>单击此处输入文字。</w:t>
          </w:r>
        </w:p>
      </w:docPartBody>
    </w:docPart>
    <w:docPart>
      <w:docPartPr>
        <w:name w:val="{e4ffa142-767e-4608-91fc-6aca770076ab}"/>
        <w:style w:val=""/>
        <w:category>
          <w:name w:val="常规"/>
          <w:gallery w:val="placeholder"/>
        </w:category>
        <w:types>
          <w:type w:val="bbPlcHdr"/>
        </w:types>
        <w:behaviors>
          <w:behavior w:val="content"/>
        </w:behaviors>
        <w:description w:val=""/>
        <w:guid w:val="{E4FFA142-767E-4608-91FC-6ACA770076AB}"/>
      </w:docPartPr>
      <w:docPartBody>
        <w:p w14:paraId="286C3838">
          <w:r>
            <w:rPr>
              <w:color w:val="808080"/>
            </w:rPr>
            <w:t>单击此处输入文字。</w:t>
          </w:r>
        </w:p>
      </w:docPartBody>
    </w:docPart>
    <w:docPart>
      <w:docPartPr>
        <w:name w:val="{0efe054b-9fc5-4403-bc1b-12dd11c979be}"/>
        <w:style w:val=""/>
        <w:category>
          <w:name w:val="常规"/>
          <w:gallery w:val="placeholder"/>
        </w:category>
        <w:types>
          <w:type w:val="bbPlcHdr"/>
        </w:types>
        <w:behaviors>
          <w:behavior w:val="content"/>
        </w:behaviors>
        <w:description w:val=""/>
        <w:guid w:val="{0EFE054B-9FC5-4403-BC1B-12DD11C979BE}"/>
      </w:docPartPr>
      <w:docPartBody>
        <w:p w14:paraId="7D8FCAF9">
          <w:r>
            <w:rPr>
              <w:color w:val="808080"/>
            </w:rPr>
            <w:t>单击此处输入文字。</w:t>
          </w:r>
        </w:p>
      </w:docPartBody>
    </w:docPart>
    <w:docPart>
      <w:docPartPr>
        <w:name w:val="{f7b02a15-21b7-4b38-8361-ca9ca43b2d4c}"/>
        <w:style w:val=""/>
        <w:category>
          <w:name w:val="常规"/>
          <w:gallery w:val="placeholder"/>
        </w:category>
        <w:types>
          <w:type w:val="bbPlcHdr"/>
        </w:types>
        <w:behaviors>
          <w:behavior w:val="content"/>
        </w:behaviors>
        <w:description w:val=""/>
        <w:guid w:val="{F7B02A15-21B7-4B38-8361-CA9CA43B2D4C}"/>
      </w:docPartPr>
      <w:docPartBody>
        <w:p w14:paraId="525B5205">
          <w:r>
            <w:rPr>
              <w:color w:val="808080"/>
            </w:rPr>
            <w:t>单击此处输入文字。</w:t>
          </w:r>
        </w:p>
      </w:docPartBody>
    </w:docPart>
    <w:docPart>
      <w:docPartPr>
        <w:name w:val="{2b3f102f-b6de-480b-985c-11fa7583321d}"/>
        <w:style w:val=""/>
        <w:category>
          <w:name w:val="常规"/>
          <w:gallery w:val="placeholder"/>
        </w:category>
        <w:types>
          <w:type w:val="bbPlcHdr"/>
        </w:types>
        <w:behaviors>
          <w:behavior w:val="content"/>
        </w:behaviors>
        <w:description w:val=""/>
        <w:guid w:val="{2B3F102F-B6DE-480B-985C-11FA7583321D}"/>
      </w:docPartPr>
      <w:docPartBody>
        <w:p w14:paraId="16F57CC5">
          <w:r>
            <w:rPr>
              <w:color w:val="808080"/>
            </w:rPr>
            <w:t>单击此处输入文字。</w:t>
          </w:r>
        </w:p>
      </w:docPartBody>
    </w:docPart>
    <w:docPart>
      <w:docPartPr>
        <w:name w:val="{81a4def6-4d40-43c7-a418-77dd7e9f8be9}"/>
        <w:style w:val=""/>
        <w:category>
          <w:name w:val="常规"/>
          <w:gallery w:val="placeholder"/>
        </w:category>
        <w:types>
          <w:type w:val="bbPlcHdr"/>
        </w:types>
        <w:behaviors>
          <w:behavior w:val="content"/>
        </w:behaviors>
        <w:description w:val=""/>
        <w:guid w:val="{81A4DEF6-4D40-43C7-A418-77DD7E9F8BE9}"/>
      </w:docPartPr>
      <w:docPartBody>
        <w:p w14:paraId="3556B900">
          <w:r>
            <w:rPr>
              <w:color w:val="808080"/>
            </w:rPr>
            <w:t>单击此处输入文字。</w:t>
          </w:r>
        </w:p>
      </w:docPartBody>
    </w:docPart>
    <w:docPart>
      <w:docPartPr>
        <w:name w:val="{689c0db2-b797-4331-b282-60f20fdfd21a}"/>
        <w:style w:val=""/>
        <w:category>
          <w:name w:val="常规"/>
          <w:gallery w:val="placeholder"/>
        </w:category>
        <w:types>
          <w:type w:val="bbPlcHdr"/>
        </w:types>
        <w:behaviors>
          <w:behavior w:val="content"/>
        </w:behaviors>
        <w:description w:val=""/>
        <w:guid w:val="{689C0DB2-B797-4331-B282-60F20FDFD21A}"/>
      </w:docPartPr>
      <w:docPartBody>
        <w:p w14:paraId="56D102B5">
          <w:r>
            <w:rPr>
              <w:color w:val="808080"/>
            </w:rPr>
            <w:t>单击此处输入文字。</w:t>
          </w:r>
        </w:p>
      </w:docPartBody>
    </w:docPart>
    <w:docPart>
      <w:docPartPr>
        <w:name w:val="{5d6fb4cf-bfdb-4407-b2f9-243a01edccfa}"/>
        <w:style w:val=""/>
        <w:category>
          <w:name w:val="常规"/>
          <w:gallery w:val="placeholder"/>
        </w:category>
        <w:types>
          <w:type w:val="bbPlcHdr"/>
        </w:types>
        <w:behaviors>
          <w:behavior w:val="content"/>
        </w:behaviors>
        <w:description w:val=""/>
        <w:guid w:val="{5D6FB4CF-BFDB-4407-B2F9-243A01EDCCFA}"/>
      </w:docPartPr>
      <w:docPartBody>
        <w:p w14:paraId="1DBB7601">
          <w:r>
            <w:rPr>
              <w:color w:val="808080"/>
            </w:rPr>
            <w:t>单击此处输入文字。</w:t>
          </w:r>
        </w:p>
      </w:docPartBody>
    </w:docPart>
    <w:docPart>
      <w:docPartPr>
        <w:name w:val="{782da690-5716-4470-aae3-763b6c772acd}"/>
        <w:style w:val=""/>
        <w:category>
          <w:name w:val="常规"/>
          <w:gallery w:val="placeholder"/>
        </w:category>
        <w:types>
          <w:type w:val="bbPlcHdr"/>
        </w:types>
        <w:behaviors>
          <w:behavior w:val="content"/>
        </w:behaviors>
        <w:description w:val=""/>
        <w:guid w:val="{782DA690-5716-4470-AAE3-763B6C772ACD}"/>
      </w:docPartPr>
      <w:docPartBody>
        <w:p w14:paraId="7C82B41B">
          <w:r>
            <w:rPr>
              <w:color w:val="808080"/>
            </w:rPr>
            <w:t>单击此处输入文字。</w:t>
          </w:r>
        </w:p>
      </w:docPartBody>
    </w:docPart>
    <w:docPart>
      <w:docPartPr>
        <w:name w:val="{ca18c728-9d8a-4b42-8d1d-1b7565053923}"/>
        <w:style w:val=""/>
        <w:category>
          <w:name w:val="常规"/>
          <w:gallery w:val="placeholder"/>
        </w:category>
        <w:types>
          <w:type w:val="bbPlcHdr"/>
        </w:types>
        <w:behaviors>
          <w:behavior w:val="content"/>
        </w:behaviors>
        <w:description w:val=""/>
        <w:guid w:val="{CA18C728-9D8A-4B42-8D1D-1B7565053923}"/>
      </w:docPartPr>
      <w:docPartBody>
        <w:p w14:paraId="55F10F52">
          <w:r>
            <w:rPr>
              <w:color w:val="808080"/>
            </w:rPr>
            <w:t>单击此处输入文字。</w:t>
          </w:r>
        </w:p>
      </w:docPartBody>
    </w:docPart>
    <w:docPart>
      <w:docPartPr>
        <w:name w:val="{ad06cc70-8650-457a-8c7f-c095d383fe51}"/>
        <w:style w:val=""/>
        <w:category>
          <w:name w:val="常规"/>
          <w:gallery w:val="placeholder"/>
        </w:category>
        <w:types>
          <w:type w:val="bbPlcHdr"/>
        </w:types>
        <w:behaviors>
          <w:behavior w:val="content"/>
        </w:behaviors>
        <w:description w:val=""/>
        <w:guid w:val="{AD06CC70-8650-457A-8C7F-C095D383FE51}"/>
      </w:docPartPr>
      <w:docPartBody>
        <w:p w14:paraId="7371BDF0">
          <w:r>
            <w:rPr>
              <w:color w:val="808080"/>
            </w:rPr>
            <w:t>单击此处输入文字。</w:t>
          </w:r>
        </w:p>
      </w:docPartBody>
    </w:docPart>
    <w:docPart>
      <w:docPartPr>
        <w:name w:val="{691262eb-7899-4764-899f-d8ac9928c6b2}"/>
        <w:style w:val=""/>
        <w:category>
          <w:name w:val="常规"/>
          <w:gallery w:val="placeholder"/>
        </w:category>
        <w:types>
          <w:type w:val="bbPlcHdr"/>
        </w:types>
        <w:behaviors>
          <w:behavior w:val="content"/>
        </w:behaviors>
        <w:description w:val=""/>
        <w:guid w:val="{691262EB-7899-4764-899F-D8AC9928C6B2}"/>
      </w:docPartPr>
      <w:docPartBody>
        <w:p w14:paraId="5513C309">
          <w:r>
            <w:rPr>
              <w:color w:val="808080"/>
            </w:rPr>
            <w:t>单击此处输入文字。</w:t>
          </w:r>
        </w:p>
      </w:docPartBody>
    </w:docPart>
    <w:docPart>
      <w:docPartPr>
        <w:name w:val="{bad3cb22-b0de-483d-a06e-6d6de808beac}"/>
        <w:style w:val=""/>
        <w:category>
          <w:name w:val="常规"/>
          <w:gallery w:val="placeholder"/>
        </w:category>
        <w:types>
          <w:type w:val="bbPlcHdr"/>
        </w:types>
        <w:behaviors>
          <w:behavior w:val="content"/>
        </w:behaviors>
        <w:description w:val=""/>
        <w:guid w:val="{BAD3CB22-B0DE-483D-A06E-6D6DE808BEAC}"/>
      </w:docPartPr>
      <w:docPartBody>
        <w:p w14:paraId="6109EFB3">
          <w:r>
            <w:rPr>
              <w:color w:val="808080"/>
            </w:rPr>
            <w:t>单击此处输入文字。</w:t>
          </w:r>
        </w:p>
      </w:docPartBody>
    </w:docPart>
    <w:docPart>
      <w:docPartPr>
        <w:name w:val="{8e217fe0-855d-4c8d-8854-09715464049c}"/>
        <w:style w:val=""/>
        <w:category>
          <w:name w:val="常规"/>
          <w:gallery w:val="placeholder"/>
        </w:category>
        <w:types>
          <w:type w:val="bbPlcHdr"/>
        </w:types>
        <w:behaviors>
          <w:behavior w:val="content"/>
        </w:behaviors>
        <w:description w:val=""/>
        <w:guid w:val="{8E217FE0-855D-4C8D-8854-09715464049C}"/>
      </w:docPartPr>
      <w:docPartBody>
        <w:p w14:paraId="4803CD4D">
          <w:r>
            <w:rPr>
              <w:color w:val="808080"/>
            </w:rPr>
            <w:t>单击此处输入文字。</w:t>
          </w:r>
        </w:p>
      </w:docPartBody>
    </w:docPart>
    <w:docPart>
      <w:docPartPr>
        <w:name w:val="{3facd74b-6939-41bd-b4aa-b532d614e6bf}"/>
        <w:style w:val=""/>
        <w:category>
          <w:name w:val="常规"/>
          <w:gallery w:val="placeholder"/>
        </w:category>
        <w:types>
          <w:type w:val="bbPlcHdr"/>
        </w:types>
        <w:behaviors>
          <w:behavior w:val="content"/>
        </w:behaviors>
        <w:description w:val=""/>
        <w:guid w:val="{3FACD74B-6939-41BD-B4AA-B532D614E6BF}"/>
      </w:docPartPr>
      <w:docPartBody>
        <w:p w14:paraId="6304A95E">
          <w:r>
            <w:rPr>
              <w:color w:val="808080"/>
            </w:rPr>
            <w:t>单击此处输入文字。</w:t>
          </w:r>
        </w:p>
      </w:docPartBody>
    </w:docPart>
    <w:docPart>
      <w:docPartPr>
        <w:name w:val="{290be6d3-50a0-4fb2-a286-da62c5057760}"/>
        <w:style w:val=""/>
        <w:category>
          <w:name w:val="常规"/>
          <w:gallery w:val="placeholder"/>
        </w:category>
        <w:types>
          <w:type w:val="bbPlcHdr"/>
        </w:types>
        <w:behaviors>
          <w:behavior w:val="content"/>
        </w:behaviors>
        <w:description w:val=""/>
        <w:guid w:val="{290BE6D3-50A0-4FB2-A286-DA62C5057760}"/>
      </w:docPartPr>
      <w:docPartBody>
        <w:p w14:paraId="777C783F">
          <w:r>
            <w:rPr>
              <w:color w:val="808080"/>
            </w:rPr>
            <w:t>单击此处输入文字。</w:t>
          </w:r>
        </w:p>
      </w:docPartBody>
    </w:docPart>
    <w:docPart>
      <w:docPartPr>
        <w:name w:val="{ebc68f09-e910-4fe0-b3a8-6318eab3a0de}"/>
        <w:style w:val=""/>
        <w:category>
          <w:name w:val="常规"/>
          <w:gallery w:val="placeholder"/>
        </w:category>
        <w:types>
          <w:type w:val="bbPlcHdr"/>
        </w:types>
        <w:behaviors>
          <w:behavior w:val="content"/>
        </w:behaviors>
        <w:description w:val=""/>
        <w:guid w:val="{EBC68F09-E910-4FE0-B3A8-6318EAB3A0DE}"/>
      </w:docPartPr>
      <w:docPartBody>
        <w:p w14:paraId="61BB10FF">
          <w:r>
            <w:rPr>
              <w:color w:val="808080"/>
            </w:rPr>
            <w:t>单击此处输入文字。</w:t>
          </w:r>
        </w:p>
      </w:docPartBody>
    </w:docPart>
    <w:docPart>
      <w:docPartPr>
        <w:name w:val="{102d1fc5-23ce-4b2d-8226-89302dea06c6}"/>
        <w:style w:val=""/>
        <w:category>
          <w:name w:val="常规"/>
          <w:gallery w:val="placeholder"/>
        </w:category>
        <w:types>
          <w:type w:val="bbPlcHdr"/>
        </w:types>
        <w:behaviors>
          <w:behavior w:val="content"/>
        </w:behaviors>
        <w:description w:val=""/>
        <w:guid w:val="{102D1FC5-23CE-4B2D-8226-89302DEA06C6}"/>
      </w:docPartPr>
      <w:docPartBody>
        <w:p w14:paraId="6E13C613">
          <w:r>
            <w:rPr>
              <w:color w:val="808080"/>
            </w:rPr>
            <w:t>单击此处输入文字。</w:t>
          </w:r>
        </w:p>
      </w:docPartBody>
    </w:docPart>
    <w:docPart>
      <w:docPartPr>
        <w:name w:val="{9bc65dd8-7067-4138-b8e0-dcd3a60a47b5}"/>
        <w:style w:val=""/>
        <w:category>
          <w:name w:val="常规"/>
          <w:gallery w:val="placeholder"/>
        </w:category>
        <w:types>
          <w:type w:val="bbPlcHdr"/>
        </w:types>
        <w:behaviors>
          <w:behavior w:val="content"/>
        </w:behaviors>
        <w:description w:val=""/>
        <w:guid w:val="{9BC65DD8-7067-4138-B8E0-DCD3A60A47B5}"/>
      </w:docPartPr>
      <w:docPartBody>
        <w:p w14:paraId="00466F6B">
          <w:r>
            <w:rPr>
              <w:color w:val="808080"/>
            </w:rPr>
            <w:t>单击此处输入文字。</w:t>
          </w:r>
        </w:p>
      </w:docPartBody>
    </w:docPart>
    <w:docPart>
      <w:docPartPr>
        <w:name w:val="{bf7af394-5787-4f88-95d1-150c2852424c}"/>
        <w:style w:val=""/>
        <w:category>
          <w:name w:val="常规"/>
          <w:gallery w:val="placeholder"/>
        </w:category>
        <w:types>
          <w:type w:val="bbPlcHdr"/>
        </w:types>
        <w:behaviors>
          <w:behavior w:val="content"/>
        </w:behaviors>
        <w:description w:val=""/>
        <w:guid w:val="{BF7AF394-5787-4F88-95D1-150C2852424C}"/>
      </w:docPartPr>
      <w:docPartBody>
        <w:p w14:paraId="44448A48">
          <w:r>
            <w:rPr>
              <w:color w:val="808080"/>
            </w:rPr>
            <w:t>单击此处输入文字。</w:t>
          </w:r>
        </w:p>
      </w:docPartBody>
    </w:docPart>
    <w:docPart>
      <w:docPartPr>
        <w:name w:val="{3971f8a8-9567-4541-8465-261f815ed2a8}"/>
        <w:style w:val=""/>
        <w:category>
          <w:name w:val="常规"/>
          <w:gallery w:val="placeholder"/>
        </w:category>
        <w:types>
          <w:type w:val="bbPlcHdr"/>
        </w:types>
        <w:behaviors>
          <w:behavior w:val="content"/>
        </w:behaviors>
        <w:description w:val=""/>
        <w:guid w:val="{3971F8A8-9567-4541-8465-261F815ED2A8}"/>
      </w:docPartPr>
      <w:docPartBody>
        <w:p w14:paraId="0888657C">
          <w:r>
            <w:rPr>
              <w:color w:val="808080"/>
            </w:rPr>
            <w:t>单击此处输入文字。</w:t>
          </w:r>
        </w:p>
      </w:docPartBody>
    </w:docPart>
    <w:docPart>
      <w:docPartPr>
        <w:name w:val="{cc0c1020-e4ca-4545-b091-b9ef39d84295}"/>
        <w:style w:val=""/>
        <w:category>
          <w:name w:val="常规"/>
          <w:gallery w:val="placeholder"/>
        </w:category>
        <w:types>
          <w:type w:val="bbPlcHdr"/>
        </w:types>
        <w:behaviors>
          <w:behavior w:val="content"/>
        </w:behaviors>
        <w:description w:val=""/>
        <w:guid w:val="{CC0C1020-E4CA-4545-B091-B9EF39D84295}"/>
      </w:docPartPr>
      <w:docPartBody>
        <w:p w14:paraId="06D531E3">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A41CB5"/>
    <w:rsid w:val="00594029"/>
    <w:rsid w:val="00A16327"/>
    <w:rsid w:val="00A41CB5"/>
    <w:rsid w:val="00B30798"/>
    <w:rsid w:val="00E157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58</Pages>
  <Words>9305</Words>
  <Characters>10067</Characters>
  <Lines>203</Lines>
  <Paragraphs>57</Paragraphs>
  <TotalTime>18</TotalTime>
  <ScaleCrop>false</ScaleCrop>
  <LinksUpToDate>false</LinksUpToDate>
  <CharactersWithSpaces>10196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2022-10-24T08:12:00Z</dcterms:created>
  <dc:creator>曹颖</dc:creator>
  <cp:lastModifiedBy>彭飞龙</cp:lastModifiedBy>
  <cp:lastPrinted>2022-08-08T09:11:00Z</cp:lastPrinted>
  <dcterms:modified xsi:type="dcterms:W3CDTF">2025-06-20T02:51:33Z</dcterms:modified>
  <dc:title>四川省***</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eyJoZGlkIjoiZmViZTY3OWQ3MzJmZTJkYzFkZmQ5NzM4ODEzYjUwMGEifQ==</vt:lpwstr>
  </property>
  <property fmtid="{D5CDD505-2E9C-101B-9397-08002B2CF9AE}" pid="4" name="ICV">
    <vt:lpwstr>5E6AD1E4C4A3498A9923E7D276DF6997_13</vt:lpwstr>
  </property>
</Properties>
</file>