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F06D51">
      <w:pPr>
        <w:spacing w:line="600" w:lineRule="exact"/>
        <w:jc w:val="center"/>
        <w:outlineLvl w:val="0"/>
        <w:rPr>
          <w:rFonts w:ascii="方正小标宋简体" w:hAnsi="宋体" w:eastAsia="方正小标宋简体"/>
          <w:sz w:val="72"/>
          <w:szCs w:val="72"/>
        </w:rPr>
      </w:pPr>
      <w:bookmarkStart w:id="0" w:name="_Toc15378441"/>
      <w:bookmarkStart w:id="1" w:name="_Toc15377193"/>
      <w:bookmarkStart w:id="2" w:name="_Toc15377425"/>
      <w:bookmarkStart w:id="3" w:name="_Toc15396597"/>
      <w:bookmarkStart w:id="4" w:name="_Toc15396475"/>
      <w:bookmarkStart w:id="5" w:name="_Toc15306267"/>
    </w:p>
    <w:p w14:paraId="3CD78EE1">
      <w:pPr>
        <w:spacing w:line="600" w:lineRule="exact"/>
        <w:jc w:val="center"/>
        <w:outlineLvl w:val="0"/>
        <w:rPr>
          <w:rFonts w:ascii="方正小标宋简体" w:hAnsi="宋体" w:eastAsia="方正小标宋简体"/>
          <w:sz w:val="72"/>
          <w:szCs w:val="72"/>
        </w:rPr>
      </w:pPr>
    </w:p>
    <w:p w14:paraId="1821AFED">
      <w:pPr>
        <w:spacing w:line="600" w:lineRule="exact"/>
        <w:jc w:val="center"/>
        <w:outlineLvl w:val="0"/>
        <w:rPr>
          <w:rFonts w:ascii="方正小标宋简体" w:hAnsi="宋体" w:eastAsia="方正小标宋简体"/>
          <w:sz w:val="72"/>
          <w:szCs w:val="72"/>
        </w:rPr>
      </w:pPr>
    </w:p>
    <w:p w14:paraId="6143D15A">
      <w:pPr>
        <w:spacing w:line="600" w:lineRule="exact"/>
        <w:jc w:val="center"/>
        <w:outlineLvl w:val="0"/>
        <w:rPr>
          <w:rFonts w:ascii="方正小标宋简体" w:hAnsi="宋体" w:eastAsia="方正小标宋简体"/>
          <w:sz w:val="72"/>
          <w:szCs w:val="72"/>
        </w:rPr>
      </w:pPr>
    </w:p>
    <w:p w14:paraId="1B18153C">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2021年度</w:t>
      </w:r>
      <w:bookmarkEnd w:id="0"/>
      <w:bookmarkEnd w:id="1"/>
      <w:bookmarkEnd w:id="2"/>
      <w:bookmarkEnd w:id="3"/>
      <w:bookmarkEnd w:id="4"/>
    </w:p>
    <w:bookmarkEnd w:id="5"/>
    <w:p w14:paraId="4C9A5006">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06268"/>
      <w:bookmarkStart w:id="7" w:name="_Toc15396598"/>
      <w:bookmarkStart w:id="8" w:name="_Toc15396476"/>
      <w:bookmarkStart w:id="9" w:name="_Toc15378442"/>
      <w:bookmarkStart w:id="10" w:name="_Toc15377426"/>
      <w:bookmarkStart w:id="11" w:name="_Toc15377194"/>
      <w:r>
        <w:rPr>
          <w:rFonts w:hint="eastAsia" w:ascii="方正小标宋简体" w:hAnsi="方正小标宋简体" w:eastAsia="方正小标宋简体" w:cs="方正小标宋简体"/>
          <w:sz w:val="72"/>
          <w:szCs w:val="72"/>
        </w:rPr>
        <w:t>中共盐边县委政法委员会</w:t>
      </w:r>
    </w:p>
    <w:p w14:paraId="7990E87C">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部门决算</w:t>
      </w:r>
      <w:bookmarkEnd w:id="6"/>
      <w:bookmarkEnd w:id="7"/>
      <w:bookmarkEnd w:id="8"/>
      <w:bookmarkEnd w:id="9"/>
      <w:bookmarkEnd w:id="10"/>
      <w:bookmarkEnd w:id="11"/>
    </w:p>
    <w:p w14:paraId="08FA7CDB">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14:paraId="5141286E">
      <w:pPr>
        <w:widowControl/>
        <w:jc w:val="center"/>
        <w:rPr>
          <w:rFonts w:ascii="黑体" w:hAnsi="黑体" w:eastAsia="黑体" w:cstheme="minorBidi"/>
          <w:sz w:val="28"/>
          <w:szCs w:val="28"/>
        </w:rPr>
      </w:pPr>
    </w:p>
    <w:p w14:paraId="786C7192">
      <w:pPr>
        <w:pStyle w:val="13"/>
      </w:pPr>
      <w:r>
        <w:rPr>
          <w:rFonts w:hint="eastAsia"/>
        </w:rPr>
        <w:t>公开时间：2022年10月24日</w:t>
      </w:r>
    </w:p>
    <w:p w14:paraId="646DF662"/>
    <w:sdt>
      <w:sdtPr>
        <w:rPr>
          <w:rFonts w:ascii="宋体" w:hAnsi="宋体"/>
        </w:rPr>
        <w:id w:val="147482664"/>
        <w:docPartObj>
          <w:docPartGallery w:val="Table of Contents"/>
          <w:docPartUnique/>
        </w:docPartObj>
      </w:sdtPr>
      <w:sdtEndPr>
        <w:rPr>
          <w:rFonts w:hint="eastAsia" w:ascii="华文仿宋" w:hAnsi="华文仿宋" w:eastAsia="华文仿宋" w:cs="华文仿宋"/>
          <w:szCs w:val="21"/>
        </w:rPr>
      </w:sdtEndPr>
      <w:sdtContent>
        <w:p w14:paraId="5624CE2E">
          <w:pPr>
            <w:jc w:val="center"/>
          </w:pPr>
          <w:bookmarkStart w:id="12" w:name="_Toc15396599"/>
          <w:bookmarkStart w:id="13" w:name="_Toc15377196"/>
        </w:p>
        <w:p w14:paraId="5F431910">
          <w:pPr>
            <w:pStyle w:val="36"/>
            <w:tabs>
              <w:tab w:val="right" w:leader="dot" w:pos="8306"/>
            </w:tabs>
            <w:rPr>
              <w:rFonts w:ascii="华文仿宋" w:hAnsi="华文仿宋" w:eastAsia="华文仿宋" w:cs="华文仿宋"/>
              <w:sz w:val="21"/>
              <w:szCs w:val="21"/>
            </w:rPr>
          </w:pPr>
          <w:r>
            <w:fldChar w:fldCharType="begin"/>
          </w:r>
          <w:r>
            <w:instrText xml:space="preserve"> HYPERLINK \l "_Toc31871_WPSOffice_Level1" </w:instrText>
          </w:r>
          <w:r>
            <w:fldChar w:fldCharType="separate"/>
          </w:r>
          <w:r>
            <w:rPr>
              <w:rFonts w:hint="eastAsia" w:ascii="华文仿宋" w:hAnsi="华文仿宋" w:eastAsia="华文仿宋" w:cs="华文仿宋"/>
              <w:b/>
              <w:bCs/>
              <w:sz w:val="21"/>
              <w:szCs w:val="21"/>
            </w:rPr>
            <w:t>第一部分 部门概况</w:t>
          </w:r>
          <w:r>
            <w:rPr>
              <w:rFonts w:hint="eastAsia" w:ascii="华文仿宋" w:hAnsi="华文仿宋" w:eastAsia="华文仿宋" w:cs="华文仿宋"/>
              <w:b/>
              <w:bCs/>
              <w:sz w:val="21"/>
              <w:szCs w:val="21"/>
            </w:rPr>
            <w:tab/>
          </w:r>
          <w:bookmarkStart w:id="14" w:name="_Toc31871_WPSOffice_Level1Page"/>
          <w:r>
            <w:rPr>
              <w:rFonts w:hint="eastAsia" w:ascii="华文仿宋" w:hAnsi="华文仿宋" w:eastAsia="华文仿宋" w:cs="华文仿宋"/>
              <w:b/>
              <w:bCs/>
              <w:sz w:val="21"/>
              <w:szCs w:val="21"/>
            </w:rPr>
            <w:t>4</w:t>
          </w:r>
          <w:bookmarkEnd w:id="14"/>
          <w:r>
            <w:rPr>
              <w:rFonts w:hint="eastAsia" w:ascii="华文仿宋" w:hAnsi="华文仿宋" w:eastAsia="华文仿宋" w:cs="华文仿宋"/>
              <w:b/>
              <w:bCs/>
              <w:sz w:val="21"/>
              <w:szCs w:val="21"/>
            </w:rPr>
            <w:fldChar w:fldCharType="end"/>
          </w:r>
        </w:p>
        <w:p w14:paraId="2C1EC40B">
          <w:pPr>
            <w:pStyle w:val="37"/>
            <w:tabs>
              <w:tab w:val="right" w:leader="dot" w:pos="8306"/>
            </w:tabs>
            <w:ind w:left="420"/>
            <w:rPr>
              <w:rFonts w:ascii="华文仿宋" w:hAnsi="华文仿宋" w:eastAsia="华文仿宋" w:cs="华文仿宋"/>
              <w:sz w:val="21"/>
              <w:szCs w:val="21"/>
            </w:rPr>
          </w:pPr>
          <w:r>
            <w:fldChar w:fldCharType="begin"/>
          </w:r>
          <w:r>
            <w:instrText xml:space="preserve"> HYPERLINK \l "_Toc15043_WPSOffice_Level2" </w:instrText>
          </w:r>
          <w:r>
            <w:fldChar w:fldCharType="separate"/>
          </w:r>
          <w:r>
            <w:rPr>
              <w:rFonts w:hint="eastAsia" w:ascii="华文仿宋" w:hAnsi="华文仿宋" w:eastAsia="华文仿宋" w:cs="华文仿宋"/>
              <w:sz w:val="21"/>
              <w:szCs w:val="21"/>
            </w:rPr>
            <w:t>一、基本职能及主要工作</w:t>
          </w:r>
          <w:r>
            <w:rPr>
              <w:rFonts w:hint="eastAsia" w:ascii="华文仿宋" w:hAnsi="华文仿宋" w:eastAsia="华文仿宋" w:cs="华文仿宋"/>
              <w:sz w:val="21"/>
              <w:szCs w:val="21"/>
            </w:rPr>
            <w:tab/>
          </w:r>
          <w:bookmarkStart w:id="15" w:name="_Toc15043_WPSOffice_Level2Page"/>
          <w:r>
            <w:rPr>
              <w:rFonts w:hint="eastAsia" w:ascii="华文仿宋" w:hAnsi="华文仿宋" w:eastAsia="华文仿宋" w:cs="华文仿宋"/>
              <w:sz w:val="21"/>
              <w:szCs w:val="21"/>
            </w:rPr>
            <w:t>4</w:t>
          </w:r>
          <w:bookmarkEnd w:id="15"/>
          <w:r>
            <w:rPr>
              <w:rFonts w:hint="eastAsia" w:ascii="华文仿宋" w:hAnsi="华文仿宋" w:eastAsia="华文仿宋" w:cs="华文仿宋"/>
              <w:sz w:val="21"/>
              <w:szCs w:val="21"/>
            </w:rPr>
            <w:fldChar w:fldCharType="end"/>
          </w:r>
        </w:p>
        <w:p w14:paraId="52D4C30D">
          <w:pPr>
            <w:pStyle w:val="37"/>
            <w:tabs>
              <w:tab w:val="right" w:leader="dot" w:pos="8306"/>
            </w:tabs>
            <w:ind w:left="420"/>
            <w:rPr>
              <w:rFonts w:ascii="华文仿宋" w:hAnsi="华文仿宋" w:eastAsia="华文仿宋" w:cs="华文仿宋"/>
              <w:sz w:val="21"/>
              <w:szCs w:val="21"/>
            </w:rPr>
          </w:pPr>
          <w:r>
            <w:fldChar w:fldCharType="begin"/>
          </w:r>
          <w:r>
            <w:instrText xml:space="preserve"> HYPERLINK \l "_Toc3891_WPSOffice_Level2" </w:instrText>
          </w:r>
          <w:r>
            <w:fldChar w:fldCharType="separate"/>
          </w:r>
          <w:r>
            <w:rPr>
              <w:rFonts w:hint="eastAsia" w:ascii="华文仿宋" w:hAnsi="华文仿宋" w:eastAsia="华文仿宋" w:cs="华文仿宋"/>
              <w:sz w:val="21"/>
              <w:szCs w:val="21"/>
            </w:rPr>
            <w:t>二、2021年重点工作完成情况</w:t>
          </w:r>
          <w:r>
            <w:rPr>
              <w:rFonts w:hint="eastAsia" w:ascii="华文仿宋" w:hAnsi="华文仿宋" w:eastAsia="华文仿宋" w:cs="华文仿宋"/>
              <w:sz w:val="21"/>
              <w:szCs w:val="21"/>
            </w:rPr>
            <w:tab/>
          </w:r>
          <w:bookmarkStart w:id="16" w:name="_Toc3891_WPSOffice_Level2Page"/>
          <w:r>
            <w:rPr>
              <w:rFonts w:hint="eastAsia" w:ascii="华文仿宋" w:hAnsi="华文仿宋" w:eastAsia="华文仿宋" w:cs="华文仿宋"/>
              <w:sz w:val="21"/>
              <w:szCs w:val="21"/>
            </w:rPr>
            <w:t>5</w:t>
          </w:r>
          <w:bookmarkEnd w:id="16"/>
          <w:r>
            <w:rPr>
              <w:rFonts w:hint="eastAsia" w:ascii="华文仿宋" w:hAnsi="华文仿宋" w:eastAsia="华文仿宋" w:cs="华文仿宋"/>
              <w:sz w:val="21"/>
              <w:szCs w:val="21"/>
            </w:rPr>
            <w:fldChar w:fldCharType="end"/>
          </w:r>
        </w:p>
        <w:p w14:paraId="6B9DBC88">
          <w:pPr>
            <w:pStyle w:val="36"/>
            <w:tabs>
              <w:tab w:val="right" w:leader="dot" w:pos="8306"/>
            </w:tabs>
            <w:rPr>
              <w:rFonts w:ascii="华文仿宋" w:hAnsi="华文仿宋" w:eastAsia="华文仿宋" w:cs="华文仿宋"/>
              <w:sz w:val="21"/>
              <w:szCs w:val="21"/>
            </w:rPr>
          </w:pPr>
          <w:r>
            <w:fldChar w:fldCharType="begin"/>
          </w:r>
          <w:r>
            <w:instrText xml:space="preserve"> HYPERLINK \l "_Toc15043_WPSOffice_Level1" </w:instrText>
          </w:r>
          <w:r>
            <w:fldChar w:fldCharType="separate"/>
          </w:r>
          <w:r>
            <w:rPr>
              <w:rFonts w:hint="eastAsia" w:ascii="华文仿宋" w:hAnsi="华文仿宋" w:eastAsia="华文仿宋" w:cs="华文仿宋"/>
              <w:b/>
              <w:bCs/>
              <w:sz w:val="21"/>
              <w:szCs w:val="21"/>
            </w:rPr>
            <w:t>第二部分 2021年度部门决算情况说明</w:t>
          </w:r>
          <w:r>
            <w:rPr>
              <w:rFonts w:hint="eastAsia" w:ascii="华文仿宋" w:hAnsi="华文仿宋" w:eastAsia="华文仿宋" w:cs="华文仿宋"/>
              <w:b/>
              <w:bCs/>
              <w:sz w:val="21"/>
              <w:szCs w:val="21"/>
            </w:rPr>
            <w:tab/>
          </w:r>
          <w:bookmarkStart w:id="17" w:name="_Toc15043_WPSOffice_Level1Page"/>
          <w:r>
            <w:rPr>
              <w:rFonts w:hint="eastAsia" w:ascii="华文仿宋" w:hAnsi="华文仿宋" w:eastAsia="华文仿宋" w:cs="华文仿宋"/>
              <w:b/>
              <w:bCs/>
              <w:sz w:val="21"/>
              <w:szCs w:val="21"/>
            </w:rPr>
            <w:t>9</w:t>
          </w:r>
          <w:bookmarkEnd w:id="17"/>
          <w:r>
            <w:rPr>
              <w:rFonts w:hint="eastAsia" w:ascii="华文仿宋" w:hAnsi="华文仿宋" w:eastAsia="华文仿宋" w:cs="华文仿宋"/>
              <w:b/>
              <w:bCs/>
              <w:sz w:val="21"/>
              <w:szCs w:val="21"/>
            </w:rPr>
            <w:fldChar w:fldCharType="end"/>
          </w:r>
        </w:p>
        <w:p w14:paraId="0A1C3349">
          <w:pPr>
            <w:pStyle w:val="37"/>
            <w:tabs>
              <w:tab w:val="right" w:leader="dot" w:pos="8306"/>
            </w:tabs>
            <w:ind w:left="420"/>
            <w:rPr>
              <w:rFonts w:ascii="华文仿宋" w:hAnsi="华文仿宋" w:eastAsia="华文仿宋" w:cs="华文仿宋"/>
              <w:sz w:val="21"/>
              <w:szCs w:val="21"/>
            </w:rPr>
          </w:pPr>
          <w:r>
            <w:fldChar w:fldCharType="begin"/>
          </w:r>
          <w:r>
            <w:instrText xml:space="preserve"> HYPERLINK \l "_Toc31820_WPSOffice_Level2" </w:instrText>
          </w:r>
          <w:r>
            <w:fldChar w:fldCharType="separate"/>
          </w:r>
          <w:r>
            <w:rPr>
              <w:rFonts w:hint="eastAsia" w:ascii="华文仿宋" w:hAnsi="华文仿宋" w:eastAsia="华文仿宋" w:cs="华文仿宋"/>
              <w:sz w:val="21"/>
              <w:szCs w:val="21"/>
            </w:rPr>
            <w:t>一、 收入支出决算总体情况说明</w:t>
          </w:r>
          <w:r>
            <w:rPr>
              <w:rFonts w:hint="eastAsia" w:ascii="华文仿宋" w:hAnsi="华文仿宋" w:eastAsia="华文仿宋" w:cs="华文仿宋"/>
              <w:sz w:val="21"/>
              <w:szCs w:val="21"/>
            </w:rPr>
            <w:tab/>
          </w:r>
          <w:bookmarkStart w:id="18" w:name="_Toc31820_WPSOffice_Level2Page"/>
          <w:r>
            <w:rPr>
              <w:rFonts w:hint="eastAsia" w:ascii="华文仿宋" w:hAnsi="华文仿宋" w:eastAsia="华文仿宋" w:cs="华文仿宋"/>
              <w:sz w:val="21"/>
              <w:szCs w:val="21"/>
            </w:rPr>
            <w:t>9</w:t>
          </w:r>
          <w:bookmarkEnd w:id="18"/>
          <w:r>
            <w:rPr>
              <w:rFonts w:hint="eastAsia" w:ascii="华文仿宋" w:hAnsi="华文仿宋" w:eastAsia="华文仿宋" w:cs="华文仿宋"/>
              <w:sz w:val="21"/>
              <w:szCs w:val="21"/>
            </w:rPr>
            <w:fldChar w:fldCharType="end"/>
          </w:r>
        </w:p>
        <w:p w14:paraId="595F6F57">
          <w:pPr>
            <w:pStyle w:val="37"/>
            <w:tabs>
              <w:tab w:val="right" w:leader="dot" w:pos="8306"/>
            </w:tabs>
            <w:ind w:left="420"/>
            <w:rPr>
              <w:rFonts w:ascii="华文仿宋" w:hAnsi="华文仿宋" w:eastAsia="华文仿宋" w:cs="华文仿宋"/>
              <w:sz w:val="21"/>
              <w:szCs w:val="21"/>
            </w:rPr>
          </w:pPr>
          <w:r>
            <w:fldChar w:fldCharType="begin"/>
          </w:r>
          <w:r>
            <w:instrText xml:space="preserve"> HYPERLINK \l "_Toc22036_WPSOffice_Level2" </w:instrText>
          </w:r>
          <w:r>
            <w:fldChar w:fldCharType="separate"/>
          </w:r>
          <w:r>
            <w:rPr>
              <w:rFonts w:hint="eastAsia" w:ascii="华文仿宋" w:hAnsi="华文仿宋" w:eastAsia="华文仿宋" w:cs="华文仿宋"/>
              <w:sz w:val="21"/>
              <w:szCs w:val="21"/>
            </w:rPr>
            <w:t>二、 收入决算情况说明</w:t>
          </w:r>
          <w:r>
            <w:rPr>
              <w:rFonts w:hint="eastAsia" w:ascii="华文仿宋" w:hAnsi="华文仿宋" w:eastAsia="华文仿宋" w:cs="华文仿宋"/>
              <w:sz w:val="21"/>
              <w:szCs w:val="21"/>
            </w:rPr>
            <w:tab/>
          </w:r>
          <w:bookmarkStart w:id="19" w:name="_Toc22036_WPSOffice_Level2Page"/>
          <w:r>
            <w:rPr>
              <w:rFonts w:hint="eastAsia" w:ascii="华文仿宋" w:hAnsi="华文仿宋" w:eastAsia="华文仿宋" w:cs="华文仿宋"/>
              <w:sz w:val="21"/>
              <w:szCs w:val="21"/>
            </w:rPr>
            <w:t>9</w:t>
          </w:r>
          <w:bookmarkEnd w:id="19"/>
          <w:r>
            <w:rPr>
              <w:rFonts w:hint="eastAsia" w:ascii="华文仿宋" w:hAnsi="华文仿宋" w:eastAsia="华文仿宋" w:cs="华文仿宋"/>
              <w:sz w:val="21"/>
              <w:szCs w:val="21"/>
            </w:rPr>
            <w:fldChar w:fldCharType="end"/>
          </w:r>
        </w:p>
        <w:p w14:paraId="29ECB1F7">
          <w:pPr>
            <w:pStyle w:val="37"/>
            <w:tabs>
              <w:tab w:val="right" w:leader="dot" w:pos="8306"/>
            </w:tabs>
            <w:ind w:left="420"/>
            <w:rPr>
              <w:rFonts w:ascii="华文仿宋" w:hAnsi="华文仿宋" w:eastAsia="华文仿宋" w:cs="华文仿宋"/>
              <w:sz w:val="21"/>
              <w:szCs w:val="21"/>
            </w:rPr>
          </w:pPr>
          <w:r>
            <w:fldChar w:fldCharType="begin"/>
          </w:r>
          <w:r>
            <w:instrText xml:space="preserve"> HYPERLINK \l "_Toc27763_WPSOffice_Level2" </w:instrText>
          </w:r>
          <w:r>
            <w:fldChar w:fldCharType="separate"/>
          </w:r>
          <w:r>
            <w:rPr>
              <w:rFonts w:hint="eastAsia" w:ascii="华文仿宋" w:hAnsi="华文仿宋" w:eastAsia="华文仿宋" w:cs="华文仿宋"/>
              <w:sz w:val="21"/>
              <w:szCs w:val="21"/>
            </w:rPr>
            <w:t>三、 支出决算情况说明</w:t>
          </w:r>
          <w:r>
            <w:rPr>
              <w:rFonts w:hint="eastAsia" w:ascii="华文仿宋" w:hAnsi="华文仿宋" w:eastAsia="华文仿宋" w:cs="华文仿宋"/>
              <w:sz w:val="21"/>
              <w:szCs w:val="21"/>
            </w:rPr>
            <w:tab/>
          </w:r>
          <w:bookmarkStart w:id="20" w:name="_Toc27763_WPSOffice_Level2Page"/>
          <w:r>
            <w:rPr>
              <w:rFonts w:hint="eastAsia" w:ascii="华文仿宋" w:hAnsi="华文仿宋" w:eastAsia="华文仿宋" w:cs="华文仿宋"/>
              <w:sz w:val="21"/>
              <w:szCs w:val="21"/>
            </w:rPr>
            <w:t>10</w:t>
          </w:r>
          <w:bookmarkEnd w:id="20"/>
          <w:r>
            <w:rPr>
              <w:rFonts w:hint="eastAsia" w:ascii="华文仿宋" w:hAnsi="华文仿宋" w:eastAsia="华文仿宋" w:cs="华文仿宋"/>
              <w:sz w:val="21"/>
              <w:szCs w:val="21"/>
            </w:rPr>
            <w:fldChar w:fldCharType="end"/>
          </w:r>
        </w:p>
        <w:p w14:paraId="3F2370F8">
          <w:pPr>
            <w:pStyle w:val="37"/>
            <w:tabs>
              <w:tab w:val="right" w:leader="dot" w:pos="8306"/>
            </w:tabs>
            <w:ind w:left="420"/>
            <w:rPr>
              <w:rFonts w:ascii="华文仿宋" w:hAnsi="华文仿宋" w:eastAsia="华文仿宋" w:cs="华文仿宋"/>
              <w:sz w:val="21"/>
              <w:szCs w:val="21"/>
            </w:rPr>
          </w:pPr>
          <w:r>
            <w:fldChar w:fldCharType="begin"/>
          </w:r>
          <w:r>
            <w:instrText xml:space="preserve"> HYPERLINK \l "_Toc9755_WPSOffice_Level2" </w:instrText>
          </w:r>
          <w:r>
            <w:fldChar w:fldCharType="separate"/>
          </w:r>
          <w:r>
            <w:rPr>
              <w:rFonts w:hint="eastAsia" w:ascii="华文仿宋" w:hAnsi="华文仿宋" w:eastAsia="华文仿宋" w:cs="华文仿宋"/>
              <w:sz w:val="21"/>
              <w:szCs w:val="21"/>
            </w:rPr>
            <w:t>四、财政拨款收入支出决算总体情况说明</w:t>
          </w:r>
          <w:r>
            <w:rPr>
              <w:rFonts w:hint="eastAsia" w:ascii="华文仿宋" w:hAnsi="华文仿宋" w:eastAsia="华文仿宋" w:cs="华文仿宋"/>
              <w:sz w:val="21"/>
              <w:szCs w:val="21"/>
            </w:rPr>
            <w:tab/>
          </w:r>
          <w:bookmarkStart w:id="21" w:name="_Toc9755_WPSOffice_Level2Page"/>
          <w:r>
            <w:rPr>
              <w:rFonts w:hint="eastAsia" w:ascii="华文仿宋" w:hAnsi="华文仿宋" w:eastAsia="华文仿宋" w:cs="华文仿宋"/>
              <w:sz w:val="21"/>
              <w:szCs w:val="21"/>
            </w:rPr>
            <w:t>11</w:t>
          </w:r>
          <w:bookmarkEnd w:id="21"/>
          <w:r>
            <w:rPr>
              <w:rFonts w:hint="eastAsia" w:ascii="华文仿宋" w:hAnsi="华文仿宋" w:eastAsia="华文仿宋" w:cs="华文仿宋"/>
              <w:sz w:val="21"/>
              <w:szCs w:val="21"/>
            </w:rPr>
            <w:fldChar w:fldCharType="end"/>
          </w:r>
        </w:p>
        <w:p w14:paraId="557EB688">
          <w:pPr>
            <w:pStyle w:val="37"/>
            <w:tabs>
              <w:tab w:val="right" w:leader="dot" w:pos="8306"/>
            </w:tabs>
            <w:ind w:left="420"/>
            <w:rPr>
              <w:rFonts w:ascii="华文仿宋" w:hAnsi="华文仿宋" w:eastAsia="华文仿宋" w:cs="华文仿宋"/>
              <w:sz w:val="21"/>
              <w:szCs w:val="21"/>
            </w:rPr>
          </w:pPr>
          <w:r>
            <w:fldChar w:fldCharType="begin"/>
          </w:r>
          <w:r>
            <w:instrText xml:space="preserve"> HYPERLINK \l "_Toc2823_WPSOffice_Level2" </w:instrText>
          </w:r>
          <w:r>
            <w:fldChar w:fldCharType="separate"/>
          </w:r>
          <w:r>
            <w:rPr>
              <w:rFonts w:hint="eastAsia" w:ascii="华文仿宋" w:hAnsi="华文仿宋" w:eastAsia="华文仿宋" w:cs="华文仿宋"/>
              <w:sz w:val="21"/>
              <w:szCs w:val="21"/>
            </w:rPr>
            <w:t>五、一般公共预算财政拨款支出决算情况说明</w:t>
          </w:r>
          <w:r>
            <w:rPr>
              <w:rFonts w:hint="eastAsia" w:ascii="华文仿宋" w:hAnsi="华文仿宋" w:eastAsia="华文仿宋" w:cs="华文仿宋"/>
              <w:sz w:val="21"/>
              <w:szCs w:val="21"/>
            </w:rPr>
            <w:tab/>
          </w:r>
          <w:bookmarkStart w:id="22" w:name="_Toc2823_WPSOffice_Level2Page"/>
          <w:r>
            <w:rPr>
              <w:rFonts w:hint="eastAsia" w:ascii="华文仿宋" w:hAnsi="华文仿宋" w:eastAsia="华文仿宋" w:cs="华文仿宋"/>
              <w:sz w:val="21"/>
              <w:szCs w:val="21"/>
            </w:rPr>
            <w:t>11</w:t>
          </w:r>
          <w:bookmarkEnd w:id="22"/>
          <w:r>
            <w:rPr>
              <w:rFonts w:hint="eastAsia" w:ascii="华文仿宋" w:hAnsi="华文仿宋" w:eastAsia="华文仿宋" w:cs="华文仿宋"/>
              <w:sz w:val="21"/>
              <w:szCs w:val="21"/>
            </w:rPr>
            <w:fldChar w:fldCharType="end"/>
          </w:r>
        </w:p>
        <w:p w14:paraId="7193F7EF">
          <w:pPr>
            <w:pStyle w:val="37"/>
            <w:tabs>
              <w:tab w:val="right" w:leader="dot" w:pos="8306"/>
            </w:tabs>
            <w:ind w:left="420"/>
            <w:rPr>
              <w:rFonts w:ascii="华文仿宋" w:hAnsi="华文仿宋" w:eastAsia="华文仿宋" w:cs="华文仿宋"/>
              <w:sz w:val="21"/>
              <w:szCs w:val="21"/>
            </w:rPr>
          </w:pPr>
          <w:r>
            <w:fldChar w:fldCharType="begin"/>
          </w:r>
          <w:r>
            <w:instrText xml:space="preserve"> HYPERLINK \l "_Toc19976_WPSOffice_Level2" </w:instrText>
          </w:r>
          <w:r>
            <w:fldChar w:fldCharType="separate"/>
          </w:r>
          <w:r>
            <w:rPr>
              <w:rFonts w:hint="eastAsia" w:ascii="华文仿宋" w:hAnsi="华文仿宋" w:eastAsia="华文仿宋" w:cs="华文仿宋"/>
              <w:sz w:val="21"/>
              <w:szCs w:val="21"/>
            </w:rPr>
            <w:t>六、一般公共预算财政拨款基本支出决算情况说明</w:t>
          </w:r>
          <w:r>
            <w:rPr>
              <w:rFonts w:hint="eastAsia" w:ascii="华文仿宋" w:hAnsi="华文仿宋" w:eastAsia="华文仿宋" w:cs="华文仿宋"/>
              <w:sz w:val="21"/>
              <w:szCs w:val="21"/>
            </w:rPr>
            <w:tab/>
          </w:r>
          <w:bookmarkStart w:id="23" w:name="_Toc19976_WPSOffice_Level2Page"/>
          <w:r>
            <w:rPr>
              <w:rFonts w:hint="eastAsia" w:ascii="华文仿宋" w:hAnsi="华文仿宋" w:eastAsia="华文仿宋" w:cs="华文仿宋"/>
              <w:sz w:val="21"/>
              <w:szCs w:val="21"/>
            </w:rPr>
            <w:t>14</w:t>
          </w:r>
          <w:bookmarkEnd w:id="23"/>
          <w:r>
            <w:rPr>
              <w:rFonts w:hint="eastAsia" w:ascii="华文仿宋" w:hAnsi="华文仿宋" w:eastAsia="华文仿宋" w:cs="华文仿宋"/>
              <w:sz w:val="21"/>
              <w:szCs w:val="21"/>
            </w:rPr>
            <w:fldChar w:fldCharType="end"/>
          </w:r>
        </w:p>
        <w:p w14:paraId="5AF32733">
          <w:pPr>
            <w:pStyle w:val="37"/>
            <w:tabs>
              <w:tab w:val="right" w:leader="dot" w:pos="8306"/>
            </w:tabs>
            <w:ind w:left="420"/>
            <w:rPr>
              <w:rFonts w:ascii="华文仿宋" w:hAnsi="华文仿宋" w:eastAsia="华文仿宋" w:cs="华文仿宋"/>
              <w:sz w:val="21"/>
              <w:szCs w:val="21"/>
            </w:rPr>
          </w:pPr>
          <w:r>
            <w:fldChar w:fldCharType="begin"/>
          </w:r>
          <w:r>
            <w:instrText xml:space="preserve"> HYPERLINK \l "_Toc31073_WPSOffice_Level2" </w:instrText>
          </w:r>
          <w:r>
            <w:fldChar w:fldCharType="separate"/>
          </w:r>
          <w:r>
            <w:rPr>
              <w:rFonts w:hint="eastAsia" w:ascii="华文仿宋" w:hAnsi="华文仿宋" w:eastAsia="华文仿宋" w:cs="华文仿宋"/>
              <w:sz w:val="21"/>
              <w:szCs w:val="21"/>
            </w:rPr>
            <w:t>七、“三公”经费财政拨款支出决算情况说明</w:t>
          </w:r>
          <w:r>
            <w:rPr>
              <w:rFonts w:hint="eastAsia" w:ascii="华文仿宋" w:hAnsi="华文仿宋" w:eastAsia="华文仿宋" w:cs="华文仿宋"/>
              <w:sz w:val="21"/>
              <w:szCs w:val="21"/>
            </w:rPr>
            <w:tab/>
          </w:r>
          <w:bookmarkStart w:id="24" w:name="_Toc31073_WPSOffice_Level2Page"/>
          <w:r>
            <w:rPr>
              <w:rFonts w:hint="eastAsia" w:ascii="华文仿宋" w:hAnsi="华文仿宋" w:eastAsia="华文仿宋" w:cs="华文仿宋"/>
              <w:sz w:val="21"/>
              <w:szCs w:val="21"/>
            </w:rPr>
            <w:t>15</w:t>
          </w:r>
          <w:bookmarkEnd w:id="24"/>
          <w:r>
            <w:rPr>
              <w:rFonts w:hint="eastAsia" w:ascii="华文仿宋" w:hAnsi="华文仿宋" w:eastAsia="华文仿宋" w:cs="华文仿宋"/>
              <w:sz w:val="21"/>
              <w:szCs w:val="21"/>
            </w:rPr>
            <w:fldChar w:fldCharType="end"/>
          </w:r>
        </w:p>
        <w:p w14:paraId="08136C1C">
          <w:pPr>
            <w:pStyle w:val="37"/>
            <w:tabs>
              <w:tab w:val="right" w:leader="dot" w:pos="8306"/>
            </w:tabs>
            <w:ind w:left="420"/>
            <w:rPr>
              <w:rFonts w:ascii="华文仿宋" w:hAnsi="华文仿宋" w:eastAsia="华文仿宋" w:cs="华文仿宋"/>
              <w:sz w:val="21"/>
              <w:szCs w:val="21"/>
            </w:rPr>
          </w:pPr>
          <w:r>
            <w:fldChar w:fldCharType="begin"/>
          </w:r>
          <w:r>
            <w:instrText xml:space="preserve"> HYPERLINK \l "_Toc32051_WPSOffice_Level2" </w:instrText>
          </w:r>
          <w:r>
            <w:fldChar w:fldCharType="separate"/>
          </w:r>
          <w:r>
            <w:rPr>
              <w:rFonts w:hint="eastAsia" w:ascii="华文仿宋" w:hAnsi="华文仿宋" w:eastAsia="华文仿宋" w:cs="华文仿宋"/>
              <w:sz w:val="21"/>
              <w:szCs w:val="21"/>
            </w:rPr>
            <w:t>八、政府性基金预算支出决算情况说明</w:t>
          </w:r>
          <w:r>
            <w:rPr>
              <w:rFonts w:hint="eastAsia" w:ascii="华文仿宋" w:hAnsi="华文仿宋" w:eastAsia="华文仿宋" w:cs="华文仿宋"/>
              <w:sz w:val="21"/>
              <w:szCs w:val="21"/>
            </w:rPr>
            <w:tab/>
          </w:r>
          <w:bookmarkStart w:id="25" w:name="_Toc32051_WPSOffice_Level2Page"/>
          <w:r>
            <w:rPr>
              <w:rFonts w:hint="eastAsia" w:ascii="华文仿宋" w:hAnsi="华文仿宋" w:eastAsia="华文仿宋" w:cs="华文仿宋"/>
              <w:sz w:val="21"/>
              <w:szCs w:val="21"/>
            </w:rPr>
            <w:t>16</w:t>
          </w:r>
          <w:bookmarkEnd w:id="25"/>
          <w:r>
            <w:rPr>
              <w:rFonts w:hint="eastAsia" w:ascii="华文仿宋" w:hAnsi="华文仿宋" w:eastAsia="华文仿宋" w:cs="华文仿宋"/>
              <w:sz w:val="21"/>
              <w:szCs w:val="21"/>
            </w:rPr>
            <w:fldChar w:fldCharType="end"/>
          </w:r>
        </w:p>
        <w:p w14:paraId="1C723906">
          <w:pPr>
            <w:pStyle w:val="37"/>
            <w:tabs>
              <w:tab w:val="right" w:leader="dot" w:pos="8306"/>
            </w:tabs>
            <w:ind w:left="420"/>
            <w:rPr>
              <w:rFonts w:ascii="华文仿宋" w:hAnsi="华文仿宋" w:eastAsia="华文仿宋" w:cs="华文仿宋"/>
              <w:sz w:val="21"/>
              <w:szCs w:val="21"/>
            </w:rPr>
          </w:pPr>
          <w:r>
            <w:fldChar w:fldCharType="begin"/>
          </w:r>
          <w:r>
            <w:instrText xml:space="preserve"> HYPERLINK \l "_Toc30554_WPSOffice_Level2" </w:instrText>
          </w:r>
          <w:r>
            <w:fldChar w:fldCharType="separate"/>
          </w:r>
          <w:r>
            <w:rPr>
              <w:rFonts w:hint="eastAsia" w:ascii="华文仿宋" w:hAnsi="华文仿宋" w:eastAsia="华文仿宋" w:cs="华文仿宋"/>
              <w:sz w:val="21"/>
              <w:szCs w:val="21"/>
            </w:rPr>
            <w:t>九、 国有资本经营预算支出决算情况说明</w:t>
          </w:r>
          <w:r>
            <w:rPr>
              <w:rFonts w:hint="eastAsia" w:ascii="华文仿宋" w:hAnsi="华文仿宋" w:eastAsia="华文仿宋" w:cs="华文仿宋"/>
              <w:sz w:val="21"/>
              <w:szCs w:val="21"/>
            </w:rPr>
            <w:tab/>
          </w:r>
          <w:bookmarkStart w:id="26" w:name="_Toc30554_WPSOffice_Level2Page"/>
          <w:r>
            <w:rPr>
              <w:rFonts w:hint="eastAsia" w:ascii="华文仿宋" w:hAnsi="华文仿宋" w:eastAsia="华文仿宋" w:cs="华文仿宋"/>
              <w:sz w:val="21"/>
              <w:szCs w:val="21"/>
            </w:rPr>
            <w:t>17</w:t>
          </w:r>
          <w:bookmarkEnd w:id="26"/>
          <w:r>
            <w:rPr>
              <w:rFonts w:hint="eastAsia" w:ascii="华文仿宋" w:hAnsi="华文仿宋" w:eastAsia="华文仿宋" w:cs="华文仿宋"/>
              <w:sz w:val="21"/>
              <w:szCs w:val="21"/>
            </w:rPr>
            <w:fldChar w:fldCharType="end"/>
          </w:r>
        </w:p>
        <w:p w14:paraId="3800ABB1">
          <w:pPr>
            <w:pStyle w:val="37"/>
            <w:tabs>
              <w:tab w:val="right" w:leader="dot" w:pos="8306"/>
            </w:tabs>
            <w:ind w:left="420"/>
            <w:rPr>
              <w:rFonts w:ascii="华文仿宋" w:hAnsi="华文仿宋" w:eastAsia="华文仿宋" w:cs="华文仿宋"/>
              <w:sz w:val="21"/>
              <w:szCs w:val="21"/>
            </w:rPr>
          </w:pPr>
          <w:r>
            <w:fldChar w:fldCharType="begin"/>
          </w:r>
          <w:r>
            <w:instrText xml:space="preserve"> HYPERLINK \l "_Toc29313_WPSOffice_Level2" </w:instrText>
          </w:r>
          <w:r>
            <w:fldChar w:fldCharType="separate"/>
          </w:r>
          <w:r>
            <w:rPr>
              <w:rFonts w:hint="eastAsia" w:ascii="华文仿宋" w:hAnsi="华文仿宋" w:eastAsia="华文仿宋" w:cs="华文仿宋"/>
              <w:sz w:val="21"/>
              <w:szCs w:val="21"/>
            </w:rPr>
            <w:t>十、 其他重要事项的情况说明</w:t>
          </w:r>
          <w:r>
            <w:rPr>
              <w:rFonts w:hint="eastAsia" w:ascii="华文仿宋" w:hAnsi="华文仿宋" w:eastAsia="华文仿宋" w:cs="华文仿宋"/>
              <w:sz w:val="21"/>
              <w:szCs w:val="21"/>
            </w:rPr>
            <w:tab/>
          </w:r>
          <w:bookmarkStart w:id="27" w:name="_Toc29313_WPSOffice_Level2Page"/>
          <w:r>
            <w:rPr>
              <w:rFonts w:hint="eastAsia" w:ascii="华文仿宋" w:hAnsi="华文仿宋" w:eastAsia="华文仿宋" w:cs="华文仿宋"/>
              <w:sz w:val="21"/>
              <w:szCs w:val="21"/>
            </w:rPr>
            <w:t>17</w:t>
          </w:r>
          <w:bookmarkEnd w:id="27"/>
          <w:r>
            <w:rPr>
              <w:rFonts w:hint="eastAsia" w:ascii="华文仿宋" w:hAnsi="华文仿宋" w:eastAsia="华文仿宋" w:cs="华文仿宋"/>
              <w:sz w:val="21"/>
              <w:szCs w:val="21"/>
            </w:rPr>
            <w:fldChar w:fldCharType="end"/>
          </w:r>
        </w:p>
        <w:p w14:paraId="357F5CBB">
          <w:pPr>
            <w:pStyle w:val="36"/>
            <w:tabs>
              <w:tab w:val="right" w:leader="dot" w:pos="8306"/>
            </w:tabs>
            <w:rPr>
              <w:rFonts w:ascii="华文仿宋" w:hAnsi="华文仿宋" w:eastAsia="华文仿宋" w:cs="华文仿宋"/>
              <w:sz w:val="21"/>
              <w:szCs w:val="21"/>
            </w:rPr>
          </w:pPr>
          <w:r>
            <w:fldChar w:fldCharType="begin"/>
          </w:r>
          <w:r>
            <w:instrText xml:space="preserve"> HYPERLINK \l "_Toc3891_WPSOffice_Level1" </w:instrText>
          </w:r>
          <w:r>
            <w:fldChar w:fldCharType="separate"/>
          </w:r>
          <w:r>
            <w:rPr>
              <w:rFonts w:hint="eastAsia" w:ascii="华文仿宋" w:hAnsi="华文仿宋" w:eastAsia="华文仿宋" w:cs="华文仿宋"/>
              <w:b/>
              <w:bCs/>
              <w:sz w:val="21"/>
              <w:szCs w:val="21"/>
            </w:rPr>
            <w:t>第三部分 名词解释</w:t>
          </w:r>
          <w:r>
            <w:rPr>
              <w:rFonts w:hint="eastAsia" w:ascii="华文仿宋" w:hAnsi="华文仿宋" w:eastAsia="华文仿宋" w:cs="华文仿宋"/>
              <w:b/>
              <w:bCs/>
              <w:sz w:val="21"/>
              <w:szCs w:val="21"/>
            </w:rPr>
            <w:tab/>
          </w:r>
          <w:bookmarkStart w:id="28" w:name="_Toc3891_WPSOffice_Level1Page"/>
          <w:r>
            <w:rPr>
              <w:rFonts w:hint="eastAsia" w:ascii="华文仿宋" w:hAnsi="华文仿宋" w:eastAsia="华文仿宋" w:cs="华文仿宋"/>
              <w:b/>
              <w:bCs/>
              <w:sz w:val="21"/>
              <w:szCs w:val="21"/>
            </w:rPr>
            <w:t>19</w:t>
          </w:r>
          <w:bookmarkEnd w:id="28"/>
          <w:r>
            <w:rPr>
              <w:rFonts w:hint="eastAsia" w:ascii="华文仿宋" w:hAnsi="华文仿宋" w:eastAsia="华文仿宋" w:cs="华文仿宋"/>
              <w:b/>
              <w:bCs/>
              <w:sz w:val="21"/>
              <w:szCs w:val="21"/>
            </w:rPr>
            <w:fldChar w:fldCharType="end"/>
          </w:r>
        </w:p>
        <w:p w14:paraId="4165EC4E">
          <w:pPr>
            <w:pStyle w:val="36"/>
            <w:tabs>
              <w:tab w:val="right" w:leader="dot" w:pos="8306"/>
            </w:tabs>
            <w:rPr>
              <w:rFonts w:ascii="华文仿宋" w:hAnsi="华文仿宋" w:eastAsia="华文仿宋" w:cs="华文仿宋"/>
              <w:sz w:val="21"/>
              <w:szCs w:val="21"/>
            </w:rPr>
          </w:pPr>
          <w:r>
            <w:fldChar w:fldCharType="begin"/>
          </w:r>
          <w:r>
            <w:instrText xml:space="preserve"> HYPERLINK \l "_Toc826_WPSOffice_Level1" </w:instrText>
          </w:r>
          <w:r>
            <w:fldChar w:fldCharType="separate"/>
          </w:r>
          <w:r>
            <w:rPr>
              <w:rFonts w:hint="eastAsia" w:ascii="华文仿宋" w:hAnsi="华文仿宋" w:eastAsia="华文仿宋" w:cs="华文仿宋"/>
              <w:b/>
              <w:bCs/>
              <w:sz w:val="21"/>
              <w:szCs w:val="21"/>
            </w:rPr>
            <w:t>第四部分 附件</w:t>
          </w:r>
          <w:r>
            <w:rPr>
              <w:rFonts w:hint="eastAsia" w:ascii="华文仿宋" w:hAnsi="华文仿宋" w:eastAsia="华文仿宋" w:cs="华文仿宋"/>
              <w:b/>
              <w:bCs/>
              <w:sz w:val="21"/>
              <w:szCs w:val="21"/>
            </w:rPr>
            <w:tab/>
          </w:r>
          <w:bookmarkStart w:id="29" w:name="_Toc826_WPSOffice_Level1Page"/>
          <w:r>
            <w:rPr>
              <w:rFonts w:hint="eastAsia" w:ascii="华文仿宋" w:hAnsi="华文仿宋" w:eastAsia="华文仿宋" w:cs="华文仿宋"/>
              <w:b/>
              <w:bCs/>
              <w:sz w:val="21"/>
              <w:szCs w:val="21"/>
            </w:rPr>
            <w:t>22</w:t>
          </w:r>
          <w:bookmarkEnd w:id="29"/>
          <w:r>
            <w:rPr>
              <w:rFonts w:hint="eastAsia" w:ascii="华文仿宋" w:hAnsi="华文仿宋" w:eastAsia="华文仿宋" w:cs="华文仿宋"/>
              <w:b/>
              <w:bCs/>
              <w:sz w:val="21"/>
              <w:szCs w:val="21"/>
            </w:rPr>
            <w:fldChar w:fldCharType="end"/>
          </w:r>
        </w:p>
        <w:p w14:paraId="358830EB">
          <w:pPr>
            <w:pStyle w:val="36"/>
            <w:tabs>
              <w:tab w:val="right" w:leader="dot" w:pos="8306"/>
            </w:tabs>
            <w:rPr>
              <w:rFonts w:ascii="华文仿宋" w:hAnsi="华文仿宋" w:eastAsia="华文仿宋" w:cs="华文仿宋"/>
              <w:sz w:val="21"/>
              <w:szCs w:val="21"/>
            </w:rPr>
          </w:pPr>
          <w:r>
            <w:fldChar w:fldCharType="begin"/>
          </w:r>
          <w:r>
            <w:instrText xml:space="preserve"> HYPERLINK \l "_Toc31820_WPSOffice_Level1" </w:instrText>
          </w:r>
          <w:r>
            <w:fldChar w:fldCharType="separate"/>
          </w:r>
          <w:r>
            <w:rPr>
              <w:rFonts w:hint="eastAsia" w:ascii="华文仿宋" w:hAnsi="华文仿宋" w:eastAsia="华文仿宋" w:cs="华文仿宋"/>
              <w:b/>
              <w:bCs/>
              <w:sz w:val="21"/>
              <w:szCs w:val="21"/>
            </w:rPr>
            <w:t>第五部分 附表</w:t>
          </w:r>
          <w:r>
            <w:rPr>
              <w:rFonts w:hint="eastAsia" w:ascii="华文仿宋" w:hAnsi="华文仿宋" w:eastAsia="华文仿宋" w:cs="华文仿宋"/>
              <w:b/>
              <w:bCs/>
              <w:sz w:val="21"/>
              <w:szCs w:val="21"/>
            </w:rPr>
            <w:tab/>
          </w:r>
          <w:bookmarkStart w:id="30" w:name="_Toc31820_WPSOffice_Level1Page"/>
          <w:r>
            <w:rPr>
              <w:rFonts w:hint="eastAsia" w:ascii="华文仿宋" w:hAnsi="华文仿宋" w:eastAsia="华文仿宋" w:cs="华文仿宋"/>
              <w:b/>
              <w:bCs/>
              <w:sz w:val="21"/>
              <w:szCs w:val="21"/>
            </w:rPr>
            <w:t>39</w:t>
          </w:r>
          <w:bookmarkEnd w:id="30"/>
          <w:r>
            <w:rPr>
              <w:rFonts w:hint="eastAsia" w:ascii="华文仿宋" w:hAnsi="华文仿宋" w:eastAsia="华文仿宋" w:cs="华文仿宋"/>
              <w:b/>
              <w:bCs/>
              <w:sz w:val="21"/>
              <w:szCs w:val="21"/>
            </w:rPr>
            <w:fldChar w:fldCharType="end"/>
          </w:r>
        </w:p>
        <w:p w14:paraId="1F16D1C7">
          <w:pPr>
            <w:pStyle w:val="37"/>
            <w:tabs>
              <w:tab w:val="right" w:leader="dot" w:pos="8306"/>
            </w:tabs>
            <w:ind w:left="420"/>
            <w:rPr>
              <w:rFonts w:ascii="华文仿宋" w:hAnsi="华文仿宋" w:eastAsia="华文仿宋" w:cs="华文仿宋"/>
              <w:sz w:val="21"/>
              <w:szCs w:val="21"/>
            </w:rPr>
          </w:pPr>
          <w:r>
            <w:fldChar w:fldCharType="begin"/>
          </w:r>
          <w:r>
            <w:instrText xml:space="preserve"> HYPERLINK \l "_Toc2462_WPSOffice_Level2" </w:instrText>
          </w:r>
          <w:r>
            <w:fldChar w:fldCharType="separate"/>
          </w:r>
          <w:r>
            <w:rPr>
              <w:rFonts w:hint="eastAsia" w:ascii="华文仿宋" w:hAnsi="华文仿宋" w:eastAsia="华文仿宋" w:cs="华文仿宋"/>
              <w:sz w:val="21"/>
              <w:szCs w:val="21"/>
            </w:rPr>
            <w:t>一、收入支出决算总表</w:t>
          </w:r>
          <w:r>
            <w:rPr>
              <w:rFonts w:hint="eastAsia" w:ascii="华文仿宋" w:hAnsi="华文仿宋" w:eastAsia="华文仿宋" w:cs="华文仿宋"/>
              <w:sz w:val="21"/>
              <w:szCs w:val="21"/>
            </w:rPr>
            <w:tab/>
          </w:r>
          <w:bookmarkStart w:id="31" w:name="_Toc2462_WPSOffice_Level2Page"/>
          <w:r>
            <w:rPr>
              <w:rFonts w:hint="eastAsia" w:ascii="华文仿宋" w:hAnsi="华文仿宋" w:eastAsia="华文仿宋" w:cs="华文仿宋"/>
              <w:sz w:val="21"/>
              <w:szCs w:val="21"/>
            </w:rPr>
            <w:t>39</w:t>
          </w:r>
          <w:bookmarkEnd w:id="31"/>
          <w:r>
            <w:rPr>
              <w:rFonts w:hint="eastAsia" w:ascii="华文仿宋" w:hAnsi="华文仿宋" w:eastAsia="华文仿宋" w:cs="华文仿宋"/>
              <w:sz w:val="21"/>
              <w:szCs w:val="21"/>
            </w:rPr>
            <w:fldChar w:fldCharType="end"/>
          </w:r>
        </w:p>
        <w:p w14:paraId="7814A8F8">
          <w:pPr>
            <w:pStyle w:val="37"/>
            <w:tabs>
              <w:tab w:val="right" w:leader="dot" w:pos="8306"/>
            </w:tabs>
            <w:ind w:left="420"/>
            <w:rPr>
              <w:rFonts w:ascii="华文仿宋" w:hAnsi="华文仿宋" w:eastAsia="华文仿宋" w:cs="华文仿宋"/>
              <w:sz w:val="21"/>
              <w:szCs w:val="21"/>
            </w:rPr>
          </w:pPr>
          <w:r>
            <w:fldChar w:fldCharType="begin"/>
          </w:r>
          <w:r>
            <w:instrText xml:space="preserve"> HYPERLINK \l "_Toc22308_WPSOffice_Level2" </w:instrText>
          </w:r>
          <w:r>
            <w:fldChar w:fldCharType="separate"/>
          </w:r>
          <w:r>
            <w:rPr>
              <w:rFonts w:hint="eastAsia" w:ascii="华文仿宋" w:hAnsi="华文仿宋" w:eastAsia="华文仿宋" w:cs="华文仿宋"/>
              <w:sz w:val="21"/>
              <w:szCs w:val="21"/>
            </w:rPr>
            <w:t>二、收入决算表</w:t>
          </w:r>
          <w:r>
            <w:rPr>
              <w:rFonts w:hint="eastAsia" w:ascii="华文仿宋" w:hAnsi="华文仿宋" w:eastAsia="华文仿宋" w:cs="华文仿宋"/>
              <w:sz w:val="21"/>
              <w:szCs w:val="21"/>
            </w:rPr>
            <w:tab/>
          </w:r>
          <w:bookmarkStart w:id="32" w:name="_Toc22308_WPSOffice_Level2Page"/>
          <w:r>
            <w:rPr>
              <w:rFonts w:hint="eastAsia" w:ascii="华文仿宋" w:hAnsi="华文仿宋" w:eastAsia="华文仿宋" w:cs="华文仿宋"/>
              <w:sz w:val="21"/>
              <w:szCs w:val="21"/>
            </w:rPr>
            <w:t>39</w:t>
          </w:r>
          <w:bookmarkEnd w:id="32"/>
          <w:r>
            <w:rPr>
              <w:rFonts w:hint="eastAsia" w:ascii="华文仿宋" w:hAnsi="华文仿宋" w:eastAsia="华文仿宋" w:cs="华文仿宋"/>
              <w:sz w:val="21"/>
              <w:szCs w:val="21"/>
            </w:rPr>
            <w:fldChar w:fldCharType="end"/>
          </w:r>
        </w:p>
        <w:p w14:paraId="0CBFBD59">
          <w:pPr>
            <w:pStyle w:val="37"/>
            <w:tabs>
              <w:tab w:val="right" w:leader="dot" w:pos="8306"/>
            </w:tabs>
            <w:ind w:left="420"/>
            <w:rPr>
              <w:rFonts w:ascii="华文仿宋" w:hAnsi="华文仿宋" w:eastAsia="华文仿宋" w:cs="华文仿宋"/>
              <w:sz w:val="21"/>
              <w:szCs w:val="21"/>
            </w:rPr>
          </w:pPr>
          <w:r>
            <w:fldChar w:fldCharType="begin"/>
          </w:r>
          <w:r>
            <w:instrText xml:space="preserve"> HYPERLINK \l "_Toc17662_WPSOffice_Level2" </w:instrText>
          </w:r>
          <w:r>
            <w:fldChar w:fldCharType="separate"/>
          </w:r>
          <w:r>
            <w:rPr>
              <w:rFonts w:hint="eastAsia" w:ascii="华文仿宋" w:hAnsi="华文仿宋" w:eastAsia="华文仿宋" w:cs="华文仿宋"/>
              <w:sz w:val="21"/>
              <w:szCs w:val="21"/>
            </w:rPr>
            <w:t>三、支出决算表</w:t>
          </w:r>
          <w:r>
            <w:rPr>
              <w:rFonts w:hint="eastAsia" w:ascii="华文仿宋" w:hAnsi="华文仿宋" w:eastAsia="华文仿宋" w:cs="华文仿宋"/>
              <w:sz w:val="21"/>
              <w:szCs w:val="21"/>
            </w:rPr>
            <w:tab/>
          </w:r>
          <w:bookmarkStart w:id="33" w:name="_Toc17662_WPSOffice_Level2Page"/>
          <w:r>
            <w:rPr>
              <w:rFonts w:hint="eastAsia" w:ascii="华文仿宋" w:hAnsi="华文仿宋" w:eastAsia="华文仿宋" w:cs="华文仿宋"/>
              <w:sz w:val="21"/>
              <w:szCs w:val="21"/>
            </w:rPr>
            <w:t>39</w:t>
          </w:r>
          <w:bookmarkEnd w:id="33"/>
          <w:r>
            <w:rPr>
              <w:rFonts w:hint="eastAsia" w:ascii="华文仿宋" w:hAnsi="华文仿宋" w:eastAsia="华文仿宋" w:cs="华文仿宋"/>
              <w:sz w:val="21"/>
              <w:szCs w:val="21"/>
            </w:rPr>
            <w:fldChar w:fldCharType="end"/>
          </w:r>
        </w:p>
        <w:p w14:paraId="65165282">
          <w:pPr>
            <w:pStyle w:val="37"/>
            <w:tabs>
              <w:tab w:val="right" w:leader="dot" w:pos="8306"/>
            </w:tabs>
            <w:ind w:left="420"/>
            <w:rPr>
              <w:rFonts w:ascii="华文仿宋" w:hAnsi="华文仿宋" w:eastAsia="华文仿宋" w:cs="华文仿宋"/>
              <w:sz w:val="21"/>
              <w:szCs w:val="21"/>
            </w:rPr>
          </w:pPr>
          <w:r>
            <w:fldChar w:fldCharType="begin"/>
          </w:r>
          <w:r>
            <w:instrText xml:space="preserve"> HYPERLINK \l "_Toc17631_WPSOffice_Level2" </w:instrText>
          </w:r>
          <w:r>
            <w:fldChar w:fldCharType="separate"/>
          </w:r>
          <w:r>
            <w:rPr>
              <w:rFonts w:hint="eastAsia" w:ascii="华文仿宋" w:hAnsi="华文仿宋" w:eastAsia="华文仿宋" w:cs="华文仿宋"/>
              <w:sz w:val="21"/>
              <w:szCs w:val="21"/>
            </w:rPr>
            <w:t>四、财政拨款收入支出决算总表</w:t>
          </w:r>
          <w:r>
            <w:rPr>
              <w:rFonts w:hint="eastAsia" w:ascii="华文仿宋" w:hAnsi="华文仿宋" w:eastAsia="华文仿宋" w:cs="华文仿宋"/>
              <w:sz w:val="21"/>
              <w:szCs w:val="21"/>
            </w:rPr>
            <w:tab/>
          </w:r>
          <w:bookmarkStart w:id="34" w:name="_Toc17631_WPSOffice_Level2Page"/>
          <w:r>
            <w:rPr>
              <w:rFonts w:hint="eastAsia" w:ascii="华文仿宋" w:hAnsi="华文仿宋" w:eastAsia="华文仿宋" w:cs="华文仿宋"/>
              <w:sz w:val="21"/>
              <w:szCs w:val="21"/>
            </w:rPr>
            <w:t>39</w:t>
          </w:r>
          <w:bookmarkEnd w:id="34"/>
          <w:r>
            <w:rPr>
              <w:rFonts w:hint="eastAsia" w:ascii="华文仿宋" w:hAnsi="华文仿宋" w:eastAsia="华文仿宋" w:cs="华文仿宋"/>
              <w:sz w:val="21"/>
              <w:szCs w:val="21"/>
            </w:rPr>
            <w:fldChar w:fldCharType="end"/>
          </w:r>
        </w:p>
        <w:p w14:paraId="32052D81">
          <w:pPr>
            <w:pStyle w:val="37"/>
            <w:tabs>
              <w:tab w:val="right" w:leader="dot" w:pos="8306"/>
            </w:tabs>
            <w:ind w:left="420"/>
            <w:rPr>
              <w:rFonts w:ascii="华文仿宋" w:hAnsi="华文仿宋" w:eastAsia="华文仿宋" w:cs="华文仿宋"/>
              <w:sz w:val="21"/>
              <w:szCs w:val="21"/>
            </w:rPr>
          </w:pPr>
          <w:r>
            <w:fldChar w:fldCharType="begin"/>
          </w:r>
          <w:r>
            <w:instrText xml:space="preserve"> HYPERLINK \l "_Toc17123_WPSOffice_Level2" </w:instrText>
          </w:r>
          <w:r>
            <w:fldChar w:fldCharType="separate"/>
          </w:r>
          <w:r>
            <w:rPr>
              <w:rFonts w:hint="eastAsia" w:ascii="华文仿宋" w:hAnsi="华文仿宋" w:eastAsia="华文仿宋" w:cs="华文仿宋"/>
              <w:sz w:val="21"/>
              <w:szCs w:val="21"/>
            </w:rPr>
            <w:t>五、财政拨款支出决算明细表</w:t>
          </w:r>
          <w:r>
            <w:rPr>
              <w:rFonts w:hint="eastAsia" w:ascii="华文仿宋" w:hAnsi="华文仿宋" w:eastAsia="华文仿宋" w:cs="华文仿宋"/>
              <w:sz w:val="21"/>
              <w:szCs w:val="21"/>
            </w:rPr>
            <w:tab/>
          </w:r>
          <w:bookmarkStart w:id="35" w:name="_Toc17123_WPSOffice_Level2Page"/>
          <w:r>
            <w:rPr>
              <w:rFonts w:hint="eastAsia" w:ascii="华文仿宋" w:hAnsi="华文仿宋" w:eastAsia="华文仿宋" w:cs="华文仿宋"/>
              <w:sz w:val="21"/>
              <w:szCs w:val="21"/>
            </w:rPr>
            <w:t>39</w:t>
          </w:r>
          <w:bookmarkEnd w:id="35"/>
          <w:r>
            <w:rPr>
              <w:rFonts w:hint="eastAsia" w:ascii="华文仿宋" w:hAnsi="华文仿宋" w:eastAsia="华文仿宋" w:cs="华文仿宋"/>
              <w:sz w:val="21"/>
              <w:szCs w:val="21"/>
            </w:rPr>
            <w:fldChar w:fldCharType="end"/>
          </w:r>
        </w:p>
        <w:p w14:paraId="1E44CC21">
          <w:pPr>
            <w:pStyle w:val="37"/>
            <w:tabs>
              <w:tab w:val="right" w:leader="dot" w:pos="8306"/>
            </w:tabs>
            <w:ind w:left="420"/>
            <w:rPr>
              <w:rFonts w:ascii="华文仿宋" w:hAnsi="华文仿宋" w:eastAsia="华文仿宋" w:cs="华文仿宋"/>
              <w:sz w:val="21"/>
              <w:szCs w:val="21"/>
            </w:rPr>
          </w:pPr>
          <w:r>
            <w:fldChar w:fldCharType="begin"/>
          </w:r>
          <w:r>
            <w:instrText xml:space="preserve"> HYPERLINK \l "_Toc529_WPSOffice_Level2" </w:instrText>
          </w:r>
          <w:r>
            <w:fldChar w:fldCharType="separate"/>
          </w:r>
          <w:r>
            <w:rPr>
              <w:rFonts w:hint="eastAsia" w:ascii="华文仿宋" w:hAnsi="华文仿宋" w:eastAsia="华文仿宋" w:cs="华文仿宋"/>
              <w:sz w:val="21"/>
              <w:szCs w:val="21"/>
            </w:rPr>
            <w:t>六、一般公共预算财政拨款支出决算表</w:t>
          </w:r>
          <w:r>
            <w:rPr>
              <w:rFonts w:hint="eastAsia" w:ascii="华文仿宋" w:hAnsi="华文仿宋" w:eastAsia="华文仿宋" w:cs="华文仿宋"/>
              <w:sz w:val="21"/>
              <w:szCs w:val="21"/>
            </w:rPr>
            <w:tab/>
          </w:r>
          <w:bookmarkStart w:id="36" w:name="_Toc529_WPSOffice_Level2Page"/>
          <w:r>
            <w:rPr>
              <w:rFonts w:hint="eastAsia" w:ascii="华文仿宋" w:hAnsi="华文仿宋" w:eastAsia="华文仿宋" w:cs="华文仿宋"/>
              <w:sz w:val="21"/>
              <w:szCs w:val="21"/>
            </w:rPr>
            <w:t>39</w:t>
          </w:r>
          <w:bookmarkEnd w:id="36"/>
          <w:r>
            <w:rPr>
              <w:rFonts w:hint="eastAsia" w:ascii="华文仿宋" w:hAnsi="华文仿宋" w:eastAsia="华文仿宋" w:cs="华文仿宋"/>
              <w:sz w:val="21"/>
              <w:szCs w:val="21"/>
            </w:rPr>
            <w:fldChar w:fldCharType="end"/>
          </w:r>
        </w:p>
        <w:p w14:paraId="63E9E67B">
          <w:pPr>
            <w:pStyle w:val="37"/>
            <w:tabs>
              <w:tab w:val="right" w:leader="dot" w:pos="8306"/>
            </w:tabs>
            <w:ind w:left="420"/>
            <w:rPr>
              <w:rFonts w:ascii="华文仿宋" w:hAnsi="华文仿宋" w:eastAsia="华文仿宋" w:cs="华文仿宋"/>
              <w:sz w:val="21"/>
              <w:szCs w:val="21"/>
            </w:rPr>
          </w:pPr>
          <w:r>
            <w:fldChar w:fldCharType="begin"/>
          </w:r>
          <w:r>
            <w:instrText xml:space="preserve"> HYPERLINK \l "_Toc16964_WPSOffice_Level2" </w:instrText>
          </w:r>
          <w:r>
            <w:fldChar w:fldCharType="separate"/>
          </w:r>
          <w:r>
            <w:rPr>
              <w:rFonts w:hint="eastAsia" w:ascii="华文仿宋" w:hAnsi="华文仿宋" w:eastAsia="华文仿宋" w:cs="华文仿宋"/>
              <w:sz w:val="21"/>
              <w:szCs w:val="21"/>
            </w:rPr>
            <w:t>七、一般公共预算财政拨款支出决算明细表</w:t>
          </w:r>
          <w:r>
            <w:rPr>
              <w:rFonts w:hint="eastAsia" w:ascii="华文仿宋" w:hAnsi="华文仿宋" w:eastAsia="华文仿宋" w:cs="华文仿宋"/>
              <w:sz w:val="21"/>
              <w:szCs w:val="21"/>
            </w:rPr>
            <w:tab/>
          </w:r>
          <w:bookmarkStart w:id="37" w:name="_Toc16964_WPSOffice_Level2Page"/>
          <w:r>
            <w:rPr>
              <w:rFonts w:hint="eastAsia" w:ascii="华文仿宋" w:hAnsi="华文仿宋" w:eastAsia="华文仿宋" w:cs="华文仿宋"/>
              <w:sz w:val="21"/>
              <w:szCs w:val="21"/>
            </w:rPr>
            <w:t>39</w:t>
          </w:r>
          <w:bookmarkEnd w:id="37"/>
          <w:r>
            <w:rPr>
              <w:rFonts w:hint="eastAsia" w:ascii="华文仿宋" w:hAnsi="华文仿宋" w:eastAsia="华文仿宋" w:cs="华文仿宋"/>
              <w:sz w:val="21"/>
              <w:szCs w:val="21"/>
            </w:rPr>
            <w:fldChar w:fldCharType="end"/>
          </w:r>
        </w:p>
        <w:p w14:paraId="37C56A5F">
          <w:pPr>
            <w:pStyle w:val="37"/>
            <w:tabs>
              <w:tab w:val="right" w:leader="dot" w:pos="8306"/>
            </w:tabs>
            <w:ind w:left="420"/>
            <w:rPr>
              <w:rFonts w:ascii="华文仿宋" w:hAnsi="华文仿宋" w:eastAsia="华文仿宋" w:cs="华文仿宋"/>
              <w:sz w:val="21"/>
              <w:szCs w:val="21"/>
            </w:rPr>
          </w:pPr>
          <w:r>
            <w:fldChar w:fldCharType="begin"/>
          </w:r>
          <w:r>
            <w:instrText xml:space="preserve"> HYPERLINK \l "_Toc19492_WPSOffice_Level2" </w:instrText>
          </w:r>
          <w:r>
            <w:fldChar w:fldCharType="separate"/>
          </w:r>
          <w:r>
            <w:rPr>
              <w:rFonts w:hint="eastAsia" w:ascii="华文仿宋" w:hAnsi="华文仿宋" w:eastAsia="华文仿宋" w:cs="华文仿宋"/>
              <w:sz w:val="21"/>
              <w:szCs w:val="21"/>
            </w:rPr>
            <w:t>八、一般公共预算财政拨款基本支出决算表</w:t>
          </w:r>
          <w:r>
            <w:rPr>
              <w:rFonts w:hint="eastAsia" w:ascii="华文仿宋" w:hAnsi="华文仿宋" w:eastAsia="华文仿宋" w:cs="华文仿宋"/>
              <w:sz w:val="21"/>
              <w:szCs w:val="21"/>
            </w:rPr>
            <w:tab/>
          </w:r>
          <w:bookmarkStart w:id="38" w:name="_Toc19492_WPSOffice_Level2Page"/>
          <w:r>
            <w:rPr>
              <w:rFonts w:hint="eastAsia" w:ascii="华文仿宋" w:hAnsi="华文仿宋" w:eastAsia="华文仿宋" w:cs="华文仿宋"/>
              <w:sz w:val="21"/>
              <w:szCs w:val="21"/>
            </w:rPr>
            <w:t>39</w:t>
          </w:r>
          <w:bookmarkEnd w:id="38"/>
          <w:r>
            <w:rPr>
              <w:rFonts w:hint="eastAsia" w:ascii="华文仿宋" w:hAnsi="华文仿宋" w:eastAsia="华文仿宋" w:cs="华文仿宋"/>
              <w:sz w:val="21"/>
              <w:szCs w:val="21"/>
            </w:rPr>
            <w:fldChar w:fldCharType="end"/>
          </w:r>
        </w:p>
        <w:p w14:paraId="2B09BD3B">
          <w:pPr>
            <w:pStyle w:val="37"/>
            <w:tabs>
              <w:tab w:val="right" w:leader="dot" w:pos="8306"/>
            </w:tabs>
            <w:ind w:left="420"/>
            <w:rPr>
              <w:rFonts w:ascii="华文仿宋" w:hAnsi="华文仿宋" w:eastAsia="华文仿宋" w:cs="华文仿宋"/>
              <w:sz w:val="21"/>
              <w:szCs w:val="21"/>
            </w:rPr>
          </w:pPr>
          <w:r>
            <w:fldChar w:fldCharType="begin"/>
          </w:r>
          <w:r>
            <w:instrText xml:space="preserve"> HYPERLINK \l "_Toc17419_WPSOffice_Level2" </w:instrText>
          </w:r>
          <w:r>
            <w:fldChar w:fldCharType="separate"/>
          </w:r>
          <w:r>
            <w:rPr>
              <w:rFonts w:hint="eastAsia" w:ascii="华文仿宋" w:hAnsi="华文仿宋" w:eastAsia="华文仿宋" w:cs="华文仿宋"/>
              <w:sz w:val="21"/>
              <w:szCs w:val="21"/>
            </w:rPr>
            <w:t>九、一般公共预算财政拨款项目支出决算表</w:t>
          </w:r>
          <w:r>
            <w:rPr>
              <w:rFonts w:hint="eastAsia" w:ascii="华文仿宋" w:hAnsi="华文仿宋" w:eastAsia="华文仿宋" w:cs="华文仿宋"/>
              <w:sz w:val="21"/>
              <w:szCs w:val="21"/>
            </w:rPr>
            <w:tab/>
          </w:r>
          <w:bookmarkStart w:id="39" w:name="_Toc17419_WPSOffice_Level2Page"/>
          <w:r>
            <w:rPr>
              <w:rFonts w:hint="eastAsia" w:ascii="华文仿宋" w:hAnsi="华文仿宋" w:eastAsia="华文仿宋" w:cs="华文仿宋"/>
              <w:sz w:val="21"/>
              <w:szCs w:val="21"/>
            </w:rPr>
            <w:t>39</w:t>
          </w:r>
          <w:bookmarkEnd w:id="39"/>
          <w:r>
            <w:rPr>
              <w:rFonts w:hint="eastAsia" w:ascii="华文仿宋" w:hAnsi="华文仿宋" w:eastAsia="华文仿宋" w:cs="华文仿宋"/>
              <w:sz w:val="21"/>
              <w:szCs w:val="21"/>
            </w:rPr>
            <w:fldChar w:fldCharType="end"/>
          </w:r>
        </w:p>
        <w:p w14:paraId="2D3D8CC1">
          <w:pPr>
            <w:pStyle w:val="37"/>
            <w:tabs>
              <w:tab w:val="right" w:leader="dot" w:pos="8306"/>
            </w:tabs>
            <w:ind w:left="420"/>
            <w:rPr>
              <w:rFonts w:ascii="华文仿宋" w:hAnsi="华文仿宋" w:eastAsia="华文仿宋" w:cs="华文仿宋"/>
              <w:sz w:val="21"/>
              <w:szCs w:val="21"/>
            </w:rPr>
          </w:pPr>
          <w:r>
            <w:fldChar w:fldCharType="begin"/>
          </w:r>
          <w:r>
            <w:instrText xml:space="preserve"> HYPERLINK \l "_Toc31985_WPSOffice_Level2" </w:instrText>
          </w:r>
          <w:r>
            <w:fldChar w:fldCharType="separate"/>
          </w:r>
          <w:r>
            <w:rPr>
              <w:rFonts w:hint="eastAsia" w:ascii="华文仿宋" w:hAnsi="华文仿宋" w:eastAsia="华文仿宋" w:cs="华文仿宋"/>
              <w:sz w:val="21"/>
              <w:szCs w:val="21"/>
            </w:rPr>
            <w:t>十、一般公共预算财政拨款“三公”经费支出决算表</w:t>
          </w:r>
          <w:r>
            <w:rPr>
              <w:rFonts w:hint="eastAsia" w:ascii="华文仿宋" w:hAnsi="华文仿宋" w:eastAsia="华文仿宋" w:cs="华文仿宋"/>
              <w:sz w:val="21"/>
              <w:szCs w:val="21"/>
            </w:rPr>
            <w:tab/>
          </w:r>
          <w:bookmarkStart w:id="40" w:name="_Toc31985_WPSOffice_Level2Page"/>
          <w:r>
            <w:rPr>
              <w:rFonts w:hint="eastAsia" w:ascii="华文仿宋" w:hAnsi="华文仿宋" w:eastAsia="华文仿宋" w:cs="华文仿宋"/>
              <w:sz w:val="21"/>
              <w:szCs w:val="21"/>
            </w:rPr>
            <w:t>39</w:t>
          </w:r>
          <w:bookmarkEnd w:id="40"/>
          <w:r>
            <w:rPr>
              <w:rFonts w:hint="eastAsia" w:ascii="华文仿宋" w:hAnsi="华文仿宋" w:eastAsia="华文仿宋" w:cs="华文仿宋"/>
              <w:sz w:val="21"/>
              <w:szCs w:val="21"/>
            </w:rPr>
            <w:fldChar w:fldCharType="end"/>
          </w:r>
        </w:p>
        <w:p w14:paraId="0789409A">
          <w:pPr>
            <w:pStyle w:val="37"/>
            <w:tabs>
              <w:tab w:val="right" w:leader="dot" w:pos="8306"/>
            </w:tabs>
            <w:ind w:left="420"/>
            <w:rPr>
              <w:rFonts w:ascii="华文仿宋" w:hAnsi="华文仿宋" w:eastAsia="华文仿宋" w:cs="华文仿宋"/>
              <w:sz w:val="21"/>
              <w:szCs w:val="21"/>
            </w:rPr>
          </w:pPr>
          <w:r>
            <w:fldChar w:fldCharType="begin"/>
          </w:r>
          <w:r>
            <w:instrText xml:space="preserve"> HYPERLINK \l "_Toc3290_WPSOffice_Level2" </w:instrText>
          </w:r>
          <w:r>
            <w:fldChar w:fldCharType="separate"/>
          </w:r>
          <w:r>
            <w:rPr>
              <w:rFonts w:hint="eastAsia" w:ascii="华文仿宋" w:hAnsi="华文仿宋" w:eastAsia="华文仿宋" w:cs="华文仿宋"/>
              <w:sz w:val="21"/>
              <w:szCs w:val="21"/>
            </w:rPr>
            <w:t>十一、政府性基金预算财政拨款收入支出决算表</w:t>
          </w:r>
          <w:r>
            <w:rPr>
              <w:rFonts w:hint="eastAsia" w:ascii="华文仿宋" w:hAnsi="华文仿宋" w:eastAsia="华文仿宋" w:cs="华文仿宋"/>
              <w:sz w:val="21"/>
              <w:szCs w:val="21"/>
            </w:rPr>
            <w:tab/>
          </w:r>
          <w:bookmarkStart w:id="41" w:name="_Toc3290_WPSOffice_Level2Page"/>
          <w:r>
            <w:rPr>
              <w:rFonts w:hint="eastAsia" w:ascii="华文仿宋" w:hAnsi="华文仿宋" w:eastAsia="华文仿宋" w:cs="华文仿宋"/>
              <w:sz w:val="21"/>
              <w:szCs w:val="21"/>
            </w:rPr>
            <w:t>39</w:t>
          </w:r>
          <w:bookmarkEnd w:id="41"/>
          <w:r>
            <w:rPr>
              <w:rFonts w:hint="eastAsia" w:ascii="华文仿宋" w:hAnsi="华文仿宋" w:eastAsia="华文仿宋" w:cs="华文仿宋"/>
              <w:sz w:val="21"/>
              <w:szCs w:val="21"/>
            </w:rPr>
            <w:fldChar w:fldCharType="end"/>
          </w:r>
        </w:p>
        <w:p w14:paraId="3E4812E7">
          <w:pPr>
            <w:pStyle w:val="37"/>
            <w:tabs>
              <w:tab w:val="right" w:leader="dot" w:pos="8306"/>
            </w:tabs>
            <w:ind w:left="420"/>
            <w:rPr>
              <w:rFonts w:ascii="华文仿宋" w:hAnsi="华文仿宋" w:eastAsia="华文仿宋" w:cs="华文仿宋"/>
              <w:sz w:val="21"/>
              <w:szCs w:val="21"/>
            </w:rPr>
          </w:pPr>
          <w:r>
            <w:fldChar w:fldCharType="begin"/>
          </w:r>
          <w:r>
            <w:instrText xml:space="preserve"> HYPERLINK \l "_Toc6144_WPSOffice_Level2" </w:instrText>
          </w:r>
          <w:r>
            <w:fldChar w:fldCharType="separate"/>
          </w:r>
          <w:r>
            <w:rPr>
              <w:rFonts w:hint="eastAsia" w:ascii="华文仿宋" w:hAnsi="华文仿宋" w:eastAsia="华文仿宋" w:cs="华文仿宋"/>
              <w:sz w:val="21"/>
              <w:szCs w:val="21"/>
            </w:rPr>
            <w:t>十二、政府性基金预算财政拨款“三公”经费支出决算表</w:t>
          </w:r>
          <w:r>
            <w:rPr>
              <w:rFonts w:hint="eastAsia" w:ascii="华文仿宋" w:hAnsi="华文仿宋" w:eastAsia="华文仿宋" w:cs="华文仿宋"/>
              <w:sz w:val="21"/>
              <w:szCs w:val="21"/>
            </w:rPr>
            <w:tab/>
          </w:r>
          <w:bookmarkStart w:id="42" w:name="_Toc6144_WPSOffice_Level2Page"/>
          <w:r>
            <w:rPr>
              <w:rFonts w:hint="eastAsia" w:ascii="华文仿宋" w:hAnsi="华文仿宋" w:eastAsia="华文仿宋" w:cs="华文仿宋"/>
              <w:sz w:val="21"/>
              <w:szCs w:val="21"/>
            </w:rPr>
            <w:t>39</w:t>
          </w:r>
          <w:bookmarkEnd w:id="42"/>
          <w:r>
            <w:rPr>
              <w:rFonts w:hint="eastAsia" w:ascii="华文仿宋" w:hAnsi="华文仿宋" w:eastAsia="华文仿宋" w:cs="华文仿宋"/>
              <w:sz w:val="21"/>
              <w:szCs w:val="21"/>
            </w:rPr>
            <w:fldChar w:fldCharType="end"/>
          </w:r>
        </w:p>
        <w:p w14:paraId="3773EACE">
          <w:pPr>
            <w:pStyle w:val="37"/>
            <w:tabs>
              <w:tab w:val="right" w:leader="dot" w:pos="8306"/>
            </w:tabs>
            <w:ind w:left="420"/>
            <w:rPr>
              <w:rFonts w:ascii="华文仿宋" w:hAnsi="华文仿宋" w:eastAsia="华文仿宋" w:cs="华文仿宋"/>
              <w:sz w:val="21"/>
              <w:szCs w:val="21"/>
            </w:rPr>
          </w:pPr>
          <w:r>
            <w:fldChar w:fldCharType="begin"/>
          </w:r>
          <w:r>
            <w:instrText xml:space="preserve"> HYPERLINK \l "_Toc17888_WPSOffice_Level2" </w:instrText>
          </w:r>
          <w:r>
            <w:fldChar w:fldCharType="separate"/>
          </w:r>
          <w:r>
            <w:rPr>
              <w:rFonts w:hint="eastAsia" w:ascii="华文仿宋" w:hAnsi="华文仿宋" w:eastAsia="华文仿宋" w:cs="华文仿宋"/>
              <w:sz w:val="21"/>
              <w:szCs w:val="21"/>
            </w:rPr>
            <w:t>十三、国有资本经营预算财政拨款收入支出决算表</w:t>
          </w:r>
          <w:r>
            <w:rPr>
              <w:rFonts w:hint="eastAsia" w:ascii="华文仿宋" w:hAnsi="华文仿宋" w:eastAsia="华文仿宋" w:cs="华文仿宋"/>
              <w:sz w:val="21"/>
              <w:szCs w:val="21"/>
            </w:rPr>
            <w:tab/>
          </w:r>
          <w:bookmarkStart w:id="43" w:name="_Toc17888_WPSOffice_Level2Page"/>
          <w:r>
            <w:rPr>
              <w:rFonts w:hint="eastAsia" w:ascii="华文仿宋" w:hAnsi="华文仿宋" w:eastAsia="华文仿宋" w:cs="华文仿宋"/>
              <w:sz w:val="21"/>
              <w:szCs w:val="21"/>
            </w:rPr>
            <w:t>39</w:t>
          </w:r>
          <w:bookmarkEnd w:id="43"/>
          <w:r>
            <w:rPr>
              <w:rFonts w:hint="eastAsia" w:ascii="华文仿宋" w:hAnsi="华文仿宋" w:eastAsia="华文仿宋" w:cs="华文仿宋"/>
              <w:sz w:val="21"/>
              <w:szCs w:val="21"/>
            </w:rPr>
            <w:fldChar w:fldCharType="end"/>
          </w:r>
        </w:p>
        <w:p w14:paraId="798AA0CB">
          <w:pPr>
            <w:pStyle w:val="37"/>
            <w:tabs>
              <w:tab w:val="right" w:leader="dot" w:pos="8306"/>
            </w:tabs>
            <w:ind w:left="420"/>
            <w:rPr>
              <w:rFonts w:ascii="华文仿宋" w:hAnsi="华文仿宋" w:eastAsia="华文仿宋" w:cs="华文仿宋"/>
              <w:sz w:val="21"/>
              <w:szCs w:val="21"/>
            </w:rPr>
          </w:pPr>
          <w:r>
            <w:fldChar w:fldCharType="begin"/>
          </w:r>
          <w:r>
            <w:instrText xml:space="preserve"> HYPERLINK \l "_Toc3706_WPSOffice_Level2" </w:instrText>
          </w:r>
          <w:r>
            <w:fldChar w:fldCharType="separate"/>
          </w:r>
          <w:r>
            <w:rPr>
              <w:rFonts w:hint="eastAsia" w:ascii="华文仿宋" w:hAnsi="华文仿宋" w:eastAsia="华文仿宋" w:cs="华文仿宋"/>
              <w:sz w:val="21"/>
              <w:szCs w:val="21"/>
            </w:rPr>
            <w:t>十四、国有资本经营预算财政拨款支出决算表</w:t>
          </w:r>
          <w:r>
            <w:rPr>
              <w:rFonts w:hint="eastAsia" w:ascii="华文仿宋" w:hAnsi="华文仿宋" w:eastAsia="华文仿宋" w:cs="华文仿宋"/>
              <w:sz w:val="21"/>
              <w:szCs w:val="21"/>
            </w:rPr>
            <w:tab/>
          </w:r>
          <w:bookmarkStart w:id="44" w:name="_Toc3706_WPSOffice_Level2Page"/>
          <w:r>
            <w:rPr>
              <w:rFonts w:hint="eastAsia" w:ascii="华文仿宋" w:hAnsi="华文仿宋" w:eastAsia="华文仿宋" w:cs="华文仿宋"/>
              <w:sz w:val="21"/>
              <w:szCs w:val="21"/>
            </w:rPr>
            <w:t>39</w:t>
          </w:r>
          <w:bookmarkEnd w:id="44"/>
          <w:r>
            <w:rPr>
              <w:rFonts w:hint="eastAsia" w:ascii="华文仿宋" w:hAnsi="华文仿宋" w:eastAsia="华文仿宋" w:cs="华文仿宋"/>
              <w:sz w:val="21"/>
              <w:szCs w:val="21"/>
            </w:rPr>
            <w:fldChar w:fldCharType="end"/>
          </w:r>
        </w:p>
      </w:sdtContent>
    </w:sdt>
    <w:p w14:paraId="0FE04913">
      <w:pPr>
        <w:widowControl/>
        <w:spacing w:line="440" w:lineRule="exact"/>
        <w:jc w:val="left"/>
        <w:rPr>
          <w:rFonts w:ascii="华文仿宋" w:hAnsi="华文仿宋" w:eastAsia="华文仿宋" w:cs="华文仿宋"/>
          <w:bCs/>
          <w:kern w:val="44"/>
          <w:szCs w:val="21"/>
        </w:rPr>
      </w:pPr>
      <w:r>
        <w:rPr>
          <w:rFonts w:hint="eastAsia" w:ascii="华文仿宋" w:hAnsi="华文仿宋" w:eastAsia="华文仿宋" w:cs="华文仿宋"/>
          <w:b/>
          <w:szCs w:val="21"/>
        </w:rPr>
        <w:br w:type="page"/>
      </w:r>
    </w:p>
    <w:p w14:paraId="51E87F4A">
      <w:pPr>
        <w:pStyle w:val="3"/>
        <w:jc w:val="center"/>
        <w:rPr>
          <w:rFonts w:ascii="黑体" w:eastAsia="黑体"/>
          <w:sz w:val="32"/>
          <w:szCs w:val="32"/>
        </w:rPr>
      </w:pPr>
      <w:bookmarkStart w:id="45" w:name="_Toc31871_WPSOffice_Level1"/>
      <w:r>
        <w:rPr>
          <w:rFonts w:hint="eastAsia" w:ascii="黑体" w:hAnsi="黑体" w:eastAsia="黑体"/>
          <w:b w:val="0"/>
        </w:rPr>
        <w:t xml:space="preserve">第一部分 </w:t>
      </w:r>
      <w:r>
        <w:rPr>
          <w:rStyle w:val="29"/>
          <w:rFonts w:hint="eastAsia" w:ascii="黑体" w:hAnsi="黑体" w:eastAsia="黑体"/>
          <w:b w:val="0"/>
          <w:bCs w:val="0"/>
        </w:rPr>
        <w:t>部门概况</w:t>
      </w:r>
      <w:bookmarkEnd w:id="12"/>
      <w:bookmarkEnd w:id="13"/>
      <w:bookmarkEnd w:id="45"/>
    </w:p>
    <w:p w14:paraId="53B71BC3">
      <w:pPr>
        <w:pStyle w:val="4"/>
        <w:rPr>
          <w:rStyle w:val="30"/>
          <w:rFonts w:ascii="仿宋" w:hAnsi="仿宋" w:eastAsia="仿宋"/>
          <w:b w:val="0"/>
          <w:bCs w:val="0"/>
        </w:rPr>
      </w:pPr>
      <w:bookmarkStart w:id="46" w:name="_Toc15396600"/>
      <w:bookmarkStart w:id="47" w:name="_Toc15043_WPSOffice_Level2"/>
      <w:bookmarkStart w:id="48" w:name="_Toc15377197"/>
      <w:r>
        <w:rPr>
          <w:rFonts w:hint="eastAsia" w:ascii="黑体" w:hAnsi="黑体" w:eastAsia="黑体"/>
          <w:b w:val="0"/>
        </w:rPr>
        <w:t>一、基</w:t>
      </w:r>
      <w:r>
        <w:rPr>
          <w:rStyle w:val="30"/>
          <w:rFonts w:hint="eastAsia" w:ascii="黑体" w:hAnsi="黑体" w:eastAsia="黑体"/>
          <w:b w:val="0"/>
          <w:bCs w:val="0"/>
        </w:rPr>
        <w:t>本职能及主要工作</w:t>
      </w:r>
      <w:bookmarkEnd w:id="46"/>
      <w:bookmarkEnd w:id="47"/>
      <w:bookmarkEnd w:id="48"/>
    </w:p>
    <w:p w14:paraId="74809A3D">
      <w:pPr>
        <w:pStyle w:val="7"/>
        <w:adjustRightInd w:val="0"/>
        <w:snapToGrid w:val="0"/>
        <w:spacing w:before="93" w:line="600" w:lineRule="exact"/>
        <w:ind w:firstLine="672" w:firstLineChars="210"/>
        <w:outlineLvl w:val="2"/>
        <w:rPr>
          <w:rFonts w:ascii="仿宋" w:hAnsi="仿宋" w:eastAsia="仿宋"/>
          <w:bCs/>
          <w:sz w:val="32"/>
          <w:szCs w:val="32"/>
        </w:rPr>
      </w:pPr>
      <w:bookmarkStart w:id="49" w:name="_Toc15377198"/>
      <w:bookmarkStart w:id="50" w:name="_Toc15378445"/>
      <w:r>
        <w:rPr>
          <w:rFonts w:hint="eastAsia" w:ascii="仿宋" w:hAnsi="仿宋" w:eastAsia="仿宋"/>
          <w:bCs/>
          <w:sz w:val="32"/>
          <w:szCs w:val="32"/>
        </w:rPr>
        <w:t>（一）主要职能。</w:t>
      </w:r>
      <w:bookmarkEnd w:id="49"/>
      <w:bookmarkEnd w:id="50"/>
    </w:p>
    <w:p w14:paraId="608CB527">
      <w:pPr>
        <w:pStyle w:val="7"/>
        <w:adjustRightInd w:val="0"/>
        <w:spacing w:beforeLines="0" w:line="560" w:lineRule="exact"/>
        <w:ind w:firstLine="672" w:firstLineChars="210"/>
        <w:rPr>
          <w:rFonts w:ascii="Times New Roman"/>
          <w:sz w:val="32"/>
          <w:szCs w:val="32"/>
        </w:rPr>
      </w:pPr>
      <w:r>
        <w:rPr>
          <w:rFonts w:ascii="Times New Roman"/>
          <w:sz w:val="32"/>
          <w:szCs w:val="32"/>
        </w:rPr>
        <w:t>1.</w:t>
      </w:r>
      <w:r>
        <w:rPr>
          <w:rFonts w:hint="eastAsia" w:ascii="Times New Roman"/>
          <w:sz w:val="32"/>
          <w:szCs w:val="32"/>
        </w:rPr>
        <w:t>根据党中央的路线、方针、政策和县委的部署，统一政法各部门的思想和行动，确保政法部门的执法活动坚持正确的政治方向。</w:t>
      </w:r>
    </w:p>
    <w:p w14:paraId="748B2452">
      <w:pPr>
        <w:pStyle w:val="7"/>
        <w:adjustRightInd w:val="0"/>
        <w:spacing w:beforeLines="0" w:line="560" w:lineRule="exact"/>
        <w:ind w:firstLine="672" w:firstLineChars="210"/>
        <w:rPr>
          <w:rFonts w:ascii="Times New Roman"/>
          <w:sz w:val="32"/>
          <w:szCs w:val="32"/>
        </w:rPr>
      </w:pPr>
      <w:r>
        <w:rPr>
          <w:rFonts w:ascii="Times New Roman"/>
          <w:sz w:val="32"/>
          <w:szCs w:val="32"/>
        </w:rPr>
        <w:t>2.</w:t>
      </w:r>
      <w:r>
        <w:rPr>
          <w:rFonts w:hint="eastAsia" w:ascii="Times New Roman"/>
          <w:sz w:val="32"/>
          <w:szCs w:val="32"/>
        </w:rPr>
        <w:t>研究制定贯彻落实党中央、省委、市委和县委关于政法工作的方针、政策和维护社会稳定工作的指示措施，及时向县委提出意见和建议，对一定时期内的政法工作、社会治安综合治理工作、社会稳定工作作出全局性的部署，并督促检查，抓好贯彻落实。</w:t>
      </w:r>
    </w:p>
    <w:p w14:paraId="6A3C7510">
      <w:pPr>
        <w:pStyle w:val="7"/>
        <w:adjustRightInd w:val="0"/>
        <w:spacing w:beforeLines="0" w:line="560" w:lineRule="exact"/>
        <w:ind w:firstLine="672" w:firstLineChars="210"/>
        <w:rPr>
          <w:rFonts w:ascii="Times New Roman"/>
          <w:sz w:val="32"/>
          <w:szCs w:val="32"/>
        </w:rPr>
      </w:pPr>
      <w:r>
        <w:rPr>
          <w:rFonts w:ascii="Times New Roman"/>
          <w:sz w:val="32"/>
          <w:szCs w:val="32"/>
        </w:rPr>
        <w:t>3.</w:t>
      </w:r>
      <w:r>
        <w:rPr>
          <w:rFonts w:hint="eastAsia" w:ascii="Times New Roman"/>
          <w:sz w:val="32"/>
          <w:szCs w:val="32"/>
        </w:rPr>
        <w:t>加强对政法工作的督查。指导全县政法系统网络安全和智能化建设工作。</w:t>
      </w:r>
    </w:p>
    <w:p w14:paraId="532BBF4D">
      <w:pPr>
        <w:pStyle w:val="7"/>
        <w:adjustRightInd w:val="0"/>
        <w:spacing w:beforeLines="0" w:line="560" w:lineRule="exact"/>
        <w:ind w:firstLine="672" w:firstLineChars="210"/>
        <w:rPr>
          <w:rFonts w:ascii="Times New Roman"/>
          <w:sz w:val="32"/>
          <w:szCs w:val="32"/>
        </w:rPr>
      </w:pPr>
      <w:r>
        <w:rPr>
          <w:rFonts w:ascii="Times New Roman"/>
          <w:sz w:val="32"/>
          <w:szCs w:val="32"/>
        </w:rPr>
        <w:t>4.</w:t>
      </w:r>
      <w:r>
        <w:rPr>
          <w:rFonts w:hint="eastAsia" w:ascii="Times New Roman"/>
          <w:sz w:val="32"/>
          <w:szCs w:val="32"/>
        </w:rPr>
        <w:t>组织推动政法工作的调查研究，推动政法工作改革。</w:t>
      </w:r>
    </w:p>
    <w:p w14:paraId="630B31ED">
      <w:pPr>
        <w:pStyle w:val="7"/>
        <w:adjustRightInd w:val="0"/>
        <w:spacing w:beforeLines="0" w:line="560" w:lineRule="exact"/>
        <w:ind w:firstLine="672" w:firstLineChars="210"/>
        <w:rPr>
          <w:rFonts w:ascii="Times New Roman"/>
          <w:sz w:val="32"/>
          <w:szCs w:val="32"/>
        </w:rPr>
      </w:pPr>
      <w:r>
        <w:rPr>
          <w:rFonts w:ascii="Times New Roman"/>
          <w:sz w:val="32"/>
          <w:szCs w:val="32"/>
        </w:rPr>
        <w:t>5.</w:t>
      </w:r>
      <w:r>
        <w:rPr>
          <w:rFonts w:hint="eastAsia" w:ascii="Times New Roman"/>
          <w:sz w:val="32"/>
          <w:szCs w:val="32"/>
        </w:rPr>
        <w:t>监督检查政法部门执行宪法、</w:t>
      </w:r>
      <w:r>
        <w:rPr>
          <w:rFonts w:hint="eastAsia" w:ascii="Times New Roman"/>
          <w:sz w:val="32"/>
          <w:szCs w:val="32"/>
          <w:lang w:eastAsia="zh-CN"/>
        </w:rPr>
        <w:t>法律法规</w:t>
      </w:r>
      <w:r>
        <w:rPr>
          <w:rFonts w:hint="eastAsia" w:ascii="Times New Roman"/>
          <w:sz w:val="32"/>
          <w:szCs w:val="32"/>
        </w:rPr>
        <w:t>和公正司法情况，研究制定严格执法、维护司法公正的具体措施。监督和支持政法各部门依法行使职权，指导和协调政法部门密切配合，研究和协调重大、疑难案件，推进严格执法、公正司法。</w:t>
      </w:r>
    </w:p>
    <w:p w14:paraId="43EE5754">
      <w:pPr>
        <w:pStyle w:val="7"/>
        <w:adjustRightInd w:val="0"/>
        <w:spacing w:beforeLines="0" w:line="560" w:lineRule="exact"/>
        <w:ind w:firstLine="672" w:firstLineChars="210"/>
        <w:rPr>
          <w:rFonts w:ascii="Times New Roman"/>
          <w:sz w:val="32"/>
          <w:szCs w:val="32"/>
        </w:rPr>
      </w:pPr>
      <w:r>
        <w:rPr>
          <w:rFonts w:ascii="Times New Roman"/>
          <w:sz w:val="32"/>
          <w:szCs w:val="32"/>
        </w:rPr>
        <w:t>6.</w:t>
      </w:r>
      <w:r>
        <w:rPr>
          <w:rFonts w:hint="eastAsia" w:ascii="Times New Roman"/>
          <w:sz w:val="32"/>
          <w:szCs w:val="32"/>
        </w:rPr>
        <w:t>指导推动政法系统党的建设和政法队伍建设，研究加强全县政法队伍建设的措施，协助县委、县委组织部考察、管理政法部门领导班子和领导干部，协助县委、县</w:t>
      </w:r>
      <w:r>
        <w:rPr>
          <w:rFonts w:hint="eastAsia" w:ascii="Times New Roman"/>
          <w:sz w:val="32"/>
          <w:szCs w:val="32"/>
          <w:lang w:eastAsia="zh-CN"/>
        </w:rPr>
        <w:t>纪检监察机关</w:t>
      </w:r>
      <w:r>
        <w:rPr>
          <w:rFonts w:hint="eastAsia" w:ascii="Times New Roman"/>
          <w:sz w:val="32"/>
          <w:szCs w:val="32"/>
        </w:rPr>
        <w:t>做好监督检查和审查调查工作。代管盐边县法学会。</w:t>
      </w:r>
    </w:p>
    <w:p w14:paraId="52AAE75E">
      <w:pPr>
        <w:pStyle w:val="7"/>
        <w:adjustRightInd w:val="0"/>
        <w:spacing w:beforeLines="0" w:line="560" w:lineRule="exact"/>
        <w:ind w:firstLine="672" w:firstLineChars="210"/>
        <w:rPr>
          <w:rFonts w:ascii="Times New Roman"/>
          <w:sz w:val="32"/>
          <w:szCs w:val="32"/>
        </w:rPr>
      </w:pPr>
      <w:r>
        <w:rPr>
          <w:rFonts w:ascii="Times New Roman"/>
          <w:sz w:val="32"/>
          <w:szCs w:val="32"/>
        </w:rPr>
        <w:t>7.</w:t>
      </w:r>
      <w:r>
        <w:rPr>
          <w:rFonts w:hint="eastAsia" w:ascii="Times New Roman"/>
          <w:sz w:val="32"/>
          <w:szCs w:val="32"/>
        </w:rPr>
        <w:t>承担全县社会治安综合治理工作的调查分析、组织协调和监督检查，协调推动各项综治工作措施的落实。</w:t>
      </w:r>
    </w:p>
    <w:p w14:paraId="6210EB13">
      <w:pPr>
        <w:pStyle w:val="7"/>
        <w:adjustRightInd w:val="0"/>
        <w:spacing w:beforeLines="0" w:line="560" w:lineRule="exact"/>
        <w:ind w:firstLine="672" w:firstLineChars="210"/>
        <w:rPr>
          <w:rFonts w:ascii="Times New Roman"/>
          <w:sz w:val="32"/>
          <w:szCs w:val="32"/>
        </w:rPr>
      </w:pPr>
      <w:r>
        <w:rPr>
          <w:rFonts w:ascii="Times New Roman"/>
          <w:sz w:val="32"/>
          <w:szCs w:val="32"/>
        </w:rPr>
        <w:t>8.</w:t>
      </w:r>
      <w:r>
        <w:rPr>
          <w:rFonts w:hint="eastAsia" w:ascii="Times New Roman"/>
          <w:sz w:val="32"/>
          <w:szCs w:val="32"/>
        </w:rPr>
        <w:t>指导全县维护社会稳定工作。协调推动相关部门做好反邪教工作。</w:t>
      </w:r>
    </w:p>
    <w:p w14:paraId="0A3F98ED">
      <w:pPr>
        <w:pStyle w:val="7"/>
        <w:adjustRightInd w:val="0"/>
        <w:spacing w:beforeLines="0" w:line="560" w:lineRule="exact"/>
        <w:ind w:firstLine="672" w:firstLineChars="210"/>
        <w:rPr>
          <w:rFonts w:ascii="Times New Roman"/>
          <w:sz w:val="32"/>
          <w:szCs w:val="32"/>
        </w:rPr>
      </w:pPr>
      <w:r>
        <w:rPr>
          <w:rFonts w:ascii="Times New Roman"/>
          <w:sz w:val="32"/>
          <w:szCs w:val="32"/>
        </w:rPr>
        <w:t>9.</w:t>
      </w:r>
      <w:r>
        <w:rPr>
          <w:rFonts w:hint="eastAsia" w:ascii="Times New Roman"/>
          <w:sz w:val="32"/>
          <w:szCs w:val="32"/>
        </w:rPr>
        <w:t>完成县委政法委三定规定中明确的其他工作职责。</w:t>
      </w:r>
    </w:p>
    <w:p w14:paraId="2963D437">
      <w:pPr>
        <w:pStyle w:val="7"/>
        <w:adjustRightInd w:val="0"/>
        <w:spacing w:beforeLines="0" w:line="560" w:lineRule="exact"/>
        <w:ind w:firstLine="672" w:firstLineChars="210"/>
      </w:pPr>
      <w:r>
        <w:rPr>
          <w:rFonts w:ascii="Times New Roman"/>
          <w:sz w:val="32"/>
          <w:szCs w:val="32"/>
        </w:rPr>
        <w:t>10.</w:t>
      </w:r>
      <w:r>
        <w:rPr>
          <w:rFonts w:hint="eastAsia" w:ascii="Times New Roman"/>
          <w:sz w:val="32"/>
          <w:szCs w:val="32"/>
        </w:rPr>
        <w:t>完成县委交办的其他任务。</w:t>
      </w:r>
    </w:p>
    <w:p w14:paraId="2C3CC444">
      <w:pPr>
        <w:pStyle w:val="4"/>
        <w:rPr>
          <w:rFonts w:ascii="黑体" w:hAnsi="黑体" w:eastAsia="黑体"/>
          <w:b w:val="0"/>
        </w:rPr>
      </w:pPr>
      <w:bookmarkStart w:id="51" w:name="_Toc3891_WPSOffice_Level2"/>
      <w:bookmarkStart w:id="52" w:name="_Toc5553_WPSOffice_Level2"/>
      <w:r>
        <w:rPr>
          <w:rFonts w:hint="eastAsia" w:ascii="黑体" w:hAnsi="黑体" w:eastAsia="黑体"/>
          <w:b w:val="0"/>
        </w:rPr>
        <w:t>二、2021年重点工作完成情况</w:t>
      </w:r>
      <w:bookmarkEnd w:id="51"/>
      <w:bookmarkEnd w:id="52"/>
    </w:p>
    <w:p w14:paraId="763990E3">
      <w:pPr>
        <w:ind w:firstLine="643" w:firstLineChars="200"/>
        <w:rPr>
          <w:rFonts w:eastAsia="仿宋_GB2312"/>
          <w:b/>
          <w:sz w:val="32"/>
          <w:szCs w:val="32"/>
        </w:rPr>
      </w:pPr>
      <w:r>
        <w:rPr>
          <w:rFonts w:eastAsia="仿宋_GB2312"/>
          <w:b/>
          <w:sz w:val="32"/>
          <w:szCs w:val="32"/>
        </w:rPr>
        <w:t>（一）始终保持政治定力，确保政法工作沿着正确方向前进</w:t>
      </w:r>
    </w:p>
    <w:p w14:paraId="3533126E">
      <w:pPr>
        <w:ind w:firstLine="640" w:firstLineChars="200"/>
        <w:rPr>
          <w:rFonts w:eastAsia="仿宋_GB2312"/>
          <w:sz w:val="32"/>
          <w:szCs w:val="32"/>
        </w:rPr>
      </w:pPr>
      <w:r>
        <w:rPr>
          <w:rFonts w:eastAsia="仿宋_GB2312"/>
          <w:sz w:val="32"/>
          <w:szCs w:val="32"/>
        </w:rPr>
        <w:t>全县政法各部门始终把党的绝对领导作为新时代政法工作的根本保证，树牢“四个意识”</w:t>
      </w:r>
      <w:r>
        <w:rPr>
          <w:rFonts w:hint="eastAsia" w:eastAsia="仿宋_GB2312"/>
          <w:sz w:val="32"/>
          <w:szCs w:val="32"/>
          <w:lang w:eastAsia="zh-CN"/>
        </w:rPr>
        <w:t>、</w:t>
      </w:r>
      <w:r>
        <w:rPr>
          <w:rFonts w:eastAsia="仿宋_GB2312"/>
          <w:sz w:val="32"/>
          <w:szCs w:val="32"/>
        </w:rPr>
        <w:t>坚定“四个自信”</w:t>
      </w:r>
      <w:r>
        <w:rPr>
          <w:rFonts w:hint="eastAsia" w:eastAsia="仿宋_GB2312"/>
          <w:sz w:val="32"/>
          <w:szCs w:val="32"/>
          <w:lang w:eastAsia="zh-CN"/>
        </w:rPr>
        <w:t>、</w:t>
      </w:r>
      <w:r>
        <w:rPr>
          <w:rFonts w:eastAsia="仿宋_GB2312"/>
          <w:sz w:val="32"/>
          <w:szCs w:val="32"/>
        </w:rPr>
        <w:t>坚决做到“两个维护”，切实把党的路线方针政策贯彻到政治、思想、组织等各方面，落实到决策、执行、监督等各环节，确保党的绝对领导贯彻到政法工作全过程各方面。通过政法队伍教育整顿和党史学习教育，进一步强化《中国共产党政法工作条例》的学习和融会贯通，切实把</w:t>
      </w:r>
      <w:r>
        <w:rPr>
          <w:rFonts w:hint="eastAsia" w:eastAsia="仿宋_GB2312"/>
          <w:sz w:val="32"/>
          <w:szCs w:val="32"/>
          <w:lang w:eastAsia="zh-CN"/>
        </w:rPr>
        <w:t>增强“四个意识”、坚定“四个自信”、做到“两个维护”</w:t>
      </w:r>
      <w:r>
        <w:rPr>
          <w:rFonts w:eastAsia="仿宋_GB2312"/>
          <w:sz w:val="32"/>
          <w:szCs w:val="32"/>
        </w:rPr>
        <w:t>体现到工作实践中，确保绝对忠诚、绝对纯洁、绝对可靠的政治本色。</w:t>
      </w:r>
    </w:p>
    <w:p w14:paraId="7D79D918">
      <w:pPr>
        <w:ind w:firstLine="643" w:firstLineChars="200"/>
        <w:rPr>
          <w:rFonts w:eastAsia="仿宋_GB2312"/>
          <w:b/>
          <w:sz w:val="32"/>
          <w:szCs w:val="32"/>
        </w:rPr>
      </w:pPr>
      <w:r>
        <w:rPr>
          <w:rFonts w:eastAsia="仿宋_GB2312"/>
          <w:b/>
          <w:sz w:val="32"/>
          <w:szCs w:val="32"/>
        </w:rPr>
        <w:t>（二）始终忠诚履职尽责，扎实做好国家安全和社会稳定工作</w:t>
      </w:r>
    </w:p>
    <w:p w14:paraId="4013EC1E">
      <w:pPr>
        <w:ind w:firstLine="640" w:firstLineChars="200"/>
        <w:rPr>
          <w:rFonts w:eastAsia="仿宋_GB2312"/>
          <w:sz w:val="32"/>
          <w:szCs w:val="32"/>
        </w:rPr>
      </w:pPr>
      <w:r>
        <w:rPr>
          <w:rFonts w:eastAsia="仿宋_GB2312"/>
          <w:sz w:val="32"/>
          <w:szCs w:val="32"/>
        </w:rPr>
        <w:t>县委政法委把防控风险、服务发展摆在更加突出的地位，着力增强工作预见性、主动性，破解难题、补齐短板。一是坚守政治安全底线。坚持问题导向和底线思维，牢固树立总体国家安全观，进一步加强国家安全人民防线建设，建立起县、乡（镇）两级国家安全人民防线建设体系。二是强化源头防范。着力开展涉稳矛盾问题排查和涉稳重点人员的包案化解稳控工作，2021年在全县范围内开展了5次影响社会稳定风险排查，</w:t>
      </w:r>
      <w:r>
        <w:rPr>
          <w:rFonts w:hint="eastAsia" w:eastAsia="仿宋_GB2312"/>
          <w:sz w:val="32"/>
          <w:szCs w:val="32"/>
          <w:lang w:eastAsia="zh-CN"/>
        </w:rPr>
        <w:t>分别</w:t>
      </w:r>
      <w:r>
        <w:rPr>
          <w:rFonts w:eastAsia="仿宋_GB2312"/>
          <w:sz w:val="32"/>
          <w:szCs w:val="32"/>
        </w:rPr>
        <w:t>建立问题台账，落实了重点人员和稳控责任人，确保敏感节点和谐稳定。三是加强信息沟通。统筹各级各部门力量全面做好 “两节”期间、疫情防控、全国全省两会等敏感节点、重要时段、重大会议的安保维稳工作。四是深入开展风险评估。指导涉事部门开展重大事项社会稳定风险评估40余件，有效防止了因事前风险预判不到位导致的涉稳事件，有效维护了全县社会大局的和谐稳定。</w:t>
      </w:r>
    </w:p>
    <w:p w14:paraId="7BC9EC68">
      <w:pPr>
        <w:ind w:firstLine="643" w:firstLineChars="200"/>
        <w:rPr>
          <w:rFonts w:eastAsia="仿宋_GB2312"/>
          <w:b/>
          <w:sz w:val="32"/>
          <w:szCs w:val="32"/>
        </w:rPr>
      </w:pPr>
      <w:r>
        <w:rPr>
          <w:rFonts w:eastAsia="仿宋_GB2312"/>
          <w:b/>
          <w:sz w:val="32"/>
          <w:szCs w:val="32"/>
        </w:rPr>
        <w:t>（三）始终坚定深化改革，提高护航振兴发展的能力水平</w:t>
      </w:r>
    </w:p>
    <w:p w14:paraId="551DC9AB">
      <w:pPr>
        <w:ind w:firstLine="640" w:firstLineChars="200"/>
        <w:rPr>
          <w:rFonts w:eastAsia="仿宋_GB2312"/>
          <w:sz w:val="32"/>
          <w:szCs w:val="32"/>
        </w:rPr>
      </w:pPr>
      <w:r>
        <w:rPr>
          <w:rFonts w:hint="eastAsia" w:eastAsia="仿宋_GB2312"/>
          <w:sz w:val="32"/>
          <w:szCs w:val="32"/>
        </w:rPr>
        <w:t>县委政法委</w:t>
      </w:r>
      <w:r>
        <w:rPr>
          <w:rFonts w:eastAsia="仿宋_GB2312"/>
          <w:sz w:val="32"/>
          <w:szCs w:val="32"/>
        </w:rPr>
        <w:t>站在更高起点，推动改革取得突破性进展，进一步提高政法机关执法司法规范化水平和服务能力。一是在深化司法体制改革上下功夫。进一步优化政法机关职权配置，配齐配强政法部门班子成员，规范乡镇政法委员管理，全面落实司法责任制，加强执法司法规范化建设，完善权力运行监督和制约机制，坚决防止执法不严、司法不公甚至执法犯法、司法腐败。二是在“我为群众办实事”上下功夫。坚持将政法队伍教育整顿工作与为民办实事、服务中心大局等工作结合起来，全力抓好教育整顿成果转化。县法院建成24小时自助法院，建成以来实现自助立案16件，提供“不见面”收取件20件次。县检察院筹措资金300余万元，建成了盐边县青少年禁毒防艾法治教育实践基地和“一站式”服务工作区。三是在创新社会治理上下功夫。坚持发展新时代“枫桥经验”，完善社会治理体系，深入推进社区治理创新，创新基层治理工作方式方法，从源头上预防减少矛盾纠纷,构建富有活力和效率的新型基层社会治理体系，打造具有盐边特色的鲜活样板。共建成县乡村三级综治中心101个，雪亮工程前端摄像头810余个，整合社会资源探头1390余个，共调解矛盾纠纷2363件，调解成功2357件，调解成功率达99.75%。</w:t>
      </w:r>
    </w:p>
    <w:p w14:paraId="0CCDF8F6">
      <w:pPr>
        <w:ind w:firstLine="643" w:firstLineChars="200"/>
        <w:rPr>
          <w:rFonts w:eastAsia="仿宋_GB2312"/>
          <w:b/>
          <w:sz w:val="32"/>
          <w:szCs w:val="32"/>
        </w:rPr>
      </w:pPr>
      <w:r>
        <w:rPr>
          <w:rFonts w:eastAsia="仿宋_GB2312"/>
          <w:b/>
          <w:sz w:val="32"/>
          <w:szCs w:val="32"/>
        </w:rPr>
        <w:t>（四）始终恪守职责使命，扛稳全面从严治党主体责任</w:t>
      </w:r>
    </w:p>
    <w:p w14:paraId="49889E39">
      <w:pPr>
        <w:ind w:firstLine="640" w:firstLineChars="200"/>
      </w:pPr>
      <w:r>
        <w:rPr>
          <w:rFonts w:eastAsia="仿宋_GB2312"/>
          <w:sz w:val="32"/>
          <w:szCs w:val="32"/>
        </w:rPr>
        <w:t>自政法队伍教育整顿开展以来，盐边政法队伍始终坚持以习近平新时代中国特色社会主义思想为指导，深入贯彻习近平总书记“七一”重要讲话精神和关于加强政法队伍建设的</w:t>
      </w:r>
      <w:r>
        <w:rPr>
          <w:rFonts w:hint="eastAsia" w:eastAsia="仿宋_GB2312"/>
          <w:sz w:val="32"/>
          <w:szCs w:val="32"/>
          <w:lang w:eastAsia="zh-CN"/>
        </w:rPr>
        <w:t>重要指示批示精神</w:t>
      </w:r>
      <w:r>
        <w:rPr>
          <w:rFonts w:eastAsia="仿宋_GB2312"/>
          <w:sz w:val="32"/>
          <w:szCs w:val="32"/>
        </w:rPr>
        <w:t>、训词精神，严格按照中央和省委、市委、县委工作部署，以高度的政治自觉、思想自觉和行动自觉紧紧围绕“五个过硬”要求，突出“四项任务”，抓好“三个环节”，高站位谋篇布局，高标准统筹推进政法队伍第一批教育整顿走深走实。全县政法干警聚焦思想提升、做深做细学习教育，敢于动真碰硬、抓牢抓实查纠整改，深入学习贯彻全国、全省第二批政法队伍教育整顿推进会、主任会精神，强化第一批、第二批教育整顿融合推进，加强教育整顿成果巩固，扎实开展“回头看”工作，稳步推进肃清流毒影响专项活动，进一步加强政法干部队伍</w:t>
      </w:r>
      <w:r>
        <w:rPr>
          <w:rFonts w:hint="eastAsia" w:eastAsia="仿宋_GB2312"/>
          <w:sz w:val="32"/>
          <w:szCs w:val="32"/>
          <w:lang w:eastAsia="zh-CN"/>
        </w:rPr>
        <w:t>建设，</w:t>
      </w:r>
      <w:r>
        <w:rPr>
          <w:rFonts w:eastAsia="仿宋_GB2312"/>
          <w:sz w:val="32"/>
          <w:szCs w:val="32"/>
        </w:rPr>
        <w:t>教育整顿以来政法部门调整班子成员4人，提拔2人。</w:t>
      </w:r>
    </w:p>
    <w:p w14:paraId="46EBD4BA">
      <w:pPr>
        <w:pStyle w:val="4"/>
        <w:rPr>
          <w:rStyle w:val="30"/>
          <w:b w:val="0"/>
          <w:bCs w:val="0"/>
        </w:rPr>
      </w:pPr>
      <w:bookmarkStart w:id="53" w:name="_Toc15377200"/>
      <w:bookmarkStart w:id="54" w:name="_Toc826_WPSOffice_Level2"/>
      <w:bookmarkStart w:id="55" w:name="_Toc15396601"/>
      <w:r>
        <w:rPr>
          <w:rFonts w:hint="eastAsia" w:ascii="黑体" w:eastAsia="黑体"/>
          <w:b w:val="0"/>
        </w:rPr>
        <w:t>二、</w:t>
      </w:r>
      <w:r>
        <w:rPr>
          <w:rFonts w:hint="eastAsia" w:ascii="黑体" w:hAnsi="黑体" w:eastAsia="黑体"/>
          <w:b w:val="0"/>
        </w:rPr>
        <w:t>机</w:t>
      </w:r>
      <w:r>
        <w:rPr>
          <w:rStyle w:val="30"/>
          <w:rFonts w:hint="eastAsia" w:ascii="黑体" w:hAnsi="黑体" w:eastAsia="黑体"/>
          <w:b w:val="0"/>
          <w:bCs w:val="0"/>
        </w:rPr>
        <w:t>构设置</w:t>
      </w:r>
      <w:bookmarkEnd w:id="53"/>
      <w:bookmarkEnd w:id="54"/>
      <w:bookmarkEnd w:id="55"/>
    </w:p>
    <w:p w14:paraId="208669C5">
      <w:pPr>
        <w:pStyle w:val="7"/>
        <w:adjustRightInd w:val="0"/>
        <w:spacing w:beforeLines="0" w:line="560" w:lineRule="exact"/>
        <w:ind w:firstLine="672" w:firstLineChars="210"/>
        <w:rPr>
          <w:rFonts w:ascii="Times New Roman"/>
          <w:sz w:val="32"/>
          <w:szCs w:val="32"/>
        </w:rPr>
      </w:pPr>
      <w:r>
        <w:rPr>
          <w:rFonts w:hint="eastAsia" w:ascii="Times New Roman"/>
          <w:sz w:val="32"/>
          <w:szCs w:val="32"/>
        </w:rPr>
        <w:t>中共盐边县委政法委员会下属非独立核算单位</w:t>
      </w:r>
      <w:r>
        <w:rPr>
          <w:rFonts w:ascii="Times New Roman"/>
          <w:sz w:val="32"/>
          <w:szCs w:val="32"/>
        </w:rPr>
        <w:t>1</w:t>
      </w:r>
      <w:r>
        <w:rPr>
          <w:rFonts w:hint="eastAsia" w:ascii="Times New Roman"/>
          <w:sz w:val="32"/>
          <w:szCs w:val="32"/>
        </w:rPr>
        <w:t>个，其中其他事业单位</w:t>
      </w:r>
      <w:r>
        <w:rPr>
          <w:rFonts w:ascii="Times New Roman"/>
          <w:sz w:val="32"/>
          <w:szCs w:val="32"/>
        </w:rPr>
        <w:t>1</w:t>
      </w:r>
      <w:r>
        <w:rPr>
          <w:rFonts w:hint="eastAsia" w:ascii="Times New Roman"/>
          <w:sz w:val="32"/>
          <w:szCs w:val="32"/>
        </w:rPr>
        <w:t>个。主要包括：盐边县社会治安综合治理中心。</w:t>
      </w:r>
    </w:p>
    <w:p w14:paraId="3858809B">
      <w:pPr>
        <w:widowControl/>
        <w:jc w:val="left"/>
        <w:rPr>
          <w:rFonts w:ascii="仿宋" w:hAnsi="仿宋" w:eastAsia="仿宋"/>
          <w:kern w:val="0"/>
          <w:sz w:val="32"/>
          <w:szCs w:val="32"/>
        </w:rPr>
      </w:pPr>
      <w:r>
        <w:rPr>
          <w:rFonts w:ascii="仿宋" w:hAnsi="仿宋" w:eastAsia="仿宋"/>
          <w:sz w:val="32"/>
          <w:szCs w:val="32"/>
        </w:rPr>
        <w:br w:type="page"/>
      </w:r>
    </w:p>
    <w:p w14:paraId="02EA5C76">
      <w:pPr>
        <w:pStyle w:val="3"/>
        <w:ind w:right="440"/>
        <w:jc w:val="center"/>
        <w:rPr>
          <w:rStyle w:val="29"/>
          <w:rFonts w:ascii="黑体" w:hAnsi="黑体" w:eastAsia="黑体"/>
          <w:b w:val="0"/>
          <w:bCs/>
        </w:rPr>
      </w:pPr>
      <w:bookmarkStart w:id="56" w:name="_Toc15377204"/>
      <w:bookmarkStart w:id="57" w:name="_Toc15043_WPSOffice_Level1"/>
      <w:bookmarkStart w:id="58" w:name="_Toc15396602"/>
      <w:r>
        <w:rPr>
          <w:rFonts w:hint="eastAsia" w:ascii="黑体" w:hAnsi="黑体" w:eastAsia="黑体"/>
          <w:b w:val="0"/>
        </w:rPr>
        <w:t>第二部分 2021年度</w:t>
      </w:r>
      <w:r>
        <w:rPr>
          <w:rStyle w:val="29"/>
          <w:rFonts w:hint="eastAsia" w:ascii="黑体" w:hAnsi="黑体" w:eastAsia="黑体"/>
          <w:b w:val="0"/>
          <w:bCs/>
        </w:rPr>
        <w:t>部门决算情况说明</w:t>
      </w:r>
      <w:bookmarkEnd w:id="56"/>
      <w:bookmarkEnd w:id="57"/>
      <w:bookmarkEnd w:id="58"/>
    </w:p>
    <w:p w14:paraId="72BF6CBA"/>
    <w:p w14:paraId="6A4BE840">
      <w:pPr>
        <w:pStyle w:val="28"/>
        <w:numPr>
          <w:ilvl w:val="0"/>
          <w:numId w:val="1"/>
        </w:numPr>
        <w:spacing w:line="600" w:lineRule="exact"/>
        <w:ind w:firstLineChars="0"/>
        <w:outlineLvl w:val="1"/>
        <w:rPr>
          <w:rStyle w:val="30"/>
          <w:rFonts w:ascii="黑体" w:hAnsi="黑体" w:eastAsia="黑体"/>
          <w:b w:val="0"/>
        </w:rPr>
      </w:pPr>
      <w:bookmarkStart w:id="59" w:name="_Toc31509_WPSOffice_Level2"/>
      <w:bookmarkStart w:id="60" w:name="_Toc15396603"/>
      <w:bookmarkStart w:id="61" w:name="_Toc15377205"/>
      <w:bookmarkStart w:id="62" w:name="_Toc31820_WPSOffice_Level2"/>
      <w:r>
        <w:rPr>
          <w:rFonts w:hint="eastAsia" w:ascii="黑体" w:hAnsi="黑体" w:eastAsia="黑体"/>
          <w:sz w:val="32"/>
          <w:szCs w:val="32"/>
        </w:rPr>
        <w:t>收</w:t>
      </w:r>
      <w:r>
        <w:rPr>
          <w:rStyle w:val="30"/>
          <w:rFonts w:hint="eastAsia" w:ascii="黑体" w:hAnsi="黑体" w:eastAsia="黑体"/>
          <w:b w:val="0"/>
        </w:rPr>
        <w:t>入支出决算总体情况说明</w:t>
      </w:r>
      <w:bookmarkEnd w:id="59"/>
      <w:bookmarkEnd w:id="60"/>
      <w:bookmarkEnd w:id="61"/>
      <w:bookmarkEnd w:id="62"/>
    </w:p>
    <w:p w14:paraId="546DF656">
      <w:pPr>
        <w:spacing w:line="600" w:lineRule="exact"/>
        <w:ind w:firstLine="640" w:firstLineChars="200"/>
        <w:rPr>
          <w:rFonts w:ascii="仿宋" w:hAnsi="仿宋" w:eastAsia="仿宋"/>
          <w:sz w:val="32"/>
          <w:szCs w:val="32"/>
        </w:rPr>
      </w:pPr>
      <w:r>
        <w:rPr>
          <w:rFonts w:hint="eastAsia" w:ascii="仿宋" w:hAnsi="仿宋" w:eastAsia="仿宋"/>
          <w:sz w:val="32"/>
          <w:szCs w:val="32"/>
        </w:rPr>
        <w:t>2021年度收、支总计490.93万元。与2020年相比，收、支总计减少21.15万元，下降4.31</w:t>
      </w:r>
      <w:r>
        <w:rPr>
          <w:rFonts w:ascii="仿宋" w:hAnsi="仿宋" w:eastAsia="仿宋"/>
          <w:sz w:val="32"/>
          <w:szCs w:val="32"/>
        </w:rPr>
        <w:t>%</w:t>
      </w:r>
      <w:r>
        <w:rPr>
          <w:rFonts w:hint="eastAsia" w:ascii="仿宋" w:hAnsi="仿宋" w:eastAsia="仿宋"/>
          <w:sz w:val="32"/>
          <w:szCs w:val="32"/>
        </w:rPr>
        <w:t>。主要变动原因是项目支出减少。</w:t>
      </w:r>
    </w:p>
    <w:p w14:paraId="24FC00BF">
      <w:pPr>
        <w:spacing w:line="600" w:lineRule="exact"/>
        <w:ind w:firstLine="640" w:firstLineChars="200"/>
        <w:jc w:val="left"/>
        <w:rPr>
          <w:rFonts w:ascii="仿宋_GB2312" w:eastAsia="仿宋_GB2312"/>
          <w:sz w:val="32"/>
          <w:szCs w:val="32"/>
        </w:rPr>
      </w:pPr>
    </w:p>
    <w:p w14:paraId="059D574E">
      <w:pPr>
        <w:pStyle w:val="2"/>
        <w:rPr>
          <w:rFonts w:ascii="仿宋_GB2312" w:eastAsia="仿宋_GB2312"/>
          <w:sz w:val="32"/>
          <w:szCs w:val="32"/>
        </w:rPr>
      </w:pPr>
      <w:r>
        <w:drawing>
          <wp:inline distT="0" distB="0" distL="114300" distR="114300">
            <wp:extent cx="5273040" cy="3050540"/>
            <wp:effectExtent l="4445" t="4445" r="18415" b="12065"/>
            <wp:docPr id="3138"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3134DBC0">
      <w:pPr>
        <w:pStyle w:val="2"/>
      </w:pPr>
    </w:p>
    <w:p w14:paraId="303A1B99">
      <w:pPr>
        <w:pStyle w:val="28"/>
        <w:numPr>
          <w:ilvl w:val="0"/>
          <w:numId w:val="1"/>
        </w:numPr>
        <w:spacing w:line="600" w:lineRule="exact"/>
        <w:ind w:firstLineChars="0"/>
        <w:outlineLvl w:val="1"/>
        <w:rPr>
          <w:rStyle w:val="30"/>
          <w:rFonts w:ascii="黑体" w:hAnsi="黑体" w:eastAsia="黑体"/>
          <w:b w:val="0"/>
        </w:rPr>
      </w:pPr>
      <w:bookmarkStart w:id="63" w:name="_Toc15396604"/>
      <w:bookmarkStart w:id="64" w:name="_Toc6370_WPSOffice_Level2"/>
      <w:bookmarkStart w:id="65" w:name="_Toc15377206"/>
      <w:bookmarkStart w:id="66" w:name="_Toc22036_WPSOffice_Level2"/>
      <w:r>
        <w:rPr>
          <w:rFonts w:hint="eastAsia" w:ascii="黑体" w:hAnsi="黑体" w:eastAsia="黑体"/>
          <w:sz w:val="32"/>
          <w:szCs w:val="32"/>
        </w:rPr>
        <w:t>收</w:t>
      </w:r>
      <w:r>
        <w:rPr>
          <w:rStyle w:val="30"/>
          <w:rFonts w:hint="eastAsia" w:ascii="黑体" w:hAnsi="黑体" w:eastAsia="黑体"/>
          <w:b w:val="0"/>
        </w:rPr>
        <w:t>入决算情况说明</w:t>
      </w:r>
      <w:bookmarkEnd w:id="63"/>
      <w:bookmarkEnd w:id="64"/>
      <w:bookmarkEnd w:id="65"/>
      <w:bookmarkEnd w:id="66"/>
    </w:p>
    <w:p w14:paraId="2F3AD085">
      <w:pPr>
        <w:spacing w:line="600" w:lineRule="exact"/>
        <w:ind w:firstLine="640" w:firstLineChars="200"/>
        <w:outlineLvl w:val="1"/>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21年本年收入合计488.96万元，其中：一般公共预算财政拨款收入488.96万元，占100</w:t>
      </w:r>
      <w:r>
        <w:rPr>
          <w:rFonts w:ascii="仿宋" w:hAnsi="仿宋" w:eastAsia="仿宋"/>
          <w:sz w:val="32"/>
          <w:szCs w:val="32"/>
        </w:rPr>
        <w:t>%</w:t>
      </w:r>
      <w:r>
        <w:rPr>
          <w:rFonts w:hint="eastAsia" w:ascii="仿宋" w:hAnsi="仿宋" w:eastAsia="仿宋"/>
          <w:sz w:val="32"/>
          <w:szCs w:val="32"/>
        </w:rPr>
        <w:t>；政府性基金预算财政拨款收入0万元，占0</w:t>
      </w:r>
      <w:r>
        <w:rPr>
          <w:rFonts w:ascii="仿宋" w:hAnsi="仿宋" w:eastAsia="仿宋"/>
          <w:sz w:val="32"/>
          <w:szCs w:val="32"/>
        </w:rPr>
        <w:t>%</w:t>
      </w:r>
      <w:r>
        <w:rPr>
          <w:rFonts w:hint="eastAsia" w:ascii="仿宋" w:hAnsi="仿宋" w:eastAsia="仿宋"/>
          <w:sz w:val="32"/>
          <w:szCs w:val="32"/>
        </w:rPr>
        <w:t>；国有资本经营预算财政拨款收入0万元，占0</w:t>
      </w:r>
      <w:r>
        <w:rPr>
          <w:rFonts w:ascii="仿宋" w:hAnsi="仿宋" w:eastAsia="仿宋"/>
          <w:sz w:val="32"/>
          <w:szCs w:val="32"/>
        </w:rPr>
        <w:t>%</w:t>
      </w:r>
      <w:r>
        <w:rPr>
          <w:rFonts w:hint="eastAsia" w:ascii="仿宋" w:hAnsi="仿宋" w:eastAsia="仿宋"/>
          <w:sz w:val="32"/>
          <w:szCs w:val="32"/>
        </w:rPr>
        <w:t>；上级补助收入0万元，占0</w:t>
      </w:r>
      <w:r>
        <w:rPr>
          <w:rFonts w:ascii="仿宋" w:hAnsi="仿宋" w:eastAsia="仿宋"/>
          <w:sz w:val="32"/>
          <w:szCs w:val="32"/>
        </w:rPr>
        <w:t>%</w:t>
      </w:r>
      <w:r>
        <w:rPr>
          <w:rFonts w:hint="eastAsia" w:ascii="仿宋" w:hAnsi="仿宋" w:eastAsia="仿宋"/>
          <w:sz w:val="32"/>
          <w:szCs w:val="32"/>
        </w:rPr>
        <w:t>；事业收入0万元，占0</w:t>
      </w:r>
      <w:r>
        <w:rPr>
          <w:rFonts w:ascii="仿宋" w:hAnsi="仿宋" w:eastAsia="仿宋"/>
          <w:sz w:val="32"/>
          <w:szCs w:val="32"/>
        </w:rPr>
        <w:t>%</w:t>
      </w:r>
      <w:r>
        <w:rPr>
          <w:rFonts w:hint="eastAsia" w:ascii="仿宋" w:hAnsi="仿宋" w:eastAsia="仿宋"/>
          <w:sz w:val="32"/>
          <w:szCs w:val="32"/>
        </w:rPr>
        <w:t>；经营收入0万元，占0</w:t>
      </w:r>
      <w:r>
        <w:rPr>
          <w:rFonts w:ascii="仿宋" w:hAnsi="仿宋" w:eastAsia="仿宋"/>
          <w:sz w:val="32"/>
          <w:szCs w:val="32"/>
        </w:rPr>
        <w:t>%</w:t>
      </w:r>
      <w:r>
        <w:rPr>
          <w:rFonts w:hint="eastAsia" w:ascii="仿宋" w:hAnsi="仿宋" w:eastAsia="仿宋"/>
          <w:sz w:val="32"/>
          <w:szCs w:val="32"/>
        </w:rPr>
        <w:t>；附属单位上缴收入0万元，占0</w:t>
      </w:r>
      <w:r>
        <w:rPr>
          <w:rFonts w:ascii="仿宋" w:hAnsi="仿宋" w:eastAsia="仿宋"/>
          <w:sz w:val="32"/>
          <w:szCs w:val="32"/>
        </w:rPr>
        <w:t>%</w:t>
      </w:r>
      <w:r>
        <w:rPr>
          <w:rFonts w:hint="eastAsia" w:ascii="仿宋" w:hAnsi="仿宋" w:eastAsia="仿宋"/>
          <w:sz w:val="32"/>
          <w:szCs w:val="32"/>
        </w:rPr>
        <w:t>；其他收入0万元，占0</w:t>
      </w:r>
      <w:r>
        <w:rPr>
          <w:rFonts w:ascii="仿宋" w:hAnsi="仿宋" w:eastAsia="仿宋"/>
          <w:sz w:val="32"/>
          <w:szCs w:val="32"/>
        </w:rPr>
        <w:t>%</w:t>
      </w:r>
      <w:r>
        <w:rPr>
          <w:rFonts w:hint="eastAsia" w:ascii="仿宋" w:hAnsi="仿宋" w:eastAsia="仿宋"/>
          <w:sz w:val="32"/>
          <w:szCs w:val="32"/>
        </w:rPr>
        <w:t>。</w:t>
      </w:r>
    </w:p>
    <w:p w14:paraId="10298BB8">
      <w:pPr>
        <w:spacing w:line="600" w:lineRule="exact"/>
        <w:rPr>
          <w:rFonts w:ascii="仿宋_GB2312" w:eastAsia="仿宋_GB2312"/>
          <w:sz w:val="32"/>
          <w:szCs w:val="32"/>
        </w:rPr>
      </w:pPr>
    </w:p>
    <w:p w14:paraId="0140E755">
      <w:pPr>
        <w:pStyle w:val="2"/>
        <w:rPr>
          <w:rFonts w:ascii="仿宋_GB2312" w:eastAsia="仿宋_GB2312"/>
          <w:sz w:val="32"/>
          <w:szCs w:val="32"/>
        </w:rPr>
      </w:pPr>
    </w:p>
    <w:p w14:paraId="5AE0B314">
      <w:pPr>
        <w:rPr>
          <w:rFonts w:ascii="仿宋_GB2312" w:eastAsia="仿宋_GB2312"/>
          <w:sz w:val="32"/>
          <w:szCs w:val="32"/>
        </w:rPr>
      </w:pPr>
    </w:p>
    <w:p w14:paraId="73D499EC">
      <w:pPr>
        <w:pStyle w:val="2"/>
        <w:rPr>
          <w:rFonts w:ascii="仿宋_GB2312" w:eastAsia="仿宋_GB2312"/>
          <w:sz w:val="32"/>
          <w:szCs w:val="32"/>
        </w:rPr>
      </w:pPr>
      <w:r>
        <w:drawing>
          <wp:inline distT="0" distB="0" distL="114300" distR="114300">
            <wp:extent cx="5271135" cy="2661285"/>
            <wp:effectExtent l="4445" t="4445" r="20320" b="20320"/>
            <wp:docPr id="3136"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4688F23F"/>
    <w:p w14:paraId="7F5F3880">
      <w:pPr>
        <w:pStyle w:val="28"/>
        <w:numPr>
          <w:ilvl w:val="0"/>
          <w:numId w:val="1"/>
        </w:numPr>
        <w:spacing w:line="600" w:lineRule="exact"/>
        <w:ind w:firstLineChars="0"/>
        <w:outlineLvl w:val="1"/>
        <w:rPr>
          <w:rStyle w:val="30"/>
          <w:rFonts w:ascii="黑体" w:hAnsi="黑体" w:eastAsia="黑体"/>
          <w:b w:val="0"/>
        </w:rPr>
      </w:pPr>
      <w:bookmarkStart w:id="67" w:name="_Toc15396605"/>
      <w:bookmarkStart w:id="68" w:name="_Toc27763_WPSOffice_Level2"/>
      <w:bookmarkStart w:id="69" w:name="_Toc380_WPSOffice_Level2"/>
      <w:bookmarkStart w:id="70" w:name="_Toc15377207"/>
      <w:r>
        <w:rPr>
          <w:rFonts w:hint="eastAsia" w:ascii="黑体" w:hAnsi="黑体" w:eastAsia="黑体"/>
          <w:sz w:val="32"/>
          <w:szCs w:val="32"/>
        </w:rPr>
        <w:t>支</w:t>
      </w:r>
      <w:r>
        <w:rPr>
          <w:rStyle w:val="30"/>
          <w:rFonts w:hint="eastAsia" w:ascii="黑体" w:hAnsi="黑体" w:eastAsia="黑体"/>
          <w:b w:val="0"/>
        </w:rPr>
        <w:t>出决算情况说明</w:t>
      </w:r>
      <w:bookmarkEnd w:id="67"/>
      <w:bookmarkEnd w:id="68"/>
      <w:bookmarkEnd w:id="69"/>
      <w:bookmarkEnd w:id="70"/>
    </w:p>
    <w:p w14:paraId="52DAD966">
      <w:pPr>
        <w:spacing w:line="600" w:lineRule="exact"/>
        <w:ind w:firstLine="640" w:firstLineChars="200"/>
        <w:outlineLvl w:val="1"/>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21年本年支出合计490.93万元，其中：基本支出321.80万元，占65.55</w:t>
      </w:r>
      <w:r>
        <w:rPr>
          <w:rFonts w:ascii="仿宋" w:hAnsi="仿宋" w:eastAsia="仿宋"/>
          <w:sz w:val="32"/>
          <w:szCs w:val="32"/>
        </w:rPr>
        <w:t>%</w:t>
      </w:r>
      <w:r>
        <w:rPr>
          <w:rFonts w:hint="eastAsia" w:ascii="仿宋" w:hAnsi="仿宋" w:eastAsia="仿宋"/>
          <w:sz w:val="32"/>
          <w:szCs w:val="32"/>
        </w:rPr>
        <w:t>；项目支出169.13万元，占34.45</w:t>
      </w:r>
      <w:r>
        <w:rPr>
          <w:rFonts w:ascii="仿宋" w:hAnsi="仿宋" w:eastAsia="仿宋"/>
          <w:sz w:val="32"/>
          <w:szCs w:val="32"/>
        </w:rPr>
        <w:t>%</w:t>
      </w:r>
      <w:r>
        <w:rPr>
          <w:rFonts w:hint="eastAsia" w:ascii="仿宋" w:hAnsi="仿宋" w:eastAsia="仿宋"/>
          <w:sz w:val="32"/>
          <w:szCs w:val="32"/>
        </w:rPr>
        <w:t>；上缴上级支出0万元，占0</w:t>
      </w:r>
      <w:r>
        <w:rPr>
          <w:rFonts w:ascii="仿宋" w:hAnsi="仿宋" w:eastAsia="仿宋"/>
          <w:sz w:val="32"/>
          <w:szCs w:val="32"/>
        </w:rPr>
        <w:t>%</w:t>
      </w:r>
      <w:r>
        <w:rPr>
          <w:rFonts w:hint="eastAsia" w:ascii="仿宋" w:hAnsi="仿宋" w:eastAsia="仿宋"/>
          <w:sz w:val="32"/>
          <w:szCs w:val="32"/>
        </w:rPr>
        <w:t>；经营支出0万元，占0</w:t>
      </w:r>
      <w:r>
        <w:rPr>
          <w:rFonts w:ascii="仿宋" w:hAnsi="仿宋" w:eastAsia="仿宋"/>
          <w:sz w:val="32"/>
          <w:szCs w:val="32"/>
        </w:rPr>
        <w:t>%</w:t>
      </w:r>
      <w:r>
        <w:rPr>
          <w:rFonts w:hint="eastAsia" w:ascii="仿宋" w:hAnsi="仿宋" w:eastAsia="仿宋"/>
          <w:sz w:val="32"/>
          <w:szCs w:val="32"/>
        </w:rPr>
        <w:t>；对附属单位补助支出0万元，占0</w:t>
      </w:r>
      <w:r>
        <w:rPr>
          <w:rFonts w:ascii="仿宋" w:hAnsi="仿宋" w:eastAsia="仿宋"/>
          <w:sz w:val="32"/>
          <w:szCs w:val="32"/>
        </w:rPr>
        <w:t>%</w:t>
      </w:r>
      <w:r>
        <w:rPr>
          <w:rFonts w:hint="eastAsia" w:ascii="仿宋" w:hAnsi="仿宋" w:eastAsia="仿宋"/>
          <w:sz w:val="32"/>
          <w:szCs w:val="32"/>
        </w:rPr>
        <w:t>。</w:t>
      </w:r>
    </w:p>
    <w:p w14:paraId="637A647D">
      <w:pPr>
        <w:spacing w:line="600" w:lineRule="exact"/>
        <w:ind w:firstLine="640" w:firstLineChars="200"/>
        <w:rPr>
          <w:rFonts w:ascii="仿宋_GB2312" w:eastAsia="仿宋_GB2312"/>
          <w:sz w:val="32"/>
          <w:szCs w:val="32"/>
        </w:rPr>
      </w:pPr>
    </w:p>
    <w:p w14:paraId="3CE3D05A">
      <w:pPr>
        <w:pStyle w:val="2"/>
        <w:rPr>
          <w:rFonts w:ascii="仿宋_GB2312" w:eastAsia="仿宋_GB2312"/>
          <w:sz w:val="32"/>
          <w:szCs w:val="32"/>
        </w:rPr>
      </w:pPr>
    </w:p>
    <w:p w14:paraId="4F7DE3F1">
      <w:pPr>
        <w:rPr>
          <w:rFonts w:ascii="仿宋_GB2312" w:eastAsia="仿宋_GB2312"/>
          <w:sz w:val="32"/>
          <w:szCs w:val="32"/>
        </w:rPr>
      </w:pPr>
    </w:p>
    <w:p w14:paraId="13D58EEA">
      <w:pPr>
        <w:pStyle w:val="2"/>
        <w:rPr>
          <w:rFonts w:ascii="仿宋_GB2312" w:eastAsia="仿宋_GB2312"/>
          <w:sz w:val="32"/>
          <w:szCs w:val="32"/>
        </w:rPr>
      </w:pPr>
    </w:p>
    <w:p w14:paraId="51FC8F10">
      <w:pPr>
        <w:rPr>
          <w:rFonts w:ascii="仿宋_GB2312" w:eastAsia="仿宋_GB2312"/>
          <w:sz w:val="32"/>
          <w:szCs w:val="32"/>
        </w:rPr>
      </w:pPr>
      <w:r>
        <w:drawing>
          <wp:inline distT="0" distB="0" distL="114300" distR="114300">
            <wp:extent cx="5272405" cy="2654300"/>
            <wp:effectExtent l="4445" t="4445" r="19050" b="8255"/>
            <wp:docPr id="3137"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4EBE209A">
      <w:pPr>
        <w:pStyle w:val="2"/>
      </w:pPr>
    </w:p>
    <w:p w14:paraId="2981D7EE">
      <w:pPr>
        <w:spacing w:line="600" w:lineRule="exact"/>
        <w:ind w:firstLine="640" w:firstLineChars="200"/>
        <w:outlineLvl w:val="1"/>
        <w:rPr>
          <w:rStyle w:val="30"/>
          <w:rFonts w:ascii="黑体" w:hAnsi="黑体" w:eastAsia="黑体"/>
          <w:b w:val="0"/>
        </w:rPr>
      </w:pPr>
      <w:bookmarkStart w:id="71" w:name="_Toc15396606"/>
      <w:bookmarkStart w:id="72" w:name="_Toc15834_WPSOffice_Level2"/>
      <w:bookmarkStart w:id="73" w:name="_Toc15377208"/>
      <w:bookmarkStart w:id="74" w:name="_Toc9755_WPSOffice_Level2"/>
      <w:r>
        <w:rPr>
          <w:rFonts w:hint="eastAsia" w:ascii="黑体" w:hAnsi="黑体" w:eastAsia="黑体"/>
          <w:sz w:val="32"/>
          <w:szCs w:val="32"/>
        </w:rPr>
        <w:t>四、财</w:t>
      </w:r>
      <w:r>
        <w:rPr>
          <w:rStyle w:val="30"/>
          <w:rFonts w:hint="eastAsia" w:ascii="黑体" w:hAnsi="黑体" w:eastAsia="黑体"/>
          <w:b w:val="0"/>
        </w:rPr>
        <w:t>政拨款收入支出决算总体情况说明</w:t>
      </w:r>
      <w:bookmarkEnd w:id="71"/>
      <w:bookmarkEnd w:id="72"/>
      <w:bookmarkEnd w:id="73"/>
      <w:bookmarkEnd w:id="74"/>
    </w:p>
    <w:p w14:paraId="06D4C3D5">
      <w:pPr>
        <w:spacing w:line="600" w:lineRule="exact"/>
        <w:ind w:firstLine="640" w:firstLineChars="200"/>
        <w:rPr>
          <w:rFonts w:ascii="仿宋" w:hAnsi="仿宋" w:eastAsia="仿宋"/>
          <w:b/>
          <w:sz w:val="32"/>
          <w:szCs w:val="32"/>
        </w:rPr>
      </w:pPr>
      <w:r>
        <w:rPr>
          <w:rFonts w:ascii="仿宋" w:hAnsi="仿宋" w:eastAsia="仿宋"/>
          <w:sz w:val="32"/>
          <w:szCs w:val="32"/>
        </w:rPr>
        <w:t>20</w:t>
      </w:r>
      <w:r>
        <w:rPr>
          <w:rFonts w:hint="eastAsia" w:ascii="仿宋" w:hAnsi="仿宋" w:eastAsia="仿宋"/>
          <w:sz w:val="32"/>
          <w:szCs w:val="32"/>
        </w:rPr>
        <w:t>21年财政拨款收、支总计490.93万元。与</w:t>
      </w:r>
      <w:r>
        <w:rPr>
          <w:rFonts w:ascii="仿宋" w:hAnsi="仿宋" w:eastAsia="仿宋"/>
          <w:sz w:val="32"/>
          <w:szCs w:val="32"/>
        </w:rPr>
        <w:t>20</w:t>
      </w:r>
      <w:r>
        <w:rPr>
          <w:rFonts w:hint="eastAsia" w:ascii="仿宋" w:hAnsi="仿宋" w:eastAsia="仿宋"/>
          <w:sz w:val="32"/>
          <w:szCs w:val="32"/>
        </w:rPr>
        <w:t>20年相比，财政拨款收、支总计减少21.15万元，下降4.31</w:t>
      </w:r>
      <w:r>
        <w:rPr>
          <w:rFonts w:ascii="仿宋" w:hAnsi="仿宋" w:eastAsia="仿宋"/>
          <w:sz w:val="32"/>
          <w:szCs w:val="32"/>
        </w:rPr>
        <w:t>%</w:t>
      </w:r>
      <w:r>
        <w:rPr>
          <w:rFonts w:hint="eastAsia" w:ascii="仿宋" w:hAnsi="仿宋" w:eastAsia="仿宋"/>
          <w:sz w:val="32"/>
          <w:szCs w:val="32"/>
        </w:rPr>
        <w:t>。主要变动原因是项目支出减少。</w:t>
      </w:r>
    </w:p>
    <w:p w14:paraId="5070EA77">
      <w:r>
        <w:drawing>
          <wp:inline distT="0" distB="0" distL="114300" distR="114300">
            <wp:extent cx="5269230" cy="2743835"/>
            <wp:effectExtent l="4445" t="4445" r="22225" b="13970"/>
            <wp:docPr id="3142"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1CDADA9F">
      <w:pPr>
        <w:spacing w:line="600" w:lineRule="exact"/>
        <w:ind w:firstLine="640" w:firstLineChars="200"/>
        <w:outlineLvl w:val="1"/>
        <w:rPr>
          <w:rStyle w:val="30"/>
          <w:rFonts w:ascii="黑体" w:hAnsi="黑体" w:eastAsia="黑体"/>
          <w:b w:val="0"/>
        </w:rPr>
      </w:pPr>
      <w:bookmarkStart w:id="75" w:name="_Toc15377209"/>
      <w:bookmarkStart w:id="76" w:name="_Toc12716_WPSOffice_Level2"/>
      <w:bookmarkStart w:id="77" w:name="_Toc15396607"/>
      <w:bookmarkStart w:id="78" w:name="_Toc2823_WPSOffice_Level2"/>
      <w:r>
        <w:rPr>
          <w:rFonts w:hint="eastAsia" w:ascii="黑体" w:hAnsi="黑体" w:eastAsia="黑体"/>
          <w:sz w:val="32"/>
          <w:szCs w:val="32"/>
        </w:rPr>
        <w:t>五、</w:t>
      </w:r>
      <w:r>
        <w:rPr>
          <w:rFonts w:hint="eastAsia" w:ascii="黑体" w:hAnsi="黑体" w:eastAsia="黑体"/>
          <w:b/>
          <w:sz w:val="32"/>
          <w:szCs w:val="32"/>
        </w:rPr>
        <w:t>一</w:t>
      </w:r>
      <w:r>
        <w:rPr>
          <w:rStyle w:val="30"/>
          <w:rFonts w:hint="eastAsia" w:ascii="黑体" w:hAnsi="黑体" w:eastAsia="黑体"/>
          <w:b w:val="0"/>
        </w:rPr>
        <w:t>般公共预算财政拨款支出决算情况说明</w:t>
      </w:r>
      <w:bookmarkEnd w:id="75"/>
      <w:bookmarkEnd w:id="76"/>
      <w:bookmarkEnd w:id="77"/>
      <w:bookmarkEnd w:id="78"/>
    </w:p>
    <w:p w14:paraId="004FF8AA">
      <w:pPr>
        <w:spacing w:line="600" w:lineRule="exact"/>
        <w:ind w:firstLine="643" w:firstLineChars="200"/>
        <w:outlineLvl w:val="2"/>
        <w:rPr>
          <w:rFonts w:ascii="仿宋" w:hAnsi="仿宋" w:eastAsia="仿宋"/>
          <w:b/>
          <w:sz w:val="32"/>
          <w:szCs w:val="32"/>
        </w:rPr>
      </w:pPr>
      <w:bookmarkStart w:id="79" w:name="_Toc15377210"/>
      <w:r>
        <w:rPr>
          <w:rFonts w:hint="eastAsia" w:ascii="仿宋" w:hAnsi="仿宋" w:eastAsia="仿宋"/>
          <w:b/>
          <w:sz w:val="32"/>
          <w:szCs w:val="32"/>
        </w:rPr>
        <w:t>（一）一般公共预算财政拨款支出决算总体情况</w:t>
      </w:r>
      <w:bookmarkEnd w:id="79"/>
    </w:p>
    <w:p w14:paraId="7C9C54B2">
      <w:pPr>
        <w:spacing w:line="600" w:lineRule="exact"/>
        <w:ind w:firstLine="640" w:firstLineChars="20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21年一般公共预算财政拨款支出490.93万元，占本年支出合计的100</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20年相比，一般公共预算财政拨款支出减少21.15万元，下降4.31</w:t>
      </w:r>
      <w:r>
        <w:rPr>
          <w:rFonts w:ascii="仿宋" w:hAnsi="仿宋" w:eastAsia="仿宋"/>
          <w:sz w:val="32"/>
          <w:szCs w:val="32"/>
        </w:rPr>
        <w:t>%</w:t>
      </w:r>
      <w:r>
        <w:rPr>
          <w:rFonts w:hint="eastAsia" w:ascii="仿宋" w:hAnsi="仿宋" w:eastAsia="仿宋"/>
          <w:sz w:val="32"/>
          <w:szCs w:val="32"/>
        </w:rPr>
        <w:t>。主要变动原因是项目支出减少。</w:t>
      </w:r>
    </w:p>
    <w:p w14:paraId="7971F31E">
      <w:pPr>
        <w:pStyle w:val="2"/>
      </w:pPr>
      <w:r>
        <w:drawing>
          <wp:inline distT="0" distB="0" distL="114300" distR="114300">
            <wp:extent cx="5273040" cy="2692400"/>
            <wp:effectExtent l="4445" t="4445" r="18415" b="8255"/>
            <wp:docPr id="3139"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0B156C93">
      <w:pPr>
        <w:spacing w:line="600" w:lineRule="exact"/>
        <w:ind w:firstLine="643" w:firstLineChars="200"/>
        <w:outlineLvl w:val="2"/>
        <w:rPr>
          <w:rFonts w:ascii="仿宋" w:hAnsi="仿宋" w:eastAsia="仿宋"/>
          <w:b/>
          <w:sz w:val="32"/>
          <w:szCs w:val="32"/>
        </w:rPr>
      </w:pPr>
      <w:bookmarkStart w:id="80" w:name="_Toc15377211"/>
      <w:r>
        <w:rPr>
          <w:rFonts w:hint="eastAsia" w:ascii="仿宋" w:hAnsi="仿宋" w:eastAsia="仿宋"/>
          <w:b/>
          <w:sz w:val="32"/>
          <w:szCs w:val="32"/>
        </w:rPr>
        <w:t>（二）一般公共预算财政拨款支出决算结构情况</w:t>
      </w:r>
      <w:bookmarkEnd w:id="80"/>
    </w:p>
    <w:p w14:paraId="174BFD24">
      <w:pPr>
        <w:spacing w:line="600" w:lineRule="exact"/>
        <w:ind w:firstLine="640" w:firstLineChars="200"/>
        <w:rPr>
          <w:rFonts w:ascii="仿宋" w:hAnsi="仿宋" w:eastAsia="仿宋" w:cs="仿宋"/>
          <w:color w:val="000000"/>
          <w:sz w:val="32"/>
          <w:szCs w:val="32"/>
        </w:rPr>
      </w:pPr>
      <w:r>
        <w:rPr>
          <w:rFonts w:ascii="仿宋" w:hAnsi="仿宋" w:eastAsia="仿宋"/>
          <w:sz w:val="32"/>
          <w:szCs w:val="32"/>
        </w:rPr>
        <w:t>20</w:t>
      </w:r>
      <w:r>
        <w:rPr>
          <w:rFonts w:hint="eastAsia" w:ascii="仿宋" w:hAnsi="仿宋" w:eastAsia="仿宋"/>
          <w:sz w:val="32"/>
          <w:szCs w:val="32"/>
        </w:rPr>
        <w:t>21年一般公共预算财政拨款支出490.93万元，主要用于以下方面</w:t>
      </w:r>
      <w:r>
        <w:rPr>
          <w:rFonts w:ascii="仿宋" w:hAnsi="仿宋" w:eastAsia="仿宋"/>
          <w:sz w:val="32"/>
          <w:szCs w:val="32"/>
        </w:rPr>
        <w:t>:</w:t>
      </w:r>
      <w:r>
        <w:rPr>
          <w:rFonts w:hint="eastAsia" w:ascii="仿宋" w:hAnsi="仿宋" w:eastAsia="仿宋" w:cs="仿宋"/>
          <w:color w:val="000000"/>
          <w:sz w:val="32"/>
          <w:szCs w:val="32"/>
        </w:rPr>
        <w:t>一般公共服务（类）支出408.89万元，占83.29</w:t>
      </w:r>
      <w:r>
        <w:rPr>
          <w:rFonts w:ascii="仿宋" w:hAnsi="仿宋" w:eastAsia="仿宋" w:cs="仿宋"/>
          <w:color w:val="000000"/>
          <w:sz w:val="32"/>
          <w:szCs w:val="32"/>
        </w:rPr>
        <w:t>%</w:t>
      </w:r>
      <w:r>
        <w:rPr>
          <w:rFonts w:hint="eastAsia" w:ascii="仿宋" w:hAnsi="仿宋" w:eastAsia="仿宋" w:cs="仿宋"/>
          <w:color w:val="000000"/>
          <w:sz w:val="32"/>
          <w:szCs w:val="32"/>
        </w:rPr>
        <w:t>；卫生健康（类）</w:t>
      </w:r>
      <w:r>
        <w:rPr>
          <w:rFonts w:hint="eastAsia" w:ascii="仿宋" w:hAnsi="仿宋" w:eastAsia="仿宋" w:cs="仿宋"/>
          <w:sz w:val="32"/>
          <w:szCs w:val="32"/>
        </w:rPr>
        <w:t>支出</w:t>
      </w:r>
      <w:r>
        <w:rPr>
          <w:rFonts w:hint="eastAsia" w:ascii="仿宋" w:hAnsi="仿宋" w:eastAsia="仿宋" w:cs="仿宋"/>
          <w:color w:val="000000"/>
          <w:sz w:val="32"/>
          <w:szCs w:val="32"/>
        </w:rPr>
        <w:t>17.32万元，占3.53</w:t>
      </w:r>
      <w:r>
        <w:rPr>
          <w:rFonts w:ascii="仿宋" w:hAnsi="仿宋" w:eastAsia="仿宋" w:cs="仿宋"/>
          <w:color w:val="000000"/>
          <w:sz w:val="32"/>
          <w:szCs w:val="32"/>
        </w:rPr>
        <w:t>%</w:t>
      </w:r>
      <w:r>
        <w:rPr>
          <w:rFonts w:hint="eastAsia" w:ascii="仿宋" w:hAnsi="仿宋" w:eastAsia="仿宋" w:cs="仿宋"/>
          <w:color w:val="000000"/>
          <w:sz w:val="32"/>
          <w:szCs w:val="32"/>
        </w:rPr>
        <w:t>；其他支出（类）支出5.92万元，占1.20</w:t>
      </w:r>
      <w:r>
        <w:rPr>
          <w:rFonts w:ascii="仿宋" w:hAnsi="仿宋" w:eastAsia="仿宋" w:cs="仿宋"/>
          <w:color w:val="000000"/>
          <w:sz w:val="32"/>
          <w:szCs w:val="32"/>
        </w:rPr>
        <w:t>%</w:t>
      </w:r>
      <w:r>
        <w:rPr>
          <w:rFonts w:hint="eastAsia" w:ascii="仿宋" w:hAnsi="仿宋" w:eastAsia="仿宋" w:cs="仿宋"/>
          <w:color w:val="000000"/>
          <w:sz w:val="32"/>
          <w:szCs w:val="32"/>
        </w:rPr>
        <w:t>；社会保障和就业（类）支出31.03万元，占6.32</w:t>
      </w:r>
      <w:r>
        <w:rPr>
          <w:rFonts w:ascii="仿宋" w:hAnsi="仿宋" w:eastAsia="仿宋" w:cs="仿宋"/>
          <w:color w:val="000000"/>
          <w:sz w:val="32"/>
          <w:szCs w:val="32"/>
        </w:rPr>
        <w:t>%</w:t>
      </w:r>
      <w:r>
        <w:rPr>
          <w:rFonts w:hint="eastAsia" w:ascii="仿宋" w:hAnsi="仿宋" w:eastAsia="仿宋" w:cs="仿宋"/>
          <w:color w:val="000000"/>
          <w:sz w:val="32"/>
          <w:szCs w:val="32"/>
        </w:rPr>
        <w:t>；住房保障（类）支出27.77万元，占5.66</w:t>
      </w:r>
      <w:r>
        <w:rPr>
          <w:rFonts w:ascii="仿宋" w:hAnsi="仿宋" w:eastAsia="仿宋" w:cs="仿宋"/>
          <w:color w:val="000000"/>
          <w:sz w:val="32"/>
          <w:szCs w:val="32"/>
        </w:rPr>
        <w:t>%</w:t>
      </w:r>
      <w:r>
        <w:rPr>
          <w:rFonts w:hint="eastAsia" w:ascii="仿宋" w:hAnsi="仿宋" w:eastAsia="仿宋" w:cs="仿宋"/>
          <w:color w:val="000000"/>
          <w:sz w:val="32"/>
          <w:szCs w:val="32"/>
        </w:rPr>
        <w:t>。</w:t>
      </w:r>
    </w:p>
    <w:p w14:paraId="67DE8FC5">
      <w:r>
        <w:drawing>
          <wp:inline distT="0" distB="0" distL="114300" distR="114300">
            <wp:extent cx="5269230" cy="3367405"/>
            <wp:effectExtent l="5080" t="4445" r="21590" b="19050"/>
            <wp:docPr id="3140"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139006ED">
      <w:pPr>
        <w:spacing w:line="600" w:lineRule="exact"/>
        <w:ind w:firstLine="643" w:firstLineChars="200"/>
        <w:outlineLvl w:val="2"/>
        <w:rPr>
          <w:rFonts w:ascii="仿宋" w:hAnsi="仿宋" w:eastAsia="仿宋"/>
          <w:b/>
          <w:sz w:val="32"/>
          <w:szCs w:val="32"/>
        </w:rPr>
      </w:pPr>
      <w:bookmarkStart w:id="81" w:name="_Toc15377212"/>
      <w:r>
        <w:rPr>
          <w:rFonts w:hint="eastAsia" w:ascii="仿宋" w:hAnsi="仿宋" w:eastAsia="仿宋"/>
          <w:b/>
          <w:sz w:val="32"/>
          <w:szCs w:val="32"/>
        </w:rPr>
        <w:t>（三）一般公共预算财政拨款支出决算具体情况</w:t>
      </w:r>
      <w:bookmarkEnd w:id="81"/>
    </w:p>
    <w:p w14:paraId="553CA97D">
      <w:pPr>
        <w:spacing w:line="600" w:lineRule="exact"/>
        <w:ind w:firstLine="643" w:firstLineChars="200"/>
        <w:outlineLvl w:val="2"/>
        <w:rPr>
          <w:rFonts w:ascii="仿宋" w:hAnsi="仿宋" w:eastAsia="仿宋"/>
          <w:sz w:val="32"/>
          <w:szCs w:val="32"/>
        </w:rPr>
      </w:pPr>
      <w:bookmarkStart w:id="82" w:name="_Toc15378460"/>
      <w:bookmarkStart w:id="83" w:name="_Toc15377213"/>
      <w:bookmarkStart w:id="84" w:name="_Toc15377444"/>
      <w:r>
        <w:rPr>
          <w:rFonts w:hint="eastAsia" w:ascii="仿宋" w:hAnsi="仿宋" w:eastAsia="仿宋"/>
          <w:b/>
          <w:sz w:val="32"/>
          <w:szCs w:val="32"/>
        </w:rPr>
        <w:t>2021年一般公共预算支出决算数为490.93万元</w:t>
      </w:r>
      <w:r>
        <w:rPr>
          <w:rFonts w:hint="eastAsia" w:ascii="仿宋" w:hAnsi="仿宋" w:eastAsia="仿宋"/>
          <w:sz w:val="32"/>
          <w:szCs w:val="32"/>
        </w:rPr>
        <w:t>，</w:t>
      </w:r>
      <w:r>
        <w:rPr>
          <w:rStyle w:val="18"/>
          <w:rFonts w:hint="eastAsia" w:ascii="仿宋" w:hAnsi="仿宋" w:eastAsia="仿宋"/>
          <w:bCs/>
          <w:sz w:val="32"/>
          <w:szCs w:val="32"/>
        </w:rPr>
        <w:t>完成预算100</w:t>
      </w:r>
      <w:r>
        <w:rPr>
          <w:rStyle w:val="18"/>
          <w:rFonts w:ascii="仿宋" w:hAnsi="仿宋" w:eastAsia="仿宋"/>
          <w:bCs/>
          <w:sz w:val="32"/>
          <w:szCs w:val="32"/>
        </w:rPr>
        <w:t>%</w:t>
      </w:r>
      <w:r>
        <w:rPr>
          <w:rStyle w:val="18"/>
          <w:rFonts w:hint="eastAsia" w:ascii="仿宋" w:hAnsi="仿宋" w:eastAsia="仿宋"/>
          <w:bCs/>
          <w:sz w:val="32"/>
          <w:szCs w:val="32"/>
        </w:rPr>
        <w:t>。其中：</w:t>
      </w:r>
      <w:bookmarkEnd w:id="82"/>
      <w:bookmarkEnd w:id="83"/>
      <w:bookmarkEnd w:id="84"/>
    </w:p>
    <w:p w14:paraId="120F10DB">
      <w:pPr>
        <w:spacing w:line="600" w:lineRule="exact"/>
        <w:ind w:firstLine="643" w:firstLineChars="200"/>
        <w:rPr>
          <w:rStyle w:val="18"/>
          <w:rFonts w:ascii="仿宋_GB2312" w:eastAsia="仿宋_GB2312"/>
          <w:color w:val="000000"/>
          <w:sz w:val="32"/>
          <w:szCs w:val="32"/>
        </w:rPr>
      </w:pPr>
      <w:r>
        <w:rPr>
          <w:rStyle w:val="18"/>
          <w:rFonts w:ascii="仿宋_GB2312" w:eastAsia="仿宋_GB2312" w:cs="仿宋_GB2312"/>
          <w:color w:val="000000"/>
          <w:sz w:val="32"/>
          <w:szCs w:val="32"/>
        </w:rPr>
        <w:t>1.</w:t>
      </w:r>
      <w:r>
        <w:rPr>
          <w:rStyle w:val="18"/>
          <w:rFonts w:hint="eastAsia" w:ascii="仿宋_GB2312" w:eastAsia="仿宋_GB2312" w:cs="仿宋_GB2312"/>
          <w:color w:val="000000"/>
          <w:sz w:val="32"/>
          <w:szCs w:val="32"/>
        </w:rPr>
        <w:t>一般公共服务（类）其他共产党事务支出（款）</w:t>
      </w:r>
    </w:p>
    <w:p w14:paraId="22CD96E3">
      <w:pPr>
        <w:spacing w:line="600" w:lineRule="exact"/>
        <w:ind w:firstLine="643" w:firstLineChars="200"/>
        <w:rPr>
          <w:rStyle w:val="18"/>
          <w:rFonts w:ascii="仿宋_GB2312" w:eastAsia="仿宋_GB2312"/>
          <w:b w:val="0"/>
          <w:color w:val="000000"/>
          <w:sz w:val="32"/>
          <w:szCs w:val="32"/>
        </w:rPr>
      </w:pPr>
      <w:r>
        <w:rPr>
          <w:rStyle w:val="18"/>
          <w:rFonts w:hint="eastAsia" w:ascii="仿宋_GB2312" w:eastAsia="仿宋_GB2312" w:cs="仿宋_GB2312"/>
          <w:color w:val="000000"/>
          <w:sz w:val="32"/>
          <w:szCs w:val="32"/>
        </w:rPr>
        <w:t>①、行政运行</w:t>
      </w:r>
      <w:r>
        <w:rPr>
          <w:rStyle w:val="18"/>
          <w:rFonts w:ascii="仿宋_GB2312" w:eastAsia="仿宋_GB2312" w:cs="仿宋_GB2312"/>
          <w:color w:val="000000"/>
          <w:sz w:val="32"/>
          <w:szCs w:val="32"/>
        </w:rPr>
        <w:t>:</w:t>
      </w:r>
      <w:r>
        <w:rPr>
          <w:rStyle w:val="18"/>
          <w:rFonts w:hint="eastAsia" w:ascii="仿宋_GB2312" w:eastAsia="仿宋_GB2312" w:cs="仿宋_GB2312"/>
          <w:b w:val="0"/>
          <w:color w:val="000000"/>
          <w:sz w:val="32"/>
          <w:szCs w:val="32"/>
        </w:rPr>
        <w:t>支出决算为210.84万元，完成预算</w:t>
      </w:r>
      <w:r>
        <w:rPr>
          <w:rStyle w:val="18"/>
          <w:rFonts w:ascii="仿宋_GB2312" w:eastAsia="仿宋_GB2312" w:cs="仿宋_GB2312"/>
          <w:b w:val="0"/>
          <w:color w:val="000000"/>
          <w:sz w:val="32"/>
          <w:szCs w:val="32"/>
        </w:rPr>
        <w:t>100%</w:t>
      </w:r>
      <w:r>
        <w:rPr>
          <w:rStyle w:val="18"/>
          <w:rFonts w:hint="eastAsia" w:ascii="仿宋_GB2312" w:eastAsia="仿宋_GB2312" w:cs="仿宋_GB2312"/>
          <w:b w:val="0"/>
          <w:color w:val="000000"/>
          <w:sz w:val="32"/>
          <w:szCs w:val="32"/>
        </w:rPr>
        <w:t>。</w:t>
      </w:r>
    </w:p>
    <w:p w14:paraId="13896BF3">
      <w:pPr>
        <w:spacing w:line="600" w:lineRule="exact"/>
        <w:ind w:firstLine="643" w:firstLineChars="200"/>
        <w:rPr>
          <w:rStyle w:val="18"/>
          <w:rFonts w:ascii="仿宋_GB2312" w:eastAsia="仿宋_GB2312" w:cs="仿宋_GB2312"/>
          <w:b w:val="0"/>
          <w:color w:val="000000"/>
          <w:sz w:val="32"/>
          <w:szCs w:val="32"/>
        </w:rPr>
      </w:pPr>
      <w:r>
        <w:rPr>
          <w:rStyle w:val="18"/>
          <w:rFonts w:hint="eastAsia" w:ascii="仿宋_GB2312" w:eastAsia="仿宋_GB2312" w:cs="仿宋_GB2312"/>
          <w:color w:val="000000"/>
          <w:sz w:val="32"/>
          <w:szCs w:val="32"/>
        </w:rPr>
        <w:t>②、其他共产党事务支出：</w:t>
      </w:r>
      <w:r>
        <w:rPr>
          <w:rStyle w:val="18"/>
          <w:rFonts w:hint="eastAsia" w:ascii="仿宋_GB2312" w:eastAsia="仿宋_GB2312" w:cs="仿宋_GB2312"/>
          <w:b w:val="0"/>
          <w:color w:val="000000"/>
          <w:sz w:val="32"/>
          <w:szCs w:val="32"/>
        </w:rPr>
        <w:t>支出决算为75.47万元，完成预算</w:t>
      </w:r>
      <w:r>
        <w:rPr>
          <w:rStyle w:val="18"/>
          <w:rFonts w:ascii="仿宋_GB2312" w:eastAsia="仿宋_GB2312" w:cs="仿宋_GB2312"/>
          <w:b w:val="0"/>
          <w:color w:val="000000"/>
          <w:sz w:val="32"/>
          <w:szCs w:val="32"/>
        </w:rPr>
        <w:t>100%</w:t>
      </w:r>
      <w:r>
        <w:rPr>
          <w:rStyle w:val="18"/>
          <w:rFonts w:hint="eastAsia" w:ascii="仿宋_GB2312" w:eastAsia="仿宋_GB2312" w:cs="仿宋_GB2312"/>
          <w:b w:val="0"/>
          <w:color w:val="000000"/>
          <w:sz w:val="32"/>
          <w:szCs w:val="32"/>
        </w:rPr>
        <w:t>。</w:t>
      </w:r>
    </w:p>
    <w:p w14:paraId="218F70E9">
      <w:pPr>
        <w:spacing w:line="600" w:lineRule="exact"/>
        <w:ind w:firstLine="643" w:firstLineChars="200"/>
        <w:rPr>
          <w:rStyle w:val="18"/>
          <w:rFonts w:ascii="仿宋_GB2312" w:eastAsia="仿宋_GB2312" w:cs="仿宋_GB2312"/>
          <w:b w:val="0"/>
          <w:color w:val="000000"/>
          <w:sz w:val="32"/>
          <w:szCs w:val="32"/>
        </w:rPr>
      </w:pPr>
      <w:r>
        <w:rPr>
          <w:rStyle w:val="18"/>
          <w:rFonts w:hint="eastAsia" w:ascii="仿宋_GB2312" w:eastAsia="仿宋_GB2312" w:cs="仿宋_GB2312"/>
          <w:color w:val="000000"/>
          <w:sz w:val="32"/>
          <w:szCs w:val="32"/>
        </w:rPr>
        <w:sym w:font="Wingdings" w:char="F083"/>
      </w:r>
      <w:r>
        <w:rPr>
          <w:rStyle w:val="18"/>
          <w:rFonts w:hint="eastAsia" w:ascii="仿宋_GB2312" w:eastAsia="仿宋_GB2312" w:cs="仿宋_GB2312"/>
          <w:color w:val="000000"/>
          <w:sz w:val="32"/>
          <w:szCs w:val="32"/>
        </w:rPr>
        <w:t>、一般行政管理事务：</w:t>
      </w:r>
      <w:r>
        <w:rPr>
          <w:rStyle w:val="18"/>
          <w:rFonts w:hint="eastAsia" w:ascii="仿宋_GB2312" w:eastAsia="仿宋_GB2312" w:cs="仿宋_GB2312"/>
          <w:b w:val="0"/>
          <w:color w:val="000000"/>
          <w:sz w:val="32"/>
          <w:szCs w:val="32"/>
        </w:rPr>
        <w:t>支出决算为87.74万元，完成预算</w:t>
      </w:r>
      <w:r>
        <w:rPr>
          <w:rStyle w:val="18"/>
          <w:rFonts w:ascii="仿宋_GB2312" w:eastAsia="仿宋_GB2312" w:cs="仿宋_GB2312"/>
          <w:b w:val="0"/>
          <w:color w:val="000000"/>
          <w:sz w:val="32"/>
          <w:szCs w:val="32"/>
        </w:rPr>
        <w:t>100%</w:t>
      </w:r>
      <w:r>
        <w:rPr>
          <w:rStyle w:val="18"/>
          <w:rFonts w:hint="eastAsia" w:ascii="仿宋_GB2312" w:eastAsia="仿宋_GB2312" w:cs="仿宋_GB2312"/>
          <w:b w:val="0"/>
          <w:color w:val="000000"/>
          <w:sz w:val="32"/>
          <w:szCs w:val="32"/>
        </w:rPr>
        <w:t>。</w:t>
      </w:r>
    </w:p>
    <w:p w14:paraId="215425BE">
      <w:pPr>
        <w:pStyle w:val="2"/>
      </w:pPr>
    </w:p>
    <w:p w14:paraId="207F3BBB">
      <w:pPr>
        <w:spacing w:line="600" w:lineRule="exact"/>
        <w:ind w:firstLine="643" w:firstLineChars="200"/>
      </w:pPr>
      <w:r>
        <w:rPr>
          <w:rStyle w:val="18"/>
          <w:rFonts w:hint="eastAsia" w:ascii="宋体" w:hAnsi="宋体" w:cs="宋体"/>
          <w:color w:val="000000"/>
          <w:sz w:val="32"/>
          <w:szCs w:val="32"/>
        </w:rPr>
        <w:t>④</w:t>
      </w:r>
      <w:r>
        <w:rPr>
          <w:rStyle w:val="18"/>
          <w:rFonts w:hint="eastAsia" w:ascii="仿宋_GB2312" w:eastAsia="仿宋_GB2312" w:cs="仿宋_GB2312"/>
          <w:color w:val="000000"/>
          <w:sz w:val="32"/>
          <w:szCs w:val="32"/>
        </w:rPr>
        <w:t>、事业运行：</w:t>
      </w:r>
      <w:r>
        <w:rPr>
          <w:rStyle w:val="18"/>
          <w:rFonts w:hint="eastAsia" w:ascii="仿宋_GB2312" w:eastAsia="仿宋_GB2312" w:cs="仿宋_GB2312"/>
          <w:b w:val="0"/>
          <w:color w:val="000000"/>
          <w:sz w:val="32"/>
          <w:szCs w:val="32"/>
        </w:rPr>
        <w:t>支出决算为34.84万元，完成预算</w:t>
      </w:r>
      <w:r>
        <w:rPr>
          <w:rStyle w:val="18"/>
          <w:rFonts w:ascii="仿宋_GB2312" w:eastAsia="仿宋_GB2312" w:cs="仿宋_GB2312"/>
          <w:b w:val="0"/>
          <w:color w:val="000000"/>
          <w:sz w:val="32"/>
          <w:szCs w:val="32"/>
        </w:rPr>
        <w:t>100%</w:t>
      </w:r>
      <w:r>
        <w:rPr>
          <w:rStyle w:val="18"/>
          <w:rFonts w:hint="eastAsia" w:ascii="仿宋_GB2312" w:eastAsia="仿宋_GB2312" w:cs="仿宋_GB2312"/>
          <w:b w:val="0"/>
          <w:color w:val="000000"/>
          <w:sz w:val="32"/>
          <w:szCs w:val="32"/>
        </w:rPr>
        <w:t>。</w:t>
      </w:r>
    </w:p>
    <w:p w14:paraId="0CEF47F0">
      <w:pPr>
        <w:spacing w:line="600" w:lineRule="exact"/>
        <w:ind w:firstLine="643" w:firstLineChars="200"/>
        <w:rPr>
          <w:rStyle w:val="18"/>
          <w:rFonts w:ascii="仿宋_GB2312" w:eastAsia="仿宋_GB2312"/>
          <w:color w:val="000000"/>
          <w:sz w:val="32"/>
          <w:szCs w:val="32"/>
        </w:rPr>
      </w:pPr>
      <w:r>
        <w:rPr>
          <w:rStyle w:val="18"/>
          <w:rFonts w:ascii="仿宋_GB2312" w:eastAsia="仿宋_GB2312" w:cs="仿宋_GB2312"/>
          <w:color w:val="000000"/>
          <w:sz w:val="32"/>
          <w:szCs w:val="32"/>
        </w:rPr>
        <w:t>2.</w:t>
      </w:r>
      <w:r>
        <w:rPr>
          <w:rStyle w:val="18"/>
          <w:rFonts w:hint="eastAsia" w:ascii="仿宋_GB2312" w:eastAsia="仿宋_GB2312" w:cs="仿宋_GB2312"/>
          <w:color w:val="000000"/>
          <w:sz w:val="32"/>
          <w:szCs w:val="32"/>
        </w:rPr>
        <w:t>社会保障和就业（类）行政事业单位离退休（款）</w:t>
      </w:r>
    </w:p>
    <w:p w14:paraId="7DC4FD00">
      <w:pPr>
        <w:spacing w:line="600" w:lineRule="exact"/>
        <w:ind w:firstLine="643" w:firstLineChars="200"/>
        <w:rPr>
          <w:rStyle w:val="18"/>
          <w:rFonts w:ascii="仿宋_GB2312" w:eastAsia="仿宋_GB2312"/>
          <w:b w:val="0"/>
          <w:color w:val="000000"/>
          <w:sz w:val="32"/>
          <w:szCs w:val="32"/>
        </w:rPr>
      </w:pPr>
      <w:r>
        <w:rPr>
          <w:rStyle w:val="18"/>
          <w:rFonts w:hint="eastAsia" w:ascii="仿宋_GB2312" w:eastAsia="仿宋_GB2312" w:cs="仿宋_GB2312"/>
          <w:color w:val="000000"/>
          <w:sz w:val="32"/>
          <w:szCs w:val="32"/>
        </w:rPr>
        <w:t>①、行政单位离退休</w:t>
      </w:r>
      <w:r>
        <w:rPr>
          <w:rStyle w:val="18"/>
          <w:rFonts w:ascii="仿宋_GB2312" w:eastAsia="仿宋_GB2312" w:cs="仿宋_GB2312"/>
          <w:color w:val="000000"/>
          <w:sz w:val="32"/>
          <w:szCs w:val="32"/>
        </w:rPr>
        <w:t>:</w:t>
      </w:r>
      <w:r>
        <w:rPr>
          <w:rStyle w:val="18"/>
          <w:rFonts w:hint="eastAsia" w:ascii="仿宋_GB2312" w:eastAsia="仿宋_GB2312" w:cs="仿宋_GB2312"/>
          <w:b w:val="0"/>
          <w:color w:val="000000"/>
          <w:sz w:val="32"/>
          <w:szCs w:val="32"/>
        </w:rPr>
        <w:t>支出决算为1.40万元，完成预算</w:t>
      </w:r>
      <w:r>
        <w:rPr>
          <w:rStyle w:val="18"/>
          <w:rFonts w:ascii="仿宋_GB2312" w:eastAsia="仿宋_GB2312" w:cs="仿宋_GB2312"/>
          <w:b w:val="0"/>
          <w:color w:val="000000"/>
          <w:sz w:val="32"/>
          <w:szCs w:val="32"/>
        </w:rPr>
        <w:t>100%</w:t>
      </w:r>
      <w:r>
        <w:rPr>
          <w:rStyle w:val="18"/>
          <w:rFonts w:hint="eastAsia" w:ascii="仿宋_GB2312" w:eastAsia="仿宋_GB2312" w:cs="仿宋_GB2312"/>
          <w:b w:val="0"/>
          <w:color w:val="000000"/>
          <w:sz w:val="32"/>
          <w:szCs w:val="32"/>
        </w:rPr>
        <w:t>。</w:t>
      </w:r>
    </w:p>
    <w:p w14:paraId="131B65C6">
      <w:pPr>
        <w:spacing w:line="600" w:lineRule="exact"/>
        <w:ind w:firstLine="643" w:firstLineChars="200"/>
        <w:rPr>
          <w:rFonts w:ascii="仿宋_GB2312" w:eastAsia="仿宋_GB2312"/>
          <w:color w:val="000000"/>
          <w:sz w:val="32"/>
          <w:szCs w:val="32"/>
        </w:rPr>
      </w:pPr>
      <w:r>
        <w:rPr>
          <w:rFonts w:hint="eastAsia" w:ascii="仿宋_GB2312" w:eastAsia="仿宋_GB2312" w:cs="仿宋_GB2312"/>
          <w:b/>
          <w:bCs/>
          <w:color w:val="000000"/>
          <w:sz w:val="32"/>
          <w:szCs w:val="32"/>
        </w:rPr>
        <w:t>②、机关事业单位基本养老保险缴费支出：</w:t>
      </w:r>
      <w:r>
        <w:rPr>
          <w:rStyle w:val="18"/>
          <w:rFonts w:hint="eastAsia" w:ascii="仿宋_GB2312" w:eastAsia="仿宋_GB2312" w:cs="仿宋_GB2312"/>
          <w:b w:val="0"/>
          <w:color w:val="000000"/>
          <w:sz w:val="32"/>
          <w:szCs w:val="32"/>
        </w:rPr>
        <w:t>支出决算为22.26万元，完成预算</w:t>
      </w:r>
      <w:r>
        <w:rPr>
          <w:rStyle w:val="18"/>
          <w:rFonts w:ascii="仿宋_GB2312" w:eastAsia="仿宋_GB2312" w:cs="仿宋_GB2312"/>
          <w:b w:val="0"/>
          <w:color w:val="000000"/>
          <w:sz w:val="32"/>
          <w:szCs w:val="32"/>
        </w:rPr>
        <w:t>100%</w:t>
      </w:r>
      <w:r>
        <w:rPr>
          <w:rStyle w:val="18"/>
          <w:rFonts w:hint="eastAsia" w:ascii="仿宋_GB2312" w:eastAsia="仿宋_GB2312" w:cs="仿宋_GB2312"/>
          <w:b w:val="0"/>
          <w:color w:val="000000"/>
          <w:sz w:val="32"/>
          <w:szCs w:val="32"/>
        </w:rPr>
        <w:t>。</w:t>
      </w:r>
    </w:p>
    <w:p w14:paraId="488548EA">
      <w:pPr>
        <w:spacing w:line="600" w:lineRule="exact"/>
        <w:ind w:firstLine="643" w:firstLineChars="200"/>
        <w:rPr>
          <w:rStyle w:val="18"/>
          <w:rFonts w:ascii="仿宋_GB2312" w:eastAsia="仿宋_GB2312" w:cs="仿宋_GB2312"/>
          <w:b w:val="0"/>
          <w:color w:val="000000"/>
          <w:sz w:val="32"/>
          <w:szCs w:val="32"/>
        </w:rPr>
      </w:pPr>
      <w:r>
        <w:rPr>
          <w:rStyle w:val="18"/>
          <w:rFonts w:ascii="仿宋_GB2312" w:eastAsia="仿宋_GB2312" w:cs="仿宋_GB2312"/>
          <w:color w:val="000000"/>
          <w:sz w:val="32"/>
          <w:szCs w:val="32"/>
        </w:rPr>
        <w:t>3</w:t>
      </w:r>
      <w:r>
        <w:rPr>
          <w:rStyle w:val="18"/>
          <w:rFonts w:hint="eastAsia" w:ascii="仿宋_GB2312" w:eastAsia="仿宋_GB2312" w:cs="仿宋_GB2312"/>
          <w:color w:val="000000"/>
          <w:sz w:val="32"/>
          <w:szCs w:val="32"/>
        </w:rPr>
        <w:t>、住房保障支出（类）住房改革支出（款）住房公积金（项）：</w:t>
      </w:r>
      <w:r>
        <w:rPr>
          <w:rStyle w:val="18"/>
          <w:rFonts w:hint="eastAsia" w:ascii="仿宋_GB2312" w:eastAsia="仿宋_GB2312" w:cs="仿宋_GB2312"/>
          <w:b w:val="0"/>
          <w:color w:val="000000"/>
          <w:sz w:val="32"/>
          <w:szCs w:val="32"/>
        </w:rPr>
        <w:t>支出决算为27.77万元，完成预算</w:t>
      </w:r>
      <w:r>
        <w:rPr>
          <w:rStyle w:val="18"/>
          <w:rFonts w:ascii="仿宋_GB2312" w:eastAsia="仿宋_GB2312" w:cs="仿宋_GB2312"/>
          <w:b w:val="0"/>
          <w:color w:val="000000"/>
          <w:sz w:val="32"/>
          <w:szCs w:val="32"/>
        </w:rPr>
        <w:t>100%</w:t>
      </w:r>
      <w:r>
        <w:rPr>
          <w:rStyle w:val="18"/>
          <w:rFonts w:hint="eastAsia" w:ascii="仿宋_GB2312" w:eastAsia="仿宋_GB2312" w:cs="仿宋_GB2312"/>
          <w:b w:val="0"/>
          <w:color w:val="000000"/>
          <w:sz w:val="32"/>
          <w:szCs w:val="32"/>
        </w:rPr>
        <w:t>。</w:t>
      </w:r>
    </w:p>
    <w:p w14:paraId="386D6551">
      <w:pPr>
        <w:spacing w:line="600" w:lineRule="exact"/>
        <w:ind w:firstLine="643" w:firstLineChars="200"/>
        <w:rPr>
          <w:rStyle w:val="18"/>
          <w:rFonts w:ascii="仿宋_GB2312" w:eastAsia="仿宋_GB2312" w:cs="仿宋_GB2312"/>
          <w:b w:val="0"/>
          <w:color w:val="000000"/>
          <w:sz w:val="32"/>
          <w:szCs w:val="32"/>
        </w:rPr>
      </w:pPr>
      <w:r>
        <w:rPr>
          <w:rStyle w:val="18"/>
          <w:rFonts w:hint="eastAsia" w:ascii="仿宋_GB2312" w:eastAsia="仿宋_GB2312" w:cs="仿宋_GB2312"/>
          <w:bCs/>
          <w:color w:val="000000"/>
          <w:sz w:val="32"/>
          <w:szCs w:val="32"/>
        </w:rPr>
        <w:t>4、</w:t>
      </w:r>
      <w:r>
        <w:rPr>
          <w:rStyle w:val="18"/>
          <w:rFonts w:hint="eastAsia" w:ascii="仿宋_GB2312" w:eastAsia="仿宋_GB2312" w:cs="仿宋_GB2312"/>
          <w:color w:val="000000"/>
          <w:sz w:val="32"/>
          <w:szCs w:val="32"/>
        </w:rPr>
        <w:t>社会保障和就业（类）抚恤（款）伤残抚恤（项）：</w:t>
      </w:r>
      <w:r>
        <w:rPr>
          <w:rStyle w:val="18"/>
          <w:rFonts w:hint="eastAsia" w:ascii="仿宋_GB2312" w:eastAsia="仿宋_GB2312" w:cs="仿宋_GB2312"/>
          <w:b w:val="0"/>
          <w:color w:val="000000"/>
          <w:sz w:val="32"/>
          <w:szCs w:val="32"/>
        </w:rPr>
        <w:t>支出决算为7.37万元，完成预算</w:t>
      </w:r>
      <w:r>
        <w:rPr>
          <w:rStyle w:val="18"/>
          <w:rFonts w:ascii="仿宋_GB2312" w:eastAsia="仿宋_GB2312" w:cs="仿宋_GB2312"/>
          <w:b w:val="0"/>
          <w:color w:val="000000"/>
          <w:sz w:val="32"/>
          <w:szCs w:val="32"/>
        </w:rPr>
        <w:t>100%</w:t>
      </w:r>
      <w:r>
        <w:rPr>
          <w:rStyle w:val="18"/>
          <w:rFonts w:hint="eastAsia" w:ascii="仿宋_GB2312" w:eastAsia="仿宋_GB2312" w:cs="仿宋_GB2312"/>
          <w:b w:val="0"/>
          <w:color w:val="000000"/>
          <w:sz w:val="32"/>
          <w:szCs w:val="32"/>
        </w:rPr>
        <w:t>。</w:t>
      </w:r>
    </w:p>
    <w:p w14:paraId="2FDA748A">
      <w:pPr>
        <w:spacing w:line="560" w:lineRule="exact"/>
        <w:ind w:firstLine="643" w:firstLineChars="200"/>
        <w:rPr>
          <w:rFonts w:eastAsia="仿宋_GB2312"/>
          <w:b/>
          <w:sz w:val="32"/>
          <w:szCs w:val="32"/>
        </w:rPr>
      </w:pPr>
      <w:r>
        <w:rPr>
          <w:rFonts w:eastAsia="仿宋_GB2312"/>
          <w:b/>
          <w:sz w:val="32"/>
          <w:szCs w:val="32"/>
        </w:rPr>
        <w:t>5.卫生健康支出（类）</w:t>
      </w:r>
      <w:r>
        <w:rPr>
          <w:rFonts w:hint="eastAsia" w:eastAsia="仿宋_GB2312"/>
          <w:b/>
          <w:sz w:val="32"/>
          <w:szCs w:val="32"/>
        </w:rPr>
        <w:t>行政事业单位医疗</w:t>
      </w:r>
      <w:r>
        <w:rPr>
          <w:rFonts w:eastAsia="仿宋_GB2312"/>
          <w:b/>
          <w:sz w:val="32"/>
          <w:szCs w:val="32"/>
        </w:rPr>
        <w:t>（款）</w:t>
      </w:r>
      <w:r>
        <w:rPr>
          <w:rFonts w:hint="eastAsia" w:eastAsia="仿宋_GB2312"/>
          <w:b/>
          <w:sz w:val="32"/>
          <w:szCs w:val="32"/>
        </w:rPr>
        <w:t>：</w:t>
      </w:r>
    </w:p>
    <w:p w14:paraId="0593D3DD">
      <w:pPr>
        <w:spacing w:line="560" w:lineRule="exact"/>
        <w:ind w:firstLine="640" w:firstLineChars="200"/>
        <w:rPr>
          <w:rFonts w:eastAsia="仿宋_GB2312"/>
          <w:sz w:val="32"/>
          <w:szCs w:val="32"/>
        </w:rPr>
      </w:pPr>
      <w:r>
        <w:rPr>
          <w:rFonts w:hint="eastAsia" w:ascii="仿宋_GB2312" w:hAnsi="仿宋_GB2312" w:eastAsia="仿宋_GB2312" w:cs="仿宋_GB2312"/>
          <w:sz w:val="32"/>
          <w:szCs w:val="32"/>
        </w:rPr>
        <w:sym w:font="Wingdings" w:char="F081"/>
      </w:r>
      <w:r>
        <w:rPr>
          <w:rFonts w:hint="eastAsia" w:ascii="仿宋_GB2312" w:hAnsi="仿宋_GB2312" w:eastAsia="仿宋_GB2312" w:cs="仿宋_GB2312"/>
          <w:sz w:val="32"/>
          <w:szCs w:val="32"/>
        </w:rPr>
        <w:t>行政单位医疗：</w:t>
      </w:r>
      <w:r>
        <w:rPr>
          <w:rFonts w:eastAsia="仿宋_GB2312"/>
          <w:sz w:val="32"/>
          <w:szCs w:val="32"/>
        </w:rPr>
        <w:t>支出决算为</w:t>
      </w:r>
      <w:r>
        <w:rPr>
          <w:rFonts w:hint="eastAsia" w:eastAsia="仿宋_GB2312"/>
          <w:sz w:val="32"/>
          <w:szCs w:val="32"/>
        </w:rPr>
        <w:t>12.56</w:t>
      </w:r>
      <w:r>
        <w:rPr>
          <w:rFonts w:eastAsia="仿宋_GB2312"/>
          <w:sz w:val="32"/>
          <w:szCs w:val="32"/>
        </w:rPr>
        <w:t>万元，完成预算100%，决算数等于预算数。</w:t>
      </w:r>
    </w:p>
    <w:p w14:paraId="31496C5A">
      <w:pPr>
        <w:spacing w:line="560" w:lineRule="exact"/>
        <w:ind w:firstLine="640" w:firstLineChars="200"/>
        <w:jc w:val="left"/>
        <w:rPr>
          <w:rFonts w:eastAsia="仿宋_GB2312"/>
          <w:sz w:val="32"/>
          <w:szCs w:val="32"/>
        </w:rPr>
      </w:pPr>
      <w:r>
        <w:rPr>
          <w:rFonts w:hint="eastAsia"/>
          <w:sz w:val="32"/>
          <w:szCs w:val="32"/>
        </w:rPr>
        <w:sym w:font="Wingdings" w:char="F082"/>
      </w:r>
      <w:r>
        <w:rPr>
          <w:rFonts w:hint="eastAsia"/>
          <w:sz w:val="32"/>
          <w:szCs w:val="32"/>
        </w:rPr>
        <w:t>事业单位医疗：</w:t>
      </w:r>
      <w:r>
        <w:rPr>
          <w:rFonts w:eastAsia="仿宋_GB2312"/>
          <w:sz w:val="32"/>
          <w:szCs w:val="32"/>
        </w:rPr>
        <w:t>支出决算为</w:t>
      </w:r>
      <w:r>
        <w:rPr>
          <w:rFonts w:hint="eastAsia" w:eastAsia="仿宋_GB2312"/>
          <w:sz w:val="32"/>
          <w:szCs w:val="32"/>
        </w:rPr>
        <w:t>4.76</w:t>
      </w:r>
      <w:r>
        <w:rPr>
          <w:rFonts w:eastAsia="仿宋_GB2312"/>
          <w:sz w:val="32"/>
          <w:szCs w:val="32"/>
        </w:rPr>
        <w:t>万元，完成预算100%，决算数等于预算数。</w:t>
      </w:r>
    </w:p>
    <w:p w14:paraId="5E090FB7">
      <w:pPr>
        <w:spacing w:line="560" w:lineRule="exact"/>
        <w:ind w:firstLine="643" w:firstLineChars="200"/>
        <w:rPr>
          <w:rFonts w:ascii="仿宋" w:hAnsi="仿宋" w:eastAsia="仿宋"/>
          <w:b/>
          <w:sz w:val="32"/>
          <w:szCs w:val="32"/>
        </w:rPr>
      </w:pPr>
      <w:r>
        <w:rPr>
          <w:rFonts w:hint="eastAsia" w:ascii="仿宋_GB2312" w:hAnsi="仿宋_GB2312" w:eastAsia="仿宋_GB2312" w:cs="仿宋_GB2312"/>
          <w:b/>
          <w:bCs/>
          <w:sz w:val="32"/>
          <w:szCs w:val="32"/>
        </w:rPr>
        <w:t>6.</w:t>
      </w:r>
      <w:r>
        <w:rPr>
          <w:rFonts w:hint="eastAsia"/>
          <w:b/>
          <w:sz w:val="32"/>
          <w:szCs w:val="32"/>
        </w:rPr>
        <w:t>其他</w:t>
      </w:r>
      <w:r>
        <w:rPr>
          <w:rFonts w:eastAsia="仿宋_GB2312"/>
          <w:b/>
          <w:sz w:val="32"/>
          <w:szCs w:val="32"/>
        </w:rPr>
        <w:t>支出（类）</w:t>
      </w:r>
      <w:r>
        <w:rPr>
          <w:rFonts w:hint="eastAsia"/>
          <w:b/>
          <w:sz w:val="32"/>
          <w:szCs w:val="32"/>
        </w:rPr>
        <w:t>其他支出</w:t>
      </w:r>
      <w:r>
        <w:rPr>
          <w:rFonts w:eastAsia="仿宋_GB2312"/>
          <w:b/>
          <w:sz w:val="32"/>
          <w:szCs w:val="32"/>
        </w:rPr>
        <w:t>（款）其他支出（项）</w:t>
      </w:r>
      <w:r>
        <w:rPr>
          <w:rFonts w:hint="eastAsia"/>
          <w:b/>
          <w:sz w:val="32"/>
          <w:szCs w:val="32"/>
        </w:rPr>
        <w:t>：</w:t>
      </w:r>
      <w:r>
        <w:rPr>
          <w:rFonts w:hint="eastAsia"/>
          <w:bCs/>
          <w:sz w:val="32"/>
          <w:szCs w:val="32"/>
        </w:rPr>
        <w:t>支</w:t>
      </w:r>
      <w:r>
        <w:rPr>
          <w:rFonts w:eastAsia="仿宋_GB2312"/>
          <w:sz w:val="32"/>
          <w:szCs w:val="32"/>
        </w:rPr>
        <w:t>出决算为</w:t>
      </w:r>
      <w:r>
        <w:rPr>
          <w:rFonts w:hint="eastAsia" w:eastAsia="仿宋_GB2312"/>
          <w:sz w:val="32"/>
          <w:szCs w:val="32"/>
        </w:rPr>
        <w:t>5.92</w:t>
      </w:r>
      <w:r>
        <w:rPr>
          <w:rFonts w:eastAsia="仿宋_GB2312"/>
          <w:sz w:val="32"/>
          <w:szCs w:val="32"/>
        </w:rPr>
        <w:t>万元，完成预算100%，决算数等于预算数。</w:t>
      </w:r>
    </w:p>
    <w:p w14:paraId="051D5638">
      <w:pPr>
        <w:tabs>
          <w:tab w:val="right" w:pos="8306"/>
        </w:tabs>
        <w:spacing w:line="600" w:lineRule="exact"/>
        <w:ind w:firstLine="640"/>
        <w:outlineLvl w:val="1"/>
        <w:rPr>
          <w:rStyle w:val="30"/>
        </w:rPr>
      </w:pPr>
      <w:bookmarkStart w:id="85" w:name="_Toc31012_WPSOffice_Level2"/>
      <w:bookmarkStart w:id="86" w:name="_Toc15396608"/>
      <w:bookmarkStart w:id="87" w:name="_Toc15377214"/>
      <w:bookmarkStart w:id="88" w:name="_Toc19976_WPSOffice_Level2"/>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30"/>
          <w:rFonts w:hint="eastAsia" w:ascii="黑体" w:hAnsi="黑体" w:eastAsia="黑体"/>
          <w:b w:val="0"/>
        </w:rPr>
        <w:t>般公共预算财政拨款基本支出决算情况说明</w:t>
      </w:r>
      <w:bookmarkEnd w:id="85"/>
      <w:bookmarkEnd w:id="86"/>
      <w:bookmarkEnd w:id="87"/>
      <w:bookmarkEnd w:id="88"/>
      <w:r>
        <w:rPr>
          <w:rStyle w:val="30"/>
          <w:rFonts w:ascii="黑体" w:hAnsi="黑体" w:eastAsia="黑体"/>
          <w:b w:val="0"/>
        </w:rPr>
        <w:tab/>
      </w:r>
    </w:p>
    <w:p w14:paraId="00080781">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21年一般公共预算财政拨款基本支出321.80万元，其中：</w:t>
      </w:r>
    </w:p>
    <w:p w14:paraId="1CA51BD2">
      <w:pPr>
        <w:spacing w:line="600" w:lineRule="exact"/>
        <w:ind w:firstLine="645"/>
        <w:rPr>
          <w:rFonts w:ascii="仿宋" w:hAnsi="仿宋" w:eastAsia="仿宋"/>
          <w:b/>
          <w:sz w:val="32"/>
          <w:szCs w:val="32"/>
        </w:rPr>
      </w:pPr>
      <w:r>
        <w:rPr>
          <w:rFonts w:hint="eastAsia" w:ascii="仿宋" w:hAnsi="仿宋" w:eastAsia="仿宋"/>
          <w:sz w:val="32"/>
          <w:szCs w:val="32"/>
        </w:rPr>
        <w:t>人员经费299.11万元，主要包括：基本工资、津贴补贴、奖金、绩效工资、机关事业单位基本养老保险缴费、职业年金缴费、其他社会保障缴费、其他工资福利支出、离休费、退休费、抚恤金、生活补助、医疗费补助、奖励金、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公用经费22.69万元，主要包括：办公费、印刷费、水费、电费、邮电费、差旅费、维修（护）费、租赁费、会议费、培训费、公务接待费、劳务费、工会经费、福利费、其他交通费、其他商品和服务支出等。</w:t>
      </w:r>
    </w:p>
    <w:p w14:paraId="7A45A254">
      <w:pPr>
        <w:spacing w:line="600" w:lineRule="exact"/>
        <w:ind w:firstLine="640"/>
        <w:outlineLvl w:val="1"/>
        <w:rPr>
          <w:rStyle w:val="30"/>
          <w:rFonts w:ascii="黑体" w:hAnsi="黑体" w:eastAsia="黑体"/>
          <w:b w:val="0"/>
        </w:rPr>
      </w:pPr>
      <w:bookmarkStart w:id="89" w:name="_Toc31073_WPSOffice_Level2"/>
      <w:bookmarkStart w:id="90" w:name="_Toc15396609"/>
      <w:bookmarkStart w:id="91" w:name="_Toc8420_WPSOffice_Level2"/>
      <w:bookmarkStart w:id="92" w:name="_Toc15377215"/>
      <w:r>
        <w:rPr>
          <w:rFonts w:hint="eastAsia" w:ascii="黑体" w:eastAsia="黑体"/>
          <w:sz w:val="32"/>
          <w:szCs w:val="32"/>
        </w:rPr>
        <w:t>七、</w:t>
      </w:r>
      <w:r>
        <w:rPr>
          <w:rStyle w:val="30"/>
          <w:rFonts w:hint="eastAsia" w:ascii="黑体" w:hAnsi="黑体" w:eastAsia="黑体"/>
        </w:rPr>
        <w:t>“</w:t>
      </w:r>
      <w:r>
        <w:rPr>
          <w:rStyle w:val="30"/>
          <w:rFonts w:hint="eastAsia" w:ascii="黑体" w:hAnsi="黑体" w:eastAsia="黑体"/>
          <w:b w:val="0"/>
        </w:rPr>
        <w:t>三公”经费财政拨款支出决算情况说明</w:t>
      </w:r>
      <w:bookmarkEnd w:id="89"/>
      <w:bookmarkEnd w:id="90"/>
      <w:bookmarkEnd w:id="91"/>
      <w:bookmarkEnd w:id="92"/>
    </w:p>
    <w:p w14:paraId="63F0B61B">
      <w:pPr>
        <w:spacing w:line="600" w:lineRule="exact"/>
        <w:ind w:firstLine="640"/>
        <w:outlineLvl w:val="2"/>
        <w:rPr>
          <w:rFonts w:ascii="仿宋" w:hAnsi="仿宋" w:eastAsia="仿宋"/>
          <w:b/>
          <w:sz w:val="32"/>
          <w:szCs w:val="32"/>
        </w:rPr>
      </w:pPr>
      <w:bookmarkStart w:id="93" w:name="_Toc15377216"/>
      <w:r>
        <w:rPr>
          <w:rFonts w:hint="eastAsia" w:ascii="仿宋" w:hAnsi="仿宋" w:eastAsia="仿宋"/>
          <w:b/>
          <w:sz w:val="32"/>
          <w:szCs w:val="32"/>
        </w:rPr>
        <w:t>（一）“三公”经费财政拨款支出决算总体情况说明</w:t>
      </w:r>
      <w:bookmarkEnd w:id="93"/>
    </w:p>
    <w:p w14:paraId="25A96162">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21年“三公”经费财政拨款支出决算为0.17万元，完成预算100</w:t>
      </w:r>
      <w:r>
        <w:rPr>
          <w:rFonts w:ascii="仿宋" w:hAnsi="仿宋" w:eastAsia="仿宋"/>
          <w:sz w:val="32"/>
          <w:szCs w:val="32"/>
        </w:rPr>
        <w:t>%</w:t>
      </w:r>
      <w:r>
        <w:rPr>
          <w:rFonts w:hint="eastAsia" w:ascii="仿宋" w:hAnsi="仿宋" w:eastAsia="仿宋"/>
          <w:sz w:val="32"/>
          <w:szCs w:val="32"/>
        </w:rPr>
        <w:t>，决算数与预算数持平。</w:t>
      </w:r>
    </w:p>
    <w:p w14:paraId="41B8C4E9">
      <w:pPr>
        <w:spacing w:line="600" w:lineRule="exact"/>
        <w:ind w:firstLine="640"/>
        <w:outlineLvl w:val="2"/>
        <w:rPr>
          <w:rFonts w:ascii="仿宋" w:hAnsi="仿宋" w:eastAsia="仿宋"/>
          <w:b/>
          <w:sz w:val="32"/>
          <w:szCs w:val="32"/>
        </w:rPr>
      </w:pPr>
      <w:bookmarkStart w:id="94" w:name="_Toc15377217"/>
      <w:r>
        <w:rPr>
          <w:rFonts w:hint="eastAsia" w:ascii="仿宋" w:hAnsi="仿宋" w:eastAsia="仿宋"/>
          <w:b/>
          <w:sz w:val="32"/>
          <w:szCs w:val="32"/>
        </w:rPr>
        <w:t>（二）“三公”经费财政拨款支出决算具体情况说明</w:t>
      </w:r>
      <w:bookmarkEnd w:id="94"/>
    </w:p>
    <w:p w14:paraId="7C0E8BF1">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21年“三公”经费财政拨款支出决算中，因公出国（境）费支出决算0万元，占0</w:t>
      </w:r>
      <w:r>
        <w:rPr>
          <w:rFonts w:ascii="仿宋" w:hAnsi="仿宋" w:eastAsia="仿宋"/>
          <w:sz w:val="32"/>
          <w:szCs w:val="32"/>
        </w:rPr>
        <w:t>%</w:t>
      </w:r>
      <w:r>
        <w:rPr>
          <w:rFonts w:hint="eastAsia" w:ascii="仿宋" w:hAnsi="仿宋" w:eastAsia="仿宋"/>
          <w:sz w:val="32"/>
          <w:szCs w:val="32"/>
        </w:rPr>
        <w:t>；公务用车购置及运行维护费支出决算0万元，占0</w:t>
      </w:r>
      <w:r>
        <w:rPr>
          <w:rFonts w:ascii="仿宋" w:hAnsi="仿宋" w:eastAsia="仿宋"/>
          <w:sz w:val="32"/>
          <w:szCs w:val="32"/>
        </w:rPr>
        <w:t>%</w:t>
      </w:r>
      <w:r>
        <w:rPr>
          <w:rFonts w:hint="eastAsia" w:ascii="仿宋" w:hAnsi="仿宋" w:eastAsia="仿宋"/>
          <w:sz w:val="32"/>
          <w:szCs w:val="32"/>
        </w:rPr>
        <w:t>；公务接待费支出决算0.17万元，占100</w:t>
      </w:r>
      <w:r>
        <w:rPr>
          <w:rFonts w:ascii="仿宋" w:hAnsi="仿宋" w:eastAsia="仿宋"/>
          <w:sz w:val="32"/>
          <w:szCs w:val="32"/>
        </w:rPr>
        <w:t>%</w:t>
      </w:r>
      <w:r>
        <w:rPr>
          <w:rFonts w:hint="eastAsia" w:ascii="仿宋" w:hAnsi="仿宋" w:eastAsia="仿宋"/>
          <w:sz w:val="32"/>
          <w:szCs w:val="32"/>
        </w:rPr>
        <w:t>。具体情况如下：</w:t>
      </w:r>
    </w:p>
    <w:p w14:paraId="087176BD">
      <w:pPr>
        <w:pStyle w:val="2"/>
      </w:pPr>
      <w:r>
        <w:drawing>
          <wp:inline distT="0" distB="0" distL="114300" distR="114300">
            <wp:extent cx="5267960" cy="2740660"/>
            <wp:effectExtent l="4445" t="4445" r="23495" b="17145"/>
            <wp:docPr id="3141"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0F1FF6C8">
      <w:pPr>
        <w:spacing w:line="600" w:lineRule="exact"/>
        <w:ind w:firstLine="640"/>
        <w:rPr>
          <w:rFonts w:ascii="仿宋_GB2312" w:eastAsia="仿宋_GB2312"/>
          <w:b/>
          <w:bCs/>
          <w:color w:val="000000"/>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rPr>
        <w:t>0万元，</w:t>
      </w:r>
      <w:r>
        <w:rPr>
          <w:rStyle w:val="18"/>
          <w:rFonts w:hint="eastAsia" w:ascii="仿宋" w:hAnsi="仿宋" w:eastAsia="仿宋"/>
          <w:b w:val="0"/>
          <w:bCs/>
          <w:sz w:val="32"/>
          <w:szCs w:val="32"/>
        </w:rPr>
        <w:t>完成预算0</w:t>
      </w:r>
      <w:r>
        <w:rPr>
          <w:rStyle w:val="18"/>
          <w:rFonts w:ascii="仿宋" w:hAnsi="仿宋" w:eastAsia="仿宋"/>
          <w:b w:val="0"/>
          <w:bCs/>
          <w:sz w:val="32"/>
          <w:szCs w:val="32"/>
        </w:rPr>
        <w:t>%</w:t>
      </w:r>
      <w:r>
        <w:rPr>
          <w:rStyle w:val="18"/>
          <w:rFonts w:hint="eastAsia" w:ascii="仿宋" w:hAnsi="仿宋" w:eastAsia="仿宋"/>
          <w:b w:val="0"/>
          <w:bCs/>
          <w:sz w:val="32"/>
          <w:szCs w:val="32"/>
        </w:rPr>
        <w:t>。</w:t>
      </w:r>
      <w:r>
        <w:rPr>
          <w:rFonts w:hint="eastAsia" w:ascii="仿宋_GB2312" w:eastAsia="仿宋_GB2312"/>
          <w:sz w:val="32"/>
          <w:szCs w:val="32"/>
        </w:rPr>
        <w:t>全年安排因公出国（境）团组0次，出国（境）0人。</w:t>
      </w:r>
      <w:r>
        <w:rPr>
          <w:rFonts w:hint="eastAsia" w:ascii="仿宋_GB2312" w:eastAsia="仿宋_GB2312" w:cs="仿宋_GB2312"/>
          <w:color w:val="000000"/>
          <w:sz w:val="32"/>
          <w:szCs w:val="32"/>
        </w:rPr>
        <w:t>因公出国（境）支出决算比2020年无变动。主要原因是我单位无因公出国（境）支出。</w:t>
      </w:r>
    </w:p>
    <w:p w14:paraId="6319A2BC">
      <w:pPr>
        <w:spacing w:line="600" w:lineRule="exact"/>
        <w:ind w:firstLine="640"/>
        <w:rPr>
          <w:rFonts w:ascii="仿宋_GB2312" w:eastAsia="仿宋_GB2312"/>
          <w:sz w:val="32"/>
          <w:szCs w:val="32"/>
        </w:rPr>
      </w:pPr>
      <w:r>
        <w:rPr>
          <w:rFonts w:hint="eastAsia" w:ascii="仿宋_GB2312" w:eastAsia="仿宋_GB2312"/>
          <w:sz w:val="32"/>
          <w:szCs w:val="32"/>
        </w:rPr>
        <w:t>开支内容包括：（团组名称、出访地点、取得成效）等。</w:t>
      </w:r>
    </w:p>
    <w:p w14:paraId="027C3EC2">
      <w:pPr>
        <w:spacing w:line="600" w:lineRule="exact"/>
        <w:ind w:firstLine="640"/>
        <w:rPr>
          <w:rFonts w:ascii="仿宋_GB2312" w:eastAsia="仿宋_GB2312"/>
          <w:b/>
          <w:bCs/>
          <w:color w:val="000000"/>
          <w:sz w:val="32"/>
          <w:szCs w:val="32"/>
        </w:rPr>
      </w:pPr>
      <w:bookmarkStart w:id="95" w:name="_Toc15377218"/>
      <w:bookmarkStart w:id="96" w:name="_Toc15396610"/>
      <w:r>
        <w:rPr>
          <w:rFonts w:ascii="仿宋_GB2312" w:eastAsia="仿宋_GB2312" w:cs="仿宋_GB2312"/>
          <w:b/>
          <w:bCs/>
          <w:color w:val="000000"/>
          <w:sz w:val="32"/>
          <w:szCs w:val="32"/>
        </w:rPr>
        <w:t>2.</w:t>
      </w:r>
      <w:r>
        <w:rPr>
          <w:rFonts w:hint="eastAsia" w:ascii="仿宋_GB2312" w:eastAsia="仿宋_GB2312" w:cs="仿宋_GB2312"/>
          <w:b/>
          <w:bCs/>
          <w:color w:val="000000"/>
          <w:sz w:val="32"/>
          <w:szCs w:val="32"/>
        </w:rPr>
        <w:t>公务用车购置及运行维护费支出</w:t>
      </w:r>
      <w:r>
        <w:rPr>
          <w:rFonts w:ascii="仿宋_GB2312" w:eastAsia="仿宋_GB2312" w:cs="仿宋_GB2312"/>
          <w:color w:val="000000"/>
          <w:sz w:val="32"/>
          <w:szCs w:val="32"/>
        </w:rPr>
        <w:t>0</w:t>
      </w:r>
      <w:r>
        <w:rPr>
          <w:rFonts w:hint="eastAsia" w:ascii="仿宋_GB2312" w:eastAsia="仿宋_GB2312" w:cs="仿宋_GB2312"/>
          <w:color w:val="000000"/>
          <w:sz w:val="32"/>
          <w:szCs w:val="32"/>
        </w:rPr>
        <w:t>万元</w:t>
      </w:r>
      <w:r>
        <w:rPr>
          <w:rFonts w:ascii="仿宋_GB2312" w:eastAsia="仿宋_GB2312" w:cs="仿宋_GB2312"/>
          <w:color w:val="000000"/>
          <w:sz w:val="32"/>
          <w:szCs w:val="32"/>
        </w:rPr>
        <w:t>,</w:t>
      </w:r>
      <w:r>
        <w:rPr>
          <w:rStyle w:val="18"/>
          <w:rFonts w:hint="eastAsia" w:ascii="仿宋" w:hAnsi="仿宋" w:eastAsia="仿宋" w:cs="仿宋"/>
          <w:b w:val="0"/>
          <w:color w:val="000000"/>
          <w:sz w:val="32"/>
          <w:szCs w:val="32"/>
        </w:rPr>
        <w:t>完成预算</w:t>
      </w:r>
      <w:r>
        <w:rPr>
          <w:rStyle w:val="18"/>
          <w:rFonts w:ascii="仿宋" w:hAnsi="仿宋" w:eastAsia="仿宋" w:cs="仿宋"/>
          <w:b w:val="0"/>
          <w:color w:val="000000"/>
          <w:sz w:val="32"/>
          <w:szCs w:val="32"/>
        </w:rPr>
        <w:t>0%</w:t>
      </w:r>
      <w:r>
        <w:rPr>
          <w:rStyle w:val="18"/>
          <w:rFonts w:hint="eastAsia" w:ascii="仿宋" w:hAnsi="仿宋" w:eastAsia="仿宋" w:cs="仿宋"/>
          <w:b w:val="0"/>
          <w:color w:val="000000"/>
          <w:sz w:val="32"/>
          <w:szCs w:val="32"/>
        </w:rPr>
        <w:t>。</w:t>
      </w:r>
      <w:r>
        <w:rPr>
          <w:rFonts w:hint="eastAsia" w:ascii="仿宋_GB2312" w:eastAsia="仿宋_GB2312" w:cs="仿宋_GB2312"/>
          <w:color w:val="000000"/>
          <w:sz w:val="32"/>
          <w:szCs w:val="32"/>
        </w:rPr>
        <w:t>公务用车购置及运行维护费支出决算比2020年无变动。主要原因是我单位无公务用车购置及运行维护费支出。</w:t>
      </w:r>
    </w:p>
    <w:p w14:paraId="424BC5D3">
      <w:pPr>
        <w:spacing w:line="600" w:lineRule="exact"/>
        <w:ind w:firstLine="640"/>
        <w:rPr>
          <w:rFonts w:ascii="仿宋_GB2312" w:eastAsia="仿宋_GB2312"/>
          <w:color w:val="000000"/>
          <w:sz w:val="32"/>
          <w:szCs w:val="32"/>
        </w:rPr>
      </w:pPr>
      <w:r>
        <w:rPr>
          <w:rFonts w:hint="eastAsia" w:ascii="仿宋_GB2312" w:eastAsia="仿宋_GB2312" w:cs="仿宋_GB2312"/>
          <w:color w:val="000000"/>
          <w:sz w:val="32"/>
          <w:szCs w:val="32"/>
        </w:rPr>
        <w:t>其中：</w:t>
      </w:r>
      <w:r>
        <w:rPr>
          <w:rFonts w:hint="eastAsia" w:ascii="仿宋_GB2312" w:eastAsia="仿宋_GB2312" w:cs="仿宋_GB2312"/>
          <w:b/>
          <w:bCs/>
          <w:color w:val="000000"/>
          <w:sz w:val="32"/>
          <w:szCs w:val="32"/>
        </w:rPr>
        <w:t>公务用车购置支出</w:t>
      </w:r>
      <w:r>
        <w:rPr>
          <w:rFonts w:ascii="仿宋_GB2312" w:eastAsia="仿宋_GB2312" w:cs="仿宋_GB2312"/>
          <w:color w:val="000000"/>
          <w:sz w:val="32"/>
          <w:szCs w:val="32"/>
        </w:rPr>
        <w:t>0</w:t>
      </w:r>
      <w:r>
        <w:rPr>
          <w:rFonts w:hint="eastAsia" w:ascii="仿宋_GB2312" w:eastAsia="仿宋_GB2312" w:cs="仿宋_GB2312"/>
          <w:color w:val="000000"/>
          <w:sz w:val="32"/>
          <w:szCs w:val="32"/>
        </w:rPr>
        <w:t>万元。全年按规定更新购置公务用车</w:t>
      </w:r>
      <w:r>
        <w:rPr>
          <w:rFonts w:ascii="仿宋_GB2312" w:eastAsia="仿宋_GB2312" w:cs="仿宋_GB2312"/>
          <w:color w:val="000000"/>
          <w:sz w:val="32"/>
          <w:szCs w:val="32"/>
        </w:rPr>
        <w:t>0</w:t>
      </w:r>
      <w:r>
        <w:rPr>
          <w:rFonts w:hint="eastAsia" w:ascii="仿宋_GB2312" w:eastAsia="仿宋_GB2312" w:cs="仿宋_GB2312"/>
          <w:color w:val="000000"/>
          <w:sz w:val="32"/>
          <w:szCs w:val="32"/>
        </w:rPr>
        <w:t>辆，金额</w:t>
      </w:r>
      <w:r>
        <w:rPr>
          <w:rFonts w:ascii="仿宋_GB2312" w:eastAsia="仿宋_GB2312" w:cs="仿宋_GB2312"/>
          <w:color w:val="000000"/>
          <w:sz w:val="32"/>
          <w:szCs w:val="32"/>
        </w:rPr>
        <w:t>0</w:t>
      </w:r>
      <w:r>
        <w:rPr>
          <w:rFonts w:hint="eastAsia" w:ascii="仿宋_GB2312" w:eastAsia="仿宋_GB2312" w:cs="仿宋_GB2312"/>
          <w:color w:val="000000"/>
          <w:sz w:val="32"/>
          <w:szCs w:val="32"/>
        </w:rPr>
        <w:t>元。截至2021年</w:t>
      </w:r>
      <w:r>
        <w:rPr>
          <w:rFonts w:ascii="仿宋_GB2312" w:eastAsia="仿宋_GB2312" w:cs="仿宋_GB2312"/>
          <w:color w:val="000000"/>
          <w:sz w:val="32"/>
          <w:szCs w:val="32"/>
        </w:rPr>
        <w:t>12</w:t>
      </w:r>
      <w:r>
        <w:rPr>
          <w:rFonts w:hint="eastAsia" w:ascii="仿宋_GB2312" w:eastAsia="仿宋_GB2312" w:cs="仿宋_GB2312"/>
          <w:color w:val="000000"/>
          <w:sz w:val="32"/>
          <w:szCs w:val="32"/>
        </w:rPr>
        <w:t>月底，单位共有公务用车</w:t>
      </w:r>
      <w:r>
        <w:rPr>
          <w:rFonts w:ascii="仿宋_GB2312" w:eastAsia="仿宋_GB2312" w:cs="仿宋_GB2312"/>
          <w:color w:val="000000"/>
          <w:sz w:val="32"/>
          <w:szCs w:val="32"/>
        </w:rPr>
        <w:t>0</w:t>
      </w:r>
      <w:r>
        <w:rPr>
          <w:rFonts w:hint="eastAsia" w:ascii="仿宋_GB2312" w:eastAsia="仿宋_GB2312" w:cs="仿宋_GB2312"/>
          <w:color w:val="000000"/>
          <w:sz w:val="32"/>
          <w:szCs w:val="32"/>
        </w:rPr>
        <w:t>辆，其中：主要领导干部用车</w:t>
      </w:r>
      <w:r>
        <w:rPr>
          <w:rFonts w:ascii="仿宋_GB2312" w:eastAsia="仿宋_GB2312" w:cs="仿宋_GB2312"/>
          <w:color w:val="000000"/>
          <w:sz w:val="32"/>
          <w:szCs w:val="32"/>
        </w:rPr>
        <w:t>0</w:t>
      </w:r>
      <w:r>
        <w:rPr>
          <w:rFonts w:hint="eastAsia" w:ascii="仿宋_GB2312" w:eastAsia="仿宋_GB2312" w:cs="仿宋_GB2312"/>
          <w:color w:val="000000"/>
          <w:sz w:val="32"/>
          <w:szCs w:val="32"/>
        </w:rPr>
        <w:t>辆、机要通信用车</w:t>
      </w:r>
      <w:r>
        <w:rPr>
          <w:rFonts w:ascii="仿宋_GB2312" w:eastAsia="仿宋_GB2312" w:cs="仿宋_GB2312"/>
          <w:color w:val="000000"/>
          <w:sz w:val="32"/>
          <w:szCs w:val="32"/>
        </w:rPr>
        <w:t>0</w:t>
      </w:r>
      <w:r>
        <w:rPr>
          <w:rFonts w:hint="eastAsia" w:ascii="仿宋_GB2312" w:eastAsia="仿宋_GB2312" w:cs="仿宋_GB2312"/>
          <w:color w:val="000000"/>
          <w:sz w:val="32"/>
          <w:szCs w:val="32"/>
        </w:rPr>
        <w:t>辆、应急保障用车</w:t>
      </w:r>
      <w:r>
        <w:rPr>
          <w:rFonts w:ascii="仿宋_GB2312" w:eastAsia="仿宋_GB2312" w:cs="仿宋_GB2312"/>
          <w:color w:val="000000"/>
          <w:sz w:val="32"/>
          <w:szCs w:val="32"/>
        </w:rPr>
        <w:t>0</w:t>
      </w:r>
      <w:r>
        <w:rPr>
          <w:rFonts w:hint="eastAsia" w:ascii="仿宋_GB2312" w:eastAsia="仿宋_GB2312" w:cs="仿宋_GB2312"/>
          <w:color w:val="000000"/>
          <w:sz w:val="32"/>
          <w:szCs w:val="32"/>
        </w:rPr>
        <w:t>辆、执法执勤用车</w:t>
      </w:r>
      <w:r>
        <w:rPr>
          <w:rFonts w:ascii="仿宋_GB2312" w:eastAsia="仿宋_GB2312" w:cs="仿宋_GB2312"/>
          <w:color w:val="000000"/>
          <w:sz w:val="32"/>
          <w:szCs w:val="32"/>
        </w:rPr>
        <w:t>0</w:t>
      </w:r>
      <w:r>
        <w:rPr>
          <w:rFonts w:hint="eastAsia" w:ascii="仿宋_GB2312" w:eastAsia="仿宋_GB2312" w:cs="仿宋_GB2312"/>
          <w:color w:val="000000"/>
          <w:sz w:val="32"/>
          <w:szCs w:val="32"/>
        </w:rPr>
        <w:t>辆。</w:t>
      </w:r>
    </w:p>
    <w:p w14:paraId="6D7B1B5D">
      <w:pPr>
        <w:spacing w:line="600" w:lineRule="exact"/>
        <w:ind w:firstLine="640"/>
        <w:rPr>
          <w:rFonts w:ascii="仿宋_GB2312" w:eastAsia="仿宋_GB2312"/>
          <w:color w:val="000000"/>
          <w:sz w:val="32"/>
          <w:szCs w:val="32"/>
        </w:rPr>
      </w:pPr>
      <w:r>
        <w:rPr>
          <w:rFonts w:hint="eastAsia" w:ascii="仿宋_GB2312" w:eastAsia="仿宋_GB2312" w:cs="仿宋_GB2312"/>
          <w:b/>
          <w:bCs/>
          <w:color w:val="000000"/>
          <w:sz w:val="32"/>
          <w:szCs w:val="32"/>
        </w:rPr>
        <w:t>公务用车运行维护费支出</w:t>
      </w:r>
      <w:r>
        <w:rPr>
          <w:rFonts w:ascii="仿宋_GB2312" w:eastAsia="仿宋_GB2312" w:cs="仿宋_GB2312"/>
          <w:color w:val="000000"/>
          <w:sz w:val="32"/>
          <w:szCs w:val="32"/>
        </w:rPr>
        <w:t>0</w:t>
      </w:r>
      <w:r>
        <w:rPr>
          <w:rFonts w:hint="eastAsia" w:ascii="仿宋_GB2312" w:eastAsia="仿宋_GB2312" w:cs="仿宋_GB2312"/>
          <w:color w:val="000000"/>
          <w:sz w:val="32"/>
          <w:szCs w:val="32"/>
        </w:rPr>
        <w:t>万元。主要用于（具体工作）等所需的公务用车燃料费、维修费、过路过桥费、保险费等支出。</w:t>
      </w:r>
    </w:p>
    <w:p w14:paraId="781AC136">
      <w:pPr>
        <w:spacing w:line="600" w:lineRule="exact"/>
        <w:ind w:firstLine="640"/>
        <w:rPr>
          <w:rFonts w:ascii="仿宋_GB2312" w:eastAsia="仿宋_GB2312"/>
          <w:color w:val="000000"/>
          <w:sz w:val="32"/>
          <w:szCs w:val="32"/>
        </w:rPr>
      </w:pPr>
      <w:r>
        <w:rPr>
          <w:rFonts w:ascii="仿宋_GB2312" w:eastAsia="仿宋_GB2312" w:cs="仿宋_GB2312"/>
          <w:b/>
          <w:bCs/>
          <w:color w:val="000000"/>
          <w:sz w:val="32"/>
          <w:szCs w:val="32"/>
        </w:rPr>
        <w:t>3.</w:t>
      </w:r>
      <w:r>
        <w:rPr>
          <w:rFonts w:hint="eastAsia" w:ascii="仿宋_GB2312" w:eastAsia="仿宋_GB2312" w:cs="仿宋_GB2312"/>
          <w:b/>
          <w:bCs/>
          <w:color w:val="000000"/>
          <w:sz w:val="32"/>
          <w:szCs w:val="32"/>
        </w:rPr>
        <w:t>公务接待费支出</w:t>
      </w:r>
      <w:r>
        <w:rPr>
          <w:rFonts w:hint="eastAsia" w:ascii="仿宋_GB2312" w:eastAsia="仿宋_GB2312" w:cs="仿宋_GB2312"/>
          <w:color w:val="000000"/>
          <w:sz w:val="32"/>
          <w:szCs w:val="32"/>
        </w:rPr>
        <w:t>0.17万元，</w:t>
      </w:r>
      <w:r>
        <w:rPr>
          <w:rStyle w:val="18"/>
          <w:rFonts w:hint="eastAsia" w:ascii="仿宋" w:hAnsi="仿宋" w:eastAsia="仿宋" w:cs="仿宋"/>
          <w:b w:val="0"/>
          <w:color w:val="000000"/>
          <w:sz w:val="32"/>
          <w:szCs w:val="32"/>
        </w:rPr>
        <w:t>完成预算10</w:t>
      </w:r>
      <w:r>
        <w:rPr>
          <w:rStyle w:val="18"/>
          <w:rFonts w:ascii="仿宋" w:hAnsi="仿宋" w:eastAsia="仿宋" w:cs="仿宋"/>
          <w:b w:val="0"/>
          <w:color w:val="000000"/>
          <w:sz w:val="32"/>
          <w:szCs w:val="32"/>
        </w:rPr>
        <w:t>0%</w:t>
      </w:r>
      <w:r>
        <w:rPr>
          <w:rStyle w:val="18"/>
          <w:rFonts w:hint="eastAsia" w:ascii="仿宋" w:hAnsi="仿宋" w:eastAsia="仿宋" w:cs="仿宋"/>
          <w:b w:val="0"/>
          <w:color w:val="000000"/>
          <w:sz w:val="32"/>
          <w:szCs w:val="32"/>
        </w:rPr>
        <w:t>。</w:t>
      </w:r>
      <w:r>
        <w:rPr>
          <w:rFonts w:hint="eastAsia" w:ascii="仿宋_GB2312" w:eastAsia="仿宋_GB2312" w:cs="仿宋_GB2312"/>
          <w:color w:val="000000"/>
          <w:sz w:val="32"/>
          <w:szCs w:val="32"/>
        </w:rPr>
        <w:t>公务接待费支出决算比2020年减少0.60万元，下降77.92</w:t>
      </w:r>
      <w:r>
        <w:rPr>
          <w:rFonts w:ascii="仿宋_GB2312" w:eastAsia="仿宋_GB2312" w:cs="仿宋_GB2312"/>
          <w:color w:val="000000"/>
          <w:sz w:val="32"/>
          <w:szCs w:val="32"/>
        </w:rPr>
        <w:t>%</w:t>
      </w:r>
      <w:r>
        <w:rPr>
          <w:rFonts w:hint="eastAsia" w:ascii="仿宋_GB2312" w:eastAsia="仿宋_GB2312" w:cs="仿宋_GB2312"/>
          <w:color w:val="000000"/>
          <w:sz w:val="32"/>
          <w:szCs w:val="32"/>
        </w:rPr>
        <w:t>。主要原因是2021年公务接待支出减少。其中：</w:t>
      </w:r>
    </w:p>
    <w:p w14:paraId="12398254">
      <w:pPr>
        <w:spacing w:line="600" w:lineRule="exact"/>
        <w:ind w:firstLine="643" w:firstLineChars="200"/>
        <w:rPr>
          <w:rFonts w:ascii="仿宋_GB2312" w:eastAsia="仿宋_GB2312"/>
          <w:color w:val="000000"/>
          <w:sz w:val="32"/>
          <w:szCs w:val="32"/>
        </w:rPr>
      </w:pPr>
      <w:r>
        <w:rPr>
          <w:rFonts w:hint="eastAsia" w:ascii="仿宋" w:hAnsi="仿宋" w:eastAsia="仿宋" w:cs="仿宋"/>
          <w:b/>
          <w:bCs/>
          <w:color w:val="000000"/>
          <w:sz w:val="32"/>
          <w:szCs w:val="32"/>
        </w:rPr>
        <w:t>国内公务接待支出</w:t>
      </w:r>
      <w:r>
        <w:rPr>
          <w:rFonts w:hint="eastAsia" w:ascii="仿宋" w:hAnsi="仿宋" w:eastAsia="仿宋" w:cs="仿宋"/>
          <w:color w:val="000000"/>
          <w:sz w:val="32"/>
          <w:szCs w:val="32"/>
        </w:rPr>
        <w:t>0.17</w:t>
      </w:r>
      <w:r>
        <w:rPr>
          <w:rFonts w:hint="eastAsia" w:ascii="仿宋_GB2312" w:eastAsia="仿宋_GB2312" w:cs="仿宋_GB2312"/>
          <w:color w:val="000000"/>
          <w:sz w:val="32"/>
          <w:szCs w:val="32"/>
        </w:rPr>
        <w:t>万元，</w:t>
      </w:r>
      <w:r>
        <w:rPr>
          <w:rFonts w:hint="eastAsia" w:ascii="仿宋_GB2312" w:eastAsia="仿宋_GB2312"/>
          <w:color w:val="000000"/>
          <w:sz w:val="32"/>
          <w:szCs w:val="32"/>
        </w:rPr>
        <w:t>主要用于执行公务、开展业务活动开支的交通费、住宿费、用餐费等。国内公务接待6批次，22人次（不包括陪同人员），共计支出0.17万元，具体内容包括：上级单位到我单位检查工作接待支出0.17万元。</w:t>
      </w:r>
    </w:p>
    <w:p w14:paraId="6DA1F34F">
      <w:pPr>
        <w:spacing w:line="600" w:lineRule="exact"/>
        <w:ind w:firstLine="643" w:firstLineChars="200"/>
        <w:rPr>
          <w:rFonts w:ascii="黑体" w:eastAsia="黑体"/>
          <w:color w:val="000000"/>
          <w:sz w:val="32"/>
          <w:szCs w:val="32"/>
        </w:rPr>
      </w:pPr>
      <w:r>
        <w:rPr>
          <w:rFonts w:hint="eastAsia" w:ascii="仿宋" w:hAnsi="仿宋" w:eastAsia="仿宋" w:cs="仿宋"/>
          <w:b/>
          <w:bCs/>
          <w:color w:val="000000"/>
          <w:sz w:val="32"/>
          <w:szCs w:val="32"/>
        </w:rPr>
        <w:t>外事接待支出</w:t>
      </w:r>
      <w:r>
        <w:rPr>
          <w:rFonts w:ascii="仿宋" w:hAnsi="仿宋" w:eastAsia="仿宋" w:cs="仿宋"/>
          <w:color w:val="000000"/>
          <w:sz w:val="32"/>
          <w:szCs w:val="32"/>
        </w:rPr>
        <w:t>0</w:t>
      </w:r>
      <w:r>
        <w:rPr>
          <w:rFonts w:hint="eastAsia" w:ascii="仿宋_GB2312" w:eastAsia="仿宋_GB2312" w:cs="仿宋_GB2312"/>
          <w:color w:val="000000"/>
          <w:sz w:val="32"/>
          <w:szCs w:val="32"/>
        </w:rPr>
        <w:t>万元，外事接待</w:t>
      </w:r>
      <w:r>
        <w:rPr>
          <w:rFonts w:ascii="仿宋_GB2312" w:eastAsia="仿宋_GB2312" w:cs="仿宋_GB2312"/>
          <w:color w:val="000000"/>
          <w:sz w:val="32"/>
          <w:szCs w:val="32"/>
        </w:rPr>
        <w:t>0</w:t>
      </w:r>
      <w:r>
        <w:rPr>
          <w:rFonts w:hint="eastAsia" w:ascii="仿宋_GB2312" w:eastAsia="仿宋_GB2312" w:cs="仿宋_GB2312"/>
          <w:color w:val="000000"/>
          <w:sz w:val="32"/>
          <w:szCs w:val="32"/>
        </w:rPr>
        <w:t>批次，</w:t>
      </w:r>
      <w:r>
        <w:rPr>
          <w:rFonts w:ascii="仿宋_GB2312" w:eastAsia="仿宋_GB2312" w:cs="仿宋_GB2312"/>
          <w:color w:val="000000"/>
          <w:sz w:val="32"/>
          <w:szCs w:val="32"/>
        </w:rPr>
        <w:t>0</w:t>
      </w:r>
      <w:r>
        <w:rPr>
          <w:rFonts w:hint="eastAsia" w:ascii="仿宋_GB2312" w:eastAsia="仿宋_GB2312" w:cs="仿宋_GB2312"/>
          <w:color w:val="000000"/>
          <w:sz w:val="32"/>
          <w:szCs w:val="32"/>
        </w:rPr>
        <w:t>人，共计支出</w:t>
      </w:r>
      <w:r>
        <w:rPr>
          <w:rFonts w:ascii="仿宋_GB2312" w:eastAsia="仿宋_GB2312" w:cs="仿宋_GB2312"/>
          <w:color w:val="000000"/>
          <w:sz w:val="32"/>
          <w:szCs w:val="32"/>
        </w:rPr>
        <w:t>0</w:t>
      </w:r>
      <w:r>
        <w:rPr>
          <w:rFonts w:hint="eastAsia" w:ascii="仿宋_GB2312" w:eastAsia="仿宋_GB2312" w:cs="仿宋_GB2312"/>
          <w:color w:val="000000"/>
          <w:sz w:val="32"/>
          <w:szCs w:val="32"/>
        </w:rPr>
        <w:t>万元，主要用于接待（具体项目）</w:t>
      </w:r>
    </w:p>
    <w:p w14:paraId="7EF02A1D">
      <w:pPr>
        <w:spacing w:line="600" w:lineRule="exact"/>
        <w:ind w:firstLine="640"/>
        <w:outlineLvl w:val="1"/>
        <w:rPr>
          <w:rStyle w:val="30"/>
          <w:rFonts w:ascii="黑体" w:hAnsi="黑体" w:eastAsia="黑体"/>
        </w:rPr>
      </w:pPr>
      <w:bookmarkStart w:id="97" w:name="_Toc32051_WPSOffice_Level2"/>
      <w:bookmarkStart w:id="98" w:name="_Toc14938_WPSOffice_Level2"/>
      <w:r>
        <w:rPr>
          <w:rFonts w:hint="eastAsia" w:ascii="黑体" w:eastAsia="黑体"/>
          <w:sz w:val="32"/>
          <w:szCs w:val="32"/>
        </w:rPr>
        <w:t>八、</w:t>
      </w:r>
      <w:r>
        <w:rPr>
          <w:rStyle w:val="30"/>
          <w:rFonts w:hint="eastAsia" w:ascii="黑体" w:hAnsi="黑体" w:eastAsia="黑体"/>
          <w:b w:val="0"/>
        </w:rPr>
        <w:t>政府性基金预算支出决算情况说明</w:t>
      </w:r>
      <w:bookmarkEnd w:id="95"/>
      <w:bookmarkEnd w:id="96"/>
      <w:bookmarkEnd w:id="97"/>
      <w:bookmarkEnd w:id="98"/>
    </w:p>
    <w:p w14:paraId="5E5586C7">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21年政府性基金预算财政拨款支出0万元。</w:t>
      </w:r>
    </w:p>
    <w:p w14:paraId="458149EB">
      <w:pPr>
        <w:spacing w:line="600" w:lineRule="exact"/>
        <w:ind w:firstLine="640"/>
        <w:rPr>
          <w:rFonts w:ascii="仿宋_GB2312" w:eastAsia="仿宋_GB2312"/>
          <w:sz w:val="32"/>
          <w:szCs w:val="32"/>
        </w:rPr>
      </w:pPr>
    </w:p>
    <w:p w14:paraId="0EACAAEA">
      <w:pPr>
        <w:numPr>
          <w:ilvl w:val="0"/>
          <w:numId w:val="2"/>
        </w:numPr>
        <w:spacing w:line="600" w:lineRule="exact"/>
        <w:ind w:firstLine="640"/>
        <w:outlineLvl w:val="1"/>
        <w:rPr>
          <w:rStyle w:val="30"/>
          <w:rFonts w:ascii="黑体" w:hAnsi="黑体" w:eastAsia="黑体"/>
          <w:b w:val="0"/>
        </w:rPr>
      </w:pPr>
      <w:bookmarkStart w:id="99" w:name="_Toc30554_WPSOffice_Level2"/>
      <w:bookmarkStart w:id="100" w:name="_Toc23113_WPSOffice_Level2"/>
      <w:bookmarkStart w:id="101" w:name="_Toc15396611"/>
      <w:bookmarkStart w:id="102" w:name="_Toc15377219"/>
      <w:r>
        <w:rPr>
          <w:rStyle w:val="30"/>
          <w:rFonts w:hint="eastAsia" w:ascii="黑体" w:hAnsi="黑体" w:eastAsia="黑体"/>
          <w:b w:val="0"/>
        </w:rPr>
        <w:t>国有资本经营预算支出决算情况说明</w:t>
      </w:r>
      <w:bookmarkEnd w:id="99"/>
      <w:bookmarkEnd w:id="100"/>
      <w:bookmarkEnd w:id="101"/>
      <w:bookmarkEnd w:id="102"/>
    </w:p>
    <w:p w14:paraId="1A63FAC5">
      <w:pPr>
        <w:spacing w:line="600" w:lineRule="exact"/>
        <w:ind w:firstLine="640"/>
        <w:rPr>
          <w:rFonts w:ascii="方正小标宋简体" w:hAnsi="方正小标宋简体" w:eastAsia="方正小标宋简体" w:cs="方正小标宋简体"/>
          <w:sz w:val="44"/>
          <w:szCs w:val="44"/>
        </w:rPr>
      </w:pPr>
      <w:r>
        <w:rPr>
          <w:rFonts w:ascii="仿宋_GB2312" w:eastAsia="仿宋_GB2312"/>
          <w:sz w:val="32"/>
          <w:szCs w:val="32"/>
        </w:rPr>
        <w:t>20</w:t>
      </w:r>
      <w:r>
        <w:rPr>
          <w:rFonts w:hint="eastAsia" w:ascii="仿宋_GB2312" w:eastAsia="仿宋_GB2312"/>
          <w:sz w:val="32"/>
          <w:szCs w:val="32"/>
        </w:rPr>
        <w:t>21年国有资本经营预算财政拨款支出0万元。</w:t>
      </w:r>
    </w:p>
    <w:p w14:paraId="3D18BC5D">
      <w:pPr>
        <w:numPr>
          <w:ilvl w:val="0"/>
          <w:numId w:val="2"/>
        </w:numPr>
        <w:spacing w:line="600" w:lineRule="exact"/>
        <w:ind w:firstLine="640"/>
        <w:outlineLvl w:val="1"/>
        <w:rPr>
          <w:rStyle w:val="30"/>
          <w:rFonts w:ascii="黑体" w:hAnsi="黑体" w:eastAsia="黑体"/>
          <w:b w:val="0"/>
        </w:rPr>
      </w:pPr>
      <w:bookmarkStart w:id="103" w:name="_Toc6712_WPSOffice_Level2"/>
      <w:bookmarkStart w:id="104" w:name="_Toc29313_WPSOffice_Level2"/>
      <w:bookmarkStart w:id="105" w:name="_Toc15377221"/>
      <w:bookmarkStart w:id="106" w:name="_Toc15396612"/>
      <w:r>
        <w:rPr>
          <w:rStyle w:val="30"/>
          <w:rFonts w:hint="eastAsia" w:ascii="黑体" w:hAnsi="黑体" w:eastAsia="黑体"/>
          <w:b w:val="0"/>
        </w:rPr>
        <w:t>其他重要事项的情况说明</w:t>
      </w:r>
      <w:bookmarkEnd w:id="103"/>
      <w:bookmarkEnd w:id="104"/>
      <w:bookmarkEnd w:id="105"/>
      <w:bookmarkEnd w:id="106"/>
    </w:p>
    <w:p w14:paraId="16EA0463">
      <w:pPr>
        <w:spacing w:line="600" w:lineRule="exact"/>
        <w:ind w:firstLine="643" w:firstLineChars="200"/>
        <w:outlineLvl w:val="2"/>
        <w:rPr>
          <w:rFonts w:ascii="仿宋" w:hAnsi="仿宋" w:eastAsia="仿宋"/>
          <w:sz w:val="32"/>
          <w:szCs w:val="32"/>
        </w:rPr>
      </w:pPr>
      <w:bookmarkStart w:id="107" w:name="_Toc15377222"/>
      <w:r>
        <w:rPr>
          <w:rFonts w:hint="eastAsia" w:ascii="仿宋" w:hAnsi="仿宋" w:eastAsia="仿宋"/>
          <w:b/>
          <w:sz w:val="32"/>
          <w:szCs w:val="32"/>
        </w:rPr>
        <w:t>（一）机关运行经费支出情况</w:t>
      </w:r>
      <w:bookmarkEnd w:id="107"/>
    </w:p>
    <w:p w14:paraId="297345B3">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21年，中共盐边县委政法委员会机关运行经费支出22.69万元，比</w:t>
      </w:r>
      <w:r>
        <w:rPr>
          <w:rFonts w:ascii="仿宋_GB2312" w:eastAsia="仿宋_GB2312"/>
          <w:sz w:val="32"/>
          <w:szCs w:val="32"/>
        </w:rPr>
        <w:t>20</w:t>
      </w:r>
      <w:r>
        <w:rPr>
          <w:rFonts w:hint="eastAsia" w:ascii="仿宋_GB2312" w:eastAsia="仿宋_GB2312"/>
          <w:sz w:val="32"/>
          <w:szCs w:val="32"/>
        </w:rPr>
        <w:t>20年增加4.28万元，增长23.25</w:t>
      </w:r>
      <w:r>
        <w:rPr>
          <w:rFonts w:ascii="仿宋_GB2312" w:eastAsia="仿宋_GB2312"/>
          <w:sz w:val="32"/>
          <w:szCs w:val="32"/>
        </w:rPr>
        <w:t>%</w:t>
      </w:r>
      <w:r>
        <w:rPr>
          <w:rFonts w:hint="eastAsia" w:ascii="仿宋_GB2312" w:eastAsia="仿宋_GB2312"/>
          <w:sz w:val="32"/>
          <w:szCs w:val="32"/>
        </w:rPr>
        <w:t>。主要原因是单位新调入人员，人员经费及公用经费增加。</w:t>
      </w:r>
    </w:p>
    <w:p w14:paraId="1E6D6B53">
      <w:pPr>
        <w:autoSpaceDE w:val="0"/>
        <w:autoSpaceDN w:val="0"/>
        <w:adjustRightInd w:val="0"/>
        <w:spacing w:line="600" w:lineRule="exact"/>
        <w:ind w:firstLine="643" w:firstLineChars="200"/>
        <w:jc w:val="left"/>
        <w:outlineLvl w:val="2"/>
        <w:rPr>
          <w:rFonts w:ascii="仿宋" w:hAnsi="仿宋" w:eastAsia="仿宋"/>
          <w:b/>
          <w:sz w:val="32"/>
          <w:szCs w:val="32"/>
        </w:rPr>
      </w:pPr>
      <w:bookmarkStart w:id="108" w:name="_Toc15377223"/>
      <w:r>
        <w:rPr>
          <w:rFonts w:hint="eastAsia" w:ascii="仿宋" w:hAnsi="仿宋" w:eastAsia="仿宋"/>
          <w:b/>
          <w:sz w:val="32"/>
          <w:szCs w:val="32"/>
        </w:rPr>
        <w:t>（二）政府采购支出情况</w:t>
      </w:r>
      <w:bookmarkEnd w:id="108"/>
    </w:p>
    <w:p w14:paraId="78A9D214">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中共盐边县委政法委员会政府采购支出总额9.32万元，其中：政府采购货物支出9.32万元、政府采购工程支出0万元、政府采购服务支出0万元。主要用于办公桌椅及办公电脑购置。授予中小企业合同金额0万元，占政府采购支出总额的0</w:t>
      </w:r>
      <w:r>
        <w:rPr>
          <w:rFonts w:ascii="仿宋_GB2312" w:eastAsia="仿宋_GB2312"/>
          <w:sz w:val="32"/>
          <w:szCs w:val="32"/>
        </w:rPr>
        <w:t>%</w:t>
      </w:r>
      <w:r>
        <w:rPr>
          <w:rFonts w:hint="eastAsia" w:ascii="仿宋_GB2312" w:eastAsia="仿宋_GB2312"/>
          <w:sz w:val="32"/>
          <w:szCs w:val="32"/>
        </w:rPr>
        <w:t>，其中：授予小微企业合同金额0万元，占政府采购支出总额的0</w:t>
      </w:r>
      <w:r>
        <w:rPr>
          <w:rFonts w:ascii="仿宋_GB2312" w:eastAsia="仿宋_GB2312"/>
          <w:sz w:val="32"/>
          <w:szCs w:val="32"/>
        </w:rPr>
        <w:t>%</w:t>
      </w:r>
      <w:r>
        <w:rPr>
          <w:rFonts w:hint="eastAsia" w:ascii="仿宋_GB2312" w:eastAsia="仿宋_GB2312"/>
          <w:sz w:val="32"/>
          <w:szCs w:val="32"/>
        </w:rPr>
        <w:t>。</w:t>
      </w:r>
    </w:p>
    <w:p w14:paraId="5D8DCD14">
      <w:pPr>
        <w:autoSpaceDE w:val="0"/>
        <w:autoSpaceDN w:val="0"/>
        <w:adjustRightInd w:val="0"/>
        <w:spacing w:line="600" w:lineRule="exact"/>
        <w:ind w:firstLine="643" w:firstLineChars="200"/>
        <w:jc w:val="left"/>
        <w:outlineLvl w:val="2"/>
        <w:rPr>
          <w:rFonts w:ascii="仿宋" w:hAnsi="仿宋" w:eastAsia="仿宋"/>
          <w:b/>
          <w:sz w:val="32"/>
          <w:szCs w:val="32"/>
        </w:rPr>
      </w:pPr>
      <w:bookmarkStart w:id="109" w:name="_Toc15377224"/>
      <w:r>
        <w:rPr>
          <w:rFonts w:hint="eastAsia" w:ascii="仿宋" w:hAnsi="仿宋" w:eastAsia="仿宋"/>
          <w:b/>
          <w:sz w:val="32"/>
          <w:szCs w:val="32"/>
        </w:rPr>
        <w:t>（三）国有资产占有使用情况</w:t>
      </w:r>
      <w:bookmarkEnd w:id="109"/>
    </w:p>
    <w:p w14:paraId="3826456F">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hint="eastAsia" w:ascii="仿宋_GB2312" w:eastAsia="仿宋_GB2312"/>
          <w:sz w:val="32"/>
          <w:szCs w:val="32"/>
          <w:lang w:eastAsia="zh-CN"/>
        </w:rPr>
        <w:t>县委</w:t>
      </w:r>
      <w:r>
        <w:rPr>
          <w:rFonts w:hint="eastAsia" w:ascii="仿宋_GB2312" w:eastAsia="仿宋_GB2312" w:cs="仿宋_GB2312"/>
          <w:color w:val="000000"/>
          <w:sz w:val="32"/>
          <w:szCs w:val="32"/>
        </w:rPr>
        <w:t>政法委共有车辆</w:t>
      </w:r>
      <w:r>
        <w:rPr>
          <w:rFonts w:ascii="仿宋_GB2312" w:eastAsia="仿宋_GB2312" w:cs="仿宋_GB2312"/>
          <w:color w:val="000000"/>
          <w:sz w:val="32"/>
          <w:szCs w:val="32"/>
        </w:rPr>
        <w:t>0</w:t>
      </w:r>
      <w:r>
        <w:rPr>
          <w:rFonts w:hint="eastAsia" w:ascii="仿宋_GB2312" w:eastAsia="仿宋_GB2312" w:cs="仿宋_GB2312"/>
          <w:color w:val="000000"/>
          <w:sz w:val="32"/>
          <w:szCs w:val="32"/>
        </w:rPr>
        <w:t>辆，其中：主要领导干部用车</w:t>
      </w:r>
      <w:r>
        <w:rPr>
          <w:rFonts w:ascii="仿宋_GB2312" w:eastAsia="仿宋_GB2312" w:cs="仿宋_GB2312"/>
          <w:color w:val="000000"/>
          <w:sz w:val="32"/>
          <w:szCs w:val="32"/>
        </w:rPr>
        <w:t>0</w:t>
      </w:r>
      <w:r>
        <w:rPr>
          <w:rFonts w:hint="eastAsia" w:ascii="仿宋_GB2312" w:eastAsia="仿宋_GB2312" w:cs="仿宋_GB2312"/>
          <w:color w:val="000000"/>
          <w:sz w:val="32"/>
          <w:szCs w:val="32"/>
        </w:rPr>
        <w:t>辆、机要通信用车</w:t>
      </w:r>
      <w:r>
        <w:rPr>
          <w:rFonts w:ascii="仿宋_GB2312" w:eastAsia="仿宋_GB2312" w:cs="仿宋_GB2312"/>
          <w:color w:val="000000"/>
          <w:sz w:val="32"/>
          <w:szCs w:val="32"/>
        </w:rPr>
        <w:t>0</w:t>
      </w:r>
      <w:r>
        <w:rPr>
          <w:rFonts w:hint="eastAsia" w:ascii="仿宋_GB2312" w:eastAsia="仿宋_GB2312" w:cs="仿宋_GB2312"/>
          <w:color w:val="000000"/>
          <w:sz w:val="32"/>
          <w:szCs w:val="32"/>
        </w:rPr>
        <w:t>辆、应急保障用车</w:t>
      </w:r>
      <w:r>
        <w:rPr>
          <w:rFonts w:ascii="仿宋_GB2312" w:eastAsia="仿宋_GB2312" w:cs="仿宋_GB2312"/>
          <w:color w:val="000000"/>
          <w:sz w:val="32"/>
          <w:szCs w:val="32"/>
        </w:rPr>
        <w:t>0</w:t>
      </w:r>
      <w:r>
        <w:rPr>
          <w:rFonts w:hint="eastAsia" w:ascii="仿宋_GB2312" w:eastAsia="仿宋_GB2312" w:cs="仿宋_GB2312"/>
          <w:color w:val="000000"/>
          <w:sz w:val="32"/>
          <w:szCs w:val="32"/>
        </w:rPr>
        <w:t>辆、其他用车</w:t>
      </w:r>
      <w:r>
        <w:rPr>
          <w:rFonts w:ascii="仿宋_GB2312" w:eastAsia="仿宋_GB2312" w:cs="仿宋_GB2312"/>
          <w:color w:val="000000"/>
          <w:sz w:val="32"/>
          <w:szCs w:val="32"/>
        </w:rPr>
        <w:t>0</w:t>
      </w:r>
      <w:r>
        <w:rPr>
          <w:rFonts w:hint="eastAsia" w:ascii="仿宋_GB2312" w:eastAsia="仿宋_GB2312" w:cs="仿宋_GB2312"/>
          <w:color w:val="000000"/>
          <w:sz w:val="32"/>
          <w:szCs w:val="32"/>
        </w:rPr>
        <w:t>辆，单价</w:t>
      </w:r>
      <w:r>
        <w:rPr>
          <w:rFonts w:ascii="仿宋_GB2312" w:eastAsia="仿宋_GB2312" w:cs="仿宋_GB2312"/>
          <w:color w:val="000000"/>
          <w:sz w:val="32"/>
          <w:szCs w:val="32"/>
        </w:rPr>
        <w:t>50</w:t>
      </w:r>
      <w:r>
        <w:rPr>
          <w:rFonts w:hint="eastAsia" w:ascii="仿宋_GB2312" w:eastAsia="仿宋_GB2312" w:cs="仿宋_GB2312"/>
          <w:color w:val="000000"/>
          <w:sz w:val="32"/>
          <w:szCs w:val="32"/>
        </w:rPr>
        <w:t>万元以上通用设备</w:t>
      </w:r>
      <w:r>
        <w:rPr>
          <w:rFonts w:ascii="仿宋_GB2312" w:eastAsia="仿宋_GB2312" w:cs="仿宋_GB2312"/>
          <w:color w:val="000000"/>
          <w:sz w:val="32"/>
          <w:szCs w:val="32"/>
        </w:rPr>
        <w:t>0</w:t>
      </w:r>
      <w:r>
        <w:rPr>
          <w:rFonts w:hint="eastAsia" w:ascii="仿宋_GB2312" w:eastAsia="仿宋_GB2312" w:cs="仿宋_GB2312"/>
          <w:color w:val="000000"/>
          <w:sz w:val="32"/>
          <w:szCs w:val="32"/>
        </w:rPr>
        <w:t>台（套），单价</w:t>
      </w:r>
      <w:r>
        <w:rPr>
          <w:rFonts w:ascii="仿宋_GB2312" w:eastAsia="仿宋_GB2312" w:cs="仿宋_GB2312"/>
          <w:color w:val="000000"/>
          <w:sz w:val="32"/>
          <w:szCs w:val="32"/>
        </w:rPr>
        <w:t>100</w:t>
      </w:r>
      <w:r>
        <w:rPr>
          <w:rFonts w:hint="eastAsia" w:ascii="仿宋_GB2312" w:eastAsia="仿宋_GB2312" w:cs="仿宋_GB2312"/>
          <w:color w:val="000000"/>
          <w:sz w:val="32"/>
          <w:szCs w:val="32"/>
        </w:rPr>
        <w:t>万元以上专用设备</w:t>
      </w:r>
      <w:r>
        <w:rPr>
          <w:rFonts w:ascii="仿宋_GB2312" w:eastAsia="仿宋_GB2312" w:cs="仿宋_GB2312"/>
          <w:color w:val="000000"/>
          <w:sz w:val="32"/>
          <w:szCs w:val="32"/>
        </w:rPr>
        <w:t>0</w:t>
      </w:r>
      <w:r>
        <w:rPr>
          <w:rFonts w:hint="eastAsia" w:ascii="仿宋_GB2312" w:eastAsia="仿宋_GB2312" w:cs="仿宋_GB2312"/>
          <w:color w:val="000000"/>
          <w:sz w:val="32"/>
          <w:szCs w:val="32"/>
        </w:rPr>
        <w:t>台（套）。</w:t>
      </w:r>
    </w:p>
    <w:p w14:paraId="7C03D426">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14:paraId="13F15EFB">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在2021年度预算编制阶段，组织对“扫黑除恶专项经费”、“社会网格化专项经费”等2个项目开展了预算事前绩效评估，对2个项目编制了绩效目标，预算执行过程中，选取2个项目开展绩效监控，年终执行完毕后，对2个项目开展了绩效自评。同时，本部门对2021年部门整体开展绩效自评，《2021年中共盐边县委政法委员会部门整体绩效评价报告》见附件（第四部分）。</w:t>
      </w:r>
    </w:p>
    <w:p w14:paraId="082FF0A3">
      <w:pPr>
        <w:widowControl/>
        <w:jc w:val="left"/>
        <w:rPr>
          <w:rFonts w:ascii="仿宋_GB2312" w:eastAsia="仿宋_GB2312"/>
          <w:b/>
          <w:sz w:val="32"/>
          <w:szCs w:val="32"/>
        </w:rPr>
      </w:pPr>
      <w:r>
        <w:rPr>
          <w:rFonts w:ascii="仿宋_GB2312" w:eastAsia="仿宋_GB2312"/>
          <w:b/>
          <w:sz w:val="32"/>
          <w:szCs w:val="32"/>
        </w:rPr>
        <w:br w:type="page"/>
      </w:r>
    </w:p>
    <w:p w14:paraId="1BCA2480">
      <w:pPr>
        <w:numPr>
          <w:ilvl w:val="0"/>
          <w:numId w:val="3"/>
        </w:numPr>
        <w:spacing w:line="600" w:lineRule="exact"/>
        <w:ind w:firstLine="660" w:firstLineChars="150"/>
        <w:jc w:val="center"/>
        <w:outlineLvl w:val="0"/>
        <w:rPr>
          <w:rStyle w:val="35"/>
          <w:rFonts w:ascii="黑体" w:hAnsi="黑体" w:eastAsia="黑体"/>
          <w:b w:val="0"/>
          <w:bCs w:val="0"/>
        </w:rPr>
      </w:pPr>
      <w:bookmarkStart w:id="110" w:name="_Toc5553_WPSOffice_Level1"/>
      <w:bookmarkStart w:id="111" w:name="_Toc15377225"/>
      <w:bookmarkStart w:id="112" w:name="_Toc52180096"/>
      <w:bookmarkStart w:id="113" w:name="_Toc15396613"/>
      <w:bookmarkStart w:id="114" w:name="_Toc3891_WPSOffice_Level1"/>
      <w:bookmarkStart w:id="115" w:name="_Toc15396614"/>
      <w:bookmarkStart w:id="116" w:name="_Toc15377226"/>
      <w:r>
        <w:rPr>
          <w:rFonts w:hint="eastAsia" w:ascii="黑体" w:hAnsi="黑体" w:eastAsia="黑体" w:cs="黑体"/>
          <w:color w:val="000000"/>
          <w:sz w:val="44"/>
          <w:szCs w:val="44"/>
        </w:rPr>
        <w:t>名</w:t>
      </w:r>
      <w:r>
        <w:rPr>
          <w:rStyle w:val="35"/>
          <w:rFonts w:hint="eastAsia" w:ascii="黑体" w:hAnsi="黑体" w:eastAsia="黑体" w:cs="黑体"/>
          <w:b w:val="0"/>
          <w:bCs w:val="0"/>
        </w:rPr>
        <w:t>词解释</w:t>
      </w:r>
      <w:bookmarkEnd w:id="110"/>
      <w:bookmarkEnd w:id="111"/>
      <w:bookmarkEnd w:id="112"/>
      <w:bookmarkEnd w:id="113"/>
      <w:bookmarkEnd w:id="114"/>
    </w:p>
    <w:p w14:paraId="61B3CDF9">
      <w:pPr>
        <w:spacing w:line="600" w:lineRule="exact"/>
        <w:jc w:val="left"/>
        <w:rPr>
          <w:rFonts w:ascii="宋体"/>
          <w:b/>
          <w:bCs/>
          <w:color w:val="000000"/>
          <w:sz w:val="44"/>
          <w:szCs w:val="44"/>
        </w:rPr>
      </w:pPr>
    </w:p>
    <w:p w14:paraId="1B9577D3">
      <w:pPr>
        <w:pStyle w:val="27"/>
        <w:spacing w:line="560" w:lineRule="exact"/>
        <w:ind w:firstLine="640" w:firstLineChars="200"/>
        <w:rPr>
          <w:rFonts w:ascii="仿宋_GB2312" w:eastAsia="仿宋_GB2312" w:cs="Times New Roman"/>
          <w:sz w:val="32"/>
          <w:szCs w:val="32"/>
        </w:rPr>
      </w:pPr>
      <w:r>
        <w:rPr>
          <w:rFonts w:ascii="仿宋_GB2312" w:eastAsia="仿宋_GB2312" w:cs="仿宋_GB2312"/>
          <w:sz w:val="32"/>
          <w:szCs w:val="32"/>
        </w:rPr>
        <w:t>1.</w:t>
      </w:r>
      <w:r>
        <w:rPr>
          <w:rFonts w:hint="eastAsia" w:ascii="仿宋_GB2312" w:eastAsia="仿宋_GB2312" w:cs="仿宋_GB2312"/>
          <w:sz w:val="32"/>
          <w:szCs w:val="32"/>
        </w:rPr>
        <w:t>财政拨款收入：指单位从同级财政部门取得的财政预算资金。</w:t>
      </w:r>
    </w:p>
    <w:p w14:paraId="09342F8F">
      <w:pPr>
        <w:pStyle w:val="27"/>
        <w:spacing w:line="560" w:lineRule="exact"/>
        <w:ind w:firstLine="640" w:firstLineChars="200"/>
        <w:rPr>
          <w:rFonts w:ascii="仿宋_GB2312" w:eastAsia="仿宋_GB2312" w:cs="Times New Roman"/>
          <w:sz w:val="32"/>
          <w:szCs w:val="32"/>
        </w:rPr>
      </w:pPr>
      <w:r>
        <w:rPr>
          <w:rFonts w:ascii="仿宋_GB2312" w:eastAsia="仿宋_GB2312" w:cs="仿宋_GB2312"/>
          <w:sz w:val="32"/>
          <w:szCs w:val="32"/>
        </w:rPr>
        <w:t>2.</w:t>
      </w:r>
      <w:r>
        <w:rPr>
          <w:rFonts w:hint="eastAsia" w:ascii="仿宋_GB2312" w:eastAsia="仿宋_GB2312" w:cs="仿宋_GB2312"/>
          <w:sz w:val="32"/>
          <w:szCs w:val="32"/>
        </w:rPr>
        <w:t>事业收入：指事业单位开展专业业务活动及辅助活动取得的收入。如（二级预算单位事业收入情况）等。</w:t>
      </w:r>
    </w:p>
    <w:p w14:paraId="7465414D">
      <w:pPr>
        <w:pStyle w:val="27"/>
        <w:spacing w:line="560" w:lineRule="exact"/>
        <w:ind w:firstLine="640" w:firstLineChars="200"/>
        <w:rPr>
          <w:rFonts w:ascii="仿宋_GB2312" w:eastAsia="仿宋_GB2312" w:cs="Times New Roman"/>
          <w:sz w:val="32"/>
          <w:szCs w:val="32"/>
        </w:rPr>
      </w:pPr>
      <w:r>
        <w:rPr>
          <w:rFonts w:ascii="仿宋_GB2312" w:eastAsia="仿宋_GB2312" w:cs="仿宋_GB2312"/>
          <w:sz w:val="32"/>
          <w:szCs w:val="32"/>
        </w:rPr>
        <w:t>3.</w:t>
      </w:r>
      <w:r>
        <w:rPr>
          <w:rFonts w:hint="eastAsia" w:ascii="仿宋_GB2312" w:eastAsia="仿宋_GB2312" w:cs="仿宋_GB2312"/>
          <w:sz w:val="32"/>
          <w:szCs w:val="32"/>
        </w:rPr>
        <w:t>经营收入：指事业单位在专业业务活动及其辅助活动之外开展非独立核算经营活动取得的收入。如（二级预算单位经营收入情况）等。</w:t>
      </w:r>
    </w:p>
    <w:p w14:paraId="3CC37A4F">
      <w:pPr>
        <w:pStyle w:val="27"/>
        <w:spacing w:line="560" w:lineRule="exact"/>
        <w:ind w:firstLine="640" w:firstLineChars="200"/>
        <w:rPr>
          <w:rFonts w:ascii="仿宋_GB2312" w:eastAsia="仿宋_GB2312" w:cs="仿宋_GB2312"/>
          <w:sz w:val="32"/>
          <w:szCs w:val="32"/>
        </w:rPr>
      </w:pPr>
      <w:r>
        <w:rPr>
          <w:rFonts w:ascii="仿宋_GB2312" w:eastAsia="仿宋_GB2312" w:cs="仿宋_GB2312"/>
          <w:sz w:val="32"/>
          <w:szCs w:val="32"/>
        </w:rPr>
        <w:t>4.</w:t>
      </w:r>
      <w:r>
        <w:rPr>
          <w:rFonts w:hint="eastAsia" w:ascii="仿宋_GB2312" w:eastAsia="仿宋_GB2312" w:cs="仿宋_GB2312"/>
          <w:sz w:val="32"/>
          <w:szCs w:val="32"/>
        </w:rPr>
        <w:t>其他收入：指单位取得的除上述收入以外的各项收入。</w:t>
      </w:r>
    </w:p>
    <w:p w14:paraId="3FE5A9B2">
      <w:pPr>
        <w:pStyle w:val="27"/>
        <w:spacing w:line="560" w:lineRule="exact"/>
        <w:ind w:firstLine="640" w:firstLineChars="200"/>
        <w:rPr>
          <w:rFonts w:ascii="仿宋_GB2312" w:eastAsia="仿宋_GB2312" w:cs="仿宋_GB2312"/>
          <w:sz w:val="32"/>
          <w:szCs w:val="32"/>
        </w:rPr>
      </w:pPr>
      <w:r>
        <w:rPr>
          <w:rFonts w:ascii="仿宋_GB2312" w:eastAsia="仿宋_GB2312" w:cs="仿宋_GB2312"/>
          <w:sz w:val="32"/>
          <w:szCs w:val="32"/>
        </w:rPr>
        <w:t>5.</w:t>
      </w:r>
      <w:r>
        <w:rPr>
          <w:rFonts w:hint="eastAsia" w:ascii="仿宋_GB2312" w:eastAsia="仿宋_GB2312" w:cs="仿宋_GB2312"/>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14:paraId="37C6B5D9">
      <w:pPr>
        <w:pStyle w:val="27"/>
        <w:spacing w:line="560" w:lineRule="exact"/>
        <w:ind w:firstLine="640" w:firstLineChars="200"/>
        <w:rPr>
          <w:rFonts w:ascii="仿宋_GB2312" w:eastAsia="仿宋_GB2312" w:cs="仿宋_GB2312"/>
          <w:sz w:val="32"/>
          <w:szCs w:val="32"/>
        </w:rPr>
      </w:pPr>
      <w:r>
        <w:rPr>
          <w:rFonts w:ascii="仿宋_GB2312" w:eastAsia="仿宋_GB2312" w:cs="仿宋_GB2312"/>
          <w:sz w:val="32"/>
          <w:szCs w:val="32"/>
        </w:rPr>
        <w:t>6.</w:t>
      </w:r>
      <w:r>
        <w:rPr>
          <w:rFonts w:hint="eastAsia" w:ascii="仿宋_GB2312" w:eastAsia="仿宋_GB2312" w:cs="仿宋_GB2312"/>
          <w:sz w:val="32"/>
          <w:szCs w:val="32"/>
        </w:rPr>
        <w:t>年初结转和结余：指以前年度尚未完成、结转到本年按有关规定继续使用的资金。</w:t>
      </w:r>
    </w:p>
    <w:p w14:paraId="28BF3B02">
      <w:pPr>
        <w:pStyle w:val="27"/>
        <w:spacing w:line="560" w:lineRule="exact"/>
        <w:ind w:firstLine="640" w:firstLineChars="200"/>
        <w:rPr>
          <w:rFonts w:ascii="仿宋_GB2312" w:eastAsia="仿宋_GB2312" w:cs="Times New Roman"/>
          <w:sz w:val="32"/>
          <w:szCs w:val="32"/>
        </w:rPr>
      </w:pPr>
      <w:r>
        <w:rPr>
          <w:rFonts w:ascii="仿宋_GB2312" w:eastAsia="仿宋_GB2312" w:cs="仿宋_GB2312"/>
          <w:sz w:val="32"/>
          <w:szCs w:val="32"/>
        </w:rPr>
        <w:t>7.</w:t>
      </w:r>
      <w:r>
        <w:rPr>
          <w:rFonts w:hint="eastAsia" w:ascii="仿宋_GB2312" w:eastAsia="仿宋_GB2312" w:cs="仿宋_GB2312"/>
          <w:sz w:val="32"/>
          <w:szCs w:val="32"/>
        </w:rPr>
        <w:t>结余分配：指事业单位按照事业单位会计制度的规定从非财政补助结余中分配的事业基金和职工福利基金等。</w:t>
      </w:r>
    </w:p>
    <w:p w14:paraId="2AEED9EE">
      <w:pPr>
        <w:pStyle w:val="27"/>
        <w:spacing w:line="560" w:lineRule="exact"/>
        <w:ind w:firstLine="640" w:firstLineChars="200"/>
        <w:rPr>
          <w:rFonts w:ascii="仿宋_GB2312" w:eastAsia="仿宋_GB2312" w:cs="Times New Roman"/>
          <w:sz w:val="32"/>
          <w:szCs w:val="32"/>
        </w:rPr>
      </w:pPr>
      <w:r>
        <w:rPr>
          <w:rFonts w:ascii="仿宋_GB2312" w:eastAsia="仿宋_GB2312" w:cs="仿宋_GB2312"/>
          <w:sz w:val="32"/>
          <w:szCs w:val="32"/>
        </w:rPr>
        <w:t>8</w:t>
      </w:r>
      <w:r>
        <w:rPr>
          <w:rFonts w:hint="eastAsia" w:ascii="仿宋_GB2312" w:eastAsia="仿宋_GB2312" w:cs="仿宋_GB2312"/>
          <w:sz w:val="32"/>
          <w:szCs w:val="32"/>
        </w:rPr>
        <w:t>、年末结转和结余：指单位按有关规定结转到下年或以后年度继续使用的资金。</w:t>
      </w:r>
    </w:p>
    <w:p w14:paraId="7FA07EC6">
      <w:pPr>
        <w:spacing w:line="600" w:lineRule="exact"/>
        <w:ind w:firstLine="640" w:firstLineChars="200"/>
        <w:outlineLvl w:val="0"/>
        <w:rPr>
          <w:rStyle w:val="18"/>
          <w:rFonts w:ascii="仿宋_GB2312" w:eastAsia="仿宋_GB2312"/>
          <w:b w:val="0"/>
          <w:color w:val="000000"/>
          <w:sz w:val="32"/>
          <w:szCs w:val="32"/>
        </w:rPr>
      </w:pPr>
      <w:r>
        <w:rPr>
          <w:rStyle w:val="18"/>
          <w:rFonts w:ascii="仿宋_GB2312" w:eastAsia="仿宋_GB2312" w:cs="仿宋_GB2312"/>
          <w:b w:val="0"/>
          <w:color w:val="000000"/>
          <w:sz w:val="32"/>
          <w:szCs w:val="32"/>
        </w:rPr>
        <w:t>9.</w:t>
      </w:r>
      <w:r>
        <w:rPr>
          <w:rStyle w:val="18"/>
          <w:rFonts w:hint="eastAsia" w:ascii="仿宋_GB2312" w:eastAsia="仿宋_GB2312" w:cs="仿宋_GB2312"/>
          <w:b w:val="0"/>
          <w:color w:val="000000"/>
          <w:sz w:val="32"/>
          <w:szCs w:val="32"/>
        </w:rPr>
        <w:t>一般公共服务（类）其他共产党事务支出（款）</w:t>
      </w:r>
    </w:p>
    <w:p w14:paraId="45A4270C">
      <w:pPr>
        <w:widowControl/>
        <w:shd w:val="clear" w:color="auto" w:fill="FFFFFF"/>
        <w:spacing w:line="600" w:lineRule="atLeast"/>
        <w:ind w:firstLine="640" w:firstLineChars="200"/>
        <w:jc w:val="left"/>
        <w:rPr>
          <w:rFonts w:ascii="仿宋_GB2312" w:hAnsi="宋体" w:eastAsia="仿宋_GB2312"/>
          <w:color w:val="000000"/>
          <w:kern w:val="0"/>
          <w:sz w:val="32"/>
          <w:szCs w:val="32"/>
        </w:rPr>
      </w:pPr>
      <w:r>
        <w:rPr>
          <w:rStyle w:val="18"/>
          <w:rFonts w:hint="eastAsia" w:ascii="仿宋_GB2312" w:eastAsia="仿宋_GB2312" w:cs="仿宋_GB2312"/>
          <w:b w:val="0"/>
          <w:color w:val="000000"/>
          <w:sz w:val="32"/>
          <w:szCs w:val="32"/>
        </w:rPr>
        <w:t>①、行政运行</w:t>
      </w:r>
      <w:r>
        <w:rPr>
          <w:rStyle w:val="18"/>
          <w:rFonts w:ascii="仿宋_GB2312" w:eastAsia="仿宋_GB2312" w:cs="仿宋_GB2312"/>
          <w:b w:val="0"/>
          <w:color w:val="000000"/>
          <w:sz w:val="32"/>
          <w:szCs w:val="32"/>
        </w:rPr>
        <w:t xml:space="preserve">: </w:t>
      </w:r>
      <w:r>
        <w:rPr>
          <w:rFonts w:hint="eastAsia" w:ascii="仿宋_GB2312" w:hAnsi="宋体" w:eastAsia="仿宋_GB2312" w:cs="仿宋_GB2312"/>
          <w:color w:val="000000"/>
          <w:kern w:val="0"/>
          <w:sz w:val="32"/>
          <w:szCs w:val="32"/>
        </w:rPr>
        <w:t>指行政单位（包括实行公务员管理的事业单位）的基本支出。</w:t>
      </w:r>
    </w:p>
    <w:p w14:paraId="693944BA">
      <w:pPr>
        <w:widowControl/>
        <w:shd w:val="clear" w:color="auto" w:fill="FFFFFF"/>
        <w:spacing w:line="600" w:lineRule="atLeast"/>
        <w:ind w:firstLine="640" w:firstLineChars="200"/>
        <w:jc w:val="left"/>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②、其他共产党事务支出：指其他用于中国共产党事务的支出。</w:t>
      </w:r>
    </w:p>
    <w:p w14:paraId="0661D622">
      <w:pPr>
        <w:widowControl/>
        <w:shd w:val="clear" w:color="auto" w:fill="FFFFFF"/>
        <w:spacing w:line="600" w:lineRule="atLeast"/>
        <w:ind w:firstLine="640" w:firstLineChars="200"/>
        <w:jc w:val="left"/>
      </w:pPr>
      <w:r>
        <w:rPr>
          <w:rStyle w:val="18"/>
          <w:rFonts w:hint="eastAsia" w:ascii="仿宋_GB2312" w:eastAsia="仿宋_GB2312" w:cs="仿宋_GB2312"/>
          <w:b w:val="0"/>
          <w:color w:val="000000"/>
          <w:sz w:val="32"/>
          <w:szCs w:val="32"/>
        </w:rPr>
        <w:sym w:font="Wingdings" w:char="F083"/>
      </w:r>
      <w:r>
        <w:rPr>
          <w:rStyle w:val="18"/>
          <w:rFonts w:hint="eastAsia" w:ascii="仿宋_GB2312" w:eastAsia="仿宋_GB2312" w:cs="仿宋_GB2312"/>
          <w:b w:val="0"/>
          <w:color w:val="000000"/>
          <w:sz w:val="32"/>
          <w:szCs w:val="32"/>
        </w:rPr>
        <w:t>、一般行政管理事务：</w:t>
      </w:r>
      <w:r>
        <w:rPr>
          <w:rStyle w:val="18"/>
          <w:rFonts w:hint="eastAsia" w:ascii="仿宋_GB2312" w:eastAsia="仿宋_GB2312"/>
          <w:b w:val="0"/>
          <w:color w:val="000000"/>
          <w:sz w:val="32"/>
          <w:szCs w:val="32"/>
        </w:rPr>
        <w:t>指行政单位（包括实行公务员管理的事业单位）未单独设置项级科目的其他项目支出。</w:t>
      </w:r>
    </w:p>
    <w:p w14:paraId="6D4F99A8">
      <w:pPr>
        <w:spacing w:line="600" w:lineRule="exact"/>
        <w:ind w:firstLine="640" w:firstLineChars="200"/>
      </w:pPr>
      <w:r>
        <w:rPr>
          <w:rStyle w:val="18"/>
          <w:rFonts w:hint="eastAsia" w:ascii="宋体" w:hAnsi="宋体" w:cs="宋体"/>
          <w:b w:val="0"/>
          <w:color w:val="000000"/>
          <w:sz w:val="32"/>
          <w:szCs w:val="32"/>
        </w:rPr>
        <w:t>④</w:t>
      </w:r>
      <w:r>
        <w:rPr>
          <w:rStyle w:val="18"/>
          <w:rFonts w:hint="eastAsia" w:ascii="仿宋_GB2312" w:eastAsia="仿宋_GB2312" w:cs="仿宋_GB2312"/>
          <w:b w:val="0"/>
          <w:color w:val="000000"/>
          <w:sz w:val="32"/>
          <w:szCs w:val="32"/>
        </w:rPr>
        <w:t>、事业运行：</w:t>
      </w:r>
      <w:r>
        <w:rPr>
          <w:rStyle w:val="18"/>
          <w:rFonts w:hint="eastAsia" w:ascii="仿宋_GB2312" w:eastAsia="仿宋_GB2312"/>
          <w:b w:val="0"/>
          <w:color w:val="000000"/>
          <w:sz w:val="32"/>
          <w:szCs w:val="32"/>
        </w:rPr>
        <w:t>指事业单位的基本支出。不包括行政单位（包括实行公务员管理的事业单位）后勤服务中心、医务室等附属事业单位。</w:t>
      </w:r>
    </w:p>
    <w:p w14:paraId="329841DD">
      <w:pPr>
        <w:spacing w:line="600" w:lineRule="exact"/>
        <w:ind w:firstLine="640" w:firstLineChars="200"/>
        <w:rPr>
          <w:rStyle w:val="18"/>
          <w:rFonts w:ascii="仿宋_GB2312" w:eastAsia="仿宋_GB2312" w:cs="仿宋_GB2312"/>
          <w:b w:val="0"/>
          <w:color w:val="000000"/>
          <w:sz w:val="32"/>
          <w:szCs w:val="32"/>
        </w:rPr>
      </w:pPr>
      <w:r>
        <w:rPr>
          <w:rStyle w:val="18"/>
          <w:rFonts w:ascii="仿宋_GB2312" w:eastAsia="仿宋_GB2312" w:cs="仿宋_GB2312"/>
          <w:b w:val="0"/>
          <w:color w:val="000000"/>
          <w:sz w:val="32"/>
          <w:szCs w:val="32"/>
        </w:rPr>
        <w:t>10.</w:t>
      </w:r>
      <w:r>
        <w:rPr>
          <w:rStyle w:val="18"/>
          <w:rFonts w:hint="eastAsia" w:ascii="仿宋_GB2312" w:eastAsia="仿宋_GB2312" w:cs="仿宋_GB2312"/>
          <w:b w:val="0"/>
          <w:color w:val="000000"/>
          <w:sz w:val="32"/>
          <w:szCs w:val="32"/>
        </w:rPr>
        <w:t>社会保障和就业（类）行政事业单位养老支出（款）</w:t>
      </w:r>
    </w:p>
    <w:p w14:paraId="239EC505">
      <w:pPr>
        <w:spacing w:line="600" w:lineRule="exact"/>
        <w:ind w:firstLine="640" w:firstLineChars="200"/>
        <w:rPr>
          <w:rStyle w:val="18"/>
          <w:rFonts w:ascii="仿宋_GB2312" w:eastAsia="仿宋_GB2312"/>
          <w:b w:val="0"/>
          <w:color w:val="000000"/>
          <w:sz w:val="32"/>
          <w:szCs w:val="32"/>
        </w:rPr>
      </w:pPr>
      <w:r>
        <w:rPr>
          <w:rStyle w:val="18"/>
          <w:rFonts w:hint="eastAsia" w:ascii="仿宋_GB2312" w:eastAsia="仿宋_GB2312" w:cs="仿宋_GB2312"/>
          <w:b w:val="0"/>
          <w:color w:val="000000"/>
          <w:sz w:val="32"/>
          <w:szCs w:val="32"/>
        </w:rPr>
        <w:t>①、行政单位离退休</w:t>
      </w:r>
      <w:r>
        <w:rPr>
          <w:rStyle w:val="18"/>
          <w:rFonts w:ascii="仿宋_GB2312" w:eastAsia="仿宋_GB2312" w:cs="仿宋_GB2312"/>
          <w:b w:val="0"/>
          <w:color w:val="000000"/>
          <w:sz w:val="32"/>
          <w:szCs w:val="32"/>
        </w:rPr>
        <w:t xml:space="preserve">: </w:t>
      </w:r>
      <w:r>
        <w:rPr>
          <w:rStyle w:val="18"/>
          <w:rFonts w:hint="eastAsia" w:ascii="仿宋_GB2312" w:eastAsia="仿宋_GB2312" w:cs="仿宋_GB2312"/>
          <w:b w:val="0"/>
          <w:color w:val="000000"/>
          <w:sz w:val="32"/>
          <w:szCs w:val="32"/>
        </w:rPr>
        <w:t>指行政单位（包括实行公务员管理的事业单位）开支的离退休支出。</w:t>
      </w:r>
    </w:p>
    <w:p w14:paraId="5E47E25C">
      <w:pPr>
        <w:spacing w:line="600" w:lineRule="exact"/>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②、机关事业单位基本养老保险缴费支出：</w:t>
      </w:r>
      <w:r>
        <w:rPr>
          <w:rStyle w:val="18"/>
          <w:rFonts w:hint="eastAsia" w:ascii="仿宋_GB2312" w:eastAsia="仿宋_GB2312" w:cs="仿宋_GB2312"/>
          <w:b w:val="0"/>
          <w:color w:val="000000"/>
          <w:sz w:val="32"/>
          <w:szCs w:val="32"/>
        </w:rPr>
        <w:t>指机关事业单位实施养老保险制度</w:t>
      </w:r>
      <w:r>
        <w:rPr>
          <w:rStyle w:val="18"/>
          <w:rFonts w:hint="eastAsia" w:ascii="仿宋_GB2312" w:eastAsia="仿宋_GB2312" w:cs="仿宋_GB2312"/>
          <w:b w:val="0"/>
          <w:color w:val="000000"/>
          <w:sz w:val="32"/>
          <w:szCs w:val="32"/>
          <w:lang w:eastAsia="zh-CN"/>
        </w:rPr>
        <w:t>由</w:t>
      </w:r>
      <w:r>
        <w:rPr>
          <w:rStyle w:val="18"/>
          <w:rFonts w:hint="eastAsia" w:ascii="仿宋_GB2312" w:eastAsia="仿宋_GB2312" w:cs="仿宋_GB2312"/>
          <w:b w:val="0"/>
          <w:color w:val="000000"/>
          <w:sz w:val="32"/>
          <w:szCs w:val="32"/>
        </w:rPr>
        <w:t>单位缴纳的基本养老保险费支出。</w:t>
      </w:r>
    </w:p>
    <w:p w14:paraId="6A760173">
      <w:pPr>
        <w:spacing w:line="600" w:lineRule="exact"/>
        <w:ind w:firstLine="640" w:firstLineChars="200"/>
        <w:rPr>
          <w:rFonts w:ascii="仿宋_GB2312" w:eastAsia="仿宋_GB2312"/>
          <w:color w:val="000000"/>
          <w:sz w:val="32"/>
          <w:szCs w:val="32"/>
        </w:rPr>
      </w:pPr>
      <w:r>
        <w:rPr>
          <w:rStyle w:val="18"/>
          <w:rFonts w:ascii="仿宋_GB2312" w:eastAsia="仿宋_GB2312" w:cs="仿宋_GB2312"/>
          <w:b w:val="0"/>
          <w:color w:val="000000"/>
          <w:sz w:val="32"/>
          <w:szCs w:val="32"/>
        </w:rPr>
        <w:t>11</w:t>
      </w:r>
      <w:r>
        <w:rPr>
          <w:rStyle w:val="18"/>
          <w:rFonts w:hint="eastAsia" w:ascii="仿宋_GB2312" w:eastAsia="仿宋_GB2312" w:cs="仿宋_GB2312"/>
          <w:b w:val="0"/>
          <w:color w:val="000000"/>
          <w:sz w:val="32"/>
          <w:szCs w:val="32"/>
        </w:rPr>
        <w:t>、住房保障支出（类）住房改革支出（款）住房公积金（项）：指行政事业单位按人力资源和社会保障部、财政部规定的基本工资和津贴补贴以及规定比例为职工缴纳的住房公积金。</w:t>
      </w:r>
    </w:p>
    <w:p w14:paraId="06751357">
      <w:pPr>
        <w:pStyle w:val="2"/>
        <w:spacing w:line="560" w:lineRule="exact"/>
        <w:ind w:firstLine="640" w:firstLineChars="200"/>
        <w:rPr>
          <w:rFonts w:eastAsia="仿宋_GB2312"/>
          <w:bCs/>
          <w:sz w:val="32"/>
          <w:szCs w:val="32"/>
        </w:rPr>
      </w:pPr>
      <w:r>
        <w:rPr>
          <w:rFonts w:eastAsia="仿宋_GB2312"/>
          <w:bCs/>
          <w:sz w:val="32"/>
          <w:szCs w:val="32"/>
        </w:rPr>
        <w:t>1</w:t>
      </w:r>
      <w:r>
        <w:rPr>
          <w:rFonts w:hint="eastAsia" w:eastAsia="仿宋_GB2312"/>
          <w:bCs/>
          <w:sz w:val="32"/>
          <w:szCs w:val="32"/>
        </w:rPr>
        <w:t>2</w:t>
      </w:r>
      <w:r>
        <w:rPr>
          <w:rFonts w:eastAsia="仿宋_GB2312"/>
          <w:bCs/>
          <w:sz w:val="32"/>
          <w:szCs w:val="32"/>
        </w:rPr>
        <w:t>.卫生健康支出（类）</w:t>
      </w:r>
      <w:r>
        <w:rPr>
          <w:rFonts w:hint="eastAsia" w:eastAsia="仿宋_GB2312"/>
          <w:bCs/>
          <w:sz w:val="32"/>
          <w:szCs w:val="32"/>
        </w:rPr>
        <w:t>行政事业单位医疗</w:t>
      </w:r>
      <w:r>
        <w:rPr>
          <w:rFonts w:eastAsia="仿宋_GB2312"/>
          <w:bCs/>
          <w:sz w:val="32"/>
          <w:szCs w:val="32"/>
        </w:rPr>
        <w:t>（款）</w:t>
      </w:r>
    </w:p>
    <w:p w14:paraId="6BF0CE35">
      <w:pPr>
        <w:rPr>
          <w:rFonts w:eastAsia="仿宋_GB2312"/>
          <w:bCs/>
        </w:rPr>
      </w:pPr>
      <w:r>
        <w:rPr>
          <w:rFonts w:hint="eastAsia" w:eastAsia="仿宋_GB2312"/>
          <w:bCs/>
          <w:sz w:val="32"/>
          <w:szCs w:val="32"/>
        </w:rPr>
        <w:sym w:font="Wingdings" w:char="F081"/>
      </w:r>
      <w:r>
        <w:rPr>
          <w:rFonts w:hint="eastAsia" w:eastAsia="仿宋_GB2312"/>
          <w:bCs/>
          <w:sz w:val="32"/>
          <w:szCs w:val="32"/>
        </w:rPr>
        <w:t>行政单位医疗：指财政部门安排的行政单位（包括实行公务员管理的事业单位，下同）基本医疗保险缴费经费，未参加医疗保险的行政单位的公费医疗经费，按国家规定享受离休人员、红军老战士待遇人员的医疗经费。</w:t>
      </w:r>
    </w:p>
    <w:p w14:paraId="232BE359">
      <w:pPr>
        <w:rPr>
          <w:rFonts w:eastAsia="仿宋_GB2312"/>
          <w:bCs/>
          <w:sz w:val="32"/>
          <w:szCs w:val="32"/>
        </w:rPr>
      </w:pPr>
      <w:r>
        <w:rPr>
          <w:rFonts w:hint="eastAsia" w:eastAsia="仿宋_GB2312"/>
          <w:bCs/>
          <w:sz w:val="32"/>
          <w:szCs w:val="32"/>
        </w:rPr>
        <w:sym w:font="Wingdings" w:char="F082"/>
      </w:r>
      <w:r>
        <w:rPr>
          <w:rFonts w:hint="eastAsia" w:eastAsia="仿宋_GB2312"/>
          <w:bCs/>
          <w:sz w:val="32"/>
          <w:szCs w:val="32"/>
        </w:rPr>
        <w:t>事业单位医疗：指财政部门安排的事业单位基本医疗保险缴费经费，未参加医疗保险的事业单位的公费医疗经费，按国家规定享受离休人员医疗经费。</w:t>
      </w:r>
    </w:p>
    <w:p w14:paraId="238E215C">
      <w:pPr>
        <w:ind w:firstLine="640" w:firstLineChars="200"/>
      </w:pPr>
      <w:r>
        <w:rPr>
          <w:rFonts w:hint="eastAsia" w:ascii="仿宋_GB2312" w:hAnsi="Calibri" w:eastAsia="仿宋_GB2312" w:cs="仿宋"/>
          <w:color w:val="000000"/>
          <w:kern w:val="0"/>
          <w:sz w:val="32"/>
          <w:szCs w:val="32"/>
        </w:rPr>
        <w:t>13、其他支出（类）其他支出（款）其他支出：指除上述项目以外其他不能划分到具体功能科目中的支出项目。</w:t>
      </w:r>
    </w:p>
    <w:p w14:paraId="09729262">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14</w:t>
      </w:r>
      <w:r>
        <w:rPr>
          <w:rFonts w:ascii="仿宋_GB2312" w:eastAsia="仿宋_GB2312" w:cs="仿宋_GB2312"/>
          <w:color w:val="000000"/>
          <w:sz w:val="32"/>
          <w:szCs w:val="32"/>
        </w:rPr>
        <w:t>.</w:t>
      </w:r>
      <w:r>
        <w:rPr>
          <w:rFonts w:hint="eastAsia" w:ascii="仿宋_GB2312" w:eastAsia="仿宋_GB2312" w:cs="仿宋_GB2312"/>
          <w:color w:val="000000"/>
          <w:sz w:val="32"/>
          <w:szCs w:val="32"/>
        </w:rPr>
        <w:t>基本支出：指为保障机构正常运转、完成日常工作任务而发生的人员支出和公用支出。</w:t>
      </w:r>
    </w:p>
    <w:p w14:paraId="6A66A660">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rPr>
        <w:t>15</w:t>
      </w:r>
      <w:r>
        <w:rPr>
          <w:rFonts w:ascii="仿宋_GB2312" w:eastAsia="仿宋_GB2312" w:cs="仿宋_GB2312"/>
          <w:color w:val="000000"/>
          <w:sz w:val="32"/>
          <w:szCs w:val="32"/>
        </w:rPr>
        <w:t>.</w:t>
      </w:r>
      <w:r>
        <w:rPr>
          <w:rFonts w:hint="eastAsia" w:ascii="仿宋_GB2312" w:eastAsia="仿宋_GB2312" w:cs="仿宋_GB2312"/>
          <w:color w:val="000000"/>
          <w:sz w:val="32"/>
          <w:szCs w:val="32"/>
        </w:rPr>
        <w:t>项目支出：指在基本支出之外为完成特定行政任务和事业发展目标所发生的支出。</w:t>
      </w:r>
    </w:p>
    <w:p w14:paraId="049E3E55">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16</w:t>
      </w:r>
      <w:r>
        <w:rPr>
          <w:rFonts w:ascii="仿宋_GB2312" w:eastAsia="仿宋_GB2312" w:cs="仿宋_GB2312"/>
          <w:color w:val="000000"/>
          <w:sz w:val="32"/>
          <w:szCs w:val="32"/>
        </w:rPr>
        <w:t>.</w:t>
      </w:r>
      <w:r>
        <w:rPr>
          <w:rFonts w:hint="eastAsia" w:ascii="仿宋_GB2312" w:eastAsia="仿宋_GB2312" w:cs="仿宋_GB2312"/>
          <w:color w:val="000000"/>
          <w:sz w:val="32"/>
          <w:szCs w:val="32"/>
        </w:rPr>
        <w:t>经营支出：指事业单位在专业业务活动及其辅助活动之外开展非独立核算经营活动发生的支出。</w:t>
      </w:r>
    </w:p>
    <w:p w14:paraId="7E83943D">
      <w:pPr>
        <w:pStyle w:val="27"/>
        <w:spacing w:line="56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17</w:t>
      </w:r>
      <w:r>
        <w:rPr>
          <w:rFonts w:ascii="仿宋_GB2312" w:eastAsia="仿宋_GB2312" w:cs="仿宋_GB2312"/>
          <w:sz w:val="32"/>
          <w:szCs w:val="32"/>
        </w:rPr>
        <w:t>.</w:t>
      </w:r>
      <w:r>
        <w:rPr>
          <w:rFonts w:hint="eastAsia" w:ascii="仿宋_GB2312" w:eastAsia="仿宋_GB2312" w:cs="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1F85F872">
      <w:pPr>
        <w:pStyle w:val="27"/>
        <w:spacing w:line="56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18</w:t>
      </w:r>
      <w:r>
        <w:rPr>
          <w:rFonts w:ascii="仿宋_GB2312" w:eastAsia="仿宋_GB2312" w:cs="仿宋_GB2312"/>
          <w:sz w:val="32"/>
          <w:szCs w:val="32"/>
        </w:rPr>
        <w:t>.</w:t>
      </w:r>
      <w:r>
        <w:rPr>
          <w:rFonts w:hint="eastAsia" w:ascii="仿宋_GB2312" w:eastAsia="仿宋_GB2312" w:cs="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3CEB942E">
      <w:pPr>
        <w:spacing w:line="600" w:lineRule="exact"/>
        <w:jc w:val="center"/>
        <w:outlineLvl w:val="0"/>
        <w:rPr>
          <w:rStyle w:val="29"/>
          <w:rFonts w:ascii="黑体" w:hAnsi="黑体" w:eastAsia="黑体"/>
          <w:b w:val="0"/>
        </w:rPr>
      </w:pPr>
      <w:bookmarkStart w:id="117" w:name="_Toc826_WPSOffice_Level1"/>
      <w:r>
        <w:rPr>
          <w:rFonts w:hint="eastAsia" w:ascii="黑体" w:hAnsi="黑体" w:eastAsia="黑体"/>
          <w:sz w:val="44"/>
          <w:szCs w:val="44"/>
        </w:rPr>
        <w:t>第</w:t>
      </w:r>
      <w:r>
        <w:rPr>
          <w:rStyle w:val="29"/>
          <w:rFonts w:hint="eastAsia" w:ascii="黑体" w:hAnsi="黑体" w:eastAsia="黑体"/>
          <w:b w:val="0"/>
        </w:rPr>
        <w:t>四部分 附件</w:t>
      </w:r>
      <w:bookmarkEnd w:id="115"/>
      <w:bookmarkEnd w:id="117"/>
    </w:p>
    <w:p w14:paraId="2F9EA725">
      <w:pPr>
        <w:spacing w:line="572" w:lineRule="exact"/>
        <w:jc w:val="left"/>
        <w:outlineLvl w:val="0"/>
        <w:rPr>
          <w:rFonts w:ascii="方正小标宋简体" w:hAnsi="方正小标宋简体" w:eastAsia="方正小标宋简体" w:cs="方正小标宋简体"/>
          <w:sz w:val="44"/>
          <w:szCs w:val="44"/>
        </w:rPr>
      </w:pPr>
      <w:r>
        <w:rPr>
          <w:rFonts w:hint="eastAsia" w:ascii="黑体" w:hAnsi="黑体" w:eastAsia="黑体" w:cs="黑体"/>
          <w:sz w:val="32"/>
          <w:szCs w:val="32"/>
        </w:rPr>
        <w:t>附件</w:t>
      </w:r>
    </w:p>
    <w:p w14:paraId="1D27F087">
      <w:pPr>
        <w:spacing w:line="572" w:lineRule="exact"/>
        <w:jc w:val="center"/>
        <w:rPr>
          <w:rFonts w:ascii="方正小标宋简体" w:hAnsi="宋体" w:eastAsia="方正小标宋简体"/>
          <w:kern w:val="0"/>
          <w:sz w:val="40"/>
          <w:szCs w:val="44"/>
          <w:lang w:val="zh-CN"/>
        </w:rPr>
      </w:pPr>
      <w:bookmarkStart w:id="118" w:name="_Toc5350_WPSOffice_Level2"/>
      <w:r>
        <w:rPr>
          <w:rFonts w:hint="eastAsia" w:ascii="方正小标宋简体" w:hAnsi="宋体" w:eastAsia="方正小标宋简体"/>
          <w:kern w:val="0"/>
          <w:sz w:val="40"/>
          <w:szCs w:val="44"/>
        </w:rPr>
        <w:t>2021年中共盐边县委政法委员会部门整体绩效评价报告</w:t>
      </w:r>
      <w:bookmarkEnd w:id="118"/>
    </w:p>
    <w:p w14:paraId="2DE435FE">
      <w:pPr>
        <w:spacing w:line="560" w:lineRule="exact"/>
        <w:jc w:val="left"/>
        <w:rPr>
          <w:rFonts w:eastAsia="方正仿宋_GBK"/>
          <w:b/>
          <w:color w:val="000000"/>
          <w:sz w:val="32"/>
          <w:szCs w:val="32"/>
        </w:rPr>
      </w:pPr>
      <w:bookmarkStart w:id="119" w:name="_Toc16408_WPSOffice_Level2"/>
      <w:r>
        <w:rPr>
          <w:rFonts w:eastAsia="方正仿宋_GBK"/>
          <w:b/>
          <w:color w:val="000000"/>
          <w:sz w:val="32"/>
          <w:szCs w:val="32"/>
        </w:rPr>
        <w:t>一、部门概况</w:t>
      </w:r>
      <w:bookmarkEnd w:id="119"/>
    </w:p>
    <w:p w14:paraId="622E9161">
      <w:pPr>
        <w:widowControl/>
        <w:adjustRightInd w:val="0"/>
        <w:snapToGrid w:val="0"/>
        <w:spacing w:line="580" w:lineRule="exact"/>
        <w:jc w:val="left"/>
        <w:rPr>
          <w:rFonts w:ascii="仿宋_GB2312" w:hAnsi="宋体" w:eastAsia="仿宋_GB2312" w:cs="仿宋_GB2312"/>
          <w:b/>
          <w:bCs/>
          <w:color w:val="000000"/>
          <w:kern w:val="0"/>
          <w:sz w:val="32"/>
          <w:szCs w:val="32"/>
          <w:shd w:val="clear" w:color="auto" w:fill="FFFFFF"/>
          <w:lang w:val="zh-CN"/>
        </w:rPr>
      </w:pPr>
      <w:r>
        <w:rPr>
          <w:rFonts w:hint="eastAsia" w:ascii="仿宋_GB2312" w:hAnsi="宋体" w:eastAsia="仿宋_GB2312" w:cs="仿宋_GB2312"/>
          <w:b/>
          <w:bCs/>
          <w:color w:val="000000"/>
          <w:kern w:val="0"/>
          <w:sz w:val="32"/>
          <w:szCs w:val="32"/>
          <w:shd w:val="clear" w:color="auto" w:fill="FFFFFF"/>
          <w:lang w:val="zh-CN"/>
        </w:rPr>
        <w:t>（</w:t>
      </w:r>
      <w:r>
        <w:rPr>
          <w:rFonts w:hint="eastAsia" w:eastAsia="楷体_GB2312"/>
          <w:b/>
          <w:bCs/>
          <w:sz w:val="32"/>
          <w:szCs w:val="32"/>
          <w:lang w:val="zh-CN"/>
        </w:rPr>
        <w:t>一</w:t>
      </w:r>
      <w:r>
        <w:rPr>
          <w:rFonts w:hint="eastAsia" w:ascii="仿宋_GB2312" w:hAnsi="宋体" w:eastAsia="仿宋_GB2312" w:cs="仿宋_GB2312"/>
          <w:b/>
          <w:bCs/>
          <w:color w:val="000000"/>
          <w:kern w:val="0"/>
          <w:sz w:val="32"/>
          <w:szCs w:val="32"/>
          <w:shd w:val="clear" w:color="auto" w:fill="FFFFFF"/>
          <w:lang w:val="zh-CN"/>
        </w:rPr>
        <w:t>）</w:t>
      </w:r>
      <w:r>
        <w:rPr>
          <w:rFonts w:hint="eastAsia" w:eastAsia="楷体_GB2312"/>
          <w:b/>
          <w:bCs/>
          <w:sz w:val="32"/>
          <w:szCs w:val="32"/>
          <w:lang w:val="zh-CN"/>
        </w:rPr>
        <w:t>机构组成。</w:t>
      </w:r>
    </w:p>
    <w:p w14:paraId="3BA0CE67">
      <w:pPr>
        <w:pStyle w:val="7"/>
        <w:adjustRightInd w:val="0"/>
        <w:spacing w:beforeLines="0" w:line="560" w:lineRule="exact"/>
        <w:ind w:firstLine="672" w:firstLineChars="210"/>
        <w:rPr>
          <w:rFonts w:ascii="Times New Roman"/>
          <w:sz w:val="32"/>
        </w:rPr>
      </w:pPr>
      <w:r>
        <w:rPr>
          <w:rFonts w:hint="eastAsia" w:ascii="Times New Roman"/>
          <w:sz w:val="32"/>
        </w:rPr>
        <w:t>中共盐边县委政法委员会</w:t>
      </w:r>
      <w:r>
        <w:rPr>
          <w:rFonts w:ascii="Times New Roman"/>
          <w:sz w:val="32"/>
        </w:rPr>
        <w:t>下属非独立核算单位</w:t>
      </w:r>
      <w:r>
        <w:rPr>
          <w:rFonts w:hint="eastAsia" w:ascii="Times New Roman"/>
          <w:sz w:val="32"/>
        </w:rPr>
        <w:t>1</w:t>
      </w:r>
      <w:r>
        <w:rPr>
          <w:rFonts w:ascii="Times New Roman"/>
          <w:sz w:val="32"/>
        </w:rPr>
        <w:t>个，</w:t>
      </w:r>
      <w:r>
        <w:rPr>
          <w:rFonts w:hint="eastAsia" w:ascii="Times New Roman"/>
          <w:sz w:val="32"/>
        </w:rPr>
        <w:t>其中</w:t>
      </w:r>
      <w:r>
        <w:rPr>
          <w:rFonts w:ascii="Times New Roman"/>
          <w:sz w:val="32"/>
        </w:rPr>
        <w:t>其他事业单位</w:t>
      </w:r>
      <w:r>
        <w:rPr>
          <w:rFonts w:hint="eastAsia" w:ascii="Times New Roman"/>
          <w:sz w:val="32"/>
        </w:rPr>
        <w:t>1</w:t>
      </w:r>
      <w:r>
        <w:rPr>
          <w:rFonts w:ascii="Times New Roman"/>
          <w:sz w:val="32"/>
        </w:rPr>
        <w:t>个。主要包括：</w:t>
      </w:r>
      <w:r>
        <w:rPr>
          <w:rFonts w:hint="eastAsia" w:ascii="Times New Roman"/>
          <w:sz w:val="32"/>
        </w:rPr>
        <w:t>盐边县社会治安综合治理中心。</w:t>
      </w:r>
    </w:p>
    <w:p w14:paraId="3ADF9DEC">
      <w:pPr>
        <w:widowControl/>
        <w:adjustRightInd w:val="0"/>
        <w:snapToGrid w:val="0"/>
        <w:spacing w:line="580" w:lineRule="exact"/>
        <w:ind w:firstLine="640"/>
        <w:jc w:val="left"/>
        <w:rPr>
          <w:rFonts w:eastAsia="楷体_GB2312"/>
          <w:b/>
          <w:bCs/>
          <w:sz w:val="32"/>
          <w:szCs w:val="32"/>
          <w:lang w:val="zh-CN"/>
        </w:rPr>
      </w:pPr>
      <w:r>
        <w:rPr>
          <w:rFonts w:hint="eastAsia" w:ascii="仿宋_GB2312" w:hAnsi="宋体" w:eastAsia="仿宋_GB2312" w:cs="仿宋_GB2312"/>
          <w:b/>
          <w:bCs/>
          <w:color w:val="000000"/>
          <w:kern w:val="0"/>
          <w:sz w:val="32"/>
          <w:szCs w:val="32"/>
          <w:shd w:val="clear" w:color="auto" w:fill="FFFFFF"/>
          <w:lang w:val="zh-CN"/>
        </w:rPr>
        <w:t>（二）</w:t>
      </w:r>
      <w:r>
        <w:rPr>
          <w:rFonts w:hint="eastAsia" w:eastAsia="楷体_GB2312"/>
          <w:b/>
          <w:bCs/>
          <w:sz w:val="32"/>
          <w:szCs w:val="32"/>
          <w:lang w:val="zh-CN"/>
        </w:rPr>
        <w:t>机构职能。</w:t>
      </w:r>
    </w:p>
    <w:p w14:paraId="18057CC7">
      <w:pPr>
        <w:pStyle w:val="7"/>
        <w:adjustRightInd w:val="0"/>
        <w:spacing w:beforeLines="0" w:line="560" w:lineRule="exact"/>
        <w:ind w:firstLine="672" w:firstLineChars="210"/>
        <w:rPr>
          <w:rFonts w:hAnsi="仿宋_GB2312" w:cs="仿宋_GB2312"/>
          <w:sz w:val="32"/>
        </w:rPr>
      </w:pPr>
      <w:r>
        <w:rPr>
          <w:rFonts w:hint="eastAsia" w:hAnsi="仿宋_GB2312" w:cs="仿宋_GB2312"/>
          <w:sz w:val="32"/>
        </w:rPr>
        <w:t>1.根据党中央的路线、方针、政策和县委的部署，统一政法各部门的思想和行动，确保政法部门的执法活动坚持正确的政治方向。</w:t>
      </w:r>
    </w:p>
    <w:p w14:paraId="77A9E754">
      <w:pPr>
        <w:pStyle w:val="7"/>
        <w:adjustRightInd w:val="0"/>
        <w:spacing w:beforeLines="0" w:line="560" w:lineRule="exact"/>
        <w:ind w:firstLine="672" w:firstLineChars="210"/>
        <w:rPr>
          <w:rFonts w:hAnsi="仿宋_GB2312" w:cs="仿宋_GB2312"/>
          <w:sz w:val="32"/>
        </w:rPr>
      </w:pPr>
      <w:r>
        <w:rPr>
          <w:rFonts w:hint="eastAsia" w:hAnsi="仿宋_GB2312" w:cs="仿宋_GB2312"/>
          <w:sz w:val="32"/>
        </w:rPr>
        <w:t>2.研究制定贯彻落实党中央、省委、市委和县委关于政法工作的方针、政策和维护社会稳定工作的指示措施，及时向县委提出意见和建议，对一定时期内的政法工作、社会治安综合治理工作、社会稳定工作作出全局性的部署，并督促检查，抓好贯彻落实。</w:t>
      </w:r>
    </w:p>
    <w:p w14:paraId="2E3442F5">
      <w:pPr>
        <w:pStyle w:val="7"/>
        <w:adjustRightInd w:val="0"/>
        <w:spacing w:beforeLines="0" w:line="560" w:lineRule="exact"/>
        <w:ind w:firstLine="672" w:firstLineChars="210"/>
        <w:rPr>
          <w:rFonts w:hAnsi="仿宋_GB2312" w:cs="仿宋_GB2312"/>
          <w:sz w:val="32"/>
        </w:rPr>
      </w:pPr>
      <w:r>
        <w:rPr>
          <w:rFonts w:hint="eastAsia" w:hAnsi="仿宋_GB2312" w:cs="仿宋_GB2312"/>
          <w:sz w:val="32"/>
        </w:rPr>
        <w:t>3.加强对政法工作的督查。指导全县政法系统网络安全和智能化建设工作。</w:t>
      </w:r>
    </w:p>
    <w:p w14:paraId="320ECE9E">
      <w:pPr>
        <w:pStyle w:val="7"/>
        <w:adjustRightInd w:val="0"/>
        <w:spacing w:beforeLines="0" w:line="560" w:lineRule="exact"/>
        <w:ind w:firstLine="672" w:firstLineChars="210"/>
        <w:rPr>
          <w:rFonts w:hAnsi="仿宋_GB2312" w:cs="仿宋_GB2312"/>
          <w:sz w:val="32"/>
        </w:rPr>
      </w:pPr>
      <w:r>
        <w:rPr>
          <w:rFonts w:hint="eastAsia" w:hAnsi="仿宋_GB2312" w:cs="仿宋_GB2312"/>
          <w:sz w:val="32"/>
        </w:rPr>
        <w:t>4.组织推动政法工作的调查研究，推动政法工作改革。</w:t>
      </w:r>
    </w:p>
    <w:p w14:paraId="20B5744B">
      <w:pPr>
        <w:pStyle w:val="7"/>
        <w:adjustRightInd w:val="0"/>
        <w:spacing w:beforeLines="0" w:line="560" w:lineRule="exact"/>
        <w:ind w:firstLine="672" w:firstLineChars="210"/>
        <w:rPr>
          <w:rFonts w:hAnsi="仿宋_GB2312" w:cs="仿宋_GB2312"/>
          <w:sz w:val="32"/>
        </w:rPr>
      </w:pPr>
      <w:r>
        <w:rPr>
          <w:rFonts w:hint="eastAsia" w:hAnsi="仿宋_GB2312" w:cs="仿宋_GB2312"/>
          <w:sz w:val="32"/>
        </w:rPr>
        <w:t>5.监督检查政法部门执行宪法、</w:t>
      </w:r>
      <w:r>
        <w:rPr>
          <w:rFonts w:hint="eastAsia" w:hAnsi="仿宋_GB2312" w:cs="仿宋_GB2312"/>
          <w:sz w:val="32"/>
          <w:lang w:eastAsia="zh-CN"/>
        </w:rPr>
        <w:t>法律法规</w:t>
      </w:r>
      <w:r>
        <w:rPr>
          <w:rFonts w:hint="eastAsia" w:hAnsi="仿宋_GB2312" w:cs="仿宋_GB2312"/>
          <w:sz w:val="32"/>
        </w:rPr>
        <w:t>和公正司法情况，研究制定严格执法、维护司法公正的具体措施。监督和支持政法各部门依法行使职权，指导和协调政法部门密切配合，研究和协调重大、疑难案件，推进严格执法、公正司法。</w:t>
      </w:r>
    </w:p>
    <w:p w14:paraId="463E2217">
      <w:pPr>
        <w:pStyle w:val="7"/>
        <w:adjustRightInd w:val="0"/>
        <w:spacing w:beforeLines="0" w:line="560" w:lineRule="exact"/>
        <w:ind w:firstLine="672" w:firstLineChars="210"/>
        <w:rPr>
          <w:rFonts w:hAnsi="仿宋_GB2312" w:cs="仿宋_GB2312"/>
          <w:sz w:val="32"/>
        </w:rPr>
      </w:pPr>
      <w:r>
        <w:rPr>
          <w:rFonts w:hint="eastAsia" w:hAnsi="仿宋_GB2312" w:cs="仿宋_GB2312"/>
          <w:sz w:val="32"/>
        </w:rPr>
        <w:t>6.指导推动政法系统党的建设和政法队伍建设，研究加强全县政法队伍建设的措施，协助县委、县委组织部考察、管理政法部门领导班子和领导干部，协助县委、县</w:t>
      </w:r>
      <w:r>
        <w:rPr>
          <w:rFonts w:hint="eastAsia" w:hAnsi="仿宋_GB2312" w:cs="仿宋_GB2312"/>
          <w:sz w:val="32"/>
          <w:lang w:eastAsia="zh-CN"/>
        </w:rPr>
        <w:t>纪检监察机关</w:t>
      </w:r>
      <w:r>
        <w:rPr>
          <w:rFonts w:hint="eastAsia" w:hAnsi="仿宋_GB2312" w:cs="仿宋_GB2312"/>
          <w:sz w:val="32"/>
        </w:rPr>
        <w:t>做好监督检查和审查调查工作。代管盐边县法学会。</w:t>
      </w:r>
    </w:p>
    <w:p w14:paraId="7B90D61A">
      <w:pPr>
        <w:pStyle w:val="7"/>
        <w:adjustRightInd w:val="0"/>
        <w:spacing w:beforeLines="0" w:line="560" w:lineRule="exact"/>
        <w:ind w:firstLine="672" w:firstLineChars="210"/>
        <w:rPr>
          <w:rFonts w:hAnsi="仿宋_GB2312" w:cs="仿宋_GB2312"/>
          <w:sz w:val="32"/>
        </w:rPr>
      </w:pPr>
      <w:r>
        <w:rPr>
          <w:rFonts w:hint="eastAsia" w:hAnsi="仿宋_GB2312" w:cs="仿宋_GB2312"/>
          <w:sz w:val="32"/>
        </w:rPr>
        <w:t>7.承担全县社会治安综合治理工作的调查分析、组织协调和监督检查，协调推动各项综治工作措施的落实。</w:t>
      </w:r>
    </w:p>
    <w:p w14:paraId="23C6F83D">
      <w:pPr>
        <w:pStyle w:val="7"/>
        <w:adjustRightInd w:val="0"/>
        <w:spacing w:beforeLines="0" w:line="560" w:lineRule="exact"/>
        <w:ind w:firstLine="672" w:firstLineChars="210"/>
        <w:rPr>
          <w:rFonts w:hAnsi="仿宋_GB2312" w:cs="仿宋_GB2312"/>
          <w:sz w:val="32"/>
        </w:rPr>
      </w:pPr>
      <w:r>
        <w:rPr>
          <w:rFonts w:hint="eastAsia" w:hAnsi="仿宋_GB2312" w:cs="仿宋_GB2312"/>
          <w:sz w:val="32"/>
        </w:rPr>
        <w:t>8.指导全县维护社会稳定工作。协调推动相关部门做好反邪教工作。</w:t>
      </w:r>
    </w:p>
    <w:p w14:paraId="3E38C065">
      <w:pPr>
        <w:pStyle w:val="7"/>
        <w:adjustRightInd w:val="0"/>
        <w:spacing w:beforeLines="0" w:line="560" w:lineRule="exact"/>
        <w:ind w:firstLine="672" w:firstLineChars="210"/>
        <w:rPr>
          <w:rFonts w:hAnsi="仿宋_GB2312" w:cs="仿宋_GB2312"/>
          <w:sz w:val="32"/>
        </w:rPr>
      </w:pPr>
      <w:r>
        <w:rPr>
          <w:rFonts w:hint="eastAsia" w:hAnsi="仿宋_GB2312" w:cs="仿宋_GB2312"/>
          <w:sz w:val="32"/>
        </w:rPr>
        <w:t>9.完成县委政法委</w:t>
      </w:r>
      <w:r>
        <w:rPr>
          <w:rFonts w:hint="eastAsia" w:hAnsi="仿宋_GB2312" w:cs="仿宋_GB2312"/>
          <w:sz w:val="32"/>
          <w:lang w:eastAsia="zh-CN"/>
        </w:rPr>
        <w:t>“三定”规定</w:t>
      </w:r>
      <w:r>
        <w:rPr>
          <w:rFonts w:hint="eastAsia" w:hAnsi="仿宋_GB2312" w:cs="仿宋_GB2312"/>
          <w:sz w:val="32"/>
        </w:rPr>
        <w:t>中明确的其他工作职责。</w:t>
      </w:r>
    </w:p>
    <w:p w14:paraId="08C8F086">
      <w:pPr>
        <w:widowControl/>
        <w:adjustRightInd w:val="0"/>
        <w:snapToGrid w:val="0"/>
        <w:spacing w:line="580" w:lineRule="exact"/>
        <w:ind w:firstLine="640"/>
        <w:jc w:val="left"/>
        <w:rPr>
          <w:rFonts w:ascii="仿宋_GB2312" w:hAnsi="仿宋_GB2312" w:eastAsia="仿宋_GB2312" w:cs="仿宋_GB2312"/>
          <w:sz w:val="32"/>
        </w:rPr>
      </w:pPr>
      <w:r>
        <w:rPr>
          <w:rFonts w:hint="eastAsia" w:ascii="仿宋_GB2312" w:hAnsi="仿宋_GB2312" w:eastAsia="仿宋_GB2312" w:cs="仿宋_GB2312"/>
          <w:sz w:val="32"/>
        </w:rPr>
        <w:t>10.完成县委交办的其他任务</w:t>
      </w:r>
    </w:p>
    <w:p w14:paraId="04A524EA">
      <w:pPr>
        <w:widowControl/>
        <w:adjustRightInd w:val="0"/>
        <w:snapToGrid w:val="0"/>
        <w:spacing w:line="580" w:lineRule="exact"/>
        <w:ind w:firstLine="640"/>
        <w:jc w:val="left"/>
        <w:rPr>
          <w:rFonts w:eastAsia="楷体_GB2312"/>
          <w:b/>
          <w:bCs/>
          <w:sz w:val="32"/>
          <w:szCs w:val="32"/>
          <w:lang w:val="zh-CN"/>
        </w:rPr>
      </w:pPr>
      <w:r>
        <w:rPr>
          <w:rFonts w:hint="eastAsia" w:eastAsia="楷体_GB2312"/>
          <w:b/>
          <w:bCs/>
          <w:sz w:val="32"/>
          <w:szCs w:val="32"/>
          <w:lang w:val="zh-CN"/>
        </w:rPr>
        <w:t>（三）人员概况。</w:t>
      </w:r>
    </w:p>
    <w:p w14:paraId="3D12B670">
      <w:pPr>
        <w:pStyle w:val="2"/>
        <w:ind w:firstLine="640" w:firstLineChars="200"/>
        <w:rPr>
          <w:rFonts w:ascii="仿宋_GB2312" w:hAnsi="仿宋_GB2312" w:eastAsia="仿宋_GB2312" w:cs="仿宋_GB2312"/>
          <w:sz w:val="32"/>
          <w:szCs w:val="32"/>
          <w:lang w:val="zh-CN"/>
        </w:rPr>
      </w:pPr>
      <w:r>
        <w:rPr>
          <w:rFonts w:hint="eastAsia" w:ascii="仿宋_GB2312" w:hAnsi="仿宋_GB2312" w:eastAsia="仿宋_GB2312" w:cs="仿宋_GB2312"/>
          <w:sz w:val="32"/>
          <w:szCs w:val="32"/>
        </w:rPr>
        <w:t xml:space="preserve">2021年末在职人员17人，其中行政在编人员11人，行政工勤人员1人，事业在编人员5人，退休人员2人。 </w:t>
      </w:r>
    </w:p>
    <w:p w14:paraId="3D4C9930">
      <w:pPr>
        <w:pStyle w:val="2"/>
        <w:rPr>
          <w:lang w:val="zh-CN"/>
        </w:rPr>
      </w:pPr>
    </w:p>
    <w:p w14:paraId="1D299E48">
      <w:pPr>
        <w:pStyle w:val="9"/>
        <w:numPr>
          <w:ilvl w:val="0"/>
          <w:numId w:val="4"/>
        </w:numPr>
        <w:spacing w:line="600" w:lineRule="exact"/>
        <w:ind w:firstLine="643" w:firstLineChars="200"/>
        <w:jc w:val="left"/>
        <w:rPr>
          <w:rFonts w:ascii="Times New Roman" w:hAnsi="Times New Roman" w:eastAsia="黑体"/>
          <w:sz w:val="32"/>
          <w:szCs w:val="32"/>
        </w:rPr>
      </w:pPr>
      <w:bookmarkStart w:id="120" w:name="_Toc23955_WPSOffice_Level2"/>
      <w:r>
        <w:rPr>
          <w:rFonts w:ascii="Calibri" w:hAnsi="Calibri" w:eastAsia="方正仿宋_GBK"/>
          <w:b/>
          <w:color w:val="000000"/>
          <w:sz w:val="32"/>
          <w:szCs w:val="32"/>
        </w:rPr>
        <w:t>部门</w:t>
      </w:r>
      <w:r>
        <w:rPr>
          <w:rFonts w:hint="eastAsia" w:ascii="Calibri" w:hAnsi="Calibri" w:eastAsia="方正仿宋_GBK"/>
          <w:b/>
          <w:color w:val="000000"/>
          <w:sz w:val="32"/>
          <w:szCs w:val="32"/>
        </w:rPr>
        <w:t>财政</w:t>
      </w:r>
      <w:r>
        <w:rPr>
          <w:rFonts w:ascii="Calibri" w:hAnsi="Calibri" w:eastAsia="方正仿宋_GBK"/>
          <w:b/>
          <w:color w:val="000000"/>
          <w:sz w:val="32"/>
          <w:szCs w:val="32"/>
        </w:rPr>
        <w:t>资金基本情况</w:t>
      </w:r>
      <w:bookmarkEnd w:id="120"/>
    </w:p>
    <w:p w14:paraId="5118D364">
      <w:pPr>
        <w:pStyle w:val="9"/>
        <w:spacing w:line="600" w:lineRule="exact"/>
        <w:jc w:val="left"/>
        <w:rPr>
          <w:rFonts w:ascii="Times New Roman" w:hAnsi="Times New Roman" w:eastAsia="楷体_GB2312"/>
          <w:b/>
          <w:bCs/>
          <w:sz w:val="32"/>
          <w:szCs w:val="32"/>
        </w:rPr>
      </w:pPr>
      <w:r>
        <w:rPr>
          <w:rFonts w:ascii="Times New Roman" w:hAnsi="Times New Roman" w:eastAsia="楷体_GB2312"/>
          <w:b/>
          <w:bCs/>
          <w:sz w:val="32"/>
          <w:szCs w:val="32"/>
        </w:rPr>
        <w:t>（一）部门</w:t>
      </w:r>
      <w:r>
        <w:rPr>
          <w:rFonts w:hint="eastAsia" w:ascii="Times New Roman" w:hAnsi="Times New Roman" w:eastAsia="楷体_GB2312"/>
          <w:b/>
          <w:bCs/>
          <w:sz w:val="32"/>
          <w:szCs w:val="32"/>
        </w:rPr>
        <w:t>财政资金收入</w:t>
      </w:r>
      <w:r>
        <w:rPr>
          <w:rFonts w:ascii="Times New Roman" w:hAnsi="Times New Roman" w:eastAsia="楷体_GB2312"/>
          <w:b/>
          <w:bCs/>
          <w:sz w:val="32"/>
          <w:szCs w:val="32"/>
        </w:rPr>
        <w:t>情况</w:t>
      </w:r>
    </w:p>
    <w:p w14:paraId="4E2F1591">
      <w:pPr>
        <w:pStyle w:val="9"/>
        <w:spacing w:line="600" w:lineRule="exact"/>
        <w:jc w:val="left"/>
        <w:rPr>
          <w:rFonts w:ascii="方正仿宋_GBK" w:hAnsi="宋体" w:eastAsia="方正仿宋_GBK" w:cs="宋体"/>
          <w:color w:val="000000"/>
          <w:sz w:val="32"/>
          <w:szCs w:val="32"/>
        </w:rPr>
      </w:pPr>
      <w:r>
        <w:rPr>
          <w:rFonts w:hint="eastAsia" w:ascii="方正仿宋_GBK" w:hAnsi="仿宋" w:eastAsia="方正仿宋_GBK"/>
          <w:color w:val="000000"/>
          <w:sz w:val="32"/>
          <w:szCs w:val="32"/>
          <w:shd w:val="clear" w:color="auto" w:fill="FFFFFF"/>
        </w:rPr>
        <w:t>2021年年初部门预算安排收入为273.13万元。当年调增及调减后实际预算下达收入488.96万元</w:t>
      </w:r>
      <w:r>
        <w:rPr>
          <w:rFonts w:hint="eastAsia" w:ascii="方正仿宋_GBK" w:hAnsi="宋体" w:eastAsia="方正仿宋_GBK" w:cs="宋体"/>
          <w:color w:val="000000"/>
          <w:sz w:val="32"/>
          <w:szCs w:val="32"/>
        </w:rPr>
        <w:t>。</w:t>
      </w:r>
    </w:p>
    <w:p w14:paraId="2395ECD0">
      <w:pPr>
        <w:pStyle w:val="9"/>
        <w:spacing w:line="600" w:lineRule="exact"/>
        <w:ind w:firstLine="643" w:firstLineChars="200"/>
        <w:jc w:val="left"/>
        <w:rPr>
          <w:rFonts w:ascii="方正仿宋_GBK" w:hAnsi="宋体" w:eastAsia="方正仿宋_GBK" w:cs="宋体"/>
          <w:color w:val="000000"/>
          <w:sz w:val="32"/>
          <w:szCs w:val="32"/>
        </w:rPr>
      </w:pPr>
      <w:r>
        <w:rPr>
          <w:rFonts w:ascii="Times New Roman" w:hAnsi="Times New Roman" w:eastAsia="楷体_GB2312"/>
          <w:b/>
          <w:bCs/>
          <w:color w:val="000000"/>
          <w:sz w:val="32"/>
          <w:szCs w:val="32"/>
        </w:rPr>
        <w:t>（</w:t>
      </w:r>
      <w:r>
        <w:rPr>
          <w:rFonts w:hint="eastAsia" w:ascii="Times New Roman" w:hAnsi="Times New Roman" w:eastAsia="楷体_GB2312"/>
          <w:b/>
          <w:bCs/>
          <w:color w:val="000000"/>
          <w:sz w:val="32"/>
          <w:szCs w:val="32"/>
        </w:rPr>
        <w:t>二</w:t>
      </w:r>
      <w:r>
        <w:rPr>
          <w:rFonts w:ascii="Times New Roman" w:hAnsi="Times New Roman" w:eastAsia="楷体_GB2312"/>
          <w:b/>
          <w:bCs/>
          <w:color w:val="000000"/>
          <w:sz w:val="32"/>
          <w:szCs w:val="32"/>
        </w:rPr>
        <w:t>）</w:t>
      </w:r>
      <w:r>
        <w:rPr>
          <w:rFonts w:ascii="Times New Roman" w:hAnsi="Times New Roman" w:eastAsia="楷体_GB2312"/>
          <w:b/>
          <w:bCs/>
          <w:sz w:val="32"/>
          <w:szCs w:val="32"/>
        </w:rPr>
        <w:t>部门</w:t>
      </w:r>
      <w:r>
        <w:rPr>
          <w:rFonts w:hint="eastAsia" w:ascii="Times New Roman" w:hAnsi="Times New Roman" w:eastAsia="楷体_GB2312"/>
          <w:b/>
          <w:bCs/>
          <w:sz w:val="32"/>
          <w:szCs w:val="32"/>
        </w:rPr>
        <w:t>财政资金</w:t>
      </w:r>
      <w:r>
        <w:rPr>
          <w:rFonts w:ascii="Times New Roman" w:hAnsi="Times New Roman" w:eastAsia="楷体_GB2312"/>
          <w:b/>
          <w:bCs/>
          <w:color w:val="000000"/>
          <w:sz w:val="32"/>
          <w:szCs w:val="32"/>
        </w:rPr>
        <w:t>支出情况</w:t>
      </w:r>
    </w:p>
    <w:p w14:paraId="01307E8F">
      <w:pPr>
        <w:spacing w:line="560" w:lineRule="exact"/>
        <w:ind w:firstLine="640" w:firstLineChars="200"/>
        <w:rPr>
          <w:rFonts w:ascii="方正仿宋_GBK" w:hAnsi="仿宋" w:eastAsia="方正仿宋_GBK"/>
          <w:color w:val="000000"/>
          <w:sz w:val="32"/>
          <w:szCs w:val="32"/>
          <w:shd w:val="clear" w:color="auto" w:fill="FFFFFF"/>
        </w:rPr>
      </w:pPr>
      <w:r>
        <w:rPr>
          <w:rFonts w:hint="eastAsia" w:ascii="方正仿宋_GBK" w:hAnsi="仿宋" w:eastAsia="方正仿宋_GBK"/>
          <w:color w:val="000000"/>
          <w:sz w:val="32"/>
          <w:szCs w:val="32"/>
          <w:shd w:val="clear" w:color="auto" w:fill="FFFFFF"/>
        </w:rPr>
        <w:t>1.部门预算基本支出情况</w:t>
      </w:r>
    </w:p>
    <w:p w14:paraId="7AB794D9">
      <w:pPr>
        <w:spacing w:line="560" w:lineRule="exact"/>
        <w:ind w:firstLine="640" w:firstLineChars="200"/>
        <w:rPr>
          <w:rFonts w:ascii="方正仿宋_GBK" w:hAnsi="仿宋" w:eastAsia="方正仿宋_GBK"/>
          <w:color w:val="000000"/>
          <w:sz w:val="32"/>
          <w:szCs w:val="32"/>
          <w:shd w:val="clear" w:color="auto" w:fill="FFFFFF"/>
        </w:rPr>
      </w:pPr>
      <w:r>
        <w:rPr>
          <w:rFonts w:hint="eastAsia" w:ascii="方正仿宋_GBK" w:hAnsi="仿宋" w:eastAsia="方正仿宋_GBK"/>
          <w:color w:val="000000"/>
          <w:sz w:val="32"/>
          <w:szCs w:val="32"/>
          <w:shd w:val="clear" w:color="auto" w:fill="FFFFFF"/>
        </w:rPr>
        <w:t>2021年年初部门预算安排基本支出为223.13万元。其中：工资福利支出197.93万元，日常公用支出25.20万元。当年调增及调减后实际预算下达基本支出321.79万元。</w:t>
      </w:r>
    </w:p>
    <w:p w14:paraId="3336AACE">
      <w:pPr>
        <w:spacing w:line="560" w:lineRule="exact"/>
        <w:ind w:firstLine="640" w:firstLineChars="200"/>
        <w:rPr>
          <w:rFonts w:ascii="方正仿宋_GBK" w:hAnsi="仿宋" w:eastAsia="方正仿宋_GBK"/>
          <w:color w:val="000000"/>
          <w:sz w:val="32"/>
          <w:szCs w:val="32"/>
          <w:shd w:val="clear" w:color="auto" w:fill="FFFFFF"/>
        </w:rPr>
      </w:pPr>
      <w:r>
        <w:rPr>
          <w:rFonts w:hint="eastAsia" w:ascii="方正仿宋_GBK" w:hAnsi="仿宋" w:eastAsia="方正仿宋_GBK"/>
          <w:color w:val="000000"/>
          <w:sz w:val="32"/>
          <w:szCs w:val="32"/>
          <w:shd w:val="clear" w:color="auto" w:fill="FFFFFF"/>
        </w:rPr>
        <w:t>基本支出中的工资福利、对个人和家庭补助支出主要用于职工基本工资、绩效工资、津贴补贴、养老保险等各类保险缴费、在职及退休人员目标奖奖金、住房公积金等。日常公用支出主要用于办公费、水电费、邮电费、差旅费、工会经费、其他交通费等方面。</w:t>
      </w:r>
    </w:p>
    <w:p w14:paraId="25E0EE86">
      <w:pPr>
        <w:spacing w:line="560" w:lineRule="exact"/>
        <w:ind w:firstLine="640" w:firstLineChars="200"/>
        <w:rPr>
          <w:rFonts w:ascii="方正仿宋_GBK" w:hAnsi="仿宋" w:eastAsia="方正仿宋_GBK"/>
          <w:color w:val="000000"/>
          <w:sz w:val="32"/>
          <w:szCs w:val="32"/>
          <w:shd w:val="clear" w:color="auto" w:fill="FFFFFF"/>
        </w:rPr>
      </w:pPr>
      <w:r>
        <w:rPr>
          <w:rFonts w:hint="eastAsia" w:ascii="方正仿宋_GBK" w:hAnsi="仿宋" w:eastAsia="方正仿宋_GBK"/>
          <w:color w:val="000000"/>
          <w:sz w:val="32"/>
          <w:szCs w:val="32"/>
          <w:shd w:val="clear" w:color="auto" w:fill="FFFFFF"/>
        </w:rPr>
        <w:t>2.部门预算项目安排及支出情况。</w:t>
      </w:r>
    </w:p>
    <w:p w14:paraId="0CA74102">
      <w:pPr>
        <w:spacing w:line="560" w:lineRule="exact"/>
        <w:ind w:firstLine="640" w:firstLineChars="200"/>
        <w:rPr>
          <w:rFonts w:ascii="方正仿宋_GBK" w:hAnsi="仿宋" w:eastAsia="方正仿宋_GBK"/>
          <w:color w:val="000000"/>
          <w:sz w:val="32"/>
          <w:szCs w:val="32"/>
          <w:shd w:val="clear" w:color="auto" w:fill="FFFFFF"/>
        </w:rPr>
      </w:pPr>
      <w:r>
        <w:rPr>
          <w:rFonts w:hint="eastAsia" w:ascii="方正仿宋_GBK" w:hAnsi="仿宋" w:eastAsia="方正仿宋_GBK"/>
          <w:color w:val="000000"/>
          <w:sz w:val="32"/>
          <w:szCs w:val="32"/>
          <w:shd w:val="clear" w:color="auto" w:fill="FFFFFF"/>
        </w:rPr>
        <w:t>2021年年初部门预算安排项目支出为50万元；2021年调增及调减后实际预算下达项目支出169.14万元。</w:t>
      </w:r>
    </w:p>
    <w:p w14:paraId="1C10C968">
      <w:pPr>
        <w:spacing w:line="580" w:lineRule="exact"/>
        <w:ind w:firstLine="640" w:firstLineChars="200"/>
        <w:rPr>
          <w:rFonts w:ascii="仿宋" w:hAnsi="仿宋" w:eastAsia="仿宋"/>
          <w:color w:val="000000"/>
          <w:sz w:val="32"/>
          <w:szCs w:val="32"/>
          <w:shd w:val="clear" w:color="auto" w:fill="FFFFFF"/>
        </w:rPr>
      </w:pPr>
      <w:r>
        <w:rPr>
          <w:rFonts w:ascii="仿宋" w:hAnsi="仿宋" w:eastAsia="仿宋"/>
          <w:color w:val="000000"/>
          <w:sz w:val="32"/>
          <w:szCs w:val="32"/>
          <w:shd w:val="clear" w:color="auto" w:fill="FFFFFF"/>
        </w:rPr>
        <w:t>项目支出主要</w:t>
      </w:r>
      <w:r>
        <w:rPr>
          <w:rFonts w:hint="eastAsia" w:ascii="仿宋" w:hAnsi="仿宋" w:eastAsia="仿宋"/>
          <w:color w:val="000000"/>
          <w:sz w:val="32"/>
          <w:szCs w:val="32"/>
          <w:shd w:val="clear" w:color="auto" w:fill="FFFFFF"/>
        </w:rPr>
        <w:t>政法委专网</w:t>
      </w:r>
      <w:r>
        <w:rPr>
          <w:rFonts w:ascii="仿宋" w:hAnsi="仿宋" w:eastAsia="仿宋"/>
          <w:color w:val="000000"/>
          <w:sz w:val="32"/>
          <w:szCs w:val="32"/>
          <w:shd w:val="clear" w:color="auto" w:fill="FFFFFF"/>
        </w:rPr>
        <w:t>正常运行的网络维护等方面支出。</w:t>
      </w:r>
    </w:p>
    <w:p w14:paraId="1F4DD2A4">
      <w:pPr>
        <w:pStyle w:val="9"/>
        <w:numPr>
          <w:ilvl w:val="0"/>
          <w:numId w:val="5"/>
        </w:numPr>
        <w:spacing w:line="600" w:lineRule="exact"/>
        <w:ind w:firstLine="643" w:firstLineChars="200"/>
        <w:jc w:val="left"/>
        <w:rPr>
          <w:rFonts w:ascii="Times New Roman" w:hAnsi="Times New Roman" w:eastAsia="楷体_GB2312"/>
          <w:b/>
          <w:bCs/>
          <w:sz w:val="32"/>
          <w:szCs w:val="32"/>
        </w:rPr>
      </w:pPr>
      <w:r>
        <w:rPr>
          <w:rFonts w:ascii="Times New Roman" w:hAnsi="Times New Roman" w:eastAsia="楷体_GB2312"/>
          <w:b/>
          <w:bCs/>
          <w:sz w:val="32"/>
          <w:szCs w:val="32"/>
          <w:lang w:val="zh-CN"/>
        </w:rPr>
        <w:t>结转结余情况</w:t>
      </w:r>
    </w:p>
    <w:p w14:paraId="70B1BAB1">
      <w:pPr>
        <w:pStyle w:val="9"/>
        <w:spacing w:line="600" w:lineRule="exact"/>
        <w:jc w:val="left"/>
        <w:rPr>
          <w:rFonts w:ascii="方正仿宋_GBK" w:hAnsi="仿宋" w:eastAsia="方正仿宋_GBK"/>
          <w:color w:val="000000"/>
          <w:sz w:val="32"/>
          <w:szCs w:val="32"/>
          <w:shd w:val="clear" w:color="auto" w:fill="FFFFFF"/>
        </w:rPr>
      </w:pPr>
      <w:r>
        <w:rPr>
          <w:rFonts w:hint="eastAsia" w:ascii="方正仿宋_GBK" w:hAnsi="仿宋" w:eastAsia="方正仿宋_GBK"/>
          <w:color w:val="000000"/>
          <w:sz w:val="32"/>
          <w:szCs w:val="32"/>
          <w:shd w:val="clear" w:color="auto" w:fill="FFFFFF"/>
        </w:rPr>
        <w:t>无结转结余。</w:t>
      </w:r>
    </w:p>
    <w:p w14:paraId="7EA37EB3">
      <w:pPr>
        <w:pStyle w:val="9"/>
        <w:spacing w:line="600" w:lineRule="exact"/>
        <w:jc w:val="left"/>
        <w:rPr>
          <w:rFonts w:ascii="Calibri" w:hAnsi="Calibri" w:eastAsia="方正仿宋_GBK"/>
          <w:b/>
          <w:color w:val="000000"/>
          <w:sz w:val="32"/>
          <w:szCs w:val="32"/>
        </w:rPr>
      </w:pPr>
      <w:bookmarkStart w:id="121" w:name="_Toc25953_WPSOffice_Level2"/>
      <w:r>
        <w:rPr>
          <w:rFonts w:hint="eastAsia" w:ascii="Times New Roman" w:hAnsi="Times New Roman" w:eastAsia="黑体"/>
          <w:sz w:val="32"/>
          <w:szCs w:val="32"/>
        </w:rPr>
        <w:t>三</w:t>
      </w:r>
      <w:r>
        <w:rPr>
          <w:rFonts w:hint="eastAsia" w:ascii="Calibri" w:hAnsi="Calibri" w:eastAsia="方正仿宋_GBK"/>
          <w:b/>
          <w:color w:val="000000"/>
          <w:sz w:val="32"/>
          <w:szCs w:val="32"/>
        </w:rPr>
        <w:t>、</w:t>
      </w:r>
      <w:r>
        <w:rPr>
          <w:rFonts w:ascii="Calibri" w:hAnsi="Calibri" w:eastAsia="方正仿宋_GBK"/>
          <w:b/>
          <w:color w:val="000000"/>
          <w:sz w:val="32"/>
          <w:szCs w:val="32"/>
        </w:rPr>
        <w:t>部门</w:t>
      </w:r>
      <w:r>
        <w:rPr>
          <w:rFonts w:hint="eastAsia" w:ascii="Calibri" w:hAnsi="Calibri" w:eastAsia="方正仿宋_GBK"/>
          <w:b/>
          <w:color w:val="000000"/>
          <w:sz w:val="32"/>
          <w:szCs w:val="32"/>
        </w:rPr>
        <w:t>预算绩效管理情况</w:t>
      </w:r>
      <w:bookmarkEnd w:id="121"/>
    </w:p>
    <w:p w14:paraId="2CE58EF4">
      <w:pPr>
        <w:numPr>
          <w:ilvl w:val="0"/>
          <w:numId w:val="6"/>
        </w:numPr>
        <w:spacing w:line="560" w:lineRule="exact"/>
        <w:ind w:firstLine="643" w:firstLineChars="200"/>
        <w:rPr>
          <w:rFonts w:eastAsia="楷体_GB2312"/>
          <w:b/>
          <w:bCs/>
          <w:sz w:val="32"/>
          <w:szCs w:val="32"/>
        </w:rPr>
      </w:pPr>
      <w:r>
        <w:rPr>
          <w:rFonts w:eastAsia="楷体_GB2312"/>
          <w:b/>
          <w:bCs/>
          <w:sz w:val="32"/>
          <w:szCs w:val="32"/>
        </w:rPr>
        <w:t>部门预算绩效管理。</w:t>
      </w:r>
    </w:p>
    <w:p w14:paraId="4868DB30">
      <w:pPr>
        <w:spacing w:line="560" w:lineRule="exact"/>
        <w:ind w:firstLine="640" w:firstLineChars="200"/>
        <w:rPr>
          <w:rFonts w:ascii="方正仿宋_GBK" w:hAnsi="仿宋" w:eastAsia="方正仿宋_GBK"/>
          <w:color w:val="000000"/>
          <w:sz w:val="32"/>
          <w:szCs w:val="32"/>
          <w:shd w:val="clear" w:color="auto" w:fill="FFFFFF"/>
        </w:rPr>
      </w:pPr>
      <w:r>
        <w:rPr>
          <w:rFonts w:hint="eastAsia" w:ascii="方正仿宋_GBK" w:hAnsi="仿宋" w:eastAsia="方正仿宋_GBK"/>
          <w:color w:val="000000"/>
          <w:sz w:val="32"/>
          <w:szCs w:val="32"/>
          <w:shd w:val="clear" w:color="auto" w:fill="FFFFFF"/>
        </w:rPr>
        <w:t xml:space="preserve"> 1.绩效目标制定</w:t>
      </w:r>
    </w:p>
    <w:p w14:paraId="3E1749B7">
      <w:pPr>
        <w:ind w:firstLine="640" w:firstLineChars="200"/>
        <w:rPr>
          <w:rFonts w:eastAsia="仿宋_GB2312"/>
          <w:sz w:val="32"/>
          <w:szCs w:val="32"/>
        </w:rPr>
      </w:pPr>
      <w:r>
        <w:rPr>
          <w:rFonts w:eastAsia="仿宋_GB2312"/>
          <w:sz w:val="32"/>
          <w:szCs w:val="32"/>
        </w:rPr>
        <w:t>2021</w:t>
      </w:r>
      <w:r>
        <w:rPr>
          <w:rFonts w:hint="eastAsia" w:eastAsia="仿宋_GB2312"/>
          <w:sz w:val="32"/>
          <w:szCs w:val="32"/>
          <w:lang w:eastAsia="zh-CN"/>
        </w:rPr>
        <w:t>年以</w:t>
      </w:r>
      <w:r>
        <w:rPr>
          <w:rFonts w:eastAsia="仿宋_GB2312"/>
          <w:sz w:val="32"/>
          <w:szCs w:val="32"/>
        </w:rPr>
        <w:t>来，盐边县政法部门和全体干警在县委、县政府坚强领导下，</w:t>
      </w:r>
      <w:r>
        <w:rPr>
          <w:sz w:val="32"/>
          <w:szCs w:val="32"/>
        </w:rPr>
        <w:t>勠</w:t>
      </w:r>
      <w:r>
        <w:rPr>
          <w:rFonts w:eastAsia="仿宋_GB2312"/>
          <w:sz w:val="32"/>
          <w:szCs w:val="32"/>
        </w:rPr>
        <w:t>力同心、攻坚克难，持续推进国家政治安全建设、影响社会稳定风险化解、社会治安综合治理、扫黑除恶专项斗争、打击惩处违法犯罪、</w:t>
      </w:r>
      <w:bookmarkStart w:id="161" w:name="_GoBack"/>
      <w:r>
        <w:rPr>
          <w:rFonts w:eastAsia="仿宋_GB2312"/>
          <w:sz w:val="32"/>
          <w:szCs w:val="32"/>
        </w:rPr>
        <w:t>维护司法公平正义</w:t>
      </w:r>
      <w:bookmarkEnd w:id="161"/>
      <w:r>
        <w:rPr>
          <w:rFonts w:eastAsia="仿宋_GB2312"/>
          <w:sz w:val="32"/>
          <w:szCs w:val="32"/>
        </w:rPr>
        <w:t>、矛盾纠纷协调化解等工作，全县政法系统扎实开展政法队伍教育整顿，深入推</w:t>
      </w:r>
      <w:r>
        <w:rPr>
          <w:rFonts w:hint="eastAsia" w:eastAsia="仿宋_GB2312"/>
          <w:sz w:val="32"/>
          <w:szCs w:val="32"/>
          <w:lang w:eastAsia="zh-CN"/>
        </w:rPr>
        <w:t>进</w:t>
      </w:r>
      <w:r>
        <w:rPr>
          <w:rFonts w:eastAsia="仿宋_GB2312"/>
          <w:sz w:val="32"/>
          <w:szCs w:val="32"/>
        </w:rPr>
        <w:t>党史</w:t>
      </w:r>
      <w:r>
        <w:rPr>
          <w:rFonts w:hint="eastAsia" w:eastAsia="仿宋_GB2312"/>
          <w:sz w:val="32"/>
          <w:szCs w:val="32"/>
          <w:lang w:eastAsia="zh-CN"/>
        </w:rPr>
        <w:t>学习</w:t>
      </w:r>
      <w:r>
        <w:rPr>
          <w:rFonts w:eastAsia="仿宋_GB2312"/>
          <w:sz w:val="32"/>
          <w:szCs w:val="32"/>
        </w:rPr>
        <w:t>教育，不断夯实便民利民举措，人民群众安全感满意度持续提升，为全县经济社会持续平稳健康发展创造了良好的社会环境。</w:t>
      </w:r>
    </w:p>
    <w:p w14:paraId="19027650">
      <w:pPr>
        <w:numPr>
          <w:ilvl w:val="0"/>
          <w:numId w:val="7"/>
        </w:numPr>
        <w:spacing w:line="560" w:lineRule="exact"/>
        <w:ind w:firstLine="640" w:firstLineChars="200"/>
        <w:rPr>
          <w:rFonts w:ascii="方正仿宋_GBK" w:hAnsi="仿宋" w:eastAsia="方正仿宋_GBK"/>
          <w:sz w:val="32"/>
          <w:szCs w:val="32"/>
          <w:shd w:val="clear" w:color="auto" w:fill="FFFFFF"/>
        </w:rPr>
      </w:pPr>
      <w:r>
        <w:rPr>
          <w:rFonts w:hint="eastAsia" w:ascii="方正仿宋_GBK" w:hAnsi="仿宋" w:eastAsia="方正仿宋_GBK"/>
          <w:sz w:val="32"/>
          <w:szCs w:val="32"/>
          <w:shd w:val="clear" w:color="auto" w:fill="FFFFFF"/>
        </w:rPr>
        <w:t>绩效目标执行情况</w:t>
      </w:r>
    </w:p>
    <w:p w14:paraId="74E4F559">
      <w:pPr>
        <w:spacing w:line="560" w:lineRule="exact"/>
        <w:ind w:firstLine="640" w:firstLineChars="200"/>
        <w:rPr>
          <w:rFonts w:ascii="方正仿宋_GBK" w:hAnsi="仿宋" w:eastAsia="方正仿宋_GBK"/>
          <w:sz w:val="32"/>
          <w:szCs w:val="32"/>
          <w:shd w:val="clear" w:color="auto" w:fill="FFFFFF"/>
        </w:rPr>
      </w:pPr>
      <w:r>
        <w:rPr>
          <w:rFonts w:hint="eastAsia" w:ascii="方正仿宋_GBK" w:hAnsi="仿宋" w:eastAsia="方正仿宋_GBK"/>
          <w:sz w:val="32"/>
          <w:szCs w:val="32"/>
          <w:shd w:val="clear" w:color="auto" w:fill="FFFFFF"/>
        </w:rPr>
        <w:t>盐边县</w:t>
      </w:r>
      <w:r>
        <w:rPr>
          <w:rFonts w:hint="eastAsia" w:ascii="方正仿宋_GBK" w:hAnsi="仿宋" w:eastAsia="方正仿宋_GBK"/>
          <w:sz w:val="32"/>
          <w:szCs w:val="32"/>
          <w:shd w:val="clear" w:color="auto" w:fill="FFFFFF"/>
          <w:lang w:eastAsia="zh-CN"/>
        </w:rPr>
        <w:t>委</w:t>
      </w:r>
      <w:r>
        <w:rPr>
          <w:rFonts w:hint="eastAsia" w:ascii="方正仿宋_GBK" w:hAnsi="仿宋" w:eastAsia="方正仿宋_GBK"/>
          <w:sz w:val="32"/>
          <w:szCs w:val="32"/>
          <w:shd w:val="clear" w:color="auto" w:fill="FFFFFF"/>
        </w:rPr>
        <w:t>政法委2021年度全年资金拨付和使用均按计划进度完成，在资金的使用上，严守法律底线、纪律底线，无违反财务管理、财经纪律情况发生，会计核算真实完整，项 目资金支出和原定用途、预算批复用途相符，财政资金使用效率进一步提高。在资金的管理方面，进一步强化资金统筹，优化资金结构，明确开支范围，细化资金用途，确保各项工作的顺利开展和财政资金的有效使用。</w:t>
      </w:r>
    </w:p>
    <w:p w14:paraId="0E4B8F50">
      <w:pPr>
        <w:snapToGrid w:val="0"/>
        <w:spacing w:line="360" w:lineRule="auto"/>
        <w:ind w:firstLine="643" w:firstLineChars="200"/>
        <w:rPr>
          <w:rFonts w:eastAsia="仿宋_GB2312"/>
          <w:b/>
          <w:bCs/>
          <w:color w:val="000000"/>
          <w:sz w:val="32"/>
          <w:szCs w:val="32"/>
        </w:rPr>
      </w:pPr>
      <w:r>
        <w:rPr>
          <w:rFonts w:hint="eastAsia" w:eastAsia="仿宋_GB2312"/>
          <w:b/>
          <w:bCs/>
          <w:color w:val="000000"/>
          <w:sz w:val="32"/>
          <w:szCs w:val="32"/>
        </w:rPr>
        <w:t>（1）人员类</w:t>
      </w:r>
    </w:p>
    <w:p w14:paraId="6BAE6B8D">
      <w:pPr>
        <w:snapToGrid w:val="0"/>
        <w:spacing w:line="360" w:lineRule="auto"/>
        <w:ind w:firstLine="640" w:firstLineChars="200"/>
        <w:rPr>
          <w:rFonts w:ascii="方正仿宋_GBK" w:hAnsi="仿宋" w:eastAsia="方正仿宋_GBK"/>
          <w:sz w:val="32"/>
          <w:szCs w:val="32"/>
          <w:shd w:val="clear" w:color="auto" w:fill="FFFFFF"/>
        </w:rPr>
      </w:pPr>
      <w:r>
        <w:rPr>
          <w:rFonts w:hint="eastAsia" w:ascii="方正仿宋_GBK" w:hAnsi="仿宋" w:eastAsia="方正仿宋_GBK"/>
          <w:sz w:val="32"/>
          <w:szCs w:val="32"/>
          <w:shd w:val="clear" w:color="auto" w:fill="FFFFFF"/>
        </w:rPr>
        <w:t>2021年度人员经费支出299.11万元，主要用于职工工资及福利待遇支出，未将人员工资福利支出等大平台指标挪作</w:t>
      </w:r>
      <w:r>
        <w:rPr>
          <w:rFonts w:hint="eastAsia" w:ascii="方正仿宋_GBK" w:hAnsi="仿宋" w:eastAsia="方正仿宋_GBK"/>
          <w:sz w:val="32"/>
          <w:szCs w:val="32"/>
          <w:shd w:val="clear" w:color="auto" w:fill="FFFFFF"/>
          <w:lang w:eastAsia="zh-CN"/>
        </w:rPr>
        <w:t>他</w:t>
      </w:r>
      <w:r>
        <w:rPr>
          <w:rFonts w:hint="eastAsia" w:ascii="方正仿宋_GBK" w:hAnsi="仿宋" w:eastAsia="方正仿宋_GBK"/>
          <w:sz w:val="32"/>
          <w:szCs w:val="32"/>
          <w:shd w:val="clear" w:color="auto" w:fill="FFFFFF"/>
        </w:rPr>
        <w:t>用，基本支出保障有力，确保全年平稳保障职工工资支出，维持基本行政运转，预算执行率100%。</w:t>
      </w:r>
    </w:p>
    <w:p w14:paraId="7EB526AC">
      <w:pPr>
        <w:snapToGrid w:val="0"/>
        <w:spacing w:line="360" w:lineRule="auto"/>
        <w:ind w:firstLine="643" w:firstLineChars="200"/>
        <w:rPr>
          <w:rFonts w:eastAsia="仿宋_GB2312"/>
          <w:b/>
          <w:bCs/>
          <w:color w:val="000000"/>
          <w:sz w:val="32"/>
          <w:szCs w:val="32"/>
        </w:rPr>
      </w:pPr>
      <w:r>
        <w:rPr>
          <w:rFonts w:hint="eastAsia" w:eastAsia="仿宋_GB2312"/>
          <w:b/>
          <w:bCs/>
          <w:color w:val="000000"/>
          <w:sz w:val="32"/>
          <w:szCs w:val="32"/>
        </w:rPr>
        <w:t>（2）运转类</w:t>
      </w:r>
    </w:p>
    <w:p w14:paraId="5AED3081">
      <w:pPr>
        <w:spacing w:line="560" w:lineRule="exact"/>
        <w:ind w:firstLine="640" w:firstLineChars="200"/>
        <w:rPr>
          <w:rFonts w:ascii="方正仿宋_GBK" w:hAnsi="仿宋" w:eastAsia="方正仿宋_GBK"/>
          <w:sz w:val="32"/>
          <w:szCs w:val="32"/>
          <w:shd w:val="clear" w:color="auto" w:fill="FFFFFF"/>
        </w:rPr>
      </w:pPr>
      <w:r>
        <w:rPr>
          <w:rFonts w:hint="eastAsia" w:ascii="方正仿宋_GBK" w:hAnsi="仿宋" w:eastAsia="方正仿宋_GBK"/>
          <w:sz w:val="32"/>
          <w:szCs w:val="32"/>
          <w:shd w:val="clear" w:color="auto" w:fill="FFFFFF"/>
        </w:rPr>
        <w:t>2021年度公用经费支出22.69万元，主要用于办公费、印刷费、水电费、差旅费、维修（护）费等日常公用经费，严格按照资金用途申报、使用资金，均已足额按时支付，有力保障了各项工作的顺利开展。预算执行率100%。</w:t>
      </w:r>
    </w:p>
    <w:p w14:paraId="18BCEEC5">
      <w:pPr>
        <w:widowControl/>
        <w:adjustRightInd w:val="0"/>
        <w:snapToGrid w:val="0"/>
        <w:spacing w:line="360" w:lineRule="auto"/>
        <w:ind w:firstLine="643" w:firstLineChars="200"/>
        <w:contextualSpacing/>
        <w:jc w:val="left"/>
        <w:rPr>
          <w:rFonts w:eastAsia="仿宋_GB2312"/>
          <w:b/>
          <w:bCs/>
          <w:color w:val="000000"/>
          <w:sz w:val="32"/>
          <w:szCs w:val="32"/>
        </w:rPr>
      </w:pPr>
      <w:r>
        <w:rPr>
          <w:rFonts w:hint="eastAsia" w:eastAsia="仿宋_GB2312"/>
          <w:b/>
          <w:bCs/>
          <w:color w:val="000000"/>
          <w:sz w:val="32"/>
          <w:szCs w:val="32"/>
        </w:rPr>
        <w:t>（3）特定目标类</w:t>
      </w:r>
    </w:p>
    <w:p w14:paraId="6A70A614">
      <w:pPr>
        <w:spacing w:line="560" w:lineRule="exact"/>
        <w:ind w:firstLine="640" w:firstLineChars="200"/>
        <w:rPr>
          <w:rFonts w:ascii="方正仿宋_GBK" w:hAnsi="仿宋" w:eastAsia="方正仿宋_GBK"/>
          <w:sz w:val="32"/>
          <w:szCs w:val="32"/>
          <w:shd w:val="clear" w:color="auto" w:fill="FFFFFF"/>
        </w:rPr>
      </w:pPr>
      <w:r>
        <w:rPr>
          <w:rFonts w:hint="eastAsia" w:ascii="方正仿宋_GBK" w:hAnsi="仿宋" w:eastAsia="方正仿宋_GBK"/>
          <w:sz w:val="32"/>
          <w:szCs w:val="32"/>
          <w:shd w:val="clear" w:color="auto" w:fill="FFFFFF"/>
        </w:rPr>
        <w:t>2021年项目支出169.14万元，有效保障了维稳和扫黑除恶等工作的开展以及网格化网络正常运行。预算执行率100%。</w:t>
      </w:r>
    </w:p>
    <w:p w14:paraId="3E721C60">
      <w:pPr>
        <w:numPr>
          <w:ilvl w:val="0"/>
          <w:numId w:val="7"/>
        </w:numPr>
        <w:spacing w:line="560" w:lineRule="exact"/>
        <w:ind w:firstLine="640" w:firstLineChars="200"/>
        <w:rPr>
          <w:rFonts w:ascii="方正仿宋_GBK" w:hAnsi="仿宋" w:eastAsia="方正仿宋_GBK"/>
          <w:sz w:val="32"/>
          <w:szCs w:val="32"/>
          <w:shd w:val="clear" w:color="auto" w:fill="FFFFFF"/>
        </w:rPr>
      </w:pPr>
      <w:r>
        <w:rPr>
          <w:rFonts w:hint="eastAsia" w:ascii="方正仿宋_GBK" w:hAnsi="仿宋" w:eastAsia="方正仿宋_GBK"/>
          <w:sz w:val="32"/>
          <w:szCs w:val="32"/>
          <w:shd w:val="clear" w:color="auto" w:fill="FFFFFF"/>
        </w:rPr>
        <w:t>绩效目标完成情况</w:t>
      </w:r>
    </w:p>
    <w:p w14:paraId="5C5FA06E">
      <w:pPr>
        <w:ind w:firstLine="643" w:firstLineChars="200"/>
        <w:rPr>
          <w:rFonts w:eastAsia="仿宋_GB2312"/>
          <w:b/>
          <w:sz w:val="32"/>
          <w:szCs w:val="32"/>
        </w:rPr>
      </w:pPr>
      <w:r>
        <w:rPr>
          <w:rFonts w:eastAsia="仿宋_GB2312"/>
          <w:b/>
          <w:sz w:val="32"/>
          <w:szCs w:val="32"/>
        </w:rPr>
        <w:t>（一）始终保持政治定力，确保政法工作沿着正确方向前进</w:t>
      </w:r>
    </w:p>
    <w:p w14:paraId="55FA4665">
      <w:pPr>
        <w:ind w:firstLine="640" w:firstLineChars="200"/>
        <w:rPr>
          <w:rFonts w:eastAsia="仿宋_GB2312"/>
          <w:sz w:val="32"/>
          <w:szCs w:val="32"/>
        </w:rPr>
      </w:pPr>
      <w:r>
        <w:rPr>
          <w:rFonts w:eastAsia="仿宋_GB2312"/>
          <w:sz w:val="32"/>
          <w:szCs w:val="32"/>
        </w:rPr>
        <w:t>全县政法各部门始终把党的绝对领导作为新时代政法工作的根本保证，树牢“四个意识”，坚定“四个自信”</w:t>
      </w:r>
      <w:r>
        <w:rPr>
          <w:rFonts w:hint="eastAsia" w:eastAsia="仿宋_GB2312"/>
          <w:sz w:val="32"/>
          <w:szCs w:val="32"/>
          <w:lang w:eastAsia="zh-CN"/>
        </w:rPr>
        <w:t>、</w:t>
      </w:r>
      <w:r>
        <w:rPr>
          <w:rFonts w:eastAsia="仿宋_GB2312"/>
          <w:sz w:val="32"/>
          <w:szCs w:val="32"/>
        </w:rPr>
        <w:t>坚决做到“两个维护”，切实把党的路线方针政策贯彻到政治、思想、组织等各方面，落实到决策、执行、监督等各环节，确保党的绝对领导贯彻到政法工作全过程各方面。通过政法队伍教育整顿和党史学习教育，进一步强化《中国共产党政法工作条例》的学习和融会贯通，切实把</w:t>
      </w:r>
      <w:r>
        <w:rPr>
          <w:rFonts w:hint="eastAsia" w:eastAsia="仿宋_GB2312"/>
          <w:sz w:val="32"/>
          <w:szCs w:val="32"/>
          <w:lang w:eastAsia="zh-CN"/>
        </w:rPr>
        <w:t>增强“四个意识”、坚定“四个自信”、做到“两个维护”</w:t>
      </w:r>
      <w:r>
        <w:rPr>
          <w:rFonts w:eastAsia="仿宋_GB2312"/>
          <w:sz w:val="32"/>
          <w:szCs w:val="32"/>
        </w:rPr>
        <w:t>体现到工作实践中，确保绝对忠诚、绝对纯洁、绝对可靠的政治本色。</w:t>
      </w:r>
    </w:p>
    <w:p w14:paraId="3D872049">
      <w:pPr>
        <w:ind w:firstLine="643" w:firstLineChars="200"/>
        <w:rPr>
          <w:rFonts w:eastAsia="仿宋_GB2312"/>
          <w:b/>
          <w:sz w:val="32"/>
          <w:szCs w:val="32"/>
        </w:rPr>
      </w:pPr>
      <w:r>
        <w:rPr>
          <w:rFonts w:eastAsia="仿宋_GB2312"/>
          <w:b/>
          <w:sz w:val="32"/>
          <w:szCs w:val="32"/>
        </w:rPr>
        <w:t>（二）始终忠诚履职尽责，扎实做好国家安全和社会稳定工作</w:t>
      </w:r>
    </w:p>
    <w:p w14:paraId="5C0D6CDD">
      <w:pPr>
        <w:ind w:firstLine="640" w:firstLineChars="200"/>
        <w:rPr>
          <w:rFonts w:eastAsia="仿宋_GB2312"/>
          <w:sz w:val="32"/>
          <w:szCs w:val="32"/>
        </w:rPr>
      </w:pPr>
      <w:r>
        <w:rPr>
          <w:rFonts w:eastAsia="仿宋_GB2312"/>
          <w:sz w:val="32"/>
          <w:szCs w:val="32"/>
        </w:rPr>
        <w:t>县委政法委把防控风险、服务发展摆在更加突出的地位，着力增强工作预见性、主动性，破解难题、补齐短板。一是坚守政治安全底线。坚持问题导向和底线思维，牢固树立总体国家安全观，进一步加强国家安全人民防线建设，建立起县、乡（镇）两级国家安全人民防线建设体系。二是强化源头防范。着力开展涉稳矛盾问题排查和涉稳重点人员的包案化解稳控工作，2021年在全县范围内开展了5次影响社会稳定风险排查，</w:t>
      </w:r>
      <w:r>
        <w:rPr>
          <w:rFonts w:hint="eastAsia" w:eastAsia="仿宋_GB2312"/>
          <w:sz w:val="32"/>
          <w:szCs w:val="32"/>
          <w:lang w:eastAsia="zh-CN"/>
        </w:rPr>
        <w:t>分别</w:t>
      </w:r>
      <w:r>
        <w:rPr>
          <w:rFonts w:eastAsia="仿宋_GB2312"/>
          <w:sz w:val="32"/>
          <w:szCs w:val="32"/>
        </w:rPr>
        <w:t>建立问题台账，落实了重点人员和稳控责任人，确保敏感节点和谐稳定。三是加强信息沟通。统筹各级各部门力量全面做好 “两节”期间、疫情防控、全国全省两会等敏感节点、重要时段、重大会议的安保维稳工作。四是深入开展风险评估。指导涉事部门开展重大事项社会稳定风险评估40余件，有效防止了因事前风险预判不到位导致的涉稳事件，有效维护了全县社会大局的和谐稳定。</w:t>
      </w:r>
    </w:p>
    <w:p w14:paraId="1E82CD98">
      <w:pPr>
        <w:ind w:firstLine="643" w:firstLineChars="200"/>
        <w:rPr>
          <w:rFonts w:eastAsia="仿宋_GB2312"/>
          <w:b/>
          <w:sz w:val="32"/>
          <w:szCs w:val="32"/>
        </w:rPr>
      </w:pPr>
      <w:r>
        <w:rPr>
          <w:rFonts w:eastAsia="仿宋_GB2312"/>
          <w:b/>
          <w:sz w:val="32"/>
          <w:szCs w:val="32"/>
        </w:rPr>
        <w:t>（三）始终坚定深化改革，提高护航振兴发展的能力水平</w:t>
      </w:r>
    </w:p>
    <w:p w14:paraId="037F22B7">
      <w:pPr>
        <w:ind w:firstLine="640" w:firstLineChars="200"/>
        <w:rPr>
          <w:rFonts w:eastAsia="仿宋_GB2312"/>
          <w:sz w:val="32"/>
          <w:szCs w:val="32"/>
        </w:rPr>
      </w:pPr>
      <w:r>
        <w:rPr>
          <w:rFonts w:hint="eastAsia" w:eastAsia="仿宋_GB2312"/>
          <w:sz w:val="32"/>
          <w:szCs w:val="32"/>
        </w:rPr>
        <w:t>县委政法委</w:t>
      </w:r>
      <w:r>
        <w:rPr>
          <w:rFonts w:eastAsia="仿宋_GB2312"/>
          <w:sz w:val="32"/>
          <w:szCs w:val="32"/>
        </w:rPr>
        <w:t>站在更高起点，推动改革取得突破性进展，进一步提高政法机关执法司法规范化水平和服务能力。一是在深化司法体制改革上下功夫。进一步优化政法机关职权配置，配齐配强政法部门班子成员，规范乡镇政法委员管理，全面落实司法责任制，加强执法司法规范化建设，完善权力运行监督和制约机制，坚决防止执法不严、司法不公甚至执法犯法、司法腐败。二是在“我为群众办实事”上下功夫。坚持将政法队伍教育整顿工作与为民办实事、服务中心大局等工作结合起来，全力抓好教育整顿成果转化。县法院建成24小时自助法院，建成以来实现自助立案16件，提供“不见面”收取件20件次。县检察院筹措资金300余万元，建成了盐边县青少年禁毒防艾法治教育实践基地和“一站式”服务工作区。三是在创新社会治理上下功夫。坚持发展新时代“枫桥经验”，完善社会治理体系，深入推进社区治理创新，创新基层治理工作方式方法，从源头上预防减少矛盾纠纷,构建富有活力和效率的新型基层社会治理体系，打造具有盐边特色的鲜活样板。共建成县乡村三级综治中心101个，雪亮工程前端摄像头810余个，整合社会资源探头1390余个，共调解矛盾纠纷2363件，调解成功2357件，调解成功率达99.75%。</w:t>
      </w:r>
    </w:p>
    <w:p w14:paraId="60C88A2B">
      <w:pPr>
        <w:ind w:firstLine="643" w:firstLineChars="200"/>
        <w:rPr>
          <w:rFonts w:eastAsia="仿宋_GB2312"/>
          <w:b/>
          <w:sz w:val="32"/>
          <w:szCs w:val="32"/>
        </w:rPr>
      </w:pPr>
      <w:r>
        <w:rPr>
          <w:rFonts w:eastAsia="仿宋_GB2312"/>
          <w:b/>
          <w:sz w:val="32"/>
          <w:szCs w:val="32"/>
        </w:rPr>
        <w:t>（四）始终恪守职责使命，扛稳全面从严治党主体责任</w:t>
      </w:r>
    </w:p>
    <w:p w14:paraId="0F4B4E86">
      <w:pPr>
        <w:ind w:firstLine="640" w:firstLineChars="200"/>
        <w:rPr>
          <w:rFonts w:eastAsia="仿宋_GB2312"/>
          <w:sz w:val="32"/>
          <w:szCs w:val="32"/>
        </w:rPr>
      </w:pPr>
      <w:r>
        <w:rPr>
          <w:rFonts w:eastAsia="仿宋_GB2312"/>
          <w:sz w:val="32"/>
          <w:szCs w:val="32"/>
        </w:rPr>
        <w:t>自政法队伍教育整顿开展以来，盐边政法队伍始终坚持以习近平新时代中国特色社会主义思想为指导，深入贯彻习近平总书记“七一”重要讲话精神和关于加强政法队伍建设的</w:t>
      </w:r>
      <w:r>
        <w:rPr>
          <w:rFonts w:hint="eastAsia" w:eastAsia="仿宋_GB2312"/>
          <w:sz w:val="32"/>
          <w:szCs w:val="32"/>
          <w:lang w:eastAsia="zh-CN"/>
        </w:rPr>
        <w:t>重要指示批示精神</w:t>
      </w:r>
      <w:r>
        <w:rPr>
          <w:rFonts w:eastAsia="仿宋_GB2312"/>
          <w:sz w:val="32"/>
          <w:szCs w:val="32"/>
        </w:rPr>
        <w:t>、训词精神，严格按照中央和省委、市委、县委工作部署，以高度的政治自觉、思想自觉和行动自觉紧紧围绕“五个过硬”要求，突出“四项任务”，抓好“三个环节”，高站位谋篇布局，高标准统筹推进政法队伍第一批教育整顿走深走实。全县政法干警聚焦思想提升、做深做细学习教育，敢于动真碰硬、抓牢抓实查纠整改，深入学习贯彻全国、全省第二批政法队伍教育整顿推进会、主任会精神，强化第一批、第二批教育整顿融合推进，加强教育整顿成果巩固，扎实开展“回头看”工作，稳步推进肃清流毒影响专项活动，进一步加强政法干部队伍，教育整顿以来政法部门调整班子成员4人，提拔2人。</w:t>
      </w:r>
    </w:p>
    <w:p w14:paraId="49083FC5">
      <w:pPr>
        <w:widowControl/>
        <w:adjustRightInd w:val="0"/>
        <w:snapToGrid w:val="0"/>
        <w:spacing w:line="580" w:lineRule="exact"/>
        <w:contextualSpacing/>
        <w:jc w:val="left"/>
        <w:rPr>
          <w:rFonts w:eastAsia="楷体_GB2312"/>
          <w:b/>
          <w:bCs/>
          <w:sz w:val="32"/>
          <w:szCs w:val="32"/>
        </w:rPr>
      </w:pPr>
      <w:r>
        <w:rPr>
          <w:rFonts w:eastAsia="楷体_GB2312"/>
          <w:b/>
          <w:bCs/>
          <w:sz w:val="32"/>
          <w:szCs w:val="32"/>
        </w:rPr>
        <w:t>（二）结果应用情况。</w:t>
      </w:r>
    </w:p>
    <w:p w14:paraId="3D9C0F1D">
      <w:pPr>
        <w:adjustRightInd w:val="0"/>
        <w:snapToGrid w:val="0"/>
        <w:spacing w:line="560" w:lineRule="exact"/>
        <w:ind w:firstLine="640" w:firstLineChars="200"/>
        <w:rPr>
          <w:rFonts w:ascii="方正仿宋_GBK" w:hAnsi="仿宋" w:eastAsia="方正仿宋_GBK"/>
          <w:color w:val="000000"/>
          <w:sz w:val="32"/>
          <w:szCs w:val="32"/>
          <w:shd w:val="clear" w:color="auto" w:fill="FFFFFF"/>
        </w:rPr>
      </w:pPr>
      <w:r>
        <w:rPr>
          <w:rFonts w:hint="eastAsia" w:ascii="方正仿宋_GBK" w:hAnsi="仿宋" w:eastAsia="方正仿宋_GBK"/>
          <w:color w:val="000000"/>
          <w:sz w:val="32"/>
          <w:szCs w:val="32"/>
          <w:shd w:val="clear" w:color="auto" w:fill="FFFFFF"/>
        </w:rPr>
        <w:t>绩效自评对规范财政资金支出管理、强化绩效目标管理理念、加强资金使用效率起到了积极的促进作用。我单位将此次绩效自评的结果运用到2022年工作统筹安排、项目资金合理分配使用上，进一步提高工作效率，保质保量完成县委、县政府以及上级业务主管部门交办的各项工作。</w:t>
      </w:r>
    </w:p>
    <w:p w14:paraId="2E9814D4">
      <w:pPr>
        <w:adjustRightInd w:val="0"/>
        <w:snapToGrid w:val="0"/>
        <w:spacing w:line="560" w:lineRule="exact"/>
        <w:ind w:firstLine="640" w:firstLineChars="200"/>
        <w:rPr>
          <w:rFonts w:ascii="仿宋_GB2312" w:hAnsi="宋体" w:eastAsia="仿宋_GB2312" w:cs="仿宋_GB2312"/>
          <w:b/>
          <w:bCs/>
          <w:color w:val="000000"/>
          <w:kern w:val="0"/>
          <w:sz w:val="32"/>
          <w:szCs w:val="32"/>
          <w:shd w:val="clear" w:color="auto" w:fill="FFFFFF"/>
        </w:rPr>
      </w:pPr>
      <w:r>
        <w:rPr>
          <w:rFonts w:hint="eastAsia" w:ascii="方正仿宋_GBK" w:hAnsi="仿宋" w:eastAsia="方正仿宋_GBK"/>
          <w:color w:val="000000"/>
          <w:sz w:val="32"/>
          <w:szCs w:val="32"/>
          <w:shd w:val="clear" w:color="auto" w:fill="FFFFFF"/>
        </w:rPr>
        <w:t>绩效自评工作完成后将结果在“盐边县公众信息网”财政信息版块下的“财政绩效评价信息专栏”进行公示。</w:t>
      </w:r>
    </w:p>
    <w:p w14:paraId="5DD98E6A">
      <w:pPr>
        <w:spacing w:line="560" w:lineRule="exact"/>
        <w:ind w:firstLine="640" w:firstLineChars="200"/>
        <w:rPr>
          <w:rFonts w:eastAsia="黑体"/>
          <w:sz w:val="32"/>
          <w:szCs w:val="32"/>
        </w:rPr>
      </w:pPr>
      <w:bookmarkStart w:id="122" w:name="_Toc13548_WPSOffice_Level2"/>
      <w:r>
        <w:rPr>
          <w:rFonts w:eastAsia="黑体"/>
          <w:sz w:val="32"/>
          <w:szCs w:val="32"/>
        </w:rPr>
        <w:t>五、评价结论及建议</w:t>
      </w:r>
      <w:bookmarkEnd w:id="122"/>
    </w:p>
    <w:p w14:paraId="0E2BE8E9">
      <w:pPr>
        <w:numPr>
          <w:ilvl w:val="0"/>
          <w:numId w:val="8"/>
        </w:numPr>
        <w:spacing w:line="560" w:lineRule="exact"/>
        <w:ind w:firstLine="643" w:firstLineChars="200"/>
        <w:rPr>
          <w:rFonts w:eastAsia="楷体_GB2312"/>
          <w:sz w:val="32"/>
          <w:szCs w:val="32"/>
        </w:rPr>
      </w:pPr>
      <w:r>
        <w:rPr>
          <w:rFonts w:eastAsia="楷体_GB2312"/>
          <w:b/>
          <w:bCs/>
          <w:sz w:val="32"/>
          <w:szCs w:val="32"/>
        </w:rPr>
        <w:t>评价结论。</w:t>
      </w:r>
    </w:p>
    <w:p w14:paraId="7A1CA348">
      <w:pPr>
        <w:adjustRightInd w:val="0"/>
        <w:snapToGrid w:val="0"/>
        <w:spacing w:line="560" w:lineRule="exact"/>
        <w:ind w:firstLine="640" w:firstLineChars="200"/>
        <w:rPr>
          <w:rFonts w:ascii="方正仿宋_GBK" w:hAnsi="仿宋" w:eastAsia="方正仿宋_GBK"/>
          <w:color w:val="000000"/>
          <w:sz w:val="32"/>
          <w:szCs w:val="32"/>
          <w:shd w:val="clear" w:color="auto" w:fill="FFFFFF"/>
        </w:rPr>
      </w:pPr>
      <w:r>
        <w:rPr>
          <w:rFonts w:hint="eastAsia" w:ascii="方正仿宋_GBK" w:hAnsi="仿宋" w:eastAsia="方正仿宋_GBK"/>
          <w:color w:val="000000"/>
          <w:sz w:val="32"/>
          <w:szCs w:val="32"/>
          <w:shd w:val="clear" w:color="auto" w:fill="FFFFFF"/>
          <w:lang w:val="zh-CN"/>
        </w:rPr>
        <w:t>通过自评，20</w:t>
      </w:r>
      <w:r>
        <w:rPr>
          <w:rFonts w:hint="eastAsia" w:ascii="方正仿宋_GBK" w:hAnsi="仿宋" w:eastAsia="方正仿宋_GBK"/>
          <w:color w:val="000000"/>
          <w:sz w:val="32"/>
          <w:szCs w:val="32"/>
          <w:shd w:val="clear" w:color="auto" w:fill="FFFFFF"/>
        </w:rPr>
        <w:t>21</w:t>
      </w:r>
      <w:r>
        <w:rPr>
          <w:rFonts w:hint="eastAsia" w:ascii="方正仿宋_GBK" w:hAnsi="仿宋" w:eastAsia="方正仿宋_GBK"/>
          <w:color w:val="000000"/>
          <w:sz w:val="32"/>
          <w:szCs w:val="32"/>
          <w:shd w:val="clear" w:color="auto" w:fill="FFFFFF"/>
          <w:lang w:val="zh-CN"/>
        </w:rPr>
        <w:t>年度县委政法委</w:t>
      </w:r>
      <w:r>
        <w:rPr>
          <w:rFonts w:hint="eastAsia" w:ascii="方正仿宋_GBK" w:hAnsi="仿宋" w:eastAsia="方正仿宋_GBK"/>
          <w:color w:val="000000"/>
          <w:sz w:val="32"/>
          <w:szCs w:val="32"/>
          <w:shd w:val="clear" w:color="auto" w:fill="FFFFFF"/>
        </w:rPr>
        <w:t>各项经费达到对应的绩效目标，圆满完成了县委、县政府下达的各项工作任务。达到预期绩效目标，总体较满意。</w:t>
      </w:r>
    </w:p>
    <w:p w14:paraId="77FF5A80">
      <w:pPr>
        <w:numPr>
          <w:ilvl w:val="0"/>
          <w:numId w:val="8"/>
        </w:numPr>
        <w:spacing w:line="560" w:lineRule="exact"/>
        <w:ind w:firstLine="643" w:firstLineChars="200"/>
        <w:rPr>
          <w:rFonts w:eastAsia="楷体_GB2312"/>
          <w:sz w:val="32"/>
          <w:szCs w:val="32"/>
        </w:rPr>
      </w:pPr>
      <w:r>
        <w:rPr>
          <w:rFonts w:eastAsia="楷体_GB2312"/>
          <w:b/>
          <w:bCs/>
          <w:sz w:val="32"/>
          <w:szCs w:val="32"/>
        </w:rPr>
        <w:t>存在问题。</w:t>
      </w:r>
    </w:p>
    <w:p w14:paraId="25680DC8">
      <w:pPr>
        <w:pStyle w:val="15"/>
        <w:widowControl/>
        <w:spacing w:before="0" w:beforeAutospacing="0" w:after="0" w:afterAutospacing="0" w:line="560" w:lineRule="exact"/>
        <w:ind w:left="64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1. 绩效目标设立不够明确、细化和量化。项目单位虽然设立了项目资金绩效目标，但目标不够明确、细化和量化。</w:t>
      </w:r>
    </w:p>
    <w:p w14:paraId="292E2517">
      <w:pPr>
        <w:pStyle w:val="15"/>
        <w:widowControl/>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2. 资金使用效益有待进一步提高。</w:t>
      </w:r>
    </w:p>
    <w:p w14:paraId="5CD9C80D">
      <w:pPr>
        <w:spacing w:line="560" w:lineRule="exact"/>
        <w:ind w:firstLine="640" w:firstLineChars="200"/>
        <w:rPr>
          <w:rFonts w:ascii="方正仿宋_GBK" w:hAnsi="宋体" w:eastAsia="方正仿宋_GBK" w:cs="宋体"/>
          <w:color w:val="000000"/>
          <w:sz w:val="32"/>
          <w:szCs w:val="32"/>
        </w:rPr>
      </w:pPr>
      <w:r>
        <w:rPr>
          <w:rFonts w:eastAsia="楷体_GB2312"/>
          <w:sz w:val="32"/>
          <w:szCs w:val="32"/>
        </w:rPr>
        <w:t>（三）</w:t>
      </w:r>
      <w:r>
        <w:rPr>
          <w:rFonts w:eastAsia="楷体_GB2312"/>
          <w:b/>
          <w:bCs/>
          <w:sz w:val="32"/>
          <w:szCs w:val="32"/>
        </w:rPr>
        <w:t>改进建议。</w:t>
      </w:r>
    </w:p>
    <w:p w14:paraId="2056A197">
      <w:pPr>
        <w:spacing w:line="600" w:lineRule="exact"/>
        <w:ind w:firstLine="640" w:firstLineChars="200"/>
        <w:rPr>
          <w:rFonts w:ascii="仿宋" w:hAnsi="仿宋" w:eastAsia="仿宋"/>
          <w:sz w:val="32"/>
          <w:szCs w:val="32"/>
        </w:rPr>
      </w:pPr>
      <w:r>
        <w:rPr>
          <w:rFonts w:ascii="仿宋" w:hAnsi="仿宋" w:eastAsia="仿宋"/>
          <w:color w:val="000000"/>
          <w:sz w:val="32"/>
          <w:szCs w:val="32"/>
        </w:rPr>
        <w:t>1.</w:t>
      </w:r>
      <w:r>
        <w:rPr>
          <w:rFonts w:ascii="仿宋" w:hAnsi="仿宋" w:eastAsia="仿宋"/>
          <w:color w:val="000000"/>
          <w:sz w:val="32"/>
          <w:szCs w:val="32"/>
          <w:lang w:val="zh-CN"/>
        </w:rPr>
        <w:t>遵循预算管理办法，从严控制年中追加预算规模。对于年度无法预计的临时追加的相关工作所需经费，严格按照预算调整追加程序，逐级申报报批，有效降低预算控制率。</w:t>
      </w:r>
    </w:p>
    <w:p w14:paraId="7AAE4DCB">
      <w:pPr>
        <w:spacing w:line="560" w:lineRule="exact"/>
        <w:ind w:firstLine="640" w:firstLineChars="200"/>
        <w:rPr>
          <w:rFonts w:ascii="仿宋" w:hAnsi="仿宋" w:eastAsia="仿宋"/>
          <w:sz w:val="32"/>
          <w:szCs w:val="32"/>
        </w:rPr>
      </w:pPr>
      <w:r>
        <w:rPr>
          <w:rFonts w:ascii="仿宋" w:hAnsi="仿宋" w:eastAsia="仿宋"/>
          <w:color w:val="000000"/>
          <w:sz w:val="32"/>
          <w:szCs w:val="32"/>
        </w:rPr>
        <w:t>2.</w:t>
      </w:r>
      <w:r>
        <w:rPr>
          <w:rFonts w:ascii="仿宋" w:hAnsi="仿宋" w:eastAsia="仿宋"/>
          <w:color w:val="000000"/>
          <w:sz w:val="32"/>
          <w:szCs w:val="32"/>
          <w:lang w:val="zh-CN"/>
        </w:rPr>
        <w:t>保障预算执行进度。加快推进项目实施进度，加强项目开展进度的跟踪，开展项目绩效的跟踪和评价，确保项目绩效的完成，发挥资金的使用效益，提高预算完成率。</w:t>
      </w:r>
    </w:p>
    <w:p w14:paraId="160B6BFC">
      <w:pPr>
        <w:spacing w:line="560" w:lineRule="exact"/>
        <w:ind w:firstLine="640" w:firstLineChars="200"/>
        <w:rPr>
          <w:rFonts w:ascii="仿宋_GB2312" w:eastAsia="仿宋_GB2312"/>
          <w:sz w:val="32"/>
          <w:szCs w:val="32"/>
        </w:rPr>
      </w:pPr>
    </w:p>
    <w:p w14:paraId="5739645D">
      <w:pPr>
        <w:pStyle w:val="7"/>
        <w:spacing w:before="93"/>
        <w:rPr>
          <w:lang w:val="zh-CN"/>
        </w:rPr>
      </w:pPr>
      <w:r>
        <w:rPr>
          <w:rFonts w:hint="eastAsia" w:hAnsi="宋体" w:cs="宋体"/>
          <w:sz w:val="32"/>
          <w:szCs w:val="32"/>
          <w:shd w:val="clear" w:color="auto" w:fill="FFFFFF"/>
          <w:lang w:val="zh-CN"/>
        </w:rPr>
        <w:t>附件</w:t>
      </w:r>
    </w:p>
    <w:p w14:paraId="0A1C68EF">
      <w:pPr>
        <w:spacing w:line="600" w:lineRule="exact"/>
        <w:jc w:val="center"/>
        <w:rPr>
          <w:rFonts w:ascii="方正小标宋简体" w:hAnsi="方正小标宋简体" w:eastAsia="方正小标宋简体" w:cs="方正小标宋简体"/>
          <w:sz w:val="40"/>
          <w:szCs w:val="40"/>
          <w:lang w:val="zh-CN"/>
        </w:rPr>
      </w:pPr>
      <w:bookmarkStart w:id="123" w:name="_Toc14937_WPSOffice_Level2"/>
      <w:r>
        <w:rPr>
          <w:rFonts w:hint="eastAsia" w:ascii="方正小标宋简体" w:hAnsi="方正小标宋简体" w:eastAsia="方正小标宋简体" w:cs="方正小标宋简体"/>
          <w:sz w:val="40"/>
          <w:szCs w:val="40"/>
        </w:rPr>
        <w:t>2021年</w:t>
      </w:r>
      <w:r>
        <w:rPr>
          <w:rFonts w:hint="eastAsia" w:ascii="方正小标宋简体" w:hAnsi="方正小标宋简体" w:eastAsia="方正小标宋简体" w:cs="方正小标宋简体"/>
          <w:sz w:val="40"/>
          <w:szCs w:val="40"/>
          <w:lang w:eastAsia="zh-CN"/>
        </w:rPr>
        <w:t>县委政法委</w:t>
      </w:r>
      <w:r>
        <w:rPr>
          <w:rFonts w:hint="eastAsia" w:ascii="方正小标宋简体" w:hAnsi="方正小标宋简体" w:eastAsia="方正小标宋简体" w:cs="方正小标宋简体"/>
          <w:sz w:val="40"/>
          <w:szCs w:val="40"/>
          <w:lang w:val="zh-CN"/>
        </w:rPr>
        <w:t>预算项目支出绩效自评报告</w:t>
      </w:r>
      <w:bookmarkEnd w:id="123"/>
    </w:p>
    <w:p w14:paraId="78EAC53B">
      <w:pPr>
        <w:spacing w:line="600" w:lineRule="exact"/>
        <w:ind w:firstLine="640"/>
        <w:jc w:val="center"/>
        <w:rPr>
          <w:rFonts w:ascii="宋体" w:hAnsi="宋体"/>
          <w:sz w:val="32"/>
          <w:szCs w:val="32"/>
          <w:lang w:val="zh-CN"/>
        </w:rPr>
      </w:pPr>
    </w:p>
    <w:p w14:paraId="33E8238C">
      <w:pPr>
        <w:adjustRightInd w:val="0"/>
        <w:snapToGrid w:val="0"/>
        <w:spacing w:line="600" w:lineRule="exact"/>
        <w:ind w:firstLine="720"/>
        <w:rPr>
          <w:rFonts w:ascii="黑体" w:hAnsi="宋体" w:eastAsia="黑体"/>
          <w:sz w:val="32"/>
          <w:szCs w:val="32"/>
          <w:lang w:val="zh-CN"/>
        </w:rPr>
      </w:pPr>
      <w:bookmarkStart w:id="124" w:name="_Toc4885_WPSOffice_Level2"/>
      <w:r>
        <w:rPr>
          <w:rFonts w:hint="eastAsia" w:ascii="黑体" w:hAnsi="宋体" w:eastAsia="黑体" w:cs="黑体"/>
          <w:sz w:val="32"/>
          <w:szCs w:val="32"/>
        </w:rPr>
        <w:t>一、</w:t>
      </w:r>
      <w:r>
        <w:rPr>
          <w:rFonts w:hint="eastAsia" w:ascii="黑体" w:hAnsi="宋体" w:eastAsia="黑体" w:cs="黑体"/>
          <w:sz w:val="32"/>
          <w:szCs w:val="32"/>
          <w:lang w:val="zh-CN"/>
        </w:rPr>
        <w:t>项目概况</w:t>
      </w:r>
      <w:bookmarkEnd w:id="124"/>
    </w:p>
    <w:p w14:paraId="12D21582">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（一）项目基本情况。</w:t>
      </w:r>
    </w:p>
    <w:p w14:paraId="5F8FE3BC">
      <w:pPr>
        <w:adjustRightInd w:val="0"/>
        <w:snapToGrid w:val="0"/>
        <w:spacing w:line="600" w:lineRule="exact"/>
        <w:ind w:firstLine="720"/>
        <w:rPr>
          <w:rFonts w:ascii="仿宋_GB2312" w:hAnsi="仿宋_GB2312" w:eastAsia="仿宋_GB2312" w:cs="仿宋_GB2312"/>
          <w:color w:val="000000"/>
          <w:kern w:val="0"/>
          <w:sz w:val="32"/>
          <w:szCs w:val="32"/>
        </w:rPr>
      </w:pPr>
      <w:r>
        <w:rPr>
          <w:rFonts w:hint="eastAsia" w:ascii="仿宋_GB2312" w:hAnsi="仿宋_GB2312" w:eastAsia="仿宋_GB2312" w:cs="仿宋_GB2312"/>
          <w:sz w:val="32"/>
          <w:szCs w:val="32"/>
          <w:lang w:eastAsia="zh-CN"/>
        </w:rPr>
        <w:t>县委政法委</w:t>
      </w:r>
      <w:r>
        <w:rPr>
          <w:rFonts w:hint="eastAsia" w:ascii="仿宋_GB2312" w:hAnsi="仿宋_GB2312" w:eastAsia="仿宋_GB2312" w:cs="仿宋_GB2312"/>
          <w:sz w:val="32"/>
          <w:szCs w:val="32"/>
        </w:rPr>
        <w:t>纳入部门决算的项目支出15个项目，预算资金总额169.14万元，支付169.14万元，执行率为</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。其中：</w:t>
      </w:r>
      <w:r>
        <w:rPr>
          <w:rFonts w:hint="eastAsia" w:ascii="仿宋_GB2312" w:hAnsi="仿宋_GB2312" w:eastAsia="仿宋_GB2312" w:cs="仿宋_GB2312"/>
          <w:color w:val="000000"/>
          <w:kern w:val="0"/>
          <w:sz w:val="32"/>
          <w:szCs w:val="32"/>
        </w:rPr>
        <w:t>社会网格化专项经费42.07万元；政法委政法专网及社会网格化网络费2.52万元；雪亮工程专项资金13.91万元；</w:t>
      </w:r>
    </w:p>
    <w:p w14:paraId="07124981">
      <w:pPr>
        <w:adjustRightInd w:val="0"/>
        <w:snapToGrid w:val="0"/>
        <w:spacing w:line="600" w:lineRule="exact"/>
        <w:rPr>
          <w:rFonts w:ascii="仿宋" w:hAnsi="仿宋" w:eastAsia="仿宋" w:cs="Arial"/>
          <w:color w:val="000000"/>
          <w:kern w:val="0"/>
          <w:sz w:val="32"/>
          <w:szCs w:val="32"/>
        </w:rPr>
      </w:pPr>
      <w:r>
        <w:rPr>
          <w:rFonts w:hint="eastAsia" w:ascii="仿宋_GB2312" w:hAnsi="仿宋_GB2312" w:eastAsia="仿宋_GB2312" w:cs="仿宋_GB2312"/>
          <w:color w:val="000000"/>
          <w:kern w:val="0"/>
          <w:sz w:val="32"/>
          <w:szCs w:val="32"/>
        </w:rPr>
        <w:t>政法委办公楼内部维修改造经费18.84万元；严重精神障碍者监护人以奖代补配套资金10.00万元；2016年国有资产清理专项审计经费0.3万元；2017年财务软件运行维护专项经费0.1万元；扫黑除恶专项经费17.48万元；政法委大学生西部计划志愿者岗位补贴1.71万元；大笮卫士春节慰问金0.4万元；维护稳定工作经费14.93万元；全县政法队伍教育整顿工作经费21.19万元；盐边县首届“大笮卫士”评选活动专项经费1.57万元；政法委平安建设暨市域治理现</w:t>
      </w:r>
      <w:r>
        <w:rPr>
          <w:rFonts w:hint="eastAsia" w:ascii="仿宋_GB2312" w:hAnsi="仿宋_GB2312" w:eastAsia="仿宋_GB2312" w:cs="仿宋_GB2312"/>
          <w:color w:val="000000"/>
          <w:kern w:val="0"/>
          <w:sz w:val="32"/>
          <w:szCs w:val="32"/>
          <w:lang w:eastAsia="zh-CN"/>
        </w:rPr>
        <w:t>代化</w:t>
      </w:r>
      <w:r>
        <w:rPr>
          <w:rFonts w:hint="eastAsia" w:ascii="仿宋_GB2312" w:hAnsi="仿宋_GB2312" w:eastAsia="仿宋_GB2312" w:cs="仿宋_GB2312"/>
          <w:color w:val="000000"/>
          <w:kern w:val="0"/>
          <w:sz w:val="32"/>
          <w:szCs w:val="32"/>
        </w:rPr>
        <w:t>专项经费18.19万元；</w:t>
      </w:r>
      <w:r>
        <w:rPr>
          <w:rFonts w:hint="eastAsia" w:ascii="仿宋" w:hAnsi="仿宋" w:eastAsia="仿宋" w:cs="Arial"/>
          <w:color w:val="000000"/>
          <w:kern w:val="0"/>
          <w:sz w:val="32"/>
          <w:szCs w:val="32"/>
        </w:rPr>
        <w:t>对上争取资金奖励5.92万元。</w:t>
      </w:r>
    </w:p>
    <w:p w14:paraId="78D4828D">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（二）项目绩效目标。</w:t>
      </w:r>
    </w:p>
    <w:p w14:paraId="3B3FBB04">
      <w:pPr>
        <w:adjustRightInd w:val="0"/>
        <w:snapToGrid w:val="0"/>
        <w:spacing w:line="560" w:lineRule="exact"/>
        <w:ind w:firstLine="720"/>
        <w:rPr>
          <w:rFonts w:ascii="仿宋_GB2312" w:hAnsi="仿宋_GB2312" w:eastAsia="仿宋_GB2312"/>
          <w:sz w:val="32"/>
          <w:szCs w:val="32"/>
          <w:lang w:val="zh-CN"/>
        </w:rPr>
      </w:pPr>
      <w:r>
        <w:rPr>
          <w:rFonts w:hint="eastAsia" w:ascii="仿宋_GB2312" w:hAnsi="仿宋_GB2312" w:eastAsia="仿宋_GB2312" w:cs="仿宋_GB2312"/>
          <w:sz w:val="32"/>
          <w:szCs w:val="32"/>
        </w:rPr>
        <w:t>项目资金由县财政解决，项目资金支付范围、支付标准、支付进度、支付依据等都合规合法、与预算相符。严格执行财务管理制度，账务处理及时，会计核算规范。</w:t>
      </w:r>
    </w:p>
    <w:p w14:paraId="7B32C4A8">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（三）项目自评步骤及方法。</w:t>
      </w:r>
    </w:p>
    <w:p w14:paraId="43C9A7A0">
      <w:pPr>
        <w:adjustRightInd w:val="0"/>
        <w:snapToGrid w:val="0"/>
        <w:spacing w:line="560" w:lineRule="exact"/>
        <w:ind w:firstLine="720"/>
        <w:rPr>
          <w:rFonts w:ascii="仿宋_GB2312" w:hAnsi="仿宋_GB2312" w:eastAsia="仿宋_GB2312"/>
          <w:sz w:val="32"/>
          <w:szCs w:val="32"/>
          <w:lang w:val="zh-CN"/>
        </w:rPr>
      </w:pPr>
      <w:r>
        <w:rPr>
          <w:rFonts w:hint="eastAsia" w:ascii="仿宋_GB2312" w:hAnsi="仿宋_GB2312" w:eastAsia="仿宋_GB2312" w:cs="仿宋_GB2312"/>
          <w:sz w:val="32"/>
          <w:szCs w:val="32"/>
          <w:lang w:val="zh-CN"/>
        </w:rPr>
        <w:t>一是确定评价对象。根据</w:t>
      </w:r>
      <w:r>
        <w:rPr>
          <w:rFonts w:ascii="仿宋_GB2312" w:hAnsi="仿宋_GB2312" w:eastAsia="仿宋_GB2312" w:cs="仿宋_GB2312"/>
          <w:sz w:val="32"/>
          <w:szCs w:val="32"/>
          <w:lang w:val="zh-CN"/>
        </w:rPr>
        <w:t>20</w:t>
      </w:r>
      <w:r>
        <w:rPr>
          <w:rFonts w:hint="eastAsia" w:ascii="仿宋_GB2312" w:hAnsi="仿宋_GB2312" w:eastAsia="仿宋_GB2312" w:cs="仿宋_GB2312"/>
          <w:sz w:val="32"/>
          <w:szCs w:val="32"/>
        </w:rPr>
        <w:t>21</w:t>
      </w:r>
      <w:r>
        <w:rPr>
          <w:rFonts w:hint="eastAsia" w:ascii="仿宋_GB2312" w:hAnsi="仿宋_GB2312" w:eastAsia="仿宋_GB2312" w:cs="仿宋_GB2312"/>
          <w:sz w:val="32"/>
          <w:szCs w:val="32"/>
          <w:lang w:val="zh-CN"/>
        </w:rPr>
        <w:t>年度</w:t>
      </w:r>
      <w:r>
        <w:rPr>
          <w:rFonts w:hint="eastAsia" w:ascii="仿宋_GB2312" w:hAnsi="仿宋_GB2312" w:eastAsia="仿宋_GB2312" w:cs="仿宋_GB2312"/>
          <w:sz w:val="32"/>
          <w:szCs w:val="32"/>
        </w:rPr>
        <w:t>项目支出</w:t>
      </w:r>
      <w:r>
        <w:rPr>
          <w:rFonts w:hint="eastAsia" w:ascii="仿宋_GB2312" w:hAnsi="仿宋_GB2312" w:eastAsia="仿宋_GB2312" w:cs="仿宋_GB2312"/>
          <w:sz w:val="32"/>
          <w:szCs w:val="32"/>
          <w:lang w:val="zh-CN"/>
        </w:rPr>
        <w:t>工作的实际</w:t>
      </w:r>
      <w:r>
        <w:rPr>
          <w:rFonts w:hint="eastAsia" w:ascii="仿宋_GB2312" w:hAnsi="仿宋_GB2312" w:eastAsia="仿宋_GB2312" w:cs="仿宋_GB2312"/>
          <w:sz w:val="32"/>
          <w:szCs w:val="32"/>
        </w:rPr>
        <w:t>情况</w:t>
      </w:r>
      <w:r>
        <w:rPr>
          <w:rFonts w:ascii="仿宋_GB2312" w:hAnsi="仿宋_GB2312" w:eastAsia="仿宋_GB2312" w:cs="仿宋_GB2312"/>
          <w:sz w:val="32"/>
          <w:szCs w:val="32"/>
          <w:lang w:val="zh-CN"/>
        </w:rPr>
        <w:t>,</w:t>
      </w:r>
      <w:r>
        <w:rPr>
          <w:rFonts w:hint="eastAsia" w:ascii="仿宋_GB2312" w:hAnsi="仿宋_GB2312" w:eastAsia="仿宋_GB2312" w:cs="仿宋_GB2312"/>
          <w:sz w:val="32"/>
          <w:szCs w:val="32"/>
          <w:lang w:val="zh-CN"/>
        </w:rPr>
        <w:t>确定项目支出评价对象。</w:t>
      </w:r>
    </w:p>
    <w:p w14:paraId="3A71448B">
      <w:pPr>
        <w:adjustRightInd w:val="0"/>
        <w:snapToGrid w:val="0"/>
        <w:spacing w:line="560" w:lineRule="exact"/>
        <w:ind w:firstLine="720"/>
        <w:rPr>
          <w:rFonts w:ascii="仿宋_GB2312" w:hAnsi="仿宋_GB2312" w:eastAsia="仿宋_GB2312"/>
          <w:sz w:val="32"/>
          <w:szCs w:val="32"/>
          <w:lang w:val="zh-CN"/>
        </w:rPr>
      </w:pPr>
      <w:r>
        <w:rPr>
          <w:rFonts w:hint="eastAsia" w:ascii="仿宋_GB2312" w:hAnsi="仿宋_GB2312" w:eastAsia="仿宋_GB2312" w:cs="仿宋_GB2312"/>
          <w:sz w:val="32"/>
          <w:szCs w:val="32"/>
          <w:lang w:val="zh-CN"/>
        </w:rPr>
        <w:t>二是收集整理项目财务资料。</w:t>
      </w:r>
    </w:p>
    <w:p w14:paraId="16E496B9">
      <w:pPr>
        <w:adjustRightInd w:val="0"/>
        <w:snapToGrid w:val="0"/>
        <w:spacing w:line="560" w:lineRule="exact"/>
        <w:ind w:firstLine="720"/>
        <w:rPr>
          <w:rFonts w:ascii="仿宋_GB2312" w:hAnsi="仿宋_GB2312" w:eastAsia="仿宋_GB2312"/>
          <w:sz w:val="32"/>
          <w:szCs w:val="32"/>
          <w:lang w:val="zh-CN"/>
        </w:rPr>
      </w:pPr>
      <w:r>
        <w:rPr>
          <w:rFonts w:hint="eastAsia" w:ascii="仿宋_GB2312" w:hAnsi="仿宋_GB2312" w:eastAsia="仿宋_GB2312" w:cs="仿宋_GB2312"/>
          <w:sz w:val="32"/>
          <w:szCs w:val="32"/>
          <w:lang w:val="zh-CN"/>
        </w:rPr>
        <w:t>三是梳理评价重点。对项目管理薄弱环节、问题易发点、绩效内容进行梳理，作为评价重点和目标。</w:t>
      </w:r>
    </w:p>
    <w:p w14:paraId="484104C1">
      <w:pPr>
        <w:adjustRightInd w:val="0"/>
        <w:snapToGrid w:val="0"/>
        <w:spacing w:line="560" w:lineRule="exact"/>
        <w:ind w:firstLine="720"/>
        <w:rPr>
          <w:rFonts w:ascii="仿宋_GB2312" w:hAnsi="仿宋_GB2312" w:eastAsia="仿宋_GB2312"/>
          <w:sz w:val="32"/>
          <w:szCs w:val="32"/>
          <w:lang w:val="zh-CN"/>
        </w:rPr>
      </w:pPr>
      <w:r>
        <w:rPr>
          <w:rFonts w:hint="eastAsia" w:ascii="仿宋_GB2312" w:hAnsi="仿宋_GB2312" w:eastAsia="仿宋_GB2312" w:cs="仿宋_GB2312"/>
          <w:sz w:val="32"/>
          <w:szCs w:val="32"/>
          <w:lang w:val="zh-CN"/>
        </w:rPr>
        <w:t>四是开展项目自评。根据项目特性指标开展自评，并撰写项目支出绩效自评报告。</w:t>
      </w:r>
    </w:p>
    <w:p w14:paraId="1090F8CD">
      <w:pPr>
        <w:adjustRightInd w:val="0"/>
        <w:snapToGrid w:val="0"/>
        <w:spacing w:line="600" w:lineRule="exact"/>
        <w:ind w:firstLine="720"/>
        <w:rPr>
          <w:rFonts w:ascii="黑体" w:hAnsi="宋体" w:eastAsia="黑体"/>
          <w:sz w:val="32"/>
          <w:szCs w:val="32"/>
        </w:rPr>
      </w:pPr>
      <w:bookmarkStart w:id="125" w:name="_Toc15947_WPSOffice_Level2"/>
      <w:r>
        <w:rPr>
          <w:rFonts w:hint="eastAsia" w:ascii="黑体" w:hAnsi="宋体" w:eastAsia="黑体" w:cs="黑体"/>
          <w:sz w:val="32"/>
          <w:szCs w:val="32"/>
        </w:rPr>
        <w:t>二、项目资金申报及使用情况</w:t>
      </w:r>
      <w:bookmarkEnd w:id="125"/>
    </w:p>
    <w:p w14:paraId="2C04EAB5">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（一）项目资金申报及批复情况。</w:t>
      </w:r>
    </w:p>
    <w:p w14:paraId="0E637ACE">
      <w:pPr>
        <w:adjustRightInd w:val="0"/>
        <w:snapToGrid w:val="0"/>
        <w:spacing w:line="600" w:lineRule="exact"/>
        <w:ind w:firstLine="720"/>
        <w:rPr>
          <w:rFonts w:ascii="仿宋_GB2312" w:hAnsi="仿宋_GB2312" w:eastAsia="仿宋_GB2312" w:cs="仿宋_GB2312"/>
          <w:color w:val="000000"/>
          <w:kern w:val="0"/>
          <w:sz w:val="32"/>
          <w:szCs w:val="32"/>
        </w:rPr>
      </w:pPr>
      <w:r>
        <w:rPr>
          <w:rFonts w:hint="eastAsia" w:ascii="仿宋_GB2312" w:hAnsi="仿宋_GB2312" w:eastAsia="仿宋_GB2312" w:cs="仿宋_GB2312"/>
          <w:sz w:val="32"/>
          <w:szCs w:val="32"/>
        </w:rPr>
        <w:t>项目下达资金总额169.14万元。其中：</w:t>
      </w:r>
      <w:r>
        <w:rPr>
          <w:rFonts w:hint="eastAsia" w:ascii="仿宋_GB2312" w:hAnsi="仿宋_GB2312" w:eastAsia="仿宋_GB2312" w:cs="仿宋_GB2312"/>
          <w:color w:val="000000"/>
          <w:kern w:val="0"/>
          <w:sz w:val="32"/>
          <w:szCs w:val="32"/>
        </w:rPr>
        <w:t>社会网格化专项经费42.07万元；政法委政法专网及社会网格化网络费2.52万元；雪亮工程专项资金13.91万元；</w:t>
      </w:r>
    </w:p>
    <w:p w14:paraId="215EDFE8">
      <w:pPr>
        <w:adjustRightInd w:val="0"/>
        <w:snapToGrid w:val="0"/>
        <w:spacing w:line="600" w:lineRule="exact"/>
        <w:rPr>
          <w:rFonts w:ascii="仿宋" w:hAnsi="仿宋" w:eastAsia="仿宋"/>
          <w:color w:val="FF0000"/>
          <w:sz w:val="32"/>
          <w:szCs w:val="32"/>
          <w:shd w:val="clear" w:color="auto" w:fill="FFFFFF"/>
        </w:rPr>
      </w:pPr>
      <w:r>
        <w:rPr>
          <w:rFonts w:hint="eastAsia" w:ascii="仿宋_GB2312" w:hAnsi="仿宋_GB2312" w:eastAsia="仿宋_GB2312" w:cs="仿宋_GB2312"/>
          <w:color w:val="000000"/>
          <w:kern w:val="0"/>
          <w:sz w:val="32"/>
          <w:szCs w:val="32"/>
        </w:rPr>
        <w:t>政法委办公楼内部维修改造经费18.84万元；严重精神障碍者监护人以奖代补配套资金10.00万元；2016年国有资产清理专项审计经费0.3万元；2017年财务软件运行维护专项经费0.1万元；扫黑除恶专项经费17.48万元；政法委大学生西部计划志愿者岗位补贴1.71万元；大笮卫士春节慰问金0.4万元；维护稳定工作经费14.93万元；全县政法队伍教育整顿工作经费21.19万元；盐边县首届“大笮卫士”评选活动专项经费1.57万元；政法委平安建设暨市域治理现</w:t>
      </w:r>
      <w:r>
        <w:rPr>
          <w:rFonts w:hint="eastAsia" w:ascii="仿宋_GB2312" w:hAnsi="仿宋_GB2312" w:eastAsia="仿宋_GB2312" w:cs="仿宋_GB2312"/>
          <w:color w:val="000000"/>
          <w:kern w:val="0"/>
          <w:sz w:val="32"/>
          <w:szCs w:val="32"/>
          <w:lang w:eastAsia="zh-CN"/>
        </w:rPr>
        <w:t>代化</w:t>
      </w:r>
      <w:r>
        <w:rPr>
          <w:rFonts w:hint="eastAsia" w:ascii="仿宋_GB2312" w:hAnsi="仿宋_GB2312" w:eastAsia="仿宋_GB2312" w:cs="仿宋_GB2312"/>
          <w:color w:val="000000"/>
          <w:kern w:val="0"/>
          <w:sz w:val="32"/>
          <w:szCs w:val="32"/>
        </w:rPr>
        <w:t>专项经费18.19万元；</w:t>
      </w:r>
      <w:r>
        <w:rPr>
          <w:rFonts w:hint="eastAsia" w:ascii="仿宋" w:hAnsi="仿宋" w:eastAsia="仿宋" w:cs="Arial"/>
          <w:color w:val="000000"/>
          <w:kern w:val="0"/>
          <w:sz w:val="32"/>
          <w:szCs w:val="32"/>
        </w:rPr>
        <w:t>对上争取资金奖励5.92万元。</w:t>
      </w:r>
    </w:p>
    <w:p w14:paraId="72957A6A">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cs="楷体_GB2312"/>
          <w:b/>
          <w:bCs/>
          <w:sz w:val="32"/>
          <w:szCs w:val="32"/>
          <w:lang w:val="zh-CN"/>
        </w:rPr>
        <w:t>（二）资金计划、到位及使用情况（可用表格形式反映）。</w:t>
      </w:r>
    </w:p>
    <w:p w14:paraId="11317A48">
      <w:pPr>
        <w:adjustRightInd w:val="0"/>
        <w:snapToGrid w:val="0"/>
        <w:spacing w:line="600" w:lineRule="exact"/>
        <w:ind w:firstLine="720"/>
        <w:rPr>
          <w:rFonts w:ascii="楷体_GB2312" w:hAnsi="宋体" w:eastAsia="楷体_GB2312"/>
          <w:sz w:val="32"/>
          <w:szCs w:val="32"/>
          <w:lang w:val="zh-CN"/>
        </w:rPr>
      </w:pPr>
      <w:r>
        <w:rPr>
          <w:rFonts w:ascii="楷体_GB2312" w:hAnsi="宋体" w:eastAsia="楷体_GB2312" w:cs="楷体_GB2312"/>
          <w:sz w:val="32"/>
          <w:szCs w:val="32"/>
          <w:lang w:val="zh-CN"/>
        </w:rPr>
        <w:t>1</w:t>
      </w:r>
      <w:r>
        <w:rPr>
          <w:rFonts w:hint="eastAsia" w:ascii="楷体_GB2312" w:hAnsi="宋体" w:eastAsia="楷体_GB2312" w:cs="楷体_GB2312"/>
          <w:sz w:val="32"/>
          <w:szCs w:val="32"/>
          <w:lang w:val="zh-CN"/>
        </w:rPr>
        <w:t>．资金计划。</w:t>
      </w:r>
    </w:p>
    <w:p w14:paraId="06B691CD">
      <w:pPr>
        <w:spacing w:line="560" w:lineRule="exact"/>
        <w:ind w:firstLine="640" w:firstLineChars="200"/>
        <w:rPr>
          <w:rFonts w:ascii="仿宋_GB2312" w:hAnsi="仿宋_GB2312" w:eastAsia="仿宋_GB2312"/>
          <w:sz w:val="32"/>
          <w:szCs w:val="32"/>
          <w:lang w:val="zh-CN"/>
        </w:rPr>
      </w:pPr>
      <w:r>
        <w:rPr>
          <w:rFonts w:hint="eastAsia" w:ascii="仿宋_GB2312" w:hAnsi="仿宋_GB2312" w:eastAsia="仿宋_GB2312" w:cs="仿宋_GB2312"/>
          <w:sz w:val="32"/>
          <w:szCs w:val="32"/>
          <w:lang w:val="zh-CN"/>
        </w:rPr>
        <w:t>项目资金是按进度拨款，到年底资金能按预算全额到位。</w:t>
      </w:r>
    </w:p>
    <w:p w14:paraId="60FE59C7">
      <w:pPr>
        <w:adjustRightInd w:val="0"/>
        <w:snapToGrid w:val="0"/>
        <w:spacing w:line="600" w:lineRule="exact"/>
        <w:ind w:firstLine="720"/>
        <w:rPr>
          <w:rFonts w:ascii="楷体_GB2312" w:hAnsi="宋体" w:eastAsia="楷体_GB2312"/>
          <w:sz w:val="32"/>
          <w:szCs w:val="32"/>
          <w:lang w:val="zh-CN"/>
        </w:rPr>
      </w:pPr>
      <w:r>
        <w:rPr>
          <w:rFonts w:ascii="楷体_GB2312" w:hAnsi="宋体" w:eastAsia="楷体_GB2312" w:cs="楷体_GB2312"/>
          <w:sz w:val="32"/>
          <w:szCs w:val="32"/>
          <w:lang w:val="zh-CN"/>
        </w:rPr>
        <w:t>2</w:t>
      </w:r>
      <w:r>
        <w:rPr>
          <w:rFonts w:hint="eastAsia" w:ascii="楷体_GB2312" w:hAnsi="宋体" w:eastAsia="楷体_GB2312" w:cs="楷体_GB2312"/>
          <w:sz w:val="32"/>
          <w:szCs w:val="32"/>
          <w:lang w:val="zh-CN"/>
        </w:rPr>
        <w:t>．资金到位。</w:t>
      </w:r>
    </w:p>
    <w:p w14:paraId="425DFDD5">
      <w:pPr>
        <w:adjustRightInd w:val="0"/>
        <w:snapToGrid w:val="0"/>
        <w:spacing w:line="560" w:lineRule="exact"/>
        <w:ind w:firstLine="720"/>
        <w:rPr>
          <w:rFonts w:ascii="仿宋_GB2312" w:hAnsi="仿宋_GB2312" w:eastAsia="仿宋_GB2312"/>
          <w:sz w:val="32"/>
          <w:szCs w:val="32"/>
          <w:lang w:val="zh-CN"/>
        </w:rPr>
      </w:pPr>
      <w:r>
        <w:rPr>
          <w:rFonts w:hint="eastAsia" w:ascii="仿宋_GB2312" w:hAnsi="仿宋_GB2312" w:eastAsia="仿宋_GB2312" w:cs="仿宋_GB2312"/>
          <w:sz w:val="32"/>
          <w:szCs w:val="32"/>
          <w:lang w:val="zh-CN"/>
        </w:rPr>
        <w:t>县财政按计划下达专项经费，资金到位率</w:t>
      </w:r>
      <w:r>
        <w:rPr>
          <w:rFonts w:ascii="仿宋_GB2312" w:hAnsi="仿宋_GB2312" w:eastAsia="仿宋_GB2312" w:cs="仿宋_GB2312"/>
          <w:sz w:val="32"/>
          <w:szCs w:val="32"/>
          <w:lang w:val="zh-CN"/>
        </w:rPr>
        <w:t>100%</w:t>
      </w:r>
      <w:r>
        <w:rPr>
          <w:rFonts w:hint="eastAsia" w:ascii="仿宋_GB2312" w:hAnsi="仿宋_GB2312" w:eastAsia="仿宋_GB2312" w:cs="仿宋_GB2312"/>
          <w:sz w:val="32"/>
          <w:szCs w:val="32"/>
          <w:lang w:val="zh-CN"/>
        </w:rPr>
        <w:t>。</w:t>
      </w:r>
    </w:p>
    <w:p w14:paraId="2841025C">
      <w:pPr>
        <w:adjustRightInd w:val="0"/>
        <w:snapToGrid w:val="0"/>
        <w:spacing w:line="600" w:lineRule="exact"/>
        <w:ind w:firstLine="720"/>
        <w:rPr>
          <w:rFonts w:ascii="楷体_GB2312" w:hAnsi="宋体" w:eastAsia="楷体_GB2312"/>
          <w:sz w:val="32"/>
          <w:szCs w:val="32"/>
          <w:lang w:val="zh-CN"/>
        </w:rPr>
      </w:pPr>
      <w:r>
        <w:rPr>
          <w:rFonts w:ascii="楷体_GB2312" w:hAnsi="宋体" w:eastAsia="楷体_GB2312" w:cs="楷体_GB2312"/>
          <w:sz w:val="32"/>
          <w:szCs w:val="32"/>
          <w:lang w:val="zh-CN"/>
        </w:rPr>
        <w:t>3</w:t>
      </w:r>
      <w:r>
        <w:rPr>
          <w:rFonts w:hint="eastAsia" w:ascii="楷体_GB2312" w:hAnsi="宋体" w:eastAsia="楷体_GB2312" w:cs="楷体_GB2312"/>
          <w:sz w:val="32"/>
          <w:szCs w:val="32"/>
          <w:lang w:val="zh-CN"/>
        </w:rPr>
        <w:t>．资金使用。</w:t>
      </w:r>
    </w:p>
    <w:p w14:paraId="6B70C039">
      <w:pPr>
        <w:adjustRightInd w:val="0"/>
        <w:snapToGrid w:val="0"/>
        <w:spacing w:line="600" w:lineRule="exact"/>
        <w:ind w:firstLine="720"/>
        <w:rPr>
          <w:rFonts w:ascii="仿宋" w:hAnsi="仿宋" w:eastAsia="仿宋"/>
          <w:color w:val="FF0000"/>
          <w:sz w:val="32"/>
          <w:szCs w:val="32"/>
          <w:shd w:val="clear" w:color="auto" w:fill="FFFFFF"/>
        </w:rPr>
      </w:pPr>
      <w:r>
        <w:rPr>
          <w:rFonts w:hint="eastAsia" w:ascii="仿宋_GB2312" w:hAnsi="仿宋_GB2312" w:eastAsia="仿宋_GB2312" w:cs="仿宋_GB2312"/>
          <w:sz w:val="32"/>
          <w:szCs w:val="32"/>
          <w:lang w:val="zh-CN"/>
        </w:rPr>
        <w:t>截至</w:t>
      </w:r>
      <w:r>
        <w:rPr>
          <w:rFonts w:ascii="仿宋_GB2312" w:hAnsi="仿宋_GB2312" w:eastAsia="仿宋_GB2312" w:cs="仿宋_GB2312"/>
          <w:sz w:val="32"/>
          <w:szCs w:val="32"/>
          <w:lang w:val="zh-CN"/>
        </w:rPr>
        <w:t>20</w:t>
      </w:r>
      <w:r>
        <w:rPr>
          <w:rFonts w:hint="eastAsia" w:ascii="仿宋_GB2312" w:hAnsi="仿宋_GB2312" w:eastAsia="仿宋_GB2312" w:cs="仿宋_GB2312"/>
          <w:sz w:val="32"/>
          <w:szCs w:val="32"/>
        </w:rPr>
        <w:t>21</w:t>
      </w:r>
      <w:r>
        <w:rPr>
          <w:rFonts w:hint="eastAsia" w:ascii="仿宋_GB2312" w:hAnsi="仿宋_GB2312" w:eastAsia="仿宋_GB2312" w:cs="仿宋_GB2312"/>
          <w:sz w:val="32"/>
          <w:szCs w:val="32"/>
          <w:lang w:val="zh-CN"/>
        </w:rPr>
        <w:t>年</w:t>
      </w:r>
      <w:r>
        <w:rPr>
          <w:rFonts w:ascii="仿宋_GB2312" w:hAnsi="仿宋_GB2312" w:eastAsia="仿宋_GB2312" w:cs="仿宋_GB2312"/>
          <w:sz w:val="32"/>
          <w:szCs w:val="32"/>
          <w:lang w:val="zh-CN"/>
        </w:rPr>
        <w:t>12</w:t>
      </w:r>
      <w:r>
        <w:rPr>
          <w:rFonts w:hint="eastAsia" w:ascii="仿宋_GB2312" w:hAnsi="仿宋_GB2312" w:eastAsia="仿宋_GB2312" w:cs="仿宋_GB2312"/>
          <w:sz w:val="32"/>
          <w:szCs w:val="32"/>
          <w:lang w:val="zh-CN"/>
        </w:rPr>
        <w:t>月</w:t>
      </w:r>
      <w:r>
        <w:rPr>
          <w:rFonts w:ascii="仿宋_GB2312" w:hAnsi="仿宋_GB2312" w:eastAsia="仿宋_GB2312" w:cs="仿宋_GB2312"/>
          <w:sz w:val="32"/>
          <w:szCs w:val="32"/>
          <w:lang w:val="zh-CN"/>
        </w:rPr>
        <w:t>31</w:t>
      </w:r>
      <w:r>
        <w:rPr>
          <w:rFonts w:hint="eastAsia" w:ascii="仿宋_GB2312" w:hAnsi="仿宋_GB2312" w:eastAsia="仿宋_GB2312" w:cs="仿宋_GB2312"/>
          <w:sz w:val="32"/>
          <w:szCs w:val="32"/>
          <w:lang w:val="zh-CN"/>
        </w:rPr>
        <w:t>日，各项目资金共支出</w:t>
      </w:r>
      <w:r>
        <w:rPr>
          <w:rFonts w:hint="eastAsia" w:ascii="仿宋_GB2312" w:hAnsi="仿宋_GB2312" w:eastAsia="仿宋_GB2312" w:cs="仿宋_GB2312"/>
          <w:sz w:val="32"/>
          <w:szCs w:val="32"/>
        </w:rPr>
        <w:t>169.14</w:t>
      </w:r>
      <w:r>
        <w:rPr>
          <w:rFonts w:hint="eastAsia" w:ascii="仿宋_GB2312" w:hAnsi="仿宋_GB2312" w:eastAsia="仿宋_GB2312" w:cs="仿宋_GB2312"/>
          <w:sz w:val="32"/>
          <w:szCs w:val="32"/>
          <w:lang w:val="zh-CN"/>
        </w:rPr>
        <w:t>万元，</w:t>
      </w:r>
      <w:r>
        <w:rPr>
          <w:rFonts w:hint="eastAsia" w:ascii="仿宋_GB2312" w:hAnsi="仿宋_GB2312" w:eastAsia="仿宋_GB2312" w:cs="仿宋_GB2312"/>
          <w:sz w:val="32"/>
          <w:szCs w:val="32"/>
        </w:rPr>
        <w:t>其中：</w:t>
      </w:r>
      <w:r>
        <w:rPr>
          <w:rFonts w:hint="eastAsia" w:ascii="仿宋_GB2312" w:hAnsi="仿宋_GB2312" w:eastAsia="仿宋_GB2312" w:cs="仿宋_GB2312"/>
          <w:color w:val="000000"/>
          <w:kern w:val="0"/>
          <w:sz w:val="32"/>
          <w:szCs w:val="32"/>
        </w:rPr>
        <w:t>社会网格化专项经费42.07万元；政法委政法专网及社会网格化网络费2.52万元；雪亮工程专项资金13.91万元；政法委办公楼内部维修改造经费18.84万元；严重精神障碍者监护人以奖代补配套资金10.00万元；2016年国有资产清理专项审计经费0.3万元；2017年财务软件运行维护专项经费0.1万元；扫黑除恶专项经费17.48万元；政法委大学生西部计划志愿者岗位补贴1.71万元；大笮卫士春节慰问金0.4万元；维护稳定工作经费14.93万元；全县政法队伍教育整顿工作经费21.19万元；盐边县首届“大笮卫士”评选活动专项经费1.57万元；政法委平安建设暨市域治理现</w:t>
      </w:r>
      <w:r>
        <w:rPr>
          <w:rFonts w:hint="eastAsia" w:ascii="仿宋_GB2312" w:hAnsi="仿宋_GB2312" w:eastAsia="仿宋_GB2312" w:cs="仿宋_GB2312"/>
          <w:color w:val="000000"/>
          <w:kern w:val="0"/>
          <w:sz w:val="32"/>
          <w:szCs w:val="32"/>
          <w:lang w:eastAsia="zh-CN"/>
        </w:rPr>
        <w:t>代化</w:t>
      </w:r>
      <w:r>
        <w:rPr>
          <w:rFonts w:hint="eastAsia" w:ascii="仿宋_GB2312" w:hAnsi="仿宋_GB2312" w:eastAsia="仿宋_GB2312" w:cs="仿宋_GB2312"/>
          <w:color w:val="000000"/>
          <w:kern w:val="0"/>
          <w:sz w:val="32"/>
          <w:szCs w:val="32"/>
        </w:rPr>
        <w:t>专项经费18.19万元；</w:t>
      </w:r>
      <w:r>
        <w:rPr>
          <w:rFonts w:hint="eastAsia" w:ascii="仿宋" w:hAnsi="仿宋" w:eastAsia="仿宋" w:cs="Arial"/>
          <w:color w:val="000000"/>
          <w:kern w:val="0"/>
          <w:sz w:val="32"/>
          <w:szCs w:val="32"/>
        </w:rPr>
        <w:t>对上争取资金奖励5.92万元。</w:t>
      </w:r>
    </w:p>
    <w:p w14:paraId="1F659295">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（三）项目财务管理情况。</w:t>
      </w:r>
    </w:p>
    <w:p w14:paraId="5E8F56E7">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cs="仿宋_GB2312"/>
          <w:sz w:val="32"/>
          <w:szCs w:val="32"/>
          <w:lang w:val="zh-CN"/>
        </w:rPr>
        <w:t>总体评价各项目实施单位财务管理制度是否健全，是否严格执行财务管理制度，账务处理是否及时，会计核算是否规范等。</w:t>
      </w:r>
    </w:p>
    <w:p w14:paraId="351C6F10">
      <w:pPr>
        <w:adjustRightInd w:val="0"/>
        <w:snapToGrid w:val="0"/>
        <w:spacing w:line="600" w:lineRule="exact"/>
        <w:ind w:firstLine="720"/>
        <w:rPr>
          <w:rFonts w:ascii="黑体" w:hAnsi="宋体" w:eastAsia="黑体"/>
          <w:sz w:val="32"/>
          <w:szCs w:val="32"/>
        </w:rPr>
      </w:pPr>
      <w:bookmarkStart w:id="126" w:name="_Toc2838_WPSOffice_Level2"/>
      <w:r>
        <w:rPr>
          <w:rFonts w:hint="eastAsia" w:ascii="黑体" w:hAnsi="宋体" w:eastAsia="黑体" w:cs="黑体"/>
          <w:sz w:val="32"/>
          <w:szCs w:val="32"/>
        </w:rPr>
        <w:t>三、项目实施及管理情况</w:t>
      </w:r>
      <w:bookmarkEnd w:id="126"/>
    </w:p>
    <w:p w14:paraId="4A2159EC">
      <w:pPr>
        <w:spacing w:line="560" w:lineRule="exact"/>
        <w:ind w:firstLine="640" w:firstLineChars="200"/>
        <w:rPr>
          <w:rFonts w:ascii="仿宋_GB2312" w:hAnsi="仿宋_GB2312" w:eastAsia="仿宋_GB2312"/>
          <w:sz w:val="32"/>
          <w:szCs w:val="32"/>
          <w:lang w:val="zh-CN"/>
        </w:rPr>
      </w:pPr>
      <w:r>
        <w:rPr>
          <w:rFonts w:hint="eastAsia" w:ascii="仿宋_GB2312" w:hAnsi="仿宋_GB2312" w:eastAsia="仿宋_GB2312" w:cs="仿宋_GB2312"/>
          <w:sz w:val="32"/>
          <w:szCs w:val="32"/>
          <w:lang w:val="zh-CN"/>
        </w:rPr>
        <w:t>单位具有完善的财务管理制度、会计核算及账务处理设专人负责。支出严格执行财务管理制度、财务处理较为及时、会计核算比较规范。</w:t>
      </w:r>
    </w:p>
    <w:p w14:paraId="12D26F0D">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（一）项目组织架构及实施流程。</w:t>
      </w:r>
    </w:p>
    <w:p w14:paraId="024B81D9">
      <w:pPr>
        <w:snapToGrid w:val="0"/>
        <w:spacing w:line="560" w:lineRule="exact"/>
        <w:ind w:firstLine="640" w:firstLineChars="200"/>
        <w:rPr>
          <w:rFonts w:ascii="仿宋_GB2312" w:hAnsi="仿宋_GB2312" w:eastAsia="仿宋_GB2312"/>
          <w:b/>
          <w:bCs/>
          <w:sz w:val="32"/>
          <w:szCs w:val="32"/>
          <w:lang w:val="zh-CN"/>
        </w:rPr>
      </w:pPr>
      <w:r>
        <w:rPr>
          <w:rFonts w:hint="eastAsia" w:ascii="仿宋_GB2312" w:hAnsi="仿宋_GB2312" w:eastAsia="仿宋_GB2312" w:cs="仿宋_GB2312"/>
          <w:kern w:val="0"/>
          <w:sz w:val="32"/>
          <w:szCs w:val="32"/>
          <w:lang w:eastAsia="zh-CN"/>
        </w:rPr>
        <w:t>县委政法委</w:t>
      </w:r>
      <w:r>
        <w:rPr>
          <w:rFonts w:hint="eastAsia" w:ascii="仿宋_GB2312" w:hAnsi="仿宋_GB2312" w:eastAsia="仿宋_GB2312" w:cs="仿宋_GB2312"/>
          <w:sz w:val="32"/>
          <w:szCs w:val="32"/>
        </w:rPr>
        <w:t>依据单位职能和县政府审批通过的2020年度工作要点，为保障各项工作圆满完成，实现工作目标，制定了机关各支出项目的绩效目标。</w:t>
      </w:r>
    </w:p>
    <w:p w14:paraId="408E0A39">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（二）项目管理情况。</w:t>
      </w:r>
    </w:p>
    <w:p w14:paraId="682554AE">
      <w:pPr>
        <w:adjustRightInd w:val="0"/>
        <w:snapToGrid w:val="0"/>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cs="仿宋_GB2312"/>
          <w:kern w:val="0"/>
          <w:sz w:val="32"/>
          <w:szCs w:val="32"/>
        </w:rPr>
        <w:t>2021年项目支出资金分配科学合理，财政项目资金的管理实行了全过程管理，对于项目资金的分配，在各个环节上严格审查数据。项目资金统一由财政国库管理，专款专用，项目资金支出为财政授权支付和直接支付凭证支付，并严格执行从申请</w:t>
      </w:r>
      <w:r>
        <w:rPr>
          <w:rFonts w:ascii="仿宋_GB2312" w:hAnsi="仿宋_GB2312" w:eastAsia="仿宋_GB2312" w:cs="仿宋_GB2312"/>
          <w:kern w:val="0"/>
          <w:sz w:val="32"/>
          <w:szCs w:val="32"/>
        </w:rPr>
        <w:t>—</w:t>
      </w:r>
      <w:r>
        <w:rPr>
          <w:rFonts w:hint="eastAsia" w:ascii="仿宋_GB2312" w:hAnsi="仿宋_GB2312" w:eastAsia="仿宋_GB2312" w:cs="仿宋_GB2312"/>
          <w:kern w:val="0"/>
          <w:sz w:val="32"/>
          <w:szCs w:val="32"/>
        </w:rPr>
        <w:t>复核</w:t>
      </w:r>
      <w:r>
        <w:rPr>
          <w:rFonts w:ascii="仿宋_GB2312" w:hAnsi="仿宋_GB2312" w:eastAsia="仿宋_GB2312" w:cs="仿宋_GB2312"/>
          <w:kern w:val="0"/>
          <w:sz w:val="32"/>
          <w:szCs w:val="32"/>
        </w:rPr>
        <w:t>—</w:t>
      </w:r>
      <w:r>
        <w:rPr>
          <w:rFonts w:hint="eastAsia" w:ascii="仿宋_GB2312" w:hAnsi="仿宋_GB2312" w:eastAsia="仿宋_GB2312" w:cs="仿宋_GB2312"/>
          <w:kern w:val="0"/>
          <w:sz w:val="32"/>
          <w:szCs w:val="32"/>
        </w:rPr>
        <w:t>审核</w:t>
      </w:r>
      <w:r>
        <w:rPr>
          <w:rFonts w:ascii="仿宋_GB2312" w:hAnsi="仿宋_GB2312" w:eastAsia="仿宋_GB2312" w:cs="仿宋_GB2312"/>
          <w:kern w:val="0"/>
          <w:sz w:val="32"/>
          <w:szCs w:val="32"/>
        </w:rPr>
        <w:t>—</w:t>
      </w:r>
      <w:r>
        <w:rPr>
          <w:rFonts w:hint="eastAsia" w:ascii="仿宋_GB2312" w:hAnsi="仿宋_GB2312" w:eastAsia="仿宋_GB2312" w:cs="仿宋_GB2312"/>
          <w:kern w:val="0"/>
          <w:sz w:val="32"/>
          <w:szCs w:val="32"/>
        </w:rPr>
        <w:t>领导批准支付的操作程序，手续齐全，程序到位，资金使用规范，会计核算真实、准确。</w:t>
      </w:r>
    </w:p>
    <w:p w14:paraId="3826073D">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（三）项目监管情况。</w:t>
      </w:r>
    </w:p>
    <w:p w14:paraId="5D399583">
      <w:pPr>
        <w:adjustRightInd w:val="0"/>
        <w:snapToGrid w:val="0"/>
        <w:spacing w:line="560" w:lineRule="exact"/>
        <w:ind w:firstLine="720"/>
        <w:rPr>
          <w:rFonts w:ascii="仿宋_GB2312" w:hAnsi="仿宋_GB2312" w:eastAsia="仿宋_GB2312"/>
          <w:sz w:val="32"/>
          <w:szCs w:val="32"/>
          <w:lang w:val="zh-CN"/>
        </w:rPr>
      </w:pPr>
      <w:r>
        <w:rPr>
          <w:rFonts w:hint="eastAsia" w:ascii="仿宋_GB2312" w:hAnsi="仿宋_GB2312" w:eastAsia="仿宋_GB2312" w:cs="仿宋_GB2312"/>
          <w:kern w:val="0"/>
          <w:sz w:val="32"/>
          <w:szCs w:val="32"/>
          <w:lang w:eastAsia="zh-CN"/>
        </w:rPr>
        <w:t>县委政法委</w:t>
      </w:r>
      <w:r>
        <w:rPr>
          <w:rFonts w:hint="eastAsia" w:ascii="仿宋_GB2312" w:hAnsi="仿宋_GB2312" w:eastAsia="仿宋_GB2312" w:cs="仿宋_GB2312"/>
          <w:kern w:val="0"/>
          <w:sz w:val="32"/>
          <w:szCs w:val="32"/>
        </w:rPr>
        <w:t>建立了规范的内部控制管理体系，加强了项目资金全过程的监管</w:t>
      </w:r>
      <w:r>
        <w:rPr>
          <w:rFonts w:hint="eastAsia" w:ascii="仿宋_GB2312" w:hAnsi="仿宋_GB2312" w:eastAsia="仿宋_GB2312" w:cs="仿宋_GB2312"/>
          <w:sz w:val="32"/>
          <w:szCs w:val="32"/>
          <w:lang w:val="zh-CN"/>
        </w:rPr>
        <w:t>。</w:t>
      </w:r>
    </w:p>
    <w:p w14:paraId="2D7761FC">
      <w:pPr>
        <w:adjustRightInd w:val="0"/>
        <w:snapToGrid w:val="0"/>
        <w:spacing w:line="600" w:lineRule="exact"/>
        <w:ind w:firstLine="720"/>
        <w:rPr>
          <w:rFonts w:ascii="仿宋_GB2312" w:hAnsi="宋体" w:eastAsia="仿宋_GB2312"/>
          <w:sz w:val="32"/>
          <w:szCs w:val="32"/>
          <w:lang w:val="zh-CN"/>
        </w:rPr>
      </w:pPr>
      <w:bookmarkStart w:id="127" w:name="_Toc11617_WPSOffice_Level2"/>
      <w:r>
        <w:rPr>
          <w:rFonts w:hint="eastAsia" w:ascii="黑体" w:hAnsi="宋体" w:eastAsia="黑体" w:cs="黑体"/>
          <w:sz w:val="32"/>
          <w:szCs w:val="32"/>
        </w:rPr>
        <w:t>四、项目绩效情况</w:t>
      </w:r>
      <w:bookmarkEnd w:id="127"/>
      <w:r>
        <w:rPr>
          <w:rFonts w:ascii="仿宋_GB2312" w:hAnsi="宋体" w:eastAsia="仿宋_GB2312"/>
          <w:sz w:val="32"/>
          <w:szCs w:val="32"/>
          <w:lang w:val="zh-CN"/>
        </w:rPr>
        <w:tab/>
      </w:r>
    </w:p>
    <w:p w14:paraId="01CE5E9A">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（一）项目完成情况。</w:t>
      </w:r>
    </w:p>
    <w:p w14:paraId="3E6DCC9A">
      <w:pPr>
        <w:autoSpaceDE w:val="0"/>
        <w:autoSpaceDN w:val="0"/>
        <w:adjustRightInd w:val="0"/>
        <w:spacing w:line="560" w:lineRule="exact"/>
        <w:ind w:firstLine="640" w:firstLineChars="200"/>
        <w:jc w:val="left"/>
        <w:rPr>
          <w:rFonts w:ascii="仿宋_GB2312" w:hAnsi="仿宋_GB2312" w:eastAsia="仿宋_GB2312"/>
          <w:kern w:val="0"/>
          <w:sz w:val="32"/>
          <w:szCs w:val="32"/>
        </w:rPr>
      </w:pPr>
      <w:r>
        <w:rPr>
          <w:rFonts w:hint="eastAsia" w:ascii="仿宋_GB2312" w:hAnsi="仿宋_GB2312" w:eastAsia="仿宋_GB2312" w:cs="仿宋_GB2312"/>
          <w:kern w:val="0"/>
          <w:sz w:val="32"/>
          <w:szCs w:val="32"/>
        </w:rPr>
        <w:t>截</w:t>
      </w:r>
      <w:r>
        <w:rPr>
          <w:rFonts w:hint="eastAsia" w:ascii="仿宋_GB2312" w:hAnsi="仿宋_GB2312" w:eastAsia="仿宋_GB2312" w:cs="仿宋_GB2312"/>
          <w:kern w:val="0"/>
          <w:sz w:val="32"/>
          <w:szCs w:val="32"/>
          <w:lang w:eastAsia="zh-CN"/>
        </w:rPr>
        <w:t>至</w:t>
      </w:r>
      <w:r>
        <w:rPr>
          <w:rFonts w:ascii="仿宋_GB2312" w:hAnsi="仿宋_GB2312" w:eastAsia="仿宋_GB2312" w:cs="仿宋_GB2312"/>
          <w:kern w:val="0"/>
          <w:sz w:val="32"/>
          <w:szCs w:val="32"/>
        </w:rPr>
        <w:t>20</w:t>
      </w:r>
      <w:r>
        <w:rPr>
          <w:rFonts w:hint="eastAsia" w:ascii="仿宋_GB2312" w:hAnsi="仿宋_GB2312" w:eastAsia="仿宋_GB2312" w:cs="仿宋_GB2312"/>
          <w:kern w:val="0"/>
          <w:sz w:val="32"/>
          <w:szCs w:val="32"/>
        </w:rPr>
        <w:t>21年</w:t>
      </w:r>
      <w:r>
        <w:rPr>
          <w:rFonts w:ascii="仿宋_GB2312" w:hAnsi="仿宋_GB2312" w:eastAsia="仿宋_GB2312" w:cs="仿宋_GB2312"/>
          <w:kern w:val="0"/>
          <w:sz w:val="32"/>
          <w:szCs w:val="32"/>
        </w:rPr>
        <w:t>12</w:t>
      </w:r>
      <w:r>
        <w:rPr>
          <w:rFonts w:hint="eastAsia" w:ascii="仿宋_GB2312" w:hAnsi="仿宋_GB2312" w:eastAsia="仿宋_GB2312" w:cs="仿宋_GB2312"/>
          <w:kern w:val="0"/>
          <w:sz w:val="32"/>
          <w:szCs w:val="32"/>
        </w:rPr>
        <w:t>月</w:t>
      </w:r>
      <w:r>
        <w:rPr>
          <w:rFonts w:ascii="仿宋_GB2312" w:hAnsi="仿宋_GB2312" w:eastAsia="仿宋_GB2312" w:cs="仿宋_GB2312"/>
          <w:kern w:val="0"/>
          <w:sz w:val="32"/>
          <w:szCs w:val="32"/>
        </w:rPr>
        <w:t>31</w:t>
      </w:r>
      <w:r>
        <w:rPr>
          <w:rFonts w:hint="eastAsia" w:ascii="仿宋_GB2312" w:hAnsi="仿宋_GB2312" w:eastAsia="仿宋_GB2312" w:cs="仿宋_GB2312"/>
          <w:kern w:val="0"/>
          <w:sz w:val="32"/>
          <w:szCs w:val="32"/>
        </w:rPr>
        <w:t>日，项目资金</w:t>
      </w:r>
      <w:r>
        <w:rPr>
          <w:rFonts w:hint="eastAsia" w:ascii="仿宋_GB2312" w:hAnsi="仿宋_GB2312" w:eastAsia="仿宋_GB2312" w:cs="仿宋_GB2312"/>
          <w:sz w:val="32"/>
          <w:szCs w:val="32"/>
        </w:rPr>
        <w:t>支付169.14万元，执行率为</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w:t>
      </w:r>
      <w:r>
        <w:rPr>
          <w:rFonts w:hint="eastAsia" w:ascii="仿宋_GB2312" w:hAnsi="仿宋_GB2312" w:eastAsia="仿宋_GB2312" w:cs="仿宋_GB2312"/>
          <w:kern w:val="0"/>
          <w:sz w:val="32"/>
          <w:szCs w:val="32"/>
        </w:rPr>
        <w:t>完成目标项目工作，完成了预设的绩效目标，绩效目标完成质量较高，项目完成时效准确，项目成本控制较好，取得了较好的项目经济效益和社会效益。</w:t>
      </w:r>
    </w:p>
    <w:p w14:paraId="58432E9E">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（二）项目效益情况。</w:t>
      </w:r>
    </w:p>
    <w:p w14:paraId="42206D7C">
      <w:pPr>
        <w:adjustRightInd w:val="0"/>
        <w:snapToGrid w:val="0"/>
        <w:spacing w:line="600" w:lineRule="exact"/>
        <w:ind w:firstLine="720"/>
        <w:rPr>
          <w:rFonts w:ascii="仿宋_GB2312" w:hAnsi="仿宋_GB2312" w:eastAsia="仿宋_GB2312"/>
          <w:sz w:val="32"/>
          <w:szCs w:val="32"/>
        </w:rPr>
      </w:pPr>
      <w:r>
        <w:rPr>
          <w:rFonts w:hint="eastAsia" w:ascii="仿宋_GB2312" w:hAnsi="仿宋_GB2312" w:eastAsia="仿宋_GB2312" w:cs="仿宋_GB2312"/>
          <w:sz w:val="32"/>
          <w:szCs w:val="32"/>
        </w:rPr>
        <w:t>本部门在</w:t>
      </w:r>
      <w:r>
        <w:rPr>
          <w:rFonts w:ascii="仿宋_GB2312" w:hAnsi="仿宋_GB2312" w:eastAsia="仿宋_GB2312" w:cs="仿宋_GB2312"/>
          <w:sz w:val="32"/>
          <w:szCs w:val="32"/>
        </w:rPr>
        <w:t>20</w:t>
      </w:r>
      <w:r>
        <w:rPr>
          <w:rFonts w:hint="eastAsia" w:ascii="仿宋_GB2312" w:hAnsi="仿宋_GB2312" w:eastAsia="仿宋_GB2312" w:cs="仿宋_GB2312"/>
          <w:sz w:val="32"/>
          <w:szCs w:val="32"/>
        </w:rPr>
        <w:t>21年度部门决算中反映“扫黑除恶专项经费”“社会网格化专项经费”等</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个项目绩效目标实际完成情况。项目效益情况如下所述：</w:t>
      </w:r>
    </w:p>
    <w:p w14:paraId="4A545FE4">
      <w:pPr>
        <w:spacing w:line="580" w:lineRule="exact"/>
        <w:ind w:firstLine="640" w:firstLineChars="200"/>
        <w:rPr>
          <w:rFonts w:eastAsia="方正仿宋_GBK"/>
          <w:sz w:val="33"/>
          <w:szCs w:val="33"/>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）扫黑除恶专项经费项目绩效目标完成情况综述。项目全年预算数17.48万元，执行数为17.48万元，完成预算的</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。通过项目实施，</w:t>
      </w:r>
      <w:r>
        <w:rPr>
          <w:rFonts w:hint="eastAsia" w:eastAsia="方正仿宋_GBK" w:cs="方正仿宋_GBK"/>
          <w:sz w:val="33"/>
          <w:szCs w:val="33"/>
        </w:rPr>
        <w:t>紧紧围绕深挖根治年度目标，认真贯彻落实中央、省、市扫黑除恶专项斗争视频会议，深入推进综合治理、基层基础建设，开展黄赌毒和黑恶势力听之任之、失职失责甚至包庇纵容、充当</w:t>
      </w:r>
      <w:r>
        <w:rPr>
          <w:rFonts w:eastAsia="方正仿宋_GBK"/>
          <w:sz w:val="33"/>
          <w:szCs w:val="33"/>
        </w:rPr>
        <w:t>“</w:t>
      </w:r>
      <w:r>
        <w:rPr>
          <w:rFonts w:hint="eastAsia" w:eastAsia="方正仿宋_GBK" w:cs="方正仿宋_GBK"/>
          <w:sz w:val="33"/>
          <w:szCs w:val="33"/>
        </w:rPr>
        <w:t>保护伞</w:t>
      </w:r>
      <w:r>
        <w:rPr>
          <w:rFonts w:eastAsia="方正仿宋_GBK"/>
          <w:sz w:val="33"/>
          <w:szCs w:val="33"/>
        </w:rPr>
        <w:t>”</w:t>
      </w:r>
      <w:r>
        <w:rPr>
          <w:rFonts w:hint="eastAsia" w:eastAsia="方正仿宋_GBK" w:cs="方正仿宋_GBK"/>
          <w:sz w:val="33"/>
          <w:szCs w:val="33"/>
        </w:rPr>
        <w:t>专项整治，持续掀起了专项斗争强大攻</w:t>
      </w:r>
      <w:r>
        <w:rPr>
          <w:rFonts w:hint="eastAsia" w:eastAsia="方正仿宋_GBK" w:cs="方正仿宋_GBK"/>
          <w:sz w:val="33"/>
          <w:szCs w:val="33"/>
          <w:lang w:eastAsia="zh-CN"/>
        </w:rPr>
        <w:t>势</w:t>
      </w:r>
      <w:r>
        <w:rPr>
          <w:rFonts w:hint="eastAsia" w:eastAsia="方正仿宋_GBK" w:cs="方正仿宋_GBK"/>
          <w:sz w:val="33"/>
          <w:szCs w:val="33"/>
        </w:rPr>
        <w:t>。</w:t>
      </w:r>
    </w:p>
    <w:p w14:paraId="6217C91E">
      <w:pPr>
        <w:spacing w:line="580" w:lineRule="exact"/>
        <w:ind w:firstLine="640" w:firstLineChars="200"/>
        <w:rPr>
          <w:rFonts w:ascii="仿宋_GB2312" w:hAnsi="仿宋_GB2312" w:eastAsia="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）社会网格化专项经费项目绩效目标完成情况综述。项目全年预算数42.07万元，执行数为42.07万元，完成预算的</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。通过项目实施，</w:t>
      </w:r>
      <w:r>
        <w:rPr>
          <w:rFonts w:hint="eastAsia" w:eastAsia="方正仿宋_GBK" w:cs="方正仿宋_GBK"/>
          <w:sz w:val="33"/>
          <w:szCs w:val="33"/>
        </w:rPr>
        <w:t>加强了对刑满释放人员、社区服刑人员、易肇事肇祸精神病患者、吸毒人群等重点人员的服务管控。加强了网格管理员队伍建设，充分发挥网格管理员的积极作用。</w:t>
      </w:r>
    </w:p>
    <w:p w14:paraId="56A107BB">
      <w:pPr>
        <w:adjustRightInd w:val="0"/>
        <w:snapToGrid w:val="0"/>
        <w:spacing w:line="600" w:lineRule="exact"/>
        <w:ind w:firstLine="720"/>
        <w:rPr>
          <w:rFonts w:ascii="仿宋_GB2312" w:hAnsi="仿宋_GB2312" w:eastAsia="仿宋_GB2312" w:cs="仿宋_GB2312"/>
          <w:sz w:val="32"/>
          <w:szCs w:val="32"/>
        </w:rPr>
      </w:pPr>
      <w:bookmarkStart w:id="128" w:name="_Toc4270_WPSOffice_Level2"/>
      <w:r>
        <w:rPr>
          <w:rFonts w:hint="eastAsia" w:ascii="仿宋_GB2312" w:hAnsi="仿宋_GB2312" w:eastAsia="仿宋_GB2312" w:cs="仿宋_GB2312"/>
          <w:sz w:val="32"/>
          <w:szCs w:val="32"/>
        </w:rPr>
        <w:t>五、评价结论及建议</w:t>
      </w:r>
      <w:bookmarkEnd w:id="128"/>
    </w:p>
    <w:p w14:paraId="6952746E">
      <w:pPr>
        <w:adjustRightInd w:val="0"/>
        <w:snapToGrid w:val="0"/>
        <w:spacing w:line="600" w:lineRule="exact"/>
        <w:ind w:firstLine="720"/>
        <w:rPr>
          <w:rFonts w:ascii="仿宋_GB2312" w:hAnsi="仿宋_GB2312" w:eastAsia="仿宋_GB2312" w:cs="仿宋_GB2312"/>
          <w:b/>
          <w:bCs/>
          <w:sz w:val="32"/>
          <w:szCs w:val="32"/>
          <w:lang w:val="zh-CN"/>
        </w:rPr>
      </w:pPr>
      <w:r>
        <w:rPr>
          <w:rFonts w:hint="eastAsia" w:ascii="仿宋_GB2312" w:hAnsi="仿宋_GB2312" w:eastAsia="仿宋_GB2312" w:cs="仿宋_GB2312"/>
          <w:b/>
          <w:bCs/>
          <w:sz w:val="32"/>
          <w:szCs w:val="32"/>
          <w:lang w:val="zh-CN"/>
        </w:rPr>
        <w:t>（一）评价结论。</w:t>
      </w:r>
    </w:p>
    <w:p w14:paraId="656EA4F0">
      <w:pPr>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县委政法委</w:t>
      </w:r>
      <w:r>
        <w:rPr>
          <w:rFonts w:hint="eastAsia" w:ascii="仿宋_GB2312" w:hAnsi="仿宋_GB2312" w:eastAsia="仿宋_GB2312" w:cs="仿宋_GB2312"/>
          <w:sz w:val="32"/>
          <w:szCs w:val="32"/>
        </w:rPr>
        <w:t>严格执行上级关于项目绩效评价的相关规定，开展了项目绩效评价工作，实现了预期目标。</w:t>
      </w:r>
    </w:p>
    <w:p w14:paraId="75DB7674">
      <w:pPr>
        <w:adjustRightInd w:val="0"/>
        <w:snapToGrid w:val="0"/>
        <w:spacing w:line="560" w:lineRule="exact"/>
        <w:ind w:firstLine="720"/>
        <w:rPr>
          <w:rFonts w:ascii="仿宋_GB2312" w:hAnsi="仿宋_GB2312" w:eastAsia="仿宋_GB2312" w:cs="仿宋_GB2312"/>
          <w:b/>
          <w:bCs/>
          <w:sz w:val="32"/>
          <w:szCs w:val="32"/>
          <w:lang w:val="zh-CN"/>
        </w:rPr>
      </w:pPr>
      <w:r>
        <w:rPr>
          <w:rFonts w:hint="eastAsia" w:ascii="仿宋_GB2312" w:hAnsi="仿宋_GB2312" w:eastAsia="仿宋_GB2312" w:cs="仿宋_GB2312"/>
          <w:b/>
          <w:bCs/>
          <w:sz w:val="32"/>
          <w:szCs w:val="32"/>
          <w:lang w:val="zh-CN"/>
        </w:rPr>
        <w:t>（二）存在的问题。</w:t>
      </w:r>
    </w:p>
    <w:p w14:paraId="55B1FD12">
      <w:pPr>
        <w:pStyle w:val="15"/>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1. 绩效目标设立不够明确、细化和量化。项目单位虽然设立了项目资金绩效目标，但目标不够明确、细化和量化。</w:t>
      </w:r>
    </w:p>
    <w:p w14:paraId="23A5597A">
      <w:pPr>
        <w:pStyle w:val="15"/>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2. 资金使用效益有待进一步提高。</w:t>
      </w:r>
    </w:p>
    <w:p w14:paraId="6EE74CA3">
      <w:pPr>
        <w:adjustRightInd w:val="0"/>
        <w:snapToGrid w:val="0"/>
        <w:spacing w:line="560" w:lineRule="exact"/>
        <w:ind w:firstLine="720"/>
        <w:rPr>
          <w:rFonts w:ascii="仿宋_GB2312" w:hAnsi="仿宋_GB2312" w:eastAsia="仿宋_GB2312" w:cs="仿宋_GB2312"/>
          <w:b/>
          <w:bCs/>
          <w:sz w:val="32"/>
          <w:szCs w:val="32"/>
          <w:lang w:val="zh-CN"/>
        </w:rPr>
      </w:pPr>
      <w:r>
        <w:rPr>
          <w:rFonts w:hint="eastAsia" w:ascii="仿宋_GB2312" w:hAnsi="仿宋_GB2312" w:eastAsia="仿宋_GB2312" w:cs="仿宋_GB2312"/>
          <w:b/>
          <w:bCs/>
          <w:sz w:val="32"/>
          <w:szCs w:val="32"/>
          <w:lang w:val="zh-CN"/>
        </w:rPr>
        <w:t>（三）相关建议。</w:t>
      </w:r>
    </w:p>
    <w:p w14:paraId="18A9E32E">
      <w:pPr>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1.遵循先有预算、后有支出的原则，加强机关财务管理，严禁超预算和无预算安排支出，严格开支范围和标准。 </w:t>
      </w:r>
    </w:p>
    <w:p w14:paraId="71A7AA32">
      <w:pPr>
        <w:pStyle w:val="15"/>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2.加强业务培训，提高评价水平。绩效评价工作是一项长期性的工作，专业性强，工作量大，建议财政部门进一步加强开展部门领导及经办人员相关的政策、业务工作培训，组织开展部门之间、单位之间的经验交流，切实推进绩效评价工作的开展。</w:t>
      </w:r>
    </w:p>
    <w:p w14:paraId="1E853CAD">
      <w:pPr>
        <w:pStyle w:val="15"/>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3.预算财务分析常态化，定期做好预算支出财务分析，做好部门绩效评价工作。</w:t>
      </w:r>
    </w:p>
    <w:p w14:paraId="272CCB3B">
      <w:pPr>
        <w:pStyle w:val="6"/>
        <w:ind w:firstLine="640"/>
        <w:rPr>
          <w:rFonts w:ascii="仿宋_GB2312" w:hAnsi="仿宋_GB2312" w:eastAsia="仿宋_GB2312"/>
          <w:sz w:val="32"/>
          <w:szCs w:val="32"/>
        </w:rPr>
      </w:pPr>
    </w:p>
    <w:p w14:paraId="4D22A021">
      <w:pPr>
        <w:spacing w:line="580" w:lineRule="exact"/>
        <w:ind w:firstLine="640"/>
        <w:rPr>
          <w:rFonts w:ascii="仿宋_GB2312" w:hAnsi="仿宋_GB2312" w:eastAsia="仿宋_GB2312"/>
          <w:sz w:val="32"/>
          <w:szCs w:val="32"/>
        </w:rPr>
      </w:pPr>
    </w:p>
    <w:p w14:paraId="163A502E">
      <w:pPr>
        <w:spacing w:line="580" w:lineRule="exact"/>
        <w:ind w:firstLine="640"/>
        <w:rPr>
          <w:rFonts w:ascii="仿宋_GB2312" w:hAnsi="仿宋_GB2312" w:eastAsia="仿宋_GB2312"/>
          <w:sz w:val="32"/>
          <w:szCs w:val="32"/>
        </w:rPr>
      </w:pPr>
    </w:p>
    <w:p w14:paraId="32A5DA7E">
      <w:pPr>
        <w:widowControl/>
        <w:jc w:val="left"/>
        <w:rPr>
          <w:rStyle w:val="35"/>
          <w:rFonts w:ascii="黑体" w:hAnsi="黑体" w:eastAsia="黑体"/>
          <w:b w:val="0"/>
          <w:bCs w:val="0"/>
        </w:rPr>
      </w:pPr>
    </w:p>
    <w:p w14:paraId="29790D05">
      <w:pPr>
        <w:pStyle w:val="2"/>
        <w:rPr>
          <w:rStyle w:val="35"/>
          <w:rFonts w:ascii="黑体" w:hAnsi="黑体" w:eastAsia="黑体"/>
          <w:b w:val="0"/>
          <w:bCs w:val="0"/>
        </w:rPr>
      </w:pPr>
    </w:p>
    <w:p w14:paraId="442FEF73">
      <w:pPr>
        <w:rPr>
          <w:rStyle w:val="35"/>
          <w:rFonts w:ascii="黑体" w:hAnsi="黑体" w:eastAsia="黑体"/>
          <w:b w:val="0"/>
          <w:bCs w:val="0"/>
        </w:rPr>
      </w:pPr>
    </w:p>
    <w:p w14:paraId="5888855A">
      <w:pPr>
        <w:pStyle w:val="2"/>
        <w:rPr>
          <w:rStyle w:val="35"/>
          <w:rFonts w:ascii="黑体" w:hAnsi="黑体" w:eastAsia="黑体"/>
          <w:b w:val="0"/>
          <w:bCs w:val="0"/>
        </w:rPr>
      </w:pPr>
    </w:p>
    <w:p w14:paraId="36FE6844">
      <w:pPr>
        <w:rPr>
          <w:rStyle w:val="35"/>
          <w:rFonts w:ascii="黑体" w:hAnsi="黑体" w:eastAsia="黑体"/>
          <w:b w:val="0"/>
          <w:bCs w:val="0"/>
        </w:rPr>
      </w:pPr>
    </w:p>
    <w:p w14:paraId="26AE0CF2">
      <w:pPr>
        <w:pStyle w:val="2"/>
        <w:rPr>
          <w:rStyle w:val="35"/>
          <w:rFonts w:ascii="黑体" w:hAnsi="黑体" w:eastAsia="黑体"/>
          <w:b w:val="0"/>
          <w:bCs w:val="0"/>
        </w:rPr>
      </w:pPr>
    </w:p>
    <w:p w14:paraId="77BAC748">
      <w:pPr>
        <w:rPr>
          <w:rStyle w:val="35"/>
          <w:rFonts w:ascii="黑体" w:hAnsi="黑体" w:eastAsia="黑体"/>
          <w:b w:val="0"/>
          <w:bCs w:val="0"/>
        </w:rPr>
      </w:pPr>
    </w:p>
    <w:p w14:paraId="7F3A3330">
      <w:pPr>
        <w:pStyle w:val="2"/>
        <w:rPr>
          <w:rStyle w:val="35"/>
          <w:rFonts w:ascii="黑体" w:hAnsi="黑体" w:eastAsia="黑体"/>
          <w:b w:val="0"/>
          <w:bCs w:val="0"/>
        </w:rPr>
      </w:pPr>
    </w:p>
    <w:p w14:paraId="429E3D87">
      <w:pPr>
        <w:rPr>
          <w:rStyle w:val="35"/>
          <w:rFonts w:ascii="黑体" w:hAnsi="黑体" w:eastAsia="黑体"/>
          <w:b w:val="0"/>
          <w:bCs w:val="0"/>
        </w:rPr>
      </w:pPr>
    </w:p>
    <w:p w14:paraId="37D10874">
      <w:pPr>
        <w:pStyle w:val="2"/>
        <w:rPr>
          <w:rStyle w:val="35"/>
          <w:rFonts w:ascii="黑体" w:hAnsi="黑体" w:eastAsia="黑体"/>
          <w:b w:val="0"/>
          <w:bCs w:val="0"/>
        </w:rPr>
      </w:pPr>
    </w:p>
    <w:p w14:paraId="1223BC10">
      <w:pPr>
        <w:rPr>
          <w:rStyle w:val="35"/>
          <w:rFonts w:ascii="黑体" w:hAnsi="黑体" w:eastAsia="黑体"/>
          <w:b w:val="0"/>
          <w:bCs w:val="0"/>
        </w:rPr>
      </w:pPr>
    </w:p>
    <w:p w14:paraId="73E98A4C">
      <w:pPr>
        <w:rPr>
          <w:rStyle w:val="35"/>
          <w:rFonts w:ascii="黑体" w:hAnsi="黑体" w:eastAsia="黑体"/>
          <w:b w:val="0"/>
          <w:bCs w:val="0"/>
        </w:rPr>
      </w:pPr>
    </w:p>
    <w:p w14:paraId="0D2A8847">
      <w:pPr>
        <w:rPr>
          <w:rStyle w:val="35"/>
          <w:rFonts w:ascii="黑体" w:hAnsi="黑体" w:eastAsia="黑体"/>
          <w:b w:val="0"/>
          <w:bCs w:val="0"/>
        </w:rPr>
      </w:pPr>
      <w:bookmarkStart w:id="129" w:name="_Toc7085_WPSOffice_Level2"/>
      <w:r>
        <w:rPr>
          <w:rStyle w:val="35"/>
          <w:rFonts w:hint="eastAsia" w:ascii="黑体" w:hAnsi="黑体" w:eastAsia="黑体"/>
          <w:b w:val="0"/>
          <w:bCs w:val="0"/>
        </w:rPr>
        <w:t>附表</w:t>
      </w:r>
      <w:bookmarkEnd w:id="129"/>
    </w:p>
    <w:p w14:paraId="6A50997E">
      <w:pPr>
        <w:pStyle w:val="2"/>
        <w:jc w:val="center"/>
        <w:rPr>
          <w:rStyle w:val="35"/>
          <w:rFonts w:ascii="黑体" w:hAnsi="黑体" w:eastAsia="黑体"/>
          <w:b w:val="0"/>
          <w:bCs w:val="0"/>
        </w:rPr>
      </w:pPr>
    </w:p>
    <w:tbl>
      <w:tblPr>
        <w:tblStyle w:val="16"/>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9575"/>
        <w:gridCol w:w="236"/>
      </w:tblGrid>
      <w:tr w14:paraId="28C12945">
        <w:tblPrEx>
          <w:tblCellMar>
            <w:top w:w="0" w:type="dxa"/>
            <w:left w:w="108" w:type="dxa"/>
            <w:bottom w:w="0" w:type="dxa"/>
            <w:right w:w="108" w:type="dxa"/>
          </w:tblCellMar>
        </w:tblPrEx>
        <w:trPr>
          <w:trHeight w:val="675" w:hRule="atLeast"/>
        </w:trPr>
        <w:tc>
          <w:tcPr>
            <w:tcW w:w="9575" w:type="dxa"/>
            <w:tcBorders>
              <w:top w:val="nil"/>
              <w:left w:val="nil"/>
              <w:bottom w:val="nil"/>
              <w:right w:val="nil"/>
            </w:tcBorders>
            <w:shd w:val="clear" w:color="auto" w:fill="auto"/>
            <w:vAlign w:val="center"/>
          </w:tcPr>
          <w:p w14:paraId="17531006">
            <w:pPr>
              <w:widowControl/>
              <w:jc w:val="center"/>
              <w:textAlignment w:val="center"/>
              <w:rPr>
                <w:rFonts w:ascii="宋体" w:hAnsi="宋体" w:cs="宋体"/>
                <w:b/>
                <w:sz w:val="32"/>
                <w:szCs w:val="32"/>
              </w:rPr>
            </w:pPr>
            <w:r>
              <w:rPr>
                <w:rFonts w:hint="eastAsia" w:ascii="宋体" w:hAnsi="宋体" w:cs="宋体"/>
                <w:b/>
                <w:sz w:val="32"/>
                <w:szCs w:val="32"/>
              </w:rPr>
              <w:t>2021年特定目标类部门预算项目绩效目标自评</w:t>
            </w:r>
          </w:p>
        </w:tc>
        <w:tc>
          <w:tcPr>
            <w:tcW w:w="236" w:type="dxa"/>
            <w:tcBorders>
              <w:top w:val="nil"/>
              <w:left w:val="nil"/>
              <w:bottom w:val="nil"/>
              <w:right w:val="nil"/>
            </w:tcBorders>
            <w:shd w:val="clear" w:color="auto" w:fill="auto"/>
            <w:vAlign w:val="center"/>
          </w:tcPr>
          <w:p w14:paraId="3AD078D7">
            <w:pPr>
              <w:widowControl/>
              <w:jc w:val="center"/>
              <w:textAlignment w:val="center"/>
              <w:rPr>
                <w:rFonts w:ascii="宋体" w:hAnsi="宋体" w:cs="宋体"/>
                <w:b/>
                <w:kern w:val="0"/>
                <w:sz w:val="32"/>
                <w:szCs w:val="32"/>
              </w:rPr>
            </w:pPr>
          </w:p>
        </w:tc>
      </w:tr>
    </w:tbl>
    <w:tbl>
      <w:tblPr>
        <w:tblStyle w:val="16"/>
        <w:tblpPr w:leftFromText="180" w:rightFromText="180" w:vertAnchor="text" w:horzAnchor="page" w:tblpXSpec="center" w:tblpY="42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14:paraId="7B6832D9">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63B9D0">
            <w:pPr>
              <w:widowControl/>
              <w:jc w:val="center"/>
              <w:textAlignment w:val="center"/>
              <w:rPr>
                <w:rFonts w:ascii="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0078F5E">
            <w:pPr>
              <w:widowControl/>
              <w:jc w:val="center"/>
              <w:textAlignment w:val="center"/>
              <w:rPr>
                <w:rFonts w:ascii="宋体"/>
                <w:color w:val="000000"/>
                <w:sz w:val="24"/>
              </w:rPr>
            </w:pPr>
            <w:r>
              <w:rPr>
                <w:rFonts w:hint="eastAsia" w:ascii="宋体" w:cs="宋体"/>
                <w:color w:val="000000"/>
                <w:sz w:val="24"/>
              </w:rPr>
              <w:t>扫黑除恶专项经费</w:t>
            </w:r>
          </w:p>
        </w:tc>
      </w:tr>
      <w:tr w14:paraId="2BCABE70">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0863A3">
            <w:pPr>
              <w:widowControl/>
              <w:jc w:val="center"/>
              <w:textAlignment w:val="center"/>
              <w:rPr>
                <w:rFonts w:ascii="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EE214E6">
            <w:pPr>
              <w:widowControl/>
              <w:jc w:val="center"/>
              <w:textAlignment w:val="center"/>
              <w:rPr>
                <w:rFonts w:ascii="宋体"/>
                <w:color w:val="000000"/>
                <w:sz w:val="24"/>
              </w:rPr>
            </w:pPr>
            <w:r>
              <w:rPr>
                <w:rFonts w:hint="eastAsia" w:ascii="宋体" w:cs="宋体"/>
                <w:color w:val="000000"/>
                <w:sz w:val="24"/>
              </w:rPr>
              <w:t>盐边县政法委</w:t>
            </w:r>
          </w:p>
        </w:tc>
      </w:tr>
      <w:tr w14:paraId="2E8FE333">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1551D6">
            <w:pPr>
              <w:widowControl/>
              <w:jc w:val="center"/>
              <w:textAlignment w:val="center"/>
              <w:rPr>
                <w:rFonts w:ascii="宋体"/>
                <w:color w:val="000000"/>
                <w:sz w:val="24"/>
              </w:rPr>
            </w:pPr>
            <w:r>
              <w:rPr>
                <w:rFonts w:hint="eastAsia" w:ascii="宋体" w:hAnsi="宋体" w:cs="宋体"/>
                <w:color w:val="000000"/>
                <w:kern w:val="0"/>
                <w:sz w:val="24"/>
              </w:rPr>
              <w:t>预算执行情况</w:t>
            </w:r>
            <w:r>
              <w:rPr>
                <w:rFonts w:ascii="宋体" w:hAnsi="宋体" w:cs="宋体"/>
                <w:color w:val="000000"/>
                <w:kern w:val="0"/>
                <w:sz w:val="24"/>
              </w:rPr>
              <w:t>(</w:t>
            </w:r>
            <w:r>
              <w:rPr>
                <w:rFonts w:hint="eastAsia" w:ascii="宋体" w:hAnsi="宋体" w:cs="宋体"/>
                <w:color w:val="000000"/>
                <w:kern w:val="0"/>
                <w:sz w:val="24"/>
              </w:rPr>
              <w:t>万元</w:t>
            </w:r>
            <w:r>
              <w:rPr>
                <w:rFonts w:ascii="宋体" w:hAnsi="宋体" w:cs="宋体"/>
                <w:color w:val="000000"/>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CFAEAF">
            <w:pPr>
              <w:widowControl/>
              <w:jc w:val="center"/>
              <w:textAlignment w:val="center"/>
              <w:rPr>
                <w:rFonts w:ascii="宋体"/>
                <w:color w:val="000000"/>
                <w:sz w:val="24"/>
              </w:rPr>
            </w:pPr>
            <w:r>
              <w:rPr>
                <w:rFonts w:hint="eastAsia" w:ascii="宋体" w:hAnsi="宋体" w:cs="宋体"/>
                <w:color w:val="000000"/>
                <w:kern w:val="0"/>
                <w:sz w:val="24"/>
              </w:rPr>
              <w:t>预算数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CBF3EE">
            <w:pPr>
              <w:widowControl/>
              <w:jc w:val="center"/>
              <w:textAlignment w:val="center"/>
              <w:rPr>
                <w:rFonts w:ascii="宋体"/>
                <w:color w:val="000000"/>
                <w:sz w:val="24"/>
              </w:rPr>
            </w:pPr>
            <w:r>
              <w:rPr>
                <w:rFonts w:hint="eastAsia" w:ascii="宋体" w:cs="宋体"/>
                <w:color w:val="000000"/>
                <w:sz w:val="24"/>
              </w:rPr>
              <w:t>17.48</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FFC502E">
            <w:pPr>
              <w:widowControl/>
              <w:jc w:val="center"/>
              <w:textAlignment w:val="center"/>
              <w:rPr>
                <w:rFonts w:ascii="宋体"/>
                <w:color w:val="000000"/>
                <w:sz w:val="24"/>
              </w:rPr>
            </w:pPr>
            <w:r>
              <w:rPr>
                <w:rFonts w:hint="eastAsia" w:ascii="宋体" w:hAnsi="宋体" w:cs="宋体"/>
                <w:color w:val="000000"/>
                <w:kern w:val="0"/>
                <w:sz w:val="24"/>
              </w:rPr>
              <w:t>执行数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1D8EA61">
            <w:pPr>
              <w:widowControl/>
              <w:jc w:val="center"/>
              <w:textAlignment w:val="center"/>
              <w:rPr>
                <w:rFonts w:ascii="宋体"/>
                <w:color w:val="000000"/>
                <w:sz w:val="24"/>
              </w:rPr>
            </w:pPr>
            <w:r>
              <w:rPr>
                <w:rFonts w:hint="eastAsia" w:ascii="宋体" w:cs="宋体"/>
                <w:color w:val="000000"/>
                <w:sz w:val="24"/>
              </w:rPr>
              <w:t>17.48</w:t>
            </w:r>
          </w:p>
        </w:tc>
      </w:tr>
      <w:tr w14:paraId="0276DCA1">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3F3751">
            <w:pPr>
              <w:jc w:val="center"/>
              <w:rPr>
                <w:rFonts w:ascii="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9E5ED0D">
            <w:pPr>
              <w:widowControl/>
              <w:jc w:val="center"/>
              <w:textAlignment w:val="center"/>
              <w:rPr>
                <w:rFonts w:ascii="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648F934">
            <w:pPr>
              <w:widowControl/>
              <w:jc w:val="center"/>
              <w:textAlignment w:val="center"/>
              <w:rPr>
                <w:rFonts w:ascii="宋体"/>
                <w:color w:val="000000"/>
                <w:sz w:val="24"/>
              </w:rPr>
            </w:pPr>
            <w:r>
              <w:rPr>
                <w:rFonts w:hint="eastAsia" w:ascii="宋体" w:cs="宋体"/>
                <w:color w:val="000000"/>
                <w:sz w:val="24"/>
              </w:rPr>
              <w:t>17.48</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8CBF4EC">
            <w:pPr>
              <w:widowControl/>
              <w:jc w:val="center"/>
              <w:textAlignment w:val="center"/>
              <w:rPr>
                <w:rFonts w:ascii="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F5C3AE2">
            <w:pPr>
              <w:widowControl/>
              <w:jc w:val="center"/>
              <w:textAlignment w:val="center"/>
              <w:rPr>
                <w:rFonts w:ascii="宋体"/>
                <w:color w:val="000000"/>
                <w:sz w:val="24"/>
              </w:rPr>
            </w:pPr>
            <w:r>
              <w:rPr>
                <w:rFonts w:hint="eastAsia" w:ascii="宋体" w:cs="宋体"/>
                <w:color w:val="000000"/>
                <w:sz w:val="24"/>
              </w:rPr>
              <w:t>17.48</w:t>
            </w:r>
          </w:p>
        </w:tc>
      </w:tr>
      <w:tr w14:paraId="749633A6">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095105">
            <w:pPr>
              <w:jc w:val="center"/>
              <w:rPr>
                <w:rFonts w:ascii="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A2EC23">
            <w:pPr>
              <w:widowControl/>
              <w:jc w:val="center"/>
              <w:textAlignment w:val="center"/>
              <w:rPr>
                <w:rFonts w:ascii="宋体"/>
                <w:color w:val="000000"/>
                <w:sz w:val="24"/>
              </w:rPr>
            </w:pPr>
            <w:r>
              <w:rPr>
                <w:rFonts w:hint="eastAsia" w:ascii="宋体" w:hAnsi="宋体" w:cs="宋体"/>
                <w:color w:val="000000"/>
                <w:kern w:val="0"/>
                <w:sz w:val="24"/>
              </w:rPr>
              <w:t>其</w:t>
            </w:r>
            <w:r>
              <w:rPr>
                <w:rFonts w:hint="eastAsia" w:ascii="宋体" w:hAnsi="宋体" w:cs="宋体"/>
                <w:color w:val="000000"/>
                <w:kern w:val="0"/>
                <w:sz w:val="24"/>
                <w:lang w:eastAsia="zh-CN"/>
              </w:rPr>
              <w:t>他</w:t>
            </w:r>
            <w:r>
              <w:rPr>
                <w:rFonts w:hint="eastAsia" w:ascii="宋体" w:hAnsi="宋体" w:cs="宋体"/>
                <w:color w:val="000000"/>
                <w:kern w:val="0"/>
                <w:sz w:val="24"/>
              </w:rPr>
              <w:t>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77628B6">
            <w:pPr>
              <w:widowControl/>
              <w:jc w:val="center"/>
              <w:textAlignment w:val="center"/>
              <w:rPr>
                <w:rFonts w:ascii="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E68246B">
            <w:pPr>
              <w:widowControl/>
              <w:jc w:val="center"/>
              <w:textAlignment w:val="center"/>
              <w:rPr>
                <w:rFonts w:ascii="宋体"/>
                <w:color w:val="000000"/>
                <w:sz w:val="24"/>
              </w:rPr>
            </w:pPr>
            <w:r>
              <w:rPr>
                <w:rFonts w:hint="eastAsia" w:ascii="宋体" w:hAnsi="宋体" w:cs="宋体"/>
                <w:color w:val="000000"/>
                <w:kern w:val="0"/>
                <w:sz w:val="24"/>
              </w:rPr>
              <w:t>其</w:t>
            </w:r>
            <w:r>
              <w:rPr>
                <w:rFonts w:hint="eastAsia" w:ascii="宋体" w:hAnsi="宋体" w:cs="宋体"/>
                <w:color w:val="000000"/>
                <w:kern w:val="0"/>
                <w:sz w:val="24"/>
                <w:lang w:eastAsia="zh-CN"/>
              </w:rPr>
              <w:t>他</w:t>
            </w:r>
            <w:r>
              <w:rPr>
                <w:rFonts w:hint="eastAsia" w:ascii="宋体" w:hAnsi="宋体" w:cs="宋体"/>
                <w:color w:val="000000"/>
                <w:kern w:val="0"/>
                <w:sz w:val="24"/>
              </w:rPr>
              <w:t>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1DD506">
            <w:pPr>
              <w:jc w:val="center"/>
              <w:rPr>
                <w:rFonts w:ascii="宋体"/>
                <w:color w:val="000000"/>
                <w:sz w:val="24"/>
              </w:rPr>
            </w:pPr>
          </w:p>
        </w:tc>
      </w:tr>
      <w:tr w14:paraId="25FF0E9D">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E5B616">
            <w:pPr>
              <w:widowControl/>
              <w:jc w:val="center"/>
              <w:textAlignment w:val="center"/>
              <w:rPr>
                <w:rFonts w:ascii="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6166D6">
            <w:pPr>
              <w:widowControl/>
              <w:jc w:val="center"/>
              <w:textAlignment w:val="center"/>
              <w:rPr>
                <w:rFonts w:ascii="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CAAA3D">
            <w:pPr>
              <w:widowControl/>
              <w:jc w:val="center"/>
              <w:textAlignment w:val="center"/>
              <w:rPr>
                <w:rFonts w:ascii="宋体"/>
                <w:color w:val="000000"/>
                <w:sz w:val="24"/>
              </w:rPr>
            </w:pPr>
            <w:r>
              <w:rPr>
                <w:rFonts w:hint="eastAsia" w:ascii="宋体" w:hAnsi="宋体" w:cs="宋体"/>
                <w:color w:val="000000"/>
                <w:kern w:val="0"/>
                <w:sz w:val="24"/>
              </w:rPr>
              <w:t>实际完成目标</w:t>
            </w:r>
          </w:p>
        </w:tc>
      </w:tr>
      <w:tr w14:paraId="530B9027">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7D360E">
            <w:pPr>
              <w:jc w:val="center"/>
              <w:rPr>
                <w:rFonts w:ascii="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3FDC38">
            <w:pPr>
              <w:spacing w:line="580" w:lineRule="exact"/>
              <w:ind w:firstLine="480" w:firstLineChars="200"/>
              <w:rPr>
                <w:rFonts w:ascii="宋体" w:cs="宋体"/>
                <w:sz w:val="24"/>
              </w:rPr>
            </w:pPr>
            <w:r>
              <w:rPr>
                <w:rFonts w:hint="eastAsia" w:ascii="宋体" w:hAnsi="宋体" w:cs="宋体"/>
                <w:sz w:val="24"/>
              </w:rPr>
              <w:t>认真贯彻落实中央、省、市扫黑除恶专项斗争视频会议，深入推进综合治理、基层基础建设，开展黄赌毒和黑恶势力听之任之、失职失责甚至包庇纵容、充当</w:t>
            </w:r>
            <w:r>
              <w:rPr>
                <w:rFonts w:hint="eastAsia" w:ascii="宋体" w:cs="宋体"/>
                <w:sz w:val="24"/>
              </w:rPr>
              <w:t>“</w:t>
            </w:r>
            <w:r>
              <w:rPr>
                <w:rFonts w:hint="eastAsia" w:ascii="宋体" w:hAnsi="宋体" w:cs="宋体"/>
                <w:sz w:val="24"/>
              </w:rPr>
              <w:t>保护伞</w:t>
            </w:r>
            <w:r>
              <w:rPr>
                <w:rFonts w:hint="eastAsia" w:ascii="宋体" w:cs="宋体"/>
                <w:sz w:val="24"/>
              </w:rPr>
              <w:t>”</w:t>
            </w:r>
            <w:r>
              <w:rPr>
                <w:rFonts w:hint="eastAsia" w:ascii="宋体" w:hAnsi="宋体" w:cs="宋体"/>
                <w:sz w:val="24"/>
              </w:rPr>
              <w:t>专项整治，持续掀起了专项斗争强大攻。</w:t>
            </w:r>
          </w:p>
          <w:p w14:paraId="3996C0F1">
            <w:pPr>
              <w:widowControl/>
              <w:jc w:val="center"/>
              <w:textAlignment w:val="center"/>
              <w:rPr>
                <w:rFonts w:ascii="宋体"/>
                <w:color w:val="000000"/>
                <w:sz w:val="24"/>
              </w:rPr>
            </w:pP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E99556">
            <w:pPr>
              <w:widowControl/>
              <w:jc w:val="center"/>
              <w:textAlignment w:val="center"/>
              <w:rPr>
                <w:rFonts w:ascii="宋体"/>
                <w:color w:val="000000"/>
                <w:sz w:val="24"/>
              </w:rPr>
            </w:pPr>
            <w:r>
              <w:rPr>
                <w:rFonts w:hint="eastAsia" w:ascii="宋体" w:cs="宋体"/>
                <w:color w:val="000000"/>
                <w:sz w:val="24"/>
              </w:rPr>
              <w:t>达到预期目标</w:t>
            </w:r>
          </w:p>
        </w:tc>
      </w:tr>
      <w:tr w14:paraId="5418DA58">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14:paraId="01BDF681">
            <w:pPr>
              <w:widowControl/>
              <w:jc w:val="center"/>
              <w:textAlignment w:val="center"/>
              <w:rPr>
                <w:rFonts w:ascii="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D274EA0">
            <w:pPr>
              <w:widowControl/>
              <w:jc w:val="center"/>
              <w:textAlignment w:val="center"/>
              <w:rPr>
                <w:rFonts w:ascii="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5970E8D">
            <w:pPr>
              <w:widowControl/>
              <w:jc w:val="center"/>
              <w:textAlignment w:val="center"/>
              <w:rPr>
                <w:rFonts w:ascii="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29876C5">
            <w:pPr>
              <w:widowControl/>
              <w:jc w:val="center"/>
              <w:textAlignment w:val="center"/>
              <w:rPr>
                <w:rFonts w:ascii="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E09C7E7">
            <w:pPr>
              <w:widowControl/>
              <w:jc w:val="center"/>
              <w:textAlignment w:val="center"/>
              <w:rPr>
                <w:rFonts w:ascii="宋体"/>
                <w:color w:val="000000"/>
                <w:sz w:val="24"/>
              </w:rPr>
            </w:pPr>
            <w:r>
              <w:rPr>
                <w:rFonts w:hint="eastAsia" w:ascii="宋体" w:hAnsi="宋体" w:cs="宋体"/>
                <w:color w:val="000000"/>
                <w:kern w:val="0"/>
                <w:sz w:val="24"/>
              </w:rPr>
              <w:t>预期指标值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A5650A">
            <w:pPr>
              <w:widowControl/>
              <w:jc w:val="center"/>
              <w:textAlignment w:val="center"/>
              <w:rPr>
                <w:rFonts w:ascii="宋体"/>
                <w:color w:val="000000"/>
                <w:sz w:val="24"/>
              </w:rPr>
            </w:pPr>
            <w:r>
              <w:rPr>
                <w:rFonts w:hint="eastAsia" w:ascii="宋体" w:hAnsi="宋体" w:cs="宋体"/>
                <w:color w:val="000000"/>
                <w:kern w:val="0"/>
                <w:sz w:val="24"/>
              </w:rPr>
              <w:t>实际完成指标值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r>
      <w:tr w14:paraId="3E86010F">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1F5FC517">
            <w:pPr>
              <w:widowControl/>
              <w:jc w:val="center"/>
              <w:textAlignment w:val="center"/>
              <w:rPr>
                <w:rFonts w:ascii="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6C0E40">
            <w:pPr>
              <w:widowControl/>
              <w:jc w:val="center"/>
              <w:textAlignment w:val="center"/>
              <w:rPr>
                <w:rFonts w:ascii="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09A2AC3">
            <w:pPr>
              <w:widowControl/>
              <w:jc w:val="center"/>
              <w:textAlignment w:val="center"/>
              <w:rPr>
                <w:rFonts w:ascii="宋体"/>
                <w:color w:val="000000"/>
                <w:sz w:val="24"/>
              </w:rPr>
            </w:pPr>
            <w:r>
              <w:rPr>
                <w:rFonts w:hint="eastAsia" w:ascii="宋体" w:cs="宋体"/>
                <w:color w:val="000000"/>
                <w:sz w:val="24"/>
              </w:rPr>
              <w:t>数量目标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3B9371A">
            <w:pPr>
              <w:widowControl/>
              <w:jc w:val="center"/>
              <w:textAlignment w:val="center"/>
              <w:rPr>
                <w:rFonts w:ascii="宋体"/>
                <w:color w:val="000000"/>
                <w:sz w:val="24"/>
              </w:rPr>
            </w:pPr>
            <w:r>
              <w:rPr>
                <w:rFonts w:hint="eastAsia" w:ascii="宋体" w:cs="宋体"/>
                <w:color w:val="000000"/>
                <w:sz w:val="24"/>
              </w:rPr>
              <w:t>有效打击黑社会性质团伙，严厉打击刑事犯罪，保护人民群众生命和财产安全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7E2297D">
            <w:pPr>
              <w:widowControl/>
              <w:jc w:val="center"/>
              <w:textAlignment w:val="center"/>
              <w:rPr>
                <w:rFonts w:ascii="宋体"/>
                <w:color w:val="000000"/>
                <w:sz w:val="24"/>
              </w:rPr>
            </w:pPr>
            <w:r>
              <w:rPr>
                <w:rFonts w:hint="eastAsia" w:ascii="宋体" w:cs="宋体"/>
                <w:color w:val="000000"/>
                <w:sz w:val="24"/>
              </w:rPr>
              <w:t>黑恶势力犯罪案件打击查处比率</w:t>
            </w:r>
            <w:r>
              <w:rPr>
                <w:rFonts w:ascii="宋体" w:cs="宋体"/>
                <w:color w:val="000000"/>
                <w:sz w:val="24"/>
              </w:rPr>
              <w:t>80%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26EB5C">
            <w:pPr>
              <w:widowControl/>
              <w:jc w:val="center"/>
              <w:textAlignment w:val="center"/>
              <w:rPr>
                <w:rFonts w:ascii="宋体"/>
                <w:color w:val="000000"/>
                <w:sz w:val="24"/>
              </w:rPr>
            </w:pPr>
          </w:p>
        </w:tc>
      </w:tr>
      <w:tr w14:paraId="5D9EC697">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13F2D611">
            <w:pPr>
              <w:widowControl/>
              <w:jc w:val="center"/>
              <w:textAlignment w:val="center"/>
              <w:rPr>
                <w:rFonts w:ascii="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4340BE">
            <w:pPr>
              <w:widowControl/>
              <w:jc w:val="center"/>
              <w:textAlignment w:val="center"/>
              <w:rPr>
                <w:rFonts w:ascii="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0B41A5E">
            <w:pPr>
              <w:widowControl/>
              <w:jc w:val="center"/>
              <w:textAlignment w:val="center"/>
              <w:rPr>
                <w:rFonts w:ascii="宋体"/>
                <w:color w:val="000000"/>
                <w:sz w:val="24"/>
              </w:rPr>
            </w:pPr>
            <w:r>
              <w:rPr>
                <w:rFonts w:hint="eastAsia" w:ascii="宋体" w:cs="宋体"/>
                <w:color w:val="000000"/>
                <w:sz w:val="24"/>
              </w:rPr>
              <w:t>质量目标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329090D">
            <w:pPr>
              <w:widowControl/>
              <w:jc w:val="center"/>
              <w:textAlignment w:val="center"/>
              <w:rPr>
                <w:rFonts w:ascii="宋体"/>
                <w:color w:val="000000"/>
                <w:sz w:val="24"/>
              </w:rPr>
            </w:pPr>
            <w:r>
              <w:rPr>
                <w:rFonts w:hint="eastAsia" w:ascii="宋体" w:cs="宋体"/>
                <w:color w:val="000000"/>
                <w:sz w:val="24"/>
              </w:rPr>
              <w:t>及时发现、主动摸排黑恶势力犯罪线索</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2B7C722">
            <w:pPr>
              <w:widowControl/>
              <w:jc w:val="center"/>
              <w:textAlignment w:val="center"/>
              <w:rPr>
                <w:rFonts w:ascii="宋体"/>
                <w:color w:val="000000"/>
                <w:sz w:val="24"/>
              </w:rPr>
            </w:pPr>
            <w:r>
              <w:rPr>
                <w:rFonts w:hint="eastAsia" w:ascii="宋体" w:cs="宋体"/>
                <w:color w:val="000000"/>
                <w:sz w:val="24"/>
              </w:rPr>
              <w:t>及时发现、主动摸排黑恶势力犯罪线索</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BC9B363">
            <w:pPr>
              <w:widowControl/>
              <w:jc w:val="center"/>
              <w:textAlignment w:val="center"/>
              <w:rPr>
                <w:rFonts w:ascii="宋体"/>
                <w:color w:val="000000"/>
                <w:sz w:val="24"/>
              </w:rPr>
            </w:pPr>
          </w:p>
        </w:tc>
      </w:tr>
      <w:tr w14:paraId="49DD4FA3">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16F6C33B">
            <w:pPr>
              <w:widowControl/>
              <w:jc w:val="center"/>
              <w:textAlignment w:val="center"/>
              <w:rPr>
                <w:rFonts w:ascii="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E705449">
            <w:pPr>
              <w:widowControl/>
              <w:jc w:val="center"/>
              <w:textAlignment w:val="center"/>
              <w:rPr>
                <w:rFonts w:ascii="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242BF5">
            <w:pPr>
              <w:widowControl/>
              <w:jc w:val="center"/>
              <w:textAlignment w:val="center"/>
              <w:rPr>
                <w:rFonts w:ascii="宋体"/>
                <w:color w:val="000000"/>
                <w:sz w:val="24"/>
              </w:rPr>
            </w:pPr>
            <w:r>
              <w:rPr>
                <w:rFonts w:hint="eastAsia" w:ascii="宋体"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10B730">
            <w:pPr>
              <w:widowControl/>
              <w:jc w:val="center"/>
              <w:textAlignment w:val="center"/>
              <w:rPr>
                <w:rFonts w:ascii="宋体"/>
                <w:color w:val="000000"/>
                <w:sz w:val="24"/>
              </w:rPr>
            </w:pPr>
            <w:r>
              <w:rPr>
                <w:rFonts w:hint="eastAsia" w:ascii="宋体" w:cs="宋体"/>
                <w:color w:val="000000"/>
                <w:sz w:val="24"/>
              </w:rPr>
              <w:t>2021年全年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B3939B">
            <w:pPr>
              <w:widowControl/>
              <w:jc w:val="center"/>
              <w:textAlignment w:val="center"/>
              <w:rPr>
                <w:rFonts w:ascii="宋体"/>
                <w:color w:val="000000"/>
                <w:sz w:val="24"/>
              </w:rPr>
            </w:pPr>
            <w:r>
              <w:rPr>
                <w:rFonts w:hint="eastAsia" w:ascii="宋体" w:cs="宋体"/>
                <w:color w:val="000000"/>
                <w:sz w:val="24"/>
              </w:rPr>
              <w:t>2021年全年</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C6B6327">
            <w:pPr>
              <w:widowControl/>
              <w:jc w:val="center"/>
              <w:textAlignment w:val="center"/>
              <w:rPr>
                <w:rFonts w:ascii="宋体"/>
                <w:color w:val="000000"/>
                <w:sz w:val="24"/>
              </w:rPr>
            </w:pPr>
          </w:p>
        </w:tc>
      </w:tr>
      <w:tr w14:paraId="240B9C64">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5DF519F6">
            <w:pPr>
              <w:widowControl/>
              <w:jc w:val="center"/>
              <w:textAlignment w:val="center"/>
              <w:rPr>
                <w:rFonts w:ascii="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10B215B">
            <w:pPr>
              <w:widowControl/>
              <w:jc w:val="center"/>
              <w:textAlignment w:val="center"/>
              <w:rPr>
                <w:rFonts w:ascii="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C46513">
            <w:pPr>
              <w:widowControl/>
              <w:jc w:val="center"/>
              <w:textAlignment w:val="center"/>
              <w:rPr>
                <w:rFonts w:ascii="宋体"/>
                <w:color w:val="000000"/>
                <w:sz w:val="24"/>
              </w:rPr>
            </w:pPr>
            <w:r>
              <w:rPr>
                <w:rFonts w:hint="eastAsia" w:asci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4E9B4F2">
            <w:pPr>
              <w:widowControl/>
              <w:jc w:val="center"/>
              <w:textAlignment w:val="center"/>
              <w:rPr>
                <w:rFonts w:ascii="宋体"/>
                <w:color w:val="000000"/>
                <w:sz w:val="24"/>
              </w:rPr>
            </w:pPr>
            <w:r>
              <w:rPr>
                <w:rFonts w:hint="eastAsia" w:ascii="宋体" w:cs="宋体"/>
                <w:color w:val="000000"/>
                <w:sz w:val="24"/>
              </w:rPr>
              <w:t>专项经费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0ACA4C2">
            <w:pPr>
              <w:widowControl/>
              <w:jc w:val="center"/>
              <w:textAlignment w:val="center"/>
              <w:rPr>
                <w:rFonts w:ascii="宋体"/>
                <w:color w:val="000000"/>
                <w:sz w:val="24"/>
              </w:rPr>
            </w:pPr>
            <w:r>
              <w:rPr>
                <w:rFonts w:hint="eastAsia" w:ascii="宋体" w:cs="宋体"/>
                <w:color w:val="000000"/>
                <w:sz w:val="24"/>
              </w:rPr>
              <w:t>17.48万元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D67AC6E">
            <w:pPr>
              <w:widowControl/>
              <w:jc w:val="center"/>
              <w:textAlignment w:val="center"/>
              <w:rPr>
                <w:rFonts w:ascii="宋体"/>
                <w:color w:val="000000"/>
                <w:sz w:val="24"/>
              </w:rPr>
            </w:pPr>
          </w:p>
        </w:tc>
      </w:tr>
      <w:tr w14:paraId="5154C9AD">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7B23C967">
            <w:pPr>
              <w:widowControl/>
              <w:jc w:val="center"/>
              <w:textAlignment w:val="center"/>
              <w:rPr>
                <w:rFonts w:ascii="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3C4BCB">
            <w:pPr>
              <w:widowControl/>
              <w:jc w:val="center"/>
              <w:textAlignment w:val="center"/>
              <w:rPr>
                <w:rFonts w:ascii="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0EC454">
            <w:pPr>
              <w:widowControl/>
              <w:jc w:val="center"/>
              <w:textAlignment w:val="center"/>
              <w:rPr>
                <w:rFonts w:ascii="宋体"/>
                <w:color w:val="000000"/>
                <w:sz w:val="24"/>
              </w:rPr>
            </w:pPr>
            <w:r>
              <w:rPr>
                <w:rFonts w:hint="eastAsia" w:ascii="宋体" w:cs="宋体"/>
                <w:color w:val="000000"/>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0E25A9B">
            <w:pPr>
              <w:widowControl/>
              <w:jc w:val="center"/>
              <w:textAlignment w:val="center"/>
              <w:rPr>
                <w:rFonts w:ascii="宋体"/>
                <w:color w:val="000000"/>
                <w:sz w:val="24"/>
              </w:rPr>
            </w:pPr>
            <w:r>
              <w:rPr>
                <w:rFonts w:hint="eastAsia" w:ascii="宋体" w:cs="宋体"/>
                <w:color w:val="000000"/>
                <w:sz w:val="24"/>
              </w:rPr>
              <w:t>维护全县社会和政治稳定，进一步增强群众的安全感和满意度，全面提升政法机关工作效率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273918">
            <w:pPr>
              <w:widowControl/>
              <w:jc w:val="center"/>
              <w:textAlignment w:val="center"/>
              <w:rPr>
                <w:rFonts w:ascii="宋体"/>
                <w:color w:val="000000"/>
                <w:sz w:val="24"/>
              </w:rPr>
            </w:pPr>
            <w:r>
              <w:rPr>
                <w:rFonts w:hint="eastAsia" w:ascii="宋体" w:cs="宋体"/>
                <w:color w:val="000000"/>
                <w:sz w:val="24"/>
              </w:rPr>
              <w:t>维护全县社会和政治稳定，进一步增强群众的安全感和满意度，全面提升政法机关工作效率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E395E0">
            <w:pPr>
              <w:widowControl/>
              <w:jc w:val="center"/>
              <w:textAlignment w:val="center"/>
              <w:rPr>
                <w:rFonts w:ascii="宋体"/>
                <w:color w:val="000000"/>
                <w:sz w:val="24"/>
              </w:rPr>
            </w:pPr>
          </w:p>
        </w:tc>
      </w:tr>
    </w:tbl>
    <w:p w14:paraId="406FF37D">
      <w:pPr>
        <w:spacing w:line="580" w:lineRule="exact"/>
        <w:ind w:left="630"/>
        <w:rPr>
          <w:rFonts w:ascii="仿宋_GB2312" w:hAnsi="仿宋_GB2312" w:eastAsia="仿宋_GB2312"/>
          <w:sz w:val="32"/>
          <w:szCs w:val="32"/>
        </w:rPr>
      </w:pPr>
    </w:p>
    <w:p w14:paraId="05E5C92D">
      <w:pPr>
        <w:spacing w:line="600" w:lineRule="exact"/>
        <w:outlineLvl w:val="0"/>
        <w:rPr>
          <w:rFonts w:ascii="黑体" w:hAnsi="黑体" w:eastAsia="黑体"/>
          <w:sz w:val="44"/>
          <w:szCs w:val="44"/>
        </w:rPr>
      </w:pPr>
    </w:p>
    <w:p w14:paraId="250ADA10">
      <w:pPr>
        <w:pStyle w:val="2"/>
        <w:jc w:val="center"/>
        <w:rPr>
          <w:rFonts w:ascii="黑体" w:hAnsi="黑体" w:eastAsia="黑体"/>
          <w:sz w:val="44"/>
          <w:szCs w:val="44"/>
        </w:rPr>
      </w:pPr>
      <w:bookmarkStart w:id="130" w:name="_Toc3368_WPSOffice_Level2"/>
      <w:bookmarkStart w:id="131" w:name="_Toc25006_WPSOffice_Level2"/>
      <w:r>
        <w:rPr>
          <w:rFonts w:hint="eastAsia" w:ascii="宋体" w:hAnsi="宋体" w:cs="宋体"/>
          <w:b/>
          <w:sz w:val="32"/>
          <w:szCs w:val="32"/>
        </w:rPr>
        <w:t>2021年特定目标类部门预算项目绩效目标自评</w:t>
      </w:r>
      <w:bookmarkEnd w:id="130"/>
      <w:bookmarkEnd w:id="131"/>
    </w:p>
    <w:tbl>
      <w:tblPr>
        <w:tblStyle w:val="16"/>
        <w:tblpPr w:leftFromText="180" w:rightFromText="180" w:vertAnchor="text" w:horzAnchor="page" w:tblpXSpec="center" w:tblpY="42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14:paraId="18B4E49A">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10EBDA">
            <w:pPr>
              <w:widowControl/>
              <w:jc w:val="center"/>
              <w:textAlignment w:val="center"/>
              <w:rPr>
                <w:rFonts w:ascii="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4A00B7">
            <w:pPr>
              <w:widowControl/>
              <w:jc w:val="center"/>
              <w:textAlignment w:val="center"/>
              <w:rPr>
                <w:rFonts w:ascii="宋体"/>
                <w:color w:val="000000"/>
                <w:sz w:val="24"/>
              </w:rPr>
            </w:pPr>
            <w:r>
              <w:rPr>
                <w:rFonts w:hint="eastAsia" w:ascii="宋体" w:cs="宋体"/>
                <w:color w:val="000000"/>
                <w:sz w:val="24"/>
              </w:rPr>
              <w:t>社会网格化专项经费</w:t>
            </w:r>
          </w:p>
        </w:tc>
      </w:tr>
      <w:tr w14:paraId="653991EF">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36C9C55">
            <w:pPr>
              <w:widowControl/>
              <w:jc w:val="center"/>
              <w:textAlignment w:val="center"/>
              <w:rPr>
                <w:rFonts w:ascii="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298859">
            <w:pPr>
              <w:widowControl/>
              <w:jc w:val="center"/>
              <w:textAlignment w:val="center"/>
              <w:rPr>
                <w:rFonts w:ascii="宋体"/>
                <w:color w:val="000000"/>
                <w:sz w:val="24"/>
              </w:rPr>
            </w:pPr>
            <w:r>
              <w:rPr>
                <w:rFonts w:hint="eastAsia" w:ascii="宋体" w:cs="宋体"/>
                <w:color w:val="000000"/>
                <w:sz w:val="24"/>
              </w:rPr>
              <w:t>盐边县政法委</w:t>
            </w:r>
          </w:p>
        </w:tc>
      </w:tr>
      <w:tr w14:paraId="6B8A0261">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EA34BB0">
            <w:pPr>
              <w:widowControl/>
              <w:jc w:val="center"/>
              <w:textAlignment w:val="center"/>
              <w:rPr>
                <w:rFonts w:ascii="宋体"/>
                <w:color w:val="000000"/>
                <w:sz w:val="24"/>
              </w:rPr>
            </w:pPr>
            <w:r>
              <w:rPr>
                <w:rFonts w:hint="eastAsia" w:ascii="宋体" w:hAnsi="宋体" w:cs="宋体"/>
                <w:color w:val="000000"/>
                <w:kern w:val="0"/>
                <w:sz w:val="24"/>
              </w:rPr>
              <w:t>预算执行情况</w:t>
            </w:r>
            <w:r>
              <w:rPr>
                <w:rFonts w:ascii="宋体" w:hAnsi="宋体" w:cs="宋体"/>
                <w:color w:val="000000"/>
                <w:kern w:val="0"/>
                <w:sz w:val="24"/>
              </w:rPr>
              <w:t>(</w:t>
            </w:r>
            <w:r>
              <w:rPr>
                <w:rFonts w:hint="eastAsia" w:ascii="宋体" w:hAnsi="宋体" w:cs="宋体"/>
                <w:color w:val="000000"/>
                <w:kern w:val="0"/>
                <w:sz w:val="24"/>
              </w:rPr>
              <w:t>万元</w:t>
            </w:r>
            <w:r>
              <w:rPr>
                <w:rFonts w:ascii="宋体" w:hAnsi="宋体" w:cs="宋体"/>
                <w:color w:val="000000"/>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7587ED4">
            <w:pPr>
              <w:widowControl/>
              <w:jc w:val="center"/>
              <w:textAlignment w:val="center"/>
              <w:rPr>
                <w:rFonts w:ascii="宋体"/>
                <w:color w:val="000000"/>
                <w:sz w:val="24"/>
              </w:rPr>
            </w:pPr>
            <w:r>
              <w:rPr>
                <w:rFonts w:hint="eastAsia" w:ascii="宋体" w:hAnsi="宋体" w:cs="宋体"/>
                <w:color w:val="000000"/>
                <w:kern w:val="0"/>
                <w:sz w:val="24"/>
              </w:rPr>
              <w:t>预算数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092EEE">
            <w:pPr>
              <w:widowControl/>
              <w:jc w:val="center"/>
              <w:textAlignment w:val="center"/>
              <w:rPr>
                <w:rFonts w:ascii="宋体"/>
                <w:color w:val="000000"/>
                <w:sz w:val="24"/>
              </w:rPr>
            </w:pPr>
            <w:r>
              <w:rPr>
                <w:rFonts w:hint="eastAsia" w:ascii="宋体" w:cs="宋体"/>
                <w:color w:val="000000"/>
                <w:sz w:val="24"/>
              </w:rPr>
              <w:t>42.07</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0CBACDE">
            <w:pPr>
              <w:widowControl/>
              <w:jc w:val="center"/>
              <w:textAlignment w:val="center"/>
              <w:rPr>
                <w:rFonts w:ascii="宋体"/>
                <w:color w:val="000000"/>
                <w:sz w:val="24"/>
              </w:rPr>
            </w:pPr>
            <w:r>
              <w:rPr>
                <w:rFonts w:hint="eastAsia" w:ascii="宋体" w:hAnsi="宋体" w:cs="宋体"/>
                <w:color w:val="000000"/>
                <w:kern w:val="0"/>
                <w:sz w:val="24"/>
              </w:rPr>
              <w:t>执行数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3FF8B5E">
            <w:pPr>
              <w:widowControl/>
              <w:jc w:val="center"/>
              <w:textAlignment w:val="center"/>
              <w:rPr>
                <w:rFonts w:ascii="宋体"/>
                <w:color w:val="000000"/>
                <w:sz w:val="24"/>
              </w:rPr>
            </w:pPr>
            <w:r>
              <w:rPr>
                <w:rFonts w:hint="eastAsia" w:ascii="宋体" w:cs="宋体"/>
                <w:color w:val="000000"/>
                <w:sz w:val="24"/>
              </w:rPr>
              <w:t>42.07</w:t>
            </w:r>
          </w:p>
        </w:tc>
      </w:tr>
      <w:tr w14:paraId="25E696A8">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F57136">
            <w:pPr>
              <w:jc w:val="center"/>
              <w:rPr>
                <w:rFonts w:ascii="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2E907E7">
            <w:pPr>
              <w:widowControl/>
              <w:jc w:val="center"/>
              <w:textAlignment w:val="center"/>
              <w:rPr>
                <w:rFonts w:ascii="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17886DB">
            <w:pPr>
              <w:widowControl/>
              <w:jc w:val="center"/>
              <w:textAlignment w:val="center"/>
              <w:rPr>
                <w:rFonts w:ascii="宋体"/>
                <w:color w:val="000000"/>
                <w:sz w:val="24"/>
              </w:rPr>
            </w:pPr>
            <w:r>
              <w:rPr>
                <w:rFonts w:hint="eastAsia" w:ascii="宋体" w:cs="宋体"/>
                <w:color w:val="000000"/>
                <w:sz w:val="24"/>
              </w:rPr>
              <w:t>42.07</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9885ED6">
            <w:pPr>
              <w:widowControl/>
              <w:jc w:val="center"/>
              <w:textAlignment w:val="center"/>
              <w:rPr>
                <w:rFonts w:ascii="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A5B7FC">
            <w:pPr>
              <w:widowControl/>
              <w:jc w:val="center"/>
              <w:textAlignment w:val="center"/>
              <w:rPr>
                <w:rFonts w:ascii="宋体"/>
                <w:color w:val="000000"/>
                <w:sz w:val="24"/>
              </w:rPr>
            </w:pPr>
            <w:r>
              <w:rPr>
                <w:rFonts w:hint="eastAsia" w:ascii="宋体" w:cs="宋体"/>
                <w:color w:val="000000"/>
                <w:sz w:val="24"/>
              </w:rPr>
              <w:t>42.07</w:t>
            </w:r>
          </w:p>
        </w:tc>
      </w:tr>
      <w:tr w14:paraId="2ACF2FCD">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6CF803">
            <w:pPr>
              <w:jc w:val="center"/>
              <w:rPr>
                <w:rFonts w:ascii="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3574B36">
            <w:pPr>
              <w:widowControl/>
              <w:jc w:val="center"/>
              <w:textAlignment w:val="center"/>
              <w:rPr>
                <w:rFonts w:ascii="宋体"/>
                <w:color w:val="000000"/>
                <w:sz w:val="24"/>
              </w:rPr>
            </w:pPr>
            <w:r>
              <w:rPr>
                <w:rFonts w:hint="eastAsia" w:ascii="宋体" w:hAnsi="宋体" w:cs="宋体"/>
                <w:color w:val="000000"/>
                <w:kern w:val="0"/>
                <w:sz w:val="24"/>
              </w:rPr>
              <w:t>其</w:t>
            </w:r>
            <w:r>
              <w:rPr>
                <w:rFonts w:hint="eastAsia" w:ascii="宋体" w:hAnsi="宋体" w:cs="宋体"/>
                <w:color w:val="000000"/>
                <w:kern w:val="0"/>
                <w:sz w:val="24"/>
                <w:lang w:eastAsia="zh-CN"/>
              </w:rPr>
              <w:t>他</w:t>
            </w:r>
            <w:r>
              <w:rPr>
                <w:rFonts w:hint="eastAsia" w:ascii="宋体" w:hAnsi="宋体" w:cs="宋体"/>
                <w:color w:val="000000"/>
                <w:kern w:val="0"/>
                <w:sz w:val="24"/>
              </w:rPr>
              <w:t>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95D404">
            <w:pPr>
              <w:widowControl/>
              <w:jc w:val="center"/>
              <w:textAlignment w:val="center"/>
              <w:rPr>
                <w:rFonts w:ascii="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A8E7C3E">
            <w:pPr>
              <w:widowControl/>
              <w:jc w:val="center"/>
              <w:textAlignment w:val="center"/>
              <w:rPr>
                <w:rFonts w:ascii="宋体"/>
                <w:color w:val="000000"/>
                <w:sz w:val="24"/>
              </w:rPr>
            </w:pPr>
            <w:r>
              <w:rPr>
                <w:rFonts w:hint="eastAsia" w:ascii="宋体" w:hAnsi="宋体" w:cs="宋体"/>
                <w:color w:val="000000"/>
                <w:kern w:val="0"/>
                <w:sz w:val="24"/>
              </w:rPr>
              <w:t>其</w:t>
            </w:r>
            <w:r>
              <w:rPr>
                <w:rFonts w:hint="eastAsia" w:ascii="宋体" w:hAnsi="宋体" w:cs="宋体"/>
                <w:color w:val="000000"/>
                <w:kern w:val="0"/>
                <w:sz w:val="24"/>
                <w:lang w:eastAsia="zh-CN"/>
              </w:rPr>
              <w:t>他</w:t>
            </w:r>
            <w:r>
              <w:rPr>
                <w:rFonts w:hint="eastAsia" w:ascii="宋体" w:hAnsi="宋体" w:cs="宋体"/>
                <w:color w:val="000000"/>
                <w:kern w:val="0"/>
                <w:sz w:val="24"/>
              </w:rPr>
              <w:t>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1B533D">
            <w:pPr>
              <w:jc w:val="center"/>
              <w:rPr>
                <w:rFonts w:ascii="宋体"/>
                <w:color w:val="000000"/>
                <w:sz w:val="24"/>
              </w:rPr>
            </w:pPr>
          </w:p>
        </w:tc>
      </w:tr>
      <w:tr w14:paraId="64869C1B">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4AB8541">
            <w:pPr>
              <w:widowControl/>
              <w:jc w:val="center"/>
              <w:textAlignment w:val="center"/>
              <w:rPr>
                <w:rFonts w:ascii="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6353033">
            <w:pPr>
              <w:widowControl/>
              <w:jc w:val="center"/>
              <w:textAlignment w:val="center"/>
              <w:rPr>
                <w:rFonts w:ascii="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E219C15">
            <w:pPr>
              <w:widowControl/>
              <w:jc w:val="center"/>
              <w:textAlignment w:val="center"/>
              <w:rPr>
                <w:rFonts w:ascii="宋体"/>
                <w:color w:val="000000"/>
                <w:sz w:val="24"/>
              </w:rPr>
            </w:pPr>
            <w:r>
              <w:rPr>
                <w:rFonts w:hint="eastAsia" w:ascii="宋体" w:hAnsi="宋体" w:cs="宋体"/>
                <w:color w:val="000000"/>
                <w:kern w:val="0"/>
                <w:sz w:val="24"/>
              </w:rPr>
              <w:t>实际完成目标</w:t>
            </w:r>
          </w:p>
        </w:tc>
      </w:tr>
      <w:tr w14:paraId="60F9E8DB">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1A3465">
            <w:pPr>
              <w:jc w:val="center"/>
              <w:rPr>
                <w:rFonts w:ascii="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07A03D">
            <w:pPr>
              <w:spacing w:line="580" w:lineRule="exact"/>
              <w:ind w:firstLine="480" w:firstLineChars="200"/>
              <w:rPr>
                <w:rFonts w:ascii="宋体" w:cs="宋体"/>
                <w:sz w:val="24"/>
              </w:rPr>
            </w:pPr>
            <w:r>
              <w:rPr>
                <w:rFonts w:hint="eastAsia" w:ascii="宋体" w:hAnsi="宋体" w:cs="宋体"/>
                <w:sz w:val="24"/>
              </w:rPr>
              <w:t>加强对刑满释放人员、社区服刑人员、易肇事肇祸精神病患者、吸毒人群等重点人员的服务管控。加强网格管理员队伍建设，充分发挥网格管理员的积极作用。</w:t>
            </w:r>
          </w:p>
          <w:p w14:paraId="62AE3CFD">
            <w:pPr>
              <w:widowControl/>
              <w:jc w:val="center"/>
              <w:textAlignment w:val="center"/>
              <w:rPr>
                <w:rFonts w:ascii="宋体"/>
                <w:color w:val="000000"/>
                <w:sz w:val="24"/>
              </w:rPr>
            </w:pP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A446EDD">
            <w:pPr>
              <w:widowControl/>
              <w:jc w:val="center"/>
              <w:textAlignment w:val="center"/>
              <w:rPr>
                <w:rFonts w:ascii="宋体"/>
                <w:color w:val="000000"/>
                <w:sz w:val="24"/>
              </w:rPr>
            </w:pPr>
            <w:r>
              <w:rPr>
                <w:rFonts w:hint="eastAsia" w:ascii="宋体" w:cs="宋体"/>
                <w:color w:val="000000"/>
                <w:sz w:val="24"/>
              </w:rPr>
              <w:t>达到预期目标</w:t>
            </w:r>
          </w:p>
        </w:tc>
      </w:tr>
      <w:tr w14:paraId="2BC952B4">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14:paraId="39695C28">
            <w:pPr>
              <w:widowControl/>
              <w:jc w:val="center"/>
              <w:textAlignment w:val="center"/>
              <w:rPr>
                <w:rFonts w:ascii="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269082">
            <w:pPr>
              <w:widowControl/>
              <w:jc w:val="center"/>
              <w:textAlignment w:val="center"/>
              <w:rPr>
                <w:rFonts w:ascii="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0AD2C79">
            <w:pPr>
              <w:widowControl/>
              <w:jc w:val="center"/>
              <w:textAlignment w:val="center"/>
              <w:rPr>
                <w:rFonts w:ascii="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1C6304E">
            <w:pPr>
              <w:widowControl/>
              <w:jc w:val="center"/>
              <w:textAlignment w:val="center"/>
              <w:rPr>
                <w:rFonts w:ascii="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3CEBC22">
            <w:pPr>
              <w:widowControl/>
              <w:jc w:val="center"/>
              <w:textAlignment w:val="center"/>
              <w:rPr>
                <w:rFonts w:ascii="宋体"/>
                <w:color w:val="000000"/>
                <w:sz w:val="24"/>
              </w:rPr>
            </w:pPr>
            <w:r>
              <w:rPr>
                <w:rFonts w:hint="eastAsia" w:ascii="宋体" w:hAnsi="宋体" w:cs="宋体"/>
                <w:color w:val="000000"/>
                <w:kern w:val="0"/>
                <w:sz w:val="24"/>
              </w:rPr>
              <w:t>预期指标值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CFC0FF6">
            <w:pPr>
              <w:widowControl/>
              <w:jc w:val="center"/>
              <w:textAlignment w:val="center"/>
              <w:rPr>
                <w:rFonts w:ascii="宋体"/>
                <w:color w:val="000000"/>
                <w:sz w:val="24"/>
              </w:rPr>
            </w:pPr>
            <w:r>
              <w:rPr>
                <w:rFonts w:hint="eastAsia" w:ascii="宋体" w:hAnsi="宋体" w:cs="宋体"/>
                <w:color w:val="000000"/>
                <w:kern w:val="0"/>
                <w:sz w:val="24"/>
              </w:rPr>
              <w:t>实际完成指标值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r>
      <w:tr w14:paraId="769F1A84">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03DE7ABC">
            <w:pPr>
              <w:widowControl/>
              <w:jc w:val="center"/>
              <w:textAlignment w:val="center"/>
              <w:rPr>
                <w:rFonts w:ascii="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F79BFD2">
            <w:pPr>
              <w:widowControl/>
              <w:jc w:val="center"/>
              <w:textAlignment w:val="center"/>
              <w:rPr>
                <w:rFonts w:ascii="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E10212D">
            <w:pPr>
              <w:widowControl/>
              <w:jc w:val="center"/>
              <w:textAlignment w:val="center"/>
              <w:rPr>
                <w:rFonts w:ascii="宋体"/>
                <w:color w:val="000000"/>
                <w:sz w:val="24"/>
              </w:rPr>
            </w:pPr>
            <w:r>
              <w:rPr>
                <w:rFonts w:hint="eastAsia" w:ascii="宋体" w:cs="宋体"/>
                <w:color w:val="000000"/>
                <w:sz w:val="24"/>
              </w:rPr>
              <w:t>数量目标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681678">
            <w:pPr>
              <w:widowControl/>
              <w:jc w:val="center"/>
              <w:textAlignment w:val="center"/>
              <w:rPr>
                <w:rFonts w:ascii="宋体" w:cs="宋体"/>
                <w:color w:val="000000"/>
                <w:sz w:val="24"/>
              </w:rPr>
            </w:pPr>
            <w:r>
              <w:rPr>
                <w:rFonts w:hint="eastAsia" w:ascii="宋体" w:hAnsi="宋体" w:cs="宋体"/>
                <w:sz w:val="24"/>
              </w:rPr>
              <w:t>加强网格员培训今年以来县委政法委组织网格员和乡（镇）综治办工作人员进行了集中培训</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B0B432B">
            <w:pPr>
              <w:widowControl/>
              <w:jc w:val="center"/>
              <w:textAlignment w:val="center"/>
              <w:rPr>
                <w:rFonts w:ascii="宋体" w:cs="宋体"/>
                <w:color w:val="000000"/>
                <w:sz w:val="24"/>
              </w:rPr>
            </w:pPr>
            <w:r>
              <w:rPr>
                <w:rFonts w:hint="eastAsia" w:ascii="宋体" w:hAnsi="宋体" w:cs="宋体"/>
                <w:sz w:val="24"/>
              </w:rPr>
              <w:t>大大提高了网格员和乡（镇）综治办工作人员的业务能力</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212E2D">
            <w:pPr>
              <w:widowControl/>
              <w:jc w:val="center"/>
              <w:textAlignment w:val="center"/>
              <w:rPr>
                <w:rFonts w:ascii="宋体"/>
                <w:color w:val="000000"/>
                <w:sz w:val="24"/>
              </w:rPr>
            </w:pPr>
          </w:p>
        </w:tc>
      </w:tr>
      <w:tr w14:paraId="21B2B14C">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31002EC8">
            <w:pPr>
              <w:widowControl/>
              <w:jc w:val="center"/>
              <w:textAlignment w:val="center"/>
              <w:rPr>
                <w:rFonts w:ascii="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0C6ED04">
            <w:pPr>
              <w:widowControl/>
              <w:jc w:val="center"/>
              <w:textAlignment w:val="center"/>
              <w:rPr>
                <w:rFonts w:ascii="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515C46">
            <w:pPr>
              <w:widowControl/>
              <w:jc w:val="center"/>
              <w:textAlignment w:val="center"/>
              <w:rPr>
                <w:rFonts w:ascii="宋体"/>
                <w:color w:val="000000"/>
                <w:sz w:val="24"/>
              </w:rPr>
            </w:pPr>
            <w:r>
              <w:rPr>
                <w:rFonts w:hint="eastAsia" w:ascii="宋体" w:cs="宋体"/>
                <w:color w:val="000000"/>
                <w:sz w:val="24"/>
              </w:rPr>
              <w:t>质量目标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13245F">
            <w:pPr>
              <w:widowControl/>
              <w:jc w:val="center"/>
              <w:textAlignment w:val="center"/>
              <w:rPr>
                <w:rFonts w:ascii="宋体" w:cs="宋体"/>
                <w:color w:val="000000"/>
                <w:sz w:val="24"/>
              </w:rPr>
            </w:pPr>
            <w:r>
              <w:rPr>
                <w:rFonts w:hint="eastAsia" w:ascii="宋体" w:hAnsi="宋体" w:cs="宋体"/>
                <w:sz w:val="24"/>
              </w:rPr>
              <w:t>严格按照省委政法委的要求，组织网格管理员广泛开展</w:t>
            </w:r>
            <w:r>
              <w:rPr>
                <w:rFonts w:hint="eastAsia" w:ascii="宋体" w:cs="宋体"/>
                <w:sz w:val="24"/>
              </w:rPr>
              <w:t>“</w:t>
            </w:r>
            <w:r>
              <w:rPr>
                <w:rFonts w:hint="eastAsia" w:ascii="宋体" w:hAnsi="宋体" w:cs="宋体"/>
                <w:sz w:val="24"/>
              </w:rPr>
              <w:t>大走访、大排查、大化解</w:t>
            </w:r>
            <w:r>
              <w:rPr>
                <w:rFonts w:hint="eastAsia" w:ascii="宋体" w:cs="宋体"/>
                <w:sz w:val="24"/>
              </w:rPr>
              <w:t>”“</w:t>
            </w:r>
            <w:r>
              <w:rPr>
                <w:rFonts w:hint="eastAsia" w:ascii="宋体" w:hAnsi="宋体" w:cs="宋体"/>
                <w:sz w:val="24"/>
              </w:rPr>
              <w:t>大培训</w:t>
            </w:r>
            <w:r>
              <w:rPr>
                <w:rFonts w:hint="eastAsia" w:ascii="宋体" w:cs="宋体"/>
                <w:sz w:val="24"/>
              </w:rPr>
              <w:t>”</w:t>
            </w:r>
            <w:r>
              <w:rPr>
                <w:rFonts w:hint="eastAsia" w:ascii="宋体" w:hAnsi="宋体" w:cs="宋体"/>
                <w:sz w:val="24"/>
              </w:rPr>
              <w:t>及</w:t>
            </w:r>
            <w:r>
              <w:rPr>
                <w:rFonts w:hint="eastAsia" w:ascii="宋体" w:cs="宋体"/>
                <w:sz w:val="24"/>
              </w:rPr>
              <w:t>“</w:t>
            </w:r>
            <w:r>
              <w:rPr>
                <w:rFonts w:hint="eastAsia" w:ascii="宋体" w:hAnsi="宋体" w:cs="宋体"/>
                <w:sz w:val="24"/>
              </w:rPr>
              <w:t>大比武</w:t>
            </w:r>
            <w:r>
              <w:rPr>
                <w:rFonts w:hint="eastAsia" w:ascii="宋体" w:cs="宋体"/>
                <w:sz w:val="24"/>
              </w:rPr>
              <w:t>”</w:t>
            </w:r>
            <w:r>
              <w:rPr>
                <w:rFonts w:hint="eastAsia" w:ascii="宋体" w:hAnsi="宋体" w:cs="宋体"/>
                <w:sz w:val="24"/>
              </w:rPr>
              <w:t>三项活动，提升网格服务管理能力</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22803D">
            <w:pPr>
              <w:widowControl/>
              <w:jc w:val="center"/>
              <w:textAlignment w:val="center"/>
              <w:rPr>
                <w:rFonts w:ascii="宋体" w:cs="宋体"/>
                <w:color w:val="000000"/>
                <w:sz w:val="24"/>
              </w:rPr>
            </w:pPr>
            <w:r>
              <w:rPr>
                <w:rFonts w:hint="eastAsia" w:ascii="宋体" w:hAnsi="宋体" w:cs="宋体"/>
                <w:sz w:val="24"/>
              </w:rPr>
              <w:t>严格按照省委政法委的要求，组织网格管理员广泛开展</w:t>
            </w:r>
            <w:r>
              <w:rPr>
                <w:rFonts w:hint="eastAsia" w:ascii="宋体" w:cs="宋体"/>
                <w:sz w:val="24"/>
              </w:rPr>
              <w:t>“</w:t>
            </w:r>
            <w:r>
              <w:rPr>
                <w:rFonts w:hint="eastAsia" w:ascii="宋体" w:hAnsi="宋体" w:cs="宋体"/>
                <w:sz w:val="24"/>
              </w:rPr>
              <w:t>大走访、大排查、大化解</w:t>
            </w:r>
            <w:r>
              <w:rPr>
                <w:rFonts w:hint="eastAsia" w:ascii="宋体" w:cs="宋体"/>
                <w:sz w:val="24"/>
              </w:rPr>
              <w:t>”“</w:t>
            </w:r>
            <w:r>
              <w:rPr>
                <w:rFonts w:hint="eastAsia" w:ascii="宋体" w:hAnsi="宋体" w:cs="宋体"/>
                <w:sz w:val="24"/>
              </w:rPr>
              <w:t>大培训</w:t>
            </w:r>
            <w:r>
              <w:rPr>
                <w:rFonts w:hint="eastAsia" w:ascii="宋体" w:cs="宋体"/>
                <w:sz w:val="24"/>
              </w:rPr>
              <w:t>”</w:t>
            </w:r>
            <w:r>
              <w:rPr>
                <w:rFonts w:hint="eastAsia" w:ascii="宋体" w:hAnsi="宋体" w:cs="宋体"/>
                <w:sz w:val="24"/>
              </w:rPr>
              <w:t>及</w:t>
            </w:r>
            <w:r>
              <w:rPr>
                <w:rFonts w:hint="eastAsia" w:ascii="宋体" w:cs="宋体"/>
                <w:sz w:val="24"/>
              </w:rPr>
              <w:t>“</w:t>
            </w:r>
            <w:r>
              <w:rPr>
                <w:rFonts w:hint="eastAsia" w:ascii="宋体" w:hAnsi="宋体" w:cs="宋体"/>
                <w:sz w:val="24"/>
              </w:rPr>
              <w:t>大比武</w:t>
            </w:r>
            <w:r>
              <w:rPr>
                <w:rFonts w:hint="eastAsia" w:ascii="宋体" w:cs="宋体"/>
                <w:sz w:val="24"/>
              </w:rPr>
              <w:t>”</w:t>
            </w:r>
            <w:r>
              <w:rPr>
                <w:rFonts w:hint="eastAsia" w:ascii="宋体" w:hAnsi="宋体" w:cs="宋体"/>
                <w:sz w:val="24"/>
              </w:rPr>
              <w:t>三项活动，提升网格服务管理能力</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AC918FF">
            <w:pPr>
              <w:widowControl/>
              <w:jc w:val="center"/>
              <w:textAlignment w:val="center"/>
              <w:rPr>
                <w:rFonts w:ascii="宋体"/>
                <w:color w:val="000000"/>
                <w:sz w:val="24"/>
              </w:rPr>
            </w:pPr>
          </w:p>
        </w:tc>
      </w:tr>
      <w:tr w14:paraId="4F95256B">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6590EE99">
            <w:pPr>
              <w:widowControl/>
              <w:jc w:val="center"/>
              <w:textAlignment w:val="center"/>
              <w:rPr>
                <w:rFonts w:ascii="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2B92B1">
            <w:pPr>
              <w:widowControl/>
              <w:jc w:val="center"/>
              <w:textAlignment w:val="center"/>
              <w:rPr>
                <w:rFonts w:ascii="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B080F5">
            <w:pPr>
              <w:widowControl/>
              <w:jc w:val="center"/>
              <w:textAlignment w:val="center"/>
              <w:rPr>
                <w:rFonts w:ascii="宋体"/>
                <w:color w:val="000000"/>
                <w:sz w:val="24"/>
              </w:rPr>
            </w:pPr>
            <w:r>
              <w:rPr>
                <w:rFonts w:hint="eastAsia" w:ascii="宋体"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5DE014A">
            <w:pPr>
              <w:widowControl/>
              <w:jc w:val="center"/>
              <w:textAlignment w:val="center"/>
              <w:rPr>
                <w:rFonts w:ascii="宋体"/>
                <w:color w:val="000000"/>
                <w:sz w:val="24"/>
              </w:rPr>
            </w:pPr>
            <w:r>
              <w:rPr>
                <w:rFonts w:hint="eastAsia" w:ascii="宋体" w:cs="宋体"/>
                <w:color w:val="000000"/>
                <w:sz w:val="24"/>
              </w:rPr>
              <w:t>2021年全年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3B7185C">
            <w:pPr>
              <w:widowControl/>
              <w:jc w:val="center"/>
              <w:textAlignment w:val="center"/>
              <w:rPr>
                <w:rFonts w:ascii="宋体"/>
                <w:color w:val="000000"/>
                <w:sz w:val="24"/>
              </w:rPr>
            </w:pPr>
            <w:r>
              <w:rPr>
                <w:rFonts w:hint="eastAsia" w:ascii="宋体" w:cs="宋体"/>
                <w:color w:val="000000"/>
                <w:sz w:val="24"/>
              </w:rPr>
              <w:t>2021年全年</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586BEE">
            <w:pPr>
              <w:widowControl/>
              <w:jc w:val="center"/>
              <w:textAlignment w:val="center"/>
              <w:rPr>
                <w:rFonts w:ascii="宋体"/>
                <w:color w:val="000000"/>
                <w:sz w:val="24"/>
              </w:rPr>
            </w:pPr>
          </w:p>
        </w:tc>
      </w:tr>
      <w:tr w14:paraId="2A94B809">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7BCE934A">
            <w:pPr>
              <w:widowControl/>
              <w:jc w:val="center"/>
              <w:textAlignment w:val="center"/>
              <w:rPr>
                <w:rFonts w:ascii="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DE3973D">
            <w:pPr>
              <w:widowControl/>
              <w:jc w:val="center"/>
              <w:textAlignment w:val="center"/>
              <w:rPr>
                <w:rFonts w:ascii="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57645A">
            <w:pPr>
              <w:widowControl/>
              <w:jc w:val="center"/>
              <w:textAlignment w:val="center"/>
              <w:rPr>
                <w:rFonts w:ascii="宋体"/>
                <w:color w:val="000000"/>
                <w:sz w:val="24"/>
              </w:rPr>
            </w:pPr>
            <w:r>
              <w:rPr>
                <w:rFonts w:hint="eastAsia" w:asci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CD7B4F">
            <w:pPr>
              <w:widowControl/>
              <w:jc w:val="center"/>
              <w:textAlignment w:val="center"/>
              <w:rPr>
                <w:rFonts w:ascii="宋体"/>
                <w:color w:val="000000"/>
                <w:sz w:val="24"/>
              </w:rPr>
            </w:pPr>
            <w:r>
              <w:rPr>
                <w:rFonts w:hint="eastAsia" w:ascii="宋体" w:cs="宋体"/>
                <w:color w:val="000000"/>
                <w:sz w:val="24"/>
              </w:rPr>
              <w:t>专项经费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7883B5">
            <w:pPr>
              <w:widowControl/>
              <w:jc w:val="center"/>
              <w:textAlignment w:val="center"/>
              <w:rPr>
                <w:rFonts w:ascii="宋体"/>
                <w:color w:val="000000"/>
                <w:sz w:val="24"/>
              </w:rPr>
            </w:pPr>
            <w:r>
              <w:rPr>
                <w:rFonts w:hint="eastAsia" w:ascii="宋体" w:cs="宋体"/>
                <w:color w:val="000000"/>
                <w:sz w:val="24"/>
              </w:rPr>
              <w:t>47.02万元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6B30AD">
            <w:pPr>
              <w:widowControl/>
              <w:jc w:val="center"/>
              <w:textAlignment w:val="center"/>
              <w:rPr>
                <w:rFonts w:ascii="宋体"/>
                <w:color w:val="000000"/>
                <w:sz w:val="24"/>
              </w:rPr>
            </w:pPr>
          </w:p>
        </w:tc>
      </w:tr>
      <w:tr w14:paraId="464CF15C">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1AB60EA2">
            <w:pPr>
              <w:widowControl/>
              <w:jc w:val="center"/>
              <w:textAlignment w:val="center"/>
              <w:rPr>
                <w:rFonts w:ascii="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974AA8">
            <w:pPr>
              <w:widowControl/>
              <w:jc w:val="center"/>
              <w:textAlignment w:val="center"/>
              <w:rPr>
                <w:rFonts w:ascii="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05B0F56">
            <w:pPr>
              <w:widowControl/>
              <w:jc w:val="center"/>
              <w:textAlignment w:val="center"/>
              <w:rPr>
                <w:rFonts w:ascii="宋体"/>
                <w:color w:val="000000"/>
                <w:sz w:val="24"/>
              </w:rPr>
            </w:pPr>
            <w:r>
              <w:rPr>
                <w:rFonts w:hint="eastAsia" w:ascii="宋体" w:cs="宋体"/>
                <w:color w:val="000000"/>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FD59DB">
            <w:pPr>
              <w:widowControl/>
              <w:jc w:val="center"/>
              <w:textAlignment w:val="center"/>
              <w:rPr>
                <w:rFonts w:ascii="宋体"/>
                <w:color w:val="000000"/>
                <w:sz w:val="24"/>
              </w:rPr>
            </w:pPr>
            <w:r>
              <w:rPr>
                <w:rFonts w:hint="eastAsia" w:ascii="宋体" w:cs="宋体"/>
                <w:color w:val="000000"/>
                <w:sz w:val="24"/>
              </w:rPr>
              <w:t>维护全县社会和政治稳定</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CCFE38">
            <w:pPr>
              <w:widowControl/>
              <w:jc w:val="center"/>
              <w:textAlignment w:val="center"/>
              <w:rPr>
                <w:rFonts w:ascii="宋体"/>
                <w:color w:val="000000"/>
                <w:sz w:val="24"/>
              </w:rPr>
            </w:pPr>
            <w:r>
              <w:rPr>
                <w:rFonts w:hint="eastAsia" w:ascii="宋体" w:cs="宋体"/>
                <w:color w:val="000000"/>
                <w:sz w:val="24"/>
              </w:rPr>
              <w:t>维护全县社会和政治稳定</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61930A">
            <w:pPr>
              <w:widowControl/>
              <w:jc w:val="center"/>
              <w:textAlignment w:val="center"/>
              <w:rPr>
                <w:rFonts w:ascii="宋体"/>
                <w:color w:val="000000"/>
                <w:sz w:val="24"/>
              </w:rPr>
            </w:pPr>
          </w:p>
        </w:tc>
      </w:tr>
    </w:tbl>
    <w:p w14:paraId="21211C30">
      <w:pPr>
        <w:rPr>
          <w:rFonts w:ascii="黑体" w:hAnsi="黑体" w:eastAsia="黑体"/>
          <w:sz w:val="44"/>
          <w:szCs w:val="44"/>
        </w:rPr>
      </w:pPr>
    </w:p>
    <w:p w14:paraId="054F5A3F">
      <w:pPr>
        <w:pStyle w:val="2"/>
        <w:rPr>
          <w:rFonts w:ascii="黑体" w:hAnsi="黑体" w:eastAsia="黑体"/>
          <w:sz w:val="44"/>
          <w:szCs w:val="44"/>
        </w:rPr>
      </w:pPr>
    </w:p>
    <w:p w14:paraId="029D7889">
      <w:pPr>
        <w:rPr>
          <w:rFonts w:ascii="黑体" w:hAnsi="黑体" w:eastAsia="黑体"/>
          <w:sz w:val="44"/>
          <w:szCs w:val="44"/>
        </w:rPr>
      </w:pPr>
    </w:p>
    <w:p w14:paraId="2F323CAA">
      <w:pPr>
        <w:pStyle w:val="2"/>
        <w:rPr>
          <w:rFonts w:ascii="黑体" w:hAnsi="黑体" w:eastAsia="黑体"/>
          <w:sz w:val="44"/>
          <w:szCs w:val="44"/>
        </w:rPr>
      </w:pPr>
    </w:p>
    <w:p w14:paraId="64AAC522">
      <w:pPr>
        <w:rPr>
          <w:rFonts w:ascii="黑体" w:hAnsi="黑体" w:eastAsia="黑体"/>
          <w:sz w:val="44"/>
          <w:szCs w:val="44"/>
        </w:rPr>
      </w:pPr>
    </w:p>
    <w:p w14:paraId="1FC86C34">
      <w:pPr>
        <w:pStyle w:val="2"/>
        <w:rPr>
          <w:rFonts w:ascii="黑体" w:hAnsi="黑体" w:eastAsia="黑体"/>
          <w:sz w:val="44"/>
          <w:szCs w:val="44"/>
        </w:rPr>
      </w:pPr>
    </w:p>
    <w:p w14:paraId="03B8BB62">
      <w:pPr>
        <w:rPr>
          <w:rFonts w:ascii="黑体" w:hAnsi="黑体" w:eastAsia="黑体"/>
          <w:sz w:val="44"/>
          <w:szCs w:val="44"/>
        </w:rPr>
      </w:pPr>
    </w:p>
    <w:p w14:paraId="5117204B">
      <w:pPr>
        <w:pStyle w:val="2"/>
        <w:rPr>
          <w:rFonts w:ascii="黑体" w:hAnsi="黑体" w:eastAsia="黑体"/>
          <w:sz w:val="44"/>
          <w:szCs w:val="44"/>
        </w:rPr>
      </w:pPr>
    </w:p>
    <w:p w14:paraId="32B8E053">
      <w:pPr>
        <w:rPr>
          <w:rFonts w:ascii="黑体" w:hAnsi="黑体" w:eastAsia="黑体"/>
          <w:sz w:val="44"/>
          <w:szCs w:val="44"/>
        </w:rPr>
      </w:pPr>
    </w:p>
    <w:p w14:paraId="4E1B04FD">
      <w:pPr>
        <w:pStyle w:val="2"/>
        <w:rPr>
          <w:rFonts w:ascii="黑体" w:hAnsi="黑体" w:eastAsia="黑体"/>
          <w:sz w:val="44"/>
          <w:szCs w:val="44"/>
        </w:rPr>
      </w:pPr>
    </w:p>
    <w:p w14:paraId="57DD70B1">
      <w:pPr>
        <w:rPr>
          <w:rFonts w:ascii="黑体" w:hAnsi="黑体" w:eastAsia="黑体"/>
          <w:sz w:val="44"/>
          <w:szCs w:val="44"/>
        </w:rPr>
      </w:pPr>
    </w:p>
    <w:p w14:paraId="52D9BF2C">
      <w:pPr>
        <w:pStyle w:val="2"/>
        <w:rPr>
          <w:rFonts w:ascii="黑体" w:hAnsi="黑体" w:eastAsia="黑体"/>
          <w:sz w:val="44"/>
          <w:szCs w:val="44"/>
        </w:rPr>
      </w:pPr>
    </w:p>
    <w:p w14:paraId="36F24DB6">
      <w:pPr>
        <w:widowControl/>
        <w:jc w:val="left"/>
        <w:rPr>
          <w:rStyle w:val="29"/>
          <w:rFonts w:ascii="黑体" w:hAnsi="黑体" w:eastAsia="黑体"/>
          <w:b w:val="0"/>
        </w:rPr>
      </w:pPr>
    </w:p>
    <w:p w14:paraId="247B0E6D">
      <w:pPr>
        <w:spacing w:line="600" w:lineRule="exact"/>
        <w:jc w:val="center"/>
        <w:outlineLvl w:val="0"/>
        <w:rPr>
          <w:rFonts w:ascii="仿宋" w:hAnsi="仿宋" w:eastAsia="仿宋"/>
        </w:rPr>
      </w:pPr>
      <w:bookmarkStart w:id="132" w:name="_Toc31820_WPSOffice_Level1"/>
      <w:bookmarkStart w:id="133" w:name="_Toc15396618"/>
      <w:r>
        <w:rPr>
          <w:rFonts w:hint="eastAsia" w:ascii="黑体" w:hAnsi="黑体" w:eastAsia="黑体"/>
          <w:sz w:val="44"/>
          <w:szCs w:val="44"/>
        </w:rPr>
        <w:t>第</w:t>
      </w:r>
      <w:r>
        <w:rPr>
          <w:rStyle w:val="29"/>
          <w:rFonts w:hint="eastAsia" w:ascii="黑体" w:hAnsi="黑体" w:eastAsia="黑体"/>
          <w:b w:val="0"/>
        </w:rPr>
        <w:t>五部分 附表</w:t>
      </w:r>
      <w:bookmarkEnd w:id="116"/>
      <w:bookmarkEnd w:id="132"/>
      <w:bookmarkEnd w:id="133"/>
      <w:bookmarkStart w:id="134" w:name="_Toc15396619"/>
    </w:p>
    <w:p w14:paraId="01D9ABEA">
      <w:pPr>
        <w:pStyle w:val="4"/>
        <w:rPr>
          <w:rFonts w:ascii="仿宋" w:hAnsi="仿宋" w:eastAsia="仿宋"/>
        </w:rPr>
      </w:pPr>
      <w:bookmarkStart w:id="135" w:name="_Toc2462_WPSOffice_Level2"/>
      <w:r>
        <w:rPr>
          <w:rFonts w:hint="eastAsia" w:ascii="仿宋" w:hAnsi="仿宋" w:eastAsia="仿宋"/>
          <w:b w:val="0"/>
        </w:rPr>
        <w:t>一、收</w:t>
      </w:r>
      <w:r>
        <w:rPr>
          <w:rStyle w:val="30"/>
          <w:rFonts w:hint="eastAsia" w:ascii="仿宋" w:hAnsi="仿宋" w:eastAsia="仿宋"/>
          <w:b w:val="0"/>
          <w:bCs w:val="0"/>
        </w:rPr>
        <w:t>入支出决算总表</w:t>
      </w:r>
      <w:bookmarkEnd w:id="134"/>
      <w:bookmarkEnd w:id="135"/>
    </w:p>
    <w:p w14:paraId="2F2BA276">
      <w:pPr>
        <w:pStyle w:val="4"/>
        <w:rPr>
          <w:rFonts w:ascii="仿宋" w:hAnsi="仿宋" w:eastAsia="仿宋"/>
        </w:rPr>
      </w:pPr>
      <w:bookmarkStart w:id="136" w:name="_Toc22308_WPSOffice_Level2"/>
      <w:bookmarkStart w:id="137" w:name="_Toc15396620"/>
      <w:r>
        <w:rPr>
          <w:rFonts w:hint="eastAsia" w:ascii="仿宋" w:hAnsi="仿宋" w:eastAsia="仿宋"/>
          <w:b w:val="0"/>
        </w:rPr>
        <w:t>二、收</w:t>
      </w:r>
      <w:r>
        <w:rPr>
          <w:rStyle w:val="30"/>
          <w:rFonts w:hint="eastAsia" w:ascii="仿宋" w:hAnsi="仿宋" w:eastAsia="仿宋"/>
          <w:b w:val="0"/>
          <w:bCs w:val="0"/>
        </w:rPr>
        <w:t>入决算表</w:t>
      </w:r>
      <w:bookmarkEnd w:id="136"/>
      <w:bookmarkEnd w:id="137"/>
    </w:p>
    <w:p w14:paraId="510920C0">
      <w:pPr>
        <w:pStyle w:val="4"/>
        <w:rPr>
          <w:rFonts w:ascii="仿宋" w:hAnsi="仿宋" w:eastAsia="仿宋"/>
        </w:rPr>
      </w:pPr>
      <w:bookmarkStart w:id="138" w:name="_Toc15396621"/>
      <w:bookmarkStart w:id="139" w:name="_Toc17662_WPSOffice_Level2"/>
      <w:r>
        <w:rPr>
          <w:rStyle w:val="30"/>
          <w:rFonts w:hint="eastAsia" w:ascii="仿宋" w:hAnsi="仿宋" w:eastAsia="仿宋"/>
          <w:b w:val="0"/>
          <w:bCs w:val="0"/>
        </w:rPr>
        <w:t>三、</w:t>
      </w:r>
      <w:r>
        <w:rPr>
          <w:rFonts w:hint="eastAsia" w:ascii="仿宋" w:hAnsi="仿宋" w:eastAsia="仿宋"/>
          <w:b w:val="0"/>
        </w:rPr>
        <w:t>支</w:t>
      </w:r>
      <w:r>
        <w:rPr>
          <w:rStyle w:val="30"/>
          <w:rFonts w:hint="eastAsia" w:ascii="仿宋" w:hAnsi="仿宋" w:eastAsia="仿宋"/>
          <w:b w:val="0"/>
          <w:bCs w:val="0"/>
        </w:rPr>
        <w:t>出决算表</w:t>
      </w:r>
      <w:bookmarkEnd w:id="138"/>
      <w:bookmarkEnd w:id="139"/>
    </w:p>
    <w:p w14:paraId="3DF4BCDD">
      <w:pPr>
        <w:pStyle w:val="4"/>
        <w:rPr>
          <w:rFonts w:ascii="仿宋" w:hAnsi="仿宋" w:eastAsia="仿宋"/>
          <w:b w:val="0"/>
        </w:rPr>
      </w:pPr>
      <w:bookmarkStart w:id="140" w:name="_Toc15396622"/>
      <w:bookmarkStart w:id="141" w:name="_Toc17631_WPSOffice_Level2"/>
      <w:r>
        <w:rPr>
          <w:rStyle w:val="30"/>
          <w:rFonts w:hint="eastAsia" w:ascii="仿宋" w:hAnsi="仿宋" w:eastAsia="仿宋"/>
          <w:b w:val="0"/>
          <w:bCs w:val="0"/>
        </w:rPr>
        <w:t>四、</w:t>
      </w:r>
      <w:r>
        <w:rPr>
          <w:rFonts w:hint="eastAsia" w:ascii="仿宋" w:hAnsi="仿宋" w:eastAsia="仿宋"/>
          <w:b w:val="0"/>
        </w:rPr>
        <w:t>财</w:t>
      </w:r>
      <w:r>
        <w:rPr>
          <w:rStyle w:val="30"/>
          <w:rFonts w:hint="eastAsia" w:ascii="仿宋" w:hAnsi="仿宋" w:eastAsia="仿宋"/>
          <w:b w:val="0"/>
          <w:bCs w:val="0"/>
        </w:rPr>
        <w:t>政拨款收入支出决算总表</w:t>
      </w:r>
      <w:bookmarkEnd w:id="140"/>
      <w:bookmarkEnd w:id="141"/>
    </w:p>
    <w:p w14:paraId="012C0717">
      <w:pPr>
        <w:pStyle w:val="4"/>
        <w:rPr>
          <w:rStyle w:val="30"/>
          <w:rFonts w:ascii="仿宋" w:hAnsi="仿宋" w:eastAsia="仿宋"/>
          <w:b w:val="0"/>
          <w:bCs w:val="0"/>
        </w:rPr>
      </w:pPr>
      <w:bookmarkStart w:id="142" w:name="_Toc15396623"/>
      <w:bookmarkStart w:id="143" w:name="_Toc17123_WPSOffice_Level2"/>
      <w:r>
        <w:rPr>
          <w:rStyle w:val="30"/>
          <w:rFonts w:hint="eastAsia" w:ascii="仿宋" w:hAnsi="仿宋" w:eastAsia="仿宋"/>
          <w:b w:val="0"/>
          <w:bCs w:val="0"/>
        </w:rPr>
        <w:t>五、</w:t>
      </w:r>
      <w:r>
        <w:rPr>
          <w:rFonts w:hint="eastAsia" w:ascii="仿宋" w:hAnsi="仿宋" w:eastAsia="仿宋"/>
          <w:b w:val="0"/>
        </w:rPr>
        <w:t>财</w:t>
      </w:r>
      <w:r>
        <w:rPr>
          <w:rStyle w:val="30"/>
          <w:rFonts w:hint="eastAsia" w:ascii="仿宋" w:hAnsi="仿宋" w:eastAsia="仿宋"/>
          <w:b w:val="0"/>
          <w:bCs w:val="0"/>
        </w:rPr>
        <w:t>政拨款支出决算明细表</w:t>
      </w:r>
      <w:bookmarkEnd w:id="142"/>
      <w:bookmarkEnd w:id="143"/>
      <w:bookmarkStart w:id="144" w:name="_Toc15396624"/>
    </w:p>
    <w:p w14:paraId="2EB57613">
      <w:pPr>
        <w:pStyle w:val="4"/>
        <w:rPr>
          <w:rFonts w:ascii="仿宋" w:hAnsi="仿宋" w:eastAsia="仿宋"/>
        </w:rPr>
      </w:pPr>
      <w:bookmarkStart w:id="145" w:name="_Toc529_WPSOffice_Level2"/>
      <w:r>
        <w:rPr>
          <w:rStyle w:val="30"/>
          <w:rFonts w:hint="eastAsia" w:ascii="仿宋" w:hAnsi="仿宋" w:eastAsia="仿宋"/>
          <w:b w:val="0"/>
          <w:bCs w:val="0"/>
        </w:rPr>
        <w:t>六、</w:t>
      </w:r>
      <w:r>
        <w:rPr>
          <w:rFonts w:hint="eastAsia" w:ascii="仿宋" w:hAnsi="仿宋" w:eastAsia="仿宋"/>
          <w:b w:val="0"/>
        </w:rPr>
        <w:t>一</w:t>
      </w:r>
      <w:r>
        <w:rPr>
          <w:rStyle w:val="30"/>
          <w:rFonts w:hint="eastAsia" w:ascii="仿宋" w:hAnsi="仿宋" w:eastAsia="仿宋"/>
          <w:b w:val="0"/>
          <w:bCs w:val="0"/>
        </w:rPr>
        <w:t>般公共预算财政拨款支出决算表</w:t>
      </w:r>
      <w:bookmarkEnd w:id="144"/>
      <w:bookmarkEnd w:id="145"/>
    </w:p>
    <w:p w14:paraId="68ACEBBC">
      <w:pPr>
        <w:pStyle w:val="4"/>
        <w:rPr>
          <w:rFonts w:ascii="仿宋" w:hAnsi="仿宋" w:eastAsia="仿宋"/>
        </w:rPr>
      </w:pPr>
      <w:bookmarkStart w:id="146" w:name="_Toc16964_WPSOffice_Level2"/>
      <w:bookmarkStart w:id="147" w:name="_Toc15396625"/>
      <w:r>
        <w:rPr>
          <w:rStyle w:val="30"/>
          <w:rFonts w:hint="eastAsia" w:ascii="仿宋" w:hAnsi="仿宋" w:eastAsia="仿宋"/>
          <w:b w:val="0"/>
          <w:bCs w:val="0"/>
        </w:rPr>
        <w:t>七、</w:t>
      </w:r>
      <w:r>
        <w:rPr>
          <w:rFonts w:hint="eastAsia" w:ascii="仿宋" w:hAnsi="仿宋" w:eastAsia="仿宋"/>
          <w:b w:val="0"/>
        </w:rPr>
        <w:t>一</w:t>
      </w:r>
      <w:r>
        <w:rPr>
          <w:rStyle w:val="30"/>
          <w:rFonts w:hint="eastAsia" w:ascii="仿宋" w:hAnsi="仿宋" w:eastAsia="仿宋"/>
          <w:b w:val="0"/>
          <w:bCs w:val="0"/>
        </w:rPr>
        <w:t>般公共预算财政拨款支出决算明细表</w:t>
      </w:r>
      <w:bookmarkEnd w:id="146"/>
      <w:bookmarkEnd w:id="147"/>
    </w:p>
    <w:p w14:paraId="4ADCDB34">
      <w:pPr>
        <w:pStyle w:val="4"/>
        <w:rPr>
          <w:rFonts w:ascii="仿宋" w:hAnsi="仿宋" w:eastAsia="仿宋"/>
        </w:rPr>
      </w:pPr>
      <w:bookmarkStart w:id="148" w:name="_Toc19492_WPSOffice_Level2"/>
      <w:bookmarkStart w:id="149" w:name="_Toc15396626"/>
      <w:r>
        <w:rPr>
          <w:rStyle w:val="30"/>
          <w:rFonts w:hint="eastAsia" w:ascii="仿宋" w:hAnsi="仿宋" w:eastAsia="仿宋"/>
          <w:b w:val="0"/>
          <w:bCs w:val="0"/>
        </w:rPr>
        <w:t>八、</w:t>
      </w:r>
      <w:r>
        <w:rPr>
          <w:rFonts w:hint="eastAsia" w:ascii="仿宋" w:hAnsi="仿宋" w:eastAsia="仿宋"/>
          <w:b w:val="0"/>
        </w:rPr>
        <w:t>一</w:t>
      </w:r>
      <w:r>
        <w:rPr>
          <w:rStyle w:val="30"/>
          <w:rFonts w:hint="eastAsia" w:ascii="仿宋" w:hAnsi="仿宋" w:eastAsia="仿宋"/>
          <w:b w:val="0"/>
          <w:bCs w:val="0"/>
        </w:rPr>
        <w:t>般公共预算财政拨款基本支出决算表</w:t>
      </w:r>
      <w:bookmarkEnd w:id="148"/>
      <w:bookmarkEnd w:id="149"/>
    </w:p>
    <w:p w14:paraId="485457D8">
      <w:pPr>
        <w:pStyle w:val="4"/>
        <w:rPr>
          <w:rFonts w:ascii="仿宋" w:hAnsi="仿宋" w:eastAsia="仿宋"/>
        </w:rPr>
      </w:pPr>
      <w:bookmarkStart w:id="150" w:name="_Toc15396627"/>
      <w:bookmarkStart w:id="151" w:name="_Toc17419_WPSOffice_Level2"/>
      <w:r>
        <w:rPr>
          <w:rStyle w:val="30"/>
          <w:rFonts w:hint="eastAsia" w:ascii="仿宋" w:hAnsi="仿宋" w:eastAsia="仿宋"/>
          <w:b w:val="0"/>
          <w:bCs w:val="0"/>
        </w:rPr>
        <w:t>九、</w:t>
      </w:r>
      <w:r>
        <w:rPr>
          <w:rFonts w:hint="eastAsia" w:ascii="仿宋" w:hAnsi="仿宋" w:eastAsia="仿宋"/>
          <w:b w:val="0"/>
        </w:rPr>
        <w:t>一</w:t>
      </w:r>
      <w:r>
        <w:rPr>
          <w:rStyle w:val="30"/>
          <w:rFonts w:hint="eastAsia" w:ascii="仿宋" w:hAnsi="仿宋" w:eastAsia="仿宋"/>
          <w:b w:val="0"/>
          <w:bCs w:val="0"/>
        </w:rPr>
        <w:t>般公共预算财政拨款项目支出决算表</w:t>
      </w:r>
      <w:bookmarkEnd w:id="150"/>
      <w:bookmarkEnd w:id="151"/>
    </w:p>
    <w:p w14:paraId="2A63CA81">
      <w:pPr>
        <w:pStyle w:val="4"/>
        <w:rPr>
          <w:rFonts w:ascii="仿宋" w:hAnsi="仿宋" w:eastAsia="仿宋"/>
        </w:rPr>
      </w:pPr>
      <w:bookmarkStart w:id="152" w:name="_Toc31985_WPSOffice_Level2"/>
      <w:bookmarkStart w:id="153" w:name="_Toc15396628"/>
      <w:r>
        <w:rPr>
          <w:rStyle w:val="30"/>
          <w:rFonts w:hint="eastAsia" w:ascii="仿宋" w:hAnsi="仿宋" w:eastAsia="仿宋"/>
          <w:b w:val="0"/>
          <w:bCs w:val="0"/>
        </w:rPr>
        <w:t>十、</w:t>
      </w:r>
      <w:r>
        <w:rPr>
          <w:rFonts w:hint="eastAsia" w:ascii="仿宋" w:hAnsi="仿宋" w:eastAsia="仿宋"/>
          <w:b w:val="0"/>
        </w:rPr>
        <w:t>一</w:t>
      </w:r>
      <w:r>
        <w:rPr>
          <w:rStyle w:val="30"/>
          <w:rFonts w:hint="eastAsia" w:ascii="仿宋" w:hAnsi="仿宋" w:eastAsia="仿宋"/>
          <w:b w:val="0"/>
          <w:bCs w:val="0"/>
        </w:rPr>
        <w:t>般公共预算财政拨款“三公”经费支出决算表</w:t>
      </w:r>
      <w:bookmarkEnd w:id="152"/>
      <w:bookmarkEnd w:id="153"/>
    </w:p>
    <w:p w14:paraId="38D9A8C8">
      <w:pPr>
        <w:pStyle w:val="4"/>
        <w:rPr>
          <w:rFonts w:ascii="仿宋" w:hAnsi="仿宋" w:eastAsia="仿宋"/>
        </w:rPr>
      </w:pPr>
      <w:bookmarkStart w:id="154" w:name="_Toc15396629"/>
      <w:bookmarkStart w:id="155" w:name="_Toc3290_WPSOffice_Level2"/>
      <w:r>
        <w:rPr>
          <w:rStyle w:val="30"/>
          <w:rFonts w:hint="eastAsia" w:ascii="仿宋" w:hAnsi="仿宋" w:eastAsia="仿宋"/>
          <w:b w:val="0"/>
          <w:bCs w:val="0"/>
        </w:rPr>
        <w:t>十一、</w:t>
      </w:r>
      <w:r>
        <w:rPr>
          <w:rFonts w:hint="eastAsia" w:ascii="仿宋" w:hAnsi="仿宋" w:eastAsia="仿宋"/>
          <w:b w:val="0"/>
        </w:rPr>
        <w:t>政</w:t>
      </w:r>
      <w:r>
        <w:rPr>
          <w:rStyle w:val="30"/>
          <w:rFonts w:hint="eastAsia" w:ascii="仿宋" w:hAnsi="仿宋" w:eastAsia="仿宋"/>
          <w:b w:val="0"/>
          <w:bCs w:val="0"/>
        </w:rPr>
        <w:t>府性基金预算财政拨款收入支出决算表</w:t>
      </w:r>
      <w:bookmarkEnd w:id="154"/>
      <w:bookmarkEnd w:id="155"/>
    </w:p>
    <w:p w14:paraId="0FBA5EE8">
      <w:pPr>
        <w:pStyle w:val="4"/>
        <w:rPr>
          <w:rFonts w:ascii="仿宋" w:hAnsi="仿宋" w:eastAsia="仿宋"/>
        </w:rPr>
      </w:pPr>
      <w:bookmarkStart w:id="156" w:name="_Toc15396630"/>
      <w:bookmarkStart w:id="157" w:name="_Toc6144_WPSOffice_Level2"/>
      <w:r>
        <w:rPr>
          <w:rStyle w:val="30"/>
          <w:rFonts w:hint="eastAsia" w:ascii="仿宋" w:hAnsi="仿宋" w:eastAsia="仿宋"/>
          <w:b w:val="0"/>
          <w:bCs w:val="0"/>
        </w:rPr>
        <w:t>十二、</w:t>
      </w:r>
      <w:r>
        <w:rPr>
          <w:rFonts w:hint="eastAsia" w:ascii="仿宋" w:hAnsi="仿宋" w:eastAsia="仿宋"/>
          <w:b w:val="0"/>
        </w:rPr>
        <w:t>政</w:t>
      </w:r>
      <w:r>
        <w:rPr>
          <w:rStyle w:val="30"/>
          <w:rFonts w:hint="eastAsia" w:ascii="仿宋" w:hAnsi="仿宋" w:eastAsia="仿宋"/>
          <w:b w:val="0"/>
          <w:bCs w:val="0"/>
        </w:rPr>
        <w:t>府性基金预算财政拨款“三公”经费支出决算表</w:t>
      </w:r>
      <w:bookmarkEnd w:id="156"/>
      <w:bookmarkEnd w:id="157"/>
    </w:p>
    <w:p w14:paraId="7D5BA49F">
      <w:pPr>
        <w:pStyle w:val="4"/>
        <w:rPr>
          <w:rStyle w:val="30"/>
          <w:rFonts w:ascii="仿宋" w:hAnsi="仿宋" w:eastAsia="仿宋"/>
          <w:b w:val="0"/>
          <w:bCs w:val="0"/>
        </w:rPr>
      </w:pPr>
      <w:bookmarkStart w:id="158" w:name="_Toc15396631"/>
      <w:bookmarkStart w:id="159" w:name="_Toc17888_WPSOffice_Level2"/>
      <w:r>
        <w:rPr>
          <w:rStyle w:val="30"/>
          <w:rFonts w:hint="eastAsia" w:ascii="仿宋" w:hAnsi="仿宋" w:eastAsia="仿宋"/>
          <w:b w:val="0"/>
          <w:bCs w:val="0"/>
        </w:rPr>
        <w:t>十三、</w:t>
      </w:r>
      <w:r>
        <w:rPr>
          <w:rFonts w:hint="eastAsia" w:ascii="仿宋" w:hAnsi="仿宋" w:eastAsia="仿宋"/>
          <w:b w:val="0"/>
        </w:rPr>
        <w:t>国</w:t>
      </w:r>
      <w:r>
        <w:rPr>
          <w:rStyle w:val="30"/>
          <w:rFonts w:hint="eastAsia" w:ascii="仿宋" w:hAnsi="仿宋" w:eastAsia="仿宋"/>
          <w:b w:val="0"/>
          <w:bCs w:val="0"/>
        </w:rPr>
        <w:t>有资本经营预算财政拨款收入支出决算表</w:t>
      </w:r>
      <w:bookmarkEnd w:id="158"/>
      <w:bookmarkEnd w:id="159"/>
    </w:p>
    <w:p w14:paraId="183A1FFB">
      <w:pPr>
        <w:rPr>
          <w:rFonts w:eastAsia="仿宋"/>
        </w:rPr>
      </w:pPr>
      <w:bookmarkStart w:id="160" w:name="_Toc3706_WPSOffice_Level2"/>
      <w:r>
        <w:rPr>
          <w:rStyle w:val="30"/>
          <w:rFonts w:hint="eastAsia" w:ascii="仿宋" w:hAnsi="仿宋" w:eastAsia="仿宋"/>
          <w:b w:val="0"/>
          <w:bCs w:val="0"/>
        </w:rPr>
        <w:t>十四、国有资本经营预算财政拨款支出决算表</w:t>
      </w:r>
      <w:bookmarkEnd w:id="160"/>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方正小标宋简体">
    <w:panose1 w:val="03000509000000000000"/>
    <w:charset w:val="86"/>
    <w:family w:val="script"/>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方正仿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14:paraId="61813292">
        <w:pPr>
          <w:pStyle w:val="11"/>
          <w:jc w:val="center"/>
        </w:pPr>
        <w:r>
          <w:fldChar w:fldCharType="begin"/>
        </w:r>
        <w:r>
          <w:instrText xml:space="preserve">PAGE   \* MERGEFORMAT</w:instrText>
        </w:r>
        <w:r>
          <w:fldChar w:fldCharType="separate"/>
        </w:r>
        <w:r>
          <w:rPr>
            <w:lang w:val="zh-CN"/>
          </w:rPr>
          <w:t>37</w:t>
        </w:r>
        <w:r>
          <w:fldChar w:fldCharType="end"/>
        </w:r>
      </w:p>
    </w:sdtContent>
  </w:sdt>
  <w:p w14:paraId="3AC06B67">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44151D">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5F8519F5"/>
    <w:multiLevelType w:val="singleLevel"/>
    <w:tmpl w:val="5F8519F5"/>
    <w:lvl w:ilvl="0" w:tentative="0">
      <w:start w:val="2"/>
      <w:numFmt w:val="chineseCounting"/>
      <w:suff w:val="nothing"/>
      <w:lvlText w:val="%1、"/>
      <w:lvlJc w:val="left"/>
    </w:lvl>
  </w:abstractNum>
  <w:abstractNum w:abstractNumId="4">
    <w:nsid w:val="5F89045C"/>
    <w:multiLevelType w:val="singleLevel"/>
    <w:tmpl w:val="5F89045C"/>
    <w:lvl w:ilvl="0" w:tentative="0">
      <w:start w:val="3"/>
      <w:numFmt w:val="chineseCounting"/>
      <w:suff w:val="nothing"/>
      <w:lvlText w:val="（%1）"/>
      <w:lvlJc w:val="left"/>
    </w:lvl>
  </w:abstractNum>
  <w:abstractNum w:abstractNumId="5">
    <w:nsid w:val="61319331"/>
    <w:multiLevelType w:val="singleLevel"/>
    <w:tmpl w:val="61319331"/>
    <w:lvl w:ilvl="0" w:tentative="0">
      <w:start w:val="1"/>
      <w:numFmt w:val="chineseCounting"/>
      <w:suff w:val="nothing"/>
      <w:lvlText w:val="（%1）"/>
      <w:lvlJc w:val="left"/>
    </w:lvl>
  </w:abstractNum>
  <w:abstractNum w:abstractNumId="6">
    <w:nsid w:val="6135DEAC"/>
    <w:multiLevelType w:val="singleLevel"/>
    <w:tmpl w:val="6135DEAC"/>
    <w:lvl w:ilvl="0" w:tentative="0">
      <w:start w:val="1"/>
      <w:numFmt w:val="chineseCounting"/>
      <w:suff w:val="nothing"/>
      <w:lvlText w:val="（%1）"/>
      <w:lvlJc w:val="left"/>
    </w:lvl>
  </w:abstractNum>
  <w:abstractNum w:abstractNumId="7">
    <w:nsid w:val="627A298E"/>
    <w:multiLevelType w:val="singleLevel"/>
    <w:tmpl w:val="627A298E"/>
    <w:lvl w:ilvl="0" w:tentative="0">
      <w:start w:val="2"/>
      <w:numFmt w:val="decimal"/>
      <w:suff w:val="nothing"/>
      <w:lvlText w:val="%1."/>
      <w:lvlJc w:val="left"/>
    </w:lvl>
  </w:abstractNum>
  <w:num w:numId="1">
    <w:abstractNumId w:val="2"/>
  </w:num>
  <w:num w:numId="2">
    <w:abstractNumId w:val="0"/>
  </w:num>
  <w:num w:numId="3">
    <w:abstractNumId w:val="1"/>
  </w:num>
  <w:num w:numId="4">
    <w:abstractNumId w:val="3"/>
  </w:num>
  <w:num w:numId="5">
    <w:abstractNumId w:val="4"/>
  </w:num>
  <w:num w:numId="6">
    <w:abstractNumId w:val="5"/>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5F21"/>
    <w:rsid w:val="000E6613"/>
    <w:rsid w:val="000E7119"/>
    <w:rsid w:val="00114E9B"/>
    <w:rsid w:val="001276E4"/>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11F7A"/>
    <w:rsid w:val="004223DE"/>
    <w:rsid w:val="00434489"/>
    <w:rsid w:val="00437085"/>
    <w:rsid w:val="00443880"/>
    <w:rsid w:val="004464F4"/>
    <w:rsid w:val="00457321"/>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72CB"/>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A2E62"/>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96B60"/>
    <w:rsid w:val="00AB64C9"/>
    <w:rsid w:val="00AC3C6A"/>
    <w:rsid w:val="00AD0C25"/>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22BD0"/>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4F10"/>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66E0107"/>
    <w:rsid w:val="07996F6E"/>
    <w:rsid w:val="0A2032A3"/>
    <w:rsid w:val="101860EC"/>
    <w:rsid w:val="10C055FF"/>
    <w:rsid w:val="118107EC"/>
    <w:rsid w:val="13D50BC4"/>
    <w:rsid w:val="16BB723D"/>
    <w:rsid w:val="185634B1"/>
    <w:rsid w:val="1BE8440E"/>
    <w:rsid w:val="1D155CEE"/>
    <w:rsid w:val="23860B96"/>
    <w:rsid w:val="240371BF"/>
    <w:rsid w:val="29FD04D3"/>
    <w:rsid w:val="2C8A61B5"/>
    <w:rsid w:val="2DF04E50"/>
    <w:rsid w:val="30684D7B"/>
    <w:rsid w:val="30D00989"/>
    <w:rsid w:val="319F7F4E"/>
    <w:rsid w:val="36AA5135"/>
    <w:rsid w:val="37E16F03"/>
    <w:rsid w:val="397B655D"/>
    <w:rsid w:val="3B9C1BC0"/>
    <w:rsid w:val="3D98207C"/>
    <w:rsid w:val="41E512B6"/>
    <w:rsid w:val="447207D0"/>
    <w:rsid w:val="44E268DA"/>
    <w:rsid w:val="4A627F82"/>
    <w:rsid w:val="4B4F25DA"/>
    <w:rsid w:val="4BE068DB"/>
    <w:rsid w:val="4D577224"/>
    <w:rsid w:val="4EAB630A"/>
    <w:rsid w:val="4ECE2238"/>
    <w:rsid w:val="4FCD6D57"/>
    <w:rsid w:val="50B7534B"/>
    <w:rsid w:val="5AF92295"/>
    <w:rsid w:val="5BC81656"/>
    <w:rsid w:val="5CD71FC4"/>
    <w:rsid w:val="63EA3F32"/>
    <w:rsid w:val="6C4A05C8"/>
    <w:rsid w:val="6E7E3605"/>
    <w:rsid w:val="6FF5CC65"/>
    <w:rsid w:val="715C0E4B"/>
    <w:rsid w:val="72734D90"/>
    <w:rsid w:val="73AD73D5"/>
    <w:rsid w:val="73B6EB34"/>
    <w:rsid w:val="79EE5BA4"/>
    <w:rsid w:val="7A894339"/>
    <w:rsid w:val="7B1676D9"/>
    <w:rsid w:val="7E817F86"/>
    <w:rsid w:val="7E94791D"/>
    <w:rsid w:val="7EEF11D3"/>
    <w:rsid w:val="7FA30C79"/>
    <w:rsid w:val="7FC96657"/>
    <w:rsid w:val="D8D6DB89"/>
    <w:rsid w:val="DB6F4CAB"/>
    <w:rsid w:val="DF6F97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5"/>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3"/>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qFormat/>
    <w:uiPriority w:val="0"/>
  </w:style>
  <w:style w:type="paragraph" w:styleId="6">
    <w:name w:val="Normal Indent"/>
    <w:basedOn w:val="1"/>
    <w:qFormat/>
    <w:uiPriority w:val="99"/>
    <w:pPr>
      <w:ind w:firstLine="420" w:firstLineChars="200"/>
    </w:pPr>
  </w:style>
  <w:style w:type="paragraph" w:styleId="7">
    <w:name w:val="Body Text"/>
    <w:basedOn w:val="1"/>
    <w:link w:val="26"/>
    <w:qFormat/>
    <w:uiPriority w:val="99"/>
    <w:pPr>
      <w:spacing w:beforeLines="30"/>
    </w:pPr>
    <w:rPr>
      <w:rFonts w:ascii="仿宋_GB2312" w:eastAsia="仿宋_GB2312"/>
      <w:kern w:val="0"/>
      <w:sz w:val="30"/>
    </w:rPr>
  </w:style>
  <w:style w:type="paragraph" w:styleId="8">
    <w:name w:val="toc 3"/>
    <w:basedOn w:val="1"/>
    <w:next w:val="1"/>
    <w:unhideWhenUsed/>
    <w:qFormat/>
    <w:uiPriority w:val="39"/>
    <w:pPr>
      <w:tabs>
        <w:tab w:val="right" w:leader="dot" w:pos="8296"/>
      </w:tabs>
      <w:ind w:left="840" w:leftChars="400"/>
    </w:pPr>
  </w:style>
  <w:style w:type="paragraph" w:styleId="9">
    <w:name w:val="Plain Text"/>
    <w:basedOn w:val="1"/>
    <w:qFormat/>
    <w:uiPriority w:val="0"/>
    <w:rPr>
      <w:rFonts w:ascii="宋体" w:hAnsi="Courier New"/>
    </w:rPr>
  </w:style>
  <w:style w:type="paragraph" w:styleId="10">
    <w:name w:val="Balloon Text"/>
    <w:basedOn w:val="1"/>
    <w:link w:val="32"/>
    <w:semiHidden/>
    <w:unhideWhenUsed/>
    <w:qFormat/>
    <w:uiPriority w:val="99"/>
    <w:rPr>
      <w:sz w:val="18"/>
      <w:szCs w:val="18"/>
    </w:rPr>
  </w:style>
  <w:style w:type="paragraph" w:styleId="11">
    <w:name w:val="footer"/>
    <w:basedOn w:val="1"/>
    <w:link w:val="24"/>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2"/>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toc 2"/>
    <w:basedOn w:val="1"/>
    <w:next w:val="1"/>
    <w:unhideWhenUsed/>
    <w:qFormat/>
    <w:uiPriority w:val="39"/>
    <w:pPr>
      <w:tabs>
        <w:tab w:val="right" w:leader="dot" w:pos="8296"/>
      </w:tabs>
      <w:ind w:left="420" w:leftChars="200"/>
    </w:pPr>
  </w:style>
  <w:style w:type="paragraph" w:styleId="15">
    <w:name w:val="Normal (Web)"/>
    <w:basedOn w:val="1"/>
    <w:qFormat/>
    <w:uiPriority w:val="0"/>
    <w:pPr>
      <w:spacing w:before="100" w:beforeAutospacing="1" w:after="100" w:afterAutospacing="1"/>
      <w:jc w:val="left"/>
    </w:pPr>
    <w:rPr>
      <w:kern w:val="0"/>
      <w:sz w:val="24"/>
    </w:r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paragraph" w:customStyle="1" w:styleId="20">
    <w:name w:val="_Style 4"/>
    <w:basedOn w:val="1"/>
    <w:qFormat/>
    <w:uiPriority w:val="99"/>
    <w:pPr>
      <w:widowControl/>
      <w:spacing w:after="160" w:line="240" w:lineRule="exact"/>
      <w:jc w:val="left"/>
    </w:pPr>
    <w:rPr>
      <w:rFonts w:ascii="Verdana" w:hAnsi="Verdana" w:eastAsia="仿宋_GB2312" w:cs="Verdana"/>
      <w:kern w:val="0"/>
      <w:sz w:val="24"/>
      <w:lang w:eastAsia="en-US"/>
    </w:rPr>
  </w:style>
  <w:style w:type="character" w:customStyle="1" w:styleId="21">
    <w:name w:val="Header Char"/>
    <w:basedOn w:val="17"/>
    <w:semiHidden/>
    <w:qFormat/>
    <w:uiPriority w:val="99"/>
    <w:rPr>
      <w:rFonts w:ascii="Times New Roman" w:hAnsi="Times New Roman"/>
      <w:sz w:val="18"/>
      <w:szCs w:val="18"/>
    </w:rPr>
  </w:style>
  <w:style w:type="character" w:customStyle="1" w:styleId="22">
    <w:name w:val="页眉 Char"/>
    <w:link w:val="12"/>
    <w:semiHidden/>
    <w:qFormat/>
    <w:locked/>
    <w:uiPriority w:val="99"/>
    <w:rPr>
      <w:sz w:val="18"/>
    </w:rPr>
  </w:style>
  <w:style w:type="character" w:customStyle="1" w:styleId="23">
    <w:name w:val="Footer Char"/>
    <w:basedOn w:val="17"/>
    <w:semiHidden/>
    <w:qFormat/>
    <w:uiPriority w:val="99"/>
    <w:rPr>
      <w:rFonts w:ascii="Times New Roman" w:hAnsi="Times New Roman"/>
      <w:sz w:val="18"/>
      <w:szCs w:val="18"/>
    </w:rPr>
  </w:style>
  <w:style w:type="character" w:customStyle="1" w:styleId="24">
    <w:name w:val="页脚 Char"/>
    <w:link w:val="11"/>
    <w:qFormat/>
    <w:locked/>
    <w:uiPriority w:val="99"/>
    <w:rPr>
      <w:sz w:val="18"/>
    </w:rPr>
  </w:style>
  <w:style w:type="character" w:customStyle="1" w:styleId="25">
    <w:name w:val="Body Text Char"/>
    <w:basedOn w:val="17"/>
    <w:semiHidden/>
    <w:qFormat/>
    <w:uiPriority w:val="99"/>
    <w:rPr>
      <w:rFonts w:ascii="Times New Roman" w:hAnsi="Times New Roman"/>
      <w:szCs w:val="24"/>
    </w:rPr>
  </w:style>
  <w:style w:type="character" w:customStyle="1" w:styleId="26">
    <w:name w:val="正文文本 Char"/>
    <w:link w:val="7"/>
    <w:qFormat/>
    <w:locked/>
    <w:uiPriority w:val="99"/>
    <w:rPr>
      <w:rFonts w:ascii="仿宋_GB2312" w:hAnsi="Times New Roman" w:eastAsia="仿宋_GB2312"/>
      <w:sz w:val="24"/>
    </w:rPr>
  </w:style>
  <w:style w:type="paragraph" w:customStyle="1" w:styleId="27">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8">
    <w:name w:val="List Paragraph"/>
    <w:basedOn w:val="1"/>
    <w:qFormat/>
    <w:uiPriority w:val="34"/>
    <w:pPr>
      <w:ind w:firstLine="420" w:firstLineChars="200"/>
    </w:pPr>
  </w:style>
  <w:style w:type="character" w:customStyle="1" w:styleId="29">
    <w:name w:val="标题 1 Char"/>
    <w:basedOn w:val="17"/>
    <w:link w:val="3"/>
    <w:qFormat/>
    <w:uiPriority w:val="9"/>
    <w:rPr>
      <w:rFonts w:ascii="Times New Roman" w:hAnsi="Times New Roman"/>
      <w:b/>
      <w:bCs/>
      <w:kern w:val="44"/>
      <w:sz w:val="44"/>
      <w:szCs w:val="44"/>
    </w:rPr>
  </w:style>
  <w:style w:type="character" w:customStyle="1" w:styleId="30">
    <w:name w:val="标题 2 Char"/>
    <w:basedOn w:val="17"/>
    <w:link w:val="4"/>
    <w:qFormat/>
    <w:uiPriority w:val="9"/>
    <w:rPr>
      <w:rFonts w:asciiTheme="majorHAnsi" w:hAnsiTheme="majorHAnsi" w:eastAsiaTheme="majorEastAsia" w:cstheme="majorBidi"/>
      <w:b/>
      <w:bCs/>
      <w:kern w:val="2"/>
      <w:sz w:val="32"/>
      <w:szCs w:val="32"/>
    </w:rPr>
  </w:style>
  <w:style w:type="paragraph" w:customStyle="1" w:styleId="31">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2">
    <w:name w:val="批注框文本 Char"/>
    <w:basedOn w:val="17"/>
    <w:link w:val="10"/>
    <w:semiHidden/>
    <w:qFormat/>
    <w:uiPriority w:val="99"/>
    <w:rPr>
      <w:rFonts w:ascii="Times New Roman" w:hAnsi="Times New Roman"/>
      <w:kern w:val="2"/>
      <w:sz w:val="18"/>
      <w:szCs w:val="18"/>
    </w:rPr>
  </w:style>
  <w:style w:type="character" w:customStyle="1" w:styleId="33">
    <w:name w:val="标题 3 Char"/>
    <w:basedOn w:val="17"/>
    <w:link w:val="5"/>
    <w:qFormat/>
    <w:uiPriority w:val="9"/>
    <w:rPr>
      <w:rFonts w:ascii="Times New Roman" w:hAnsi="Times New Roman"/>
      <w:b/>
      <w:bCs/>
      <w:kern w:val="2"/>
      <w:sz w:val="32"/>
      <w:szCs w:val="32"/>
    </w:rPr>
  </w:style>
  <w:style w:type="paragraph" w:customStyle="1" w:styleId="34">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5">
    <w:name w:val="标题 1 Char1"/>
    <w:basedOn w:val="17"/>
    <w:link w:val="3"/>
    <w:qFormat/>
    <w:locked/>
    <w:uiPriority w:val="99"/>
    <w:rPr>
      <w:rFonts w:ascii="Times New Roman" w:hAnsi="Times New Roman" w:cs="Times New Roman"/>
      <w:b/>
      <w:bCs/>
      <w:kern w:val="44"/>
      <w:sz w:val="44"/>
      <w:szCs w:val="44"/>
    </w:rPr>
  </w:style>
  <w:style w:type="paragraph" w:customStyle="1" w:styleId="36">
    <w:name w:val="WPSOffice手动目录 1"/>
    <w:qFormat/>
    <w:uiPriority w:val="0"/>
    <w:rPr>
      <w:rFonts w:eastAsia="微软雅黑" w:asciiTheme="minorHAnsi" w:hAnsiTheme="minorHAnsi" w:cstheme="minorBidi"/>
      <w:lang w:val="en-US" w:eastAsia="zh-CN" w:bidi="ar-SA"/>
    </w:rPr>
  </w:style>
  <w:style w:type="paragraph" w:customStyle="1" w:styleId="37">
    <w:name w:val="WPSOffice手动目录 2"/>
    <w:qFormat/>
    <w:uiPriority w:val="0"/>
    <w:pPr>
      <w:ind w:left="200" w:leftChars="200"/>
    </w:pPr>
    <w:rPr>
      <w:rFonts w:eastAsia="微软雅黑" w:asciiTheme="minorHAnsi" w:hAnsiTheme="minorHAnsi" w:cstheme="minorBidi"/>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E:\2022&#24180;\2021&#24180;&#20915;&#31639;&#20844;&#24320;\ZFW\2021&#20915;&#31639;&#20844;&#24320;&#22270;&#34920;&#25919;&#27861;&#22996;.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E:\2022&#24180;\2021&#24180;&#20915;&#31639;&#20844;&#24320;\ZFW\2021&#20915;&#31639;&#20844;&#24320;&#22270;&#34920;&#25919;&#27861;&#22996;.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E:\2022&#24180;\2021&#24180;&#20915;&#31639;&#20844;&#24320;\ZFW\2021&#20915;&#31639;&#20844;&#24320;&#22270;&#34920;&#25919;&#27861;&#22996;.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E:\2022&#24180;\2021&#24180;&#20915;&#31639;&#20844;&#24320;\ZFW\2021&#20915;&#31639;&#20844;&#24320;&#22270;&#34920;&#25919;&#27861;&#22996;.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E:\2022&#24180;\2021&#24180;&#20915;&#31639;&#20844;&#24320;\ZFW\2021&#20915;&#31639;&#20844;&#24320;&#22270;&#34920;&#25919;&#27861;&#22996;.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E:\2022&#24180;\2021&#24180;&#20915;&#31639;&#20844;&#24320;\ZFW\2021&#20915;&#31639;&#20844;&#24320;&#22270;&#34920;&#25919;&#27861;&#22996;.xls"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E:\2022&#24180;\2021&#24180;&#20915;&#31639;&#20844;&#24320;\ZFW\2021&#20915;&#31639;&#20844;&#24320;&#22270;&#34920;&#25919;&#27861;&#22996;.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2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图1   收入、支出决算总计变动情况</a:t>
            </a:r>
            <a:endParaRPr sz="1425"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[2021决算公开图表政法委.xls]Sheet1!$A$58</c:f>
              <c:strCache>
                <c:ptCount val="1"/>
                <c:pt idx="0">
                  <c:v>收入、支出总计</c:v>
                </c:pt>
              </c:strCache>
            </c:strRef>
          </c:tx>
          <c:spPr>
            <a:solidFill>
              <a:srgbClr val="9999FF">
                <a:alpha val="100000"/>
              </a:srgbClr>
            </a:solidFill>
            <a:ln w="12700">
              <a:solidFill>
                <a:srgbClr val="000000">
                  <a:alpha val="100000"/>
                </a:srgbClr>
              </a:solidFill>
              <a:prstDash val="solid"/>
            </a:ln>
          </c:spPr>
          <c:invertIfNegative val="0"/>
          <c:dLbls>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[2021决算公开图表政法委.xls]Sheet1!$B$58:$C$58</c:f>
              <c:strCache>
                <c:ptCount val="2"/>
                <c:pt idx="0">
                  <c:v>2021年</c:v>
                </c:pt>
                <c:pt idx="1">
                  <c:v>2020年</c:v>
                </c:pt>
              </c:strCache>
            </c:strRef>
          </c:cat>
          <c:val>
            <c:numRef>
              <c:f>[2021决算公开图表政法委.xls]Sheet1!$B$59:$C$59</c:f>
              <c:numCache>
                <c:formatCode>General</c:formatCode>
                <c:ptCount val="2"/>
                <c:pt idx="0">
                  <c:v>490.93</c:v>
                </c:pt>
                <c:pt idx="1">
                  <c:v>512.08</c:v>
                </c:pt>
              </c:numCache>
            </c:numRef>
          </c:val>
        </c:ser>
        <c:dLbls>
          <c:showLegendKey val="0"/>
          <c:showVal val="0"/>
          <c:showCatName val="0"/>
          <c:showSerName val="0"/>
          <c:showPercent val="0"/>
          <c:showBubbleSize val="0"/>
        </c:dLbls>
        <c:gapWidth val="150"/>
        <c:axId val="127896576"/>
        <c:axId val="84280064"/>
      </c:barChart>
      <c:catAx>
        <c:axId val="127896576"/>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6000000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84280064"/>
        <c:crosses val="autoZero"/>
        <c:auto val="1"/>
        <c:lblAlgn val="ctr"/>
        <c:lblOffset val="100"/>
        <c:noMultiLvlLbl val="0"/>
      </c:catAx>
      <c:valAx>
        <c:axId val="84280064"/>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27896576"/>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799494219653179"/>
          <c:y val="0.507493755203997"/>
          <c:w val="0.194725433526012"/>
          <c:h val="0.174229808492923"/>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gap"/>
    <c:showDLblsOverMax val="0"/>
    <c:extLst>
      <c:ext uri="{0b15fc19-7d7d-44ad-8c2d-2c3a37ce22c3}">
        <chartProps xmlns="https://web.wps.cn/et/2018/main" chartId="{29b3ad2d-f049-42e8-bcf5-2c5aec0b1279}"/>
      </c:ext>
    </c:extLst>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6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图2    收入决算结构图</a:t>
            </a:r>
            <a:endParaRPr sz="16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Pt>
            <c:idx val="4"/>
            <c:bubble3D val="0"/>
            <c:spPr>
              <a:solidFill>
                <a:srgbClr val="660066">
                  <a:alpha val="100000"/>
                </a:srgbClr>
              </a:solidFill>
              <a:ln w="12700">
                <a:solidFill>
                  <a:srgbClr val="000000">
                    <a:alpha val="100000"/>
                  </a:srgbClr>
                </a:solidFill>
                <a:prstDash val="solid"/>
              </a:ln>
            </c:spPr>
          </c:dPt>
          <c:dPt>
            <c:idx val="5"/>
            <c:bubble3D val="0"/>
            <c:spPr>
              <a:solidFill>
                <a:srgbClr val="FF8080">
                  <a:alpha val="100000"/>
                </a:srgbClr>
              </a:solidFill>
              <a:ln w="12700">
                <a:solidFill>
                  <a:srgbClr val="000000">
                    <a:alpha val="100000"/>
                  </a:srgbClr>
                </a:solidFill>
                <a:prstDash val="solid"/>
              </a:ln>
            </c:spPr>
          </c:dPt>
          <c:dLbls>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[2021决算公开图表政法委.xls]Sheet1!$B$3:$B$8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[2021决算公开图表政法委.xls]Sheet1!$C$3:$C$8</c:f>
              <c:numCache>
                <c:formatCode>General</c:formatCode>
                <c:ptCount val="6"/>
                <c:pt idx="0">
                  <c:v>488.96</c:v>
                </c:pt>
                <c:pt idx="1">
                  <c:v>0</c:v>
                </c:pt>
                <c:pt idx="2">
                  <c:v>0</c:v>
                </c:pt>
                <c:pt idx="3">
                  <c:v>0</c:v>
                </c:pt>
                <c:pt idx="4">
                  <c:v>0</c:v>
                </c:pt>
                <c:pt idx="5">
                  <c:v>0</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Pt>
            <c:idx val="4"/>
            <c:bubble3D val="0"/>
            <c:spPr>
              <a:solidFill>
                <a:srgbClr val="660066">
                  <a:alpha val="100000"/>
                </a:srgbClr>
              </a:solidFill>
              <a:ln w="12700">
                <a:solidFill>
                  <a:srgbClr val="000000">
                    <a:alpha val="100000"/>
                  </a:srgbClr>
                </a:solidFill>
                <a:prstDash val="solid"/>
              </a:ln>
            </c:spPr>
          </c:dPt>
          <c:dPt>
            <c:idx val="5"/>
            <c:bubble3D val="0"/>
            <c:spPr>
              <a:solidFill>
                <a:srgbClr val="FF8080">
                  <a:alpha val="100000"/>
                </a:srgbClr>
              </a:solidFill>
              <a:ln w="12700">
                <a:solidFill>
                  <a:srgbClr val="000000">
                    <a:alpha val="100000"/>
                  </a:srgbClr>
                </a:solidFill>
                <a:prstDash val="solid"/>
              </a:ln>
            </c:spPr>
          </c:dPt>
          <c:dLbls>
            <c:delete val="1"/>
          </c:dLbls>
          <c:cat>
            <c:strRef>
              <c:f>[2021决算公开图表政法委.xls]Sheet1!$B$3:$B$8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[2021决算公开图表政法委.xls]Sheet1!$D$3:$D$8</c:f>
              <c:numCache>
                <c:formatCode>0%</c:formatCode>
                <c:ptCount val="6"/>
                <c:pt idx="0">
                  <c:v>1</c:v>
                </c:pt>
                <c:pt idx="1">
                  <c:v>0</c:v>
                </c:pt>
                <c:pt idx="2">
                  <c:v>0</c:v>
                </c:pt>
                <c:pt idx="3">
                  <c:v>0</c:v>
                </c:pt>
                <c:pt idx="4">
                  <c:v>0</c:v>
                </c:pt>
                <c:pt idx="5">
                  <c:v>0</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66575"/>
          <c:y val="0.23575"/>
          <c:w val="0.3285"/>
          <c:h val="0.6647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extLst>
      <c:ext uri="{0b15fc19-7d7d-44ad-8c2d-2c3a37ce22c3}">
        <chartProps xmlns="https://web.wps.cn/et/2018/main" chartId="{0267ada3-851e-44f4-af9f-f399c944b76b}"/>
      </c:ext>
    </c:extLst>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图3    支出决算结构图</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Pt>
            <c:idx val="4"/>
            <c:bubble3D val="0"/>
            <c:spPr>
              <a:solidFill>
                <a:srgbClr val="660066">
                  <a:alpha val="100000"/>
                </a:srgbClr>
              </a:solidFill>
              <a:ln w="12700">
                <a:solidFill>
                  <a:srgbClr val="000000">
                    <a:alpha val="100000"/>
                  </a:srgbClr>
                </a:solidFill>
                <a:prstDash val="solid"/>
              </a:ln>
            </c:spPr>
          </c:dPt>
          <c:dLbls>
            <c:dLbl>
              <c:idx val="1"/>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t>项目支出, 169.1</a:t>
                    </a:r>
                    <a:r>
                      <a:rPr lang="en-US" altLang="zh-CN"/>
                      <a:t>3</a:t>
                    </a:r>
                    <a:r>
                      <a:t>, 34.45%</a:t>
                    </a:r>
                  </a:p>
                </c:rich>
              </c:tx>
              <c:numFmt formatCode="0.0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extLst>
            </c:dLbl>
            <c:dLbl>
              <c:idx val="3"/>
              <c:layout>
                <c:manualLayout>
                  <c:x val="0.268427303459221"/>
                  <c:y val="0.719446741313518"/>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0.701157184918108"/>
                  <c:y val="0.384754975173551"/>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w="3175">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[2021决算公开图表政法委.xls]Sheet1!$B$34:$B$38</c:f>
              <c:strCache>
                <c:ptCount val="5"/>
                <c:pt idx="0">
                  <c:v>基本支出</c:v>
                </c:pt>
                <c:pt idx="1">
                  <c:v>项目支出</c:v>
                </c:pt>
                <c:pt idx="2">
                  <c:v>上缴上级支出</c:v>
                </c:pt>
                <c:pt idx="3">
                  <c:v>经营支出</c:v>
                </c:pt>
                <c:pt idx="4">
                  <c:v>对附属单位补助支出</c:v>
                </c:pt>
              </c:strCache>
            </c:strRef>
          </c:cat>
          <c:val>
            <c:numRef>
              <c:f>[2021决算公开图表政法委.xls]Sheet1!$C$34:$C$38</c:f>
              <c:numCache>
                <c:formatCode>General</c:formatCode>
                <c:ptCount val="5"/>
                <c:pt idx="0">
                  <c:v>321.8</c:v>
                </c:pt>
                <c:pt idx="1">
                  <c:v>169.14</c:v>
                </c:pt>
                <c:pt idx="2">
                  <c:v>0</c:v>
                </c:pt>
                <c:pt idx="3">
                  <c:v>0</c:v>
                </c:pt>
                <c:pt idx="4">
                  <c:v>0</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Pt>
            <c:idx val="4"/>
            <c:bubble3D val="0"/>
            <c:spPr>
              <a:solidFill>
                <a:srgbClr val="660066">
                  <a:alpha val="100000"/>
                </a:srgbClr>
              </a:solidFill>
              <a:ln w="12700">
                <a:solidFill>
                  <a:srgbClr val="000000">
                    <a:alpha val="100000"/>
                  </a:srgbClr>
                </a:solidFill>
                <a:prstDash val="solid"/>
              </a:ln>
            </c:spPr>
          </c:dPt>
          <c:dLbls>
            <c:delete val="1"/>
          </c:dLbls>
          <c:cat>
            <c:strRef>
              <c:f>[2021决算公开图表政法委.xls]Sheet1!$B$34:$B$38</c:f>
              <c:strCache>
                <c:ptCount val="5"/>
                <c:pt idx="0">
                  <c:v>基本支出</c:v>
                </c:pt>
                <c:pt idx="1">
                  <c:v>项目支出</c:v>
                </c:pt>
                <c:pt idx="2">
                  <c:v>上缴上级支出</c:v>
                </c:pt>
                <c:pt idx="3">
                  <c:v>经营支出</c:v>
                </c:pt>
                <c:pt idx="4">
                  <c:v>对附属单位补助支出</c:v>
                </c:pt>
              </c:strCache>
            </c:strRef>
          </c:cat>
          <c:val>
            <c:numRef>
              <c:f>[2021决算公开图表政法委.xls]Sheet1!$D$34:$D$38</c:f>
              <c:numCache>
                <c:formatCode>0.00%</c:formatCode>
                <c:ptCount val="5"/>
                <c:pt idx="0">
                  <c:v>0.6555</c:v>
                </c:pt>
                <c:pt idx="1">
                  <c:v>0.3445</c:v>
                </c:pt>
                <c:pt idx="2" c:formatCode="General">
                  <c:v>0</c:v>
                </c:pt>
                <c:pt idx="3" c:formatCode="General">
                  <c:v>0</c:v>
                </c:pt>
                <c:pt idx="4" c:formatCode="General">
                  <c:v>0</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757"/>
          <c:y val="0.4175"/>
          <c:w val="0.23725"/>
          <c:h val="0.2982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extLst>
      <c:ext uri="{0b15fc19-7d7d-44ad-8c2d-2c3a37ce22c3}">
        <chartProps xmlns="https://web.wps.cn/et/2018/main" chartId="{c7b14064-51b0-4caa-b9e8-aac65dfc2248}"/>
      </c:ext>
    </c:extLst>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图4    财政拨款收、支总计决算变动情况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[2021决算公开图表政法委.xls]Sheet1!$A$170</c:f>
              <c:strCache>
                <c:ptCount val="1"/>
                <c:pt idx="0">
                  <c:v>财政拨款收入、支出总计</c:v>
                </c:pt>
              </c:strCache>
            </c:strRef>
          </c:tx>
          <c:spPr>
            <a:solidFill>
              <a:srgbClr val="9999FF">
                <a:alpha val="100000"/>
              </a:srgbClr>
            </a:solidFill>
            <a:ln w="12700">
              <a:solidFill>
                <a:srgbClr val="000000">
                  <a:alpha val="100000"/>
                </a:srgbClr>
              </a:solidFill>
              <a:prstDash val="solid"/>
            </a:ln>
          </c:spPr>
          <c:invertIfNegative val="0"/>
          <c:dLbls>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[2021决算公开图表政法委.xls]Sheet1!$B$169:$C$169</c:f>
              <c:strCache>
                <c:ptCount val="2"/>
                <c:pt idx="0">
                  <c:v>2021年</c:v>
                </c:pt>
                <c:pt idx="1">
                  <c:v>2020年</c:v>
                </c:pt>
              </c:strCache>
            </c:strRef>
          </c:cat>
          <c:val>
            <c:numRef>
              <c:f>[2021决算公开图表政法委.xls]Sheet1!$B$170:$C$170</c:f>
              <c:numCache>
                <c:formatCode>General</c:formatCode>
                <c:ptCount val="2"/>
                <c:pt idx="0">
                  <c:v>490.93</c:v>
                </c:pt>
                <c:pt idx="1">
                  <c:v>512.08</c:v>
                </c:pt>
              </c:numCache>
            </c:numRef>
          </c:val>
        </c:ser>
        <c:dLbls>
          <c:showLegendKey val="0"/>
          <c:showVal val="0"/>
          <c:showCatName val="0"/>
          <c:showSerName val="0"/>
          <c:showPercent val="0"/>
          <c:showBubbleSize val="0"/>
        </c:dLbls>
        <c:gapWidth val="150"/>
        <c:axId val="134702976"/>
        <c:axId val="134704512"/>
      </c:barChart>
      <c:catAx>
        <c:axId val="134702976"/>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6000000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134704512"/>
        <c:crosses val="autoZero"/>
        <c:auto val="1"/>
        <c:lblAlgn val="ctr"/>
        <c:lblOffset val="100"/>
        <c:noMultiLvlLbl val="0"/>
      </c:catAx>
      <c:valAx>
        <c:axId val="134704512"/>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34702976"/>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7025"/>
          <c:y val="0.50425"/>
          <c:w val="0.29125"/>
          <c:h val="0.059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gap"/>
    <c:showDLblsOverMax val="0"/>
    <c:extLst>
      <c:ext uri="{0b15fc19-7d7d-44ad-8c2d-2c3a37ce22c3}">
        <chartProps xmlns="https://web.wps.cn/et/2018/main" chartId="{ff83a093-0877-4264-b5a0-e645c6fdc968}"/>
      </c:ext>
    </c:extLst>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图5      一般公共预算财政拨款支出决算变动情况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[2021决算公开图表政法委.xls]Sheet1!$A$85</c:f>
              <c:strCache>
                <c:ptCount val="1"/>
                <c:pt idx="0">
                  <c:v>一般公共预算财政拨款支出</c:v>
                </c:pt>
              </c:strCache>
            </c:strRef>
          </c:tx>
          <c:spPr>
            <a:solidFill>
              <a:srgbClr val="9999FF">
                <a:alpha val="100000"/>
              </a:srgbClr>
            </a:solidFill>
            <a:ln w="12700">
              <a:solidFill>
                <a:srgbClr val="000000">
                  <a:alpha val="100000"/>
                </a:srgbClr>
              </a:solidFill>
              <a:prstDash val="solid"/>
            </a:ln>
          </c:spPr>
          <c:invertIfNegative val="0"/>
          <c:dLbls>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[2021决算公开图表政法委.xls]Sheet1!$B$84:$C$84</c:f>
              <c:strCache>
                <c:ptCount val="2"/>
                <c:pt idx="0">
                  <c:v>2021年</c:v>
                </c:pt>
                <c:pt idx="1">
                  <c:v>2020年</c:v>
                </c:pt>
              </c:strCache>
            </c:strRef>
          </c:cat>
          <c:val>
            <c:numRef>
              <c:f>[2021决算公开图表政法委.xls]Sheet1!$B$85:$C$85</c:f>
              <c:numCache>
                <c:formatCode>General</c:formatCode>
                <c:ptCount val="2"/>
                <c:pt idx="0">
                  <c:v>490.93</c:v>
                </c:pt>
                <c:pt idx="1">
                  <c:v>512.08</c:v>
                </c:pt>
              </c:numCache>
            </c:numRef>
          </c:val>
        </c:ser>
        <c:dLbls>
          <c:showLegendKey val="0"/>
          <c:showVal val="0"/>
          <c:showCatName val="0"/>
          <c:showSerName val="0"/>
          <c:showPercent val="0"/>
          <c:showBubbleSize val="0"/>
        </c:dLbls>
        <c:gapWidth val="150"/>
        <c:axId val="140193792"/>
        <c:axId val="140195328"/>
      </c:barChart>
      <c:catAx>
        <c:axId val="140193792"/>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6000000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140195328"/>
        <c:crosses val="autoZero"/>
        <c:auto val="1"/>
        <c:lblAlgn val="ctr"/>
        <c:lblOffset val="100"/>
        <c:noMultiLvlLbl val="0"/>
      </c:catAx>
      <c:valAx>
        <c:axId val="140195328"/>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40193792"/>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68475"/>
          <c:y val="0.50575"/>
          <c:w val="0.3095"/>
          <c:h val="0.0597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gap"/>
    <c:showDLblsOverMax val="0"/>
    <c:extLst>
      <c:ext uri="{0b15fc19-7d7d-44ad-8c2d-2c3a37ce22c3}">
        <chartProps xmlns="https://web.wps.cn/et/2018/main" chartId="{2c940d7c-d41b-46e4-8503-e65f535ce736}"/>
      </c:ext>
    </c:extLst>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图6    一般公共预算财政拨款支出决算结构</a:t>
            </a:r>
            <a:endParaRPr sz="1475"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Pt>
            <c:idx val="4"/>
            <c:bubble3D val="0"/>
            <c:spPr>
              <a:solidFill>
                <a:srgbClr val="660066">
                  <a:alpha val="100000"/>
                </a:srgbClr>
              </a:solidFill>
              <a:ln w="12700">
                <a:solidFill>
                  <a:srgbClr val="000000">
                    <a:alpha val="100000"/>
                  </a:srgbClr>
                </a:solidFill>
                <a:prstDash val="solid"/>
              </a:ln>
            </c:spPr>
          </c:dPt>
          <c:dLbls>
            <c:dLbl>
              <c:idx val="1"/>
              <c:layout>
                <c:manualLayout>
                  <c:x val="0.0211437793481807"/>
                  <c:y val="0.0563819140682373"/>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0.020311768696199"/>
                  <c:y val="0.000185392537879671"/>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3"/>
              <c:layout>
                <c:manualLayout>
                  <c:x val="-0.00385725852481524"/>
                  <c:y val="-0.0226755213258911"/>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0.0509967367526126"/>
                  <c:y val="-0.0436643089661575"/>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w="3175">
                <a:noFill/>
              </a:ln>
              <a:effectLst/>
            </c:spPr>
            <c:txPr>
              <a:bodyPr rot="0" spcFirstLastPara="0" vertOverflow="ellipsis" vert="horz" wrap="square" lIns="38100" tIns="19050" rIns="38100" bIns="19050" anchor="ctr" anchorCtr="1"/>
              <a:lstStyle/>
              <a:p>
                <a:pPr>
                  <a:defRPr lang="zh-CN" sz="105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[2021决算公开图表政法委.xls]Sheet1!$A$110:$A$114</c:f>
              <c:strCache>
                <c:ptCount val="5"/>
                <c:pt idx="0">
                  <c:v>一般公共服务支出</c:v>
                </c:pt>
                <c:pt idx="1">
                  <c:v>卫生健康支出</c:v>
                </c:pt>
                <c:pt idx="2">
                  <c:v>社会保障和就业支出</c:v>
                </c:pt>
                <c:pt idx="3">
                  <c:v>其他支出</c:v>
                </c:pt>
                <c:pt idx="4">
                  <c:v>住房保障支出</c:v>
                </c:pt>
              </c:strCache>
            </c:strRef>
          </c:cat>
          <c:val>
            <c:numRef>
              <c:f>[2021决算公开图表政法委.xls]Sheet1!$B$110:$B$114</c:f>
              <c:numCache>
                <c:formatCode>General</c:formatCode>
                <c:ptCount val="5"/>
                <c:pt idx="0">
                  <c:v>408.89</c:v>
                </c:pt>
                <c:pt idx="1">
                  <c:v>17.32</c:v>
                </c:pt>
                <c:pt idx="2">
                  <c:v>31.03</c:v>
                </c:pt>
                <c:pt idx="3">
                  <c:v>5.92</c:v>
                </c:pt>
                <c:pt idx="4">
                  <c:v>27.77</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Pt>
            <c:idx val="4"/>
            <c:bubble3D val="0"/>
            <c:spPr>
              <a:solidFill>
                <a:srgbClr val="660066">
                  <a:alpha val="100000"/>
                </a:srgbClr>
              </a:solidFill>
              <a:ln w="12700">
                <a:solidFill>
                  <a:srgbClr val="000000">
                    <a:alpha val="100000"/>
                  </a:srgbClr>
                </a:solidFill>
                <a:prstDash val="solid"/>
              </a:ln>
            </c:spPr>
          </c:dPt>
          <c:dLbls>
            <c:delete val="1"/>
          </c:dLbls>
          <c:cat>
            <c:strRef>
              <c:f>[2021决算公开图表政法委.xls]Sheet1!$A$110:$A$114</c:f>
              <c:strCache>
                <c:ptCount val="5"/>
                <c:pt idx="0">
                  <c:v>一般公共服务支出</c:v>
                </c:pt>
                <c:pt idx="1">
                  <c:v>卫生健康支出</c:v>
                </c:pt>
                <c:pt idx="2">
                  <c:v>社会保障和就业支出</c:v>
                </c:pt>
                <c:pt idx="3">
                  <c:v>其他支出</c:v>
                </c:pt>
                <c:pt idx="4">
                  <c:v>住房保障支出</c:v>
                </c:pt>
              </c:strCache>
            </c:strRef>
          </c:cat>
          <c:val>
            <c:numRef>
              <c:f>[2021决算公开图表政法委.xls]Sheet1!$C$110:$C$114</c:f>
              <c:numCache>
                <c:formatCode>0.00%</c:formatCode>
                <c:ptCount val="5"/>
                <c:pt idx="0">
                  <c:v>0.8329</c:v>
                </c:pt>
                <c:pt idx="1">
                  <c:v>0.0353</c:v>
                </c:pt>
                <c:pt idx="2">
                  <c:v>0.0632</c:v>
                </c:pt>
                <c:pt idx="3">
                  <c:v>0.012</c:v>
                </c:pt>
                <c:pt idx="4">
                  <c:v>0.0566</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695107254760183"/>
          <c:y val="0.311144635112201"/>
          <c:w val="0.299108218847915"/>
          <c:h val="0.630020742975674"/>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extLst>
      <c:ext uri="{0b15fc19-7d7d-44ad-8c2d-2c3a37ce22c3}">
        <chartProps xmlns="https://web.wps.cn/et/2018/main" chartId="{7985dcf0-a4d8-40df-9088-ba3804e07bcd}"/>
      </c:ext>
    </c:extLst>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图7  “三公”经费财政拨款支出结构</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 val="0.18825"/>
          <c:y val="0.03975"/>
        </c:manualLayout>
      </c:layout>
      <c:overlay val="0"/>
      <c:spPr>
        <a:noFill/>
        <a:ln w="3175">
          <a:noFill/>
        </a:ln>
      </c:spPr>
    </c:title>
    <c:autoTitleDeleted val="0"/>
    <c:plotArea>
      <c:layout>
        <c:manualLayout>
          <c:layoutTarget val="inner"/>
          <c:xMode val="edge"/>
          <c:yMode val="edge"/>
          <c:x val="0.241"/>
          <c:y val="0.4005"/>
          <c:w val="0.17075"/>
          <c:h val="0.3325"/>
        </c:manualLayout>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Lbls>
            <c:dLbl>
              <c:idx val="0"/>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因公出国（境）费支出, 0, 0%</a:t>
                    </a:r>
                    <a:endParaRPr sz="12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extLst>
            </c:dLbl>
            <c:dLbl>
              <c:idx val="1"/>
              <c:layout>
                <c:manualLayout>
                  <c:x val="0.151296687912926"/>
                  <c:y val="0.170533222645393"/>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0.216138328530259"/>
                  <c:y val="-0.141274238227147"/>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sz="1200" b="0" i="0" u="none" strike="noStrike" baseline="0">
                        <a:solidFill>
                          <a:srgbClr val="000000"/>
                        </a:solidFill>
                        <a:latin typeface="宋体" panose="02010600030101010101" charset="-122"/>
                        <a:ea typeface="宋体" panose="02010600030101010101" charset="-122"/>
                        <a:cs typeface="宋体" panose="02010600030101010101" charset="-122"/>
                      </a:rPr>
                      <a:t>公务接待费支出, 0</a:t>
                    </a:r>
                    <a:r>
                      <a:rPr lang="en-US" altLang="zh-CN" sz="1200" b="0" i="0" u="none" strike="noStrike" baseline="0">
                        <a:solidFill>
                          <a:srgbClr val="000000"/>
                        </a:solidFill>
                        <a:latin typeface="宋体" panose="02010600030101010101" charset="-122"/>
                        <a:ea typeface="宋体" panose="02010600030101010101" charset="-122"/>
                        <a:cs typeface="宋体" panose="02010600030101010101" charset="-122"/>
                      </a:rPr>
                      <a:t>.77</a:t>
                    </a:r>
                    <a:r>
                      <a:rPr sz="1200" b="0" i="0" u="none" strike="noStrike" baseline="0">
                        <a:solidFill>
                          <a:srgbClr val="000000"/>
                        </a:solidFill>
                        <a:latin typeface="宋体" panose="02010600030101010101" charset="-122"/>
                        <a:ea typeface="宋体" panose="02010600030101010101" charset="-122"/>
                        <a:cs typeface="宋体" panose="02010600030101010101" charset="-122"/>
                      </a:rPr>
                      <a:t>, </a:t>
                    </a:r>
                    <a:r>
                      <a:rPr lang="en-US" altLang="zh-CN" sz="1200" b="0" i="0" u="none" strike="noStrike" baseline="0">
                        <a:solidFill>
                          <a:srgbClr val="000000"/>
                        </a:solidFill>
                        <a:latin typeface="宋体" panose="02010600030101010101" charset="-122"/>
                        <a:ea typeface="宋体" panose="02010600030101010101" charset="-122"/>
                        <a:cs typeface="宋体" panose="02010600030101010101" charset="-122"/>
                      </a:rPr>
                      <a:t>10</a:t>
                    </a:r>
                    <a:r>
                      <a:rPr sz="1200" b="0" i="0" u="none" strike="noStrike" baseline="0">
                        <a:solidFill>
                          <a:srgbClr val="000000"/>
                        </a:solidFill>
                        <a:latin typeface="宋体" panose="02010600030101010101" charset="-122"/>
                        <a:ea typeface="宋体" panose="02010600030101010101" charset="-122"/>
                        <a:cs typeface="宋体" panose="02010600030101010101" charset="-122"/>
                      </a:rPr>
                      <a:t>0%</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numFmt formatCode="General" sourceLinked="1"/>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[2021决算公开图表政法委.xls]Sheet1!$B$139:$B$141</c:f>
              <c:strCache>
                <c:ptCount val="3"/>
                <c:pt idx="0">
                  <c:v>因公出国（境）费支出</c:v>
                </c:pt>
                <c:pt idx="1">
                  <c:v>公务用车购置及运行维护费支出</c:v>
                </c:pt>
                <c:pt idx="2">
                  <c:v>公务接待费支出</c:v>
                </c:pt>
              </c:strCache>
            </c:strRef>
          </c:cat>
          <c:val>
            <c:numRef>
              <c:f>[2021决算公开图表政法委.xls]Sheet1!$C$139:$C$141</c:f>
              <c:numCache>
                <c:formatCode>General</c:formatCode>
                <c:ptCount val="3"/>
                <c:pt idx="0">
                  <c:v>0</c:v>
                </c:pt>
                <c:pt idx="1">
                  <c:v>0</c:v>
                </c:pt>
                <c:pt idx="2">
                  <c:v>0.17</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Lbls>
            <c:delete val="1"/>
          </c:dLbls>
          <c:cat>
            <c:strRef>
              <c:f>[2021决算公开图表政法委.xls]Sheet1!$B$139:$B$141</c:f>
              <c:strCache>
                <c:ptCount val="3"/>
                <c:pt idx="0">
                  <c:v>因公出国（境）费支出</c:v>
                </c:pt>
                <c:pt idx="1">
                  <c:v>公务用车购置及运行维护费支出</c:v>
                </c:pt>
                <c:pt idx="2">
                  <c:v>公务接待费支出</c:v>
                </c:pt>
              </c:strCache>
            </c:strRef>
          </c:cat>
          <c:val>
            <c:numRef>
              <c:f>[2021决算公开图表政法委.xls]Sheet1!$D$139:$D$141</c:f>
              <c:numCache>
                <c:formatCode>General</c:formatCode>
                <c:ptCount val="3"/>
                <c:pt idx="0">
                  <c:v>0</c:v>
                </c:pt>
                <c:pt idx="1" c:formatCode="0%">
                  <c:v>0</c:v>
                </c:pt>
                <c:pt idx="2" c:formatCode="0.00%">
                  <c:v>1</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6555"/>
          <c:y val="0.40025"/>
          <c:w val="0.33875"/>
          <c:h val="0.332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extLst>
      <c:ext uri="{0b15fc19-7d7d-44ad-8c2d-2c3a37ce22c3}">
        <chartProps xmlns="https://web.wps.cn/et/2018/main" chartId="{0da30c09-0691-4e37-bd14-c5e4253206e9}"/>
      </c:ext>
    </c:extLst>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四川省财政厅</Company>
  <Pages>38</Pages>
  <Words>40</Words>
  <Characters>48</Characters>
  <Lines>24</Lines>
  <Paragraphs>34</Paragraphs>
  <TotalTime>13</TotalTime>
  <ScaleCrop>false</ScaleCrop>
  <LinksUpToDate>false</LinksUpToDate>
  <CharactersWithSpaces>52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2022-10-07T01:09:00Z</dcterms:created>
  <dc:creator>曹颖</dc:creator>
  <cp:lastModifiedBy>WPS_1650676078</cp:lastModifiedBy>
  <cp:lastPrinted>2022-08-08T09:11:00Z</cp:lastPrinted>
  <dcterms:modified xsi:type="dcterms:W3CDTF">2025-06-20T01:29:38Z</dcterms:modified>
  <dc:title>四川省***</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BEA3DDCE31654C049FC769C863FED4E9_13</vt:lpwstr>
  </property>
  <property fmtid="{D5CDD505-2E9C-101B-9397-08002B2CF9AE}" pid="4" name="KSOTemplateDocerSaveRecord">
    <vt:lpwstr>eyJoZGlkIjoiZDg0NDNiYTUxOWU4N2FhYTE5YTc3OTM5YzA0NWVjYWEiLCJ1c2VySWQiOiIxMzY3NTIyMzE2In0=</vt:lpwstr>
  </property>
</Properties>
</file>