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hint="default" w:ascii="Times New Roman" w:hAnsi="Times New Roman" w:eastAsia="方正小标宋简体" w:cs="Times New Roman"/>
          <w:sz w:val="72"/>
          <w:szCs w:val="72"/>
        </w:rPr>
      </w:pPr>
      <w:bookmarkStart w:id="0" w:name="_Toc15396475"/>
      <w:bookmarkStart w:id="1" w:name="_Toc15377425"/>
      <w:bookmarkStart w:id="2" w:name="_Toc15396597"/>
      <w:bookmarkStart w:id="3" w:name="_Toc15377193"/>
      <w:bookmarkStart w:id="4" w:name="_Toc15378441"/>
      <w:bookmarkStart w:id="5" w:name="_Toc15306267"/>
      <w:r>
        <w:rPr>
          <w:rFonts w:hint="default" w:ascii="Times New Roman" w:hAnsi="Times New Roman" w:eastAsia="方正小标宋简体" w:cs="Times New Roman"/>
          <w:sz w:val="72"/>
          <w:szCs w:val="72"/>
        </w:rPr>
        <w:t xml:space="preserve">  </w:t>
      </w:r>
    </w:p>
    <w:p>
      <w:pPr>
        <w:spacing w:line="600" w:lineRule="exact"/>
        <w:jc w:val="center"/>
        <w:outlineLvl w:val="0"/>
        <w:rPr>
          <w:rFonts w:hint="default" w:ascii="Times New Roman" w:hAnsi="Times New Roman" w:eastAsia="方正小标宋简体" w:cs="Times New Roman"/>
          <w:sz w:val="72"/>
          <w:szCs w:val="72"/>
        </w:rPr>
      </w:pPr>
    </w:p>
    <w:p>
      <w:pPr>
        <w:spacing w:line="600" w:lineRule="exact"/>
        <w:jc w:val="center"/>
        <w:outlineLvl w:val="0"/>
        <w:rPr>
          <w:rFonts w:hint="default" w:ascii="Times New Roman" w:hAnsi="Times New Roman" w:eastAsia="方正小标宋简体" w:cs="Times New Roman"/>
          <w:sz w:val="72"/>
          <w:szCs w:val="72"/>
        </w:rPr>
      </w:pPr>
    </w:p>
    <w:p>
      <w:pPr>
        <w:adjustRightInd w:val="0"/>
        <w:snapToGrid w:val="0"/>
        <w:spacing w:line="360" w:lineRule="auto"/>
        <w:jc w:val="center"/>
        <w:outlineLvl w:val="0"/>
        <w:rPr>
          <w:rFonts w:hint="default" w:ascii="Times New Roman" w:hAnsi="Times New Roman" w:eastAsia="方正小标宋简体" w:cs="Times New Roman"/>
          <w:sz w:val="72"/>
          <w:szCs w:val="72"/>
        </w:rPr>
      </w:pPr>
      <w:r>
        <w:rPr>
          <w:rFonts w:hint="default" w:ascii="Times New Roman" w:hAnsi="Times New Roman" w:eastAsia="方正小标宋简体" w:cs="Times New Roman"/>
          <w:sz w:val="72"/>
          <w:szCs w:val="72"/>
        </w:rPr>
        <w:t>202</w:t>
      </w:r>
      <w:r>
        <w:rPr>
          <w:rFonts w:hint="default" w:ascii="Times New Roman" w:hAnsi="Times New Roman" w:eastAsia="方正小标宋简体" w:cs="Times New Roman"/>
          <w:sz w:val="72"/>
          <w:szCs w:val="72"/>
          <w:lang w:val="en-US" w:eastAsia="zh-CN"/>
        </w:rPr>
        <w:t>3</w:t>
      </w:r>
      <w:r>
        <w:rPr>
          <w:rFonts w:hint="default" w:ascii="Times New Roman" w:hAnsi="Times New Roman" w:eastAsia="方正小标宋简体" w:cs="Times New Roman"/>
          <w:sz w:val="72"/>
          <w:szCs w:val="72"/>
        </w:rPr>
        <w:t>年度</w:t>
      </w:r>
      <w:bookmarkEnd w:id="0"/>
      <w:bookmarkEnd w:id="1"/>
      <w:bookmarkEnd w:id="2"/>
      <w:bookmarkEnd w:id="3"/>
      <w:bookmarkEnd w:id="4"/>
    </w:p>
    <w:bookmarkEnd w:id="5"/>
    <w:p>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6" w:name="_Toc15306268"/>
      <w:bookmarkStart w:id="7" w:name="_Toc15378442"/>
      <w:bookmarkStart w:id="8" w:name="_Toc15377194"/>
      <w:bookmarkStart w:id="9" w:name="_Toc15377426"/>
      <w:bookmarkStart w:id="10" w:name="_Toc15396476"/>
      <w:bookmarkStart w:id="11" w:name="_Toc15396598"/>
      <w:r>
        <w:rPr>
          <w:rFonts w:hint="default" w:ascii="Times New Roman" w:hAnsi="Times New Roman" w:eastAsia="方正小标宋简体" w:cs="Times New Roman"/>
          <w:sz w:val="72"/>
          <w:szCs w:val="72"/>
        </w:rPr>
        <w:t>盐边县红果彝族乡人民政府部门决算</w:t>
      </w:r>
      <w:bookmarkEnd w:id="6"/>
      <w:bookmarkEnd w:id="7"/>
      <w:bookmarkEnd w:id="8"/>
      <w:bookmarkEnd w:id="9"/>
      <w:bookmarkEnd w:id="10"/>
      <w:bookmarkEnd w:id="11"/>
    </w:p>
    <w:p>
      <w:pPr>
        <w:pageBreakBefore w:val="0"/>
        <w:widowControl w:val="0"/>
        <w:kinsoku/>
        <w:wordWrap/>
        <w:overflowPunct/>
        <w:topLinePunct w:val="0"/>
        <w:autoSpaceDE/>
        <w:autoSpaceDN/>
        <w:bidi w:val="0"/>
        <w:spacing w:line="560" w:lineRule="exact"/>
        <w:ind w:left="0" w:leftChars="0" w:firstLine="880" w:firstLineChars="200"/>
        <w:jc w:val="center"/>
        <w:textAlignment w:val="auto"/>
        <w:rPr>
          <w:rFonts w:hint="default" w:ascii="Times New Roman" w:hAnsi="Times New Roman" w:eastAsia="方正小标宋简体" w:cs="Times New Roman"/>
          <w:sz w:val="44"/>
          <w:szCs w:val="44"/>
        </w:rPr>
        <w:sectPr>
          <w:headerReference r:id="rId3" w:type="default"/>
          <w:pgSz w:w="11906" w:h="16838"/>
          <w:pgMar w:top="2098" w:right="1474" w:bottom="1984" w:left="1587" w:header="851" w:footer="992" w:gutter="0"/>
          <w:pgNumType w:fmt="decimal" w:start="1"/>
          <w:cols w:space="0" w:num="1"/>
          <w:rtlGutter w:val="0"/>
          <w:docGrid w:type="lines" w:linePitch="312" w:charSpace="0"/>
        </w:sectPr>
      </w:pPr>
    </w:p>
    <w:p>
      <w:pPr>
        <w:pageBreakBefore w:val="0"/>
        <w:widowControl w:val="0"/>
        <w:kinsoku/>
        <w:wordWrap/>
        <w:overflowPunct/>
        <w:topLinePunct w:val="0"/>
        <w:autoSpaceDE/>
        <w:autoSpaceDN/>
        <w:bidi w:val="0"/>
        <w:spacing w:line="560" w:lineRule="exact"/>
        <w:ind w:left="0" w:leftChars="0" w:firstLine="880" w:firstLineChars="20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目</w:t>
      </w:r>
      <w:r>
        <w:rPr>
          <w:rFonts w:hint="default" w:ascii="Times New Roman" w:hAnsi="Times New Roman" w:eastAsia="方正小标宋简体" w:cs="Times New Roman"/>
          <w:sz w:val="44"/>
          <w:szCs w:val="44"/>
          <w:lang w:val="en-US" w:eastAsia="zh-CN"/>
        </w:rPr>
        <w:t xml:space="preserve">  </w:t>
      </w:r>
      <w:r>
        <w:rPr>
          <w:rFonts w:hint="default" w:ascii="Times New Roman" w:hAnsi="Times New Roman" w:eastAsia="方正小标宋简体" w:cs="Times New Roman"/>
          <w:sz w:val="44"/>
          <w:szCs w:val="44"/>
        </w:rPr>
        <w:t>录</w:t>
      </w:r>
    </w:p>
    <w:p>
      <w:pPr>
        <w:pageBreakBefore w:val="0"/>
        <w:widowControl w:val="0"/>
        <w:kinsoku/>
        <w:wordWrap/>
        <w:overflowPunct/>
        <w:topLinePunct w:val="0"/>
        <w:autoSpaceDE/>
        <w:autoSpaceDN/>
        <w:bidi w:val="0"/>
        <w:spacing w:line="560" w:lineRule="exact"/>
        <w:ind w:left="0" w:leftChars="0" w:firstLine="560" w:firstLineChars="200"/>
        <w:jc w:val="center"/>
        <w:textAlignment w:val="auto"/>
        <w:rPr>
          <w:rFonts w:hint="default" w:ascii="Times New Roman" w:hAnsi="Times New Roman" w:eastAsia="黑体" w:cs="Times New Roman"/>
          <w:sz w:val="28"/>
          <w:szCs w:val="28"/>
        </w:rPr>
      </w:pPr>
    </w:p>
    <w:p>
      <w:pPr>
        <w:pStyle w:val="15"/>
        <w:pageBreakBefore w:val="0"/>
        <w:widowControl w:val="0"/>
        <w:kinsoku/>
        <w:wordWrap/>
        <w:overflowPunct/>
        <w:topLinePunct w:val="0"/>
        <w:autoSpaceDE/>
        <w:autoSpaceDN/>
        <w:bidi w:val="0"/>
        <w:spacing w:before="0" w:line="560" w:lineRule="exact"/>
        <w:ind w:left="0" w:leftChars="0" w:firstLine="640" w:firstLineChars="200"/>
        <w:textAlignment w:val="auto"/>
        <w:rPr>
          <w:rFonts w:hint="default" w:ascii="Times New Roman" w:hAnsi="Times New Roman" w:eastAsia="方正楷体" w:cs="Times New Roman"/>
          <w:kern w:val="2"/>
          <w:sz w:val="32"/>
          <w:szCs w:val="32"/>
          <w:lang w:val="en-US" w:eastAsia="zh-CN" w:bidi="ar-SA"/>
        </w:rPr>
      </w:pPr>
      <w:r>
        <w:rPr>
          <w:rFonts w:hint="default" w:ascii="Times New Roman" w:hAnsi="Times New Roman" w:eastAsia="方正楷体" w:cs="Times New Roman"/>
          <w:kern w:val="2"/>
          <w:sz w:val="32"/>
          <w:szCs w:val="32"/>
          <w:lang w:val="en-US" w:eastAsia="zh-CN" w:bidi="ar-SA"/>
        </w:rPr>
        <w:t xml:space="preserve">公开时间：2024年 </w:t>
      </w:r>
      <w:r>
        <w:rPr>
          <w:rFonts w:hint="eastAsia" w:ascii="Times New Roman" w:hAnsi="Times New Roman" w:eastAsia="方正楷体" w:cs="Times New Roman"/>
          <w:kern w:val="2"/>
          <w:sz w:val="32"/>
          <w:szCs w:val="32"/>
          <w:lang w:val="en-US" w:eastAsia="zh-CN" w:bidi="ar-SA"/>
        </w:rPr>
        <w:t>12</w:t>
      </w:r>
      <w:r>
        <w:rPr>
          <w:rFonts w:hint="default" w:ascii="Times New Roman" w:hAnsi="Times New Roman" w:eastAsia="方正楷体" w:cs="Times New Roman"/>
          <w:kern w:val="2"/>
          <w:sz w:val="32"/>
          <w:szCs w:val="32"/>
          <w:lang w:val="en-US" w:eastAsia="zh-CN" w:bidi="ar-SA"/>
        </w:rPr>
        <w:t xml:space="preserve">月 </w:t>
      </w:r>
      <w:r>
        <w:rPr>
          <w:rFonts w:hint="eastAsia" w:ascii="Times New Roman" w:hAnsi="Times New Roman" w:eastAsia="方正楷体" w:cs="Times New Roman"/>
          <w:kern w:val="2"/>
          <w:sz w:val="32"/>
          <w:szCs w:val="32"/>
          <w:lang w:val="en-US" w:eastAsia="zh-CN" w:bidi="ar-SA"/>
        </w:rPr>
        <w:t>24</w:t>
      </w:r>
      <w:r>
        <w:rPr>
          <w:rFonts w:hint="default" w:ascii="Times New Roman" w:hAnsi="Times New Roman" w:eastAsia="方正楷体" w:cs="Times New Roman"/>
          <w:kern w:val="2"/>
          <w:sz w:val="32"/>
          <w:szCs w:val="32"/>
          <w:lang w:val="en-US" w:eastAsia="zh-CN" w:bidi="ar-SA"/>
        </w:rPr>
        <w:t>日</w:t>
      </w:r>
    </w:p>
    <w:p>
      <w:pPr>
        <w:pageBreakBefore w:val="0"/>
        <w:widowControl w:val="0"/>
        <w:kinsoku/>
        <w:wordWrap/>
        <w:overflowPunct/>
        <w:topLinePunct w:val="0"/>
        <w:autoSpaceDE/>
        <w:autoSpaceDN/>
        <w:bidi w:val="0"/>
        <w:spacing w:line="560" w:lineRule="exact"/>
        <w:ind w:left="0" w:leftChars="0" w:firstLine="480" w:firstLineChars="200"/>
        <w:textAlignment w:val="auto"/>
        <w:rPr>
          <w:rFonts w:hint="default" w:ascii="Times New Roman" w:hAnsi="Times New Roman" w:eastAsia="宋体" w:cs="Times New Roman"/>
          <w:kern w:val="2"/>
          <w:sz w:val="24"/>
          <w:szCs w:val="24"/>
          <w:lang w:val="en-US" w:eastAsia="zh-CN" w:bidi="ar-SA"/>
        </w:rPr>
      </w:pPr>
    </w:p>
    <w:p>
      <w:pPr>
        <w:pStyle w:val="15"/>
        <w:pageBreakBefore w:val="0"/>
        <w:widowControl w:val="0"/>
        <w:kinsoku/>
        <w:wordWrap/>
        <w:overflowPunct/>
        <w:topLinePunct w:val="0"/>
        <w:autoSpaceDE/>
        <w:autoSpaceDN/>
        <w:bidi w:val="0"/>
        <w:adjustRightInd w:val="0"/>
        <w:snapToGrid w:val="0"/>
        <w:spacing w:before="0" w:line="560" w:lineRule="exact"/>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rPr>
        <w:t>第一部分</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部门概况</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p>
    <w:p>
      <w:pPr>
        <w:pStyle w:val="15"/>
        <w:pageBreakBefore w:val="0"/>
        <w:widowControl w:val="0"/>
        <w:kinsoku/>
        <w:wordWrap/>
        <w:overflowPunct/>
        <w:topLinePunct w:val="0"/>
        <w:autoSpaceDE/>
        <w:autoSpaceDN/>
        <w:bidi w:val="0"/>
        <w:adjustRightInd w:val="0"/>
        <w:snapToGrid w:val="0"/>
        <w:spacing w:before="0"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一、部门职责</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二、机构设置</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4</w:t>
      </w:r>
    </w:p>
    <w:p>
      <w:pPr>
        <w:pStyle w:val="15"/>
        <w:pageBreakBefore w:val="0"/>
        <w:widowControl w:val="0"/>
        <w:kinsoku/>
        <w:wordWrap/>
        <w:overflowPunct/>
        <w:topLinePunct w:val="0"/>
        <w:autoSpaceDE/>
        <w:autoSpaceDN/>
        <w:bidi w:val="0"/>
        <w:adjustRightInd w:val="0"/>
        <w:snapToGrid w:val="0"/>
        <w:spacing w:before="0" w:line="560" w:lineRule="exact"/>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rPr>
        <w:t xml:space="preserve">第二部分 </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2022年度部门决算情况说明</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5</w:t>
      </w:r>
    </w:p>
    <w:p>
      <w:pPr>
        <w:pStyle w:val="15"/>
        <w:pageBreakBefore w:val="0"/>
        <w:widowControl w:val="0"/>
        <w:kinsoku/>
        <w:wordWrap/>
        <w:overflowPunct/>
        <w:topLinePunct w:val="0"/>
        <w:autoSpaceDE/>
        <w:autoSpaceDN/>
        <w:bidi w:val="0"/>
        <w:adjustRightInd w:val="0"/>
        <w:snapToGrid w:val="0"/>
        <w:spacing w:before="0" w:line="560" w:lineRule="exact"/>
        <w:ind w:left="958" w:leftChars="304" w:hanging="320" w:hangingChars="100"/>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一、收入支出决算总体情况说明</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5</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二、收入决算情况说明</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5</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三、支出决算情况说明</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四、财政拨款收入支出决算总体情况说明</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五、一般公共预算财政拨款支出决算情况说明</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7</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六、一般公共预算财政拨款基本支出决算情况说明</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13</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七、财政拨款“三公”经费支出决算情况说明</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13</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八、政府性基金预算支出决算情况说明</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15</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九、国有资本经营预算支出决算情况说明</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15</w:t>
      </w:r>
    </w:p>
    <w:p>
      <w:pPr>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pPr>
      <w:r>
        <w:rPr>
          <w:rStyle w:val="23"/>
          <w:rFonts w:hint="default" w:ascii="Times New Roman" w:hAnsi="Times New Roman" w:eastAsia="仿宋_GB2312" w:cs="Times New Roman"/>
          <w:color w:val="auto"/>
          <w:sz w:val="32"/>
          <w:szCs w:val="32"/>
          <w:u w:val="none"/>
        </w:rPr>
        <w:t>十、</w:t>
      </w:r>
      <w:r>
        <w:rPr>
          <w:rFonts w:hint="default" w:ascii="Times New Roman" w:hAnsi="Times New Roman" w:eastAsia="仿宋_GB2312" w:cs="Times New Roman"/>
          <w:sz w:val="32"/>
          <w:szCs w:val="32"/>
        </w:rPr>
        <w:t>其他重要事项的情况说明</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15</w:t>
      </w:r>
    </w:p>
    <w:p>
      <w:pPr>
        <w:pStyle w:val="15"/>
        <w:pageBreakBefore w:val="0"/>
        <w:widowControl w:val="0"/>
        <w:kinsoku/>
        <w:wordWrap/>
        <w:overflowPunct/>
        <w:topLinePunct w:val="0"/>
        <w:autoSpaceDE/>
        <w:autoSpaceDN/>
        <w:bidi w:val="0"/>
        <w:adjustRightInd w:val="0"/>
        <w:snapToGrid w:val="0"/>
        <w:spacing w:before="0" w:line="560" w:lineRule="exact"/>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rPr>
        <w:t>第三部分</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名词解释</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17</w:t>
      </w:r>
    </w:p>
    <w:p>
      <w:pPr>
        <w:pStyle w:val="15"/>
        <w:pageBreakBefore w:val="0"/>
        <w:widowControl w:val="0"/>
        <w:kinsoku/>
        <w:wordWrap/>
        <w:overflowPunct/>
        <w:topLinePunct w:val="0"/>
        <w:autoSpaceDE/>
        <w:autoSpaceDN/>
        <w:bidi w:val="0"/>
        <w:adjustRightInd w:val="0"/>
        <w:snapToGrid w:val="0"/>
        <w:spacing w:before="0" w:line="560" w:lineRule="exact"/>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rPr>
        <w:t>第四部分</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附件</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25</w:t>
      </w:r>
    </w:p>
    <w:p>
      <w:pPr>
        <w:pStyle w:val="15"/>
        <w:pageBreakBefore w:val="0"/>
        <w:widowControl w:val="0"/>
        <w:kinsoku/>
        <w:wordWrap/>
        <w:overflowPunct/>
        <w:topLinePunct w:val="0"/>
        <w:autoSpaceDE/>
        <w:autoSpaceDN/>
        <w:bidi w:val="0"/>
        <w:adjustRightInd w:val="0"/>
        <w:snapToGrid w:val="0"/>
        <w:spacing w:before="0" w:line="560" w:lineRule="exact"/>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rPr>
        <w:t>第五部分</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附表</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69</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sectPr>
          <w:footerReference r:id="rId4" w:type="default"/>
          <w:pgSz w:w="11906" w:h="16838"/>
          <w:pgMar w:top="2098" w:right="1474" w:bottom="1984" w:left="1587" w:header="851" w:footer="992" w:gutter="0"/>
          <w:pgNumType w:fmt="decimal" w:start="1"/>
          <w:cols w:space="0" w:num="1"/>
          <w:rtlGutter w:val="0"/>
          <w:docGrid w:type="lines" w:linePitch="312" w:charSpace="0"/>
        </w:sectPr>
      </w:pPr>
      <w:r>
        <w:rPr>
          <w:rFonts w:hint="default" w:ascii="Times New Roman" w:hAnsi="Times New Roman" w:eastAsia="仿宋_GB2312" w:cs="Times New Roman"/>
          <w:sz w:val="32"/>
          <w:szCs w:val="32"/>
        </w:rPr>
        <w:t>一、收入支出决算总表</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69</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二、收入决算表</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69</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三、支出决算表</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69</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四、财政拨款收入支出决算总表</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69</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五、财政拨款支出决算明细表</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69</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六、一般公共预算财政拨款支出决算表</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69</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七、一般公共预算财政拨款支出决算明细表</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69</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八、一般公共预算财政拨款基本支出决算明细表</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69</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九、一般公共预算财政拨款项目支出决算表</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69</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十、政府性基金预算财政拨款收入支出决算表</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69</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十一、国有资本经营预算财政拨款收入支出决算表</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69</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十二、国有资本经营预算财政拨款支出决算表</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69</w:t>
      </w:r>
    </w:p>
    <w:p>
      <w:pPr>
        <w:pStyle w:val="16"/>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黑体" w:cs="Times New Roman"/>
          <w:b w:val="0"/>
        </w:rPr>
        <w:sectPr>
          <w:footerReference r:id="rId5" w:type="default"/>
          <w:pgSz w:w="11906" w:h="16838"/>
          <w:pgMar w:top="2098" w:right="1474" w:bottom="1984" w:left="1587" w:header="851" w:footer="992" w:gutter="0"/>
          <w:pgNumType w:fmt="decimal" w:start="1"/>
          <w:cols w:space="0" w:num="1"/>
          <w:rtlGutter w:val="0"/>
          <w:docGrid w:type="lines" w:linePitch="312" w:charSpace="0"/>
        </w:sectPr>
      </w:pPr>
      <w:r>
        <w:rPr>
          <w:rFonts w:hint="default" w:ascii="Times New Roman" w:hAnsi="Times New Roman" w:eastAsia="仿宋_GB2312" w:cs="Times New Roman"/>
          <w:sz w:val="32"/>
          <w:szCs w:val="32"/>
        </w:rPr>
        <w:t>十三、财政拨款“三公”经费支出决算表</w:t>
      </w:r>
      <w:r>
        <w:rPr>
          <w:rFonts w:hint="default" w:ascii="Times New Roman" w:hAnsi="Times New Roman" w:eastAsia="仿宋_GB2312" w:cs="Times New Roman"/>
          <w:sz w:val="32"/>
          <w:szCs w:val="32"/>
          <w:lang w:eastAsia="zh-CN"/>
        </w:rPr>
        <w:t>…………………</w:t>
      </w:r>
      <w:bookmarkStart w:id="12" w:name="_Toc15396599"/>
      <w:bookmarkStart w:id="13" w:name="_Toc15377196"/>
      <w:r>
        <w:rPr>
          <w:rFonts w:hint="eastAsia" w:ascii="Times New Roman" w:hAnsi="Times New Roman" w:eastAsia="仿宋_GB2312" w:cs="Times New Roman"/>
          <w:sz w:val="32"/>
          <w:szCs w:val="32"/>
          <w:lang w:val="en-US" w:eastAsia="zh-CN"/>
        </w:rPr>
        <w:t>69</w:t>
      </w:r>
    </w:p>
    <w:p>
      <w:pPr>
        <w:pStyle w:val="3"/>
        <w:jc w:val="center"/>
        <w:rPr>
          <w:rFonts w:hint="default" w:ascii="Times New Roman" w:hAnsi="Times New Roman" w:eastAsia="黑体" w:cs="Times New Roman"/>
          <w:bCs w:val="0"/>
        </w:rPr>
      </w:pPr>
      <w:r>
        <w:rPr>
          <w:rFonts w:hint="default" w:ascii="Times New Roman" w:hAnsi="Times New Roman" w:eastAsia="方正小标宋简体" w:cs="Times New Roman"/>
          <w:b w:val="0"/>
        </w:rPr>
        <w:t xml:space="preserve">第一部分 </w:t>
      </w:r>
      <w:r>
        <w:rPr>
          <w:rFonts w:hint="eastAsia" w:ascii="Times New Roman" w:hAnsi="Times New Roman" w:eastAsia="方正小标宋简体" w:cs="Times New Roman"/>
          <w:b w:val="0"/>
          <w:lang w:val="en-US" w:eastAsia="zh-CN"/>
        </w:rPr>
        <w:t xml:space="preserve"> </w:t>
      </w:r>
      <w:r>
        <w:rPr>
          <w:rStyle w:val="26"/>
          <w:rFonts w:hint="default" w:ascii="Times New Roman" w:hAnsi="Times New Roman" w:eastAsia="方正小标宋简体" w:cs="Times New Roman"/>
          <w:b w:val="0"/>
          <w:bCs w:val="0"/>
        </w:rPr>
        <w:t>部门概况</w:t>
      </w:r>
      <w:bookmarkEnd w:id="12"/>
      <w:bookmarkEnd w:id="13"/>
    </w:p>
    <w:p>
      <w:pPr>
        <w:pageBreakBefore w:val="0"/>
        <w:numPr>
          <w:ilvl w:val="0"/>
          <w:numId w:val="0"/>
        </w:numPr>
        <w:kinsoku/>
        <w:wordWrap/>
        <w:overflowPunct/>
        <w:topLinePunct w:val="0"/>
        <w:autoSpaceDE/>
        <w:autoSpaceDN/>
        <w:bidi w:val="0"/>
        <w:spacing w:line="560" w:lineRule="exact"/>
        <w:ind w:leftChars="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b w:val="0"/>
          <w:bCs w:val="0"/>
          <w:color w:val="auto"/>
          <w:sz w:val="32"/>
          <w:szCs w:val="32"/>
          <w:lang w:eastAsia="zh-CN"/>
        </w:rPr>
        <w:t>一、</w:t>
      </w:r>
      <w:r>
        <w:rPr>
          <w:rFonts w:hint="default" w:ascii="Times New Roman" w:hAnsi="Times New Roman" w:eastAsia="黑体" w:cs="Times New Roman"/>
          <w:b w:val="0"/>
          <w:bCs w:val="0"/>
          <w:color w:val="auto"/>
          <w:sz w:val="32"/>
          <w:szCs w:val="32"/>
        </w:rPr>
        <w:t>部门职责</w:t>
      </w:r>
      <w:bookmarkStart w:id="14" w:name="_Toc15377199"/>
      <w:bookmarkStart w:id="15" w:name="_Toc15378446"/>
      <w:bookmarkStart w:id="16" w:name="_Toc52180068"/>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红果彝族</w:t>
      </w:r>
      <w:r>
        <w:rPr>
          <w:rFonts w:hint="eastAsia" w:eastAsia="仿宋_GB2312" w:cs="Times New Roman"/>
          <w:b w:val="0"/>
          <w:bCs w:val="0"/>
          <w:color w:val="auto"/>
          <w:sz w:val="32"/>
          <w:szCs w:val="32"/>
          <w:lang w:val="zh-CN" w:eastAsia="zh-CN"/>
        </w:rPr>
        <w:t>乡</w:t>
      </w:r>
      <w:r>
        <w:rPr>
          <w:rFonts w:hint="default" w:ascii="Times New Roman" w:hAnsi="Times New Roman" w:eastAsia="仿宋_GB2312" w:cs="Times New Roman"/>
          <w:b w:val="0"/>
          <w:bCs w:val="0"/>
          <w:color w:val="auto"/>
          <w:sz w:val="32"/>
          <w:szCs w:val="32"/>
          <w:lang w:val="zh-CN" w:eastAsia="zh-CN"/>
        </w:rPr>
        <w:t>党政机构具有党委和政府两种职能，党委领导政府工作。主要是政治思想和方针政策的领导，干部的选拔，考核和监督，经济和行政工作中重大问题的决策。乡政府是基层国家行政机关，行使本行政区的行政职能。</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r>
        <w:rPr>
          <w:rFonts w:hint="default" w:ascii="Times New Roman" w:hAnsi="Times New Roman" w:eastAsia="楷体_GB2312" w:cs="Times New Roman"/>
          <w:b w:val="0"/>
          <w:bCs w:val="0"/>
          <w:color w:val="auto"/>
          <w:sz w:val="32"/>
          <w:szCs w:val="32"/>
          <w:lang w:val="zh-CN" w:eastAsia="zh-CN"/>
        </w:rPr>
        <w:t>（一）党委工作职能</w:t>
      </w:r>
      <w:r>
        <w:rPr>
          <w:rFonts w:hint="eastAsia" w:ascii="Times New Roman" w:hAnsi="Times New Roman" w:eastAsia="楷体_GB2312" w:cs="Times New Roman"/>
          <w:b w:val="0"/>
          <w:bCs w:val="0"/>
          <w:color w:val="auto"/>
          <w:sz w:val="32"/>
          <w:szCs w:val="32"/>
          <w:lang w:val="zh-CN" w:eastAsia="zh-CN"/>
        </w:rPr>
        <w:t>。</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1. 贯彻执行党的路线、方针、政策和上级党组织及党员代表大会的决议、决定。</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2. 研究决定全乡经济建设和社会发展中带有全局性的重大问题。</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3. 负责抓好所属党组织的思想建设、组织建设、作风建设。负责全面从严治党、党风廉政建设和反腐败工作。</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4. 按照干部管理权限，负责对干部的教育、培养、选拔任免和监督工作，向上级党组织推荐干部。</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5.领导工会、共青团、妇联、科协等群团组织，协调党政之间的关系。</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6. 负责本行政区域的政治思想、宣传、统战、政法、保密、武装、精神文明建设和民主法治建设等工作。</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7. 完成上级党组织交办的其他任务。</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r>
        <w:rPr>
          <w:rFonts w:hint="default" w:ascii="Times New Roman" w:hAnsi="Times New Roman" w:eastAsia="楷体_GB2312" w:cs="Times New Roman"/>
          <w:b w:val="0"/>
          <w:bCs w:val="0"/>
          <w:color w:val="auto"/>
          <w:sz w:val="32"/>
          <w:szCs w:val="32"/>
          <w:lang w:val="zh-CN" w:eastAsia="zh-CN"/>
        </w:rPr>
        <w:t>（二）政府工作职能</w:t>
      </w:r>
      <w:r>
        <w:rPr>
          <w:rFonts w:hint="eastAsia" w:ascii="Times New Roman" w:hAnsi="Times New Roman" w:eastAsia="楷体_GB2312" w:cs="Times New Roman"/>
          <w:b w:val="0"/>
          <w:bCs w:val="0"/>
          <w:color w:val="auto"/>
          <w:sz w:val="32"/>
          <w:szCs w:val="32"/>
          <w:lang w:val="zh-CN" w:eastAsia="zh-CN"/>
        </w:rPr>
        <w:t>。</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1. 贯彻执行党和国家的各项方针、政策、</w:t>
      </w:r>
      <w:r>
        <w:rPr>
          <w:rFonts w:hint="eastAsia" w:eastAsia="仿宋_GB2312" w:cs="Times New Roman"/>
          <w:b w:val="0"/>
          <w:bCs w:val="0"/>
          <w:color w:val="auto"/>
          <w:sz w:val="32"/>
          <w:szCs w:val="32"/>
          <w:lang w:val="zh-CN" w:eastAsia="zh-CN"/>
        </w:rPr>
        <w:t>法律法规</w:t>
      </w:r>
      <w:r>
        <w:rPr>
          <w:rFonts w:hint="default" w:ascii="Times New Roman" w:hAnsi="Times New Roman" w:eastAsia="仿宋_GB2312" w:cs="Times New Roman"/>
          <w:b w:val="0"/>
          <w:bCs w:val="0"/>
          <w:color w:val="auto"/>
          <w:sz w:val="32"/>
          <w:szCs w:val="32"/>
          <w:lang w:val="zh-CN" w:eastAsia="zh-CN"/>
        </w:rPr>
        <w:t>，以及上级行政机关和本乡党委、乡人大的决定、决议。</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2. 制定并执行本行政区域内经济和社会发展规划、计划。</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3. 负责乡村振兴、新农村建设和推进城乡一体化的组织和实施。</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4. 负责辖区经济、文化、教育、科学、卫生健康、民政、社会保障、民族宗教、村镇建设、司法、退役军人、 扶贫、信访、安全、统计等行政管理和服务工作。</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5. 负责农业产业结构调整和“三农”服务工作。</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6. 建立健全社会治理防控体系，开展爱国卫生、环境卫生监督检查，承担环境、资源保护等工作，促进人与自然和谐发展。</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7. 负责应急管理、安全生产、抢险救灾等工作，保护人民群众生命财产安全。</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8. 完成上级党委、政府交办的其他工作。</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r>
        <w:rPr>
          <w:rFonts w:hint="default" w:ascii="Times New Roman" w:hAnsi="Times New Roman" w:eastAsia="楷体_GB2312" w:cs="Times New Roman"/>
          <w:b w:val="0"/>
          <w:bCs w:val="0"/>
          <w:color w:val="auto"/>
          <w:sz w:val="32"/>
          <w:szCs w:val="32"/>
          <w:lang w:val="zh-CN" w:eastAsia="zh-CN"/>
        </w:rPr>
        <w:t>（三）202</w:t>
      </w:r>
      <w:r>
        <w:rPr>
          <w:rFonts w:hint="default" w:ascii="Times New Roman" w:hAnsi="Times New Roman" w:eastAsia="楷体_GB2312" w:cs="Times New Roman"/>
          <w:b w:val="0"/>
          <w:bCs w:val="0"/>
          <w:color w:val="auto"/>
          <w:sz w:val="32"/>
          <w:szCs w:val="32"/>
          <w:lang w:val="en-US" w:eastAsia="zh-CN"/>
        </w:rPr>
        <w:t>3</w:t>
      </w:r>
      <w:r>
        <w:rPr>
          <w:rFonts w:hint="default" w:ascii="Times New Roman" w:hAnsi="Times New Roman" w:eastAsia="楷体_GB2312" w:cs="Times New Roman"/>
          <w:b w:val="0"/>
          <w:bCs w:val="0"/>
          <w:color w:val="auto"/>
          <w:sz w:val="32"/>
          <w:szCs w:val="32"/>
          <w:lang w:val="zh-CN" w:eastAsia="zh-CN"/>
        </w:rPr>
        <w:t>年重点工作完成情况</w:t>
      </w:r>
      <w:bookmarkEnd w:id="14"/>
      <w:bookmarkEnd w:id="15"/>
      <w:bookmarkEnd w:id="16"/>
      <w:r>
        <w:rPr>
          <w:rFonts w:hint="eastAsia" w:ascii="Times New Roman" w:hAnsi="Times New Roman" w:eastAsia="楷体_GB2312" w:cs="Times New Roman"/>
          <w:b w:val="0"/>
          <w:bCs w:val="0"/>
          <w:color w:val="auto"/>
          <w:sz w:val="32"/>
          <w:szCs w:val="32"/>
          <w:lang w:val="zh-CN"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夯实“稳”的基础，经济运行稳中有进。2023年，完成地区生产总值（GDP）4.07亿元，同比增长7.7%。其中第一产业增加值2.19亿元，同比增长7.4%；第二产业增加值0.86亿元，同比增长8.9%；第三产业增加值1.02万元，同比增长7.4%。农民人均可支配收入2.1515万元，同比增长7.1%，粮食</w:t>
      </w:r>
      <w:r>
        <w:rPr>
          <w:rFonts w:hint="default" w:ascii="Times New Roman" w:hAnsi="Times New Roman" w:eastAsia="仿宋_GB2312" w:cs="Times New Roman"/>
          <w:b w:val="0"/>
          <w:bCs w:val="0"/>
          <w:color w:val="auto"/>
          <w:sz w:val="32"/>
          <w:szCs w:val="32"/>
          <w:lang w:val="en-US" w:eastAsia="zh-CN"/>
        </w:rPr>
        <w:t>生产</w:t>
      </w:r>
      <w:r>
        <w:rPr>
          <w:rFonts w:hint="default" w:ascii="Times New Roman" w:hAnsi="Times New Roman" w:eastAsia="仿宋_GB2312" w:cs="Times New Roman"/>
          <w:b w:val="0"/>
          <w:bCs w:val="0"/>
          <w:color w:val="auto"/>
          <w:sz w:val="32"/>
          <w:szCs w:val="32"/>
          <w:lang w:val="zh-CN" w:eastAsia="zh-CN"/>
        </w:rPr>
        <w:t>总产量7877.1吨，全年</w:t>
      </w:r>
      <w:r>
        <w:rPr>
          <w:rFonts w:hint="default" w:ascii="Times New Roman" w:hAnsi="Times New Roman" w:eastAsia="仿宋_GB2312" w:cs="Times New Roman"/>
          <w:b w:val="0"/>
          <w:bCs w:val="0"/>
          <w:color w:val="auto"/>
          <w:sz w:val="32"/>
          <w:szCs w:val="32"/>
          <w:lang w:val="en-US" w:eastAsia="zh-CN"/>
        </w:rPr>
        <w:t>完成</w:t>
      </w:r>
      <w:r>
        <w:rPr>
          <w:rFonts w:hint="default" w:ascii="Times New Roman" w:hAnsi="Times New Roman" w:eastAsia="仿宋_GB2312" w:cs="Times New Roman"/>
          <w:b w:val="0"/>
          <w:bCs w:val="0"/>
          <w:color w:val="auto"/>
          <w:sz w:val="32"/>
          <w:szCs w:val="32"/>
          <w:lang w:val="zh-CN" w:eastAsia="zh-CN"/>
        </w:rPr>
        <w:t>固定资产入库1.19亿元，</w:t>
      </w:r>
      <w:r>
        <w:rPr>
          <w:rFonts w:hint="default" w:ascii="Times New Roman" w:hAnsi="Times New Roman" w:eastAsia="仿宋_GB2312" w:cs="Times New Roman"/>
          <w:b w:val="0"/>
          <w:bCs w:val="0"/>
          <w:color w:val="auto"/>
          <w:sz w:val="32"/>
          <w:szCs w:val="32"/>
          <w:lang w:val="en-US" w:eastAsia="zh-CN"/>
        </w:rPr>
        <w:t>完成投资9400万元</w:t>
      </w:r>
      <w:r>
        <w:rPr>
          <w:rFonts w:hint="default" w:ascii="Times New Roman" w:hAnsi="Times New Roman" w:eastAsia="仿宋_GB2312" w:cs="Times New Roman"/>
          <w:b w:val="0"/>
          <w:bCs w:val="0"/>
          <w:color w:val="auto"/>
          <w:sz w:val="32"/>
          <w:szCs w:val="32"/>
          <w:lang w:val="zh-CN"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2"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bCs/>
          <w:color w:val="auto"/>
          <w:sz w:val="32"/>
          <w:szCs w:val="32"/>
          <w:lang w:val="en-US" w:eastAsia="zh-CN"/>
        </w:rPr>
        <w:t>聚焦“质”的提升，发展动能更加强劲。</w:t>
      </w:r>
      <w:r>
        <w:rPr>
          <w:rFonts w:hint="default" w:ascii="Times New Roman" w:hAnsi="Times New Roman" w:eastAsia="仿宋_GB2312" w:cs="Times New Roman"/>
          <w:b w:val="0"/>
          <w:bCs w:val="0"/>
          <w:color w:val="auto"/>
          <w:sz w:val="32"/>
          <w:szCs w:val="32"/>
          <w:lang w:val="zh-CN" w:eastAsia="zh-CN"/>
        </w:rPr>
        <w:t>农业经济持续向好，</w:t>
      </w:r>
      <w:r>
        <w:rPr>
          <w:rFonts w:hint="default" w:ascii="Times New Roman" w:hAnsi="Times New Roman" w:eastAsia="仿宋_GB2312" w:cs="Times New Roman"/>
          <w:b w:val="0"/>
          <w:bCs w:val="0"/>
          <w:color w:val="auto"/>
          <w:sz w:val="32"/>
          <w:szCs w:val="32"/>
          <w:lang w:val="en-US" w:eastAsia="zh-CN"/>
        </w:rPr>
        <w:t>新</w:t>
      </w:r>
      <w:r>
        <w:rPr>
          <w:rFonts w:hint="default" w:ascii="Times New Roman" w:hAnsi="Times New Roman" w:eastAsia="仿宋_GB2312" w:cs="Times New Roman"/>
          <w:b w:val="0"/>
          <w:bCs w:val="0"/>
          <w:color w:val="auto"/>
          <w:sz w:val="32"/>
          <w:szCs w:val="32"/>
          <w:lang w:val="zh-CN" w:eastAsia="zh-CN"/>
        </w:rPr>
        <w:t>成立3个专业合作社，构建“合作社+企业+农户”模式，</w:t>
      </w:r>
      <w:r>
        <w:rPr>
          <w:rFonts w:hint="default" w:ascii="Times New Roman" w:hAnsi="Times New Roman" w:eastAsia="仿宋_GB2312" w:cs="Times New Roman"/>
          <w:b w:val="0"/>
          <w:bCs w:val="0"/>
          <w:color w:val="auto"/>
          <w:sz w:val="32"/>
          <w:szCs w:val="32"/>
          <w:lang w:val="en-US" w:eastAsia="zh-CN"/>
        </w:rPr>
        <w:t>全力</w:t>
      </w:r>
      <w:r>
        <w:rPr>
          <w:rFonts w:hint="default" w:ascii="Times New Roman" w:hAnsi="Times New Roman" w:eastAsia="仿宋_GB2312" w:cs="Times New Roman"/>
          <w:b w:val="0"/>
          <w:bCs w:val="0"/>
          <w:color w:val="auto"/>
          <w:sz w:val="32"/>
          <w:szCs w:val="32"/>
          <w:lang w:val="zh-CN" w:eastAsia="zh-CN"/>
        </w:rPr>
        <w:t>打造晚熟芒果产业品牌，全乡优质晚熟芒果年产量达8000余吨，年产值约6700余万元。</w:t>
      </w:r>
      <w:r>
        <w:rPr>
          <w:rFonts w:hint="default" w:ascii="Times New Roman" w:hAnsi="Times New Roman" w:eastAsia="仿宋_GB2312" w:cs="Times New Roman"/>
          <w:b w:val="0"/>
          <w:bCs w:val="0"/>
          <w:color w:val="auto"/>
          <w:sz w:val="32"/>
          <w:szCs w:val="32"/>
          <w:lang w:val="en-US" w:eastAsia="zh-CN"/>
        </w:rPr>
        <w:t>念好“猪牛鱼羊”四字经，全乡存栏出栏量保持稳定上升。进一步推进</w:t>
      </w:r>
      <w:r>
        <w:rPr>
          <w:rFonts w:hint="default" w:ascii="Times New Roman" w:hAnsi="Times New Roman" w:eastAsia="仿宋_GB2312" w:cs="Times New Roman"/>
          <w:b w:val="0"/>
          <w:bCs w:val="0"/>
          <w:color w:val="auto"/>
          <w:sz w:val="32"/>
          <w:szCs w:val="32"/>
          <w:lang w:val="zh-CN" w:eastAsia="zh-CN"/>
        </w:rPr>
        <w:t>集镇周边</w:t>
      </w:r>
      <w:r>
        <w:rPr>
          <w:rFonts w:hint="default" w:ascii="Times New Roman" w:hAnsi="Times New Roman" w:eastAsia="仿宋_GB2312" w:cs="Times New Roman"/>
          <w:b w:val="0"/>
          <w:bCs w:val="0"/>
          <w:color w:val="auto"/>
          <w:sz w:val="32"/>
          <w:szCs w:val="32"/>
          <w:lang w:val="en-US" w:eastAsia="zh-CN"/>
        </w:rPr>
        <w:t>的</w:t>
      </w:r>
      <w:r>
        <w:rPr>
          <w:rFonts w:hint="default" w:ascii="Times New Roman" w:hAnsi="Times New Roman" w:eastAsia="仿宋_GB2312" w:cs="Times New Roman"/>
          <w:b w:val="0"/>
          <w:bCs w:val="0"/>
          <w:color w:val="auto"/>
          <w:sz w:val="32"/>
          <w:szCs w:val="32"/>
          <w:lang w:val="zh-CN" w:eastAsia="zh-CN"/>
        </w:rPr>
        <w:t>绿化、美化、</w:t>
      </w:r>
      <w:r>
        <w:rPr>
          <w:rFonts w:hint="default" w:ascii="Times New Roman" w:hAnsi="Times New Roman" w:eastAsia="仿宋_GB2312" w:cs="Times New Roman"/>
          <w:b w:val="0"/>
          <w:bCs w:val="0"/>
          <w:color w:val="auto"/>
          <w:sz w:val="32"/>
          <w:szCs w:val="32"/>
          <w:lang w:val="en-US" w:eastAsia="zh-CN"/>
        </w:rPr>
        <w:t>亮化、</w:t>
      </w:r>
      <w:r>
        <w:rPr>
          <w:rFonts w:hint="default" w:ascii="Times New Roman" w:hAnsi="Times New Roman" w:eastAsia="仿宋_GB2312" w:cs="Times New Roman"/>
          <w:b w:val="0"/>
          <w:bCs w:val="0"/>
          <w:color w:val="auto"/>
          <w:sz w:val="32"/>
          <w:szCs w:val="32"/>
          <w:lang w:val="zh-CN" w:eastAsia="zh-CN"/>
        </w:rPr>
        <w:t>黑化工程，完善集镇功能，提升乡村颜</w:t>
      </w:r>
      <w:r>
        <w:rPr>
          <w:rFonts w:hint="default" w:ascii="Times New Roman" w:hAnsi="Times New Roman" w:eastAsia="仿宋_GB2312" w:cs="Times New Roman"/>
          <w:b w:val="0"/>
          <w:bCs w:val="0"/>
          <w:color w:val="000000"/>
          <w:sz w:val="32"/>
          <w:szCs w:val="32"/>
          <w:lang w:eastAsia="zh-CN"/>
        </w:rPr>
        <w:t>值。</w:t>
      </w:r>
      <w:r>
        <w:rPr>
          <w:rFonts w:hint="default" w:ascii="Times New Roman" w:hAnsi="Times New Roman" w:eastAsia="仿宋_GB2312" w:cs="Times New Roman"/>
          <w:b w:val="0"/>
          <w:bCs w:val="0"/>
          <w:color w:val="000000"/>
          <w:sz w:val="32"/>
          <w:szCs w:val="32"/>
          <w:lang w:val="en-US" w:eastAsia="zh-CN"/>
        </w:rPr>
        <w:t>全面清理乡村闲置资产，理顺了权属关系，清除了盘活障碍。</w:t>
      </w:r>
      <w:r>
        <w:rPr>
          <w:rFonts w:hint="default" w:ascii="Times New Roman" w:hAnsi="Times New Roman" w:eastAsia="仿宋_GB2312" w:cs="Times New Roman"/>
          <w:b w:val="0"/>
          <w:bCs w:val="0"/>
          <w:color w:val="000000"/>
          <w:sz w:val="32"/>
          <w:szCs w:val="32"/>
          <w:lang w:eastAsia="zh-CN"/>
        </w:rPr>
        <w:t>重塑升</w:t>
      </w:r>
      <w:r>
        <w:rPr>
          <w:rFonts w:hint="default" w:ascii="Times New Roman" w:hAnsi="Times New Roman" w:eastAsia="仿宋_GB2312" w:cs="Times New Roman"/>
          <w:b w:val="0"/>
          <w:bCs w:val="0"/>
          <w:color w:val="auto"/>
          <w:sz w:val="32"/>
          <w:szCs w:val="32"/>
          <w:lang w:val="zh-CN" w:eastAsia="zh-CN"/>
        </w:rPr>
        <w:t>级红果码头旅游业态，码头度假村、星空露营地等</w:t>
      </w:r>
      <w:r>
        <w:rPr>
          <w:rFonts w:hint="default" w:ascii="Times New Roman" w:hAnsi="Times New Roman" w:eastAsia="仿宋_GB2312" w:cs="Times New Roman"/>
          <w:b w:val="0"/>
          <w:bCs w:val="0"/>
          <w:color w:val="auto"/>
          <w:sz w:val="32"/>
          <w:szCs w:val="32"/>
          <w:lang w:val="en-US" w:eastAsia="zh-CN"/>
        </w:rPr>
        <w:t>旅游打卡</w:t>
      </w:r>
      <w:r>
        <w:rPr>
          <w:rFonts w:hint="default" w:ascii="Times New Roman" w:hAnsi="Times New Roman" w:eastAsia="仿宋_GB2312" w:cs="Times New Roman"/>
          <w:b w:val="0"/>
          <w:bCs w:val="0"/>
          <w:color w:val="auto"/>
          <w:sz w:val="32"/>
          <w:szCs w:val="32"/>
          <w:lang w:val="zh-CN" w:eastAsia="zh-CN"/>
        </w:rPr>
        <w:t>项目</w:t>
      </w:r>
      <w:r>
        <w:rPr>
          <w:rFonts w:hint="default" w:ascii="Times New Roman" w:hAnsi="Times New Roman" w:eastAsia="仿宋_GB2312" w:cs="Times New Roman"/>
          <w:b w:val="0"/>
          <w:bCs w:val="0"/>
          <w:color w:val="auto"/>
          <w:sz w:val="32"/>
          <w:szCs w:val="32"/>
          <w:lang w:val="en-US" w:eastAsia="zh-CN"/>
        </w:rPr>
        <w:t>招商引资提上议事日程</w:t>
      </w:r>
      <w:r>
        <w:rPr>
          <w:rFonts w:hint="default" w:ascii="Times New Roman" w:hAnsi="Times New Roman" w:eastAsia="仿宋_GB2312" w:cs="Times New Roman"/>
          <w:b w:val="0"/>
          <w:bCs w:val="0"/>
          <w:color w:val="auto"/>
          <w:sz w:val="32"/>
          <w:szCs w:val="32"/>
          <w:lang w:val="zh-CN"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2"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bCs/>
          <w:color w:val="auto"/>
          <w:sz w:val="32"/>
          <w:szCs w:val="32"/>
          <w:lang w:val="en-US" w:eastAsia="zh-CN"/>
        </w:rPr>
        <w:t>回应“民”的需求，人民生活不断改善。</w:t>
      </w:r>
      <w:r>
        <w:rPr>
          <w:rFonts w:hint="default" w:ascii="Times New Roman" w:hAnsi="Times New Roman" w:eastAsia="仿宋_GB2312" w:cs="Times New Roman"/>
          <w:b w:val="0"/>
          <w:bCs w:val="0"/>
          <w:color w:val="auto"/>
          <w:sz w:val="32"/>
          <w:szCs w:val="32"/>
          <w:lang w:val="en-US" w:eastAsia="zh-CN"/>
        </w:rPr>
        <w:t>实施集镇周边群众安全饮水工程，500户农户吃上干净水用上放心水。圆满完成2023年医疗保险征收工作</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全乡普通人群参保率达97.6%，特殊人群参保率达100%。全面落实低保政策，累计发放资金376万元，累计发放农村特困分散供养人员资金23万元，累计发放临时救助人员资金8.93万元，改造19户残疾人无障碍设施。持续推进“厕所革命”，</w:t>
      </w:r>
      <w:r>
        <w:rPr>
          <w:rFonts w:hint="default" w:ascii="Times New Roman" w:hAnsi="Times New Roman" w:eastAsia="仿宋_GB2312" w:cs="Times New Roman"/>
          <w:b w:val="0"/>
          <w:bCs w:val="0"/>
          <w:color w:val="auto"/>
          <w:sz w:val="32"/>
          <w:szCs w:val="32"/>
          <w:lang w:val="zh-CN" w:eastAsia="zh-CN"/>
        </w:rPr>
        <w:t>新（改）建农村户用无害化卫生厕所</w:t>
      </w:r>
      <w:r>
        <w:rPr>
          <w:rFonts w:hint="default" w:ascii="Times New Roman" w:hAnsi="Times New Roman" w:eastAsia="仿宋_GB2312" w:cs="Times New Roman"/>
          <w:b w:val="0"/>
          <w:bCs w:val="0"/>
          <w:color w:val="auto"/>
          <w:sz w:val="32"/>
          <w:szCs w:val="32"/>
          <w:lang w:val="en-US" w:eastAsia="zh-CN"/>
        </w:rPr>
        <w:t>420</w:t>
      </w:r>
      <w:r>
        <w:rPr>
          <w:rFonts w:hint="default" w:ascii="Times New Roman" w:hAnsi="Times New Roman" w:eastAsia="仿宋_GB2312" w:cs="Times New Roman"/>
          <w:b w:val="0"/>
          <w:bCs w:val="0"/>
          <w:color w:val="auto"/>
          <w:sz w:val="32"/>
          <w:szCs w:val="32"/>
          <w:lang w:val="zh-CN" w:eastAsia="zh-CN"/>
        </w:rPr>
        <w:t>户。</w:t>
      </w:r>
      <w:r>
        <w:rPr>
          <w:rFonts w:hint="default" w:ascii="Times New Roman" w:hAnsi="Times New Roman" w:eastAsia="仿宋_GB2312" w:cs="Times New Roman"/>
          <w:b w:val="0"/>
          <w:bCs w:val="0"/>
          <w:color w:val="auto"/>
          <w:sz w:val="32"/>
          <w:szCs w:val="32"/>
          <w:lang w:val="en-US" w:eastAsia="zh-CN"/>
        </w:rPr>
        <w:t>常态化开展道路养护、日常保洁、垃圾转运等工作，开展农村人居环境整治行动14次，形成了横向到边、纵向到底、全域覆盖的人居环境整治格局，村民群众生活有保障，更有质量。</w:t>
      </w:r>
    </w:p>
    <w:p>
      <w:pPr>
        <w:keepNext w:val="0"/>
        <w:keepLines w:val="0"/>
        <w:pageBreakBefore w:val="0"/>
        <w:widowControl w:val="0"/>
        <w:kinsoku/>
        <w:wordWrap/>
        <w:overflowPunct/>
        <w:topLinePunct w:val="0"/>
        <w:autoSpaceDE/>
        <w:autoSpaceDN/>
        <w:bidi w:val="0"/>
        <w:adjustRightInd w:val="0"/>
        <w:snapToGrid w:val="0"/>
        <w:spacing w:line="540" w:lineRule="exact"/>
        <w:ind w:firstLine="642"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bCs/>
          <w:color w:val="auto"/>
          <w:sz w:val="32"/>
          <w:szCs w:val="32"/>
          <w:lang w:val="en-US" w:eastAsia="zh-CN"/>
        </w:rPr>
        <w:t>体现“治”的水平，社会保持和谐稳定。</w:t>
      </w:r>
      <w:r>
        <w:rPr>
          <w:rFonts w:hint="default" w:ascii="Times New Roman" w:hAnsi="Times New Roman" w:eastAsia="仿宋_GB2312" w:cs="Times New Roman"/>
          <w:b w:val="0"/>
          <w:bCs w:val="0"/>
          <w:color w:val="auto"/>
          <w:sz w:val="32"/>
          <w:szCs w:val="32"/>
          <w:lang w:val="en-US" w:eastAsia="zh-CN"/>
        </w:rPr>
        <w:t>坚定不移推进</w:t>
      </w:r>
      <w:r>
        <w:rPr>
          <w:rFonts w:hint="default" w:ascii="Times New Roman" w:hAnsi="Times New Roman" w:eastAsia="仿宋_GB2312" w:cs="Times New Roman"/>
          <w:b w:val="0"/>
          <w:bCs w:val="0"/>
          <w:color w:val="auto"/>
          <w:sz w:val="32"/>
          <w:szCs w:val="32"/>
          <w:lang w:val="zh-CN" w:eastAsia="zh-CN"/>
        </w:rPr>
        <w:t>长江十年禁渔</w:t>
      </w:r>
      <w:r>
        <w:rPr>
          <w:rFonts w:hint="default" w:ascii="Times New Roman" w:hAnsi="Times New Roman" w:eastAsia="仿宋_GB2312" w:cs="Times New Roman"/>
          <w:b w:val="0"/>
          <w:bCs w:val="0"/>
          <w:color w:val="auto"/>
          <w:sz w:val="32"/>
          <w:szCs w:val="32"/>
          <w:lang w:val="en-US" w:eastAsia="zh-CN"/>
        </w:rPr>
        <w:t>工作</w:t>
      </w:r>
      <w:r>
        <w:rPr>
          <w:rFonts w:hint="default" w:ascii="Times New Roman" w:hAnsi="Times New Roman" w:eastAsia="仿宋_GB2312" w:cs="Times New Roman"/>
          <w:b w:val="0"/>
          <w:bCs w:val="0"/>
          <w:color w:val="auto"/>
          <w:sz w:val="32"/>
          <w:szCs w:val="32"/>
          <w:lang w:val="zh-CN" w:eastAsia="zh-CN"/>
        </w:rPr>
        <w:t>，</w:t>
      </w:r>
      <w:r>
        <w:rPr>
          <w:rFonts w:hint="default" w:ascii="Times New Roman" w:hAnsi="Times New Roman" w:eastAsia="仿宋_GB2312" w:cs="Times New Roman"/>
          <w:b w:val="0"/>
          <w:bCs w:val="0"/>
          <w:color w:val="auto"/>
          <w:sz w:val="32"/>
          <w:szCs w:val="32"/>
          <w:lang w:val="en-US" w:eastAsia="zh-CN"/>
        </w:rPr>
        <w:t>全面落实“河（湖）长制”“林长制”“田长制”“路长制”工作，坚决保护</w:t>
      </w:r>
      <w:r>
        <w:rPr>
          <w:rFonts w:hint="default" w:ascii="Times New Roman" w:hAnsi="Times New Roman" w:eastAsia="仿宋_GB2312" w:cs="Times New Roman"/>
          <w:b w:val="0"/>
          <w:bCs w:val="0"/>
          <w:color w:val="auto"/>
          <w:sz w:val="32"/>
          <w:szCs w:val="32"/>
          <w:lang w:val="zh-CN" w:eastAsia="zh-CN"/>
        </w:rPr>
        <w:t>“山水林田河湖草”自然资源，</w:t>
      </w:r>
      <w:r>
        <w:rPr>
          <w:rFonts w:hint="default" w:ascii="Times New Roman" w:hAnsi="Times New Roman" w:eastAsia="仿宋_GB2312" w:cs="Times New Roman"/>
          <w:b w:val="0"/>
          <w:bCs w:val="0"/>
          <w:color w:val="auto"/>
          <w:sz w:val="32"/>
          <w:szCs w:val="32"/>
          <w:lang w:val="en-US" w:eastAsia="zh-CN"/>
        </w:rPr>
        <w:t>全力守好耕地保护红线和永久基本农田，保证粮食生产产量总体稳定</w:t>
      </w:r>
      <w:r>
        <w:rPr>
          <w:rFonts w:hint="default" w:ascii="Times New Roman" w:hAnsi="Times New Roman" w:eastAsia="仿宋_GB2312" w:cs="Times New Roman"/>
          <w:b w:val="0"/>
          <w:bCs w:val="0"/>
          <w:color w:val="auto"/>
          <w:sz w:val="32"/>
          <w:szCs w:val="32"/>
          <w:lang w:val="zh-CN" w:eastAsia="zh-CN"/>
        </w:rPr>
        <w:t>。</w:t>
      </w:r>
      <w:r>
        <w:rPr>
          <w:rFonts w:hint="default" w:ascii="Times New Roman" w:hAnsi="Times New Roman" w:eastAsia="仿宋_GB2312" w:cs="Times New Roman"/>
          <w:b w:val="0"/>
          <w:bCs w:val="0"/>
          <w:color w:val="auto"/>
          <w:sz w:val="32"/>
          <w:szCs w:val="32"/>
          <w:lang w:val="en-US" w:eastAsia="zh-CN"/>
        </w:rPr>
        <w:t>深入开展危房整治工作，消除101户既有建筑C/D级危房。狠抓煤矿非煤矿山、食品药品、道路交通、燃气等重点行业领域安全生产检查专项行动，真正将安全工作贯穿全乡经济发展全过程。全力做好信访维稳，全年调解初信初访事件20余起，化解信访积案7起。</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此外，我乡在民族宗教、外事侨务、国防动员、民兵预备役等工作中也取得积极成效，妇女儿童和老龄、残疾人的权益保障见行见效，防震救灾、共青团、工会、招商引资、邮政、通信、科协、档案、审计、统计、地方志等工作有序开展。</w:t>
      </w:r>
      <w:bookmarkStart w:id="17" w:name="_Toc15396602"/>
      <w:bookmarkStart w:id="18" w:name="_Toc15377204"/>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二、机构设置</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红果彝族乡下属二级预算单位4个，其中行政单位0个，参照公务员法管理的事业单位0个，其他事业单位4个。</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纳入红果彝族乡2024年度部门决算编制范围的二级预算单位包括：红果彝族乡便民服务中心、红果彝族乡农业农村服务中心、红果彝族乡村镇建设服务中心、红果彝族乡宣传文化旅游服务中心。</w:t>
      </w:r>
    </w:p>
    <w:p>
      <w:pPr>
        <w:rPr>
          <w:rFonts w:hint="default" w:ascii="Times New Roman" w:hAnsi="Times New Roman" w:eastAsia="黑体" w:cs="Times New Roman"/>
          <w:b w:val="0"/>
          <w:bCs w:val="0"/>
          <w:color w:val="auto"/>
          <w:kern w:val="2"/>
          <w:sz w:val="44"/>
          <w:szCs w:val="44"/>
          <w:lang w:val="en-US" w:eastAsia="zh-CN" w:bidi="ar-SA"/>
        </w:rPr>
      </w:pPr>
      <w:r>
        <w:rPr>
          <w:rFonts w:hint="default" w:ascii="Times New Roman" w:hAnsi="Times New Roman" w:eastAsia="黑体" w:cs="Times New Roman"/>
          <w:b w:val="0"/>
          <w:bCs w:val="0"/>
          <w:color w:val="auto"/>
          <w:kern w:val="2"/>
          <w:sz w:val="44"/>
          <w:szCs w:val="44"/>
          <w:lang w:val="en-US" w:eastAsia="zh-CN" w:bidi="ar-SA"/>
        </w:rPr>
        <w:br w:type="page"/>
      </w:r>
    </w:p>
    <w:p>
      <w:pPr>
        <w:pStyle w:val="3"/>
        <w:numPr>
          <w:ilvl w:val="0"/>
          <w:numId w:val="0"/>
        </w:numPr>
        <w:ind w:right="440" w:rightChars="0"/>
        <w:jc w:val="center"/>
        <w:rPr>
          <w:rFonts w:hint="eastAsia" w:ascii="方正小标宋简体" w:hAnsi="方正小标宋简体" w:eastAsia="方正小标宋简体" w:cs="方正小标宋简体"/>
          <w:b w:val="0"/>
          <w:bCs w:val="0"/>
          <w:color w:val="auto"/>
          <w:kern w:val="2"/>
          <w:sz w:val="44"/>
          <w:szCs w:val="44"/>
          <w:lang w:val="en-US" w:eastAsia="zh-CN" w:bidi="ar-SA"/>
        </w:rPr>
      </w:pPr>
      <w:r>
        <w:rPr>
          <w:rFonts w:hint="eastAsia" w:ascii="方正小标宋简体" w:hAnsi="方正小标宋简体" w:eastAsia="方正小标宋简体" w:cs="方正小标宋简体"/>
          <w:b w:val="0"/>
          <w:bCs w:val="0"/>
          <w:color w:val="auto"/>
          <w:kern w:val="2"/>
          <w:sz w:val="44"/>
          <w:szCs w:val="44"/>
          <w:lang w:val="en-US" w:eastAsia="zh-CN" w:bidi="ar-SA"/>
        </w:rPr>
        <w:t>第二部分 2023年度部门决算情况说明</w:t>
      </w:r>
      <w:bookmarkEnd w:id="17"/>
      <w:bookmarkEnd w:id="18"/>
    </w:p>
    <w:p>
      <w:pPr>
        <w:rPr>
          <w:rFonts w:hint="default" w:ascii="Times New Roman" w:hAnsi="Times New Roman" w:cs="Times New Roman"/>
        </w:rPr>
      </w:pPr>
    </w:p>
    <w:p>
      <w:pPr>
        <w:pStyle w:val="36"/>
        <w:numPr>
          <w:ilvl w:val="0"/>
          <w:numId w:val="1"/>
        </w:numPr>
        <w:spacing w:line="600" w:lineRule="exact"/>
        <w:ind w:firstLineChars="0"/>
        <w:outlineLvl w:val="1"/>
        <w:rPr>
          <w:rStyle w:val="27"/>
          <w:rFonts w:hint="default" w:ascii="Times New Roman" w:hAnsi="Times New Roman" w:eastAsia="黑体" w:cs="Times New Roman"/>
          <w:b w:val="0"/>
        </w:rPr>
      </w:pPr>
      <w:bookmarkStart w:id="19" w:name="_Toc15396603"/>
      <w:bookmarkStart w:id="20" w:name="_Toc15377205"/>
      <w:r>
        <w:rPr>
          <w:rFonts w:hint="default" w:ascii="Times New Roman" w:hAnsi="Times New Roman" w:eastAsia="黑体" w:cs="Times New Roman"/>
          <w:sz w:val="32"/>
          <w:szCs w:val="32"/>
        </w:rPr>
        <w:t>收</w:t>
      </w:r>
      <w:r>
        <w:rPr>
          <w:rStyle w:val="27"/>
          <w:rFonts w:hint="default" w:ascii="Times New Roman" w:hAnsi="Times New Roman" w:eastAsia="黑体" w:cs="Times New Roman"/>
          <w:b w:val="0"/>
        </w:rPr>
        <w:t>入支出决算总体情况说明</w:t>
      </w:r>
      <w:bookmarkEnd w:id="19"/>
      <w:bookmarkEnd w:id="20"/>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eastAsia="zh-CN"/>
        </w:rPr>
        <w:t>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eastAsia="zh-CN"/>
        </w:rPr>
        <w:t>年度收入总计</w:t>
      </w:r>
      <w:r>
        <w:rPr>
          <w:rFonts w:hint="default" w:ascii="Times New Roman" w:hAnsi="Times New Roman" w:eastAsia="仿宋_GB2312" w:cs="Times New Roman"/>
          <w:b w:val="0"/>
          <w:bCs w:val="0"/>
          <w:color w:val="auto"/>
          <w:sz w:val="32"/>
          <w:szCs w:val="32"/>
          <w:lang w:val="en-US" w:eastAsia="zh-CN"/>
        </w:rPr>
        <w:t>1938.36</w:t>
      </w:r>
      <w:r>
        <w:rPr>
          <w:rFonts w:hint="default" w:ascii="Times New Roman" w:hAnsi="Times New Roman" w:eastAsia="仿宋_GB2312" w:cs="Times New Roman"/>
          <w:b w:val="0"/>
          <w:bCs w:val="0"/>
          <w:color w:val="auto"/>
          <w:sz w:val="32"/>
          <w:szCs w:val="32"/>
          <w:lang w:eastAsia="zh-CN"/>
        </w:rPr>
        <w:t>万元、支出总计1</w:t>
      </w:r>
      <w:r>
        <w:rPr>
          <w:rFonts w:hint="default" w:ascii="Times New Roman" w:hAnsi="Times New Roman" w:eastAsia="仿宋_GB2312" w:cs="Times New Roman"/>
          <w:b w:val="0"/>
          <w:bCs w:val="0"/>
          <w:color w:val="auto"/>
          <w:sz w:val="32"/>
          <w:szCs w:val="32"/>
          <w:lang w:val="en-US" w:eastAsia="zh-CN"/>
        </w:rPr>
        <w:t>938.36</w:t>
      </w:r>
      <w:r>
        <w:rPr>
          <w:rFonts w:hint="default" w:ascii="Times New Roman" w:hAnsi="Times New Roman" w:eastAsia="仿宋_GB2312" w:cs="Times New Roman"/>
          <w:b w:val="0"/>
          <w:bCs w:val="0"/>
          <w:color w:val="auto"/>
          <w:sz w:val="32"/>
          <w:szCs w:val="32"/>
          <w:lang w:eastAsia="zh-CN"/>
        </w:rPr>
        <w:t>万元。与</w:t>
      </w:r>
      <w:r>
        <w:rPr>
          <w:rFonts w:hint="default" w:ascii="Times New Roman" w:hAnsi="Times New Roman" w:eastAsia="仿宋_GB2312" w:cs="Times New Roman"/>
          <w:b w:val="0"/>
          <w:bCs w:val="0"/>
          <w:color w:val="auto"/>
          <w:sz w:val="32"/>
          <w:szCs w:val="32"/>
          <w:lang w:val="en-US" w:eastAsia="zh-CN"/>
        </w:rPr>
        <w:t>2022</w:t>
      </w:r>
      <w:r>
        <w:rPr>
          <w:rFonts w:hint="default" w:ascii="Times New Roman" w:hAnsi="Times New Roman" w:eastAsia="仿宋_GB2312" w:cs="Times New Roman"/>
          <w:b w:val="0"/>
          <w:bCs w:val="0"/>
          <w:color w:val="auto"/>
          <w:sz w:val="32"/>
          <w:szCs w:val="32"/>
          <w:lang w:eastAsia="zh-CN"/>
        </w:rPr>
        <w:t>年相比，收入总计增加</w:t>
      </w:r>
      <w:r>
        <w:rPr>
          <w:rFonts w:hint="default" w:ascii="Times New Roman" w:hAnsi="Times New Roman" w:eastAsia="仿宋_GB2312" w:cs="Times New Roman"/>
          <w:b w:val="0"/>
          <w:bCs w:val="0"/>
          <w:color w:val="auto"/>
          <w:sz w:val="32"/>
          <w:szCs w:val="32"/>
          <w:lang w:val="en-US" w:eastAsia="zh-CN"/>
        </w:rPr>
        <w:t>41.06</w:t>
      </w:r>
      <w:r>
        <w:rPr>
          <w:rFonts w:hint="default" w:ascii="Times New Roman" w:hAnsi="Times New Roman" w:eastAsia="仿宋_GB2312" w:cs="Times New Roman"/>
          <w:b w:val="0"/>
          <w:bCs w:val="0"/>
          <w:color w:val="auto"/>
          <w:sz w:val="32"/>
          <w:szCs w:val="32"/>
          <w:lang w:eastAsia="zh-CN"/>
        </w:rPr>
        <w:t>万元、支出总计增加</w:t>
      </w:r>
      <w:r>
        <w:rPr>
          <w:rFonts w:hint="default" w:ascii="Times New Roman" w:hAnsi="Times New Roman" w:eastAsia="仿宋_GB2312" w:cs="Times New Roman"/>
          <w:b w:val="0"/>
          <w:bCs w:val="0"/>
          <w:color w:val="auto"/>
          <w:sz w:val="32"/>
          <w:szCs w:val="32"/>
          <w:lang w:val="en-US" w:eastAsia="zh-CN"/>
        </w:rPr>
        <w:t>46.06</w:t>
      </w:r>
      <w:r>
        <w:rPr>
          <w:rFonts w:hint="default" w:ascii="Times New Roman" w:hAnsi="Times New Roman" w:eastAsia="仿宋_GB2312" w:cs="Times New Roman"/>
          <w:b w:val="0"/>
          <w:bCs w:val="0"/>
          <w:color w:val="auto"/>
          <w:sz w:val="32"/>
          <w:szCs w:val="32"/>
          <w:lang w:eastAsia="zh-CN"/>
        </w:rPr>
        <w:t>万元，收入增长</w:t>
      </w:r>
      <w:r>
        <w:rPr>
          <w:rFonts w:hint="default" w:ascii="Times New Roman" w:hAnsi="Times New Roman" w:eastAsia="仿宋_GB2312" w:cs="Times New Roman"/>
          <w:b w:val="0"/>
          <w:bCs w:val="0"/>
          <w:color w:val="auto"/>
          <w:sz w:val="32"/>
          <w:szCs w:val="32"/>
          <w:lang w:val="en-US" w:eastAsia="zh-CN"/>
        </w:rPr>
        <w:t>1.9</w:t>
      </w:r>
      <w:r>
        <w:rPr>
          <w:rFonts w:hint="default" w:ascii="Times New Roman" w:hAnsi="Times New Roman" w:eastAsia="仿宋_GB2312" w:cs="Times New Roman"/>
          <w:b w:val="0"/>
          <w:bCs w:val="0"/>
          <w:color w:val="auto"/>
          <w:sz w:val="32"/>
          <w:szCs w:val="32"/>
          <w:lang w:eastAsia="zh-CN"/>
        </w:rPr>
        <w:t>%，支出增长</w:t>
      </w:r>
      <w:r>
        <w:rPr>
          <w:rFonts w:hint="default" w:ascii="Times New Roman" w:hAnsi="Times New Roman" w:eastAsia="仿宋_GB2312" w:cs="Times New Roman"/>
          <w:b w:val="0"/>
          <w:bCs w:val="0"/>
          <w:color w:val="auto"/>
          <w:sz w:val="32"/>
          <w:szCs w:val="32"/>
          <w:lang w:val="en-US" w:eastAsia="zh-CN"/>
        </w:rPr>
        <w:t>2.43</w:t>
      </w:r>
      <w:r>
        <w:rPr>
          <w:rFonts w:hint="default" w:ascii="Times New Roman" w:hAnsi="Times New Roman" w:eastAsia="仿宋_GB2312" w:cs="Times New Roman"/>
          <w:b w:val="0"/>
          <w:bCs w:val="0"/>
          <w:color w:val="auto"/>
          <w:sz w:val="32"/>
          <w:szCs w:val="32"/>
          <w:lang w:eastAsia="zh-CN"/>
        </w:rPr>
        <w:t>%。主要变动原因是基本支出资金增加。</w:t>
      </w:r>
    </w:p>
    <w:p>
      <w:pPr>
        <w:pStyle w:val="8"/>
        <w:spacing w:before="93"/>
        <w:rPr>
          <w:rFonts w:hint="default" w:ascii="Times New Roman" w:hAnsi="Times New Roman" w:eastAsia="仿宋" w:cs="Times New Roman"/>
          <w:sz w:val="32"/>
          <w:szCs w:val="32"/>
        </w:rPr>
      </w:pPr>
      <w:r>
        <w:rPr>
          <w:rFonts w:hint="default" w:ascii="Times New Roman" w:hAnsi="Times New Roman" w:cs="Times New Roman"/>
        </w:rPr>
        <w:drawing>
          <wp:inline distT="0" distB="0" distL="114300" distR="114300">
            <wp:extent cx="5428615" cy="2753360"/>
            <wp:effectExtent l="4445" t="4445" r="15240" b="23495"/>
            <wp:docPr id="9"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eastAsia="zh-CN"/>
        </w:rPr>
        <w:t>（图1：收、支决算总计变动情况图）</w:t>
      </w:r>
    </w:p>
    <w:p>
      <w:pPr>
        <w:pStyle w:val="36"/>
        <w:numPr>
          <w:ilvl w:val="0"/>
          <w:numId w:val="0"/>
        </w:numPr>
        <w:spacing w:line="600" w:lineRule="exact"/>
        <w:ind w:left="640" w:leftChars="0"/>
        <w:outlineLvl w:val="1"/>
        <w:rPr>
          <w:rStyle w:val="27"/>
          <w:rFonts w:hint="default" w:ascii="Times New Roman" w:hAnsi="Times New Roman" w:eastAsia="黑体" w:cs="Times New Roman"/>
          <w:b w:val="0"/>
        </w:rPr>
      </w:pPr>
      <w:bookmarkStart w:id="21" w:name="_Toc15377206"/>
      <w:bookmarkStart w:id="22" w:name="_Toc15396604"/>
      <w:r>
        <w:rPr>
          <w:rStyle w:val="27"/>
          <w:rFonts w:hint="default" w:ascii="Times New Roman" w:hAnsi="Times New Roman" w:eastAsia="黑体" w:cs="Times New Roman"/>
          <w:b w:val="0"/>
          <w:lang w:val="en-US" w:eastAsia="zh-CN"/>
        </w:rPr>
        <w:t>二、</w:t>
      </w:r>
      <w:r>
        <w:rPr>
          <w:rStyle w:val="27"/>
          <w:rFonts w:hint="default" w:ascii="Times New Roman" w:hAnsi="Times New Roman" w:eastAsia="黑体" w:cs="Times New Roman"/>
          <w:b w:val="0"/>
        </w:rPr>
        <w:t>入决算情况说明</w:t>
      </w:r>
      <w:bookmarkEnd w:id="21"/>
      <w:bookmarkEnd w:id="22"/>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eastAsia="zh-CN"/>
        </w:rPr>
        <w:t>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eastAsia="zh-CN"/>
        </w:rPr>
        <w:t>年本年收入合计</w:t>
      </w:r>
      <w:r>
        <w:rPr>
          <w:rFonts w:hint="default" w:ascii="Times New Roman" w:hAnsi="Times New Roman" w:eastAsia="仿宋_GB2312" w:cs="Times New Roman"/>
          <w:b w:val="0"/>
          <w:bCs w:val="0"/>
          <w:color w:val="auto"/>
          <w:sz w:val="32"/>
          <w:szCs w:val="32"/>
          <w:lang w:val="en-US" w:eastAsia="zh-CN"/>
        </w:rPr>
        <w:t>1933.36</w:t>
      </w:r>
      <w:r>
        <w:rPr>
          <w:rFonts w:hint="default" w:ascii="Times New Roman" w:hAnsi="Times New Roman" w:eastAsia="仿宋_GB2312" w:cs="Times New Roman"/>
          <w:b w:val="0"/>
          <w:bCs w:val="0"/>
          <w:color w:val="auto"/>
          <w:sz w:val="32"/>
          <w:szCs w:val="32"/>
          <w:lang w:eastAsia="zh-CN"/>
        </w:rPr>
        <w:t>万元，其中：一般公共预算财政拨款收入</w:t>
      </w:r>
      <w:r>
        <w:rPr>
          <w:rFonts w:hint="default" w:ascii="Times New Roman" w:hAnsi="Times New Roman" w:eastAsia="仿宋_GB2312" w:cs="Times New Roman"/>
          <w:b w:val="0"/>
          <w:bCs w:val="0"/>
          <w:color w:val="auto"/>
          <w:sz w:val="32"/>
          <w:szCs w:val="32"/>
          <w:lang w:val="en-US" w:eastAsia="zh-CN"/>
        </w:rPr>
        <w:t>1881.24</w:t>
      </w:r>
      <w:r>
        <w:rPr>
          <w:rFonts w:hint="default" w:ascii="Times New Roman" w:hAnsi="Times New Roman" w:eastAsia="仿宋_GB2312" w:cs="Times New Roman"/>
          <w:b w:val="0"/>
          <w:bCs w:val="0"/>
          <w:color w:val="auto"/>
          <w:sz w:val="32"/>
          <w:szCs w:val="32"/>
          <w:lang w:eastAsia="zh-CN"/>
        </w:rPr>
        <w:t>万元，占</w:t>
      </w:r>
      <w:r>
        <w:rPr>
          <w:rFonts w:hint="default" w:ascii="Times New Roman" w:hAnsi="Times New Roman" w:eastAsia="仿宋_GB2312" w:cs="Times New Roman"/>
          <w:b w:val="0"/>
          <w:bCs w:val="0"/>
          <w:color w:val="auto"/>
          <w:sz w:val="32"/>
          <w:szCs w:val="32"/>
          <w:lang w:val="en-US" w:eastAsia="zh-CN"/>
        </w:rPr>
        <w:t>97.31</w:t>
      </w:r>
      <w:r>
        <w:rPr>
          <w:rFonts w:hint="default" w:ascii="Times New Roman" w:hAnsi="Times New Roman" w:eastAsia="仿宋_GB2312" w:cs="Times New Roman"/>
          <w:b w:val="0"/>
          <w:bCs w:val="0"/>
          <w:color w:val="auto"/>
          <w:sz w:val="32"/>
          <w:szCs w:val="32"/>
          <w:lang w:eastAsia="zh-CN"/>
        </w:rPr>
        <w:t>%；政府性基金预算财政拨款收入</w:t>
      </w:r>
      <w:r>
        <w:rPr>
          <w:rFonts w:hint="default" w:ascii="Times New Roman" w:hAnsi="Times New Roman" w:eastAsia="仿宋_GB2312" w:cs="Times New Roman"/>
          <w:b w:val="0"/>
          <w:bCs w:val="0"/>
          <w:color w:val="auto"/>
          <w:sz w:val="32"/>
          <w:szCs w:val="32"/>
          <w:lang w:val="en-US" w:eastAsia="zh-CN"/>
        </w:rPr>
        <w:t>32.12</w:t>
      </w:r>
      <w:r>
        <w:rPr>
          <w:rFonts w:hint="default" w:ascii="Times New Roman" w:hAnsi="Times New Roman" w:eastAsia="仿宋_GB2312" w:cs="Times New Roman"/>
          <w:b w:val="0"/>
          <w:bCs w:val="0"/>
          <w:color w:val="auto"/>
          <w:sz w:val="32"/>
          <w:szCs w:val="32"/>
          <w:lang w:eastAsia="zh-CN"/>
        </w:rPr>
        <w:t>万元，占</w:t>
      </w:r>
      <w:r>
        <w:rPr>
          <w:rFonts w:hint="default" w:ascii="Times New Roman" w:hAnsi="Times New Roman" w:eastAsia="仿宋_GB2312" w:cs="Times New Roman"/>
          <w:b w:val="0"/>
          <w:bCs w:val="0"/>
          <w:color w:val="auto"/>
          <w:sz w:val="32"/>
          <w:szCs w:val="32"/>
          <w:lang w:val="en-US" w:eastAsia="zh-CN"/>
        </w:rPr>
        <w:t>1.66</w:t>
      </w:r>
      <w:r>
        <w:rPr>
          <w:rFonts w:hint="default" w:ascii="Times New Roman" w:hAnsi="Times New Roman" w:eastAsia="仿宋_GB2312" w:cs="Times New Roman"/>
          <w:b w:val="0"/>
          <w:bCs w:val="0"/>
          <w:color w:val="auto"/>
          <w:sz w:val="32"/>
          <w:szCs w:val="32"/>
          <w:lang w:eastAsia="zh-CN"/>
        </w:rPr>
        <w:t>%；其他收入</w:t>
      </w:r>
      <w:r>
        <w:rPr>
          <w:rFonts w:hint="default" w:ascii="Times New Roman" w:hAnsi="Times New Roman" w:eastAsia="仿宋_GB2312" w:cs="Times New Roman"/>
          <w:b w:val="0"/>
          <w:bCs w:val="0"/>
          <w:color w:val="auto"/>
          <w:sz w:val="32"/>
          <w:szCs w:val="32"/>
          <w:lang w:val="en-US" w:eastAsia="zh-CN"/>
        </w:rPr>
        <w:t>20</w:t>
      </w:r>
      <w:r>
        <w:rPr>
          <w:rFonts w:hint="default" w:ascii="Times New Roman" w:hAnsi="Times New Roman" w:eastAsia="仿宋_GB2312" w:cs="Times New Roman"/>
          <w:b w:val="0"/>
          <w:bCs w:val="0"/>
          <w:color w:val="auto"/>
          <w:sz w:val="32"/>
          <w:szCs w:val="32"/>
          <w:lang w:eastAsia="zh-CN"/>
        </w:rPr>
        <w:t>万元，占1.</w:t>
      </w:r>
      <w:r>
        <w:rPr>
          <w:rFonts w:hint="default" w:ascii="Times New Roman" w:hAnsi="Times New Roman" w:eastAsia="仿宋_GB2312" w:cs="Times New Roman"/>
          <w:b w:val="0"/>
          <w:bCs w:val="0"/>
          <w:color w:val="auto"/>
          <w:sz w:val="32"/>
          <w:szCs w:val="32"/>
          <w:lang w:val="en-US" w:eastAsia="zh-CN"/>
        </w:rPr>
        <w:t>03</w:t>
      </w:r>
      <w:r>
        <w:rPr>
          <w:rFonts w:hint="default" w:ascii="Times New Roman" w:hAnsi="Times New Roman" w:eastAsia="仿宋_GB2312" w:cs="Times New Roman"/>
          <w:b w:val="0"/>
          <w:bCs w:val="0"/>
          <w:color w:val="auto"/>
          <w:sz w:val="32"/>
          <w:szCs w:val="32"/>
          <w:lang w:eastAsia="zh-CN"/>
        </w:rPr>
        <w:t>%。</w:t>
      </w:r>
    </w:p>
    <w:p>
      <w:pPr>
        <w:pStyle w:val="8"/>
        <w:spacing w:before="93"/>
        <w:rPr>
          <w:rFonts w:hint="default" w:ascii="Times New Roman" w:hAnsi="Times New Roman" w:eastAsia="仿宋" w:cs="Times New Roman"/>
          <w:sz w:val="32"/>
          <w:szCs w:val="32"/>
        </w:rPr>
      </w:pPr>
      <w:r>
        <w:rPr>
          <w:rFonts w:hint="default" w:ascii="Times New Roman" w:hAnsi="Times New Roman" w:cs="Times New Roman"/>
        </w:rPr>
        <w:drawing>
          <wp:inline distT="0" distB="0" distL="114300" distR="114300">
            <wp:extent cx="5587365" cy="2686685"/>
            <wp:effectExtent l="4445" t="4445" r="8890" b="13970"/>
            <wp:docPr id="10"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（图2：收入决算结构图）</w:t>
      </w:r>
    </w:p>
    <w:p>
      <w:pPr>
        <w:pStyle w:val="36"/>
        <w:numPr>
          <w:ilvl w:val="0"/>
          <w:numId w:val="0"/>
        </w:numPr>
        <w:spacing w:line="600" w:lineRule="exact"/>
        <w:ind w:left="640" w:leftChars="0"/>
        <w:outlineLvl w:val="1"/>
        <w:rPr>
          <w:rStyle w:val="27"/>
          <w:rFonts w:hint="default" w:ascii="Times New Roman" w:hAnsi="Times New Roman" w:eastAsia="黑体" w:cs="Times New Roman"/>
          <w:b w:val="0"/>
        </w:rPr>
      </w:pPr>
      <w:bookmarkStart w:id="23" w:name="_Toc15396605"/>
      <w:bookmarkStart w:id="24" w:name="_Toc15377207"/>
      <w:r>
        <w:rPr>
          <w:rFonts w:hint="default"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rPr>
        <w:t>支</w:t>
      </w:r>
      <w:r>
        <w:rPr>
          <w:rStyle w:val="27"/>
          <w:rFonts w:hint="default" w:ascii="Times New Roman" w:hAnsi="Times New Roman" w:eastAsia="黑体" w:cs="Times New Roman"/>
          <w:b w:val="0"/>
        </w:rPr>
        <w:t>出决算情况说明</w:t>
      </w:r>
      <w:bookmarkEnd w:id="23"/>
      <w:bookmarkEnd w:id="24"/>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2023年本年支出合计1938.36万元，其中：基本支出1496.62万元，占77.21%；项目支出441.74万元，占22.79%。</w:t>
      </w:r>
    </w:p>
    <w:p>
      <w:pPr>
        <w:pStyle w:val="8"/>
        <w:spacing w:before="93"/>
        <w:rPr>
          <w:rFonts w:hint="default" w:ascii="Times New Roman" w:hAnsi="Times New Roman" w:eastAsia="仿宋" w:cs="Times New Roman"/>
          <w:sz w:val="32"/>
          <w:szCs w:val="32"/>
        </w:rPr>
      </w:pPr>
      <w:r>
        <w:rPr>
          <w:rFonts w:hint="default" w:ascii="Times New Roman" w:hAnsi="Times New Roman" w:cs="Times New Roman"/>
        </w:rPr>
        <w:drawing>
          <wp:inline distT="0" distB="0" distL="114300" distR="114300">
            <wp:extent cx="5657215" cy="2676525"/>
            <wp:effectExtent l="4445" t="4445" r="15240" b="5080"/>
            <wp:docPr id="13"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 w:cs="Times New Roman"/>
          <w:sz w:val="32"/>
          <w:szCs w:val="32"/>
        </w:rPr>
        <w:t>（图3：支出决算结构图）</w:t>
      </w:r>
    </w:p>
    <w:p>
      <w:pPr>
        <w:spacing w:line="600" w:lineRule="exact"/>
        <w:ind w:firstLine="640" w:firstLineChars="200"/>
        <w:outlineLvl w:val="1"/>
        <w:rPr>
          <w:rStyle w:val="27"/>
          <w:rFonts w:hint="default" w:ascii="Times New Roman" w:hAnsi="Times New Roman" w:eastAsia="黑体" w:cs="Times New Roman"/>
          <w:b w:val="0"/>
        </w:rPr>
      </w:pPr>
      <w:bookmarkStart w:id="25" w:name="_Toc15396606"/>
      <w:bookmarkStart w:id="26" w:name="_Toc15377208"/>
      <w:r>
        <w:rPr>
          <w:rFonts w:hint="default" w:ascii="Times New Roman" w:hAnsi="Times New Roman" w:eastAsia="黑体" w:cs="Times New Roman"/>
          <w:sz w:val="32"/>
          <w:szCs w:val="32"/>
        </w:rPr>
        <w:t>四、财</w:t>
      </w:r>
      <w:r>
        <w:rPr>
          <w:rStyle w:val="27"/>
          <w:rFonts w:hint="default" w:ascii="Times New Roman" w:hAnsi="Times New Roman" w:eastAsia="黑体" w:cs="Times New Roman"/>
          <w:b w:val="0"/>
        </w:rPr>
        <w:t>政拨款收入支出决算总体情况说明</w:t>
      </w:r>
      <w:bookmarkEnd w:id="25"/>
      <w:bookmarkEnd w:id="26"/>
    </w:p>
    <w:p>
      <w:pPr>
        <w:keepNext w:val="0"/>
        <w:keepLines w:val="0"/>
        <w:pageBreakBefore w:val="0"/>
        <w:widowControl w:val="0"/>
        <w:kinsoku/>
        <w:wordWrap/>
        <w:overflowPunct/>
        <w:topLinePunct w:val="0"/>
        <w:autoSpaceDE/>
        <w:autoSpaceDN/>
        <w:bidi w:val="0"/>
        <w:adjustRightInd/>
        <w:snapToGrid/>
        <w:spacing w:line="520" w:lineRule="exact"/>
        <w:ind w:firstLine="641"/>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2023年财政拨款收入总计1913.36万元、支出总计1913.36万元。与2022年相比，财政拨款收入总计增加51.06万元、支出总计各增加51.06万元，收入增长2.74%，支出增长2.74%。主要变动原因是项目资金变动。</w:t>
      </w:r>
    </w:p>
    <w:p>
      <w:pPr>
        <w:pStyle w:val="8"/>
        <w:spacing w:before="93"/>
        <w:rPr>
          <w:rFonts w:hint="default" w:ascii="Times New Roman" w:hAnsi="Times New Roman" w:eastAsia="仿宋" w:cs="Times New Roman"/>
          <w:sz w:val="32"/>
          <w:szCs w:val="32"/>
        </w:rPr>
      </w:pPr>
      <w:r>
        <w:rPr>
          <w:rFonts w:hint="default" w:ascii="Times New Roman" w:hAnsi="Times New Roman" w:cs="Times New Roman"/>
        </w:rPr>
        <w:drawing>
          <wp:inline distT="0" distB="0" distL="114300" distR="114300">
            <wp:extent cx="5524500" cy="2086610"/>
            <wp:effectExtent l="5080" t="4445" r="13970" b="23495"/>
            <wp:docPr id="14"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0" w:firstLineChars="200"/>
        <w:jc w:val="center"/>
        <w:rPr>
          <w:rFonts w:hint="default" w:ascii="Times New Roman" w:hAnsi="Times New Roman" w:eastAsia="仿宋" w:cs="Times New Roman"/>
          <w:b/>
          <w:sz w:val="32"/>
          <w:szCs w:val="32"/>
        </w:rPr>
      </w:pPr>
      <w:r>
        <w:rPr>
          <w:rFonts w:hint="default" w:ascii="Times New Roman" w:hAnsi="Times New Roman" w:eastAsia="仿宋_GB2312" w:cs="Times New Roman"/>
          <w:b w:val="0"/>
          <w:bCs w:val="0"/>
          <w:color w:val="auto"/>
          <w:sz w:val="32"/>
          <w:szCs w:val="32"/>
          <w:lang w:val="en-US" w:eastAsia="zh-CN"/>
        </w:rPr>
        <w:t>（图4：财政拨款收、支决算总计变动情况）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1"/>
        <w:rPr>
          <w:rStyle w:val="27"/>
          <w:rFonts w:hint="default" w:ascii="Times New Roman" w:hAnsi="Times New Roman" w:eastAsia="黑体" w:cs="Times New Roman"/>
          <w:b w:val="0"/>
        </w:rPr>
      </w:pPr>
      <w:bookmarkStart w:id="27" w:name="_Toc15396607"/>
      <w:bookmarkStart w:id="28" w:name="_Toc15377209"/>
      <w:r>
        <w:rPr>
          <w:rFonts w:hint="default" w:ascii="Times New Roman" w:hAnsi="Times New Roman" w:eastAsia="黑体" w:cs="Times New Roman"/>
          <w:sz w:val="32"/>
          <w:szCs w:val="32"/>
        </w:rPr>
        <w:t>五、</w:t>
      </w:r>
      <w:r>
        <w:rPr>
          <w:rFonts w:hint="default" w:ascii="Times New Roman" w:hAnsi="Times New Roman" w:eastAsia="黑体" w:cs="Times New Roman"/>
          <w:b/>
          <w:sz w:val="32"/>
          <w:szCs w:val="32"/>
        </w:rPr>
        <w:t>一</w:t>
      </w:r>
      <w:r>
        <w:rPr>
          <w:rStyle w:val="27"/>
          <w:rFonts w:hint="default" w:ascii="Times New Roman" w:hAnsi="Times New Roman" w:eastAsia="黑体" w:cs="Times New Roman"/>
          <w:b w:val="0"/>
        </w:rPr>
        <w:t>般公共预算财政拨款支出决算情况说明</w:t>
      </w:r>
      <w:bookmarkEnd w:id="27"/>
      <w:bookmarkEnd w:id="28"/>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bookmarkStart w:id="29" w:name="_Toc15377210"/>
      <w:r>
        <w:rPr>
          <w:rFonts w:hint="default" w:ascii="Times New Roman" w:hAnsi="Times New Roman" w:eastAsia="楷体_GB2312" w:cs="Times New Roman"/>
          <w:b w:val="0"/>
          <w:bCs w:val="0"/>
          <w:color w:val="auto"/>
          <w:sz w:val="32"/>
          <w:szCs w:val="32"/>
          <w:lang w:val="en-US" w:eastAsia="zh-CN"/>
        </w:rPr>
        <w:t>（一）一般公共预算财政拨款支出决算总体情况</w:t>
      </w:r>
      <w:bookmarkEnd w:id="29"/>
      <w:r>
        <w:rPr>
          <w:rFonts w:hint="default" w:ascii="Times New Roman" w:hAnsi="Times New Roman" w:eastAsia="楷体_GB2312" w:cs="Times New Roman"/>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2023年一般公共预算财政拨款支出1881.24万元，占本年支出合计的97.05%。与2022年相比，一般公共预算财政拨款支出增加88.78万元，增长4.95%。主要变动原因是人员增多、公用经费支出增加。</w:t>
      </w:r>
    </w:p>
    <w:p>
      <w:pPr>
        <w:pStyle w:val="8"/>
        <w:spacing w:before="93"/>
        <w:rPr>
          <w:rFonts w:hint="default" w:ascii="Times New Roman" w:hAnsi="Times New Roman" w:eastAsia="仿宋" w:cs="Times New Roman"/>
          <w:sz w:val="32"/>
          <w:szCs w:val="32"/>
        </w:rPr>
      </w:pPr>
      <w:r>
        <w:rPr>
          <w:rFonts w:hint="default" w:ascii="Times New Roman" w:hAnsi="Times New Roman" w:cs="Times New Roman"/>
        </w:rPr>
        <w:drawing>
          <wp:inline distT="0" distB="0" distL="114300" distR="114300">
            <wp:extent cx="5629275" cy="1485900"/>
            <wp:effectExtent l="4445" t="4445" r="5080" b="14605"/>
            <wp:docPr id="15"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firstLineChars="200"/>
        <w:jc w:val="center"/>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（图5：一般公共预算财政拨款支出决算变动情况）</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bookmarkStart w:id="30" w:name="_Toc15377211"/>
      <w:r>
        <w:rPr>
          <w:rFonts w:hint="default" w:ascii="Times New Roman" w:hAnsi="Times New Roman" w:eastAsia="楷体_GB2312" w:cs="Times New Roman"/>
          <w:b w:val="0"/>
          <w:bCs w:val="0"/>
          <w:color w:val="auto"/>
          <w:sz w:val="32"/>
          <w:szCs w:val="32"/>
          <w:lang w:val="en-US" w:eastAsia="zh-CN"/>
        </w:rPr>
        <w:t>（二）一般公共预算财政拨款支出决算结构情况</w:t>
      </w:r>
      <w:bookmarkEnd w:id="30"/>
      <w:r>
        <w:rPr>
          <w:rFonts w:hint="eastAsia" w:ascii="Times New Roman" w:hAnsi="Times New Roman" w:eastAsia="楷体_GB2312" w:cs="Times New Roman"/>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1"/>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2023年一般公共预算财政拨款支出1881.24万元，主要用于以下方面</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一般公共服务支出637.56万元，占33.89%；文化旅游体育与传媒支出78.51万元，占4.17%；社会保障和就业支出375.55万元，占19.96%；卫生健康支出126.14万元，占6.70%；城乡社区支出15.80万元，占0.84%；农林水支出535.49万元，占28.47%；住房保障支出77.25万元，占4.11%；灾害防治及应急管理支出34.94万元，占1.86%。</w:t>
      </w:r>
    </w:p>
    <w:p>
      <w:pPr>
        <w:pStyle w:val="2"/>
        <w:rPr>
          <w:rFonts w:hint="default" w:ascii="Times New Roman" w:hAnsi="Times New Roman" w:cs="Times New Roman"/>
        </w:rPr>
      </w:pPr>
      <w:r>
        <w:rPr>
          <w:rFonts w:hint="default" w:ascii="Times New Roman" w:hAnsi="Times New Roman" w:cs="Times New Roman"/>
        </w:rPr>
        <w:drawing>
          <wp:inline distT="0" distB="0" distL="114300" distR="114300">
            <wp:extent cx="5200015" cy="2568575"/>
            <wp:effectExtent l="4445" t="4445" r="15240" b="17780"/>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64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（图6：一般公共预算财政拨款支出决算结构）</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bookmarkStart w:id="31" w:name="_Toc15377212"/>
      <w:r>
        <w:rPr>
          <w:rFonts w:hint="default" w:ascii="Times New Roman" w:hAnsi="Times New Roman" w:eastAsia="楷体_GB2312" w:cs="Times New Roman"/>
          <w:b w:val="0"/>
          <w:bCs w:val="0"/>
          <w:color w:val="auto"/>
          <w:sz w:val="32"/>
          <w:szCs w:val="32"/>
          <w:lang w:val="en-US" w:eastAsia="zh-CN"/>
        </w:rPr>
        <w:t>（三）一般公共预算财政拨款支出决算具体情况</w:t>
      </w:r>
      <w:bookmarkEnd w:id="31"/>
      <w:r>
        <w:rPr>
          <w:rFonts w:hint="eastAsia" w:ascii="Times New Roman" w:hAnsi="Times New Roman" w:eastAsia="楷体_GB2312" w:cs="Times New Roman"/>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bookmarkStart w:id="32" w:name="_Toc15377213"/>
      <w:bookmarkStart w:id="33" w:name="_Toc15377444"/>
      <w:bookmarkStart w:id="34" w:name="_Toc15378460"/>
      <w:r>
        <w:rPr>
          <w:rFonts w:hint="default" w:ascii="Times New Roman" w:hAnsi="Times New Roman" w:eastAsia="仿宋_GB2312" w:cs="Times New Roman"/>
          <w:b w:val="0"/>
          <w:bCs w:val="0"/>
          <w:color w:val="auto"/>
          <w:sz w:val="32"/>
          <w:szCs w:val="32"/>
          <w:lang w:val="en-US" w:eastAsia="zh-CN"/>
        </w:rPr>
        <w:t>2023年一般公共预算支出决算数为1881.24万元，完成预算100%。其中：</w:t>
      </w:r>
      <w:bookmarkEnd w:id="32"/>
      <w:bookmarkEnd w:id="33"/>
      <w:bookmarkEnd w:id="34"/>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1.一般公共服务支出。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2010101人大行政运行</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支出决算为15.76万元，完成预算100%，决算数等于预算数的主要原因是收支平衡。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2010104人大会议：支出决算为1.66万元，完成预算100%，决算数等于预算数的主要原因是收支平衡。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2010199其他人大事务：支出决算为5.85万元，完成预算100%，决算数等于预算数的主要原因是收支平衡。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2010301政府行政运行：支出决算为431.57万元，完成预算100%，决算数等于预算数的主要原因是收支平衡。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2010302政府一般行政管理事务：支出决算为9.93万元，完成预算100%，决算数等于预算数的主要原因是收支平衡。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2010308政府信访事务：支出决算为2.49万元，完成预算100%，决算数等于预算数的主要原因是收支平衡。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2010350政府事业运行：支出决算为72.37万元，完成预算100%，决算数等于预算数的主要原因是收支平衡。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2010399其他政府办公厅（室）及相关机构事务支出：支出决算为41.41万元，完成预算100%，决算数等于预算数的主要原因是收支平衡。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2011199其他纪检监察事务支出：支出决算为0.08万元，完成预算100%，决算数等于预算数的主要原因是收支平衡。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2012304民族工作专项：支出决算为2.93万元，完成预算100%，决算数等于预算数的主要原因是收支平衡。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2012399其他民族事务支出：支出决算为2万元，完成预算100%，决算数等于预算数的主要原因是收支平衡。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203101党委办公室及相关机构事务行政运行：支出决算为 51.51万元，完成预算100%，决算数等于预算数的主要原因是收支平衡。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2.文化旅游体育与传媒支出。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2070109群众文化</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支出决算为74.25万元，完成预算100%，决算数等于预算数的主要原因是收支平衡。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2070199其他文化和旅游支出</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支出决算为4.26万元，完成预算100%，决算数等于预算数的主要原因是收支平衡。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3.社会保障和就业支出。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2080109社会保险经办机构</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支出决算为103.51万元，完成预算100%，决算数等于预算数的主要原因是收支平衡。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2080199其他人力资源和社会保障管理事务支出</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支出决算为28.23万元，完成预算100%，决算数等于预算数的主要原因是收支平衡。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2080208基层政权建设和社区治理</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支出决算为73.63万元，完成预算100%，决算数等于预算数的主要原因是收支平衡。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2080501行政单位离退休</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支出决算为26.59万元，完成预算100%，决算数等于预算数的主要原因是收支平衡。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2080502事业单位离退休</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支出决算为6.98万元，完成预算100%，决算数等于预算数的主要原因是收支平衡。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2080505机关事业单位基本养老保险缴费支出</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支出决算为104.28万元，完成预算100%，决算数等于预算数的主要原因是收支平衡。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2080506机关事业单位职业年金缴费支出</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支出决算为11.96万元，完成预算100%，决算数等于预算数的主要原因是收支平衡。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2080801死亡抚恤</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支出决算为20.37万元，完成预算100%，决算数等于预算数的主要原因是收支平衡。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4.卫生健康支出。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2100409重大公共卫生服务</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支出决算为34.69万元，完成预算100%，决算数等于预算数的主要原因是收支平衡。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2100499其他公共卫生支出</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支出决算为3.37万元，完成预算100%，决算数等于预算数的主要原因是收支平衡。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2101101行政单位医疗</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支出决算为28.14万元，完成预算100%，决算数等于预算数的主要原因是收支平衡。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2101102事业单位医疗</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支出决算为26.17万元，完成预算100%，决算数等于预算数的主要原因是收支平衡。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2101103公务员医疗补助</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支出决算为2.89万元，完成预算100%，决算数等于预算数的主要原因是收支平衡。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2101199其他行政事业单位医疗支出：支出决算为30.88万元，完成预算100%，决算数等于预算数的主要原因是收支平衡。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5.城乡社区支出。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2120501城乡社区环境卫生</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支出决算为15.8万元，完成预算100%，决算数等于预算数的主要原因是收支平衡。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6.农林水支出。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2130104事业运行</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支出决算为131.96万元，完成预算100%，决算数等于预算数的主要原因是收支平衡。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2130122农业生产发展：支出决算为90.58万元，完成预算100%，决算数等于预算数的主要原因是收支平衡。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2130199其他农业农村支出</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支出决算为4.37万元，完成预算100%，决算数等于预算数的主要原因是收支平衡。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2130234林业草原防灾减灾：支出决算为24万元，完成预算100%，决算数等于预算数的主要原因是收支平衡。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2130314防汛</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支出决算为14万元，完成预算100%，决算数等于预算数的主要原因是收支平衡。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2130315抗旱：支出决算为1.49万元，完成预算100%，决算数等于预算数的主要原因是收支平衡。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2130705对村民委员和村党支部的补助</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支出决算为246.85万元，完成预算100%，决算数等于预算数的主要原因是收支平衡。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2139999其他农林水支出</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支出决算为22.24万元，完成预算100%，决算数等于预算数的主要原因是收支平衡。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7.住房保障支出。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2210201住房公积金</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支出决算为77.25万元，完成预算100%，决算数等于预算数的主要原因是收支平衡。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8.灾害防治及应急管理支出。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2240106安全监管</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支出决算为14.94万元，完成预算100%，决算数等于预算数的主要原因是收支平衡。</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2240602森林草原防灾减灾：支出决算为20万元，完成预算100%，决算数等于预算数的主要原因是收支平衡。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b w:val="0"/>
          <w:bCs w:val="0"/>
          <w:color w:val="auto"/>
          <w:sz w:val="32"/>
          <w:szCs w:val="32"/>
          <w:lang w:val="en-US" w:eastAsia="zh-CN"/>
        </w:rPr>
      </w:pPr>
      <w:bookmarkStart w:id="35" w:name="_Toc15396608"/>
      <w:bookmarkStart w:id="36" w:name="_Toc15377214"/>
      <w:r>
        <w:rPr>
          <w:rFonts w:hint="default" w:ascii="Times New Roman" w:hAnsi="Times New Roman" w:eastAsia="黑体" w:cs="Times New Roman"/>
          <w:b w:val="0"/>
          <w:bCs w:val="0"/>
          <w:color w:val="auto"/>
          <w:sz w:val="32"/>
          <w:szCs w:val="32"/>
          <w:lang w:val="en-US" w:eastAsia="zh-CN"/>
        </w:rPr>
        <w:t>六、一般公共预算财政拨款基本支出决算情况说明</w:t>
      </w:r>
      <w:bookmarkEnd w:id="35"/>
      <w:bookmarkEnd w:id="36"/>
    </w:p>
    <w:p>
      <w:pPr>
        <w:keepNext w:val="0"/>
        <w:keepLines w:val="0"/>
        <w:pageBreakBefore w:val="0"/>
        <w:widowControl w:val="0"/>
        <w:kinsoku/>
        <w:wordWrap/>
        <w:overflowPunct/>
        <w:topLinePunct w:val="0"/>
        <w:autoSpaceDE/>
        <w:autoSpaceDN/>
        <w:bidi w:val="0"/>
        <w:spacing w:line="54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一般公共预算财政拨款基本支出1496.62万元，其中：人员经费1322.97万元，主要包括：基本工资、津贴补贴、奖金、绩效工资、机关事业单位基本养老保险缴费、职业年金缴费、职工基本医疗保险缴费、公务员医疗补助缴费、其他社会保障缴费、住房公积金、医疗费、其他工资福利支出、抚恤金、生活补助、救济金、医疗费补助、其他对个人和家庭的补助支出。</w:t>
      </w:r>
      <w:r>
        <w:rPr>
          <w:rFonts w:hint="default" w:ascii="Times New Roman" w:hAnsi="Times New Roman" w:eastAsia="仿宋_GB2312" w:cs="Times New Roman"/>
          <w:b w:val="0"/>
          <w:bCs w:val="0"/>
          <w:color w:val="auto"/>
          <w:sz w:val="32"/>
          <w:szCs w:val="32"/>
          <w:lang w:val="en-US" w:eastAsia="zh-CN"/>
        </w:rPr>
        <w:br w:type="textWrapping"/>
      </w:r>
      <w:r>
        <w:rPr>
          <w:rFonts w:hint="default" w:ascii="Times New Roman" w:hAnsi="Times New Roman" w:eastAsia="仿宋_GB2312" w:cs="Times New Roman"/>
          <w:b w:val="0"/>
          <w:bCs w:val="0"/>
          <w:color w:val="auto"/>
          <w:sz w:val="32"/>
          <w:szCs w:val="32"/>
          <w:lang w:val="en-US" w:eastAsia="zh-CN"/>
        </w:rPr>
        <w:t>　　公用经费173.66万元，主要包括：办公费、电费、邮电费、差旅费、维修（护）费、会议费、培训费、公务接待费、劳务费、委托业务费、工会经费、福利费、公务用车运行维护费、其他交通费用、其他商品和服务支出。</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b w:val="0"/>
          <w:bCs w:val="0"/>
          <w:color w:val="auto"/>
          <w:sz w:val="32"/>
          <w:szCs w:val="32"/>
          <w:lang w:val="en-US" w:eastAsia="zh-CN"/>
        </w:rPr>
      </w:pPr>
      <w:bookmarkStart w:id="37" w:name="_Toc15396609"/>
      <w:bookmarkStart w:id="38" w:name="_Toc15377215"/>
      <w:r>
        <w:rPr>
          <w:rFonts w:hint="default" w:ascii="Times New Roman" w:hAnsi="Times New Roman" w:eastAsia="黑体" w:cs="Times New Roman"/>
          <w:b w:val="0"/>
          <w:bCs w:val="0"/>
          <w:color w:val="auto"/>
          <w:sz w:val="32"/>
          <w:szCs w:val="32"/>
          <w:lang w:val="en-US" w:eastAsia="zh-CN"/>
        </w:rPr>
        <w:t>七、财政拨款“三公”经费支出决算情况说明</w:t>
      </w:r>
      <w:bookmarkEnd w:id="37"/>
      <w:bookmarkEnd w:id="38"/>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bookmarkStart w:id="39" w:name="_Toc15377216"/>
      <w:r>
        <w:rPr>
          <w:rFonts w:hint="default" w:ascii="Times New Roman" w:hAnsi="Times New Roman" w:eastAsia="楷体_GB2312" w:cs="Times New Roman"/>
          <w:b w:val="0"/>
          <w:bCs w:val="0"/>
          <w:color w:val="auto"/>
          <w:sz w:val="32"/>
          <w:szCs w:val="32"/>
          <w:lang w:val="en-US" w:eastAsia="zh-CN"/>
        </w:rPr>
        <w:t>（一）“</w:t>
      </w:r>
      <w:bookmarkStart w:id="72" w:name="_GoBack"/>
      <w:r>
        <w:rPr>
          <w:rFonts w:hint="default" w:ascii="Times New Roman" w:hAnsi="Times New Roman" w:eastAsia="楷体_GB2312" w:cs="Times New Roman"/>
          <w:b w:val="0"/>
          <w:bCs w:val="0"/>
          <w:color w:val="auto"/>
          <w:sz w:val="32"/>
          <w:szCs w:val="32"/>
          <w:lang w:val="en-US" w:eastAsia="zh-CN"/>
        </w:rPr>
        <w:t>三公</w:t>
      </w:r>
      <w:bookmarkEnd w:id="72"/>
      <w:r>
        <w:rPr>
          <w:rFonts w:hint="default" w:ascii="Times New Roman" w:hAnsi="Times New Roman" w:eastAsia="楷体_GB2312" w:cs="Times New Roman"/>
          <w:b w:val="0"/>
          <w:bCs w:val="0"/>
          <w:color w:val="auto"/>
          <w:sz w:val="32"/>
          <w:szCs w:val="32"/>
          <w:lang w:val="en-US" w:eastAsia="zh-CN"/>
        </w:rPr>
        <w:t>”经费财政拨款支出决算总体情况说明</w:t>
      </w:r>
      <w:bookmarkEnd w:id="39"/>
      <w:r>
        <w:rPr>
          <w:rFonts w:hint="default" w:ascii="Times New Roman" w:hAnsi="Times New Roman" w:eastAsia="楷体_GB2312" w:cs="Times New Roman"/>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spacing w:line="54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2023年“三公”经费财政拨款支出决算为6.32万元，完成预算84.6%，较上年增加3.7万元，上升141.22%。决算数小于预算数的主要原因是严格控制资金用途，压减“三公”经费支出。</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bookmarkStart w:id="40" w:name="_Toc15377217"/>
      <w:r>
        <w:rPr>
          <w:rFonts w:hint="default" w:ascii="Times New Roman" w:hAnsi="Times New Roman" w:eastAsia="楷体_GB2312" w:cs="Times New Roman"/>
          <w:b w:val="0"/>
          <w:bCs w:val="0"/>
          <w:color w:val="auto"/>
          <w:sz w:val="32"/>
          <w:szCs w:val="32"/>
          <w:lang w:val="en-US" w:eastAsia="zh-CN"/>
        </w:rPr>
        <w:t>（二）“三公”经费财政拨款支出决算具体情况说明</w:t>
      </w:r>
      <w:bookmarkEnd w:id="40"/>
      <w:r>
        <w:rPr>
          <w:rFonts w:hint="default" w:ascii="Times New Roman" w:hAnsi="Times New Roman" w:eastAsia="楷体_GB2312" w:cs="Times New Roman"/>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spacing w:line="54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2023年“三公”经费财政拨款支出决算中，因公出国（境）费支出决算0万元，占0%；公务用车购置及运行维护费支出决算6.29万元，占99.53%；公务接待费支出决算0.03万元，占0.47%。具体情况如下：</w:t>
      </w:r>
    </w:p>
    <w:p>
      <w:pPr>
        <w:pStyle w:val="8"/>
        <w:spacing w:before="93"/>
        <w:rPr>
          <w:rFonts w:hint="default" w:ascii="Times New Roman" w:hAnsi="Times New Roman" w:cs="Times New Roman"/>
        </w:rPr>
      </w:pPr>
      <w:r>
        <w:rPr>
          <w:rFonts w:hint="default" w:ascii="Times New Roman" w:hAnsi="Times New Roman" w:cs="Times New Roman"/>
        </w:rPr>
        <w:drawing>
          <wp:inline distT="0" distB="0" distL="114300" distR="114300">
            <wp:extent cx="5410200" cy="2581910"/>
            <wp:effectExtent l="4445" t="4445" r="14605" b="2349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（图7：“三公”经费财政拨款支出结构）（饼状图）</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1.因公出国（境）经费支出0万元，完成预算0%。全年安排因公出国（境）团组0次，出国（境）0人。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2.公务用车购置及运行维护费支出6.29万元</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完成预算97.22%。公务用车购置及运行维护费支出决算比2022年增加3.92万元，增加165.4%。主要原因是公务用车使用年限时间长，维修费用增加，森防车辆开展森林草原防灭火工作燃料费增加。“三公”经费支出。其中：公务用车购置支出0万元。全年按规定更新购置公务用车0辆，其中：轿车0辆、金额0万元，越野车0辆、金额0万元，载客汽车0辆、金额0万元，主要用于常规工作开展、森林草原防灭火工作等。截至2023年12月底，单位共有公务用车2辆，其中：轿车1辆、越野车1辆、载客汽车0辆；其他用车1辆（垃圾车）。</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公务用车运行维护费支出6.29万元。主要用于森林草原防灭火、农林工作、安全生产工作、疫情等所需的公务用车燃料费、维修费、过路过桥费、保险费等支出。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3.公务接待费支出0.03万元，完成预算3.13%。公务接待费支出决算比2022年增加 0.23万元，减少88.46%。主要原因是严格控制“三公”经费支出。其中：国内公务接待支出0.03万元，主要用于接待用餐费。国内公务接待2批次，7人次（不包括陪同人员），共计支出0.03万元。外事接待支出0万元，外事接待0批次，0人次，共计支出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1"/>
        <w:rPr>
          <w:rStyle w:val="27"/>
          <w:rFonts w:hint="default" w:ascii="Times New Roman" w:hAnsi="Times New Roman" w:eastAsia="黑体" w:cs="Times New Roman"/>
        </w:rPr>
      </w:pPr>
      <w:bookmarkStart w:id="41" w:name="_Toc15396610"/>
      <w:bookmarkStart w:id="42" w:name="_Toc15377218"/>
      <w:r>
        <w:rPr>
          <w:rFonts w:hint="default" w:ascii="Times New Roman" w:hAnsi="Times New Roman" w:eastAsia="黑体" w:cs="Times New Roman"/>
          <w:sz w:val="32"/>
          <w:szCs w:val="32"/>
        </w:rPr>
        <w:t>八、</w:t>
      </w:r>
      <w:r>
        <w:rPr>
          <w:rStyle w:val="27"/>
          <w:rFonts w:hint="default" w:ascii="Times New Roman" w:hAnsi="Times New Roman" w:eastAsia="黑体" w:cs="Times New Roman"/>
          <w:b w:val="0"/>
        </w:rPr>
        <w:t>政府性基金预算支出决算情况说明</w:t>
      </w:r>
      <w:bookmarkEnd w:id="41"/>
      <w:bookmarkEnd w:id="42"/>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2023年政府性基金预算财政拨款支出32.12万元。红果棚户区拆迁安置户过渡安置费28.2万元；红果片区危旧棚户区改造配套基础设施项目二号路电路拆除资金3.92万元。</w:t>
      </w:r>
    </w:p>
    <w:p>
      <w:pPr>
        <w:keepNext w:val="0"/>
        <w:keepLines w:val="0"/>
        <w:pageBreakBefore w:val="0"/>
        <w:widowControl w:val="0"/>
        <w:numPr>
          <w:ilvl w:val="0"/>
          <w:numId w:val="2"/>
        </w:numPr>
        <w:kinsoku/>
        <w:wordWrap/>
        <w:overflowPunct/>
        <w:topLinePunct w:val="0"/>
        <w:autoSpaceDE/>
        <w:autoSpaceDN/>
        <w:bidi w:val="0"/>
        <w:spacing w:line="560" w:lineRule="exact"/>
        <w:ind w:firstLine="640"/>
        <w:textAlignment w:val="auto"/>
        <w:outlineLvl w:val="1"/>
        <w:rPr>
          <w:rStyle w:val="27"/>
          <w:rFonts w:hint="default" w:ascii="Times New Roman" w:hAnsi="Times New Roman" w:eastAsia="黑体" w:cs="Times New Roman"/>
          <w:b w:val="0"/>
        </w:rPr>
      </w:pPr>
      <w:bookmarkStart w:id="43" w:name="_Toc15377219"/>
      <w:bookmarkStart w:id="44" w:name="_Toc15396611"/>
      <w:r>
        <w:rPr>
          <w:rStyle w:val="27"/>
          <w:rFonts w:hint="default" w:ascii="Times New Roman" w:hAnsi="Times New Roman" w:eastAsia="黑体" w:cs="Times New Roman"/>
          <w:b w:val="0"/>
        </w:rPr>
        <w:t>国有资本经营预算支出决算情况说明</w:t>
      </w:r>
      <w:bookmarkEnd w:id="43"/>
      <w:bookmarkEnd w:id="44"/>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2023年国有资本经营预算财政拨款支出0万元。</w:t>
      </w:r>
    </w:p>
    <w:p>
      <w:pPr>
        <w:keepNext w:val="0"/>
        <w:keepLines w:val="0"/>
        <w:pageBreakBefore w:val="0"/>
        <w:widowControl w:val="0"/>
        <w:numPr>
          <w:ilvl w:val="0"/>
          <w:numId w:val="0"/>
        </w:numPr>
        <w:tabs>
          <w:tab w:val="left" w:pos="369"/>
          <w:tab w:val="left" w:pos="429"/>
        </w:tabs>
        <w:kinsoku/>
        <w:wordWrap/>
        <w:overflowPunct/>
        <w:topLinePunct w:val="0"/>
        <w:autoSpaceDE/>
        <w:autoSpaceDN/>
        <w:bidi w:val="0"/>
        <w:spacing w:line="560" w:lineRule="exact"/>
        <w:ind w:firstLine="640" w:firstLineChars="200"/>
        <w:textAlignment w:val="auto"/>
        <w:outlineLvl w:val="1"/>
        <w:rPr>
          <w:rStyle w:val="27"/>
          <w:rFonts w:hint="default" w:ascii="Times New Roman" w:hAnsi="Times New Roman" w:eastAsia="黑体" w:cs="Times New Roman"/>
          <w:b w:val="0"/>
        </w:rPr>
      </w:pPr>
      <w:bookmarkStart w:id="45" w:name="_Toc15377221"/>
      <w:bookmarkStart w:id="46" w:name="_Toc15396612"/>
      <w:r>
        <w:rPr>
          <w:rStyle w:val="27"/>
          <w:rFonts w:hint="default" w:ascii="Times New Roman" w:hAnsi="Times New Roman" w:eastAsia="黑体" w:cs="Times New Roman"/>
          <w:b w:val="0"/>
          <w:lang w:eastAsia="zh-CN"/>
        </w:rPr>
        <w:t>十、</w:t>
      </w:r>
      <w:r>
        <w:rPr>
          <w:rStyle w:val="27"/>
          <w:rFonts w:hint="default" w:ascii="Times New Roman" w:hAnsi="Times New Roman" w:eastAsia="黑体" w:cs="Times New Roman"/>
          <w:b w:val="0"/>
        </w:rPr>
        <w:t>其他重要事项的情况说明</w:t>
      </w:r>
      <w:bookmarkEnd w:id="45"/>
      <w:bookmarkEnd w:id="46"/>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bookmarkStart w:id="47" w:name="_Toc15377222"/>
      <w:r>
        <w:rPr>
          <w:rFonts w:hint="default" w:ascii="Times New Roman" w:hAnsi="Times New Roman" w:eastAsia="楷体_GB2312" w:cs="Times New Roman"/>
          <w:b w:val="0"/>
          <w:bCs w:val="0"/>
          <w:color w:val="auto"/>
          <w:sz w:val="32"/>
          <w:szCs w:val="32"/>
          <w:lang w:val="zh-CN" w:eastAsia="zh-CN"/>
        </w:rPr>
        <w:t>（一）机关运行经费支出情况</w:t>
      </w:r>
      <w:bookmarkEnd w:id="47"/>
      <w:r>
        <w:rPr>
          <w:rFonts w:hint="default" w:ascii="Times New Roman" w:hAnsi="Times New Roman" w:eastAsia="楷体_GB2312" w:cs="Times New Roman"/>
          <w:b w:val="0"/>
          <w:bCs w:val="0"/>
          <w:color w:val="auto"/>
          <w:sz w:val="32"/>
          <w:szCs w:val="32"/>
          <w:lang w:val="zh-CN" w:eastAsia="zh-CN"/>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2023年，红果彝族乡机关运行经费支出173.66万元，比2022年减少31.23万元，下降15.24%，主要原因节约开支，工作人员减少、缩减公用经费开支。</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bookmarkStart w:id="48" w:name="_Toc15377223"/>
      <w:r>
        <w:rPr>
          <w:rFonts w:hint="default" w:ascii="Times New Roman" w:hAnsi="Times New Roman" w:eastAsia="楷体_GB2312" w:cs="Times New Roman"/>
          <w:b w:val="0"/>
          <w:bCs w:val="0"/>
          <w:color w:val="auto"/>
          <w:sz w:val="32"/>
          <w:szCs w:val="32"/>
          <w:lang w:val="en-US" w:eastAsia="zh-CN"/>
        </w:rPr>
        <w:t>（二）政府采购支出情况</w:t>
      </w:r>
      <w:bookmarkEnd w:id="48"/>
      <w:r>
        <w:rPr>
          <w:rFonts w:hint="default" w:ascii="Times New Roman" w:hAnsi="Times New Roman" w:eastAsia="楷体_GB2312" w:cs="Times New Roman"/>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红果彝族乡政府采购支出总额0.62万元，其中：政府采购货物支出0.62万元、政府采购工程支出0万元、政府采购服务支出0万元。授予中小企业合同金额0万元，占政府采购支出总额的0%，其中：授予小微企业合同金额0.62万元，占政府采购支出总额的100%。</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bookmarkStart w:id="49" w:name="_Toc15377224"/>
      <w:r>
        <w:rPr>
          <w:rFonts w:hint="default" w:ascii="Times New Roman" w:hAnsi="Times New Roman" w:eastAsia="楷体_GB2312" w:cs="Times New Roman"/>
          <w:b w:val="0"/>
          <w:bCs w:val="0"/>
          <w:color w:val="auto"/>
          <w:sz w:val="32"/>
          <w:szCs w:val="32"/>
          <w:lang w:val="en-US" w:eastAsia="zh-CN"/>
        </w:rPr>
        <w:t>（三）国有资产占有使用情况</w:t>
      </w:r>
      <w:bookmarkEnd w:id="49"/>
      <w:r>
        <w:rPr>
          <w:rFonts w:hint="default" w:ascii="Times New Roman" w:hAnsi="Times New Roman" w:eastAsia="楷体_GB2312" w:cs="Times New Roman"/>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截至2023年12月31日，红果彝族乡共有车辆3辆，其中：主要领导干部用车0辆、机要通信用车0辆、应急保障用车0辆、其他用车3辆，其他用车主要是用于森林草原防灭火、疫情、农业农村等工作。单价100万元以上专用设备0台（套）。</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（四）预算绩效管理情况。</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根据预算绩效管理要求，本部门在2023年度预算编制阶段，组织对2023年度部门所有预算资金全面开展绩效自评，形成盐边县红果彝族乡部门整体（含部门预算项目）绩效自评报告、对2023年人大代表活动经费及人代会、2023年农村特困供养人员经费、2023年基本公共卫生服务经费、2023年少数民族工作经费、2023年乡村治理经费、2023年基层组织活动和公共服务运行等专项预算项目绩效自评报告，其中，盐边县红果彝族乡部门整体（含部门预算项目）绩效自评得分为95分，2023年农村特困供养人员经费专项预算项目绩效自评得分为95.1分，绩效自评报告详见附件。</w:t>
      </w:r>
      <w:r>
        <w:rPr>
          <w:rFonts w:hint="default" w:ascii="Times New Roman" w:hAnsi="Times New Roman" w:eastAsia="仿宋_GB2312" w:cs="Times New Roman"/>
          <w:b w:val="0"/>
          <w:bCs w:val="0"/>
          <w:color w:val="auto"/>
          <w:sz w:val="32"/>
          <w:szCs w:val="32"/>
          <w:lang w:val="en-US" w:eastAsia="zh-CN"/>
        </w:rPr>
        <w:br w:type="page"/>
      </w:r>
    </w:p>
    <w:p>
      <w:pPr>
        <w:keepNext w:val="0"/>
        <w:keepLines w:val="0"/>
        <w:pageBreakBefore w:val="0"/>
        <w:widowControl w:val="0"/>
        <w:numPr>
          <w:ilvl w:val="0"/>
          <w:numId w:val="3"/>
        </w:numPr>
        <w:kinsoku/>
        <w:wordWrap/>
        <w:overflowPunct/>
        <w:topLinePunct w:val="0"/>
        <w:autoSpaceDE/>
        <w:autoSpaceDN/>
        <w:bidi w:val="0"/>
        <w:spacing w:line="560" w:lineRule="exact"/>
        <w:ind w:firstLine="660" w:firstLineChars="150"/>
        <w:jc w:val="center"/>
        <w:textAlignment w:val="auto"/>
        <w:outlineLvl w:val="0"/>
        <w:rPr>
          <w:rStyle w:val="26"/>
          <w:rFonts w:hint="eastAsia" w:ascii="方正小标宋简体" w:hAnsi="方正小标宋简体" w:eastAsia="方正小标宋简体" w:cs="方正小标宋简体"/>
          <w:b w:val="0"/>
          <w:color w:val="auto"/>
        </w:rPr>
      </w:pPr>
      <w:bookmarkStart w:id="50" w:name="_Toc15377225"/>
      <w:bookmarkStart w:id="51" w:name="_Toc15396613"/>
      <w:r>
        <w:rPr>
          <w:rFonts w:hint="eastAsia" w:ascii="方正小标宋简体" w:hAnsi="方正小标宋简体" w:eastAsia="方正小标宋简体" w:cs="方正小标宋简体"/>
          <w:color w:val="auto"/>
          <w:sz w:val="44"/>
          <w:szCs w:val="44"/>
        </w:rPr>
        <w:t>名</w:t>
      </w:r>
      <w:r>
        <w:rPr>
          <w:rStyle w:val="26"/>
          <w:rFonts w:hint="eastAsia" w:ascii="方正小标宋简体" w:hAnsi="方正小标宋简体" w:eastAsia="方正小标宋简体" w:cs="方正小标宋简体"/>
          <w:b w:val="0"/>
          <w:color w:val="auto"/>
        </w:rPr>
        <w:t>词解释</w:t>
      </w:r>
      <w:bookmarkEnd w:id="50"/>
      <w:bookmarkEnd w:id="51"/>
    </w:p>
    <w:p>
      <w:pPr>
        <w:keepNext w:val="0"/>
        <w:keepLines w:val="0"/>
        <w:pageBreakBefore w:val="0"/>
        <w:widowControl w:val="0"/>
        <w:kinsoku/>
        <w:wordWrap/>
        <w:overflowPunct/>
        <w:topLinePunct w:val="0"/>
        <w:autoSpaceDE/>
        <w:autoSpaceDN/>
        <w:bidi w:val="0"/>
        <w:spacing w:line="560" w:lineRule="exact"/>
        <w:jc w:val="left"/>
        <w:textAlignment w:val="auto"/>
        <w:rPr>
          <w:rFonts w:hint="default" w:ascii="Times New Roman" w:hAnsi="Times New Roman" w:cs="Times New Roman"/>
          <w:b/>
          <w:sz w:val="44"/>
          <w:szCs w:val="44"/>
        </w:rPr>
      </w:pP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1.财政拨款收入：指单位从同级财政部门取得的财政预算资金。</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2.事业收入：指事业单位开展专业业务活动及辅助活动取得的收入。</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3.经营收入：指事业单位在专业业务活动及其辅助活动之外开展非独立核算经营活动取得的收入。</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4.其他收入：指单位取得的除上述收入以外的各</w:t>
      </w:r>
      <w:r>
        <w:rPr>
          <w:rFonts w:hint="eastAsia" w:eastAsia="仿宋_GB2312" w:cs="Times New Roman"/>
          <w:b w:val="0"/>
          <w:bCs w:val="0"/>
          <w:color w:val="auto"/>
          <w:sz w:val="32"/>
          <w:szCs w:val="32"/>
          <w:lang w:val="en-US" w:eastAsia="zh-CN"/>
        </w:rPr>
        <w:t>项收</w:t>
      </w:r>
      <w:r>
        <w:rPr>
          <w:rFonts w:hint="default" w:ascii="Times New Roman" w:hAnsi="Times New Roman" w:eastAsia="仿宋_GB2312" w:cs="Times New Roman"/>
          <w:b w:val="0"/>
          <w:bCs w:val="0"/>
          <w:color w:val="auto"/>
          <w:sz w:val="32"/>
          <w:szCs w:val="32"/>
          <w:lang w:val="en-US" w:eastAsia="zh-CN"/>
        </w:rPr>
        <w:t>入。</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 xml:space="preserve">5.使用非财政拨款结余：指事业单位使用以前年度积累的非财政拨款结余弥补当年收支差额的金额。 </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 xml:space="preserve">6.年初结转和结余：指以前年度尚未完成、结转到本年按有关规定继续使用的资金。 </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7.结余分配：指事业单位按照会计制度规定缴纳的所得税、提取的专用结余以及转入非财政拨款结余的金额等。</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8.年末结转和结余：指单位按有关规定结转到下年或以后年度继续使用的资金。</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9.一般公共服务支出（201类）人大事务（01款）行政运行（01项）：指反映行政单位（包括实行公务员管理的事业单位）的基本支出。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10.一般公共服务支出（201类）人大事务（01款）人大会议（04项）：</w:t>
      </w:r>
      <w:r>
        <w:rPr>
          <w:rFonts w:hint="eastAsia" w:eastAsia="仿宋_GB2312" w:cs="Times New Roman"/>
          <w:b w:val="0"/>
          <w:bCs w:val="0"/>
          <w:color w:val="auto"/>
          <w:sz w:val="32"/>
          <w:szCs w:val="32"/>
          <w:lang w:val="en-US" w:eastAsia="zh-CN"/>
        </w:rPr>
        <w:t>指</w:t>
      </w:r>
      <w:r>
        <w:rPr>
          <w:rFonts w:hint="default" w:ascii="Times New Roman" w:hAnsi="Times New Roman" w:eastAsia="仿宋_GB2312" w:cs="Times New Roman"/>
          <w:b w:val="0"/>
          <w:bCs w:val="0"/>
          <w:color w:val="auto"/>
          <w:sz w:val="32"/>
          <w:szCs w:val="32"/>
          <w:lang w:val="en-US" w:eastAsia="zh-CN"/>
        </w:rPr>
        <w:t>反映各级人大召开人民代表大会等专门会议的支出。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11.一般公共服务支出（201类）人大事务（01款）其他人大事务（99项）：</w:t>
      </w:r>
      <w:r>
        <w:rPr>
          <w:rFonts w:hint="eastAsia" w:eastAsia="仿宋_GB2312" w:cs="Times New Roman"/>
          <w:b w:val="0"/>
          <w:bCs w:val="0"/>
          <w:color w:val="auto"/>
          <w:sz w:val="32"/>
          <w:szCs w:val="32"/>
          <w:lang w:val="en-US" w:eastAsia="zh-CN"/>
        </w:rPr>
        <w:t>指</w:t>
      </w:r>
      <w:r>
        <w:rPr>
          <w:rFonts w:hint="default" w:ascii="Times New Roman" w:hAnsi="Times New Roman" w:eastAsia="仿宋_GB2312" w:cs="Times New Roman"/>
          <w:b w:val="0"/>
          <w:bCs w:val="0"/>
          <w:color w:val="auto"/>
          <w:sz w:val="32"/>
          <w:szCs w:val="32"/>
          <w:lang w:val="en-US" w:eastAsia="zh-CN"/>
        </w:rPr>
        <w:t>反映除上述项目以</w:t>
      </w:r>
      <w:r>
        <w:rPr>
          <w:rFonts w:hint="eastAsia" w:eastAsia="仿宋_GB2312" w:cs="Times New Roman"/>
          <w:b w:val="0"/>
          <w:bCs w:val="0"/>
          <w:color w:val="auto"/>
          <w:sz w:val="32"/>
          <w:szCs w:val="32"/>
          <w:lang w:val="en-US" w:eastAsia="zh-CN"/>
        </w:rPr>
        <w:t>外的</w:t>
      </w:r>
      <w:r>
        <w:rPr>
          <w:rFonts w:hint="default" w:ascii="Times New Roman" w:hAnsi="Times New Roman" w:eastAsia="仿宋_GB2312" w:cs="Times New Roman"/>
          <w:b w:val="0"/>
          <w:bCs w:val="0"/>
          <w:color w:val="auto"/>
          <w:sz w:val="32"/>
          <w:szCs w:val="32"/>
          <w:lang w:val="en-US" w:eastAsia="zh-CN"/>
        </w:rPr>
        <w:t>其他人大事务支出。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12.一般公共服务（201类）政府办公厅（室）及相关机构事务（03款）行政运行（01项）：指反映行政单位（包括实行公务员管理的事业单位）的基本支出。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13.一般公共服务（201类）政府办公厅（室）及相关机构事务（03款）一般行政管理事务（02项）：指反映行政单位（包括实行公务员管理的事业单位）未单独设置项级科目的其他项目支出。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14.一般公共服务（201类）政府办公厅（室）及相关机构事务（03款）信访事务（08项）：指反映信访事务的支出。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15.一般公共服务（201类）政府办公厅（室）及相关机构事务（03款）事业运行（50项）：指反映事业单位的基本支出，不包括行政单位（包括实行公务员管理的事业单位）后勤服务中心，医务室等附属事业单位。</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16.一般公共服务（201类）政府办公厅（室）及相关机构事务（03款）其他政府办公厅（室）及相关机构事务支出（99项）：指反映除上述项目</w:t>
      </w:r>
      <w:r>
        <w:rPr>
          <w:rFonts w:hint="eastAsia" w:eastAsia="仿宋_GB2312" w:cs="Times New Roman"/>
          <w:b w:val="0"/>
          <w:bCs w:val="0"/>
          <w:color w:val="auto"/>
          <w:sz w:val="32"/>
          <w:szCs w:val="32"/>
          <w:lang w:val="en-US" w:eastAsia="zh-CN"/>
        </w:rPr>
        <w:t>之</w:t>
      </w:r>
      <w:r>
        <w:rPr>
          <w:rFonts w:hint="default" w:ascii="Times New Roman" w:hAnsi="Times New Roman" w:eastAsia="仿宋_GB2312" w:cs="Times New Roman"/>
          <w:b w:val="0"/>
          <w:bCs w:val="0"/>
          <w:color w:val="auto"/>
          <w:sz w:val="32"/>
          <w:szCs w:val="32"/>
          <w:lang w:val="en-US" w:eastAsia="zh-CN"/>
        </w:rPr>
        <w:t>外的政府办公厅（室）及相关机构事务支出。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17.一般公共服务（201类纪委监察事务支出（11款）其他纪委监察事务支出（99项）：指反映除上述项目以外其他纪委监察事务方面支出。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18.一般公共服务（201类）民族事务（23款）民族工作专项（04项）：指反映用于民族事务管理方面的专项支出。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eastAsia" w:eastAsia="仿宋_GB2312" w:cs="Times New Roman"/>
          <w:b w:val="0"/>
          <w:bCs w:val="0"/>
          <w:color w:val="auto"/>
          <w:sz w:val="32"/>
          <w:szCs w:val="32"/>
          <w:lang w:val="en-US" w:eastAsia="zh-CN"/>
        </w:rPr>
        <w:t>19.</w:t>
      </w:r>
      <w:r>
        <w:rPr>
          <w:rFonts w:hint="default" w:ascii="Times New Roman" w:hAnsi="Times New Roman" w:eastAsia="仿宋_GB2312" w:cs="Times New Roman"/>
          <w:b w:val="0"/>
          <w:bCs w:val="0"/>
          <w:color w:val="auto"/>
          <w:sz w:val="32"/>
          <w:szCs w:val="32"/>
          <w:lang w:val="en-US" w:eastAsia="zh-CN"/>
        </w:rPr>
        <w:t>一般公共服务（201类）民族事务（23款）其他民族事务支出（99项）：指反映除上述项目以外其他用于民族事务方面的支出。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20.一般公共服务（201类）党委办公厅（室）及相关机构事务（31款）行政运行（01项）：指反映行政单位（包括实行公务员管理的事业单位）的基本支出。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21.文化旅游体育与传媒支出（207类）文化和旅游（01款）群众文化（09项）：指反映群众文化方面的支出，包括基层文化馆（站）、群众艺术馆支出等。</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22.文化旅游体育与传媒（207类）文化和旅游（01款）其他群众文化（99项）：指反映除上述项目以外其他群众文化事务方</w:t>
      </w:r>
      <w:r>
        <w:rPr>
          <w:rFonts w:hint="eastAsia" w:eastAsia="仿宋_GB2312" w:cs="Times New Roman"/>
          <w:b w:val="0"/>
          <w:bCs w:val="0"/>
          <w:color w:val="auto"/>
          <w:sz w:val="32"/>
          <w:szCs w:val="32"/>
          <w:lang w:val="en-US" w:eastAsia="zh-CN"/>
        </w:rPr>
        <w:t>面的</w:t>
      </w:r>
      <w:r>
        <w:rPr>
          <w:rFonts w:hint="default" w:ascii="Times New Roman" w:hAnsi="Times New Roman" w:eastAsia="仿宋_GB2312" w:cs="Times New Roman"/>
          <w:b w:val="0"/>
          <w:bCs w:val="0"/>
          <w:color w:val="auto"/>
          <w:sz w:val="32"/>
          <w:szCs w:val="32"/>
          <w:lang w:val="en-US" w:eastAsia="zh-CN"/>
        </w:rPr>
        <w:t>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23.社会保障和就业支出（208类）人力资源和社会保障管理事务（01款）社会保险经办机构（09项）：</w:t>
      </w:r>
      <w:r>
        <w:rPr>
          <w:rFonts w:hint="eastAsia" w:eastAsia="仿宋_GB2312" w:cs="Times New Roman"/>
          <w:b w:val="0"/>
          <w:bCs w:val="0"/>
          <w:color w:val="auto"/>
          <w:sz w:val="32"/>
          <w:szCs w:val="32"/>
          <w:lang w:val="en-US" w:eastAsia="zh-CN"/>
        </w:rPr>
        <w:t>指</w:t>
      </w:r>
      <w:r>
        <w:rPr>
          <w:rFonts w:hint="default" w:ascii="Times New Roman" w:hAnsi="Times New Roman" w:eastAsia="仿宋_GB2312" w:cs="Times New Roman"/>
          <w:b w:val="0"/>
          <w:bCs w:val="0"/>
          <w:color w:val="auto"/>
          <w:sz w:val="32"/>
          <w:szCs w:val="32"/>
          <w:lang w:val="en-US" w:eastAsia="zh-CN"/>
        </w:rPr>
        <w:t>反映社会保险经办机构开展业务工作的支出。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24.社会保障和就业支出（208类）人力资源和社会保障管理（01款）其他人力资源和社会保障管理事务支出（99项）：指反映除上述项目以</w:t>
      </w:r>
      <w:r>
        <w:rPr>
          <w:rFonts w:hint="eastAsia" w:eastAsia="仿宋_GB2312" w:cs="Times New Roman"/>
          <w:b w:val="0"/>
          <w:bCs w:val="0"/>
          <w:color w:val="auto"/>
          <w:sz w:val="32"/>
          <w:szCs w:val="32"/>
          <w:lang w:val="en-US" w:eastAsia="zh-CN"/>
        </w:rPr>
        <w:t>外的</w:t>
      </w:r>
      <w:r>
        <w:rPr>
          <w:rFonts w:hint="default" w:ascii="Times New Roman" w:hAnsi="Times New Roman" w:eastAsia="仿宋_GB2312" w:cs="Times New Roman"/>
          <w:b w:val="0"/>
          <w:bCs w:val="0"/>
          <w:color w:val="auto"/>
          <w:sz w:val="32"/>
          <w:szCs w:val="32"/>
          <w:lang w:val="en-US" w:eastAsia="zh-CN"/>
        </w:rPr>
        <w:t>其他用于人力资源和社会保障管理事务方面的支出。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25.社会保障和就业支出（208类）民政管理事务（02款）基层政权建设和社区治理（08项）：指反映开展城乡社区治理、城乡社区服务（乡村便民服务）、村（居）民自治、村（居）务公开、乡镇（街道）服务能力建设等基层政权建设和社区治理工作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26.社会保障和就业支出（208类）行政事业单位养老支出（05款）行政单位离退休（01项）：指反映行政单位（包括实行公务员管理的事业单位）开支的离退休经费。</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27.社会保障和就业支出（208类）行政事业单位养老支出（05款）事业单位离退休（02项）：指反映事业单位开支的离退休经费。</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28.社会保障和就业支出（208类）行政事业单位养老支出（05款）机关事业单位基本养老保险缴费支出（05项）：指反映机关事业单位实施养老保险制度由单位缴纳的基本养老保险费支出。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29.社会保障和就业支出（208类）行政事业单位养老支出（05款）机关事业单位职业年金缴费支出（06项）：指反映机关事业单位实施养老保险制度由单位实际缴纳的职业年金支出（含职业年金补</w:t>
      </w:r>
      <w:r>
        <w:rPr>
          <w:rFonts w:hint="eastAsia" w:eastAsia="仿宋_GB2312" w:cs="Times New Roman"/>
          <w:b w:val="0"/>
          <w:bCs w:val="0"/>
          <w:color w:val="auto"/>
          <w:sz w:val="32"/>
          <w:szCs w:val="32"/>
          <w:lang w:val="en-US" w:eastAsia="zh-CN"/>
        </w:rPr>
        <w:t>缴</w:t>
      </w:r>
      <w:r>
        <w:rPr>
          <w:rFonts w:hint="default" w:ascii="Times New Roman" w:hAnsi="Times New Roman" w:eastAsia="仿宋_GB2312" w:cs="Times New Roman"/>
          <w:b w:val="0"/>
          <w:bCs w:val="0"/>
          <w:color w:val="auto"/>
          <w:sz w:val="32"/>
          <w:szCs w:val="32"/>
          <w:lang w:val="en-US" w:eastAsia="zh-CN"/>
        </w:rPr>
        <w:t>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30.社会保障和就业支出（208类）抚恤（08款）死亡抚恤（01项）：指反映按规定用于烈士和牺牲、病故人员家属的一次性和定期抚恤金、丧葬补助费以及烈士褒扬金。</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31.卫生健康支出（210类）公共卫生（04款）重大公共卫生服务（09项）：指反映重大疾病、重大传染病预防控制等重大公共卫生服务项目支出。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32</w:t>
      </w:r>
      <w:r>
        <w:rPr>
          <w:rFonts w:hint="eastAsia" w:eastAsia="仿宋_GB2312" w:cs="Times New Roman"/>
          <w:b w:val="0"/>
          <w:bCs w:val="0"/>
          <w:color w:val="auto"/>
          <w:sz w:val="32"/>
          <w:szCs w:val="32"/>
          <w:lang w:val="en-US" w:eastAsia="zh-CN"/>
        </w:rPr>
        <w:t>.卫</w:t>
      </w:r>
      <w:r>
        <w:rPr>
          <w:rFonts w:hint="default" w:ascii="Times New Roman" w:hAnsi="Times New Roman" w:eastAsia="仿宋_GB2312" w:cs="Times New Roman"/>
          <w:b w:val="0"/>
          <w:bCs w:val="0"/>
          <w:color w:val="auto"/>
          <w:sz w:val="32"/>
          <w:szCs w:val="32"/>
          <w:lang w:val="en-US" w:eastAsia="zh-CN"/>
        </w:rPr>
        <w:t>生健康支出（210类）公共卫生（04款）其他公共卫生支出（99项）：反映除上述项目以外其他公共卫生支出事务方面支出。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33.卫生健康支出（210类）行政事业单位医疗（11款）行政单位医疗（01项）：指反映财政部门安排的行政单位（包括实行公务员管理的事业单位，下同）基本医疗保险缴费经费，未参加医疗保险的行政单位的公费医疗经费，按国家规定享受离退休人员、红军老战士待遇人员的医疗经费。</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34.卫生健康支出（210类）行政事业单位医疗（11款）事业单位医疗（02项）</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指反映财政部门安排的事业单位基本医疗保险缴费经费，未参加医疗保险的事业单位的公费医疗经费，按国家规定享受离休人员待遇的医疗经费。</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35.卫生健康支出（210类）行政事业单位医疗（11款）公务员医疗补助（03项）：指反映财政部门安排的公务员医疗补助经费。</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36.卫生健康支出（210类）行政事业单位医疗（11款）其他行政事业单位医疗支出（99项）：指反映除上述项目以外的其他行政事业单位医疗支出的项目。</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37．城市社区支出（212类）城乡社区环境卫生（05类）城乡社区环境卫生（01项）：指反映城乡社区道路清扫、垃圾清运与处理、公厕建设与维护、园林绿化等方面的支出。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38.农林水支出（213类）农业农村（01款）事业运行（04项）：指反映用于农业事业单位的基本支出，事业单位设施、系统运行与资产维护等方面的支出。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39.农林水支出（213类）农业农村（01款）农业生产发展（22项）：指反映用于粮油生产保障、适度规模经营、农机购置与应用补贴、优势特殊主导产业发展、畜牧水产发展、农村一二三产业融合等方面的支出。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40.农林水支出（213类）农业农村（01款）其他农业和草原支出（99项）：指反映除上述项目以外用于其他农业农村方面的支出。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41.农林水支出（213类）林业和草原（02款）其他林业和草原（99项）：指反映除上述项目以外的其他用于林业和草原方面的支出。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42.农林水支出（213类）林业和草原（02款）林业草原防灾减灾（34项）：指反映用于病虫害等有害生物灾害、森林草原防火、野生动物疫病灾害等方面的支出。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43.农林水支出（213类）水利（03款）防汛（14项）：反映防汛业务支出。有关事项包括防汛物资购置管护，防汛通信设施设备、网络系统、车船设备运行维护，防汛值班、水情报汛、防汛指挥系统运行维护、水毁恢复以及防汛组织（如防汛预案编制、检查、演习、宣传、会议等），防汛调用民工及劳动保护，水利设施灾后重建，退田还湖，蓄滞洪区补偿、水情、雨情、决策支持，防汛视频会商，应急度汛，山洪灾后防治等。</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44.农林水支出（213类）水利（03款）抗旱（15项）：指反映抗旱业务支出。有关事项包括旱情监测及报旱，抗旱预案编制修订，抗旱物资购置管护，抗旱设施设备运行维护，抗旱应急水源建设以及对各级抗旱服务组织的补助等。</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45.农林水支出（213类）农村综合改革（07款）对村民委员会和村党支部的补助（05项）：指反映各级财政对村民委员会和村党支部的补助支出，以及支持建立县级基本财力保障机制安排的村级组织运转奖补资金。</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46.农林水支出（213类）其他农林水支出（99款）其他农林水支出（99项）：反映除上述项目以外其他农林水支出事务方面支出。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47</w:t>
      </w:r>
      <w:r>
        <w:rPr>
          <w:rFonts w:hint="eastAsia" w:eastAsia="仿宋_GB2312" w:cs="Times New Roman"/>
          <w:b w:val="0"/>
          <w:bCs w:val="0"/>
          <w:color w:val="auto"/>
          <w:sz w:val="32"/>
          <w:szCs w:val="32"/>
          <w:lang w:val="en-US" w:eastAsia="zh-CN"/>
        </w:rPr>
        <w:t>.住</w:t>
      </w:r>
      <w:r>
        <w:rPr>
          <w:rFonts w:hint="default" w:ascii="Times New Roman" w:hAnsi="Times New Roman" w:eastAsia="仿宋_GB2312" w:cs="Times New Roman"/>
          <w:b w:val="0"/>
          <w:bCs w:val="0"/>
          <w:color w:val="auto"/>
          <w:sz w:val="32"/>
          <w:szCs w:val="32"/>
          <w:lang w:val="en-US" w:eastAsia="zh-CN"/>
        </w:rPr>
        <w:t>房保障支出（221类）住房改革支出（02款）住房公积金（01项）：指反映行政事业单位按人力资源和社会保障部、财政部规定的基本工资和津贴补贴以及规定比例为职工缴纳的住房公积金。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48.灾害防治及应急管理支出（224类）应急管理事务（01款）安全监控（06项）：指反映安全生产综合监督管理和工贸行业安全生产监督管理等方面的支出。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49.灾害防治及应急管理支出（224类）自然灾害防治（06款）森林草原防灾减灾（02项）：指反映防灾森林草原火灾、自然水旱灾害等发生的支出。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50.基本支出：指为保障机构正常运转、完成日常工作任务而发生的人员支出和公用支出。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 xml:space="preserve">51.项目支出：指在基本支出之外为完成特定行政任务和事业发展目标所发生的支出。 </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52.经营支出：指事业单位在专业业务活动及其辅助活动之外开展非独立核算经营活动发生的支出。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53.“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keepNext w:val="0"/>
        <w:keepLines w:val="0"/>
        <w:pageBreakBefore w:val="0"/>
        <w:widowControl w:val="0"/>
        <w:kinsoku/>
        <w:wordWrap/>
        <w:overflowPunct/>
        <w:topLinePunct w:val="0"/>
        <w:autoSpaceDE/>
        <w:autoSpaceDN/>
        <w:bidi w:val="0"/>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54.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spacing w:line="560" w:lineRule="exact"/>
        <w:textAlignment w:val="auto"/>
        <w:rPr>
          <w:rStyle w:val="26"/>
          <w:rFonts w:hint="default" w:ascii="Times New Roman" w:hAnsi="Times New Roman" w:eastAsia="黑体" w:cs="Times New Roman"/>
          <w:b w:val="0"/>
          <w:lang w:eastAsia="zh-CN"/>
        </w:rPr>
      </w:pPr>
      <w:bookmarkStart w:id="52" w:name="_Toc15396614"/>
      <w:bookmarkStart w:id="53" w:name="_Toc15377226"/>
      <w:r>
        <w:rPr>
          <w:rStyle w:val="26"/>
          <w:rFonts w:hint="default" w:ascii="Times New Roman" w:hAnsi="Times New Roman" w:eastAsia="黑体" w:cs="Times New Roman"/>
          <w:b w:val="0"/>
          <w:lang w:eastAsia="zh-CN"/>
        </w:rPr>
        <w:br w:type="page"/>
      </w:r>
    </w:p>
    <w:p>
      <w:pPr>
        <w:numPr>
          <w:ilvl w:val="0"/>
          <w:numId w:val="0"/>
        </w:numPr>
        <w:spacing w:line="600" w:lineRule="exact"/>
        <w:ind w:leftChars="150"/>
        <w:jc w:val="center"/>
        <w:outlineLvl w:val="0"/>
        <w:rPr>
          <w:rStyle w:val="26"/>
          <w:rFonts w:hint="eastAsia" w:ascii="方正小标宋简体" w:hAnsi="方正小标宋简体" w:eastAsia="方正小标宋简体" w:cs="方正小标宋简体"/>
          <w:b w:val="0"/>
        </w:rPr>
      </w:pPr>
      <w:r>
        <w:rPr>
          <w:rStyle w:val="26"/>
          <w:rFonts w:hint="eastAsia" w:ascii="方正小标宋简体" w:hAnsi="方正小标宋简体" w:eastAsia="方正小标宋简体" w:cs="方正小标宋简体"/>
          <w:b w:val="0"/>
          <w:lang w:eastAsia="zh-CN"/>
        </w:rPr>
        <w:t>第四部分</w:t>
      </w:r>
      <w:r>
        <w:rPr>
          <w:rStyle w:val="26"/>
          <w:rFonts w:hint="eastAsia" w:ascii="方正小标宋简体" w:hAnsi="方正小标宋简体" w:eastAsia="方正小标宋简体" w:cs="方正小标宋简体"/>
          <w:b w:val="0"/>
          <w:lang w:val="en-US" w:eastAsia="zh-CN"/>
        </w:rPr>
        <w:t xml:space="preserve"> </w:t>
      </w:r>
      <w:r>
        <w:rPr>
          <w:rStyle w:val="26"/>
          <w:rFonts w:hint="eastAsia" w:ascii="方正小标宋简体" w:hAnsi="方正小标宋简体" w:eastAsia="方正小标宋简体" w:cs="方正小标宋简体"/>
          <w:b w:val="0"/>
        </w:rPr>
        <w:t>附件</w:t>
      </w:r>
      <w:bookmarkEnd w:id="52"/>
    </w:p>
    <w:p>
      <w:pPr>
        <w:widowControl/>
        <w:adjustRightInd w:val="0"/>
        <w:snapToGrid w:val="0"/>
        <w:spacing w:line="560" w:lineRule="exact"/>
        <w:contextualSpacing/>
        <w:jc w:val="left"/>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附件</w:t>
      </w:r>
      <w:r>
        <w:rPr>
          <w:rFonts w:hint="default" w:ascii="Times New Roman" w:hAnsi="Times New Roman" w:eastAsia="仿宋_GB2312" w:cs="Times New Roman"/>
          <w:b w:val="0"/>
          <w:bCs w:val="0"/>
          <w:color w:val="auto"/>
          <w:sz w:val="32"/>
          <w:szCs w:val="32"/>
          <w:lang w:val="en-US" w:eastAsia="zh-CN"/>
        </w:rPr>
        <w:t>1</w:t>
      </w:r>
    </w:p>
    <w:p>
      <w:pPr>
        <w:widowControl/>
        <w:spacing w:line="560" w:lineRule="exact"/>
        <w:contextualSpacing/>
        <w:jc w:val="center"/>
        <w:rPr>
          <w:rFonts w:hint="default" w:ascii="Times New Roman" w:hAnsi="Times New Roman" w:eastAsia="方正小标宋简体" w:cs="Times New Roman"/>
          <w:b w:val="0"/>
          <w:bCs w:val="0"/>
          <w:color w:val="auto"/>
          <w:sz w:val="44"/>
          <w:szCs w:val="44"/>
        </w:rPr>
      </w:pPr>
    </w:p>
    <w:p>
      <w:pPr>
        <w:widowControl/>
        <w:spacing w:line="560" w:lineRule="exact"/>
        <w:contextualSpacing/>
        <w:jc w:val="center"/>
        <w:rPr>
          <w:rFonts w:hint="default" w:ascii="Times New Roman" w:hAnsi="Times New Roman" w:eastAsia="方正小标宋简体" w:cs="Times New Roman"/>
          <w:b w:val="0"/>
          <w:bCs w:val="0"/>
          <w:color w:val="auto"/>
          <w:sz w:val="36"/>
          <w:szCs w:val="36"/>
        </w:rPr>
      </w:pPr>
      <w:r>
        <w:rPr>
          <w:rFonts w:hint="default" w:ascii="Times New Roman" w:hAnsi="Times New Roman" w:eastAsia="方正小标宋简体" w:cs="Times New Roman"/>
          <w:b w:val="0"/>
          <w:bCs w:val="0"/>
          <w:color w:val="auto"/>
          <w:sz w:val="36"/>
          <w:szCs w:val="36"/>
        </w:rPr>
        <w:t>2023年部门整体绩效评价报告（红果彝族乡）</w:t>
      </w:r>
    </w:p>
    <w:p>
      <w:pPr>
        <w:widowControl/>
        <w:spacing w:line="560" w:lineRule="exact"/>
        <w:contextualSpacing/>
        <w:jc w:val="center"/>
        <w:rPr>
          <w:rFonts w:hint="default" w:ascii="Times New Roman" w:hAnsi="Times New Roman" w:eastAsia="方正小标宋简体" w:cs="Times New Roman"/>
          <w:b w:val="0"/>
          <w:bCs w:val="0"/>
          <w:color w:val="auto"/>
          <w:sz w:val="44"/>
          <w:szCs w:val="44"/>
          <w:lang w:val="zh-CN"/>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b w:val="0"/>
          <w:bCs w:val="0"/>
          <w:color w:val="auto"/>
          <w:sz w:val="32"/>
          <w:szCs w:val="32"/>
          <w:lang w:eastAsia="zh-CN"/>
        </w:rPr>
      </w:pPr>
      <w:bookmarkStart w:id="54" w:name="_Toc18116_WPSOffice_Level2"/>
      <w:bookmarkStart w:id="55" w:name="_Toc8430_WPSOffice_Level2"/>
      <w:r>
        <w:rPr>
          <w:rFonts w:hint="default" w:ascii="Times New Roman" w:hAnsi="Times New Roman" w:eastAsia="黑体" w:cs="Times New Roman"/>
          <w:b w:val="0"/>
          <w:bCs w:val="0"/>
          <w:color w:val="auto"/>
          <w:sz w:val="32"/>
          <w:szCs w:val="32"/>
          <w:lang w:eastAsia="zh-CN"/>
        </w:rPr>
        <w:t>一、部门概况</w:t>
      </w:r>
      <w:bookmarkEnd w:id="54"/>
      <w:bookmarkEnd w:id="55"/>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（一）机构组成。</w:t>
      </w:r>
    </w:p>
    <w:p>
      <w:pPr>
        <w:pageBreakBefore w:val="0"/>
        <w:widowControl/>
        <w:kinsoku/>
        <w:wordWrap/>
        <w:overflowPunct/>
        <w:topLinePunct w:val="0"/>
        <w:bidi w:val="0"/>
        <w:adjustRightInd w:val="0"/>
        <w:snapToGrid w:val="0"/>
        <w:spacing w:line="560" w:lineRule="exact"/>
        <w:ind w:left="0" w:firstLine="640" w:firstLineChars="200"/>
        <w:contextualSpacing/>
        <w:jc w:val="left"/>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红果彝族乡地处攀枝花市盐边县东南部雅砻江下游二滩库区，全乡幅员面积245.73平方公里，东和本县桐子林镇相连，南和仁和区务本乡接壤，西同本县渔门镇毗邻，北与本县原鳡</w:t>
      </w:r>
      <w:r>
        <w:rPr>
          <w:rFonts w:hint="eastAsia" w:eastAsia="仿宋_GB2312" w:cs="Times New Roman"/>
          <w:b w:val="0"/>
          <w:bCs w:val="0"/>
          <w:color w:val="auto"/>
          <w:sz w:val="32"/>
          <w:szCs w:val="32"/>
          <w:lang w:val="en-US" w:eastAsia="zh-CN"/>
        </w:rPr>
        <w:t>渔乡</w:t>
      </w:r>
      <w:r>
        <w:rPr>
          <w:rFonts w:hint="default" w:ascii="Times New Roman" w:hAnsi="Times New Roman" w:eastAsia="仿宋_GB2312" w:cs="Times New Roman"/>
          <w:b w:val="0"/>
          <w:bCs w:val="0"/>
          <w:color w:val="auto"/>
          <w:sz w:val="32"/>
          <w:szCs w:val="32"/>
          <w:lang w:val="en-US" w:eastAsia="zh-CN"/>
        </w:rPr>
        <w:t>接壤，与米易县得石镇隔江相望。距盐边县城30公里，距攀枝花市区75公里。建制村调整后现辖6个村（红果村、蒿枝坪村、花椒箐村、三滩村、花地村、梁子田村）、1个社区（红星社区），31个村民小组和3个居民小组。全乡总人口12474人，2882户，有彝族、傈僳族、蒙古族等少数民族，少数民族人口5451人（其中，彝族4915人，傈僳族536人），占43.7%。乡机关设置7个党政综合办事机构（党政办、党建办、经济发展办、社会事务办、综合执法办、社会治理办、财政所）、4个直属公益一类事业单位（农业农村服务中心、便民服务中心、村镇建设中心、宣传文化旅游中心）。</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（二）机构职能。</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1.贯彻执行党和国家的各项方针、政策、</w:t>
      </w:r>
      <w:r>
        <w:rPr>
          <w:rFonts w:hint="eastAsia" w:eastAsia="仿宋_GB2312" w:cs="Times New Roman"/>
          <w:b w:val="0"/>
          <w:bCs w:val="0"/>
          <w:color w:val="auto"/>
          <w:sz w:val="32"/>
          <w:szCs w:val="32"/>
          <w:lang w:val="en-US" w:eastAsia="zh-CN"/>
        </w:rPr>
        <w:t>法律法规</w:t>
      </w:r>
      <w:r>
        <w:rPr>
          <w:rFonts w:hint="default" w:ascii="Times New Roman" w:hAnsi="Times New Roman" w:eastAsia="仿宋_GB2312" w:cs="Times New Roman"/>
          <w:b w:val="0"/>
          <w:bCs w:val="0"/>
          <w:color w:val="auto"/>
          <w:sz w:val="32"/>
          <w:szCs w:val="32"/>
          <w:lang w:val="en-US" w:eastAsia="zh-CN"/>
        </w:rPr>
        <w:t>，以及上级行政机关和乡党委、乡人代会的决定、决议。2.制定并执行本行政区域内经济和社会发展规划、计划。3.负责乡村振兴、新农村建设和推进城乡一体化的组织和实施。4.负责辖区经济、文化、教育、科学、卫生健康、民政、社会保障、民族宗教、村镇建设、司法、退役军人、扶贫、信访、安全、统计等行政管理和服务工作。</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（三）人员概况。</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bookmarkStart w:id="56" w:name="_Toc23087_WPSOffice_Level2"/>
      <w:bookmarkStart w:id="57" w:name="_Toc24364_WPSOffice_Level2"/>
      <w:r>
        <w:rPr>
          <w:rFonts w:hint="eastAsia" w:eastAsia="仿宋_GB2312" w:cs="Times New Roman"/>
          <w:b w:val="0"/>
          <w:bCs w:val="0"/>
          <w:color w:val="auto"/>
          <w:sz w:val="32"/>
          <w:szCs w:val="32"/>
          <w:lang w:val="en-US" w:eastAsia="zh-CN"/>
        </w:rPr>
        <w:t>截至2023年</w:t>
      </w:r>
      <w:r>
        <w:rPr>
          <w:rFonts w:hint="default" w:ascii="Times New Roman" w:hAnsi="Times New Roman" w:eastAsia="仿宋_GB2312" w:cs="Times New Roman"/>
          <w:b w:val="0"/>
          <w:bCs w:val="0"/>
          <w:color w:val="auto"/>
          <w:sz w:val="32"/>
          <w:szCs w:val="32"/>
          <w:lang w:val="en-US" w:eastAsia="zh-CN"/>
        </w:rPr>
        <w:t>12月，红果彝族乡人员编制54人（其中：行政编制25人，机关工勤编制3人，事业编制26人），实有46人（其中：行政21人，机关工勤1人，事业24人）。</w:t>
      </w:r>
    </w:p>
    <w:p>
      <w:pPr>
        <w:keepNext w:val="0"/>
        <w:keepLines w:val="0"/>
        <w:pageBreakBefore w:val="0"/>
        <w:kinsoku/>
        <w:wordWrap/>
        <w:overflowPunct/>
        <w:topLinePunct w:val="0"/>
        <w:autoSpaceDE/>
        <w:autoSpaceDN/>
        <w:bidi w:val="0"/>
        <w:adjustRightInd w:val="0"/>
        <w:snapToGrid w:val="0"/>
        <w:spacing w:line="560" w:lineRule="exact"/>
        <w:ind w:left="0" w:firstLine="640" w:firstLineChars="200"/>
        <w:textAlignment w:val="auto"/>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二、部门财政资金基本情况</w:t>
      </w:r>
      <w:bookmarkEnd w:id="56"/>
      <w:bookmarkEnd w:id="57"/>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（一）财政资金收入情况。</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2023年度财政资金收入1933.36万元，其中：一般公共预算财政拨款收入1881.24万元,占总收入的97.3%；政府性基金预算财政拨款收入32.12万元，占总收入的1.66%；其他收入（非本级财政拨款）20万元，占总收入的1.04%。</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（二）财政资金支出情况。</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2023年度财政资金支出1938.36万元，其中：一般公共预算财政拨款支出1881.24万元</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占总支出的97.05%；政府性基金预算财政拨款支出32.12万元，占总支出的1.66%；其他支出（非本级财政拨款）25万元</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其中本年其他支出20万元；年初结转结余5万元</w:t>
      </w:r>
      <w:r>
        <w:rPr>
          <w:rFonts w:hint="eastAsia"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，占总支出的1.29%。</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（三）财政资金结转结余情况。</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2023年年末结转和结余资金0万元。</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三、部门整体预算绩效管理情况</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r>
        <w:rPr>
          <w:rFonts w:hint="default" w:ascii="Times New Roman" w:hAnsi="Times New Roman" w:eastAsia="楷体_GB2312" w:cs="Times New Roman"/>
          <w:b w:val="0"/>
          <w:bCs w:val="0"/>
          <w:color w:val="auto"/>
          <w:sz w:val="32"/>
          <w:szCs w:val="32"/>
          <w:lang w:val="zh-CN" w:eastAsia="zh-CN"/>
        </w:rPr>
        <w:t>（一）部门预算项目绩效管理。</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1.人员类项目绩效分析</w:t>
      </w:r>
      <w:r>
        <w:rPr>
          <w:rFonts w:hint="default" w:ascii="Times New Roman" w:hAnsi="Times New Roman" w:eastAsia="楷体_GB2312" w:cs="Times New Roman"/>
          <w:b w:val="0"/>
          <w:bCs w:val="0"/>
          <w:color w:val="auto"/>
          <w:sz w:val="32"/>
          <w:szCs w:val="32"/>
          <w:lang w:val="zh-CN" w:eastAsia="zh-CN"/>
        </w:rPr>
        <w:t>。</w:t>
      </w:r>
      <w:r>
        <w:rPr>
          <w:rFonts w:hint="default" w:ascii="Times New Roman" w:hAnsi="Times New Roman" w:eastAsia="仿宋_GB2312" w:cs="Times New Roman"/>
          <w:b w:val="0"/>
          <w:bCs w:val="0"/>
          <w:color w:val="auto"/>
          <w:sz w:val="32"/>
          <w:szCs w:val="32"/>
          <w:lang w:val="zh-CN" w:eastAsia="zh-CN"/>
        </w:rPr>
        <w:t>包括部门绩效目标制定、目标实现、支出控制、及时处置、执行进度、预算完成情况、资金结余率（低效无效率）和违规记录等情况。</w:t>
      </w:r>
    </w:p>
    <w:p>
      <w:pPr>
        <w:keepNext/>
        <w:keepLines/>
        <w:pageBreakBefore w:val="0"/>
        <w:numPr>
          <w:ilvl w:val="0"/>
          <w:numId w:val="0"/>
        </w:numPr>
        <w:kinsoku/>
        <w:wordWrap/>
        <w:overflowPunct/>
        <w:topLinePunct w:val="0"/>
        <w:autoSpaceDE w:val="0"/>
        <w:autoSpaceDN w:val="0"/>
        <w:bidi w:val="0"/>
        <w:adjustRightInd w:val="0"/>
        <w:spacing w:line="560" w:lineRule="exact"/>
        <w:ind w:left="0" w:firstLine="640" w:firstLineChars="200"/>
        <w:jc w:val="left"/>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(1)</w:t>
      </w:r>
      <w:r>
        <w:rPr>
          <w:rFonts w:hint="default" w:ascii="Times New Roman" w:hAnsi="Times New Roman" w:eastAsia="仿宋_GB2312" w:cs="Times New Roman"/>
          <w:sz w:val="32"/>
          <w:szCs w:val="22"/>
        </w:rPr>
        <w:t>目标制定。</w:t>
      </w:r>
      <w:r>
        <w:rPr>
          <w:rFonts w:hint="default" w:ascii="Times New Roman" w:hAnsi="Times New Roman" w:eastAsia="仿宋_GB2312" w:cs="Times New Roman"/>
          <w:b w:val="0"/>
          <w:bCs w:val="0"/>
          <w:color w:val="auto"/>
          <w:sz w:val="32"/>
          <w:szCs w:val="32"/>
          <w:lang w:val="zh-CN" w:eastAsia="zh-CN"/>
        </w:rPr>
        <w:t>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zh-CN" w:eastAsia="zh-CN"/>
        </w:rPr>
        <w:t>年，盐边县红果彝族乡人民政府在编制部门预算时严格按要求编报了部门整体支出的绩效目标，覆盖了人员类项目，人员类支出预算按照工资福利标准和编制内实有人员核定，绩效目标填报完整合理。</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(2)</w:t>
      </w:r>
      <w:r>
        <w:rPr>
          <w:rFonts w:hint="default" w:ascii="Times New Roman" w:hAnsi="Times New Roman" w:eastAsia="仿宋_GB2312" w:cs="Times New Roman"/>
          <w:b w:val="0"/>
          <w:bCs w:val="0"/>
          <w:color w:val="auto"/>
          <w:sz w:val="32"/>
          <w:szCs w:val="32"/>
          <w:lang w:val="zh-CN" w:eastAsia="zh-CN"/>
        </w:rPr>
        <w:t>目标实现。人员经费合计</w:t>
      </w:r>
      <w:r>
        <w:rPr>
          <w:rFonts w:hint="default" w:ascii="Times New Roman" w:hAnsi="Times New Roman" w:eastAsia="仿宋_GB2312" w:cs="Times New Roman"/>
          <w:b w:val="0"/>
          <w:bCs w:val="0"/>
          <w:color w:val="auto"/>
          <w:sz w:val="32"/>
          <w:szCs w:val="32"/>
          <w:lang w:val="en-US" w:eastAsia="zh-CN"/>
        </w:rPr>
        <w:t>1322.97</w:t>
      </w:r>
      <w:r>
        <w:rPr>
          <w:rFonts w:hint="default" w:ascii="Times New Roman" w:hAnsi="Times New Roman" w:eastAsia="仿宋_GB2312" w:cs="Times New Roman"/>
          <w:b w:val="0"/>
          <w:bCs w:val="0"/>
          <w:color w:val="auto"/>
          <w:sz w:val="32"/>
          <w:szCs w:val="32"/>
          <w:lang w:val="zh-CN" w:eastAsia="zh-CN"/>
        </w:rPr>
        <w:t>万元。其中，工资福利支出</w:t>
      </w:r>
      <w:r>
        <w:rPr>
          <w:rFonts w:hint="default" w:ascii="Times New Roman" w:hAnsi="Times New Roman" w:eastAsia="仿宋_GB2312" w:cs="Times New Roman"/>
          <w:b w:val="0"/>
          <w:bCs w:val="0"/>
          <w:color w:val="auto"/>
          <w:sz w:val="32"/>
          <w:szCs w:val="32"/>
          <w:lang w:val="en-US" w:eastAsia="zh-CN"/>
        </w:rPr>
        <w:t>1040.98</w:t>
      </w:r>
      <w:r>
        <w:rPr>
          <w:rFonts w:hint="default" w:ascii="Times New Roman" w:hAnsi="Times New Roman" w:eastAsia="仿宋_GB2312" w:cs="Times New Roman"/>
          <w:b w:val="0"/>
          <w:bCs w:val="0"/>
          <w:color w:val="auto"/>
          <w:sz w:val="32"/>
          <w:szCs w:val="32"/>
          <w:lang w:val="zh-CN" w:eastAsia="zh-CN"/>
        </w:rPr>
        <w:t>万元，对个人和家庭的补助</w:t>
      </w:r>
      <w:r>
        <w:rPr>
          <w:rFonts w:hint="default" w:ascii="Times New Roman" w:hAnsi="Times New Roman" w:eastAsia="仿宋_GB2312" w:cs="Times New Roman"/>
          <w:b w:val="0"/>
          <w:bCs w:val="0"/>
          <w:color w:val="auto"/>
          <w:sz w:val="32"/>
          <w:szCs w:val="32"/>
          <w:lang w:val="en-US" w:eastAsia="zh-CN"/>
        </w:rPr>
        <w:t>281.99</w:t>
      </w:r>
      <w:r>
        <w:rPr>
          <w:rFonts w:hint="default" w:ascii="Times New Roman" w:hAnsi="Times New Roman" w:eastAsia="仿宋_GB2312" w:cs="Times New Roman"/>
          <w:b w:val="0"/>
          <w:bCs w:val="0"/>
          <w:color w:val="auto"/>
          <w:sz w:val="32"/>
          <w:szCs w:val="32"/>
          <w:lang w:val="zh-CN" w:eastAsia="zh-CN"/>
        </w:rPr>
        <w:t>万元，目标完成率100%。</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(3)</w:t>
      </w:r>
      <w:r>
        <w:rPr>
          <w:rFonts w:hint="default" w:ascii="Times New Roman" w:hAnsi="Times New Roman" w:eastAsia="仿宋_GB2312" w:cs="Times New Roman"/>
          <w:b w:val="0"/>
          <w:bCs w:val="0"/>
          <w:color w:val="auto"/>
          <w:sz w:val="32"/>
          <w:szCs w:val="32"/>
          <w:lang w:val="zh-CN" w:eastAsia="zh-CN"/>
        </w:rPr>
        <w:t>支出控制。202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zh-CN" w:eastAsia="zh-CN"/>
        </w:rPr>
        <w:t>年度，盐边县红果彝族乡人民政府人员经费年初预算数为</w:t>
      </w:r>
      <w:r>
        <w:rPr>
          <w:rFonts w:hint="default" w:ascii="Times New Roman" w:hAnsi="Times New Roman" w:eastAsia="仿宋_GB2312" w:cs="Times New Roman"/>
          <w:b w:val="0"/>
          <w:bCs w:val="0"/>
          <w:color w:val="auto"/>
          <w:sz w:val="32"/>
          <w:szCs w:val="32"/>
          <w:lang w:val="en-US" w:eastAsia="zh-CN"/>
        </w:rPr>
        <w:t>978.41</w:t>
      </w:r>
      <w:r>
        <w:rPr>
          <w:rFonts w:hint="default" w:ascii="Times New Roman" w:hAnsi="Times New Roman" w:eastAsia="仿宋_GB2312" w:cs="Times New Roman"/>
          <w:b w:val="0"/>
          <w:bCs w:val="0"/>
          <w:color w:val="auto"/>
          <w:sz w:val="32"/>
          <w:szCs w:val="32"/>
          <w:lang w:val="zh-CN" w:eastAsia="zh-CN"/>
        </w:rPr>
        <w:t>万元，决算数为</w:t>
      </w:r>
      <w:r>
        <w:rPr>
          <w:rFonts w:hint="default" w:ascii="Times New Roman" w:hAnsi="Times New Roman" w:eastAsia="仿宋_GB2312" w:cs="Times New Roman"/>
          <w:b w:val="0"/>
          <w:bCs w:val="0"/>
          <w:color w:val="auto"/>
          <w:sz w:val="32"/>
          <w:szCs w:val="32"/>
          <w:lang w:val="en-US" w:eastAsia="zh-CN"/>
        </w:rPr>
        <w:t>1040.98</w:t>
      </w:r>
      <w:r>
        <w:rPr>
          <w:rFonts w:hint="default" w:ascii="Times New Roman" w:hAnsi="Times New Roman" w:eastAsia="仿宋_GB2312" w:cs="Times New Roman"/>
          <w:b w:val="0"/>
          <w:bCs w:val="0"/>
          <w:color w:val="auto"/>
          <w:sz w:val="32"/>
          <w:szCs w:val="32"/>
          <w:lang w:val="zh-CN" w:eastAsia="zh-CN"/>
        </w:rPr>
        <w:t>万元，预决算偏差</w:t>
      </w:r>
      <w:r>
        <w:rPr>
          <w:rFonts w:hint="default" w:ascii="Times New Roman" w:hAnsi="Times New Roman" w:eastAsia="仿宋_GB2312" w:cs="Times New Roman"/>
          <w:b w:val="0"/>
          <w:bCs w:val="0"/>
          <w:color w:val="auto"/>
          <w:sz w:val="32"/>
          <w:szCs w:val="32"/>
          <w:lang w:val="en-US" w:eastAsia="zh-CN"/>
        </w:rPr>
        <w:t>6.64</w:t>
      </w:r>
      <w:r>
        <w:rPr>
          <w:rFonts w:hint="default" w:ascii="Times New Roman" w:hAnsi="Times New Roman" w:eastAsia="仿宋_GB2312" w:cs="Times New Roman"/>
          <w:b w:val="0"/>
          <w:bCs w:val="0"/>
          <w:color w:val="auto"/>
          <w:sz w:val="32"/>
          <w:szCs w:val="32"/>
          <w:lang w:val="zh-CN" w:eastAsia="zh-CN"/>
        </w:rPr>
        <w:t>%。</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(4)</w:t>
      </w:r>
      <w:r>
        <w:rPr>
          <w:rFonts w:hint="default" w:ascii="Times New Roman" w:hAnsi="Times New Roman" w:eastAsia="仿宋_GB2312" w:cs="Times New Roman"/>
          <w:b w:val="0"/>
          <w:bCs w:val="0"/>
          <w:color w:val="auto"/>
          <w:sz w:val="32"/>
          <w:szCs w:val="32"/>
          <w:lang w:val="zh-CN" w:eastAsia="zh-CN"/>
        </w:rPr>
        <w:t>及时处置。年中、年末追加预算。</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(5)</w:t>
      </w:r>
      <w:r>
        <w:rPr>
          <w:rFonts w:hint="default" w:ascii="Times New Roman" w:hAnsi="Times New Roman" w:eastAsia="仿宋_GB2312" w:cs="Times New Roman"/>
          <w:b w:val="0"/>
          <w:bCs w:val="0"/>
          <w:color w:val="auto"/>
          <w:sz w:val="32"/>
          <w:szCs w:val="32"/>
          <w:lang w:val="zh-CN" w:eastAsia="zh-CN"/>
        </w:rPr>
        <w:t>执行进度。202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zh-CN" w:eastAsia="zh-CN"/>
        </w:rPr>
        <w:t>年度人员经费预算为</w:t>
      </w:r>
      <w:r>
        <w:rPr>
          <w:rFonts w:hint="default" w:ascii="Times New Roman" w:hAnsi="Times New Roman" w:eastAsia="仿宋_GB2312" w:cs="Times New Roman"/>
          <w:b w:val="0"/>
          <w:bCs w:val="0"/>
          <w:color w:val="auto"/>
          <w:sz w:val="32"/>
          <w:szCs w:val="32"/>
          <w:lang w:val="en-US" w:eastAsia="zh-CN"/>
        </w:rPr>
        <w:t>1040.98</w:t>
      </w:r>
      <w:r>
        <w:rPr>
          <w:rFonts w:hint="default" w:ascii="Times New Roman" w:hAnsi="Times New Roman" w:eastAsia="仿宋_GB2312" w:cs="Times New Roman"/>
          <w:b w:val="0"/>
          <w:bCs w:val="0"/>
          <w:color w:val="auto"/>
          <w:sz w:val="32"/>
          <w:szCs w:val="32"/>
          <w:lang w:val="zh-CN" w:eastAsia="zh-CN"/>
        </w:rPr>
        <w:t>万元均达到绩效要求的执行进度。</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(6)</w:t>
      </w:r>
      <w:r>
        <w:rPr>
          <w:rFonts w:hint="default" w:ascii="Times New Roman" w:hAnsi="Times New Roman" w:eastAsia="仿宋_GB2312" w:cs="Times New Roman"/>
          <w:b w:val="0"/>
          <w:bCs w:val="0"/>
          <w:color w:val="auto"/>
          <w:sz w:val="32"/>
          <w:szCs w:val="32"/>
          <w:lang w:val="zh-CN" w:eastAsia="zh-CN"/>
        </w:rPr>
        <w:t>预算完成情况。202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zh-CN" w:eastAsia="zh-CN"/>
        </w:rPr>
        <w:t>年度年底预算实际支付进度为100%。</w:t>
      </w:r>
    </w:p>
    <w:p>
      <w:pPr>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(7)</w:t>
      </w:r>
      <w:r>
        <w:rPr>
          <w:rFonts w:hint="default" w:ascii="Times New Roman" w:hAnsi="Times New Roman" w:eastAsia="仿宋_GB2312" w:cs="Times New Roman"/>
          <w:b w:val="0"/>
          <w:bCs w:val="0"/>
          <w:color w:val="auto"/>
          <w:sz w:val="32"/>
          <w:szCs w:val="32"/>
          <w:lang w:val="zh-CN" w:eastAsia="zh-CN"/>
        </w:rPr>
        <w:t>资金结余率。无资金结余。</w:t>
      </w:r>
    </w:p>
    <w:p>
      <w:pPr>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2.运转类项目绩效分析。</w:t>
      </w:r>
    </w:p>
    <w:p>
      <w:pPr>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(1)</w:t>
      </w:r>
      <w:r>
        <w:rPr>
          <w:rFonts w:hint="default" w:ascii="Times New Roman" w:hAnsi="Times New Roman" w:eastAsia="仿宋_GB2312" w:cs="Times New Roman"/>
          <w:b w:val="0"/>
          <w:bCs w:val="0"/>
          <w:color w:val="auto"/>
          <w:sz w:val="32"/>
          <w:szCs w:val="32"/>
          <w:lang w:val="zh-CN" w:eastAsia="zh-CN"/>
        </w:rPr>
        <w:t>目标制定。202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zh-CN" w:eastAsia="zh-CN"/>
        </w:rPr>
        <w:t>年，盐边县红果彝族乡人民政府在编制部门预算时按要求编报了部门整体支出的绩效目标，覆盖了运转类项目。运转类项目预算绩效目标编制科学合理，要素完整。</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(2)</w:t>
      </w:r>
      <w:r>
        <w:rPr>
          <w:rFonts w:hint="default" w:ascii="Times New Roman" w:hAnsi="Times New Roman" w:eastAsia="仿宋_GB2312" w:cs="Times New Roman"/>
          <w:b w:val="0"/>
          <w:bCs w:val="0"/>
          <w:color w:val="auto"/>
          <w:sz w:val="32"/>
          <w:szCs w:val="32"/>
          <w:lang w:val="zh-CN" w:eastAsia="zh-CN"/>
        </w:rPr>
        <w:t>目标实现。运转类经费合计</w:t>
      </w:r>
      <w:r>
        <w:rPr>
          <w:rFonts w:hint="default" w:ascii="Times New Roman" w:hAnsi="Times New Roman" w:eastAsia="仿宋_GB2312" w:cs="Times New Roman"/>
          <w:b w:val="0"/>
          <w:bCs w:val="0"/>
          <w:color w:val="auto"/>
          <w:sz w:val="32"/>
          <w:szCs w:val="32"/>
          <w:lang w:val="en-US" w:eastAsia="zh-CN"/>
        </w:rPr>
        <w:t>173.66</w:t>
      </w:r>
      <w:r>
        <w:rPr>
          <w:rFonts w:hint="default" w:ascii="Times New Roman" w:hAnsi="Times New Roman" w:eastAsia="仿宋_GB2312" w:cs="Times New Roman"/>
          <w:b w:val="0"/>
          <w:bCs w:val="0"/>
          <w:color w:val="auto"/>
          <w:sz w:val="32"/>
          <w:szCs w:val="32"/>
          <w:lang w:val="zh-CN" w:eastAsia="zh-CN"/>
        </w:rPr>
        <w:t>万元。其中，商品和服务支出</w:t>
      </w:r>
      <w:r>
        <w:rPr>
          <w:rFonts w:hint="default" w:ascii="Times New Roman" w:hAnsi="Times New Roman" w:eastAsia="仿宋_GB2312" w:cs="Times New Roman"/>
          <w:b w:val="0"/>
          <w:bCs w:val="0"/>
          <w:color w:val="auto"/>
          <w:sz w:val="32"/>
          <w:szCs w:val="32"/>
          <w:lang w:val="en-US" w:eastAsia="zh-CN"/>
        </w:rPr>
        <w:t>173.66</w:t>
      </w:r>
      <w:r>
        <w:rPr>
          <w:rFonts w:hint="default" w:ascii="Times New Roman" w:hAnsi="Times New Roman" w:eastAsia="仿宋_GB2312" w:cs="Times New Roman"/>
          <w:b w:val="0"/>
          <w:bCs w:val="0"/>
          <w:color w:val="auto"/>
          <w:sz w:val="32"/>
          <w:szCs w:val="32"/>
          <w:lang w:val="zh-CN" w:eastAsia="zh-CN"/>
        </w:rPr>
        <w:t>万元，目标完成率100%。</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(3)</w:t>
      </w:r>
      <w:r>
        <w:rPr>
          <w:rFonts w:hint="default" w:ascii="Times New Roman" w:hAnsi="Times New Roman" w:eastAsia="仿宋_GB2312" w:cs="Times New Roman"/>
          <w:b w:val="0"/>
          <w:bCs w:val="0"/>
          <w:color w:val="auto"/>
          <w:sz w:val="32"/>
          <w:szCs w:val="32"/>
          <w:lang w:val="zh-CN" w:eastAsia="zh-CN"/>
        </w:rPr>
        <w:t>支出控制。202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zh-CN" w:eastAsia="zh-CN"/>
        </w:rPr>
        <w:t>年度，盐边县红果彝族乡人民政府运转类年初预算数为</w:t>
      </w:r>
      <w:r>
        <w:rPr>
          <w:rFonts w:hint="default" w:ascii="Times New Roman" w:hAnsi="Times New Roman" w:eastAsia="仿宋_GB2312" w:cs="Times New Roman"/>
          <w:b w:val="0"/>
          <w:bCs w:val="0"/>
          <w:color w:val="auto"/>
          <w:sz w:val="32"/>
          <w:szCs w:val="32"/>
          <w:lang w:val="en-US" w:eastAsia="zh-CN"/>
        </w:rPr>
        <w:t>141.64</w:t>
      </w:r>
      <w:r>
        <w:rPr>
          <w:rFonts w:hint="default" w:ascii="Times New Roman" w:hAnsi="Times New Roman" w:eastAsia="仿宋_GB2312" w:cs="Times New Roman"/>
          <w:b w:val="0"/>
          <w:bCs w:val="0"/>
          <w:color w:val="auto"/>
          <w:sz w:val="32"/>
          <w:szCs w:val="32"/>
          <w:lang w:val="zh-CN" w:eastAsia="zh-CN"/>
        </w:rPr>
        <w:t>万元，决算数为</w:t>
      </w:r>
      <w:r>
        <w:rPr>
          <w:rFonts w:hint="default" w:ascii="Times New Roman" w:hAnsi="Times New Roman" w:eastAsia="仿宋_GB2312" w:cs="Times New Roman"/>
          <w:b w:val="0"/>
          <w:bCs w:val="0"/>
          <w:color w:val="auto"/>
          <w:sz w:val="32"/>
          <w:szCs w:val="32"/>
          <w:lang w:val="en-US" w:eastAsia="zh-CN"/>
        </w:rPr>
        <w:t>173.66</w:t>
      </w:r>
      <w:r>
        <w:rPr>
          <w:rFonts w:hint="default" w:ascii="Times New Roman" w:hAnsi="Times New Roman" w:eastAsia="仿宋_GB2312" w:cs="Times New Roman"/>
          <w:b w:val="0"/>
          <w:bCs w:val="0"/>
          <w:color w:val="auto"/>
          <w:sz w:val="32"/>
          <w:szCs w:val="32"/>
          <w:lang w:val="zh-CN" w:eastAsia="zh-CN"/>
        </w:rPr>
        <w:t>万元，预决算偏差</w:t>
      </w:r>
      <w:r>
        <w:rPr>
          <w:rFonts w:hint="default" w:ascii="Times New Roman" w:hAnsi="Times New Roman" w:eastAsia="仿宋_GB2312" w:cs="Times New Roman"/>
          <w:b w:val="0"/>
          <w:bCs w:val="0"/>
          <w:color w:val="auto"/>
          <w:sz w:val="32"/>
          <w:szCs w:val="32"/>
          <w:lang w:val="en-US" w:eastAsia="zh-CN"/>
        </w:rPr>
        <w:t>22.61</w:t>
      </w:r>
      <w:r>
        <w:rPr>
          <w:rFonts w:hint="default" w:ascii="Times New Roman" w:hAnsi="Times New Roman" w:eastAsia="仿宋_GB2312" w:cs="Times New Roman"/>
          <w:b w:val="0"/>
          <w:bCs w:val="0"/>
          <w:color w:val="auto"/>
          <w:sz w:val="32"/>
          <w:szCs w:val="32"/>
          <w:lang w:val="zh-CN" w:eastAsia="zh-CN"/>
        </w:rPr>
        <w:t>%。</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(4)</w:t>
      </w:r>
      <w:r>
        <w:rPr>
          <w:rFonts w:hint="default" w:ascii="Times New Roman" w:hAnsi="Times New Roman" w:eastAsia="仿宋_GB2312" w:cs="Times New Roman"/>
          <w:b w:val="0"/>
          <w:bCs w:val="0"/>
          <w:color w:val="auto"/>
          <w:sz w:val="32"/>
          <w:szCs w:val="32"/>
          <w:lang w:val="zh-CN" w:eastAsia="zh-CN"/>
        </w:rPr>
        <w:t>及时处置。年底追加预算。</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(5)</w:t>
      </w:r>
      <w:r>
        <w:rPr>
          <w:rFonts w:hint="default" w:ascii="Times New Roman" w:hAnsi="Times New Roman" w:eastAsia="仿宋_GB2312" w:cs="Times New Roman"/>
          <w:b w:val="0"/>
          <w:bCs w:val="0"/>
          <w:color w:val="auto"/>
          <w:sz w:val="32"/>
          <w:szCs w:val="32"/>
          <w:lang w:val="zh-CN" w:eastAsia="zh-CN"/>
        </w:rPr>
        <w:t>执行进度。202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zh-CN" w:eastAsia="zh-CN"/>
        </w:rPr>
        <w:t>年运转类项目均达到绩效评价要求的进度。</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(6)</w:t>
      </w:r>
      <w:r>
        <w:rPr>
          <w:rFonts w:hint="default" w:ascii="Times New Roman" w:hAnsi="Times New Roman" w:eastAsia="仿宋_GB2312" w:cs="Times New Roman"/>
          <w:b w:val="0"/>
          <w:bCs w:val="0"/>
          <w:color w:val="auto"/>
          <w:sz w:val="32"/>
          <w:szCs w:val="32"/>
          <w:lang w:val="zh-CN" w:eastAsia="zh-CN"/>
        </w:rPr>
        <w:t>预算完成情况。202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zh-CN" w:eastAsia="zh-CN"/>
        </w:rPr>
        <w:t>年度年底预算实际支付进度为100%。</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(7)</w:t>
      </w:r>
      <w:r>
        <w:rPr>
          <w:rFonts w:hint="default" w:ascii="Times New Roman" w:hAnsi="Times New Roman" w:eastAsia="仿宋_GB2312" w:cs="Times New Roman"/>
          <w:b w:val="0"/>
          <w:bCs w:val="0"/>
          <w:color w:val="auto"/>
          <w:sz w:val="32"/>
          <w:szCs w:val="32"/>
          <w:lang w:val="zh-CN" w:eastAsia="zh-CN"/>
        </w:rPr>
        <w:t>资金结余率。无资金结余。</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3.特定目标类项目绩效分析。</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(1)</w:t>
      </w:r>
      <w:r>
        <w:rPr>
          <w:rFonts w:hint="default" w:ascii="Times New Roman" w:hAnsi="Times New Roman" w:eastAsia="仿宋_GB2312" w:cs="Times New Roman"/>
          <w:b w:val="0"/>
          <w:bCs w:val="0"/>
          <w:color w:val="auto"/>
          <w:sz w:val="32"/>
          <w:szCs w:val="32"/>
          <w:lang w:val="zh-CN" w:eastAsia="zh-CN"/>
        </w:rPr>
        <w:t>目标制定。202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zh-CN" w:eastAsia="zh-CN"/>
        </w:rPr>
        <w:t>年，盐边县红果彝族乡人民政府在编制部门预算时按要求编报了部门预算项目绩效目标，根据部门整体支出绩效目标自评和项目支出绩效目标自评情况，盐边县红果彝族乡人民政府效目标编制科学合理、要素完整。</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(2)</w:t>
      </w:r>
      <w:r>
        <w:rPr>
          <w:rFonts w:hint="default" w:ascii="Times New Roman" w:hAnsi="Times New Roman" w:eastAsia="仿宋_GB2312" w:cs="Times New Roman"/>
          <w:b w:val="0"/>
          <w:bCs w:val="0"/>
          <w:color w:val="auto"/>
          <w:sz w:val="32"/>
          <w:szCs w:val="32"/>
          <w:lang w:val="zh-CN" w:eastAsia="zh-CN"/>
        </w:rPr>
        <w:t>目标实现。特定目标类项目经费合计</w:t>
      </w:r>
      <w:r>
        <w:rPr>
          <w:rFonts w:hint="default" w:ascii="Times New Roman" w:hAnsi="Times New Roman" w:eastAsia="仿宋_GB2312" w:cs="Times New Roman"/>
          <w:b w:val="0"/>
          <w:bCs w:val="0"/>
          <w:color w:val="auto"/>
          <w:sz w:val="32"/>
          <w:szCs w:val="32"/>
          <w:lang w:val="en-US" w:eastAsia="zh-CN"/>
        </w:rPr>
        <w:t>416.74</w:t>
      </w:r>
      <w:r>
        <w:rPr>
          <w:rFonts w:hint="default" w:ascii="Times New Roman" w:hAnsi="Times New Roman" w:eastAsia="仿宋_GB2312" w:cs="Times New Roman"/>
          <w:b w:val="0"/>
          <w:bCs w:val="0"/>
          <w:color w:val="auto"/>
          <w:sz w:val="32"/>
          <w:szCs w:val="32"/>
          <w:lang w:val="zh-CN" w:eastAsia="zh-CN"/>
        </w:rPr>
        <w:t>万元，目标完成率100%。</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(3)</w:t>
      </w:r>
      <w:r>
        <w:rPr>
          <w:rFonts w:hint="default" w:ascii="Times New Roman" w:hAnsi="Times New Roman" w:eastAsia="仿宋_GB2312" w:cs="Times New Roman"/>
          <w:b w:val="0"/>
          <w:bCs w:val="0"/>
          <w:color w:val="auto"/>
          <w:sz w:val="32"/>
          <w:szCs w:val="32"/>
          <w:lang w:val="zh-CN" w:eastAsia="zh-CN"/>
        </w:rPr>
        <w:t>支出控制。202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zh-CN" w:eastAsia="zh-CN"/>
        </w:rPr>
        <w:t>年度，盐边县红果彝族乡人民政府特定目标类项目经费年初预算数为</w:t>
      </w:r>
      <w:r>
        <w:rPr>
          <w:rFonts w:hint="default" w:ascii="Times New Roman" w:hAnsi="Times New Roman" w:eastAsia="仿宋_GB2312" w:cs="Times New Roman"/>
          <w:b w:val="0"/>
          <w:bCs w:val="0"/>
          <w:color w:val="auto"/>
          <w:sz w:val="32"/>
          <w:szCs w:val="32"/>
          <w:lang w:val="en-US" w:eastAsia="zh-CN"/>
        </w:rPr>
        <w:t>163.02</w:t>
      </w:r>
      <w:r>
        <w:rPr>
          <w:rFonts w:hint="default" w:ascii="Times New Roman" w:hAnsi="Times New Roman" w:eastAsia="仿宋_GB2312" w:cs="Times New Roman"/>
          <w:b w:val="0"/>
          <w:bCs w:val="0"/>
          <w:color w:val="auto"/>
          <w:sz w:val="32"/>
          <w:szCs w:val="32"/>
          <w:lang w:val="zh-CN" w:eastAsia="zh-CN"/>
        </w:rPr>
        <w:t>万元，决算数为</w:t>
      </w:r>
      <w:r>
        <w:rPr>
          <w:rFonts w:hint="default" w:ascii="Times New Roman" w:hAnsi="Times New Roman" w:eastAsia="仿宋_GB2312" w:cs="Times New Roman"/>
          <w:b w:val="0"/>
          <w:bCs w:val="0"/>
          <w:color w:val="auto"/>
          <w:sz w:val="32"/>
          <w:szCs w:val="32"/>
          <w:lang w:val="en-US" w:eastAsia="zh-CN"/>
        </w:rPr>
        <w:t>416.74</w:t>
      </w:r>
      <w:r>
        <w:rPr>
          <w:rFonts w:hint="default" w:ascii="Times New Roman" w:hAnsi="Times New Roman" w:eastAsia="仿宋_GB2312" w:cs="Times New Roman"/>
          <w:b w:val="0"/>
          <w:bCs w:val="0"/>
          <w:color w:val="auto"/>
          <w:sz w:val="32"/>
          <w:szCs w:val="32"/>
          <w:lang w:val="zh-CN" w:eastAsia="zh-CN"/>
        </w:rPr>
        <w:t>万元。预决算偏差</w:t>
      </w:r>
      <w:r>
        <w:rPr>
          <w:rFonts w:hint="default" w:ascii="Times New Roman" w:hAnsi="Times New Roman" w:eastAsia="仿宋_GB2312" w:cs="Times New Roman"/>
          <w:b w:val="0"/>
          <w:bCs w:val="0"/>
          <w:color w:val="auto"/>
          <w:sz w:val="32"/>
          <w:szCs w:val="32"/>
          <w:lang w:val="en-US" w:eastAsia="zh-CN"/>
        </w:rPr>
        <w:t>155.64</w:t>
      </w:r>
      <w:r>
        <w:rPr>
          <w:rFonts w:hint="default" w:ascii="Times New Roman" w:hAnsi="Times New Roman" w:eastAsia="仿宋_GB2312" w:cs="Times New Roman"/>
          <w:b w:val="0"/>
          <w:bCs w:val="0"/>
          <w:color w:val="auto"/>
          <w:sz w:val="32"/>
          <w:szCs w:val="32"/>
          <w:lang w:val="zh-CN" w:eastAsia="zh-CN"/>
        </w:rPr>
        <w:t>%。</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(4)</w:t>
      </w:r>
      <w:r>
        <w:rPr>
          <w:rFonts w:hint="default" w:ascii="Times New Roman" w:hAnsi="Times New Roman" w:eastAsia="仿宋_GB2312" w:cs="Times New Roman"/>
          <w:b w:val="0"/>
          <w:bCs w:val="0"/>
          <w:color w:val="auto"/>
          <w:sz w:val="32"/>
          <w:szCs w:val="32"/>
          <w:lang w:val="zh-CN" w:eastAsia="zh-CN"/>
        </w:rPr>
        <w:t>及时处置全年追加项目。</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(5)</w:t>
      </w:r>
      <w:r>
        <w:rPr>
          <w:rFonts w:hint="default" w:ascii="Times New Roman" w:hAnsi="Times New Roman" w:eastAsia="仿宋_GB2312" w:cs="Times New Roman"/>
          <w:b w:val="0"/>
          <w:bCs w:val="0"/>
          <w:color w:val="auto"/>
          <w:sz w:val="32"/>
          <w:szCs w:val="32"/>
          <w:lang w:val="zh-CN" w:eastAsia="zh-CN"/>
        </w:rPr>
        <w:t>执行进度。202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zh-CN" w:eastAsia="zh-CN"/>
        </w:rPr>
        <w:t>年度特定目标类项目经费支出均未达到绩效要求的进度。</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(6)</w:t>
      </w:r>
      <w:r>
        <w:rPr>
          <w:rFonts w:hint="default" w:ascii="Times New Roman" w:hAnsi="Times New Roman" w:eastAsia="仿宋_GB2312" w:cs="Times New Roman"/>
          <w:b w:val="0"/>
          <w:bCs w:val="0"/>
          <w:color w:val="auto"/>
          <w:sz w:val="32"/>
          <w:szCs w:val="32"/>
          <w:lang w:val="zh-CN" w:eastAsia="zh-CN"/>
        </w:rPr>
        <w:t>预算完成情况。202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zh-CN" w:eastAsia="zh-CN"/>
        </w:rPr>
        <w:t>年度年底预算实际支付进度为100%。</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eastAsia" w:eastAsia="仿宋_GB2312" w:cs="Times New Roman"/>
          <w:b w:val="0"/>
          <w:bCs w:val="0"/>
          <w:color w:val="auto"/>
          <w:sz w:val="32"/>
          <w:szCs w:val="32"/>
          <w:lang w:val="zh-CN" w:eastAsia="zh-CN"/>
        </w:rPr>
        <w:t>(7)</w:t>
      </w:r>
      <w:r>
        <w:rPr>
          <w:rFonts w:hint="default" w:ascii="Times New Roman" w:hAnsi="Times New Roman" w:eastAsia="仿宋_GB2312" w:cs="Times New Roman"/>
          <w:b w:val="0"/>
          <w:bCs w:val="0"/>
          <w:color w:val="auto"/>
          <w:sz w:val="32"/>
          <w:szCs w:val="32"/>
          <w:lang w:val="zh-CN" w:eastAsia="zh-CN"/>
        </w:rPr>
        <w:t>资金结余率。无资金结余。</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r>
        <w:rPr>
          <w:rFonts w:hint="default" w:ascii="Times New Roman" w:hAnsi="Times New Roman" w:eastAsia="楷体_GB2312" w:cs="Times New Roman"/>
          <w:b w:val="0"/>
          <w:bCs w:val="0"/>
          <w:color w:val="auto"/>
          <w:sz w:val="32"/>
          <w:szCs w:val="32"/>
          <w:lang w:val="zh-CN" w:eastAsia="zh-CN"/>
        </w:rPr>
        <w:t>（二）部门整体履职绩效分析。</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盐边县红果彝族乡人民政府部门整体绩效目标完成情况良好，部门履职情况良好。</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r>
        <w:rPr>
          <w:rFonts w:hint="default" w:ascii="Times New Roman" w:hAnsi="Times New Roman" w:eastAsia="楷体_GB2312" w:cs="Times New Roman"/>
          <w:b w:val="0"/>
          <w:bCs w:val="0"/>
          <w:color w:val="auto"/>
          <w:sz w:val="32"/>
          <w:szCs w:val="32"/>
          <w:lang w:val="zh-CN" w:eastAsia="zh-CN"/>
        </w:rPr>
        <w:t>（三）结果应用情况。</w:t>
      </w:r>
    </w:p>
    <w:p>
      <w:pPr>
        <w:pageBreakBefore w:val="0"/>
        <w:numPr>
          <w:ilvl w:val="0"/>
          <w:numId w:val="0"/>
        </w:numPr>
        <w:kinsoku/>
        <w:wordWrap/>
        <w:overflowPunct/>
        <w:topLinePunct w:val="0"/>
        <w:bidi w:val="0"/>
        <w:spacing w:line="560" w:lineRule="exact"/>
        <w:ind w:left="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绩效评价对规范财政资金支出管理、强化绩效目标管理、加强资金使用效率起到积极促进作用。我乡会将此次绩效自评结果运用到2024年工作中，严格按照《中华人民共和国预算法》、《中华人民共和国会计法》、《行政单位财务规则》等管理制度及时优化后续项目、预算支出方向和结构，合理配置资源，加强财务管理，不断补充绩效目标内容，规范和加强财政支出管理，建立科学、规范的财政支出绩效评价管理体系，提高财政资金使用效率，保质保量完成县委、县政府以及上级业务主管部门交办的各项工作。</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从预算制定、绩效目标管理、事前绩效评估、预算绩效运行跟踪监控管理、绩效评价、结果反馈和应用管理进行了全面设计与规范，建立了有目标、有监控、有评价、有反馈、有应用的全过程预算绩效管理机制。</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r>
        <w:rPr>
          <w:rFonts w:hint="default" w:ascii="Times New Roman" w:hAnsi="Times New Roman" w:eastAsia="楷体_GB2312" w:cs="Times New Roman"/>
          <w:b w:val="0"/>
          <w:bCs w:val="0"/>
          <w:color w:val="auto"/>
          <w:sz w:val="32"/>
          <w:szCs w:val="32"/>
          <w:lang w:val="zh-CN" w:eastAsia="zh-CN"/>
        </w:rPr>
        <w:t>（四）自评公开。</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本单位已按要求将相关绩效信息随同决算进行信息公开。</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r>
        <w:rPr>
          <w:rFonts w:hint="default" w:ascii="Times New Roman" w:hAnsi="Times New Roman" w:eastAsia="楷体_GB2312" w:cs="Times New Roman"/>
          <w:b w:val="0"/>
          <w:bCs w:val="0"/>
          <w:color w:val="auto"/>
          <w:sz w:val="32"/>
          <w:szCs w:val="32"/>
          <w:lang w:val="zh-CN" w:eastAsia="zh-CN"/>
        </w:rPr>
        <w:t>（五）问题整改和应用反馈。</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盐边县红果彝族乡人民政府对绩效目标核查、绩效监控核查和重点 绩效评价提出的问题进行认真整改，将绩效管理结果应用于完善单位制度，改进管理等方面。并及时报告了部门反馈应用绩效结果情况。</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r>
        <w:rPr>
          <w:rFonts w:hint="default" w:ascii="Times New Roman" w:hAnsi="Times New Roman" w:eastAsia="楷体_GB2312" w:cs="Times New Roman"/>
          <w:b w:val="0"/>
          <w:bCs w:val="0"/>
          <w:color w:val="auto"/>
          <w:sz w:val="32"/>
          <w:szCs w:val="32"/>
          <w:lang w:val="zh-CN" w:eastAsia="zh-CN"/>
        </w:rPr>
        <w:t>（六）自评质量。</w:t>
      </w:r>
    </w:p>
    <w:p>
      <w:pPr>
        <w:pageBreakBefore w:val="0"/>
        <w:kinsoku/>
        <w:wordWrap/>
        <w:overflowPunct/>
        <w:topLinePunct w:val="0"/>
        <w:bidi w:val="0"/>
        <w:spacing w:line="560" w:lineRule="exact"/>
        <w:ind w:left="0" w:firstLine="640" w:firstLineChars="20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盐边县红果彝族乡人民政府严格按照预算编制相关文件的要求，认真贯彻执行《中华人民共和国预算法》，抓好机关支出预算结构的优化和调整。严格控制一般性支出，细化“三公”经费预算管理，继续按照“零增长”的原则编制“三公”经费预算，科学、真实、准确、全面地反映部门收支情况。在预算执行过程中，一是严格按照年度预算安排及国库管理制度有关规定，基本支出按序时进度支付，项目支出围绕绩效目标，按规定程序及时支付。二是严格执行中央八项规定精神、《党政机关厉行节约反对浪费条例》等若干规定，从严从紧控制“三公”经费、会议费、培训费等一般性支出，认真执行公务卡强制结算。</w:t>
      </w:r>
    </w:p>
    <w:p>
      <w:pPr>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sz w:val="32"/>
          <w:szCs w:val="32"/>
          <w:lang w:val="zh-CN" w:eastAsia="zh-CN"/>
        </w:rPr>
      </w:pPr>
      <w:r>
        <w:rPr>
          <w:rFonts w:hint="default" w:ascii="Times New Roman" w:hAnsi="Times New Roman" w:eastAsia="仿宋_GB2312" w:cs="Times New Roman"/>
          <w:b w:val="0"/>
          <w:bCs w:val="0"/>
          <w:color w:val="auto"/>
          <w:sz w:val="32"/>
          <w:szCs w:val="32"/>
          <w:lang w:val="zh-CN" w:eastAsia="zh-CN"/>
        </w:rPr>
        <w:t>认真开展部门绩效评价工作。从整体上看，202</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zh-CN" w:eastAsia="zh-CN"/>
        </w:rPr>
        <w:t>年度， 我机关资金管理规范，政策执行有力，有效发挥了财政资金的使用效率。绩效目标基本达成，服务对象满意度达95%，并取得了良好的社会效益。部门整体支出自评准确情况为100%。</w:t>
      </w:r>
    </w:p>
    <w:p>
      <w:pPr>
        <w:keepNext/>
        <w:keepLines/>
        <w:pageBreakBefore w:val="0"/>
        <w:kinsoku/>
        <w:wordWrap/>
        <w:overflowPunct/>
        <w:topLinePunct w:val="0"/>
        <w:bidi w:val="0"/>
        <w:spacing w:line="560" w:lineRule="exact"/>
        <w:ind w:left="0" w:firstLine="640"/>
        <w:textAlignment w:val="auto"/>
        <w:rPr>
          <w:rFonts w:hint="default" w:ascii="Times New Roman" w:hAnsi="Times New Roman" w:eastAsia="黑体" w:cs="Times New Roman"/>
          <w:sz w:val="32"/>
        </w:rPr>
      </w:pPr>
      <w:r>
        <w:rPr>
          <w:rFonts w:hint="default" w:ascii="Times New Roman" w:hAnsi="Times New Roman" w:eastAsia="黑体" w:cs="Times New Roman"/>
          <w:sz w:val="32"/>
        </w:rPr>
        <w:t>四、评价结论及建议</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r>
        <w:rPr>
          <w:rFonts w:hint="default" w:ascii="Times New Roman" w:hAnsi="Times New Roman" w:eastAsia="楷体_GB2312" w:cs="Times New Roman"/>
          <w:b w:val="0"/>
          <w:bCs w:val="0"/>
          <w:color w:val="auto"/>
          <w:sz w:val="32"/>
          <w:szCs w:val="32"/>
          <w:lang w:val="zh-CN" w:eastAsia="zh-CN"/>
        </w:rPr>
        <w:t>（一）评价结论。</w:t>
      </w:r>
    </w:p>
    <w:p>
      <w:pPr>
        <w:pStyle w:val="11"/>
        <w:pageBreakBefore w:val="0"/>
        <w:kinsoku/>
        <w:wordWrap/>
        <w:overflowPunct/>
        <w:topLinePunct w:val="0"/>
        <w:bidi w:val="0"/>
        <w:spacing w:line="560" w:lineRule="exact"/>
        <w:ind w:left="0" w:firstLine="640" w:firstLineChars="200"/>
        <w:textAlignment w:val="auto"/>
        <w:rPr>
          <w:rFonts w:hint="default" w:ascii="Times New Roman" w:hAnsi="Times New Roman" w:eastAsia="仿宋_GB2312" w:cs="Times New Roman"/>
          <w:b w:val="0"/>
          <w:bCs w:val="0"/>
          <w:color w:val="auto"/>
          <w:kern w:val="2"/>
          <w:sz w:val="32"/>
          <w:szCs w:val="32"/>
          <w:lang w:val="zh-CN" w:eastAsia="zh-CN" w:bidi="ar-SA"/>
        </w:rPr>
      </w:pPr>
      <w:r>
        <w:rPr>
          <w:rFonts w:hint="default" w:ascii="Times New Roman" w:hAnsi="Times New Roman" w:eastAsia="仿宋_GB2312" w:cs="Times New Roman"/>
          <w:b w:val="0"/>
          <w:bCs w:val="0"/>
          <w:color w:val="auto"/>
          <w:kern w:val="2"/>
          <w:sz w:val="32"/>
          <w:szCs w:val="32"/>
          <w:lang w:val="zh-CN" w:eastAsia="zh-CN" w:bidi="ar-SA"/>
        </w:rPr>
        <w:t>202</w:t>
      </w:r>
      <w:r>
        <w:rPr>
          <w:rFonts w:hint="default" w:ascii="Times New Roman" w:hAnsi="Times New Roman" w:eastAsia="仿宋_GB2312" w:cs="Times New Roman"/>
          <w:b w:val="0"/>
          <w:bCs w:val="0"/>
          <w:color w:val="auto"/>
          <w:kern w:val="2"/>
          <w:sz w:val="32"/>
          <w:szCs w:val="32"/>
          <w:lang w:val="en-US" w:eastAsia="zh-CN" w:bidi="ar-SA"/>
        </w:rPr>
        <w:t>3</w:t>
      </w:r>
      <w:r>
        <w:rPr>
          <w:rFonts w:hint="default" w:ascii="Times New Roman" w:hAnsi="Times New Roman" w:eastAsia="仿宋_GB2312" w:cs="Times New Roman"/>
          <w:b w:val="0"/>
          <w:bCs w:val="0"/>
          <w:color w:val="auto"/>
          <w:kern w:val="2"/>
          <w:sz w:val="32"/>
          <w:szCs w:val="32"/>
          <w:lang w:val="zh-CN" w:eastAsia="zh-CN" w:bidi="ar-SA"/>
        </w:rPr>
        <w:t>年，我单位积极履职，强化管理，较好地完成了年度工作目标，202</w:t>
      </w:r>
      <w:r>
        <w:rPr>
          <w:rFonts w:hint="default" w:ascii="Times New Roman" w:hAnsi="Times New Roman" w:eastAsia="仿宋_GB2312" w:cs="Times New Roman"/>
          <w:b w:val="0"/>
          <w:bCs w:val="0"/>
          <w:color w:val="auto"/>
          <w:kern w:val="2"/>
          <w:sz w:val="32"/>
          <w:szCs w:val="32"/>
          <w:lang w:val="en-US" w:eastAsia="zh-CN" w:bidi="ar-SA"/>
        </w:rPr>
        <w:t>3</w:t>
      </w:r>
      <w:r>
        <w:rPr>
          <w:rFonts w:hint="default" w:ascii="Times New Roman" w:hAnsi="Times New Roman" w:eastAsia="仿宋_GB2312" w:cs="Times New Roman"/>
          <w:b w:val="0"/>
          <w:bCs w:val="0"/>
          <w:color w:val="auto"/>
          <w:kern w:val="2"/>
          <w:sz w:val="32"/>
          <w:szCs w:val="32"/>
          <w:lang w:val="zh-CN" w:eastAsia="zh-CN" w:bidi="ar-SA"/>
        </w:rPr>
        <w:t>年部门整体支出绩效评价自评得分为95分。通过加强预算收支绩效管理，不断建立健全内部控制管理制度，梳理内部管理流程，部门预算整体支出管理水平得到了提升。但也存在一些不足之处：如预算编制工作不够细化；预算管理意识有待增强；财务人员业务知识有待更新等。下一步我单位将从以下几个方面进行改进：</w:t>
      </w:r>
      <w:r>
        <w:rPr>
          <w:rFonts w:hint="default" w:ascii="Times New Roman" w:hAnsi="Times New Roman" w:eastAsia="仿宋_GB2312" w:cs="Times New Roman"/>
          <w:b/>
          <w:bCs/>
          <w:color w:val="auto"/>
          <w:kern w:val="2"/>
          <w:sz w:val="32"/>
          <w:szCs w:val="32"/>
          <w:lang w:val="zh-CN" w:eastAsia="zh-CN" w:bidi="ar-SA"/>
        </w:rPr>
        <w:t>一是</w:t>
      </w:r>
      <w:r>
        <w:rPr>
          <w:rFonts w:hint="default" w:ascii="Times New Roman" w:hAnsi="Times New Roman" w:eastAsia="仿宋_GB2312" w:cs="Times New Roman"/>
          <w:b w:val="0"/>
          <w:bCs w:val="0"/>
          <w:color w:val="auto"/>
          <w:kern w:val="2"/>
          <w:sz w:val="32"/>
          <w:szCs w:val="32"/>
          <w:lang w:val="zh-CN" w:eastAsia="zh-CN" w:bidi="ar-SA"/>
        </w:rPr>
        <w:t>细化预算编制工作，认真做好预算的编制。进一步加强单位内部机构各股室的预算管理意识，严格按照预算编制的相关制度和要求进行预算编制。</w:t>
      </w:r>
      <w:r>
        <w:rPr>
          <w:rFonts w:hint="default" w:ascii="Times New Roman" w:hAnsi="Times New Roman" w:eastAsia="仿宋_GB2312" w:cs="Times New Roman"/>
          <w:b/>
          <w:bCs/>
          <w:color w:val="auto"/>
          <w:kern w:val="2"/>
          <w:sz w:val="32"/>
          <w:szCs w:val="32"/>
          <w:lang w:val="zh-CN" w:eastAsia="zh-CN" w:bidi="ar-SA"/>
        </w:rPr>
        <w:t>二是</w:t>
      </w:r>
      <w:r>
        <w:rPr>
          <w:rFonts w:hint="default" w:ascii="Times New Roman" w:hAnsi="Times New Roman" w:eastAsia="仿宋_GB2312" w:cs="Times New Roman"/>
          <w:b w:val="0"/>
          <w:bCs w:val="0"/>
          <w:color w:val="auto"/>
          <w:kern w:val="2"/>
          <w:sz w:val="32"/>
          <w:szCs w:val="32"/>
          <w:lang w:val="zh-CN" w:eastAsia="zh-CN" w:bidi="ar-SA"/>
        </w:rPr>
        <w:t>加强财务管理，严格财务审核。加强单位财务管理，健全单位财务管理制度体系，规范单位财务行为。</w:t>
      </w:r>
      <w:r>
        <w:rPr>
          <w:rFonts w:hint="default" w:ascii="Times New Roman" w:hAnsi="Times New Roman" w:eastAsia="仿宋_GB2312" w:cs="Times New Roman"/>
          <w:b/>
          <w:bCs/>
          <w:color w:val="auto"/>
          <w:kern w:val="2"/>
          <w:sz w:val="32"/>
          <w:szCs w:val="32"/>
          <w:lang w:val="zh-CN" w:eastAsia="zh-CN" w:bidi="ar-SA"/>
        </w:rPr>
        <w:t>三是</w:t>
      </w:r>
      <w:r>
        <w:rPr>
          <w:rFonts w:hint="default" w:ascii="Times New Roman" w:hAnsi="Times New Roman" w:eastAsia="仿宋_GB2312" w:cs="Times New Roman"/>
          <w:b w:val="0"/>
          <w:bCs w:val="0"/>
          <w:color w:val="auto"/>
          <w:kern w:val="2"/>
          <w:sz w:val="32"/>
          <w:szCs w:val="32"/>
          <w:lang w:val="zh-CN" w:eastAsia="zh-CN" w:bidi="ar-SA"/>
        </w:rPr>
        <w:t>完善资产管理，抓好“三公”经费控制。严格编制政府采购年初预算和计划，规范各类资产的购置审批制度、资产采购制度、使用管理制度、资产处理和报废审批制度、资产管理岗职责制度等，加强单位内部的资产管理工作。严格控制“三公”经费的规模和比例，把关“三公”经费支出的审核、审批，杜绝挪用和挤占其他预算资金行为；进一步细化“三公”经费的管理，合理压缩“三公”经费支出。四是对相关人员加强培训，特别是针对《</w:t>
      </w:r>
      <w:r>
        <w:rPr>
          <w:rFonts w:hint="eastAsia" w:ascii="Times New Roman" w:hAnsi="Times New Roman" w:eastAsia="仿宋_GB2312" w:cs="Times New Roman"/>
          <w:b w:val="0"/>
          <w:bCs w:val="0"/>
          <w:color w:val="auto"/>
          <w:kern w:val="2"/>
          <w:sz w:val="32"/>
          <w:szCs w:val="32"/>
          <w:lang w:val="zh-CN" w:eastAsia="zh-CN" w:bidi="ar-SA"/>
        </w:rPr>
        <w:t>中华人民共和国预算法</w:t>
      </w:r>
      <w:r>
        <w:rPr>
          <w:rFonts w:hint="default" w:ascii="Times New Roman" w:hAnsi="Times New Roman" w:eastAsia="仿宋_GB2312" w:cs="Times New Roman"/>
          <w:b w:val="0"/>
          <w:bCs w:val="0"/>
          <w:color w:val="auto"/>
          <w:kern w:val="2"/>
          <w:sz w:val="32"/>
          <w:szCs w:val="32"/>
          <w:lang w:val="zh-CN" w:eastAsia="zh-CN" w:bidi="ar-SA"/>
        </w:rPr>
        <w:t>》、《政府会计制度》等学习培训，规范部门预算收支核算，切实提高部门预算收支管理水平。</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r>
        <w:rPr>
          <w:rFonts w:hint="default" w:ascii="Times New Roman" w:hAnsi="Times New Roman" w:eastAsia="楷体_GB2312" w:cs="Times New Roman"/>
          <w:b w:val="0"/>
          <w:bCs w:val="0"/>
          <w:color w:val="auto"/>
          <w:sz w:val="32"/>
          <w:szCs w:val="32"/>
          <w:lang w:val="zh-CN" w:eastAsia="zh-CN"/>
        </w:rPr>
        <w:t>（二）存在问题。</w:t>
      </w:r>
    </w:p>
    <w:p>
      <w:pPr>
        <w:pStyle w:val="11"/>
        <w:pageBreakBefore w:val="0"/>
        <w:kinsoku/>
        <w:wordWrap/>
        <w:overflowPunct/>
        <w:topLinePunct w:val="0"/>
        <w:bidi w:val="0"/>
        <w:spacing w:line="560" w:lineRule="exact"/>
        <w:ind w:left="0" w:firstLine="640" w:firstLineChars="200"/>
        <w:textAlignment w:val="auto"/>
        <w:rPr>
          <w:rFonts w:hint="default" w:ascii="Times New Roman" w:hAnsi="Times New Roman" w:eastAsia="仿宋_GB2312" w:cs="Times New Roman"/>
          <w:b w:val="0"/>
          <w:bCs w:val="0"/>
          <w:color w:val="auto"/>
          <w:kern w:val="2"/>
          <w:sz w:val="32"/>
          <w:szCs w:val="32"/>
          <w:lang w:val="zh-CN" w:eastAsia="zh-CN" w:bidi="ar-SA"/>
        </w:rPr>
      </w:pPr>
      <w:r>
        <w:rPr>
          <w:rFonts w:hint="default" w:ascii="Times New Roman" w:hAnsi="Times New Roman" w:eastAsia="仿宋_GB2312" w:cs="Times New Roman"/>
          <w:b w:val="0"/>
          <w:bCs w:val="0"/>
          <w:color w:val="auto"/>
          <w:kern w:val="2"/>
          <w:sz w:val="32"/>
          <w:szCs w:val="32"/>
          <w:lang w:val="zh-CN" w:eastAsia="zh-CN" w:bidi="ar-SA"/>
        </w:rPr>
        <w:t>预算编制和预算管理还需进一步细化和加强，严禁超预算和无预算安排支出，严格开支范围和标准，严格审核各项经费的支出，提高资金使用效率。</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r>
        <w:rPr>
          <w:rFonts w:hint="default" w:ascii="Times New Roman" w:hAnsi="Times New Roman" w:eastAsia="楷体_GB2312" w:cs="Times New Roman"/>
          <w:b w:val="0"/>
          <w:bCs w:val="0"/>
          <w:color w:val="auto"/>
          <w:sz w:val="32"/>
          <w:szCs w:val="32"/>
          <w:lang w:val="zh-CN" w:eastAsia="zh-CN"/>
        </w:rPr>
        <w:t>（三）改进建议。</w:t>
      </w:r>
    </w:p>
    <w:p>
      <w:pPr>
        <w:pStyle w:val="11"/>
        <w:pageBreakBefore w:val="0"/>
        <w:kinsoku/>
        <w:wordWrap/>
        <w:overflowPunct/>
        <w:topLinePunct w:val="0"/>
        <w:bidi w:val="0"/>
        <w:spacing w:line="560" w:lineRule="exact"/>
        <w:ind w:left="0" w:firstLine="640" w:firstLineChars="200"/>
        <w:textAlignment w:val="auto"/>
        <w:rPr>
          <w:rFonts w:hint="default" w:ascii="Times New Roman" w:hAnsi="Times New Roman" w:eastAsia="仿宋_GB2312" w:cs="Times New Roman"/>
          <w:b w:val="0"/>
          <w:bCs w:val="0"/>
          <w:color w:val="FF0000"/>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zh-CN" w:eastAsia="zh-CN" w:bidi="ar-SA"/>
        </w:rPr>
        <w:t>严格控制“三公”经费，认真贯彻落实中央八项规定和省、市十项规定，严格“三公”经费支出的审核和审批，合理压缩“三公”经费支出。合理、节俭、高效地利用资金，保证机关各项工作顺利有序开展。</w:t>
      </w:r>
    </w:p>
    <w:p>
      <w:pPr>
        <w:keepNext/>
        <w:keepLines/>
        <w:pageBreakBefore w:val="0"/>
        <w:kinsoku/>
        <w:wordWrap/>
        <w:overflowPunct/>
        <w:topLinePunct w:val="0"/>
        <w:bidi w:val="0"/>
        <w:spacing w:line="560" w:lineRule="exact"/>
        <w:ind w:left="0" w:firstLine="640"/>
        <w:textAlignment w:val="auto"/>
        <w:rPr>
          <w:rFonts w:hint="default" w:ascii="Times New Roman" w:hAnsi="Times New Roman" w:eastAsia="仿宋_GB2312" w:cs="Times New Roman"/>
          <w:b w:val="0"/>
          <w:bCs w:val="0"/>
          <w:color w:val="auto"/>
          <w:kern w:val="2"/>
          <w:sz w:val="32"/>
          <w:szCs w:val="32"/>
          <w:lang w:val="zh-CN" w:eastAsia="zh-CN" w:bidi="ar-SA"/>
        </w:rPr>
      </w:pPr>
      <w:r>
        <w:rPr>
          <w:rFonts w:hint="default" w:ascii="Times New Roman" w:hAnsi="Times New Roman" w:eastAsia="仿宋_GB2312" w:cs="Times New Roman"/>
          <w:b w:val="0"/>
          <w:bCs w:val="0"/>
          <w:color w:val="auto"/>
          <w:kern w:val="2"/>
          <w:sz w:val="32"/>
          <w:szCs w:val="32"/>
          <w:lang w:val="zh-CN" w:eastAsia="zh-CN" w:bidi="ar-SA"/>
        </w:rPr>
        <w:t>附表：部门预算项目支出绩效自评表（202</w:t>
      </w:r>
      <w:r>
        <w:rPr>
          <w:rFonts w:hint="default" w:ascii="Times New Roman" w:hAnsi="Times New Roman" w:eastAsia="仿宋_GB2312" w:cs="Times New Roman"/>
          <w:b w:val="0"/>
          <w:bCs w:val="0"/>
          <w:color w:val="auto"/>
          <w:kern w:val="2"/>
          <w:sz w:val="32"/>
          <w:szCs w:val="32"/>
          <w:lang w:val="en-US" w:eastAsia="zh-CN" w:bidi="ar-SA"/>
        </w:rPr>
        <w:t>3</w:t>
      </w:r>
      <w:r>
        <w:rPr>
          <w:rFonts w:hint="default" w:ascii="Times New Roman" w:hAnsi="Times New Roman" w:eastAsia="仿宋_GB2312" w:cs="Times New Roman"/>
          <w:b w:val="0"/>
          <w:bCs w:val="0"/>
          <w:color w:val="auto"/>
          <w:kern w:val="2"/>
          <w:sz w:val="32"/>
          <w:szCs w:val="32"/>
          <w:lang w:val="zh-CN" w:eastAsia="zh-CN" w:bidi="ar-SA"/>
        </w:rPr>
        <w:t>年度）</w:t>
      </w:r>
    </w:p>
    <w:p>
      <w:pPr>
        <w:keepNext/>
        <w:keepLines/>
        <w:pageBreakBefore w:val="0"/>
        <w:kinsoku/>
        <w:wordWrap/>
        <w:overflowPunct/>
        <w:topLinePunct w:val="0"/>
        <w:bidi w:val="0"/>
        <w:spacing w:line="560" w:lineRule="exact"/>
        <w:ind w:left="0"/>
        <w:textAlignment w:val="auto"/>
        <w:rPr>
          <w:rFonts w:hint="default" w:ascii="Times New Roman" w:hAnsi="Times New Roman" w:eastAsia="仿宋_GB2312" w:cs="Times New Roman"/>
          <w:b w:val="0"/>
          <w:bCs w:val="0"/>
          <w:color w:val="auto"/>
          <w:kern w:val="2"/>
          <w:sz w:val="32"/>
          <w:szCs w:val="32"/>
          <w:lang w:val="zh-CN" w:eastAsia="zh-CN" w:bidi="ar-SA"/>
        </w:rPr>
      </w:pPr>
    </w:p>
    <w:p>
      <w:pPr>
        <w:rPr>
          <w:rFonts w:hint="default" w:ascii="Times New Roman" w:hAnsi="Times New Roman" w:eastAsia="仿宋_GB2312" w:cs="Times New Roman"/>
          <w:b w:val="0"/>
          <w:bCs w:val="0"/>
          <w:color w:val="auto"/>
          <w:sz w:val="32"/>
          <w:szCs w:val="32"/>
          <w:lang w:val="en-US" w:eastAsia="zh-CN"/>
        </w:rPr>
      </w:pPr>
      <w:bookmarkStart w:id="58" w:name="_Toc15396618"/>
      <w:r>
        <w:rPr>
          <w:rFonts w:hint="default" w:ascii="Times New Roman" w:hAnsi="Times New Roman" w:eastAsia="仿宋_GB2312" w:cs="Times New Roman"/>
          <w:b w:val="0"/>
          <w:bCs w:val="0"/>
          <w:color w:val="auto"/>
          <w:sz w:val="32"/>
          <w:szCs w:val="32"/>
          <w:lang w:val="en-US" w:eastAsia="zh-CN"/>
        </w:rPr>
        <w:br w:type="page"/>
      </w:r>
    </w:p>
    <w:p>
      <w:pPr>
        <w:widowControl/>
        <w:adjustRightInd w:val="0"/>
        <w:snapToGrid w:val="0"/>
        <w:spacing w:line="560" w:lineRule="exact"/>
        <w:contextualSpacing/>
        <w:jc w:val="left"/>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附件2</w:t>
      </w:r>
    </w:p>
    <w:p>
      <w:pPr>
        <w:widowControl/>
        <w:adjustRightInd w:val="0"/>
        <w:snapToGrid w:val="0"/>
        <w:spacing w:line="560" w:lineRule="exact"/>
        <w:contextualSpacing/>
        <w:jc w:val="left"/>
        <w:rPr>
          <w:rFonts w:hint="default" w:ascii="Times New Roman" w:hAnsi="Times New Roman" w:eastAsia="仿宋_GB2312" w:cs="Times New Roman"/>
          <w:b w:val="0"/>
          <w:bCs w:val="0"/>
          <w:color w:val="auto"/>
          <w:sz w:val="32"/>
          <w:szCs w:val="32"/>
          <w:lang w:val="en-US" w:eastAsia="zh-CN"/>
        </w:rPr>
      </w:pPr>
    </w:p>
    <w:p>
      <w:pPr>
        <w:spacing w:line="600" w:lineRule="exact"/>
        <w:jc w:val="center"/>
        <w:rPr>
          <w:rFonts w:hint="default" w:ascii="Times New Roman" w:hAnsi="Times New Roman" w:eastAsia="方正小标宋简体" w:cs="Times New Roman"/>
          <w:bCs/>
          <w:sz w:val="36"/>
          <w:szCs w:val="36"/>
          <w:shd w:val="clear" w:color="auto" w:fill="FFFFFF"/>
        </w:rPr>
      </w:pPr>
      <w:r>
        <w:rPr>
          <w:rFonts w:hint="default" w:ascii="Times New Roman" w:hAnsi="Times New Roman" w:eastAsia="方正小标宋简体" w:cs="Times New Roman"/>
          <w:bCs/>
          <w:sz w:val="36"/>
          <w:szCs w:val="36"/>
          <w:shd w:val="clear" w:color="auto" w:fill="FFFFFF"/>
        </w:rPr>
        <w:t>2022年中央纪检监察转移支付资金</w:t>
      </w:r>
    </w:p>
    <w:p>
      <w:pPr>
        <w:pStyle w:val="39"/>
        <w:spacing w:line="600" w:lineRule="exact"/>
        <w:jc w:val="center"/>
        <w:rPr>
          <w:rFonts w:hint="default" w:ascii="Times New Roman" w:hAnsi="Times New Roman" w:eastAsia="方正小标宋简体" w:cs="Times New Roman"/>
          <w:bCs/>
          <w:color w:val="auto"/>
          <w:kern w:val="2"/>
          <w:sz w:val="36"/>
          <w:szCs w:val="36"/>
          <w:shd w:val="clear" w:color="auto" w:fill="FFFFFF"/>
          <w:lang w:val="en-US"/>
        </w:rPr>
      </w:pPr>
      <w:r>
        <w:rPr>
          <w:rFonts w:hint="default" w:ascii="Times New Roman" w:hAnsi="Times New Roman" w:eastAsia="方正小标宋简体" w:cs="Times New Roman"/>
          <w:bCs/>
          <w:color w:val="auto"/>
          <w:kern w:val="2"/>
          <w:sz w:val="36"/>
          <w:szCs w:val="36"/>
          <w:shd w:val="clear" w:color="auto" w:fill="FFFFFF"/>
          <w:lang w:val="en-US"/>
        </w:rPr>
        <w:t>项目支出绩效自评报告</w:t>
      </w:r>
    </w:p>
    <w:p>
      <w:pPr>
        <w:pStyle w:val="39"/>
        <w:spacing w:line="600" w:lineRule="exact"/>
        <w:rPr>
          <w:rFonts w:hint="default" w:ascii="Times New Roman" w:hAnsi="Times New Roman" w:eastAsia="仿宋_GB2312" w:cs="Times New Roman"/>
          <w:color w:val="auto"/>
          <w:kern w:val="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000000" w:themeColor="text1"/>
          <w:sz w:val="32"/>
          <w:szCs w:val="32"/>
          <w:lang w:val="zh-CN" w:eastAsia="zh-CN"/>
          <w14:textFill>
            <w14:solidFill>
              <w14:schemeClr w14:val="tx1"/>
            </w14:solidFill>
          </w14:textFill>
        </w:rPr>
      </w:pPr>
      <w:r>
        <w:rPr>
          <w:rFonts w:hint="default" w:ascii="Times New Roman" w:hAnsi="Times New Roman" w:eastAsia="楷体_GB2312" w:cs="Times New Roman"/>
          <w:b w:val="0"/>
          <w:bCs w:val="0"/>
          <w:color w:val="000000" w:themeColor="text1"/>
          <w:sz w:val="32"/>
          <w:szCs w:val="32"/>
          <w:lang w:val="zh-CN" w:eastAsia="zh-CN"/>
          <w14:textFill>
            <w14:solidFill>
              <w14:schemeClr w14:val="tx1"/>
            </w14:solidFill>
          </w14:textFill>
        </w:rPr>
        <w:t>（一）项目基本情况。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1.项目主管单位：盐边县红果彝族乡人民政府</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项目主管单位牵头实施项目，对该资金加强资金管理，确保专款专用，不得挪作他用。</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2.项目立项、资金申报的依据。</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default" w:ascii="Times New Roman" w:hAnsi="Times New Roman" w:eastAsia="方正仿宋_GBK" w:cs="Times New Roman"/>
          <w:color w:val="000000" w:themeColor="text1"/>
          <w:sz w:val="33"/>
          <w:szCs w:val="33"/>
          <w:shd w:val="clear" w:color="auto" w:fill="FFFFFF"/>
          <w:lang w:val="en-US" w:eastAsia="zh-CN"/>
          <w14:textFill>
            <w14:solidFill>
              <w14:schemeClr w14:val="tx1"/>
            </w14:solidFill>
          </w14:textFill>
        </w:rPr>
      </w:pPr>
      <w:r>
        <w:rPr>
          <w:rFonts w:hint="default" w:ascii="Times New Roman" w:hAnsi="Times New Roman" w:eastAsia="方正仿宋_GBK" w:cs="Times New Roman"/>
          <w:color w:val="000000" w:themeColor="text1"/>
          <w:sz w:val="33"/>
          <w:szCs w:val="33"/>
          <w:shd w:val="clear" w:color="auto" w:fill="FFFFFF"/>
          <w:lang w:val="en-US" w:eastAsia="zh-CN"/>
          <w14:textFill>
            <w14:solidFill>
              <w14:schemeClr w14:val="tx1"/>
            </w14:solidFill>
          </w14:textFill>
        </w:rPr>
        <w:t>根据盐财资行〔2022〕363号文件下达 2022 年中央纪检监察转移支付资金2.6万元，专项用于乡（镇）纪委谈话室建设。</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3.资金管理办法制定情况，资金支持具体项目的条件，范围与支持方式概况。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该资金由县财政局下达预算到红果彝族乡人民政府进行核算。</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资金支付范围：用于我乡纪检</w:t>
      </w:r>
      <w:r>
        <w:rPr>
          <w:rFonts w:hint="default" w:ascii="Times New Roman" w:hAnsi="Times New Roman" w:eastAsia="方正仿宋_GBK" w:cs="Times New Roman"/>
          <w:sz w:val="33"/>
          <w:szCs w:val="33"/>
          <w:lang w:val="en-US" w:eastAsia="zh-CN"/>
        </w:rPr>
        <w:t>工作环境规范化、标准化建设，为进一步加强和规范我乡纪检监察工作，保障纪检监察工作有序、规范开展。</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4.资金分配的原则及考虑因素。</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合理安排工作经费，确保专款专用。</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val="0"/>
          <w:color w:val="auto"/>
          <w:sz w:val="32"/>
          <w:szCs w:val="32"/>
          <w:lang w:val="zh-CN" w:eastAsia="zh-CN"/>
        </w:rPr>
      </w:pPr>
      <w:r>
        <w:rPr>
          <w:rFonts w:hint="default" w:ascii="Times New Roman" w:hAnsi="Times New Roman" w:eastAsia="楷体_GB2312" w:cs="Times New Roman"/>
          <w:b w:val="0"/>
          <w:bCs w:val="0"/>
          <w:color w:val="auto"/>
          <w:sz w:val="32"/>
          <w:szCs w:val="32"/>
          <w:lang w:val="zh-CN" w:eastAsia="zh-CN"/>
        </w:rPr>
        <w:t>（二）项目绩效目标。</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1.项目主要内容，</w:t>
      </w:r>
      <w:r>
        <w:rPr>
          <w:rFonts w:hint="default" w:ascii="Times New Roman" w:hAnsi="Times New Roman" w:eastAsia="仿宋_GB2312" w:cs="Times New Roman"/>
          <w:sz w:val="32"/>
          <w:szCs w:val="32"/>
          <w:lang w:val="en-US" w:eastAsia="zh-CN"/>
        </w:rPr>
        <w:t>用于我乡纪检</w:t>
      </w:r>
      <w:r>
        <w:rPr>
          <w:rFonts w:hint="default" w:ascii="Times New Roman" w:hAnsi="Times New Roman" w:eastAsia="方正仿宋_GBK" w:cs="Times New Roman"/>
          <w:sz w:val="33"/>
          <w:szCs w:val="33"/>
          <w:lang w:val="en-US" w:eastAsia="zh-CN"/>
        </w:rPr>
        <w:t>工作环境规范化、标准化建设，为进一步加强和规范我乡纪检监察工作，保障纪检监察工作有序、规范开展。</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项目应实现的具体绩效目标：</w:t>
      </w:r>
      <w:r>
        <w:rPr>
          <w:rFonts w:hint="default" w:ascii="Times New Roman" w:hAnsi="Times New Roman" w:eastAsia="仿宋_GB2312" w:cs="Times New Roman"/>
          <w:sz w:val="32"/>
          <w:szCs w:val="32"/>
        </w:rPr>
        <w:t>制定了详细的实施进度计划，确保项目按时按质完成。</w:t>
      </w:r>
      <w:r>
        <w:rPr>
          <w:rFonts w:hint="default" w:ascii="Times New Roman" w:hAnsi="Times New Roman" w:eastAsia="仿宋_GB2312" w:cs="Times New Roman"/>
          <w:kern w:val="0"/>
          <w:sz w:val="32"/>
          <w:szCs w:val="32"/>
        </w:rPr>
        <w:t>年终决算时，纳入项目支出的资金</w:t>
      </w:r>
      <w:r>
        <w:rPr>
          <w:rFonts w:hint="default" w:ascii="Times New Roman" w:hAnsi="Times New Roman" w:eastAsia="仿宋_GB2312" w:cs="Times New Roman"/>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分析评价申报内容与实际相符，申报目标合理可行。</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（三）项目自评步骤及方法。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明确自评的重点，制定自评计划，确定自评目的和目标；自评过程中应保持客观的态度，确保自评能够真实反映项目状况并提供有价值的建议。</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（一）项目资金申报及批复情况。</w:t>
      </w:r>
    </w:p>
    <w:p>
      <w:pPr>
        <w:keepNext w:val="0"/>
        <w:keepLines w:val="0"/>
        <w:pageBreakBefore w:val="0"/>
        <w:widowControl w:val="0"/>
        <w:kinsoku/>
        <w:wordWrap/>
        <w:overflowPunct/>
        <w:topLinePunct w:val="0"/>
        <w:autoSpaceDE/>
        <w:autoSpaceDN/>
        <w:bidi w:val="0"/>
        <w:spacing w:line="560" w:lineRule="exact"/>
        <w:ind w:firstLine="660" w:firstLineChars="200"/>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color w:val="333333"/>
          <w:sz w:val="33"/>
          <w:szCs w:val="33"/>
          <w:shd w:val="clear" w:color="auto" w:fill="FFFFFF"/>
          <w:lang w:val="en-US" w:eastAsia="zh-CN"/>
        </w:rPr>
        <w:t>根据盐财资行〔2022〕363号文件下达 2022 年中央纪检监察转移支付资金</w:t>
      </w:r>
      <w:r>
        <w:rPr>
          <w:rFonts w:hint="default" w:ascii="Times New Roman" w:hAnsi="Times New Roman" w:eastAsia="仿宋_GB2312" w:cs="Times New Roman"/>
          <w:sz w:val="32"/>
          <w:szCs w:val="32"/>
        </w:rPr>
        <w:t>。</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（二）资金计划、到位及使用情况（可用表格形式反映）。</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资金计划及到位：本项目资金计划为中央转移支付资金。截至评价时点，所有资金均已按照计划及时到位，资金到位率为100%。</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资金使用：严格按照项目资金管理办法使用资金，确保资金开支范围、标准及支付进度合规合法。同时，我们加强了对资金支付的监管和审核，确保资金支付与预算相符。</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（三）项目财务管理情况。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本项目建立了完善的财务管理制度，设置了专门的财务管理机构，确保项目资金的规范使用。会计核算及账务处理均按照相关规定进行，财务管理制度执行严格，财务处理及时，会计核算规范。</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项目组织管理架构清晰，实施流程规范。设置了专门的监管机构，对项目实施过程进行全程监管。</w:t>
      </w:r>
      <w:r>
        <w:rPr>
          <w:rFonts w:hint="eastAsia" w:eastAsia="仿宋_GB2312" w:cs="Times New Roman"/>
          <w:sz w:val="32"/>
          <w:szCs w:val="32"/>
          <w:lang w:eastAsia="zh-CN"/>
        </w:rPr>
        <w:t>政府</w:t>
      </w:r>
      <w:r>
        <w:rPr>
          <w:rFonts w:hint="default" w:ascii="Times New Roman" w:hAnsi="Times New Roman" w:eastAsia="仿宋_GB2312" w:cs="Times New Roman"/>
          <w:sz w:val="32"/>
          <w:szCs w:val="32"/>
        </w:rPr>
        <w:t>采购、项目公示等管理制度均得到严格执行。对于项目，也严格</w:t>
      </w:r>
      <w:r>
        <w:rPr>
          <w:rFonts w:hint="eastAsia" w:eastAsia="仿宋_GB2312" w:cs="Times New Roman"/>
          <w:sz w:val="32"/>
          <w:szCs w:val="32"/>
          <w:lang w:eastAsia="zh-CN"/>
        </w:rPr>
        <w:t>遵循</w:t>
      </w:r>
      <w:r>
        <w:rPr>
          <w:rFonts w:hint="default" w:ascii="Times New Roman" w:hAnsi="Times New Roman" w:eastAsia="仿宋_GB2312" w:cs="Times New Roman"/>
          <w:sz w:val="32"/>
          <w:szCs w:val="32"/>
        </w:rPr>
        <w:t>基本程序执行要求。</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eastAsia="黑体" w:cs="Times New Roman"/>
          <w:sz w:val="32"/>
          <w:szCs w:val="32"/>
          <w:lang w:val="zh-CN"/>
        </w:rPr>
        <w:tab/>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（一）项目完成情况。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w:t>
      </w:r>
      <w:r>
        <w:rPr>
          <w:rFonts w:hint="default" w:ascii="Times New Roman" w:hAnsi="Times New Roman" w:eastAsia="楷体_GB2312" w:cs="Times New Roman"/>
          <w:b w:val="0"/>
          <w:bCs/>
          <w:sz w:val="32"/>
          <w:szCs w:val="32"/>
          <w:lang w:val="en-US" w:eastAsia="zh-CN"/>
        </w:rPr>
        <w:t>二</w:t>
      </w:r>
      <w:r>
        <w:rPr>
          <w:rFonts w:hint="eastAsia" w:eastAsia="楷体_GB2312" w:cs="Times New Roman"/>
          <w:b w:val="0"/>
          <w:bCs/>
          <w:sz w:val="32"/>
          <w:szCs w:val="32"/>
          <w:lang w:val="en-US" w:eastAsia="zh-CN"/>
        </w:rPr>
        <w:t>）项</w:t>
      </w:r>
      <w:r>
        <w:rPr>
          <w:rFonts w:hint="default" w:ascii="Times New Roman" w:hAnsi="Times New Roman" w:eastAsia="楷体_GB2312" w:cs="Times New Roman"/>
          <w:b w:val="0"/>
          <w:bCs/>
          <w:sz w:val="32"/>
          <w:szCs w:val="32"/>
          <w:lang w:val="zh-CN"/>
        </w:rPr>
        <w:t>目效益情况。</w:t>
      </w:r>
    </w:p>
    <w:p>
      <w:pPr>
        <w:keepNext w:val="0"/>
        <w:keepLines w:val="0"/>
        <w:pageBreakBefore w:val="0"/>
        <w:widowControl w:val="0"/>
        <w:numPr>
          <w:ilvl w:val="0"/>
          <w:numId w:val="0"/>
        </w:numPr>
        <w:kinsoku/>
        <w:wordWrap/>
        <w:overflowPunct/>
        <w:topLinePunct w:val="0"/>
        <w:autoSpaceDE/>
        <w:autoSpaceDN/>
        <w:bidi w:val="0"/>
        <w:spacing w:line="560" w:lineRule="exact"/>
        <w:ind w:firstLine="660" w:firstLineChars="200"/>
        <w:textAlignment w:val="auto"/>
        <w:rPr>
          <w:rFonts w:hint="default" w:ascii="Times New Roman" w:hAnsi="Times New Roman" w:cs="Times New Roman"/>
          <w:lang w:val="zh-CN"/>
        </w:rPr>
      </w:pPr>
      <w:r>
        <w:rPr>
          <w:rFonts w:hint="eastAsia" w:eastAsia="方正仿宋_GBK" w:cs="Times New Roman"/>
          <w:sz w:val="33"/>
          <w:szCs w:val="33"/>
          <w:lang w:val="en-US" w:eastAsia="zh-CN"/>
        </w:rPr>
        <w:t>进</w:t>
      </w:r>
      <w:r>
        <w:rPr>
          <w:rFonts w:hint="default" w:ascii="Times New Roman" w:hAnsi="Times New Roman" w:eastAsia="方正仿宋_GBK" w:cs="Times New Roman"/>
          <w:sz w:val="33"/>
          <w:szCs w:val="33"/>
          <w:lang w:val="en-US" w:eastAsia="zh-CN"/>
        </w:rPr>
        <w:t>一步加强和规范我乡纪检监察工作，保障纪检监察工作有序、规范开展。</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rPr>
        <w:t>（一）评价结论</w:t>
      </w:r>
      <w:r>
        <w:rPr>
          <w:rFonts w:hint="default" w:ascii="Times New Roman" w:hAnsi="Times New Roman" w:eastAsia="楷体_GB2312" w:cs="Times New Roman"/>
          <w:b w:val="0"/>
          <w:bCs/>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初步评价，项目资金申报与项目实际相符；资金支出时间节点较为及时，不存在截留挪用专项资金的违规情况；资金支出按程序审批，合法、合规；资金使用目标明确，受益群体满意度较高，全面达到预期目标。</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rPr>
        <w:t>（二）存在的问题</w:t>
      </w:r>
      <w:r>
        <w:rPr>
          <w:rFonts w:hint="default" w:ascii="Times New Roman" w:hAnsi="Times New Roman" w:eastAsia="楷体_GB2312" w:cs="Times New Roman"/>
          <w:b w:val="0"/>
          <w:bCs/>
          <w:sz w:val="32"/>
          <w:szCs w:val="32"/>
          <w:lang w:eastAsia="zh-CN"/>
        </w:rPr>
        <w:t>。</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1. 绩效目标设立不够明确、细化和量化。项目单位虽然设立了项目资金绩效目标，但目标不够明确、细化和量化。</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2"/>
          <w:sz w:val="32"/>
          <w:szCs w:val="32"/>
        </w:rPr>
        <w:t>2. 资金使用效益有待进一步提高。</w:t>
      </w:r>
      <w:r>
        <w:rPr>
          <w:rFonts w:hint="default" w:ascii="Times New Roman" w:hAnsi="Times New Roman" w:eastAsia="仿宋_GB2312" w:cs="Times New Roman"/>
          <w:sz w:val="32"/>
          <w:szCs w:val="32"/>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sz w:val="32"/>
          <w:szCs w:val="32"/>
          <w:lang w:val="zh-CN"/>
        </w:rPr>
      </w:pPr>
      <w:r>
        <w:rPr>
          <w:rFonts w:hint="default" w:ascii="Times New Roman" w:hAnsi="Times New Roman" w:eastAsia="楷体_GB2312" w:cs="Times New Roman"/>
          <w:sz w:val="32"/>
          <w:szCs w:val="32"/>
          <w:lang w:val="zh-CN"/>
        </w:rPr>
        <w:t>（三）相关建议。</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加强业务培训，提高评价水平。绩效评价工作是一项长期性的工作，专业性强，工作量大，建议财政部门进一步加强开展部门领导及经办人员相关的政策、业务工作培训，组织开展部门之间单位之间的经验交流，切实推进绩效评价工作的开展。</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bCs/>
          <w:sz w:val="36"/>
          <w:szCs w:val="36"/>
          <w:shd w:val="clear" w:color="auto" w:fill="FFFFFF"/>
        </w:rPr>
      </w:pPr>
      <w:r>
        <w:rPr>
          <w:rFonts w:hint="default" w:ascii="Times New Roman" w:hAnsi="Times New Roman" w:eastAsia="黑体" w:cs="Times New Roman"/>
          <w:sz w:val="44"/>
          <w:szCs w:val="44"/>
        </w:rPr>
        <w:br w:type="page"/>
      </w:r>
      <w:r>
        <w:rPr>
          <w:rFonts w:hint="default" w:ascii="Times New Roman" w:hAnsi="Times New Roman" w:eastAsia="方正小标宋简体" w:cs="Times New Roman"/>
          <w:bCs/>
          <w:sz w:val="36"/>
          <w:szCs w:val="36"/>
          <w:shd w:val="clear" w:color="auto" w:fill="FFFFFF"/>
        </w:rPr>
        <w:t>便民服务中心“三化”建设经费</w:t>
      </w:r>
    </w:p>
    <w:p>
      <w:pPr>
        <w:pStyle w:val="39"/>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bCs/>
          <w:color w:val="auto"/>
          <w:kern w:val="2"/>
          <w:sz w:val="36"/>
          <w:szCs w:val="36"/>
          <w:shd w:val="clear" w:color="auto" w:fill="FFFFFF"/>
          <w:lang w:val="en-US"/>
        </w:rPr>
      </w:pPr>
      <w:r>
        <w:rPr>
          <w:rFonts w:hint="default" w:ascii="Times New Roman" w:hAnsi="Times New Roman" w:eastAsia="方正小标宋简体" w:cs="Times New Roman"/>
          <w:bCs/>
          <w:color w:val="auto"/>
          <w:kern w:val="2"/>
          <w:sz w:val="36"/>
          <w:szCs w:val="36"/>
          <w:shd w:val="clear" w:color="auto" w:fill="FFFFFF"/>
          <w:lang w:val="en-US"/>
        </w:rPr>
        <w:t>项目支出绩效自评报告</w:t>
      </w:r>
    </w:p>
    <w:p>
      <w:pPr>
        <w:pStyle w:val="39"/>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eastAsia="仿宋_GB2312" w:cs="Times New Roman"/>
          <w:color w:val="auto"/>
          <w:kern w:val="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（一）项目基本情况。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1.项目主管单位：盐边县红果彝族乡人民政府</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项目主管单位牵头实施项目，对该资金加强资金管理，确保专款专用，不得挪作他用。</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2.项目立项、资金申报的依据。</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根据盐财资行〔2022〕508号关于下达乡镇便民服务中心“三化”建设经费4.41万元。</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3.资金管理办法制定情况，资金支持具体项目的条件，范围与支持方式概况。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该资金由县财政局下达预算到红果彝族乡人民政府进行核算。</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资金支付范围：用于便民服务中心“三化”建设工作。</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4.资金分配的原则及考虑因素。</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合理安排工作经费，确保专款专用。</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（二）项目绩效目标。</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1.项目主要内容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用于便民服务中心“三化”建设工作。</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项目应实现的具体绩效目标：</w:t>
      </w:r>
      <w:r>
        <w:rPr>
          <w:rFonts w:hint="default" w:ascii="Times New Roman" w:hAnsi="Times New Roman" w:eastAsia="仿宋_GB2312" w:cs="Times New Roman"/>
          <w:sz w:val="32"/>
          <w:szCs w:val="32"/>
        </w:rPr>
        <w:t>制定了详细的实施进度计划，确保项目按时按质完成。</w:t>
      </w:r>
      <w:r>
        <w:rPr>
          <w:rFonts w:hint="default" w:ascii="Times New Roman" w:hAnsi="Times New Roman" w:eastAsia="仿宋_GB2312" w:cs="Times New Roman"/>
          <w:kern w:val="0"/>
          <w:sz w:val="32"/>
          <w:szCs w:val="32"/>
        </w:rPr>
        <w:t>年终决算时，纳入项目支出的资金</w:t>
      </w:r>
      <w:r>
        <w:rPr>
          <w:rFonts w:hint="default" w:ascii="Times New Roman" w:hAnsi="Times New Roman" w:eastAsia="仿宋_GB2312" w:cs="Times New Roman"/>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分析评价申报内容与实际相符，申报目标合理可行。</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（三）项目自评步骤及方法。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明确自评的重点，制定自评计划，确定自评目的和目标；自评过程中应保持客观的态度，确保自评能够真实反映项目状况并提供有价值的建议。</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（一）项目资金申报及批复情况。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盐财资行〔2022〕508号关于下达乡镇便民服务中心“三化”建设经费。</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（二）资金计划、到位及使用情况（可用表格形式反映）。</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资金计划及到位：本项目资金计划为中央转移支付资金。截至评价时点，所有资金均已按照计划及时到位，资金到位率为100%。</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资金使用：严格按照项目资金管理办法使用资金，确保资金开支范围、标准及支付进度合规合法。同时，我们加强了对资金支付的监管和审核，确保资金支付与预算相符。</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（三）项目财务管理情况。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本项目建立了完善的财务管理制度，设置了专门的财务管理机构，确保项目资金的规范使用。会计核算及账务处理均按照相关规定进行，财务管理制度执行严格，财务处理及时，会计核算规范。</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项目组织管理架构清晰，实施流程规范。设置了专门的监管机构，对项目实施过程进行全程监管。</w:t>
      </w:r>
      <w:r>
        <w:rPr>
          <w:rFonts w:hint="eastAsia" w:eastAsia="仿宋_GB2312" w:cs="Times New Roman"/>
          <w:sz w:val="32"/>
          <w:szCs w:val="32"/>
          <w:lang w:eastAsia="zh-CN"/>
        </w:rPr>
        <w:t>政府</w:t>
      </w:r>
      <w:r>
        <w:rPr>
          <w:rFonts w:hint="default" w:ascii="Times New Roman" w:hAnsi="Times New Roman" w:eastAsia="仿宋_GB2312" w:cs="Times New Roman"/>
          <w:sz w:val="32"/>
          <w:szCs w:val="32"/>
        </w:rPr>
        <w:t>采购、项目公示等管理制度均得到严格执行。对于项目，也严格</w:t>
      </w:r>
      <w:r>
        <w:rPr>
          <w:rFonts w:hint="eastAsia" w:eastAsia="仿宋_GB2312" w:cs="Times New Roman"/>
          <w:sz w:val="32"/>
          <w:szCs w:val="32"/>
          <w:lang w:eastAsia="zh-CN"/>
        </w:rPr>
        <w:t>遵循</w:t>
      </w:r>
      <w:r>
        <w:rPr>
          <w:rFonts w:hint="default" w:ascii="Times New Roman" w:hAnsi="Times New Roman" w:eastAsia="仿宋_GB2312" w:cs="Times New Roman"/>
          <w:sz w:val="32"/>
          <w:szCs w:val="32"/>
        </w:rPr>
        <w:t>基本程序执行要求。</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eastAsia="黑体" w:cs="Times New Roman"/>
          <w:sz w:val="32"/>
          <w:szCs w:val="32"/>
          <w:lang w:val="zh-CN"/>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（一）项目完成情况。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en-US" w:eastAsia="zh-CN"/>
        </w:rPr>
        <w:t>（二）</w:t>
      </w:r>
      <w:r>
        <w:rPr>
          <w:rFonts w:hint="default" w:ascii="Times New Roman" w:hAnsi="Times New Roman" w:eastAsia="楷体_GB2312" w:cs="Times New Roman"/>
          <w:b w:val="0"/>
          <w:bCs/>
          <w:sz w:val="32"/>
          <w:szCs w:val="32"/>
          <w:lang w:val="zh-CN"/>
        </w:rPr>
        <w:t>项目效益情况。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根据财政下达的预算资金额度，严格把控资金使用，不超支；严格按照计划，顺利完成项目建设。</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eastAsia="zh-CN"/>
        </w:rPr>
      </w:pPr>
      <w:r>
        <w:rPr>
          <w:rFonts w:hint="default" w:ascii="Times New Roman" w:hAnsi="Times New Roman" w:eastAsia="楷体_GB2312" w:cs="Times New Roman"/>
          <w:b w:val="0"/>
          <w:bCs/>
          <w:sz w:val="32"/>
          <w:szCs w:val="32"/>
          <w:lang w:val="zh-CN"/>
        </w:rPr>
        <w:t>（一）评价结论</w:t>
      </w:r>
      <w:r>
        <w:rPr>
          <w:rFonts w:hint="default" w:ascii="Times New Roman" w:hAnsi="Times New Roman" w:eastAsia="楷体_GB2312" w:cs="Times New Roman"/>
          <w:b w:val="0"/>
          <w:bCs/>
          <w:sz w:val="32"/>
          <w:szCs w:val="32"/>
          <w:lang w:val="zh-CN"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初步评价，项目资金申报与项目实际相符；资金支出时间节点较为及时，不存在截留挪用专项资金的违规情况；资金支出按程序审批，合法、合规；资金使用目标明确，受益群体满意度较高，全面达到预期目标。</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eastAsia="zh-CN"/>
        </w:rPr>
      </w:pPr>
      <w:r>
        <w:rPr>
          <w:rFonts w:hint="default" w:ascii="Times New Roman" w:hAnsi="Times New Roman" w:eastAsia="楷体_GB2312" w:cs="Times New Roman"/>
          <w:b w:val="0"/>
          <w:bCs/>
          <w:sz w:val="32"/>
          <w:szCs w:val="32"/>
          <w:lang w:val="en-US" w:eastAsia="zh-CN"/>
        </w:rPr>
        <w:t>（二</w:t>
      </w:r>
      <w:r>
        <w:rPr>
          <w:rFonts w:hint="eastAsia" w:eastAsia="楷体_GB2312" w:cs="Times New Roman"/>
          <w:b w:val="0"/>
          <w:bCs/>
          <w:sz w:val="32"/>
          <w:szCs w:val="32"/>
          <w:lang w:val="en-US" w:eastAsia="zh-CN"/>
        </w:rPr>
        <w:t>）存</w:t>
      </w:r>
      <w:r>
        <w:rPr>
          <w:rFonts w:hint="default" w:ascii="Times New Roman" w:hAnsi="Times New Roman" w:eastAsia="楷体_GB2312" w:cs="Times New Roman"/>
          <w:b w:val="0"/>
          <w:bCs/>
          <w:sz w:val="32"/>
          <w:szCs w:val="32"/>
          <w:lang w:val="zh-CN"/>
        </w:rPr>
        <w:t>在的问题</w:t>
      </w:r>
      <w:r>
        <w:rPr>
          <w:rFonts w:hint="default" w:ascii="Times New Roman" w:hAnsi="Times New Roman" w:eastAsia="楷体_GB2312" w:cs="Times New Roman"/>
          <w:b w:val="0"/>
          <w:bCs/>
          <w:sz w:val="32"/>
          <w:szCs w:val="32"/>
          <w:lang w:val="zh-CN" w:eastAsia="zh-CN"/>
        </w:rPr>
        <w:t>。</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1. 绩效目标设立不够明确、细化和量化。项目单位虽然设立了项目资金绩效目标，但目标不够明确、细化和量化。</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2"/>
          <w:sz w:val="32"/>
          <w:szCs w:val="32"/>
        </w:rPr>
        <w:t>2. 资金使用效益有待进一步提高。</w:t>
      </w:r>
      <w:r>
        <w:rPr>
          <w:rFonts w:hint="default" w:ascii="Times New Roman" w:hAnsi="Times New Roman" w:eastAsia="仿宋_GB2312" w:cs="Times New Roman"/>
          <w:sz w:val="32"/>
          <w:szCs w:val="32"/>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（三）相关建议。</w:t>
      </w:r>
    </w:p>
    <w:p>
      <w:pPr>
        <w:keepNext w:val="0"/>
        <w:keepLines w:val="0"/>
        <w:pageBreakBefore w:val="0"/>
        <w:widowControl w:val="0"/>
        <w:kinsoku/>
        <w:wordWrap/>
        <w:overflowPunct/>
        <w:topLinePunct w:val="0"/>
        <w:autoSpaceDE/>
        <w:autoSpaceDN/>
        <w:bidi w:val="0"/>
        <w:spacing w:line="560" w:lineRule="exact"/>
        <w:jc w:val="center"/>
        <w:textAlignment w:val="auto"/>
        <w:outlineLvl w:val="0"/>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加强业务培训，提高评价水平。绩效评价工作是一项长期性的工作，专业性强，工作量大，建议财政部门进一步加强开展部门领导及经办人员相关的政策、业务工作培训，组织开展部门之间</w:t>
      </w:r>
    </w:p>
    <w:p>
      <w:pPr>
        <w:keepNext w:val="0"/>
        <w:keepLines w:val="0"/>
        <w:pageBreakBefore w:val="0"/>
        <w:widowControl w:val="0"/>
        <w:kinsoku/>
        <w:wordWrap/>
        <w:overflowPunct/>
        <w:topLinePunct w:val="0"/>
        <w:autoSpaceDE/>
        <w:autoSpaceDN/>
        <w:bidi w:val="0"/>
        <w:spacing w:line="560" w:lineRule="exact"/>
        <w:jc w:val="center"/>
        <w:textAlignment w:val="auto"/>
        <w:outlineLvl w:val="0"/>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单位之间的经验交流，切实推进绩效评价工作的开展。</w:t>
      </w:r>
    </w:p>
    <w:p>
      <w:pP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br w:type="page"/>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bCs/>
          <w:color w:val="auto"/>
          <w:kern w:val="2"/>
          <w:sz w:val="36"/>
          <w:szCs w:val="36"/>
          <w:shd w:val="clear" w:color="auto" w:fill="FFFFFF"/>
          <w:lang w:val="en-US"/>
        </w:rPr>
      </w:pPr>
      <w:r>
        <w:rPr>
          <w:rFonts w:hint="default" w:ascii="Times New Roman" w:hAnsi="Times New Roman" w:eastAsia="方正小标宋简体" w:cs="Times New Roman"/>
          <w:bCs/>
          <w:sz w:val="36"/>
          <w:szCs w:val="36"/>
          <w:shd w:val="clear" w:color="auto" w:fill="FFFFFF"/>
        </w:rPr>
        <w:t>2022年省级农村综合改革转移支付资金</w:t>
      </w:r>
      <w:r>
        <w:rPr>
          <w:rFonts w:hint="default" w:ascii="Times New Roman" w:hAnsi="Times New Roman" w:eastAsia="方正小标宋简体" w:cs="Times New Roman"/>
          <w:bCs/>
          <w:color w:val="auto"/>
          <w:kern w:val="2"/>
          <w:sz w:val="36"/>
          <w:szCs w:val="36"/>
          <w:shd w:val="clear" w:color="auto" w:fill="FFFFFF"/>
          <w:lang w:val="en-US"/>
        </w:rPr>
        <w:t>项目</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bCs/>
          <w:color w:val="auto"/>
          <w:kern w:val="2"/>
          <w:sz w:val="36"/>
          <w:szCs w:val="36"/>
          <w:shd w:val="clear" w:color="auto" w:fill="FFFFFF"/>
          <w:lang w:val="en-US"/>
        </w:rPr>
      </w:pPr>
      <w:r>
        <w:rPr>
          <w:rFonts w:hint="default" w:ascii="Times New Roman" w:hAnsi="Times New Roman" w:eastAsia="方正小标宋简体" w:cs="Times New Roman"/>
          <w:bCs/>
          <w:color w:val="auto"/>
          <w:kern w:val="2"/>
          <w:sz w:val="36"/>
          <w:szCs w:val="36"/>
          <w:shd w:val="clear" w:color="auto" w:fill="FFFFFF"/>
          <w:lang w:val="en-US"/>
        </w:rPr>
        <w:t>支出绩效自评报告</w:t>
      </w:r>
    </w:p>
    <w:p>
      <w:pPr>
        <w:pStyle w:val="2"/>
        <w:rPr>
          <w:rFonts w:hint="default"/>
          <w:lang w:val="en-US"/>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（一）项目基本情况。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1.项目主管单位：盐边县红果彝族乡人民政府</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项目主管单位牵头实施项目，对该资金加强资金管理，确保专款专用，不得挪作他用。</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2.项目立项、资金申报的依据。</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根据盐财资农〔2022〕125号文件下达2022年省级农村综合改革转移支付资金52.15万元。</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3.资金管理办法制定情况，资金支持具体项目的条件，范围与支持方式概况。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该资金由县财政局下达预算到红果彝族乡人民政府进行核算。</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仿宋_GB2312" w:cs="Times New Roman"/>
          <w:kern w:val="0"/>
          <w:sz w:val="32"/>
          <w:szCs w:val="32"/>
          <w:lang w:val="zh-CN" w:eastAsia="zh-CN" w:bidi="ar-SA"/>
        </w:rPr>
      </w:pPr>
      <w:r>
        <w:rPr>
          <w:rFonts w:hint="default" w:ascii="Times New Roman" w:hAnsi="Times New Roman" w:eastAsia="仿宋_GB2312" w:cs="Times New Roman"/>
          <w:sz w:val="32"/>
          <w:szCs w:val="32"/>
          <w:lang w:val="en-US" w:eastAsia="zh-CN"/>
        </w:rPr>
        <w:t>资金支付范围：用于</w:t>
      </w:r>
      <w:r>
        <w:rPr>
          <w:rFonts w:hint="default" w:ascii="Times New Roman" w:hAnsi="Times New Roman" w:eastAsia="仿宋_GB2312" w:cs="Times New Roman"/>
          <w:kern w:val="0"/>
          <w:sz w:val="32"/>
          <w:szCs w:val="32"/>
          <w:lang w:val="en-US" w:eastAsia="zh-CN" w:bidi="ar-SA"/>
        </w:rPr>
        <w:t>主要建设红果彝族乡农村基础设施</w:t>
      </w:r>
      <w:r>
        <w:rPr>
          <w:rFonts w:hint="default" w:ascii="Times New Roman" w:hAnsi="Times New Roman" w:eastAsia="仿宋_GB2312" w:cs="Times New Roman"/>
          <w:kern w:val="0"/>
          <w:sz w:val="32"/>
          <w:szCs w:val="32"/>
          <w:lang w:val="zh-CN" w:eastAsia="zh-CN" w:bidi="ar-SA"/>
        </w:rPr>
        <w:t>。</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4.资金分配的原则及考虑因素。</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合理安排工作经费，确保专款专用。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（二）项目绩效目标。</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1.项目主要内容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用于</w:t>
      </w:r>
      <w:r>
        <w:rPr>
          <w:rFonts w:hint="default" w:ascii="Times New Roman" w:hAnsi="Times New Roman" w:eastAsia="仿宋_GB2312" w:cs="Times New Roman"/>
          <w:kern w:val="0"/>
          <w:sz w:val="32"/>
          <w:szCs w:val="32"/>
          <w:lang w:val="en-US" w:eastAsia="zh-CN" w:bidi="ar-SA"/>
        </w:rPr>
        <w:t>主要建设红果彝族乡农村基础设施</w:t>
      </w:r>
      <w:r>
        <w:rPr>
          <w:rFonts w:hint="default" w:ascii="Times New Roman" w:hAnsi="Times New Roman" w:eastAsia="仿宋_GB2312" w:cs="Times New Roman"/>
          <w:kern w:val="0"/>
          <w:sz w:val="32"/>
          <w:szCs w:val="32"/>
          <w:lang w:val="zh-CN" w:eastAsia="zh-CN" w:bidi="ar-SA"/>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项目应实现的具体绩效目标：</w:t>
      </w:r>
      <w:r>
        <w:rPr>
          <w:rFonts w:hint="default" w:ascii="Times New Roman" w:hAnsi="Times New Roman" w:eastAsia="仿宋_GB2312" w:cs="Times New Roman"/>
          <w:sz w:val="32"/>
          <w:szCs w:val="32"/>
        </w:rPr>
        <w:t>制定了详细的实施进度计划，确保项目按时按质完成。</w:t>
      </w:r>
      <w:r>
        <w:rPr>
          <w:rFonts w:hint="default" w:ascii="Times New Roman" w:hAnsi="Times New Roman" w:eastAsia="仿宋_GB2312" w:cs="Times New Roman"/>
          <w:kern w:val="0"/>
          <w:sz w:val="32"/>
          <w:szCs w:val="32"/>
        </w:rPr>
        <w:t>年终决算时，纳入项目支出的资金</w:t>
      </w:r>
      <w:r>
        <w:rPr>
          <w:rFonts w:hint="default" w:ascii="Times New Roman" w:hAnsi="Times New Roman" w:eastAsia="仿宋_GB2312" w:cs="Times New Roman"/>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分析评价申报内容与实际相符，申报目标合理可行。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（三）项目自评步骤及方法。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明确自评的重点，制定自评计划，确定自评目的和目标；自评过程中应保持客观的态度，确保自评能够真实反映项目状况并提供有价值的建议。</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（一）项目资金申报及批复情况。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根据盐财资农〔2022〕125号文件下达2022年省级农村综合改革转移支付资金。</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（二）资金计划、到位及使用情况（可用表格形式反映）。</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资金计划及到位：本项目资金计划为中央转移支付资金。截至评价时点，所有资金均已按照计划及时到位，资金到位率为100%。</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资金使用：严格按照项目资金管理办法使用资金，确保资金开支范围、标准及支付进度合规合法。同时，我们加强了对资金支付的监管和审核，确保资金支付与预算相符。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（三）项目财务管理情况。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本项目建立了完善的财务管理制度，设置了专门的财务管理机构，确保项目资金的规范使用。会计核算及账务处理均按照相关规定进行，财务管理制度执行严格，财务处理及时，会计核算规范。</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项目组织管理架构清晰，实施流程规范。设置了专门的监管机构，对项目实施过程进行全程监管。</w:t>
      </w:r>
      <w:r>
        <w:rPr>
          <w:rFonts w:hint="eastAsia" w:eastAsia="仿宋_GB2312" w:cs="Times New Roman"/>
          <w:sz w:val="32"/>
          <w:szCs w:val="32"/>
          <w:lang w:eastAsia="zh-CN"/>
        </w:rPr>
        <w:t>政府</w:t>
      </w:r>
      <w:r>
        <w:rPr>
          <w:rFonts w:hint="default" w:ascii="Times New Roman" w:hAnsi="Times New Roman" w:eastAsia="仿宋_GB2312" w:cs="Times New Roman"/>
          <w:sz w:val="32"/>
          <w:szCs w:val="32"/>
        </w:rPr>
        <w:t>采购、项目公示等管理制度均得到严格执行。对于项目，也严格</w:t>
      </w:r>
      <w:r>
        <w:rPr>
          <w:rFonts w:hint="eastAsia" w:eastAsia="仿宋_GB2312" w:cs="Times New Roman"/>
          <w:sz w:val="32"/>
          <w:szCs w:val="32"/>
          <w:lang w:eastAsia="zh-CN"/>
        </w:rPr>
        <w:t>遵循</w:t>
      </w:r>
      <w:r>
        <w:rPr>
          <w:rFonts w:hint="default" w:ascii="Times New Roman" w:hAnsi="Times New Roman" w:eastAsia="仿宋_GB2312" w:cs="Times New Roman"/>
          <w:sz w:val="32"/>
          <w:szCs w:val="32"/>
        </w:rPr>
        <w:t>基本程序执行要求。</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eastAsia="黑体" w:cs="Times New Roman"/>
          <w:sz w:val="32"/>
          <w:szCs w:val="32"/>
          <w:lang w:val="zh-CN"/>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（一）项目完成情况。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en-US" w:eastAsia="zh-CN"/>
        </w:rPr>
        <w:t>（二）</w:t>
      </w:r>
      <w:r>
        <w:rPr>
          <w:rFonts w:hint="default" w:ascii="Times New Roman" w:hAnsi="Times New Roman" w:eastAsia="楷体_GB2312" w:cs="Times New Roman"/>
          <w:b w:val="0"/>
          <w:bCs/>
          <w:sz w:val="32"/>
          <w:szCs w:val="32"/>
          <w:lang w:val="zh-CN"/>
        </w:rPr>
        <w:t>项目效益情况。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sz w:val="32"/>
          <w:szCs w:val="32"/>
          <w:lang w:val="zh-CN" w:eastAsia="zh-CN"/>
        </w:rPr>
      </w:pPr>
      <w:r>
        <w:rPr>
          <w:rFonts w:hint="default" w:ascii="Times New Roman" w:hAnsi="Times New Roman" w:eastAsia="楷体_GB2312" w:cs="Times New Roman"/>
          <w:b w:val="0"/>
          <w:bCs/>
          <w:sz w:val="32"/>
          <w:szCs w:val="32"/>
          <w:lang w:val="zh-CN"/>
        </w:rPr>
        <w:t>（一）评价结论</w:t>
      </w:r>
      <w:r>
        <w:rPr>
          <w:rFonts w:hint="default" w:ascii="Times New Roman" w:hAnsi="Times New Roman" w:eastAsia="楷体_GB2312" w:cs="Times New Roman"/>
          <w:b w:val="0"/>
          <w:bCs/>
          <w:sz w:val="32"/>
          <w:szCs w:val="32"/>
          <w:lang w:val="zh-CN"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初步评价，项目资金申报与项目实际相符；资金支出时间节点较为及时，不存在截留挪用专项资金的违规情况；资金支出按程序审批，合法、合规；资金使用目标明确，受益群体满意度较高，全面达到预期目标。</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sz w:val="32"/>
          <w:szCs w:val="32"/>
          <w:lang w:val="zh-CN" w:eastAsia="zh-CN"/>
        </w:rPr>
      </w:pPr>
      <w:r>
        <w:rPr>
          <w:rFonts w:hint="default" w:ascii="Times New Roman" w:hAnsi="Times New Roman" w:eastAsia="楷体_GB2312" w:cs="Times New Roman"/>
          <w:b w:val="0"/>
          <w:bCs/>
          <w:sz w:val="32"/>
          <w:szCs w:val="32"/>
          <w:lang w:val="zh-CN"/>
        </w:rPr>
        <w:t>（二）存在的问题</w:t>
      </w:r>
      <w:r>
        <w:rPr>
          <w:rFonts w:hint="default" w:ascii="Times New Roman" w:hAnsi="Times New Roman" w:eastAsia="楷体_GB2312" w:cs="Times New Roman"/>
          <w:b w:val="0"/>
          <w:bCs/>
          <w:sz w:val="32"/>
          <w:szCs w:val="32"/>
          <w:lang w:val="zh-CN" w:eastAsia="zh-CN"/>
        </w:rPr>
        <w:t>。</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1. 绩效目标设立不够明确、细化和量化。项目单位虽然设立了项目资金绩效目标，但目标不够明确、细化和量化。</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2"/>
          <w:sz w:val="32"/>
          <w:szCs w:val="32"/>
        </w:rPr>
        <w:t>2. 资金使用效益有待进一步提高。</w:t>
      </w:r>
      <w:r>
        <w:rPr>
          <w:rFonts w:hint="default" w:ascii="Times New Roman" w:hAnsi="Times New Roman" w:eastAsia="仿宋_GB2312" w:cs="Times New Roman"/>
          <w:sz w:val="32"/>
          <w:szCs w:val="32"/>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（三）相关建议。</w:t>
      </w:r>
    </w:p>
    <w:p>
      <w:pPr>
        <w:keepNext w:val="0"/>
        <w:keepLines w:val="0"/>
        <w:pageBreakBefore w:val="0"/>
        <w:widowControl w:val="0"/>
        <w:kinsoku/>
        <w:wordWrap/>
        <w:overflowPunct/>
        <w:topLinePunct w:val="0"/>
        <w:autoSpaceDE/>
        <w:autoSpaceDN/>
        <w:bidi w:val="0"/>
        <w:spacing w:line="560" w:lineRule="exact"/>
        <w:jc w:val="left"/>
        <w:textAlignment w:val="auto"/>
        <w:outlineLvl w:val="0"/>
        <w:rPr>
          <w:rFonts w:hint="default" w:ascii="Times New Roman" w:hAnsi="Times New Roman" w:eastAsia="方正小标宋简体" w:cs="Times New Roman"/>
          <w:bCs/>
          <w:sz w:val="44"/>
          <w:szCs w:val="44"/>
          <w:shd w:val="clear" w:color="auto" w:fill="FFFFFF"/>
        </w:rPr>
      </w:pPr>
      <w:r>
        <w:rPr>
          <w:rFonts w:hint="default" w:ascii="Times New Roman" w:hAnsi="Times New Roman" w:eastAsia="仿宋_GB2312" w:cs="Times New Roman"/>
          <w:kern w:val="2"/>
          <w:sz w:val="32"/>
          <w:szCs w:val="32"/>
        </w:rPr>
        <w:t>加强业务培训，提高评价水平。绩效评价工作是一项长期性的工作，专业性强，工作量大，建议财政部门进一步加强开展部门领导及经办人员相关的政策、业务工作培训，组织开展部门之间单位之间的经验交流，切实推进绩效评价工作的开展。</w:t>
      </w:r>
      <w:r>
        <w:rPr>
          <w:rFonts w:hint="default" w:ascii="Times New Roman" w:hAnsi="Times New Roman" w:eastAsia="方正小标宋简体" w:cs="Times New Roman"/>
          <w:bCs/>
          <w:sz w:val="44"/>
          <w:szCs w:val="44"/>
          <w:shd w:val="clear" w:color="auto" w:fill="FFFFFF"/>
        </w:rPr>
        <w:br w:type="page"/>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Cs/>
          <w:color w:val="auto"/>
          <w:kern w:val="2"/>
          <w:sz w:val="36"/>
          <w:szCs w:val="36"/>
          <w:shd w:val="clear" w:color="auto" w:fill="FFFFFF"/>
          <w:lang w:val="en-US"/>
        </w:rPr>
      </w:pPr>
      <w:r>
        <w:rPr>
          <w:rFonts w:hint="default" w:ascii="Times New Roman" w:hAnsi="Times New Roman" w:eastAsia="方正小标宋简体" w:cs="Times New Roman"/>
          <w:bCs/>
          <w:sz w:val="36"/>
          <w:szCs w:val="36"/>
          <w:shd w:val="clear" w:color="auto" w:fill="FFFFFF"/>
        </w:rPr>
        <w:t>森林防灭火奖补资金预算</w:t>
      </w:r>
      <w:r>
        <w:rPr>
          <w:rFonts w:hint="default" w:ascii="Times New Roman" w:hAnsi="Times New Roman" w:eastAsia="方正小标宋简体" w:cs="Times New Roman"/>
          <w:bCs/>
          <w:color w:val="auto"/>
          <w:kern w:val="2"/>
          <w:sz w:val="36"/>
          <w:szCs w:val="36"/>
          <w:shd w:val="clear" w:color="auto" w:fill="FFFFFF"/>
          <w:lang w:val="en-US"/>
        </w:rPr>
        <w:t>项目支出</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bCs/>
          <w:color w:val="auto"/>
          <w:kern w:val="2"/>
          <w:sz w:val="36"/>
          <w:szCs w:val="36"/>
          <w:shd w:val="clear" w:color="auto" w:fill="FFFFFF"/>
          <w:lang w:val="en-US"/>
        </w:rPr>
      </w:pPr>
      <w:r>
        <w:rPr>
          <w:rFonts w:hint="default" w:ascii="Times New Roman" w:hAnsi="Times New Roman" w:eastAsia="方正小标宋简体" w:cs="Times New Roman"/>
          <w:bCs/>
          <w:color w:val="auto"/>
          <w:kern w:val="2"/>
          <w:sz w:val="36"/>
          <w:szCs w:val="36"/>
          <w:shd w:val="clear" w:color="auto" w:fill="FFFFFF"/>
          <w:lang w:val="en-US"/>
        </w:rPr>
        <w:t>绩效自评报告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（一）项目基本情况。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1.项目主管单位：盐边县红果彝族乡人民政府</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项目主管单位牵头实施项目，对该资金加强资金管理，确保专款专用，不得挪作他用。</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en-US" w:eastAsia="zh-CN"/>
        </w:rPr>
      </w:pPr>
      <w:r>
        <w:rPr>
          <w:rFonts w:hint="default" w:ascii="Times New Roman" w:hAnsi="Times New Roman" w:eastAsia="仿宋_GB2312" w:cs="Times New Roman"/>
          <w:sz w:val="32"/>
          <w:szCs w:val="32"/>
          <w:lang w:val="en-US" w:eastAsia="zh-CN"/>
        </w:rPr>
        <w:t>2.项目立项、资金申报的依据。</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红果彝族乡2022年全省村（社区）森林防灭火奖补资金预算资金24万元。</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3.资金管理办法制定情况，资金支持具体项目的条件，范围与支持方式概况。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该资金由县财政局下达预算到红果彝族乡人民政府进行核算。</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资金支付范围：专项用于奖补红果彝族乡花椒箐村、花地村和红果村森林草原防灭火工作。</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4.资金分配的原则及考虑因素。</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合理安排工作经费，确保专款专用。</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（二）项目绩效目标。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1.项目主要内容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用于奖补红果彝族乡花椒箐村、花地村和红果村森林草原防灭火工作。</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项目应实现的具体绩效目标：</w:t>
      </w:r>
      <w:r>
        <w:rPr>
          <w:rFonts w:hint="default" w:ascii="Times New Roman" w:hAnsi="Times New Roman" w:eastAsia="仿宋_GB2312" w:cs="Times New Roman"/>
          <w:sz w:val="32"/>
          <w:szCs w:val="32"/>
        </w:rPr>
        <w:t>制定了详细的实施进度计划，确保项目按时按质完成。</w:t>
      </w:r>
      <w:r>
        <w:rPr>
          <w:rFonts w:hint="default" w:ascii="Times New Roman" w:hAnsi="Times New Roman" w:eastAsia="仿宋_GB2312" w:cs="Times New Roman"/>
          <w:kern w:val="0"/>
          <w:sz w:val="32"/>
          <w:szCs w:val="32"/>
        </w:rPr>
        <w:t>年终决算时，纳入项目支出的资金</w:t>
      </w:r>
      <w:r>
        <w:rPr>
          <w:rFonts w:hint="default" w:ascii="Times New Roman" w:hAnsi="Times New Roman" w:eastAsia="仿宋_GB2312" w:cs="Times New Roman"/>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分析评价申报内容与实际相符，申报目标合理可行。</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（三）项目自评步骤及方法。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明确自评的重点，制定自评计划，确定自评目的和目标；自评过程中应保持客观的态度，确保自评能够真实反映项目状况并提供有价值的建议。</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（一）项目资金申报及批复情况。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红果彝族乡2022年全省村（社区）森林防灭火奖补资金预算资金</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（二）资金计划、到位及使用情况（可用表格形式反映）。</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资金计划及到位：本项目资金计划为中央转移支付资金。截至评价时点，所有资金均已按照计划及时到位，资金到位率为100%。</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资金使用：严格按照项目资金管理办法使用资金，确保资金开支范围、标准及支付进度合规合法。同时，我们加强了对资金支付的监管和审核，确保资金支付与预算相符。</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（三）项目财务管理情况。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本项目建立了完善的财务管理制度，设置了专门的财务管理机构，确保项目资金的规范使用。会计核算及账务处理均按照相关规定进行，财务管理制度执行严格，财务处理及时，会计核算规范。</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项目组织管理架构清晰，实施流程规范。设置了专门的监管机构，对项目实施过程进行全程监管。</w:t>
      </w:r>
      <w:r>
        <w:rPr>
          <w:rFonts w:hint="eastAsia" w:eastAsia="仿宋_GB2312" w:cs="Times New Roman"/>
          <w:sz w:val="32"/>
          <w:szCs w:val="32"/>
          <w:lang w:eastAsia="zh-CN"/>
        </w:rPr>
        <w:t>政府</w:t>
      </w:r>
      <w:r>
        <w:rPr>
          <w:rFonts w:hint="default" w:ascii="Times New Roman" w:hAnsi="Times New Roman" w:eastAsia="仿宋_GB2312" w:cs="Times New Roman"/>
          <w:sz w:val="32"/>
          <w:szCs w:val="32"/>
        </w:rPr>
        <w:t>采购、项目公示等管理制度均得到严格执行。对于项目，也严格</w:t>
      </w:r>
      <w:r>
        <w:rPr>
          <w:rFonts w:hint="eastAsia" w:eastAsia="仿宋_GB2312" w:cs="Times New Roman"/>
          <w:sz w:val="32"/>
          <w:szCs w:val="32"/>
          <w:lang w:eastAsia="zh-CN"/>
        </w:rPr>
        <w:t>遵循</w:t>
      </w:r>
      <w:r>
        <w:rPr>
          <w:rFonts w:hint="default" w:ascii="Times New Roman" w:hAnsi="Times New Roman" w:eastAsia="仿宋_GB2312" w:cs="Times New Roman"/>
          <w:sz w:val="32"/>
          <w:szCs w:val="32"/>
        </w:rPr>
        <w:t>基本程序执行要求。</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eastAsia="黑体" w:cs="Times New Roman"/>
          <w:sz w:val="32"/>
          <w:szCs w:val="32"/>
          <w:lang w:val="zh-CN"/>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（一）项目完成情况。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en-US" w:eastAsia="zh-CN"/>
        </w:rPr>
        <w:t>（二）</w:t>
      </w:r>
      <w:r>
        <w:rPr>
          <w:rFonts w:hint="default" w:ascii="Times New Roman" w:hAnsi="Times New Roman" w:eastAsia="楷体_GB2312" w:cs="Times New Roman"/>
          <w:b w:val="0"/>
          <w:bCs/>
          <w:sz w:val="32"/>
          <w:szCs w:val="32"/>
          <w:lang w:val="zh-CN"/>
        </w:rPr>
        <w:t>项目效益情况。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zh-CN"/>
        </w:rPr>
        <w:t>经济效益：降低</w:t>
      </w:r>
      <w:r>
        <w:rPr>
          <w:rFonts w:hint="default" w:ascii="Times New Roman" w:hAnsi="Times New Roman" w:eastAsia="仿宋_GB2312" w:cs="Times New Roman"/>
          <w:sz w:val="32"/>
          <w:szCs w:val="32"/>
          <w:lang w:val="en-US" w:eastAsia="zh-CN"/>
        </w:rPr>
        <w:t>火灾</w:t>
      </w:r>
      <w:r>
        <w:rPr>
          <w:rFonts w:hint="default" w:ascii="Times New Roman" w:hAnsi="Times New Roman" w:eastAsia="仿宋_GB2312" w:cs="Times New Roman"/>
          <w:sz w:val="32"/>
          <w:szCs w:val="32"/>
          <w:lang w:val="zh-CN"/>
        </w:rPr>
        <w:t>安全事</w:t>
      </w:r>
      <w:r>
        <w:rPr>
          <w:rFonts w:hint="default" w:ascii="Times New Roman" w:hAnsi="Times New Roman" w:eastAsia="仿宋_GB2312" w:cs="Times New Roman"/>
          <w:sz w:val="32"/>
          <w:szCs w:val="32"/>
          <w:lang w:val="en-US" w:eastAsia="zh-CN"/>
        </w:rPr>
        <w:t>故。</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zh-CN"/>
        </w:rPr>
        <w:t>社会效益指标：</w:t>
      </w:r>
      <w:r>
        <w:rPr>
          <w:rFonts w:hint="default" w:ascii="Times New Roman" w:hAnsi="Times New Roman" w:eastAsia="仿宋_GB2312" w:cs="Times New Roman"/>
          <w:sz w:val="32"/>
          <w:szCs w:val="32"/>
          <w:lang w:val="en-US" w:eastAsia="zh-CN"/>
        </w:rPr>
        <w:t>有效消除全乡范围内各类火灾隐患风险，提升辖区安全等级。</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rPr>
        <w:t>可持续影响：</w:t>
      </w:r>
      <w:r>
        <w:rPr>
          <w:rFonts w:hint="default" w:ascii="Times New Roman" w:hAnsi="Times New Roman" w:eastAsia="仿宋_GB2312" w:cs="Times New Roman"/>
          <w:sz w:val="32"/>
          <w:szCs w:val="32"/>
          <w:lang w:val="en-US" w:eastAsia="zh-CN"/>
        </w:rPr>
        <w:t>创造</w:t>
      </w:r>
      <w:r>
        <w:rPr>
          <w:rFonts w:hint="default" w:ascii="Times New Roman" w:hAnsi="Times New Roman" w:eastAsia="仿宋_GB2312" w:cs="Times New Roman"/>
          <w:sz w:val="32"/>
          <w:szCs w:val="32"/>
          <w:lang w:val="zh-CN" w:eastAsia="zh-CN"/>
        </w:rPr>
        <w:t>安全生产环境。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满意度：受益对象满意。</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eastAsia="zh-CN"/>
        </w:rPr>
      </w:pPr>
      <w:r>
        <w:rPr>
          <w:rFonts w:hint="default" w:ascii="Times New Roman" w:hAnsi="Times New Roman" w:eastAsia="楷体_GB2312" w:cs="Times New Roman"/>
          <w:b w:val="0"/>
          <w:bCs/>
          <w:sz w:val="32"/>
          <w:szCs w:val="32"/>
          <w:lang w:val="zh-CN"/>
        </w:rPr>
        <w:t>（一）评价结论</w:t>
      </w:r>
      <w:r>
        <w:rPr>
          <w:rFonts w:hint="default" w:ascii="Times New Roman" w:hAnsi="Times New Roman" w:eastAsia="楷体_GB2312" w:cs="Times New Roman"/>
          <w:b w:val="0"/>
          <w:bCs/>
          <w:sz w:val="32"/>
          <w:szCs w:val="32"/>
          <w:lang w:val="zh-CN"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初步评价，项目资金申报与项目实际相符；资金支出时间节点较为及时，不存在截留挪用专项资金的违规情况；资金支出按程序审批，合法、合规；资金使用目标明确，受益群体满意度较高，全面达到预期目标。</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eastAsia="zh-CN"/>
        </w:rPr>
      </w:pPr>
      <w:r>
        <w:rPr>
          <w:rFonts w:hint="default" w:ascii="Times New Roman" w:hAnsi="Times New Roman" w:eastAsia="楷体_GB2312" w:cs="Times New Roman"/>
          <w:b w:val="0"/>
          <w:bCs/>
          <w:sz w:val="32"/>
          <w:szCs w:val="32"/>
          <w:lang w:val="zh-CN"/>
        </w:rPr>
        <w:t>（二）存在的问题</w:t>
      </w:r>
      <w:r>
        <w:rPr>
          <w:rFonts w:hint="default" w:ascii="Times New Roman" w:hAnsi="Times New Roman" w:eastAsia="楷体_GB2312" w:cs="Times New Roman"/>
          <w:b w:val="0"/>
          <w:bCs/>
          <w:sz w:val="32"/>
          <w:szCs w:val="32"/>
          <w:lang w:val="zh-CN" w:eastAsia="zh-CN"/>
        </w:rPr>
        <w:t>。</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1. 绩效目标设立不够明确、细化和量化。项目单位虽然设立了项目资金绩效目标，但目标不够明确、细化和量化。</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2"/>
          <w:sz w:val="32"/>
          <w:szCs w:val="32"/>
        </w:rPr>
        <w:t>2. 资金使用效益有待进一步提高。</w:t>
      </w:r>
      <w:r>
        <w:rPr>
          <w:rFonts w:hint="default" w:ascii="Times New Roman" w:hAnsi="Times New Roman" w:eastAsia="仿宋_GB2312" w:cs="Times New Roman"/>
          <w:sz w:val="32"/>
          <w:szCs w:val="32"/>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（三）相关建议。</w:t>
      </w:r>
    </w:p>
    <w:p>
      <w:pPr>
        <w:keepNext w:val="0"/>
        <w:keepLines w:val="0"/>
        <w:pageBreakBefore w:val="0"/>
        <w:widowControl w:val="0"/>
        <w:kinsoku/>
        <w:wordWrap/>
        <w:overflowPunct/>
        <w:topLinePunct w:val="0"/>
        <w:autoSpaceDE/>
        <w:autoSpaceDN/>
        <w:bidi w:val="0"/>
        <w:spacing w:line="560" w:lineRule="exact"/>
        <w:jc w:val="left"/>
        <w:textAlignment w:val="auto"/>
        <w:outlineLvl w:val="0"/>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加强业务培训，提高评价水平。绩效评价工作是一项长期性的工作，专业性强，工作量大，建议财政部门进一步加强开展部门领导及经办人员相关的政策、业务工作培训，组织开展部门之间单位之间的经验交流，切实推进绩效评价工作的开展。</w:t>
      </w:r>
    </w:p>
    <w:p>
      <w:pPr>
        <w:rPr>
          <w:rFonts w:hint="default" w:ascii="Times New Roman" w:hAnsi="Times New Roman" w:cs="Times New Roman"/>
        </w:rPr>
      </w:pPr>
      <w:r>
        <w:rPr>
          <w:rFonts w:hint="default" w:ascii="Times New Roman" w:hAnsi="Times New Roman" w:cs="Times New Roman"/>
        </w:rPr>
        <w:br w:type="page"/>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bCs/>
          <w:color w:val="auto"/>
          <w:kern w:val="2"/>
          <w:sz w:val="36"/>
          <w:szCs w:val="36"/>
          <w:shd w:val="clear" w:color="auto" w:fill="FFFFFF"/>
          <w:lang w:val="en-US"/>
        </w:rPr>
      </w:pPr>
      <w:r>
        <w:rPr>
          <w:rFonts w:hint="default" w:ascii="Times New Roman" w:hAnsi="Times New Roman" w:eastAsia="方正小标宋简体" w:cs="Times New Roman"/>
          <w:bCs/>
          <w:sz w:val="36"/>
          <w:szCs w:val="36"/>
          <w:shd w:val="clear" w:color="auto" w:fill="FFFFFF"/>
        </w:rPr>
        <w:t>202</w:t>
      </w:r>
      <w:r>
        <w:rPr>
          <w:rFonts w:hint="default" w:ascii="Times New Roman" w:hAnsi="Times New Roman" w:eastAsia="方正小标宋简体" w:cs="Times New Roman"/>
          <w:bCs/>
          <w:sz w:val="36"/>
          <w:szCs w:val="36"/>
          <w:shd w:val="clear" w:color="auto" w:fill="FFFFFF"/>
          <w:lang w:val="en-US" w:eastAsia="zh-CN"/>
        </w:rPr>
        <w:t>3</w:t>
      </w:r>
      <w:r>
        <w:rPr>
          <w:rFonts w:hint="default" w:ascii="Times New Roman" w:hAnsi="Times New Roman" w:eastAsia="方正小标宋简体" w:cs="Times New Roman"/>
          <w:bCs/>
          <w:sz w:val="36"/>
          <w:szCs w:val="36"/>
          <w:shd w:val="clear" w:color="auto" w:fill="FFFFFF"/>
        </w:rPr>
        <w:t>年基层组织活动和公共服务运行</w:t>
      </w:r>
      <w:r>
        <w:rPr>
          <w:rFonts w:hint="eastAsia" w:eastAsia="方正小标宋简体" w:cs="Times New Roman"/>
          <w:bCs/>
          <w:sz w:val="36"/>
          <w:szCs w:val="36"/>
          <w:shd w:val="clear" w:color="auto" w:fill="FFFFFF"/>
          <w:lang w:eastAsia="zh-CN"/>
        </w:rPr>
        <w:t>经营</w:t>
      </w:r>
      <w:r>
        <w:rPr>
          <w:rFonts w:hint="default" w:ascii="Times New Roman" w:hAnsi="Times New Roman" w:eastAsia="方正小标宋简体" w:cs="Times New Roman"/>
          <w:bCs/>
          <w:color w:val="auto"/>
          <w:kern w:val="2"/>
          <w:sz w:val="36"/>
          <w:szCs w:val="36"/>
          <w:shd w:val="clear" w:color="auto" w:fill="FFFFFF"/>
          <w:lang w:val="en-US"/>
        </w:rPr>
        <w:t>项目</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bCs/>
          <w:color w:val="auto"/>
          <w:kern w:val="2"/>
          <w:sz w:val="36"/>
          <w:szCs w:val="36"/>
          <w:shd w:val="clear" w:color="auto" w:fill="FFFFFF"/>
          <w:lang w:val="en-US"/>
        </w:rPr>
      </w:pPr>
      <w:r>
        <w:rPr>
          <w:rFonts w:hint="default" w:ascii="Times New Roman" w:hAnsi="Times New Roman" w:eastAsia="方正小标宋简体" w:cs="Times New Roman"/>
          <w:bCs/>
          <w:color w:val="auto"/>
          <w:kern w:val="2"/>
          <w:sz w:val="36"/>
          <w:szCs w:val="36"/>
          <w:shd w:val="clear" w:color="auto" w:fill="FFFFFF"/>
          <w:lang w:val="en-US"/>
        </w:rPr>
        <w:t>支出绩效自评报告</w:t>
      </w:r>
    </w:p>
    <w:p>
      <w:pPr>
        <w:pStyle w:val="2"/>
        <w:rPr>
          <w:rFonts w:hint="default"/>
          <w:lang w:val="en-US"/>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lang w:val="zh-CN"/>
        </w:rPr>
      </w:pPr>
      <w:r>
        <w:rPr>
          <w:rFonts w:hint="eastAsia" w:ascii="黑体" w:hAnsi="黑体" w:eastAsia="黑体" w:cs="黑体"/>
          <w:sz w:val="32"/>
          <w:szCs w:val="32"/>
        </w:rPr>
        <w:t>一、</w:t>
      </w:r>
      <w:r>
        <w:rPr>
          <w:rFonts w:hint="eastAsia" w:ascii="黑体" w:hAnsi="黑体" w:eastAsia="黑体" w:cs="黑体"/>
          <w:sz w:val="32"/>
          <w:szCs w:val="32"/>
          <w:lang w:val="zh-CN"/>
        </w:rPr>
        <w:t>项目概况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（一）项目基本情况。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1.项目主管单位：盐边县红果彝族乡人民政府</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项目主管单位牵头实施项目，对该资金加强资金管理，确保专款专用，不得挪作他用。</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2.项目立项、资金申报的依据。</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根据盐财资预〔2023〕5号文件下达2023年基层组织活动和公共服务运行经费35万元。</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3.资金管理办法制定情况，资金支持具体项目的条件，范围与支持方式概况。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该资金由县财政局下达预算到红果彝族乡人民政府进行核算。</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资金支付范围</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村（社区）公共服务建设、乡村基础设施，农村人居</w:t>
      </w:r>
      <w:r>
        <w:rPr>
          <w:rFonts w:hint="eastAsia" w:eastAsia="仿宋_GB2312" w:cs="Times New Roman"/>
          <w:sz w:val="32"/>
          <w:szCs w:val="32"/>
          <w:lang w:val="en-US" w:eastAsia="zh-CN"/>
        </w:rPr>
        <w:t>环境</w:t>
      </w:r>
      <w:r>
        <w:rPr>
          <w:rFonts w:hint="default" w:ascii="Times New Roman" w:hAnsi="Times New Roman" w:eastAsia="仿宋_GB2312" w:cs="Times New Roman"/>
          <w:sz w:val="32"/>
          <w:szCs w:val="32"/>
          <w:lang w:val="en-US" w:eastAsia="zh-CN"/>
        </w:rPr>
        <w:t>治理，乡村基本公共文化服务能力建设。</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4.资金分配的原则及考虑因素。</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合理安排工作经费，确保专款专用。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（二）项目绩效目标。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1.项目主要内容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用于村（社区）公共服务建设、乡村基础设施，农村人居</w:t>
      </w:r>
      <w:r>
        <w:rPr>
          <w:rFonts w:hint="eastAsia" w:eastAsia="仿宋_GB2312" w:cs="Times New Roman"/>
          <w:sz w:val="32"/>
          <w:szCs w:val="32"/>
          <w:lang w:val="en-US" w:eastAsia="zh-CN"/>
        </w:rPr>
        <w:t>环境</w:t>
      </w:r>
      <w:r>
        <w:rPr>
          <w:rFonts w:hint="default" w:ascii="Times New Roman" w:hAnsi="Times New Roman" w:eastAsia="仿宋_GB2312" w:cs="Times New Roman"/>
          <w:sz w:val="32"/>
          <w:szCs w:val="32"/>
          <w:lang w:val="en-US" w:eastAsia="zh-CN"/>
        </w:rPr>
        <w:t>治理，乡村基本公共文化服务能力建设。</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项目应实现的具体绩效目标：</w:t>
      </w:r>
      <w:r>
        <w:rPr>
          <w:rFonts w:hint="default" w:ascii="Times New Roman" w:hAnsi="Times New Roman" w:eastAsia="仿宋_GB2312" w:cs="Times New Roman"/>
          <w:sz w:val="32"/>
          <w:szCs w:val="32"/>
        </w:rPr>
        <w:t>制定了详细的实施进度计划，确保项目按时按质完成。</w:t>
      </w:r>
      <w:r>
        <w:rPr>
          <w:rFonts w:hint="default" w:ascii="Times New Roman" w:hAnsi="Times New Roman" w:eastAsia="仿宋_GB2312" w:cs="Times New Roman"/>
          <w:kern w:val="0"/>
          <w:sz w:val="32"/>
          <w:szCs w:val="32"/>
        </w:rPr>
        <w:t>年终决算时，纳入项目支出的资金</w:t>
      </w:r>
      <w:r>
        <w:rPr>
          <w:rFonts w:hint="default" w:ascii="Times New Roman" w:hAnsi="Times New Roman" w:eastAsia="仿宋_GB2312" w:cs="Times New Roman"/>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分析评价申报内容与实际相符，申报目标合理可行。</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（三）项目自评步骤及方法。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明确自评的重点，制定自评计划，确定自评目的和目标；自评过程中应保持客观的态度，确保自评能够真实反映项目状况并提供有价值的建议。</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（一）项目资金申报及批复情况。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盐财资预〔2023〕5号文件下达2023年基层组织活动和公共服务运行经费35万元。</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（二）资金计划、到位及使用情况（可用表格形式反映）。</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资金计划及到位：本项目资金计划为中央转移支付资金。截至评价时点，所有资金均已按照计划及时到位，资金到位率为100%。</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资金使用：严格按照项目资金管理办法使用资金，确保资金开支范围、标准及支付进度合规合法。同时，我们加强了对资金支付的监管和审核，确保资金支付与预算相符。</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（三）项目财务管理情况。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本项目建立了完善的财务管理制度，设置了专门的财务管理机构，确保项目资金的规范使用。会计核算及账务处理均按照相关规定进行，财务管理制度执行严格，财务处理及时，会计核算规范。</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项目组织管理架构清晰，实施流程规范。设置了专门的监管机构，对项目实施过程进行全程监管。</w:t>
      </w:r>
      <w:r>
        <w:rPr>
          <w:rFonts w:hint="eastAsia" w:eastAsia="仿宋_GB2312" w:cs="Times New Roman"/>
          <w:sz w:val="32"/>
          <w:szCs w:val="32"/>
          <w:lang w:eastAsia="zh-CN"/>
        </w:rPr>
        <w:t>政府</w:t>
      </w:r>
      <w:r>
        <w:rPr>
          <w:rFonts w:hint="default" w:ascii="Times New Roman" w:hAnsi="Times New Roman" w:eastAsia="仿宋_GB2312" w:cs="Times New Roman"/>
          <w:sz w:val="32"/>
          <w:szCs w:val="32"/>
        </w:rPr>
        <w:t>采购、项目公示等管理制度均得到严格执行。对于项目，也严格</w:t>
      </w:r>
      <w:r>
        <w:rPr>
          <w:rFonts w:hint="eastAsia" w:eastAsia="仿宋_GB2312" w:cs="Times New Roman"/>
          <w:sz w:val="32"/>
          <w:szCs w:val="32"/>
          <w:lang w:eastAsia="zh-CN"/>
        </w:rPr>
        <w:t>遵循</w:t>
      </w:r>
      <w:r>
        <w:rPr>
          <w:rFonts w:hint="default" w:ascii="Times New Roman" w:hAnsi="Times New Roman" w:eastAsia="仿宋_GB2312" w:cs="Times New Roman"/>
          <w:sz w:val="32"/>
          <w:szCs w:val="32"/>
        </w:rPr>
        <w:t>基本程序执行要求。</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eastAsia="黑体" w:cs="Times New Roman"/>
          <w:sz w:val="32"/>
          <w:szCs w:val="32"/>
          <w:lang w:val="zh-CN"/>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（一）项目完成情况。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en-US" w:eastAsia="zh-CN"/>
        </w:rPr>
        <w:t>（二）</w:t>
      </w:r>
      <w:r>
        <w:rPr>
          <w:rFonts w:hint="default" w:ascii="Times New Roman" w:hAnsi="Times New Roman" w:eastAsia="楷体" w:cs="Times New Roman"/>
          <w:b w:val="0"/>
          <w:bCs/>
          <w:sz w:val="32"/>
          <w:szCs w:val="32"/>
          <w:lang w:val="zh-CN"/>
        </w:rPr>
        <w:t>项目效益情况。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楷体" w:cs="Times New Roman"/>
          <w:b w:val="0"/>
          <w:bCs/>
          <w:sz w:val="32"/>
          <w:szCs w:val="32"/>
          <w:lang w:eastAsia="zh-CN"/>
        </w:rPr>
      </w:pPr>
      <w:r>
        <w:rPr>
          <w:rFonts w:hint="default" w:ascii="Times New Roman" w:hAnsi="Times New Roman" w:eastAsia="楷体" w:cs="Times New Roman"/>
          <w:b w:val="0"/>
          <w:bCs/>
          <w:sz w:val="32"/>
          <w:szCs w:val="32"/>
        </w:rPr>
        <w:t>（一）评价结论</w:t>
      </w:r>
      <w:r>
        <w:rPr>
          <w:rFonts w:hint="default" w:ascii="Times New Roman" w:hAnsi="Times New Roman" w:eastAsia="楷体" w:cs="Times New Roman"/>
          <w:b w:val="0"/>
          <w:bCs/>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初步评价，项目资金申报与项目实际相符；资金支出时间节点较为及时，不存在截留挪用专项资金的违规情况；资金支出按程序审批，合法、合规；资金使用目标明确，受益群体满意度较高，全面达到预期目标。</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楷体" w:cs="Times New Roman"/>
          <w:b/>
          <w:sz w:val="32"/>
          <w:szCs w:val="32"/>
          <w:lang w:eastAsia="zh-CN"/>
        </w:rPr>
      </w:pPr>
      <w:r>
        <w:rPr>
          <w:rFonts w:hint="default" w:ascii="Times New Roman" w:hAnsi="Times New Roman" w:eastAsia="楷体" w:cs="Times New Roman"/>
          <w:b w:val="0"/>
          <w:bCs/>
          <w:sz w:val="32"/>
          <w:szCs w:val="32"/>
        </w:rPr>
        <w:t>（二）存在的问题</w:t>
      </w:r>
      <w:r>
        <w:rPr>
          <w:rFonts w:hint="default" w:ascii="Times New Roman" w:hAnsi="Times New Roman" w:eastAsia="楷体" w:cs="Times New Roman"/>
          <w:b/>
          <w:sz w:val="32"/>
          <w:szCs w:val="32"/>
          <w:lang w:eastAsia="zh-CN"/>
        </w:rPr>
        <w:t>。</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1. 绩效目标设立不够明确、细化和量化。项目单位虽然设立了项目资金绩效目标，但目标不够明确、细化和量化。</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2"/>
          <w:sz w:val="32"/>
          <w:szCs w:val="32"/>
        </w:rPr>
        <w:t>2. 资金使用效益有待进一步提高。</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sz w:val="32"/>
          <w:szCs w:val="32"/>
          <w:lang w:val="zh-CN"/>
        </w:rPr>
      </w:pPr>
      <w:r>
        <w:rPr>
          <w:rFonts w:hint="default" w:ascii="Times New Roman" w:hAnsi="Times New Roman" w:eastAsia="楷体" w:cs="Times New Roman"/>
          <w:sz w:val="32"/>
          <w:szCs w:val="32"/>
          <w:lang w:val="zh-CN"/>
        </w:rPr>
        <w:t>（三）相关建议。</w:t>
      </w:r>
    </w:p>
    <w:p>
      <w:pPr>
        <w:keepNext w:val="0"/>
        <w:keepLines w:val="0"/>
        <w:pageBreakBefore w:val="0"/>
        <w:widowControl w:val="0"/>
        <w:kinsoku/>
        <w:wordWrap/>
        <w:overflowPunct/>
        <w:topLinePunct w:val="0"/>
        <w:autoSpaceDE/>
        <w:autoSpaceDN/>
        <w:bidi w:val="0"/>
        <w:spacing w:line="560" w:lineRule="exact"/>
        <w:jc w:val="center"/>
        <w:textAlignment w:val="auto"/>
        <w:outlineLvl w:val="0"/>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rPr>
        <w:t xml:space="preserve">  </w:t>
      </w:r>
      <w:r>
        <w:rPr>
          <w:rFonts w:hint="default" w:ascii="Times New Roman" w:hAnsi="Times New Roman" w:eastAsia="仿宋_GB2312" w:cs="Times New Roman"/>
          <w:kern w:val="2"/>
          <w:sz w:val="32"/>
          <w:szCs w:val="32"/>
        </w:rPr>
        <w:t>加强业务培训，提高评价水平。绩效评价工作是一项长期性的工作，专业性强，工作量大，建议财政部门进一步加强开展部门领导及经办人员相关的政策、业务工作培训，组织开展部门之间</w:t>
      </w:r>
    </w:p>
    <w:p>
      <w:pPr>
        <w:keepNext w:val="0"/>
        <w:keepLines w:val="0"/>
        <w:pageBreakBefore w:val="0"/>
        <w:widowControl w:val="0"/>
        <w:tabs>
          <w:tab w:val="center" w:pos="4482"/>
          <w:tab w:val="right" w:pos="8845"/>
        </w:tabs>
        <w:kinsoku/>
        <w:wordWrap/>
        <w:overflowPunct/>
        <w:topLinePunct w:val="0"/>
        <w:autoSpaceDE/>
        <w:autoSpaceDN/>
        <w:bidi w:val="0"/>
        <w:spacing w:line="560" w:lineRule="exact"/>
        <w:ind w:firstLine="640" w:firstLineChars="200"/>
        <w:jc w:val="left"/>
        <w:textAlignment w:val="auto"/>
        <w:outlineLvl w:val="0"/>
        <w:rPr>
          <w:rFonts w:hint="default" w:ascii="Times New Roman" w:hAnsi="Times New Roman" w:eastAsia="仿宋_GB2312" w:cs="Times New Roman"/>
          <w:kern w:val="2"/>
          <w:sz w:val="32"/>
          <w:szCs w:val="32"/>
          <w:lang w:eastAsia="zh-CN"/>
        </w:rPr>
      </w:pPr>
      <w:r>
        <w:rPr>
          <w:rFonts w:hint="default" w:ascii="Times New Roman" w:hAnsi="Times New Roman" w:eastAsia="仿宋_GB2312" w:cs="Times New Roman"/>
          <w:kern w:val="2"/>
          <w:sz w:val="32"/>
          <w:szCs w:val="32"/>
        </w:rPr>
        <w:t>单位之间的经验交流，切实推进绩效评价工作的开展。</w:t>
      </w:r>
      <w:r>
        <w:rPr>
          <w:rFonts w:hint="default" w:ascii="Times New Roman" w:hAnsi="Times New Roman" w:eastAsia="仿宋_GB2312" w:cs="Times New Roman"/>
          <w:kern w:val="2"/>
          <w:sz w:val="32"/>
          <w:szCs w:val="32"/>
          <w:lang w:eastAsia="zh-CN"/>
        </w:rPr>
        <w:tab/>
      </w:r>
    </w:p>
    <w:p>
      <w:pPr>
        <w:rPr>
          <w:rFonts w:hint="default" w:ascii="Times New Roman" w:hAnsi="Times New Roman" w:eastAsia="方正小标宋简体" w:cs="Times New Roman"/>
          <w:bCs/>
          <w:sz w:val="44"/>
          <w:szCs w:val="44"/>
          <w:shd w:val="clear" w:color="auto" w:fill="FFFFFF"/>
        </w:rPr>
      </w:pPr>
      <w:r>
        <w:rPr>
          <w:rFonts w:hint="default" w:ascii="Times New Roman" w:hAnsi="Times New Roman" w:eastAsia="方正小标宋简体" w:cs="Times New Roman"/>
          <w:bCs/>
          <w:sz w:val="44"/>
          <w:szCs w:val="44"/>
          <w:shd w:val="clear" w:color="auto" w:fill="FFFFFF"/>
        </w:rPr>
        <w:br w:type="page"/>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bCs/>
          <w:color w:val="auto"/>
          <w:kern w:val="2"/>
          <w:sz w:val="36"/>
          <w:szCs w:val="36"/>
          <w:shd w:val="clear" w:color="auto" w:fill="FFFFFF"/>
          <w:lang w:val="en-US"/>
        </w:rPr>
      </w:pPr>
      <w:r>
        <w:rPr>
          <w:rFonts w:hint="default" w:ascii="Times New Roman" w:hAnsi="Times New Roman" w:eastAsia="方正小标宋简体" w:cs="Times New Roman"/>
          <w:bCs/>
          <w:sz w:val="36"/>
          <w:szCs w:val="36"/>
          <w:shd w:val="clear" w:color="auto" w:fill="FFFFFF"/>
        </w:rPr>
        <w:t>2023年民族地区春节送温暖活动慰问金</w:t>
      </w:r>
      <w:r>
        <w:rPr>
          <w:rFonts w:hint="default" w:ascii="Times New Roman" w:hAnsi="Times New Roman" w:eastAsia="方正小标宋简体" w:cs="Times New Roman"/>
          <w:bCs/>
          <w:color w:val="auto"/>
          <w:kern w:val="2"/>
          <w:sz w:val="36"/>
          <w:szCs w:val="36"/>
          <w:shd w:val="clear" w:color="auto" w:fill="FFFFFF"/>
          <w:lang w:val="en-US"/>
        </w:rPr>
        <w:t>项目</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bCs/>
          <w:color w:val="auto"/>
          <w:kern w:val="2"/>
          <w:sz w:val="36"/>
          <w:szCs w:val="36"/>
          <w:shd w:val="clear" w:color="auto" w:fill="FFFFFF"/>
          <w:lang w:val="en-US"/>
        </w:rPr>
      </w:pPr>
      <w:r>
        <w:rPr>
          <w:rFonts w:hint="default" w:ascii="Times New Roman" w:hAnsi="Times New Roman" w:eastAsia="方正小标宋简体" w:cs="Times New Roman"/>
          <w:bCs/>
          <w:color w:val="auto"/>
          <w:kern w:val="2"/>
          <w:sz w:val="36"/>
          <w:szCs w:val="36"/>
          <w:shd w:val="clear" w:color="auto" w:fill="FFFFFF"/>
          <w:lang w:val="en-US"/>
        </w:rPr>
        <w:t>支出绩效自评报告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（一）项目基本情况。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lang w:val="zh-CN" w:eastAsia="zh-CN"/>
        </w:rPr>
      </w:pPr>
      <w:r>
        <w:rPr>
          <w:rFonts w:hint="default" w:ascii="Times New Roman" w:hAnsi="Times New Roman" w:eastAsia="黑体" w:cs="Times New Roman"/>
          <w:sz w:val="32"/>
          <w:szCs w:val="32"/>
          <w:lang w:val="en-US" w:eastAsia="zh-CN"/>
        </w:rPr>
        <w:t>一、</w:t>
      </w:r>
      <w:r>
        <w:rPr>
          <w:rFonts w:hint="default" w:ascii="Times New Roman" w:hAnsi="Times New Roman" w:eastAsia="黑体" w:cs="Times New Roman"/>
          <w:sz w:val="32"/>
          <w:szCs w:val="32"/>
          <w:lang w:val="zh-CN" w:eastAsia="zh-CN"/>
        </w:rPr>
        <w:t>项目概况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1.项目主管单位：盐边县红果彝族乡人民政府</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项目主管单位牵头实施项目，对该资金加强资金管理，确保专款专用，不得挪作他用。</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2.项目立项、资金申报的依据。</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根据盐财资行〔2023〕46号文件下达2023年民族地区春节送温暖活动慰问金2万元。</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3.资金管理办法制定情况，资金支持具体项目的条件，范围与支持方式概况。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该资金由县财政局下达预算到红果彝族乡人民政府进行核算。</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资金支付范围</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用</w:t>
      </w:r>
      <w:r>
        <w:rPr>
          <w:rFonts w:hint="default" w:ascii="Times New Roman" w:hAnsi="Times New Roman" w:eastAsia="方正仿宋_GBK" w:cs="Times New Roman"/>
          <w:color w:val="333333"/>
          <w:sz w:val="33"/>
          <w:szCs w:val="33"/>
          <w:shd w:val="clear" w:color="auto" w:fill="FFFFFF"/>
          <w:lang w:val="en-US" w:eastAsia="zh-CN"/>
        </w:rPr>
        <w:t>于春节送温暖活动。</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4.资金分配的原则及考虑因素。</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合理安排工作经费，确保专款专用。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（二）项目绩效目标。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1.项目主要内容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用</w:t>
      </w:r>
      <w:r>
        <w:rPr>
          <w:rFonts w:hint="default" w:ascii="Times New Roman" w:hAnsi="Times New Roman" w:eastAsia="方正仿宋_GBK" w:cs="Times New Roman"/>
          <w:color w:val="333333"/>
          <w:sz w:val="33"/>
          <w:szCs w:val="33"/>
          <w:shd w:val="clear" w:color="auto" w:fill="FFFFFF"/>
          <w:lang w:val="en-US" w:eastAsia="zh-CN"/>
        </w:rPr>
        <w:t>于春节送温暖活动。</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项目应实现的具体绩效目标：</w:t>
      </w:r>
      <w:r>
        <w:rPr>
          <w:rFonts w:hint="default" w:ascii="Times New Roman" w:hAnsi="Times New Roman" w:eastAsia="仿宋_GB2312" w:cs="Times New Roman"/>
          <w:sz w:val="32"/>
          <w:szCs w:val="32"/>
        </w:rPr>
        <w:t>制定了详细的实施进度计划，确保项目按时按质完成。</w:t>
      </w:r>
      <w:r>
        <w:rPr>
          <w:rFonts w:hint="default" w:ascii="Times New Roman" w:hAnsi="Times New Roman" w:eastAsia="仿宋_GB2312" w:cs="Times New Roman"/>
          <w:kern w:val="0"/>
          <w:sz w:val="32"/>
          <w:szCs w:val="32"/>
        </w:rPr>
        <w:t>年终决算时，纳入项目支出的资金</w:t>
      </w:r>
      <w:r>
        <w:rPr>
          <w:rFonts w:hint="default" w:ascii="Times New Roman" w:hAnsi="Times New Roman" w:eastAsia="仿宋_GB2312" w:cs="Times New Roman"/>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分析评价申报内容与实际相符，申报目标合理可行。</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（三）项目自评步骤及方法。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明确自评的重点，制定自评计划，确定自评目的和目标；自评过程中应保持客观的态度，确保自评能够真实反映项目状况并提供有价值的建议。</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（一）项目资金申报及批复情况。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根据盐财资行〔2023〕46号文件下达2023年民族地区春节送温暖活动慰问金。</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（二）资金计划、到位及使用情况（可用表格形式反映）。</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资金计划及到位：本项目资金计划为中央转移支付资金。截至评价时点，所有资金均已按照计划及时到位，资金到位率为100%。</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资金使用：严格按照项目资金管理办法使用资金，确保资金开支范围、标准及支付进度合规合法。同时，我们加强了对资金支付的监管和审核，确保资金支付与预算相符。</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（三）项目财务管理情况。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本项目建立了完善的财务管理制度，设置了专门的财务管理机构，确保项目资金的规范使用。会计核算及账务处理均按照相关规定进行，财务管理制度执行严格，财务处理及时，会计核算规范。</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项目组织管理架构清晰，实施流程规范。设置了专门的监管机构，对项目实施过程进行全程监管。</w:t>
      </w:r>
      <w:r>
        <w:rPr>
          <w:rFonts w:hint="eastAsia" w:eastAsia="仿宋_GB2312" w:cs="Times New Roman"/>
          <w:sz w:val="32"/>
          <w:szCs w:val="32"/>
          <w:lang w:eastAsia="zh-CN"/>
        </w:rPr>
        <w:t>政府</w:t>
      </w:r>
      <w:r>
        <w:rPr>
          <w:rFonts w:hint="default" w:ascii="Times New Roman" w:hAnsi="Times New Roman" w:eastAsia="仿宋_GB2312" w:cs="Times New Roman"/>
          <w:sz w:val="32"/>
          <w:szCs w:val="32"/>
        </w:rPr>
        <w:t>采购、项目公示等管理制度均得到严格执行。对于项目，也严格</w:t>
      </w:r>
      <w:r>
        <w:rPr>
          <w:rFonts w:hint="eastAsia" w:eastAsia="仿宋_GB2312" w:cs="Times New Roman"/>
          <w:sz w:val="32"/>
          <w:szCs w:val="32"/>
          <w:lang w:eastAsia="zh-CN"/>
        </w:rPr>
        <w:t>遵循</w:t>
      </w:r>
      <w:r>
        <w:rPr>
          <w:rFonts w:hint="default" w:ascii="Times New Roman" w:hAnsi="Times New Roman" w:eastAsia="仿宋_GB2312" w:cs="Times New Roman"/>
          <w:sz w:val="32"/>
          <w:szCs w:val="32"/>
        </w:rPr>
        <w:t>基本程序执行要求。</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eastAsia="黑体" w:cs="Times New Roman"/>
          <w:sz w:val="32"/>
          <w:szCs w:val="32"/>
          <w:lang w:val="zh-CN"/>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（一）项目完成情况。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en-US" w:eastAsia="zh-CN"/>
        </w:rPr>
        <w:t>（二）</w:t>
      </w:r>
      <w:r>
        <w:rPr>
          <w:rFonts w:hint="default" w:ascii="Times New Roman" w:hAnsi="Times New Roman" w:eastAsia="楷体" w:cs="Times New Roman"/>
          <w:b w:val="0"/>
          <w:bCs/>
          <w:sz w:val="32"/>
          <w:szCs w:val="32"/>
          <w:lang w:val="zh-CN"/>
        </w:rPr>
        <w:t>项目效益情况。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楷体" w:cs="Times New Roman"/>
          <w:b w:val="0"/>
          <w:bCs/>
          <w:sz w:val="32"/>
          <w:szCs w:val="32"/>
          <w:lang w:eastAsia="zh-CN"/>
        </w:rPr>
      </w:pPr>
      <w:r>
        <w:rPr>
          <w:rFonts w:hint="default" w:ascii="Times New Roman" w:hAnsi="Times New Roman" w:eastAsia="楷体" w:cs="Times New Roman"/>
          <w:b w:val="0"/>
          <w:bCs/>
          <w:sz w:val="32"/>
          <w:szCs w:val="32"/>
        </w:rPr>
        <w:t>（一）评价结论</w:t>
      </w:r>
      <w:r>
        <w:rPr>
          <w:rFonts w:hint="default" w:ascii="Times New Roman" w:hAnsi="Times New Roman" w:eastAsia="楷体" w:cs="Times New Roman"/>
          <w:b w:val="0"/>
          <w:bCs/>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初步评价，项目资金申报与项目实际相符；资金支出时间节点较为及时，不存在截留挪用专项资金的违规情况；资金支出按程序审批，合法、合规；资金使用目标明确，受益群体满意度较高，全面达到预期目标。</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楷体" w:cs="Times New Roman"/>
          <w:b w:val="0"/>
          <w:bCs/>
          <w:sz w:val="32"/>
          <w:szCs w:val="32"/>
          <w:lang w:eastAsia="zh-CN"/>
        </w:rPr>
      </w:pPr>
      <w:r>
        <w:rPr>
          <w:rFonts w:hint="default" w:ascii="Times New Roman" w:hAnsi="Times New Roman" w:eastAsia="楷体" w:cs="Times New Roman"/>
          <w:b w:val="0"/>
          <w:bCs/>
          <w:sz w:val="32"/>
          <w:szCs w:val="32"/>
        </w:rPr>
        <w:t>（二）存在的问题</w:t>
      </w:r>
      <w:r>
        <w:rPr>
          <w:rFonts w:hint="default" w:ascii="Times New Roman" w:hAnsi="Times New Roman" w:eastAsia="楷体" w:cs="Times New Roman"/>
          <w:b w:val="0"/>
          <w:bCs/>
          <w:sz w:val="32"/>
          <w:szCs w:val="32"/>
          <w:lang w:eastAsia="zh-CN"/>
        </w:rPr>
        <w:t>。</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1. 绩效目标设立不够明确、细化和量化。项目单位虽然设立了项目资金绩效目标，但目标不够明确、细化和量化。</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2"/>
          <w:sz w:val="32"/>
          <w:szCs w:val="32"/>
        </w:rPr>
        <w:t>2. 资金使用效益有待进一步提高。</w:t>
      </w:r>
      <w:r>
        <w:rPr>
          <w:rFonts w:hint="default" w:ascii="Times New Roman" w:hAnsi="Times New Roman" w:eastAsia="仿宋_GB2312" w:cs="Times New Roman"/>
          <w:sz w:val="32"/>
          <w:szCs w:val="32"/>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sz w:val="32"/>
          <w:szCs w:val="32"/>
          <w:lang w:val="zh-CN"/>
        </w:rPr>
      </w:pPr>
      <w:r>
        <w:rPr>
          <w:rFonts w:hint="default" w:ascii="Times New Roman" w:hAnsi="Times New Roman" w:eastAsia="楷体" w:cs="Times New Roman"/>
          <w:sz w:val="32"/>
          <w:szCs w:val="32"/>
          <w:lang w:val="zh-CN"/>
        </w:rPr>
        <w:t>（三）相关建议。</w:t>
      </w:r>
    </w:p>
    <w:p>
      <w:pPr>
        <w:keepNext w:val="0"/>
        <w:keepLines w:val="0"/>
        <w:pageBreakBefore w:val="0"/>
        <w:widowControl w:val="0"/>
        <w:kinsoku/>
        <w:wordWrap/>
        <w:overflowPunct/>
        <w:topLinePunct w:val="0"/>
        <w:autoSpaceDE/>
        <w:autoSpaceDN/>
        <w:bidi w:val="0"/>
        <w:spacing w:line="560" w:lineRule="exact"/>
        <w:jc w:val="left"/>
        <w:textAlignment w:val="auto"/>
        <w:outlineLvl w:val="0"/>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rPr>
        <w:t xml:space="preserve">  </w:t>
      </w:r>
      <w:r>
        <w:rPr>
          <w:rFonts w:hint="eastAsia" w:ascii="Times New Roman" w:hAnsi="Times New Roman" w:eastAsia="仿宋_GB2312" w:cs="Times New Roman"/>
          <w:kern w:val="2"/>
          <w:sz w:val="32"/>
          <w:szCs w:val="32"/>
          <w:lang w:val="en-US" w:eastAsia="zh-CN"/>
        </w:rPr>
        <w:t xml:space="preserve">  </w:t>
      </w:r>
      <w:r>
        <w:rPr>
          <w:rFonts w:hint="default" w:ascii="Times New Roman" w:hAnsi="Times New Roman" w:eastAsia="仿宋_GB2312" w:cs="Times New Roman"/>
          <w:kern w:val="2"/>
          <w:sz w:val="32"/>
          <w:szCs w:val="32"/>
        </w:rPr>
        <w:t>加强业务培训，提高评价水平。绩效评价工作是一项长期性的工作，专业性强，工作量大，建议财政部门进一步加强开展部门领导及经办人员相关的政策、业务工作培训，组织开展部门之间单位之间的经验交流，切实推进绩效评价工作的开展。</w:t>
      </w:r>
    </w:p>
    <w:p>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rPr>
      </w:pPr>
    </w:p>
    <w:p>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rPr>
      </w:pPr>
    </w:p>
    <w:p>
      <w:pPr>
        <w:rPr>
          <w:rFonts w:hint="default" w:ascii="Times New Roman" w:hAnsi="Times New Roman" w:eastAsia="方正小标宋简体" w:cs="Times New Roman"/>
          <w:bCs/>
          <w:sz w:val="44"/>
          <w:szCs w:val="44"/>
          <w:shd w:val="clear" w:color="auto" w:fill="FFFFFF"/>
        </w:rPr>
      </w:pPr>
      <w:r>
        <w:rPr>
          <w:rFonts w:hint="default" w:ascii="Times New Roman" w:hAnsi="Times New Roman" w:eastAsia="方正小标宋简体" w:cs="Times New Roman"/>
          <w:bCs/>
          <w:sz w:val="44"/>
          <w:szCs w:val="44"/>
          <w:shd w:val="clear" w:color="auto" w:fill="FFFFFF"/>
        </w:rPr>
        <w:br w:type="page"/>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Cs/>
          <w:sz w:val="36"/>
          <w:szCs w:val="36"/>
          <w:shd w:val="clear" w:color="auto" w:fill="FFFFFF"/>
        </w:rPr>
      </w:pPr>
      <w:r>
        <w:rPr>
          <w:rFonts w:hint="default" w:ascii="Times New Roman" w:hAnsi="Times New Roman" w:eastAsia="方正小标宋简体" w:cs="Times New Roman"/>
          <w:bCs/>
          <w:sz w:val="36"/>
          <w:szCs w:val="36"/>
          <w:shd w:val="clear" w:color="auto" w:fill="FFFFFF"/>
        </w:rPr>
        <w:t>2023年公共图书馆、美术馆、文化馆（站）</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Cs/>
          <w:sz w:val="36"/>
          <w:szCs w:val="36"/>
          <w:shd w:val="clear" w:color="auto" w:fill="FFFFFF"/>
        </w:rPr>
      </w:pPr>
      <w:r>
        <w:rPr>
          <w:rFonts w:hint="default" w:ascii="Times New Roman" w:hAnsi="Times New Roman" w:eastAsia="方正小标宋简体" w:cs="Times New Roman"/>
          <w:bCs/>
          <w:sz w:val="36"/>
          <w:szCs w:val="36"/>
          <w:shd w:val="clear" w:color="auto" w:fill="FFFFFF"/>
        </w:rPr>
        <w:t>免费开放中央补助资金</w:t>
      </w:r>
      <w:r>
        <w:rPr>
          <w:rFonts w:hint="default" w:ascii="Times New Roman" w:hAnsi="Times New Roman" w:eastAsia="方正小标宋简体" w:cs="Times New Roman"/>
          <w:bCs/>
          <w:color w:val="auto"/>
          <w:kern w:val="2"/>
          <w:sz w:val="36"/>
          <w:szCs w:val="36"/>
          <w:shd w:val="clear" w:color="auto" w:fill="FFFFFF"/>
          <w:lang w:val="en-US"/>
        </w:rPr>
        <w:t>项目支出绩效自评报告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（一）项目基本情况。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1.项目主管单位：盐边县红果彝族乡人民政府</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项目主管单位牵头实施项目，对该资金加强资金管理，确保专款专用，不得挪作他用。</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2.项目立项、资金申报的依据</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盐财资行〔2023〕246号下达2023年公共图书馆、美术馆、文化馆（站）免费开放中央补助资金（红果乡）2.6万元。</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3.资金管理办法制定情况，资金支持具体项目的条件，范围与支持方式概况。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该资金由县财政局下达预算到红果彝族乡人民政府进行核算。</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仿宋_GB2312" w:cs="Times New Roman"/>
          <w:kern w:val="2"/>
          <w:sz w:val="32"/>
          <w:szCs w:val="32"/>
          <w:lang w:val="zh-CN" w:eastAsia="zh-CN" w:bidi="ar-SA"/>
        </w:rPr>
      </w:pPr>
      <w:r>
        <w:rPr>
          <w:rFonts w:hint="default" w:ascii="Times New Roman" w:hAnsi="Times New Roman" w:eastAsia="仿宋_GB2312" w:cs="Times New Roman"/>
          <w:sz w:val="32"/>
          <w:szCs w:val="32"/>
          <w:lang w:val="en-US" w:eastAsia="zh-CN"/>
        </w:rPr>
        <w:t>资金支付范围</w:t>
      </w:r>
      <w:r>
        <w:rPr>
          <w:rFonts w:hint="eastAsia" w:eastAsia="仿宋_GB2312" w:cs="Times New Roman"/>
          <w:sz w:val="32"/>
          <w:szCs w:val="32"/>
          <w:lang w:val="en-US" w:eastAsia="zh-CN"/>
        </w:rPr>
        <w:t>：</w:t>
      </w:r>
      <w:r>
        <w:rPr>
          <w:rFonts w:hint="default" w:ascii="Times New Roman" w:hAnsi="Times New Roman" w:eastAsia="仿宋_GB2312" w:cs="Times New Roman"/>
          <w:kern w:val="2"/>
          <w:sz w:val="32"/>
          <w:szCs w:val="32"/>
          <w:lang w:val="zh-CN" w:eastAsia="zh-CN" w:bidi="ar-SA"/>
        </w:rPr>
        <w:t>本级乡管理员工资发放、图书馆水电及其维修、</w:t>
      </w:r>
      <w:r>
        <w:rPr>
          <w:rFonts w:hint="default" w:ascii="Times New Roman" w:hAnsi="Times New Roman" w:eastAsia="仿宋_GB2312" w:cs="Times New Roman"/>
          <w:kern w:val="2"/>
          <w:sz w:val="32"/>
          <w:szCs w:val="32"/>
          <w:lang w:val="en-US" w:eastAsia="zh-CN" w:bidi="ar-SA"/>
        </w:rPr>
        <w:t>开展活动等经费。</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4.资金分配的原则及考虑因素。</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合理安排工作经费，确保专款专用。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（二）项目绩效目标。</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1.项目主要内容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用</w:t>
      </w:r>
      <w:r>
        <w:rPr>
          <w:rFonts w:hint="default" w:ascii="Times New Roman" w:hAnsi="Times New Roman" w:eastAsia="方正仿宋_GBK" w:cs="Times New Roman"/>
          <w:color w:val="333333"/>
          <w:sz w:val="33"/>
          <w:szCs w:val="33"/>
          <w:shd w:val="clear" w:color="auto" w:fill="FFFFFF"/>
          <w:lang w:val="en-US" w:eastAsia="zh-CN"/>
        </w:rPr>
        <w:t>于</w:t>
      </w:r>
      <w:r>
        <w:rPr>
          <w:rFonts w:hint="default" w:ascii="Times New Roman" w:hAnsi="Times New Roman" w:eastAsia="仿宋_GB2312" w:cs="Times New Roman"/>
          <w:kern w:val="2"/>
          <w:sz w:val="32"/>
          <w:szCs w:val="32"/>
          <w:lang w:val="zh-CN" w:eastAsia="zh-CN" w:bidi="ar-SA"/>
        </w:rPr>
        <w:t>本级乡管理员工资发放、图书馆水电及其维修、</w:t>
      </w:r>
      <w:r>
        <w:rPr>
          <w:rFonts w:hint="default" w:ascii="Times New Roman" w:hAnsi="Times New Roman" w:eastAsia="仿宋_GB2312" w:cs="Times New Roman"/>
          <w:kern w:val="2"/>
          <w:sz w:val="32"/>
          <w:szCs w:val="32"/>
          <w:lang w:val="en-US" w:eastAsia="zh-CN" w:bidi="ar-SA"/>
        </w:rPr>
        <w:t>开展活动等经费。</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项目应实现的具体绩效目标：</w:t>
      </w:r>
      <w:r>
        <w:rPr>
          <w:rFonts w:hint="default" w:ascii="Times New Roman" w:hAnsi="Times New Roman" w:eastAsia="仿宋_GB2312" w:cs="Times New Roman"/>
          <w:sz w:val="32"/>
          <w:szCs w:val="32"/>
        </w:rPr>
        <w:t>制定了详细的实施进度计划，确保项目按时按质完成。</w:t>
      </w:r>
      <w:r>
        <w:rPr>
          <w:rFonts w:hint="default" w:ascii="Times New Roman" w:hAnsi="Times New Roman" w:eastAsia="仿宋_GB2312" w:cs="Times New Roman"/>
          <w:kern w:val="0"/>
          <w:sz w:val="32"/>
          <w:szCs w:val="32"/>
        </w:rPr>
        <w:t>年终决算时，纳入项目支出的资金</w:t>
      </w:r>
      <w:r>
        <w:rPr>
          <w:rFonts w:hint="default" w:ascii="Times New Roman" w:hAnsi="Times New Roman" w:eastAsia="仿宋_GB2312" w:cs="Times New Roman"/>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分析评价申报内容与实际相符，申报目标合理可行。</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（三）项目自评步骤及方法。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明确自评的重点，制定自评计划，确定自评目的和目标；自评过程中应保持客观的态度，确保自评能够真实反映项目状况并提供有价值的建议。</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（一）项目资金申报及批复情况。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盐财资行〔2023〕246号下达2023年公共图书馆、美术馆、文化馆（站）免费开放中央补助资金（红果乡）2.6万元。</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（二）资金计划、到位及使用情况（可用表格形式反映）。</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资金计划及到位：本项目资金计划为中央转移支付资金。截至评价时点，所有资金均已按照计划及时到位，资金到位率为100%。</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资金使用：严格按照项目资金管理办法使用资金，确保资金开支范围、标准及支付进度合规合法。同时，我们加强了对资金支付的监管和审核，确保资金支付与预算相符。</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（三）项目财务管理情况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本项目建立了完善的财务管理制度，设置了专门的财务管理机构，确保项目资金的规范使用。会计核算及账务处理均按照相关规定进行，财务管理制度执行严格，财务处理及时，会计核算规范。</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三、项目实施及管理情况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项目组织管理架构清晰，实施流程规范。设置了专门的监管机构，对项目实施过程进行全程监管。</w:t>
      </w:r>
      <w:r>
        <w:rPr>
          <w:rFonts w:hint="eastAsia" w:eastAsia="仿宋_GB2312" w:cs="Times New Roman"/>
          <w:b w:val="0"/>
          <w:bCs/>
          <w:sz w:val="32"/>
          <w:szCs w:val="32"/>
          <w:lang w:eastAsia="zh-CN"/>
        </w:rPr>
        <w:t>政府</w:t>
      </w:r>
      <w:r>
        <w:rPr>
          <w:rFonts w:hint="default" w:ascii="Times New Roman" w:hAnsi="Times New Roman" w:eastAsia="仿宋_GB2312" w:cs="Times New Roman"/>
          <w:b w:val="0"/>
          <w:bCs/>
          <w:sz w:val="32"/>
          <w:szCs w:val="32"/>
        </w:rPr>
        <w:t>采购、项目公示等管理制度均得到严格执行。对于项目，也严格</w:t>
      </w:r>
      <w:r>
        <w:rPr>
          <w:rFonts w:hint="eastAsia" w:eastAsia="仿宋_GB2312" w:cs="Times New Roman"/>
          <w:b w:val="0"/>
          <w:bCs/>
          <w:sz w:val="32"/>
          <w:szCs w:val="32"/>
          <w:lang w:eastAsia="zh-CN"/>
        </w:rPr>
        <w:t>遵循</w:t>
      </w:r>
      <w:r>
        <w:rPr>
          <w:rFonts w:hint="default" w:ascii="Times New Roman" w:hAnsi="Times New Roman" w:eastAsia="仿宋_GB2312" w:cs="Times New Roman"/>
          <w:b w:val="0"/>
          <w:bCs/>
          <w:sz w:val="32"/>
          <w:szCs w:val="32"/>
        </w:rPr>
        <w:t>基本程序执行要求。</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b w:val="0"/>
          <w:bCs/>
          <w:sz w:val="32"/>
          <w:szCs w:val="32"/>
          <w:lang w:val="zh-CN"/>
        </w:rPr>
      </w:pPr>
      <w:r>
        <w:rPr>
          <w:rFonts w:hint="default" w:ascii="Times New Roman" w:hAnsi="Times New Roman" w:eastAsia="黑体" w:cs="Times New Roman"/>
          <w:b w:val="0"/>
          <w:bCs/>
          <w:sz w:val="32"/>
          <w:szCs w:val="32"/>
        </w:rPr>
        <w:t>四、项目绩效情况</w:t>
      </w:r>
      <w:r>
        <w:rPr>
          <w:rFonts w:hint="default" w:ascii="Times New Roman" w:hAnsi="Times New Roman" w:eastAsia="黑体" w:cs="Times New Roman"/>
          <w:b w:val="0"/>
          <w:bCs/>
          <w:sz w:val="32"/>
          <w:szCs w:val="32"/>
          <w:lang w:val="zh-CN"/>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（一）项目完成情况。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en-US" w:eastAsia="zh-CN"/>
        </w:rPr>
        <w:t>（二）</w:t>
      </w:r>
      <w:r>
        <w:rPr>
          <w:rFonts w:hint="default" w:ascii="Times New Roman" w:hAnsi="Times New Roman" w:eastAsia="楷体" w:cs="Times New Roman"/>
          <w:b w:val="0"/>
          <w:bCs/>
          <w:sz w:val="32"/>
          <w:szCs w:val="32"/>
          <w:lang w:val="zh-CN"/>
        </w:rPr>
        <w:t>项目效益情况。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sz w:val="32"/>
          <w:szCs w:val="32"/>
        </w:rPr>
        <w:t>本</w:t>
      </w:r>
      <w:r>
        <w:rPr>
          <w:rFonts w:hint="default" w:ascii="Times New Roman" w:hAnsi="Times New Roman" w:eastAsia="仿宋_GB2312" w:cs="Times New Roman"/>
          <w:sz w:val="32"/>
          <w:szCs w:val="32"/>
        </w:rPr>
        <w:t>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楷体" w:cs="Times New Roman"/>
          <w:b w:val="0"/>
          <w:bCs/>
          <w:sz w:val="32"/>
          <w:szCs w:val="32"/>
          <w:lang w:eastAsia="zh-CN"/>
        </w:rPr>
      </w:pPr>
      <w:r>
        <w:rPr>
          <w:rFonts w:hint="default" w:ascii="Times New Roman" w:hAnsi="Times New Roman" w:eastAsia="楷体" w:cs="Times New Roman"/>
          <w:b w:val="0"/>
          <w:bCs/>
          <w:sz w:val="32"/>
          <w:szCs w:val="32"/>
        </w:rPr>
        <w:t>（一）评价结论</w:t>
      </w:r>
      <w:r>
        <w:rPr>
          <w:rFonts w:hint="default" w:ascii="Times New Roman" w:hAnsi="Times New Roman" w:eastAsia="楷体" w:cs="Times New Roman"/>
          <w:b w:val="0"/>
          <w:bCs/>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初步评价，项目资金申报与项目实际相符；资金支出时间节点较为及时，不存在截留挪用专项资金的违规情况；资金支出按程序审批，合法、合规；资金使用目标明确，受益群体满意度较高，全面达到预期目标。</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楷体" w:cs="Times New Roman"/>
          <w:b w:val="0"/>
          <w:bCs/>
          <w:sz w:val="32"/>
          <w:szCs w:val="32"/>
          <w:lang w:eastAsia="zh-CN"/>
        </w:rPr>
      </w:pPr>
      <w:r>
        <w:rPr>
          <w:rFonts w:hint="default" w:ascii="Times New Roman" w:hAnsi="Times New Roman" w:eastAsia="楷体" w:cs="Times New Roman"/>
          <w:b w:val="0"/>
          <w:bCs/>
          <w:sz w:val="32"/>
          <w:szCs w:val="32"/>
        </w:rPr>
        <w:t>（二）存在的问题</w:t>
      </w:r>
      <w:r>
        <w:rPr>
          <w:rFonts w:hint="default" w:ascii="Times New Roman" w:hAnsi="Times New Roman" w:eastAsia="楷体" w:cs="Times New Roman"/>
          <w:b w:val="0"/>
          <w:bCs/>
          <w:sz w:val="32"/>
          <w:szCs w:val="32"/>
          <w:lang w:eastAsia="zh-CN"/>
        </w:rPr>
        <w:t>。</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1. 绩效目标设立不够明确、细化和量化。项目单位虽然设立了项目资金绩效目标，但目标不够明确、细化和量化。</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2"/>
          <w:sz w:val="32"/>
          <w:szCs w:val="32"/>
        </w:rPr>
        <w:t>2. 资金使用效益有待进一步提高。</w:t>
      </w:r>
      <w:r>
        <w:rPr>
          <w:rFonts w:hint="default" w:ascii="Times New Roman" w:hAnsi="Times New Roman" w:eastAsia="仿宋_GB2312" w:cs="Times New Roman"/>
          <w:sz w:val="32"/>
          <w:szCs w:val="32"/>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 w:cs="Times New Roman"/>
          <w:sz w:val="32"/>
          <w:szCs w:val="32"/>
          <w:lang w:val="zh-CN"/>
        </w:rPr>
      </w:pPr>
      <w:r>
        <w:rPr>
          <w:rFonts w:hint="default" w:ascii="Times New Roman" w:hAnsi="Times New Roman" w:eastAsia="楷体" w:cs="Times New Roman"/>
          <w:sz w:val="32"/>
          <w:szCs w:val="32"/>
          <w:lang w:val="zh-CN"/>
        </w:rPr>
        <w:t>（三）相关建议。</w:t>
      </w:r>
    </w:p>
    <w:p>
      <w:pPr>
        <w:keepNext w:val="0"/>
        <w:keepLines w:val="0"/>
        <w:pageBreakBefore w:val="0"/>
        <w:widowControl w:val="0"/>
        <w:kinsoku/>
        <w:wordWrap/>
        <w:overflowPunct/>
        <w:topLinePunct w:val="0"/>
        <w:autoSpaceDE/>
        <w:autoSpaceDN/>
        <w:bidi w:val="0"/>
        <w:spacing w:line="560" w:lineRule="exact"/>
        <w:jc w:val="left"/>
        <w:textAlignment w:val="auto"/>
        <w:outlineLvl w:val="0"/>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rPr>
        <w:t xml:space="preserve">  </w:t>
      </w:r>
      <w:r>
        <w:rPr>
          <w:rFonts w:hint="eastAsia" w:ascii="Times New Roman" w:hAnsi="Times New Roman" w:eastAsia="仿宋_GB2312" w:cs="Times New Roman"/>
          <w:kern w:val="2"/>
          <w:sz w:val="32"/>
          <w:szCs w:val="32"/>
          <w:lang w:val="en-US" w:eastAsia="zh-CN"/>
        </w:rPr>
        <w:t xml:space="preserve">  </w:t>
      </w:r>
      <w:r>
        <w:rPr>
          <w:rFonts w:hint="default" w:ascii="Times New Roman" w:hAnsi="Times New Roman" w:eastAsia="仿宋_GB2312" w:cs="Times New Roman"/>
          <w:kern w:val="2"/>
          <w:sz w:val="32"/>
          <w:szCs w:val="32"/>
        </w:rPr>
        <w:t>加强业务培训，提高评价水平。绩效评价工作是一项长期性的工作，专业性强，工作量大，建议财政部门进一步加强开展部门领导及经办人员相关的政策、业务工作培训，组织开展部门之间单位之间的经验交流，切实推进绩效评价工作的开展。</w:t>
      </w:r>
    </w:p>
    <w:p>
      <w:pPr>
        <w:rPr>
          <w:rFonts w:hint="default" w:ascii="Times New Roman" w:hAnsi="Times New Roman" w:cs="Times New Roman"/>
        </w:rPr>
      </w:pPr>
      <w:r>
        <w:rPr>
          <w:rFonts w:hint="default" w:ascii="Times New Roman" w:hAnsi="Times New Roman" w:cs="Times New Roman"/>
        </w:rPr>
        <w:br w:type="page"/>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Cs/>
          <w:sz w:val="36"/>
          <w:szCs w:val="36"/>
          <w:shd w:val="clear" w:color="auto" w:fill="FFFFFF"/>
        </w:rPr>
      </w:pPr>
      <w:r>
        <w:rPr>
          <w:rFonts w:hint="default" w:ascii="Times New Roman" w:hAnsi="Times New Roman" w:eastAsia="方正小标宋简体" w:cs="Times New Roman"/>
          <w:bCs/>
          <w:sz w:val="36"/>
          <w:szCs w:val="36"/>
          <w:shd w:val="clear" w:color="auto" w:fill="FFFFFF"/>
        </w:rPr>
        <w:t>人大代表之家建设项目款</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Cs/>
          <w:sz w:val="36"/>
          <w:szCs w:val="36"/>
          <w:shd w:val="clear" w:color="auto" w:fill="FFFFFF"/>
        </w:rPr>
      </w:pPr>
      <w:r>
        <w:rPr>
          <w:rFonts w:hint="default" w:ascii="Times New Roman" w:hAnsi="Times New Roman" w:eastAsia="方正小标宋简体" w:cs="Times New Roman"/>
          <w:bCs/>
          <w:color w:val="auto"/>
          <w:kern w:val="2"/>
          <w:sz w:val="36"/>
          <w:szCs w:val="36"/>
          <w:shd w:val="clear" w:color="auto" w:fill="FFFFFF"/>
          <w:lang w:val="en-US"/>
        </w:rPr>
        <w:t>项目支出绩效自评报告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（一）项目基本情况。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1.项目主管单位：盐边县红果彝族乡人民政府</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项目主管单位牵头实施项目，对该资金加强资金管理，确保专款专用，不得挪作他用。</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2.项目立项、资金申报的依据</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根据盐财资行〔2023〕423号下达人大代表之家建设项目款4万元。</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3.资金管理办法制定情况，资金支持具体项目的条件，范围与支持方式概况。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该资金由县财政局下达预算到红果彝族乡人民政府进行核算。</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仿宋_GB2312" w:cs="Times New Roman"/>
          <w:kern w:val="2"/>
          <w:sz w:val="32"/>
          <w:szCs w:val="32"/>
          <w:lang w:val="zh-CN" w:eastAsia="zh-CN" w:bidi="ar-SA"/>
        </w:rPr>
      </w:pPr>
      <w:r>
        <w:rPr>
          <w:rFonts w:hint="default" w:ascii="Times New Roman" w:hAnsi="Times New Roman" w:eastAsia="仿宋_GB2312" w:cs="Times New Roman"/>
          <w:sz w:val="32"/>
          <w:szCs w:val="32"/>
          <w:lang w:val="en-US" w:eastAsia="zh-CN"/>
        </w:rPr>
        <w:t>资金支付范围</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zh-CN" w:eastAsia="zh-CN"/>
        </w:rPr>
        <w:t>建设</w:t>
      </w:r>
      <w:r>
        <w:rPr>
          <w:rFonts w:hint="default" w:ascii="Times New Roman" w:hAnsi="Times New Roman" w:eastAsia="仿宋_GB2312" w:cs="Times New Roman"/>
          <w:sz w:val="32"/>
          <w:szCs w:val="32"/>
          <w:lang w:val="en-US" w:eastAsia="zh-CN"/>
        </w:rPr>
        <w:t>一个人大代表之家和五个人大代表联络站，完善办公设备。</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4.资金分配的原则及考虑因素。</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合理安排工作经费，确保专款专用。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（二）项目绩效目标。</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仿宋_GB2312" w:cs="Times New Roman"/>
          <w:kern w:val="2"/>
          <w:sz w:val="32"/>
          <w:szCs w:val="32"/>
          <w:lang w:val="zh-CN" w:eastAsia="zh-CN" w:bidi="ar-SA"/>
        </w:rPr>
      </w:pPr>
      <w:r>
        <w:rPr>
          <w:rFonts w:hint="default" w:ascii="Times New Roman" w:hAnsi="Times New Roman" w:eastAsia="仿宋_GB2312" w:cs="Times New Roman"/>
          <w:sz w:val="32"/>
          <w:szCs w:val="32"/>
        </w:rPr>
        <w:t>1.项目主要内容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用</w:t>
      </w:r>
      <w:r>
        <w:rPr>
          <w:rFonts w:hint="default" w:ascii="Times New Roman" w:hAnsi="Times New Roman" w:eastAsia="方正仿宋_GBK" w:cs="Times New Roman"/>
          <w:color w:val="333333"/>
          <w:sz w:val="33"/>
          <w:szCs w:val="33"/>
          <w:shd w:val="clear" w:color="auto" w:fill="FFFFFF"/>
          <w:lang w:val="en-US" w:eastAsia="zh-CN"/>
        </w:rPr>
        <w:t>于</w:t>
      </w:r>
      <w:r>
        <w:rPr>
          <w:rFonts w:hint="default" w:ascii="Times New Roman" w:hAnsi="Times New Roman" w:eastAsia="仿宋_GB2312" w:cs="Times New Roman"/>
          <w:sz w:val="32"/>
          <w:szCs w:val="32"/>
          <w:lang w:val="zh-CN" w:eastAsia="zh-CN"/>
        </w:rPr>
        <w:t>建设</w:t>
      </w:r>
      <w:r>
        <w:rPr>
          <w:rFonts w:hint="default" w:ascii="Times New Roman" w:hAnsi="Times New Roman" w:eastAsia="仿宋_GB2312" w:cs="Times New Roman"/>
          <w:sz w:val="32"/>
          <w:szCs w:val="32"/>
          <w:lang w:val="en-US" w:eastAsia="zh-CN"/>
        </w:rPr>
        <w:t>一个人大代表之家和五个人大代表联络站，完善办公设备。</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项目应实现的具体绩效目标：</w:t>
      </w:r>
      <w:r>
        <w:rPr>
          <w:rFonts w:hint="default" w:ascii="Times New Roman" w:hAnsi="Times New Roman" w:eastAsia="仿宋_GB2312" w:cs="Times New Roman"/>
          <w:sz w:val="32"/>
          <w:szCs w:val="32"/>
        </w:rPr>
        <w:t>制定了详细的实施进度计划，确保项目按时按质完成。</w:t>
      </w:r>
      <w:r>
        <w:rPr>
          <w:rFonts w:hint="default" w:ascii="Times New Roman" w:hAnsi="Times New Roman" w:eastAsia="仿宋_GB2312" w:cs="Times New Roman"/>
          <w:kern w:val="0"/>
          <w:sz w:val="32"/>
          <w:szCs w:val="32"/>
        </w:rPr>
        <w:t>年终决算时，纳入项目支出的资金</w:t>
      </w:r>
      <w:r>
        <w:rPr>
          <w:rFonts w:hint="default" w:ascii="Times New Roman" w:hAnsi="Times New Roman" w:eastAsia="仿宋_GB2312" w:cs="Times New Roman"/>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分析评价申报内容与实际相符，申报目标合理可行。</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（三）项目自评步骤及方法。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明确自评的重点，制定自评计划，确定自评目的和目标；自评过程中应保持客观的态度，确保自评能够真实反映项目状况并提供有价值的建议。</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（一）项目资金申报及批复情况。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根据盐财资行【2023】423号下达人大代表之家建设项目款 。</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（二）资金计划、到位及使用情况（可用表格形式反映）。</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资金计划及到位：本项目资金计划为中央转移支付资金。截至评价时点，所有资金均已按照计划及时到位，资金到位率为100%。</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资金使用：严格按照项目资金管理办法使用资金，确保资金开支范围、标准及支付进度合规合法。同时，我们加强了对资金支付的监管和审核，确保资金支付与预算相符。</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（三）项目财务管理情况。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本项目建立了完善的财务管理制度，设置了专门的财务管理机构，确保项目资金的规范使用。会计核算及账务处理均按照相关规定进行，财务管理制度执行严格，财务处理及时，会计核算规范。</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项目组织管理架构清晰，实施流程规范。设置了专门的监管机构，对项目实施过程进行全程监管。</w:t>
      </w:r>
      <w:r>
        <w:rPr>
          <w:rFonts w:hint="eastAsia" w:eastAsia="仿宋_GB2312" w:cs="Times New Roman"/>
          <w:sz w:val="32"/>
          <w:szCs w:val="32"/>
          <w:lang w:eastAsia="zh-CN"/>
        </w:rPr>
        <w:t>政府</w:t>
      </w:r>
      <w:r>
        <w:rPr>
          <w:rFonts w:hint="default" w:ascii="Times New Roman" w:hAnsi="Times New Roman" w:eastAsia="仿宋_GB2312" w:cs="Times New Roman"/>
          <w:sz w:val="32"/>
          <w:szCs w:val="32"/>
        </w:rPr>
        <w:t>采购、项目公示等管理制度均得到严格执行。对于项目，也严格</w:t>
      </w:r>
      <w:r>
        <w:rPr>
          <w:rFonts w:hint="eastAsia" w:eastAsia="仿宋_GB2312" w:cs="Times New Roman"/>
          <w:sz w:val="32"/>
          <w:szCs w:val="32"/>
          <w:lang w:eastAsia="zh-CN"/>
        </w:rPr>
        <w:t>遵循</w:t>
      </w:r>
      <w:r>
        <w:rPr>
          <w:rFonts w:hint="default" w:ascii="Times New Roman" w:hAnsi="Times New Roman" w:eastAsia="仿宋_GB2312" w:cs="Times New Roman"/>
          <w:sz w:val="32"/>
          <w:szCs w:val="32"/>
        </w:rPr>
        <w:t>基本程序执行要求。</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eastAsia="黑体" w:cs="Times New Roman"/>
          <w:sz w:val="32"/>
          <w:szCs w:val="32"/>
          <w:lang w:val="zh-CN"/>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（一）项目完成情况。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en-US" w:eastAsia="zh-CN"/>
        </w:rPr>
        <w:t>（二）</w:t>
      </w:r>
      <w:r>
        <w:rPr>
          <w:rFonts w:hint="default" w:ascii="Times New Roman" w:hAnsi="Times New Roman" w:eastAsia="楷体" w:cs="Times New Roman"/>
          <w:b w:val="0"/>
          <w:bCs/>
          <w:sz w:val="32"/>
          <w:szCs w:val="32"/>
          <w:lang w:val="zh-CN"/>
        </w:rPr>
        <w:t>项目效益情况。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楷体" w:cs="Times New Roman"/>
          <w:b w:val="0"/>
          <w:bCs/>
          <w:sz w:val="32"/>
          <w:szCs w:val="32"/>
          <w:lang w:eastAsia="zh-CN"/>
        </w:rPr>
      </w:pPr>
      <w:r>
        <w:rPr>
          <w:rFonts w:hint="default" w:ascii="Times New Roman" w:hAnsi="Times New Roman" w:eastAsia="楷体" w:cs="Times New Roman"/>
          <w:b w:val="0"/>
          <w:bCs/>
          <w:sz w:val="32"/>
          <w:szCs w:val="32"/>
        </w:rPr>
        <w:t>（一）评价结论</w:t>
      </w:r>
      <w:r>
        <w:rPr>
          <w:rFonts w:hint="default" w:ascii="Times New Roman" w:hAnsi="Times New Roman" w:eastAsia="楷体" w:cs="Times New Roman"/>
          <w:b w:val="0"/>
          <w:bCs/>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初步评价，项目资金申报与项目实际相符；资金支出时间节点较为及时，不存在截留挪用专项资金的违规情况；资金支出按程序审批，合法、合规；资金使用目标明确，受益群体满意度较高，全面达到预期目标。</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楷体" w:cs="Times New Roman"/>
          <w:b w:val="0"/>
          <w:bCs/>
          <w:sz w:val="32"/>
          <w:szCs w:val="32"/>
          <w:lang w:eastAsia="zh-CN"/>
        </w:rPr>
      </w:pPr>
      <w:r>
        <w:rPr>
          <w:rFonts w:hint="default" w:ascii="Times New Roman" w:hAnsi="Times New Roman" w:eastAsia="楷体" w:cs="Times New Roman"/>
          <w:b w:val="0"/>
          <w:bCs/>
          <w:sz w:val="32"/>
          <w:szCs w:val="32"/>
        </w:rPr>
        <w:t>（二）存在的问题</w:t>
      </w:r>
      <w:r>
        <w:rPr>
          <w:rFonts w:hint="default" w:ascii="Times New Roman" w:hAnsi="Times New Roman" w:eastAsia="楷体" w:cs="Times New Roman"/>
          <w:b w:val="0"/>
          <w:bCs/>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1. 绩效目标设立不够明确、细化和量化。项目单位虽然设立了项目资金绩效目标，但目标不够明确、细化和量化。</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2"/>
          <w:sz w:val="32"/>
          <w:szCs w:val="32"/>
        </w:rPr>
        <w:t>2. 资金使用效益有待进一步提高。</w:t>
      </w:r>
      <w:r>
        <w:rPr>
          <w:rFonts w:hint="default" w:ascii="Times New Roman" w:hAnsi="Times New Roman" w:eastAsia="仿宋_GB2312" w:cs="Times New Roman"/>
          <w:sz w:val="32"/>
          <w:szCs w:val="32"/>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sz w:val="32"/>
          <w:szCs w:val="32"/>
          <w:lang w:val="zh-CN"/>
        </w:rPr>
      </w:pPr>
      <w:r>
        <w:rPr>
          <w:rFonts w:hint="default" w:ascii="Times New Roman" w:hAnsi="Times New Roman" w:eastAsia="楷体" w:cs="Times New Roman"/>
          <w:sz w:val="32"/>
          <w:szCs w:val="32"/>
          <w:lang w:val="zh-CN"/>
        </w:rPr>
        <w:t>（三）相关建议。</w:t>
      </w:r>
    </w:p>
    <w:p>
      <w:pPr>
        <w:keepNext w:val="0"/>
        <w:keepLines w:val="0"/>
        <w:pageBreakBefore w:val="0"/>
        <w:widowControl w:val="0"/>
        <w:kinsoku/>
        <w:wordWrap/>
        <w:overflowPunct/>
        <w:topLinePunct w:val="0"/>
        <w:autoSpaceDE/>
        <w:autoSpaceDN/>
        <w:bidi w:val="0"/>
        <w:spacing w:line="560" w:lineRule="exact"/>
        <w:jc w:val="left"/>
        <w:textAlignment w:val="auto"/>
        <w:outlineLvl w:val="0"/>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rPr>
        <w:t xml:space="preserve">  </w:t>
      </w:r>
      <w:r>
        <w:rPr>
          <w:rFonts w:hint="eastAsia" w:ascii="Times New Roman" w:hAnsi="Times New Roman" w:eastAsia="仿宋_GB2312" w:cs="Times New Roman"/>
          <w:kern w:val="2"/>
          <w:sz w:val="32"/>
          <w:szCs w:val="32"/>
          <w:lang w:val="en-US" w:eastAsia="zh-CN"/>
        </w:rPr>
        <w:t xml:space="preserve">  </w:t>
      </w:r>
      <w:r>
        <w:rPr>
          <w:rFonts w:hint="default" w:ascii="Times New Roman" w:hAnsi="Times New Roman" w:eastAsia="仿宋_GB2312" w:cs="Times New Roman"/>
          <w:kern w:val="2"/>
          <w:sz w:val="32"/>
          <w:szCs w:val="32"/>
        </w:rPr>
        <w:t>加强业务培训，提高评价水平。绩效评价工作是一项长期性的工作，专业性强，工作量大，建议财政部门进一步加强开展部门领导及经办人员相关的政策、业务工作培训，组织开展部门之间单位之间的经验交流，切实推进绩效评价工作的开展。</w:t>
      </w:r>
    </w:p>
    <w:p>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rPr>
      </w:pPr>
    </w:p>
    <w:p>
      <w:pPr>
        <w:pStyle w:val="2"/>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rPr>
      </w:pPr>
    </w:p>
    <w:p>
      <w:pPr>
        <w:rPr>
          <w:rFonts w:hint="default" w:ascii="Times New Roman" w:hAnsi="Times New Roman" w:eastAsia="黑体" w:cs="Times New Roman"/>
          <w:sz w:val="44"/>
          <w:szCs w:val="44"/>
        </w:rPr>
      </w:pPr>
      <w:r>
        <w:rPr>
          <w:rFonts w:hint="default" w:ascii="Times New Roman" w:hAnsi="Times New Roman" w:eastAsia="黑体" w:cs="Times New Roman"/>
          <w:sz w:val="44"/>
          <w:szCs w:val="44"/>
        </w:rPr>
        <w:br w:type="page"/>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Cs/>
          <w:sz w:val="36"/>
          <w:szCs w:val="36"/>
          <w:shd w:val="clear" w:color="auto" w:fill="FFFFFF"/>
        </w:rPr>
      </w:pPr>
      <w:r>
        <w:rPr>
          <w:rFonts w:hint="default" w:ascii="Times New Roman" w:hAnsi="Times New Roman" w:eastAsia="方正小标宋简体" w:cs="Times New Roman"/>
          <w:bCs/>
          <w:sz w:val="36"/>
          <w:szCs w:val="36"/>
          <w:shd w:val="clear" w:color="auto" w:fill="FFFFFF"/>
        </w:rPr>
        <w:t>2023年度驻村工作队专项工作经费</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Cs/>
          <w:color w:val="auto"/>
          <w:kern w:val="2"/>
          <w:sz w:val="36"/>
          <w:szCs w:val="36"/>
          <w:shd w:val="clear" w:color="auto" w:fill="FFFFFF"/>
          <w:lang w:val="en-US"/>
        </w:rPr>
      </w:pPr>
      <w:r>
        <w:rPr>
          <w:rFonts w:hint="default" w:ascii="Times New Roman" w:hAnsi="Times New Roman" w:eastAsia="方正小标宋简体" w:cs="Times New Roman"/>
          <w:bCs/>
          <w:color w:val="auto"/>
          <w:kern w:val="2"/>
          <w:sz w:val="36"/>
          <w:szCs w:val="36"/>
          <w:shd w:val="clear" w:color="auto" w:fill="FFFFFF"/>
          <w:lang w:val="en-US"/>
        </w:rPr>
        <w:t>项目支出绩效自评报告</w:t>
      </w:r>
    </w:p>
    <w:p>
      <w:pPr>
        <w:pStyle w:val="2"/>
        <w:rPr>
          <w:rFonts w:hint="default"/>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（一）项目基本情况。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1.项目主管单位：盐边县红果彝族乡人民政府</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项目主管单位牵头实施项目，对该资金加强资金管理，确保专款专用，不得挪作他用。</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2.项目立项、资金申报的依据</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根据盐财资行〔2023〕428号文件下达2023年度驻村工作队专项工作经费（红果乡）1.5万元。</w:t>
      </w:r>
    </w:p>
    <w:p>
      <w:pPr>
        <w:pStyle w:val="11"/>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3.资金管理办法制定情况，资金支持具体项目的条件，范围与支持方式概况。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该资金由县财政局下达预算到红果彝族乡人民政府进行核算。</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kern w:val="2"/>
          <w:sz w:val="32"/>
          <w:szCs w:val="32"/>
          <w:lang w:val="zh-CN" w:eastAsia="zh-CN" w:bidi="ar-SA"/>
        </w:rPr>
      </w:pPr>
      <w:r>
        <w:rPr>
          <w:rFonts w:hint="default" w:ascii="Times New Roman" w:hAnsi="Times New Roman" w:eastAsia="仿宋_GB2312" w:cs="Times New Roman"/>
          <w:sz w:val="32"/>
          <w:szCs w:val="32"/>
          <w:lang w:val="en-US" w:eastAsia="zh-CN"/>
        </w:rPr>
        <w:t>资金支付范围</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用于红果彝族乡驻村工作队考察调研、日常工作运行以及驻村期间</w:t>
      </w:r>
      <w:r>
        <w:rPr>
          <w:rFonts w:hint="default" w:ascii="Times New Roman" w:hAnsi="Times New Roman" w:cs="Times New Roman"/>
          <w:sz w:val="32"/>
          <w:szCs w:val="32"/>
          <w:lang w:val="en-US" w:eastAsia="zh-CN"/>
        </w:rPr>
        <w:t>经费</w:t>
      </w:r>
      <w:r>
        <w:rPr>
          <w:rFonts w:hint="default" w:ascii="Times New Roman" w:hAnsi="Times New Roman" w:cs="Times New Roman"/>
          <w:lang w:val="en-US" w:eastAsia="zh-CN"/>
        </w:rPr>
        <w:t>。</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4.资金分配的原则及考虑因素。</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合理安排工作经费，确保专款专用。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（二）项目绩效目标。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kern w:val="2"/>
          <w:sz w:val="32"/>
          <w:szCs w:val="32"/>
          <w:lang w:val="zh-CN" w:eastAsia="zh-CN" w:bidi="ar-SA"/>
        </w:rPr>
      </w:pPr>
      <w:r>
        <w:rPr>
          <w:rFonts w:hint="default" w:ascii="Times New Roman" w:hAnsi="Times New Roman" w:eastAsia="仿宋_GB2312" w:cs="Times New Roman"/>
          <w:sz w:val="32"/>
          <w:szCs w:val="32"/>
        </w:rPr>
        <w:t>1.项目主要内容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红果彝族乡驻村工作队考察调研、日常工作运行以及驻村期间</w:t>
      </w:r>
      <w:r>
        <w:rPr>
          <w:rFonts w:hint="default" w:ascii="Times New Roman" w:hAnsi="Times New Roman" w:cs="Times New Roman"/>
          <w:sz w:val="32"/>
          <w:szCs w:val="32"/>
          <w:lang w:val="en-US" w:eastAsia="zh-CN"/>
        </w:rPr>
        <w:t>经费</w:t>
      </w:r>
      <w:r>
        <w:rPr>
          <w:rFonts w:hint="default"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项目应实现的具体绩效目标：</w:t>
      </w:r>
      <w:r>
        <w:rPr>
          <w:rFonts w:hint="default" w:ascii="Times New Roman" w:hAnsi="Times New Roman" w:eastAsia="仿宋_GB2312" w:cs="Times New Roman"/>
          <w:sz w:val="32"/>
          <w:szCs w:val="32"/>
        </w:rPr>
        <w:t>制定了详细的实施进度计划，确保项目按时按质完成。</w:t>
      </w:r>
      <w:r>
        <w:rPr>
          <w:rFonts w:hint="default" w:ascii="Times New Roman" w:hAnsi="Times New Roman" w:eastAsia="仿宋_GB2312" w:cs="Times New Roman"/>
          <w:kern w:val="0"/>
          <w:sz w:val="32"/>
          <w:szCs w:val="32"/>
        </w:rPr>
        <w:t>年终决算时，纳入项目支出的资金</w:t>
      </w:r>
      <w:r>
        <w:rPr>
          <w:rFonts w:hint="default" w:ascii="Times New Roman" w:hAnsi="Times New Roman" w:eastAsia="仿宋_GB2312" w:cs="Times New Roman"/>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分析评价申报内容与实际相符，申报目标合理可行。</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（三）项目自评步骤及方法。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明确自评的重点，制定自评计划，确定自评目的和目标；自评过程中应保持客观的态度，确保自评能够真实反映项目状况并提供有价值的建议。</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（一）项目资金申报及批复情况。</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根据盐财资行〔2023〕428号文件下达2023年度驻村工作队专项工作经费</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（二）资金计划、到位及使用情况（可用表格形式反映）。</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资金计划及到位：本项目资金计划为中央转移支付资金。截至评价时点，所有资金均已按照计划及时到位，资金到位率为100%。</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资金使用：严格按照项目资金管理办法使用资金，确保资金开支范围、标准及支付进度合规合法。同时，我们加强了对资金支付的监管和审核，确保资金支付与预算相符。</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（三）项目财务管理情况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本项目建立了完善的财务管理制度，设置了专门的财务管理机构，确保项目资金的规范使用。会计核算及账务处理均按照相关规定进行，财务管理制度执行严格，财务处理及时，会计核算规范。</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项目组织管理架构清晰，实施流程规范。设置了专门的监管机构，对项目实施过程进行全程监管。</w:t>
      </w:r>
      <w:r>
        <w:rPr>
          <w:rFonts w:hint="eastAsia" w:eastAsia="仿宋_GB2312" w:cs="Times New Roman"/>
          <w:sz w:val="32"/>
          <w:szCs w:val="32"/>
          <w:lang w:eastAsia="zh-CN"/>
        </w:rPr>
        <w:t>政府</w:t>
      </w:r>
      <w:r>
        <w:rPr>
          <w:rFonts w:hint="default" w:ascii="Times New Roman" w:hAnsi="Times New Roman" w:eastAsia="仿宋_GB2312" w:cs="Times New Roman"/>
          <w:sz w:val="32"/>
          <w:szCs w:val="32"/>
        </w:rPr>
        <w:t>采购、项目公示等管理制度均得到严格执行。对于项目，也严格</w:t>
      </w:r>
      <w:r>
        <w:rPr>
          <w:rFonts w:hint="eastAsia" w:eastAsia="仿宋_GB2312" w:cs="Times New Roman"/>
          <w:sz w:val="32"/>
          <w:szCs w:val="32"/>
          <w:lang w:eastAsia="zh-CN"/>
        </w:rPr>
        <w:t>遵循</w:t>
      </w:r>
      <w:r>
        <w:rPr>
          <w:rFonts w:hint="default" w:ascii="Times New Roman" w:hAnsi="Times New Roman" w:eastAsia="仿宋_GB2312" w:cs="Times New Roman"/>
          <w:sz w:val="32"/>
          <w:szCs w:val="32"/>
        </w:rPr>
        <w:t>基本程序执行要求。</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eastAsia="黑体" w:cs="Times New Roman"/>
          <w:sz w:val="32"/>
          <w:szCs w:val="32"/>
          <w:lang w:val="zh-CN"/>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zh-CN"/>
        </w:rPr>
        <w:t>（一）项目完成情况。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 w:cs="Times New Roman"/>
          <w:b w:val="0"/>
          <w:bCs/>
          <w:sz w:val="32"/>
          <w:szCs w:val="32"/>
          <w:lang w:val="zh-CN"/>
        </w:rPr>
      </w:pPr>
      <w:r>
        <w:rPr>
          <w:rFonts w:hint="default" w:ascii="Times New Roman" w:hAnsi="Times New Roman" w:eastAsia="楷体" w:cs="Times New Roman"/>
          <w:b w:val="0"/>
          <w:bCs/>
          <w:sz w:val="32"/>
          <w:szCs w:val="32"/>
          <w:lang w:val="en-US" w:eastAsia="zh-CN"/>
        </w:rPr>
        <w:t>（二）</w:t>
      </w:r>
      <w:r>
        <w:rPr>
          <w:rFonts w:hint="default" w:ascii="Times New Roman" w:hAnsi="Times New Roman" w:eastAsia="楷体" w:cs="Times New Roman"/>
          <w:b w:val="0"/>
          <w:bCs/>
          <w:sz w:val="32"/>
          <w:szCs w:val="32"/>
          <w:lang w:val="zh-CN"/>
        </w:rPr>
        <w:t>项目效益情况。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本项目按照计划顺利推进，截至评价时点，已完成计划中的大部分任务量。在数量、质量、时效、成本等方面均达到了预期目标。项目资金结余情况合理，未出现违规记录。</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楷体" w:cs="Times New Roman"/>
          <w:b w:val="0"/>
          <w:bCs/>
          <w:sz w:val="32"/>
          <w:szCs w:val="32"/>
          <w:lang w:val="en-US" w:eastAsia="zh-CN"/>
        </w:rPr>
      </w:pPr>
      <w:r>
        <w:rPr>
          <w:rFonts w:hint="default" w:ascii="Times New Roman" w:hAnsi="Times New Roman" w:eastAsia="楷体" w:cs="Times New Roman"/>
          <w:b w:val="0"/>
          <w:bCs/>
          <w:sz w:val="32"/>
          <w:szCs w:val="32"/>
        </w:rPr>
        <w:t>（一）评价结论</w:t>
      </w:r>
      <w:r>
        <w:rPr>
          <w:rFonts w:hint="default" w:ascii="Times New Roman" w:hAnsi="Times New Roman" w:eastAsia="楷体" w:cs="Times New Roman"/>
          <w:b w:val="0"/>
          <w:bCs/>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初步评价，项目资金申报与项目实际相符；资金支出时间节点较为及时，不存在截留挪用专项资金的违规情况；资金支出按程序审批，合法、合规；资金使用目标明确，受益群体满意度较高，全面达到预期目标。</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楷体" w:cs="Times New Roman"/>
          <w:b w:val="0"/>
          <w:bCs/>
          <w:sz w:val="32"/>
          <w:szCs w:val="32"/>
        </w:rPr>
      </w:pPr>
      <w:r>
        <w:rPr>
          <w:rFonts w:hint="default" w:ascii="Times New Roman" w:hAnsi="Times New Roman" w:eastAsia="楷体" w:cs="Times New Roman"/>
          <w:b w:val="0"/>
          <w:bCs/>
          <w:sz w:val="32"/>
          <w:szCs w:val="32"/>
        </w:rPr>
        <w:t>（二）存在的问题</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1. 绩效目标设立不够明确、细化和量化。项目单位虽然设立了项目资金绩效目标，但目标不够明确、细化和量化。</w:t>
      </w:r>
    </w:p>
    <w:p>
      <w:pPr>
        <w:pStyle w:val="17"/>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2"/>
          <w:sz w:val="32"/>
          <w:szCs w:val="32"/>
        </w:rPr>
        <w:t>2. 资金使用效益有待进一步提高。</w:t>
      </w:r>
      <w:r>
        <w:rPr>
          <w:rFonts w:hint="default" w:ascii="Times New Roman" w:hAnsi="Times New Roman" w:eastAsia="仿宋_GB2312" w:cs="Times New Roman"/>
          <w:sz w:val="32"/>
          <w:szCs w:val="32"/>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楷体" w:cs="Times New Roman"/>
          <w:sz w:val="32"/>
          <w:szCs w:val="32"/>
          <w:lang w:val="zh-CN"/>
        </w:rPr>
      </w:pPr>
      <w:r>
        <w:rPr>
          <w:rFonts w:hint="default" w:ascii="Times New Roman" w:hAnsi="Times New Roman" w:eastAsia="楷体" w:cs="Times New Roman"/>
          <w:sz w:val="32"/>
          <w:szCs w:val="32"/>
          <w:lang w:val="zh-CN"/>
        </w:rPr>
        <w:t>（三）相关建议</w:t>
      </w:r>
    </w:p>
    <w:p>
      <w:pPr>
        <w:keepNext w:val="0"/>
        <w:keepLines w:val="0"/>
        <w:pageBreakBefore w:val="0"/>
        <w:widowControl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加强业务培训，提高评价水平。绩效评价工作是一项长期性的工作，专业性强，工作量大，建议财政部门进一步加强开展部门领导及经办人员相关的政策、业务工作培训，组织开展部门之间单位之间的经验交流，切实推进绩效评价工作的开展。</w:t>
      </w:r>
    </w:p>
    <w:p>
      <w:pPr>
        <w:rPr>
          <w:rStyle w:val="26"/>
          <w:rFonts w:hint="default" w:ascii="Times New Roman" w:hAnsi="Times New Roman" w:eastAsia="黑体" w:cs="Times New Roman"/>
          <w:b w:val="0"/>
          <w:lang w:eastAsia="zh-CN"/>
        </w:rPr>
      </w:pPr>
      <w:r>
        <w:rPr>
          <w:rStyle w:val="26"/>
          <w:rFonts w:hint="default" w:ascii="Times New Roman" w:hAnsi="Times New Roman" w:eastAsia="黑体" w:cs="Times New Roman"/>
          <w:b w:val="0"/>
          <w:lang w:eastAsia="zh-CN"/>
        </w:rPr>
        <w:br w:type="page"/>
      </w:r>
    </w:p>
    <w:p>
      <w:pPr>
        <w:keepNext w:val="0"/>
        <w:keepLines w:val="0"/>
        <w:pageBreakBefore w:val="0"/>
        <w:widowControl w:val="0"/>
        <w:numPr>
          <w:ilvl w:val="0"/>
          <w:numId w:val="0"/>
        </w:numPr>
        <w:kinsoku/>
        <w:wordWrap/>
        <w:overflowPunct/>
        <w:topLinePunct w:val="0"/>
        <w:autoSpaceDE/>
        <w:autoSpaceDN/>
        <w:bidi w:val="0"/>
        <w:spacing w:line="560" w:lineRule="exact"/>
        <w:ind w:leftChars="150"/>
        <w:jc w:val="center"/>
        <w:textAlignment w:val="auto"/>
        <w:outlineLvl w:val="0"/>
        <w:rPr>
          <w:rStyle w:val="26"/>
          <w:rFonts w:hint="eastAsia" w:ascii="方正小标宋简体" w:hAnsi="方正小标宋简体" w:eastAsia="方正小标宋简体" w:cs="方正小标宋简体"/>
          <w:b w:val="0"/>
        </w:rPr>
      </w:pPr>
      <w:r>
        <w:rPr>
          <w:rStyle w:val="26"/>
          <w:rFonts w:hint="eastAsia" w:ascii="方正小标宋简体" w:hAnsi="方正小标宋简体" w:eastAsia="方正小标宋简体" w:cs="方正小标宋简体"/>
          <w:b w:val="0"/>
          <w:lang w:eastAsia="zh-CN"/>
        </w:rPr>
        <w:t>第五部分</w:t>
      </w:r>
      <w:r>
        <w:rPr>
          <w:rStyle w:val="26"/>
          <w:rFonts w:hint="eastAsia" w:ascii="方正小标宋简体" w:hAnsi="方正小标宋简体" w:eastAsia="方正小标宋简体" w:cs="方正小标宋简体"/>
          <w:b w:val="0"/>
          <w:lang w:val="en-US" w:eastAsia="zh-CN"/>
        </w:rPr>
        <w:t xml:space="preserve">  </w:t>
      </w:r>
      <w:r>
        <w:rPr>
          <w:rStyle w:val="26"/>
          <w:rFonts w:hint="eastAsia" w:ascii="方正小标宋简体" w:hAnsi="方正小标宋简体" w:eastAsia="方正小标宋简体" w:cs="方正小标宋简体"/>
          <w:b w:val="0"/>
        </w:rPr>
        <w:t>附表</w:t>
      </w:r>
      <w:bookmarkEnd w:id="53"/>
      <w:bookmarkEnd w:id="58"/>
      <w:bookmarkStart w:id="59" w:name="_Toc15396619"/>
    </w:p>
    <w:p>
      <w:pPr>
        <w:keepNext w:val="0"/>
        <w:keepLines w:val="0"/>
        <w:pageBreakBefore w:val="0"/>
        <w:widowControl w:val="0"/>
        <w:numPr>
          <w:ilvl w:val="0"/>
          <w:numId w:val="0"/>
        </w:numPr>
        <w:kinsoku/>
        <w:wordWrap/>
        <w:overflowPunct/>
        <w:topLinePunct w:val="0"/>
        <w:autoSpaceDE/>
        <w:autoSpaceDN/>
        <w:bidi w:val="0"/>
        <w:spacing w:line="560" w:lineRule="exact"/>
        <w:ind w:leftChars="150"/>
        <w:jc w:val="both"/>
        <w:textAlignment w:val="auto"/>
        <w:outlineLvl w:val="0"/>
        <w:rPr>
          <w:rStyle w:val="26"/>
          <w:rFonts w:hint="default" w:ascii="Times New Roman" w:hAnsi="Times New Roman" w:eastAsia="黑体" w:cs="Times New Roman"/>
          <w:b w:val="0"/>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一、收入支出决算总表</w:t>
      </w:r>
      <w:bookmarkEnd w:id="59"/>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bookmarkStart w:id="60" w:name="_Toc15396620"/>
      <w:r>
        <w:rPr>
          <w:rFonts w:hint="default" w:ascii="Times New Roman" w:hAnsi="Times New Roman" w:eastAsia="仿宋_GB2312" w:cs="Times New Roman"/>
          <w:b w:val="0"/>
          <w:bCs w:val="0"/>
          <w:color w:val="auto"/>
          <w:sz w:val="32"/>
          <w:szCs w:val="32"/>
          <w:lang w:val="en-US" w:eastAsia="zh-CN"/>
        </w:rPr>
        <w:t>二、收入决算表</w:t>
      </w:r>
      <w:bookmarkEnd w:id="60"/>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bookmarkStart w:id="61" w:name="_Toc15396621"/>
      <w:r>
        <w:rPr>
          <w:rFonts w:hint="default" w:ascii="Times New Roman" w:hAnsi="Times New Roman" w:eastAsia="仿宋_GB2312" w:cs="Times New Roman"/>
          <w:b w:val="0"/>
          <w:bCs w:val="0"/>
          <w:color w:val="auto"/>
          <w:sz w:val="32"/>
          <w:szCs w:val="32"/>
          <w:lang w:val="en-US" w:eastAsia="zh-CN"/>
        </w:rPr>
        <w:t>三、支出决算表</w:t>
      </w:r>
      <w:bookmarkEnd w:id="61"/>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bookmarkStart w:id="62" w:name="_Toc15396622"/>
      <w:r>
        <w:rPr>
          <w:rFonts w:hint="default" w:ascii="Times New Roman" w:hAnsi="Times New Roman" w:eastAsia="仿宋_GB2312" w:cs="Times New Roman"/>
          <w:b w:val="0"/>
          <w:bCs w:val="0"/>
          <w:color w:val="auto"/>
          <w:sz w:val="32"/>
          <w:szCs w:val="32"/>
          <w:lang w:val="en-US" w:eastAsia="zh-CN"/>
        </w:rPr>
        <w:t>四、财政拨款收入支出决算总表</w:t>
      </w:r>
      <w:bookmarkEnd w:id="62"/>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bookmarkStart w:id="63" w:name="_Toc15396623"/>
      <w:r>
        <w:rPr>
          <w:rFonts w:hint="default" w:ascii="Times New Roman" w:hAnsi="Times New Roman" w:eastAsia="仿宋_GB2312" w:cs="Times New Roman"/>
          <w:b w:val="0"/>
          <w:bCs w:val="0"/>
          <w:color w:val="auto"/>
          <w:sz w:val="32"/>
          <w:szCs w:val="32"/>
          <w:lang w:val="en-US" w:eastAsia="zh-CN"/>
        </w:rPr>
        <w:t>五、财政拨款支出决算明细表</w:t>
      </w:r>
      <w:bookmarkEnd w:id="63"/>
      <w:bookmarkStart w:id="64" w:name="_Toc15396624"/>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六、一般公共预算财政拨款支出决算表</w:t>
      </w:r>
      <w:bookmarkEnd w:id="64"/>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bookmarkStart w:id="65" w:name="_Toc15396625"/>
      <w:r>
        <w:rPr>
          <w:rFonts w:hint="default" w:ascii="Times New Roman" w:hAnsi="Times New Roman" w:eastAsia="仿宋_GB2312" w:cs="Times New Roman"/>
          <w:b w:val="0"/>
          <w:bCs w:val="0"/>
          <w:color w:val="auto"/>
          <w:sz w:val="32"/>
          <w:szCs w:val="32"/>
          <w:lang w:val="en-US" w:eastAsia="zh-CN"/>
        </w:rPr>
        <w:t>七、一般公共预算财政拨款支出决算明细表</w:t>
      </w:r>
      <w:bookmarkEnd w:id="65"/>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bookmarkStart w:id="66" w:name="_Toc15396626"/>
      <w:r>
        <w:rPr>
          <w:rFonts w:hint="default" w:ascii="Times New Roman" w:hAnsi="Times New Roman" w:eastAsia="仿宋_GB2312" w:cs="Times New Roman"/>
          <w:b w:val="0"/>
          <w:bCs w:val="0"/>
          <w:color w:val="auto"/>
          <w:sz w:val="32"/>
          <w:szCs w:val="32"/>
          <w:lang w:val="en-US" w:eastAsia="zh-CN"/>
        </w:rPr>
        <w:t>八、一般公共预算财政拨款基本支出决算表</w:t>
      </w:r>
      <w:bookmarkEnd w:id="66"/>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bookmarkStart w:id="67" w:name="_Toc15396627"/>
      <w:r>
        <w:rPr>
          <w:rFonts w:hint="default" w:ascii="Times New Roman" w:hAnsi="Times New Roman" w:eastAsia="仿宋_GB2312" w:cs="Times New Roman"/>
          <w:b w:val="0"/>
          <w:bCs w:val="0"/>
          <w:color w:val="auto"/>
          <w:sz w:val="32"/>
          <w:szCs w:val="32"/>
          <w:lang w:val="en-US" w:eastAsia="zh-CN"/>
        </w:rPr>
        <w:t>九、一般公共预算财政拨款项目支出决算表</w:t>
      </w:r>
      <w:bookmarkEnd w:id="67"/>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bookmarkStart w:id="68" w:name="_Toc15396628"/>
      <w:r>
        <w:rPr>
          <w:rFonts w:hint="default" w:ascii="Times New Roman" w:hAnsi="Times New Roman" w:eastAsia="仿宋_GB2312" w:cs="Times New Roman"/>
          <w:b w:val="0"/>
          <w:bCs w:val="0"/>
          <w:color w:val="auto"/>
          <w:sz w:val="32"/>
          <w:szCs w:val="32"/>
          <w:lang w:val="en-US" w:eastAsia="zh-CN"/>
        </w:rPr>
        <w:t>十、</w:t>
      </w:r>
      <w:bookmarkEnd w:id="68"/>
      <w:r>
        <w:rPr>
          <w:rFonts w:hint="default" w:ascii="Times New Roman" w:hAnsi="Times New Roman" w:eastAsia="仿宋_GB2312" w:cs="Times New Roman"/>
          <w:b w:val="0"/>
          <w:bCs w:val="0"/>
          <w:color w:val="auto"/>
          <w:sz w:val="32"/>
          <w:szCs w:val="32"/>
          <w:lang w:val="en-US" w:eastAsia="zh-CN"/>
        </w:rPr>
        <w:t>政府性基金预算财政拨款收入支出决算表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bookmarkStart w:id="69" w:name="_Toc15396629"/>
      <w:r>
        <w:rPr>
          <w:rFonts w:hint="default" w:ascii="Times New Roman" w:hAnsi="Times New Roman" w:eastAsia="仿宋_GB2312" w:cs="Times New Roman"/>
          <w:b w:val="0"/>
          <w:bCs w:val="0"/>
          <w:color w:val="auto"/>
          <w:sz w:val="32"/>
          <w:szCs w:val="32"/>
          <w:lang w:val="en-US" w:eastAsia="zh-CN"/>
        </w:rPr>
        <w:t>十一、</w:t>
      </w:r>
      <w:bookmarkEnd w:id="69"/>
      <w:r>
        <w:rPr>
          <w:rFonts w:hint="default" w:ascii="Times New Roman" w:hAnsi="Times New Roman" w:eastAsia="仿宋_GB2312" w:cs="Times New Roman"/>
          <w:b w:val="0"/>
          <w:bCs w:val="0"/>
          <w:color w:val="auto"/>
          <w:sz w:val="32"/>
          <w:szCs w:val="32"/>
          <w:lang w:val="en-US" w:eastAsia="zh-CN"/>
        </w:rPr>
        <w:t>国有资本经营预算财政拨款收入支出决算表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bookmarkStart w:id="70" w:name="_Toc15396630"/>
      <w:r>
        <w:rPr>
          <w:rFonts w:hint="default" w:ascii="Times New Roman" w:hAnsi="Times New Roman" w:eastAsia="仿宋_GB2312" w:cs="Times New Roman"/>
          <w:b w:val="0"/>
          <w:bCs w:val="0"/>
          <w:color w:val="auto"/>
          <w:sz w:val="32"/>
          <w:szCs w:val="32"/>
          <w:lang w:val="en-US" w:eastAsia="zh-CN"/>
        </w:rPr>
        <w:t>十二、</w:t>
      </w:r>
      <w:bookmarkEnd w:id="70"/>
      <w:r>
        <w:rPr>
          <w:rFonts w:hint="default" w:ascii="Times New Roman" w:hAnsi="Times New Roman" w:eastAsia="仿宋_GB2312" w:cs="Times New Roman"/>
          <w:b w:val="0"/>
          <w:bCs w:val="0"/>
          <w:color w:val="auto"/>
          <w:sz w:val="32"/>
          <w:szCs w:val="32"/>
          <w:lang w:val="en-US" w:eastAsia="zh-CN"/>
        </w:rPr>
        <w:t>国有资本经营预算财政拨款支出决算表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bookmarkStart w:id="71" w:name="_Toc15396631"/>
      <w:r>
        <w:rPr>
          <w:rFonts w:hint="default" w:ascii="Times New Roman" w:hAnsi="Times New Roman" w:eastAsia="仿宋_GB2312" w:cs="Times New Roman"/>
          <w:b w:val="0"/>
          <w:bCs w:val="0"/>
          <w:color w:val="auto"/>
          <w:sz w:val="32"/>
          <w:szCs w:val="32"/>
          <w:lang w:val="en-US" w:eastAsia="zh-CN"/>
        </w:rPr>
        <w:t>十三、</w:t>
      </w:r>
      <w:bookmarkEnd w:id="71"/>
      <w:r>
        <w:rPr>
          <w:rFonts w:hint="default" w:ascii="Times New Roman" w:hAnsi="Times New Roman" w:eastAsia="仿宋_GB2312" w:cs="Times New Roman"/>
          <w:b w:val="0"/>
          <w:bCs w:val="0"/>
          <w:color w:val="auto"/>
          <w:sz w:val="32"/>
          <w:szCs w:val="32"/>
          <w:lang w:val="en-US" w:eastAsia="zh-CN"/>
        </w:rPr>
        <w:t>财政拨款“三公”经费支出决算表</w:t>
      </w:r>
    </w:p>
    <w:sectPr>
      <w:footerReference r:id="rId6" w:type="default"/>
      <w:pgSz w:w="11906" w:h="16838"/>
      <w:pgMar w:top="2098" w:right="1474" w:bottom="1984" w:left="1587"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方正楷体">
    <w:altName w:val="宋体"/>
    <w:panose1 w:val="03000509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WAAAAZHJzL1BLAQIU&#10;ABQAAAAIAIdO4kDOqXm5zwAAAAUBAAAPAAAAAAAAAAEAIAAAADgAAABkcnMvZG93bnJldi54bWxQ&#10;SwECFAAUAAAACACHTuJAZ480TrEBAABOAwAADgAAAAAAAAABACAAAAA0AQAAZHJzL2Uyb0RvYy54&#10;bWxQSwUGAAAAAAYABgBZAQAAVwUAAAAA&#10;">
              <v:fill on="f" focussize="0,0"/>
              <v:stroke on="f"/>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jc w:val="both"/>
                          </w:pP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WAAAAZHJzL1BLAQIU&#10;ABQAAAAIAIdO4kDOqXm5zwAAAAUBAAAPAAAAAAAAAAEAIAAAADgAAABkcnMvZG93bnJldi54bWxQ&#10;SwECFAAUAAAACACHTuJAdzeqibEBAABOAwAADgAAAAAAAAABACAAAAA0AQAAZHJzL2Uyb0RvYy54&#10;bWxQSwUGAAAAAAYABgBZAQAAVwUAAAAA&#10;">
              <v:fill on="f" focussize="0,0"/>
              <v:stroke on="f"/>
              <v:imagedata o:title=""/>
              <o:lock v:ext="edit" aspectratio="f"/>
              <v:textbox inset="0mm,0mm,0mm,0mm" style="mso-fit-shape-to-text:t;">
                <w:txbxContent>
                  <w:p>
                    <w:pPr>
                      <w:pStyle w:val="14"/>
                      <w:jc w:val="both"/>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4MGY1NjU5Zjg0MGEwZjI4NDFkMjhkZDM0NDU5YjMifQ=="/>
  </w:docVars>
  <w:rsids>
    <w:rsidRoot w:val="00172A27"/>
    <w:rsid w:val="000114CD"/>
    <w:rsid w:val="000142FB"/>
    <w:rsid w:val="0001685C"/>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21E4"/>
    <w:rsid w:val="000E6613"/>
    <w:rsid w:val="000E7119"/>
    <w:rsid w:val="00114E9B"/>
    <w:rsid w:val="00115EF5"/>
    <w:rsid w:val="00142216"/>
    <w:rsid w:val="00144D6A"/>
    <w:rsid w:val="0014729F"/>
    <w:rsid w:val="001502E8"/>
    <w:rsid w:val="00150700"/>
    <w:rsid w:val="00157BAB"/>
    <w:rsid w:val="001654D1"/>
    <w:rsid w:val="00174518"/>
    <w:rsid w:val="0018106D"/>
    <w:rsid w:val="001877A7"/>
    <w:rsid w:val="00191536"/>
    <w:rsid w:val="00196687"/>
    <w:rsid w:val="001C0962"/>
    <w:rsid w:val="001D7531"/>
    <w:rsid w:val="001E2D14"/>
    <w:rsid w:val="001E737D"/>
    <w:rsid w:val="001F0592"/>
    <w:rsid w:val="001F7506"/>
    <w:rsid w:val="002006CD"/>
    <w:rsid w:val="00202B36"/>
    <w:rsid w:val="00204B7A"/>
    <w:rsid w:val="00204CDE"/>
    <w:rsid w:val="0021101A"/>
    <w:rsid w:val="00217D7F"/>
    <w:rsid w:val="00220536"/>
    <w:rsid w:val="0022527F"/>
    <w:rsid w:val="0023195A"/>
    <w:rsid w:val="00235629"/>
    <w:rsid w:val="00260C38"/>
    <w:rsid w:val="002616C0"/>
    <w:rsid w:val="00265372"/>
    <w:rsid w:val="002662AA"/>
    <w:rsid w:val="00280496"/>
    <w:rsid w:val="00294DC9"/>
    <w:rsid w:val="00295495"/>
    <w:rsid w:val="002A31DE"/>
    <w:rsid w:val="002A66F7"/>
    <w:rsid w:val="002B2613"/>
    <w:rsid w:val="002B5CDD"/>
    <w:rsid w:val="002D6D05"/>
    <w:rsid w:val="002F1818"/>
    <w:rsid w:val="002F567B"/>
    <w:rsid w:val="003000F2"/>
    <w:rsid w:val="003216A9"/>
    <w:rsid w:val="00335A74"/>
    <w:rsid w:val="00336609"/>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3495"/>
    <w:rsid w:val="003D66DA"/>
    <w:rsid w:val="003E1310"/>
    <w:rsid w:val="003E6F55"/>
    <w:rsid w:val="00406254"/>
    <w:rsid w:val="004177BA"/>
    <w:rsid w:val="004223DE"/>
    <w:rsid w:val="00434489"/>
    <w:rsid w:val="00437085"/>
    <w:rsid w:val="00443880"/>
    <w:rsid w:val="004464F4"/>
    <w:rsid w:val="00471401"/>
    <w:rsid w:val="00473F31"/>
    <w:rsid w:val="0048263A"/>
    <w:rsid w:val="00487E5D"/>
    <w:rsid w:val="004A711F"/>
    <w:rsid w:val="004B199D"/>
    <w:rsid w:val="004B2AD7"/>
    <w:rsid w:val="004B4690"/>
    <w:rsid w:val="004D44EF"/>
    <w:rsid w:val="004E0A2D"/>
    <w:rsid w:val="004E206B"/>
    <w:rsid w:val="004E6DF7"/>
    <w:rsid w:val="004F0FBD"/>
    <w:rsid w:val="005016C4"/>
    <w:rsid w:val="00505A47"/>
    <w:rsid w:val="0051250D"/>
    <w:rsid w:val="00512E7D"/>
    <w:rsid w:val="00512FDA"/>
    <w:rsid w:val="00520DA0"/>
    <w:rsid w:val="00533F37"/>
    <w:rsid w:val="005664BB"/>
    <w:rsid w:val="00566FFA"/>
    <w:rsid w:val="0057481D"/>
    <w:rsid w:val="0058486E"/>
    <w:rsid w:val="00585B33"/>
    <w:rsid w:val="0059014D"/>
    <w:rsid w:val="0059083F"/>
    <w:rsid w:val="005B1663"/>
    <w:rsid w:val="005B5C64"/>
    <w:rsid w:val="005C5337"/>
    <w:rsid w:val="005C6BD0"/>
    <w:rsid w:val="005D1C8B"/>
    <w:rsid w:val="005D468D"/>
    <w:rsid w:val="005D5CED"/>
    <w:rsid w:val="005F1282"/>
    <w:rsid w:val="005F1A4C"/>
    <w:rsid w:val="00605688"/>
    <w:rsid w:val="006070AF"/>
    <w:rsid w:val="00607E6C"/>
    <w:rsid w:val="006101B1"/>
    <w:rsid w:val="006108B4"/>
    <w:rsid w:val="00614E44"/>
    <w:rsid w:val="0062270A"/>
    <w:rsid w:val="00622830"/>
    <w:rsid w:val="00623DA0"/>
    <w:rsid w:val="00630AEF"/>
    <w:rsid w:val="006325F8"/>
    <w:rsid w:val="00633463"/>
    <w:rsid w:val="00634C9A"/>
    <w:rsid w:val="00640DFF"/>
    <w:rsid w:val="00642FBC"/>
    <w:rsid w:val="006440E4"/>
    <w:rsid w:val="0066088A"/>
    <w:rsid w:val="0066343B"/>
    <w:rsid w:val="006634B0"/>
    <w:rsid w:val="00664777"/>
    <w:rsid w:val="00664781"/>
    <w:rsid w:val="0067464A"/>
    <w:rsid w:val="006748A4"/>
    <w:rsid w:val="00681A31"/>
    <w:rsid w:val="00683E73"/>
    <w:rsid w:val="006A3141"/>
    <w:rsid w:val="006A5E34"/>
    <w:rsid w:val="006B2422"/>
    <w:rsid w:val="006B2B9A"/>
    <w:rsid w:val="006B3E82"/>
    <w:rsid w:val="006C1937"/>
    <w:rsid w:val="006E66C8"/>
    <w:rsid w:val="006F020C"/>
    <w:rsid w:val="00704FFB"/>
    <w:rsid w:val="007127B7"/>
    <w:rsid w:val="0071798E"/>
    <w:rsid w:val="007239E0"/>
    <w:rsid w:val="007416B6"/>
    <w:rsid w:val="00746F48"/>
    <w:rsid w:val="00751E9B"/>
    <w:rsid w:val="007532E1"/>
    <w:rsid w:val="007536EF"/>
    <w:rsid w:val="0075404D"/>
    <w:rsid w:val="007540CD"/>
    <w:rsid w:val="0076182A"/>
    <w:rsid w:val="00767B7E"/>
    <w:rsid w:val="007770C3"/>
    <w:rsid w:val="00784D24"/>
    <w:rsid w:val="00785FBA"/>
    <w:rsid w:val="00786E4A"/>
    <w:rsid w:val="007875EB"/>
    <w:rsid w:val="0079426B"/>
    <w:rsid w:val="007D1682"/>
    <w:rsid w:val="007D312A"/>
    <w:rsid w:val="007D3F19"/>
    <w:rsid w:val="007E1BD0"/>
    <w:rsid w:val="007E23B0"/>
    <w:rsid w:val="007E23E5"/>
    <w:rsid w:val="007E4DD9"/>
    <w:rsid w:val="007F1991"/>
    <w:rsid w:val="007F2C2F"/>
    <w:rsid w:val="007F55FC"/>
    <w:rsid w:val="007F5665"/>
    <w:rsid w:val="00800112"/>
    <w:rsid w:val="00813348"/>
    <w:rsid w:val="008253BB"/>
    <w:rsid w:val="0083706E"/>
    <w:rsid w:val="008408F6"/>
    <w:rsid w:val="008423A5"/>
    <w:rsid w:val="00850625"/>
    <w:rsid w:val="008514B3"/>
    <w:rsid w:val="00853718"/>
    <w:rsid w:val="00855221"/>
    <w:rsid w:val="00855E97"/>
    <w:rsid w:val="00860645"/>
    <w:rsid w:val="00871F71"/>
    <w:rsid w:val="00872FD8"/>
    <w:rsid w:val="00885AF4"/>
    <w:rsid w:val="008939CD"/>
    <w:rsid w:val="008A27CD"/>
    <w:rsid w:val="008B11B1"/>
    <w:rsid w:val="008B768C"/>
    <w:rsid w:val="008C4DB1"/>
    <w:rsid w:val="008C4EAF"/>
    <w:rsid w:val="008C5176"/>
    <w:rsid w:val="008C6CA5"/>
    <w:rsid w:val="008C7FD0"/>
    <w:rsid w:val="008E1DE7"/>
    <w:rsid w:val="008E2216"/>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0F3F"/>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6480C"/>
    <w:rsid w:val="00B769CD"/>
    <w:rsid w:val="00B77EA6"/>
    <w:rsid w:val="00B81598"/>
    <w:rsid w:val="00B841F1"/>
    <w:rsid w:val="00B85074"/>
    <w:rsid w:val="00B90A81"/>
    <w:rsid w:val="00B944D6"/>
    <w:rsid w:val="00BB2D1A"/>
    <w:rsid w:val="00BB4DF0"/>
    <w:rsid w:val="00BC289F"/>
    <w:rsid w:val="00BC2D50"/>
    <w:rsid w:val="00BC5361"/>
    <w:rsid w:val="00BC5460"/>
    <w:rsid w:val="00BC6B50"/>
    <w:rsid w:val="00BD0E25"/>
    <w:rsid w:val="00BE083A"/>
    <w:rsid w:val="00BE19C8"/>
    <w:rsid w:val="00BE3A3D"/>
    <w:rsid w:val="00BF1BD2"/>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B78"/>
    <w:rsid w:val="00CB4E70"/>
    <w:rsid w:val="00CC09B6"/>
    <w:rsid w:val="00CC666F"/>
    <w:rsid w:val="00CD1933"/>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83846"/>
    <w:rsid w:val="00D85A6D"/>
    <w:rsid w:val="00DA1812"/>
    <w:rsid w:val="00DA634F"/>
    <w:rsid w:val="00DA65AC"/>
    <w:rsid w:val="00DB1913"/>
    <w:rsid w:val="00DC410D"/>
    <w:rsid w:val="00DC5A81"/>
    <w:rsid w:val="00DC68CA"/>
    <w:rsid w:val="00DC7CBA"/>
    <w:rsid w:val="00DD73B7"/>
    <w:rsid w:val="00DF18A3"/>
    <w:rsid w:val="00DF28BC"/>
    <w:rsid w:val="00DF34B9"/>
    <w:rsid w:val="00DF49F1"/>
    <w:rsid w:val="00E01053"/>
    <w:rsid w:val="00E06220"/>
    <w:rsid w:val="00E07ACF"/>
    <w:rsid w:val="00E331A1"/>
    <w:rsid w:val="00E33202"/>
    <w:rsid w:val="00E336A9"/>
    <w:rsid w:val="00E472B1"/>
    <w:rsid w:val="00E50624"/>
    <w:rsid w:val="00E5174E"/>
    <w:rsid w:val="00E568DF"/>
    <w:rsid w:val="00E64269"/>
    <w:rsid w:val="00E82267"/>
    <w:rsid w:val="00E853CE"/>
    <w:rsid w:val="00E867B6"/>
    <w:rsid w:val="00E91D7D"/>
    <w:rsid w:val="00EA010F"/>
    <w:rsid w:val="00EA594A"/>
    <w:rsid w:val="00EB316C"/>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C2148"/>
    <w:rsid w:val="00FD3CC1"/>
    <w:rsid w:val="00FE489D"/>
    <w:rsid w:val="00FF1E02"/>
    <w:rsid w:val="00FF30B4"/>
    <w:rsid w:val="011C1157"/>
    <w:rsid w:val="014B6D5B"/>
    <w:rsid w:val="015975B8"/>
    <w:rsid w:val="01675D7B"/>
    <w:rsid w:val="01A50E03"/>
    <w:rsid w:val="01D75FBC"/>
    <w:rsid w:val="02026EC1"/>
    <w:rsid w:val="02143E91"/>
    <w:rsid w:val="02206A1B"/>
    <w:rsid w:val="02462013"/>
    <w:rsid w:val="024A60CD"/>
    <w:rsid w:val="02825FC8"/>
    <w:rsid w:val="02841E05"/>
    <w:rsid w:val="02891CA9"/>
    <w:rsid w:val="02976123"/>
    <w:rsid w:val="02985105"/>
    <w:rsid w:val="029F70A9"/>
    <w:rsid w:val="02AC3A85"/>
    <w:rsid w:val="02BA00A8"/>
    <w:rsid w:val="02EA2BC5"/>
    <w:rsid w:val="034E3F21"/>
    <w:rsid w:val="035426D2"/>
    <w:rsid w:val="03C015EF"/>
    <w:rsid w:val="04194A40"/>
    <w:rsid w:val="04520A89"/>
    <w:rsid w:val="04A31E1A"/>
    <w:rsid w:val="0507679F"/>
    <w:rsid w:val="05354330"/>
    <w:rsid w:val="05D624CA"/>
    <w:rsid w:val="05E612AA"/>
    <w:rsid w:val="060F656B"/>
    <w:rsid w:val="066E0107"/>
    <w:rsid w:val="0677454B"/>
    <w:rsid w:val="06B658D6"/>
    <w:rsid w:val="079254F2"/>
    <w:rsid w:val="07996F6E"/>
    <w:rsid w:val="07A45F5C"/>
    <w:rsid w:val="07AB6421"/>
    <w:rsid w:val="08E52971"/>
    <w:rsid w:val="08FE075C"/>
    <w:rsid w:val="09435C48"/>
    <w:rsid w:val="09551463"/>
    <w:rsid w:val="096C2825"/>
    <w:rsid w:val="09A35F7E"/>
    <w:rsid w:val="09BE3DF6"/>
    <w:rsid w:val="0A2032A3"/>
    <w:rsid w:val="0A2950D3"/>
    <w:rsid w:val="0A7E6EF0"/>
    <w:rsid w:val="0ADD0B1A"/>
    <w:rsid w:val="0ADD3762"/>
    <w:rsid w:val="0ADE415B"/>
    <w:rsid w:val="0ADE6941"/>
    <w:rsid w:val="0AEC3C80"/>
    <w:rsid w:val="0AF104CB"/>
    <w:rsid w:val="0B2970F5"/>
    <w:rsid w:val="0B412F3C"/>
    <w:rsid w:val="0B58535A"/>
    <w:rsid w:val="0B5C42EC"/>
    <w:rsid w:val="0B851EEA"/>
    <w:rsid w:val="0BAD292A"/>
    <w:rsid w:val="0C066198"/>
    <w:rsid w:val="0C515C30"/>
    <w:rsid w:val="0C5B1D18"/>
    <w:rsid w:val="0C6674D0"/>
    <w:rsid w:val="0C743BDD"/>
    <w:rsid w:val="0CEC1B76"/>
    <w:rsid w:val="0CFD374E"/>
    <w:rsid w:val="0D0A3B3A"/>
    <w:rsid w:val="0D0B73EC"/>
    <w:rsid w:val="0D4B19C0"/>
    <w:rsid w:val="0D7A0C2E"/>
    <w:rsid w:val="0DB630F0"/>
    <w:rsid w:val="0DE4590F"/>
    <w:rsid w:val="0DF006DB"/>
    <w:rsid w:val="0DF23F84"/>
    <w:rsid w:val="0E0E7564"/>
    <w:rsid w:val="0E4D2760"/>
    <w:rsid w:val="0EE4523A"/>
    <w:rsid w:val="0F0C72AB"/>
    <w:rsid w:val="0F98263C"/>
    <w:rsid w:val="0FC36079"/>
    <w:rsid w:val="0FD151E1"/>
    <w:rsid w:val="0FE65638"/>
    <w:rsid w:val="101860EC"/>
    <w:rsid w:val="101A5494"/>
    <w:rsid w:val="10B75B78"/>
    <w:rsid w:val="10C055FF"/>
    <w:rsid w:val="10D11F17"/>
    <w:rsid w:val="10ED0C1C"/>
    <w:rsid w:val="111B2985"/>
    <w:rsid w:val="11452710"/>
    <w:rsid w:val="118107EC"/>
    <w:rsid w:val="1184542E"/>
    <w:rsid w:val="11C30780"/>
    <w:rsid w:val="11E6750D"/>
    <w:rsid w:val="11F44FC5"/>
    <w:rsid w:val="1215772D"/>
    <w:rsid w:val="12204209"/>
    <w:rsid w:val="12EC6568"/>
    <w:rsid w:val="130A3DDF"/>
    <w:rsid w:val="131A39F5"/>
    <w:rsid w:val="132C3952"/>
    <w:rsid w:val="135078FC"/>
    <w:rsid w:val="137E7520"/>
    <w:rsid w:val="138843B8"/>
    <w:rsid w:val="13D50BC4"/>
    <w:rsid w:val="1420314C"/>
    <w:rsid w:val="1488420A"/>
    <w:rsid w:val="14D35913"/>
    <w:rsid w:val="14EB0149"/>
    <w:rsid w:val="15080790"/>
    <w:rsid w:val="15294DAA"/>
    <w:rsid w:val="15433B1E"/>
    <w:rsid w:val="15AB5027"/>
    <w:rsid w:val="160F2E65"/>
    <w:rsid w:val="163A525E"/>
    <w:rsid w:val="166C2CFE"/>
    <w:rsid w:val="169B121F"/>
    <w:rsid w:val="16AE3590"/>
    <w:rsid w:val="16BB723D"/>
    <w:rsid w:val="1703043A"/>
    <w:rsid w:val="17390138"/>
    <w:rsid w:val="176B19A0"/>
    <w:rsid w:val="17710791"/>
    <w:rsid w:val="17823B7B"/>
    <w:rsid w:val="17A001D6"/>
    <w:rsid w:val="17CA7741"/>
    <w:rsid w:val="17EE7CE4"/>
    <w:rsid w:val="17FB55A4"/>
    <w:rsid w:val="181774D6"/>
    <w:rsid w:val="1819081C"/>
    <w:rsid w:val="185A59A6"/>
    <w:rsid w:val="187C0E65"/>
    <w:rsid w:val="18A31077"/>
    <w:rsid w:val="18C15156"/>
    <w:rsid w:val="190F4E21"/>
    <w:rsid w:val="19A216E8"/>
    <w:rsid w:val="19D6109A"/>
    <w:rsid w:val="1A035202"/>
    <w:rsid w:val="1A7C7BD6"/>
    <w:rsid w:val="1A802DEA"/>
    <w:rsid w:val="1ACA47D5"/>
    <w:rsid w:val="1AFF2B66"/>
    <w:rsid w:val="1B0C396F"/>
    <w:rsid w:val="1B3C701D"/>
    <w:rsid w:val="1B3F4F8F"/>
    <w:rsid w:val="1B4B2C9E"/>
    <w:rsid w:val="1B817C0F"/>
    <w:rsid w:val="1B8B4BDF"/>
    <w:rsid w:val="1BBE6AC1"/>
    <w:rsid w:val="1BD24175"/>
    <w:rsid w:val="1BE8440E"/>
    <w:rsid w:val="1BFD58B1"/>
    <w:rsid w:val="1C2161EF"/>
    <w:rsid w:val="1C55204B"/>
    <w:rsid w:val="1C616D44"/>
    <w:rsid w:val="1C7871BD"/>
    <w:rsid w:val="1C8A19F1"/>
    <w:rsid w:val="1C8D2AD4"/>
    <w:rsid w:val="1CBE26A2"/>
    <w:rsid w:val="1CC347BD"/>
    <w:rsid w:val="1CC82F2E"/>
    <w:rsid w:val="1CF114C5"/>
    <w:rsid w:val="1D155CEE"/>
    <w:rsid w:val="1D3E2050"/>
    <w:rsid w:val="1D485411"/>
    <w:rsid w:val="1D4D364E"/>
    <w:rsid w:val="1D721D0C"/>
    <w:rsid w:val="1D723C5B"/>
    <w:rsid w:val="1D8A74E7"/>
    <w:rsid w:val="1D8D04D9"/>
    <w:rsid w:val="1DDD4EAC"/>
    <w:rsid w:val="1E132802"/>
    <w:rsid w:val="1E651120"/>
    <w:rsid w:val="1E7B7966"/>
    <w:rsid w:val="1E807FEA"/>
    <w:rsid w:val="1E8977B4"/>
    <w:rsid w:val="1EA67F53"/>
    <w:rsid w:val="1EA938DB"/>
    <w:rsid w:val="1EDD6FDD"/>
    <w:rsid w:val="1F085737"/>
    <w:rsid w:val="1F165F5F"/>
    <w:rsid w:val="1F911ACB"/>
    <w:rsid w:val="1F9729E7"/>
    <w:rsid w:val="1FB27EB0"/>
    <w:rsid w:val="1FBD24C9"/>
    <w:rsid w:val="1FF35744"/>
    <w:rsid w:val="1FFC62B4"/>
    <w:rsid w:val="200A77D1"/>
    <w:rsid w:val="20673777"/>
    <w:rsid w:val="21340363"/>
    <w:rsid w:val="21D96200"/>
    <w:rsid w:val="21F461C8"/>
    <w:rsid w:val="2215565A"/>
    <w:rsid w:val="22471E3D"/>
    <w:rsid w:val="224B13BC"/>
    <w:rsid w:val="22645BC0"/>
    <w:rsid w:val="229E570C"/>
    <w:rsid w:val="22D40885"/>
    <w:rsid w:val="22D51544"/>
    <w:rsid w:val="23255B17"/>
    <w:rsid w:val="23343F0D"/>
    <w:rsid w:val="23461065"/>
    <w:rsid w:val="237E714C"/>
    <w:rsid w:val="23807486"/>
    <w:rsid w:val="23860B96"/>
    <w:rsid w:val="23943148"/>
    <w:rsid w:val="23C9752F"/>
    <w:rsid w:val="23FF31DE"/>
    <w:rsid w:val="240371BF"/>
    <w:rsid w:val="240F117E"/>
    <w:rsid w:val="245E31E2"/>
    <w:rsid w:val="24825BAF"/>
    <w:rsid w:val="24AF0EE9"/>
    <w:rsid w:val="2512463D"/>
    <w:rsid w:val="25260DB1"/>
    <w:rsid w:val="254B5F53"/>
    <w:rsid w:val="255A774C"/>
    <w:rsid w:val="255B4AEB"/>
    <w:rsid w:val="259008B9"/>
    <w:rsid w:val="25D753C9"/>
    <w:rsid w:val="2618138B"/>
    <w:rsid w:val="26A60614"/>
    <w:rsid w:val="270B5127"/>
    <w:rsid w:val="271B140F"/>
    <w:rsid w:val="27315A50"/>
    <w:rsid w:val="275E10FE"/>
    <w:rsid w:val="2771296C"/>
    <w:rsid w:val="27965C1D"/>
    <w:rsid w:val="28223AC3"/>
    <w:rsid w:val="285140DF"/>
    <w:rsid w:val="287E4EB6"/>
    <w:rsid w:val="287F669C"/>
    <w:rsid w:val="289B6A7C"/>
    <w:rsid w:val="28C00F6F"/>
    <w:rsid w:val="28F0447D"/>
    <w:rsid w:val="28F81FA9"/>
    <w:rsid w:val="294C4876"/>
    <w:rsid w:val="29D93431"/>
    <w:rsid w:val="29DD078B"/>
    <w:rsid w:val="29FD04D3"/>
    <w:rsid w:val="2AAE3F20"/>
    <w:rsid w:val="2AAF3274"/>
    <w:rsid w:val="2AD60470"/>
    <w:rsid w:val="2AF713BE"/>
    <w:rsid w:val="2B251C45"/>
    <w:rsid w:val="2B476651"/>
    <w:rsid w:val="2BA4394C"/>
    <w:rsid w:val="2BBB4E95"/>
    <w:rsid w:val="2BC65F4C"/>
    <w:rsid w:val="2BE5752E"/>
    <w:rsid w:val="2C075218"/>
    <w:rsid w:val="2C200AE4"/>
    <w:rsid w:val="2C8A61B5"/>
    <w:rsid w:val="2CC43F26"/>
    <w:rsid w:val="2CEF6BF4"/>
    <w:rsid w:val="2D1B1945"/>
    <w:rsid w:val="2D454764"/>
    <w:rsid w:val="2D5C31C8"/>
    <w:rsid w:val="2D70032D"/>
    <w:rsid w:val="2D93575F"/>
    <w:rsid w:val="2D9D3216"/>
    <w:rsid w:val="2DA83F3D"/>
    <w:rsid w:val="2DB4682D"/>
    <w:rsid w:val="2DBC5A70"/>
    <w:rsid w:val="2DCA7CDA"/>
    <w:rsid w:val="2DEA77D5"/>
    <w:rsid w:val="2DF04E50"/>
    <w:rsid w:val="2E051F7F"/>
    <w:rsid w:val="2E2B7C00"/>
    <w:rsid w:val="2E507A21"/>
    <w:rsid w:val="2EC152F1"/>
    <w:rsid w:val="2EFD2DE4"/>
    <w:rsid w:val="2EFE59B1"/>
    <w:rsid w:val="2F040D46"/>
    <w:rsid w:val="2F087045"/>
    <w:rsid w:val="2F0B3F08"/>
    <w:rsid w:val="2F255376"/>
    <w:rsid w:val="2F403036"/>
    <w:rsid w:val="2F55687E"/>
    <w:rsid w:val="2F584B93"/>
    <w:rsid w:val="2F907092"/>
    <w:rsid w:val="2F986CE5"/>
    <w:rsid w:val="2F9952BA"/>
    <w:rsid w:val="2FFF0536"/>
    <w:rsid w:val="300D6D15"/>
    <w:rsid w:val="30482693"/>
    <w:rsid w:val="31020FC5"/>
    <w:rsid w:val="31044A58"/>
    <w:rsid w:val="31096112"/>
    <w:rsid w:val="310F4019"/>
    <w:rsid w:val="31100305"/>
    <w:rsid w:val="31222B02"/>
    <w:rsid w:val="31604AF7"/>
    <w:rsid w:val="31745505"/>
    <w:rsid w:val="319D61E0"/>
    <w:rsid w:val="319F7F4E"/>
    <w:rsid w:val="31B245EF"/>
    <w:rsid w:val="321E0D3E"/>
    <w:rsid w:val="32224FFA"/>
    <w:rsid w:val="322D2DAD"/>
    <w:rsid w:val="3273688D"/>
    <w:rsid w:val="32850E73"/>
    <w:rsid w:val="32A71930"/>
    <w:rsid w:val="32CC7A0D"/>
    <w:rsid w:val="3304709D"/>
    <w:rsid w:val="333223AE"/>
    <w:rsid w:val="335F26AA"/>
    <w:rsid w:val="33774A5A"/>
    <w:rsid w:val="33B728B0"/>
    <w:rsid w:val="33B73870"/>
    <w:rsid w:val="340B2C6D"/>
    <w:rsid w:val="34131C89"/>
    <w:rsid w:val="34E765DC"/>
    <w:rsid w:val="34F26D46"/>
    <w:rsid w:val="35BE04CD"/>
    <w:rsid w:val="35C32C16"/>
    <w:rsid w:val="361674C8"/>
    <w:rsid w:val="361F45CF"/>
    <w:rsid w:val="363938D9"/>
    <w:rsid w:val="364F03E3"/>
    <w:rsid w:val="36AA5135"/>
    <w:rsid w:val="36D52285"/>
    <w:rsid w:val="36D74614"/>
    <w:rsid w:val="36EB4B1F"/>
    <w:rsid w:val="370E3E9D"/>
    <w:rsid w:val="374175BE"/>
    <w:rsid w:val="37570DC7"/>
    <w:rsid w:val="37673C90"/>
    <w:rsid w:val="376D39B2"/>
    <w:rsid w:val="37754ADE"/>
    <w:rsid w:val="3783331D"/>
    <w:rsid w:val="37A56159"/>
    <w:rsid w:val="37E16F03"/>
    <w:rsid w:val="37E73023"/>
    <w:rsid w:val="38377906"/>
    <w:rsid w:val="38382D04"/>
    <w:rsid w:val="38527752"/>
    <w:rsid w:val="387402D5"/>
    <w:rsid w:val="38795DE4"/>
    <w:rsid w:val="38974119"/>
    <w:rsid w:val="38C564E5"/>
    <w:rsid w:val="38CA767D"/>
    <w:rsid w:val="38D469F0"/>
    <w:rsid w:val="39302A58"/>
    <w:rsid w:val="3A327E37"/>
    <w:rsid w:val="3A53477C"/>
    <w:rsid w:val="3A594452"/>
    <w:rsid w:val="3AE343F1"/>
    <w:rsid w:val="3AE51E3A"/>
    <w:rsid w:val="3B242C59"/>
    <w:rsid w:val="3B376FB0"/>
    <w:rsid w:val="3B5F1011"/>
    <w:rsid w:val="3BAC5E88"/>
    <w:rsid w:val="3BB90F08"/>
    <w:rsid w:val="3BC27D2B"/>
    <w:rsid w:val="3BCE62D3"/>
    <w:rsid w:val="3BEB2C58"/>
    <w:rsid w:val="3C26112C"/>
    <w:rsid w:val="3C393696"/>
    <w:rsid w:val="3C404697"/>
    <w:rsid w:val="3C704778"/>
    <w:rsid w:val="3D0B562F"/>
    <w:rsid w:val="3D261FB8"/>
    <w:rsid w:val="3D3B7DBF"/>
    <w:rsid w:val="3D98207C"/>
    <w:rsid w:val="3DD34E07"/>
    <w:rsid w:val="3E66373C"/>
    <w:rsid w:val="3E737F77"/>
    <w:rsid w:val="3E78745D"/>
    <w:rsid w:val="3EA53662"/>
    <w:rsid w:val="3EE90B2E"/>
    <w:rsid w:val="3EF66253"/>
    <w:rsid w:val="3F1C446E"/>
    <w:rsid w:val="3F1C7050"/>
    <w:rsid w:val="3F1E6CCE"/>
    <w:rsid w:val="3F3A6D7C"/>
    <w:rsid w:val="3F563264"/>
    <w:rsid w:val="3F9849FD"/>
    <w:rsid w:val="3FC30EEF"/>
    <w:rsid w:val="3FDD23D3"/>
    <w:rsid w:val="3FEC7C59"/>
    <w:rsid w:val="40502F83"/>
    <w:rsid w:val="407621D4"/>
    <w:rsid w:val="40D754ED"/>
    <w:rsid w:val="40F002C3"/>
    <w:rsid w:val="41414B9B"/>
    <w:rsid w:val="41711521"/>
    <w:rsid w:val="418249B7"/>
    <w:rsid w:val="41C75B10"/>
    <w:rsid w:val="41CD6A30"/>
    <w:rsid w:val="41D70AF9"/>
    <w:rsid w:val="41F158FB"/>
    <w:rsid w:val="426A6317"/>
    <w:rsid w:val="42794C18"/>
    <w:rsid w:val="429E3E06"/>
    <w:rsid w:val="42B973BA"/>
    <w:rsid w:val="42C77365"/>
    <w:rsid w:val="433810D9"/>
    <w:rsid w:val="435756A1"/>
    <w:rsid w:val="4369012A"/>
    <w:rsid w:val="436964F4"/>
    <w:rsid w:val="43706780"/>
    <w:rsid w:val="43752B4E"/>
    <w:rsid w:val="4393518B"/>
    <w:rsid w:val="43B100C3"/>
    <w:rsid w:val="442D3152"/>
    <w:rsid w:val="442D3A0D"/>
    <w:rsid w:val="443B443E"/>
    <w:rsid w:val="44624227"/>
    <w:rsid w:val="44981638"/>
    <w:rsid w:val="44E268DA"/>
    <w:rsid w:val="44E61A4B"/>
    <w:rsid w:val="44E81085"/>
    <w:rsid w:val="44F56882"/>
    <w:rsid w:val="451B30E7"/>
    <w:rsid w:val="4528728D"/>
    <w:rsid w:val="455921E3"/>
    <w:rsid w:val="45742FC4"/>
    <w:rsid w:val="4578747E"/>
    <w:rsid w:val="45A13FBD"/>
    <w:rsid w:val="45D376E2"/>
    <w:rsid w:val="46222061"/>
    <w:rsid w:val="463A4FCA"/>
    <w:rsid w:val="46A84CD5"/>
    <w:rsid w:val="46DF2975"/>
    <w:rsid w:val="46E22581"/>
    <w:rsid w:val="47170291"/>
    <w:rsid w:val="473A7E42"/>
    <w:rsid w:val="47703630"/>
    <w:rsid w:val="477E4555"/>
    <w:rsid w:val="47F46A03"/>
    <w:rsid w:val="480E1B78"/>
    <w:rsid w:val="48411978"/>
    <w:rsid w:val="48424634"/>
    <w:rsid w:val="486E4A38"/>
    <w:rsid w:val="48F2596C"/>
    <w:rsid w:val="49550A9D"/>
    <w:rsid w:val="496822BA"/>
    <w:rsid w:val="498447B2"/>
    <w:rsid w:val="49BD2417"/>
    <w:rsid w:val="4A085120"/>
    <w:rsid w:val="4A0E5F57"/>
    <w:rsid w:val="4A167FB2"/>
    <w:rsid w:val="4A284ADD"/>
    <w:rsid w:val="4A373E32"/>
    <w:rsid w:val="4A462377"/>
    <w:rsid w:val="4A4706A8"/>
    <w:rsid w:val="4A627F82"/>
    <w:rsid w:val="4A743CA1"/>
    <w:rsid w:val="4A794E01"/>
    <w:rsid w:val="4AA030EF"/>
    <w:rsid w:val="4ADF5D9B"/>
    <w:rsid w:val="4B0E749A"/>
    <w:rsid w:val="4B1721C8"/>
    <w:rsid w:val="4B4F25DA"/>
    <w:rsid w:val="4B5D0E6E"/>
    <w:rsid w:val="4B636454"/>
    <w:rsid w:val="4BA37924"/>
    <w:rsid w:val="4BC04083"/>
    <w:rsid w:val="4BE068DB"/>
    <w:rsid w:val="4BE71C16"/>
    <w:rsid w:val="4C0B303B"/>
    <w:rsid w:val="4C2205F2"/>
    <w:rsid w:val="4C2502FF"/>
    <w:rsid w:val="4C3C0EA3"/>
    <w:rsid w:val="4C440D02"/>
    <w:rsid w:val="4C7B7F29"/>
    <w:rsid w:val="4CD92916"/>
    <w:rsid w:val="4D3359C3"/>
    <w:rsid w:val="4D341C2F"/>
    <w:rsid w:val="4D3E23C6"/>
    <w:rsid w:val="4D577224"/>
    <w:rsid w:val="4D5D7147"/>
    <w:rsid w:val="4DC568D6"/>
    <w:rsid w:val="4DCC01EB"/>
    <w:rsid w:val="4DD64991"/>
    <w:rsid w:val="4E626C6F"/>
    <w:rsid w:val="4E8608D7"/>
    <w:rsid w:val="4E973BF5"/>
    <w:rsid w:val="4EAB630A"/>
    <w:rsid w:val="4EAF76C7"/>
    <w:rsid w:val="4ECE2238"/>
    <w:rsid w:val="4EF97A8E"/>
    <w:rsid w:val="4F044AFD"/>
    <w:rsid w:val="4F4C4F99"/>
    <w:rsid w:val="4F7368F1"/>
    <w:rsid w:val="4F740095"/>
    <w:rsid w:val="4FDB1D58"/>
    <w:rsid w:val="4FDE151E"/>
    <w:rsid w:val="4FE555EE"/>
    <w:rsid w:val="4FF50F39"/>
    <w:rsid w:val="4FFA42E6"/>
    <w:rsid w:val="508C2554"/>
    <w:rsid w:val="508C5A40"/>
    <w:rsid w:val="50BD120F"/>
    <w:rsid w:val="50D0311F"/>
    <w:rsid w:val="50D75ADC"/>
    <w:rsid w:val="50EA1A65"/>
    <w:rsid w:val="50ED3410"/>
    <w:rsid w:val="514C01DC"/>
    <w:rsid w:val="516662D1"/>
    <w:rsid w:val="51764990"/>
    <w:rsid w:val="51A56EDB"/>
    <w:rsid w:val="52114432"/>
    <w:rsid w:val="52336432"/>
    <w:rsid w:val="52573C4A"/>
    <w:rsid w:val="526F6FAC"/>
    <w:rsid w:val="52702925"/>
    <w:rsid w:val="52A80D0B"/>
    <w:rsid w:val="52B7473C"/>
    <w:rsid w:val="5345407A"/>
    <w:rsid w:val="535E13A9"/>
    <w:rsid w:val="537E6D0A"/>
    <w:rsid w:val="53AA025B"/>
    <w:rsid w:val="53EC2F61"/>
    <w:rsid w:val="54015BFD"/>
    <w:rsid w:val="54596035"/>
    <w:rsid w:val="54AC6CFC"/>
    <w:rsid w:val="54B154CD"/>
    <w:rsid w:val="54D25AB1"/>
    <w:rsid w:val="54F46C08"/>
    <w:rsid w:val="55105B2A"/>
    <w:rsid w:val="55435D12"/>
    <w:rsid w:val="554D043A"/>
    <w:rsid w:val="55635DE3"/>
    <w:rsid w:val="55B5144A"/>
    <w:rsid w:val="55EF6D04"/>
    <w:rsid w:val="55F0194B"/>
    <w:rsid w:val="56017AD2"/>
    <w:rsid w:val="561444C5"/>
    <w:rsid w:val="56426098"/>
    <w:rsid w:val="568E3584"/>
    <w:rsid w:val="56D259F0"/>
    <w:rsid w:val="56F26F6D"/>
    <w:rsid w:val="57041052"/>
    <w:rsid w:val="576A58F2"/>
    <w:rsid w:val="57733942"/>
    <w:rsid w:val="579D6973"/>
    <w:rsid w:val="57AB395A"/>
    <w:rsid w:val="58027F20"/>
    <w:rsid w:val="580313D0"/>
    <w:rsid w:val="5837593B"/>
    <w:rsid w:val="584200C7"/>
    <w:rsid w:val="58A040FD"/>
    <w:rsid w:val="58AD76C7"/>
    <w:rsid w:val="58B1043F"/>
    <w:rsid w:val="58F33C8B"/>
    <w:rsid w:val="58F46B6F"/>
    <w:rsid w:val="593A76F1"/>
    <w:rsid w:val="596B6F27"/>
    <w:rsid w:val="597A6822"/>
    <w:rsid w:val="59D6228E"/>
    <w:rsid w:val="59F03B95"/>
    <w:rsid w:val="5A204649"/>
    <w:rsid w:val="5A292568"/>
    <w:rsid w:val="5A510D9B"/>
    <w:rsid w:val="5A5A50CD"/>
    <w:rsid w:val="5A7050C2"/>
    <w:rsid w:val="5A733468"/>
    <w:rsid w:val="5AF72536"/>
    <w:rsid w:val="5AF92295"/>
    <w:rsid w:val="5B2203E0"/>
    <w:rsid w:val="5B2F0712"/>
    <w:rsid w:val="5B66698B"/>
    <w:rsid w:val="5B6F7AB4"/>
    <w:rsid w:val="5B7F0F91"/>
    <w:rsid w:val="5B824136"/>
    <w:rsid w:val="5B93317A"/>
    <w:rsid w:val="5B9945BF"/>
    <w:rsid w:val="5C393DB5"/>
    <w:rsid w:val="5C6477ED"/>
    <w:rsid w:val="5C895AE1"/>
    <w:rsid w:val="5CB17DD5"/>
    <w:rsid w:val="5CD30F69"/>
    <w:rsid w:val="5CD71FC4"/>
    <w:rsid w:val="5CE04DEC"/>
    <w:rsid w:val="5CF133B8"/>
    <w:rsid w:val="5D2544EA"/>
    <w:rsid w:val="5D2768A7"/>
    <w:rsid w:val="5D315B34"/>
    <w:rsid w:val="5DA958CF"/>
    <w:rsid w:val="5DD0664C"/>
    <w:rsid w:val="5E4A5F4B"/>
    <w:rsid w:val="5E571D4B"/>
    <w:rsid w:val="5EB95A59"/>
    <w:rsid w:val="5EBA0191"/>
    <w:rsid w:val="5ECE0537"/>
    <w:rsid w:val="5EE217D8"/>
    <w:rsid w:val="5F476603"/>
    <w:rsid w:val="5F4D6330"/>
    <w:rsid w:val="5F734C52"/>
    <w:rsid w:val="5F7D6546"/>
    <w:rsid w:val="5FBB266F"/>
    <w:rsid w:val="5FFD50BE"/>
    <w:rsid w:val="60631E7A"/>
    <w:rsid w:val="60660BAD"/>
    <w:rsid w:val="607C06CA"/>
    <w:rsid w:val="607F1148"/>
    <w:rsid w:val="612725DB"/>
    <w:rsid w:val="61644151"/>
    <w:rsid w:val="61760136"/>
    <w:rsid w:val="61BE777F"/>
    <w:rsid w:val="61D0366D"/>
    <w:rsid w:val="61F26094"/>
    <w:rsid w:val="6205536F"/>
    <w:rsid w:val="621D5538"/>
    <w:rsid w:val="621E59CF"/>
    <w:rsid w:val="624C6CF1"/>
    <w:rsid w:val="628D3C00"/>
    <w:rsid w:val="62D51459"/>
    <w:rsid w:val="632A1718"/>
    <w:rsid w:val="63436D77"/>
    <w:rsid w:val="637A2DAE"/>
    <w:rsid w:val="639357C1"/>
    <w:rsid w:val="63A86E5B"/>
    <w:rsid w:val="63AE08FA"/>
    <w:rsid w:val="63D82094"/>
    <w:rsid w:val="6418573F"/>
    <w:rsid w:val="64536709"/>
    <w:rsid w:val="64585943"/>
    <w:rsid w:val="64876391"/>
    <w:rsid w:val="64EC68AA"/>
    <w:rsid w:val="652C078D"/>
    <w:rsid w:val="65913D44"/>
    <w:rsid w:val="65A1385D"/>
    <w:rsid w:val="65CE0870"/>
    <w:rsid w:val="65F16F9C"/>
    <w:rsid w:val="665D6C36"/>
    <w:rsid w:val="66621FAF"/>
    <w:rsid w:val="6694422B"/>
    <w:rsid w:val="66E322E6"/>
    <w:rsid w:val="66EA2148"/>
    <w:rsid w:val="66F43ED2"/>
    <w:rsid w:val="671760CC"/>
    <w:rsid w:val="674119FC"/>
    <w:rsid w:val="674C42BC"/>
    <w:rsid w:val="674D167B"/>
    <w:rsid w:val="675F0044"/>
    <w:rsid w:val="679A7200"/>
    <w:rsid w:val="67D33F51"/>
    <w:rsid w:val="67ED77CD"/>
    <w:rsid w:val="67FB7F7A"/>
    <w:rsid w:val="68076F15"/>
    <w:rsid w:val="68123095"/>
    <w:rsid w:val="68242337"/>
    <w:rsid w:val="68B10641"/>
    <w:rsid w:val="68B65D7A"/>
    <w:rsid w:val="68EA0135"/>
    <w:rsid w:val="691825AA"/>
    <w:rsid w:val="69650F87"/>
    <w:rsid w:val="69920BC1"/>
    <w:rsid w:val="69A73A4A"/>
    <w:rsid w:val="69A82212"/>
    <w:rsid w:val="69CC42D2"/>
    <w:rsid w:val="6A157C5C"/>
    <w:rsid w:val="6A297FCF"/>
    <w:rsid w:val="6A5A7889"/>
    <w:rsid w:val="6A696630"/>
    <w:rsid w:val="6AB0497C"/>
    <w:rsid w:val="6ABA0C22"/>
    <w:rsid w:val="6AD45634"/>
    <w:rsid w:val="6AD714C5"/>
    <w:rsid w:val="6AE05B99"/>
    <w:rsid w:val="6B236E47"/>
    <w:rsid w:val="6B3160F4"/>
    <w:rsid w:val="6B524C62"/>
    <w:rsid w:val="6B582D77"/>
    <w:rsid w:val="6BBC260E"/>
    <w:rsid w:val="6BFA229E"/>
    <w:rsid w:val="6C043202"/>
    <w:rsid w:val="6C293BCF"/>
    <w:rsid w:val="6C2B776F"/>
    <w:rsid w:val="6C3B4E70"/>
    <w:rsid w:val="6C4A05C8"/>
    <w:rsid w:val="6CA67138"/>
    <w:rsid w:val="6CEA4EEC"/>
    <w:rsid w:val="6D346418"/>
    <w:rsid w:val="6DC12470"/>
    <w:rsid w:val="6E7E3605"/>
    <w:rsid w:val="6EA12EB3"/>
    <w:rsid w:val="6EBC0387"/>
    <w:rsid w:val="6EDF3159"/>
    <w:rsid w:val="6EE03E53"/>
    <w:rsid w:val="6F052DF8"/>
    <w:rsid w:val="6F383A00"/>
    <w:rsid w:val="6F6A6CB7"/>
    <w:rsid w:val="6F755728"/>
    <w:rsid w:val="6FA80E4F"/>
    <w:rsid w:val="6FE50136"/>
    <w:rsid w:val="6FF11B5F"/>
    <w:rsid w:val="6FF5CC65"/>
    <w:rsid w:val="6FFD48F1"/>
    <w:rsid w:val="700C4AE6"/>
    <w:rsid w:val="706256A7"/>
    <w:rsid w:val="706F17AC"/>
    <w:rsid w:val="707629EB"/>
    <w:rsid w:val="707A384E"/>
    <w:rsid w:val="71394110"/>
    <w:rsid w:val="714610EE"/>
    <w:rsid w:val="7154052D"/>
    <w:rsid w:val="715C0E4B"/>
    <w:rsid w:val="716375BB"/>
    <w:rsid w:val="71686BCB"/>
    <w:rsid w:val="71736EF3"/>
    <w:rsid w:val="718F020C"/>
    <w:rsid w:val="719C0378"/>
    <w:rsid w:val="719C7629"/>
    <w:rsid w:val="71C37181"/>
    <w:rsid w:val="71E32382"/>
    <w:rsid w:val="721F5D63"/>
    <w:rsid w:val="72426E5B"/>
    <w:rsid w:val="726809B5"/>
    <w:rsid w:val="72734D90"/>
    <w:rsid w:val="72BF3ECB"/>
    <w:rsid w:val="72DF5171"/>
    <w:rsid w:val="72E54AD7"/>
    <w:rsid w:val="73442B1D"/>
    <w:rsid w:val="73481D47"/>
    <w:rsid w:val="738D4CAF"/>
    <w:rsid w:val="738D6B72"/>
    <w:rsid w:val="73AD73D5"/>
    <w:rsid w:val="73AE2E46"/>
    <w:rsid w:val="73AF20FA"/>
    <w:rsid w:val="73B6EB34"/>
    <w:rsid w:val="73C22313"/>
    <w:rsid w:val="73D92124"/>
    <w:rsid w:val="73EB6C03"/>
    <w:rsid w:val="740C094F"/>
    <w:rsid w:val="744731E5"/>
    <w:rsid w:val="747630B0"/>
    <w:rsid w:val="749D2F7A"/>
    <w:rsid w:val="74A142C4"/>
    <w:rsid w:val="74B367C8"/>
    <w:rsid w:val="74B53661"/>
    <w:rsid w:val="74C17826"/>
    <w:rsid w:val="74E97CF8"/>
    <w:rsid w:val="74FE1552"/>
    <w:rsid w:val="75133C4C"/>
    <w:rsid w:val="7517638C"/>
    <w:rsid w:val="751B079C"/>
    <w:rsid w:val="752823A0"/>
    <w:rsid w:val="757034AF"/>
    <w:rsid w:val="757375A4"/>
    <w:rsid w:val="759912A2"/>
    <w:rsid w:val="75DA6B25"/>
    <w:rsid w:val="765425E0"/>
    <w:rsid w:val="767426FF"/>
    <w:rsid w:val="768406BD"/>
    <w:rsid w:val="76AA08D1"/>
    <w:rsid w:val="76DA3579"/>
    <w:rsid w:val="76DD7203"/>
    <w:rsid w:val="76E3355F"/>
    <w:rsid w:val="77052E13"/>
    <w:rsid w:val="778769C8"/>
    <w:rsid w:val="77C00839"/>
    <w:rsid w:val="77FC5C1C"/>
    <w:rsid w:val="78574060"/>
    <w:rsid w:val="78660CF0"/>
    <w:rsid w:val="79A92895"/>
    <w:rsid w:val="79EE5BA4"/>
    <w:rsid w:val="79FF0E31"/>
    <w:rsid w:val="7A2F348A"/>
    <w:rsid w:val="7A315BBD"/>
    <w:rsid w:val="7A551235"/>
    <w:rsid w:val="7A6007B4"/>
    <w:rsid w:val="7A750954"/>
    <w:rsid w:val="7A894339"/>
    <w:rsid w:val="7A9B4CA6"/>
    <w:rsid w:val="7B6F0CDC"/>
    <w:rsid w:val="7B715260"/>
    <w:rsid w:val="7B954821"/>
    <w:rsid w:val="7B970CCE"/>
    <w:rsid w:val="7BA01738"/>
    <w:rsid w:val="7BAF21D0"/>
    <w:rsid w:val="7BD2007A"/>
    <w:rsid w:val="7C334F3F"/>
    <w:rsid w:val="7C687741"/>
    <w:rsid w:val="7CD255E0"/>
    <w:rsid w:val="7D312957"/>
    <w:rsid w:val="7D97044B"/>
    <w:rsid w:val="7DED4F66"/>
    <w:rsid w:val="7E067C25"/>
    <w:rsid w:val="7E1611AB"/>
    <w:rsid w:val="7E442670"/>
    <w:rsid w:val="7EEE214D"/>
    <w:rsid w:val="7EEF11D3"/>
    <w:rsid w:val="7EEF4888"/>
    <w:rsid w:val="7F047216"/>
    <w:rsid w:val="7F486E6F"/>
    <w:rsid w:val="7F5323D4"/>
    <w:rsid w:val="7F7564EE"/>
    <w:rsid w:val="7FA30C79"/>
    <w:rsid w:val="7FB7269E"/>
    <w:rsid w:val="7FC96657"/>
    <w:rsid w:val="7FFB6E72"/>
    <w:rsid w:val="D8D6DB89"/>
    <w:rsid w:val="DB6F4CAB"/>
    <w:rsid w:val="DF6F9789"/>
    <w:rsid w:val="DFFA949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6">
    <w:name w:val="index 5"/>
    <w:next w:val="1"/>
    <w:qFormat/>
    <w:uiPriority w:val="0"/>
    <w:pPr>
      <w:widowControl w:val="0"/>
      <w:ind w:left="800" w:leftChars="800"/>
      <w:jc w:val="both"/>
    </w:pPr>
    <w:rPr>
      <w:rFonts w:ascii="Times New Roman" w:hAnsi="Times New Roman" w:eastAsia="仿宋_GB2312" w:cs="Times New Roman"/>
      <w:kern w:val="2"/>
      <w:sz w:val="21"/>
      <w:szCs w:val="24"/>
      <w:lang w:val="en-US" w:eastAsia="zh-CN" w:bidi="ar-SA"/>
    </w:rPr>
  </w:style>
  <w:style w:type="paragraph" w:styleId="7">
    <w:name w:val="Salutation"/>
    <w:basedOn w:val="1"/>
    <w:next w:val="1"/>
    <w:qFormat/>
    <w:uiPriority w:val="0"/>
  </w:style>
  <w:style w:type="paragraph" w:styleId="8">
    <w:name w:val="Body Text"/>
    <w:basedOn w:val="1"/>
    <w:link w:val="25"/>
    <w:qFormat/>
    <w:uiPriority w:val="99"/>
    <w:pPr>
      <w:spacing w:beforeLines="30"/>
    </w:pPr>
    <w:rPr>
      <w:rFonts w:ascii="仿宋_GB2312" w:eastAsia="仿宋_GB2312"/>
      <w:kern w:val="0"/>
      <w:sz w:val="30"/>
    </w:rPr>
  </w:style>
  <w:style w:type="paragraph" w:styleId="9">
    <w:name w:val="Body Text Indent"/>
    <w:basedOn w:val="1"/>
    <w:qFormat/>
    <w:uiPriority w:val="0"/>
    <w:pPr>
      <w:spacing w:after="120"/>
      <w:ind w:left="200" w:leftChars="200"/>
    </w:pPr>
    <w:rPr>
      <w:rFonts w:ascii="仿宋_GB2312"/>
      <w:szCs w:val="32"/>
    </w:rPr>
  </w:style>
  <w:style w:type="paragraph" w:styleId="10">
    <w:name w:val="toc 3"/>
    <w:basedOn w:val="1"/>
    <w:next w:val="1"/>
    <w:unhideWhenUsed/>
    <w:qFormat/>
    <w:uiPriority w:val="39"/>
    <w:pPr>
      <w:tabs>
        <w:tab w:val="right" w:leader="dot" w:pos="8296"/>
      </w:tabs>
      <w:ind w:left="840" w:leftChars="400"/>
    </w:pPr>
  </w:style>
  <w:style w:type="paragraph" w:styleId="11">
    <w:name w:val="Plain Text"/>
    <w:basedOn w:val="1"/>
    <w:link w:val="41"/>
    <w:qFormat/>
    <w:uiPriority w:val="0"/>
    <w:pPr>
      <w:autoSpaceDE w:val="0"/>
      <w:autoSpaceDN w:val="0"/>
      <w:adjustRightInd w:val="0"/>
      <w:jc w:val="left"/>
    </w:pPr>
    <w:rPr>
      <w:rFonts w:ascii="宋体" w:hAnsi="Courier New"/>
      <w:kern w:val="0"/>
      <w:sz w:val="24"/>
      <w:szCs w:val="20"/>
    </w:rPr>
  </w:style>
  <w:style w:type="paragraph" w:styleId="12">
    <w:name w:val="Balloon Text"/>
    <w:basedOn w:val="1"/>
    <w:link w:val="29"/>
    <w:semiHidden/>
    <w:unhideWhenUsed/>
    <w:qFormat/>
    <w:uiPriority w:val="99"/>
    <w:rPr>
      <w:sz w:val="18"/>
      <w:szCs w:val="18"/>
    </w:rPr>
  </w:style>
  <w:style w:type="paragraph" w:styleId="13">
    <w:name w:val="footer"/>
    <w:basedOn w:val="1"/>
    <w:link w:val="30"/>
    <w:qFormat/>
    <w:uiPriority w:val="99"/>
    <w:pPr>
      <w:tabs>
        <w:tab w:val="center" w:pos="4153"/>
        <w:tab w:val="right" w:pos="8306"/>
      </w:tabs>
      <w:snapToGrid w:val="0"/>
      <w:jc w:val="left"/>
    </w:pPr>
    <w:rPr>
      <w:rFonts w:ascii="Calibri" w:hAnsi="Calibri"/>
      <w:kern w:val="0"/>
      <w:sz w:val="18"/>
      <w:szCs w:val="18"/>
    </w:rPr>
  </w:style>
  <w:style w:type="paragraph" w:styleId="14">
    <w:name w:val="header"/>
    <w:basedOn w:val="1"/>
    <w:link w:val="3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5">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6">
    <w:name w:val="toc 2"/>
    <w:basedOn w:val="1"/>
    <w:next w:val="1"/>
    <w:unhideWhenUsed/>
    <w:qFormat/>
    <w:uiPriority w:val="39"/>
    <w:pPr>
      <w:tabs>
        <w:tab w:val="right" w:leader="dot" w:pos="8296"/>
      </w:tabs>
      <w:ind w:left="420" w:leftChars="200"/>
    </w:pPr>
  </w:style>
  <w:style w:type="paragraph" w:styleId="17">
    <w:name w:val="Normal (Web)"/>
    <w:basedOn w:val="1"/>
    <w:qFormat/>
    <w:uiPriority w:val="0"/>
    <w:pPr>
      <w:spacing w:before="100" w:beforeAutospacing="1" w:after="100" w:afterAutospacing="1"/>
      <w:jc w:val="left"/>
    </w:pPr>
    <w:rPr>
      <w:rFonts w:ascii="Times New Roman" w:hAnsi="Times New Roman"/>
      <w:kern w:val="0"/>
      <w:sz w:val="24"/>
      <w:szCs w:val="24"/>
    </w:rPr>
  </w:style>
  <w:style w:type="paragraph" w:styleId="18">
    <w:name w:val="Body Text First Indent 2"/>
    <w:basedOn w:val="9"/>
    <w:next w:val="1"/>
    <w:unhideWhenUsed/>
    <w:qFormat/>
    <w:uiPriority w:val="99"/>
    <w:pPr>
      <w:ind w:firstLine="420" w:firstLineChars="200"/>
    </w:pPr>
  </w:style>
  <w:style w:type="character" w:styleId="21">
    <w:name w:val="Strong"/>
    <w:basedOn w:val="20"/>
    <w:qFormat/>
    <w:uiPriority w:val="99"/>
    <w:rPr>
      <w:b/>
    </w:rPr>
  </w:style>
  <w:style w:type="character" w:styleId="22">
    <w:name w:val="FollowedHyperlink"/>
    <w:basedOn w:val="20"/>
    <w:semiHidden/>
    <w:unhideWhenUsed/>
    <w:qFormat/>
    <w:uiPriority w:val="99"/>
    <w:rPr>
      <w:color w:val="954F72"/>
      <w:u w:val="single"/>
    </w:rPr>
  </w:style>
  <w:style w:type="character" w:styleId="23">
    <w:name w:val="Hyperlink"/>
    <w:basedOn w:val="20"/>
    <w:unhideWhenUsed/>
    <w:qFormat/>
    <w:uiPriority w:val="99"/>
    <w:rPr>
      <w:color w:val="0000FF" w:themeColor="hyperlink"/>
      <w:u w:val="single"/>
      <w14:textFill>
        <w14:solidFill>
          <w14:schemeClr w14:val="hlink"/>
        </w14:solidFill>
      </w14:textFill>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character" w:customStyle="1" w:styleId="25">
    <w:name w:val="正文文本 Char"/>
    <w:link w:val="8"/>
    <w:qFormat/>
    <w:locked/>
    <w:uiPriority w:val="99"/>
    <w:rPr>
      <w:rFonts w:ascii="仿宋_GB2312" w:hAnsi="Times New Roman" w:eastAsia="仿宋_GB2312"/>
      <w:sz w:val="24"/>
    </w:rPr>
  </w:style>
  <w:style w:type="character" w:customStyle="1" w:styleId="26">
    <w:name w:val="标题 1 Char"/>
    <w:basedOn w:val="20"/>
    <w:link w:val="3"/>
    <w:qFormat/>
    <w:uiPriority w:val="9"/>
    <w:rPr>
      <w:rFonts w:ascii="Times New Roman" w:hAnsi="Times New Roman"/>
      <w:b/>
      <w:bCs/>
      <w:kern w:val="44"/>
      <w:sz w:val="44"/>
      <w:szCs w:val="44"/>
    </w:rPr>
  </w:style>
  <w:style w:type="character" w:customStyle="1" w:styleId="27">
    <w:name w:val="标题 2 Char"/>
    <w:basedOn w:val="20"/>
    <w:link w:val="4"/>
    <w:qFormat/>
    <w:uiPriority w:val="9"/>
    <w:rPr>
      <w:rFonts w:asciiTheme="majorHAnsi" w:hAnsiTheme="majorHAnsi" w:eastAsiaTheme="majorEastAsia" w:cstheme="majorBidi"/>
      <w:b/>
      <w:bCs/>
      <w:kern w:val="2"/>
      <w:sz w:val="32"/>
      <w:szCs w:val="32"/>
    </w:rPr>
  </w:style>
  <w:style w:type="character" w:customStyle="1" w:styleId="28">
    <w:name w:val="标题 3 Char"/>
    <w:basedOn w:val="20"/>
    <w:link w:val="5"/>
    <w:qFormat/>
    <w:uiPriority w:val="9"/>
    <w:rPr>
      <w:rFonts w:ascii="Times New Roman" w:hAnsi="Times New Roman"/>
      <w:b/>
      <w:bCs/>
      <w:kern w:val="2"/>
      <w:sz w:val="32"/>
      <w:szCs w:val="32"/>
    </w:rPr>
  </w:style>
  <w:style w:type="character" w:customStyle="1" w:styleId="29">
    <w:name w:val="批注框文本 Char"/>
    <w:basedOn w:val="20"/>
    <w:link w:val="12"/>
    <w:semiHidden/>
    <w:qFormat/>
    <w:uiPriority w:val="99"/>
    <w:rPr>
      <w:rFonts w:ascii="Times New Roman" w:hAnsi="Times New Roman"/>
      <w:kern w:val="2"/>
      <w:sz w:val="18"/>
      <w:szCs w:val="18"/>
    </w:rPr>
  </w:style>
  <w:style w:type="character" w:customStyle="1" w:styleId="30">
    <w:name w:val="页脚 Char"/>
    <w:link w:val="13"/>
    <w:qFormat/>
    <w:locked/>
    <w:uiPriority w:val="99"/>
    <w:rPr>
      <w:sz w:val="18"/>
    </w:rPr>
  </w:style>
  <w:style w:type="character" w:customStyle="1" w:styleId="31">
    <w:name w:val="页眉 Char"/>
    <w:link w:val="14"/>
    <w:semiHidden/>
    <w:qFormat/>
    <w:locked/>
    <w:uiPriority w:val="99"/>
    <w:rPr>
      <w:sz w:val="18"/>
    </w:rPr>
  </w:style>
  <w:style w:type="paragraph" w:customStyle="1" w:styleId="3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33">
    <w:name w:val="Header Char"/>
    <w:basedOn w:val="20"/>
    <w:semiHidden/>
    <w:qFormat/>
    <w:uiPriority w:val="99"/>
    <w:rPr>
      <w:rFonts w:ascii="Times New Roman" w:hAnsi="Times New Roman"/>
      <w:sz w:val="18"/>
      <w:szCs w:val="18"/>
    </w:rPr>
  </w:style>
  <w:style w:type="character" w:customStyle="1" w:styleId="34">
    <w:name w:val="Footer Char"/>
    <w:basedOn w:val="20"/>
    <w:semiHidden/>
    <w:qFormat/>
    <w:uiPriority w:val="99"/>
    <w:rPr>
      <w:rFonts w:ascii="Times New Roman" w:hAnsi="Times New Roman"/>
      <w:sz w:val="18"/>
      <w:szCs w:val="18"/>
    </w:rPr>
  </w:style>
  <w:style w:type="character" w:customStyle="1" w:styleId="35">
    <w:name w:val="Body Text Char"/>
    <w:basedOn w:val="20"/>
    <w:semiHidden/>
    <w:qFormat/>
    <w:uiPriority w:val="99"/>
    <w:rPr>
      <w:rFonts w:ascii="Times New Roman" w:hAnsi="Times New Roman"/>
      <w:szCs w:val="24"/>
    </w:rPr>
  </w:style>
  <w:style w:type="paragraph" w:styleId="36">
    <w:name w:val="List Paragraph"/>
    <w:basedOn w:val="1"/>
    <w:qFormat/>
    <w:uiPriority w:val="34"/>
    <w:pPr>
      <w:ind w:firstLine="420" w:firstLineChars="200"/>
    </w:pPr>
  </w:style>
  <w:style w:type="paragraph" w:customStyle="1" w:styleId="3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8">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9">
    <w:name w:val="四号正文"/>
    <w:basedOn w:val="1"/>
    <w:qFormat/>
    <w:uiPriority w:val="0"/>
    <w:pPr>
      <w:spacing w:line="360" w:lineRule="auto"/>
    </w:pPr>
    <w:rPr>
      <w:rFonts w:ascii="??" w:hAnsi="??"/>
      <w:color w:val="000000"/>
      <w:kern w:val="0"/>
      <w:sz w:val="28"/>
      <w:szCs w:val="21"/>
      <w:lang w:val="zh-CN"/>
    </w:rPr>
  </w:style>
  <w:style w:type="character" w:customStyle="1" w:styleId="40">
    <w:name w:val="NormalCharacter"/>
    <w:qFormat/>
    <w:uiPriority w:val="99"/>
    <w:rPr>
      <w:rFonts w:ascii="Times New Roman" w:hAnsi="Times New Roman" w:eastAsia="宋体"/>
    </w:rPr>
  </w:style>
  <w:style w:type="character" w:customStyle="1" w:styleId="41">
    <w:name w:val="纯文本 Char"/>
    <w:basedOn w:val="20"/>
    <w:link w:val="11"/>
    <w:qFormat/>
    <w:uiPriority w:val="0"/>
    <w:rPr>
      <w:rFonts w:ascii="宋体" w:hAnsi="Courier New"/>
      <w:sz w:val="24"/>
    </w:rPr>
  </w:style>
  <w:style w:type="paragraph" w:customStyle="1" w:styleId="42">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3">
    <w:name w:val="xl63"/>
    <w:basedOn w:val="1"/>
    <w:qFormat/>
    <w:uiPriority w:val="0"/>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44">
    <w:name w:val="xl6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45">
    <w:name w:val="xl6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6">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7">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8">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49">
    <w:name w:val="xl6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50">
    <w:name w:val="xl70"/>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xl7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52">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53">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54">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i/>
      <w:iCs/>
      <w:color w:val="000000"/>
      <w:kern w:val="0"/>
      <w:sz w:val="16"/>
      <w:szCs w:val="16"/>
    </w:rPr>
  </w:style>
  <w:style w:type="paragraph" w:customStyle="1" w:styleId="55">
    <w:name w:val="xl7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30"/>
      <w:szCs w:val="30"/>
    </w:rPr>
  </w:style>
  <w:style w:type="paragraph" w:customStyle="1" w:styleId="56">
    <w:name w:val="xl7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57">
    <w:name w:val="xl7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color w:val="000000"/>
      <w:kern w:val="0"/>
      <w:sz w:val="18"/>
      <w:szCs w:val="18"/>
    </w:rPr>
  </w:style>
  <w:style w:type="paragraph" w:customStyle="1" w:styleId="58">
    <w:name w:val="xl78"/>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59">
    <w:name w:val="xl79"/>
    <w:basedOn w:val="1"/>
    <w:qFormat/>
    <w:uiPriority w:val="0"/>
    <w:pPr>
      <w:widowControl/>
      <w:pBdr>
        <w:top w:val="single" w:color="000000" w:sz="4" w:space="0"/>
        <w:bottom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60">
    <w:name w:val="xl80"/>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61">
    <w:name w:val="xl8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62">
    <w:name w:val="xl82"/>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63">
    <w:name w:val="xl83"/>
    <w:basedOn w:val="1"/>
    <w:qFormat/>
    <w:uiPriority w:val="0"/>
    <w:pPr>
      <w:widowControl/>
      <w:pBdr>
        <w:top w:val="single" w:color="000000" w:sz="4" w:space="0"/>
        <w:bottom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64">
    <w:name w:val="xl84"/>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65">
    <w:name w:val="xl85"/>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66">
    <w:name w:val="xl86"/>
    <w:basedOn w:val="1"/>
    <w:qFormat/>
    <w:uiPriority w:val="0"/>
    <w:pPr>
      <w:widowControl/>
      <w:pBdr>
        <w:top w:val="single" w:color="000000" w:sz="4" w:space="0"/>
        <w:bottom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67">
    <w:name w:val="xl87"/>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68">
    <w:name w:val="xl8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69">
    <w:name w:val="xl8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i/>
      <w:iCs/>
      <w:color w:val="000000"/>
      <w:kern w:val="0"/>
      <w:sz w:val="18"/>
      <w:szCs w:val="18"/>
    </w:rPr>
  </w:style>
  <w:style w:type="paragraph" w:customStyle="1" w:styleId="70">
    <w:name w:val="xl90"/>
    <w:basedOn w:val="1"/>
    <w:qFormat/>
    <w:uiPriority w:val="0"/>
    <w:pPr>
      <w:widowControl/>
      <w:pBdr>
        <w:top w:val="single" w:color="000000" w:sz="4" w:space="0"/>
        <w:left w:val="single" w:color="000000" w:sz="4" w:space="0"/>
        <w:right w:val="single" w:color="000000" w:sz="4" w:space="0"/>
      </w:pBdr>
      <w:spacing w:before="100" w:beforeAutospacing="1" w:after="100" w:afterAutospacing="1"/>
      <w:jc w:val="center"/>
    </w:pPr>
    <w:rPr>
      <w:rFonts w:ascii="Courier New" w:hAnsi="Courier New" w:cs="Courier New"/>
      <w:i/>
      <w:iCs/>
      <w:color w:val="000000"/>
      <w:kern w:val="0"/>
      <w:sz w:val="18"/>
      <w:szCs w:val="18"/>
    </w:rPr>
  </w:style>
  <w:style w:type="paragraph" w:customStyle="1" w:styleId="71">
    <w:name w:val="xl91"/>
    <w:basedOn w:val="1"/>
    <w:qFormat/>
    <w:uiPriority w:val="0"/>
    <w:pPr>
      <w:widowControl/>
      <w:pBdr>
        <w:left w:val="single" w:color="000000" w:sz="4" w:space="0"/>
        <w:right w:val="single" w:color="000000" w:sz="4" w:space="0"/>
      </w:pBdr>
      <w:spacing w:before="100" w:beforeAutospacing="1" w:after="100" w:afterAutospacing="1"/>
      <w:jc w:val="center"/>
    </w:pPr>
    <w:rPr>
      <w:rFonts w:ascii="Courier New" w:hAnsi="Courier New" w:cs="Courier New"/>
      <w:i/>
      <w:iCs/>
      <w:color w:val="000000"/>
      <w:kern w:val="0"/>
      <w:sz w:val="18"/>
      <w:szCs w:val="18"/>
    </w:rPr>
  </w:style>
  <w:style w:type="paragraph" w:customStyle="1" w:styleId="72">
    <w:name w:val="xl92"/>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i/>
      <w:iCs/>
      <w:color w:val="000000"/>
      <w:kern w:val="0"/>
      <w:sz w:val="18"/>
      <w:szCs w:val="18"/>
    </w:rPr>
  </w:style>
  <w:style w:type="paragraph" w:customStyle="1" w:styleId="73">
    <w:name w:val="xl9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istrator\Desktop\&#26032;&#24314;%20Microsoft%20Excel%20&#24037;&#20316;&#349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6032;&#24314;%20Microsoft%20Excel%20&#24037;&#20316;&#349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6032;&#24314;%20Microsoft%20Excel%20&#24037;&#20316;&#3492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6032;&#24314;%20Microsoft%20Excel%20&#24037;&#20316;&#3492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26032;&#24314;%20Microsoft%20Excel%20&#24037;&#20316;&#34920;.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6032;&#24314;%20Microsoft%20Excel%20&#24037;&#20316;&#34920;.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6032;&#24314;%20Microsoft%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803239875389408"/>
          <c:y val="0.140715109573241"/>
          <c:w val="0.894130841121495"/>
          <c:h val="0.733194925028835"/>
        </c:manualLayout>
      </c:layout>
      <c:barChart>
        <c:barDir val="col"/>
        <c:grouping val="clustered"/>
        <c:varyColors val="0"/>
        <c:ser>
          <c:idx val="0"/>
          <c:order val="0"/>
          <c:tx>
            <c:strRef>
              <c:f>'[新建 Microsoft Excel 工作表.xlsx]Sheet1'!$A$2</c:f>
              <c:strCache>
                <c:ptCount val="1"/>
                <c:pt idx="0">
                  <c:v>2022</c:v>
                </c:pt>
              </c:strCache>
            </c:strRef>
          </c:tx>
          <c:spPr>
            <a:solidFill>
              <a:schemeClr val="accent1"/>
            </a:solidFill>
            <a:ln>
              <a:noFill/>
            </a:ln>
            <a:effectLst/>
          </c:spPr>
          <c:invertIfNegative val="0"/>
          <c:dLbls>
            <c:delete val="1"/>
          </c:dLbls>
          <c:cat>
            <c:strRef>
              <c:f>'[新建 Microsoft Excel 工作表.xlsx]Sheet1'!$B$1:$C$1</c:f>
              <c:strCache>
                <c:ptCount val="2"/>
                <c:pt idx="0">
                  <c:v>收入</c:v>
                </c:pt>
                <c:pt idx="1">
                  <c:v>支出</c:v>
                </c:pt>
              </c:strCache>
            </c:strRef>
          </c:cat>
          <c:val>
            <c:numRef>
              <c:f>'[新建 Microsoft Excel 工作表.xlsx]Sheet1'!$B$2:$C$2</c:f>
              <c:numCache>
                <c:formatCode>General</c:formatCode>
                <c:ptCount val="2"/>
                <c:pt idx="0">
                  <c:v>1897.3</c:v>
                </c:pt>
                <c:pt idx="1">
                  <c:v>1892.3</c:v>
                </c:pt>
              </c:numCache>
            </c:numRef>
          </c:val>
        </c:ser>
        <c:ser>
          <c:idx val="1"/>
          <c:order val="1"/>
          <c:tx>
            <c:strRef>
              <c:f>'[新建 Microsoft Excel 工作表.xlsx]Sheet1'!$A$3</c:f>
              <c:strCache>
                <c:ptCount val="1"/>
                <c:pt idx="0">
                  <c:v>2023</c:v>
                </c:pt>
              </c:strCache>
            </c:strRef>
          </c:tx>
          <c:spPr>
            <a:solidFill>
              <a:schemeClr val="accent2"/>
            </a:solidFill>
            <a:ln>
              <a:noFill/>
            </a:ln>
            <a:effectLst/>
          </c:spPr>
          <c:invertIfNegative val="0"/>
          <c:dLbls>
            <c:delete val="1"/>
          </c:dLbls>
          <c:cat>
            <c:strRef>
              <c:f>'[新建 Microsoft Excel 工作表.xlsx]Sheet1'!$B$1:$C$1</c:f>
              <c:strCache>
                <c:ptCount val="2"/>
                <c:pt idx="0">
                  <c:v>收入</c:v>
                </c:pt>
                <c:pt idx="1">
                  <c:v>支出</c:v>
                </c:pt>
              </c:strCache>
            </c:strRef>
          </c:cat>
          <c:val>
            <c:numRef>
              <c:f>'[新建 Microsoft Excel 工作表.xlsx]Sheet1'!$B$3:$C$3</c:f>
              <c:numCache>
                <c:formatCode>General</c:formatCode>
                <c:ptCount val="2"/>
                <c:pt idx="0">
                  <c:v>1933.36</c:v>
                </c:pt>
                <c:pt idx="1">
                  <c:v>1938.36</c:v>
                </c:pt>
              </c:numCache>
            </c:numRef>
          </c:val>
        </c:ser>
        <c:dLbls>
          <c:showLegendKey val="0"/>
          <c:showVal val="0"/>
          <c:showCatName val="0"/>
          <c:showSerName val="0"/>
          <c:showPercent val="0"/>
          <c:showBubbleSize val="0"/>
        </c:dLbls>
        <c:gapWidth val="219"/>
        <c:overlap val="-27"/>
        <c:axId val="824860401"/>
        <c:axId val="374545074"/>
      </c:barChart>
      <c:catAx>
        <c:axId val="82486040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74545074"/>
        <c:crosses val="autoZero"/>
        <c:auto val="1"/>
        <c:lblAlgn val="ctr"/>
        <c:lblOffset val="100"/>
        <c:noMultiLvlLbl val="0"/>
      </c:catAx>
      <c:valAx>
        <c:axId val="37454507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2486040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2"/>
              <c:layout>
                <c:manualLayout>
                  <c:x val="0.0506069422208359"/>
                  <c:y val="0.00739285831576405"/>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Microsoft Excel 工作表.xlsx]Sheet1'!$A$36:$A$38</c:f>
              <c:strCache>
                <c:ptCount val="3"/>
                <c:pt idx="0">
                  <c:v>一般公共预算财政拨款收入</c:v>
                </c:pt>
                <c:pt idx="1">
                  <c:v>政府性基金预算财政拨款收入</c:v>
                </c:pt>
                <c:pt idx="2">
                  <c:v>其他收入</c:v>
                </c:pt>
              </c:strCache>
            </c:strRef>
          </c:cat>
          <c:val>
            <c:numRef>
              <c:f>'[新建 Microsoft Excel 工作表.xlsx]Sheet1'!$B$36:$B$38</c:f>
              <c:numCache>
                <c:formatCode>General</c:formatCode>
                <c:ptCount val="3"/>
                <c:pt idx="0">
                  <c:v>1881.24</c:v>
                </c:pt>
                <c:pt idx="1">
                  <c:v>32.12</c:v>
                </c:pt>
                <c:pt idx="2">
                  <c:v>20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Microsoft Excel 工作表.xlsx]Sheet1'!$A$60:$A$61</c:f>
              <c:strCache>
                <c:ptCount val="2"/>
                <c:pt idx="0">
                  <c:v>基本支出</c:v>
                </c:pt>
                <c:pt idx="1">
                  <c:v>项目支出</c:v>
                </c:pt>
              </c:strCache>
            </c:strRef>
          </c:cat>
          <c:val>
            <c:numRef>
              <c:f>'[新建 Microsoft Excel 工作表.xlsx]Sheet1'!$B$60:$B$61</c:f>
              <c:numCache>
                <c:formatCode>General</c:formatCode>
                <c:ptCount val="2"/>
                <c:pt idx="0">
                  <c:v>1496.62</c:v>
                </c:pt>
                <c:pt idx="1">
                  <c:v>441.74</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3833333333333"/>
          <c:y val="0.325694444444444"/>
          <c:w val="0.882"/>
          <c:h val="0.606805555555556"/>
        </c:manualLayout>
      </c:layout>
      <c:barChart>
        <c:barDir val="col"/>
        <c:grouping val="clustered"/>
        <c:varyColors val="0"/>
        <c:ser>
          <c:idx val="0"/>
          <c:order val="0"/>
          <c:tx>
            <c:strRef>
              <c:f>'[新建 Microsoft Excel 工作表.xlsx]Sheet1'!$A$81</c:f>
              <c:strCache>
                <c:ptCount val="1"/>
                <c:pt idx="0">
                  <c:v>2022</c:v>
                </c:pt>
              </c:strCache>
            </c:strRef>
          </c:tx>
          <c:spPr>
            <a:solidFill>
              <a:schemeClr val="accent1"/>
            </a:solidFill>
            <a:ln>
              <a:noFill/>
            </a:ln>
            <a:effectLst/>
          </c:spPr>
          <c:invertIfNegative val="0"/>
          <c:dLbls>
            <c:delete val="1"/>
          </c:dLbls>
          <c:cat>
            <c:strRef>
              <c:f>'[新建 Microsoft Excel 工作表.xlsx]Sheet1'!$B$80:$C$80</c:f>
              <c:strCache>
                <c:ptCount val="2"/>
                <c:pt idx="0">
                  <c:v>收入总计</c:v>
                </c:pt>
                <c:pt idx="1">
                  <c:v>支出总计</c:v>
                </c:pt>
              </c:strCache>
            </c:strRef>
          </c:cat>
          <c:val>
            <c:numRef>
              <c:f>'[新建 Microsoft Excel 工作表.xlsx]Sheet1'!$B$81:$C$81</c:f>
              <c:numCache>
                <c:formatCode>General</c:formatCode>
                <c:ptCount val="2"/>
                <c:pt idx="0">
                  <c:v>1862.3</c:v>
                </c:pt>
                <c:pt idx="1">
                  <c:v>1862.3</c:v>
                </c:pt>
              </c:numCache>
            </c:numRef>
          </c:val>
        </c:ser>
        <c:ser>
          <c:idx val="1"/>
          <c:order val="1"/>
          <c:tx>
            <c:strRef>
              <c:f>'[新建 Microsoft Excel 工作表.xlsx]Sheet1'!$A$82</c:f>
              <c:strCache>
                <c:ptCount val="1"/>
                <c:pt idx="0">
                  <c:v>2023</c:v>
                </c:pt>
              </c:strCache>
            </c:strRef>
          </c:tx>
          <c:spPr>
            <a:solidFill>
              <a:schemeClr val="accent2"/>
            </a:solidFill>
            <a:ln>
              <a:noFill/>
            </a:ln>
            <a:effectLst/>
          </c:spPr>
          <c:invertIfNegative val="0"/>
          <c:dLbls>
            <c:delete val="1"/>
          </c:dLbls>
          <c:cat>
            <c:strRef>
              <c:f>'[新建 Microsoft Excel 工作表.xlsx]Sheet1'!$B$80:$C$80</c:f>
              <c:strCache>
                <c:ptCount val="2"/>
                <c:pt idx="0">
                  <c:v>收入总计</c:v>
                </c:pt>
                <c:pt idx="1">
                  <c:v>支出总计</c:v>
                </c:pt>
              </c:strCache>
            </c:strRef>
          </c:cat>
          <c:val>
            <c:numRef>
              <c:f>'[新建 Microsoft Excel 工作表.xlsx]Sheet1'!$B$82:$C$82</c:f>
              <c:numCache>
                <c:formatCode>General</c:formatCode>
                <c:ptCount val="2"/>
                <c:pt idx="0">
                  <c:v>1913.36</c:v>
                </c:pt>
                <c:pt idx="1">
                  <c:v>1913.36</c:v>
                </c:pt>
              </c:numCache>
            </c:numRef>
          </c:val>
        </c:ser>
        <c:dLbls>
          <c:showLegendKey val="0"/>
          <c:showVal val="0"/>
          <c:showCatName val="0"/>
          <c:showSerName val="0"/>
          <c:showPercent val="0"/>
          <c:showBubbleSize val="0"/>
        </c:dLbls>
        <c:gapWidth val="219"/>
        <c:overlap val="-27"/>
        <c:axId val="853857221"/>
        <c:axId val="118272601"/>
      </c:barChart>
      <c:catAx>
        <c:axId val="85385722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18272601"/>
        <c:crosses val="autoZero"/>
        <c:auto val="1"/>
        <c:lblAlgn val="ctr"/>
        <c:lblOffset val="100"/>
        <c:noMultiLvlLbl val="0"/>
      </c:catAx>
      <c:valAx>
        <c:axId val="11827260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5385722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'[新建 Microsoft Excel 工作表.xlsx]Sheet1'!$B$94</c:f>
              <c:strCache>
                <c:ptCount val="1"/>
                <c:pt idx="0">
                  <c:v>一般公共预算财政拨款支出</c:v>
                </c:pt>
              </c:strCache>
            </c:strRef>
          </c:tx>
          <c:spPr>
            <a:solidFill>
              <a:schemeClr val="accent1"/>
            </a:solidFill>
            <a:ln>
              <a:noFill/>
            </a:ln>
            <a:effectLst/>
          </c:spPr>
          <c:invertIfNegative val="0"/>
          <c:dLbls>
            <c:delete val="1"/>
          </c:dLbls>
          <c:cat>
            <c:numRef>
              <c:f>'[新建 Microsoft Excel 工作表.xlsx]Sheet1'!$A$95:$A$96</c:f>
              <c:numCache>
                <c:formatCode>General</c:formatCode>
                <c:ptCount val="2"/>
                <c:pt idx="0">
                  <c:v>2022</c:v>
                </c:pt>
                <c:pt idx="1">
                  <c:v>2023</c:v>
                </c:pt>
              </c:numCache>
            </c:numRef>
          </c:cat>
          <c:val>
            <c:numRef>
              <c:f>'[新建 Microsoft Excel 工作表.xlsx]Sheet1'!$B$95:$B$96</c:f>
              <c:numCache>
                <c:formatCode>General</c:formatCode>
                <c:ptCount val="2"/>
                <c:pt idx="0">
                  <c:v>1792.46</c:v>
                </c:pt>
                <c:pt idx="1">
                  <c:v>1881.24</c:v>
                </c:pt>
              </c:numCache>
            </c:numRef>
          </c:val>
        </c:ser>
        <c:dLbls>
          <c:showLegendKey val="0"/>
          <c:showVal val="0"/>
          <c:showCatName val="0"/>
          <c:showSerName val="0"/>
          <c:showPercent val="0"/>
          <c:showBubbleSize val="0"/>
        </c:dLbls>
        <c:gapWidth val="219"/>
        <c:overlap val="-27"/>
        <c:axId val="483199966"/>
        <c:axId val="996416942"/>
      </c:barChart>
      <c:catAx>
        <c:axId val="48319996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96416942"/>
        <c:crosses val="autoZero"/>
        <c:auto val="1"/>
        <c:lblAlgn val="ctr"/>
        <c:lblOffset val="100"/>
        <c:noMultiLvlLbl val="0"/>
      </c:catAx>
      <c:valAx>
        <c:axId val="99641694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319996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Microsoft Excel 工作表.xlsx]Sheet1'!$A$122:$A$129</c:f>
              <c:strCache>
                <c:ptCount val="8"/>
                <c:pt idx="0">
                  <c:v>一般公共服务支出</c:v>
                </c:pt>
                <c:pt idx="1">
                  <c:v>文化旅游体育与传媒支出</c:v>
                </c:pt>
                <c:pt idx="2">
                  <c:v>社会保障和就业支出</c:v>
                </c:pt>
                <c:pt idx="3">
                  <c:v>卫生健康支出</c:v>
                </c:pt>
                <c:pt idx="4">
                  <c:v>城乡社区支出</c:v>
                </c:pt>
                <c:pt idx="5">
                  <c:v>农林水支出</c:v>
                </c:pt>
                <c:pt idx="6">
                  <c:v>住房保障支出</c:v>
                </c:pt>
                <c:pt idx="7">
                  <c:v>灾害防治及应急管理支出</c:v>
                </c:pt>
              </c:strCache>
            </c:strRef>
          </c:cat>
          <c:val>
            <c:numRef>
              <c:f>'[新建 Microsoft Excel 工作表.xlsx]Sheet1'!$B$122:$B$129</c:f>
              <c:numCache>
                <c:formatCode>General</c:formatCode>
                <c:ptCount val="8"/>
                <c:pt idx="0">
                  <c:v>637.56</c:v>
                </c:pt>
                <c:pt idx="1">
                  <c:v>78.51</c:v>
                </c:pt>
                <c:pt idx="2">
                  <c:v>375.55</c:v>
                </c:pt>
                <c:pt idx="3">
                  <c:v>126.14</c:v>
                </c:pt>
                <c:pt idx="4">
                  <c:v>15.8</c:v>
                </c:pt>
                <c:pt idx="5">
                  <c:v>535.49</c:v>
                </c:pt>
                <c:pt idx="6">
                  <c:v>77.25</c:v>
                </c:pt>
                <c:pt idx="7">
                  <c:v>34.94</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Microsoft Excel 工作表.xlsx]Sheet1'!$A$136:$A$137</c:f>
              <c:strCache>
                <c:ptCount val="2"/>
                <c:pt idx="0">
                  <c:v>公务用车购置及运行维护费</c:v>
                </c:pt>
                <c:pt idx="1">
                  <c:v>公务接待费支出决算</c:v>
                </c:pt>
              </c:strCache>
            </c:strRef>
          </c:cat>
          <c:val>
            <c:numRef>
              <c:f>'[新建 Microsoft Excel 工作表.xlsx]Sheet1'!$B$136:$B$137</c:f>
              <c:numCache>
                <c:formatCode>General</c:formatCode>
                <c:ptCount val="2"/>
                <c:pt idx="0">
                  <c:v>6.29</c:v>
                </c:pt>
                <c:pt idx="1">
                  <c:v>0.03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72</Pages>
  <Words>10804</Words>
  <Characters>12494</Characters>
  <Lines>212</Lines>
  <Paragraphs>145</Paragraphs>
  <TotalTime>0</TotalTime>
  <ScaleCrop>false</ScaleCrop>
  <LinksUpToDate>false</LinksUpToDate>
  <CharactersWithSpaces>12537</CharactersWithSpaces>
  <Application>WPS Office_11.8.2.1114_F1E327BC-269C-435d-A152-05C5408002CA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2023-11-13T22:02:00Z</dcterms:created>
  <dc:creator>曹颖</dc:creator>
  <cp:lastModifiedBy>huawei</cp:lastModifiedBy>
  <cp:lastPrinted>2023-07-31T10:35:00Z</cp:lastPrinted>
  <dcterms:modified xsi:type="dcterms:W3CDTF">2024-12-24T10:03:53Z</dcterms:modified>
  <dc:title>四川省***</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2052-11.8.2.1114</vt:lpwstr>
  </property>
  <property fmtid="{D5CDD505-2E9C-101B-9397-08002B2CF9AE}" pid="3" name="ICV">
    <vt:lpwstr>B5A058356A7A415BB5B8BDC9B0763A7C_13</vt:lpwstr>
  </property>
</Properties>
</file>