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89F5C">
      <w:pPr>
        <w:spacing w:line="64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盐边县惠民镇人民政府</w:t>
      </w:r>
    </w:p>
    <w:p w14:paraId="4701897B">
      <w:pPr>
        <w:spacing w:line="64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2024年“三公”经费预算汇总情况</w:t>
      </w:r>
    </w:p>
    <w:p w14:paraId="3D5CB8DE">
      <w:pPr>
        <w:rPr>
          <w:rFonts w:hint="eastAsia"/>
        </w:rPr>
      </w:pPr>
    </w:p>
    <w:p w14:paraId="410E9837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 w14:paraId="4A0778EC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根据《中华人民共和国预算法》规定，盐边县惠民镇人民政府全年预算安排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“三公”经费</w:t>
      </w:r>
      <w:r>
        <w:rPr>
          <w:rFonts w:hint="eastAsia" w:ascii="Times New Roman" w:hAnsi="Times New Roman" w:eastAsia="仿宋_GB2312"/>
          <w:sz w:val="32"/>
          <w:szCs w:val="32"/>
        </w:rPr>
        <w:t>9.3万元，较2023年预算7.84万元增加1.46万元，增加2%。其中：因公出国（境）0万元，与2023年预算数持平；公务接待费0.4万元，与2023年预算数持平；公务用车购置及运行维护费8.9万元（其中公务用车购置费0万元），较2023年预算7.8万元增加1.16万元，增加2%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752"/>
    <w:rsid w:val="001A2E81"/>
    <w:rsid w:val="001E6BCE"/>
    <w:rsid w:val="00201273"/>
    <w:rsid w:val="00350F79"/>
    <w:rsid w:val="0048269B"/>
    <w:rsid w:val="004D5752"/>
    <w:rsid w:val="004D63D2"/>
    <w:rsid w:val="0064051D"/>
    <w:rsid w:val="00922E0B"/>
    <w:rsid w:val="00955E3F"/>
    <w:rsid w:val="03402D73"/>
    <w:rsid w:val="5B84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Lines="30"/>
    </w:pPr>
    <w:rPr>
      <w:rFonts w:ascii="仿宋_GB2312"/>
      <w:sz w:val="30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174</Words>
  <Characters>208</Characters>
  <Lines>1</Lines>
  <Paragraphs>1</Paragraphs>
  <TotalTime>3</TotalTime>
  <ScaleCrop>false</ScaleCrop>
  <LinksUpToDate>false</LinksUpToDate>
  <CharactersWithSpaces>208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2024-03-19T09:51:00Z</dcterms:created>
  <dc:creator>Admin</dc:creator>
  <cp:lastModifiedBy>杨璐</cp:lastModifiedBy>
  <dcterms:modified xsi:type="dcterms:W3CDTF">2024-12-23T08:43:17Z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7925620BA86F4FF4914164F9826EFEAD</vt:lpwstr>
  </property>
</Properties>
</file>