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outlineLvl w:val="9"/>
        <w:rPr>
          <w:rFonts w:ascii="方正小标宋简体" w:hAnsi="宋体" w:eastAsia="方正小标宋简体"/>
          <w:sz w:val="72"/>
          <w:szCs w:val="72"/>
        </w:rPr>
      </w:pPr>
      <w:bookmarkStart w:id="0" w:name="_Toc15377425"/>
      <w:bookmarkStart w:id="1" w:name="_Toc15396597"/>
      <w:bookmarkStart w:id="2" w:name="_Toc15396475"/>
      <w:bookmarkStart w:id="3" w:name="_Toc15377193"/>
      <w:bookmarkStart w:id="4" w:name="_Toc15378441"/>
      <w:bookmarkStart w:id="5" w:name="_Toc15306267"/>
    </w:p>
    <w:p>
      <w:pPr>
        <w:pStyle w:val="6"/>
        <w:spacing w:before="93"/>
      </w:pPr>
    </w:p>
    <w:p>
      <w:pPr>
        <w:spacing w:line="600" w:lineRule="exact"/>
        <w:jc w:val="center"/>
        <w:outlineLvl w:val="9"/>
        <w:rPr>
          <w:rFonts w:ascii="方正小标宋简体" w:hAnsi="宋体" w:eastAsia="方正小标宋简体"/>
          <w:sz w:val="72"/>
          <w:szCs w:val="72"/>
        </w:rPr>
      </w:pPr>
    </w:p>
    <w:p>
      <w:pPr>
        <w:spacing w:line="600" w:lineRule="exact"/>
        <w:jc w:val="center"/>
        <w:outlineLvl w:val="9"/>
        <w:rPr>
          <w:rFonts w:ascii="方正小标宋简体" w:hAnsi="宋体" w:eastAsia="方正小标宋简体"/>
          <w:sz w:val="72"/>
          <w:szCs w:val="72"/>
        </w:rPr>
      </w:pPr>
    </w:p>
    <w:p>
      <w:pPr>
        <w:adjustRightInd w:val="0"/>
        <w:snapToGrid w:val="0"/>
        <w:spacing w:line="360" w:lineRule="auto"/>
        <w:jc w:val="center"/>
        <w:outlineLvl w:val="0"/>
        <w:rPr>
          <w:rFonts w:hint="default" w:ascii="方正小标宋简体" w:hAnsi="方正小标宋简体" w:eastAsia="方正小标宋简体" w:cs="方正小标宋简体"/>
          <w:sz w:val="44"/>
          <w:szCs w:val="44"/>
        </w:rPr>
      </w:pPr>
      <w:bookmarkStart w:id="6" w:name="_Toc1214"/>
      <w:r>
        <w:rPr>
          <w:rFonts w:hint="default" w:ascii="方正小标宋简体" w:hAnsi="方正小标宋简体" w:eastAsia="方正小标宋简体" w:cs="方正小标宋简体"/>
          <w:sz w:val="44"/>
          <w:szCs w:val="44"/>
        </w:rPr>
        <w:t>2023年度</w:t>
      </w:r>
      <w:bookmarkEnd w:id="0"/>
      <w:bookmarkEnd w:id="1"/>
      <w:bookmarkEnd w:id="2"/>
      <w:bookmarkEnd w:id="3"/>
      <w:bookmarkEnd w:id="4"/>
      <w:bookmarkEnd w:id="6"/>
    </w:p>
    <w:bookmarkEnd w:id="5"/>
    <w:p>
      <w:pPr>
        <w:adjustRightInd w:val="0"/>
        <w:snapToGrid w:val="0"/>
        <w:spacing w:line="360" w:lineRule="auto"/>
        <w:jc w:val="center"/>
        <w:outlineLvl w:val="0"/>
        <w:rPr>
          <w:rFonts w:hint="default" w:ascii="方正小标宋简体" w:hAnsi="方正小标宋简体" w:eastAsia="方正小标宋简体" w:cs="方正小标宋简体"/>
          <w:sz w:val="44"/>
          <w:szCs w:val="44"/>
        </w:rPr>
      </w:pPr>
      <w:bookmarkStart w:id="7" w:name="_Toc16023"/>
      <w:bookmarkStart w:id="8" w:name="_Toc15396476"/>
      <w:bookmarkStart w:id="9" w:name="_Toc15377426"/>
      <w:bookmarkStart w:id="10" w:name="_Toc15396598"/>
      <w:bookmarkStart w:id="11" w:name="_Toc15377194"/>
      <w:bookmarkStart w:id="12" w:name="_Toc15306268"/>
      <w:bookmarkStart w:id="13" w:name="_Toc15378442"/>
      <w:r>
        <w:rPr>
          <w:rFonts w:hint="default" w:ascii="方正小标宋简体" w:hAnsi="方正小标宋简体" w:eastAsia="方正小标宋简体" w:cs="方正小标宋简体"/>
          <w:sz w:val="44"/>
          <w:szCs w:val="44"/>
        </w:rPr>
        <w:t>盐边县红十字会</w:t>
      </w:r>
      <w:bookmarkEnd w:id="7"/>
    </w:p>
    <w:p>
      <w:pPr>
        <w:adjustRightInd w:val="0"/>
        <w:snapToGrid w:val="0"/>
        <w:spacing w:line="360" w:lineRule="auto"/>
        <w:jc w:val="center"/>
        <w:outlineLvl w:val="0"/>
        <w:rPr>
          <w:rFonts w:hint="default" w:ascii="方正小标宋简体" w:hAnsi="方正小标宋简体" w:eastAsia="方正小标宋简体" w:cs="方正小标宋简体"/>
          <w:sz w:val="44"/>
          <w:szCs w:val="44"/>
        </w:rPr>
      </w:pPr>
      <w:bookmarkStart w:id="14" w:name="_Toc30194"/>
      <w:r>
        <w:rPr>
          <w:rFonts w:hint="default" w:ascii="方正小标宋简体" w:hAnsi="方正小标宋简体" w:eastAsia="方正小标宋简体" w:cs="方正小标宋简体"/>
          <w:sz w:val="44"/>
          <w:szCs w:val="44"/>
        </w:rPr>
        <w:t>部门决算</w:t>
      </w:r>
      <w:bookmarkEnd w:id="8"/>
      <w:bookmarkEnd w:id="9"/>
      <w:bookmarkEnd w:id="10"/>
      <w:bookmarkEnd w:id="11"/>
      <w:bookmarkEnd w:id="12"/>
      <w:bookmarkEnd w:id="13"/>
      <w:bookmarkEnd w:id="14"/>
    </w:p>
    <w:p>
      <w:pPr>
        <w:adjustRightInd w:val="0"/>
        <w:snapToGrid w:val="0"/>
        <w:spacing w:line="360" w:lineRule="auto"/>
        <w:jc w:val="center"/>
        <w:outlineLvl w:val="0"/>
        <w:rPr>
          <w:rFonts w:hint="default" w:ascii="方正小标宋简体" w:hAnsi="方正小标宋简体" w:eastAsia="方正小标宋简体" w:cs="方正小标宋简体"/>
          <w:sz w:val="44"/>
          <w:szCs w:val="44"/>
        </w:rPr>
        <w:sectPr>
          <w:headerReference r:id="rId5" w:type="first"/>
          <w:headerReference r:id="rId3" w:type="default"/>
          <w:footerReference r:id="rId6" w:type="default"/>
          <w:headerReference r:id="rId4" w:type="even"/>
          <w:footerReference r:id="rId7" w:type="even"/>
          <w:pgSz w:w="11906" w:h="16838"/>
          <w:pgMar w:top="1440" w:right="1800" w:bottom="1440" w:left="1800" w:header="851" w:footer="992" w:gutter="0"/>
          <w:pgNumType w:fmt="decimal" w:start="1"/>
          <w:cols w:space="425" w:num="1"/>
          <w:titlePg/>
          <w:docGrid w:type="lines" w:linePitch="312" w:charSpace="0"/>
        </w:sectPr>
      </w:pPr>
    </w:p>
    <w:p>
      <w:pPr>
        <w:widowControl/>
        <w:jc w:val="center"/>
        <w:rPr>
          <w:rFonts w:ascii="黑体" w:hAnsi="黑体" w:eastAsia="黑体"/>
          <w:sz w:val="48"/>
          <w:szCs w:val="48"/>
        </w:rPr>
      </w:pPr>
      <w:r>
        <w:rPr>
          <w:rFonts w:hint="eastAsia" w:ascii="黑体" w:hAnsi="黑体" w:eastAsia="黑体"/>
          <w:sz w:val="48"/>
          <w:szCs w:val="48"/>
        </w:rPr>
        <w:t>目录</w:t>
      </w:r>
    </w:p>
    <w:p>
      <w:pPr>
        <w:pStyle w:val="13"/>
        <w:rPr>
          <w:rFonts w:hint="eastAsia" w:ascii="Times New Roman" w:hAnsi="Times New Roman" w:cs="Times New Roman"/>
        </w:rPr>
      </w:pPr>
      <w:r>
        <w:rPr>
          <w:rFonts w:hint="default" w:ascii="Times New Roman" w:hAnsi="Times New Roman" w:cs="Times New Roman"/>
        </w:rPr>
        <w:t>公开时间：2024年10月28日</w:t>
      </w:r>
    </w:p>
    <w:sdt>
      <w:sdtPr>
        <w:rPr>
          <w:rFonts w:ascii="宋体" w:hAnsi="宋体" w:eastAsia="宋体" w:cs="Times New Roman"/>
          <w:kern w:val="2"/>
          <w:sz w:val="21"/>
          <w:szCs w:val="24"/>
          <w:lang w:val="en-US" w:eastAsia="zh-CN" w:bidi="ar-SA"/>
        </w:rPr>
        <w:id w:val="147452104"/>
        <w15:color w:val="DBDBDB"/>
        <w:docPartObj>
          <w:docPartGallery w:val="Table of Contents"/>
          <w:docPartUnique/>
        </w:docPartObj>
      </w:sdtPr>
      <w:sdtEndPr>
        <w:rPr>
          <w:rFonts w:hint="eastAsia" w:ascii="黑体" w:hAnsi="Times New Roman" w:eastAsia="黑体" w:cs="Times New Roman"/>
          <w:kern w:val="2"/>
          <w:sz w:val="32"/>
          <w:szCs w:val="32"/>
          <w:lang w:val="en-US" w:eastAsia="zh-CN" w:bidi="ar-SA"/>
        </w:rPr>
      </w:sdtEndPr>
      <w:sdtContent>
        <w:p>
          <w:pPr>
            <w:spacing w:before="0" w:beforeLines="0" w:after="0" w:afterLines="0" w:line="240" w:lineRule="auto"/>
            <w:ind w:left="0" w:leftChars="0" w:right="0" w:rightChars="0" w:firstLine="0" w:firstLineChars="0"/>
            <w:jc w:val="center"/>
          </w:pPr>
          <w:bookmarkStart w:id="15" w:name="_Toc15377196"/>
          <w:bookmarkStart w:id="16" w:name="_Toc15396599"/>
        </w:p>
        <w:p>
          <w:pPr>
            <w:pStyle w:val="37"/>
            <w:tabs>
              <w:tab w:val="right" w:leader="dot" w:pos="8300"/>
            </w:tabs>
            <w:rPr>
              <w:rFonts w:hint="eastAsia" w:ascii="CESI仿宋-GB13000" w:hAnsi="CESI仿宋-GB13000" w:eastAsia="CESI仿宋-GB13000" w:cs="CESI仿宋-GB13000"/>
              <w:kern w:val="2"/>
              <w:sz w:val="28"/>
              <w:szCs w:val="28"/>
              <w:lang w:val="en-US" w:eastAsia="zh-CN" w:bidi="ar-SA"/>
            </w:rPr>
          </w:pPr>
          <w:r>
            <w:rPr>
              <w:rFonts w:ascii="黑体" w:hAnsi="黑体" w:eastAsia="黑体"/>
              <w:b w:val="0"/>
            </w:rPr>
            <w:fldChar w:fldCharType="begin"/>
          </w:r>
          <w:r>
            <w:rPr>
              <w:rFonts w:ascii="黑体" w:hAnsi="黑体" w:eastAsia="黑体"/>
              <w:b w:val="0"/>
            </w:rPr>
            <w:instrText xml:space="preserve">TOC \o "1-3" \h \u </w:instrText>
          </w:r>
          <w:r>
            <w:rPr>
              <w:rFonts w:ascii="黑体" w:hAnsi="黑体" w:eastAsia="黑体"/>
              <w:b w:val="0"/>
            </w:rPr>
            <w:fldChar w:fldCharType="separate"/>
          </w:r>
          <w:r>
            <w:rPr>
              <w:rFonts w:hint="eastAsia" w:ascii="CESI仿宋-GB13000" w:hAnsi="CESI仿宋-GB13000" w:eastAsia="CESI仿宋-GB13000" w:cs="CESI仿宋-GB13000"/>
              <w:kern w:val="2"/>
              <w:sz w:val="28"/>
              <w:szCs w:val="28"/>
              <w:lang w:val="en-US" w:eastAsia="zh-CN" w:bidi="ar-SA"/>
            </w:rPr>
            <w:fldChar w:fldCharType="begin"/>
          </w:r>
          <w:r>
            <w:rPr>
              <w:rFonts w:hint="eastAsia" w:ascii="CESI仿宋-GB13000" w:hAnsi="CESI仿宋-GB13000" w:eastAsia="CESI仿宋-GB13000" w:cs="CESI仿宋-GB13000"/>
              <w:kern w:val="2"/>
              <w:sz w:val="28"/>
              <w:szCs w:val="28"/>
              <w:lang w:val="en-US" w:eastAsia="zh-CN" w:bidi="ar-SA"/>
            </w:rPr>
            <w:instrText xml:space="preserve"> HYPERLINK \l _Toc9951 </w:instrText>
          </w:r>
          <w:r>
            <w:rPr>
              <w:rFonts w:hint="eastAsia" w:ascii="CESI仿宋-GB13000" w:hAnsi="CESI仿宋-GB13000" w:eastAsia="CESI仿宋-GB13000" w:cs="CESI仿宋-GB13000"/>
              <w:kern w:val="2"/>
              <w:sz w:val="28"/>
              <w:szCs w:val="28"/>
              <w:lang w:val="en-US" w:eastAsia="zh-CN" w:bidi="ar-SA"/>
            </w:rPr>
            <w:fldChar w:fldCharType="separate"/>
          </w:r>
          <w:r>
            <w:rPr>
              <w:rFonts w:hint="eastAsia" w:ascii="CESI仿宋-GB13000" w:hAnsi="CESI仿宋-GB13000" w:eastAsia="CESI仿宋-GB13000" w:cs="CESI仿宋-GB13000"/>
              <w:kern w:val="2"/>
              <w:sz w:val="28"/>
              <w:szCs w:val="28"/>
              <w:lang w:val="en-US" w:eastAsia="zh-CN" w:bidi="ar-SA"/>
            </w:rPr>
            <w:t>第一部分 部门概况</w:t>
          </w:r>
          <w:r>
            <w:rPr>
              <w:rFonts w:hint="eastAsia" w:ascii="CESI仿宋-GB13000" w:hAnsi="CESI仿宋-GB13000" w:eastAsia="CESI仿宋-GB13000" w:cs="CESI仿宋-GB13000"/>
              <w:kern w:val="2"/>
              <w:sz w:val="28"/>
              <w:szCs w:val="28"/>
              <w:lang w:val="en-US" w:eastAsia="zh-CN" w:bidi="ar-SA"/>
            </w:rPr>
            <w:tab/>
          </w:r>
          <w:r>
            <w:rPr>
              <w:rFonts w:hint="eastAsia" w:ascii="CESI仿宋-GB13000" w:hAnsi="CESI仿宋-GB13000" w:eastAsia="CESI仿宋-GB13000" w:cs="CESI仿宋-GB13000"/>
              <w:kern w:val="2"/>
              <w:sz w:val="28"/>
              <w:szCs w:val="28"/>
              <w:lang w:val="en-US" w:eastAsia="zh-CN" w:bidi="ar-SA"/>
            </w:rPr>
            <w:fldChar w:fldCharType="begin"/>
          </w:r>
          <w:r>
            <w:rPr>
              <w:rFonts w:hint="eastAsia" w:ascii="CESI仿宋-GB13000" w:hAnsi="CESI仿宋-GB13000" w:eastAsia="CESI仿宋-GB13000" w:cs="CESI仿宋-GB13000"/>
              <w:kern w:val="2"/>
              <w:sz w:val="28"/>
              <w:szCs w:val="28"/>
              <w:lang w:val="en-US" w:eastAsia="zh-CN" w:bidi="ar-SA"/>
            </w:rPr>
            <w:instrText xml:space="preserve"> PAGEREF _Toc9951 \h </w:instrText>
          </w:r>
          <w:r>
            <w:rPr>
              <w:rFonts w:hint="eastAsia" w:ascii="CESI仿宋-GB13000" w:hAnsi="CESI仿宋-GB13000" w:eastAsia="CESI仿宋-GB13000" w:cs="CESI仿宋-GB13000"/>
              <w:kern w:val="2"/>
              <w:sz w:val="28"/>
              <w:szCs w:val="28"/>
              <w:lang w:val="en-US" w:eastAsia="zh-CN" w:bidi="ar-SA"/>
            </w:rPr>
            <w:fldChar w:fldCharType="separate"/>
          </w:r>
          <w:r>
            <w:rPr>
              <w:rFonts w:hint="eastAsia" w:ascii="CESI仿宋-GB13000" w:hAnsi="CESI仿宋-GB13000" w:eastAsia="CESI仿宋-GB13000" w:cs="CESI仿宋-GB13000"/>
              <w:kern w:val="2"/>
              <w:sz w:val="28"/>
              <w:szCs w:val="28"/>
              <w:lang w:val="en-US" w:eastAsia="zh-CN" w:bidi="ar-SA"/>
            </w:rPr>
            <w:t>1</w:t>
          </w:r>
          <w:r>
            <w:rPr>
              <w:rFonts w:hint="eastAsia" w:ascii="CESI仿宋-GB13000" w:hAnsi="CESI仿宋-GB13000" w:eastAsia="CESI仿宋-GB13000" w:cs="CESI仿宋-GB13000"/>
              <w:kern w:val="2"/>
              <w:sz w:val="28"/>
              <w:szCs w:val="28"/>
              <w:lang w:val="en-US" w:eastAsia="zh-CN" w:bidi="ar-SA"/>
            </w:rPr>
            <w:fldChar w:fldCharType="end"/>
          </w:r>
          <w:r>
            <w:rPr>
              <w:rFonts w:hint="eastAsia" w:ascii="CESI仿宋-GB13000" w:hAnsi="CESI仿宋-GB13000" w:eastAsia="CESI仿宋-GB13000" w:cs="CESI仿宋-GB13000"/>
              <w:kern w:val="2"/>
              <w:sz w:val="28"/>
              <w:szCs w:val="28"/>
              <w:lang w:val="en-US" w:eastAsia="zh-CN" w:bidi="ar-SA"/>
            </w:rPr>
            <w:fldChar w:fldCharType="end"/>
          </w:r>
        </w:p>
        <w:p>
          <w:pPr>
            <w:pStyle w:val="15"/>
            <w:tabs>
              <w:tab w:val="right" w:leader="dot" w:pos="8306"/>
              <w:tab w:val="clear" w:pos="8296"/>
            </w:tabs>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_Toc15883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lang w:val="en-US" w:eastAsia="zh-CN"/>
            </w:rPr>
            <w:t>一、部门职责</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PAGEREF _Toc15883 \h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1</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fldChar w:fldCharType="end"/>
          </w:r>
        </w:p>
        <w:p>
          <w:pPr>
            <w:pStyle w:val="15"/>
            <w:tabs>
              <w:tab w:val="right" w:leader="dot" w:pos="8306"/>
              <w:tab w:val="clear" w:pos="8296"/>
            </w:tabs>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_Toc11741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lang w:val="en-US" w:eastAsia="zh-CN"/>
            </w:rPr>
            <w:t>二、机构设置</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PAGEREF _Toc11741 \h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1</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fldChar w:fldCharType="end"/>
          </w:r>
        </w:p>
        <w:p>
          <w:pPr>
            <w:pStyle w:val="37"/>
            <w:tabs>
              <w:tab w:val="right" w:leader="dot" w:pos="8300"/>
            </w:tabs>
            <w:rPr>
              <w:rFonts w:hint="eastAsia" w:ascii="CESI仿宋-GB13000" w:hAnsi="CESI仿宋-GB13000" w:eastAsia="CESI仿宋-GB13000" w:cs="CESI仿宋-GB13000"/>
              <w:kern w:val="2"/>
              <w:sz w:val="28"/>
              <w:szCs w:val="28"/>
              <w:lang w:val="en-US" w:eastAsia="zh-CN" w:bidi="ar-SA"/>
            </w:rPr>
          </w:pPr>
          <w:r>
            <w:rPr>
              <w:rFonts w:hint="eastAsia" w:ascii="CESI仿宋-GB13000" w:hAnsi="CESI仿宋-GB13000" w:eastAsia="CESI仿宋-GB13000" w:cs="CESI仿宋-GB13000"/>
              <w:kern w:val="2"/>
              <w:sz w:val="28"/>
              <w:szCs w:val="28"/>
              <w:lang w:val="en-US" w:eastAsia="zh-CN" w:bidi="ar-SA"/>
            </w:rPr>
            <w:fldChar w:fldCharType="begin"/>
          </w:r>
          <w:r>
            <w:rPr>
              <w:rFonts w:hint="eastAsia" w:ascii="CESI仿宋-GB13000" w:hAnsi="CESI仿宋-GB13000" w:eastAsia="CESI仿宋-GB13000" w:cs="CESI仿宋-GB13000"/>
              <w:kern w:val="2"/>
              <w:sz w:val="28"/>
              <w:szCs w:val="28"/>
              <w:lang w:val="en-US" w:eastAsia="zh-CN" w:bidi="ar-SA"/>
            </w:rPr>
            <w:instrText xml:space="preserve"> HYPERLINK \l _Toc25811 </w:instrText>
          </w:r>
          <w:r>
            <w:rPr>
              <w:rFonts w:hint="eastAsia" w:ascii="CESI仿宋-GB13000" w:hAnsi="CESI仿宋-GB13000" w:eastAsia="CESI仿宋-GB13000" w:cs="CESI仿宋-GB13000"/>
              <w:kern w:val="2"/>
              <w:sz w:val="28"/>
              <w:szCs w:val="28"/>
              <w:lang w:val="en-US" w:eastAsia="zh-CN" w:bidi="ar-SA"/>
            </w:rPr>
            <w:fldChar w:fldCharType="separate"/>
          </w:r>
          <w:r>
            <w:rPr>
              <w:rFonts w:hint="eastAsia" w:ascii="CESI仿宋-GB13000" w:hAnsi="CESI仿宋-GB13000" w:eastAsia="CESI仿宋-GB13000" w:cs="CESI仿宋-GB13000"/>
              <w:kern w:val="2"/>
              <w:sz w:val="28"/>
              <w:szCs w:val="28"/>
              <w:lang w:val="en-US" w:eastAsia="zh-CN" w:bidi="ar-SA"/>
            </w:rPr>
            <w:t>第二部分 2023年度部门决算情况说明</w:t>
          </w:r>
          <w:r>
            <w:rPr>
              <w:rFonts w:hint="eastAsia" w:ascii="CESI仿宋-GB13000" w:hAnsi="CESI仿宋-GB13000" w:eastAsia="CESI仿宋-GB13000" w:cs="CESI仿宋-GB13000"/>
              <w:kern w:val="2"/>
              <w:sz w:val="28"/>
              <w:szCs w:val="28"/>
              <w:lang w:val="en-US" w:eastAsia="zh-CN" w:bidi="ar-SA"/>
            </w:rPr>
            <w:tab/>
          </w:r>
          <w:r>
            <w:rPr>
              <w:rFonts w:hint="eastAsia" w:ascii="CESI仿宋-GB13000" w:hAnsi="CESI仿宋-GB13000" w:eastAsia="CESI仿宋-GB13000" w:cs="CESI仿宋-GB13000"/>
              <w:kern w:val="2"/>
              <w:sz w:val="28"/>
              <w:szCs w:val="28"/>
              <w:lang w:val="en-US" w:eastAsia="zh-CN" w:bidi="ar-SA"/>
            </w:rPr>
            <w:fldChar w:fldCharType="begin"/>
          </w:r>
          <w:r>
            <w:rPr>
              <w:rFonts w:hint="eastAsia" w:ascii="CESI仿宋-GB13000" w:hAnsi="CESI仿宋-GB13000" w:eastAsia="CESI仿宋-GB13000" w:cs="CESI仿宋-GB13000"/>
              <w:kern w:val="2"/>
              <w:sz w:val="28"/>
              <w:szCs w:val="28"/>
              <w:lang w:val="en-US" w:eastAsia="zh-CN" w:bidi="ar-SA"/>
            </w:rPr>
            <w:instrText xml:space="preserve"> PAGEREF _Toc25811 \h </w:instrText>
          </w:r>
          <w:r>
            <w:rPr>
              <w:rFonts w:hint="eastAsia" w:ascii="CESI仿宋-GB13000" w:hAnsi="CESI仿宋-GB13000" w:eastAsia="CESI仿宋-GB13000" w:cs="CESI仿宋-GB13000"/>
              <w:kern w:val="2"/>
              <w:sz w:val="28"/>
              <w:szCs w:val="28"/>
              <w:lang w:val="en-US" w:eastAsia="zh-CN" w:bidi="ar-SA"/>
            </w:rPr>
            <w:fldChar w:fldCharType="separate"/>
          </w:r>
          <w:r>
            <w:rPr>
              <w:rFonts w:hint="eastAsia" w:ascii="CESI仿宋-GB13000" w:hAnsi="CESI仿宋-GB13000" w:eastAsia="CESI仿宋-GB13000" w:cs="CESI仿宋-GB13000"/>
              <w:kern w:val="2"/>
              <w:sz w:val="28"/>
              <w:szCs w:val="28"/>
              <w:lang w:val="en-US" w:eastAsia="zh-CN" w:bidi="ar-SA"/>
            </w:rPr>
            <w:t>2</w:t>
          </w:r>
          <w:r>
            <w:rPr>
              <w:rFonts w:hint="eastAsia" w:ascii="CESI仿宋-GB13000" w:hAnsi="CESI仿宋-GB13000" w:eastAsia="CESI仿宋-GB13000" w:cs="CESI仿宋-GB13000"/>
              <w:kern w:val="2"/>
              <w:sz w:val="28"/>
              <w:szCs w:val="28"/>
              <w:lang w:val="en-US" w:eastAsia="zh-CN" w:bidi="ar-SA"/>
            </w:rPr>
            <w:fldChar w:fldCharType="end"/>
          </w:r>
          <w:r>
            <w:rPr>
              <w:rFonts w:hint="eastAsia" w:ascii="CESI仿宋-GB13000" w:hAnsi="CESI仿宋-GB13000" w:eastAsia="CESI仿宋-GB13000" w:cs="CESI仿宋-GB13000"/>
              <w:kern w:val="2"/>
              <w:sz w:val="28"/>
              <w:szCs w:val="28"/>
              <w:lang w:val="en-US" w:eastAsia="zh-CN" w:bidi="ar-SA"/>
            </w:rPr>
            <w:fldChar w:fldCharType="end"/>
          </w:r>
        </w:p>
        <w:p>
          <w:pPr>
            <w:pStyle w:val="15"/>
            <w:tabs>
              <w:tab w:val="right" w:leader="dot" w:pos="8306"/>
              <w:tab w:val="clear" w:pos="8296"/>
            </w:tabs>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_Toc31072 </w:instrText>
          </w:r>
          <w:r>
            <w:rPr>
              <w:rFonts w:hint="eastAsia" w:asciiTheme="minorEastAsia" w:hAnsiTheme="minorEastAsia" w:eastAsiaTheme="minorEastAsia" w:cstheme="minorEastAsia"/>
              <w:sz w:val="24"/>
              <w:szCs w:val="24"/>
            </w:rPr>
            <w:fldChar w:fldCharType="separate"/>
          </w:r>
          <w:r>
            <w:rPr>
              <w:rFonts w:hint="default" w:asciiTheme="minorEastAsia" w:hAnsiTheme="minorEastAsia" w:eastAsiaTheme="minorEastAsia" w:cstheme="minorEastAsia"/>
              <w:sz w:val="24"/>
              <w:szCs w:val="24"/>
              <w:lang w:val="en-US" w:eastAsia="zh-CN"/>
            </w:rPr>
            <w:t>一、</w:t>
          </w:r>
          <w:r>
            <w:rPr>
              <w:rFonts w:hint="eastAsia" w:asciiTheme="minorEastAsia" w:hAnsiTheme="minorEastAsia" w:eastAsiaTheme="minorEastAsia" w:cstheme="minorEastAsia"/>
              <w:sz w:val="24"/>
              <w:szCs w:val="24"/>
              <w:lang w:val="en-US" w:eastAsia="zh-CN"/>
            </w:rPr>
            <w:t>收入支出决算总体情况说明</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PAGEREF _Toc31072 \h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2</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fldChar w:fldCharType="end"/>
          </w:r>
        </w:p>
        <w:p>
          <w:pPr>
            <w:pStyle w:val="15"/>
            <w:tabs>
              <w:tab w:val="right" w:leader="dot" w:pos="8306"/>
              <w:tab w:val="clear" w:pos="8296"/>
            </w:tabs>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_Toc17050 </w:instrText>
          </w:r>
          <w:r>
            <w:rPr>
              <w:rFonts w:hint="eastAsia" w:asciiTheme="minorEastAsia" w:hAnsiTheme="minorEastAsia" w:eastAsiaTheme="minorEastAsia" w:cstheme="minorEastAsia"/>
              <w:sz w:val="24"/>
              <w:szCs w:val="24"/>
            </w:rPr>
            <w:fldChar w:fldCharType="separate"/>
          </w:r>
          <w:r>
            <w:rPr>
              <w:rFonts w:hint="default" w:asciiTheme="minorEastAsia" w:hAnsiTheme="minorEastAsia" w:eastAsiaTheme="minorEastAsia" w:cstheme="minorEastAsia"/>
              <w:sz w:val="24"/>
              <w:szCs w:val="24"/>
              <w:lang w:val="en-US" w:eastAsia="zh-CN"/>
            </w:rPr>
            <w:t>二、</w:t>
          </w:r>
          <w:r>
            <w:rPr>
              <w:rFonts w:hint="eastAsia" w:asciiTheme="minorEastAsia" w:hAnsiTheme="minorEastAsia" w:eastAsiaTheme="minorEastAsia" w:cstheme="minorEastAsia"/>
              <w:sz w:val="24"/>
              <w:szCs w:val="24"/>
              <w:lang w:val="en-US" w:eastAsia="zh-CN"/>
            </w:rPr>
            <w:t>收入决算情况说明</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PAGEREF _Toc17050 \h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3</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fldChar w:fldCharType="end"/>
          </w:r>
        </w:p>
        <w:p>
          <w:pPr>
            <w:pStyle w:val="15"/>
            <w:tabs>
              <w:tab w:val="right" w:leader="dot" w:pos="8306"/>
              <w:tab w:val="clear" w:pos="8296"/>
            </w:tabs>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_Toc25769 </w:instrText>
          </w:r>
          <w:r>
            <w:rPr>
              <w:rFonts w:hint="eastAsia" w:asciiTheme="minorEastAsia" w:hAnsiTheme="minorEastAsia" w:eastAsiaTheme="minorEastAsia" w:cstheme="minorEastAsia"/>
              <w:sz w:val="24"/>
              <w:szCs w:val="24"/>
            </w:rPr>
            <w:fldChar w:fldCharType="separate"/>
          </w:r>
          <w:r>
            <w:rPr>
              <w:rFonts w:hint="default" w:asciiTheme="minorEastAsia" w:hAnsiTheme="minorEastAsia" w:eastAsiaTheme="minorEastAsia" w:cstheme="minorEastAsia"/>
              <w:sz w:val="24"/>
              <w:szCs w:val="24"/>
              <w:lang w:val="en-US" w:eastAsia="zh-CN"/>
            </w:rPr>
            <w:t>三、</w:t>
          </w:r>
          <w:r>
            <w:rPr>
              <w:rFonts w:hint="eastAsia" w:asciiTheme="minorEastAsia" w:hAnsiTheme="minorEastAsia" w:eastAsiaTheme="minorEastAsia" w:cstheme="minorEastAsia"/>
              <w:sz w:val="24"/>
              <w:szCs w:val="24"/>
              <w:lang w:val="en-US" w:eastAsia="zh-CN"/>
            </w:rPr>
            <w:t>支出决算情况说明</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PAGEREF _Toc25769 \h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4</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fldChar w:fldCharType="end"/>
          </w:r>
        </w:p>
        <w:p>
          <w:pPr>
            <w:pStyle w:val="15"/>
            <w:tabs>
              <w:tab w:val="right" w:leader="dot" w:pos="8306"/>
              <w:tab w:val="clear" w:pos="8296"/>
            </w:tabs>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_Toc14581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lang w:val="en-US" w:eastAsia="zh-CN"/>
            </w:rPr>
            <w:t>四、财政拨款收入支出决算总体情况说明</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PAGEREF _Toc14581 \h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4</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fldChar w:fldCharType="end"/>
          </w:r>
        </w:p>
        <w:p>
          <w:pPr>
            <w:pStyle w:val="15"/>
            <w:tabs>
              <w:tab w:val="right" w:leader="dot" w:pos="8306"/>
              <w:tab w:val="clear" w:pos="8296"/>
            </w:tabs>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_Toc408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lang w:val="en-US" w:eastAsia="zh-CN"/>
            </w:rPr>
            <w:t>五、一般公共预算财政拨款支出决算情况说明</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lang w:val="en-US" w:eastAsia="zh-CN"/>
            </w:rPr>
            <w:t>4</w:t>
          </w:r>
          <w:r>
            <w:rPr>
              <w:rFonts w:hint="eastAsia" w:asciiTheme="minorEastAsia" w:hAnsiTheme="minorEastAsia" w:eastAsiaTheme="minorEastAsia" w:cstheme="minorEastAsia"/>
              <w:sz w:val="24"/>
              <w:szCs w:val="24"/>
            </w:rPr>
            <w:fldChar w:fldCharType="end"/>
          </w:r>
        </w:p>
        <w:p>
          <w:pPr>
            <w:pStyle w:val="15"/>
            <w:tabs>
              <w:tab w:val="right" w:leader="dot" w:pos="8306"/>
              <w:tab w:val="clear" w:pos="8296"/>
            </w:tabs>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_Toc20349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lang w:val="en-US" w:eastAsia="zh-CN"/>
            </w:rPr>
            <w:t>六、一般公共预算财政拨款基本支出决算情况说明</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lang w:val="en-US" w:eastAsia="zh-CN"/>
            </w:rPr>
            <w:t>6</w:t>
          </w:r>
          <w:r>
            <w:rPr>
              <w:rFonts w:hint="eastAsia" w:asciiTheme="minorEastAsia" w:hAnsiTheme="minorEastAsia" w:eastAsiaTheme="minorEastAsia" w:cstheme="minorEastAsia"/>
              <w:sz w:val="24"/>
              <w:szCs w:val="24"/>
            </w:rPr>
            <w:fldChar w:fldCharType="end"/>
          </w:r>
        </w:p>
        <w:p>
          <w:pPr>
            <w:pStyle w:val="15"/>
            <w:tabs>
              <w:tab w:val="right" w:leader="dot" w:pos="8306"/>
              <w:tab w:val="clear" w:pos="8296"/>
            </w:tabs>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_Toc9635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lang w:val="en-US" w:eastAsia="zh-CN"/>
            </w:rPr>
            <w:t>七、财政拨款“三公”经费支出决算情况说明</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lang w:val="en-US" w:eastAsia="zh-CN"/>
            </w:rPr>
            <w:t>7</w:t>
          </w:r>
          <w:r>
            <w:rPr>
              <w:rFonts w:hint="eastAsia" w:asciiTheme="minorEastAsia" w:hAnsiTheme="minorEastAsia" w:eastAsiaTheme="minorEastAsia" w:cstheme="minorEastAsia"/>
              <w:sz w:val="24"/>
              <w:szCs w:val="24"/>
            </w:rPr>
            <w:fldChar w:fldCharType="end"/>
          </w:r>
        </w:p>
        <w:p>
          <w:pPr>
            <w:pStyle w:val="15"/>
            <w:tabs>
              <w:tab w:val="right" w:leader="dot" w:pos="8306"/>
              <w:tab w:val="clear" w:pos="8296"/>
            </w:tabs>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_Toc10216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八、政府性基金预算支出决算情况说明</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lang w:val="en-US" w:eastAsia="zh-CN"/>
            </w:rPr>
            <w:t>8</w:t>
          </w:r>
          <w:r>
            <w:rPr>
              <w:rFonts w:hint="eastAsia" w:asciiTheme="minorEastAsia" w:hAnsiTheme="minorEastAsia" w:eastAsiaTheme="minorEastAsia" w:cstheme="minorEastAsia"/>
              <w:sz w:val="24"/>
              <w:szCs w:val="24"/>
            </w:rPr>
            <w:fldChar w:fldCharType="end"/>
          </w:r>
        </w:p>
        <w:p>
          <w:pPr>
            <w:pStyle w:val="15"/>
            <w:tabs>
              <w:tab w:val="right" w:leader="dot" w:pos="8306"/>
              <w:tab w:val="clear" w:pos="8296"/>
            </w:tabs>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_Toc21029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lang w:val="en-US" w:eastAsia="zh-CN"/>
            </w:rPr>
            <w:t>九、</w:t>
          </w:r>
          <w:r>
            <w:rPr>
              <w:rFonts w:hint="eastAsia" w:asciiTheme="minorEastAsia" w:hAnsiTheme="minorEastAsia" w:eastAsiaTheme="minorEastAsia" w:cstheme="minorEastAsia"/>
              <w:sz w:val="24"/>
              <w:szCs w:val="24"/>
            </w:rPr>
            <w:t>国有资本经营预算支出决算情况说明</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lang w:val="en-US" w:eastAsia="zh-CN"/>
            </w:rPr>
            <w:t>8</w:t>
          </w:r>
          <w:r>
            <w:rPr>
              <w:rFonts w:hint="eastAsia" w:asciiTheme="minorEastAsia" w:hAnsiTheme="minorEastAsia" w:eastAsiaTheme="minorEastAsia" w:cstheme="minorEastAsia"/>
              <w:sz w:val="24"/>
              <w:szCs w:val="24"/>
            </w:rPr>
            <w:fldChar w:fldCharType="end"/>
          </w:r>
        </w:p>
        <w:p>
          <w:pPr>
            <w:pStyle w:val="15"/>
            <w:tabs>
              <w:tab w:val="right" w:leader="dot" w:pos="8306"/>
              <w:tab w:val="clear" w:pos="8296"/>
            </w:tabs>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\l _Toc4968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lang w:val="en-US" w:eastAsia="zh-CN"/>
            </w:rPr>
            <w:t>十、</w:t>
          </w:r>
          <w:r>
            <w:rPr>
              <w:rFonts w:hint="eastAsia" w:asciiTheme="minorEastAsia" w:hAnsiTheme="minorEastAsia" w:eastAsiaTheme="minorEastAsia" w:cstheme="minorEastAsia"/>
              <w:sz w:val="24"/>
              <w:szCs w:val="24"/>
            </w:rPr>
            <w:t>其他重要事项的情况说明</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lang w:val="en-US" w:eastAsia="zh-CN"/>
            </w:rPr>
            <w:t>8</w:t>
          </w:r>
          <w:r>
            <w:rPr>
              <w:rFonts w:hint="eastAsia" w:asciiTheme="minorEastAsia" w:hAnsiTheme="minorEastAsia" w:eastAsiaTheme="minorEastAsia" w:cstheme="minorEastAsia"/>
              <w:sz w:val="24"/>
              <w:szCs w:val="24"/>
            </w:rPr>
            <w:fldChar w:fldCharType="end"/>
          </w:r>
        </w:p>
        <w:p>
          <w:pPr>
            <w:pStyle w:val="37"/>
            <w:tabs>
              <w:tab w:val="right" w:leader="dot" w:pos="8300"/>
            </w:tabs>
            <w:rPr>
              <w:rFonts w:hint="eastAsia" w:ascii="CESI仿宋-GB13000" w:hAnsi="CESI仿宋-GB13000" w:eastAsia="CESI仿宋-GB13000" w:cs="CESI仿宋-GB13000"/>
              <w:kern w:val="2"/>
              <w:sz w:val="28"/>
              <w:szCs w:val="28"/>
              <w:lang w:val="en-US" w:eastAsia="zh-CN" w:bidi="ar-SA"/>
            </w:rPr>
          </w:pPr>
          <w:r>
            <w:rPr>
              <w:rFonts w:hint="eastAsia" w:ascii="CESI仿宋-GB13000" w:hAnsi="CESI仿宋-GB13000" w:eastAsia="CESI仿宋-GB13000" w:cs="CESI仿宋-GB13000"/>
              <w:kern w:val="2"/>
              <w:sz w:val="28"/>
              <w:szCs w:val="28"/>
              <w:lang w:val="en-US" w:eastAsia="zh-CN" w:bidi="ar-SA"/>
            </w:rPr>
            <w:fldChar w:fldCharType="begin"/>
          </w:r>
          <w:r>
            <w:rPr>
              <w:rFonts w:hint="eastAsia" w:ascii="CESI仿宋-GB13000" w:hAnsi="CESI仿宋-GB13000" w:eastAsia="CESI仿宋-GB13000" w:cs="CESI仿宋-GB13000"/>
              <w:kern w:val="2"/>
              <w:sz w:val="28"/>
              <w:szCs w:val="28"/>
              <w:lang w:val="en-US" w:eastAsia="zh-CN" w:bidi="ar-SA"/>
            </w:rPr>
            <w:instrText xml:space="preserve"> HYPERLINK \l _Toc25192 </w:instrText>
          </w:r>
          <w:r>
            <w:rPr>
              <w:rFonts w:hint="eastAsia" w:ascii="CESI仿宋-GB13000" w:hAnsi="CESI仿宋-GB13000" w:eastAsia="CESI仿宋-GB13000" w:cs="CESI仿宋-GB13000"/>
              <w:kern w:val="2"/>
              <w:sz w:val="28"/>
              <w:szCs w:val="28"/>
              <w:lang w:val="en-US" w:eastAsia="zh-CN" w:bidi="ar-SA"/>
            </w:rPr>
            <w:fldChar w:fldCharType="separate"/>
          </w:r>
          <w:r>
            <w:rPr>
              <w:rFonts w:hint="eastAsia" w:ascii="CESI仿宋-GB13000" w:hAnsi="CESI仿宋-GB13000" w:eastAsia="CESI仿宋-GB13000" w:cs="CESI仿宋-GB13000"/>
              <w:kern w:val="2"/>
              <w:sz w:val="28"/>
              <w:szCs w:val="28"/>
              <w:lang w:val="en-US" w:eastAsia="zh-CN" w:bidi="ar-SA"/>
            </w:rPr>
            <w:t>第三部分 名词解释</w:t>
          </w:r>
          <w:r>
            <w:rPr>
              <w:rFonts w:hint="eastAsia" w:ascii="CESI仿宋-GB13000" w:hAnsi="CESI仿宋-GB13000" w:eastAsia="CESI仿宋-GB13000" w:cs="CESI仿宋-GB13000"/>
              <w:kern w:val="2"/>
              <w:sz w:val="28"/>
              <w:szCs w:val="28"/>
              <w:lang w:val="en-US" w:eastAsia="zh-CN" w:bidi="ar-SA"/>
            </w:rPr>
            <w:tab/>
          </w:r>
          <w:r>
            <w:rPr>
              <w:rFonts w:hint="eastAsia" w:ascii="CESI仿宋-GB13000" w:hAnsi="CESI仿宋-GB13000" w:eastAsia="CESI仿宋-GB13000" w:cs="CESI仿宋-GB13000"/>
              <w:kern w:val="2"/>
              <w:sz w:val="28"/>
              <w:szCs w:val="28"/>
              <w:lang w:val="en-US" w:eastAsia="zh-CN" w:bidi="ar-SA"/>
            </w:rPr>
            <w:t>1</w:t>
          </w:r>
          <w:r>
            <w:rPr>
              <w:rFonts w:hint="eastAsia" w:ascii="CESI仿宋-GB13000" w:hAnsi="CESI仿宋-GB13000" w:eastAsia="CESI仿宋-GB13000" w:cs="CESI仿宋-GB13000"/>
              <w:kern w:val="2"/>
              <w:sz w:val="28"/>
              <w:szCs w:val="28"/>
              <w:lang w:val="en-US" w:eastAsia="zh-CN" w:bidi="ar-SA"/>
            </w:rPr>
            <w:fldChar w:fldCharType="end"/>
          </w:r>
          <w:r>
            <w:rPr>
              <w:rFonts w:hint="eastAsia" w:ascii="CESI仿宋-GB13000" w:hAnsi="CESI仿宋-GB13000" w:eastAsia="CESI仿宋-GB13000" w:cs="CESI仿宋-GB13000"/>
              <w:kern w:val="2"/>
              <w:sz w:val="28"/>
              <w:szCs w:val="28"/>
              <w:lang w:val="en-US" w:eastAsia="zh-CN" w:bidi="ar-SA"/>
            </w:rPr>
            <w:t>0</w:t>
          </w:r>
        </w:p>
        <w:p>
          <w:pPr>
            <w:pStyle w:val="37"/>
            <w:tabs>
              <w:tab w:val="right" w:leader="dot" w:pos="8300"/>
            </w:tabs>
            <w:rPr>
              <w:rFonts w:hint="eastAsia" w:ascii="CESI仿宋-GB13000" w:hAnsi="CESI仿宋-GB13000" w:eastAsia="CESI仿宋-GB13000" w:cs="CESI仿宋-GB13000"/>
              <w:kern w:val="2"/>
              <w:sz w:val="28"/>
              <w:szCs w:val="28"/>
              <w:lang w:val="en-US" w:eastAsia="zh-CN" w:bidi="ar-SA"/>
            </w:rPr>
          </w:pPr>
          <w:r>
            <w:rPr>
              <w:rFonts w:hint="eastAsia" w:ascii="CESI仿宋-GB13000" w:hAnsi="CESI仿宋-GB13000" w:eastAsia="CESI仿宋-GB13000" w:cs="CESI仿宋-GB13000"/>
              <w:kern w:val="2"/>
              <w:sz w:val="28"/>
              <w:szCs w:val="28"/>
              <w:lang w:val="en-US" w:eastAsia="zh-CN" w:bidi="ar-SA"/>
            </w:rPr>
            <w:fldChar w:fldCharType="begin"/>
          </w:r>
          <w:r>
            <w:rPr>
              <w:rFonts w:hint="eastAsia" w:ascii="CESI仿宋-GB13000" w:hAnsi="CESI仿宋-GB13000" w:eastAsia="CESI仿宋-GB13000" w:cs="CESI仿宋-GB13000"/>
              <w:kern w:val="2"/>
              <w:sz w:val="28"/>
              <w:szCs w:val="28"/>
              <w:lang w:val="en-US" w:eastAsia="zh-CN" w:bidi="ar-SA"/>
            </w:rPr>
            <w:instrText xml:space="preserve"> HYPERLINK \l _Toc15303 </w:instrText>
          </w:r>
          <w:r>
            <w:rPr>
              <w:rFonts w:hint="eastAsia" w:ascii="CESI仿宋-GB13000" w:hAnsi="CESI仿宋-GB13000" w:eastAsia="CESI仿宋-GB13000" w:cs="CESI仿宋-GB13000"/>
              <w:kern w:val="2"/>
              <w:sz w:val="28"/>
              <w:szCs w:val="28"/>
              <w:lang w:val="en-US" w:eastAsia="zh-CN" w:bidi="ar-SA"/>
            </w:rPr>
            <w:fldChar w:fldCharType="separate"/>
          </w:r>
          <w:r>
            <w:rPr>
              <w:rFonts w:hint="eastAsia" w:ascii="CESI仿宋-GB13000" w:hAnsi="CESI仿宋-GB13000" w:eastAsia="CESI仿宋-GB13000" w:cs="CESI仿宋-GB13000"/>
              <w:kern w:val="2"/>
              <w:sz w:val="28"/>
              <w:szCs w:val="28"/>
              <w:lang w:val="en-US" w:eastAsia="zh-CN" w:bidi="ar-SA"/>
            </w:rPr>
            <w:t>第四部分 附件</w:t>
          </w:r>
          <w:r>
            <w:rPr>
              <w:rFonts w:hint="eastAsia" w:ascii="CESI仿宋-GB13000" w:hAnsi="CESI仿宋-GB13000" w:eastAsia="CESI仿宋-GB13000" w:cs="CESI仿宋-GB13000"/>
              <w:kern w:val="2"/>
              <w:sz w:val="28"/>
              <w:szCs w:val="28"/>
              <w:lang w:val="en-US" w:eastAsia="zh-CN" w:bidi="ar-SA"/>
            </w:rPr>
            <w:tab/>
          </w:r>
          <w:r>
            <w:rPr>
              <w:rFonts w:hint="eastAsia" w:ascii="CESI仿宋-GB13000" w:hAnsi="CESI仿宋-GB13000" w:eastAsia="CESI仿宋-GB13000" w:cs="CESI仿宋-GB13000"/>
              <w:kern w:val="2"/>
              <w:sz w:val="28"/>
              <w:szCs w:val="28"/>
              <w:lang w:val="en-US" w:eastAsia="zh-CN" w:bidi="ar-SA"/>
            </w:rPr>
            <w:fldChar w:fldCharType="begin"/>
          </w:r>
          <w:r>
            <w:rPr>
              <w:rFonts w:hint="eastAsia" w:ascii="CESI仿宋-GB13000" w:hAnsi="CESI仿宋-GB13000" w:eastAsia="CESI仿宋-GB13000" w:cs="CESI仿宋-GB13000"/>
              <w:kern w:val="2"/>
              <w:sz w:val="28"/>
              <w:szCs w:val="28"/>
              <w:lang w:val="en-US" w:eastAsia="zh-CN" w:bidi="ar-SA"/>
            </w:rPr>
            <w:instrText xml:space="preserve"> PAGEREF _Toc15303 \h </w:instrText>
          </w:r>
          <w:r>
            <w:rPr>
              <w:rFonts w:hint="eastAsia" w:ascii="CESI仿宋-GB13000" w:hAnsi="CESI仿宋-GB13000" w:eastAsia="CESI仿宋-GB13000" w:cs="CESI仿宋-GB13000"/>
              <w:kern w:val="2"/>
              <w:sz w:val="28"/>
              <w:szCs w:val="28"/>
              <w:lang w:val="en-US" w:eastAsia="zh-CN" w:bidi="ar-SA"/>
            </w:rPr>
            <w:fldChar w:fldCharType="separate"/>
          </w:r>
          <w:r>
            <w:rPr>
              <w:rFonts w:hint="eastAsia" w:ascii="CESI仿宋-GB13000" w:hAnsi="CESI仿宋-GB13000" w:eastAsia="CESI仿宋-GB13000" w:cs="CESI仿宋-GB13000"/>
              <w:kern w:val="2"/>
              <w:sz w:val="28"/>
              <w:szCs w:val="28"/>
              <w:lang w:val="en-US" w:eastAsia="zh-CN" w:bidi="ar-SA"/>
            </w:rPr>
            <w:t>13</w:t>
          </w:r>
          <w:r>
            <w:rPr>
              <w:rFonts w:hint="eastAsia" w:ascii="CESI仿宋-GB13000" w:hAnsi="CESI仿宋-GB13000" w:eastAsia="CESI仿宋-GB13000" w:cs="CESI仿宋-GB13000"/>
              <w:kern w:val="2"/>
              <w:sz w:val="28"/>
              <w:szCs w:val="28"/>
              <w:lang w:val="en-US" w:eastAsia="zh-CN" w:bidi="ar-SA"/>
            </w:rPr>
            <w:fldChar w:fldCharType="end"/>
          </w:r>
          <w:r>
            <w:rPr>
              <w:rFonts w:hint="eastAsia" w:ascii="CESI仿宋-GB13000" w:hAnsi="CESI仿宋-GB13000" w:eastAsia="CESI仿宋-GB13000" w:cs="CESI仿宋-GB13000"/>
              <w:kern w:val="2"/>
              <w:sz w:val="28"/>
              <w:szCs w:val="28"/>
              <w:lang w:val="en-US" w:eastAsia="zh-CN" w:bidi="ar-SA"/>
            </w:rPr>
            <w:fldChar w:fldCharType="end"/>
          </w:r>
        </w:p>
        <w:p>
          <w:pPr>
            <w:pStyle w:val="37"/>
            <w:tabs>
              <w:tab w:val="right" w:leader="dot" w:pos="8300"/>
            </w:tabs>
            <w:rPr>
              <w:rFonts w:hint="eastAsia" w:ascii="CESI仿宋-GB13000" w:hAnsi="CESI仿宋-GB13000" w:eastAsia="CESI仿宋-GB13000" w:cs="CESI仿宋-GB13000"/>
              <w:kern w:val="2"/>
              <w:sz w:val="28"/>
              <w:szCs w:val="28"/>
              <w:lang w:val="en-US" w:eastAsia="zh-CN" w:bidi="ar-SA"/>
            </w:rPr>
          </w:pPr>
          <w:r>
            <w:rPr>
              <w:rFonts w:hint="eastAsia" w:ascii="CESI仿宋-GB13000" w:hAnsi="CESI仿宋-GB13000" w:eastAsia="CESI仿宋-GB13000" w:cs="CESI仿宋-GB13000"/>
              <w:kern w:val="2"/>
              <w:sz w:val="28"/>
              <w:szCs w:val="28"/>
              <w:lang w:val="en-US" w:eastAsia="zh-CN" w:bidi="ar-SA"/>
            </w:rPr>
            <w:fldChar w:fldCharType="begin"/>
          </w:r>
          <w:r>
            <w:rPr>
              <w:rFonts w:hint="eastAsia" w:ascii="CESI仿宋-GB13000" w:hAnsi="CESI仿宋-GB13000" w:eastAsia="CESI仿宋-GB13000" w:cs="CESI仿宋-GB13000"/>
              <w:kern w:val="2"/>
              <w:sz w:val="28"/>
              <w:szCs w:val="28"/>
              <w:lang w:val="en-US" w:eastAsia="zh-CN" w:bidi="ar-SA"/>
            </w:rPr>
            <w:instrText xml:space="preserve"> HYPERLINK \l _Toc21125 </w:instrText>
          </w:r>
          <w:r>
            <w:rPr>
              <w:rFonts w:hint="eastAsia" w:ascii="CESI仿宋-GB13000" w:hAnsi="CESI仿宋-GB13000" w:eastAsia="CESI仿宋-GB13000" w:cs="CESI仿宋-GB13000"/>
              <w:kern w:val="2"/>
              <w:sz w:val="28"/>
              <w:szCs w:val="28"/>
              <w:lang w:val="en-US" w:eastAsia="zh-CN" w:bidi="ar-SA"/>
            </w:rPr>
            <w:fldChar w:fldCharType="separate"/>
          </w:r>
          <w:r>
            <w:rPr>
              <w:rFonts w:hint="eastAsia" w:ascii="CESI仿宋-GB13000" w:hAnsi="CESI仿宋-GB13000" w:eastAsia="CESI仿宋-GB13000" w:cs="CESI仿宋-GB13000"/>
              <w:kern w:val="2"/>
              <w:sz w:val="28"/>
              <w:szCs w:val="28"/>
              <w:lang w:val="en-US" w:eastAsia="zh-CN" w:bidi="ar-SA"/>
            </w:rPr>
            <w:t>第五部分 附表</w:t>
          </w:r>
          <w:r>
            <w:rPr>
              <w:rFonts w:hint="eastAsia" w:ascii="CESI仿宋-GB13000" w:hAnsi="CESI仿宋-GB13000" w:eastAsia="CESI仿宋-GB13000" w:cs="CESI仿宋-GB13000"/>
              <w:kern w:val="2"/>
              <w:sz w:val="28"/>
              <w:szCs w:val="28"/>
              <w:lang w:val="en-US" w:eastAsia="zh-CN" w:bidi="ar-SA"/>
            </w:rPr>
            <w:tab/>
          </w:r>
          <w:r>
            <w:rPr>
              <w:rFonts w:hint="eastAsia" w:ascii="CESI仿宋-GB13000" w:hAnsi="CESI仿宋-GB13000" w:eastAsia="CESI仿宋-GB13000" w:cs="CESI仿宋-GB13000"/>
              <w:kern w:val="2"/>
              <w:sz w:val="28"/>
              <w:szCs w:val="28"/>
              <w:lang w:val="en-US" w:eastAsia="zh-CN" w:bidi="ar-SA"/>
            </w:rPr>
            <w:fldChar w:fldCharType="begin"/>
          </w:r>
          <w:r>
            <w:rPr>
              <w:rFonts w:hint="eastAsia" w:ascii="CESI仿宋-GB13000" w:hAnsi="CESI仿宋-GB13000" w:eastAsia="CESI仿宋-GB13000" w:cs="CESI仿宋-GB13000"/>
              <w:kern w:val="2"/>
              <w:sz w:val="28"/>
              <w:szCs w:val="28"/>
              <w:lang w:val="en-US" w:eastAsia="zh-CN" w:bidi="ar-SA"/>
            </w:rPr>
            <w:instrText xml:space="preserve"> PAGEREF _Toc21125 \h </w:instrText>
          </w:r>
          <w:r>
            <w:rPr>
              <w:rFonts w:hint="eastAsia" w:ascii="CESI仿宋-GB13000" w:hAnsi="CESI仿宋-GB13000" w:eastAsia="CESI仿宋-GB13000" w:cs="CESI仿宋-GB13000"/>
              <w:kern w:val="2"/>
              <w:sz w:val="28"/>
              <w:szCs w:val="28"/>
              <w:lang w:val="en-US" w:eastAsia="zh-CN" w:bidi="ar-SA"/>
            </w:rPr>
            <w:fldChar w:fldCharType="separate"/>
          </w:r>
          <w:r>
            <w:rPr>
              <w:rFonts w:hint="eastAsia" w:ascii="CESI仿宋-GB13000" w:hAnsi="CESI仿宋-GB13000" w:eastAsia="CESI仿宋-GB13000" w:cs="CESI仿宋-GB13000"/>
              <w:kern w:val="2"/>
              <w:sz w:val="28"/>
              <w:szCs w:val="28"/>
              <w:lang w:val="en-US" w:eastAsia="zh-CN" w:bidi="ar-SA"/>
            </w:rPr>
            <w:t>22</w:t>
          </w:r>
          <w:r>
            <w:rPr>
              <w:rFonts w:hint="eastAsia" w:ascii="CESI仿宋-GB13000" w:hAnsi="CESI仿宋-GB13000" w:eastAsia="CESI仿宋-GB13000" w:cs="CESI仿宋-GB13000"/>
              <w:kern w:val="2"/>
              <w:sz w:val="28"/>
              <w:szCs w:val="28"/>
              <w:lang w:val="en-US" w:eastAsia="zh-CN" w:bidi="ar-SA"/>
            </w:rPr>
            <w:fldChar w:fldCharType="end"/>
          </w:r>
          <w:r>
            <w:rPr>
              <w:rFonts w:hint="eastAsia" w:ascii="CESI仿宋-GB13000" w:hAnsi="CESI仿宋-GB13000" w:eastAsia="CESI仿宋-GB13000" w:cs="CESI仿宋-GB13000"/>
              <w:kern w:val="2"/>
              <w:sz w:val="28"/>
              <w:szCs w:val="28"/>
              <w:lang w:val="en-US" w:eastAsia="zh-CN" w:bidi="ar-SA"/>
            </w:rPr>
            <w:fldChar w:fldCharType="end"/>
          </w:r>
        </w:p>
        <w:p>
          <w:pPr>
            <w:pStyle w:val="15"/>
            <w:tabs>
              <w:tab w:val="right" w:leader="dot" w:pos="8306"/>
              <w:tab w:val="clear" w:pos="8296"/>
            </w:tabs>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fldChar w:fldCharType="begin"/>
          </w:r>
          <w:r>
            <w:rPr>
              <w:rFonts w:hint="eastAsia" w:asciiTheme="minorEastAsia" w:hAnsiTheme="minorEastAsia" w:eastAsiaTheme="minorEastAsia" w:cstheme="minorEastAsia"/>
              <w:sz w:val="24"/>
              <w:szCs w:val="24"/>
              <w:lang w:val="en-US" w:eastAsia="zh-CN"/>
            </w:rPr>
            <w:instrText xml:space="preserve"> HYPERLINK \l _Toc810456195 </w:instrText>
          </w:r>
          <w:r>
            <w:rPr>
              <w:rFonts w:hint="eastAsia" w:asciiTheme="minorEastAsia" w:hAnsiTheme="minorEastAsia" w:eastAsiaTheme="minorEastAsia" w:cstheme="minorEastAsia"/>
              <w:sz w:val="24"/>
              <w:szCs w:val="24"/>
              <w:lang w:val="en-US" w:eastAsia="zh-CN"/>
            </w:rPr>
            <w:fldChar w:fldCharType="separate"/>
          </w:r>
          <w:r>
            <w:rPr>
              <w:rFonts w:hint="eastAsia" w:asciiTheme="minorEastAsia" w:hAnsiTheme="minorEastAsia" w:eastAsiaTheme="minorEastAsia" w:cstheme="minorEastAsia"/>
              <w:sz w:val="24"/>
              <w:szCs w:val="24"/>
              <w:lang w:val="en-US" w:eastAsia="zh-CN"/>
            </w:rPr>
            <w:t>一、收入支出决算总表</w:t>
          </w:r>
          <w:r>
            <w:rPr>
              <w:rFonts w:hint="eastAsia" w:asciiTheme="minorEastAsia" w:hAnsiTheme="minorEastAsia" w:eastAsiaTheme="minorEastAsia" w:cstheme="minorEastAsia"/>
              <w:sz w:val="24"/>
              <w:szCs w:val="24"/>
              <w:lang w:val="en-US" w:eastAsia="zh-CN"/>
            </w:rPr>
            <w:tab/>
          </w:r>
          <w:r>
            <w:rPr>
              <w:rFonts w:hint="eastAsia" w:asciiTheme="minorEastAsia" w:hAnsiTheme="minorEastAsia" w:eastAsiaTheme="minorEastAsia" w:cstheme="minorEastAsia"/>
              <w:sz w:val="24"/>
              <w:szCs w:val="24"/>
              <w:lang w:val="en-US" w:eastAsia="zh-CN"/>
            </w:rPr>
            <w:fldChar w:fldCharType="begin"/>
          </w:r>
          <w:r>
            <w:rPr>
              <w:rFonts w:hint="eastAsia" w:asciiTheme="minorEastAsia" w:hAnsiTheme="minorEastAsia" w:eastAsiaTheme="minorEastAsia" w:cstheme="minorEastAsia"/>
              <w:sz w:val="24"/>
              <w:szCs w:val="24"/>
              <w:lang w:val="en-US" w:eastAsia="zh-CN"/>
            </w:rPr>
            <w:instrText xml:space="preserve"> PAGEREF _Toc810456195 \h </w:instrText>
          </w:r>
          <w:r>
            <w:rPr>
              <w:rFonts w:hint="eastAsia" w:asciiTheme="minorEastAsia" w:hAnsiTheme="minorEastAsia" w:eastAsiaTheme="minorEastAsia" w:cstheme="minorEastAsia"/>
              <w:sz w:val="24"/>
              <w:szCs w:val="24"/>
              <w:lang w:val="en-US" w:eastAsia="zh-CN"/>
            </w:rPr>
            <w:fldChar w:fldCharType="separate"/>
          </w:r>
          <w:r>
            <w:rPr>
              <w:rFonts w:hint="eastAsia" w:asciiTheme="minorEastAsia" w:hAnsiTheme="minorEastAsia" w:eastAsiaTheme="minorEastAsia" w:cstheme="minorEastAsia"/>
              <w:sz w:val="24"/>
              <w:szCs w:val="24"/>
              <w:lang w:val="en-US" w:eastAsia="zh-CN"/>
            </w:rPr>
            <w:t>2</w:t>
          </w:r>
          <w:r>
            <w:rPr>
              <w:rFonts w:hint="eastAsia" w:asciiTheme="minorEastAsia" w:hAnsiTheme="minorEastAsia" w:eastAsiaTheme="minorEastAsia" w:cstheme="minorEastAsia"/>
              <w:sz w:val="24"/>
              <w:szCs w:val="24"/>
              <w:lang w:val="en-US" w:eastAsia="zh-CN"/>
            </w:rPr>
            <w:fldChar w:fldCharType="end"/>
          </w:r>
          <w:r>
            <w:rPr>
              <w:rFonts w:hint="eastAsia" w:asciiTheme="minorEastAsia" w:hAnsiTheme="minorEastAsia" w:eastAsiaTheme="minorEastAsia" w:cstheme="minorEastAsia"/>
              <w:sz w:val="24"/>
              <w:szCs w:val="24"/>
              <w:lang w:val="en-US" w:eastAsia="zh-CN"/>
            </w:rPr>
            <w:fldChar w:fldCharType="end"/>
          </w:r>
          <w:r>
            <w:rPr>
              <w:rFonts w:hint="eastAsia" w:asciiTheme="minorEastAsia" w:hAnsiTheme="minorEastAsia" w:eastAsiaTheme="minorEastAsia" w:cstheme="minorEastAsia"/>
              <w:sz w:val="24"/>
              <w:szCs w:val="24"/>
              <w:lang w:val="en-US" w:eastAsia="zh-CN"/>
            </w:rPr>
            <w:t>2</w:t>
          </w:r>
        </w:p>
        <w:p>
          <w:pPr>
            <w:pStyle w:val="15"/>
            <w:tabs>
              <w:tab w:val="right" w:leader="dot" w:pos="8306"/>
              <w:tab w:val="clear" w:pos="8296"/>
            </w:tabs>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fldChar w:fldCharType="begin"/>
          </w:r>
          <w:r>
            <w:rPr>
              <w:rFonts w:hint="eastAsia" w:asciiTheme="minorEastAsia" w:hAnsiTheme="minorEastAsia" w:eastAsiaTheme="minorEastAsia" w:cstheme="minorEastAsia"/>
              <w:sz w:val="24"/>
              <w:szCs w:val="24"/>
              <w:lang w:val="en-US" w:eastAsia="zh-CN"/>
            </w:rPr>
            <w:instrText xml:space="preserve"> HYPERLINK \l _Toc1447869342 </w:instrText>
          </w:r>
          <w:r>
            <w:rPr>
              <w:rFonts w:hint="eastAsia" w:asciiTheme="minorEastAsia" w:hAnsiTheme="minorEastAsia" w:eastAsiaTheme="minorEastAsia" w:cstheme="minorEastAsia"/>
              <w:sz w:val="24"/>
              <w:szCs w:val="24"/>
              <w:lang w:val="en-US" w:eastAsia="zh-CN"/>
            </w:rPr>
            <w:fldChar w:fldCharType="separate"/>
          </w:r>
          <w:r>
            <w:rPr>
              <w:rFonts w:hint="eastAsia" w:asciiTheme="minorEastAsia" w:hAnsiTheme="minorEastAsia" w:eastAsiaTheme="minorEastAsia" w:cstheme="minorEastAsia"/>
              <w:sz w:val="24"/>
              <w:szCs w:val="24"/>
              <w:lang w:val="en-US" w:eastAsia="zh-CN"/>
            </w:rPr>
            <w:t>二、收入决算表</w:t>
          </w:r>
          <w:r>
            <w:rPr>
              <w:rFonts w:hint="eastAsia" w:asciiTheme="minorEastAsia" w:hAnsiTheme="minorEastAsia" w:eastAsiaTheme="minorEastAsia" w:cstheme="minorEastAsia"/>
              <w:sz w:val="24"/>
              <w:szCs w:val="24"/>
              <w:lang w:val="en-US" w:eastAsia="zh-CN"/>
            </w:rPr>
            <w:tab/>
          </w:r>
          <w:r>
            <w:rPr>
              <w:rFonts w:hint="eastAsia" w:asciiTheme="minorEastAsia" w:hAnsiTheme="minorEastAsia" w:eastAsiaTheme="minorEastAsia" w:cstheme="minorEastAsia"/>
              <w:sz w:val="24"/>
              <w:szCs w:val="24"/>
              <w:lang w:val="en-US" w:eastAsia="zh-CN"/>
            </w:rPr>
            <w:t>2</w:t>
          </w:r>
          <w:r>
            <w:rPr>
              <w:rFonts w:hint="eastAsia" w:asciiTheme="minorEastAsia" w:hAnsiTheme="minorEastAsia" w:eastAsiaTheme="minorEastAsia" w:cstheme="minorEastAsia"/>
              <w:sz w:val="24"/>
              <w:szCs w:val="24"/>
              <w:lang w:val="en-US" w:eastAsia="zh-CN"/>
            </w:rPr>
            <w:fldChar w:fldCharType="end"/>
          </w:r>
          <w:r>
            <w:rPr>
              <w:rFonts w:hint="eastAsia" w:asciiTheme="minorEastAsia" w:hAnsiTheme="minorEastAsia" w:eastAsiaTheme="minorEastAsia" w:cstheme="minorEastAsia"/>
              <w:sz w:val="24"/>
              <w:szCs w:val="24"/>
              <w:lang w:val="en-US" w:eastAsia="zh-CN"/>
            </w:rPr>
            <w:t>2</w:t>
          </w:r>
        </w:p>
        <w:p>
          <w:pPr>
            <w:pStyle w:val="15"/>
            <w:tabs>
              <w:tab w:val="right" w:leader="dot" w:pos="8306"/>
              <w:tab w:val="clear" w:pos="8296"/>
            </w:tabs>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fldChar w:fldCharType="begin"/>
          </w:r>
          <w:r>
            <w:rPr>
              <w:rFonts w:hint="eastAsia" w:asciiTheme="minorEastAsia" w:hAnsiTheme="minorEastAsia" w:eastAsiaTheme="minorEastAsia" w:cstheme="minorEastAsia"/>
              <w:sz w:val="24"/>
              <w:szCs w:val="24"/>
              <w:lang w:val="en-US" w:eastAsia="zh-CN"/>
            </w:rPr>
            <w:instrText xml:space="preserve"> HYPERLINK \l _Toc935185858 </w:instrText>
          </w:r>
          <w:r>
            <w:rPr>
              <w:rFonts w:hint="eastAsia" w:asciiTheme="minorEastAsia" w:hAnsiTheme="minorEastAsia" w:eastAsiaTheme="minorEastAsia" w:cstheme="minorEastAsia"/>
              <w:sz w:val="24"/>
              <w:szCs w:val="24"/>
              <w:lang w:val="en-US" w:eastAsia="zh-CN"/>
            </w:rPr>
            <w:fldChar w:fldCharType="separate"/>
          </w:r>
          <w:r>
            <w:rPr>
              <w:rFonts w:hint="eastAsia" w:asciiTheme="minorEastAsia" w:hAnsiTheme="minorEastAsia" w:eastAsiaTheme="minorEastAsia" w:cstheme="minorEastAsia"/>
              <w:sz w:val="24"/>
              <w:szCs w:val="24"/>
              <w:lang w:val="en-US" w:eastAsia="zh-CN"/>
            </w:rPr>
            <w:t>三、支出决算表</w:t>
          </w:r>
          <w:r>
            <w:rPr>
              <w:rFonts w:hint="eastAsia" w:asciiTheme="minorEastAsia" w:hAnsiTheme="minorEastAsia" w:eastAsiaTheme="minorEastAsia" w:cstheme="minorEastAsia"/>
              <w:sz w:val="24"/>
              <w:szCs w:val="24"/>
              <w:lang w:val="en-US" w:eastAsia="zh-CN"/>
            </w:rPr>
            <w:tab/>
          </w:r>
          <w:r>
            <w:rPr>
              <w:rFonts w:hint="eastAsia" w:asciiTheme="minorEastAsia" w:hAnsiTheme="minorEastAsia" w:eastAsiaTheme="minorEastAsia" w:cstheme="minorEastAsia"/>
              <w:sz w:val="24"/>
              <w:szCs w:val="24"/>
              <w:lang w:val="en-US" w:eastAsia="zh-CN"/>
            </w:rPr>
            <w:t>2</w:t>
          </w:r>
          <w:r>
            <w:rPr>
              <w:rFonts w:hint="eastAsia" w:asciiTheme="minorEastAsia" w:hAnsiTheme="minorEastAsia" w:eastAsiaTheme="minorEastAsia" w:cstheme="minorEastAsia"/>
              <w:sz w:val="24"/>
              <w:szCs w:val="24"/>
              <w:lang w:val="en-US" w:eastAsia="zh-CN"/>
            </w:rPr>
            <w:fldChar w:fldCharType="end"/>
          </w:r>
          <w:r>
            <w:rPr>
              <w:rFonts w:hint="eastAsia" w:asciiTheme="minorEastAsia" w:hAnsiTheme="minorEastAsia" w:eastAsiaTheme="minorEastAsia" w:cstheme="minorEastAsia"/>
              <w:sz w:val="24"/>
              <w:szCs w:val="24"/>
              <w:lang w:val="en-US" w:eastAsia="zh-CN"/>
            </w:rPr>
            <w:t>2</w:t>
          </w:r>
        </w:p>
        <w:p>
          <w:pPr>
            <w:pStyle w:val="15"/>
            <w:tabs>
              <w:tab w:val="right" w:leader="dot" w:pos="8306"/>
              <w:tab w:val="clear" w:pos="8296"/>
            </w:tabs>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fldChar w:fldCharType="begin"/>
          </w:r>
          <w:r>
            <w:rPr>
              <w:rFonts w:hint="eastAsia" w:asciiTheme="minorEastAsia" w:hAnsiTheme="minorEastAsia" w:eastAsiaTheme="minorEastAsia" w:cstheme="minorEastAsia"/>
              <w:sz w:val="24"/>
              <w:szCs w:val="24"/>
              <w:lang w:val="en-US" w:eastAsia="zh-CN"/>
            </w:rPr>
            <w:instrText xml:space="preserve"> HYPERLINK \l _Toc2092903251 </w:instrText>
          </w:r>
          <w:r>
            <w:rPr>
              <w:rFonts w:hint="eastAsia" w:asciiTheme="minorEastAsia" w:hAnsiTheme="minorEastAsia" w:eastAsiaTheme="minorEastAsia" w:cstheme="minorEastAsia"/>
              <w:sz w:val="24"/>
              <w:szCs w:val="24"/>
              <w:lang w:val="en-US" w:eastAsia="zh-CN"/>
            </w:rPr>
            <w:fldChar w:fldCharType="separate"/>
          </w:r>
          <w:r>
            <w:rPr>
              <w:rFonts w:hint="eastAsia" w:asciiTheme="minorEastAsia" w:hAnsiTheme="minorEastAsia" w:eastAsiaTheme="minorEastAsia" w:cstheme="minorEastAsia"/>
              <w:sz w:val="24"/>
              <w:szCs w:val="24"/>
              <w:lang w:val="en-US" w:eastAsia="zh-CN"/>
            </w:rPr>
            <w:t>四、财政拨款收入支出决算总表</w:t>
          </w:r>
          <w:r>
            <w:rPr>
              <w:rFonts w:hint="eastAsia" w:asciiTheme="minorEastAsia" w:hAnsiTheme="minorEastAsia" w:eastAsiaTheme="minorEastAsia" w:cstheme="minorEastAsia"/>
              <w:sz w:val="24"/>
              <w:szCs w:val="24"/>
              <w:lang w:val="en-US" w:eastAsia="zh-CN"/>
            </w:rPr>
            <w:tab/>
          </w:r>
          <w:r>
            <w:rPr>
              <w:rFonts w:hint="eastAsia" w:asciiTheme="minorEastAsia" w:hAnsiTheme="minorEastAsia" w:eastAsiaTheme="minorEastAsia" w:cstheme="minorEastAsia"/>
              <w:sz w:val="24"/>
              <w:szCs w:val="24"/>
              <w:lang w:val="en-US" w:eastAsia="zh-CN"/>
            </w:rPr>
            <w:t>2</w:t>
          </w:r>
          <w:r>
            <w:rPr>
              <w:rFonts w:hint="eastAsia" w:asciiTheme="minorEastAsia" w:hAnsiTheme="minorEastAsia" w:eastAsiaTheme="minorEastAsia" w:cstheme="minorEastAsia"/>
              <w:sz w:val="24"/>
              <w:szCs w:val="24"/>
              <w:lang w:val="en-US" w:eastAsia="zh-CN"/>
            </w:rPr>
            <w:fldChar w:fldCharType="end"/>
          </w:r>
          <w:r>
            <w:rPr>
              <w:rFonts w:hint="eastAsia" w:asciiTheme="minorEastAsia" w:hAnsiTheme="minorEastAsia" w:eastAsiaTheme="minorEastAsia" w:cstheme="minorEastAsia"/>
              <w:sz w:val="24"/>
              <w:szCs w:val="24"/>
              <w:lang w:val="en-US" w:eastAsia="zh-CN"/>
            </w:rPr>
            <w:t>2</w:t>
          </w:r>
        </w:p>
        <w:p>
          <w:pPr>
            <w:pStyle w:val="15"/>
            <w:tabs>
              <w:tab w:val="right" w:leader="dot" w:pos="8306"/>
              <w:tab w:val="clear" w:pos="8296"/>
            </w:tabs>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fldChar w:fldCharType="begin"/>
          </w:r>
          <w:r>
            <w:rPr>
              <w:rFonts w:hint="eastAsia" w:asciiTheme="minorEastAsia" w:hAnsiTheme="minorEastAsia" w:eastAsiaTheme="minorEastAsia" w:cstheme="minorEastAsia"/>
              <w:sz w:val="24"/>
              <w:szCs w:val="24"/>
              <w:lang w:val="en-US" w:eastAsia="zh-CN"/>
            </w:rPr>
            <w:instrText xml:space="preserve"> HYPERLINK \l _Toc980068532 </w:instrText>
          </w:r>
          <w:r>
            <w:rPr>
              <w:rFonts w:hint="eastAsia" w:asciiTheme="minorEastAsia" w:hAnsiTheme="minorEastAsia" w:eastAsiaTheme="minorEastAsia" w:cstheme="minorEastAsia"/>
              <w:sz w:val="24"/>
              <w:szCs w:val="24"/>
              <w:lang w:val="en-US" w:eastAsia="zh-CN"/>
            </w:rPr>
            <w:fldChar w:fldCharType="separate"/>
          </w:r>
          <w:r>
            <w:rPr>
              <w:rFonts w:hint="eastAsia" w:asciiTheme="minorEastAsia" w:hAnsiTheme="minorEastAsia" w:eastAsiaTheme="minorEastAsia" w:cstheme="minorEastAsia"/>
              <w:sz w:val="24"/>
              <w:szCs w:val="24"/>
              <w:lang w:val="en-US" w:eastAsia="zh-CN"/>
            </w:rPr>
            <w:t>五、财政拨款支出决算明细表</w:t>
          </w:r>
          <w:r>
            <w:rPr>
              <w:rFonts w:hint="eastAsia" w:asciiTheme="minorEastAsia" w:hAnsiTheme="minorEastAsia" w:eastAsiaTheme="minorEastAsia" w:cstheme="minorEastAsia"/>
              <w:sz w:val="24"/>
              <w:szCs w:val="24"/>
              <w:lang w:val="en-US" w:eastAsia="zh-CN"/>
            </w:rPr>
            <w:tab/>
          </w:r>
          <w:r>
            <w:rPr>
              <w:rFonts w:hint="eastAsia" w:asciiTheme="minorEastAsia" w:hAnsiTheme="minorEastAsia" w:eastAsiaTheme="minorEastAsia" w:cstheme="minorEastAsia"/>
              <w:sz w:val="24"/>
              <w:szCs w:val="24"/>
              <w:lang w:val="en-US" w:eastAsia="zh-CN"/>
            </w:rPr>
            <w:t>2</w:t>
          </w:r>
          <w:r>
            <w:rPr>
              <w:rFonts w:hint="eastAsia" w:asciiTheme="minorEastAsia" w:hAnsiTheme="minorEastAsia" w:eastAsiaTheme="minorEastAsia" w:cstheme="minorEastAsia"/>
              <w:sz w:val="24"/>
              <w:szCs w:val="24"/>
              <w:lang w:val="en-US" w:eastAsia="zh-CN"/>
            </w:rPr>
            <w:fldChar w:fldCharType="end"/>
          </w:r>
          <w:r>
            <w:rPr>
              <w:rFonts w:hint="eastAsia" w:asciiTheme="minorEastAsia" w:hAnsiTheme="minorEastAsia" w:eastAsiaTheme="minorEastAsia" w:cstheme="minorEastAsia"/>
              <w:sz w:val="24"/>
              <w:szCs w:val="24"/>
              <w:lang w:val="en-US" w:eastAsia="zh-CN"/>
            </w:rPr>
            <w:t>2</w:t>
          </w:r>
        </w:p>
        <w:p>
          <w:pPr>
            <w:pStyle w:val="15"/>
            <w:tabs>
              <w:tab w:val="right" w:leader="dot" w:pos="8306"/>
              <w:tab w:val="clear" w:pos="8296"/>
            </w:tabs>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fldChar w:fldCharType="begin"/>
          </w:r>
          <w:r>
            <w:rPr>
              <w:rFonts w:hint="eastAsia" w:asciiTheme="minorEastAsia" w:hAnsiTheme="minorEastAsia" w:eastAsiaTheme="minorEastAsia" w:cstheme="minorEastAsia"/>
              <w:sz w:val="24"/>
              <w:szCs w:val="24"/>
              <w:lang w:val="en-US" w:eastAsia="zh-CN"/>
            </w:rPr>
            <w:instrText xml:space="preserve"> HYPERLINK \l _Toc1181648162 </w:instrText>
          </w:r>
          <w:r>
            <w:rPr>
              <w:rFonts w:hint="eastAsia" w:asciiTheme="minorEastAsia" w:hAnsiTheme="minorEastAsia" w:eastAsiaTheme="minorEastAsia" w:cstheme="minorEastAsia"/>
              <w:sz w:val="24"/>
              <w:szCs w:val="24"/>
              <w:lang w:val="en-US" w:eastAsia="zh-CN"/>
            </w:rPr>
            <w:fldChar w:fldCharType="separate"/>
          </w:r>
          <w:r>
            <w:rPr>
              <w:rFonts w:hint="eastAsia" w:asciiTheme="minorEastAsia" w:hAnsiTheme="minorEastAsia" w:eastAsiaTheme="minorEastAsia" w:cstheme="minorEastAsia"/>
              <w:sz w:val="24"/>
              <w:szCs w:val="24"/>
              <w:lang w:val="en-US" w:eastAsia="zh-CN"/>
            </w:rPr>
            <w:t>六、一般公共预算财政拨款支出决算表</w:t>
          </w:r>
          <w:r>
            <w:rPr>
              <w:rFonts w:hint="eastAsia" w:asciiTheme="minorEastAsia" w:hAnsiTheme="minorEastAsia" w:eastAsiaTheme="minorEastAsia" w:cstheme="minorEastAsia"/>
              <w:sz w:val="24"/>
              <w:szCs w:val="24"/>
              <w:lang w:val="en-US" w:eastAsia="zh-CN"/>
            </w:rPr>
            <w:tab/>
          </w:r>
          <w:r>
            <w:rPr>
              <w:rFonts w:hint="eastAsia" w:asciiTheme="minorEastAsia" w:hAnsiTheme="minorEastAsia" w:eastAsiaTheme="minorEastAsia" w:cstheme="minorEastAsia"/>
              <w:sz w:val="24"/>
              <w:szCs w:val="24"/>
              <w:lang w:val="en-US" w:eastAsia="zh-CN"/>
            </w:rPr>
            <w:t>2</w:t>
          </w:r>
          <w:r>
            <w:rPr>
              <w:rFonts w:hint="eastAsia" w:asciiTheme="minorEastAsia" w:hAnsiTheme="minorEastAsia" w:eastAsiaTheme="minorEastAsia" w:cstheme="minorEastAsia"/>
              <w:sz w:val="24"/>
              <w:szCs w:val="24"/>
              <w:lang w:val="en-US" w:eastAsia="zh-CN"/>
            </w:rPr>
            <w:fldChar w:fldCharType="end"/>
          </w:r>
          <w:r>
            <w:rPr>
              <w:rFonts w:hint="eastAsia" w:asciiTheme="minorEastAsia" w:hAnsiTheme="minorEastAsia" w:eastAsiaTheme="minorEastAsia" w:cstheme="minorEastAsia"/>
              <w:sz w:val="24"/>
              <w:szCs w:val="24"/>
              <w:lang w:val="en-US" w:eastAsia="zh-CN"/>
            </w:rPr>
            <w:t>2</w:t>
          </w:r>
        </w:p>
        <w:p>
          <w:pPr>
            <w:pStyle w:val="15"/>
            <w:tabs>
              <w:tab w:val="right" w:leader="dot" w:pos="8306"/>
              <w:tab w:val="clear" w:pos="8296"/>
            </w:tabs>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fldChar w:fldCharType="begin"/>
          </w:r>
          <w:r>
            <w:rPr>
              <w:rFonts w:hint="eastAsia" w:asciiTheme="minorEastAsia" w:hAnsiTheme="minorEastAsia" w:eastAsiaTheme="minorEastAsia" w:cstheme="minorEastAsia"/>
              <w:sz w:val="24"/>
              <w:szCs w:val="24"/>
              <w:lang w:val="en-US" w:eastAsia="zh-CN"/>
            </w:rPr>
            <w:instrText xml:space="preserve"> HYPERLINK \l _Toc30901414 </w:instrText>
          </w:r>
          <w:r>
            <w:rPr>
              <w:rFonts w:hint="eastAsia" w:asciiTheme="minorEastAsia" w:hAnsiTheme="minorEastAsia" w:eastAsiaTheme="minorEastAsia" w:cstheme="minorEastAsia"/>
              <w:sz w:val="24"/>
              <w:szCs w:val="24"/>
              <w:lang w:val="en-US" w:eastAsia="zh-CN"/>
            </w:rPr>
            <w:fldChar w:fldCharType="separate"/>
          </w:r>
          <w:r>
            <w:rPr>
              <w:rFonts w:hint="eastAsia" w:asciiTheme="minorEastAsia" w:hAnsiTheme="minorEastAsia" w:eastAsiaTheme="minorEastAsia" w:cstheme="minorEastAsia"/>
              <w:sz w:val="24"/>
              <w:szCs w:val="24"/>
              <w:lang w:val="en-US" w:eastAsia="zh-CN"/>
            </w:rPr>
            <w:t>七、一般公共预算财政拨款支出决算明细表</w:t>
          </w:r>
          <w:r>
            <w:rPr>
              <w:rFonts w:hint="eastAsia" w:asciiTheme="minorEastAsia" w:hAnsiTheme="minorEastAsia" w:eastAsiaTheme="minorEastAsia" w:cstheme="minorEastAsia"/>
              <w:sz w:val="24"/>
              <w:szCs w:val="24"/>
              <w:lang w:val="en-US" w:eastAsia="zh-CN"/>
            </w:rPr>
            <w:tab/>
          </w:r>
          <w:r>
            <w:rPr>
              <w:rFonts w:hint="eastAsia" w:asciiTheme="minorEastAsia" w:hAnsiTheme="minorEastAsia" w:eastAsiaTheme="minorEastAsia" w:cstheme="minorEastAsia"/>
              <w:sz w:val="24"/>
              <w:szCs w:val="24"/>
              <w:lang w:val="en-US" w:eastAsia="zh-CN"/>
            </w:rPr>
            <w:t>2</w:t>
          </w:r>
          <w:r>
            <w:rPr>
              <w:rFonts w:hint="eastAsia" w:asciiTheme="minorEastAsia" w:hAnsiTheme="minorEastAsia" w:eastAsiaTheme="minorEastAsia" w:cstheme="minorEastAsia"/>
              <w:sz w:val="24"/>
              <w:szCs w:val="24"/>
              <w:lang w:val="en-US" w:eastAsia="zh-CN"/>
            </w:rPr>
            <w:fldChar w:fldCharType="end"/>
          </w:r>
          <w:r>
            <w:rPr>
              <w:rFonts w:hint="eastAsia" w:asciiTheme="minorEastAsia" w:hAnsiTheme="minorEastAsia" w:eastAsiaTheme="minorEastAsia" w:cstheme="minorEastAsia"/>
              <w:sz w:val="24"/>
              <w:szCs w:val="24"/>
              <w:lang w:val="en-US" w:eastAsia="zh-CN"/>
            </w:rPr>
            <w:t>2</w:t>
          </w:r>
        </w:p>
        <w:p>
          <w:pPr>
            <w:pStyle w:val="15"/>
            <w:tabs>
              <w:tab w:val="right" w:leader="dot" w:pos="8306"/>
              <w:tab w:val="clear" w:pos="8296"/>
            </w:tabs>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fldChar w:fldCharType="begin"/>
          </w:r>
          <w:r>
            <w:rPr>
              <w:rFonts w:hint="eastAsia" w:asciiTheme="minorEastAsia" w:hAnsiTheme="minorEastAsia" w:eastAsiaTheme="minorEastAsia" w:cstheme="minorEastAsia"/>
              <w:sz w:val="24"/>
              <w:szCs w:val="24"/>
              <w:lang w:val="en-US" w:eastAsia="zh-CN"/>
            </w:rPr>
            <w:instrText xml:space="preserve"> HYPERLINK \l _Toc1188083129 </w:instrText>
          </w:r>
          <w:r>
            <w:rPr>
              <w:rFonts w:hint="eastAsia" w:asciiTheme="minorEastAsia" w:hAnsiTheme="minorEastAsia" w:eastAsiaTheme="minorEastAsia" w:cstheme="minorEastAsia"/>
              <w:sz w:val="24"/>
              <w:szCs w:val="24"/>
              <w:lang w:val="en-US" w:eastAsia="zh-CN"/>
            </w:rPr>
            <w:fldChar w:fldCharType="separate"/>
          </w:r>
          <w:r>
            <w:rPr>
              <w:rFonts w:hint="eastAsia" w:asciiTheme="minorEastAsia" w:hAnsiTheme="minorEastAsia" w:eastAsiaTheme="minorEastAsia" w:cstheme="minorEastAsia"/>
              <w:sz w:val="24"/>
              <w:szCs w:val="24"/>
              <w:lang w:val="en-US" w:eastAsia="zh-CN"/>
            </w:rPr>
            <w:t>八、一般公共预算财政拨款基本支出决算表</w:t>
          </w:r>
          <w:r>
            <w:rPr>
              <w:rFonts w:hint="eastAsia" w:asciiTheme="minorEastAsia" w:hAnsiTheme="minorEastAsia" w:eastAsiaTheme="minorEastAsia" w:cstheme="minorEastAsia"/>
              <w:sz w:val="24"/>
              <w:szCs w:val="24"/>
              <w:lang w:val="en-US" w:eastAsia="zh-CN"/>
            </w:rPr>
            <w:tab/>
          </w:r>
          <w:r>
            <w:rPr>
              <w:rFonts w:hint="eastAsia" w:asciiTheme="minorEastAsia" w:hAnsiTheme="minorEastAsia" w:eastAsiaTheme="minorEastAsia" w:cstheme="minorEastAsia"/>
              <w:sz w:val="24"/>
              <w:szCs w:val="24"/>
              <w:lang w:val="en-US" w:eastAsia="zh-CN"/>
            </w:rPr>
            <w:t>2</w:t>
          </w:r>
          <w:r>
            <w:rPr>
              <w:rFonts w:hint="eastAsia" w:asciiTheme="minorEastAsia" w:hAnsiTheme="minorEastAsia" w:eastAsiaTheme="minorEastAsia" w:cstheme="minorEastAsia"/>
              <w:sz w:val="24"/>
              <w:szCs w:val="24"/>
              <w:lang w:val="en-US" w:eastAsia="zh-CN"/>
            </w:rPr>
            <w:fldChar w:fldCharType="end"/>
          </w:r>
          <w:r>
            <w:rPr>
              <w:rFonts w:hint="eastAsia" w:asciiTheme="minorEastAsia" w:hAnsiTheme="minorEastAsia" w:eastAsiaTheme="minorEastAsia" w:cstheme="minorEastAsia"/>
              <w:sz w:val="24"/>
              <w:szCs w:val="24"/>
              <w:lang w:val="en-US" w:eastAsia="zh-CN"/>
            </w:rPr>
            <w:t>2</w:t>
          </w:r>
        </w:p>
        <w:p>
          <w:pPr>
            <w:pStyle w:val="15"/>
            <w:tabs>
              <w:tab w:val="right" w:leader="dot" w:pos="8306"/>
              <w:tab w:val="clear" w:pos="8296"/>
            </w:tabs>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fldChar w:fldCharType="begin"/>
          </w:r>
          <w:r>
            <w:rPr>
              <w:rFonts w:hint="eastAsia" w:asciiTheme="minorEastAsia" w:hAnsiTheme="minorEastAsia" w:eastAsiaTheme="minorEastAsia" w:cstheme="minorEastAsia"/>
              <w:sz w:val="24"/>
              <w:szCs w:val="24"/>
              <w:lang w:val="en-US" w:eastAsia="zh-CN"/>
            </w:rPr>
            <w:instrText xml:space="preserve"> HYPERLINK \l _Toc66055858 </w:instrText>
          </w:r>
          <w:r>
            <w:rPr>
              <w:rFonts w:hint="eastAsia" w:asciiTheme="minorEastAsia" w:hAnsiTheme="minorEastAsia" w:eastAsiaTheme="minorEastAsia" w:cstheme="minorEastAsia"/>
              <w:sz w:val="24"/>
              <w:szCs w:val="24"/>
              <w:lang w:val="en-US" w:eastAsia="zh-CN"/>
            </w:rPr>
            <w:fldChar w:fldCharType="separate"/>
          </w:r>
          <w:r>
            <w:rPr>
              <w:rFonts w:hint="eastAsia" w:asciiTheme="minorEastAsia" w:hAnsiTheme="minorEastAsia" w:eastAsiaTheme="minorEastAsia" w:cstheme="minorEastAsia"/>
              <w:sz w:val="24"/>
              <w:szCs w:val="24"/>
              <w:lang w:val="en-US" w:eastAsia="zh-CN"/>
            </w:rPr>
            <w:t>九、一般公共预算财政拨款项目支出决算表</w:t>
          </w:r>
          <w:r>
            <w:rPr>
              <w:rFonts w:hint="eastAsia" w:asciiTheme="minorEastAsia" w:hAnsiTheme="minorEastAsia" w:eastAsiaTheme="minorEastAsia" w:cstheme="minorEastAsia"/>
              <w:sz w:val="24"/>
              <w:szCs w:val="24"/>
              <w:lang w:val="en-US" w:eastAsia="zh-CN"/>
            </w:rPr>
            <w:tab/>
          </w:r>
          <w:r>
            <w:rPr>
              <w:rFonts w:hint="eastAsia" w:asciiTheme="minorEastAsia" w:hAnsiTheme="minorEastAsia" w:eastAsiaTheme="minorEastAsia" w:cstheme="minorEastAsia"/>
              <w:sz w:val="24"/>
              <w:szCs w:val="24"/>
              <w:lang w:val="en-US" w:eastAsia="zh-CN"/>
            </w:rPr>
            <w:t>2</w:t>
          </w:r>
          <w:r>
            <w:rPr>
              <w:rFonts w:hint="eastAsia" w:asciiTheme="minorEastAsia" w:hAnsiTheme="minorEastAsia" w:eastAsiaTheme="minorEastAsia" w:cstheme="minorEastAsia"/>
              <w:sz w:val="24"/>
              <w:szCs w:val="24"/>
              <w:lang w:val="en-US" w:eastAsia="zh-CN"/>
            </w:rPr>
            <w:fldChar w:fldCharType="end"/>
          </w:r>
          <w:r>
            <w:rPr>
              <w:rFonts w:hint="eastAsia" w:asciiTheme="minorEastAsia" w:hAnsiTheme="minorEastAsia" w:eastAsiaTheme="minorEastAsia" w:cstheme="minorEastAsia"/>
              <w:sz w:val="24"/>
              <w:szCs w:val="24"/>
              <w:lang w:val="en-US" w:eastAsia="zh-CN"/>
            </w:rPr>
            <w:t>2</w:t>
          </w:r>
        </w:p>
        <w:p>
          <w:pPr>
            <w:pStyle w:val="15"/>
            <w:tabs>
              <w:tab w:val="right" w:leader="dot" w:pos="8306"/>
              <w:tab w:val="clear" w:pos="8296"/>
            </w:tabs>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fldChar w:fldCharType="begin"/>
          </w:r>
          <w:r>
            <w:rPr>
              <w:rFonts w:hint="eastAsia" w:asciiTheme="minorEastAsia" w:hAnsiTheme="minorEastAsia" w:eastAsiaTheme="minorEastAsia" w:cstheme="minorEastAsia"/>
              <w:sz w:val="24"/>
              <w:szCs w:val="24"/>
              <w:lang w:val="en-US" w:eastAsia="zh-CN"/>
            </w:rPr>
            <w:instrText xml:space="preserve"> HYPERLINK \l _Toc1433508797 </w:instrText>
          </w:r>
          <w:r>
            <w:rPr>
              <w:rFonts w:hint="eastAsia" w:asciiTheme="minorEastAsia" w:hAnsiTheme="minorEastAsia" w:eastAsiaTheme="minorEastAsia" w:cstheme="minorEastAsia"/>
              <w:sz w:val="24"/>
              <w:szCs w:val="24"/>
              <w:lang w:val="en-US" w:eastAsia="zh-CN"/>
            </w:rPr>
            <w:fldChar w:fldCharType="separate"/>
          </w:r>
          <w:r>
            <w:rPr>
              <w:rFonts w:hint="eastAsia" w:asciiTheme="minorEastAsia" w:hAnsiTheme="minorEastAsia" w:eastAsiaTheme="minorEastAsia" w:cstheme="minorEastAsia"/>
              <w:sz w:val="24"/>
              <w:szCs w:val="24"/>
              <w:lang w:val="en-US" w:eastAsia="zh-CN"/>
            </w:rPr>
            <w:t>十、政府性基金预算财政拨款收入支出决算表</w:t>
          </w:r>
          <w:r>
            <w:rPr>
              <w:rFonts w:hint="eastAsia" w:asciiTheme="minorEastAsia" w:hAnsiTheme="minorEastAsia" w:eastAsiaTheme="minorEastAsia" w:cstheme="minorEastAsia"/>
              <w:sz w:val="24"/>
              <w:szCs w:val="24"/>
              <w:lang w:val="en-US" w:eastAsia="zh-CN"/>
            </w:rPr>
            <w:tab/>
          </w:r>
          <w:r>
            <w:rPr>
              <w:rFonts w:hint="eastAsia" w:asciiTheme="minorEastAsia" w:hAnsiTheme="minorEastAsia" w:eastAsiaTheme="minorEastAsia" w:cstheme="minorEastAsia"/>
              <w:sz w:val="24"/>
              <w:szCs w:val="24"/>
              <w:lang w:val="en-US" w:eastAsia="zh-CN"/>
            </w:rPr>
            <w:t>2</w:t>
          </w:r>
          <w:r>
            <w:rPr>
              <w:rFonts w:hint="eastAsia" w:asciiTheme="minorEastAsia" w:hAnsiTheme="minorEastAsia" w:eastAsiaTheme="minorEastAsia" w:cstheme="minorEastAsia"/>
              <w:sz w:val="24"/>
              <w:szCs w:val="24"/>
              <w:lang w:val="en-US" w:eastAsia="zh-CN"/>
            </w:rPr>
            <w:fldChar w:fldCharType="end"/>
          </w:r>
          <w:r>
            <w:rPr>
              <w:rFonts w:hint="eastAsia" w:asciiTheme="minorEastAsia" w:hAnsiTheme="minorEastAsia" w:eastAsiaTheme="minorEastAsia" w:cstheme="minorEastAsia"/>
              <w:sz w:val="24"/>
              <w:szCs w:val="24"/>
              <w:lang w:val="en-US" w:eastAsia="zh-CN"/>
            </w:rPr>
            <w:t>2</w:t>
          </w:r>
        </w:p>
        <w:p>
          <w:pPr>
            <w:pStyle w:val="15"/>
            <w:tabs>
              <w:tab w:val="right" w:leader="dot" w:pos="8306"/>
              <w:tab w:val="clear" w:pos="8296"/>
            </w:tabs>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fldChar w:fldCharType="begin"/>
          </w:r>
          <w:r>
            <w:rPr>
              <w:rFonts w:hint="eastAsia" w:asciiTheme="minorEastAsia" w:hAnsiTheme="minorEastAsia" w:eastAsiaTheme="minorEastAsia" w:cstheme="minorEastAsia"/>
              <w:sz w:val="24"/>
              <w:szCs w:val="24"/>
              <w:lang w:val="en-US" w:eastAsia="zh-CN"/>
            </w:rPr>
            <w:instrText xml:space="preserve"> HYPERLINK \l _Toc1119653760 </w:instrText>
          </w:r>
          <w:r>
            <w:rPr>
              <w:rFonts w:hint="eastAsia" w:asciiTheme="minorEastAsia" w:hAnsiTheme="minorEastAsia" w:eastAsiaTheme="minorEastAsia" w:cstheme="minorEastAsia"/>
              <w:sz w:val="24"/>
              <w:szCs w:val="24"/>
              <w:lang w:val="en-US" w:eastAsia="zh-CN"/>
            </w:rPr>
            <w:fldChar w:fldCharType="separate"/>
          </w:r>
          <w:r>
            <w:rPr>
              <w:rFonts w:hint="eastAsia" w:asciiTheme="minorEastAsia" w:hAnsiTheme="minorEastAsia" w:eastAsiaTheme="minorEastAsia" w:cstheme="minorEastAsia"/>
              <w:sz w:val="24"/>
              <w:szCs w:val="24"/>
              <w:lang w:val="en-US" w:eastAsia="zh-CN"/>
            </w:rPr>
            <w:t>十一、国有资本经营预算财政拨款收入支出决算表</w:t>
          </w:r>
          <w:r>
            <w:rPr>
              <w:rFonts w:hint="eastAsia" w:asciiTheme="minorEastAsia" w:hAnsiTheme="minorEastAsia" w:eastAsiaTheme="minorEastAsia" w:cstheme="minorEastAsia"/>
              <w:sz w:val="24"/>
              <w:szCs w:val="24"/>
              <w:lang w:val="en-US" w:eastAsia="zh-CN"/>
            </w:rPr>
            <w:tab/>
          </w:r>
          <w:r>
            <w:rPr>
              <w:rFonts w:hint="eastAsia" w:asciiTheme="minorEastAsia" w:hAnsiTheme="minorEastAsia" w:eastAsiaTheme="minorEastAsia" w:cstheme="minorEastAsia"/>
              <w:sz w:val="24"/>
              <w:szCs w:val="24"/>
              <w:lang w:val="en-US" w:eastAsia="zh-CN"/>
            </w:rPr>
            <w:t>2</w:t>
          </w:r>
          <w:r>
            <w:rPr>
              <w:rFonts w:hint="eastAsia" w:asciiTheme="minorEastAsia" w:hAnsiTheme="minorEastAsia" w:eastAsiaTheme="minorEastAsia" w:cstheme="minorEastAsia"/>
              <w:sz w:val="24"/>
              <w:szCs w:val="24"/>
              <w:lang w:val="en-US" w:eastAsia="zh-CN"/>
            </w:rPr>
            <w:fldChar w:fldCharType="end"/>
          </w:r>
          <w:r>
            <w:rPr>
              <w:rFonts w:hint="eastAsia" w:asciiTheme="minorEastAsia" w:hAnsiTheme="minorEastAsia" w:eastAsiaTheme="minorEastAsia" w:cstheme="minorEastAsia"/>
              <w:sz w:val="24"/>
              <w:szCs w:val="24"/>
              <w:lang w:val="en-US" w:eastAsia="zh-CN"/>
            </w:rPr>
            <w:t>2</w:t>
          </w:r>
        </w:p>
        <w:p>
          <w:pPr>
            <w:pStyle w:val="15"/>
            <w:tabs>
              <w:tab w:val="right" w:leader="dot" w:pos="8306"/>
              <w:tab w:val="clear" w:pos="8296"/>
            </w:tabs>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fldChar w:fldCharType="begin"/>
          </w:r>
          <w:r>
            <w:rPr>
              <w:rFonts w:hint="eastAsia" w:asciiTheme="minorEastAsia" w:hAnsiTheme="minorEastAsia" w:eastAsiaTheme="minorEastAsia" w:cstheme="minorEastAsia"/>
              <w:sz w:val="24"/>
              <w:szCs w:val="24"/>
              <w:lang w:val="en-US" w:eastAsia="zh-CN"/>
            </w:rPr>
            <w:instrText xml:space="preserve"> HYPERLINK \l _Toc1123408338 </w:instrText>
          </w:r>
          <w:r>
            <w:rPr>
              <w:rFonts w:hint="eastAsia" w:asciiTheme="minorEastAsia" w:hAnsiTheme="minorEastAsia" w:eastAsiaTheme="minorEastAsia" w:cstheme="minorEastAsia"/>
              <w:sz w:val="24"/>
              <w:szCs w:val="24"/>
              <w:lang w:val="en-US" w:eastAsia="zh-CN"/>
            </w:rPr>
            <w:fldChar w:fldCharType="separate"/>
          </w:r>
          <w:r>
            <w:rPr>
              <w:rFonts w:hint="eastAsia" w:asciiTheme="minorEastAsia" w:hAnsiTheme="minorEastAsia" w:eastAsiaTheme="minorEastAsia" w:cstheme="minorEastAsia"/>
              <w:sz w:val="24"/>
              <w:szCs w:val="24"/>
              <w:lang w:val="en-US" w:eastAsia="zh-CN"/>
            </w:rPr>
            <w:t>十二、国有资本经营预算财政拨款支出决算表</w:t>
          </w:r>
          <w:r>
            <w:rPr>
              <w:rFonts w:hint="eastAsia" w:asciiTheme="minorEastAsia" w:hAnsiTheme="minorEastAsia" w:eastAsiaTheme="minorEastAsia" w:cstheme="minorEastAsia"/>
              <w:sz w:val="24"/>
              <w:szCs w:val="24"/>
              <w:lang w:val="en-US" w:eastAsia="zh-CN"/>
            </w:rPr>
            <w:tab/>
          </w:r>
          <w:r>
            <w:rPr>
              <w:rFonts w:hint="eastAsia" w:asciiTheme="minorEastAsia" w:hAnsiTheme="minorEastAsia" w:eastAsiaTheme="minorEastAsia" w:cstheme="minorEastAsia"/>
              <w:sz w:val="24"/>
              <w:szCs w:val="24"/>
              <w:lang w:val="en-US" w:eastAsia="zh-CN"/>
            </w:rPr>
            <w:t>2</w:t>
          </w:r>
          <w:r>
            <w:rPr>
              <w:rFonts w:hint="eastAsia" w:asciiTheme="minorEastAsia" w:hAnsiTheme="minorEastAsia" w:eastAsiaTheme="minorEastAsia" w:cstheme="minorEastAsia"/>
              <w:sz w:val="24"/>
              <w:szCs w:val="24"/>
              <w:lang w:val="en-US" w:eastAsia="zh-CN"/>
            </w:rPr>
            <w:fldChar w:fldCharType="end"/>
          </w:r>
          <w:r>
            <w:rPr>
              <w:rFonts w:hint="eastAsia" w:asciiTheme="minorEastAsia" w:hAnsiTheme="minorEastAsia" w:eastAsiaTheme="minorEastAsia" w:cstheme="minorEastAsia"/>
              <w:sz w:val="24"/>
              <w:szCs w:val="24"/>
              <w:lang w:val="en-US" w:eastAsia="zh-CN"/>
            </w:rPr>
            <w:t>2</w:t>
          </w:r>
        </w:p>
        <w:p>
          <w:pPr>
            <w:pStyle w:val="15"/>
            <w:tabs>
              <w:tab w:val="right" w:leader="dot" w:pos="8306"/>
              <w:tab w:val="clear" w:pos="8296"/>
            </w:tabs>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fldChar w:fldCharType="begin"/>
          </w:r>
          <w:r>
            <w:rPr>
              <w:rFonts w:hint="eastAsia" w:asciiTheme="minorEastAsia" w:hAnsiTheme="minorEastAsia" w:eastAsiaTheme="minorEastAsia" w:cstheme="minorEastAsia"/>
              <w:sz w:val="24"/>
              <w:szCs w:val="24"/>
              <w:lang w:val="en-US" w:eastAsia="zh-CN"/>
            </w:rPr>
            <w:instrText xml:space="preserve"> HYPERLINK \l _Toc709520307 </w:instrText>
          </w:r>
          <w:r>
            <w:rPr>
              <w:rFonts w:hint="eastAsia" w:asciiTheme="minorEastAsia" w:hAnsiTheme="minorEastAsia" w:eastAsiaTheme="minorEastAsia" w:cstheme="minorEastAsia"/>
              <w:sz w:val="24"/>
              <w:szCs w:val="24"/>
              <w:lang w:val="en-US" w:eastAsia="zh-CN"/>
            </w:rPr>
            <w:fldChar w:fldCharType="separate"/>
          </w:r>
          <w:r>
            <w:rPr>
              <w:rFonts w:hint="eastAsia" w:asciiTheme="minorEastAsia" w:hAnsiTheme="minorEastAsia" w:eastAsiaTheme="minorEastAsia" w:cstheme="minorEastAsia"/>
              <w:sz w:val="24"/>
              <w:szCs w:val="24"/>
              <w:lang w:val="en-US" w:eastAsia="zh-CN"/>
            </w:rPr>
            <w:t>十三、财政拨款“三公”经费支出决算表</w:t>
          </w:r>
          <w:r>
            <w:rPr>
              <w:rFonts w:hint="eastAsia" w:asciiTheme="minorEastAsia" w:hAnsiTheme="minorEastAsia" w:eastAsiaTheme="minorEastAsia" w:cstheme="minorEastAsia"/>
              <w:sz w:val="24"/>
              <w:szCs w:val="24"/>
              <w:lang w:val="en-US" w:eastAsia="zh-CN"/>
            </w:rPr>
            <w:tab/>
          </w:r>
          <w:r>
            <w:rPr>
              <w:rFonts w:hint="eastAsia" w:asciiTheme="minorEastAsia" w:hAnsiTheme="minorEastAsia" w:eastAsiaTheme="minorEastAsia" w:cstheme="minorEastAsia"/>
              <w:sz w:val="24"/>
              <w:szCs w:val="24"/>
              <w:lang w:val="en-US" w:eastAsia="zh-CN"/>
            </w:rPr>
            <w:t>2</w:t>
          </w:r>
          <w:r>
            <w:rPr>
              <w:rFonts w:hint="eastAsia" w:asciiTheme="minorEastAsia" w:hAnsiTheme="minorEastAsia" w:eastAsiaTheme="minorEastAsia" w:cstheme="minorEastAsia"/>
              <w:sz w:val="24"/>
              <w:szCs w:val="24"/>
              <w:lang w:val="en-US" w:eastAsia="zh-CN"/>
            </w:rPr>
            <w:fldChar w:fldCharType="end"/>
          </w:r>
          <w:r>
            <w:rPr>
              <w:rFonts w:hint="eastAsia" w:asciiTheme="minorEastAsia" w:hAnsiTheme="minorEastAsia" w:eastAsiaTheme="minorEastAsia" w:cstheme="minorEastAsia"/>
              <w:sz w:val="24"/>
              <w:szCs w:val="24"/>
              <w:lang w:val="en-US" w:eastAsia="zh-CN"/>
            </w:rPr>
            <w:t>2</w:t>
          </w:r>
        </w:p>
        <w:p>
          <w:pPr>
            <w:pStyle w:val="2"/>
            <w:jc w:val="center"/>
            <w:rPr>
              <w:rFonts w:hint="default" w:ascii="黑体" w:hAnsi="黑体" w:eastAsia="黑体" w:cs="Times New Roman"/>
              <w:b w:val="0"/>
            </w:rPr>
          </w:pPr>
          <w:r>
            <w:rPr>
              <w:rFonts w:ascii="黑体" w:hAnsi="黑体" w:eastAsia="黑体"/>
            </w:rPr>
            <w:fldChar w:fldCharType="end"/>
          </w:r>
          <w:bookmarkStart w:id="17" w:name="_Toc9951"/>
          <w:r>
            <w:rPr>
              <w:rFonts w:hint="eastAsia" w:ascii="黑体" w:hAnsi="黑体" w:eastAsia="黑体" w:cs="Times New Roman"/>
              <w:b w:val="0"/>
            </w:rPr>
            <w:t>第一部分 部门概况</w:t>
          </w:r>
        </w:p>
        <w:bookmarkEnd w:id="15"/>
        <w:bookmarkEnd w:id="16"/>
        <w:bookmarkEnd w:id="17"/>
        <w:p>
          <w:pPr>
            <w:widowControl/>
            <w:jc w:val="left"/>
            <w:rPr>
              <w:rFonts w:ascii="黑体" w:hAnsi="Times New Roman" w:eastAsia="黑体" w:cs="Times New Roman"/>
              <w:sz w:val="32"/>
              <w:szCs w:val="32"/>
            </w:rPr>
          </w:pPr>
        </w:p>
      </w:sdtContent>
    </w:sdt>
    <w:p>
      <w:pPr>
        <w:pStyle w:val="3"/>
        <w:numPr>
          <w:ilvl w:val="0"/>
          <w:numId w:val="0"/>
        </w:numPr>
        <w:rPr>
          <w:rFonts w:hint="default" w:ascii="黑体" w:hAnsi="黑体" w:eastAsia="黑体"/>
          <w:b w:val="0"/>
          <w:lang w:val="en-US" w:eastAsia="zh-CN"/>
        </w:rPr>
      </w:pPr>
      <w:bookmarkStart w:id="18" w:name="_Toc15883"/>
      <w:r>
        <w:rPr>
          <w:rFonts w:hint="eastAsia" w:ascii="黑体" w:hAnsi="黑体" w:eastAsia="黑体" w:cstheme="majorBidi"/>
          <w:b w:val="0"/>
          <w:bCs/>
          <w:kern w:val="2"/>
          <w:sz w:val="32"/>
          <w:szCs w:val="32"/>
          <w:lang w:val="en-US" w:eastAsia="zh-CN" w:bidi="ar-SA"/>
        </w:rPr>
        <w:t>一、</w:t>
      </w:r>
      <w:r>
        <w:rPr>
          <w:rFonts w:hint="eastAsia" w:ascii="黑体" w:hAnsi="黑体" w:eastAsia="黑体"/>
          <w:b w:val="0"/>
          <w:lang w:val="en-US" w:eastAsia="zh-CN"/>
        </w:rPr>
        <w:t>部门职责</w:t>
      </w:r>
      <w:bookmarkEnd w:id="18"/>
    </w:p>
    <w:p>
      <w:pPr>
        <w:spacing w:line="600" w:lineRule="exact"/>
        <w:ind w:firstLine="640" w:firstLineChars="200"/>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lang w:val="en-US" w:eastAsia="zh-CN"/>
        </w:rPr>
        <w:t>完成应急救护培训任务、开展红十字生命教育工作，开展人道动员宣传工作，开展人道救援及生命教育宣传，开展基层组织建设和红十字志愿服务，红十字青少年工作。开展筹资工作，参与腾讯99公益日活动等，开展红十字救灾备灾工作，完善赈济救援队装备及强化培训。</w:t>
      </w:r>
    </w:p>
    <w:p>
      <w:pPr>
        <w:pStyle w:val="3"/>
        <w:rPr>
          <w:rFonts w:hint="default" w:ascii="黑体" w:eastAsia="黑体"/>
          <w:b w:val="0"/>
          <w:lang w:val="en-US" w:eastAsia="zh-CN"/>
        </w:rPr>
      </w:pPr>
      <w:bookmarkStart w:id="19" w:name="_Toc15377200"/>
      <w:bookmarkStart w:id="20" w:name="_Toc11741"/>
      <w:bookmarkStart w:id="21" w:name="_Toc15396601"/>
      <w:r>
        <w:rPr>
          <w:rFonts w:hint="eastAsia" w:ascii="黑体" w:eastAsia="黑体"/>
          <w:b w:val="0"/>
          <w:lang w:val="en-US" w:eastAsia="zh-CN"/>
        </w:rPr>
        <w:t>二、机构设置</w:t>
      </w:r>
      <w:bookmarkEnd w:id="19"/>
      <w:bookmarkEnd w:id="20"/>
      <w:bookmarkEnd w:id="21"/>
    </w:p>
    <w:p>
      <w:pPr>
        <w:spacing w:line="600" w:lineRule="exact"/>
        <w:ind w:firstLine="640" w:firstLineChars="200"/>
        <w:rPr>
          <w:rFonts w:hint="eastAsia" w:ascii="Times New Roman" w:hAnsi="Times New Roman" w:eastAsia="仿宋" w:cs="Times New Roman"/>
          <w:sz w:val="32"/>
          <w:szCs w:val="32"/>
          <w:lang w:val="en-US" w:eastAsia="zh-CN"/>
        </w:rPr>
      </w:pPr>
      <w:bookmarkStart w:id="22" w:name="_Toc15396602"/>
      <w:bookmarkStart w:id="23" w:name="_Toc15377204"/>
      <w:r>
        <w:rPr>
          <w:rFonts w:hint="eastAsia" w:ascii="Times New Roman" w:hAnsi="Times New Roman" w:eastAsia="仿宋" w:cs="Times New Roman"/>
          <w:sz w:val="32"/>
          <w:szCs w:val="32"/>
          <w:lang w:val="en-US" w:eastAsia="zh-CN"/>
        </w:rPr>
        <w:t>2021年底新成立单位，属于群团组织，2023年新独立纳入一级预算单位。</w:t>
      </w:r>
    </w:p>
    <w:p>
      <w:pPr>
        <w:rPr>
          <w:rFonts w:hint="eastAsia" w:ascii="Times New Roman" w:hAnsi="Times New Roman" w:eastAsia="仿宋-GB3212" w:cs="Times New Roman"/>
          <w:sz w:val="32"/>
          <w:szCs w:val="32"/>
          <w:highlight w:val="none"/>
        </w:rPr>
      </w:pPr>
      <w:r>
        <w:rPr>
          <w:rFonts w:hint="eastAsia" w:ascii="Times New Roman" w:hAnsi="Times New Roman" w:eastAsia="仿宋-GB3212" w:cs="Times New Roman"/>
          <w:sz w:val="32"/>
          <w:szCs w:val="32"/>
          <w:highlight w:val="none"/>
        </w:rPr>
        <w:br w:type="page"/>
      </w:r>
    </w:p>
    <w:p>
      <w:pPr>
        <w:pStyle w:val="2"/>
        <w:ind w:right="440"/>
        <w:jc w:val="center"/>
        <w:rPr>
          <w:rFonts w:hint="default" w:ascii="黑体" w:hAnsi="黑体" w:eastAsia="黑体" w:cs="Times New Roman"/>
          <w:b w:val="0"/>
        </w:rPr>
      </w:pPr>
      <w:bookmarkStart w:id="24" w:name="_Toc25811"/>
      <w:r>
        <w:rPr>
          <w:rFonts w:hint="eastAsia" w:ascii="黑体" w:hAnsi="黑体" w:eastAsia="黑体" w:cs="Times New Roman"/>
          <w:b w:val="0"/>
        </w:rPr>
        <w:t>第二部分 2023年度部门决算情况说明</w:t>
      </w:r>
      <w:bookmarkEnd w:id="22"/>
      <w:bookmarkEnd w:id="23"/>
      <w:bookmarkEnd w:id="24"/>
    </w:p>
    <w:p>
      <w:pPr>
        <w:pStyle w:val="28"/>
        <w:numPr>
          <w:ilvl w:val="0"/>
          <w:numId w:val="0"/>
        </w:numPr>
        <w:tabs>
          <w:tab w:val="left" w:pos="478"/>
        </w:tabs>
        <w:spacing w:line="600" w:lineRule="exact"/>
        <w:ind w:left="1360" w:leftChars="0" w:hanging="720" w:firstLineChars="0"/>
        <w:outlineLvl w:val="1"/>
        <w:rPr>
          <w:rFonts w:hint="default" w:ascii="黑体" w:hAnsi="黑体" w:eastAsia="黑体" w:cs="Times New Roman"/>
          <w:sz w:val="32"/>
          <w:szCs w:val="32"/>
          <w:lang w:val="en-US" w:eastAsia="zh-CN"/>
        </w:rPr>
      </w:pPr>
      <w:bookmarkStart w:id="25" w:name="_Toc31072"/>
      <w:bookmarkStart w:id="26" w:name="_Toc15396603"/>
      <w:bookmarkStart w:id="27" w:name="_Toc15377205"/>
      <w:r>
        <w:rPr>
          <w:rFonts w:hint="default" w:ascii="黑体" w:hAnsi="黑体" w:eastAsia="黑体" w:cs="Times New Roman"/>
          <w:b w:val="0"/>
          <w:kern w:val="2"/>
          <w:sz w:val="32"/>
          <w:szCs w:val="32"/>
          <w:lang w:val="en-US" w:eastAsia="zh-CN" w:bidi="ar-SA"/>
        </w:rPr>
        <w:t>一、</w:t>
      </w:r>
      <w:r>
        <w:rPr>
          <w:rFonts w:hint="eastAsia" w:ascii="黑体" w:hAnsi="黑体" w:eastAsia="黑体" w:cs="Times New Roman"/>
          <w:sz w:val="32"/>
          <w:szCs w:val="32"/>
          <w:lang w:val="en-US" w:eastAsia="zh-CN"/>
        </w:rPr>
        <w:t>收入支出决算总体情况说明</w:t>
      </w:r>
      <w:bookmarkEnd w:id="25"/>
      <w:bookmarkEnd w:id="26"/>
      <w:bookmarkEnd w:id="27"/>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GB3212" w:cs="Times New Roman"/>
          <w:sz w:val="32"/>
          <w:szCs w:val="32"/>
          <w:highlight w:val="none"/>
        </w:rPr>
      </w:pPr>
      <w:r>
        <w:rPr>
          <w:rFonts w:hint="eastAsia" w:ascii="Times New Roman" w:hAnsi="Times New Roman" w:eastAsia="仿宋-GB3212" w:cs="Times New Roman"/>
          <w:sz w:val="32"/>
          <w:szCs w:val="32"/>
          <w:highlight w:val="none"/>
        </w:rPr>
        <w:t>2023年度收、支总计均为91.51万元。与2022年度相比，收、支总计各增加91.51万元，增长100</w:t>
      </w:r>
      <w:r>
        <w:rPr>
          <w:rFonts w:hint="default" w:ascii="Times New Roman" w:hAnsi="Times New Roman" w:eastAsia="仿宋-GB3212" w:cs="Times New Roman"/>
          <w:sz w:val="32"/>
          <w:szCs w:val="32"/>
          <w:highlight w:val="none"/>
        </w:rPr>
        <w:t>%</w:t>
      </w:r>
      <w:r>
        <w:rPr>
          <w:rFonts w:hint="eastAsia" w:ascii="Times New Roman" w:hAnsi="Times New Roman" w:eastAsia="仿宋-GB3212" w:cs="Times New Roman"/>
          <w:sz w:val="32"/>
          <w:szCs w:val="32"/>
          <w:highlight w:val="none"/>
        </w:rPr>
        <w:t>。主要变动</w:t>
      </w:r>
      <w:r>
        <w:rPr>
          <w:rFonts w:hint="eastAsia" w:eastAsia="仿宋-GB3212" w:cs="Times New Roman"/>
          <w:sz w:val="32"/>
          <w:szCs w:val="32"/>
          <w:highlight w:val="none"/>
          <w:lang w:eastAsia="zh-CN"/>
        </w:rPr>
        <w:t>是因为</w:t>
      </w:r>
      <w:r>
        <w:rPr>
          <w:rFonts w:hint="eastAsia" w:ascii="Times New Roman" w:hAnsi="Times New Roman" w:eastAsia="仿宋-GB3212" w:cs="Times New Roman"/>
          <w:sz w:val="32"/>
          <w:szCs w:val="32"/>
          <w:highlight w:val="none"/>
        </w:rPr>
        <w:t>2023年才新独立纳入一级预算单位。</w:t>
      </w:r>
    </w:p>
    <w:p>
      <w:pPr>
        <w:spacing w:line="600" w:lineRule="exact"/>
        <w:ind w:firstLine="640" w:firstLineChars="200"/>
        <w:rPr>
          <w:rFonts w:ascii="仿宋" w:hAnsi="仿宋" w:eastAsia="仿宋"/>
          <w:sz w:val="32"/>
          <w:szCs w:val="32"/>
        </w:rPr>
      </w:pPr>
    </w:p>
    <w:p>
      <w:pPr>
        <w:spacing w:line="600" w:lineRule="exact"/>
        <w:ind w:firstLine="640" w:firstLineChars="200"/>
        <w:rPr>
          <w:rFonts w:ascii="仿宋" w:hAnsi="仿宋" w:eastAsia="仿宋"/>
          <w:sz w:val="32"/>
          <w:szCs w:val="32"/>
        </w:rPr>
      </w:pPr>
    </w:p>
    <w:p>
      <w:pPr>
        <w:spacing w:line="600" w:lineRule="exact"/>
        <w:ind w:firstLine="640" w:firstLineChars="200"/>
        <w:rPr>
          <w:rFonts w:ascii="仿宋" w:hAnsi="仿宋" w:eastAsia="仿宋"/>
          <w:sz w:val="32"/>
          <w:szCs w:val="32"/>
        </w:rPr>
      </w:pPr>
    </w:p>
    <w:p>
      <w:pPr>
        <w:spacing w:line="600" w:lineRule="exact"/>
        <w:ind w:firstLine="642" w:firstLineChars="200"/>
        <w:rPr>
          <w:rFonts w:ascii="仿宋" w:hAnsi="仿宋" w:eastAsia="仿宋"/>
          <w:sz w:val="32"/>
          <w:szCs w:val="32"/>
        </w:rPr>
      </w:pPr>
      <w:r>
        <w:rPr>
          <w:rFonts w:ascii="仿宋" w:hAnsi="仿宋" w:eastAsia="仿宋"/>
          <w:b/>
          <w:sz w:val="32"/>
          <w:szCs w:val="32"/>
        </w:rPr>
        <w:pict>
          <v:shape id="_x0000_s1036" o:spid="_x0000_s1036" o:spt="75" type="#_x0000_t75" style="position:absolute;left:0pt;margin-left:51.05pt;margin-top:-52.15pt;height:202.75pt;width:313.2pt;z-index:-251650048;mso-width-relative:page;mso-height-relative:page;" o:ole="t" filled="f" o:preferrelative="t" stroked="f" coordsize="21600,21600">
            <v:path/>
            <v:fill on="f" focussize="0,0"/>
            <v:stroke on="f" joinstyle="miter"/>
            <v:imagedata r:id="rId12" o:title=""/>
            <o:lock v:ext="edit" aspectratio="t"/>
          </v:shape>
          <o:OLEObject Type="Embed" ProgID="Excel.Chart.8" ShapeID="_x0000_s1036" DrawAspect="Content" ObjectID="_1468075725" r:id="rId11">
            <o:LockedField>false</o:LockedField>
          </o:OLEObject>
        </w:pict>
      </w:r>
    </w:p>
    <w:p>
      <w:pPr>
        <w:spacing w:line="600" w:lineRule="exact"/>
        <w:ind w:firstLine="640" w:firstLineChars="200"/>
        <w:rPr>
          <w:rFonts w:ascii="仿宋" w:hAnsi="仿宋" w:eastAsia="仿宋"/>
          <w:sz w:val="32"/>
          <w:szCs w:val="32"/>
        </w:rPr>
      </w:pPr>
    </w:p>
    <w:p>
      <w:pPr>
        <w:spacing w:line="600" w:lineRule="exact"/>
        <w:ind w:firstLine="640" w:firstLineChars="200"/>
        <w:rPr>
          <w:rFonts w:ascii="仿宋" w:hAnsi="仿宋" w:eastAsia="仿宋"/>
          <w:sz w:val="32"/>
          <w:szCs w:val="32"/>
        </w:rPr>
      </w:pPr>
    </w:p>
    <w:p>
      <w:pPr>
        <w:spacing w:line="600" w:lineRule="exact"/>
        <w:ind w:firstLine="640" w:firstLineChars="200"/>
        <w:rPr>
          <w:rFonts w:hint="eastAsia" w:ascii="仿宋" w:hAnsi="仿宋" w:eastAsia="仿宋"/>
          <w:sz w:val="32"/>
          <w:szCs w:val="32"/>
        </w:rPr>
      </w:pPr>
    </w:p>
    <w:p>
      <w:pPr>
        <w:spacing w:line="600" w:lineRule="exact"/>
        <w:ind w:firstLine="640" w:firstLineChars="200"/>
        <w:rPr>
          <w:rFonts w:hint="eastAsia" w:ascii="仿宋" w:hAnsi="仿宋" w:eastAsia="仿宋"/>
          <w:sz w:val="32"/>
          <w:szCs w:val="32"/>
        </w:rPr>
      </w:pPr>
    </w:p>
    <w:p>
      <w:pPr>
        <w:pStyle w:val="5"/>
        <w:jc w:val="center"/>
        <w:rPr>
          <w:rFonts w:hint="default" w:ascii="仿宋" w:hAnsi="仿宋" w:eastAsia="仿宋" w:cs="Times New Roman"/>
          <w:sz w:val="32"/>
          <w:szCs w:val="32"/>
          <w:lang w:val="en-US" w:eastAsia="zh-CN"/>
        </w:rPr>
      </w:pPr>
      <w:bookmarkStart w:id="28" w:name="_Toc26976"/>
      <w:r>
        <w:rPr>
          <w:rFonts w:hint="eastAsia" w:ascii="仿宋" w:hAnsi="仿宋" w:eastAsia="仿宋" w:cs="Times New Roman"/>
          <w:sz w:val="32"/>
          <w:szCs w:val="32"/>
          <w:lang w:val="en-US" w:eastAsia="zh-CN"/>
        </w:rPr>
        <w:t>（图</w:t>
      </w:r>
      <w:r>
        <w:rPr>
          <w:rFonts w:hint="default" w:ascii="仿宋" w:hAnsi="仿宋" w:eastAsia="仿宋" w:cs="Times New Roman"/>
          <w:sz w:val="32"/>
          <w:szCs w:val="32"/>
          <w:lang w:val="en-US" w:eastAsia="zh-CN"/>
        </w:rPr>
        <w:t>1</w:t>
      </w:r>
      <w:r>
        <w:rPr>
          <w:rFonts w:hint="eastAsia" w:ascii="仿宋" w:hAnsi="仿宋" w:eastAsia="仿宋" w:cs="Times New Roman"/>
          <w:sz w:val="32"/>
          <w:szCs w:val="32"/>
          <w:lang w:val="en-US" w:eastAsia="zh-CN"/>
        </w:rPr>
        <w:t>：收、支决算总计变动情况图）</w:t>
      </w:r>
      <w:bookmarkEnd w:id="28"/>
    </w:p>
    <w:p>
      <w:pPr>
        <w:pStyle w:val="28"/>
        <w:numPr>
          <w:ilvl w:val="0"/>
          <w:numId w:val="0"/>
        </w:numPr>
        <w:spacing w:line="600" w:lineRule="exact"/>
        <w:ind w:left="1360" w:leftChars="0" w:hanging="720" w:firstLineChars="0"/>
        <w:outlineLvl w:val="1"/>
        <w:rPr>
          <w:rFonts w:hint="default" w:ascii="黑体" w:hAnsi="黑体" w:eastAsia="黑体" w:cs="Times New Roman"/>
          <w:sz w:val="32"/>
          <w:szCs w:val="32"/>
          <w:lang w:val="en-US" w:eastAsia="zh-CN"/>
        </w:rPr>
      </w:pPr>
      <w:bookmarkStart w:id="29" w:name="_Toc15396604"/>
      <w:bookmarkStart w:id="30" w:name="_Toc15377206"/>
      <w:bookmarkStart w:id="31" w:name="_Toc17050"/>
      <w:r>
        <w:rPr>
          <w:rFonts w:hint="default" w:ascii="黑体" w:hAnsi="黑体" w:eastAsia="黑体" w:cs="Times New Roman"/>
          <w:sz w:val="32"/>
          <w:szCs w:val="32"/>
          <w:lang w:val="en-US" w:eastAsia="zh-CN"/>
        </w:rPr>
        <w:t>二、</w:t>
      </w:r>
      <w:r>
        <w:rPr>
          <w:rFonts w:hint="eastAsia" w:ascii="黑体" w:hAnsi="黑体" w:eastAsia="黑体" w:cs="Times New Roman"/>
          <w:sz w:val="32"/>
          <w:szCs w:val="32"/>
          <w:lang w:val="en-US" w:eastAsia="zh-CN"/>
        </w:rPr>
        <w:t>收入决算情况说明</w:t>
      </w:r>
      <w:bookmarkEnd w:id="29"/>
      <w:bookmarkEnd w:id="30"/>
      <w:bookmarkEnd w:id="31"/>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GB3212" w:cs="Times New Roman"/>
          <w:sz w:val="32"/>
          <w:szCs w:val="32"/>
          <w:highlight w:val="none"/>
          <w:lang w:eastAsia="zh-CN"/>
        </w:rPr>
      </w:pPr>
      <w:r>
        <w:rPr>
          <w:rFonts w:hint="eastAsia" w:ascii="Times New Roman" w:hAnsi="Times New Roman" w:eastAsia="仿宋-GB3212" w:cs="Times New Roman"/>
          <w:sz w:val="32"/>
          <w:szCs w:val="32"/>
          <w:highlight w:val="none"/>
          <w:lang w:eastAsia="zh-CN"/>
        </w:rPr>
        <w:t>2023年度本年收入合计</w:t>
      </w:r>
      <w:r>
        <w:rPr>
          <w:rFonts w:hint="default" w:ascii="Times New Roman" w:hAnsi="Times New Roman" w:eastAsia="仿宋-GB3212" w:cs="Times New Roman"/>
          <w:sz w:val="32"/>
          <w:szCs w:val="32"/>
          <w:highlight w:val="none"/>
          <w:lang w:eastAsia="zh-CN"/>
        </w:rPr>
        <w:t>91.51</w:t>
      </w:r>
      <w:r>
        <w:rPr>
          <w:rFonts w:hint="eastAsia" w:ascii="Times New Roman" w:hAnsi="Times New Roman" w:eastAsia="仿宋-GB3212" w:cs="Times New Roman"/>
          <w:sz w:val="32"/>
          <w:szCs w:val="32"/>
          <w:highlight w:val="none"/>
          <w:lang w:eastAsia="zh-CN"/>
        </w:rPr>
        <w:t>万元，其中：一般公共预算财政拨款收入</w:t>
      </w:r>
      <w:r>
        <w:rPr>
          <w:rFonts w:hint="default" w:ascii="Times New Roman" w:hAnsi="Times New Roman" w:eastAsia="仿宋-GB3212" w:cs="Times New Roman"/>
          <w:sz w:val="32"/>
          <w:szCs w:val="32"/>
          <w:highlight w:val="none"/>
          <w:lang w:eastAsia="zh-CN"/>
        </w:rPr>
        <w:t>91.51</w:t>
      </w:r>
      <w:r>
        <w:rPr>
          <w:rFonts w:hint="eastAsia" w:ascii="Times New Roman" w:hAnsi="Times New Roman" w:eastAsia="仿宋-GB3212" w:cs="Times New Roman"/>
          <w:sz w:val="32"/>
          <w:szCs w:val="32"/>
          <w:highlight w:val="none"/>
          <w:lang w:eastAsia="zh-CN"/>
        </w:rPr>
        <w:t>万元，占</w:t>
      </w:r>
      <w:r>
        <w:rPr>
          <w:rFonts w:hint="default" w:ascii="Times New Roman" w:hAnsi="Times New Roman" w:eastAsia="仿宋-GB3212" w:cs="Times New Roman"/>
          <w:sz w:val="32"/>
          <w:szCs w:val="32"/>
          <w:highlight w:val="none"/>
          <w:lang w:eastAsia="zh-CN"/>
        </w:rPr>
        <w:t>100%</w:t>
      </w:r>
      <w:r>
        <w:rPr>
          <w:rFonts w:hint="eastAsia" w:ascii="Times New Roman" w:hAnsi="Times New Roman" w:eastAsia="仿宋-GB3212" w:cs="Times New Roman"/>
          <w:sz w:val="32"/>
          <w:szCs w:val="32"/>
          <w:highlight w:val="none"/>
          <w:lang w:eastAsia="zh-CN"/>
        </w:rPr>
        <w:t>；政府性基金预算财政拨款收入</w:t>
      </w:r>
      <w:r>
        <w:rPr>
          <w:rFonts w:hint="default" w:ascii="Times New Roman" w:hAnsi="Times New Roman" w:eastAsia="仿宋-GB3212" w:cs="Times New Roman"/>
          <w:sz w:val="32"/>
          <w:szCs w:val="32"/>
          <w:highlight w:val="none"/>
          <w:lang w:eastAsia="zh-CN"/>
        </w:rPr>
        <w:t>0</w:t>
      </w:r>
      <w:r>
        <w:rPr>
          <w:rFonts w:hint="eastAsia" w:ascii="Times New Roman" w:hAnsi="Times New Roman" w:eastAsia="仿宋-GB3212" w:cs="Times New Roman"/>
          <w:sz w:val="32"/>
          <w:szCs w:val="32"/>
          <w:highlight w:val="none"/>
          <w:lang w:eastAsia="zh-CN"/>
        </w:rPr>
        <w:t>万元，占</w:t>
      </w:r>
      <w:r>
        <w:rPr>
          <w:rFonts w:hint="default" w:ascii="Times New Roman" w:hAnsi="Times New Roman" w:eastAsia="仿宋-GB3212" w:cs="Times New Roman"/>
          <w:sz w:val="32"/>
          <w:szCs w:val="32"/>
          <w:highlight w:val="none"/>
          <w:lang w:eastAsia="zh-CN"/>
        </w:rPr>
        <w:t>0%</w:t>
      </w:r>
      <w:r>
        <w:rPr>
          <w:rFonts w:hint="eastAsia" w:ascii="Times New Roman" w:hAnsi="Times New Roman" w:eastAsia="仿宋-GB3212" w:cs="Times New Roman"/>
          <w:sz w:val="32"/>
          <w:szCs w:val="32"/>
          <w:highlight w:val="none"/>
          <w:lang w:eastAsia="zh-CN"/>
        </w:rPr>
        <w:t>；国有资本经营预算财政拨款收入</w:t>
      </w:r>
      <w:r>
        <w:rPr>
          <w:rFonts w:hint="default" w:ascii="Times New Roman" w:hAnsi="Times New Roman" w:eastAsia="仿宋-GB3212" w:cs="Times New Roman"/>
          <w:sz w:val="32"/>
          <w:szCs w:val="32"/>
          <w:highlight w:val="none"/>
          <w:lang w:eastAsia="zh-CN"/>
        </w:rPr>
        <w:t>0</w:t>
      </w:r>
      <w:r>
        <w:rPr>
          <w:rFonts w:hint="eastAsia" w:ascii="Times New Roman" w:hAnsi="Times New Roman" w:eastAsia="仿宋-GB3212" w:cs="Times New Roman"/>
          <w:sz w:val="32"/>
          <w:szCs w:val="32"/>
          <w:highlight w:val="none"/>
          <w:lang w:eastAsia="zh-CN"/>
        </w:rPr>
        <w:t>万元，占</w:t>
      </w:r>
      <w:r>
        <w:rPr>
          <w:rFonts w:hint="default" w:ascii="Times New Roman" w:hAnsi="Times New Roman" w:eastAsia="仿宋-GB3212" w:cs="Times New Roman"/>
          <w:sz w:val="32"/>
          <w:szCs w:val="32"/>
          <w:highlight w:val="none"/>
          <w:lang w:eastAsia="zh-CN"/>
        </w:rPr>
        <w:t>0%</w:t>
      </w:r>
      <w:r>
        <w:rPr>
          <w:rFonts w:hint="eastAsia" w:ascii="Times New Roman" w:hAnsi="Times New Roman" w:eastAsia="仿宋-GB3212" w:cs="Times New Roman"/>
          <w:sz w:val="32"/>
          <w:szCs w:val="32"/>
          <w:highlight w:val="none"/>
          <w:lang w:eastAsia="zh-CN"/>
        </w:rPr>
        <w:t>；上级补助收入</w:t>
      </w:r>
      <w:r>
        <w:rPr>
          <w:rFonts w:hint="default" w:ascii="Times New Roman" w:hAnsi="Times New Roman" w:eastAsia="仿宋-GB3212" w:cs="Times New Roman"/>
          <w:sz w:val="32"/>
          <w:szCs w:val="32"/>
          <w:highlight w:val="none"/>
          <w:lang w:eastAsia="zh-CN"/>
        </w:rPr>
        <w:t>0</w:t>
      </w:r>
      <w:r>
        <w:rPr>
          <w:rFonts w:hint="eastAsia" w:ascii="Times New Roman" w:hAnsi="Times New Roman" w:eastAsia="仿宋-GB3212" w:cs="Times New Roman"/>
          <w:sz w:val="32"/>
          <w:szCs w:val="32"/>
          <w:highlight w:val="none"/>
          <w:lang w:eastAsia="zh-CN"/>
        </w:rPr>
        <w:t>万元，占</w:t>
      </w:r>
      <w:r>
        <w:rPr>
          <w:rFonts w:hint="default" w:ascii="Times New Roman" w:hAnsi="Times New Roman" w:eastAsia="仿宋-GB3212" w:cs="Times New Roman"/>
          <w:sz w:val="32"/>
          <w:szCs w:val="32"/>
          <w:highlight w:val="none"/>
          <w:lang w:eastAsia="zh-CN"/>
        </w:rPr>
        <w:t>0%</w:t>
      </w:r>
      <w:r>
        <w:rPr>
          <w:rFonts w:hint="eastAsia" w:ascii="Times New Roman" w:hAnsi="Times New Roman" w:eastAsia="仿宋-GB3212" w:cs="Times New Roman"/>
          <w:sz w:val="32"/>
          <w:szCs w:val="32"/>
          <w:highlight w:val="none"/>
          <w:lang w:eastAsia="zh-CN"/>
        </w:rPr>
        <w:t>；事业收入</w:t>
      </w:r>
      <w:r>
        <w:rPr>
          <w:rFonts w:hint="default" w:ascii="Times New Roman" w:hAnsi="Times New Roman" w:eastAsia="仿宋-GB3212" w:cs="Times New Roman"/>
          <w:sz w:val="32"/>
          <w:szCs w:val="32"/>
          <w:highlight w:val="none"/>
          <w:lang w:eastAsia="zh-CN"/>
        </w:rPr>
        <w:t>0</w:t>
      </w:r>
      <w:r>
        <w:rPr>
          <w:rFonts w:hint="eastAsia" w:ascii="Times New Roman" w:hAnsi="Times New Roman" w:eastAsia="仿宋-GB3212" w:cs="Times New Roman"/>
          <w:sz w:val="32"/>
          <w:szCs w:val="32"/>
          <w:highlight w:val="none"/>
          <w:lang w:eastAsia="zh-CN"/>
        </w:rPr>
        <w:t>万元，占</w:t>
      </w:r>
      <w:r>
        <w:rPr>
          <w:rFonts w:hint="default" w:ascii="Times New Roman" w:hAnsi="Times New Roman" w:eastAsia="仿宋-GB3212" w:cs="Times New Roman"/>
          <w:sz w:val="32"/>
          <w:szCs w:val="32"/>
          <w:highlight w:val="none"/>
          <w:lang w:eastAsia="zh-CN"/>
        </w:rPr>
        <w:t>0%</w:t>
      </w:r>
      <w:r>
        <w:rPr>
          <w:rFonts w:hint="eastAsia" w:ascii="Times New Roman" w:hAnsi="Times New Roman" w:eastAsia="仿宋-GB3212" w:cs="Times New Roman"/>
          <w:sz w:val="32"/>
          <w:szCs w:val="32"/>
          <w:highlight w:val="none"/>
          <w:lang w:eastAsia="zh-CN"/>
        </w:rPr>
        <w:t>；经营收入</w:t>
      </w:r>
      <w:r>
        <w:rPr>
          <w:rFonts w:hint="default" w:ascii="Times New Roman" w:hAnsi="Times New Roman" w:eastAsia="仿宋-GB3212" w:cs="Times New Roman"/>
          <w:sz w:val="32"/>
          <w:szCs w:val="32"/>
          <w:highlight w:val="none"/>
          <w:lang w:eastAsia="zh-CN"/>
        </w:rPr>
        <w:t>0</w:t>
      </w:r>
      <w:r>
        <w:rPr>
          <w:rFonts w:hint="eastAsia" w:ascii="Times New Roman" w:hAnsi="Times New Roman" w:eastAsia="仿宋-GB3212" w:cs="Times New Roman"/>
          <w:sz w:val="32"/>
          <w:szCs w:val="32"/>
          <w:highlight w:val="none"/>
          <w:lang w:eastAsia="zh-CN"/>
        </w:rPr>
        <w:t>万元，占</w:t>
      </w:r>
      <w:r>
        <w:rPr>
          <w:rFonts w:hint="default" w:ascii="Times New Roman" w:hAnsi="Times New Roman" w:eastAsia="仿宋-GB3212" w:cs="Times New Roman"/>
          <w:sz w:val="32"/>
          <w:szCs w:val="32"/>
          <w:highlight w:val="none"/>
          <w:lang w:eastAsia="zh-CN"/>
        </w:rPr>
        <w:t>0%</w:t>
      </w:r>
      <w:r>
        <w:rPr>
          <w:rFonts w:hint="eastAsia" w:ascii="Times New Roman" w:hAnsi="Times New Roman" w:eastAsia="仿宋-GB3212" w:cs="Times New Roman"/>
          <w:sz w:val="32"/>
          <w:szCs w:val="32"/>
          <w:highlight w:val="none"/>
          <w:lang w:eastAsia="zh-CN"/>
        </w:rPr>
        <w:t>；附属单位上缴收入</w:t>
      </w:r>
      <w:r>
        <w:rPr>
          <w:rFonts w:hint="default" w:ascii="Times New Roman" w:hAnsi="Times New Roman" w:eastAsia="仿宋-GB3212" w:cs="Times New Roman"/>
          <w:sz w:val="32"/>
          <w:szCs w:val="32"/>
          <w:highlight w:val="none"/>
          <w:lang w:eastAsia="zh-CN"/>
        </w:rPr>
        <w:t>0</w:t>
      </w:r>
      <w:r>
        <w:rPr>
          <w:rFonts w:hint="eastAsia" w:ascii="Times New Roman" w:hAnsi="Times New Roman" w:eastAsia="仿宋-GB3212" w:cs="Times New Roman"/>
          <w:sz w:val="32"/>
          <w:szCs w:val="32"/>
          <w:highlight w:val="none"/>
          <w:lang w:eastAsia="zh-CN"/>
        </w:rPr>
        <w:t>万元，占</w:t>
      </w:r>
      <w:r>
        <w:rPr>
          <w:rFonts w:hint="default" w:ascii="Times New Roman" w:hAnsi="Times New Roman" w:eastAsia="仿宋-GB3212" w:cs="Times New Roman"/>
          <w:sz w:val="32"/>
          <w:szCs w:val="32"/>
          <w:highlight w:val="none"/>
          <w:lang w:eastAsia="zh-CN"/>
        </w:rPr>
        <w:t>0%</w:t>
      </w:r>
      <w:r>
        <w:rPr>
          <w:rFonts w:hint="eastAsia" w:ascii="Times New Roman" w:hAnsi="Times New Roman" w:eastAsia="仿宋-GB3212" w:cs="Times New Roman"/>
          <w:sz w:val="32"/>
          <w:szCs w:val="32"/>
          <w:highlight w:val="none"/>
          <w:lang w:eastAsia="zh-CN"/>
        </w:rPr>
        <w:t>；其他收入</w:t>
      </w:r>
      <w:r>
        <w:rPr>
          <w:rFonts w:hint="default" w:ascii="Times New Roman" w:hAnsi="Times New Roman" w:eastAsia="仿宋-GB3212" w:cs="Times New Roman"/>
          <w:sz w:val="32"/>
          <w:szCs w:val="32"/>
          <w:highlight w:val="none"/>
          <w:lang w:eastAsia="zh-CN"/>
        </w:rPr>
        <w:t>0</w:t>
      </w:r>
      <w:r>
        <w:rPr>
          <w:rFonts w:hint="eastAsia" w:ascii="Times New Roman" w:hAnsi="Times New Roman" w:eastAsia="仿宋-GB3212" w:cs="Times New Roman"/>
          <w:sz w:val="32"/>
          <w:szCs w:val="32"/>
          <w:highlight w:val="none"/>
          <w:lang w:eastAsia="zh-CN"/>
        </w:rPr>
        <w:t>万元，占</w:t>
      </w:r>
      <w:r>
        <w:rPr>
          <w:rFonts w:hint="default" w:ascii="Times New Roman" w:hAnsi="Times New Roman" w:eastAsia="仿宋-GB3212" w:cs="Times New Roman"/>
          <w:sz w:val="32"/>
          <w:szCs w:val="32"/>
          <w:highlight w:val="none"/>
          <w:lang w:eastAsia="zh-CN"/>
        </w:rPr>
        <w:t>0%</w:t>
      </w:r>
      <w:r>
        <w:rPr>
          <w:rFonts w:hint="eastAsia" w:ascii="Times New Roman" w:hAnsi="Times New Roman" w:eastAsia="仿宋-GB3212" w:cs="Times New Roman"/>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GB3212" w:cs="Times New Roman"/>
          <w:sz w:val="32"/>
          <w:szCs w:val="32"/>
          <w:highlight w:val="none"/>
          <w:lang w:eastAsia="zh-CN"/>
        </w:rPr>
      </w:pPr>
    </w:p>
    <w:p>
      <w:pPr>
        <w:pStyle w:val="5"/>
        <w:jc w:val="center"/>
        <w:rPr>
          <w:rFonts w:hint="eastAsia" w:ascii="仿宋" w:hAnsi="仿宋" w:eastAsia="仿宋" w:cs="Times New Roman"/>
          <w:sz w:val="32"/>
          <w:szCs w:val="32"/>
          <w:lang w:val="en-US" w:eastAsia="zh-CN"/>
        </w:rPr>
      </w:pPr>
      <w:r>
        <w:rPr>
          <w:rFonts w:hint="eastAsia" w:ascii="仿宋" w:hAnsi="仿宋" w:eastAsia="仿宋" w:cs="Times New Roman"/>
          <w:sz w:val="32"/>
          <w:szCs w:val="32"/>
        </w:rPr>
        <w:pict>
          <v:shape id="Object 3" o:spid="_x0000_s1027" o:spt="75" type="#_x0000_t75" style="position:absolute;left:0pt;margin-left:24.3pt;margin-top:6.75pt;height:222.75pt;width:366.75pt;mso-wrap-distance-bottom:0pt;mso-wrap-distance-left:9pt;mso-wrap-distance-right:9pt;mso-wrap-distance-top:0pt;z-index:251660288;mso-width-relative:page;mso-height-relative:page;" o:ole="t" filled="f" o:preferrelative="t" stroked="f" coordsize="21600,21600">
            <v:path/>
            <v:fill on="f" focussize="0,0"/>
            <v:stroke on="f" joinstyle="miter"/>
            <v:imagedata r:id="rId14" o:title=""/>
            <o:lock v:ext="edit" aspectratio="t"/>
            <w10:wrap type="square"/>
          </v:shape>
          <o:OLEObject Type="Embed" ProgID="Excel.Chart.8" ShapeID="Object 3" DrawAspect="Content" ObjectID="_1468075726" r:id="rId13">
            <o:LockedField>false</o:LockedField>
          </o:OLEObject>
        </w:pict>
      </w:r>
      <w:r>
        <w:rPr>
          <w:rFonts w:hint="eastAsia" w:ascii="仿宋" w:hAnsi="仿宋" w:eastAsia="仿宋" w:cs="Times New Roman"/>
          <w:sz w:val="32"/>
          <w:szCs w:val="32"/>
          <w:lang w:val="en-US" w:eastAsia="zh-CN"/>
        </w:rPr>
        <w:t>（图2：收入决算结构图）</w:t>
      </w:r>
    </w:p>
    <w:p>
      <w:pPr>
        <w:pStyle w:val="28"/>
        <w:numPr>
          <w:ilvl w:val="0"/>
          <w:numId w:val="0"/>
        </w:numPr>
        <w:spacing w:line="600" w:lineRule="exact"/>
        <w:ind w:left="1360" w:leftChars="0" w:hanging="720" w:firstLineChars="0"/>
        <w:outlineLvl w:val="1"/>
        <w:rPr>
          <w:rFonts w:hint="default" w:ascii="黑体" w:hAnsi="黑体" w:eastAsia="黑体" w:cs="Times New Roman"/>
          <w:sz w:val="32"/>
          <w:szCs w:val="32"/>
          <w:lang w:val="en-US" w:eastAsia="zh-CN"/>
        </w:rPr>
      </w:pPr>
      <w:bookmarkStart w:id="32" w:name="_Toc25769"/>
      <w:bookmarkStart w:id="33" w:name="_Toc15377207"/>
      <w:bookmarkStart w:id="34" w:name="_Toc15396605"/>
      <w:r>
        <w:rPr>
          <w:rFonts w:hint="default" w:ascii="黑体" w:hAnsi="黑体" w:eastAsia="黑体" w:cs="Times New Roman"/>
          <w:sz w:val="32"/>
          <w:szCs w:val="32"/>
          <w:lang w:val="en-US" w:eastAsia="zh-CN"/>
        </w:rPr>
        <w:t>三、</w:t>
      </w:r>
      <w:r>
        <w:rPr>
          <w:rFonts w:hint="eastAsia" w:ascii="黑体" w:hAnsi="黑体" w:eastAsia="黑体" w:cs="Times New Roman"/>
          <w:sz w:val="32"/>
          <w:szCs w:val="32"/>
          <w:lang w:val="en-US" w:eastAsia="zh-CN"/>
        </w:rPr>
        <w:t>支出决算情况说明</w:t>
      </w:r>
      <w:bookmarkEnd w:id="32"/>
      <w:bookmarkEnd w:id="33"/>
      <w:bookmarkEnd w:id="34"/>
    </w:p>
    <w:p>
      <w:pPr>
        <w:spacing w:line="600" w:lineRule="exact"/>
        <w:ind w:firstLine="640" w:firstLineChars="200"/>
        <w:outlineLvl w:val="1"/>
        <w:rPr>
          <w:rFonts w:hint="default" w:ascii="仿宋" w:hAnsi="仿宋" w:eastAsia="仿宋" w:cs="Times New Roman"/>
          <w:sz w:val="32"/>
          <w:szCs w:val="32"/>
        </w:rPr>
      </w:pPr>
      <w:r>
        <w:rPr>
          <w:rFonts w:hint="eastAsia" w:ascii="仿宋" w:hAnsi="仿宋" w:eastAsia="仿宋" w:cs="Times New Roman"/>
          <w:sz w:val="32"/>
          <w:szCs w:val="32"/>
        </w:rPr>
        <w:t>2023年度本年支出合计</w:t>
      </w:r>
      <w:r>
        <w:rPr>
          <w:rFonts w:hint="default" w:ascii="仿宋" w:hAnsi="仿宋" w:eastAsia="仿宋" w:cs="Times New Roman"/>
          <w:sz w:val="32"/>
          <w:szCs w:val="32"/>
        </w:rPr>
        <w:t>91.51</w:t>
      </w:r>
      <w:r>
        <w:rPr>
          <w:rFonts w:hint="eastAsia" w:ascii="仿宋" w:hAnsi="仿宋" w:eastAsia="仿宋" w:cs="Times New Roman"/>
          <w:sz w:val="32"/>
          <w:szCs w:val="32"/>
        </w:rPr>
        <w:t>万元，其中：基本支出</w:t>
      </w:r>
      <w:r>
        <w:rPr>
          <w:rFonts w:hint="default" w:ascii="仿宋" w:hAnsi="仿宋" w:eastAsia="仿宋" w:cs="Times New Roman"/>
          <w:sz w:val="32"/>
          <w:szCs w:val="32"/>
        </w:rPr>
        <w:t>84.68</w:t>
      </w:r>
      <w:r>
        <w:rPr>
          <w:rFonts w:hint="eastAsia" w:ascii="仿宋" w:hAnsi="仿宋" w:eastAsia="仿宋" w:cs="Times New Roman"/>
          <w:sz w:val="32"/>
          <w:szCs w:val="32"/>
        </w:rPr>
        <w:t>万元，占</w:t>
      </w:r>
      <w:r>
        <w:rPr>
          <w:rFonts w:hint="default" w:ascii="仿宋" w:hAnsi="仿宋" w:eastAsia="仿宋" w:cs="Times New Roman"/>
          <w:sz w:val="32"/>
          <w:szCs w:val="32"/>
        </w:rPr>
        <w:t>92.54%</w:t>
      </w:r>
      <w:r>
        <w:rPr>
          <w:rFonts w:hint="eastAsia" w:ascii="仿宋" w:hAnsi="仿宋" w:eastAsia="仿宋" w:cs="Times New Roman"/>
          <w:sz w:val="32"/>
          <w:szCs w:val="32"/>
        </w:rPr>
        <w:t>；项目支出</w:t>
      </w:r>
      <w:r>
        <w:rPr>
          <w:rFonts w:hint="default" w:ascii="仿宋" w:hAnsi="仿宋" w:eastAsia="仿宋" w:cs="Times New Roman"/>
          <w:sz w:val="32"/>
          <w:szCs w:val="32"/>
        </w:rPr>
        <w:t>6.83</w:t>
      </w:r>
      <w:r>
        <w:rPr>
          <w:rFonts w:hint="eastAsia" w:ascii="仿宋" w:hAnsi="仿宋" w:eastAsia="仿宋" w:cs="Times New Roman"/>
          <w:sz w:val="32"/>
          <w:szCs w:val="32"/>
        </w:rPr>
        <w:t>万元，占</w:t>
      </w:r>
      <w:r>
        <w:rPr>
          <w:rFonts w:hint="default" w:ascii="仿宋" w:hAnsi="仿宋" w:eastAsia="仿宋" w:cs="Times New Roman"/>
          <w:sz w:val="32"/>
          <w:szCs w:val="32"/>
        </w:rPr>
        <w:t>7.45%</w:t>
      </w:r>
      <w:r>
        <w:rPr>
          <w:rFonts w:hint="eastAsia" w:ascii="仿宋" w:hAnsi="仿宋" w:eastAsia="仿宋" w:cs="Times New Roman"/>
          <w:sz w:val="32"/>
          <w:szCs w:val="32"/>
        </w:rPr>
        <w:t>；上缴上级支出</w:t>
      </w:r>
      <w:r>
        <w:rPr>
          <w:rFonts w:hint="default" w:ascii="仿宋" w:hAnsi="仿宋" w:eastAsia="仿宋" w:cs="Times New Roman"/>
          <w:sz w:val="32"/>
          <w:szCs w:val="32"/>
        </w:rPr>
        <w:t>0</w:t>
      </w:r>
      <w:r>
        <w:rPr>
          <w:rFonts w:hint="eastAsia" w:ascii="仿宋" w:hAnsi="仿宋" w:eastAsia="仿宋" w:cs="Times New Roman"/>
          <w:sz w:val="32"/>
          <w:szCs w:val="32"/>
        </w:rPr>
        <w:t>万元，占</w:t>
      </w:r>
      <w:r>
        <w:rPr>
          <w:rFonts w:hint="default" w:ascii="仿宋" w:hAnsi="仿宋" w:eastAsia="仿宋" w:cs="Times New Roman"/>
          <w:sz w:val="32"/>
          <w:szCs w:val="32"/>
        </w:rPr>
        <w:t>0%</w:t>
      </w:r>
      <w:r>
        <w:rPr>
          <w:rFonts w:hint="eastAsia" w:ascii="仿宋" w:hAnsi="仿宋" w:eastAsia="仿宋" w:cs="Times New Roman"/>
          <w:sz w:val="32"/>
          <w:szCs w:val="32"/>
        </w:rPr>
        <w:t>；经营支出</w:t>
      </w:r>
      <w:r>
        <w:rPr>
          <w:rFonts w:hint="default" w:ascii="仿宋" w:hAnsi="仿宋" w:eastAsia="仿宋" w:cs="Times New Roman"/>
          <w:sz w:val="32"/>
          <w:szCs w:val="32"/>
        </w:rPr>
        <w:t>0</w:t>
      </w:r>
      <w:r>
        <w:rPr>
          <w:rFonts w:hint="eastAsia" w:ascii="仿宋" w:hAnsi="仿宋" w:eastAsia="仿宋" w:cs="Times New Roman"/>
          <w:sz w:val="32"/>
          <w:szCs w:val="32"/>
        </w:rPr>
        <w:t>万元，占</w:t>
      </w:r>
      <w:r>
        <w:rPr>
          <w:rFonts w:hint="default" w:ascii="仿宋" w:hAnsi="仿宋" w:eastAsia="仿宋" w:cs="Times New Roman"/>
          <w:sz w:val="32"/>
          <w:szCs w:val="32"/>
        </w:rPr>
        <w:t>0%</w:t>
      </w:r>
      <w:r>
        <w:rPr>
          <w:rFonts w:hint="eastAsia" w:ascii="仿宋" w:hAnsi="仿宋" w:eastAsia="仿宋" w:cs="Times New Roman"/>
          <w:sz w:val="32"/>
          <w:szCs w:val="32"/>
        </w:rPr>
        <w:t>；对附属单位补助支出</w:t>
      </w:r>
      <w:r>
        <w:rPr>
          <w:rFonts w:hint="default" w:ascii="仿宋" w:hAnsi="仿宋" w:eastAsia="仿宋" w:cs="Times New Roman"/>
          <w:sz w:val="32"/>
          <w:szCs w:val="32"/>
        </w:rPr>
        <w:t>0</w:t>
      </w:r>
      <w:r>
        <w:rPr>
          <w:rFonts w:hint="eastAsia" w:ascii="仿宋" w:hAnsi="仿宋" w:eastAsia="仿宋" w:cs="Times New Roman"/>
          <w:sz w:val="32"/>
          <w:szCs w:val="32"/>
        </w:rPr>
        <w:t>万元，占</w:t>
      </w:r>
      <w:r>
        <w:rPr>
          <w:rFonts w:hint="default" w:ascii="仿宋" w:hAnsi="仿宋" w:eastAsia="仿宋" w:cs="Times New Roman"/>
          <w:sz w:val="32"/>
          <w:szCs w:val="32"/>
        </w:rPr>
        <w:t>0%</w:t>
      </w:r>
      <w:r>
        <w:rPr>
          <w:rFonts w:hint="eastAsia" w:ascii="仿宋" w:hAnsi="仿宋" w:eastAsia="仿宋" w:cs="Times New Roman"/>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仿宋" w:hAnsi="仿宋" w:eastAsia="仿宋"/>
          <w:sz w:val="32"/>
          <w:szCs w:val="32"/>
        </w:rPr>
      </w:pPr>
      <w:r>
        <w:rPr>
          <w:rFonts w:ascii="黑体" w:hAnsi="黑体" w:eastAsia="黑体"/>
          <w:sz w:val="32"/>
          <w:szCs w:val="32"/>
        </w:rPr>
        <w:pict>
          <v:shape id="Object 4" o:spid="_x0000_s1028" o:spt="75" type="#_x0000_t75" style="position:absolute;left:0pt;margin-left:50.6pt;margin-top:16.9pt;height:189.6pt;width:314.1pt;mso-wrap-distance-bottom:0pt;mso-wrap-distance-left:9pt;mso-wrap-distance-right:9pt;mso-wrap-distance-top:0pt;z-index:251661312;mso-width-relative:page;mso-height-relative:page;" o:ole="t" filled="f" o:preferrelative="t" stroked="f" coordsize="21600,21600">
            <v:path/>
            <v:fill on="f" focussize="0,0"/>
            <v:stroke on="f"/>
            <v:imagedata r:id="rId16" o:title=""/>
            <o:lock v:ext="edit" aspectratio="t"/>
            <w10:wrap type="square"/>
          </v:shape>
          <o:OLEObject Type="Embed" ProgID="Excel.Chart.8" ShapeID="Object 4" DrawAspect="Content" ObjectID="_1468075727" r:id="rId15">
            <o:LockedField>false</o:LockedField>
          </o:OLEObject>
        </w:pict>
      </w: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仿宋" w:hAnsi="仿宋" w:eastAsia="仿宋"/>
          <w:sz w:val="32"/>
          <w:szCs w:val="32"/>
        </w:rPr>
      </w:pPr>
    </w:p>
    <w:p>
      <w:pPr>
        <w:pStyle w:val="5"/>
        <w:rPr>
          <w:rFonts w:hint="eastAsia"/>
        </w:rPr>
      </w:pPr>
    </w:p>
    <w:p>
      <w:pPr>
        <w:pStyle w:val="5"/>
        <w:jc w:val="center"/>
        <w:rPr>
          <w:rFonts w:hint="eastAsia" w:ascii="仿宋" w:hAnsi="仿宋" w:eastAsia="仿宋" w:cs="Times New Roman"/>
          <w:sz w:val="32"/>
          <w:szCs w:val="32"/>
        </w:rPr>
      </w:pPr>
      <w:r>
        <w:rPr>
          <w:rFonts w:hint="eastAsia" w:ascii="仿宋" w:hAnsi="仿宋" w:eastAsia="仿宋" w:cs="Times New Roman"/>
          <w:sz w:val="32"/>
          <w:szCs w:val="32"/>
        </w:rPr>
        <w:t>（图3：支出决算结构图）</w:t>
      </w:r>
    </w:p>
    <w:p>
      <w:pPr>
        <w:spacing w:line="600" w:lineRule="exact"/>
        <w:ind w:firstLine="640"/>
        <w:rPr>
          <w:rFonts w:ascii="黑体" w:hAnsi="黑体" w:eastAsia="黑体"/>
          <w:sz w:val="32"/>
          <w:szCs w:val="32"/>
        </w:rPr>
      </w:pPr>
    </w:p>
    <w:p>
      <w:pPr>
        <w:spacing w:line="600" w:lineRule="exact"/>
        <w:ind w:firstLine="640" w:firstLineChars="200"/>
        <w:outlineLvl w:val="1"/>
        <w:rPr>
          <w:rFonts w:hint="default" w:ascii="黑体" w:hAnsi="黑体" w:eastAsia="黑体" w:cs="Times New Roman"/>
          <w:sz w:val="32"/>
          <w:szCs w:val="32"/>
          <w:lang w:val="en-US" w:eastAsia="zh-CN"/>
        </w:rPr>
      </w:pPr>
      <w:bookmarkStart w:id="35" w:name="_Toc15377208"/>
      <w:bookmarkStart w:id="36" w:name="_Toc14581"/>
      <w:bookmarkStart w:id="37" w:name="_Toc15396606"/>
      <w:r>
        <w:rPr>
          <w:rFonts w:hint="eastAsia" w:ascii="黑体" w:hAnsi="黑体" w:eastAsia="黑体" w:cs="Times New Roman"/>
          <w:sz w:val="32"/>
          <w:szCs w:val="32"/>
          <w:lang w:val="en-US" w:eastAsia="zh-CN"/>
        </w:rPr>
        <w:t>四、财政拨款收入支出决算总体情况说明</w:t>
      </w:r>
      <w:bookmarkEnd w:id="35"/>
      <w:bookmarkEnd w:id="36"/>
      <w:bookmarkEnd w:id="37"/>
    </w:p>
    <w:p>
      <w:pPr>
        <w:spacing w:line="600" w:lineRule="exact"/>
        <w:ind w:firstLine="640"/>
        <w:rPr>
          <w:rFonts w:hint="default" w:ascii="仿宋" w:hAnsi="仿宋" w:eastAsia="仿宋" w:cs="Times New Roman"/>
          <w:sz w:val="32"/>
          <w:szCs w:val="32"/>
        </w:rPr>
      </w:pPr>
      <w:r>
        <w:rPr>
          <w:rFonts w:hint="eastAsia" w:ascii="仿宋" w:hAnsi="仿宋" w:eastAsia="仿宋" w:cs="Times New Roman"/>
          <w:sz w:val="32"/>
          <w:szCs w:val="32"/>
        </w:rPr>
        <w:t>2023年度财政拨款收、支总计均为</w:t>
      </w:r>
      <w:r>
        <w:rPr>
          <w:rFonts w:hint="default" w:ascii="仿宋" w:hAnsi="仿宋" w:eastAsia="仿宋" w:cs="Times New Roman"/>
          <w:sz w:val="32"/>
          <w:szCs w:val="32"/>
        </w:rPr>
        <w:t>91.51</w:t>
      </w:r>
      <w:r>
        <w:rPr>
          <w:rFonts w:hint="eastAsia" w:ascii="仿宋" w:hAnsi="仿宋" w:eastAsia="仿宋" w:cs="Times New Roman"/>
          <w:sz w:val="32"/>
          <w:szCs w:val="32"/>
        </w:rPr>
        <w:t>万元。与2022年度相比，财政拨款收、支总计各增加91.51万元，增长100</w:t>
      </w:r>
      <w:r>
        <w:rPr>
          <w:rFonts w:hint="default" w:ascii="仿宋" w:hAnsi="仿宋" w:eastAsia="仿宋" w:cs="Times New Roman"/>
          <w:sz w:val="32"/>
          <w:szCs w:val="32"/>
        </w:rPr>
        <w:t>%</w:t>
      </w:r>
      <w:r>
        <w:rPr>
          <w:rFonts w:hint="eastAsia" w:ascii="仿宋" w:hAnsi="仿宋" w:eastAsia="仿宋" w:cs="Times New Roman"/>
          <w:sz w:val="32"/>
          <w:szCs w:val="32"/>
        </w:rPr>
        <w:t>。主要变动原因是2023年才新独立纳入一级预算单位。</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default" w:ascii="Times New Roman" w:hAnsi="Times New Roman" w:eastAsia="仿宋-GB3212" w:cs="Times New Roman"/>
          <w:sz w:val="32"/>
          <w:szCs w:val="32"/>
          <w:highlight w:val="none"/>
        </w:rPr>
      </w:pPr>
      <w:r>
        <w:rPr>
          <w:rFonts w:ascii="仿宋" w:hAnsi="仿宋" w:eastAsia="仿宋"/>
          <w:b/>
          <w:sz w:val="32"/>
          <w:szCs w:val="32"/>
        </w:rPr>
        <w:pict>
          <v:shape id="Object 5" o:spid="_x0000_s1029" o:spt="75" type="#_x0000_t75" style="position:absolute;left:0pt;margin-left:77.5pt;margin-top:4.15pt;height:141.65pt;width:266.4pt;mso-wrap-distance-bottom:0pt;mso-wrap-distance-left:9pt;mso-wrap-distance-right:9pt;mso-wrap-distance-top:0pt;z-index:251662336;mso-width-relative:page;mso-height-relative:page;" o:ole="t" filled="f" o:preferrelative="t" stroked="f" coordsize="21600,21600">
            <v:path/>
            <v:fill on="f" focussize="0,0"/>
            <v:stroke on="f"/>
            <v:imagedata r:id="rId18" o:title=""/>
            <o:lock v:ext="edit" aspectratio="t"/>
            <w10:wrap type="square"/>
          </v:shape>
          <o:OLEObject Type="Embed" ProgID="Excel.Chart.8" ShapeID="Object 5" DrawAspect="Content" ObjectID="_1468075728" r:id="rId17">
            <o:LockedField>false</o:LockedField>
          </o:OLEObject>
        </w:pict>
      </w:r>
    </w:p>
    <w:p>
      <w:pPr>
        <w:spacing w:line="600" w:lineRule="exact"/>
        <w:jc w:val="center"/>
        <w:rPr>
          <w:rFonts w:hint="eastAsia" w:ascii="仿宋" w:hAnsi="仿宋" w:eastAsia="仿宋"/>
          <w:sz w:val="32"/>
          <w:szCs w:val="32"/>
        </w:rPr>
      </w:pPr>
    </w:p>
    <w:p>
      <w:pPr>
        <w:spacing w:line="600" w:lineRule="exact"/>
        <w:jc w:val="center"/>
        <w:rPr>
          <w:rFonts w:hint="eastAsia" w:ascii="仿宋" w:hAnsi="仿宋" w:eastAsia="仿宋"/>
          <w:sz w:val="32"/>
          <w:szCs w:val="32"/>
        </w:rPr>
      </w:pPr>
    </w:p>
    <w:p>
      <w:pPr>
        <w:spacing w:line="600" w:lineRule="exact"/>
        <w:jc w:val="center"/>
        <w:rPr>
          <w:rFonts w:hint="eastAsia" w:ascii="仿宋" w:hAnsi="仿宋" w:eastAsia="仿宋"/>
          <w:sz w:val="32"/>
          <w:szCs w:val="32"/>
        </w:rPr>
      </w:pPr>
    </w:p>
    <w:p>
      <w:pPr>
        <w:spacing w:line="600" w:lineRule="exact"/>
        <w:jc w:val="center"/>
        <w:rPr>
          <w:rFonts w:hint="eastAsia" w:ascii="仿宋" w:hAnsi="仿宋" w:eastAsia="仿宋"/>
          <w:sz w:val="32"/>
          <w:szCs w:val="32"/>
        </w:rPr>
      </w:pPr>
    </w:p>
    <w:p>
      <w:pPr>
        <w:spacing w:line="600" w:lineRule="exact"/>
        <w:ind w:firstLine="640"/>
        <w:rPr>
          <w:rFonts w:hint="eastAsia" w:ascii="仿宋" w:hAnsi="仿宋" w:eastAsia="仿宋" w:cs="Times New Roman"/>
          <w:sz w:val="32"/>
          <w:szCs w:val="32"/>
        </w:rPr>
      </w:pPr>
      <w:r>
        <w:rPr>
          <w:rFonts w:hint="eastAsia" w:ascii="仿宋" w:hAnsi="仿宋" w:eastAsia="仿宋" w:cs="Times New Roman"/>
          <w:sz w:val="32"/>
          <w:szCs w:val="32"/>
        </w:rPr>
        <w:t>（图4：财政拨款收、支决算总计变动情况）</w:t>
      </w:r>
    </w:p>
    <w:p>
      <w:pPr>
        <w:spacing w:line="600" w:lineRule="exact"/>
        <w:ind w:firstLine="640" w:firstLineChars="200"/>
        <w:outlineLvl w:val="1"/>
        <w:rPr>
          <w:rFonts w:hint="default" w:ascii="黑体" w:hAnsi="黑体" w:eastAsia="黑体" w:cs="Times New Roman"/>
          <w:sz w:val="32"/>
          <w:szCs w:val="32"/>
          <w:lang w:val="en-US" w:eastAsia="zh-CN"/>
        </w:rPr>
      </w:pPr>
      <w:bookmarkStart w:id="38" w:name="_Toc15396607"/>
      <w:bookmarkStart w:id="39" w:name="_Toc408"/>
      <w:bookmarkStart w:id="40" w:name="_Toc15377209"/>
      <w:r>
        <w:rPr>
          <w:rFonts w:hint="eastAsia" w:ascii="黑体" w:hAnsi="黑体" w:eastAsia="黑体" w:cs="Times New Roman"/>
          <w:sz w:val="32"/>
          <w:szCs w:val="32"/>
          <w:lang w:val="en-US" w:eastAsia="zh-CN"/>
        </w:rPr>
        <w:t>五、一般公共预算财政拨款支出决算情况说明</w:t>
      </w:r>
      <w:bookmarkEnd w:id="38"/>
      <w:bookmarkEnd w:id="39"/>
      <w:bookmarkEnd w:id="40"/>
    </w:p>
    <w:p>
      <w:pPr>
        <w:spacing w:line="600" w:lineRule="exact"/>
        <w:ind w:firstLine="642" w:firstLineChars="200"/>
        <w:outlineLvl w:val="2"/>
        <w:rPr>
          <w:rFonts w:hint="eastAsia" w:ascii="方正楷体_GBK" w:hAnsi="方正楷体_GBK" w:eastAsia="方正楷体_GBK" w:cs="方正楷体_GBK"/>
          <w:b/>
          <w:sz w:val="32"/>
          <w:szCs w:val="32"/>
        </w:rPr>
      </w:pPr>
      <w:bookmarkStart w:id="41" w:name="_Toc14410"/>
      <w:bookmarkStart w:id="42" w:name="_Toc15377210"/>
      <w:r>
        <w:rPr>
          <w:rFonts w:hint="eastAsia" w:ascii="方正楷体_GBK" w:hAnsi="方正楷体_GBK" w:eastAsia="方正楷体_GBK" w:cs="方正楷体_GBK"/>
          <w:b/>
          <w:sz w:val="32"/>
          <w:szCs w:val="32"/>
        </w:rPr>
        <w:t>（一）一般公共预算财政拨款支出决算总体情况</w:t>
      </w:r>
      <w:bookmarkEnd w:id="41"/>
      <w:bookmarkEnd w:id="42"/>
    </w:p>
    <w:p>
      <w:pPr>
        <w:spacing w:line="600" w:lineRule="exact"/>
        <w:ind w:firstLine="640"/>
        <w:rPr>
          <w:rFonts w:hint="default" w:ascii="仿宋" w:hAnsi="仿宋" w:eastAsia="仿宋" w:cs="Times New Roman"/>
          <w:sz w:val="32"/>
          <w:szCs w:val="32"/>
        </w:rPr>
      </w:pPr>
      <w:r>
        <w:rPr>
          <w:rFonts w:hint="eastAsia" w:ascii="仿宋" w:hAnsi="仿宋" w:eastAsia="仿宋" w:cs="Times New Roman"/>
          <w:sz w:val="32"/>
          <w:szCs w:val="32"/>
        </w:rPr>
        <w:t>2023年度一般公共预算财政拨款支出</w:t>
      </w:r>
      <w:r>
        <w:rPr>
          <w:rFonts w:hint="default" w:ascii="仿宋" w:hAnsi="仿宋" w:eastAsia="仿宋" w:cs="Times New Roman"/>
          <w:sz w:val="32"/>
          <w:szCs w:val="32"/>
        </w:rPr>
        <w:t>91.51</w:t>
      </w:r>
      <w:r>
        <w:rPr>
          <w:rFonts w:hint="eastAsia" w:ascii="仿宋" w:hAnsi="仿宋" w:eastAsia="仿宋" w:cs="Times New Roman"/>
          <w:sz w:val="32"/>
          <w:szCs w:val="32"/>
        </w:rPr>
        <w:t>万元，占本年支出合计的</w:t>
      </w:r>
      <w:r>
        <w:rPr>
          <w:rFonts w:hint="default" w:ascii="仿宋" w:hAnsi="仿宋" w:eastAsia="仿宋" w:cs="Times New Roman"/>
          <w:sz w:val="32"/>
          <w:szCs w:val="32"/>
        </w:rPr>
        <w:t>100%</w:t>
      </w:r>
      <w:r>
        <w:rPr>
          <w:rFonts w:hint="eastAsia" w:ascii="仿宋" w:hAnsi="仿宋" w:eastAsia="仿宋" w:cs="Times New Roman"/>
          <w:sz w:val="32"/>
          <w:szCs w:val="32"/>
        </w:rPr>
        <w:t>。与2022年度相比，一般公共预算财政拨款支出增加91.51万元，增长100</w:t>
      </w:r>
      <w:r>
        <w:rPr>
          <w:rFonts w:hint="default" w:ascii="仿宋" w:hAnsi="仿宋" w:eastAsia="仿宋" w:cs="Times New Roman"/>
          <w:sz w:val="32"/>
          <w:szCs w:val="32"/>
        </w:rPr>
        <w:t>%</w:t>
      </w:r>
      <w:r>
        <w:rPr>
          <w:rFonts w:hint="eastAsia" w:ascii="仿宋" w:hAnsi="仿宋" w:eastAsia="仿宋" w:cs="Times New Roman"/>
          <w:sz w:val="32"/>
          <w:szCs w:val="32"/>
        </w:rPr>
        <w:t>。主要变动原因是2023年才新独立纳入一级预算单位。</w:t>
      </w:r>
    </w:p>
    <w:p>
      <w:pPr>
        <w:spacing w:line="600" w:lineRule="exact"/>
        <w:ind w:firstLine="640" w:firstLineChars="200"/>
        <w:rPr>
          <w:rFonts w:hint="eastAsia" w:ascii="仿宋" w:hAnsi="仿宋" w:eastAsia="仿宋" w:cs="Times New Roman"/>
          <w:sz w:val="32"/>
          <w:szCs w:val="32"/>
        </w:rPr>
      </w:pPr>
      <w:r>
        <w:rPr>
          <w:rFonts w:hint="default" w:ascii="仿宋" w:hAnsi="仿宋" w:eastAsia="仿宋" w:cs="Times New Roman"/>
          <w:sz w:val="32"/>
          <w:szCs w:val="32"/>
        </w:rPr>
        <w:pict>
          <v:shape id="_x0000_s1032" o:spid="_x0000_s1032" o:spt="75" type="#_x0000_t75" style="position:absolute;left:0pt;margin-left:58.2pt;margin-top:11.4pt;height:158.9pt;width:298.9pt;mso-wrap-distance-bottom:0pt;mso-wrap-distance-left:9pt;mso-wrap-distance-right:9pt;mso-wrap-distance-top:0pt;z-index:251663360;mso-width-relative:page;mso-height-relative:page;" o:ole="t" filled="f" o:preferrelative="t" stroked="f" coordsize="21600,21600">
            <v:path/>
            <v:fill on="f" focussize="0,0"/>
            <v:stroke on="f"/>
            <v:imagedata r:id="rId20" o:title=""/>
            <o:lock v:ext="edit" aspectratio="t"/>
            <w10:wrap type="square"/>
          </v:shape>
          <o:OLEObject Type="Embed" ProgID="Excel.Chart.8" ShapeID="_x0000_s1032" DrawAspect="Content" ObjectID="_1468075729" r:id="rId19">
            <o:LockedField>false</o:LockedField>
          </o:OLEObject>
        </w:pict>
      </w:r>
      <w:r>
        <w:rPr>
          <w:rFonts w:hint="eastAsia" w:ascii="仿宋" w:hAnsi="仿宋" w:eastAsia="仿宋" w:cs="Times New Roman"/>
          <w:sz w:val="32"/>
          <w:szCs w:val="32"/>
        </w:rPr>
        <w:t>（图5：一般公共预算财政拨款支出决算变动情况）</w:t>
      </w:r>
    </w:p>
    <w:p>
      <w:pPr>
        <w:spacing w:line="600" w:lineRule="exact"/>
        <w:ind w:firstLine="642" w:firstLineChars="200"/>
        <w:outlineLvl w:val="2"/>
        <w:rPr>
          <w:rFonts w:hint="eastAsia" w:ascii="方正楷体_GBK" w:hAnsi="方正楷体_GBK" w:eastAsia="方正楷体_GBK" w:cs="方正楷体_GBK"/>
          <w:b/>
          <w:sz w:val="32"/>
          <w:szCs w:val="32"/>
        </w:rPr>
      </w:pPr>
      <w:bookmarkStart w:id="43" w:name="_Toc15377211"/>
      <w:bookmarkStart w:id="44" w:name="_Toc32463"/>
      <w:r>
        <w:rPr>
          <w:rFonts w:hint="eastAsia" w:ascii="方正楷体_GBK" w:hAnsi="方正楷体_GBK" w:eastAsia="方正楷体_GBK" w:cs="方正楷体_GBK"/>
          <w:b/>
          <w:sz w:val="32"/>
          <w:szCs w:val="32"/>
        </w:rPr>
        <w:t>（二）一般公共预算财政拨款支出决算结构情况</w:t>
      </w:r>
      <w:bookmarkEnd w:id="43"/>
      <w:bookmarkEnd w:id="44"/>
    </w:p>
    <w:p>
      <w:pPr>
        <w:spacing w:line="600" w:lineRule="exact"/>
        <w:ind w:firstLine="640"/>
        <w:rPr>
          <w:rFonts w:hint="default" w:ascii="仿宋" w:hAnsi="仿宋" w:eastAsia="仿宋" w:cs="Times New Roman"/>
          <w:sz w:val="32"/>
          <w:szCs w:val="32"/>
        </w:rPr>
      </w:pPr>
      <w:r>
        <w:rPr>
          <w:rFonts w:hint="eastAsia" w:ascii="仿宋" w:hAnsi="仿宋" w:eastAsia="仿宋" w:cs="Times New Roman"/>
          <w:sz w:val="32"/>
          <w:szCs w:val="32"/>
        </w:rPr>
        <w:t>2023年度一般公共预算财政拨款支出</w:t>
      </w:r>
      <w:r>
        <w:rPr>
          <w:rFonts w:hint="default" w:ascii="仿宋" w:hAnsi="仿宋" w:eastAsia="仿宋" w:cs="Times New Roman"/>
          <w:sz w:val="32"/>
          <w:szCs w:val="32"/>
        </w:rPr>
        <w:t>91.51</w:t>
      </w:r>
      <w:r>
        <w:rPr>
          <w:rFonts w:hint="eastAsia" w:ascii="仿宋" w:hAnsi="仿宋" w:eastAsia="仿宋" w:cs="Times New Roman"/>
          <w:sz w:val="32"/>
          <w:szCs w:val="32"/>
        </w:rPr>
        <w:t>万元，主要用于以下方面</w:t>
      </w:r>
      <w:r>
        <w:rPr>
          <w:rFonts w:hint="eastAsia" w:ascii="仿宋" w:hAnsi="仿宋" w:eastAsia="仿宋" w:cs="Times New Roman"/>
          <w:sz w:val="32"/>
          <w:szCs w:val="32"/>
          <w:lang w:eastAsia="zh-CN"/>
        </w:rPr>
        <w:t>：</w:t>
      </w:r>
      <w:r>
        <w:rPr>
          <w:rFonts w:hint="eastAsia" w:ascii="仿宋" w:hAnsi="仿宋" w:eastAsia="仿宋" w:cs="Times New Roman"/>
          <w:sz w:val="32"/>
          <w:szCs w:val="32"/>
        </w:rPr>
        <w:t>社会保障和就业支出79.35万元，占86.71</w:t>
      </w:r>
      <w:r>
        <w:rPr>
          <w:rFonts w:hint="default" w:ascii="仿宋" w:hAnsi="仿宋" w:eastAsia="仿宋" w:cs="Times New Roman"/>
          <w:sz w:val="32"/>
          <w:szCs w:val="32"/>
        </w:rPr>
        <w:t>%</w:t>
      </w:r>
      <w:r>
        <w:rPr>
          <w:rFonts w:hint="eastAsia" w:ascii="仿宋" w:hAnsi="仿宋" w:eastAsia="仿宋" w:cs="Times New Roman"/>
          <w:sz w:val="32"/>
          <w:szCs w:val="32"/>
        </w:rPr>
        <w:t>；卫生健康支出6.32万元，占6.91</w:t>
      </w:r>
      <w:r>
        <w:rPr>
          <w:rFonts w:hint="default" w:ascii="仿宋" w:hAnsi="仿宋" w:eastAsia="仿宋" w:cs="Times New Roman"/>
          <w:sz w:val="32"/>
          <w:szCs w:val="32"/>
        </w:rPr>
        <w:t>%</w:t>
      </w:r>
      <w:r>
        <w:rPr>
          <w:rFonts w:hint="eastAsia" w:ascii="仿宋" w:hAnsi="仿宋" w:eastAsia="仿宋" w:cs="Times New Roman"/>
          <w:sz w:val="32"/>
          <w:szCs w:val="32"/>
        </w:rPr>
        <w:t>；住房保障支出5.84万元，占6.38</w:t>
      </w:r>
      <w:r>
        <w:rPr>
          <w:rFonts w:hint="default" w:ascii="仿宋" w:hAnsi="仿宋" w:eastAsia="仿宋" w:cs="Times New Roman"/>
          <w:sz w:val="32"/>
          <w:szCs w:val="32"/>
        </w:rPr>
        <w:t>%</w:t>
      </w:r>
      <w:r>
        <w:rPr>
          <w:rFonts w:hint="eastAsia" w:ascii="仿宋" w:hAnsi="仿宋" w:eastAsia="仿宋" w:cs="Times New Roman"/>
          <w:sz w:val="32"/>
          <w:szCs w:val="32"/>
        </w:rPr>
        <w:t>。</w:t>
      </w:r>
    </w:p>
    <w:p>
      <w:pPr>
        <w:spacing w:line="600" w:lineRule="exact"/>
        <w:ind w:firstLine="640" w:firstLineChars="200"/>
        <w:rPr>
          <w:rFonts w:hint="eastAsia" w:ascii="仿宋" w:hAnsi="仿宋" w:eastAsia="仿宋" w:cs="Times New Roman"/>
          <w:sz w:val="32"/>
          <w:szCs w:val="32"/>
        </w:rPr>
      </w:pPr>
      <w:r>
        <w:rPr>
          <w:rFonts w:hint="eastAsia" w:ascii="仿宋" w:hAnsi="仿宋" w:eastAsia="仿宋" w:cs="Times New Roman"/>
          <w:sz w:val="32"/>
          <w:szCs w:val="32"/>
        </w:rPr>
        <w:pict>
          <v:shape id="_x0000_s1033" o:spid="_x0000_s1033" o:spt="75" type="#_x0000_t75" style="position:absolute;left:0pt;margin-left:31.65pt;margin-top:10.5pt;height:222.75pt;width:340.35pt;mso-wrap-distance-bottom:0pt;mso-wrap-distance-left:9pt;mso-wrap-distance-right:9pt;mso-wrap-distance-top:0pt;z-index:251664384;mso-width-relative:page;mso-height-relative:page;" o:ole="t" filled="f" o:preferrelative="t" stroked="f" coordsize="21600,21600">
            <v:path/>
            <v:fill on="f" focussize="0,0"/>
            <v:stroke on="f" joinstyle="miter"/>
            <v:imagedata r:id="rId22" o:title=""/>
            <o:lock v:ext="edit" aspectratio="t"/>
            <w10:wrap type="square"/>
          </v:shape>
          <o:OLEObject Type="Embed" ProgID="Excel.Chart.8" ShapeID="_x0000_s1033" DrawAspect="Content" ObjectID="_1468075730" r:id="rId21">
            <o:LockedField>false</o:LockedField>
          </o:OLEObject>
        </w:pict>
      </w:r>
      <w:r>
        <w:rPr>
          <w:rFonts w:hint="eastAsia" w:ascii="仿宋" w:hAnsi="仿宋" w:eastAsia="仿宋" w:cs="Times New Roman"/>
          <w:sz w:val="32"/>
          <w:szCs w:val="32"/>
        </w:rPr>
        <w:t>（图6：一般公共预算财政拨款支出决算结构）</w:t>
      </w:r>
    </w:p>
    <w:p>
      <w:pPr>
        <w:spacing w:line="600" w:lineRule="exact"/>
        <w:ind w:firstLine="642" w:firstLineChars="200"/>
        <w:outlineLvl w:val="2"/>
        <w:rPr>
          <w:rFonts w:hint="eastAsia" w:ascii="方正楷体_GBK" w:hAnsi="方正楷体_GBK" w:eastAsia="方正楷体_GBK" w:cs="方正楷体_GBK"/>
          <w:b/>
          <w:sz w:val="32"/>
          <w:szCs w:val="32"/>
        </w:rPr>
      </w:pPr>
      <w:bookmarkStart w:id="45" w:name="_Toc22049"/>
      <w:bookmarkStart w:id="46" w:name="_Toc15377212"/>
      <w:r>
        <w:rPr>
          <w:rFonts w:hint="eastAsia" w:ascii="方正楷体_GBK" w:hAnsi="方正楷体_GBK" w:eastAsia="方正楷体_GBK" w:cs="方正楷体_GBK"/>
          <w:b/>
          <w:sz w:val="32"/>
          <w:szCs w:val="32"/>
        </w:rPr>
        <w:t>（三）一般公共预算财政拨款支出决算具体情况</w:t>
      </w:r>
      <w:bookmarkEnd w:id="45"/>
      <w:bookmarkEnd w:id="46"/>
    </w:p>
    <w:p>
      <w:pPr>
        <w:spacing w:line="600" w:lineRule="exact"/>
        <w:ind w:firstLine="640"/>
        <w:rPr>
          <w:rFonts w:hint="default" w:ascii="仿宋" w:hAnsi="仿宋" w:eastAsia="仿宋" w:cs="Times New Roman"/>
          <w:sz w:val="32"/>
          <w:szCs w:val="32"/>
        </w:rPr>
      </w:pPr>
      <w:bookmarkStart w:id="47" w:name="_Toc15377213"/>
      <w:bookmarkStart w:id="48" w:name="_Toc15378460"/>
      <w:bookmarkStart w:id="49" w:name="_Toc15377444"/>
      <w:r>
        <w:rPr>
          <w:rFonts w:hint="eastAsia" w:ascii="仿宋" w:hAnsi="仿宋" w:eastAsia="仿宋" w:cs="Times New Roman"/>
          <w:sz w:val="32"/>
          <w:szCs w:val="32"/>
        </w:rPr>
        <w:t>2023年度一般公共预算支出决算数为</w:t>
      </w:r>
      <w:r>
        <w:rPr>
          <w:rFonts w:hint="default" w:ascii="仿宋" w:hAnsi="仿宋" w:eastAsia="仿宋" w:cs="Times New Roman"/>
          <w:sz w:val="32"/>
          <w:szCs w:val="32"/>
        </w:rPr>
        <w:t>91.51</w:t>
      </w:r>
      <w:r>
        <w:rPr>
          <w:rFonts w:hint="eastAsia" w:ascii="仿宋" w:hAnsi="仿宋" w:eastAsia="仿宋" w:cs="Times New Roman"/>
          <w:sz w:val="32"/>
          <w:szCs w:val="32"/>
          <w:lang w:val="en-US" w:eastAsia="zh-CN"/>
        </w:rPr>
        <w:t>万元</w:t>
      </w:r>
      <w:r>
        <w:rPr>
          <w:rFonts w:hint="eastAsia" w:ascii="仿宋" w:hAnsi="仿宋" w:eastAsia="仿宋" w:cs="Times New Roman"/>
          <w:sz w:val="32"/>
          <w:szCs w:val="32"/>
        </w:rPr>
        <w:t>，完成预算100</w:t>
      </w:r>
      <w:r>
        <w:rPr>
          <w:rFonts w:hint="default" w:ascii="仿宋" w:hAnsi="仿宋" w:eastAsia="仿宋" w:cs="Times New Roman"/>
          <w:sz w:val="32"/>
          <w:szCs w:val="32"/>
        </w:rPr>
        <w:t>%</w:t>
      </w:r>
      <w:r>
        <w:rPr>
          <w:rFonts w:hint="eastAsia" w:ascii="仿宋" w:hAnsi="仿宋" w:eastAsia="仿宋" w:cs="Times New Roman"/>
          <w:sz w:val="32"/>
          <w:szCs w:val="32"/>
        </w:rPr>
        <w:t>。其中：</w:t>
      </w:r>
      <w:bookmarkEnd w:id="47"/>
      <w:bookmarkEnd w:id="48"/>
      <w:bookmarkEnd w:id="49"/>
    </w:p>
    <w:p>
      <w:pPr>
        <w:spacing w:line="600" w:lineRule="exact"/>
        <w:ind w:firstLine="640"/>
        <w:rPr>
          <w:rFonts w:hint="default" w:ascii="仿宋" w:hAnsi="仿宋" w:eastAsia="仿宋" w:cs="Times New Roman"/>
          <w:sz w:val="32"/>
          <w:szCs w:val="32"/>
        </w:rPr>
      </w:pPr>
      <w:r>
        <w:rPr>
          <w:rFonts w:hint="eastAsia" w:ascii="仿宋" w:hAnsi="仿宋" w:eastAsia="仿宋" w:cs="Times New Roman"/>
          <w:b/>
          <w:bCs/>
          <w:sz w:val="32"/>
          <w:szCs w:val="32"/>
          <w:lang w:val="en-US" w:eastAsia="zh-CN"/>
        </w:rPr>
        <w:t>1.</w:t>
      </w:r>
      <w:r>
        <w:rPr>
          <w:rFonts w:hint="eastAsia" w:ascii="仿宋" w:hAnsi="仿宋" w:eastAsia="仿宋" w:cs="Times New Roman"/>
          <w:b/>
          <w:bCs/>
          <w:sz w:val="32"/>
          <w:szCs w:val="32"/>
        </w:rPr>
        <w:t>社会保障和就业（208类）行政事业单位养老支出（05款）机关事业单位基本养老保险缴费支出（05项）</w:t>
      </w:r>
      <w:r>
        <w:rPr>
          <w:rFonts w:hint="eastAsia" w:ascii="仿宋" w:hAnsi="仿宋" w:eastAsia="仿宋" w:cs="Times New Roman"/>
          <w:b/>
          <w:bCs/>
          <w:sz w:val="32"/>
          <w:szCs w:val="32"/>
          <w:lang w:eastAsia="zh-CN"/>
        </w:rPr>
        <w:t>：</w:t>
      </w:r>
      <w:r>
        <w:rPr>
          <w:rFonts w:hint="eastAsia" w:ascii="仿宋" w:hAnsi="仿宋" w:eastAsia="仿宋" w:cs="Times New Roman"/>
          <w:sz w:val="32"/>
          <w:szCs w:val="32"/>
        </w:rPr>
        <w:t>支出决算为7.17万元，完成预算100</w:t>
      </w:r>
      <w:r>
        <w:rPr>
          <w:rFonts w:hint="default" w:ascii="仿宋" w:hAnsi="仿宋" w:eastAsia="仿宋" w:cs="Times New Roman"/>
          <w:sz w:val="32"/>
          <w:szCs w:val="32"/>
        </w:rPr>
        <w:t>%</w:t>
      </w:r>
      <w:r>
        <w:rPr>
          <w:rFonts w:hint="eastAsia" w:ascii="仿宋" w:hAnsi="仿宋" w:eastAsia="仿宋" w:cs="Times New Roman"/>
          <w:sz w:val="32"/>
          <w:szCs w:val="32"/>
        </w:rPr>
        <w:t>，决算数等于预算数。</w:t>
      </w:r>
    </w:p>
    <w:p>
      <w:pPr>
        <w:spacing w:line="600" w:lineRule="exact"/>
        <w:ind w:firstLine="640"/>
        <w:rPr>
          <w:rFonts w:hint="default" w:ascii="仿宋" w:hAnsi="仿宋" w:eastAsia="仿宋" w:cs="Times New Roman"/>
          <w:sz w:val="32"/>
          <w:szCs w:val="32"/>
        </w:rPr>
      </w:pPr>
      <w:r>
        <w:rPr>
          <w:rFonts w:hint="eastAsia" w:ascii="仿宋" w:hAnsi="仿宋" w:eastAsia="仿宋" w:cs="Times New Roman"/>
          <w:b/>
          <w:bCs/>
          <w:sz w:val="32"/>
          <w:szCs w:val="32"/>
          <w:lang w:val="en-US" w:eastAsia="zh-CN"/>
        </w:rPr>
        <w:t>2.</w:t>
      </w:r>
      <w:r>
        <w:rPr>
          <w:rFonts w:hint="eastAsia" w:ascii="仿宋" w:hAnsi="仿宋" w:eastAsia="仿宋" w:cs="Times New Roman"/>
          <w:b/>
          <w:bCs/>
          <w:sz w:val="32"/>
          <w:szCs w:val="32"/>
        </w:rPr>
        <w:t>社会保障和就业（208类）红十字事业（16款）行政运行（01项）</w:t>
      </w:r>
      <w:r>
        <w:rPr>
          <w:rFonts w:hint="eastAsia" w:ascii="仿宋" w:hAnsi="仿宋" w:eastAsia="仿宋" w:cs="Times New Roman"/>
          <w:b/>
          <w:bCs/>
          <w:sz w:val="32"/>
          <w:szCs w:val="32"/>
          <w:lang w:eastAsia="zh-CN"/>
        </w:rPr>
        <w:t>：</w:t>
      </w:r>
      <w:r>
        <w:rPr>
          <w:rFonts w:hint="eastAsia" w:ascii="仿宋" w:hAnsi="仿宋" w:eastAsia="仿宋" w:cs="Times New Roman"/>
          <w:sz w:val="32"/>
          <w:szCs w:val="32"/>
        </w:rPr>
        <w:t>支出决算为65.35万元，完成预算100</w:t>
      </w:r>
      <w:r>
        <w:rPr>
          <w:rFonts w:hint="default" w:ascii="仿宋" w:hAnsi="仿宋" w:eastAsia="仿宋" w:cs="Times New Roman"/>
          <w:sz w:val="32"/>
          <w:szCs w:val="32"/>
        </w:rPr>
        <w:t>%</w:t>
      </w:r>
      <w:r>
        <w:rPr>
          <w:rFonts w:hint="eastAsia" w:ascii="仿宋" w:hAnsi="仿宋" w:eastAsia="仿宋" w:cs="Times New Roman"/>
          <w:sz w:val="32"/>
          <w:szCs w:val="32"/>
        </w:rPr>
        <w:t>，决算数等于预算数。</w:t>
      </w:r>
    </w:p>
    <w:p>
      <w:pPr>
        <w:spacing w:line="600" w:lineRule="exact"/>
        <w:ind w:firstLine="640"/>
        <w:rPr>
          <w:rFonts w:hint="default" w:ascii="仿宋" w:hAnsi="仿宋" w:eastAsia="仿宋" w:cs="Times New Roman"/>
          <w:sz w:val="32"/>
          <w:szCs w:val="32"/>
        </w:rPr>
      </w:pPr>
      <w:r>
        <w:rPr>
          <w:rFonts w:hint="eastAsia" w:ascii="仿宋" w:hAnsi="仿宋" w:eastAsia="仿宋" w:cs="Times New Roman"/>
          <w:b/>
          <w:bCs/>
          <w:sz w:val="32"/>
          <w:szCs w:val="32"/>
        </w:rPr>
        <w:t>3</w:t>
      </w:r>
      <w:r>
        <w:rPr>
          <w:rFonts w:hint="default" w:ascii="仿宋" w:hAnsi="仿宋" w:eastAsia="仿宋" w:cs="Times New Roman"/>
          <w:b/>
          <w:bCs/>
          <w:sz w:val="32"/>
          <w:szCs w:val="32"/>
        </w:rPr>
        <w:t>.</w:t>
      </w:r>
      <w:r>
        <w:rPr>
          <w:rFonts w:hint="eastAsia" w:ascii="仿宋" w:hAnsi="仿宋" w:eastAsia="仿宋" w:cs="Times New Roman"/>
          <w:b/>
          <w:bCs/>
          <w:sz w:val="32"/>
          <w:szCs w:val="32"/>
        </w:rPr>
        <w:t>社会保障和就业（208类）红十字事业（16款）其他红十字事业支出（99项）</w:t>
      </w:r>
      <w:r>
        <w:rPr>
          <w:rFonts w:hint="eastAsia" w:ascii="仿宋" w:hAnsi="仿宋" w:eastAsia="仿宋" w:cs="Times New Roman"/>
          <w:b/>
          <w:bCs/>
          <w:sz w:val="32"/>
          <w:szCs w:val="32"/>
          <w:lang w:eastAsia="zh-CN"/>
        </w:rPr>
        <w:t>：</w:t>
      </w:r>
      <w:r>
        <w:rPr>
          <w:rFonts w:hint="eastAsia" w:ascii="仿宋" w:hAnsi="仿宋" w:eastAsia="仿宋" w:cs="Times New Roman"/>
          <w:sz w:val="32"/>
          <w:szCs w:val="32"/>
        </w:rPr>
        <w:t>支出决算为6.83万元，完成预算100</w:t>
      </w:r>
      <w:r>
        <w:rPr>
          <w:rFonts w:hint="default" w:ascii="仿宋" w:hAnsi="仿宋" w:eastAsia="仿宋" w:cs="Times New Roman"/>
          <w:sz w:val="32"/>
          <w:szCs w:val="32"/>
        </w:rPr>
        <w:t>%</w:t>
      </w:r>
      <w:r>
        <w:rPr>
          <w:rFonts w:hint="eastAsia" w:ascii="仿宋" w:hAnsi="仿宋" w:eastAsia="仿宋" w:cs="Times New Roman"/>
          <w:sz w:val="32"/>
          <w:szCs w:val="32"/>
        </w:rPr>
        <w:t>，决算数等于预算数。</w:t>
      </w:r>
    </w:p>
    <w:p>
      <w:pPr>
        <w:spacing w:line="600" w:lineRule="exact"/>
        <w:ind w:firstLine="640"/>
        <w:rPr>
          <w:rFonts w:hint="default" w:ascii="仿宋" w:hAnsi="仿宋" w:eastAsia="仿宋" w:cs="Times New Roman"/>
          <w:sz w:val="32"/>
          <w:szCs w:val="32"/>
        </w:rPr>
      </w:pPr>
      <w:r>
        <w:rPr>
          <w:rFonts w:hint="eastAsia" w:ascii="仿宋" w:hAnsi="仿宋" w:eastAsia="仿宋" w:cs="Times New Roman"/>
          <w:b/>
          <w:bCs/>
          <w:sz w:val="32"/>
          <w:szCs w:val="32"/>
        </w:rPr>
        <w:t>4</w:t>
      </w:r>
      <w:r>
        <w:rPr>
          <w:rFonts w:hint="default" w:ascii="仿宋" w:hAnsi="仿宋" w:eastAsia="仿宋" w:cs="Times New Roman"/>
          <w:b/>
          <w:bCs/>
          <w:sz w:val="32"/>
          <w:szCs w:val="32"/>
        </w:rPr>
        <w:t>.</w:t>
      </w:r>
      <w:r>
        <w:rPr>
          <w:rFonts w:hint="eastAsia" w:ascii="仿宋" w:hAnsi="仿宋" w:eastAsia="仿宋" w:cs="Times New Roman"/>
          <w:b/>
          <w:bCs/>
          <w:sz w:val="32"/>
          <w:szCs w:val="32"/>
        </w:rPr>
        <w:t>卫生健康（210类）行政事业单位医疗（11款）行政单位医疗（01项）</w:t>
      </w:r>
      <w:r>
        <w:rPr>
          <w:rFonts w:hint="eastAsia" w:ascii="仿宋" w:hAnsi="仿宋" w:eastAsia="仿宋" w:cs="Times New Roman"/>
          <w:b/>
          <w:bCs/>
          <w:sz w:val="32"/>
          <w:szCs w:val="32"/>
          <w:lang w:eastAsia="zh-CN"/>
        </w:rPr>
        <w:t>：</w:t>
      </w:r>
      <w:r>
        <w:rPr>
          <w:rFonts w:hint="eastAsia" w:ascii="仿宋" w:hAnsi="仿宋" w:eastAsia="仿宋" w:cs="Times New Roman"/>
          <w:sz w:val="32"/>
          <w:szCs w:val="32"/>
        </w:rPr>
        <w:t>支出决算为3.81万元，完成预算100</w:t>
      </w:r>
      <w:r>
        <w:rPr>
          <w:rFonts w:hint="default" w:ascii="仿宋" w:hAnsi="仿宋" w:eastAsia="仿宋" w:cs="Times New Roman"/>
          <w:sz w:val="32"/>
          <w:szCs w:val="32"/>
        </w:rPr>
        <w:t>%</w:t>
      </w:r>
      <w:r>
        <w:rPr>
          <w:rFonts w:hint="eastAsia" w:ascii="仿宋" w:hAnsi="仿宋" w:eastAsia="仿宋" w:cs="Times New Roman"/>
          <w:sz w:val="32"/>
          <w:szCs w:val="32"/>
        </w:rPr>
        <w:t>，决算数等于预算数。</w:t>
      </w:r>
    </w:p>
    <w:p>
      <w:pPr>
        <w:spacing w:line="600" w:lineRule="exact"/>
        <w:ind w:firstLine="640"/>
        <w:rPr>
          <w:rFonts w:hint="default" w:ascii="仿宋" w:hAnsi="仿宋" w:eastAsia="仿宋" w:cs="Times New Roman"/>
          <w:sz w:val="32"/>
          <w:szCs w:val="32"/>
        </w:rPr>
      </w:pPr>
      <w:r>
        <w:rPr>
          <w:rFonts w:hint="eastAsia" w:ascii="仿宋" w:hAnsi="仿宋" w:eastAsia="仿宋" w:cs="Times New Roman"/>
          <w:b/>
          <w:bCs/>
          <w:sz w:val="32"/>
          <w:szCs w:val="32"/>
        </w:rPr>
        <w:t>5</w:t>
      </w:r>
      <w:r>
        <w:rPr>
          <w:rFonts w:hint="default" w:ascii="仿宋" w:hAnsi="仿宋" w:eastAsia="仿宋" w:cs="Times New Roman"/>
          <w:b/>
          <w:bCs/>
          <w:sz w:val="32"/>
          <w:szCs w:val="32"/>
        </w:rPr>
        <w:t>.</w:t>
      </w:r>
      <w:r>
        <w:rPr>
          <w:rFonts w:hint="eastAsia" w:ascii="仿宋" w:hAnsi="仿宋" w:eastAsia="仿宋" w:cs="Times New Roman"/>
          <w:b/>
          <w:bCs/>
          <w:sz w:val="32"/>
          <w:szCs w:val="32"/>
        </w:rPr>
        <w:t>卫生健康（210类）行政事业单位医疗（11款）公务员医疗补助（03项）</w:t>
      </w:r>
      <w:r>
        <w:rPr>
          <w:rFonts w:hint="eastAsia" w:ascii="仿宋" w:hAnsi="仿宋" w:eastAsia="仿宋" w:cs="Times New Roman"/>
          <w:b/>
          <w:bCs/>
          <w:sz w:val="32"/>
          <w:szCs w:val="32"/>
          <w:lang w:eastAsia="zh-CN"/>
        </w:rPr>
        <w:t>：</w:t>
      </w:r>
      <w:r>
        <w:rPr>
          <w:rFonts w:hint="eastAsia" w:ascii="仿宋" w:hAnsi="仿宋" w:eastAsia="仿宋" w:cs="Times New Roman"/>
          <w:sz w:val="32"/>
          <w:szCs w:val="32"/>
        </w:rPr>
        <w:t>支出决算为0.32万元，完成预算100</w:t>
      </w:r>
      <w:r>
        <w:rPr>
          <w:rFonts w:hint="default" w:ascii="仿宋" w:hAnsi="仿宋" w:eastAsia="仿宋" w:cs="Times New Roman"/>
          <w:sz w:val="32"/>
          <w:szCs w:val="32"/>
        </w:rPr>
        <w:t>%</w:t>
      </w:r>
      <w:r>
        <w:rPr>
          <w:rFonts w:hint="eastAsia" w:ascii="仿宋" w:hAnsi="仿宋" w:eastAsia="仿宋" w:cs="Times New Roman"/>
          <w:sz w:val="32"/>
          <w:szCs w:val="32"/>
        </w:rPr>
        <w:t>，决算数等于预算数。</w:t>
      </w:r>
    </w:p>
    <w:p>
      <w:pPr>
        <w:spacing w:line="600" w:lineRule="exact"/>
        <w:ind w:firstLine="640"/>
        <w:rPr>
          <w:rFonts w:hint="default" w:ascii="仿宋" w:hAnsi="仿宋" w:eastAsia="仿宋" w:cs="Times New Roman"/>
          <w:sz w:val="32"/>
          <w:szCs w:val="32"/>
        </w:rPr>
      </w:pPr>
      <w:r>
        <w:rPr>
          <w:rFonts w:hint="eastAsia" w:ascii="仿宋" w:hAnsi="仿宋" w:eastAsia="仿宋" w:cs="Times New Roman"/>
          <w:b/>
          <w:bCs/>
          <w:sz w:val="32"/>
          <w:szCs w:val="32"/>
        </w:rPr>
        <w:t>6</w:t>
      </w:r>
      <w:r>
        <w:rPr>
          <w:rFonts w:hint="default" w:ascii="仿宋" w:hAnsi="仿宋" w:eastAsia="仿宋" w:cs="Times New Roman"/>
          <w:b/>
          <w:bCs/>
          <w:sz w:val="32"/>
          <w:szCs w:val="32"/>
        </w:rPr>
        <w:t>.</w:t>
      </w:r>
      <w:r>
        <w:rPr>
          <w:rFonts w:hint="eastAsia" w:ascii="仿宋" w:hAnsi="仿宋" w:eastAsia="仿宋" w:cs="Times New Roman"/>
          <w:b/>
          <w:bCs/>
          <w:sz w:val="32"/>
          <w:szCs w:val="32"/>
        </w:rPr>
        <w:t>卫生健康（210类）行政事业单位医疗（11款）其他行政事业单位医疗支出（99项）</w:t>
      </w:r>
      <w:r>
        <w:rPr>
          <w:rFonts w:hint="eastAsia" w:ascii="仿宋" w:hAnsi="仿宋" w:eastAsia="仿宋" w:cs="Times New Roman"/>
          <w:b/>
          <w:bCs/>
          <w:sz w:val="32"/>
          <w:szCs w:val="32"/>
          <w:lang w:eastAsia="zh-CN"/>
        </w:rPr>
        <w:t>：</w:t>
      </w:r>
      <w:r>
        <w:rPr>
          <w:rFonts w:hint="eastAsia" w:ascii="仿宋" w:hAnsi="仿宋" w:eastAsia="仿宋" w:cs="Times New Roman"/>
          <w:sz w:val="32"/>
          <w:szCs w:val="32"/>
        </w:rPr>
        <w:t>支出决算为2.19万元，完成预算100</w:t>
      </w:r>
      <w:r>
        <w:rPr>
          <w:rFonts w:hint="default" w:ascii="仿宋" w:hAnsi="仿宋" w:eastAsia="仿宋" w:cs="Times New Roman"/>
          <w:sz w:val="32"/>
          <w:szCs w:val="32"/>
        </w:rPr>
        <w:t>%</w:t>
      </w:r>
      <w:r>
        <w:rPr>
          <w:rFonts w:hint="eastAsia" w:ascii="仿宋" w:hAnsi="仿宋" w:eastAsia="仿宋" w:cs="Times New Roman"/>
          <w:sz w:val="32"/>
          <w:szCs w:val="32"/>
        </w:rPr>
        <w:t>，决算数等于预算数。</w:t>
      </w:r>
    </w:p>
    <w:p>
      <w:pPr>
        <w:spacing w:line="600" w:lineRule="exact"/>
        <w:ind w:firstLine="640"/>
        <w:rPr>
          <w:rFonts w:hint="default" w:ascii="仿宋" w:hAnsi="仿宋" w:eastAsia="仿宋" w:cs="Times New Roman"/>
          <w:sz w:val="32"/>
          <w:szCs w:val="32"/>
        </w:rPr>
      </w:pPr>
      <w:r>
        <w:rPr>
          <w:rFonts w:hint="eastAsia" w:ascii="仿宋" w:hAnsi="仿宋" w:eastAsia="仿宋" w:cs="Times New Roman"/>
          <w:b/>
          <w:bCs/>
          <w:sz w:val="32"/>
          <w:szCs w:val="32"/>
        </w:rPr>
        <w:t>7.住房保障（221类）住房改革支出（02款）住房公积金（01项）</w:t>
      </w:r>
      <w:r>
        <w:rPr>
          <w:rFonts w:hint="eastAsia" w:ascii="仿宋" w:hAnsi="仿宋" w:eastAsia="仿宋" w:cs="Times New Roman"/>
          <w:b/>
          <w:bCs/>
          <w:sz w:val="32"/>
          <w:szCs w:val="32"/>
          <w:lang w:eastAsia="zh-CN"/>
        </w:rPr>
        <w:t>：</w:t>
      </w:r>
      <w:r>
        <w:rPr>
          <w:rFonts w:hint="eastAsia" w:ascii="仿宋" w:hAnsi="仿宋" w:eastAsia="仿宋" w:cs="Times New Roman"/>
          <w:sz w:val="32"/>
          <w:szCs w:val="32"/>
        </w:rPr>
        <w:t>支出决算为5.84万元，完成预算100</w:t>
      </w:r>
      <w:r>
        <w:rPr>
          <w:rFonts w:hint="default" w:ascii="仿宋" w:hAnsi="仿宋" w:eastAsia="仿宋" w:cs="Times New Roman"/>
          <w:sz w:val="32"/>
          <w:szCs w:val="32"/>
        </w:rPr>
        <w:t>%</w:t>
      </w:r>
      <w:r>
        <w:rPr>
          <w:rFonts w:hint="eastAsia" w:ascii="仿宋" w:hAnsi="仿宋" w:eastAsia="仿宋" w:cs="Times New Roman"/>
          <w:sz w:val="32"/>
          <w:szCs w:val="32"/>
        </w:rPr>
        <w:t>，决算数等于预算数。</w:t>
      </w:r>
    </w:p>
    <w:p>
      <w:pPr>
        <w:tabs>
          <w:tab w:val="right" w:pos="8306"/>
        </w:tabs>
        <w:spacing w:line="600" w:lineRule="exact"/>
        <w:ind w:firstLine="640"/>
        <w:outlineLvl w:val="1"/>
        <w:rPr>
          <w:rFonts w:hint="eastAsia" w:ascii="黑体" w:hAnsi="Times New Roman" w:eastAsia="黑体" w:cs="Times New Roman"/>
          <w:sz w:val="32"/>
          <w:szCs w:val="32"/>
        </w:rPr>
      </w:pPr>
      <w:bookmarkStart w:id="50" w:name="_Toc15396608"/>
      <w:bookmarkStart w:id="51" w:name="_Toc20349"/>
      <w:bookmarkStart w:id="52" w:name="_Toc15377214"/>
      <w:r>
        <w:rPr>
          <w:rFonts w:hint="eastAsia" w:ascii="黑体" w:hAnsi="Times New Roman" w:eastAsia="黑体" w:cs="Times New Roman"/>
          <w:sz w:val="32"/>
          <w:szCs w:val="32"/>
          <w:lang w:val="en-US" w:eastAsia="zh-CN"/>
        </w:rPr>
        <w:t>六、一般公共预算财政拨款基本支出决算情况说明</w:t>
      </w:r>
      <w:bookmarkEnd w:id="50"/>
      <w:bookmarkEnd w:id="51"/>
      <w:bookmarkEnd w:id="52"/>
      <w:r>
        <w:rPr>
          <w:rFonts w:hint="eastAsia" w:ascii="黑体" w:hAnsi="Times New Roman" w:eastAsia="黑体" w:cs="Times New Roman"/>
          <w:sz w:val="32"/>
          <w:szCs w:val="32"/>
        </w:rPr>
        <w:tab/>
      </w:r>
    </w:p>
    <w:p>
      <w:pPr>
        <w:spacing w:line="600" w:lineRule="exact"/>
        <w:ind w:firstLine="640"/>
        <w:rPr>
          <w:rFonts w:hint="default" w:ascii="仿宋" w:hAnsi="仿宋" w:eastAsia="仿宋" w:cs="Times New Roman"/>
          <w:sz w:val="32"/>
          <w:szCs w:val="32"/>
        </w:rPr>
      </w:pPr>
      <w:r>
        <w:rPr>
          <w:rFonts w:hint="eastAsia" w:ascii="仿宋" w:hAnsi="仿宋" w:eastAsia="仿宋" w:cs="Times New Roman"/>
          <w:sz w:val="32"/>
          <w:szCs w:val="32"/>
        </w:rPr>
        <w:t>2023年度一般公共预算财政拨款基本支出</w:t>
      </w:r>
      <w:r>
        <w:rPr>
          <w:rFonts w:hint="default" w:ascii="仿宋" w:hAnsi="仿宋" w:eastAsia="仿宋" w:cs="Times New Roman"/>
          <w:sz w:val="32"/>
          <w:szCs w:val="32"/>
        </w:rPr>
        <w:t>84.68</w:t>
      </w:r>
      <w:r>
        <w:rPr>
          <w:rFonts w:hint="eastAsia" w:ascii="仿宋" w:hAnsi="仿宋" w:eastAsia="仿宋" w:cs="Times New Roman"/>
          <w:sz w:val="32"/>
          <w:szCs w:val="32"/>
        </w:rPr>
        <w:t>万元，其中：</w:t>
      </w:r>
    </w:p>
    <w:p>
      <w:pPr>
        <w:spacing w:line="600" w:lineRule="exact"/>
        <w:ind w:firstLine="640"/>
        <w:rPr>
          <w:rFonts w:hint="eastAsia" w:ascii="仿宋" w:hAnsi="仿宋" w:eastAsia="仿宋" w:cs="Times New Roman"/>
          <w:b w:val="0"/>
          <w:bCs w:val="0"/>
          <w:sz w:val="32"/>
          <w:szCs w:val="32"/>
        </w:rPr>
      </w:pPr>
      <w:r>
        <w:rPr>
          <w:rFonts w:hint="eastAsia" w:ascii="仿宋" w:hAnsi="仿宋" w:eastAsia="仿宋" w:cs="Times New Roman"/>
          <w:b w:val="0"/>
          <w:bCs w:val="0"/>
          <w:sz w:val="32"/>
          <w:szCs w:val="32"/>
        </w:rPr>
        <w:t>人员经费</w:t>
      </w:r>
      <w:r>
        <w:rPr>
          <w:rFonts w:hint="default" w:ascii="仿宋" w:hAnsi="仿宋" w:eastAsia="仿宋" w:cs="Times New Roman"/>
          <w:b w:val="0"/>
          <w:bCs w:val="0"/>
          <w:sz w:val="32"/>
          <w:szCs w:val="32"/>
        </w:rPr>
        <w:t>76.32</w:t>
      </w:r>
      <w:r>
        <w:rPr>
          <w:rFonts w:hint="eastAsia" w:ascii="仿宋" w:hAnsi="仿宋" w:eastAsia="仿宋" w:cs="Times New Roman"/>
          <w:b w:val="0"/>
          <w:bCs w:val="0"/>
          <w:sz w:val="32"/>
          <w:szCs w:val="32"/>
        </w:rPr>
        <w:t>万元，主要包括：基本工资、津贴补贴、奖金、其他工资福利支出、机关事业单位基本养老保险缴费、其他社会保障缴费、医疗费补助、住房公积金、奖励金等。</w:t>
      </w:r>
    </w:p>
    <w:p>
      <w:pPr>
        <w:spacing w:line="600" w:lineRule="exact"/>
        <w:ind w:firstLine="640"/>
        <w:rPr>
          <w:rFonts w:hint="default" w:ascii="仿宋" w:hAnsi="仿宋" w:eastAsia="仿宋" w:cs="Times New Roman"/>
          <w:sz w:val="32"/>
          <w:szCs w:val="32"/>
        </w:rPr>
      </w:pPr>
      <w:r>
        <w:rPr>
          <w:rFonts w:hint="eastAsia" w:ascii="仿宋" w:hAnsi="仿宋" w:eastAsia="仿宋" w:cs="Times New Roman"/>
          <w:b w:val="0"/>
          <w:bCs w:val="0"/>
          <w:sz w:val="32"/>
          <w:szCs w:val="32"/>
        </w:rPr>
        <w:t>公用经费</w:t>
      </w:r>
      <w:r>
        <w:rPr>
          <w:rFonts w:hint="default" w:ascii="仿宋" w:hAnsi="仿宋" w:eastAsia="仿宋" w:cs="Times New Roman"/>
          <w:b w:val="0"/>
          <w:bCs w:val="0"/>
          <w:sz w:val="32"/>
          <w:szCs w:val="32"/>
        </w:rPr>
        <w:t>8.37</w:t>
      </w:r>
      <w:r>
        <w:rPr>
          <w:rFonts w:hint="eastAsia" w:ascii="仿宋" w:hAnsi="仿宋" w:eastAsia="仿宋" w:cs="Times New Roman"/>
          <w:b w:val="0"/>
          <w:bCs w:val="0"/>
          <w:sz w:val="32"/>
          <w:szCs w:val="32"/>
        </w:rPr>
        <w:t>万元，主要包括：办公费、印刷费电费、</w:t>
      </w:r>
      <w:r>
        <w:rPr>
          <w:rFonts w:hint="eastAsia" w:ascii="仿宋" w:hAnsi="仿宋" w:eastAsia="仿宋" w:cs="Times New Roman"/>
          <w:sz w:val="32"/>
          <w:szCs w:val="32"/>
        </w:rPr>
        <w:t>邮电费、差旅费、培训费、专用材料费、劳务费、工会经费、福利费、其他交通费、其他商品和服务支出等。</w:t>
      </w:r>
    </w:p>
    <w:p>
      <w:pPr>
        <w:spacing w:line="600" w:lineRule="exact"/>
        <w:ind w:firstLine="640"/>
        <w:outlineLvl w:val="1"/>
        <w:rPr>
          <w:rFonts w:hint="default" w:ascii="黑体" w:hAnsi="Times New Roman" w:eastAsia="黑体" w:cs="Times New Roman"/>
          <w:sz w:val="32"/>
          <w:szCs w:val="32"/>
          <w:lang w:val="en-US" w:eastAsia="zh-CN"/>
        </w:rPr>
      </w:pPr>
      <w:bookmarkStart w:id="53" w:name="_Toc9635"/>
      <w:bookmarkStart w:id="54" w:name="_Toc15396609"/>
      <w:bookmarkStart w:id="55" w:name="_Toc15377215"/>
      <w:r>
        <w:rPr>
          <w:rFonts w:hint="eastAsia" w:ascii="黑体" w:hAnsi="Times New Roman" w:eastAsia="黑体" w:cs="Times New Roman"/>
          <w:sz w:val="32"/>
          <w:szCs w:val="32"/>
          <w:lang w:val="en-US" w:eastAsia="zh-CN"/>
        </w:rPr>
        <w:t>七、财政拨款“三公”经费支出决算情况说明</w:t>
      </w:r>
      <w:bookmarkEnd w:id="53"/>
      <w:bookmarkEnd w:id="54"/>
      <w:bookmarkEnd w:id="55"/>
    </w:p>
    <w:p>
      <w:pPr>
        <w:spacing w:line="600" w:lineRule="exact"/>
        <w:ind w:firstLine="640"/>
        <w:outlineLvl w:val="2"/>
        <w:rPr>
          <w:rFonts w:hint="eastAsia" w:ascii="方正楷体_GBK" w:hAnsi="方正楷体_GBK" w:eastAsia="方正楷体_GBK" w:cs="方正楷体_GBK"/>
          <w:b/>
          <w:sz w:val="32"/>
          <w:szCs w:val="32"/>
        </w:rPr>
      </w:pPr>
      <w:bookmarkStart w:id="56" w:name="_Toc23541"/>
      <w:bookmarkStart w:id="57" w:name="_Toc15377216"/>
      <w:r>
        <w:rPr>
          <w:rFonts w:hint="eastAsia" w:ascii="方正楷体_GBK" w:hAnsi="方正楷体_GBK" w:eastAsia="方正楷体_GBK" w:cs="方正楷体_GBK"/>
          <w:b/>
          <w:sz w:val="32"/>
          <w:szCs w:val="32"/>
        </w:rPr>
        <w:t>（一）“三公”经费财政拨款支出决算总体情况说明</w:t>
      </w:r>
      <w:bookmarkEnd w:id="56"/>
      <w:bookmarkEnd w:id="57"/>
    </w:p>
    <w:p>
      <w:pPr>
        <w:spacing w:line="600" w:lineRule="exact"/>
        <w:ind w:firstLine="640"/>
        <w:rPr>
          <w:rFonts w:hint="default" w:ascii="仿宋" w:hAnsi="仿宋" w:eastAsia="仿宋" w:cs="Times New Roman"/>
          <w:sz w:val="32"/>
          <w:szCs w:val="32"/>
        </w:rPr>
      </w:pPr>
      <w:r>
        <w:rPr>
          <w:rFonts w:hint="eastAsia" w:ascii="仿宋" w:hAnsi="仿宋" w:eastAsia="仿宋" w:cs="Times New Roman"/>
          <w:sz w:val="32"/>
          <w:szCs w:val="32"/>
        </w:rPr>
        <w:t>2023年度“三公”经费财政拨款支出决算为</w:t>
      </w:r>
      <w:r>
        <w:rPr>
          <w:rFonts w:hint="default" w:ascii="仿宋" w:hAnsi="仿宋" w:eastAsia="仿宋" w:cs="Times New Roman"/>
          <w:sz w:val="32"/>
          <w:szCs w:val="32"/>
        </w:rPr>
        <w:t>0</w:t>
      </w:r>
      <w:r>
        <w:rPr>
          <w:rFonts w:hint="eastAsia" w:ascii="仿宋" w:hAnsi="仿宋" w:eastAsia="仿宋" w:cs="Times New Roman"/>
          <w:sz w:val="32"/>
          <w:szCs w:val="32"/>
        </w:rPr>
        <w:t>万元，完成预算</w:t>
      </w:r>
      <w:r>
        <w:rPr>
          <w:rFonts w:hint="default" w:ascii="仿宋" w:hAnsi="仿宋" w:eastAsia="仿宋" w:cs="Times New Roman"/>
          <w:sz w:val="32"/>
          <w:szCs w:val="32"/>
        </w:rPr>
        <w:t>0%</w:t>
      </w:r>
      <w:r>
        <w:rPr>
          <w:rFonts w:hint="eastAsia" w:ascii="仿宋" w:hAnsi="仿宋" w:eastAsia="仿宋" w:cs="Times New Roman"/>
          <w:sz w:val="32"/>
          <w:szCs w:val="32"/>
        </w:rPr>
        <w:t>，较上年度增加万元，增长%。</w:t>
      </w:r>
    </w:p>
    <w:p>
      <w:pPr>
        <w:spacing w:line="600" w:lineRule="exact"/>
        <w:ind w:firstLine="640"/>
        <w:outlineLvl w:val="2"/>
        <w:rPr>
          <w:rFonts w:hint="default" w:ascii="方正楷体_GBK" w:hAnsi="方正楷体_GBK" w:eastAsia="方正楷体_GBK" w:cs="方正楷体_GBK"/>
          <w:b/>
          <w:sz w:val="32"/>
          <w:szCs w:val="32"/>
        </w:rPr>
      </w:pPr>
      <w:bookmarkStart w:id="58" w:name="_Toc15377217"/>
      <w:bookmarkStart w:id="59" w:name="_Toc20577"/>
      <w:r>
        <w:rPr>
          <w:rFonts w:hint="eastAsia" w:ascii="方正楷体_GBK" w:hAnsi="方正楷体_GBK" w:eastAsia="方正楷体_GBK" w:cs="方正楷体_GBK"/>
          <w:b/>
          <w:sz w:val="32"/>
          <w:szCs w:val="32"/>
        </w:rPr>
        <w:t>（二）“三公”经费财政拨款支出决算具体情况说明</w:t>
      </w:r>
      <w:bookmarkEnd w:id="58"/>
      <w:bookmarkEnd w:id="59"/>
    </w:p>
    <w:p>
      <w:pPr>
        <w:spacing w:line="600" w:lineRule="exact"/>
        <w:ind w:firstLine="640"/>
        <w:rPr>
          <w:rFonts w:hint="default" w:ascii="仿宋" w:hAnsi="仿宋" w:eastAsia="仿宋" w:cs="Times New Roman"/>
          <w:sz w:val="32"/>
          <w:szCs w:val="32"/>
        </w:rPr>
      </w:pPr>
      <w:r>
        <w:rPr>
          <w:rFonts w:hint="eastAsia" w:ascii="仿宋" w:hAnsi="仿宋" w:eastAsia="仿宋" w:cs="Times New Roman"/>
          <w:sz w:val="32"/>
          <w:szCs w:val="32"/>
        </w:rPr>
        <w:t>2023年度“三公”经费财政拨款支出决算中，因公出国（境）费支出决算</w:t>
      </w:r>
      <w:r>
        <w:rPr>
          <w:rFonts w:hint="default" w:ascii="仿宋" w:hAnsi="仿宋" w:eastAsia="仿宋" w:cs="Times New Roman"/>
          <w:sz w:val="32"/>
          <w:szCs w:val="32"/>
        </w:rPr>
        <w:t>0</w:t>
      </w:r>
      <w:r>
        <w:rPr>
          <w:rFonts w:hint="eastAsia" w:ascii="仿宋" w:hAnsi="仿宋" w:eastAsia="仿宋" w:cs="Times New Roman"/>
          <w:sz w:val="32"/>
          <w:szCs w:val="32"/>
        </w:rPr>
        <w:t>万元，占</w:t>
      </w:r>
      <w:r>
        <w:rPr>
          <w:rFonts w:hint="default" w:ascii="仿宋" w:hAnsi="仿宋" w:eastAsia="仿宋" w:cs="Times New Roman"/>
          <w:sz w:val="32"/>
          <w:szCs w:val="32"/>
        </w:rPr>
        <w:t>0%</w:t>
      </w:r>
      <w:r>
        <w:rPr>
          <w:rFonts w:hint="eastAsia" w:ascii="仿宋" w:hAnsi="仿宋" w:eastAsia="仿宋" w:cs="Times New Roman"/>
          <w:sz w:val="32"/>
          <w:szCs w:val="32"/>
        </w:rPr>
        <w:t>；公务用车购置及运行维护费支出决算</w:t>
      </w:r>
      <w:r>
        <w:rPr>
          <w:rFonts w:hint="default" w:ascii="仿宋" w:hAnsi="仿宋" w:eastAsia="仿宋" w:cs="Times New Roman"/>
          <w:sz w:val="32"/>
          <w:szCs w:val="32"/>
        </w:rPr>
        <w:t>0</w:t>
      </w:r>
      <w:r>
        <w:rPr>
          <w:rFonts w:hint="eastAsia" w:ascii="仿宋" w:hAnsi="仿宋" w:eastAsia="仿宋" w:cs="Times New Roman"/>
          <w:sz w:val="32"/>
          <w:szCs w:val="32"/>
        </w:rPr>
        <w:t>万元，占</w:t>
      </w:r>
      <w:r>
        <w:rPr>
          <w:rFonts w:hint="default" w:ascii="仿宋" w:hAnsi="仿宋" w:eastAsia="仿宋" w:cs="Times New Roman"/>
          <w:sz w:val="32"/>
          <w:szCs w:val="32"/>
        </w:rPr>
        <w:t>0%</w:t>
      </w:r>
      <w:r>
        <w:rPr>
          <w:rFonts w:hint="eastAsia" w:ascii="仿宋" w:hAnsi="仿宋" w:eastAsia="仿宋" w:cs="Times New Roman"/>
          <w:sz w:val="32"/>
          <w:szCs w:val="32"/>
        </w:rPr>
        <w:t>；公务接待费支出决算</w:t>
      </w:r>
      <w:r>
        <w:rPr>
          <w:rFonts w:hint="default" w:ascii="仿宋" w:hAnsi="仿宋" w:eastAsia="仿宋" w:cs="Times New Roman"/>
          <w:sz w:val="32"/>
          <w:szCs w:val="32"/>
        </w:rPr>
        <w:t>0</w:t>
      </w:r>
      <w:r>
        <w:rPr>
          <w:rFonts w:hint="eastAsia" w:ascii="仿宋" w:hAnsi="仿宋" w:eastAsia="仿宋" w:cs="Times New Roman"/>
          <w:sz w:val="32"/>
          <w:szCs w:val="32"/>
        </w:rPr>
        <w:t>万元，占</w:t>
      </w:r>
      <w:r>
        <w:rPr>
          <w:rFonts w:hint="default" w:ascii="仿宋" w:hAnsi="仿宋" w:eastAsia="仿宋" w:cs="Times New Roman"/>
          <w:sz w:val="32"/>
          <w:szCs w:val="32"/>
        </w:rPr>
        <w:t>0%</w:t>
      </w:r>
      <w:r>
        <w:rPr>
          <w:rFonts w:hint="eastAsia" w:ascii="仿宋" w:hAnsi="仿宋" w:eastAsia="仿宋" w:cs="Times New Roman"/>
          <w:sz w:val="32"/>
          <w:szCs w:val="32"/>
        </w:rPr>
        <w:t>。具体情况如下：</w:t>
      </w:r>
    </w:p>
    <w:p>
      <w:pPr>
        <w:spacing w:line="600" w:lineRule="exact"/>
        <w:ind w:firstLine="640"/>
        <w:rPr>
          <w:rFonts w:ascii="仿宋" w:hAnsi="仿宋" w:eastAsia="仿宋"/>
          <w:sz w:val="32"/>
          <w:szCs w:val="32"/>
        </w:rPr>
      </w:pPr>
      <w:r>
        <w:rPr>
          <w:rFonts w:ascii="黑体" w:hAnsi="黑体" w:eastAsia="黑体"/>
          <w:sz w:val="32"/>
          <w:szCs w:val="32"/>
        </w:rPr>
        <w:pict>
          <v:shape id="_x0000_s1035" o:spid="_x0000_s1035" o:spt="75" type="#_x0000_t75" style="position:absolute;left:0pt;margin-left:37.5pt;margin-top:9.15pt;height:222.75pt;width:340.35pt;mso-wrap-distance-bottom:0pt;mso-wrap-distance-left:9pt;mso-wrap-distance-right:9pt;mso-wrap-distance-top:0pt;z-index:251665408;mso-width-relative:page;mso-height-relative:page;" o:ole="t" filled="f" o:preferrelative="t" stroked="f" coordsize="21600,21600">
            <v:path/>
            <v:fill on="f" focussize="0,0"/>
            <v:stroke on="f" joinstyle="miter"/>
            <v:imagedata r:id="rId24" o:title=""/>
            <o:lock v:ext="edit" aspectratio="t"/>
            <w10:wrap type="square"/>
          </v:shape>
          <o:OLEObject Type="Embed" ProgID="Excel.Chart.8" ShapeID="_x0000_s1035" DrawAspect="Content" ObjectID="_1468075731" r:id="rId23">
            <o:LockedField>false</o:LockedField>
          </o:OLEObject>
        </w:pict>
      </w:r>
    </w:p>
    <w:p>
      <w:pPr>
        <w:spacing w:line="600" w:lineRule="exact"/>
        <w:ind w:firstLine="640"/>
        <w:rPr>
          <w:rFonts w:ascii="仿宋" w:hAnsi="仿宋" w:eastAsia="仿宋"/>
          <w:sz w:val="32"/>
          <w:szCs w:val="32"/>
        </w:rPr>
      </w:pPr>
    </w:p>
    <w:p>
      <w:pPr>
        <w:spacing w:line="600" w:lineRule="exact"/>
        <w:ind w:firstLine="640"/>
        <w:rPr>
          <w:rFonts w:ascii="仿宋" w:hAnsi="仿宋" w:eastAsia="仿宋"/>
          <w:sz w:val="32"/>
          <w:szCs w:val="32"/>
        </w:rPr>
      </w:pPr>
    </w:p>
    <w:p>
      <w:pPr>
        <w:spacing w:line="600" w:lineRule="exact"/>
        <w:ind w:firstLine="640"/>
        <w:rPr>
          <w:rFonts w:ascii="仿宋" w:hAnsi="仿宋" w:eastAsia="仿宋"/>
          <w:sz w:val="32"/>
          <w:szCs w:val="32"/>
        </w:rPr>
      </w:pPr>
    </w:p>
    <w:p>
      <w:pPr>
        <w:spacing w:line="600" w:lineRule="exact"/>
        <w:ind w:firstLine="640"/>
        <w:rPr>
          <w:rFonts w:ascii="仿宋" w:hAnsi="仿宋" w:eastAsia="仿宋"/>
          <w:sz w:val="32"/>
          <w:szCs w:val="32"/>
        </w:rPr>
      </w:pPr>
    </w:p>
    <w:p>
      <w:pPr>
        <w:spacing w:line="600" w:lineRule="exact"/>
        <w:ind w:firstLine="640"/>
        <w:rPr>
          <w:rFonts w:ascii="仿宋" w:hAnsi="仿宋" w:eastAsia="仿宋"/>
          <w:sz w:val="32"/>
          <w:szCs w:val="32"/>
        </w:rPr>
      </w:pPr>
    </w:p>
    <w:p>
      <w:pPr>
        <w:spacing w:line="600" w:lineRule="exact"/>
        <w:ind w:firstLine="640"/>
        <w:rPr>
          <w:rFonts w:ascii="仿宋" w:hAnsi="仿宋" w:eastAsia="仿宋"/>
          <w:sz w:val="32"/>
          <w:szCs w:val="32"/>
        </w:rPr>
      </w:pPr>
    </w:p>
    <w:p>
      <w:pPr>
        <w:spacing w:line="600" w:lineRule="exact"/>
        <w:ind w:firstLine="640"/>
        <w:rPr>
          <w:rFonts w:ascii="仿宋" w:hAnsi="仿宋" w:eastAsia="仿宋"/>
          <w:sz w:val="32"/>
          <w:szCs w:val="32"/>
        </w:rPr>
      </w:pPr>
    </w:p>
    <w:p>
      <w:pPr>
        <w:spacing w:line="600" w:lineRule="exact"/>
        <w:ind w:firstLine="640"/>
        <w:jc w:val="center"/>
        <w:rPr>
          <w:rFonts w:hint="eastAsia" w:ascii="仿宋" w:hAnsi="仿宋" w:eastAsia="仿宋" w:cs="Times New Roman"/>
          <w:sz w:val="32"/>
          <w:szCs w:val="32"/>
        </w:rPr>
      </w:pPr>
      <w:r>
        <w:rPr>
          <w:rFonts w:hint="eastAsia" w:ascii="仿宋" w:hAnsi="仿宋" w:eastAsia="仿宋" w:cs="Times New Roman"/>
          <w:sz w:val="32"/>
          <w:szCs w:val="32"/>
        </w:rPr>
        <w:t>（图7：“三公”经费财政拨款支出结构）</w:t>
      </w:r>
    </w:p>
    <w:p>
      <w:pPr>
        <w:spacing w:line="600" w:lineRule="exact"/>
        <w:ind w:firstLine="640"/>
        <w:rPr>
          <w:rFonts w:hint="default" w:ascii="仿宋" w:hAnsi="仿宋" w:eastAsia="仿宋" w:cs="Times New Roman"/>
          <w:sz w:val="32"/>
          <w:szCs w:val="32"/>
        </w:rPr>
      </w:pPr>
      <w:r>
        <w:rPr>
          <w:rFonts w:hint="eastAsia" w:ascii="仿宋" w:hAnsi="仿宋" w:eastAsia="仿宋" w:cs="Times New Roman"/>
          <w:sz w:val="32"/>
          <w:szCs w:val="32"/>
          <w:lang w:val="en-US" w:eastAsia="zh-CN"/>
        </w:rPr>
        <w:t>1.</w:t>
      </w:r>
      <w:r>
        <w:rPr>
          <w:rFonts w:hint="eastAsia" w:ascii="仿宋" w:hAnsi="仿宋" w:eastAsia="仿宋" w:cs="Times New Roman"/>
          <w:sz w:val="32"/>
          <w:szCs w:val="32"/>
        </w:rPr>
        <w:t>因公出国（境）经费支出</w:t>
      </w:r>
      <w:r>
        <w:rPr>
          <w:rFonts w:hint="default" w:ascii="仿宋" w:hAnsi="仿宋" w:eastAsia="仿宋" w:cs="Times New Roman"/>
          <w:sz w:val="32"/>
          <w:szCs w:val="32"/>
        </w:rPr>
        <w:t>0</w:t>
      </w:r>
      <w:r>
        <w:rPr>
          <w:rFonts w:hint="eastAsia" w:ascii="仿宋" w:hAnsi="仿宋" w:eastAsia="仿宋" w:cs="Times New Roman"/>
          <w:sz w:val="32"/>
          <w:szCs w:val="32"/>
        </w:rPr>
        <w:t>万元，完成预算</w:t>
      </w:r>
      <w:r>
        <w:rPr>
          <w:rFonts w:hint="default" w:ascii="仿宋" w:hAnsi="仿宋" w:eastAsia="仿宋" w:cs="Times New Roman"/>
          <w:sz w:val="32"/>
          <w:szCs w:val="32"/>
        </w:rPr>
        <w:t>0%</w:t>
      </w:r>
      <w:r>
        <w:rPr>
          <w:rFonts w:hint="eastAsia" w:ascii="仿宋" w:hAnsi="仿宋" w:eastAsia="仿宋" w:cs="Times New Roman"/>
          <w:sz w:val="32"/>
          <w:szCs w:val="32"/>
        </w:rPr>
        <w:t>。全年安排因公出国（境）团组</w:t>
      </w:r>
      <w:r>
        <w:rPr>
          <w:rFonts w:hint="default" w:ascii="仿宋" w:hAnsi="仿宋" w:eastAsia="仿宋" w:cs="Times New Roman"/>
          <w:sz w:val="32"/>
          <w:szCs w:val="32"/>
        </w:rPr>
        <w:t>0</w:t>
      </w:r>
      <w:r>
        <w:rPr>
          <w:rFonts w:hint="eastAsia" w:ascii="仿宋" w:hAnsi="仿宋" w:eastAsia="仿宋" w:cs="Times New Roman"/>
          <w:sz w:val="32"/>
          <w:szCs w:val="32"/>
        </w:rPr>
        <w:t>次，出国（境）</w:t>
      </w:r>
      <w:r>
        <w:rPr>
          <w:rFonts w:hint="default" w:ascii="仿宋" w:hAnsi="仿宋" w:eastAsia="仿宋" w:cs="Times New Roman"/>
          <w:sz w:val="32"/>
          <w:szCs w:val="32"/>
        </w:rPr>
        <w:t>0</w:t>
      </w:r>
      <w:r>
        <w:rPr>
          <w:rFonts w:hint="eastAsia" w:ascii="仿宋" w:hAnsi="仿宋" w:eastAsia="仿宋" w:cs="Times New Roman"/>
          <w:sz w:val="32"/>
          <w:szCs w:val="32"/>
        </w:rPr>
        <w:t>人。因公出国（境）支出决算比2022年增加0万元，增长0</w:t>
      </w:r>
      <w:r>
        <w:rPr>
          <w:rFonts w:hint="default" w:ascii="仿宋" w:hAnsi="仿宋" w:eastAsia="仿宋" w:cs="Times New Roman"/>
          <w:sz w:val="32"/>
          <w:szCs w:val="32"/>
        </w:rPr>
        <w:t>%</w:t>
      </w:r>
      <w:r>
        <w:rPr>
          <w:rFonts w:hint="eastAsia" w:ascii="仿宋" w:hAnsi="仿宋" w:eastAsia="仿宋" w:cs="Times New Roman"/>
          <w:sz w:val="32"/>
          <w:szCs w:val="32"/>
        </w:rPr>
        <w:t>。</w:t>
      </w:r>
    </w:p>
    <w:p>
      <w:pPr>
        <w:spacing w:line="600" w:lineRule="exact"/>
        <w:ind w:firstLine="640"/>
        <w:rPr>
          <w:rFonts w:hint="default" w:ascii="仿宋" w:hAnsi="仿宋" w:eastAsia="仿宋" w:cs="Times New Roman"/>
          <w:sz w:val="32"/>
          <w:szCs w:val="32"/>
        </w:rPr>
      </w:pPr>
      <w:r>
        <w:rPr>
          <w:rFonts w:hint="default" w:ascii="仿宋" w:hAnsi="仿宋" w:eastAsia="仿宋" w:cs="Times New Roman"/>
          <w:sz w:val="32"/>
          <w:szCs w:val="32"/>
        </w:rPr>
        <w:t>2.</w:t>
      </w:r>
      <w:r>
        <w:rPr>
          <w:rFonts w:hint="eastAsia" w:ascii="仿宋" w:hAnsi="仿宋" w:eastAsia="仿宋" w:cs="Times New Roman"/>
          <w:sz w:val="32"/>
          <w:szCs w:val="32"/>
        </w:rPr>
        <w:t>公务用车购置及运行维护费支出</w:t>
      </w:r>
      <w:r>
        <w:rPr>
          <w:rFonts w:hint="default" w:ascii="仿宋" w:hAnsi="仿宋" w:eastAsia="仿宋" w:cs="Times New Roman"/>
          <w:sz w:val="32"/>
          <w:szCs w:val="32"/>
        </w:rPr>
        <w:t>0</w:t>
      </w:r>
      <w:r>
        <w:rPr>
          <w:rFonts w:hint="eastAsia" w:ascii="仿宋" w:hAnsi="仿宋" w:eastAsia="仿宋" w:cs="Times New Roman"/>
          <w:sz w:val="32"/>
          <w:szCs w:val="32"/>
        </w:rPr>
        <w:t>万元</w:t>
      </w:r>
      <w:r>
        <w:rPr>
          <w:rFonts w:hint="eastAsia" w:ascii="仿宋" w:hAnsi="仿宋" w:eastAsia="仿宋" w:cs="Times New Roman"/>
          <w:sz w:val="32"/>
          <w:szCs w:val="32"/>
          <w:lang w:eastAsia="zh-CN"/>
        </w:rPr>
        <w:t>，</w:t>
      </w:r>
      <w:r>
        <w:rPr>
          <w:rFonts w:hint="eastAsia" w:ascii="仿宋" w:hAnsi="仿宋" w:eastAsia="仿宋" w:cs="Times New Roman"/>
          <w:sz w:val="32"/>
          <w:szCs w:val="32"/>
        </w:rPr>
        <w:t>完成预算</w:t>
      </w:r>
      <w:r>
        <w:rPr>
          <w:rFonts w:hint="default" w:ascii="仿宋" w:hAnsi="仿宋" w:eastAsia="仿宋" w:cs="Times New Roman"/>
          <w:sz w:val="32"/>
          <w:szCs w:val="32"/>
        </w:rPr>
        <w:t>0%</w:t>
      </w:r>
      <w:r>
        <w:rPr>
          <w:rFonts w:hint="eastAsia" w:ascii="仿宋" w:hAnsi="仿宋" w:eastAsia="仿宋" w:cs="Times New Roman"/>
          <w:sz w:val="32"/>
          <w:szCs w:val="32"/>
        </w:rPr>
        <w:t>。公务用车购置及运行维护费支出决算比2022年度增加0万元，增长0</w:t>
      </w:r>
      <w:r>
        <w:rPr>
          <w:rFonts w:hint="default" w:ascii="仿宋" w:hAnsi="仿宋" w:eastAsia="仿宋" w:cs="Times New Roman"/>
          <w:sz w:val="32"/>
          <w:szCs w:val="32"/>
        </w:rPr>
        <w:t>%</w:t>
      </w:r>
      <w:r>
        <w:rPr>
          <w:rFonts w:hint="eastAsia" w:ascii="仿宋" w:hAnsi="仿宋" w:eastAsia="仿宋" w:cs="Times New Roman"/>
          <w:sz w:val="32"/>
          <w:szCs w:val="32"/>
        </w:rPr>
        <w:t>。</w:t>
      </w:r>
    </w:p>
    <w:p>
      <w:pPr>
        <w:spacing w:line="600" w:lineRule="exact"/>
        <w:ind w:firstLine="640"/>
        <w:rPr>
          <w:rFonts w:hint="default" w:ascii="仿宋" w:hAnsi="仿宋" w:eastAsia="仿宋" w:cs="Times New Roman"/>
          <w:sz w:val="32"/>
          <w:szCs w:val="32"/>
        </w:rPr>
      </w:pPr>
      <w:r>
        <w:rPr>
          <w:rFonts w:hint="eastAsia" w:ascii="仿宋" w:hAnsi="仿宋" w:eastAsia="仿宋" w:cs="Times New Roman"/>
          <w:sz w:val="32"/>
          <w:szCs w:val="32"/>
        </w:rPr>
        <w:t>其中：公务用车购置支出</w:t>
      </w:r>
      <w:r>
        <w:rPr>
          <w:rFonts w:hint="default" w:ascii="仿宋" w:hAnsi="仿宋" w:eastAsia="仿宋" w:cs="Times New Roman"/>
          <w:sz w:val="32"/>
          <w:szCs w:val="32"/>
        </w:rPr>
        <w:t>0</w:t>
      </w:r>
      <w:r>
        <w:rPr>
          <w:rFonts w:hint="eastAsia" w:ascii="仿宋" w:hAnsi="仿宋" w:eastAsia="仿宋" w:cs="Times New Roman"/>
          <w:sz w:val="32"/>
          <w:szCs w:val="32"/>
        </w:rPr>
        <w:t>万元。</w:t>
      </w:r>
    </w:p>
    <w:p>
      <w:pPr>
        <w:spacing w:line="600" w:lineRule="exact"/>
        <w:ind w:firstLine="640"/>
        <w:rPr>
          <w:rFonts w:hint="default" w:ascii="仿宋" w:hAnsi="仿宋" w:eastAsia="仿宋" w:cs="Times New Roman"/>
          <w:sz w:val="32"/>
          <w:szCs w:val="32"/>
        </w:rPr>
      </w:pPr>
      <w:r>
        <w:rPr>
          <w:rFonts w:hint="eastAsia" w:ascii="仿宋" w:hAnsi="仿宋" w:eastAsia="仿宋" w:cs="Times New Roman"/>
          <w:sz w:val="32"/>
          <w:szCs w:val="32"/>
        </w:rPr>
        <w:t>公务用车运行维护费支出</w:t>
      </w:r>
      <w:r>
        <w:rPr>
          <w:rFonts w:hint="default" w:ascii="仿宋" w:hAnsi="仿宋" w:eastAsia="仿宋" w:cs="Times New Roman"/>
          <w:sz w:val="32"/>
          <w:szCs w:val="32"/>
        </w:rPr>
        <w:t>0</w:t>
      </w:r>
      <w:r>
        <w:rPr>
          <w:rFonts w:hint="eastAsia" w:ascii="仿宋" w:hAnsi="仿宋" w:eastAsia="仿宋" w:cs="Times New Roman"/>
          <w:sz w:val="32"/>
          <w:szCs w:val="32"/>
        </w:rPr>
        <w:t>万元。</w:t>
      </w:r>
    </w:p>
    <w:p>
      <w:pPr>
        <w:spacing w:line="600" w:lineRule="exact"/>
        <w:ind w:firstLine="640"/>
        <w:rPr>
          <w:rFonts w:hint="default" w:ascii="仿宋" w:hAnsi="仿宋" w:eastAsia="仿宋" w:cs="Times New Roman"/>
          <w:sz w:val="32"/>
          <w:szCs w:val="32"/>
        </w:rPr>
      </w:pPr>
      <w:r>
        <w:rPr>
          <w:rFonts w:hint="eastAsia" w:ascii="仿宋" w:hAnsi="仿宋" w:eastAsia="仿宋" w:cs="Times New Roman"/>
          <w:sz w:val="32"/>
          <w:szCs w:val="32"/>
        </w:rPr>
        <w:t>3.公务接待费支出</w:t>
      </w:r>
      <w:r>
        <w:rPr>
          <w:rFonts w:hint="default" w:ascii="仿宋" w:hAnsi="仿宋" w:eastAsia="仿宋" w:cs="Times New Roman"/>
          <w:sz w:val="32"/>
          <w:szCs w:val="32"/>
        </w:rPr>
        <w:t>0</w:t>
      </w:r>
      <w:r>
        <w:rPr>
          <w:rFonts w:hint="eastAsia" w:ascii="仿宋" w:hAnsi="仿宋" w:eastAsia="仿宋" w:cs="Times New Roman"/>
          <w:sz w:val="32"/>
          <w:szCs w:val="32"/>
        </w:rPr>
        <w:t>万元，完成预算</w:t>
      </w:r>
      <w:r>
        <w:rPr>
          <w:rFonts w:hint="default" w:ascii="仿宋" w:hAnsi="仿宋" w:eastAsia="仿宋" w:cs="Times New Roman"/>
          <w:sz w:val="32"/>
          <w:szCs w:val="32"/>
        </w:rPr>
        <w:t>0%</w:t>
      </w:r>
      <w:r>
        <w:rPr>
          <w:rFonts w:hint="eastAsia" w:ascii="仿宋" w:hAnsi="仿宋" w:eastAsia="仿宋" w:cs="Times New Roman"/>
          <w:sz w:val="32"/>
          <w:szCs w:val="32"/>
        </w:rPr>
        <w:t>。</w:t>
      </w:r>
    </w:p>
    <w:p>
      <w:pPr>
        <w:spacing w:line="600" w:lineRule="exact"/>
        <w:ind w:firstLine="640"/>
        <w:rPr>
          <w:rFonts w:hint="default" w:ascii="仿宋" w:hAnsi="仿宋" w:eastAsia="仿宋" w:cs="Times New Roman"/>
          <w:sz w:val="32"/>
          <w:szCs w:val="32"/>
        </w:rPr>
      </w:pPr>
      <w:r>
        <w:rPr>
          <w:rFonts w:hint="eastAsia" w:ascii="仿宋" w:hAnsi="仿宋" w:eastAsia="仿宋" w:cs="Times New Roman"/>
          <w:sz w:val="32"/>
          <w:szCs w:val="32"/>
        </w:rPr>
        <w:t>国内公务接待支出0万元。</w:t>
      </w:r>
    </w:p>
    <w:p>
      <w:pPr>
        <w:spacing w:line="600" w:lineRule="exact"/>
        <w:ind w:firstLine="640"/>
        <w:rPr>
          <w:rFonts w:hint="default" w:ascii="仿宋" w:hAnsi="仿宋" w:eastAsia="仿宋" w:cs="Times New Roman"/>
          <w:sz w:val="32"/>
          <w:szCs w:val="32"/>
        </w:rPr>
      </w:pPr>
      <w:r>
        <w:rPr>
          <w:rFonts w:hint="eastAsia" w:ascii="仿宋" w:hAnsi="仿宋" w:eastAsia="仿宋" w:cs="Times New Roman"/>
          <w:sz w:val="32"/>
          <w:szCs w:val="32"/>
        </w:rPr>
        <w:t>外事接待支出0万元。</w:t>
      </w:r>
      <w:bookmarkStart w:id="60" w:name="_Toc15377218"/>
      <w:bookmarkStart w:id="61" w:name="_Toc15396610"/>
    </w:p>
    <w:p>
      <w:pPr>
        <w:spacing w:line="600" w:lineRule="exact"/>
        <w:ind w:firstLine="640"/>
        <w:outlineLvl w:val="1"/>
        <w:rPr>
          <w:rFonts w:hint="eastAsia" w:ascii="黑体" w:hAnsi="Times New Roman" w:eastAsia="黑体" w:cs="Times New Roman"/>
          <w:sz w:val="32"/>
          <w:szCs w:val="32"/>
        </w:rPr>
      </w:pPr>
      <w:bookmarkStart w:id="62" w:name="_Toc10216"/>
      <w:r>
        <w:rPr>
          <w:rFonts w:hint="eastAsia" w:ascii="黑体" w:hAnsi="Times New Roman" w:eastAsia="黑体" w:cs="Times New Roman"/>
          <w:sz w:val="32"/>
          <w:szCs w:val="32"/>
        </w:rPr>
        <w:t>八、政府性基金预算支出决算情况说明</w:t>
      </w:r>
      <w:bookmarkEnd w:id="60"/>
      <w:bookmarkEnd w:id="61"/>
      <w:bookmarkEnd w:id="62"/>
    </w:p>
    <w:p>
      <w:pPr>
        <w:spacing w:line="600" w:lineRule="exact"/>
        <w:ind w:firstLine="640"/>
        <w:rPr>
          <w:rFonts w:hint="default" w:ascii="仿宋" w:hAnsi="仿宋" w:eastAsia="仿宋" w:cs="Times New Roman"/>
          <w:sz w:val="32"/>
          <w:szCs w:val="32"/>
        </w:rPr>
      </w:pPr>
      <w:r>
        <w:rPr>
          <w:rFonts w:hint="eastAsia" w:ascii="仿宋" w:hAnsi="仿宋" w:eastAsia="仿宋" w:cs="Times New Roman"/>
          <w:sz w:val="32"/>
          <w:szCs w:val="32"/>
        </w:rPr>
        <w:t>2023年度政府性基金预算财政拨款支出</w:t>
      </w:r>
      <w:r>
        <w:rPr>
          <w:rFonts w:hint="default" w:ascii="仿宋" w:hAnsi="仿宋" w:eastAsia="仿宋" w:cs="Times New Roman"/>
          <w:sz w:val="32"/>
          <w:szCs w:val="32"/>
        </w:rPr>
        <w:t>0</w:t>
      </w:r>
      <w:r>
        <w:rPr>
          <w:rFonts w:hint="eastAsia" w:ascii="仿宋" w:hAnsi="仿宋" w:eastAsia="仿宋" w:cs="Times New Roman"/>
          <w:sz w:val="32"/>
          <w:szCs w:val="32"/>
        </w:rPr>
        <w:t>万元。</w:t>
      </w:r>
    </w:p>
    <w:p>
      <w:pPr>
        <w:spacing w:line="600" w:lineRule="exact"/>
        <w:ind w:firstLine="640"/>
        <w:outlineLvl w:val="1"/>
        <w:rPr>
          <w:rFonts w:hint="eastAsia" w:ascii="黑体" w:hAnsi="Times New Roman" w:eastAsia="黑体" w:cs="Times New Roman"/>
          <w:sz w:val="32"/>
          <w:szCs w:val="32"/>
        </w:rPr>
      </w:pPr>
      <w:bookmarkStart w:id="63" w:name="_Toc15396611"/>
      <w:bookmarkStart w:id="64" w:name="_Toc15377219"/>
      <w:bookmarkStart w:id="65" w:name="_Toc21029"/>
      <w:r>
        <w:rPr>
          <w:rFonts w:hint="eastAsia" w:ascii="黑体" w:hAnsi="Times New Roman" w:eastAsia="黑体" w:cs="Times New Roman"/>
          <w:sz w:val="32"/>
          <w:szCs w:val="32"/>
          <w:lang w:val="en-US" w:eastAsia="zh-CN"/>
        </w:rPr>
        <w:t>九、</w:t>
      </w:r>
      <w:r>
        <w:rPr>
          <w:rFonts w:hint="eastAsia" w:ascii="黑体" w:hAnsi="Times New Roman" w:eastAsia="黑体" w:cs="Times New Roman"/>
          <w:sz w:val="32"/>
          <w:szCs w:val="32"/>
        </w:rPr>
        <w:t>国有资本经营预算支出决算情况说明</w:t>
      </w:r>
      <w:bookmarkEnd w:id="63"/>
      <w:bookmarkEnd w:id="64"/>
      <w:bookmarkEnd w:id="65"/>
    </w:p>
    <w:p>
      <w:pPr>
        <w:spacing w:line="600" w:lineRule="exact"/>
        <w:ind w:firstLine="640"/>
        <w:rPr>
          <w:rFonts w:hint="default" w:ascii="仿宋" w:hAnsi="仿宋" w:eastAsia="仿宋" w:cs="Times New Roman"/>
          <w:sz w:val="32"/>
          <w:szCs w:val="32"/>
        </w:rPr>
      </w:pPr>
      <w:r>
        <w:rPr>
          <w:rFonts w:hint="eastAsia" w:ascii="仿宋" w:hAnsi="仿宋" w:eastAsia="仿宋" w:cs="Times New Roman"/>
          <w:sz w:val="32"/>
          <w:szCs w:val="32"/>
        </w:rPr>
        <w:t>2023年度国有资本经营预算财政拨款支出</w:t>
      </w:r>
      <w:r>
        <w:rPr>
          <w:rFonts w:hint="default" w:ascii="仿宋" w:hAnsi="仿宋" w:eastAsia="仿宋" w:cs="Times New Roman"/>
          <w:sz w:val="32"/>
          <w:szCs w:val="32"/>
        </w:rPr>
        <w:t>0</w:t>
      </w:r>
      <w:r>
        <w:rPr>
          <w:rFonts w:hint="eastAsia" w:ascii="仿宋" w:hAnsi="仿宋" w:eastAsia="仿宋" w:cs="Times New Roman"/>
          <w:sz w:val="32"/>
          <w:szCs w:val="32"/>
        </w:rPr>
        <w:t>万元。</w:t>
      </w:r>
    </w:p>
    <w:p>
      <w:pPr>
        <w:spacing w:line="600" w:lineRule="exact"/>
        <w:ind w:firstLine="640"/>
        <w:outlineLvl w:val="1"/>
        <w:rPr>
          <w:rFonts w:hint="eastAsia" w:ascii="黑体" w:hAnsi="Times New Roman" w:eastAsia="黑体" w:cs="Times New Roman"/>
          <w:sz w:val="32"/>
          <w:szCs w:val="32"/>
        </w:rPr>
      </w:pPr>
      <w:bookmarkStart w:id="66" w:name="_Toc15396612"/>
      <w:bookmarkStart w:id="67" w:name="_Toc4968"/>
      <w:bookmarkStart w:id="68" w:name="_Toc15377221"/>
      <w:r>
        <w:rPr>
          <w:rFonts w:hint="eastAsia" w:ascii="黑体" w:hAnsi="Times New Roman" w:eastAsia="黑体" w:cs="Times New Roman"/>
          <w:sz w:val="32"/>
          <w:szCs w:val="32"/>
          <w:lang w:val="en-US" w:eastAsia="zh-CN"/>
        </w:rPr>
        <w:t>十、</w:t>
      </w:r>
      <w:r>
        <w:rPr>
          <w:rFonts w:hint="eastAsia" w:ascii="黑体" w:hAnsi="Times New Roman" w:eastAsia="黑体" w:cs="Times New Roman"/>
          <w:sz w:val="32"/>
          <w:szCs w:val="32"/>
        </w:rPr>
        <w:t>其他重要事项的情况说明</w:t>
      </w:r>
      <w:bookmarkEnd w:id="66"/>
      <w:bookmarkEnd w:id="67"/>
      <w:bookmarkEnd w:id="68"/>
    </w:p>
    <w:p>
      <w:pPr>
        <w:spacing w:line="600" w:lineRule="exact"/>
        <w:ind w:firstLine="640"/>
        <w:outlineLvl w:val="2"/>
        <w:rPr>
          <w:rFonts w:hint="eastAsia" w:ascii="方正楷体_GBK" w:hAnsi="方正楷体_GBK" w:eastAsia="方正楷体_GBK" w:cs="方正楷体_GBK"/>
          <w:b/>
          <w:sz w:val="32"/>
          <w:szCs w:val="32"/>
        </w:rPr>
      </w:pPr>
      <w:bookmarkStart w:id="69" w:name="_Toc22623"/>
      <w:bookmarkStart w:id="70" w:name="_Toc15377222"/>
      <w:r>
        <w:rPr>
          <w:rFonts w:hint="eastAsia" w:ascii="方正楷体_GBK" w:hAnsi="方正楷体_GBK" w:eastAsia="方正楷体_GBK" w:cs="方正楷体_GBK"/>
          <w:b/>
          <w:sz w:val="32"/>
          <w:szCs w:val="32"/>
        </w:rPr>
        <w:t>（一）机关运行经费支出情况</w:t>
      </w:r>
      <w:bookmarkEnd w:id="69"/>
      <w:bookmarkEnd w:id="70"/>
    </w:p>
    <w:p>
      <w:pPr>
        <w:spacing w:line="600" w:lineRule="exact"/>
        <w:ind w:firstLine="640"/>
        <w:rPr>
          <w:rFonts w:hint="default" w:ascii="仿宋" w:hAnsi="仿宋" w:eastAsia="仿宋" w:cs="Times New Roman"/>
          <w:sz w:val="32"/>
          <w:szCs w:val="32"/>
        </w:rPr>
      </w:pPr>
      <w:r>
        <w:rPr>
          <w:rFonts w:hint="eastAsia" w:ascii="仿宋" w:hAnsi="仿宋" w:eastAsia="仿宋" w:cs="Times New Roman"/>
          <w:sz w:val="32"/>
          <w:szCs w:val="32"/>
        </w:rPr>
        <w:t>2023年度，盐边县红十字会机关运行经费支出</w:t>
      </w:r>
      <w:r>
        <w:rPr>
          <w:rFonts w:hint="default" w:ascii="仿宋" w:hAnsi="仿宋" w:eastAsia="仿宋" w:cs="Times New Roman"/>
          <w:sz w:val="32"/>
          <w:szCs w:val="32"/>
        </w:rPr>
        <w:t>8.37</w:t>
      </w:r>
      <w:r>
        <w:rPr>
          <w:rFonts w:hint="eastAsia" w:ascii="仿宋" w:hAnsi="仿宋" w:eastAsia="仿宋" w:cs="Times New Roman"/>
          <w:sz w:val="32"/>
          <w:szCs w:val="32"/>
        </w:rPr>
        <w:t>万元，比2022年度增加8.37万元，增长100</w:t>
      </w:r>
      <w:r>
        <w:rPr>
          <w:rFonts w:hint="default" w:ascii="仿宋" w:hAnsi="仿宋" w:eastAsia="仿宋" w:cs="Times New Roman"/>
          <w:sz w:val="32"/>
          <w:szCs w:val="32"/>
        </w:rPr>
        <w:t>%</w:t>
      </w:r>
      <w:r>
        <w:rPr>
          <w:rFonts w:hint="eastAsia" w:ascii="仿宋" w:hAnsi="仿宋" w:eastAsia="仿宋" w:cs="Times New Roman"/>
          <w:sz w:val="32"/>
          <w:szCs w:val="32"/>
          <w:lang w:eastAsia="zh-CN"/>
        </w:rPr>
        <w:t>（</w:t>
      </w:r>
      <w:r>
        <w:rPr>
          <w:rFonts w:hint="eastAsia" w:ascii="仿宋" w:hAnsi="仿宋" w:eastAsia="仿宋" w:cs="Times New Roman"/>
          <w:sz w:val="32"/>
          <w:szCs w:val="32"/>
        </w:rPr>
        <w:t>主要原因是2023年才新独立纳入一级预算单位</w:t>
      </w:r>
      <w:r>
        <w:rPr>
          <w:rFonts w:hint="eastAsia" w:ascii="仿宋" w:hAnsi="仿宋" w:eastAsia="仿宋" w:cs="Times New Roman"/>
          <w:sz w:val="32"/>
          <w:szCs w:val="32"/>
          <w:lang w:eastAsia="zh-CN"/>
        </w:rPr>
        <w:t>）</w:t>
      </w:r>
      <w:r>
        <w:rPr>
          <w:rFonts w:hint="eastAsia" w:ascii="仿宋" w:hAnsi="仿宋" w:eastAsia="仿宋" w:cs="Times New Roman"/>
          <w:sz w:val="32"/>
          <w:szCs w:val="32"/>
        </w:rPr>
        <w:t>。</w:t>
      </w:r>
    </w:p>
    <w:p>
      <w:pPr>
        <w:spacing w:line="600" w:lineRule="exact"/>
        <w:ind w:firstLine="640"/>
        <w:outlineLvl w:val="2"/>
        <w:rPr>
          <w:rFonts w:hint="default" w:ascii="方正楷体_GBK" w:hAnsi="方正楷体_GBK" w:eastAsia="方正楷体_GBK" w:cs="方正楷体_GBK"/>
          <w:b/>
          <w:sz w:val="32"/>
          <w:szCs w:val="32"/>
        </w:rPr>
      </w:pPr>
      <w:bookmarkStart w:id="71" w:name="_Toc21801"/>
      <w:bookmarkStart w:id="72" w:name="_Toc15377223"/>
      <w:r>
        <w:rPr>
          <w:rFonts w:hint="eastAsia" w:ascii="方正楷体_GBK" w:hAnsi="方正楷体_GBK" w:eastAsia="方正楷体_GBK" w:cs="方正楷体_GBK"/>
          <w:b/>
          <w:sz w:val="32"/>
          <w:szCs w:val="32"/>
        </w:rPr>
        <w:t>（二）政府采购支出情况</w:t>
      </w:r>
      <w:bookmarkEnd w:id="71"/>
      <w:bookmarkEnd w:id="72"/>
    </w:p>
    <w:p>
      <w:pPr>
        <w:spacing w:line="600" w:lineRule="exact"/>
        <w:ind w:firstLine="640"/>
        <w:rPr>
          <w:rFonts w:hint="default" w:ascii="仿宋" w:hAnsi="仿宋" w:eastAsia="仿宋" w:cs="Times New Roman"/>
          <w:sz w:val="32"/>
          <w:szCs w:val="32"/>
        </w:rPr>
      </w:pPr>
      <w:r>
        <w:rPr>
          <w:rFonts w:hint="eastAsia" w:ascii="仿宋" w:hAnsi="仿宋" w:eastAsia="仿宋" w:cs="Times New Roman"/>
          <w:sz w:val="32"/>
          <w:szCs w:val="32"/>
        </w:rPr>
        <w:t>2023年度，盐边县红十字会政府采购支出总额</w:t>
      </w:r>
      <w:r>
        <w:rPr>
          <w:rFonts w:hint="default" w:ascii="仿宋" w:hAnsi="仿宋" w:eastAsia="仿宋" w:cs="Times New Roman"/>
          <w:sz w:val="32"/>
          <w:szCs w:val="32"/>
        </w:rPr>
        <w:t>2.9</w:t>
      </w:r>
      <w:r>
        <w:rPr>
          <w:rFonts w:hint="eastAsia" w:ascii="仿宋" w:hAnsi="仿宋" w:eastAsia="仿宋" w:cs="Times New Roman"/>
          <w:sz w:val="32"/>
          <w:szCs w:val="32"/>
        </w:rPr>
        <w:t>万元，其中：政府采购货物支出</w:t>
      </w:r>
      <w:r>
        <w:rPr>
          <w:rFonts w:hint="default" w:ascii="仿宋" w:hAnsi="仿宋" w:eastAsia="仿宋" w:cs="Times New Roman"/>
          <w:sz w:val="32"/>
          <w:szCs w:val="32"/>
        </w:rPr>
        <w:t>2.9</w:t>
      </w:r>
      <w:r>
        <w:rPr>
          <w:rFonts w:hint="eastAsia" w:ascii="仿宋" w:hAnsi="仿宋" w:eastAsia="仿宋" w:cs="Times New Roman"/>
          <w:sz w:val="32"/>
          <w:szCs w:val="32"/>
        </w:rPr>
        <w:t>万元、政府采购工程支出</w:t>
      </w:r>
      <w:r>
        <w:rPr>
          <w:rFonts w:hint="default" w:ascii="仿宋" w:hAnsi="仿宋" w:eastAsia="仿宋" w:cs="Times New Roman"/>
          <w:sz w:val="32"/>
          <w:szCs w:val="32"/>
        </w:rPr>
        <w:t>0</w:t>
      </w:r>
      <w:r>
        <w:rPr>
          <w:rFonts w:hint="eastAsia" w:ascii="仿宋" w:hAnsi="仿宋" w:eastAsia="仿宋" w:cs="Times New Roman"/>
          <w:sz w:val="32"/>
          <w:szCs w:val="32"/>
        </w:rPr>
        <w:t>万元、政府采购服务支出</w:t>
      </w:r>
      <w:r>
        <w:rPr>
          <w:rFonts w:hint="default" w:ascii="仿宋" w:hAnsi="仿宋" w:eastAsia="仿宋" w:cs="Times New Roman"/>
          <w:sz w:val="32"/>
          <w:szCs w:val="32"/>
        </w:rPr>
        <w:t>0</w:t>
      </w:r>
      <w:r>
        <w:rPr>
          <w:rFonts w:hint="eastAsia" w:ascii="仿宋" w:hAnsi="仿宋" w:eastAsia="仿宋" w:cs="Times New Roman"/>
          <w:sz w:val="32"/>
          <w:szCs w:val="32"/>
        </w:rPr>
        <w:t>万元。授予中小企业合同金额</w:t>
      </w:r>
      <w:r>
        <w:rPr>
          <w:rFonts w:hint="default" w:ascii="仿宋" w:hAnsi="仿宋" w:eastAsia="仿宋" w:cs="Times New Roman"/>
          <w:sz w:val="32"/>
          <w:szCs w:val="32"/>
        </w:rPr>
        <w:t>2.9</w:t>
      </w:r>
      <w:r>
        <w:rPr>
          <w:rFonts w:hint="eastAsia" w:ascii="仿宋" w:hAnsi="仿宋" w:eastAsia="仿宋" w:cs="Times New Roman"/>
          <w:sz w:val="32"/>
          <w:szCs w:val="32"/>
        </w:rPr>
        <w:t>万元，占政府采购支出总额的</w:t>
      </w:r>
      <w:r>
        <w:rPr>
          <w:rFonts w:hint="default" w:ascii="仿宋" w:hAnsi="仿宋" w:eastAsia="仿宋" w:cs="Times New Roman"/>
          <w:sz w:val="32"/>
          <w:szCs w:val="32"/>
        </w:rPr>
        <w:t>100%</w:t>
      </w:r>
      <w:r>
        <w:rPr>
          <w:rFonts w:hint="eastAsia" w:ascii="仿宋" w:hAnsi="仿宋" w:eastAsia="仿宋" w:cs="Times New Roman"/>
          <w:sz w:val="32"/>
          <w:szCs w:val="32"/>
        </w:rPr>
        <w:t>，其中：授予小微企业合同金额</w:t>
      </w:r>
      <w:r>
        <w:rPr>
          <w:rFonts w:hint="default" w:ascii="仿宋" w:hAnsi="仿宋" w:eastAsia="仿宋" w:cs="Times New Roman"/>
          <w:sz w:val="32"/>
          <w:szCs w:val="32"/>
        </w:rPr>
        <w:t>2.9</w:t>
      </w:r>
      <w:r>
        <w:rPr>
          <w:rFonts w:hint="eastAsia" w:ascii="仿宋" w:hAnsi="仿宋" w:eastAsia="仿宋" w:cs="Times New Roman"/>
          <w:sz w:val="32"/>
          <w:szCs w:val="32"/>
        </w:rPr>
        <w:t>万元，占政府采购支出总额的</w:t>
      </w:r>
      <w:r>
        <w:rPr>
          <w:rFonts w:hint="default" w:ascii="仿宋" w:hAnsi="仿宋" w:eastAsia="仿宋" w:cs="Times New Roman"/>
          <w:sz w:val="32"/>
          <w:szCs w:val="32"/>
        </w:rPr>
        <w:t>100%</w:t>
      </w:r>
      <w:r>
        <w:rPr>
          <w:rFonts w:hint="eastAsia" w:ascii="仿宋" w:hAnsi="仿宋" w:eastAsia="仿宋" w:cs="Times New Roman"/>
          <w:sz w:val="32"/>
          <w:szCs w:val="32"/>
        </w:rPr>
        <w:t>。</w:t>
      </w:r>
    </w:p>
    <w:p>
      <w:pPr>
        <w:spacing w:line="600" w:lineRule="exact"/>
        <w:ind w:firstLine="640"/>
        <w:outlineLvl w:val="2"/>
        <w:rPr>
          <w:rFonts w:hint="default" w:ascii="方正楷体_GBK" w:hAnsi="方正楷体_GBK" w:eastAsia="方正楷体_GBK" w:cs="方正楷体_GBK"/>
          <w:b/>
          <w:sz w:val="32"/>
          <w:szCs w:val="32"/>
        </w:rPr>
      </w:pPr>
      <w:bookmarkStart w:id="73" w:name="_Toc15377224"/>
      <w:bookmarkStart w:id="74" w:name="_Toc2545"/>
      <w:r>
        <w:rPr>
          <w:rFonts w:hint="eastAsia" w:ascii="方正楷体_GBK" w:hAnsi="方正楷体_GBK" w:eastAsia="方正楷体_GBK" w:cs="方正楷体_GBK"/>
          <w:b/>
          <w:sz w:val="32"/>
          <w:szCs w:val="32"/>
        </w:rPr>
        <w:t>（三）国有资产占有使用情况</w:t>
      </w:r>
      <w:bookmarkEnd w:id="73"/>
      <w:bookmarkEnd w:id="74"/>
    </w:p>
    <w:p>
      <w:pPr>
        <w:spacing w:line="600" w:lineRule="exact"/>
        <w:ind w:firstLine="640"/>
        <w:rPr>
          <w:rFonts w:hint="default" w:ascii="仿宋" w:hAnsi="仿宋" w:eastAsia="仿宋" w:cs="Times New Roman"/>
          <w:sz w:val="32"/>
          <w:szCs w:val="32"/>
        </w:rPr>
      </w:pPr>
      <w:r>
        <w:rPr>
          <w:rFonts w:hint="eastAsia" w:ascii="仿宋" w:hAnsi="仿宋" w:eastAsia="仿宋" w:cs="Times New Roman"/>
          <w:sz w:val="32"/>
          <w:szCs w:val="32"/>
        </w:rPr>
        <w:t>截至2023年</w:t>
      </w:r>
      <w:r>
        <w:rPr>
          <w:rFonts w:hint="default" w:ascii="仿宋" w:hAnsi="仿宋" w:eastAsia="仿宋" w:cs="Times New Roman"/>
          <w:sz w:val="32"/>
          <w:szCs w:val="32"/>
        </w:rPr>
        <w:t>12</w:t>
      </w:r>
      <w:r>
        <w:rPr>
          <w:rFonts w:hint="eastAsia" w:ascii="仿宋" w:hAnsi="仿宋" w:eastAsia="仿宋" w:cs="Times New Roman"/>
          <w:sz w:val="32"/>
          <w:szCs w:val="32"/>
        </w:rPr>
        <w:t>月</w:t>
      </w:r>
      <w:r>
        <w:rPr>
          <w:rFonts w:hint="default" w:ascii="仿宋" w:hAnsi="仿宋" w:eastAsia="仿宋" w:cs="Times New Roman"/>
          <w:sz w:val="32"/>
          <w:szCs w:val="32"/>
        </w:rPr>
        <w:t>31</w:t>
      </w:r>
      <w:r>
        <w:rPr>
          <w:rFonts w:hint="eastAsia" w:ascii="仿宋" w:hAnsi="仿宋" w:eastAsia="仿宋" w:cs="Times New Roman"/>
          <w:sz w:val="32"/>
          <w:szCs w:val="32"/>
        </w:rPr>
        <w:t>日，盐边县红十字会共有车辆</w:t>
      </w:r>
      <w:r>
        <w:rPr>
          <w:rFonts w:hint="default" w:ascii="仿宋" w:hAnsi="仿宋" w:eastAsia="仿宋" w:cs="Times New Roman"/>
          <w:sz w:val="32"/>
          <w:szCs w:val="32"/>
        </w:rPr>
        <w:t>0</w:t>
      </w:r>
      <w:r>
        <w:rPr>
          <w:rFonts w:hint="eastAsia" w:ascii="仿宋" w:hAnsi="仿宋" w:eastAsia="仿宋" w:cs="Times New Roman"/>
          <w:sz w:val="32"/>
          <w:szCs w:val="32"/>
        </w:rPr>
        <w:t>辆。单价</w:t>
      </w:r>
      <w:r>
        <w:rPr>
          <w:rFonts w:hint="default" w:ascii="仿宋" w:hAnsi="仿宋" w:eastAsia="仿宋" w:cs="Times New Roman"/>
          <w:sz w:val="32"/>
          <w:szCs w:val="32"/>
        </w:rPr>
        <w:t>100</w:t>
      </w:r>
      <w:r>
        <w:rPr>
          <w:rFonts w:hint="eastAsia" w:ascii="仿宋" w:hAnsi="仿宋" w:eastAsia="仿宋" w:cs="Times New Roman"/>
          <w:sz w:val="32"/>
          <w:szCs w:val="32"/>
        </w:rPr>
        <w:t>万元以上设备（不含车辆）</w:t>
      </w:r>
      <w:r>
        <w:rPr>
          <w:rFonts w:hint="default" w:ascii="仿宋" w:hAnsi="仿宋" w:eastAsia="仿宋" w:cs="Times New Roman"/>
          <w:sz w:val="32"/>
          <w:szCs w:val="32"/>
        </w:rPr>
        <w:t>0</w:t>
      </w:r>
      <w:r>
        <w:rPr>
          <w:rFonts w:hint="eastAsia" w:ascii="仿宋" w:hAnsi="仿宋" w:eastAsia="仿宋" w:cs="Times New Roman"/>
          <w:sz w:val="32"/>
          <w:szCs w:val="32"/>
        </w:rPr>
        <w:t>台（套）。</w:t>
      </w:r>
    </w:p>
    <w:p>
      <w:pPr>
        <w:spacing w:line="600" w:lineRule="exact"/>
        <w:ind w:firstLine="640"/>
        <w:outlineLvl w:val="2"/>
        <w:rPr>
          <w:rFonts w:hint="default" w:ascii="方正楷体_GBK" w:hAnsi="方正楷体_GBK" w:eastAsia="方正楷体_GBK" w:cs="方正楷体_GBK"/>
          <w:b/>
          <w:sz w:val="32"/>
          <w:szCs w:val="32"/>
        </w:rPr>
      </w:pPr>
      <w:bookmarkStart w:id="75" w:name="_Toc32660"/>
      <w:r>
        <w:rPr>
          <w:rFonts w:hint="eastAsia" w:ascii="方正楷体_GBK" w:hAnsi="方正楷体_GBK" w:eastAsia="方正楷体_GBK" w:cs="方正楷体_GBK"/>
          <w:b/>
          <w:sz w:val="32"/>
          <w:szCs w:val="32"/>
        </w:rPr>
        <w:t>（四）预算绩效管理情况</w:t>
      </w:r>
      <w:bookmarkEnd w:id="75"/>
    </w:p>
    <w:p>
      <w:pPr>
        <w:spacing w:line="600" w:lineRule="exact"/>
        <w:ind w:firstLine="640"/>
        <w:rPr>
          <w:rFonts w:hint="default" w:ascii="仿宋" w:hAnsi="仿宋" w:eastAsia="仿宋" w:cs="Times New Roman"/>
          <w:sz w:val="32"/>
          <w:szCs w:val="32"/>
        </w:rPr>
      </w:pPr>
      <w:r>
        <w:rPr>
          <w:rFonts w:hint="eastAsia" w:ascii="仿宋" w:hAnsi="仿宋" w:eastAsia="仿宋" w:cs="Times New Roman"/>
          <w:sz w:val="32"/>
          <w:szCs w:val="32"/>
        </w:rPr>
        <w:t>根据预算绩效管理要求，本部门在2023年度预算编制阶段，组织对红十字会能力建设、三救三献项目2个项目开展了预算事前绩效评估，对2个项目编制了绩效目标，预算执行过程中，选取2个项目开展绩效监控。</w:t>
      </w:r>
    </w:p>
    <w:p>
      <w:pPr>
        <w:spacing w:line="600" w:lineRule="exact"/>
        <w:ind w:firstLine="640"/>
        <w:rPr>
          <w:rFonts w:hint="default" w:ascii="仿宋" w:hAnsi="仿宋" w:eastAsia="仿宋" w:cs="Times New Roman"/>
          <w:sz w:val="32"/>
          <w:szCs w:val="32"/>
        </w:rPr>
      </w:pPr>
      <w:r>
        <w:rPr>
          <w:rFonts w:hint="eastAsia" w:ascii="仿宋" w:hAnsi="仿宋" w:eastAsia="仿宋" w:cs="Times New Roman"/>
          <w:sz w:val="32"/>
          <w:szCs w:val="32"/>
        </w:rPr>
        <w:t>组织对2023年度一般公共预算、政府性基金预算、国有资本经营预算等全面开展绩效自评，形成盐边县红十字会部门整体绩效自评报告、红十字会能力建设、三救三献等专项预算项目绩效自评报告，其中，盐边县红十字会部门整体绩效自评得分为100分，三救三献项目专项预算项目绩效自评得分为100分，绩效自评报告详见附件。</w:t>
      </w:r>
    </w:p>
    <w:p>
      <w:pPr>
        <w:pStyle w:val="14"/>
      </w:pPr>
    </w:p>
    <w:p>
      <w:r>
        <w:br w:type="page"/>
      </w:r>
    </w:p>
    <w:p>
      <w:pPr>
        <w:pStyle w:val="2"/>
        <w:spacing w:before="0" w:after="0" w:line="240" w:lineRule="auto"/>
        <w:jc w:val="center"/>
        <w:rPr>
          <w:rFonts w:hint="default" w:ascii="Times New Roman" w:hAnsi="Times New Roman" w:cs="Times New Roman"/>
        </w:rPr>
      </w:pPr>
      <w:bookmarkStart w:id="76" w:name="_Toc25192"/>
      <w:r>
        <w:rPr>
          <w:rFonts w:hint="eastAsia" w:ascii="Times New Roman" w:hAnsi="Times New Roman" w:cs="Times New Roman"/>
        </w:rPr>
        <w:t>第三部分 名词解释</w:t>
      </w:r>
      <w:bookmarkEnd w:id="76"/>
    </w:p>
    <w:p/>
    <w:p>
      <w:pPr>
        <w:ind w:firstLine="640" w:firstLineChars="200"/>
        <w:rPr>
          <w:rFonts w:hint="default" w:ascii="CESI仿宋-GB2312" w:hAnsi="CESI仿宋-GB2312" w:eastAsia="CESI仿宋-GB2312" w:cs="CESI仿宋-GB2312"/>
          <w:color w:val="auto"/>
          <w:sz w:val="32"/>
          <w:szCs w:val="32"/>
        </w:rPr>
      </w:pPr>
      <w:bookmarkStart w:id="77" w:name="_Toc12200"/>
      <w:r>
        <w:rPr>
          <w:rFonts w:hint="eastAsia" w:ascii="CESI仿宋-GB2312" w:hAnsi="CESI仿宋-GB2312" w:eastAsia="CESI仿宋-GB2312" w:cs="CESI仿宋-GB2312"/>
          <w:color w:val="auto"/>
          <w:sz w:val="32"/>
          <w:szCs w:val="32"/>
        </w:rPr>
        <w:t>1.财政拨款收入：指单位从同级财政部门取得的财政预算资金。</w:t>
      </w:r>
      <w:bookmarkEnd w:id="77"/>
    </w:p>
    <w:p>
      <w:pPr>
        <w:ind w:firstLine="640" w:firstLineChars="200"/>
        <w:rPr>
          <w:rFonts w:hint="default" w:ascii="CESI仿宋-GB2312" w:hAnsi="CESI仿宋-GB2312" w:eastAsia="CESI仿宋-GB2312" w:cs="CESI仿宋-GB2312"/>
          <w:color w:val="auto"/>
          <w:sz w:val="32"/>
          <w:szCs w:val="32"/>
        </w:rPr>
      </w:pPr>
      <w:r>
        <w:rPr>
          <w:rFonts w:hint="eastAsia" w:ascii="CESI仿宋-GB2312" w:hAnsi="CESI仿宋-GB2312" w:eastAsia="CESI仿宋-GB2312" w:cs="CESI仿宋-GB2312"/>
          <w:color w:val="auto"/>
          <w:sz w:val="32"/>
          <w:szCs w:val="32"/>
        </w:rPr>
        <w:t>2.事业收入：指事业单位开展专业业务活动及辅助活动取得的收入。</w:t>
      </w:r>
    </w:p>
    <w:p>
      <w:pPr>
        <w:ind w:firstLine="640" w:firstLineChars="200"/>
        <w:rPr>
          <w:rFonts w:hint="default" w:ascii="CESI仿宋-GB2312" w:hAnsi="CESI仿宋-GB2312" w:eastAsia="CESI仿宋-GB2312" w:cs="CESI仿宋-GB2312"/>
          <w:color w:val="auto"/>
          <w:sz w:val="32"/>
          <w:szCs w:val="32"/>
        </w:rPr>
      </w:pPr>
      <w:r>
        <w:rPr>
          <w:rFonts w:hint="eastAsia" w:ascii="CESI仿宋-GB2312" w:hAnsi="CESI仿宋-GB2312" w:eastAsia="CESI仿宋-GB2312" w:cs="CESI仿宋-GB2312"/>
          <w:color w:val="auto"/>
          <w:sz w:val="32"/>
          <w:szCs w:val="32"/>
        </w:rPr>
        <w:t>3.经营收入：指事业单位在专业业务活动及其辅助活动之外开展非独立核算经营活动取得的收入。</w:t>
      </w:r>
    </w:p>
    <w:p>
      <w:pPr>
        <w:ind w:firstLine="640" w:firstLineChars="200"/>
        <w:rPr>
          <w:rFonts w:hint="default" w:ascii="CESI仿宋-GB2312" w:hAnsi="CESI仿宋-GB2312" w:eastAsia="CESI仿宋-GB2312" w:cs="CESI仿宋-GB2312"/>
          <w:color w:val="auto"/>
          <w:sz w:val="32"/>
          <w:szCs w:val="32"/>
        </w:rPr>
      </w:pPr>
      <w:bookmarkStart w:id="78" w:name="_Toc25566"/>
      <w:r>
        <w:rPr>
          <w:rFonts w:hint="eastAsia" w:ascii="CESI仿宋-GB2312" w:hAnsi="CESI仿宋-GB2312" w:eastAsia="CESI仿宋-GB2312" w:cs="CESI仿宋-GB2312"/>
          <w:color w:val="auto"/>
          <w:sz w:val="32"/>
          <w:szCs w:val="32"/>
        </w:rPr>
        <w:t>4.其他收入：指单位取得的除上述收入以外的各项收入。</w:t>
      </w:r>
      <w:bookmarkEnd w:id="78"/>
      <w:r>
        <w:rPr>
          <w:rFonts w:hint="eastAsia" w:ascii="CESI仿宋-GB2312" w:hAnsi="CESI仿宋-GB2312" w:eastAsia="CESI仿宋-GB2312" w:cs="CESI仿宋-GB2312"/>
          <w:color w:val="auto"/>
          <w:sz w:val="32"/>
          <w:szCs w:val="32"/>
        </w:rPr>
        <w:t xml:space="preserve"> </w:t>
      </w:r>
    </w:p>
    <w:p>
      <w:pPr>
        <w:ind w:firstLine="640" w:firstLineChars="200"/>
        <w:rPr>
          <w:rFonts w:hint="default" w:ascii="CESI仿宋-GB2312" w:hAnsi="CESI仿宋-GB2312" w:eastAsia="CESI仿宋-GB2312" w:cs="CESI仿宋-GB2312"/>
          <w:color w:val="auto"/>
          <w:sz w:val="32"/>
          <w:szCs w:val="32"/>
        </w:rPr>
      </w:pPr>
      <w:r>
        <w:rPr>
          <w:rFonts w:hint="eastAsia" w:ascii="CESI仿宋-GB2312" w:hAnsi="CESI仿宋-GB2312" w:eastAsia="CESI仿宋-GB2312" w:cs="CESI仿宋-GB2312"/>
          <w:color w:val="auto"/>
          <w:sz w:val="32"/>
          <w:szCs w:val="32"/>
        </w:rPr>
        <w:t xml:space="preserve">5.使用非财政拨款结余（含专用结余）：指事业单位使用以前年度积累的非财政拨款结余弥补当年收支差额的金额。 </w:t>
      </w:r>
    </w:p>
    <w:p>
      <w:pPr>
        <w:ind w:firstLine="640" w:firstLineChars="200"/>
        <w:rPr>
          <w:rFonts w:hint="default" w:ascii="CESI仿宋-GB2312" w:hAnsi="CESI仿宋-GB2312" w:eastAsia="CESI仿宋-GB2312" w:cs="CESI仿宋-GB2312"/>
          <w:color w:val="auto"/>
          <w:sz w:val="32"/>
          <w:szCs w:val="32"/>
        </w:rPr>
      </w:pPr>
      <w:r>
        <w:rPr>
          <w:rFonts w:hint="eastAsia" w:ascii="CESI仿宋-GB2312" w:hAnsi="CESI仿宋-GB2312" w:eastAsia="CESI仿宋-GB2312" w:cs="CESI仿宋-GB2312"/>
          <w:color w:val="auto"/>
          <w:sz w:val="32"/>
          <w:szCs w:val="32"/>
        </w:rPr>
        <w:t xml:space="preserve">6.年初结转和结余：指以前年度尚未完成、结转到本年按有关规定继续使用的资金。 </w:t>
      </w:r>
    </w:p>
    <w:p>
      <w:pPr>
        <w:ind w:firstLine="640" w:firstLineChars="200"/>
        <w:rPr>
          <w:rFonts w:hint="default" w:ascii="CESI仿宋-GB2312" w:hAnsi="CESI仿宋-GB2312" w:eastAsia="CESI仿宋-GB2312" w:cs="CESI仿宋-GB2312"/>
          <w:color w:val="auto"/>
          <w:sz w:val="32"/>
          <w:szCs w:val="32"/>
        </w:rPr>
      </w:pPr>
      <w:r>
        <w:rPr>
          <w:rFonts w:hint="eastAsia" w:ascii="CESI仿宋-GB2312" w:hAnsi="CESI仿宋-GB2312" w:eastAsia="CESI仿宋-GB2312" w:cs="CESI仿宋-GB2312"/>
          <w:color w:val="auto"/>
          <w:sz w:val="32"/>
          <w:szCs w:val="32"/>
        </w:rPr>
        <w:t>7.结余分配：指事业单位按照会计制度规定缴纳的所得税、提取的专用结余以及转入非财政拨款结余的金额等。</w:t>
      </w:r>
    </w:p>
    <w:p>
      <w:pPr>
        <w:ind w:firstLine="640" w:firstLineChars="200"/>
        <w:rPr>
          <w:rFonts w:hint="default" w:ascii="CESI仿宋-GB2312" w:hAnsi="CESI仿宋-GB2312" w:eastAsia="CESI仿宋-GB2312" w:cs="CESI仿宋-GB2312"/>
          <w:color w:val="auto"/>
          <w:sz w:val="32"/>
          <w:szCs w:val="32"/>
        </w:rPr>
      </w:pPr>
      <w:r>
        <w:rPr>
          <w:rFonts w:hint="eastAsia" w:ascii="CESI仿宋-GB2312" w:hAnsi="CESI仿宋-GB2312" w:eastAsia="CESI仿宋-GB2312" w:cs="CESI仿宋-GB2312"/>
          <w:color w:val="auto"/>
          <w:sz w:val="32"/>
          <w:szCs w:val="32"/>
        </w:rPr>
        <w:t>8.年末结转和结余：指单位按有关规定结转到下年或以后年度继续使用的资金。</w:t>
      </w:r>
    </w:p>
    <w:p>
      <w:pPr>
        <w:ind w:firstLine="640" w:firstLineChars="200"/>
        <w:rPr>
          <w:rFonts w:hint="default" w:ascii="CESI仿宋-GB2312" w:hAnsi="CESI仿宋-GB2312" w:eastAsia="CESI仿宋-GB2312" w:cs="CESI仿宋-GB2312"/>
          <w:color w:val="auto"/>
          <w:sz w:val="32"/>
          <w:szCs w:val="32"/>
        </w:rPr>
      </w:pPr>
      <w:r>
        <w:rPr>
          <w:rFonts w:hint="eastAsia" w:ascii="CESI仿宋-GB2312" w:hAnsi="CESI仿宋-GB2312" w:eastAsia="CESI仿宋-GB2312" w:cs="CESI仿宋-GB2312"/>
          <w:color w:val="auto"/>
          <w:sz w:val="32"/>
          <w:szCs w:val="32"/>
        </w:rPr>
        <w:t>9.社会保障和就业（类）行政事业单位养老支出（款）机关事业单位基本养老保险缴费支出（项）：指反映机关事业单位实施养老保险制度由单位缴纳的基本养老保险支出。</w:t>
      </w:r>
    </w:p>
    <w:p>
      <w:pPr>
        <w:ind w:firstLine="640" w:firstLineChars="200"/>
        <w:rPr>
          <w:rFonts w:hint="default" w:ascii="CESI仿宋-GB2312" w:hAnsi="CESI仿宋-GB2312" w:eastAsia="CESI仿宋-GB2312" w:cs="CESI仿宋-GB2312"/>
          <w:color w:val="auto"/>
          <w:sz w:val="32"/>
          <w:szCs w:val="32"/>
        </w:rPr>
      </w:pPr>
      <w:r>
        <w:rPr>
          <w:rFonts w:hint="eastAsia" w:ascii="CESI仿宋-GB2312" w:hAnsi="CESI仿宋-GB2312" w:eastAsia="CESI仿宋-GB2312" w:cs="CESI仿宋-GB2312"/>
          <w:color w:val="auto"/>
          <w:sz w:val="32"/>
          <w:szCs w:val="32"/>
        </w:rPr>
        <w:t>10.社会保障和就业（类）红十字事业（款）行政运行（项）</w:t>
      </w:r>
      <w:r>
        <w:rPr>
          <w:rFonts w:hint="eastAsia" w:ascii="CESI仿宋-GB2312" w:hAnsi="CESI仿宋-GB2312" w:eastAsia="CESI仿宋-GB2312" w:cs="CESI仿宋-GB2312"/>
          <w:color w:val="auto"/>
          <w:sz w:val="32"/>
          <w:szCs w:val="32"/>
          <w:lang w:eastAsia="zh-CN"/>
        </w:rPr>
        <w:t>：</w:t>
      </w:r>
      <w:r>
        <w:rPr>
          <w:rFonts w:hint="eastAsia" w:ascii="CESI仿宋-GB2312" w:hAnsi="CESI仿宋-GB2312" w:eastAsia="CESI仿宋-GB2312" w:cs="CESI仿宋-GB2312"/>
          <w:color w:val="auto"/>
          <w:sz w:val="32"/>
          <w:szCs w:val="32"/>
        </w:rPr>
        <w:t>反映行政单位（包括实行公务员管理的事业单位）的基本支出。</w:t>
      </w:r>
    </w:p>
    <w:p>
      <w:pPr>
        <w:ind w:firstLine="640" w:firstLineChars="200"/>
        <w:rPr>
          <w:rFonts w:hint="default" w:ascii="CESI仿宋-GB2312" w:hAnsi="CESI仿宋-GB2312" w:eastAsia="CESI仿宋-GB2312" w:cs="CESI仿宋-GB2312"/>
          <w:color w:val="auto"/>
          <w:sz w:val="32"/>
          <w:szCs w:val="32"/>
        </w:rPr>
      </w:pPr>
      <w:r>
        <w:rPr>
          <w:rFonts w:hint="eastAsia" w:ascii="CESI仿宋-GB2312" w:hAnsi="CESI仿宋-GB2312" w:eastAsia="CESI仿宋-GB2312" w:cs="CESI仿宋-GB2312"/>
          <w:color w:val="auto"/>
          <w:sz w:val="32"/>
          <w:szCs w:val="32"/>
        </w:rPr>
        <w:t>11</w:t>
      </w:r>
      <w:r>
        <w:rPr>
          <w:rFonts w:hint="default" w:ascii="CESI仿宋-GB2312" w:hAnsi="CESI仿宋-GB2312" w:eastAsia="CESI仿宋-GB2312" w:cs="CESI仿宋-GB2312"/>
          <w:color w:val="auto"/>
          <w:sz w:val="32"/>
          <w:szCs w:val="32"/>
        </w:rPr>
        <w:t>.</w:t>
      </w:r>
      <w:r>
        <w:rPr>
          <w:rFonts w:hint="eastAsia" w:ascii="CESI仿宋-GB2312" w:hAnsi="CESI仿宋-GB2312" w:eastAsia="CESI仿宋-GB2312" w:cs="CESI仿宋-GB2312"/>
          <w:color w:val="auto"/>
          <w:sz w:val="32"/>
          <w:szCs w:val="32"/>
        </w:rPr>
        <w:t>社会保障和就业（类）红十字事业（款）其他红十字事业支出（项）</w:t>
      </w:r>
      <w:r>
        <w:rPr>
          <w:rFonts w:hint="eastAsia" w:ascii="CESI仿宋-GB2312" w:hAnsi="CESI仿宋-GB2312" w:eastAsia="CESI仿宋-GB2312" w:cs="CESI仿宋-GB2312"/>
          <w:color w:val="auto"/>
          <w:sz w:val="32"/>
          <w:szCs w:val="32"/>
          <w:lang w:eastAsia="zh-CN"/>
        </w:rPr>
        <w:t>：</w:t>
      </w:r>
      <w:r>
        <w:rPr>
          <w:rFonts w:hint="eastAsia" w:ascii="CESI仿宋-GB2312" w:hAnsi="CESI仿宋-GB2312" w:eastAsia="CESI仿宋-GB2312" w:cs="CESI仿宋-GB2312"/>
          <w:color w:val="auto"/>
          <w:sz w:val="32"/>
          <w:szCs w:val="32"/>
        </w:rPr>
        <w:t>反映除上述项目以外其他用于红十字会事业</w:t>
      </w:r>
      <w:r>
        <w:rPr>
          <w:rFonts w:hint="eastAsia" w:ascii="CESI仿宋-GB2312" w:hAnsi="CESI仿宋-GB2312" w:eastAsia="CESI仿宋-GB2312" w:cs="CESI仿宋-GB2312"/>
          <w:color w:val="auto"/>
          <w:sz w:val="32"/>
          <w:szCs w:val="32"/>
          <w:lang w:val="en-US" w:eastAsia="zh-CN"/>
        </w:rPr>
        <w:t>方</w:t>
      </w:r>
      <w:r>
        <w:rPr>
          <w:rFonts w:hint="eastAsia" w:ascii="CESI仿宋-GB2312" w:hAnsi="CESI仿宋-GB2312" w:eastAsia="CESI仿宋-GB2312" w:cs="CESI仿宋-GB2312"/>
          <w:color w:val="auto"/>
          <w:sz w:val="32"/>
          <w:szCs w:val="32"/>
        </w:rPr>
        <w:t>面的支出。</w:t>
      </w:r>
    </w:p>
    <w:p>
      <w:pPr>
        <w:ind w:firstLine="640" w:firstLineChars="200"/>
        <w:rPr>
          <w:rFonts w:hint="default" w:ascii="CESI仿宋-GB2312" w:hAnsi="CESI仿宋-GB2312" w:eastAsia="CESI仿宋-GB2312" w:cs="CESI仿宋-GB2312"/>
          <w:color w:val="auto"/>
          <w:sz w:val="32"/>
          <w:szCs w:val="32"/>
        </w:rPr>
      </w:pPr>
      <w:r>
        <w:rPr>
          <w:rFonts w:hint="eastAsia" w:ascii="CESI仿宋-GB2312" w:hAnsi="CESI仿宋-GB2312" w:eastAsia="CESI仿宋-GB2312" w:cs="CESI仿宋-GB2312"/>
          <w:color w:val="auto"/>
          <w:sz w:val="32"/>
          <w:szCs w:val="32"/>
        </w:rPr>
        <w:t>12.卫生健康支出（类）行政事业单位医疗（款）行政单位医疗（项）</w:t>
      </w:r>
      <w:r>
        <w:rPr>
          <w:rFonts w:hint="eastAsia" w:ascii="CESI仿宋-GB2312" w:hAnsi="CESI仿宋-GB2312" w:eastAsia="CESI仿宋-GB2312" w:cs="CESI仿宋-GB2312"/>
          <w:color w:val="auto"/>
          <w:sz w:val="32"/>
          <w:szCs w:val="32"/>
          <w:lang w:eastAsia="zh-CN"/>
        </w:rPr>
        <w:t>：</w:t>
      </w:r>
      <w:r>
        <w:rPr>
          <w:rFonts w:hint="eastAsia" w:ascii="CESI仿宋-GB2312" w:hAnsi="CESI仿宋-GB2312" w:eastAsia="CESI仿宋-GB2312" w:cs="CESI仿宋-GB2312"/>
          <w:color w:val="auto"/>
          <w:sz w:val="32"/>
          <w:szCs w:val="32"/>
        </w:rPr>
        <w:t>反映财政部门安排的行政单位</w:t>
      </w:r>
      <w:r>
        <w:rPr>
          <w:rFonts w:hint="eastAsia" w:ascii="CESI仿宋-GB2312" w:hAnsi="CESI仿宋-GB2312" w:eastAsia="CESI仿宋-GB2312" w:cs="CESI仿宋-GB2312"/>
          <w:color w:val="auto"/>
          <w:sz w:val="32"/>
          <w:szCs w:val="32"/>
          <w:lang w:eastAsia="zh-CN"/>
        </w:rPr>
        <w:t>（</w:t>
      </w:r>
      <w:r>
        <w:rPr>
          <w:rFonts w:hint="eastAsia" w:ascii="CESI仿宋-GB2312" w:hAnsi="CESI仿宋-GB2312" w:eastAsia="CESI仿宋-GB2312" w:cs="CESI仿宋-GB2312"/>
          <w:color w:val="auto"/>
          <w:sz w:val="32"/>
          <w:szCs w:val="32"/>
        </w:rPr>
        <w:t>包括实行公务员管理的事业单位，下同</w:t>
      </w:r>
      <w:r>
        <w:rPr>
          <w:rFonts w:hint="eastAsia" w:ascii="CESI仿宋-GB2312" w:hAnsi="CESI仿宋-GB2312" w:eastAsia="CESI仿宋-GB2312" w:cs="CESI仿宋-GB2312"/>
          <w:color w:val="auto"/>
          <w:sz w:val="32"/>
          <w:szCs w:val="32"/>
          <w:lang w:eastAsia="zh-CN"/>
        </w:rPr>
        <w:t>）</w:t>
      </w:r>
      <w:r>
        <w:rPr>
          <w:rFonts w:hint="eastAsia" w:ascii="CESI仿宋-GB2312" w:hAnsi="CESI仿宋-GB2312" w:eastAsia="CESI仿宋-GB2312" w:cs="CESI仿宋-GB2312"/>
          <w:color w:val="auto"/>
          <w:sz w:val="32"/>
          <w:szCs w:val="32"/>
        </w:rPr>
        <w:t>基本医疗保险缴费经费，</w:t>
      </w:r>
      <w:r>
        <w:rPr>
          <w:rFonts w:hint="eastAsia" w:ascii="CESI仿宋-GB2312" w:hAnsi="CESI仿宋-GB2312" w:eastAsia="CESI仿宋-GB2312" w:cs="CESI仿宋-GB2312"/>
          <w:color w:val="auto"/>
          <w:sz w:val="32"/>
          <w:szCs w:val="32"/>
          <w:lang w:eastAsia="zh-CN"/>
        </w:rPr>
        <w:t>未</w:t>
      </w:r>
      <w:r>
        <w:rPr>
          <w:rFonts w:hint="eastAsia" w:ascii="CESI仿宋-GB2312" w:hAnsi="CESI仿宋-GB2312" w:eastAsia="CESI仿宋-GB2312" w:cs="CESI仿宋-GB2312"/>
          <w:color w:val="auto"/>
          <w:sz w:val="32"/>
          <w:szCs w:val="32"/>
        </w:rPr>
        <w:t>参加医疗保险的行政单位的公费医疗经费，按国家规定享受离休人员、红军老战士待遇人员的</w:t>
      </w:r>
      <w:r>
        <w:rPr>
          <w:rFonts w:hint="eastAsia" w:ascii="CESI仿宋-GB2312" w:hAnsi="CESI仿宋-GB2312" w:eastAsia="CESI仿宋-GB2312" w:cs="CESI仿宋-GB2312"/>
          <w:color w:val="auto"/>
          <w:sz w:val="32"/>
          <w:szCs w:val="32"/>
          <w:lang w:eastAsia="zh-CN"/>
        </w:rPr>
        <w:t>医疗</w:t>
      </w:r>
      <w:r>
        <w:rPr>
          <w:rFonts w:hint="eastAsia" w:ascii="CESI仿宋-GB2312" w:hAnsi="CESI仿宋-GB2312" w:eastAsia="CESI仿宋-GB2312" w:cs="CESI仿宋-GB2312"/>
          <w:color w:val="auto"/>
          <w:sz w:val="32"/>
          <w:szCs w:val="32"/>
        </w:rPr>
        <w:t>经费。</w:t>
      </w:r>
    </w:p>
    <w:p>
      <w:pPr>
        <w:ind w:firstLine="640" w:firstLineChars="200"/>
        <w:rPr>
          <w:rFonts w:hint="default" w:ascii="CESI仿宋-GB2312" w:hAnsi="CESI仿宋-GB2312" w:eastAsia="CESI仿宋-GB2312" w:cs="CESI仿宋-GB2312"/>
          <w:color w:val="auto"/>
          <w:sz w:val="32"/>
          <w:szCs w:val="32"/>
        </w:rPr>
      </w:pPr>
      <w:r>
        <w:rPr>
          <w:rFonts w:hint="eastAsia" w:ascii="CESI仿宋-GB2312" w:hAnsi="CESI仿宋-GB2312" w:eastAsia="CESI仿宋-GB2312" w:cs="CESI仿宋-GB2312"/>
          <w:color w:val="auto"/>
          <w:sz w:val="32"/>
          <w:szCs w:val="32"/>
        </w:rPr>
        <w:t>13</w:t>
      </w:r>
      <w:r>
        <w:rPr>
          <w:rFonts w:hint="default" w:ascii="CESI仿宋-GB2312" w:hAnsi="CESI仿宋-GB2312" w:eastAsia="CESI仿宋-GB2312" w:cs="CESI仿宋-GB2312"/>
          <w:color w:val="auto"/>
          <w:sz w:val="32"/>
          <w:szCs w:val="32"/>
        </w:rPr>
        <w:t>.</w:t>
      </w:r>
      <w:r>
        <w:rPr>
          <w:rFonts w:hint="eastAsia" w:ascii="CESI仿宋-GB2312" w:hAnsi="CESI仿宋-GB2312" w:eastAsia="CESI仿宋-GB2312" w:cs="CESI仿宋-GB2312"/>
          <w:color w:val="auto"/>
          <w:sz w:val="32"/>
          <w:szCs w:val="32"/>
        </w:rPr>
        <w:t>卫生健康（类）行政事业单位医疗（款）公务员医疗补助（项）</w:t>
      </w:r>
      <w:r>
        <w:rPr>
          <w:rFonts w:hint="eastAsia" w:ascii="CESI仿宋-GB2312" w:hAnsi="CESI仿宋-GB2312" w:eastAsia="CESI仿宋-GB2312" w:cs="CESI仿宋-GB2312"/>
          <w:color w:val="auto"/>
          <w:sz w:val="32"/>
          <w:szCs w:val="32"/>
          <w:lang w:eastAsia="zh-CN"/>
        </w:rPr>
        <w:t>：</w:t>
      </w:r>
      <w:r>
        <w:rPr>
          <w:rFonts w:hint="eastAsia" w:ascii="CESI仿宋-GB2312" w:hAnsi="CESI仿宋-GB2312" w:eastAsia="CESI仿宋-GB2312" w:cs="CESI仿宋-GB2312"/>
          <w:color w:val="auto"/>
          <w:sz w:val="32"/>
          <w:szCs w:val="32"/>
        </w:rPr>
        <w:t>反映财政部门安排的公务员医疗补助经费。</w:t>
      </w:r>
    </w:p>
    <w:p>
      <w:pPr>
        <w:ind w:firstLine="640" w:firstLineChars="200"/>
        <w:rPr>
          <w:rFonts w:hint="default" w:ascii="CESI仿宋-GB2312" w:hAnsi="CESI仿宋-GB2312" w:eastAsia="CESI仿宋-GB2312" w:cs="CESI仿宋-GB2312"/>
          <w:color w:val="auto"/>
          <w:sz w:val="32"/>
          <w:szCs w:val="32"/>
        </w:rPr>
      </w:pPr>
      <w:r>
        <w:rPr>
          <w:rFonts w:hint="eastAsia" w:ascii="CESI仿宋-GB2312" w:hAnsi="CESI仿宋-GB2312" w:eastAsia="CESI仿宋-GB2312" w:cs="CESI仿宋-GB2312"/>
          <w:color w:val="auto"/>
          <w:sz w:val="32"/>
          <w:szCs w:val="32"/>
        </w:rPr>
        <w:t>14</w:t>
      </w:r>
      <w:r>
        <w:rPr>
          <w:rFonts w:hint="default" w:ascii="CESI仿宋-GB2312" w:hAnsi="CESI仿宋-GB2312" w:eastAsia="CESI仿宋-GB2312" w:cs="CESI仿宋-GB2312"/>
          <w:color w:val="auto"/>
          <w:sz w:val="32"/>
          <w:szCs w:val="32"/>
        </w:rPr>
        <w:t>.</w:t>
      </w:r>
      <w:r>
        <w:rPr>
          <w:rFonts w:hint="eastAsia" w:ascii="CESI仿宋-GB2312" w:hAnsi="CESI仿宋-GB2312" w:eastAsia="CESI仿宋-GB2312" w:cs="CESI仿宋-GB2312"/>
          <w:color w:val="auto"/>
          <w:sz w:val="32"/>
          <w:szCs w:val="32"/>
        </w:rPr>
        <w:t>卫生健康（类）行政事业单位医疗（款）其他行政事业单位医疗支出（项）</w:t>
      </w:r>
      <w:r>
        <w:rPr>
          <w:rFonts w:hint="eastAsia" w:ascii="CESI仿宋-GB2312" w:hAnsi="CESI仿宋-GB2312" w:eastAsia="CESI仿宋-GB2312" w:cs="CESI仿宋-GB2312"/>
          <w:color w:val="auto"/>
          <w:sz w:val="32"/>
          <w:szCs w:val="32"/>
          <w:lang w:eastAsia="zh-CN"/>
        </w:rPr>
        <w:t>：</w:t>
      </w:r>
      <w:r>
        <w:rPr>
          <w:rFonts w:hint="eastAsia" w:ascii="CESI仿宋-GB2312" w:hAnsi="CESI仿宋-GB2312" w:eastAsia="CESI仿宋-GB2312" w:cs="CESI仿宋-GB2312"/>
          <w:color w:val="auto"/>
          <w:sz w:val="32"/>
          <w:szCs w:val="32"/>
        </w:rPr>
        <w:t>反映除上述项目以外的其他用于行政事业单位医疗方面的支出。</w:t>
      </w:r>
    </w:p>
    <w:p>
      <w:pPr>
        <w:ind w:firstLine="640" w:firstLineChars="200"/>
        <w:rPr>
          <w:rFonts w:hint="default" w:ascii="CESI仿宋-GB2312" w:hAnsi="CESI仿宋-GB2312" w:eastAsia="CESI仿宋-GB2312" w:cs="CESI仿宋-GB2312"/>
          <w:color w:val="auto"/>
          <w:sz w:val="32"/>
          <w:szCs w:val="32"/>
        </w:rPr>
      </w:pPr>
      <w:r>
        <w:rPr>
          <w:rFonts w:hint="eastAsia" w:ascii="CESI仿宋-GB2312" w:hAnsi="CESI仿宋-GB2312" w:eastAsia="CESI仿宋-GB2312" w:cs="CESI仿宋-GB2312"/>
          <w:color w:val="auto"/>
          <w:sz w:val="32"/>
          <w:szCs w:val="32"/>
        </w:rPr>
        <w:t>15.住房保障（类）住房改革支出（款）住房公积金（项）</w:t>
      </w:r>
      <w:r>
        <w:rPr>
          <w:rFonts w:hint="eastAsia" w:ascii="CESI仿宋-GB2312" w:hAnsi="CESI仿宋-GB2312" w:eastAsia="CESI仿宋-GB2312" w:cs="CESI仿宋-GB2312"/>
          <w:color w:val="auto"/>
          <w:sz w:val="32"/>
          <w:szCs w:val="32"/>
          <w:lang w:eastAsia="zh-CN"/>
        </w:rPr>
        <w:t>：</w:t>
      </w:r>
      <w:r>
        <w:rPr>
          <w:rFonts w:hint="default" w:ascii="CESI仿宋-GB2312" w:hAnsi="CESI仿宋-GB2312" w:eastAsia="CESI仿宋-GB2312" w:cs="CESI仿宋-GB2312"/>
          <w:color w:val="auto"/>
          <w:sz w:val="32"/>
          <w:szCs w:val="32"/>
        </w:rPr>
        <w:t xml:space="preserve"> </w:t>
      </w:r>
      <w:r>
        <w:rPr>
          <w:rFonts w:hint="eastAsia" w:ascii="CESI仿宋-GB2312" w:hAnsi="CESI仿宋-GB2312" w:eastAsia="CESI仿宋-GB2312" w:cs="CESI仿宋-GB2312"/>
          <w:color w:val="auto"/>
          <w:sz w:val="32"/>
          <w:szCs w:val="32"/>
        </w:rPr>
        <w:t>反映行政事业单位按人力资源和社会保障部、财政部规定的基本工资和津贴补贴以及规定比例为职工缴纳的住房公积金。</w:t>
      </w:r>
    </w:p>
    <w:p>
      <w:pPr>
        <w:ind w:firstLine="640" w:firstLineChars="200"/>
        <w:rPr>
          <w:rFonts w:hint="default" w:ascii="CESI仿宋-GB2312" w:hAnsi="CESI仿宋-GB2312" w:eastAsia="CESI仿宋-GB2312" w:cs="CESI仿宋-GB2312"/>
          <w:color w:val="auto"/>
          <w:sz w:val="32"/>
          <w:szCs w:val="32"/>
        </w:rPr>
      </w:pPr>
      <w:r>
        <w:rPr>
          <w:rFonts w:hint="eastAsia" w:ascii="CESI仿宋-GB2312" w:hAnsi="CESI仿宋-GB2312" w:eastAsia="CESI仿宋-GB2312" w:cs="CESI仿宋-GB2312"/>
          <w:color w:val="auto"/>
          <w:sz w:val="32"/>
          <w:szCs w:val="32"/>
        </w:rPr>
        <w:t>16.基本支出：指为保障机构正常运转、完成日常工作任务而发生的人员支出和公用支出。</w:t>
      </w:r>
    </w:p>
    <w:p>
      <w:pPr>
        <w:ind w:firstLine="640" w:firstLineChars="200"/>
        <w:rPr>
          <w:rFonts w:hint="default" w:ascii="CESI仿宋-GB2312" w:hAnsi="CESI仿宋-GB2312" w:eastAsia="CESI仿宋-GB2312" w:cs="CESI仿宋-GB2312"/>
          <w:color w:val="auto"/>
          <w:sz w:val="32"/>
          <w:szCs w:val="32"/>
        </w:rPr>
      </w:pPr>
      <w:r>
        <w:rPr>
          <w:rFonts w:hint="eastAsia" w:ascii="CESI仿宋-GB2312" w:hAnsi="CESI仿宋-GB2312" w:eastAsia="CESI仿宋-GB2312" w:cs="CESI仿宋-GB2312"/>
          <w:color w:val="auto"/>
          <w:sz w:val="32"/>
          <w:szCs w:val="32"/>
        </w:rPr>
        <w:t xml:space="preserve">17.项目支出：指在基本支出之外为完成特定行政任务和事业发展目标所发生的支出。 </w:t>
      </w:r>
    </w:p>
    <w:p>
      <w:pPr>
        <w:ind w:firstLine="640" w:firstLineChars="200"/>
        <w:rPr>
          <w:rFonts w:hint="default" w:ascii="CESI仿宋-GB2312" w:hAnsi="CESI仿宋-GB2312" w:eastAsia="CESI仿宋-GB2312" w:cs="CESI仿宋-GB2312"/>
          <w:color w:val="auto"/>
          <w:sz w:val="32"/>
          <w:szCs w:val="32"/>
        </w:rPr>
      </w:pPr>
      <w:r>
        <w:rPr>
          <w:rFonts w:hint="eastAsia" w:ascii="CESI仿宋-GB2312" w:hAnsi="CESI仿宋-GB2312" w:eastAsia="CESI仿宋-GB2312" w:cs="CESI仿宋-GB2312"/>
          <w:color w:val="auto"/>
          <w:sz w:val="32"/>
          <w:szCs w:val="32"/>
        </w:rPr>
        <w:t>18.经营支出：指事业单位在专业业务活动及其辅助活动之外开展非独立核算经营活动发生的支出。</w:t>
      </w:r>
    </w:p>
    <w:p>
      <w:pPr>
        <w:ind w:firstLine="640" w:firstLineChars="200"/>
        <w:rPr>
          <w:rFonts w:hint="default" w:ascii="CESI仿宋-GB2312" w:hAnsi="CESI仿宋-GB2312" w:eastAsia="CESI仿宋-GB2312" w:cs="CESI仿宋-GB2312"/>
          <w:color w:val="auto"/>
          <w:sz w:val="32"/>
          <w:szCs w:val="32"/>
        </w:rPr>
      </w:pPr>
      <w:r>
        <w:rPr>
          <w:rFonts w:hint="eastAsia" w:ascii="CESI仿宋-GB2312" w:hAnsi="CESI仿宋-GB2312" w:eastAsia="CESI仿宋-GB2312" w:cs="CESI仿宋-GB2312"/>
          <w:color w:val="auto"/>
          <w:sz w:val="32"/>
          <w:szCs w:val="32"/>
        </w:rPr>
        <w:t>19.“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ind w:firstLine="640" w:firstLineChars="200"/>
        <w:rPr>
          <w:rFonts w:hint="default" w:ascii="CESI仿宋-GB2312" w:hAnsi="CESI仿宋-GB2312" w:eastAsia="CESI仿宋-GB2312" w:cs="CESI仿宋-GB2312"/>
          <w:color w:val="auto"/>
          <w:sz w:val="32"/>
          <w:szCs w:val="32"/>
        </w:rPr>
      </w:pPr>
      <w:r>
        <w:rPr>
          <w:rFonts w:hint="eastAsia" w:ascii="CESI仿宋-GB2312" w:hAnsi="CESI仿宋-GB2312" w:eastAsia="CESI仿宋-GB2312" w:cs="CESI仿宋-GB2312"/>
          <w:color w:val="auto"/>
          <w:sz w:val="32"/>
          <w:szCs w:val="32"/>
        </w:rPr>
        <w:t>20.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ind w:firstLine="640" w:firstLineChars="200"/>
        <w:rPr>
          <w:rFonts w:hint="eastAsia" w:ascii="CESI仿宋-GB2312" w:hAnsi="CESI仿宋-GB2312" w:eastAsia="CESI仿宋-GB2312" w:cs="CESI仿宋-GB2312"/>
          <w:color w:val="auto"/>
          <w:sz w:val="32"/>
          <w:szCs w:val="32"/>
        </w:rPr>
      </w:pPr>
      <w:r>
        <w:rPr>
          <w:rFonts w:hint="eastAsia" w:ascii="CESI仿宋-GB2312" w:hAnsi="CESI仿宋-GB2312" w:eastAsia="CESI仿宋-GB2312" w:cs="CESI仿宋-GB2312"/>
          <w:color w:val="auto"/>
          <w:sz w:val="32"/>
          <w:szCs w:val="32"/>
        </w:rPr>
        <w:br w:type="page"/>
      </w:r>
    </w:p>
    <w:p>
      <w:pPr>
        <w:spacing w:line="600" w:lineRule="exact"/>
        <w:jc w:val="center"/>
        <w:outlineLvl w:val="0"/>
        <w:rPr>
          <w:rFonts w:hint="default" w:ascii="黑体" w:hAnsi="黑体" w:eastAsia="黑体" w:cs="Times New Roman"/>
          <w:sz w:val="44"/>
          <w:szCs w:val="44"/>
        </w:rPr>
      </w:pPr>
      <w:bookmarkStart w:id="79" w:name="_Toc15303"/>
      <w:r>
        <w:rPr>
          <w:rFonts w:hint="eastAsia" w:ascii="黑体" w:hAnsi="黑体" w:eastAsia="黑体" w:cs="Times New Roman"/>
          <w:sz w:val="44"/>
          <w:szCs w:val="44"/>
        </w:rPr>
        <w:t>第四部分 附件</w:t>
      </w:r>
      <w:bookmarkEnd w:id="79"/>
    </w:p>
    <w:p>
      <w:pPr>
        <w:spacing w:line="572" w:lineRule="exact"/>
        <w:jc w:val="left"/>
        <w:outlineLvl w:val="0"/>
        <w:rPr>
          <w:rFonts w:hint="eastAsia" w:ascii="黑体" w:hAnsi="黑体" w:eastAsia="黑体" w:cs="黑体"/>
          <w:sz w:val="32"/>
          <w:szCs w:val="32"/>
        </w:rPr>
      </w:pPr>
    </w:p>
    <w:p>
      <w:pPr>
        <w:spacing w:line="572" w:lineRule="exact"/>
        <w:jc w:val="left"/>
        <w:outlineLvl w:val="0"/>
        <w:rPr>
          <w:rFonts w:hint="eastAsia" w:ascii="黑体" w:hAnsi="黑体" w:eastAsia="黑体" w:cs="黑体"/>
          <w:sz w:val="32"/>
          <w:szCs w:val="32"/>
        </w:rPr>
      </w:pPr>
      <w:bookmarkStart w:id="80" w:name="_Toc15648"/>
      <w:r>
        <w:rPr>
          <w:rFonts w:hint="eastAsia" w:ascii="黑体" w:hAnsi="黑体" w:eastAsia="黑体" w:cs="黑体"/>
          <w:sz w:val="32"/>
          <w:szCs w:val="32"/>
        </w:rPr>
        <w:t>附件1</w:t>
      </w:r>
      <w:bookmarkEnd w:id="80"/>
    </w:p>
    <w:p>
      <w:pPr>
        <w:widowControl/>
        <w:adjustRightInd w:val="0"/>
        <w:snapToGrid w:val="0"/>
        <w:spacing w:line="578" w:lineRule="exact"/>
        <w:ind w:firstLine="880" w:firstLineChars="200"/>
        <w:contextualSpacing/>
        <w:jc w:val="center"/>
        <w:rPr>
          <w:rFonts w:hint="eastAsia" w:ascii="Times New Roman" w:hAnsi="Times New Roman" w:eastAsia="方正小标宋简体" w:cs="Times New Roman"/>
          <w:bCs/>
          <w:sz w:val="44"/>
          <w:szCs w:val="44"/>
          <w:shd w:val="clear" w:color="auto" w:fill="FFFFFF"/>
        </w:rPr>
      </w:pPr>
      <w:r>
        <w:rPr>
          <w:rFonts w:hint="eastAsia" w:ascii="Times New Roman" w:hAnsi="Times New Roman" w:eastAsia="方正小标宋简体" w:cs="Times New Roman"/>
          <w:bCs/>
          <w:sz w:val="44"/>
          <w:szCs w:val="44"/>
          <w:shd w:val="clear" w:color="auto" w:fill="FFFFFF"/>
        </w:rPr>
        <w:t>盐边县红十字会</w:t>
      </w:r>
    </w:p>
    <w:p>
      <w:pPr>
        <w:widowControl/>
        <w:adjustRightInd w:val="0"/>
        <w:snapToGrid w:val="0"/>
        <w:spacing w:line="578" w:lineRule="exact"/>
        <w:ind w:firstLine="880" w:firstLineChars="200"/>
        <w:contextualSpacing/>
        <w:jc w:val="center"/>
        <w:rPr>
          <w:rFonts w:hint="eastAsia" w:ascii="Times New Roman" w:hAnsi="Times New Roman" w:eastAsia="方正小标宋简体" w:cs="Times New Roman"/>
          <w:bCs/>
          <w:sz w:val="44"/>
          <w:szCs w:val="44"/>
          <w:shd w:val="clear" w:color="auto" w:fill="FFFFFF"/>
        </w:rPr>
      </w:pPr>
      <w:r>
        <w:rPr>
          <w:rFonts w:hint="eastAsia" w:ascii="Times New Roman" w:hAnsi="Times New Roman" w:eastAsia="方正小标宋简体" w:cs="Times New Roman"/>
          <w:bCs/>
          <w:sz w:val="44"/>
          <w:szCs w:val="44"/>
          <w:shd w:val="clear" w:color="auto" w:fill="FFFFFF"/>
        </w:rPr>
        <w:t>部门预算绩效评价报告</w:t>
      </w:r>
    </w:p>
    <w:p/>
    <w:p>
      <w:pPr>
        <w:widowControl/>
        <w:adjustRightInd w:val="0"/>
        <w:snapToGrid w:val="0"/>
        <w:spacing w:line="580" w:lineRule="exact"/>
        <w:ind w:firstLine="640" w:firstLineChars="200"/>
        <w:contextualSpacing/>
        <w:jc w:val="left"/>
        <w:rPr>
          <w:rFonts w:hint="default" w:ascii="Times New Roman" w:hAnsi="Times New Roman" w:eastAsia="黑体" w:cs="Times New Roman"/>
          <w:kern w:val="0"/>
          <w:sz w:val="32"/>
          <w:szCs w:val="32"/>
          <w:shd w:val="clear" w:color="auto" w:fill="FFFFFF"/>
          <w:lang w:val="en-US" w:eastAsia="zh-CN"/>
        </w:rPr>
      </w:pPr>
      <w:bookmarkStart w:id="81" w:name="_Toc10701"/>
      <w:r>
        <w:rPr>
          <w:rFonts w:hint="eastAsia" w:ascii="Times New Roman" w:hAnsi="Times New Roman" w:eastAsia="黑体" w:cs="Times New Roman"/>
          <w:kern w:val="0"/>
          <w:sz w:val="32"/>
          <w:szCs w:val="32"/>
          <w:shd w:val="clear" w:color="auto" w:fill="FFFFFF"/>
          <w:lang w:val="en-US" w:eastAsia="zh-CN"/>
        </w:rPr>
        <w:t>一、部门（单位）基本情况</w:t>
      </w:r>
      <w:bookmarkEnd w:id="81"/>
    </w:p>
    <w:p>
      <w:pPr>
        <w:ind w:firstLine="640" w:firstLineChars="200"/>
        <w:rPr>
          <w:rFonts w:hint="default" w:ascii="CESI仿宋-GB2312" w:hAnsi="CESI仿宋-GB2312" w:eastAsia="CESI仿宋-GB2312" w:cs="CESI仿宋-GB2312"/>
          <w:sz w:val="32"/>
          <w:szCs w:val="32"/>
          <w:lang w:val="en-US" w:eastAsia="zh-CN"/>
        </w:rPr>
      </w:pPr>
      <w:bookmarkStart w:id="82" w:name="_Toc11722"/>
      <w:r>
        <w:rPr>
          <w:rFonts w:hint="eastAsia" w:ascii="Times New Roman" w:hAnsi="Times New Roman" w:cs="Times New Roman"/>
          <w:kern w:val="0"/>
          <w:sz w:val="32"/>
          <w:szCs w:val="32"/>
          <w:shd w:val="clear" w:color="auto" w:fill="FFFFFF"/>
          <w:lang w:val="zh-CN"/>
        </w:rPr>
        <w:t>（一）机构组成。</w:t>
      </w:r>
      <w:bookmarkEnd w:id="82"/>
      <w:r>
        <w:rPr>
          <w:rFonts w:hint="eastAsia" w:ascii="CESI仿宋-GB2312" w:hAnsi="CESI仿宋-GB2312" w:eastAsia="CESI仿宋-GB2312" w:cs="CESI仿宋-GB2312"/>
          <w:sz w:val="32"/>
          <w:szCs w:val="32"/>
          <w:lang w:val="en-US" w:eastAsia="zh-CN"/>
        </w:rPr>
        <w:t>盐边县红十字会部门内设股室一个：综合股，人员4人。</w:t>
      </w:r>
    </w:p>
    <w:p>
      <w:pPr>
        <w:ind w:firstLine="640" w:firstLineChars="200"/>
        <w:rPr>
          <w:rFonts w:hint="default" w:ascii="CESI仿宋-GB2312" w:hAnsi="CESI仿宋-GB2312" w:eastAsia="CESI仿宋-GB2312" w:cs="CESI仿宋-GB2312"/>
          <w:sz w:val="32"/>
          <w:szCs w:val="32"/>
          <w:lang w:val="en-US" w:eastAsia="zh-CN"/>
        </w:rPr>
      </w:pPr>
      <w:bookmarkStart w:id="83" w:name="_Toc12087"/>
      <w:r>
        <w:rPr>
          <w:rFonts w:hint="eastAsia" w:ascii="Times New Roman" w:hAnsi="Times New Roman" w:cs="Times New Roman"/>
          <w:kern w:val="0"/>
          <w:sz w:val="32"/>
          <w:szCs w:val="32"/>
          <w:shd w:val="clear" w:color="auto" w:fill="FFFFFF"/>
          <w:lang w:val="zh-CN"/>
        </w:rPr>
        <w:t>（二）机构职能。</w:t>
      </w:r>
      <w:bookmarkEnd w:id="83"/>
      <w:r>
        <w:rPr>
          <w:rFonts w:hint="eastAsia" w:ascii="CESI仿宋-GB2312" w:hAnsi="CESI仿宋-GB2312" w:eastAsia="CESI仿宋-GB2312" w:cs="CESI仿宋-GB2312"/>
          <w:sz w:val="32"/>
          <w:szCs w:val="32"/>
          <w:lang w:val="en-US" w:eastAsia="zh-CN"/>
        </w:rPr>
        <w:t>完成应急救护培训任务、开展红十字生命教育工作，开展人道动员宣传工作，开展人道救援及生命教育宣传，开展基层组织建设和红十字志愿服务，红十字青少年工作。开展筹资工作，参与腾讯99公益日活动等，开展红十字救灾备灾工作，完善赈济救援队装备及强化培训。</w:t>
      </w:r>
    </w:p>
    <w:p>
      <w:pPr>
        <w:ind w:firstLine="640" w:firstLineChars="200"/>
        <w:rPr>
          <w:rFonts w:hint="default" w:ascii="CESI仿宋-GB2312" w:hAnsi="CESI仿宋-GB2312" w:eastAsia="CESI仿宋-GB2312" w:cs="CESI仿宋-GB2312"/>
          <w:sz w:val="32"/>
          <w:szCs w:val="32"/>
          <w:lang w:val="en-US" w:eastAsia="zh-CN"/>
        </w:rPr>
      </w:pPr>
      <w:bookmarkStart w:id="84" w:name="_Toc116"/>
      <w:r>
        <w:rPr>
          <w:rFonts w:hint="eastAsia" w:ascii="Times New Roman" w:hAnsi="Times New Roman" w:cs="Times New Roman"/>
          <w:kern w:val="0"/>
          <w:sz w:val="32"/>
          <w:szCs w:val="32"/>
          <w:shd w:val="clear" w:color="auto" w:fill="FFFFFF"/>
          <w:lang w:val="zh-CN"/>
        </w:rPr>
        <w:t>（</w:t>
      </w:r>
      <w:r>
        <w:rPr>
          <w:rFonts w:hint="eastAsia" w:ascii="Times New Roman" w:hAnsi="Times New Roman" w:cs="Times New Roman"/>
          <w:kern w:val="0"/>
          <w:sz w:val="32"/>
          <w:szCs w:val="32"/>
          <w:shd w:val="clear" w:color="auto" w:fill="FFFFFF"/>
          <w:lang w:val="en-US" w:eastAsia="zh-CN"/>
        </w:rPr>
        <w:t>三</w:t>
      </w:r>
      <w:r>
        <w:rPr>
          <w:rFonts w:hint="eastAsia" w:ascii="Times New Roman" w:hAnsi="Times New Roman" w:cs="Times New Roman"/>
          <w:kern w:val="0"/>
          <w:sz w:val="32"/>
          <w:szCs w:val="32"/>
          <w:shd w:val="clear" w:color="auto" w:fill="FFFFFF"/>
          <w:lang w:val="zh-CN"/>
        </w:rPr>
        <w:t>）人员概况。</w:t>
      </w:r>
      <w:bookmarkEnd w:id="84"/>
      <w:r>
        <w:rPr>
          <w:rFonts w:hint="eastAsia" w:ascii="CESI仿宋-GB2312" w:hAnsi="CESI仿宋-GB2312" w:eastAsia="CESI仿宋-GB2312" w:cs="CESI仿宋-GB2312"/>
          <w:sz w:val="32"/>
          <w:szCs w:val="32"/>
          <w:lang w:val="en-US" w:eastAsia="zh-CN"/>
        </w:rPr>
        <w:t>截至2023年末，盐边县红十字会单位编制情况有4人，年末实有人数4人。</w:t>
      </w:r>
    </w:p>
    <w:p>
      <w:pPr>
        <w:widowControl/>
        <w:adjustRightInd w:val="0"/>
        <w:snapToGrid w:val="0"/>
        <w:spacing w:line="580" w:lineRule="exact"/>
        <w:ind w:firstLine="640" w:firstLineChars="200"/>
        <w:contextualSpacing/>
        <w:jc w:val="left"/>
        <w:rPr>
          <w:rFonts w:hint="eastAsia" w:ascii="Times New Roman" w:hAnsi="Times New Roman" w:eastAsia="黑体" w:cs="Times New Roman"/>
          <w:kern w:val="0"/>
          <w:sz w:val="32"/>
          <w:szCs w:val="32"/>
          <w:shd w:val="clear" w:color="auto" w:fill="FFFFFF"/>
          <w:lang w:val="en-US" w:eastAsia="zh-CN"/>
        </w:rPr>
      </w:pPr>
      <w:bookmarkStart w:id="85" w:name="_Toc21278"/>
      <w:r>
        <w:rPr>
          <w:rFonts w:hint="eastAsia" w:ascii="Times New Roman" w:hAnsi="Times New Roman" w:eastAsia="黑体" w:cs="Times New Roman"/>
          <w:kern w:val="0"/>
          <w:sz w:val="32"/>
          <w:szCs w:val="32"/>
          <w:shd w:val="clear" w:color="auto" w:fill="FFFFFF"/>
          <w:lang w:val="en-US" w:eastAsia="zh-CN"/>
        </w:rPr>
        <w:t>二、部门资金收支情况</w:t>
      </w:r>
      <w:bookmarkEnd w:id="85"/>
    </w:p>
    <w:p>
      <w:pPr>
        <w:ind w:firstLine="640" w:firstLineChars="200"/>
        <w:rPr>
          <w:rFonts w:hint="default" w:ascii="CESI仿宋-GB2312" w:hAnsi="CESI仿宋-GB2312" w:eastAsia="CESI仿宋-GB2312" w:cs="CESI仿宋-GB2312"/>
          <w:sz w:val="32"/>
          <w:szCs w:val="32"/>
          <w:lang w:val="en-US" w:eastAsia="zh-CN"/>
        </w:rPr>
      </w:pPr>
      <w:bookmarkStart w:id="86" w:name="_Toc29486"/>
      <w:r>
        <w:rPr>
          <w:rFonts w:hint="eastAsia" w:ascii="Times New Roman" w:hAnsi="Times New Roman" w:cs="Times New Roman"/>
          <w:kern w:val="0"/>
          <w:sz w:val="32"/>
          <w:szCs w:val="32"/>
          <w:shd w:val="clear" w:color="auto" w:fill="FFFFFF"/>
          <w:lang w:val="zh-CN"/>
        </w:rPr>
        <w:t>（一）收入情况。</w:t>
      </w:r>
      <w:bookmarkEnd w:id="86"/>
      <w:r>
        <w:rPr>
          <w:rFonts w:hint="eastAsia" w:ascii="CESI仿宋-GB2312" w:hAnsi="CESI仿宋-GB2312" w:eastAsia="CESI仿宋-GB2312" w:cs="CESI仿宋-GB2312"/>
          <w:sz w:val="32"/>
          <w:szCs w:val="32"/>
          <w:lang w:val="en-US" w:eastAsia="zh-CN"/>
        </w:rPr>
        <w:t>2023年全年部门决算收入91.51万元。</w:t>
      </w:r>
    </w:p>
    <w:p>
      <w:pPr>
        <w:ind w:firstLine="640" w:firstLineChars="200"/>
        <w:rPr>
          <w:rFonts w:hint="default" w:ascii="CESI仿宋-GB2312" w:hAnsi="CESI仿宋-GB2312" w:eastAsia="CESI仿宋-GB2312" w:cs="CESI仿宋-GB2312"/>
          <w:sz w:val="32"/>
          <w:szCs w:val="32"/>
          <w:lang w:val="en-US" w:eastAsia="zh-CN"/>
        </w:rPr>
      </w:pPr>
      <w:bookmarkStart w:id="87" w:name="_Toc18759"/>
      <w:r>
        <w:rPr>
          <w:rFonts w:hint="eastAsia" w:ascii="Times New Roman" w:hAnsi="Times New Roman" w:cs="Times New Roman"/>
          <w:kern w:val="0"/>
          <w:sz w:val="32"/>
          <w:szCs w:val="32"/>
          <w:shd w:val="clear" w:color="auto" w:fill="FFFFFF"/>
          <w:lang w:val="zh-CN"/>
        </w:rPr>
        <w:t>（</w:t>
      </w:r>
      <w:r>
        <w:rPr>
          <w:rFonts w:hint="eastAsia" w:ascii="Times New Roman" w:hAnsi="Times New Roman" w:cs="Times New Roman"/>
          <w:kern w:val="0"/>
          <w:sz w:val="32"/>
          <w:szCs w:val="32"/>
          <w:shd w:val="clear" w:color="auto" w:fill="FFFFFF"/>
          <w:lang w:val="en-US" w:eastAsia="zh-CN"/>
        </w:rPr>
        <w:t>二</w:t>
      </w:r>
      <w:r>
        <w:rPr>
          <w:rFonts w:hint="eastAsia" w:ascii="Times New Roman" w:hAnsi="Times New Roman" w:cs="Times New Roman"/>
          <w:kern w:val="0"/>
          <w:sz w:val="32"/>
          <w:szCs w:val="32"/>
          <w:shd w:val="clear" w:color="auto" w:fill="FFFFFF"/>
          <w:lang w:val="zh-CN"/>
        </w:rPr>
        <w:t>）支出情况。</w:t>
      </w:r>
      <w:bookmarkEnd w:id="87"/>
      <w:r>
        <w:rPr>
          <w:rFonts w:hint="eastAsia" w:ascii="CESI仿宋-GB2312" w:hAnsi="CESI仿宋-GB2312" w:eastAsia="CESI仿宋-GB2312" w:cs="CESI仿宋-GB2312"/>
          <w:sz w:val="32"/>
          <w:szCs w:val="32"/>
          <w:lang w:val="en-US" w:eastAsia="zh-CN"/>
        </w:rPr>
        <w:t>2023年全年部门财政资金支出91.51万元。</w:t>
      </w:r>
    </w:p>
    <w:p>
      <w:pPr>
        <w:ind w:firstLine="640" w:firstLineChars="200"/>
        <w:rPr>
          <w:rFonts w:hint="default" w:ascii="CESI仿宋-GB2312" w:hAnsi="CESI仿宋-GB2312" w:eastAsia="CESI仿宋-GB2312" w:cs="CESI仿宋-GB2312"/>
          <w:sz w:val="32"/>
          <w:szCs w:val="32"/>
          <w:lang w:val="en-US" w:eastAsia="zh-CN"/>
        </w:rPr>
      </w:pPr>
      <w:bookmarkStart w:id="88" w:name="_Toc26833"/>
      <w:r>
        <w:rPr>
          <w:rFonts w:hint="eastAsia" w:ascii="Times New Roman" w:hAnsi="Times New Roman" w:cs="Times New Roman"/>
          <w:kern w:val="0"/>
          <w:sz w:val="32"/>
          <w:szCs w:val="32"/>
          <w:shd w:val="clear" w:color="auto" w:fill="FFFFFF"/>
          <w:lang w:val="en-US" w:eastAsia="zh-CN"/>
        </w:rPr>
        <w:t>（三）结余分配和结转结余情况。</w:t>
      </w:r>
      <w:bookmarkEnd w:id="88"/>
      <w:r>
        <w:rPr>
          <w:rFonts w:hint="eastAsia" w:ascii="CESI仿宋-GB2312" w:hAnsi="CESI仿宋-GB2312" w:eastAsia="CESI仿宋-GB2312" w:cs="CESI仿宋-GB2312"/>
          <w:sz w:val="32"/>
          <w:szCs w:val="32"/>
          <w:lang w:val="en-US" w:eastAsia="zh-CN"/>
        </w:rPr>
        <w:t>2023年无结转结余资金。</w:t>
      </w:r>
    </w:p>
    <w:p>
      <w:pPr>
        <w:widowControl/>
        <w:adjustRightInd w:val="0"/>
        <w:snapToGrid w:val="0"/>
        <w:spacing w:line="580" w:lineRule="exact"/>
        <w:ind w:firstLine="640" w:firstLineChars="200"/>
        <w:contextualSpacing/>
        <w:jc w:val="left"/>
        <w:rPr>
          <w:rFonts w:hint="eastAsia" w:ascii="Times New Roman" w:hAnsi="Times New Roman" w:eastAsia="黑体" w:cs="Times New Roman"/>
          <w:kern w:val="0"/>
          <w:sz w:val="32"/>
          <w:szCs w:val="32"/>
          <w:shd w:val="clear" w:color="auto" w:fill="FFFFFF"/>
          <w:lang w:val="en-US" w:eastAsia="zh-CN"/>
        </w:rPr>
      </w:pPr>
      <w:bookmarkStart w:id="89" w:name="_Toc5799"/>
      <w:r>
        <w:rPr>
          <w:rFonts w:hint="eastAsia" w:ascii="Times New Roman" w:hAnsi="Times New Roman" w:eastAsia="黑体" w:cs="Times New Roman"/>
          <w:kern w:val="0"/>
          <w:sz w:val="32"/>
          <w:szCs w:val="32"/>
          <w:shd w:val="clear" w:color="auto" w:fill="FFFFFF"/>
          <w:lang w:val="en-US" w:eastAsia="zh-CN"/>
        </w:rPr>
        <w:t>三、部门预算绩效分析</w:t>
      </w:r>
      <w:bookmarkEnd w:id="89"/>
    </w:p>
    <w:p>
      <w:pPr>
        <w:widowControl/>
        <w:adjustRightInd w:val="0"/>
        <w:snapToGrid w:val="0"/>
        <w:spacing w:line="580" w:lineRule="exact"/>
        <w:ind w:firstLine="642" w:firstLineChars="200"/>
        <w:contextualSpacing/>
        <w:jc w:val="left"/>
        <w:rPr>
          <w:rFonts w:hint="eastAsia" w:ascii="方正楷体_GBK" w:hAnsi="方正楷体_GBK" w:eastAsia="方正楷体_GBK" w:cs="方正楷体_GBK"/>
          <w:b/>
          <w:bCs/>
          <w:kern w:val="0"/>
          <w:sz w:val="32"/>
          <w:szCs w:val="32"/>
          <w:shd w:val="clear" w:color="auto" w:fill="FFFFFF"/>
          <w:lang w:val="zh-CN"/>
        </w:rPr>
      </w:pPr>
      <w:bookmarkStart w:id="90" w:name="_Toc20981"/>
      <w:r>
        <w:rPr>
          <w:rFonts w:hint="eastAsia" w:ascii="方正楷体_GBK" w:hAnsi="方正楷体_GBK" w:eastAsia="方正楷体_GBK" w:cs="方正楷体_GBK"/>
          <w:b/>
          <w:bCs/>
          <w:kern w:val="0"/>
          <w:sz w:val="32"/>
          <w:szCs w:val="32"/>
          <w:shd w:val="clear" w:color="auto" w:fill="FFFFFF"/>
          <w:lang w:val="zh-CN"/>
        </w:rPr>
        <w:t>（一）部门预算总体绩效分析。</w:t>
      </w:r>
      <w:bookmarkEnd w:id="90"/>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CESI仿宋-GB2312" w:hAnsi="CESI仿宋-GB2312" w:eastAsia="CESI仿宋-GB2312" w:cs="CESI仿宋-GB2312"/>
          <w:color w:val="auto"/>
          <w:sz w:val="32"/>
          <w:szCs w:val="32"/>
          <w:shd w:val="clear" w:color="auto" w:fill="auto"/>
          <w:lang w:val="zh-CN"/>
        </w:rPr>
      </w:pPr>
      <w:r>
        <w:rPr>
          <w:rFonts w:hint="eastAsia" w:ascii="Times New Roman" w:hAnsi="Times New Roman" w:cs="Times New Roman"/>
          <w:kern w:val="0"/>
          <w:sz w:val="32"/>
          <w:szCs w:val="32"/>
          <w:shd w:val="clear" w:color="auto" w:fill="FFFFFF"/>
          <w:lang w:val="zh-CN"/>
        </w:rPr>
        <w:t>1.履职效能。</w:t>
      </w:r>
      <w:r>
        <w:rPr>
          <w:rFonts w:hint="eastAsia" w:ascii="CESI仿宋-GB2312" w:hAnsi="CESI仿宋-GB2312" w:eastAsia="CESI仿宋-GB2312" w:cs="CESI仿宋-GB2312"/>
          <w:color w:val="auto"/>
          <w:sz w:val="32"/>
          <w:szCs w:val="32"/>
          <w:shd w:val="clear" w:color="auto" w:fill="auto"/>
          <w:lang w:val="zh-CN"/>
        </w:rPr>
        <w:t>在202</w:t>
      </w:r>
      <w:r>
        <w:rPr>
          <w:rFonts w:hint="eastAsia" w:ascii="CESI仿宋-GB2312" w:hAnsi="CESI仿宋-GB2312" w:eastAsia="CESI仿宋-GB2312" w:cs="CESI仿宋-GB2312"/>
          <w:color w:val="auto"/>
          <w:sz w:val="32"/>
          <w:szCs w:val="32"/>
          <w:shd w:val="clear" w:color="auto" w:fill="auto"/>
        </w:rPr>
        <w:t>3</w:t>
      </w:r>
      <w:r>
        <w:rPr>
          <w:rFonts w:hint="eastAsia" w:ascii="CESI仿宋-GB2312" w:hAnsi="CESI仿宋-GB2312" w:eastAsia="CESI仿宋-GB2312" w:cs="CESI仿宋-GB2312"/>
          <w:color w:val="auto"/>
          <w:sz w:val="32"/>
          <w:szCs w:val="32"/>
          <w:shd w:val="clear" w:color="auto" w:fill="auto"/>
          <w:lang w:val="zh-CN"/>
        </w:rPr>
        <w:t>年</w:t>
      </w:r>
      <w:r>
        <w:rPr>
          <w:rFonts w:hint="eastAsia" w:ascii="CESI仿宋-GB2312" w:hAnsi="CESI仿宋-GB2312" w:eastAsia="CESI仿宋-GB2312" w:cs="CESI仿宋-GB2312"/>
          <w:color w:val="auto"/>
          <w:sz w:val="32"/>
          <w:szCs w:val="32"/>
          <w:shd w:val="clear" w:color="auto" w:fill="auto"/>
        </w:rPr>
        <w:t>本单位</w:t>
      </w:r>
      <w:r>
        <w:rPr>
          <w:rFonts w:hint="eastAsia" w:ascii="CESI仿宋-GB2312" w:hAnsi="CESI仿宋-GB2312" w:eastAsia="CESI仿宋-GB2312" w:cs="CESI仿宋-GB2312"/>
          <w:color w:val="auto"/>
          <w:sz w:val="32"/>
          <w:szCs w:val="32"/>
          <w:shd w:val="clear" w:color="auto" w:fill="auto"/>
          <w:lang w:val="zh-CN"/>
        </w:rPr>
        <w:t>顺利完成了各个项目预算执行任务。通过各项指标的监测和分析，工作效率得到了提高，例如财务处理速度加快、资金使用率提高等，通过对过去一年的工作进行分析和评估，我们认为自己在部门整体履职绩效方面表现良好。但是，我们也意识到还有一些需要改进的地方。需要进一步加强预算执行的管理和监督，确保预算资金使用的合规性和效益性；进一步提高工作效率和质量，优化工作流程和服务流程；加强合作能力，更好地协调各部门之间工作关系和信息共享；我们将在今后的工作中更加注重效率和质量，努力提高履职绩效，不断提升综合素质和能力。</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CESI仿宋-GB2312" w:hAnsi="CESI仿宋-GB2312" w:eastAsia="CESI仿宋-GB2312" w:cs="CESI仿宋-GB2312"/>
          <w:color w:val="auto"/>
          <w:sz w:val="32"/>
          <w:szCs w:val="32"/>
          <w:shd w:val="clear" w:color="auto" w:fill="auto"/>
          <w:lang w:val="zh-CN"/>
        </w:rPr>
      </w:pPr>
      <w:r>
        <w:rPr>
          <w:rFonts w:hint="eastAsia" w:ascii="Times New Roman" w:hAnsi="Times New Roman" w:cs="Times New Roman"/>
          <w:kern w:val="0"/>
          <w:sz w:val="32"/>
          <w:szCs w:val="32"/>
          <w:shd w:val="clear" w:color="auto" w:fill="FFFFFF"/>
          <w:lang w:val="en-US" w:eastAsia="zh-CN"/>
        </w:rPr>
        <w:t>2.</w:t>
      </w:r>
      <w:r>
        <w:rPr>
          <w:rFonts w:hint="eastAsia" w:ascii="Times New Roman" w:hAnsi="Times New Roman" w:cs="Times New Roman"/>
          <w:kern w:val="0"/>
          <w:sz w:val="32"/>
          <w:szCs w:val="32"/>
          <w:shd w:val="clear" w:color="auto" w:fill="FFFFFF"/>
          <w:lang w:val="zh-CN"/>
        </w:rPr>
        <w:t>预算管理。</w:t>
      </w:r>
      <w:r>
        <w:rPr>
          <w:rFonts w:hint="eastAsia" w:ascii="CESI仿宋-GB2312" w:hAnsi="CESI仿宋-GB2312" w:eastAsia="CESI仿宋-GB2312" w:cs="CESI仿宋-GB2312"/>
          <w:color w:val="auto"/>
          <w:sz w:val="32"/>
          <w:szCs w:val="32"/>
          <w:shd w:val="clear" w:color="auto" w:fill="auto"/>
          <w:lang w:val="zh-CN"/>
        </w:rPr>
        <w:t>2023年年初的预算编制是严格按照财政局预算口径进行，所有单位收入都进行统筹，2023年度年底无结转结余资金。本部门以围绕我局重点项目，优化支出结构为导向，合理保障部门正常履职运转为目标，按照预算管理科学化和精细化的要求，根据业务工作特性，经过充分调查、论证测算，科学合理编制预算，严格执行预算管理集体决策程序。进一步加强预算管理，落实预算执行责任；</w:t>
      </w:r>
      <w:r>
        <w:rPr>
          <w:rFonts w:hint="eastAsia" w:ascii="CESI仿宋-GB2312" w:hAnsi="CESI仿宋-GB2312" w:eastAsia="CESI仿宋-GB2312" w:cs="CESI仿宋-GB2312"/>
          <w:color w:val="auto"/>
          <w:sz w:val="32"/>
          <w:szCs w:val="32"/>
          <w:shd w:val="clear" w:color="auto" w:fill="auto"/>
          <w:lang w:val="zh-CN" w:eastAsia="zh-CN"/>
        </w:rPr>
        <w:t>按照</w:t>
      </w:r>
      <w:r>
        <w:rPr>
          <w:rFonts w:hint="eastAsia" w:ascii="CESI仿宋-GB2312" w:hAnsi="CESI仿宋-GB2312" w:eastAsia="CESI仿宋-GB2312" w:cs="CESI仿宋-GB2312"/>
          <w:color w:val="auto"/>
          <w:sz w:val="32"/>
          <w:szCs w:val="32"/>
          <w:shd w:val="clear" w:color="auto" w:fill="auto"/>
          <w:lang w:val="zh-CN"/>
        </w:rPr>
        <w:t>项目实施进度，适时跟进支出执行进度，各项经费严格按照时间节点及工作进度编制用款计划；坚持把财政资金用在刀刃上，认真执行中央八项规定，厉行节约、反对浪费，严控一般性支出。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CESI仿宋-GB2312" w:hAnsi="CESI仿宋-GB2312" w:eastAsia="CESI仿宋-GB2312" w:cs="CESI仿宋-GB2312"/>
          <w:color w:val="auto"/>
          <w:sz w:val="32"/>
          <w:szCs w:val="32"/>
          <w:shd w:val="clear" w:color="auto" w:fill="auto"/>
          <w:lang w:val="zh-CN"/>
        </w:rPr>
      </w:pPr>
      <w:r>
        <w:rPr>
          <w:rFonts w:hint="eastAsia" w:ascii="Times New Roman" w:hAnsi="Times New Roman" w:cs="Times New Roman"/>
          <w:kern w:val="0"/>
          <w:sz w:val="32"/>
          <w:szCs w:val="32"/>
          <w:shd w:val="clear" w:color="auto" w:fill="FFFFFF"/>
          <w:lang w:val="en-US" w:eastAsia="zh-CN"/>
        </w:rPr>
        <w:t>3.</w:t>
      </w:r>
      <w:r>
        <w:rPr>
          <w:rFonts w:hint="eastAsia" w:ascii="Times New Roman" w:hAnsi="Times New Roman" w:cs="Times New Roman"/>
          <w:kern w:val="0"/>
          <w:sz w:val="32"/>
          <w:szCs w:val="32"/>
          <w:shd w:val="clear" w:color="auto" w:fill="FFFFFF"/>
          <w:lang w:val="zh-CN" w:eastAsia="zh-CN"/>
        </w:rPr>
        <w:t>财务管理。</w:t>
      </w:r>
      <w:r>
        <w:rPr>
          <w:rFonts w:hint="eastAsia" w:ascii="CESI仿宋-GB2312" w:hAnsi="CESI仿宋-GB2312" w:eastAsia="CESI仿宋-GB2312" w:cs="CESI仿宋-GB2312"/>
          <w:color w:val="auto"/>
          <w:sz w:val="32"/>
          <w:szCs w:val="32"/>
          <w:shd w:val="clear" w:color="auto" w:fill="auto"/>
          <w:lang w:val="zh-CN"/>
        </w:rPr>
        <w:t>本部门严格按照预算管理制度和单位财务会计制度，单位的资金实行日清月结，账目清楚、无侵占、截留项目资金的情况发生，不存在超预算、无预算安排支出，严格执行公务卡结算以及政府采购制度，也无公款私存、滥发钱物、私设“小金库”的情况，同时严格执行会计法、行政事业单位会计制度及各项财经制度，财务岗位设置基本合理，财务岗位职责清晰，按规定设置了财务负责人、会计、出纳、资产管理等岗位。严格执行财务管理规定，从严管理财政资金，规范会计核算，加强</w:t>
      </w:r>
      <w:bookmarkStart w:id="113" w:name="_GoBack"/>
      <w:bookmarkEnd w:id="113"/>
      <w:r>
        <w:rPr>
          <w:rFonts w:hint="eastAsia" w:ascii="CESI仿宋-GB2312" w:hAnsi="CESI仿宋-GB2312" w:eastAsia="CESI仿宋-GB2312" w:cs="CESI仿宋-GB2312"/>
          <w:color w:val="auto"/>
          <w:sz w:val="32"/>
          <w:szCs w:val="32"/>
          <w:shd w:val="clear" w:color="auto" w:fill="auto"/>
          <w:lang w:val="zh-CN"/>
        </w:rPr>
        <w:t>“三公”经费管理。细化收支业务管理、采购管理、固定资产管理等制度，不断健全内控制度，不断规范收支行为。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CESI仿宋-GB2312" w:hAnsi="CESI仿宋-GB2312" w:eastAsia="CESI仿宋-GB2312" w:cs="CESI仿宋-GB2312"/>
          <w:color w:val="auto"/>
          <w:sz w:val="32"/>
          <w:szCs w:val="32"/>
          <w:shd w:val="clear" w:color="auto" w:fill="auto"/>
          <w:lang w:val="zh-CN"/>
        </w:rPr>
      </w:pPr>
      <w:r>
        <w:rPr>
          <w:rFonts w:hint="eastAsia" w:ascii="Times New Roman" w:hAnsi="Times New Roman" w:cs="Times New Roman"/>
          <w:kern w:val="0"/>
          <w:sz w:val="32"/>
          <w:szCs w:val="32"/>
          <w:shd w:val="clear" w:color="auto" w:fill="FFFFFF"/>
          <w:lang w:val="en-US" w:eastAsia="zh-CN"/>
        </w:rPr>
        <w:t>4.</w:t>
      </w:r>
      <w:r>
        <w:rPr>
          <w:rFonts w:hint="eastAsia" w:ascii="Times New Roman" w:hAnsi="Times New Roman" w:cs="Times New Roman"/>
          <w:kern w:val="0"/>
          <w:sz w:val="32"/>
          <w:szCs w:val="32"/>
          <w:shd w:val="clear" w:color="auto" w:fill="FFFFFF"/>
          <w:lang w:val="zh-CN" w:eastAsia="zh-CN"/>
        </w:rPr>
        <w:t>资产管理。</w:t>
      </w:r>
      <w:r>
        <w:rPr>
          <w:rFonts w:hint="eastAsia" w:ascii="CESI仿宋-GB2312" w:hAnsi="CESI仿宋-GB2312" w:eastAsia="CESI仿宋-GB2312" w:cs="CESI仿宋-GB2312"/>
          <w:color w:val="auto"/>
          <w:sz w:val="32"/>
          <w:szCs w:val="32"/>
          <w:shd w:val="clear" w:color="auto" w:fill="auto"/>
          <w:lang w:val="zh-CN"/>
        </w:rPr>
        <w:t>本单位严格按照会计管理办法要求对资产进行入账处理，只要</w:t>
      </w:r>
      <w:r>
        <w:rPr>
          <w:rFonts w:hint="eastAsia" w:ascii="CESI仿宋-GB2312" w:hAnsi="CESI仿宋-GB2312" w:eastAsia="CESI仿宋-GB2312" w:cs="CESI仿宋-GB2312"/>
          <w:color w:val="auto"/>
          <w:sz w:val="32"/>
          <w:szCs w:val="32"/>
          <w:shd w:val="clear" w:color="auto" w:fill="auto"/>
          <w:lang w:val="zh-CN" w:eastAsia="zh-CN"/>
        </w:rPr>
        <w:t>正常</w:t>
      </w:r>
      <w:r>
        <w:rPr>
          <w:rFonts w:hint="eastAsia" w:ascii="CESI仿宋-GB2312" w:hAnsi="CESI仿宋-GB2312" w:eastAsia="CESI仿宋-GB2312" w:cs="CESI仿宋-GB2312"/>
          <w:color w:val="auto"/>
          <w:sz w:val="32"/>
          <w:szCs w:val="32"/>
          <w:shd w:val="clear" w:color="auto" w:fill="auto"/>
          <w:lang w:val="zh-CN"/>
        </w:rPr>
        <w:t>使用一年就入资产。</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CESI仿宋-GB2312" w:hAnsi="CESI仿宋-GB2312" w:eastAsia="CESI仿宋-GB2312" w:cs="CESI仿宋-GB2312"/>
          <w:color w:val="auto"/>
          <w:sz w:val="32"/>
          <w:szCs w:val="32"/>
          <w:shd w:val="clear" w:color="auto" w:fill="auto"/>
          <w:lang w:val="zh-CN"/>
        </w:rPr>
      </w:pPr>
      <w:r>
        <w:rPr>
          <w:rFonts w:hint="eastAsia" w:ascii="Times New Roman" w:hAnsi="Times New Roman" w:cs="Times New Roman"/>
          <w:kern w:val="0"/>
          <w:sz w:val="32"/>
          <w:szCs w:val="32"/>
          <w:shd w:val="clear" w:color="auto" w:fill="FFFFFF"/>
          <w:lang w:val="en-US" w:eastAsia="zh-CN"/>
        </w:rPr>
        <w:t>5.</w:t>
      </w:r>
      <w:r>
        <w:rPr>
          <w:rFonts w:hint="eastAsia" w:ascii="Times New Roman" w:hAnsi="Times New Roman" w:cs="Times New Roman"/>
          <w:kern w:val="0"/>
          <w:sz w:val="32"/>
          <w:szCs w:val="32"/>
          <w:shd w:val="clear" w:color="auto" w:fill="FFFFFF"/>
          <w:lang w:val="zh-CN" w:eastAsia="zh-CN"/>
        </w:rPr>
        <w:t>采购管理。</w:t>
      </w:r>
      <w:r>
        <w:rPr>
          <w:rFonts w:hint="eastAsia" w:ascii="CESI仿宋-GB2312" w:hAnsi="CESI仿宋-GB2312" w:eastAsia="CESI仿宋-GB2312" w:cs="CESI仿宋-GB2312"/>
          <w:color w:val="auto"/>
          <w:sz w:val="32"/>
          <w:szCs w:val="32"/>
          <w:shd w:val="clear" w:color="auto" w:fill="auto"/>
          <w:lang w:val="zh-CN"/>
        </w:rPr>
        <w:t>本单位严格遵循政府采购管理办法进行采购。</w:t>
      </w:r>
    </w:p>
    <w:p>
      <w:pPr>
        <w:ind w:firstLine="642" w:firstLineChars="200"/>
        <w:outlineLvl w:val="2"/>
        <w:rPr>
          <w:rFonts w:hint="eastAsia" w:ascii="方正楷体_GBK" w:hAnsi="方正楷体_GBK" w:eastAsia="方正楷体_GBK" w:cs="方正楷体_GBK"/>
          <w:sz w:val="32"/>
          <w:szCs w:val="32"/>
          <w:lang w:val="zh-CN"/>
        </w:rPr>
      </w:pPr>
      <w:bookmarkStart w:id="91" w:name="_Toc21254"/>
      <w:r>
        <w:rPr>
          <w:rFonts w:hint="eastAsia" w:ascii="方正楷体_GBK" w:hAnsi="方正楷体_GBK" w:eastAsia="方正楷体_GBK" w:cs="方正楷体_GBK"/>
          <w:b/>
          <w:sz w:val="32"/>
          <w:szCs w:val="32"/>
        </w:rPr>
        <w:t>（二）部门预算项目绩效分析。</w:t>
      </w:r>
      <w:bookmarkEnd w:id="91"/>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CESI仿宋-GB2312" w:hAnsi="CESI仿宋-GB2312" w:eastAsia="CESI仿宋-GB2312" w:cs="CESI仿宋-GB2312"/>
          <w:color w:val="auto"/>
          <w:sz w:val="32"/>
          <w:szCs w:val="32"/>
          <w:shd w:val="clear" w:color="auto" w:fill="auto"/>
          <w:lang w:val="zh-CN"/>
        </w:rPr>
      </w:pPr>
      <w:r>
        <w:rPr>
          <w:rFonts w:hint="eastAsia" w:ascii="CESI仿宋-GB2312" w:hAnsi="CESI仿宋-GB2312" w:eastAsia="CESI仿宋-GB2312" w:cs="CESI仿宋-GB2312"/>
          <w:color w:val="auto"/>
          <w:sz w:val="32"/>
          <w:szCs w:val="32"/>
          <w:shd w:val="clear" w:color="auto" w:fill="auto"/>
          <w:lang w:val="zh-CN"/>
        </w:rPr>
        <w:t>常年项目绩效分析。该类项目总数2个，涉及预算总金额9.73万元，1—12月预算执行总体进度为100%，其中：预算结余率大于10%的项目共计0个。</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CESI仿宋-GB2312" w:hAnsi="CESI仿宋-GB2312" w:eastAsia="CESI仿宋-GB2312" w:cs="CESI仿宋-GB2312"/>
          <w:color w:val="auto"/>
          <w:sz w:val="32"/>
          <w:szCs w:val="32"/>
          <w:shd w:val="clear" w:color="auto" w:fill="auto"/>
          <w:lang w:val="zh-CN"/>
        </w:rPr>
      </w:pPr>
      <w:r>
        <w:rPr>
          <w:rFonts w:hint="eastAsia" w:ascii="Times New Roman" w:hAnsi="Times New Roman" w:cs="Times New Roman"/>
          <w:kern w:val="0"/>
          <w:sz w:val="32"/>
          <w:szCs w:val="32"/>
          <w:shd w:val="clear" w:color="auto" w:fill="FFFFFF"/>
          <w:lang w:val="zh-CN" w:eastAsia="zh-CN"/>
        </w:rPr>
        <w:t>1.项目决策。</w:t>
      </w:r>
      <w:r>
        <w:rPr>
          <w:rFonts w:hint="eastAsia" w:ascii="CESI仿宋-GB2312" w:hAnsi="CESI仿宋-GB2312" w:eastAsia="CESI仿宋-GB2312" w:cs="CESI仿宋-GB2312"/>
          <w:color w:val="auto"/>
          <w:sz w:val="32"/>
          <w:szCs w:val="32"/>
          <w:shd w:val="clear" w:color="auto" w:fill="auto"/>
          <w:lang w:val="zh-CN"/>
        </w:rPr>
        <w:t>项目决策程序严格按照有关规定执行，强化项目评审论证，完善逐级审核机制，确保项目合理性、必要性，明确项目入库规则，规范项目信息填报。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CESI仿宋-GB2312" w:hAnsi="CESI仿宋-GB2312" w:eastAsia="CESI仿宋-GB2312" w:cs="CESI仿宋-GB2312"/>
          <w:color w:val="auto"/>
          <w:sz w:val="32"/>
          <w:szCs w:val="32"/>
          <w:shd w:val="clear" w:color="auto" w:fill="auto"/>
          <w:lang w:val="zh-CN"/>
        </w:rPr>
      </w:pPr>
      <w:r>
        <w:rPr>
          <w:rFonts w:hint="eastAsia" w:ascii="Times New Roman" w:hAnsi="Times New Roman" w:cs="Times New Roman"/>
          <w:kern w:val="0"/>
          <w:sz w:val="32"/>
          <w:szCs w:val="32"/>
          <w:shd w:val="clear" w:color="auto" w:fill="FFFFFF"/>
          <w:lang w:val="zh-CN" w:eastAsia="zh-CN"/>
        </w:rPr>
        <w:t>2.项目执行。</w:t>
      </w:r>
      <w:r>
        <w:rPr>
          <w:rFonts w:hint="eastAsia" w:ascii="CESI仿宋-GB2312" w:hAnsi="CESI仿宋-GB2312" w:eastAsia="CESI仿宋-GB2312" w:cs="CESI仿宋-GB2312"/>
          <w:color w:val="auto"/>
          <w:sz w:val="32"/>
          <w:szCs w:val="32"/>
          <w:shd w:val="clear" w:color="auto" w:fill="auto"/>
          <w:lang w:val="zh-CN"/>
        </w:rPr>
        <w:t>强化绩效管理，加大绩效管理力度，积极做好项目事前、事中、事后绩效工作。项目实施过程，督促各相关人员严格按照相关程序及规范实施，并将绩效目标落实到项目管理过程中，定期检查数量指标、质量指标、进度完成情况等，控制项目绩效指标值，并通过相关措施有效控制成本，为完成绩效目标做好监督工作，资金投向符合有关资金管理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CESI仿宋-GB2312" w:hAnsi="CESI仿宋-GB2312" w:eastAsia="CESI仿宋-GB2312" w:cs="CESI仿宋-GB2312"/>
          <w:color w:val="auto"/>
          <w:sz w:val="32"/>
          <w:szCs w:val="32"/>
          <w:shd w:val="clear" w:color="auto" w:fill="auto"/>
          <w:lang w:val="zh-CN"/>
        </w:rPr>
      </w:pPr>
      <w:r>
        <w:rPr>
          <w:rFonts w:hint="eastAsia" w:ascii="Times New Roman" w:hAnsi="Times New Roman" w:cs="Times New Roman"/>
          <w:kern w:val="0"/>
          <w:sz w:val="32"/>
          <w:szCs w:val="32"/>
          <w:shd w:val="clear" w:color="auto" w:fill="FFFFFF"/>
          <w:lang w:val="zh-CN" w:eastAsia="zh-CN"/>
        </w:rPr>
        <w:t>3.目标实现。</w:t>
      </w:r>
      <w:r>
        <w:rPr>
          <w:rFonts w:hint="eastAsia" w:ascii="CESI仿宋-GB2312" w:hAnsi="CESI仿宋-GB2312" w:eastAsia="CESI仿宋-GB2312" w:cs="CESI仿宋-GB2312"/>
          <w:color w:val="auto"/>
          <w:sz w:val="32"/>
          <w:szCs w:val="32"/>
          <w:shd w:val="clear" w:color="auto" w:fill="auto"/>
          <w:lang w:val="zh-CN"/>
        </w:rPr>
        <w:t>严格控制各项支出，及时处置账务和执行资金支付，当年预算支出完成率100%，实际支出按预算执行，无违规记录等情况。项目任务量完成较好、质量和时效符合要求，成本控制较好，基本实现既定目标任务。</w:t>
      </w:r>
    </w:p>
    <w:p>
      <w:pPr>
        <w:ind w:firstLine="642" w:firstLineChars="200"/>
        <w:outlineLvl w:val="2"/>
        <w:rPr>
          <w:rFonts w:hint="eastAsia" w:ascii="方正楷体_GBK" w:hAnsi="方正楷体_GBK" w:eastAsia="方正楷体_GBK" w:cs="方正楷体_GBK"/>
          <w:b/>
          <w:sz w:val="32"/>
          <w:szCs w:val="32"/>
        </w:rPr>
      </w:pPr>
      <w:bookmarkStart w:id="92" w:name="_Toc29331"/>
      <w:r>
        <w:rPr>
          <w:rFonts w:hint="eastAsia" w:ascii="方正楷体_GBK" w:hAnsi="方正楷体_GBK" w:eastAsia="方正楷体_GBK" w:cs="方正楷体_GBK"/>
          <w:b/>
          <w:sz w:val="32"/>
          <w:szCs w:val="32"/>
        </w:rPr>
        <w:t>（三）重点领域绩效分析。</w:t>
      </w:r>
      <w:bookmarkEnd w:id="92"/>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CESI仿宋-GB2312" w:hAnsi="CESI仿宋-GB2312" w:eastAsia="CESI仿宋-GB2312" w:cs="CESI仿宋-GB2312"/>
          <w:color w:val="auto"/>
          <w:sz w:val="32"/>
          <w:szCs w:val="32"/>
          <w:shd w:val="clear" w:color="auto" w:fill="auto"/>
          <w:lang w:val="zh-CN"/>
        </w:rPr>
      </w:pPr>
      <w:r>
        <w:rPr>
          <w:rFonts w:hint="eastAsia" w:ascii="CESI仿宋-GB2312" w:hAnsi="CESI仿宋-GB2312" w:eastAsia="CESI仿宋-GB2312" w:cs="CESI仿宋-GB2312"/>
          <w:color w:val="auto"/>
          <w:sz w:val="32"/>
          <w:szCs w:val="32"/>
          <w:shd w:val="clear" w:color="auto" w:fill="auto"/>
          <w:lang w:val="zh-CN"/>
        </w:rPr>
        <w:t>根据绩效自评结果分析原因，找出不足，不断加强改进，健全机制，促进健康发展。本部门2023年预算绩效自评情况在单位外部网站上公开。</w:t>
      </w:r>
    </w:p>
    <w:p>
      <w:pPr>
        <w:ind w:firstLine="642" w:firstLineChars="200"/>
        <w:outlineLvl w:val="2"/>
        <w:rPr>
          <w:rFonts w:hint="eastAsia" w:ascii="方正楷体_GBK" w:hAnsi="方正楷体_GBK" w:eastAsia="方正楷体_GBK" w:cs="方正楷体_GBK"/>
          <w:b/>
          <w:sz w:val="32"/>
          <w:szCs w:val="32"/>
        </w:rPr>
      </w:pPr>
      <w:bookmarkStart w:id="93" w:name="_Toc14495"/>
      <w:r>
        <w:rPr>
          <w:rFonts w:hint="eastAsia" w:ascii="方正楷体_GBK" w:hAnsi="方正楷体_GBK" w:eastAsia="方正楷体_GBK" w:cs="方正楷体_GBK"/>
          <w:b/>
          <w:sz w:val="32"/>
          <w:szCs w:val="32"/>
          <w:lang w:val="en-US" w:eastAsia="zh-CN"/>
        </w:rPr>
        <w:t>（四）</w:t>
      </w:r>
      <w:r>
        <w:rPr>
          <w:rFonts w:hint="eastAsia" w:ascii="方正楷体_GBK" w:hAnsi="方正楷体_GBK" w:eastAsia="方正楷体_GBK" w:cs="方正楷体_GBK"/>
          <w:b/>
          <w:sz w:val="32"/>
          <w:szCs w:val="32"/>
        </w:rPr>
        <w:t>绩效结果应用情况。</w:t>
      </w:r>
      <w:bookmarkEnd w:id="93"/>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CESI仿宋-GB2312" w:hAnsi="CESI仿宋-GB2312" w:eastAsia="CESI仿宋-GB2312" w:cs="CESI仿宋-GB2312"/>
          <w:color w:val="auto"/>
          <w:sz w:val="32"/>
          <w:szCs w:val="32"/>
          <w:shd w:val="clear" w:color="auto" w:fill="auto"/>
          <w:lang w:val="zh-CN"/>
        </w:rPr>
      </w:pPr>
      <w:r>
        <w:rPr>
          <w:rFonts w:hint="eastAsia" w:ascii="CESI仿宋-GB2312" w:hAnsi="CESI仿宋-GB2312" w:eastAsia="CESI仿宋-GB2312" w:cs="CESI仿宋-GB2312"/>
          <w:color w:val="auto"/>
          <w:sz w:val="32"/>
          <w:szCs w:val="32"/>
          <w:shd w:val="clear" w:color="auto" w:fill="auto"/>
          <w:lang w:val="zh-CN"/>
        </w:rPr>
        <w:t>绩效自评对规范财政资金支出管理、强化绩效目标管理理念、加强资金使用效率起到了积极的促进作用。我局将此次绩效自评的结果运用到2024年工作统筹安排、项目资金合理分配使用上，进一步提高工作效率，保质保量完成县委、县政府交办的各项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CESI仿宋-GB2312" w:hAnsi="CESI仿宋-GB2312" w:eastAsia="CESI仿宋-GB2312" w:cs="CESI仿宋-GB2312"/>
          <w:color w:val="auto"/>
          <w:sz w:val="32"/>
          <w:szCs w:val="32"/>
          <w:shd w:val="clear" w:color="auto" w:fill="auto"/>
          <w:lang w:val="zh-CN"/>
        </w:rPr>
      </w:pPr>
      <w:r>
        <w:rPr>
          <w:rFonts w:hint="eastAsia" w:ascii="CESI仿宋-GB2312" w:hAnsi="CESI仿宋-GB2312" w:eastAsia="CESI仿宋-GB2312" w:cs="CESI仿宋-GB2312"/>
          <w:color w:val="auto"/>
          <w:sz w:val="32"/>
          <w:szCs w:val="32"/>
          <w:shd w:val="clear" w:color="auto" w:fill="auto"/>
          <w:lang w:val="zh-CN"/>
        </w:rPr>
        <w:t>绩效自评工作完成后将结果在“盐边县公众信息网”财政信息版块下的“财政绩效评价信息专栏”进行公示。</w:t>
      </w:r>
    </w:p>
    <w:p>
      <w:pPr>
        <w:widowControl/>
        <w:adjustRightInd w:val="0"/>
        <w:snapToGrid w:val="0"/>
        <w:spacing w:line="580" w:lineRule="exact"/>
        <w:ind w:firstLine="640" w:firstLineChars="200"/>
        <w:contextualSpacing/>
        <w:jc w:val="left"/>
        <w:rPr>
          <w:rFonts w:hint="eastAsia" w:ascii="Times New Roman" w:hAnsi="Times New Roman" w:eastAsia="黑体" w:cs="Times New Roman"/>
          <w:kern w:val="0"/>
          <w:sz w:val="32"/>
          <w:szCs w:val="32"/>
          <w:shd w:val="clear" w:color="auto" w:fill="FFFFFF"/>
          <w:lang w:val="en-US" w:eastAsia="zh-CN"/>
        </w:rPr>
      </w:pPr>
      <w:bookmarkStart w:id="94" w:name="_Toc4495"/>
      <w:r>
        <w:rPr>
          <w:rFonts w:hint="eastAsia" w:ascii="Times New Roman" w:hAnsi="Times New Roman" w:eastAsia="黑体" w:cs="Times New Roman"/>
          <w:kern w:val="0"/>
          <w:sz w:val="32"/>
          <w:szCs w:val="32"/>
          <w:shd w:val="clear" w:color="auto" w:fill="FFFFFF"/>
          <w:lang w:val="en-US" w:eastAsia="zh-CN"/>
        </w:rPr>
        <w:t>四、评价结论及建议</w:t>
      </w:r>
      <w:bookmarkEnd w:id="94"/>
    </w:p>
    <w:p>
      <w:pPr>
        <w:pStyle w:val="4"/>
        <w:keepNext/>
        <w:keepLines/>
        <w:pageBreakBefore w:val="0"/>
        <w:widowControl w:val="0"/>
        <w:kinsoku/>
        <w:wordWrap/>
        <w:overflowPunct/>
        <w:topLinePunct w:val="0"/>
        <w:autoSpaceDE/>
        <w:autoSpaceDN/>
        <w:bidi w:val="0"/>
        <w:adjustRightInd/>
        <w:snapToGrid/>
        <w:spacing w:before="0" w:after="0" w:line="560" w:lineRule="exact"/>
        <w:ind w:firstLine="640" w:firstLineChars="200"/>
        <w:textAlignment w:val="auto"/>
        <w:rPr>
          <w:rFonts w:hint="default" w:ascii="Times New Roman" w:hAnsi="Times New Roman" w:eastAsia="仿宋_GB2312" w:cs="Times New Roman"/>
          <w:b w:val="0"/>
          <w:bCs w:val="0"/>
          <w:color w:val="000000"/>
          <w:kern w:val="2"/>
          <w:sz w:val="32"/>
          <w:szCs w:val="32"/>
          <w:lang w:val="en-US" w:eastAsia="zh-CN" w:bidi="ar-SA"/>
        </w:rPr>
      </w:pPr>
      <w:bookmarkStart w:id="95" w:name="_Toc32362"/>
      <w:bookmarkStart w:id="96" w:name="_Toc31224"/>
      <w:r>
        <w:rPr>
          <w:rFonts w:hint="eastAsia" w:ascii="Times New Roman" w:hAnsi="Times New Roman" w:eastAsia="宋体" w:cs="Times New Roman"/>
          <w:b w:val="0"/>
          <w:bCs w:val="0"/>
          <w:kern w:val="0"/>
          <w:sz w:val="32"/>
          <w:szCs w:val="32"/>
          <w:shd w:val="clear" w:color="auto" w:fill="FFFFFF"/>
          <w:lang w:val="zh-CN" w:eastAsia="zh-CN" w:bidi="ar-SA"/>
        </w:rPr>
        <w:t>（一）评价结论。</w:t>
      </w:r>
      <w:bookmarkEnd w:id="95"/>
      <w:bookmarkEnd w:id="96"/>
      <w:r>
        <w:rPr>
          <w:rFonts w:hint="eastAsia" w:ascii="Times New Roman" w:hAnsi="Times New Roman" w:eastAsia="仿宋_GB2312" w:cs="Times New Roman"/>
          <w:b w:val="0"/>
          <w:bCs w:val="0"/>
          <w:color w:val="000000"/>
          <w:kern w:val="2"/>
          <w:sz w:val="32"/>
          <w:szCs w:val="32"/>
          <w:lang w:val="en-US" w:eastAsia="zh-CN" w:bidi="ar-SA"/>
        </w:rPr>
        <w:t>预算编制情况较好，但项目实际推进较慢，预算执行进度受到一定的影响。</w:t>
      </w:r>
    </w:p>
    <w:p>
      <w:pPr>
        <w:numPr>
          <w:ilvl w:val="0"/>
          <w:numId w:val="0"/>
        </w:numPr>
        <w:snapToGrid w:val="0"/>
        <w:spacing w:line="590" w:lineRule="atLeast"/>
        <w:ind w:firstLine="640" w:firstLineChars="200"/>
        <w:rPr>
          <w:rFonts w:hint="eastAsia" w:ascii="Times New Roman" w:hAnsi="Times New Roman" w:cs="Times New Roman"/>
          <w:kern w:val="0"/>
          <w:sz w:val="32"/>
          <w:szCs w:val="32"/>
          <w:shd w:val="clear" w:color="auto" w:fill="FFFFFF"/>
          <w:lang w:val="zh-CN"/>
        </w:rPr>
      </w:pPr>
      <w:bookmarkStart w:id="97" w:name="_Toc18881"/>
      <w:bookmarkStart w:id="98" w:name="_Toc6189"/>
      <w:r>
        <w:rPr>
          <w:rFonts w:hint="eastAsia" w:ascii="Times New Roman" w:hAnsi="Times New Roman" w:cs="Times New Roman"/>
          <w:kern w:val="0"/>
          <w:sz w:val="32"/>
          <w:szCs w:val="32"/>
          <w:shd w:val="clear" w:color="auto" w:fill="FFFFFF"/>
          <w:lang w:val="zh-CN"/>
        </w:rPr>
        <w:t>（</w:t>
      </w:r>
      <w:r>
        <w:rPr>
          <w:rFonts w:hint="eastAsia" w:ascii="Times New Roman" w:hAnsi="Times New Roman" w:cs="Times New Roman"/>
          <w:kern w:val="0"/>
          <w:sz w:val="32"/>
          <w:szCs w:val="32"/>
          <w:shd w:val="clear" w:color="auto" w:fill="FFFFFF"/>
          <w:lang w:val="en-US" w:eastAsia="zh-CN"/>
        </w:rPr>
        <w:t>二</w:t>
      </w:r>
      <w:r>
        <w:rPr>
          <w:rFonts w:hint="eastAsia" w:ascii="Times New Roman" w:hAnsi="Times New Roman" w:cs="Times New Roman"/>
          <w:kern w:val="0"/>
          <w:sz w:val="32"/>
          <w:szCs w:val="32"/>
          <w:shd w:val="clear" w:color="auto" w:fill="FFFFFF"/>
          <w:lang w:val="zh-CN"/>
        </w:rPr>
        <w:t>）存在问题。</w:t>
      </w:r>
      <w:bookmarkEnd w:id="97"/>
      <w:bookmarkEnd w:id="98"/>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color w:val="000000"/>
          <w:kern w:val="2"/>
          <w:sz w:val="32"/>
          <w:szCs w:val="32"/>
          <w:lang w:val="en-US" w:eastAsia="zh-CN" w:bidi="ar-SA"/>
        </w:rPr>
      </w:pPr>
      <w:r>
        <w:rPr>
          <w:rFonts w:hint="eastAsia" w:ascii="Times New Roman" w:hAnsi="Times New Roman" w:eastAsia="仿宋_GB2312" w:cs="Times New Roman"/>
          <w:b w:val="0"/>
          <w:bCs w:val="0"/>
          <w:color w:val="000000"/>
          <w:kern w:val="2"/>
          <w:sz w:val="32"/>
          <w:szCs w:val="32"/>
          <w:lang w:val="en-US" w:eastAsia="zh-CN" w:bidi="ar-SA"/>
        </w:rPr>
        <w:t>一是年初设置绩效目标不够科学，目标设立不够明确、细化和量化；二是预算执行有待进一步严格，预算编制与实际支出项目有的仍存在差异。三是城市管理基础设施薄弱，日常管理维护人力物力和经费投入不够。</w:t>
      </w:r>
    </w:p>
    <w:p>
      <w:pPr>
        <w:snapToGrid w:val="0"/>
        <w:spacing w:line="590" w:lineRule="atLeast"/>
        <w:ind w:firstLine="640" w:firstLineChars="200"/>
        <w:rPr>
          <w:rFonts w:hint="eastAsia" w:ascii="Times New Roman" w:hAnsi="Times New Roman" w:cs="Times New Roman"/>
          <w:kern w:val="0"/>
          <w:sz w:val="32"/>
          <w:szCs w:val="32"/>
          <w:shd w:val="clear" w:color="auto" w:fill="FFFFFF"/>
          <w:lang w:val="zh-CN"/>
        </w:rPr>
      </w:pPr>
      <w:bookmarkStart w:id="99" w:name="_Toc15390"/>
      <w:bookmarkStart w:id="100" w:name="_Toc22344"/>
      <w:r>
        <w:rPr>
          <w:rFonts w:hint="eastAsia" w:ascii="Times New Roman" w:hAnsi="Times New Roman" w:cs="Times New Roman"/>
          <w:kern w:val="0"/>
          <w:sz w:val="32"/>
          <w:szCs w:val="32"/>
          <w:shd w:val="clear" w:color="auto" w:fill="FFFFFF"/>
          <w:lang w:val="zh-CN"/>
        </w:rPr>
        <w:t>（三）改进建议。</w:t>
      </w:r>
      <w:bookmarkEnd w:id="99"/>
      <w:bookmarkEnd w:id="100"/>
    </w:p>
    <w:p>
      <w:pPr>
        <w:snapToGrid w:val="0"/>
        <w:spacing w:line="590" w:lineRule="atLeast"/>
        <w:ind w:firstLine="640" w:firstLineChars="200"/>
        <w:rPr>
          <w:rFonts w:hint="default" w:ascii="CESI仿宋-GB2312" w:hAnsi="CESI仿宋-GB2312" w:eastAsia="CESI仿宋-GB2312" w:cs="CESI仿宋-GB2312"/>
          <w:bCs/>
          <w:sz w:val="32"/>
          <w:szCs w:val="32"/>
        </w:rPr>
      </w:pPr>
      <w:r>
        <w:rPr>
          <w:rFonts w:hint="eastAsia" w:ascii="CESI仿宋-GB2312" w:hAnsi="CESI仿宋-GB2312" w:eastAsia="CESI仿宋-GB2312" w:cs="CESI仿宋-GB2312"/>
          <w:bCs/>
          <w:sz w:val="32"/>
          <w:szCs w:val="32"/>
        </w:rPr>
        <w:t>一是加强绩效评价相关文件和知识的学习，提升绩效自评能力，结合单位实际和项目资金科学、合理设置绩效目标，尽可能细化、量化</w:t>
      </w:r>
      <w:r>
        <w:rPr>
          <w:rFonts w:hint="eastAsia" w:ascii="CESI仿宋-GB2312" w:hAnsi="CESI仿宋-GB2312" w:eastAsia="CESI仿宋-GB2312" w:cs="CESI仿宋-GB2312"/>
          <w:bCs/>
          <w:sz w:val="32"/>
          <w:szCs w:val="32"/>
          <w:lang w:eastAsia="zh-CN"/>
        </w:rPr>
        <w:t>。</w:t>
      </w:r>
      <w:r>
        <w:rPr>
          <w:rFonts w:hint="eastAsia" w:ascii="CESI仿宋-GB2312" w:hAnsi="CESI仿宋-GB2312" w:eastAsia="CESI仿宋-GB2312" w:cs="CESI仿宋-GB2312"/>
          <w:bCs/>
          <w:sz w:val="32"/>
          <w:szCs w:val="32"/>
        </w:rPr>
        <w:t>二是加强预算编制的合理性，细化预算编制，严格预算执行。进一步加强单位内部机构各科室的预算管理意识，严格按照预算编制的相关制度和要求进行预算编制。严格按照预算规定的项目和用途抓好财务审核关，强化财务核算，切实提高部门预算收支管理水平。三是建立从根本上解决问题的长效机制，加强建设基础设施薄弱环节，及时解决问题。</w:t>
      </w:r>
    </w:p>
    <w:p>
      <w:pPr>
        <w:snapToGrid w:val="0"/>
        <w:spacing w:line="590" w:lineRule="atLeast"/>
        <w:ind w:firstLine="640" w:firstLineChars="200"/>
        <w:rPr>
          <w:rFonts w:hint="default" w:ascii="CESI仿宋-GB2312" w:hAnsi="CESI仿宋-GB2312" w:eastAsia="CESI仿宋-GB2312" w:cs="CESI仿宋-GB2312"/>
          <w:bCs/>
          <w:sz w:val="32"/>
          <w:szCs w:val="32"/>
          <w:lang w:val="zh-CN"/>
        </w:rPr>
      </w:pPr>
    </w:p>
    <w:p>
      <w:pPr>
        <w:widowControl/>
        <w:adjustRightInd w:val="0"/>
        <w:snapToGrid w:val="0"/>
        <w:spacing w:line="580" w:lineRule="exact"/>
        <w:ind w:firstLine="640" w:firstLineChars="200"/>
        <w:contextualSpacing/>
        <w:jc w:val="left"/>
        <w:rPr>
          <w:rFonts w:hint="default" w:ascii="Times New Roman" w:hAnsi="Times New Roman" w:cs="Times New Roman"/>
          <w:sz w:val="32"/>
          <w:lang w:val="zh-CN"/>
        </w:rPr>
      </w:pPr>
      <w:r>
        <w:rPr>
          <w:rFonts w:hint="eastAsia" w:ascii="Times New Roman" w:hAnsi="Times New Roman" w:cs="Times New Roman"/>
          <w:sz w:val="32"/>
          <w:lang w:val="zh-CN"/>
        </w:rPr>
        <w:t>附表：部门预算项目支出绩效自评表（2023年度）</w:t>
      </w:r>
    </w:p>
    <w:p>
      <w:pPr>
        <w:ind w:firstLine="640" w:firstLineChars="200"/>
        <w:rPr>
          <w:rFonts w:eastAsia="仿宋_GB2312"/>
          <w:sz w:val="32"/>
          <w:szCs w:val="32"/>
          <w:lang w:val="zh-CN"/>
        </w:rPr>
      </w:pPr>
    </w:p>
    <w:p/>
    <w:p/>
    <w:p/>
    <w:p/>
    <w:p/>
    <w:p/>
    <w:p/>
    <w:p/>
    <w:p/>
    <w:p/>
    <w:p>
      <w:pPr>
        <w:pStyle w:val="5"/>
      </w:pPr>
    </w:p>
    <w:p>
      <w:pPr>
        <w:pStyle w:val="6"/>
        <w:rPr>
          <w:rFonts w:hint="eastAsia" w:ascii="黑体" w:hAnsi="黑体" w:eastAsia="黑体" w:cs="黑体"/>
          <w:kern w:val="0"/>
          <w:sz w:val="32"/>
          <w:szCs w:val="32"/>
          <w:shd w:val="clear" w:color="auto" w:fill="FFFFFF"/>
          <w:lang w:val="zh-CN"/>
        </w:rPr>
      </w:pPr>
      <w:bookmarkStart w:id="101" w:name="_Toc12353"/>
      <w:r>
        <w:rPr>
          <w:rFonts w:hint="eastAsia" w:ascii="黑体" w:hAnsi="黑体" w:eastAsia="黑体" w:cs="黑体"/>
          <w:kern w:val="0"/>
          <w:sz w:val="32"/>
          <w:szCs w:val="32"/>
          <w:shd w:val="clear" w:color="auto" w:fill="FFFFFF"/>
          <w:lang w:val="zh-CN"/>
        </w:rPr>
        <w:t>附件2</w:t>
      </w:r>
      <w:bookmarkEnd w:id="101"/>
    </w:p>
    <w:p>
      <w:pPr>
        <w:pStyle w:val="35"/>
        <w:spacing w:line="578" w:lineRule="exact"/>
        <w:jc w:val="center"/>
        <w:rPr>
          <w:rFonts w:hint="eastAsia" w:ascii="方正小标宋简体" w:hAnsi="方正小标宋简体" w:eastAsia="方正小标宋简体" w:cs="方正小标宋简体"/>
          <w:color w:val="auto"/>
          <w:kern w:val="2"/>
          <w:sz w:val="44"/>
          <w:szCs w:val="44"/>
          <w:lang w:val="en-US"/>
        </w:rPr>
      </w:pPr>
      <w:r>
        <w:rPr>
          <w:rFonts w:hint="eastAsia" w:ascii="方正小标宋简体" w:hAnsi="方正小标宋简体" w:eastAsia="方正小标宋简体" w:cs="方正小标宋简体"/>
          <w:color w:val="auto"/>
          <w:kern w:val="2"/>
          <w:sz w:val="44"/>
          <w:szCs w:val="44"/>
          <w:lang w:val="en-US"/>
        </w:rPr>
        <w:t>专项预算项目绩效评价报告</w:t>
      </w:r>
    </w:p>
    <w:p>
      <w:pPr>
        <w:jc w:val="center"/>
        <w:rPr>
          <w:rFonts w:hint="eastAsia" w:ascii="Times New Roman" w:hAnsi="Times New Roman" w:eastAsia="仿宋-GB3212" w:cs="Times New Roman"/>
          <w:sz w:val="32"/>
          <w:szCs w:val="32"/>
          <w:highlight w:val="none"/>
        </w:rPr>
      </w:pPr>
      <w:r>
        <w:rPr>
          <w:rFonts w:hint="eastAsia" w:ascii="Times New Roman" w:hAnsi="Times New Roman" w:eastAsia="仿宋-GB3212" w:cs="Times New Roman"/>
          <w:sz w:val="32"/>
          <w:szCs w:val="32"/>
          <w:highlight w:val="none"/>
        </w:rPr>
        <w:t>（三救三献项目）</w:t>
      </w:r>
    </w:p>
    <w:p>
      <w:pPr>
        <w:adjustRightInd w:val="0"/>
        <w:snapToGrid w:val="0"/>
        <w:spacing w:line="578" w:lineRule="exact"/>
        <w:ind w:firstLine="720"/>
        <w:rPr>
          <w:rFonts w:hint="eastAsia" w:ascii="黑体" w:hAnsi="宋体" w:eastAsia="黑体" w:cs="Times New Roman"/>
          <w:sz w:val="32"/>
          <w:szCs w:val="32"/>
          <w:lang w:val="zh-CN" w:eastAsia="zh-CN"/>
        </w:rPr>
      </w:pPr>
      <w:bookmarkStart w:id="102" w:name="_Toc30746"/>
      <w:r>
        <w:rPr>
          <w:rFonts w:hint="eastAsia" w:ascii="黑体" w:hAnsi="宋体" w:eastAsia="黑体" w:cs="Times New Roman"/>
          <w:sz w:val="32"/>
          <w:szCs w:val="32"/>
          <w:lang w:val="zh-CN" w:eastAsia="zh-CN"/>
        </w:rPr>
        <w:t>一、项目概况</w:t>
      </w:r>
      <w:bookmarkEnd w:id="102"/>
    </w:p>
    <w:p>
      <w:pPr>
        <w:spacing w:line="560" w:lineRule="exact"/>
        <w:ind w:firstLine="642" w:firstLineChars="200"/>
        <w:rPr>
          <w:rFonts w:hint="eastAsia" w:ascii="楷体_GB2312" w:hAnsi="宋体" w:eastAsia="楷体_GB2312" w:cs="Times New Roman"/>
          <w:b/>
          <w:sz w:val="32"/>
          <w:szCs w:val="32"/>
          <w:lang w:val="zh-CN"/>
        </w:rPr>
      </w:pPr>
      <w:r>
        <w:rPr>
          <w:rFonts w:hint="eastAsia" w:ascii="楷体_GB2312" w:hAnsi="宋体" w:eastAsia="楷体_GB2312" w:cs="Times New Roman"/>
          <w:b/>
          <w:sz w:val="32"/>
          <w:szCs w:val="32"/>
          <w:lang w:val="zh-CN"/>
        </w:rPr>
        <w:t>（一）设立背景及基本情况。</w:t>
      </w:r>
    </w:p>
    <w:p>
      <w:pPr>
        <w:spacing w:line="560" w:lineRule="exact"/>
        <w:ind w:firstLine="640" w:firstLineChars="200"/>
        <w:rPr>
          <w:rFonts w:hint="default" w:ascii="CESI仿宋-GB2312" w:hAnsi="CESI仿宋-GB2312" w:eastAsia="CESI仿宋-GB2312" w:cs="CESI仿宋-GB2312"/>
          <w:b w:val="0"/>
          <w:bCs/>
          <w:sz w:val="32"/>
          <w:szCs w:val="32"/>
          <w:lang w:val="zh-CN" w:eastAsia="zh-CN"/>
        </w:rPr>
      </w:pPr>
      <w:r>
        <w:rPr>
          <w:rFonts w:hint="eastAsia" w:ascii="Times New Roman" w:hAnsi="Times New Roman" w:eastAsia="仿宋-GB3212" w:cs="Times New Roman"/>
          <w:sz w:val="32"/>
          <w:szCs w:val="32"/>
          <w:highlight w:val="none"/>
        </w:rPr>
        <w:t>2</w:t>
      </w:r>
      <w:r>
        <w:rPr>
          <w:rFonts w:hint="eastAsia" w:ascii="CESI仿宋-GB2312" w:hAnsi="CESI仿宋-GB2312" w:eastAsia="CESI仿宋-GB2312" w:cs="CESI仿宋-GB2312"/>
          <w:b w:val="0"/>
          <w:bCs/>
          <w:sz w:val="32"/>
          <w:szCs w:val="32"/>
          <w:lang w:val="zh-CN" w:eastAsia="zh-CN"/>
        </w:rPr>
        <w:t>021年11月，县委批复设立县红十字会，明确盐边县红十字会是由县委领导分管、县政府领导联系的依法独立从事人道主义工作的社会救助团体，是中国红十字会总会所属的地方红十字组织，纳入群团序列管理。我县依法成立了理事会、监事会，落实了独立办公场所、救灾物资仓库等，独立开展县红十字会工作。红十字会主要职责为制定并实施盐边县红十字事业发展规划；开展救援救灾的相关工作；开展应急救护培训；参与推动无偿献血、遗体和人体器官（组织）捐献工作，参与开展造血干细胞捐献工作；开展募捐、红十字志愿服务工作。2023年经预算，需要经费6.83万元。</w:t>
      </w:r>
    </w:p>
    <w:p>
      <w:pPr>
        <w:spacing w:line="560" w:lineRule="exact"/>
        <w:ind w:firstLine="640" w:firstLineChars="200"/>
        <w:rPr>
          <w:rFonts w:hint="default" w:ascii="CESI仿宋-GB2312" w:hAnsi="CESI仿宋-GB2312" w:eastAsia="CESI仿宋-GB2312" w:cs="CESI仿宋-GB2312"/>
          <w:b w:val="0"/>
          <w:bCs/>
          <w:sz w:val="32"/>
          <w:szCs w:val="32"/>
          <w:lang w:val="zh-CN" w:eastAsia="zh-CN"/>
        </w:rPr>
      </w:pPr>
      <w:r>
        <w:rPr>
          <w:rFonts w:hint="eastAsia" w:ascii="CESI仿宋-GB2312" w:hAnsi="CESI仿宋-GB2312" w:eastAsia="CESI仿宋-GB2312" w:cs="CESI仿宋-GB2312"/>
          <w:b w:val="0"/>
          <w:bCs/>
          <w:sz w:val="32"/>
          <w:szCs w:val="32"/>
          <w:lang w:val="zh-CN" w:eastAsia="zh-CN"/>
        </w:rPr>
        <w:t>主管部门职能：完成应急救护培训任务、开展红十字生命教育工作，开展人道动员宣传工作，开展人道救援及生命教育宣传，开展基层组织建设和红十字志愿服务，红十字青少年工作。开展筹资工作，参与腾讯99公益日活动等，开展红十字救灾备灾工作，完善赈济救援队装备及强化培训。</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楷体_GB2312" w:hAnsi="宋体" w:eastAsia="楷体_GB2312" w:cs="Times New Roman"/>
          <w:b/>
          <w:sz w:val="32"/>
          <w:szCs w:val="32"/>
          <w:lang w:val="zh-CN"/>
        </w:rPr>
      </w:pPr>
      <w:r>
        <w:rPr>
          <w:rFonts w:hint="eastAsia" w:ascii="楷体_GB2312" w:hAnsi="宋体" w:eastAsia="楷体_GB2312" w:cs="Times New Roman"/>
          <w:b/>
          <w:sz w:val="32"/>
          <w:szCs w:val="32"/>
          <w:lang w:val="zh-CN"/>
        </w:rPr>
        <w:t>（</w:t>
      </w:r>
      <w:r>
        <w:rPr>
          <w:rFonts w:hint="eastAsia" w:ascii="楷体_GB2312" w:hAnsi="宋体" w:eastAsia="楷体_GB2312" w:cs="Times New Roman"/>
          <w:b/>
          <w:sz w:val="32"/>
          <w:szCs w:val="32"/>
          <w:lang w:val="en-US" w:eastAsia="zh-CN"/>
        </w:rPr>
        <w:t>二</w:t>
      </w:r>
      <w:r>
        <w:rPr>
          <w:rFonts w:hint="eastAsia" w:ascii="楷体_GB2312" w:hAnsi="宋体" w:eastAsia="楷体_GB2312" w:cs="Times New Roman"/>
          <w:b/>
          <w:sz w:val="32"/>
          <w:szCs w:val="32"/>
          <w:lang w:val="zh-CN"/>
        </w:rPr>
        <w:t>）实施目的及支持方向。</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CESI仿宋-GB2312" w:hAnsi="CESI仿宋-GB2312" w:eastAsia="CESI仿宋-GB2312" w:cs="CESI仿宋-GB2312"/>
          <w:b w:val="0"/>
          <w:bCs/>
          <w:sz w:val="32"/>
          <w:szCs w:val="32"/>
          <w:lang w:val="zh-CN" w:eastAsia="zh-CN"/>
        </w:rPr>
      </w:pPr>
      <w:r>
        <w:rPr>
          <w:rFonts w:hint="eastAsia" w:ascii="CESI仿宋-GB2312" w:hAnsi="CESI仿宋-GB2312" w:eastAsia="CESI仿宋-GB2312" w:cs="CESI仿宋-GB2312"/>
          <w:b w:val="0"/>
          <w:bCs/>
          <w:sz w:val="32"/>
          <w:szCs w:val="32"/>
          <w:lang w:val="zh-CN" w:eastAsia="zh-CN"/>
        </w:rPr>
        <w:t>制定了项目支出审批流程，项目资金严格按照合同约定和绩效考核结果进行支出，并履行部门决策程序。项目资金用于支付三救三献培训费、差旅费、办公费。</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楷体_GB2312" w:hAnsi="宋体" w:eastAsia="楷体_GB2312" w:cs="Times New Roman"/>
          <w:b/>
          <w:sz w:val="32"/>
          <w:szCs w:val="32"/>
          <w:lang w:val="zh-CN"/>
        </w:rPr>
      </w:pPr>
      <w:r>
        <w:rPr>
          <w:rFonts w:hint="eastAsia" w:ascii="楷体_GB2312" w:hAnsi="宋体" w:eastAsia="楷体_GB2312" w:cs="Times New Roman"/>
          <w:b/>
          <w:sz w:val="32"/>
          <w:szCs w:val="32"/>
          <w:lang w:val="zh-CN"/>
        </w:rPr>
        <w:t>（</w:t>
      </w:r>
      <w:r>
        <w:rPr>
          <w:rFonts w:hint="eastAsia" w:ascii="楷体_GB2312" w:hAnsi="宋体" w:eastAsia="楷体_GB2312" w:cs="Times New Roman"/>
          <w:b/>
          <w:sz w:val="32"/>
          <w:szCs w:val="32"/>
          <w:lang w:val="en-US" w:eastAsia="zh-CN"/>
        </w:rPr>
        <w:t>三</w:t>
      </w:r>
      <w:r>
        <w:rPr>
          <w:rFonts w:hint="eastAsia" w:ascii="楷体_GB2312" w:hAnsi="宋体" w:eastAsia="楷体_GB2312" w:cs="Times New Roman"/>
          <w:b/>
          <w:sz w:val="32"/>
          <w:szCs w:val="32"/>
          <w:lang w:val="zh-CN"/>
        </w:rPr>
        <w:t>）预算安排及分配管理。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CESI仿宋-GB2312" w:hAnsi="CESI仿宋-GB2312" w:eastAsia="CESI仿宋-GB2312" w:cs="CESI仿宋-GB2312"/>
          <w:b w:val="0"/>
          <w:bCs/>
          <w:sz w:val="32"/>
          <w:szCs w:val="32"/>
          <w:lang w:val="zh-CN" w:eastAsia="zh-CN"/>
        </w:rPr>
      </w:pPr>
      <w:r>
        <w:rPr>
          <w:rFonts w:hint="eastAsia" w:ascii="CESI仿宋-GB2312" w:hAnsi="CESI仿宋-GB2312" w:eastAsia="CESI仿宋-GB2312" w:cs="CESI仿宋-GB2312"/>
          <w:b w:val="0"/>
          <w:bCs/>
          <w:sz w:val="32"/>
          <w:szCs w:val="32"/>
          <w:lang w:val="zh-CN" w:eastAsia="zh-CN"/>
        </w:rPr>
        <w:t>项目资金按照每次发生培训费、差旅费、劳务费据实支付金额。</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楷体_GB2312" w:hAnsi="宋体" w:eastAsia="楷体_GB2312" w:cs="Times New Roman"/>
          <w:b/>
          <w:sz w:val="32"/>
          <w:szCs w:val="32"/>
          <w:lang w:val="zh-CN"/>
        </w:rPr>
      </w:pPr>
      <w:r>
        <w:rPr>
          <w:rFonts w:hint="eastAsia" w:ascii="楷体_GB2312" w:hAnsi="宋体" w:eastAsia="楷体_GB2312" w:cs="Times New Roman"/>
          <w:b/>
          <w:sz w:val="32"/>
          <w:szCs w:val="32"/>
          <w:lang w:val="zh-CN"/>
        </w:rPr>
        <w:t>（</w:t>
      </w:r>
      <w:r>
        <w:rPr>
          <w:rFonts w:hint="eastAsia" w:ascii="楷体_GB2312" w:hAnsi="宋体" w:eastAsia="楷体_GB2312" w:cs="Times New Roman"/>
          <w:b/>
          <w:sz w:val="32"/>
          <w:szCs w:val="32"/>
          <w:lang w:val="en-US" w:eastAsia="zh-CN"/>
        </w:rPr>
        <w:t>四</w:t>
      </w:r>
      <w:r>
        <w:rPr>
          <w:rFonts w:hint="eastAsia" w:ascii="楷体_GB2312" w:hAnsi="宋体" w:eastAsia="楷体_GB2312" w:cs="Times New Roman"/>
          <w:b/>
          <w:sz w:val="32"/>
          <w:szCs w:val="32"/>
          <w:lang w:val="zh-CN"/>
        </w:rPr>
        <w:t>）项目绩效目标设置。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CESI仿宋-GB2312" w:hAnsi="CESI仿宋-GB2312" w:eastAsia="CESI仿宋-GB2312" w:cs="CESI仿宋-GB2312"/>
          <w:b w:val="0"/>
          <w:bCs/>
          <w:sz w:val="32"/>
          <w:szCs w:val="32"/>
          <w:lang w:val="zh-CN" w:eastAsia="zh-CN"/>
        </w:rPr>
      </w:pPr>
      <w:r>
        <w:rPr>
          <w:rFonts w:hint="eastAsia" w:ascii="CESI仿宋-GB2312" w:hAnsi="CESI仿宋-GB2312" w:eastAsia="CESI仿宋-GB2312" w:cs="CESI仿宋-GB2312"/>
          <w:b w:val="0"/>
          <w:bCs/>
          <w:sz w:val="32"/>
          <w:szCs w:val="32"/>
          <w:lang w:val="zh-CN" w:eastAsia="zh-CN"/>
        </w:rPr>
        <w:t>2023年完成应急救护培训，救护员培训300人以上，应急救护普训2000人以上；开展红十字生命教育工作，宣传献血，推动造血干细胞采集和遗体、眼角膜捐献报名宣传登记工作，人道慰问和人道救助项目。开展人道动员宣传工作等，符合省、市红十字会提升能力建设的要求，通过开展应急救护，宣传红十字精神，具有现实需要，具有明显的经济、社会、环境或可持续性效益等必要性。</w:t>
      </w:r>
      <w:bookmarkStart w:id="103" w:name="_Toc25079"/>
    </w:p>
    <w:p>
      <w:pPr>
        <w:adjustRightInd w:val="0"/>
        <w:snapToGrid w:val="0"/>
        <w:spacing w:line="578" w:lineRule="exact"/>
        <w:ind w:firstLine="720"/>
        <w:rPr>
          <w:rFonts w:hint="eastAsia" w:ascii="黑体" w:hAnsi="宋体" w:eastAsia="黑体" w:cs="Times New Roman"/>
          <w:sz w:val="32"/>
          <w:szCs w:val="32"/>
          <w:lang w:val="zh-CN" w:eastAsia="zh-CN"/>
        </w:rPr>
      </w:pPr>
      <w:r>
        <w:rPr>
          <w:rFonts w:hint="eastAsia" w:ascii="黑体" w:hAnsi="宋体" w:eastAsia="黑体" w:cs="Times New Roman"/>
          <w:sz w:val="32"/>
          <w:szCs w:val="32"/>
          <w:lang w:val="zh-CN" w:eastAsia="zh-CN"/>
        </w:rPr>
        <w:t>二、评价实施</w:t>
      </w:r>
      <w:bookmarkEnd w:id="103"/>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outlineLvl w:val="2"/>
        <w:rPr>
          <w:rFonts w:hint="eastAsia" w:ascii="楷体_GB2312" w:hAnsi="宋体" w:eastAsia="楷体_GB2312" w:cs="Times New Roman"/>
          <w:b/>
          <w:sz w:val="32"/>
          <w:szCs w:val="32"/>
          <w:lang w:val="zh-CN"/>
        </w:rPr>
      </w:pPr>
      <w:bookmarkStart w:id="104" w:name="_Toc29463"/>
      <w:r>
        <w:rPr>
          <w:rFonts w:hint="eastAsia" w:ascii="楷体_GB2312" w:hAnsi="宋体" w:eastAsia="楷体_GB2312" w:cs="Times New Roman"/>
          <w:b/>
          <w:sz w:val="32"/>
          <w:szCs w:val="32"/>
          <w:lang w:val="zh-CN"/>
        </w:rPr>
        <w:t>（一）评价目的。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CESI仿宋-GB2312" w:hAnsi="CESI仿宋-GB2312" w:eastAsia="CESI仿宋-GB2312" w:cs="CESI仿宋-GB2312"/>
          <w:b w:val="0"/>
          <w:bCs/>
          <w:sz w:val="32"/>
          <w:szCs w:val="32"/>
          <w:lang w:val="zh-CN" w:eastAsia="zh-CN"/>
        </w:rPr>
      </w:pPr>
      <w:r>
        <w:rPr>
          <w:rFonts w:hint="eastAsia" w:ascii="CESI仿宋-GB2312" w:hAnsi="CESI仿宋-GB2312" w:eastAsia="CESI仿宋-GB2312" w:cs="CESI仿宋-GB2312"/>
          <w:b w:val="0"/>
          <w:bCs/>
          <w:sz w:val="32"/>
          <w:szCs w:val="32"/>
          <w:lang w:val="zh-CN" w:eastAsia="zh-CN"/>
        </w:rPr>
        <w:t>通过项目绩效自评要实现的目的。</w:t>
      </w:r>
      <w:bookmarkEnd w:id="104"/>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楷体_GB2312" w:hAnsi="宋体" w:eastAsia="楷体_GB2312" w:cs="Times New Roman"/>
          <w:b/>
          <w:sz w:val="32"/>
          <w:szCs w:val="32"/>
          <w:lang w:val="zh-CN"/>
        </w:rPr>
      </w:pPr>
      <w:r>
        <w:rPr>
          <w:rFonts w:hint="eastAsia" w:ascii="楷体_GB2312" w:hAnsi="宋体" w:eastAsia="楷体_GB2312" w:cs="Times New Roman"/>
          <w:b/>
          <w:sz w:val="32"/>
          <w:szCs w:val="32"/>
          <w:lang w:val="zh-CN"/>
        </w:rPr>
        <w:t>（二）预设问题及评价重点。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CESI仿宋-GB2312" w:hAnsi="CESI仿宋-GB2312" w:eastAsia="CESI仿宋-GB2312" w:cs="CESI仿宋-GB2312"/>
          <w:b w:val="0"/>
          <w:bCs/>
          <w:sz w:val="32"/>
          <w:szCs w:val="32"/>
          <w:lang w:val="zh-CN" w:eastAsia="zh-CN"/>
        </w:rPr>
      </w:pPr>
      <w:r>
        <w:rPr>
          <w:rFonts w:hint="eastAsia" w:ascii="CESI仿宋-GB2312" w:hAnsi="CESI仿宋-GB2312" w:eastAsia="CESI仿宋-GB2312" w:cs="CESI仿宋-GB2312"/>
          <w:b w:val="0"/>
          <w:bCs/>
          <w:sz w:val="32"/>
          <w:szCs w:val="32"/>
          <w:lang w:val="zh-CN" w:eastAsia="zh-CN"/>
        </w:rPr>
        <w:t>按照绩效评价指标体系，对资金支出使用全过程进行综合评价。</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楷体_GB2312" w:hAnsi="宋体" w:eastAsia="楷体_GB2312" w:cs="Times New Roman"/>
          <w:b/>
          <w:sz w:val="32"/>
          <w:szCs w:val="32"/>
          <w:lang w:val="zh-CN"/>
        </w:rPr>
      </w:pPr>
      <w:bookmarkStart w:id="105" w:name="_Toc23231"/>
      <w:r>
        <w:rPr>
          <w:rFonts w:hint="eastAsia" w:ascii="楷体_GB2312" w:hAnsi="宋体" w:eastAsia="楷体_GB2312" w:cs="Times New Roman"/>
          <w:b/>
          <w:sz w:val="32"/>
          <w:szCs w:val="32"/>
          <w:lang w:val="zh-CN"/>
        </w:rPr>
        <w:t>（三）评价选点。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CESI仿宋-GB2312" w:hAnsi="CESI仿宋-GB2312" w:eastAsia="CESI仿宋-GB2312" w:cs="CESI仿宋-GB2312"/>
          <w:b w:val="0"/>
          <w:bCs/>
          <w:sz w:val="32"/>
          <w:szCs w:val="32"/>
          <w:lang w:val="zh-CN" w:eastAsia="zh-CN"/>
        </w:rPr>
      </w:pPr>
      <w:r>
        <w:rPr>
          <w:rFonts w:hint="eastAsia" w:ascii="CESI仿宋-GB2312" w:hAnsi="CESI仿宋-GB2312" w:eastAsia="CESI仿宋-GB2312" w:cs="CESI仿宋-GB2312"/>
          <w:b w:val="0"/>
          <w:bCs/>
          <w:sz w:val="32"/>
          <w:szCs w:val="32"/>
          <w:lang w:val="zh-CN" w:eastAsia="zh-CN"/>
        </w:rPr>
        <w:t>无。</w:t>
      </w:r>
      <w:bookmarkEnd w:id="105"/>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楷体_GB2312" w:hAnsi="宋体" w:eastAsia="楷体_GB2312" w:cs="Times New Roman"/>
          <w:b/>
          <w:sz w:val="32"/>
          <w:szCs w:val="32"/>
          <w:lang w:val="zh-CN"/>
        </w:rPr>
      </w:pPr>
      <w:r>
        <w:rPr>
          <w:rFonts w:hint="eastAsia" w:ascii="楷体_GB2312" w:hAnsi="宋体" w:eastAsia="楷体_GB2312" w:cs="Times New Roman"/>
          <w:b/>
          <w:sz w:val="32"/>
          <w:szCs w:val="32"/>
          <w:lang w:val="zh-CN"/>
        </w:rPr>
        <w:t>（四）评价方法。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CESI仿宋-GB2312" w:hAnsi="CESI仿宋-GB2312" w:eastAsia="CESI仿宋-GB2312" w:cs="CESI仿宋-GB2312"/>
          <w:b w:val="0"/>
          <w:bCs/>
          <w:sz w:val="32"/>
          <w:szCs w:val="32"/>
          <w:lang w:val="zh-CN" w:eastAsia="zh-CN"/>
        </w:rPr>
      </w:pPr>
      <w:r>
        <w:rPr>
          <w:rFonts w:hint="eastAsia" w:ascii="CESI仿宋-GB2312" w:hAnsi="CESI仿宋-GB2312" w:eastAsia="CESI仿宋-GB2312" w:cs="CESI仿宋-GB2312"/>
          <w:b w:val="0"/>
          <w:bCs/>
          <w:sz w:val="32"/>
          <w:szCs w:val="32"/>
          <w:lang w:val="zh-CN" w:eastAsia="zh-CN"/>
        </w:rPr>
        <w:t>根据本项目情况和评价重点，采用成本效益分析法、单位自评法、实地勘察法等多种方法对项目绩效进行评价。</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楷体_GB2312" w:hAnsi="宋体" w:eastAsia="楷体_GB2312" w:cs="Times New Roman"/>
          <w:b/>
          <w:sz w:val="32"/>
          <w:szCs w:val="32"/>
          <w:lang w:val="zh-CN"/>
        </w:rPr>
      </w:pPr>
      <w:bookmarkStart w:id="106" w:name="_Toc32032"/>
      <w:r>
        <w:rPr>
          <w:rFonts w:hint="eastAsia" w:ascii="楷体_GB2312" w:hAnsi="宋体" w:eastAsia="楷体_GB2312" w:cs="Times New Roman"/>
          <w:b/>
          <w:sz w:val="32"/>
          <w:szCs w:val="32"/>
          <w:lang w:val="zh-CN"/>
        </w:rPr>
        <w:t>（五）评价组织。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CESI仿宋-GB2312" w:hAnsi="CESI仿宋-GB2312" w:eastAsia="CESI仿宋-GB2312" w:cs="CESI仿宋-GB2312"/>
          <w:b w:val="0"/>
          <w:bCs/>
          <w:sz w:val="32"/>
          <w:szCs w:val="32"/>
          <w:lang w:val="zh-CN" w:eastAsia="zh-CN"/>
        </w:rPr>
      </w:pPr>
      <w:r>
        <w:rPr>
          <w:rFonts w:hint="eastAsia" w:ascii="CESI仿宋-GB2312" w:hAnsi="CESI仿宋-GB2312" w:eastAsia="CESI仿宋-GB2312" w:cs="CESI仿宋-GB2312"/>
          <w:b w:val="0"/>
          <w:bCs/>
          <w:sz w:val="32"/>
          <w:szCs w:val="32"/>
          <w:lang w:val="zh-CN" w:eastAsia="zh-CN"/>
        </w:rPr>
        <w:t>无。</w:t>
      </w:r>
      <w:bookmarkEnd w:id="106"/>
    </w:p>
    <w:p>
      <w:pPr>
        <w:adjustRightInd w:val="0"/>
        <w:snapToGrid w:val="0"/>
        <w:spacing w:line="578" w:lineRule="exact"/>
        <w:ind w:firstLine="720"/>
        <w:rPr>
          <w:rFonts w:hint="eastAsia" w:ascii="黑体" w:hAnsi="宋体" w:eastAsia="黑体" w:cs="Times New Roman"/>
          <w:sz w:val="32"/>
          <w:szCs w:val="32"/>
          <w:lang w:val="zh-CN" w:eastAsia="zh-CN"/>
        </w:rPr>
      </w:pPr>
      <w:bookmarkStart w:id="107" w:name="_Toc19107"/>
      <w:r>
        <w:rPr>
          <w:rFonts w:hint="eastAsia" w:ascii="黑体" w:hAnsi="宋体" w:eastAsia="黑体" w:cs="Times New Roman"/>
          <w:sz w:val="32"/>
          <w:szCs w:val="32"/>
          <w:lang w:val="zh-CN" w:eastAsia="zh-CN"/>
        </w:rPr>
        <w:t>三、绩效分析</w:t>
      </w:r>
      <w:bookmarkEnd w:id="107"/>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CESI仿宋-GB2312" w:hAnsi="CESI仿宋-GB2312" w:eastAsia="CESI仿宋-GB2312" w:cs="CESI仿宋-GB2312"/>
          <w:b w:val="0"/>
          <w:bCs/>
          <w:sz w:val="32"/>
          <w:szCs w:val="32"/>
          <w:lang w:val="zh-CN" w:eastAsia="zh-CN"/>
        </w:rPr>
      </w:pPr>
      <w:r>
        <w:rPr>
          <w:rFonts w:hint="eastAsia" w:ascii="CESI仿宋-GB2312" w:hAnsi="CESI仿宋-GB2312" w:eastAsia="CESI仿宋-GB2312" w:cs="CESI仿宋-GB2312"/>
          <w:b w:val="0"/>
          <w:bCs/>
          <w:sz w:val="32"/>
          <w:szCs w:val="32"/>
          <w:lang w:val="zh-CN" w:eastAsia="zh-CN"/>
        </w:rPr>
        <w:t>根据项目预算绩效评价指标体系“通用指标”“专用指标”“个性指标”涉及二、三级指标进行逐项绩效分析并评分。</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default" w:ascii="楷体_GB2312" w:hAnsi="宋体" w:eastAsia="楷体_GB2312" w:cs="Times New Roman"/>
          <w:b/>
          <w:sz w:val="32"/>
          <w:szCs w:val="32"/>
          <w:lang w:val="zh-CN"/>
        </w:rPr>
      </w:pPr>
      <w:bookmarkStart w:id="108" w:name="_Toc16917"/>
      <w:r>
        <w:rPr>
          <w:rFonts w:hint="eastAsia" w:ascii="楷体_GB2312" w:hAnsi="宋体" w:eastAsia="楷体_GB2312" w:cs="Times New Roman"/>
          <w:b/>
          <w:sz w:val="32"/>
          <w:szCs w:val="32"/>
          <w:lang w:val="zh-CN"/>
        </w:rPr>
        <w:t>（一）通用指标绩效分析。</w:t>
      </w:r>
      <w:bookmarkEnd w:id="108"/>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Times New Roman" w:hAnsi="Times New Roman" w:eastAsia="仿宋-GB3212" w:cs="Times New Roman"/>
          <w:b/>
          <w:bCs/>
          <w:sz w:val="32"/>
          <w:szCs w:val="32"/>
          <w:highlight w:val="none"/>
          <w:lang w:val="zh-CN"/>
        </w:rPr>
      </w:pPr>
      <w:r>
        <w:rPr>
          <w:rFonts w:hint="eastAsia" w:ascii="Times New Roman" w:hAnsi="Times New Roman" w:eastAsia="仿宋-GB3212" w:cs="Times New Roman"/>
          <w:b/>
          <w:bCs/>
          <w:sz w:val="32"/>
          <w:szCs w:val="32"/>
          <w:highlight w:val="none"/>
          <w:lang w:val="zh-CN"/>
        </w:rPr>
        <w:t>1.项目决策。</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GB3212" w:cs="Times New Roman"/>
          <w:sz w:val="32"/>
          <w:szCs w:val="32"/>
          <w:highlight w:val="none"/>
          <w:lang w:eastAsia="zh-CN"/>
        </w:rPr>
      </w:pPr>
      <w:r>
        <w:rPr>
          <w:rFonts w:hint="eastAsia" w:ascii="Times New Roman" w:hAnsi="Times New Roman" w:eastAsia="仿宋-GB3212" w:cs="Times New Roman"/>
          <w:sz w:val="32"/>
          <w:szCs w:val="32"/>
          <w:highlight w:val="none"/>
        </w:rPr>
        <w:t>无</w:t>
      </w:r>
      <w:r>
        <w:rPr>
          <w:rFonts w:hint="eastAsia" w:eastAsia="仿宋-GB3212" w:cs="Times New Roman"/>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Times New Roman" w:hAnsi="Times New Roman" w:eastAsia="仿宋-GB3212" w:cs="Times New Roman"/>
          <w:b/>
          <w:bCs/>
          <w:sz w:val="32"/>
          <w:szCs w:val="32"/>
          <w:highlight w:val="none"/>
          <w:lang w:val="zh-CN"/>
        </w:rPr>
      </w:pPr>
      <w:r>
        <w:rPr>
          <w:rFonts w:hint="eastAsia" w:ascii="Times New Roman" w:hAnsi="Times New Roman" w:eastAsia="仿宋-GB3212" w:cs="Times New Roman"/>
          <w:b/>
          <w:bCs/>
          <w:sz w:val="32"/>
          <w:szCs w:val="32"/>
          <w:highlight w:val="none"/>
          <w:lang w:val="zh-CN"/>
        </w:rPr>
        <w:t>2.项目管理。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CESI仿宋-GB2312" w:hAnsi="CESI仿宋-GB2312" w:eastAsia="CESI仿宋-GB2312" w:cs="CESI仿宋-GB2312"/>
          <w:b w:val="0"/>
          <w:bCs/>
          <w:sz w:val="32"/>
          <w:szCs w:val="32"/>
          <w:lang w:val="zh-CN" w:eastAsia="zh-CN"/>
        </w:rPr>
      </w:pPr>
      <w:r>
        <w:rPr>
          <w:rFonts w:hint="eastAsia" w:ascii="CESI仿宋-GB2312" w:hAnsi="CESI仿宋-GB2312" w:eastAsia="CESI仿宋-GB2312" w:cs="CESI仿宋-GB2312"/>
          <w:b w:val="0"/>
          <w:bCs/>
          <w:sz w:val="32"/>
          <w:szCs w:val="32"/>
          <w:lang w:val="zh-CN" w:eastAsia="zh-CN"/>
        </w:rPr>
        <w:t>资金来源渠道为财政支出，合法合规性，符合法律法规规定，结构合理，资金来源渠道明确，红十字会有独立的师资，能够落实相应培训及宣传。</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Times New Roman" w:hAnsi="Times New Roman" w:eastAsia="仿宋-GB3212" w:cs="Times New Roman"/>
          <w:b/>
          <w:bCs/>
          <w:sz w:val="32"/>
          <w:szCs w:val="32"/>
          <w:highlight w:val="none"/>
          <w:lang w:val="zh-CN"/>
        </w:rPr>
      </w:pPr>
      <w:r>
        <w:rPr>
          <w:rFonts w:hint="eastAsia" w:ascii="Times New Roman" w:hAnsi="Times New Roman" w:eastAsia="仿宋-GB3212" w:cs="Times New Roman"/>
          <w:b/>
          <w:bCs/>
          <w:sz w:val="32"/>
          <w:szCs w:val="32"/>
          <w:highlight w:val="none"/>
          <w:lang w:val="zh-CN"/>
        </w:rPr>
        <w:t>3.项目实施。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GB3212" w:cs="Times New Roman"/>
          <w:sz w:val="32"/>
          <w:szCs w:val="32"/>
          <w:highlight w:val="none"/>
          <w:lang w:val="zh-CN"/>
        </w:rPr>
      </w:pPr>
      <w:r>
        <w:rPr>
          <w:rFonts w:hint="eastAsia" w:ascii="Times New Roman" w:hAnsi="Times New Roman" w:eastAsia="仿宋-GB3212" w:cs="Times New Roman"/>
          <w:sz w:val="32"/>
          <w:szCs w:val="32"/>
          <w:highlight w:val="none"/>
        </w:rPr>
        <w:t>2023年全年</w:t>
      </w:r>
      <w:r>
        <w:rPr>
          <w:rFonts w:hint="eastAsia" w:ascii="Times New Roman" w:hAnsi="Times New Roman" w:eastAsia="仿宋-GB3212" w:cs="Times New Roman"/>
          <w:sz w:val="32"/>
          <w:szCs w:val="32"/>
          <w:highlight w:val="none"/>
          <w:lang w:val="zh-CN"/>
        </w:rPr>
        <w:t>预算</w:t>
      </w:r>
      <w:r>
        <w:rPr>
          <w:rFonts w:hint="eastAsia" w:ascii="Times New Roman" w:hAnsi="Times New Roman" w:eastAsia="仿宋-GB3212" w:cs="Times New Roman"/>
          <w:sz w:val="32"/>
          <w:szCs w:val="32"/>
          <w:highlight w:val="none"/>
        </w:rPr>
        <w:t>6.83万元，支付数6.83万元，1-12月</w:t>
      </w:r>
      <w:r>
        <w:rPr>
          <w:rFonts w:hint="eastAsia" w:ascii="Times New Roman" w:hAnsi="Times New Roman" w:eastAsia="仿宋-GB3212" w:cs="Times New Roman"/>
          <w:sz w:val="32"/>
          <w:szCs w:val="32"/>
          <w:highlight w:val="none"/>
          <w:lang w:val="zh-CN"/>
        </w:rPr>
        <w:t>执行</w:t>
      </w:r>
      <w:r>
        <w:rPr>
          <w:rFonts w:hint="eastAsia" w:ascii="Times New Roman" w:hAnsi="Times New Roman" w:eastAsia="仿宋-GB3212" w:cs="Times New Roman"/>
          <w:sz w:val="32"/>
          <w:szCs w:val="32"/>
          <w:highlight w:val="none"/>
        </w:rPr>
        <w:t>率100%</w:t>
      </w:r>
      <w:r>
        <w:rPr>
          <w:rFonts w:hint="eastAsia" w:ascii="Times New Roman" w:hAnsi="Times New Roman" w:eastAsia="仿宋-GB3212" w:cs="Times New Roman"/>
          <w:sz w:val="32"/>
          <w:szCs w:val="32"/>
          <w:highlight w:val="none"/>
          <w:lang w:val="zh-CN"/>
        </w:rPr>
        <w:t>。</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default" w:ascii="Times New Roman" w:hAnsi="Times New Roman" w:eastAsia="仿宋-GB3212" w:cs="Times New Roman"/>
          <w:b/>
          <w:bCs/>
          <w:sz w:val="32"/>
          <w:szCs w:val="32"/>
          <w:highlight w:val="none"/>
          <w:lang w:val="zh-CN"/>
        </w:rPr>
      </w:pPr>
      <w:r>
        <w:rPr>
          <w:rFonts w:hint="eastAsia" w:ascii="Times New Roman" w:hAnsi="Times New Roman" w:eastAsia="仿宋-GB3212" w:cs="Times New Roman"/>
          <w:b/>
          <w:bCs/>
          <w:sz w:val="32"/>
          <w:szCs w:val="32"/>
          <w:highlight w:val="none"/>
          <w:lang w:val="zh-CN"/>
        </w:rPr>
        <w:t>4.项目结果。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GB3212" w:cs="Times New Roman"/>
          <w:sz w:val="32"/>
          <w:szCs w:val="32"/>
          <w:highlight w:val="none"/>
          <w:lang w:val="zh-CN"/>
        </w:rPr>
      </w:pPr>
      <w:r>
        <w:rPr>
          <w:rFonts w:hint="eastAsia" w:ascii="Times New Roman" w:hAnsi="Times New Roman" w:eastAsia="仿宋-GB3212" w:cs="Times New Roman"/>
          <w:sz w:val="32"/>
          <w:szCs w:val="32"/>
          <w:highlight w:val="none"/>
        </w:rPr>
        <w:t>计划全年完成救护员培训300人以上；深入开展应急救护普及培训，全年完成培训2000人。加强全县红十字志愿服务队伍的建设与管理，积极开展志愿服务活动，不断提高市民灾害预防和应急处置能力；传递社会正能量</w:t>
      </w:r>
      <w:r>
        <w:rPr>
          <w:rFonts w:hint="eastAsia" w:eastAsia="仿宋-GB3212" w:cs="Times New Roman"/>
          <w:sz w:val="32"/>
          <w:szCs w:val="32"/>
          <w:highlight w:val="none"/>
          <w:lang w:eastAsia="zh-CN"/>
        </w:rPr>
        <w:t>，</w:t>
      </w:r>
      <w:r>
        <w:rPr>
          <w:rFonts w:hint="eastAsia" w:ascii="Times New Roman" w:hAnsi="Times New Roman" w:eastAsia="仿宋-GB3212" w:cs="Times New Roman"/>
          <w:sz w:val="32"/>
          <w:szCs w:val="32"/>
          <w:highlight w:val="none"/>
        </w:rPr>
        <w:t>各项活动普及率。</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楷体" w:hAnsi="楷体" w:eastAsia="楷体" w:cs="楷体"/>
          <w:b/>
          <w:bCs/>
          <w:sz w:val="32"/>
          <w:szCs w:val="32"/>
          <w:highlight w:val="none"/>
          <w:lang w:val="zh-CN"/>
        </w:rPr>
      </w:pPr>
      <w:r>
        <w:rPr>
          <w:rFonts w:hint="eastAsia" w:ascii="楷体" w:hAnsi="楷体" w:eastAsia="楷体" w:cs="楷体"/>
          <w:b/>
          <w:bCs/>
          <w:sz w:val="32"/>
          <w:szCs w:val="32"/>
          <w:highlight w:val="none"/>
          <w:lang w:val="zh-CN"/>
        </w:rPr>
        <w:t>（二）专用指标绩效分析。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GB3212" w:cs="Times New Roman"/>
          <w:sz w:val="32"/>
          <w:szCs w:val="32"/>
          <w:highlight w:val="none"/>
          <w:lang w:eastAsia="zh-CN"/>
        </w:rPr>
      </w:pPr>
      <w:r>
        <w:rPr>
          <w:rFonts w:hint="eastAsia" w:ascii="Times New Roman" w:hAnsi="Times New Roman" w:eastAsia="仿宋-GB3212" w:cs="Times New Roman"/>
          <w:sz w:val="32"/>
          <w:szCs w:val="32"/>
          <w:highlight w:val="none"/>
        </w:rPr>
        <w:t>无</w:t>
      </w:r>
      <w:r>
        <w:rPr>
          <w:rFonts w:hint="eastAsia" w:eastAsia="仿宋-GB3212" w:cs="Times New Roman"/>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楷体" w:hAnsi="楷体" w:eastAsia="楷体" w:cs="楷体"/>
          <w:b/>
          <w:bCs/>
          <w:sz w:val="32"/>
          <w:szCs w:val="32"/>
          <w:highlight w:val="none"/>
          <w:lang w:val="zh-CN" w:eastAsia="zh-CN"/>
        </w:rPr>
      </w:pPr>
      <w:r>
        <w:rPr>
          <w:rFonts w:hint="eastAsia" w:ascii="楷体" w:hAnsi="楷体" w:eastAsia="楷体" w:cs="楷体"/>
          <w:b/>
          <w:bCs/>
          <w:sz w:val="32"/>
          <w:szCs w:val="32"/>
          <w:highlight w:val="none"/>
          <w:lang w:val="zh-CN" w:eastAsia="zh-CN"/>
        </w:rPr>
        <w:t>（三）个性指标绩效分析。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GB3212" w:cs="Times New Roman"/>
          <w:sz w:val="32"/>
          <w:szCs w:val="32"/>
          <w:highlight w:val="none"/>
          <w:lang w:val="zh-CN" w:eastAsia="zh-CN"/>
        </w:rPr>
      </w:pPr>
      <w:r>
        <w:rPr>
          <w:rFonts w:hint="eastAsia" w:ascii="Times New Roman" w:hAnsi="Times New Roman" w:eastAsia="仿宋-GB3212" w:cs="Times New Roman"/>
          <w:sz w:val="32"/>
          <w:szCs w:val="32"/>
          <w:highlight w:val="none"/>
          <w:lang w:val="en-US" w:eastAsia="zh-CN"/>
        </w:rPr>
        <w:t>无</w:t>
      </w:r>
      <w:r>
        <w:rPr>
          <w:rFonts w:hint="eastAsia" w:eastAsia="仿宋-GB3212" w:cs="Times New Roman"/>
          <w:sz w:val="32"/>
          <w:szCs w:val="32"/>
          <w:highlight w:val="none"/>
          <w:lang w:val="en-US" w:eastAsia="zh-CN"/>
        </w:rPr>
        <w:t>。</w:t>
      </w:r>
    </w:p>
    <w:p>
      <w:pPr>
        <w:adjustRightInd w:val="0"/>
        <w:snapToGrid w:val="0"/>
        <w:spacing w:line="578" w:lineRule="exact"/>
        <w:ind w:firstLine="720"/>
        <w:rPr>
          <w:rFonts w:hint="eastAsia" w:ascii="黑体" w:hAnsi="宋体" w:eastAsia="黑体" w:cs="Times New Roman"/>
          <w:sz w:val="32"/>
          <w:szCs w:val="32"/>
          <w:lang w:val="zh-CN" w:eastAsia="zh-CN"/>
        </w:rPr>
      </w:pPr>
      <w:bookmarkStart w:id="109" w:name="_Toc508"/>
      <w:r>
        <w:rPr>
          <w:rFonts w:hint="eastAsia" w:ascii="黑体" w:hAnsi="宋体" w:eastAsia="黑体" w:cs="Times New Roman"/>
          <w:sz w:val="32"/>
          <w:szCs w:val="32"/>
          <w:lang w:val="zh-CN" w:eastAsia="zh-CN"/>
        </w:rPr>
        <w:t>四、评价结论</w:t>
      </w:r>
      <w:bookmarkEnd w:id="109"/>
    </w:p>
    <w:p>
      <w:pPr>
        <w:adjustRightInd w:val="0"/>
        <w:snapToGrid w:val="0"/>
        <w:spacing w:line="578" w:lineRule="exact"/>
        <w:ind w:firstLine="720"/>
        <w:rPr>
          <w:rFonts w:hint="default" w:ascii="CESI仿宋-GB2312" w:hAnsi="CESI仿宋-GB2312" w:eastAsia="CESI仿宋-GB2312" w:cs="CESI仿宋-GB2312"/>
          <w:b w:val="0"/>
          <w:bCs/>
          <w:sz w:val="32"/>
          <w:szCs w:val="32"/>
          <w:lang w:val="zh-CN"/>
        </w:rPr>
      </w:pPr>
      <w:r>
        <w:rPr>
          <w:rFonts w:hint="eastAsia" w:ascii="CESI仿宋-GB2312" w:hAnsi="CESI仿宋-GB2312" w:eastAsia="CESI仿宋-GB2312" w:cs="CESI仿宋-GB2312"/>
          <w:b w:val="0"/>
          <w:bCs/>
          <w:sz w:val="32"/>
          <w:szCs w:val="32"/>
          <w:lang w:val="zh-CN"/>
        </w:rPr>
        <w:t xml:space="preserve">根据主要职责，开展相关活动，不断提高市民灾害预防和应急处置能力；宣传红十字精神，提高培训合格率，确保满意度达到90%以上。 </w:t>
      </w:r>
    </w:p>
    <w:p>
      <w:pPr>
        <w:adjustRightInd w:val="0"/>
        <w:snapToGrid w:val="0"/>
        <w:spacing w:line="578" w:lineRule="exact"/>
        <w:ind w:firstLine="720"/>
        <w:rPr>
          <w:rFonts w:hint="eastAsia" w:ascii="黑体" w:hAnsi="宋体" w:eastAsia="黑体" w:cs="Times New Roman"/>
          <w:sz w:val="32"/>
          <w:szCs w:val="32"/>
          <w:lang w:val="zh-CN" w:eastAsia="zh-CN"/>
        </w:rPr>
      </w:pPr>
      <w:bookmarkStart w:id="110" w:name="_Toc15617"/>
      <w:r>
        <w:rPr>
          <w:rFonts w:hint="eastAsia" w:ascii="黑体" w:hAnsi="宋体" w:eastAsia="黑体" w:cs="Times New Roman"/>
          <w:sz w:val="32"/>
          <w:szCs w:val="32"/>
          <w:lang w:val="zh-CN" w:eastAsia="zh-CN"/>
        </w:rPr>
        <w:t>五、存在主要问题</w:t>
      </w:r>
      <w:bookmarkEnd w:id="110"/>
    </w:p>
    <w:p>
      <w:pPr>
        <w:adjustRightInd w:val="0"/>
        <w:snapToGrid w:val="0"/>
        <w:spacing w:line="578" w:lineRule="exact"/>
        <w:ind w:firstLine="720"/>
        <w:rPr>
          <w:rFonts w:hint="default" w:ascii="CESI仿宋-GB2312" w:hAnsi="CESI仿宋-GB2312" w:eastAsia="CESI仿宋-GB2312" w:cs="CESI仿宋-GB2312"/>
          <w:b w:val="0"/>
          <w:bCs/>
          <w:sz w:val="32"/>
          <w:szCs w:val="32"/>
          <w:lang w:val="zh-CN"/>
        </w:rPr>
      </w:pPr>
      <w:r>
        <w:rPr>
          <w:rFonts w:hint="eastAsia" w:ascii="CESI仿宋-GB2312" w:hAnsi="CESI仿宋-GB2312" w:eastAsia="CESI仿宋-GB2312" w:cs="CESI仿宋-GB2312"/>
          <w:b w:val="0"/>
          <w:bCs/>
          <w:sz w:val="32"/>
          <w:szCs w:val="32"/>
          <w:lang w:val="zh-CN"/>
        </w:rPr>
        <w:t>本部门无专项预算项目绩效自评发现的主要问题。</w:t>
      </w:r>
    </w:p>
    <w:p>
      <w:pPr>
        <w:adjustRightInd w:val="0"/>
        <w:snapToGrid w:val="0"/>
        <w:spacing w:line="578" w:lineRule="exact"/>
        <w:ind w:firstLine="720"/>
        <w:rPr>
          <w:rFonts w:hint="eastAsia" w:ascii="黑体" w:hAnsi="宋体" w:eastAsia="黑体" w:cs="Times New Roman"/>
          <w:sz w:val="32"/>
          <w:szCs w:val="32"/>
          <w:lang w:val="zh-CN" w:eastAsia="zh-CN"/>
        </w:rPr>
      </w:pPr>
      <w:bookmarkStart w:id="111" w:name="_Toc4980"/>
      <w:r>
        <w:rPr>
          <w:rFonts w:hint="eastAsia" w:ascii="黑体" w:hAnsi="宋体" w:eastAsia="黑体" w:cs="Times New Roman"/>
          <w:sz w:val="32"/>
          <w:szCs w:val="32"/>
          <w:lang w:val="zh-CN" w:eastAsia="zh-CN"/>
        </w:rPr>
        <w:t>六、改进建议</w:t>
      </w:r>
      <w:bookmarkEnd w:id="111"/>
    </w:p>
    <w:p>
      <w:pPr>
        <w:adjustRightInd w:val="0"/>
        <w:snapToGrid w:val="0"/>
        <w:spacing w:line="578" w:lineRule="exact"/>
        <w:ind w:firstLine="720"/>
        <w:rPr>
          <w:rFonts w:hint="eastAsia" w:ascii="CESI仿宋-GB2312" w:hAnsi="CESI仿宋-GB2312" w:eastAsia="CESI仿宋-GB2312" w:cs="CESI仿宋-GB2312"/>
          <w:b w:val="0"/>
          <w:bCs/>
          <w:sz w:val="32"/>
          <w:szCs w:val="32"/>
          <w:lang w:val="zh-CN"/>
        </w:rPr>
      </w:pPr>
      <w:r>
        <w:rPr>
          <w:rFonts w:hint="eastAsia" w:ascii="CESI仿宋-GB2312" w:hAnsi="CESI仿宋-GB2312" w:eastAsia="CESI仿宋-GB2312" w:cs="CESI仿宋-GB2312"/>
          <w:b w:val="0"/>
          <w:bCs/>
          <w:sz w:val="32"/>
          <w:szCs w:val="32"/>
          <w:lang w:val="zh-CN"/>
        </w:rPr>
        <w:t>下一步县红十字会将围绕推进红十字改革、基层组织建设、信息化建设和应急救护培训等工作早谋划，推动红十字事业发展再上新台阶，大力弘扬“人道、博爱、奉献”的红十字精神，以“助力疫情防控，红十字救在身边”为主题，广泛开展“三救”“三献”等工作。</w:t>
      </w:r>
      <w:r>
        <w:rPr>
          <w:rFonts w:hint="eastAsia" w:ascii="CESI仿宋-GB2312" w:hAnsi="CESI仿宋-GB2312" w:eastAsia="CESI仿宋-GB2312" w:cs="CESI仿宋-GB2312"/>
          <w:b w:val="0"/>
          <w:bCs/>
          <w:sz w:val="32"/>
          <w:szCs w:val="32"/>
          <w:lang w:val="zh-CN"/>
        </w:rPr>
        <w:br w:type="page"/>
      </w:r>
    </w:p>
    <w:p>
      <w:pPr>
        <w:spacing w:line="600" w:lineRule="exact"/>
        <w:jc w:val="center"/>
        <w:outlineLvl w:val="0"/>
        <w:rPr>
          <w:rFonts w:hint="default" w:ascii="黑体" w:hAnsi="黑体" w:eastAsia="黑体" w:cs="Times New Roman"/>
          <w:sz w:val="44"/>
          <w:szCs w:val="44"/>
        </w:rPr>
      </w:pPr>
      <w:bookmarkStart w:id="112" w:name="_Toc21125"/>
      <w:r>
        <w:rPr>
          <w:rFonts w:hint="eastAsia" w:ascii="黑体" w:hAnsi="黑体" w:eastAsia="黑体" w:cs="Times New Roman"/>
          <w:sz w:val="44"/>
          <w:szCs w:val="44"/>
        </w:rPr>
        <w:t>第五部分 附表</w:t>
      </w:r>
      <w:bookmarkEnd w:id="112"/>
    </w:p>
    <w:p>
      <w:pPr>
        <w:ind w:left="0" w:leftChars="0" w:firstLine="0" w:firstLineChars="0"/>
        <w:rPr>
          <w:rFonts w:hint="eastAsia" w:ascii="CESI仿宋-GB2312" w:hAnsi="CESI仿宋-GB2312" w:eastAsia="CESI仿宋-GB2312" w:cs="CESI仿宋-GB2312"/>
          <w:sz w:val="32"/>
          <w:szCs w:val="32"/>
          <w:lang w:val="en-US" w:eastAsia="zh-CN"/>
        </w:rPr>
      </w:pPr>
      <w:r>
        <w:rPr>
          <w:rFonts w:hint="eastAsia" w:ascii="CESI仿宋-GB2312" w:hAnsi="CESI仿宋-GB2312" w:eastAsia="CESI仿宋-GB2312" w:cs="CESI仿宋-GB2312"/>
          <w:sz w:val="32"/>
          <w:szCs w:val="32"/>
          <w:lang w:val="en-US" w:eastAsia="zh-CN"/>
        </w:rPr>
        <w:t>一、收入支出决算总表</w:t>
      </w:r>
    </w:p>
    <w:p>
      <w:pPr>
        <w:ind w:left="0" w:leftChars="0" w:firstLine="0" w:firstLineChars="0"/>
        <w:rPr>
          <w:rFonts w:hint="eastAsia" w:ascii="CESI仿宋-GB2312" w:hAnsi="CESI仿宋-GB2312" w:eastAsia="CESI仿宋-GB2312" w:cs="CESI仿宋-GB2312"/>
          <w:sz w:val="32"/>
          <w:szCs w:val="32"/>
          <w:lang w:val="en-US" w:eastAsia="zh-CN"/>
        </w:rPr>
      </w:pPr>
      <w:r>
        <w:rPr>
          <w:rFonts w:hint="eastAsia" w:ascii="CESI仿宋-GB2312" w:hAnsi="CESI仿宋-GB2312" w:eastAsia="CESI仿宋-GB2312" w:cs="CESI仿宋-GB2312"/>
          <w:sz w:val="32"/>
          <w:szCs w:val="32"/>
          <w:lang w:val="en-US" w:eastAsia="zh-CN"/>
        </w:rPr>
        <w:t>二、收入决算表</w:t>
      </w:r>
    </w:p>
    <w:p>
      <w:pPr>
        <w:ind w:left="0" w:leftChars="0" w:firstLine="0" w:firstLineChars="0"/>
        <w:rPr>
          <w:rFonts w:hint="eastAsia" w:ascii="CESI仿宋-GB2312" w:hAnsi="CESI仿宋-GB2312" w:eastAsia="CESI仿宋-GB2312" w:cs="CESI仿宋-GB2312"/>
          <w:sz w:val="32"/>
          <w:szCs w:val="32"/>
          <w:lang w:val="en-US" w:eastAsia="zh-CN"/>
        </w:rPr>
      </w:pPr>
      <w:r>
        <w:rPr>
          <w:rFonts w:hint="eastAsia" w:ascii="CESI仿宋-GB2312" w:hAnsi="CESI仿宋-GB2312" w:eastAsia="CESI仿宋-GB2312" w:cs="CESI仿宋-GB2312"/>
          <w:sz w:val="32"/>
          <w:szCs w:val="32"/>
          <w:lang w:val="en-US" w:eastAsia="zh-CN"/>
        </w:rPr>
        <w:t>三、支出决算表</w:t>
      </w:r>
    </w:p>
    <w:p>
      <w:pPr>
        <w:ind w:left="0" w:leftChars="0" w:firstLine="0" w:firstLineChars="0"/>
        <w:rPr>
          <w:rFonts w:hint="eastAsia" w:ascii="CESI仿宋-GB2312" w:hAnsi="CESI仿宋-GB2312" w:eastAsia="CESI仿宋-GB2312" w:cs="CESI仿宋-GB2312"/>
          <w:sz w:val="32"/>
          <w:szCs w:val="32"/>
          <w:lang w:val="en-US" w:eastAsia="zh-CN"/>
        </w:rPr>
      </w:pPr>
      <w:r>
        <w:rPr>
          <w:rFonts w:hint="eastAsia" w:ascii="CESI仿宋-GB2312" w:hAnsi="CESI仿宋-GB2312" w:eastAsia="CESI仿宋-GB2312" w:cs="CESI仿宋-GB2312"/>
          <w:sz w:val="32"/>
          <w:szCs w:val="32"/>
          <w:lang w:val="en-US" w:eastAsia="zh-CN"/>
        </w:rPr>
        <w:t>四、财政拨款收入支出决算总表</w:t>
      </w:r>
    </w:p>
    <w:p>
      <w:pPr>
        <w:ind w:left="0" w:leftChars="0" w:firstLine="0" w:firstLineChars="0"/>
        <w:rPr>
          <w:rFonts w:hint="eastAsia" w:ascii="CESI仿宋-GB2312" w:hAnsi="CESI仿宋-GB2312" w:eastAsia="CESI仿宋-GB2312" w:cs="CESI仿宋-GB2312"/>
          <w:sz w:val="32"/>
          <w:szCs w:val="32"/>
          <w:lang w:val="en-US" w:eastAsia="zh-CN"/>
        </w:rPr>
      </w:pPr>
      <w:r>
        <w:rPr>
          <w:rFonts w:hint="eastAsia" w:ascii="CESI仿宋-GB2312" w:hAnsi="CESI仿宋-GB2312" w:eastAsia="CESI仿宋-GB2312" w:cs="CESI仿宋-GB2312"/>
          <w:sz w:val="32"/>
          <w:szCs w:val="32"/>
          <w:lang w:val="en-US" w:eastAsia="zh-CN"/>
        </w:rPr>
        <w:t>五、财政拨款支出决算明细表</w:t>
      </w:r>
    </w:p>
    <w:p>
      <w:pPr>
        <w:ind w:left="0" w:leftChars="0" w:firstLine="0" w:firstLineChars="0"/>
        <w:rPr>
          <w:rFonts w:hint="eastAsia" w:ascii="CESI仿宋-GB2312" w:hAnsi="CESI仿宋-GB2312" w:eastAsia="CESI仿宋-GB2312" w:cs="CESI仿宋-GB2312"/>
          <w:sz w:val="32"/>
          <w:szCs w:val="32"/>
          <w:lang w:val="en-US" w:eastAsia="zh-CN"/>
        </w:rPr>
      </w:pPr>
      <w:r>
        <w:rPr>
          <w:rFonts w:hint="eastAsia" w:ascii="CESI仿宋-GB2312" w:hAnsi="CESI仿宋-GB2312" w:eastAsia="CESI仿宋-GB2312" w:cs="CESI仿宋-GB2312"/>
          <w:sz w:val="32"/>
          <w:szCs w:val="32"/>
          <w:lang w:val="en-US" w:eastAsia="zh-CN"/>
        </w:rPr>
        <w:t>六、一般公共预算财政拨款支出决算表</w:t>
      </w:r>
    </w:p>
    <w:p>
      <w:pPr>
        <w:ind w:left="0" w:leftChars="0" w:firstLine="0" w:firstLineChars="0"/>
        <w:rPr>
          <w:rFonts w:hint="eastAsia" w:ascii="CESI仿宋-GB2312" w:hAnsi="CESI仿宋-GB2312" w:eastAsia="CESI仿宋-GB2312" w:cs="CESI仿宋-GB2312"/>
          <w:sz w:val="32"/>
          <w:szCs w:val="32"/>
          <w:lang w:val="en-US" w:eastAsia="zh-CN"/>
        </w:rPr>
      </w:pPr>
      <w:r>
        <w:rPr>
          <w:rFonts w:hint="eastAsia" w:ascii="CESI仿宋-GB2312" w:hAnsi="CESI仿宋-GB2312" w:eastAsia="CESI仿宋-GB2312" w:cs="CESI仿宋-GB2312"/>
          <w:sz w:val="32"/>
          <w:szCs w:val="32"/>
          <w:lang w:val="en-US" w:eastAsia="zh-CN"/>
        </w:rPr>
        <w:t>七、一般公共预算财政拨款支出决算明细表</w:t>
      </w:r>
    </w:p>
    <w:p>
      <w:pPr>
        <w:ind w:left="0" w:leftChars="0" w:firstLine="0" w:firstLineChars="0"/>
        <w:rPr>
          <w:rFonts w:hint="eastAsia" w:ascii="CESI仿宋-GB2312" w:hAnsi="CESI仿宋-GB2312" w:eastAsia="CESI仿宋-GB2312" w:cs="CESI仿宋-GB2312"/>
          <w:sz w:val="32"/>
          <w:szCs w:val="32"/>
          <w:lang w:val="en-US" w:eastAsia="zh-CN"/>
        </w:rPr>
      </w:pPr>
      <w:r>
        <w:rPr>
          <w:rFonts w:hint="eastAsia" w:ascii="CESI仿宋-GB2312" w:hAnsi="CESI仿宋-GB2312" w:eastAsia="CESI仿宋-GB2312" w:cs="CESI仿宋-GB2312"/>
          <w:sz w:val="32"/>
          <w:szCs w:val="32"/>
          <w:lang w:val="en-US" w:eastAsia="zh-CN"/>
        </w:rPr>
        <w:t>八、一般公共预算财政拨款基本支出决算表</w:t>
      </w:r>
    </w:p>
    <w:p>
      <w:pPr>
        <w:ind w:left="0" w:leftChars="0" w:firstLine="0" w:firstLineChars="0"/>
        <w:rPr>
          <w:rFonts w:hint="eastAsia" w:ascii="CESI仿宋-GB2312" w:hAnsi="CESI仿宋-GB2312" w:eastAsia="CESI仿宋-GB2312" w:cs="CESI仿宋-GB2312"/>
          <w:sz w:val="32"/>
          <w:szCs w:val="32"/>
          <w:lang w:val="en-US" w:eastAsia="zh-CN"/>
        </w:rPr>
      </w:pPr>
      <w:r>
        <w:rPr>
          <w:rFonts w:hint="eastAsia" w:ascii="CESI仿宋-GB2312" w:hAnsi="CESI仿宋-GB2312" w:eastAsia="CESI仿宋-GB2312" w:cs="CESI仿宋-GB2312"/>
          <w:sz w:val="32"/>
          <w:szCs w:val="32"/>
          <w:lang w:val="en-US" w:eastAsia="zh-CN"/>
        </w:rPr>
        <w:t>九、一般公共预算财政拨款项目支出决算表</w:t>
      </w:r>
    </w:p>
    <w:p>
      <w:pPr>
        <w:ind w:left="0" w:leftChars="0" w:firstLine="0" w:firstLineChars="0"/>
        <w:rPr>
          <w:rFonts w:hint="eastAsia" w:ascii="CESI仿宋-GB2312" w:hAnsi="CESI仿宋-GB2312" w:eastAsia="CESI仿宋-GB2312" w:cs="CESI仿宋-GB2312"/>
          <w:sz w:val="32"/>
          <w:szCs w:val="32"/>
          <w:lang w:val="en-US" w:eastAsia="zh-CN"/>
        </w:rPr>
      </w:pPr>
      <w:r>
        <w:rPr>
          <w:rFonts w:hint="eastAsia" w:ascii="CESI仿宋-GB2312" w:hAnsi="CESI仿宋-GB2312" w:eastAsia="CESI仿宋-GB2312" w:cs="CESI仿宋-GB2312"/>
          <w:sz w:val="32"/>
          <w:szCs w:val="32"/>
          <w:lang w:val="en-US" w:eastAsia="zh-CN"/>
        </w:rPr>
        <w:t>十、政府性基金预算财政拨款收入支出决算表</w:t>
      </w:r>
    </w:p>
    <w:p>
      <w:pPr>
        <w:ind w:left="0" w:leftChars="0" w:firstLine="0" w:firstLineChars="0"/>
        <w:rPr>
          <w:rFonts w:hint="eastAsia" w:ascii="CESI仿宋-GB2312" w:hAnsi="CESI仿宋-GB2312" w:eastAsia="CESI仿宋-GB2312" w:cs="CESI仿宋-GB2312"/>
          <w:sz w:val="32"/>
          <w:szCs w:val="32"/>
          <w:lang w:val="en-US" w:eastAsia="zh-CN"/>
        </w:rPr>
      </w:pPr>
      <w:r>
        <w:rPr>
          <w:rFonts w:hint="eastAsia" w:ascii="CESI仿宋-GB2312" w:hAnsi="CESI仿宋-GB2312" w:eastAsia="CESI仿宋-GB2312" w:cs="CESI仿宋-GB2312"/>
          <w:sz w:val="32"/>
          <w:szCs w:val="32"/>
          <w:lang w:val="en-US" w:eastAsia="zh-CN"/>
        </w:rPr>
        <w:t>十一、国有资本经营预算财政拨款收入支出决算表</w:t>
      </w:r>
    </w:p>
    <w:p>
      <w:pPr>
        <w:ind w:left="0" w:leftChars="0" w:firstLine="0" w:firstLineChars="0"/>
        <w:rPr>
          <w:rFonts w:hint="eastAsia" w:ascii="CESI仿宋-GB2312" w:hAnsi="CESI仿宋-GB2312" w:eastAsia="CESI仿宋-GB2312" w:cs="CESI仿宋-GB2312"/>
          <w:sz w:val="32"/>
          <w:szCs w:val="32"/>
          <w:lang w:val="en-US" w:eastAsia="zh-CN"/>
        </w:rPr>
      </w:pPr>
      <w:r>
        <w:rPr>
          <w:rFonts w:hint="eastAsia" w:ascii="CESI仿宋-GB2312" w:hAnsi="CESI仿宋-GB2312" w:eastAsia="CESI仿宋-GB2312" w:cs="CESI仿宋-GB2312"/>
          <w:sz w:val="32"/>
          <w:szCs w:val="32"/>
          <w:lang w:val="en-US" w:eastAsia="zh-CN"/>
        </w:rPr>
        <w:t>十二、国有资本经营预算财政拨款支出决算表</w:t>
      </w:r>
    </w:p>
    <w:p>
      <w:pPr>
        <w:ind w:left="0" w:leftChars="0" w:firstLine="0" w:firstLineChars="0"/>
        <w:rPr>
          <w:rFonts w:hint="eastAsia" w:ascii="CESI仿宋-GB2312" w:hAnsi="CESI仿宋-GB2312" w:eastAsia="CESI仿宋-GB2312" w:cs="CESI仿宋-GB2312"/>
          <w:sz w:val="32"/>
          <w:szCs w:val="32"/>
          <w:lang w:val="en-US" w:eastAsia="zh-CN"/>
        </w:rPr>
      </w:pPr>
      <w:r>
        <w:rPr>
          <w:rFonts w:hint="eastAsia" w:ascii="CESI仿宋-GB2312" w:hAnsi="CESI仿宋-GB2312" w:eastAsia="CESI仿宋-GB2312" w:cs="CESI仿宋-GB2312"/>
          <w:sz w:val="32"/>
          <w:szCs w:val="32"/>
          <w:lang w:val="en-US" w:eastAsia="zh-CN"/>
        </w:rPr>
        <w:t>十三、财政拨款“三公”经费支出决算表</w:t>
      </w:r>
    </w:p>
    <w:sectPr>
      <w:headerReference r:id="rId8" w:type="default"/>
      <w:footerReference r:id="rId9"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01"/>
    <w:family w:val="roman"/>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Cambria">
    <w:altName w:val="Noto Sans Syriac Eastern"/>
    <w:panose1 w:val="02040503050406030204"/>
    <w:charset w:val="00"/>
    <w:family w:val="roman"/>
    <w:pitch w:val="default"/>
    <w:sig w:usb0="00000000" w:usb1="00000000" w:usb2="02000000" w:usb3="00000000" w:csb0="2000019F" w:csb1="00000000"/>
  </w:font>
  <w:font w:name="Noto Sans Syriac Eastern">
    <w:panose1 w:val="02040503050306020203"/>
    <w:charset w:val="86"/>
    <w:family w:val="auto"/>
    <w:pitch w:val="default"/>
    <w:sig w:usb0="00000000" w:usb1="00000000" w:usb2="00000080" w:usb3="00000000" w:csb0="203E0161" w:csb1="D7FF0000"/>
  </w:font>
  <w:font w:name="仿宋_GB2312">
    <w:altName w:val="方正仿宋_GBK"/>
    <w:panose1 w:val="02010609030101010101"/>
    <w:charset w:val="86"/>
    <w:family w:val="modern"/>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方正黑体_GBK">
    <w:panose1 w:val="02000000000000000000"/>
    <w:charset w:val="86"/>
    <w:family w:val="auto"/>
    <w:pitch w:val="default"/>
    <w:sig w:usb0="A00002BF" w:usb1="38CF7CFA" w:usb2="00082016" w:usb3="00000000" w:csb0="00040001" w:csb1="00000000"/>
  </w:font>
  <w:font w:name="??">
    <w:altName w:val="华文中宋"/>
    <w:panose1 w:val="00000000000000000000"/>
    <w:charset w:val="00"/>
    <w:family w:val="roman"/>
    <w:pitch w:val="default"/>
    <w:sig w:usb0="00000000" w:usb1="00000000" w:usb2="00000000" w:usb3="00000000" w:csb0="00000000" w:csb1="00000000"/>
  </w:font>
  <w:font w:name="华文中宋">
    <w:panose1 w:val="02010600040101010101"/>
    <w:charset w:val="86"/>
    <w:family w:val="auto"/>
    <w:pitch w:val="default"/>
    <w:sig w:usb0="00000287" w:usb1="080F0000" w:usb2="00000000" w:usb3="00000000" w:csb0="0004009F" w:csb1="DFD70000"/>
  </w:font>
  <w:font w:name="楷体_GB2312">
    <w:altName w:val="方正楷体_GBK"/>
    <w:panose1 w:val="02010609030101010101"/>
    <w:charset w:val="86"/>
    <w:family w:val="modern"/>
    <w:pitch w:val="default"/>
    <w:sig w:usb0="00000000" w:usb1="00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CESI仿宋-GB13000">
    <w:panose1 w:val="02000500000000000000"/>
    <w:charset w:val="86"/>
    <w:family w:val="auto"/>
    <w:pitch w:val="default"/>
    <w:sig w:usb0="800002BF" w:usb1="18CF7CF8" w:usb2="00000016" w:usb3="00000000" w:csb0="0004000F" w:csb1="00000000"/>
  </w:font>
  <w:font w:name="仿宋-GB3212">
    <w:altName w:val="方正仿宋_GBK"/>
    <w:panose1 w:val="00000000000000000000"/>
    <w:charset w:val="00"/>
    <w:family w:val="auto"/>
    <w:pitch w:val="default"/>
    <w:sig w:usb0="00000000" w:usb1="00000000" w:usb2="00000000" w:usb3="00000000" w:csb0="00000000" w:csb1="00000000"/>
  </w:font>
  <w:font w:name="CESI仿宋-GB2312">
    <w:panose1 w:val="02000500000000000000"/>
    <w:charset w:val="86"/>
    <w:family w:val="auto"/>
    <w:pitch w:val="default"/>
    <w:sig w:usb0="800002AF" w:usb1="084F6CF8" w:usb2="00000010" w:usb3="00000000" w:csb0="0004000F" w:csb1="00000000"/>
  </w:font>
  <w:font w:name="楷体">
    <w:altName w:val="方正楷体_GBK"/>
    <w:panose1 w:val="02010609060101010101"/>
    <w:charset w:val="86"/>
    <w:family w:val="auto"/>
    <w:pitch w:val="default"/>
    <w:sig w:usb0="00000000" w:usb1="00000000" w:usb2="00000016" w:usb3="00000000" w:csb0="00040001" w:csb1="00000000"/>
  </w:font>
  <w:font w:name="Noto Sans CJK JP Bold">
    <w:panose1 w:val="020B0800000000000000"/>
    <w:charset w:val="86"/>
    <w:family w:val="auto"/>
    <w:pitch w:val="default"/>
    <w:sig w:usb0="30000003" w:usb1="2BDF3C10" w:usb2="00000016" w:usb3="00000000" w:csb0="602E0107" w:csb1="00000000"/>
  </w:font>
  <w:font w:name="方正宋体S-超大字符集(SIP)">
    <w:panose1 w:val="03000509000000000000"/>
    <w:charset w:val="86"/>
    <w:family w:val="auto"/>
    <w:pitch w:val="default"/>
    <w:sig w:usb0="00000003" w:usb1="0A0E08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FgAAAGRycy9QSwECFAAUAAAACACHTuJAs0lY7tAAAAAFAQAADwAAAAAAAAABACAAAAA4AAAA&#10;ZHJzL2Rvd25yZXYueG1sUEsBAhQAFAAAAAgAh07iQOGA044yAgAAYQQAAA4AAAAAAAAAAQAgAAAA&#10;NQEAAGRycy9lMm9Eb2MueG1sUEsFBgAAAAAGAAYAWQEAANkFAAAAAA==&#10;">
              <v:fill on="f" focussize="0,0"/>
              <v:stroke on="f" weight="0.5pt"/>
              <v:imagedata o:title=""/>
              <o:lock v:ext="edit" aspectratio="f"/>
              <v:textbox inset="0mm,0mm,0mm,0mm" style="mso-fit-shape-to-text:t;">
                <w:txbxContent>
                  <w:p>
                    <w:pPr>
                      <w:pStyle w:val="11"/>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p>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20"/>
                            <w:rPr>
                              <w:rFonts w:hint="eastAsia" w:ascii="宋体" w:hAnsi="宋体" w:eastAsia="宋体" w:cs="宋体"/>
                              <w:b w:val="0"/>
                              <w:bCs/>
                              <w:sz w:val="28"/>
                              <w:szCs w:val="28"/>
                            </w:rPr>
                          </w:pPr>
                          <w:r>
                            <w:rPr>
                              <w:rFonts w:hint="eastAsia" w:ascii="宋体" w:hAnsi="宋体" w:eastAsia="宋体" w:cs="宋体"/>
                              <w:b w:val="0"/>
                              <w:bCs/>
                              <w:sz w:val="28"/>
                              <w:szCs w:val="28"/>
                            </w:rPr>
                            <w:t xml:space="preserve">— </w:t>
                          </w:r>
                          <w:r>
                            <w:rPr>
                              <w:rFonts w:hint="eastAsia" w:ascii="宋体" w:hAnsi="宋体" w:eastAsia="宋体" w:cs="宋体"/>
                              <w:b w:val="0"/>
                              <w:bCs/>
                              <w:sz w:val="28"/>
                              <w:szCs w:val="28"/>
                            </w:rPr>
                            <w:fldChar w:fldCharType="begin"/>
                          </w:r>
                          <w:r>
                            <w:rPr>
                              <w:rFonts w:hint="eastAsia" w:ascii="宋体" w:hAnsi="宋体" w:eastAsia="宋体" w:cs="宋体"/>
                              <w:b w:val="0"/>
                              <w:bCs/>
                              <w:sz w:val="28"/>
                              <w:szCs w:val="28"/>
                            </w:rPr>
                            <w:instrText xml:space="preserve"> PAGE  \* MERGEFORMAT </w:instrText>
                          </w:r>
                          <w:r>
                            <w:rPr>
                              <w:rFonts w:hint="eastAsia" w:ascii="宋体" w:hAnsi="宋体" w:eastAsia="宋体" w:cs="宋体"/>
                              <w:b w:val="0"/>
                              <w:bCs/>
                              <w:sz w:val="28"/>
                              <w:szCs w:val="28"/>
                            </w:rPr>
                            <w:fldChar w:fldCharType="separate"/>
                          </w:r>
                          <w:r>
                            <w:rPr>
                              <w:rFonts w:hint="eastAsia" w:ascii="宋体" w:hAnsi="宋体" w:eastAsia="宋体" w:cs="宋体"/>
                              <w:b w:val="0"/>
                              <w:bCs/>
                              <w:sz w:val="28"/>
                              <w:szCs w:val="28"/>
                            </w:rPr>
                            <w:t>1</w:t>
                          </w:r>
                          <w:r>
                            <w:rPr>
                              <w:rFonts w:hint="eastAsia" w:ascii="宋体" w:hAnsi="宋体" w:eastAsia="宋体" w:cs="宋体"/>
                              <w:b w:val="0"/>
                              <w:bCs/>
                              <w:sz w:val="28"/>
                              <w:szCs w:val="28"/>
                            </w:rPr>
                            <w:fldChar w:fldCharType="end"/>
                          </w:r>
                          <w:r>
                            <w:rPr>
                              <w:rFonts w:hint="eastAsia" w:ascii="宋体" w:hAnsi="宋体" w:eastAsia="宋体" w:cs="宋体"/>
                              <w:b w:val="0"/>
                              <w:bCs/>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9dBt2NwIAAG8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MUB0szDAREp96dEK7b4d+OxNcQZNZ/o58ZZvapSyZT48MIfBQPl4OuEeSykNUprBoqQy&#10;7su/zmM8+gUvJQ0GLaca74oS+V6jjwAMo+FGYz8a+qjuDCYXvUEtnYkLLsjRLJ1Rn/GeVjEHXExz&#10;ZMppGM270A873iMXq1UXdLSuPlT9BUyhZWGrd5bHNFEqb1fHAGk7xaNAvSroVNxgDrueDW8mDvqf&#10;+y7q8T+x/A1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WAAAAZHJzL1BLAQIUABQAAAAIAIdO4kCzSVju0AAAAAUBAAAPAAAAAAAAAAEAIAAA&#10;ADgAAABkcnMvZG93bnJldi54bWxQSwECFAAUAAAACACHTuJAvXQbdjcCAABvBAAADgAAAAAAAAAB&#10;ACAAAAA1AQAAZHJzL2Uyb0RvYy54bWxQSwUGAAAAAAYABgBZAQAA3gUAAAAA&#10;">
              <v:fill on="f" focussize="0,0"/>
              <v:stroke on="f" weight="0.5pt"/>
              <v:imagedata o:title=""/>
              <o:lock v:ext="edit" aspectratio="f"/>
              <v:textbox inset="0mm,0mm,0mm,0mm" style="mso-fit-shape-to-text:t;">
                <w:txbxContent>
                  <w:p>
                    <w:pPr>
                      <w:pStyle w:val="20"/>
                      <w:rPr>
                        <w:rFonts w:hint="eastAsia" w:ascii="宋体" w:hAnsi="宋体" w:eastAsia="宋体" w:cs="宋体"/>
                        <w:b w:val="0"/>
                        <w:bCs/>
                        <w:sz w:val="28"/>
                        <w:szCs w:val="28"/>
                      </w:rPr>
                    </w:pPr>
                    <w:r>
                      <w:rPr>
                        <w:rFonts w:hint="eastAsia" w:ascii="宋体" w:hAnsi="宋体" w:eastAsia="宋体" w:cs="宋体"/>
                        <w:b w:val="0"/>
                        <w:bCs/>
                        <w:sz w:val="28"/>
                        <w:szCs w:val="28"/>
                      </w:rPr>
                      <w:t xml:space="preserve">— </w:t>
                    </w:r>
                    <w:r>
                      <w:rPr>
                        <w:rFonts w:hint="eastAsia" w:ascii="宋体" w:hAnsi="宋体" w:eastAsia="宋体" w:cs="宋体"/>
                        <w:b w:val="0"/>
                        <w:bCs/>
                        <w:sz w:val="28"/>
                        <w:szCs w:val="28"/>
                      </w:rPr>
                      <w:fldChar w:fldCharType="begin"/>
                    </w:r>
                    <w:r>
                      <w:rPr>
                        <w:rFonts w:hint="eastAsia" w:ascii="宋体" w:hAnsi="宋体" w:eastAsia="宋体" w:cs="宋体"/>
                        <w:b w:val="0"/>
                        <w:bCs/>
                        <w:sz w:val="28"/>
                        <w:szCs w:val="28"/>
                      </w:rPr>
                      <w:instrText xml:space="preserve"> PAGE  \* MERGEFORMAT </w:instrText>
                    </w:r>
                    <w:r>
                      <w:rPr>
                        <w:rFonts w:hint="eastAsia" w:ascii="宋体" w:hAnsi="宋体" w:eastAsia="宋体" w:cs="宋体"/>
                        <w:b w:val="0"/>
                        <w:bCs/>
                        <w:sz w:val="28"/>
                        <w:szCs w:val="28"/>
                      </w:rPr>
                      <w:fldChar w:fldCharType="separate"/>
                    </w:r>
                    <w:r>
                      <w:rPr>
                        <w:rFonts w:hint="eastAsia" w:ascii="宋体" w:hAnsi="宋体" w:eastAsia="宋体" w:cs="宋体"/>
                        <w:b w:val="0"/>
                        <w:bCs/>
                        <w:sz w:val="28"/>
                        <w:szCs w:val="28"/>
                      </w:rPr>
                      <w:t>1</w:t>
                    </w:r>
                    <w:r>
                      <w:rPr>
                        <w:rFonts w:hint="eastAsia" w:ascii="宋体" w:hAnsi="宋体" w:eastAsia="宋体" w:cs="宋体"/>
                        <w:b w:val="0"/>
                        <w:bCs/>
                        <w:sz w:val="28"/>
                        <w:szCs w:val="28"/>
                      </w:rPr>
                      <w:fldChar w:fldCharType="end"/>
                    </w:r>
                    <w:r>
                      <w:rPr>
                        <w:rFonts w:hint="eastAsia" w:ascii="宋体" w:hAnsi="宋体" w:eastAsia="宋体" w:cs="宋体"/>
                        <w:b w:val="0"/>
                        <w:bCs/>
                        <w:sz w:val="28"/>
                        <w:szCs w:val="28"/>
                      </w:rPr>
                      <w:t xml:space="preserve"> —</w:t>
                    </w:r>
                  </w:p>
                </w:txbxContent>
              </v:textbox>
            </v:shape>
          </w:pict>
        </mc:Fallback>
      </mc:AlternateContent>
    </w:r>
  </w:p>
  <w:p>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1"/>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cumentProtection w:enforcement="0"/>
  <w:defaultTabStop w:val="420"/>
  <w:drawingGridHorizontalSpacing w:val="105"/>
  <w:drawingGridVerticalSpacing w:val="156"/>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ZiZGRmM2E4NDNmZTU3YjZmYzhlZmQ1YWEwMjhiMDQifQ=="/>
  </w:docVars>
  <w:rsids>
    <w:rsidRoot w:val="00F1361C"/>
    <w:rsid w:val="00014A1C"/>
    <w:rsid w:val="000222C6"/>
    <w:rsid w:val="0002549F"/>
    <w:rsid w:val="00035392"/>
    <w:rsid w:val="000468DB"/>
    <w:rsid w:val="0006487A"/>
    <w:rsid w:val="00065F8F"/>
    <w:rsid w:val="00070A43"/>
    <w:rsid w:val="000768F2"/>
    <w:rsid w:val="00082EAC"/>
    <w:rsid w:val="0009184B"/>
    <w:rsid w:val="00094236"/>
    <w:rsid w:val="0009593C"/>
    <w:rsid w:val="00097322"/>
    <w:rsid w:val="00097358"/>
    <w:rsid w:val="000A6A92"/>
    <w:rsid w:val="000B047F"/>
    <w:rsid w:val="000B5923"/>
    <w:rsid w:val="000B5A48"/>
    <w:rsid w:val="000B6FF3"/>
    <w:rsid w:val="000C3467"/>
    <w:rsid w:val="000C3CA6"/>
    <w:rsid w:val="000D1267"/>
    <w:rsid w:val="000D1D50"/>
    <w:rsid w:val="000D5782"/>
    <w:rsid w:val="000E6613"/>
    <w:rsid w:val="000E7119"/>
    <w:rsid w:val="00114E9B"/>
    <w:rsid w:val="00142216"/>
    <w:rsid w:val="00144D6A"/>
    <w:rsid w:val="0014729F"/>
    <w:rsid w:val="00157BAB"/>
    <w:rsid w:val="001654D1"/>
    <w:rsid w:val="001730E5"/>
    <w:rsid w:val="00174518"/>
    <w:rsid w:val="0018106D"/>
    <w:rsid w:val="001877A7"/>
    <w:rsid w:val="00191536"/>
    <w:rsid w:val="00196687"/>
    <w:rsid w:val="001C0962"/>
    <w:rsid w:val="001C2738"/>
    <w:rsid w:val="001D7531"/>
    <w:rsid w:val="001E737D"/>
    <w:rsid w:val="001F0592"/>
    <w:rsid w:val="001F6419"/>
    <w:rsid w:val="001F7506"/>
    <w:rsid w:val="002006CD"/>
    <w:rsid w:val="00202B36"/>
    <w:rsid w:val="00204B7A"/>
    <w:rsid w:val="00204CDE"/>
    <w:rsid w:val="0021101A"/>
    <w:rsid w:val="00220536"/>
    <w:rsid w:val="00235629"/>
    <w:rsid w:val="00260289"/>
    <w:rsid w:val="00260C38"/>
    <w:rsid w:val="002616C0"/>
    <w:rsid w:val="002643DB"/>
    <w:rsid w:val="00265372"/>
    <w:rsid w:val="002662AA"/>
    <w:rsid w:val="00280496"/>
    <w:rsid w:val="00283D47"/>
    <w:rsid w:val="00294DC9"/>
    <w:rsid w:val="00295495"/>
    <w:rsid w:val="002A31DE"/>
    <w:rsid w:val="002A4725"/>
    <w:rsid w:val="002A62F7"/>
    <w:rsid w:val="002B2613"/>
    <w:rsid w:val="002C1468"/>
    <w:rsid w:val="002D6D05"/>
    <w:rsid w:val="002F1818"/>
    <w:rsid w:val="002F5109"/>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2919"/>
    <w:rsid w:val="003D66DA"/>
    <w:rsid w:val="003E1310"/>
    <w:rsid w:val="003E2E6A"/>
    <w:rsid w:val="003E6F55"/>
    <w:rsid w:val="00406254"/>
    <w:rsid w:val="00410559"/>
    <w:rsid w:val="0041585D"/>
    <w:rsid w:val="00420B47"/>
    <w:rsid w:val="004223DE"/>
    <w:rsid w:val="00434489"/>
    <w:rsid w:val="00437085"/>
    <w:rsid w:val="00443880"/>
    <w:rsid w:val="004464F4"/>
    <w:rsid w:val="00447329"/>
    <w:rsid w:val="00471401"/>
    <w:rsid w:val="00473F31"/>
    <w:rsid w:val="0048263A"/>
    <w:rsid w:val="004826A2"/>
    <w:rsid w:val="00487E5D"/>
    <w:rsid w:val="004A711F"/>
    <w:rsid w:val="004B199D"/>
    <w:rsid w:val="004B4690"/>
    <w:rsid w:val="004E0A2D"/>
    <w:rsid w:val="004E206B"/>
    <w:rsid w:val="004E3607"/>
    <w:rsid w:val="004E6DF7"/>
    <w:rsid w:val="004F0FBD"/>
    <w:rsid w:val="00505A47"/>
    <w:rsid w:val="00512FDA"/>
    <w:rsid w:val="00520DA0"/>
    <w:rsid w:val="005664BB"/>
    <w:rsid w:val="00566FFA"/>
    <w:rsid w:val="0057481D"/>
    <w:rsid w:val="0058486E"/>
    <w:rsid w:val="00585B33"/>
    <w:rsid w:val="0059014D"/>
    <w:rsid w:val="005A09FD"/>
    <w:rsid w:val="005B0198"/>
    <w:rsid w:val="005B321C"/>
    <w:rsid w:val="005B5C64"/>
    <w:rsid w:val="005C5337"/>
    <w:rsid w:val="005C6BD0"/>
    <w:rsid w:val="005D1C8B"/>
    <w:rsid w:val="005D468D"/>
    <w:rsid w:val="005D5CED"/>
    <w:rsid w:val="005F1A4C"/>
    <w:rsid w:val="00605688"/>
    <w:rsid w:val="006070AF"/>
    <w:rsid w:val="00607E6C"/>
    <w:rsid w:val="006101B1"/>
    <w:rsid w:val="00614E44"/>
    <w:rsid w:val="00620030"/>
    <w:rsid w:val="0062270A"/>
    <w:rsid w:val="00622830"/>
    <w:rsid w:val="00623DA0"/>
    <w:rsid w:val="00630AEF"/>
    <w:rsid w:val="006325F8"/>
    <w:rsid w:val="00633463"/>
    <w:rsid w:val="00634C9A"/>
    <w:rsid w:val="00640417"/>
    <w:rsid w:val="00641F56"/>
    <w:rsid w:val="006440E4"/>
    <w:rsid w:val="0066343B"/>
    <w:rsid w:val="00664777"/>
    <w:rsid w:val="006748A4"/>
    <w:rsid w:val="00681A31"/>
    <w:rsid w:val="00683E73"/>
    <w:rsid w:val="006A3141"/>
    <w:rsid w:val="006A5E34"/>
    <w:rsid w:val="006B2422"/>
    <w:rsid w:val="006B2B9A"/>
    <w:rsid w:val="006C1937"/>
    <w:rsid w:val="006F020C"/>
    <w:rsid w:val="007127B7"/>
    <w:rsid w:val="0071798E"/>
    <w:rsid w:val="007416B6"/>
    <w:rsid w:val="0074516B"/>
    <w:rsid w:val="00746F48"/>
    <w:rsid w:val="0075404D"/>
    <w:rsid w:val="0076182A"/>
    <w:rsid w:val="00762406"/>
    <w:rsid w:val="0076493D"/>
    <w:rsid w:val="00767B7E"/>
    <w:rsid w:val="007770C3"/>
    <w:rsid w:val="00784D24"/>
    <w:rsid w:val="00785FBA"/>
    <w:rsid w:val="00786E4A"/>
    <w:rsid w:val="007875EB"/>
    <w:rsid w:val="0079426B"/>
    <w:rsid w:val="007D1682"/>
    <w:rsid w:val="007D312A"/>
    <w:rsid w:val="007D3F19"/>
    <w:rsid w:val="007E23B0"/>
    <w:rsid w:val="007E23E5"/>
    <w:rsid w:val="007E6A82"/>
    <w:rsid w:val="007F1991"/>
    <w:rsid w:val="007F2C2F"/>
    <w:rsid w:val="007F55FC"/>
    <w:rsid w:val="007F5665"/>
    <w:rsid w:val="007F7385"/>
    <w:rsid w:val="00800112"/>
    <w:rsid w:val="00813348"/>
    <w:rsid w:val="008253BB"/>
    <w:rsid w:val="0083706E"/>
    <w:rsid w:val="008408F6"/>
    <w:rsid w:val="008423A5"/>
    <w:rsid w:val="00850625"/>
    <w:rsid w:val="00853718"/>
    <w:rsid w:val="00855221"/>
    <w:rsid w:val="00860645"/>
    <w:rsid w:val="00871F71"/>
    <w:rsid w:val="00872BEA"/>
    <w:rsid w:val="00872FD8"/>
    <w:rsid w:val="00875641"/>
    <w:rsid w:val="00885AF4"/>
    <w:rsid w:val="00887F08"/>
    <w:rsid w:val="008914B9"/>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34F0"/>
    <w:rsid w:val="00935C98"/>
    <w:rsid w:val="00946945"/>
    <w:rsid w:val="00951248"/>
    <w:rsid w:val="0095152F"/>
    <w:rsid w:val="009546E4"/>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E50C8"/>
    <w:rsid w:val="009F1185"/>
    <w:rsid w:val="009F18CD"/>
    <w:rsid w:val="009F2A13"/>
    <w:rsid w:val="009F7527"/>
    <w:rsid w:val="00A04EB0"/>
    <w:rsid w:val="00A13CC1"/>
    <w:rsid w:val="00A16847"/>
    <w:rsid w:val="00A237D8"/>
    <w:rsid w:val="00A25C9F"/>
    <w:rsid w:val="00A268C4"/>
    <w:rsid w:val="00A27C77"/>
    <w:rsid w:val="00A307CD"/>
    <w:rsid w:val="00A331C8"/>
    <w:rsid w:val="00A40A00"/>
    <w:rsid w:val="00A4142F"/>
    <w:rsid w:val="00A422EB"/>
    <w:rsid w:val="00A45BB7"/>
    <w:rsid w:val="00A56DF2"/>
    <w:rsid w:val="00A56E6E"/>
    <w:rsid w:val="00A67AB5"/>
    <w:rsid w:val="00A733B2"/>
    <w:rsid w:val="00A741C2"/>
    <w:rsid w:val="00A74A9E"/>
    <w:rsid w:val="00A91760"/>
    <w:rsid w:val="00A93B00"/>
    <w:rsid w:val="00A93C21"/>
    <w:rsid w:val="00AB64C9"/>
    <w:rsid w:val="00AC2E50"/>
    <w:rsid w:val="00AC3C6A"/>
    <w:rsid w:val="00AD5620"/>
    <w:rsid w:val="00AD656B"/>
    <w:rsid w:val="00AD77D8"/>
    <w:rsid w:val="00AD7C1B"/>
    <w:rsid w:val="00AE16BA"/>
    <w:rsid w:val="00AE1EBE"/>
    <w:rsid w:val="00B001B1"/>
    <w:rsid w:val="00B03C9D"/>
    <w:rsid w:val="00B060AE"/>
    <w:rsid w:val="00B10517"/>
    <w:rsid w:val="00B12E8B"/>
    <w:rsid w:val="00B14E76"/>
    <w:rsid w:val="00B161B8"/>
    <w:rsid w:val="00B2048C"/>
    <w:rsid w:val="00B310B9"/>
    <w:rsid w:val="00B35F3F"/>
    <w:rsid w:val="00B36CBB"/>
    <w:rsid w:val="00B411A6"/>
    <w:rsid w:val="00B425E0"/>
    <w:rsid w:val="00B440AA"/>
    <w:rsid w:val="00B44B70"/>
    <w:rsid w:val="00B53C56"/>
    <w:rsid w:val="00B57DAF"/>
    <w:rsid w:val="00B76F9D"/>
    <w:rsid w:val="00B77EA6"/>
    <w:rsid w:val="00B81598"/>
    <w:rsid w:val="00B841F1"/>
    <w:rsid w:val="00B944D6"/>
    <w:rsid w:val="00BA579E"/>
    <w:rsid w:val="00BB4DF0"/>
    <w:rsid w:val="00BC289F"/>
    <w:rsid w:val="00BC2D50"/>
    <w:rsid w:val="00BC5361"/>
    <w:rsid w:val="00BC5460"/>
    <w:rsid w:val="00BC6B50"/>
    <w:rsid w:val="00BD0E25"/>
    <w:rsid w:val="00BF5BD6"/>
    <w:rsid w:val="00C03E31"/>
    <w:rsid w:val="00C33E72"/>
    <w:rsid w:val="00C354B2"/>
    <w:rsid w:val="00C35554"/>
    <w:rsid w:val="00C42709"/>
    <w:rsid w:val="00C46119"/>
    <w:rsid w:val="00C533CC"/>
    <w:rsid w:val="00C5751C"/>
    <w:rsid w:val="00C61BFC"/>
    <w:rsid w:val="00C62B85"/>
    <w:rsid w:val="00C65438"/>
    <w:rsid w:val="00C860D5"/>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4E7C"/>
    <w:rsid w:val="00D35489"/>
    <w:rsid w:val="00D36AFE"/>
    <w:rsid w:val="00D51276"/>
    <w:rsid w:val="00D7035F"/>
    <w:rsid w:val="00D950A1"/>
    <w:rsid w:val="00DA634F"/>
    <w:rsid w:val="00DA65AC"/>
    <w:rsid w:val="00DB1913"/>
    <w:rsid w:val="00DC410D"/>
    <w:rsid w:val="00DC5A81"/>
    <w:rsid w:val="00DC68CA"/>
    <w:rsid w:val="00DC7CBA"/>
    <w:rsid w:val="00DD73B7"/>
    <w:rsid w:val="00DE7428"/>
    <w:rsid w:val="00DF24DF"/>
    <w:rsid w:val="00DF28BC"/>
    <w:rsid w:val="00DF34B9"/>
    <w:rsid w:val="00E01053"/>
    <w:rsid w:val="00E01B70"/>
    <w:rsid w:val="00E07ACF"/>
    <w:rsid w:val="00E11813"/>
    <w:rsid w:val="00E331A1"/>
    <w:rsid w:val="00E33202"/>
    <w:rsid w:val="00E336A9"/>
    <w:rsid w:val="00E472B1"/>
    <w:rsid w:val="00E50624"/>
    <w:rsid w:val="00E568DF"/>
    <w:rsid w:val="00E64269"/>
    <w:rsid w:val="00E82267"/>
    <w:rsid w:val="00E853CE"/>
    <w:rsid w:val="00E867B6"/>
    <w:rsid w:val="00EA010F"/>
    <w:rsid w:val="00EB0FAE"/>
    <w:rsid w:val="00ED1B63"/>
    <w:rsid w:val="00ED3C1F"/>
    <w:rsid w:val="00ED4085"/>
    <w:rsid w:val="00ED420E"/>
    <w:rsid w:val="00ED6FBE"/>
    <w:rsid w:val="00EE2F57"/>
    <w:rsid w:val="00EF4C34"/>
    <w:rsid w:val="00EF77C6"/>
    <w:rsid w:val="00F03938"/>
    <w:rsid w:val="00F05438"/>
    <w:rsid w:val="00F1361C"/>
    <w:rsid w:val="00F156F0"/>
    <w:rsid w:val="00F160C7"/>
    <w:rsid w:val="00F2408F"/>
    <w:rsid w:val="00F240E9"/>
    <w:rsid w:val="00F36D8F"/>
    <w:rsid w:val="00F417B1"/>
    <w:rsid w:val="00F45853"/>
    <w:rsid w:val="00F5561B"/>
    <w:rsid w:val="00F602DF"/>
    <w:rsid w:val="00F754A1"/>
    <w:rsid w:val="00F81FD9"/>
    <w:rsid w:val="00F841AA"/>
    <w:rsid w:val="00F84A94"/>
    <w:rsid w:val="00F87E96"/>
    <w:rsid w:val="00FA23E8"/>
    <w:rsid w:val="00FA789D"/>
    <w:rsid w:val="00FC7DA4"/>
    <w:rsid w:val="00FD3CC1"/>
    <w:rsid w:val="00FF1E02"/>
    <w:rsid w:val="00FF30B4"/>
    <w:rsid w:val="015975B8"/>
    <w:rsid w:val="02B54036"/>
    <w:rsid w:val="02FEBE30"/>
    <w:rsid w:val="036F8141"/>
    <w:rsid w:val="03BA02AF"/>
    <w:rsid w:val="040A6542"/>
    <w:rsid w:val="046046C1"/>
    <w:rsid w:val="066E0107"/>
    <w:rsid w:val="07996F6E"/>
    <w:rsid w:val="07DFD8BA"/>
    <w:rsid w:val="0A2032A3"/>
    <w:rsid w:val="0D35B1ED"/>
    <w:rsid w:val="0E7ED1F5"/>
    <w:rsid w:val="0F98263C"/>
    <w:rsid w:val="10060813"/>
    <w:rsid w:val="101860EC"/>
    <w:rsid w:val="10C055FF"/>
    <w:rsid w:val="118107EC"/>
    <w:rsid w:val="12FC2610"/>
    <w:rsid w:val="13D50BC4"/>
    <w:rsid w:val="13F5616D"/>
    <w:rsid w:val="14E62543"/>
    <w:rsid w:val="1640178A"/>
    <w:rsid w:val="168B3820"/>
    <w:rsid w:val="16BB723D"/>
    <w:rsid w:val="17F9714D"/>
    <w:rsid w:val="1918F934"/>
    <w:rsid w:val="19B20A68"/>
    <w:rsid w:val="1A7774BB"/>
    <w:rsid w:val="1BE8440E"/>
    <w:rsid w:val="1C181F7B"/>
    <w:rsid w:val="1C1D1B72"/>
    <w:rsid w:val="1D155CEE"/>
    <w:rsid w:val="1DFBC4B3"/>
    <w:rsid w:val="1E740ACF"/>
    <w:rsid w:val="1F19C781"/>
    <w:rsid w:val="1F33FCE5"/>
    <w:rsid w:val="1F7F7398"/>
    <w:rsid w:val="1FD2DB6F"/>
    <w:rsid w:val="1FE45CAA"/>
    <w:rsid w:val="1FF35744"/>
    <w:rsid w:val="1FF6BC77"/>
    <w:rsid w:val="1FF9236D"/>
    <w:rsid w:val="210871F6"/>
    <w:rsid w:val="2333840E"/>
    <w:rsid w:val="23860B96"/>
    <w:rsid w:val="239311C9"/>
    <w:rsid w:val="240371BF"/>
    <w:rsid w:val="257C638F"/>
    <w:rsid w:val="26965D5A"/>
    <w:rsid w:val="284E0E06"/>
    <w:rsid w:val="294538A4"/>
    <w:rsid w:val="29FD04D3"/>
    <w:rsid w:val="2A4D048F"/>
    <w:rsid w:val="2AD6555A"/>
    <w:rsid w:val="2BFF7BC6"/>
    <w:rsid w:val="2C8A61B5"/>
    <w:rsid w:val="2CD59C95"/>
    <w:rsid w:val="2DF04E50"/>
    <w:rsid w:val="2EC27BA3"/>
    <w:rsid w:val="2EFD05E5"/>
    <w:rsid w:val="2F040D46"/>
    <w:rsid w:val="2F4F95CE"/>
    <w:rsid w:val="2FACAFDD"/>
    <w:rsid w:val="2FAE5751"/>
    <w:rsid w:val="2FB1A395"/>
    <w:rsid w:val="2FCF0B76"/>
    <w:rsid w:val="2FD9A7D8"/>
    <w:rsid w:val="2FFFCDA6"/>
    <w:rsid w:val="306A02BB"/>
    <w:rsid w:val="319F7F4E"/>
    <w:rsid w:val="3304709D"/>
    <w:rsid w:val="36525CB0"/>
    <w:rsid w:val="36AA5135"/>
    <w:rsid w:val="36BE0DA7"/>
    <w:rsid w:val="37500442"/>
    <w:rsid w:val="376B6AA6"/>
    <w:rsid w:val="376D39B2"/>
    <w:rsid w:val="379E0BB3"/>
    <w:rsid w:val="37E16F03"/>
    <w:rsid w:val="37F53A3B"/>
    <w:rsid w:val="38606707"/>
    <w:rsid w:val="38D469F0"/>
    <w:rsid w:val="38F78389"/>
    <w:rsid w:val="397BAF1F"/>
    <w:rsid w:val="39E7B272"/>
    <w:rsid w:val="39F7642F"/>
    <w:rsid w:val="39FF7B37"/>
    <w:rsid w:val="3AB79AF3"/>
    <w:rsid w:val="3AFDCB77"/>
    <w:rsid w:val="3B7EF35A"/>
    <w:rsid w:val="3B9FDB6C"/>
    <w:rsid w:val="3BF5BC2F"/>
    <w:rsid w:val="3BF7C23A"/>
    <w:rsid w:val="3BFF223E"/>
    <w:rsid w:val="3C6EC0A1"/>
    <w:rsid w:val="3CDB0824"/>
    <w:rsid w:val="3CEBA265"/>
    <w:rsid w:val="3D6A7F9F"/>
    <w:rsid w:val="3D763DE1"/>
    <w:rsid w:val="3D7E7F4D"/>
    <w:rsid w:val="3D98207C"/>
    <w:rsid w:val="3D9CF30A"/>
    <w:rsid w:val="3DFF5A3E"/>
    <w:rsid w:val="3E2B12C1"/>
    <w:rsid w:val="3E602B0F"/>
    <w:rsid w:val="3E78745D"/>
    <w:rsid w:val="3EEE77E9"/>
    <w:rsid w:val="3F394AF5"/>
    <w:rsid w:val="3FBE5714"/>
    <w:rsid w:val="3FDD8615"/>
    <w:rsid w:val="3FDFB2FF"/>
    <w:rsid w:val="3FF4CAE0"/>
    <w:rsid w:val="3FF75FAF"/>
    <w:rsid w:val="3FF7B227"/>
    <w:rsid w:val="422A188F"/>
    <w:rsid w:val="44C15265"/>
    <w:rsid w:val="44E268DA"/>
    <w:rsid w:val="457F4F6B"/>
    <w:rsid w:val="4737FB58"/>
    <w:rsid w:val="47994980"/>
    <w:rsid w:val="47ECCB02"/>
    <w:rsid w:val="47FA6A3F"/>
    <w:rsid w:val="480C76AC"/>
    <w:rsid w:val="48452B52"/>
    <w:rsid w:val="48594DC4"/>
    <w:rsid w:val="49D7AE48"/>
    <w:rsid w:val="4A3F6C7E"/>
    <w:rsid w:val="4A4C0CA0"/>
    <w:rsid w:val="4A627F82"/>
    <w:rsid w:val="4B0E749A"/>
    <w:rsid w:val="4B1B2FB4"/>
    <w:rsid w:val="4B4F25DA"/>
    <w:rsid w:val="4BBB4781"/>
    <w:rsid w:val="4BD709A5"/>
    <w:rsid w:val="4BDD9BFF"/>
    <w:rsid w:val="4BE068DB"/>
    <w:rsid w:val="4D577224"/>
    <w:rsid w:val="4DBF1CEB"/>
    <w:rsid w:val="4DBF6A6B"/>
    <w:rsid w:val="4DF6A672"/>
    <w:rsid w:val="4EAB630A"/>
    <w:rsid w:val="4ECE2238"/>
    <w:rsid w:val="4F7EA413"/>
    <w:rsid w:val="4FAB812F"/>
    <w:rsid w:val="4FE9BD67"/>
    <w:rsid w:val="4FEE4C07"/>
    <w:rsid w:val="4FFB052F"/>
    <w:rsid w:val="51174C35"/>
    <w:rsid w:val="537E6D0A"/>
    <w:rsid w:val="53AB6B88"/>
    <w:rsid w:val="53F74C96"/>
    <w:rsid w:val="5583522D"/>
    <w:rsid w:val="57BD3DD4"/>
    <w:rsid w:val="57F9CD1E"/>
    <w:rsid w:val="5AF92295"/>
    <w:rsid w:val="5AF9D8E9"/>
    <w:rsid w:val="5BDD38BD"/>
    <w:rsid w:val="5BDD79E6"/>
    <w:rsid w:val="5BEFC772"/>
    <w:rsid w:val="5BFF5DFC"/>
    <w:rsid w:val="5CD71FC4"/>
    <w:rsid w:val="5D1F11B5"/>
    <w:rsid w:val="5D3647F9"/>
    <w:rsid w:val="5DA644D4"/>
    <w:rsid w:val="5DAE1B18"/>
    <w:rsid w:val="5DE7D9E5"/>
    <w:rsid w:val="5ECEC941"/>
    <w:rsid w:val="5EFF8FC6"/>
    <w:rsid w:val="5F5334BF"/>
    <w:rsid w:val="5F5BA39A"/>
    <w:rsid w:val="5F7D3B79"/>
    <w:rsid w:val="5F7F4610"/>
    <w:rsid w:val="5FBF9FF3"/>
    <w:rsid w:val="5FCD4E2C"/>
    <w:rsid w:val="5FEF394A"/>
    <w:rsid w:val="5FF67715"/>
    <w:rsid w:val="6062610E"/>
    <w:rsid w:val="61CA71D5"/>
    <w:rsid w:val="627EE9EA"/>
    <w:rsid w:val="63B23AA5"/>
    <w:rsid w:val="6401649C"/>
    <w:rsid w:val="647F5392"/>
    <w:rsid w:val="64C82C14"/>
    <w:rsid w:val="64E322C4"/>
    <w:rsid w:val="65D4205C"/>
    <w:rsid w:val="65FB93B9"/>
    <w:rsid w:val="66052326"/>
    <w:rsid w:val="6633C463"/>
    <w:rsid w:val="67D55B77"/>
    <w:rsid w:val="67EE7F84"/>
    <w:rsid w:val="686F5F53"/>
    <w:rsid w:val="69392234"/>
    <w:rsid w:val="6A987ACE"/>
    <w:rsid w:val="6AFFCEAF"/>
    <w:rsid w:val="6B96E9E6"/>
    <w:rsid w:val="6BCE57B5"/>
    <w:rsid w:val="6BFEA4DB"/>
    <w:rsid w:val="6BFFB662"/>
    <w:rsid w:val="6C4A05C8"/>
    <w:rsid w:val="6C5E5663"/>
    <w:rsid w:val="6C7F4402"/>
    <w:rsid w:val="6CCD7863"/>
    <w:rsid w:val="6CFF4FB8"/>
    <w:rsid w:val="6D2F0FF2"/>
    <w:rsid w:val="6D4322A3"/>
    <w:rsid w:val="6D6BD6E0"/>
    <w:rsid w:val="6D77E73C"/>
    <w:rsid w:val="6DBF5E93"/>
    <w:rsid w:val="6DFF077E"/>
    <w:rsid w:val="6E7E3605"/>
    <w:rsid w:val="6E7FDCC7"/>
    <w:rsid w:val="6ED6A62E"/>
    <w:rsid w:val="6EE00B15"/>
    <w:rsid w:val="6EE737B2"/>
    <w:rsid w:val="6EEB2329"/>
    <w:rsid w:val="6EECE67A"/>
    <w:rsid w:val="6F6F90A8"/>
    <w:rsid w:val="6F6FB3EB"/>
    <w:rsid w:val="6F8731EA"/>
    <w:rsid w:val="6FBC2ADD"/>
    <w:rsid w:val="6FD57C00"/>
    <w:rsid w:val="6FEFFFD8"/>
    <w:rsid w:val="6FF5CC65"/>
    <w:rsid w:val="6FFB47EC"/>
    <w:rsid w:val="6FFF034A"/>
    <w:rsid w:val="712A28F1"/>
    <w:rsid w:val="715C0E4B"/>
    <w:rsid w:val="71FFD401"/>
    <w:rsid w:val="72233669"/>
    <w:rsid w:val="72734D90"/>
    <w:rsid w:val="7327134F"/>
    <w:rsid w:val="7332FE48"/>
    <w:rsid w:val="73AD73D5"/>
    <w:rsid w:val="73B6EB34"/>
    <w:rsid w:val="73D6348F"/>
    <w:rsid w:val="73FA497D"/>
    <w:rsid w:val="74377ED7"/>
    <w:rsid w:val="744731E5"/>
    <w:rsid w:val="74BBD01D"/>
    <w:rsid w:val="74ED5379"/>
    <w:rsid w:val="75CE72B9"/>
    <w:rsid w:val="75DEEEC2"/>
    <w:rsid w:val="767F479D"/>
    <w:rsid w:val="76E3355F"/>
    <w:rsid w:val="76F742AF"/>
    <w:rsid w:val="76F7BE7D"/>
    <w:rsid w:val="76FF5125"/>
    <w:rsid w:val="773570D3"/>
    <w:rsid w:val="77597F31"/>
    <w:rsid w:val="776F6FFA"/>
    <w:rsid w:val="7777A522"/>
    <w:rsid w:val="77858688"/>
    <w:rsid w:val="778769C8"/>
    <w:rsid w:val="77CB741A"/>
    <w:rsid w:val="77D7BE3A"/>
    <w:rsid w:val="77DC22F5"/>
    <w:rsid w:val="78112FF0"/>
    <w:rsid w:val="797E3A6C"/>
    <w:rsid w:val="79954710"/>
    <w:rsid w:val="79CF70E2"/>
    <w:rsid w:val="79D7FD79"/>
    <w:rsid w:val="79E75806"/>
    <w:rsid w:val="79EE5BA4"/>
    <w:rsid w:val="7A641148"/>
    <w:rsid w:val="7A6F8BF5"/>
    <w:rsid w:val="7A894339"/>
    <w:rsid w:val="7ACF82B5"/>
    <w:rsid w:val="7AFF28C9"/>
    <w:rsid w:val="7AFF72A0"/>
    <w:rsid w:val="7AFF7572"/>
    <w:rsid w:val="7B6C7DFB"/>
    <w:rsid w:val="7B7D76A7"/>
    <w:rsid w:val="7B7F2513"/>
    <w:rsid w:val="7BAE2FE2"/>
    <w:rsid w:val="7BAF6951"/>
    <w:rsid w:val="7BBFBED0"/>
    <w:rsid w:val="7BC3E394"/>
    <w:rsid w:val="7BF3FE4C"/>
    <w:rsid w:val="7BF7714B"/>
    <w:rsid w:val="7BFB5035"/>
    <w:rsid w:val="7BFDE17E"/>
    <w:rsid w:val="7CBFC87B"/>
    <w:rsid w:val="7CFE0F48"/>
    <w:rsid w:val="7D3DE31C"/>
    <w:rsid w:val="7D760854"/>
    <w:rsid w:val="7D7EC23E"/>
    <w:rsid w:val="7D7F8A13"/>
    <w:rsid w:val="7DBBCB01"/>
    <w:rsid w:val="7DC765D0"/>
    <w:rsid w:val="7DDB0EE0"/>
    <w:rsid w:val="7DFF51D8"/>
    <w:rsid w:val="7E634199"/>
    <w:rsid w:val="7E8ADEBF"/>
    <w:rsid w:val="7E8D29AE"/>
    <w:rsid w:val="7EEF11D3"/>
    <w:rsid w:val="7EF78C20"/>
    <w:rsid w:val="7F100484"/>
    <w:rsid w:val="7F3F679B"/>
    <w:rsid w:val="7F4FC4EF"/>
    <w:rsid w:val="7F5E4D54"/>
    <w:rsid w:val="7F6B75FA"/>
    <w:rsid w:val="7F9F518D"/>
    <w:rsid w:val="7FA30C79"/>
    <w:rsid w:val="7FA36202"/>
    <w:rsid w:val="7FAF8ABF"/>
    <w:rsid w:val="7FB7269E"/>
    <w:rsid w:val="7FBB05B1"/>
    <w:rsid w:val="7FBD6753"/>
    <w:rsid w:val="7FBFABB4"/>
    <w:rsid w:val="7FC65084"/>
    <w:rsid w:val="7FC96657"/>
    <w:rsid w:val="7FD72595"/>
    <w:rsid w:val="7FDA9588"/>
    <w:rsid w:val="7FDF220F"/>
    <w:rsid w:val="7FDF4542"/>
    <w:rsid w:val="7FDF5405"/>
    <w:rsid w:val="7FEDC251"/>
    <w:rsid w:val="7FEDC5F7"/>
    <w:rsid w:val="7FEDD9DE"/>
    <w:rsid w:val="7FEFCDB9"/>
    <w:rsid w:val="7FF5890D"/>
    <w:rsid w:val="7FF5EB09"/>
    <w:rsid w:val="7FF89B92"/>
    <w:rsid w:val="7FF8F2E7"/>
    <w:rsid w:val="7FF93490"/>
    <w:rsid w:val="7FFA6237"/>
    <w:rsid w:val="7FFB5275"/>
    <w:rsid w:val="7FFD14DE"/>
    <w:rsid w:val="7FFFF783"/>
    <w:rsid w:val="8F7A7632"/>
    <w:rsid w:val="93F70A9E"/>
    <w:rsid w:val="997D060E"/>
    <w:rsid w:val="99FF2014"/>
    <w:rsid w:val="9D9722DC"/>
    <w:rsid w:val="9E59F895"/>
    <w:rsid w:val="9E7DEDC1"/>
    <w:rsid w:val="9EEF2B0D"/>
    <w:rsid w:val="9FF6F2A6"/>
    <w:rsid w:val="9FFE4AD9"/>
    <w:rsid w:val="9FFF61B9"/>
    <w:rsid w:val="A6DD0D7F"/>
    <w:rsid w:val="A7955197"/>
    <w:rsid w:val="A7FE5E0E"/>
    <w:rsid w:val="ADC6F725"/>
    <w:rsid w:val="AF0FFA84"/>
    <w:rsid w:val="AF9F0A5E"/>
    <w:rsid w:val="AFEF7964"/>
    <w:rsid w:val="B27A6F28"/>
    <w:rsid w:val="B35F0D5A"/>
    <w:rsid w:val="B3F7F693"/>
    <w:rsid w:val="B3FBBB6C"/>
    <w:rsid w:val="B5FFE407"/>
    <w:rsid w:val="B7CF06AB"/>
    <w:rsid w:val="B7CFA926"/>
    <w:rsid w:val="B7F8786B"/>
    <w:rsid w:val="B9EF5647"/>
    <w:rsid w:val="BABB6AA1"/>
    <w:rsid w:val="BAFCD398"/>
    <w:rsid w:val="BAFFDA0F"/>
    <w:rsid w:val="BB2F4199"/>
    <w:rsid w:val="BBFBD24E"/>
    <w:rsid w:val="BD079C78"/>
    <w:rsid w:val="BD2DD278"/>
    <w:rsid w:val="BD733540"/>
    <w:rsid w:val="BDF7970E"/>
    <w:rsid w:val="BDFE68BD"/>
    <w:rsid w:val="BE6FC990"/>
    <w:rsid w:val="BEBE9537"/>
    <w:rsid w:val="BEFF0D62"/>
    <w:rsid w:val="BEFF90EF"/>
    <w:rsid w:val="BF3735D5"/>
    <w:rsid w:val="BF7F09AC"/>
    <w:rsid w:val="BFB3380D"/>
    <w:rsid w:val="BFB7E7A2"/>
    <w:rsid w:val="BFC2F103"/>
    <w:rsid w:val="BFD475C3"/>
    <w:rsid w:val="BFDE5EA6"/>
    <w:rsid w:val="BFEF99E9"/>
    <w:rsid w:val="BFF9E564"/>
    <w:rsid w:val="BFFF3A69"/>
    <w:rsid w:val="C7BFEF9C"/>
    <w:rsid w:val="C8BD8F25"/>
    <w:rsid w:val="C94DA72E"/>
    <w:rsid w:val="CBEEAA00"/>
    <w:rsid w:val="CC7E9ECE"/>
    <w:rsid w:val="CDBFF9FF"/>
    <w:rsid w:val="CDF78664"/>
    <w:rsid w:val="CE3FF57E"/>
    <w:rsid w:val="CF3AB4AC"/>
    <w:rsid w:val="CF6FC6F3"/>
    <w:rsid w:val="CFD3D3D7"/>
    <w:rsid w:val="CFDF1009"/>
    <w:rsid w:val="D6B7E4F6"/>
    <w:rsid w:val="D6CB2739"/>
    <w:rsid w:val="D776A8DB"/>
    <w:rsid w:val="D7B6B268"/>
    <w:rsid w:val="D7D7B16A"/>
    <w:rsid w:val="D7EF2E2A"/>
    <w:rsid w:val="D8D6DB89"/>
    <w:rsid w:val="DB6F4CAB"/>
    <w:rsid w:val="DB777682"/>
    <w:rsid w:val="DBDDA52A"/>
    <w:rsid w:val="DC3B75AC"/>
    <w:rsid w:val="DCFFC0D1"/>
    <w:rsid w:val="DD1FB521"/>
    <w:rsid w:val="DDCB2E5E"/>
    <w:rsid w:val="DDFE75CA"/>
    <w:rsid w:val="DEFBBE33"/>
    <w:rsid w:val="DEFBFEAE"/>
    <w:rsid w:val="DF1F3B80"/>
    <w:rsid w:val="DF6F9789"/>
    <w:rsid w:val="DF9B8D55"/>
    <w:rsid w:val="DF9D198A"/>
    <w:rsid w:val="DFDF1D8E"/>
    <w:rsid w:val="DFEFC58B"/>
    <w:rsid w:val="DFF5F241"/>
    <w:rsid w:val="DFFFA9E8"/>
    <w:rsid w:val="E37D5D3F"/>
    <w:rsid w:val="E3FFE98D"/>
    <w:rsid w:val="E47B7467"/>
    <w:rsid w:val="E5F4E9DC"/>
    <w:rsid w:val="E67FF583"/>
    <w:rsid w:val="E70FE695"/>
    <w:rsid w:val="E7676621"/>
    <w:rsid w:val="E76B2B9A"/>
    <w:rsid w:val="E7AB7A34"/>
    <w:rsid w:val="E7DF1E20"/>
    <w:rsid w:val="E7FF6381"/>
    <w:rsid w:val="E9A30291"/>
    <w:rsid w:val="EBBF924C"/>
    <w:rsid w:val="ECFED1BC"/>
    <w:rsid w:val="ED1D69BB"/>
    <w:rsid w:val="ED2C2584"/>
    <w:rsid w:val="ED7FD312"/>
    <w:rsid w:val="EDBE03E0"/>
    <w:rsid w:val="EDD1A84A"/>
    <w:rsid w:val="EDFF8263"/>
    <w:rsid w:val="EE1FA0C7"/>
    <w:rsid w:val="EF53993F"/>
    <w:rsid w:val="EF7A9E3B"/>
    <w:rsid w:val="EF7B8152"/>
    <w:rsid w:val="EF8E27E2"/>
    <w:rsid w:val="EFBFB2F4"/>
    <w:rsid w:val="EFBFFA21"/>
    <w:rsid w:val="EFDF4337"/>
    <w:rsid w:val="EFF7097E"/>
    <w:rsid w:val="F2BEBCB8"/>
    <w:rsid w:val="F36FB518"/>
    <w:rsid w:val="F3DE1A04"/>
    <w:rsid w:val="F3E244FA"/>
    <w:rsid w:val="F3EFB7CA"/>
    <w:rsid w:val="F3F722E5"/>
    <w:rsid w:val="F699BB1A"/>
    <w:rsid w:val="F6DEABFE"/>
    <w:rsid w:val="F7B650C7"/>
    <w:rsid w:val="F7EF9033"/>
    <w:rsid w:val="F7FDC2B1"/>
    <w:rsid w:val="F8DDDAC6"/>
    <w:rsid w:val="F96B55C8"/>
    <w:rsid w:val="FA2F5BEB"/>
    <w:rsid w:val="FA5F1E70"/>
    <w:rsid w:val="FA5FDB97"/>
    <w:rsid w:val="FB1BB959"/>
    <w:rsid w:val="FB75E3C8"/>
    <w:rsid w:val="FB7F461B"/>
    <w:rsid w:val="FB7F486A"/>
    <w:rsid w:val="FB7F6E28"/>
    <w:rsid w:val="FB8778F4"/>
    <w:rsid w:val="FBB61866"/>
    <w:rsid w:val="FBEE055A"/>
    <w:rsid w:val="FBF91527"/>
    <w:rsid w:val="FBFD1260"/>
    <w:rsid w:val="FBFF5B2E"/>
    <w:rsid w:val="FC833EBB"/>
    <w:rsid w:val="FCFE0B49"/>
    <w:rsid w:val="FD4B388D"/>
    <w:rsid w:val="FD77A83C"/>
    <w:rsid w:val="FD7FFE2B"/>
    <w:rsid w:val="FDADA43D"/>
    <w:rsid w:val="FDBDC432"/>
    <w:rsid w:val="FDEB412A"/>
    <w:rsid w:val="FDEE196B"/>
    <w:rsid w:val="FDEF50BC"/>
    <w:rsid w:val="FDFD5EC3"/>
    <w:rsid w:val="FDFE6575"/>
    <w:rsid w:val="FE9E11AB"/>
    <w:rsid w:val="FEBF38CD"/>
    <w:rsid w:val="FEDFDDC2"/>
    <w:rsid w:val="FEEB4E4D"/>
    <w:rsid w:val="FEED32F6"/>
    <w:rsid w:val="FEF781DD"/>
    <w:rsid w:val="FEF9D8C4"/>
    <w:rsid w:val="FF3F7E3F"/>
    <w:rsid w:val="FF3FF759"/>
    <w:rsid w:val="FF4749A3"/>
    <w:rsid w:val="FF4D3A28"/>
    <w:rsid w:val="FF5913BC"/>
    <w:rsid w:val="FF7F1E7E"/>
    <w:rsid w:val="FF9BAA5C"/>
    <w:rsid w:val="FFA57884"/>
    <w:rsid w:val="FFB513DD"/>
    <w:rsid w:val="FFBA12D7"/>
    <w:rsid w:val="FFBFE8C6"/>
    <w:rsid w:val="FFCF2925"/>
    <w:rsid w:val="FFD33B6C"/>
    <w:rsid w:val="FFDAD824"/>
    <w:rsid w:val="FFDE4064"/>
    <w:rsid w:val="FFDEA9D8"/>
    <w:rsid w:val="FFDF2DEC"/>
    <w:rsid w:val="FFDF624E"/>
    <w:rsid w:val="FFDF6BC0"/>
    <w:rsid w:val="FFDFFAEE"/>
    <w:rsid w:val="FFE3BA41"/>
    <w:rsid w:val="FFE3BED4"/>
    <w:rsid w:val="FFF316C1"/>
    <w:rsid w:val="FFF63ECC"/>
    <w:rsid w:val="FFF9B57B"/>
    <w:rsid w:val="FFFD61D9"/>
    <w:rsid w:val="FFFD8F59"/>
    <w:rsid w:val="FFFF2BB1"/>
    <w:rsid w:val="FFFFB04D"/>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semiHidden="0"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iPriority="0" w:semiHidden="0"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9"/>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30"/>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36"/>
    <w:unhideWhenUsed/>
    <w:qFormat/>
    <w:uiPriority w:val="9"/>
    <w:pPr>
      <w:keepNext/>
      <w:keepLines/>
      <w:spacing w:before="260" w:after="260" w:line="416" w:lineRule="auto"/>
      <w:outlineLvl w:val="2"/>
    </w:pPr>
    <w:rPr>
      <w:b/>
      <w:bCs/>
      <w:sz w:val="32"/>
      <w:szCs w:val="32"/>
    </w:rPr>
  </w:style>
  <w:style w:type="character" w:default="1" w:styleId="17">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5">
    <w:name w:val="Salutation"/>
    <w:basedOn w:val="1"/>
    <w:next w:val="1"/>
    <w:unhideWhenUsed/>
    <w:qFormat/>
    <w:uiPriority w:val="0"/>
    <w:rPr>
      <w:sz w:val="33"/>
      <w:szCs w:val="33"/>
    </w:rPr>
  </w:style>
  <w:style w:type="paragraph" w:styleId="6">
    <w:name w:val="Body Text"/>
    <w:basedOn w:val="1"/>
    <w:link w:val="26"/>
    <w:qFormat/>
    <w:uiPriority w:val="99"/>
    <w:pPr>
      <w:spacing w:beforeLines="30"/>
    </w:pPr>
    <w:rPr>
      <w:rFonts w:ascii="仿宋_GB2312" w:eastAsia="仿宋_GB2312"/>
      <w:kern w:val="0"/>
      <w:sz w:val="30"/>
    </w:rPr>
  </w:style>
  <w:style w:type="paragraph" w:styleId="7">
    <w:name w:val="Body Text Indent"/>
    <w:basedOn w:val="1"/>
    <w:next w:val="8"/>
    <w:qFormat/>
    <w:uiPriority w:val="0"/>
    <w:pPr>
      <w:spacing w:after="120"/>
      <w:ind w:left="200" w:leftChars="200"/>
    </w:pPr>
    <w:rPr>
      <w:rFonts w:ascii="仿宋_GB2312"/>
      <w:szCs w:val="32"/>
    </w:rPr>
  </w:style>
  <w:style w:type="paragraph" w:styleId="8">
    <w:name w:val="Body Text First Indent 2"/>
    <w:basedOn w:val="7"/>
    <w:unhideWhenUsed/>
    <w:qFormat/>
    <w:uiPriority w:val="99"/>
    <w:pPr>
      <w:ind w:firstLine="420" w:firstLineChars="200"/>
    </w:pPr>
  </w:style>
  <w:style w:type="paragraph" w:styleId="9">
    <w:name w:val="toc 3"/>
    <w:basedOn w:val="1"/>
    <w:next w:val="1"/>
    <w:unhideWhenUsed/>
    <w:qFormat/>
    <w:uiPriority w:val="39"/>
    <w:pPr>
      <w:tabs>
        <w:tab w:val="right" w:leader="dot" w:pos="8296"/>
      </w:tabs>
      <w:ind w:left="840" w:leftChars="400"/>
    </w:pPr>
  </w:style>
  <w:style w:type="paragraph" w:styleId="10">
    <w:name w:val="Balloon Text"/>
    <w:basedOn w:val="1"/>
    <w:link w:val="32"/>
    <w:semiHidden/>
    <w:unhideWhenUsed/>
    <w:qFormat/>
    <w:uiPriority w:val="99"/>
    <w:rPr>
      <w:sz w:val="18"/>
      <w:szCs w:val="18"/>
    </w:rPr>
  </w:style>
  <w:style w:type="paragraph" w:styleId="11">
    <w:name w:val="footer"/>
    <w:basedOn w:val="1"/>
    <w:link w:val="24"/>
    <w:qFormat/>
    <w:uiPriority w:val="99"/>
    <w:pPr>
      <w:tabs>
        <w:tab w:val="center" w:pos="4153"/>
        <w:tab w:val="right" w:pos="8306"/>
      </w:tabs>
      <w:snapToGrid w:val="0"/>
      <w:jc w:val="left"/>
    </w:pPr>
    <w:rPr>
      <w:rFonts w:ascii="Calibri" w:hAnsi="Calibri"/>
      <w:kern w:val="0"/>
      <w:sz w:val="18"/>
      <w:szCs w:val="18"/>
    </w:rPr>
  </w:style>
  <w:style w:type="paragraph" w:styleId="12">
    <w:name w:val="header"/>
    <w:basedOn w:val="1"/>
    <w:link w:val="22"/>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3">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4">
    <w:name w:val="footnote text"/>
    <w:basedOn w:val="1"/>
    <w:next w:val="8"/>
    <w:qFormat/>
    <w:uiPriority w:val="0"/>
    <w:pPr>
      <w:snapToGrid w:val="0"/>
      <w:jc w:val="left"/>
    </w:pPr>
    <w:rPr>
      <w:sz w:val="18"/>
      <w:szCs w:val="18"/>
    </w:rPr>
  </w:style>
  <w:style w:type="paragraph" w:styleId="15">
    <w:name w:val="toc 2"/>
    <w:basedOn w:val="1"/>
    <w:next w:val="1"/>
    <w:unhideWhenUsed/>
    <w:qFormat/>
    <w:uiPriority w:val="39"/>
    <w:pPr>
      <w:tabs>
        <w:tab w:val="right" w:leader="dot" w:pos="8296"/>
      </w:tabs>
      <w:ind w:left="420" w:leftChars="200"/>
    </w:pPr>
  </w:style>
  <w:style w:type="character" w:styleId="18">
    <w:name w:val="Strong"/>
    <w:basedOn w:val="17"/>
    <w:qFormat/>
    <w:uiPriority w:val="99"/>
    <w:rPr>
      <w:b/>
    </w:rPr>
  </w:style>
  <w:style w:type="character" w:styleId="19">
    <w:name w:val="Hyperlink"/>
    <w:basedOn w:val="17"/>
    <w:unhideWhenUsed/>
    <w:qFormat/>
    <w:uiPriority w:val="99"/>
    <w:rPr>
      <w:color w:val="0000FF" w:themeColor="hyperlink"/>
      <w:u w:val="single"/>
      <w14:textFill>
        <w14:solidFill>
          <w14:schemeClr w14:val="hlink"/>
        </w14:solidFill>
      </w14:textFill>
    </w:rPr>
  </w:style>
  <w:style w:type="paragraph" w:customStyle="1" w:styleId="20">
    <w:name w:val="标题 5（有编号）（绿盟科技）"/>
    <w:next w:val="1"/>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character" w:customStyle="1" w:styleId="21">
    <w:name w:val="Header Char"/>
    <w:basedOn w:val="17"/>
    <w:semiHidden/>
    <w:qFormat/>
    <w:uiPriority w:val="99"/>
    <w:rPr>
      <w:rFonts w:ascii="Times New Roman" w:hAnsi="Times New Roman"/>
      <w:sz w:val="18"/>
      <w:szCs w:val="18"/>
    </w:rPr>
  </w:style>
  <w:style w:type="character" w:customStyle="1" w:styleId="22">
    <w:name w:val="页眉 Char"/>
    <w:link w:val="12"/>
    <w:semiHidden/>
    <w:qFormat/>
    <w:locked/>
    <w:uiPriority w:val="99"/>
    <w:rPr>
      <w:sz w:val="18"/>
    </w:rPr>
  </w:style>
  <w:style w:type="character" w:customStyle="1" w:styleId="23">
    <w:name w:val="Footer Char"/>
    <w:basedOn w:val="17"/>
    <w:semiHidden/>
    <w:qFormat/>
    <w:uiPriority w:val="99"/>
    <w:rPr>
      <w:rFonts w:ascii="Times New Roman" w:hAnsi="Times New Roman"/>
      <w:sz w:val="18"/>
      <w:szCs w:val="18"/>
    </w:rPr>
  </w:style>
  <w:style w:type="character" w:customStyle="1" w:styleId="24">
    <w:name w:val="页脚 Char"/>
    <w:link w:val="11"/>
    <w:qFormat/>
    <w:locked/>
    <w:uiPriority w:val="99"/>
    <w:rPr>
      <w:sz w:val="18"/>
    </w:rPr>
  </w:style>
  <w:style w:type="character" w:customStyle="1" w:styleId="25">
    <w:name w:val="Body Text Char"/>
    <w:basedOn w:val="17"/>
    <w:semiHidden/>
    <w:qFormat/>
    <w:uiPriority w:val="99"/>
    <w:rPr>
      <w:rFonts w:ascii="Times New Roman" w:hAnsi="Times New Roman"/>
      <w:szCs w:val="24"/>
    </w:rPr>
  </w:style>
  <w:style w:type="character" w:customStyle="1" w:styleId="26">
    <w:name w:val="正文文本 Char"/>
    <w:link w:val="6"/>
    <w:qFormat/>
    <w:locked/>
    <w:uiPriority w:val="99"/>
    <w:rPr>
      <w:rFonts w:ascii="仿宋_GB2312" w:hAnsi="Times New Roman" w:eastAsia="仿宋_GB2312"/>
      <w:sz w:val="24"/>
    </w:rPr>
  </w:style>
  <w:style w:type="paragraph" w:customStyle="1" w:styleId="27">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8">
    <w:name w:val="List Paragraph"/>
    <w:basedOn w:val="1"/>
    <w:qFormat/>
    <w:uiPriority w:val="34"/>
    <w:pPr>
      <w:ind w:firstLine="420" w:firstLineChars="200"/>
    </w:pPr>
  </w:style>
  <w:style w:type="character" w:customStyle="1" w:styleId="29">
    <w:name w:val="标题 1 Char"/>
    <w:basedOn w:val="17"/>
    <w:link w:val="2"/>
    <w:qFormat/>
    <w:uiPriority w:val="9"/>
    <w:rPr>
      <w:rFonts w:ascii="Times New Roman" w:hAnsi="Times New Roman"/>
      <w:b/>
      <w:bCs/>
      <w:kern w:val="44"/>
      <w:sz w:val="44"/>
      <w:szCs w:val="44"/>
    </w:rPr>
  </w:style>
  <w:style w:type="character" w:customStyle="1" w:styleId="30">
    <w:name w:val="标题 2 Char"/>
    <w:basedOn w:val="17"/>
    <w:link w:val="3"/>
    <w:qFormat/>
    <w:uiPriority w:val="9"/>
    <w:rPr>
      <w:rFonts w:asciiTheme="majorHAnsi" w:hAnsiTheme="majorHAnsi" w:eastAsiaTheme="majorEastAsia" w:cstheme="majorBidi"/>
      <w:b/>
      <w:bCs/>
      <w:kern w:val="2"/>
      <w:sz w:val="32"/>
      <w:szCs w:val="32"/>
    </w:rPr>
  </w:style>
  <w:style w:type="paragraph" w:customStyle="1" w:styleId="31">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2">
    <w:name w:val="批注框文本 Char"/>
    <w:basedOn w:val="17"/>
    <w:link w:val="10"/>
    <w:semiHidden/>
    <w:qFormat/>
    <w:uiPriority w:val="99"/>
    <w:rPr>
      <w:rFonts w:ascii="Times New Roman" w:hAnsi="Times New Roman"/>
      <w:kern w:val="2"/>
      <w:sz w:val="18"/>
      <w:szCs w:val="18"/>
    </w:rPr>
  </w:style>
  <w:style w:type="character" w:customStyle="1" w:styleId="33">
    <w:name w:val="标题 3 字符"/>
    <w:basedOn w:val="17"/>
    <w:link w:val="4"/>
    <w:qFormat/>
    <w:uiPriority w:val="9"/>
    <w:rPr>
      <w:rFonts w:ascii="Times New Roman" w:hAnsi="Times New Roman"/>
      <w:b/>
      <w:bCs/>
      <w:kern w:val="2"/>
      <w:sz w:val="32"/>
      <w:szCs w:val="32"/>
    </w:rPr>
  </w:style>
  <w:style w:type="paragraph" w:customStyle="1" w:styleId="34">
    <w:name w:val="TOC 标题2"/>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35">
    <w:name w:val="四号正文"/>
    <w:basedOn w:val="1"/>
    <w:qFormat/>
    <w:uiPriority w:val="0"/>
    <w:pPr>
      <w:spacing w:line="360" w:lineRule="auto"/>
    </w:pPr>
    <w:rPr>
      <w:rFonts w:ascii="??" w:hAnsi="??"/>
      <w:color w:val="000000"/>
      <w:kern w:val="0"/>
      <w:sz w:val="28"/>
      <w:szCs w:val="21"/>
      <w:lang w:val="zh-CN"/>
    </w:rPr>
  </w:style>
  <w:style w:type="character" w:customStyle="1" w:styleId="36">
    <w:name w:val="标题 3 Char"/>
    <w:basedOn w:val="17"/>
    <w:link w:val="4"/>
    <w:qFormat/>
    <w:uiPriority w:val="9"/>
    <w:rPr>
      <w:rFonts w:ascii="Times New Roman" w:hAnsi="Times New Roman" w:eastAsia="楷体_GB2312"/>
      <w:bCs/>
      <w:kern w:val="2"/>
      <w:sz w:val="32"/>
      <w:szCs w:val="32"/>
    </w:rPr>
  </w:style>
  <w:style w:type="paragraph" w:customStyle="1" w:styleId="37">
    <w:name w:val="WPSOffice手动目录 1"/>
    <w:qFormat/>
    <w:uiPriority w:val="0"/>
    <w:pPr>
      <w:ind w:leftChars="0"/>
    </w:pPr>
    <w:rPr>
      <w:rFonts w:ascii="Times New Roman" w:hAnsi="Times New Roman" w:eastAsia="宋体" w:cs="Times New Roman"/>
      <w:sz w:val="20"/>
      <w:szCs w:val="20"/>
    </w:rPr>
  </w:style>
  <w:style w:type="paragraph" w:customStyle="1" w:styleId="38">
    <w:name w:val="WPSOffice手动目录 2"/>
    <w:qFormat/>
    <w:uiPriority w:val="0"/>
    <w:pPr>
      <w:ind w:leftChars="200"/>
    </w:pPr>
    <w:rPr>
      <w:rFonts w:ascii="Times New Roman" w:hAnsi="Times New Roman" w:eastAsia="宋体" w:cs="Times New Roman"/>
      <w:sz w:val="20"/>
      <w:szCs w:val="20"/>
    </w:rPr>
  </w:style>
  <w:style w:type="paragraph" w:customStyle="1" w:styleId="39">
    <w:name w:val="WPSOffice手动目录 3"/>
    <w:qFormat/>
    <w:uiPriority w:val="0"/>
    <w:pPr>
      <w:ind w:leftChars="4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4.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6" Type="http://schemas.openxmlformats.org/officeDocument/2006/relationships/fontTable" Target="fontTable.xml"/><Relationship Id="rId25" Type="http://schemas.openxmlformats.org/officeDocument/2006/relationships/customXml" Target="../customXml/item1.xml"/><Relationship Id="rId24" Type="http://schemas.openxmlformats.org/officeDocument/2006/relationships/image" Target="media/image7.emf"/><Relationship Id="rId23" Type="http://schemas.openxmlformats.org/officeDocument/2006/relationships/oleObject" Target="embeddings/oleObject7.bin"/><Relationship Id="rId22" Type="http://schemas.openxmlformats.org/officeDocument/2006/relationships/image" Target="media/image6.emf"/><Relationship Id="rId21" Type="http://schemas.openxmlformats.org/officeDocument/2006/relationships/oleObject" Target="embeddings/oleObject6.bin"/><Relationship Id="rId20" Type="http://schemas.openxmlformats.org/officeDocument/2006/relationships/image" Target="media/image5.emf"/><Relationship Id="rId2" Type="http://schemas.openxmlformats.org/officeDocument/2006/relationships/settings" Target="settings.xml"/><Relationship Id="rId19" Type="http://schemas.openxmlformats.org/officeDocument/2006/relationships/oleObject" Target="embeddings/oleObject5.bin"/><Relationship Id="rId18" Type="http://schemas.openxmlformats.org/officeDocument/2006/relationships/image" Target="media/image4.emf"/><Relationship Id="rId17" Type="http://schemas.openxmlformats.org/officeDocument/2006/relationships/oleObject" Target="embeddings/oleObject4.bin"/><Relationship Id="rId16" Type="http://schemas.openxmlformats.org/officeDocument/2006/relationships/image" Target="media/image3.emf"/><Relationship Id="rId15" Type="http://schemas.openxmlformats.org/officeDocument/2006/relationships/oleObject" Target="embeddings/oleObject3.bin"/><Relationship Id="rId14" Type="http://schemas.openxmlformats.org/officeDocument/2006/relationships/image" Target="media/image2.emf"/><Relationship Id="rId13" Type="http://schemas.openxmlformats.org/officeDocument/2006/relationships/oleObject" Target="embeddings/oleObject2.bin"/><Relationship Id="rId12" Type="http://schemas.openxmlformats.org/officeDocument/2006/relationships/image" Target="media/image1.emf"/><Relationship Id="rId11" Type="http://schemas.openxmlformats.org/officeDocument/2006/relationships/oleObject" Target="embeddings/oleObject1.bin"/><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Info spid="_x0000_s1036"/>
    <customShpInfo spid="_x0000_s1027"/>
    <customShpInfo spid="_x0000_s1028"/>
    <customShpInfo spid="_x0000_s1029"/>
    <customShpInfo spid="_x0000_s1032"/>
    <customShpInfo spid="_x0000_s1033"/>
    <customShpInfo spid="_x0000_s103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四川省财政厅</Company>
  <Pages>25</Pages>
  <Words>7919</Words>
  <Characters>8402</Characters>
  <Lines>68</Lines>
  <Paragraphs>19</Paragraphs>
  <TotalTime>2</TotalTime>
  <ScaleCrop>false</ScaleCrop>
  <LinksUpToDate>false</LinksUpToDate>
  <CharactersWithSpaces>8471</CharactersWithSpaces>
  <Application>WPS Office_12.8.2.1113_F1E327BC-269C-435d-A152-05C5408002CA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2024-08-06T23:12:00Z</dcterms:created>
  <dc:creator>曹颖</dc:creator>
  <cp:lastModifiedBy>ybxwsjkj</cp:lastModifiedBy>
  <cp:lastPrinted>2023-08-05T02:35:00Z</cp:lastPrinted>
  <dcterms:modified xsi:type="dcterms:W3CDTF">2024-12-19T17:23:42Z</dcterms:modified>
  <dc:title>四川省***</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2052-12.8.2.1113</vt:lpwstr>
  </property>
  <property fmtid="{D5CDD505-2E9C-101B-9397-08002B2CF9AE}" pid="3" name="ICV">
    <vt:lpwstr>A2E96C411A464932A1AB457801116E94_13</vt:lpwstr>
  </property>
</Properties>
</file>