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4ECAA">
      <w:pPr>
        <w:spacing w:line="600" w:lineRule="exact"/>
        <w:jc w:val="center"/>
        <w:outlineLvl w:val="0"/>
        <w:rPr>
          <w:rFonts w:hint="eastAsia" w:ascii="方正小标宋简体" w:hAnsi="宋体" w:eastAsia="方正小标宋简体"/>
          <w:sz w:val="72"/>
          <w:szCs w:val="72"/>
        </w:rPr>
      </w:pPr>
      <w:bookmarkStart w:id="0" w:name="_Toc15396597"/>
      <w:bookmarkStart w:id="1" w:name="_Toc15377193"/>
      <w:bookmarkStart w:id="2" w:name="_Toc15377425"/>
      <w:bookmarkStart w:id="3" w:name="_Toc15396475"/>
      <w:bookmarkStart w:id="4" w:name="_Toc15378441"/>
      <w:bookmarkStart w:id="5" w:name="_Toc15306267"/>
    </w:p>
    <w:p w14:paraId="6B2AF499">
      <w:pPr>
        <w:pStyle w:val="7"/>
        <w:spacing w:before="93"/>
      </w:pPr>
    </w:p>
    <w:p w14:paraId="7A0A51E2">
      <w:pPr>
        <w:spacing w:line="600" w:lineRule="exact"/>
        <w:jc w:val="center"/>
        <w:outlineLvl w:val="0"/>
        <w:rPr>
          <w:rFonts w:ascii="方正小标宋简体" w:hAnsi="宋体" w:eastAsia="方正小标宋简体"/>
          <w:sz w:val="72"/>
          <w:szCs w:val="72"/>
        </w:rPr>
      </w:pPr>
    </w:p>
    <w:p w14:paraId="3539C970">
      <w:pPr>
        <w:spacing w:line="600" w:lineRule="exact"/>
        <w:jc w:val="center"/>
        <w:outlineLvl w:val="0"/>
        <w:rPr>
          <w:rFonts w:ascii="方正小标宋简体" w:hAnsi="宋体" w:eastAsia="方正小标宋简体"/>
          <w:sz w:val="72"/>
          <w:szCs w:val="72"/>
        </w:rPr>
      </w:pPr>
    </w:p>
    <w:p w14:paraId="46303DFA">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p>
    <w:bookmarkEnd w:id="5"/>
    <w:p w14:paraId="4FB07693">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6" w:name="_Toc15378442"/>
      <w:bookmarkStart w:id="7" w:name="_Toc15396598"/>
      <w:bookmarkStart w:id="8" w:name="_Toc15306268"/>
      <w:bookmarkStart w:id="9" w:name="_Toc15377194"/>
      <w:bookmarkStart w:id="10" w:name="_Toc15396476"/>
      <w:bookmarkStart w:id="11" w:name="_Toc15377426"/>
      <w:r>
        <w:rPr>
          <w:rFonts w:hint="eastAsia" w:ascii="方正小标宋简体" w:hAnsi="方正小标宋简体" w:eastAsia="方正小标宋简体" w:cs="方正小标宋简体"/>
          <w:sz w:val="72"/>
          <w:szCs w:val="72"/>
        </w:rPr>
        <w:t>盐边县中学校</w:t>
      </w:r>
    </w:p>
    <w:p w14:paraId="72F4176C">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14:paraId="654A8B26">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352A776F">
      <w:pPr>
        <w:widowControl/>
        <w:jc w:val="center"/>
        <w:rPr>
          <w:rFonts w:ascii="黑体" w:hAnsi="黑体" w:eastAsia="黑体" w:cstheme="minorBidi"/>
          <w:sz w:val="28"/>
          <w:szCs w:val="28"/>
        </w:rPr>
      </w:pPr>
    </w:p>
    <w:p w14:paraId="68E2EF55">
      <w:pPr>
        <w:pStyle w:val="1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公开时间：202</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年10月28日</w:t>
      </w:r>
    </w:p>
    <w:p w14:paraId="1C5B390E">
      <w:pPr>
        <w:rPr>
          <w:rFonts w:hint="eastAsia" w:ascii="仿宋_GB2312" w:hAnsi="仿宋_GB2312" w:eastAsia="仿宋_GB2312" w:cs="仿宋_GB2312"/>
          <w:sz w:val="24"/>
          <w:szCs w:val="24"/>
        </w:rPr>
      </w:pPr>
    </w:p>
    <w:p w14:paraId="6BB940CF">
      <w:pPr>
        <w:pStyle w:val="13"/>
        <w:keepNext w:val="0"/>
        <w:keepLines w:val="0"/>
        <w:pageBreakBefore w:val="0"/>
        <w:widowControl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第一部分 部门概况</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4</w:t>
      </w:r>
    </w:p>
    <w:p w14:paraId="6F7DA9D4">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一、部门职责</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4</w:t>
      </w:r>
    </w:p>
    <w:p w14:paraId="0E94CF99">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二、机构设置</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4</w:t>
      </w:r>
    </w:p>
    <w:p w14:paraId="0A52BB1B">
      <w:pPr>
        <w:pStyle w:val="13"/>
        <w:keepNext w:val="0"/>
        <w:keepLines w:val="0"/>
        <w:pageBreakBefore w:val="0"/>
        <w:widowControl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第二部分 2023年度部门决算情况说明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5</w:t>
      </w:r>
    </w:p>
    <w:p w14:paraId="5E897B1A">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一、收入支出决算总体情况说明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5</w:t>
      </w:r>
    </w:p>
    <w:p w14:paraId="3C6EA786">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二、收入决算情况说明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5</w:t>
      </w:r>
    </w:p>
    <w:p w14:paraId="28C5CC29">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三、支出决算情况说明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6</w:t>
      </w:r>
    </w:p>
    <w:p w14:paraId="18C902FC">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四、财政拨款收入支出决算总体情况说明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7</w:t>
      </w:r>
    </w:p>
    <w:p w14:paraId="5DB66B62">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五、一般公共预算财政拨款支出决算情况说明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7</w:t>
      </w:r>
    </w:p>
    <w:p w14:paraId="1A9BFE90">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六、一般公共预算财政拨款基本支出决算情况说明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10</w:t>
      </w:r>
    </w:p>
    <w:p w14:paraId="50C3B6EA">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七、财政拨款“三公”经费支出决算情况说明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11</w:t>
      </w:r>
    </w:p>
    <w:p w14:paraId="45BC8426">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八、政府性基金预算支出决算情况说明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12</w:t>
      </w:r>
    </w:p>
    <w:p w14:paraId="07BF860F">
      <w:pPr>
        <w:pStyle w:val="14"/>
        <w:keepNext w:val="0"/>
        <w:keepLines w:val="0"/>
        <w:pageBreakBefore w:val="0"/>
        <w:widowControl w:val="0"/>
        <w:kinsoku/>
        <w:wordWrap/>
        <w:overflowPunct/>
        <w:topLinePunct w:val="0"/>
        <w:autoSpaceDE/>
        <w:autoSpaceDN/>
        <w:bidi w:val="0"/>
        <w:adjustRightInd w:val="0"/>
        <w:snapToGrid w:val="0"/>
        <w:spacing w:line="560" w:lineRule="exact"/>
        <w:ind w:leftChars="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九、国有资本经营预算支出决算情况说明</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12</w:t>
      </w:r>
    </w:p>
    <w:p w14:paraId="2B7577A4">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175"/>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十、其他重要事项的情况说明</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12</w:t>
      </w:r>
    </w:p>
    <w:p w14:paraId="16FC6296">
      <w:pPr>
        <w:pStyle w:val="13"/>
        <w:keepNext w:val="0"/>
        <w:keepLines w:val="0"/>
        <w:pageBreakBefore w:val="0"/>
        <w:widowControl w:val="0"/>
        <w:kinsoku/>
        <w:wordWrap/>
        <w:overflowPunct/>
        <w:topLinePunct w:val="0"/>
        <w:autoSpaceDE/>
        <w:autoSpaceDN/>
        <w:bidi w:val="0"/>
        <w:adjustRightInd w:val="0"/>
        <w:snapToGrid w:val="0"/>
        <w:spacing w:before="0"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第三部分 名词解释</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15</w:t>
      </w:r>
    </w:p>
    <w:p w14:paraId="3250217E">
      <w:pPr>
        <w:pStyle w:val="13"/>
        <w:keepNext w:val="0"/>
        <w:keepLines w:val="0"/>
        <w:pageBreakBefore w:val="0"/>
        <w:widowControl w:val="0"/>
        <w:kinsoku/>
        <w:wordWrap/>
        <w:overflowPunct/>
        <w:topLinePunct w:val="0"/>
        <w:autoSpaceDE/>
        <w:autoSpaceDN/>
        <w:bidi w:val="0"/>
        <w:adjustRightInd w:val="0"/>
        <w:snapToGrid w:val="0"/>
        <w:spacing w:before="0"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第四部分 附件</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19</w:t>
      </w:r>
    </w:p>
    <w:p w14:paraId="2B315326">
      <w:pPr>
        <w:pStyle w:val="13"/>
        <w:keepNext w:val="0"/>
        <w:keepLines w:val="0"/>
        <w:pageBreakBefore w:val="0"/>
        <w:widowControl w:val="0"/>
        <w:kinsoku/>
        <w:wordWrap/>
        <w:overflowPunct/>
        <w:topLinePunct w:val="0"/>
        <w:autoSpaceDE/>
        <w:autoSpaceDN/>
        <w:bidi w:val="0"/>
        <w:adjustRightInd w:val="0"/>
        <w:snapToGrid w:val="0"/>
        <w:spacing w:before="0" w:line="560" w:lineRule="exact"/>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第五部分 附表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6C39D392">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一、收入支出决算总表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39CEA338">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二、收入决算表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7AB254AE">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37555804">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四、财政拨款收入支出决算总表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4D3AE76A">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五、财政拨款支出决算明细表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31CCC5DB">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六、一般公共预算财政拨款支出决算表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6BA7B18E">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七、一般公共预算财政拨款支出决算明细表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753317CE">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八、一般公共预算财政拨款基本支出决算明细表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66E0351B">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九、一般公共预算财政拨款项目支出决算表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0951622D">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十、政府性基金预算财政拨款收入支出决算表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0982E649">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十一、国有资本经营预算财政拨款收入支出决算表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29B12AE3">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十二、国有资本经营预算财政拨款支出决算表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467CE62C">
      <w:pPr>
        <w:pStyle w:val="14"/>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十三、财政拨款“三公”经费支出决算表</w:t>
      </w:r>
      <w:r>
        <w:rPr>
          <w:rFonts w:hint="eastAsia" w:ascii="仿宋_GB2312" w:hAnsi="仿宋_GB2312" w:eastAsia="仿宋_GB2312" w:cs="仿宋_GB2312"/>
          <w:sz w:val="24"/>
          <w:szCs w:val="24"/>
        </w:rPr>
        <w:ptab w:relativeTo="margin" w:alignment="right" w:leader="dot"/>
      </w:r>
      <w:r>
        <w:rPr>
          <w:rFonts w:hint="eastAsia" w:ascii="仿宋_GB2312" w:hAnsi="仿宋_GB2312" w:eastAsia="仿宋_GB2312" w:cs="仿宋_GB2312"/>
          <w:sz w:val="24"/>
          <w:szCs w:val="24"/>
          <w:lang w:val="en-US" w:eastAsia="zh-CN"/>
        </w:rPr>
        <w:t>38</w:t>
      </w:r>
    </w:p>
    <w:p w14:paraId="4409B23F">
      <w:pPr>
        <w:widowControl/>
        <w:spacing w:line="440" w:lineRule="exact"/>
        <w:jc w:val="center"/>
        <w:rPr>
          <w:rStyle w:val="28"/>
          <w:rFonts w:ascii="黑体" w:hAnsi="黑体" w:eastAsia="黑体"/>
        </w:rPr>
      </w:pPr>
      <w:bookmarkStart w:id="12" w:name="_Toc15396599"/>
      <w:bookmarkStart w:id="13" w:name="_Toc15377196"/>
      <w:r>
        <w:rPr>
          <w:rFonts w:ascii="仿宋" w:hAnsi="仿宋" w:eastAsia="仿宋"/>
          <w:b/>
          <w:sz w:val="24"/>
        </w:rPr>
        <w:br w:type="page"/>
      </w:r>
      <w:r>
        <w:rPr>
          <w:rStyle w:val="28"/>
          <w:rFonts w:hint="eastAsia" w:ascii="黑体" w:hAnsi="黑体" w:eastAsia="黑体"/>
        </w:rPr>
        <w:t>第一部分 部门概况</w:t>
      </w:r>
      <w:bookmarkEnd w:id="12"/>
      <w:bookmarkEnd w:id="13"/>
      <w:bookmarkStart w:id="14" w:name="_Toc15396600"/>
      <w:bookmarkStart w:id="15" w:name="_Toc15377197"/>
    </w:p>
    <w:p w14:paraId="7ADE0C2C">
      <w:pPr>
        <w:widowControl/>
        <w:spacing w:line="440" w:lineRule="exact"/>
        <w:jc w:val="left"/>
        <w:rPr>
          <w:rStyle w:val="28"/>
          <w:rFonts w:ascii="黑体" w:hAnsi="黑体" w:eastAsia="黑体"/>
        </w:rPr>
      </w:pPr>
    </w:p>
    <w:p w14:paraId="27A6056A">
      <w:pPr>
        <w:widowControl/>
        <w:spacing w:line="440" w:lineRule="exact"/>
        <w:jc w:val="left"/>
        <w:rPr>
          <w:rStyle w:val="29"/>
          <w:rFonts w:ascii="黑体" w:hAnsi="黑体" w:eastAsia="黑体"/>
          <w:b w:val="0"/>
          <w:bCs w:val="0"/>
        </w:rPr>
      </w:pPr>
      <w:r>
        <w:rPr>
          <w:rStyle w:val="29"/>
          <w:rFonts w:hint="eastAsia" w:ascii="黑体" w:hAnsi="黑体" w:eastAsia="黑体"/>
        </w:rPr>
        <w:t>一、</w:t>
      </w:r>
      <w:bookmarkEnd w:id="14"/>
      <w:bookmarkEnd w:id="15"/>
      <w:r>
        <w:rPr>
          <w:rStyle w:val="29"/>
          <w:rFonts w:hint="eastAsia" w:ascii="黑体" w:hAnsi="黑体" w:eastAsia="黑体"/>
        </w:rPr>
        <w:t>部门职责</w:t>
      </w:r>
    </w:p>
    <w:p w14:paraId="3DDFC7C9">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仿宋_GB2312" w:hAnsi="仿宋_GB2312" w:eastAsia="仿宋_GB2312" w:cs="仿宋_GB2312"/>
          <w:sz w:val="32"/>
          <w:szCs w:val="32"/>
        </w:rPr>
      </w:pPr>
      <w:bookmarkStart w:id="16" w:name="_Toc15396601"/>
      <w:bookmarkStart w:id="17" w:name="_Toc15377200"/>
      <w:r>
        <w:rPr>
          <w:rFonts w:hint="eastAsia" w:ascii="仿宋_GB2312" w:hAnsi="仿宋_GB2312" w:eastAsia="仿宋_GB2312" w:cs="仿宋_GB2312"/>
          <w:sz w:val="32"/>
          <w:szCs w:val="32"/>
        </w:rPr>
        <w:t>盐边县中学校是经盐边县机构编制委员会批准成立的独立法人机构，是经费独立核算单位，学校的主要工作职能是：实施高中学历教育，促进基础教育发展，进行高中学历教育等相关社会服务。</w:t>
      </w:r>
    </w:p>
    <w:p w14:paraId="05EC2BCB">
      <w:pPr>
        <w:keepNext w:val="0"/>
        <w:keepLines w:val="0"/>
        <w:pageBreakBefore w:val="0"/>
        <w:widowControl/>
        <w:kinsoku/>
        <w:wordWrap/>
        <w:overflowPunct/>
        <w:topLinePunct w:val="0"/>
        <w:autoSpaceDE/>
        <w:autoSpaceDN/>
        <w:bidi w:val="0"/>
        <w:spacing w:line="560" w:lineRule="exact"/>
        <w:jc w:val="left"/>
        <w:textAlignment w:val="auto"/>
        <w:rPr>
          <w:rStyle w:val="29"/>
          <w:rFonts w:ascii="黑体" w:hAnsi="黑体" w:eastAsia="黑体"/>
        </w:rPr>
      </w:pPr>
    </w:p>
    <w:p w14:paraId="5D2E7F49">
      <w:pPr>
        <w:keepNext w:val="0"/>
        <w:keepLines w:val="0"/>
        <w:pageBreakBefore w:val="0"/>
        <w:widowControl/>
        <w:kinsoku/>
        <w:wordWrap/>
        <w:overflowPunct/>
        <w:topLinePunct w:val="0"/>
        <w:autoSpaceDE/>
        <w:autoSpaceDN/>
        <w:bidi w:val="0"/>
        <w:spacing w:line="560" w:lineRule="exact"/>
        <w:jc w:val="left"/>
        <w:textAlignment w:val="auto"/>
        <w:rPr>
          <w:rStyle w:val="29"/>
          <w:rFonts w:ascii="黑体" w:hAnsi="黑体" w:eastAsia="黑体"/>
        </w:rPr>
      </w:pPr>
      <w:r>
        <w:rPr>
          <w:rStyle w:val="29"/>
          <w:rFonts w:hint="eastAsia" w:ascii="黑体" w:hAnsi="黑体" w:eastAsia="黑体"/>
        </w:rPr>
        <w:t>二、机构设置</w:t>
      </w:r>
      <w:bookmarkEnd w:id="16"/>
      <w:bookmarkEnd w:id="17"/>
    </w:p>
    <w:p w14:paraId="387107DA">
      <w:pPr>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盐边县中学校属事业编制一级预算单位，2023年末单位机构数1，预算单位数1，下属二级单位1个，其中行政单位0个，参照公务员发管理的事业单位0个，其他事业单位0个，机构无变动情况。</w:t>
      </w:r>
    </w:p>
    <w:p w14:paraId="20C1A0D2">
      <w:pPr>
        <w:keepNext w:val="0"/>
        <w:keepLines w:val="0"/>
        <w:pageBreakBefore w:val="0"/>
        <w:kinsoku/>
        <w:wordWrap/>
        <w:overflowPunct/>
        <w:topLinePunct w:val="0"/>
        <w:autoSpaceDE/>
        <w:autoSpaceDN/>
        <w:bidi w:val="0"/>
        <w:spacing w:line="56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盐边县中学校下属二级预算单位1个，其中行政单位0个，参照公务员法管理的事业单位</w:t>
      </w:r>
      <w:r>
        <w:rPr>
          <w:rFonts w:hint="eastAsia" w:ascii="仿宋_GB2312" w:hAnsi="仿宋_GB2312" w:eastAsia="仿宋_GB2312" w:cs="仿宋_GB2312"/>
          <w:bCs/>
          <w:sz w:val="32"/>
          <w:szCs w:val="32"/>
        </w:rPr>
        <w:t>0</w:t>
      </w:r>
      <w:r>
        <w:rPr>
          <w:rFonts w:hint="eastAsia" w:ascii="仿宋_GB2312" w:hAnsi="仿宋_GB2312" w:eastAsia="仿宋_GB2312" w:cs="仿宋_GB2312"/>
          <w:sz w:val="32"/>
          <w:szCs w:val="32"/>
        </w:rPr>
        <w:t>个，其他事业单位0个。</w:t>
      </w:r>
    </w:p>
    <w:p w14:paraId="2DDF658E">
      <w:pPr>
        <w:pStyle w:val="7"/>
        <w:keepNext w:val="0"/>
        <w:keepLines w:val="0"/>
        <w:pageBreakBefore w:val="0"/>
        <w:kinsoku/>
        <w:wordWrap/>
        <w:overflowPunct/>
        <w:topLinePunct w:val="0"/>
        <w:autoSpaceDE/>
        <w:autoSpaceDN/>
        <w:bidi w:val="0"/>
        <w:adjustRightInd w:val="0"/>
        <w:snapToGrid w:val="0"/>
        <w:spacing w:before="93" w:line="560" w:lineRule="exact"/>
        <w:ind w:firstLine="672" w:firstLineChars="21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纳入</w:t>
      </w:r>
      <w:r>
        <w:rPr>
          <w:rFonts w:hint="eastAsia" w:ascii="仿宋_GB2312" w:hAnsi="仿宋_GB2312" w:eastAsia="仿宋_GB2312" w:cs="仿宋_GB2312"/>
          <w:kern w:val="2"/>
          <w:sz w:val="32"/>
          <w:szCs w:val="32"/>
        </w:rPr>
        <w:t>盐边县中学校</w:t>
      </w:r>
      <w:r>
        <w:rPr>
          <w:rFonts w:hint="eastAsia" w:ascii="仿宋_GB2312" w:hAnsi="仿宋_GB2312" w:eastAsia="仿宋_GB2312" w:cs="仿宋_GB2312"/>
          <w:sz w:val="32"/>
          <w:szCs w:val="32"/>
        </w:rPr>
        <w:t>2023年度部门决算编制范围的二级预算单位是：盐边县中学校</w:t>
      </w:r>
      <w:r>
        <w:rPr>
          <w:rFonts w:hint="eastAsia" w:hAnsi="仿宋_GB2312" w:cs="仿宋_GB2312"/>
          <w:sz w:val="32"/>
          <w:szCs w:val="32"/>
          <w:lang w:eastAsia="zh-CN"/>
        </w:rPr>
        <w:t>。</w:t>
      </w:r>
    </w:p>
    <w:p w14:paraId="5BE8C974">
      <w:pPr>
        <w:widowControl/>
        <w:jc w:val="center"/>
        <w:rPr>
          <w:rStyle w:val="28"/>
          <w:rFonts w:ascii="黑体" w:hAnsi="黑体" w:eastAsia="黑体"/>
        </w:rPr>
      </w:pPr>
      <w:bookmarkStart w:id="18" w:name="_Toc15377204"/>
      <w:bookmarkStart w:id="19" w:name="_Toc15396602"/>
    </w:p>
    <w:p w14:paraId="33CA132F">
      <w:pPr>
        <w:widowControl/>
        <w:jc w:val="center"/>
        <w:rPr>
          <w:rStyle w:val="28"/>
          <w:rFonts w:ascii="黑体" w:hAnsi="黑体" w:eastAsia="黑体"/>
        </w:rPr>
      </w:pPr>
    </w:p>
    <w:p w14:paraId="45971419">
      <w:pPr>
        <w:widowControl/>
        <w:jc w:val="center"/>
        <w:rPr>
          <w:rStyle w:val="28"/>
          <w:rFonts w:ascii="黑体" w:hAnsi="黑体" w:eastAsia="黑体"/>
        </w:rPr>
      </w:pPr>
    </w:p>
    <w:p w14:paraId="55CD0E6C">
      <w:pPr>
        <w:widowControl/>
        <w:jc w:val="center"/>
        <w:rPr>
          <w:rStyle w:val="28"/>
          <w:rFonts w:ascii="黑体" w:hAnsi="黑体" w:eastAsia="黑体"/>
        </w:rPr>
      </w:pPr>
    </w:p>
    <w:p w14:paraId="06289233">
      <w:pPr>
        <w:widowControl/>
        <w:jc w:val="center"/>
        <w:rPr>
          <w:rStyle w:val="28"/>
          <w:rFonts w:ascii="黑体" w:hAnsi="黑体" w:eastAsia="黑体"/>
        </w:rPr>
      </w:pPr>
    </w:p>
    <w:p w14:paraId="6E7B1540">
      <w:pPr>
        <w:widowControl/>
        <w:jc w:val="center"/>
        <w:rPr>
          <w:rStyle w:val="28"/>
          <w:rFonts w:ascii="黑体" w:hAnsi="黑体" w:eastAsia="黑体"/>
        </w:rPr>
      </w:pPr>
    </w:p>
    <w:p w14:paraId="46BB8760">
      <w:pPr>
        <w:widowControl/>
        <w:jc w:val="center"/>
        <w:rPr>
          <w:rStyle w:val="28"/>
          <w:rFonts w:ascii="黑体" w:hAnsi="黑体" w:eastAsia="黑体"/>
        </w:rPr>
      </w:pPr>
    </w:p>
    <w:p w14:paraId="5276679C">
      <w:pPr>
        <w:widowControl/>
        <w:jc w:val="center"/>
        <w:rPr>
          <w:rStyle w:val="28"/>
          <w:rFonts w:ascii="仿宋" w:hAnsi="仿宋" w:eastAsia="仿宋"/>
          <w:b w:val="0"/>
          <w:bCs w:val="0"/>
          <w:kern w:val="0"/>
          <w:sz w:val="32"/>
          <w:szCs w:val="32"/>
        </w:rPr>
      </w:pPr>
      <w:r>
        <w:rPr>
          <w:rStyle w:val="28"/>
          <w:rFonts w:hint="eastAsia" w:ascii="黑体" w:hAnsi="黑体" w:eastAsia="黑体"/>
        </w:rPr>
        <w:t>第二部分 2023年度部门决算情况说明</w:t>
      </w:r>
      <w:bookmarkEnd w:id="18"/>
      <w:bookmarkEnd w:id="19"/>
    </w:p>
    <w:p w14:paraId="51C99228"/>
    <w:p w14:paraId="59EF2663">
      <w:pPr>
        <w:spacing w:line="600" w:lineRule="exact"/>
        <w:ind w:firstLine="640" w:firstLineChars="200"/>
        <w:outlineLvl w:val="1"/>
        <w:rPr>
          <w:rStyle w:val="29"/>
          <w:rFonts w:ascii="黑体" w:hAnsi="黑体" w:eastAsia="黑体"/>
          <w:b w:val="0"/>
        </w:rPr>
      </w:pPr>
      <w:bookmarkStart w:id="20" w:name="_Toc15396603"/>
      <w:bookmarkStart w:id="21" w:name="_Toc15377205"/>
      <w:r>
        <w:rPr>
          <w:rFonts w:hint="eastAsia" w:ascii="黑体" w:hAnsi="黑体" w:eastAsia="黑体"/>
          <w:sz w:val="32"/>
          <w:szCs w:val="32"/>
        </w:rPr>
        <w:t>一、收</w:t>
      </w:r>
      <w:r>
        <w:rPr>
          <w:rStyle w:val="29"/>
          <w:rFonts w:hint="eastAsia" w:ascii="黑体" w:hAnsi="黑体" w:eastAsia="黑体"/>
          <w:b w:val="0"/>
        </w:rPr>
        <w:t>入支出决算总体情况说明</w:t>
      </w:r>
      <w:bookmarkEnd w:id="20"/>
      <w:bookmarkEnd w:id="21"/>
    </w:p>
    <w:p w14:paraId="31BB82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收、支总计均为5811.51万元。与2022年度相比，收、支总计各增加596.36万元，增长11.44%。主要变动原因是财政拨款中的日常公用经费和项目经费较2022年有所增加，2023年项目支出中部分经费为盐边县中学校新建初中部教学楼工程和盐边县中学校运动场改造工程。</w:t>
      </w:r>
    </w:p>
    <w:p w14:paraId="78785509">
      <w:pPr>
        <w:pStyle w:val="7"/>
        <w:spacing w:before="93"/>
        <w:jc w:val="center"/>
        <w:rPr>
          <w:rFonts w:ascii="Times New Roman"/>
        </w:rPr>
      </w:pPr>
      <w:r>
        <w:rPr>
          <w:rFonts w:ascii="Times New Roman"/>
        </w:rPr>
        <w:drawing>
          <wp:inline distT="0" distB="0" distL="0" distR="0">
            <wp:extent cx="5133975" cy="3143250"/>
            <wp:effectExtent l="0" t="0" r="9525"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6A3F60E5">
      <w:pPr>
        <w:pStyle w:val="7"/>
        <w:spacing w:before="93"/>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图1：收、支决算总计变动情况图（万元）</w:t>
      </w:r>
    </w:p>
    <w:p w14:paraId="60B8C121">
      <w:pPr>
        <w:spacing w:line="600" w:lineRule="exact"/>
        <w:ind w:firstLine="640" w:firstLineChars="200"/>
        <w:outlineLvl w:val="1"/>
        <w:rPr>
          <w:rStyle w:val="29"/>
          <w:rFonts w:ascii="黑体" w:hAnsi="黑体" w:eastAsia="黑体"/>
          <w:b w:val="0"/>
        </w:rPr>
      </w:pPr>
      <w:bookmarkStart w:id="22" w:name="_Toc15396604"/>
      <w:bookmarkStart w:id="23" w:name="_Toc15377206"/>
      <w:r>
        <w:rPr>
          <w:rFonts w:hint="eastAsia" w:ascii="黑体" w:hAnsi="黑体" w:eastAsia="黑体"/>
          <w:sz w:val="32"/>
          <w:szCs w:val="32"/>
        </w:rPr>
        <w:t>二、收</w:t>
      </w:r>
      <w:r>
        <w:rPr>
          <w:rStyle w:val="29"/>
          <w:rFonts w:hint="eastAsia" w:ascii="黑体" w:hAnsi="黑体" w:eastAsia="黑体"/>
          <w:b w:val="0"/>
        </w:rPr>
        <w:t>入决算情况说明</w:t>
      </w:r>
      <w:bookmarkEnd w:id="22"/>
      <w:bookmarkEnd w:id="23"/>
    </w:p>
    <w:p w14:paraId="437EB200">
      <w:pPr>
        <w:spacing w:line="600" w:lineRule="exact"/>
        <w:ind w:firstLine="640"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本年收入合计5811.51万元，其中：一般公共预算财政拨款收入5125.98万元，占88.2%；政府性基金预算财政拨款收入0万元，占0%；国有资本经营预算财政拨款收入0万元，占0%；上级补助收入0万元，占0%；事业收入685.53万元，占11.8%；经营收入0万元，占0%；附属单位上缴收入0万元，占0%；其他收入0万元，占0%。</w:t>
      </w:r>
    </w:p>
    <w:p w14:paraId="622C7434">
      <w:pPr>
        <w:pStyle w:val="7"/>
        <w:spacing w:before="93"/>
        <w:jc w:val="center"/>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4823460" cy="2720340"/>
            <wp:effectExtent l="0" t="0" r="15240" b="2286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262BA23">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图2：收入决算结构图（万元）</w:t>
      </w:r>
    </w:p>
    <w:p w14:paraId="6ACFD656">
      <w:pPr>
        <w:spacing w:line="600" w:lineRule="exact"/>
        <w:ind w:firstLine="640" w:firstLineChars="200"/>
        <w:outlineLvl w:val="1"/>
        <w:rPr>
          <w:rStyle w:val="29"/>
          <w:rFonts w:ascii="黑体" w:hAnsi="黑体" w:eastAsia="黑体"/>
          <w:b w:val="0"/>
        </w:rPr>
      </w:pPr>
      <w:bookmarkStart w:id="24" w:name="_Toc15377207"/>
      <w:bookmarkStart w:id="25" w:name="_Toc15396605"/>
      <w:r>
        <w:rPr>
          <w:rFonts w:hint="eastAsia" w:ascii="黑体" w:hAnsi="黑体" w:eastAsia="黑体"/>
          <w:sz w:val="32"/>
          <w:szCs w:val="32"/>
        </w:rPr>
        <w:t>三、支</w:t>
      </w:r>
      <w:r>
        <w:rPr>
          <w:rStyle w:val="29"/>
          <w:rFonts w:hint="eastAsia" w:ascii="黑体" w:hAnsi="黑体" w:eastAsia="黑体"/>
          <w:b w:val="0"/>
        </w:rPr>
        <w:t>出决算情况说明</w:t>
      </w:r>
      <w:bookmarkEnd w:id="24"/>
      <w:bookmarkEnd w:id="25"/>
    </w:p>
    <w:p w14:paraId="53939C29">
      <w:pPr>
        <w:spacing w:line="60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2023年度本年支出合计5811.51万元，其中：基本支出4373.09万元，占75.25%；项目支出1438.42万元，占24.75%；上缴上级支出0万元，占0%；经营支出0万元，占0%；对附属单位补助支出0万元，占0%。</w:t>
      </w:r>
    </w:p>
    <w:p w14:paraId="4A297396">
      <w:pPr>
        <w:pStyle w:val="7"/>
        <w:spacing w:before="93"/>
        <w:jc w:val="center"/>
        <w:rPr>
          <w:rFonts w:ascii="Times New Roman"/>
        </w:rPr>
      </w:pPr>
      <w:r>
        <w:rPr>
          <w:rFonts w:ascii="Times New Roman"/>
        </w:rPr>
        <w:drawing>
          <wp:inline distT="0" distB="0" distL="0" distR="0">
            <wp:extent cx="4678680" cy="2590800"/>
            <wp:effectExtent l="0" t="0" r="26670" b="190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507356D">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图3：支出决算结构图（万元）</w:t>
      </w:r>
    </w:p>
    <w:p w14:paraId="193514C7">
      <w:pPr>
        <w:spacing w:line="600" w:lineRule="exact"/>
        <w:ind w:firstLine="640" w:firstLineChars="200"/>
        <w:outlineLvl w:val="1"/>
        <w:rPr>
          <w:rStyle w:val="29"/>
          <w:rFonts w:ascii="黑体" w:hAnsi="黑体" w:eastAsia="黑体"/>
          <w:b w:val="0"/>
        </w:rPr>
      </w:pPr>
      <w:bookmarkStart w:id="26" w:name="_Toc15396606"/>
      <w:bookmarkStart w:id="27"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6"/>
      <w:bookmarkEnd w:id="27"/>
    </w:p>
    <w:p w14:paraId="0C7D8E1F">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财政拨款收、支总计均为5125.98万元。与2022年度相比，财政拨款收、支总计各增加430.13万元，增长9.16%。主要变动原因是财政拨款中的日常公用经费和项目经费较2022年有所增加，2023年项目支出中部分经费为盐边县中学校新建初中部教学楼工程和盐边县中学校运动场改造工程。</w:t>
      </w:r>
    </w:p>
    <w:p w14:paraId="38192FCC">
      <w:pPr>
        <w:pStyle w:val="7"/>
        <w:spacing w:before="93"/>
        <w:rPr>
          <w:rFonts w:ascii="Times New Roman"/>
        </w:rPr>
      </w:pPr>
      <w:r>
        <w:rPr>
          <w:rFonts w:ascii="Times New Roman"/>
        </w:rPr>
        <w:drawing>
          <wp:inline distT="0" distB="0" distL="0" distR="0">
            <wp:extent cx="5274310" cy="3076575"/>
            <wp:effectExtent l="0" t="0" r="2159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4BC3F4E">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图4：财政拨款收、支决算总计变动情况（万元）</w:t>
      </w:r>
    </w:p>
    <w:p w14:paraId="3160408A">
      <w:pPr>
        <w:spacing w:line="600" w:lineRule="exact"/>
        <w:ind w:firstLine="640" w:firstLineChars="200"/>
        <w:outlineLvl w:val="1"/>
        <w:rPr>
          <w:rStyle w:val="29"/>
          <w:rFonts w:ascii="黑体" w:hAnsi="黑体" w:eastAsia="黑体"/>
          <w:b w:val="0"/>
        </w:rPr>
      </w:pPr>
      <w:bookmarkStart w:id="28" w:name="_Toc15396607"/>
      <w:bookmarkStart w:id="29" w:name="_Toc15377209"/>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28"/>
      <w:bookmarkEnd w:id="29"/>
    </w:p>
    <w:p w14:paraId="6FEA1C46">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30" w:name="_Toc15377210"/>
      <w:r>
        <w:rPr>
          <w:rFonts w:hint="eastAsia" w:ascii="楷体_GB2312" w:hAnsi="楷体_GB2312" w:eastAsia="楷体_GB2312" w:cs="楷体_GB2312"/>
          <w:b w:val="0"/>
          <w:bCs/>
          <w:sz w:val="32"/>
          <w:szCs w:val="32"/>
        </w:rPr>
        <w:t>（一）一般公共预算财政拨款支出决算总体情况</w:t>
      </w:r>
      <w:bookmarkEnd w:id="30"/>
      <w:r>
        <w:rPr>
          <w:rFonts w:hint="eastAsia" w:ascii="楷体_GB2312" w:hAnsi="楷体_GB2312" w:eastAsia="楷体_GB2312" w:cs="楷体_GB2312"/>
          <w:b w:val="0"/>
          <w:bCs/>
          <w:sz w:val="32"/>
          <w:szCs w:val="32"/>
          <w:lang w:eastAsia="zh-CN"/>
        </w:rPr>
        <w:t>。</w:t>
      </w:r>
    </w:p>
    <w:p w14:paraId="05E18227">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支出5125.98万元，占本年支出合计的88.2%。与2022年度相比，一般公共预算财政拨款支出增加430.13万元，增长9.16%。主要变动原因是财政拨款中的日常公用经费和项目经费较2022年有所增加，2023年项目支出中部分经费为盐边县中学校新建初中部教学楼工程和盐边县中学校运动场改造工程。</w:t>
      </w:r>
    </w:p>
    <w:p w14:paraId="54059C71">
      <w:pPr>
        <w:pStyle w:val="7"/>
        <w:spacing w:before="93"/>
        <w:jc w:val="center"/>
        <w:rPr>
          <w:rFonts w:ascii="Times New Roman"/>
        </w:rPr>
      </w:pPr>
      <w:r>
        <w:rPr>
          <w:rFonts w:ascii="Times New Roman"/>
        </w:rPr>
        <w:drawing>
          <wp:inline distT="0" distB="0" distL="0" distR="0">
            <wp:extent cx="4465320" cy="2118360"/>
            <wp:effectExtent l="0" t="0" r="11430" b="1524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8F65C8E">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图5：一般公共预算财政拨款支出决算变动情况（万元）</w:t>
      </w:r>
    </w:p>
    <w:p w14:paraId="59D956A5">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31" w:name="_Toc15377211"/>
      <w:r>
        <w:rPr>
          <w:rFonts w:hint="eastAsia" w:ascii="楷体_GB2312" w:hAnsi="楷体_GB2312" w:eastAsia="楷体_GB2312" w:cs="楷体_GB2312"/>
          <w:b w:val="0"/>
          <w:bCs/>
          <w:sz w:val="32"/>
          <w:szCs w:val="32"/>
        </w:rPr>
        <w:t>（二）一般公共预算财政拨款支出决算结构情况</w:t>
      </w:r>
      <w:bookmarkEnd w:id="31"/>
      <w:r>
        <w:rPr>
          <w:rFonts w:hint="eastAsia" w:ascii="楷体_GB2312" w:hAnsi="楷体_GB2312" w:eastAsia="楷体_GB2312" w:cs="楷体_GB2312"/>
          <w:b w:val="0"/>
          <w:bCs/>
          <w:sz w:val="32"/>
          <w:szCs w:val="32"/>
          <w:lang w:eastAsia="zh-CN"/>
        </w:rPr>
        <w:t>。</w:t>
      </w:r>
    </w:p>
    <w:p w14:paraId="3BDA1128">
      <w:pPr>
        <w:spacing w:line="600" w:lineRule="exact"/>
        <w:ind w:firstLine="64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2023年度一般公共预算财政拨款支出5125.98万元，主要用于以下方面:一般公共服务支出10万元，占0.2%；教育支出3876.31万元，占75.62%；社会保障和就业支出598.41万元，占11.67%；卫生健康支出331.57万元，占6.47%；住房保障支出309.69万元，占6.04%。</w:t>
      </w:r>
    </w:p>
    <w:p w14:paraId="4AEA2FD1">
      <w:pPr>
        <w:pStyle w:val="7"/>
        <w:spacing w:before="93"/>
        <w:jc w:val="center"/>
        <w:rPr>
          <w:rFonts w:ascii="Times New Roman"/>
        </w:rPr>
      </w:pPr>
      <w:r>
        <w:rPr>
          <w:rFonts w:ascii="Times New Roman"/>
        </w:rPr>
        <w:drawing>
          <wp:inline distT="0" distB="0" distL="0" distR="0">
            <wp:extent cx="4465320" cy="2369820"/>
            <wp:effectExtent l="0" t="0" r="11430" b="1143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57ABC3">
      <w:pPr>
        <w:spacing w:line="6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图6：一般公共预算财政拨款支出决算结构（万元）</w:t>
      </w:r>
    </w:p>
    <w:p w14:paraId="0E1DED7C">
      <w:pPr>
        <w:spacing w:line="600" w:lineRule="exact"/>
        <w:ind w:firstLine="640" w:firstLineChars="200"/>
        <w:outlineLvl w:val="2"/>
        <w:rPr>
          <w:rFonts w:hint="eastAsia" w:ascii="楷体_GB2312" w:hAnsi="楷体_GB2312" w:eastAsia="楷体_GB2312" w:cs="楷体_GB2312"/>
          <w:b w:val="0"/>
          <w:bCs/>
          <w:sz w:val="32"/>
          <w:szCs w:val="32"/>
          <w:lang w:eastAsia="zh-CN"/>
        </w:rPr>
      </w:pPr>
      <w:bookmarkStart w:id="32" w:name="_Toc15377212"/>
      <w:r>
        <w:rPr>
          <w:rFonts w:hint="eastAsia" w:ascii="楷体_GB2312" w:hAnsi="楷体_GB2312" w:eastAsia="楷体_GB2312" w:cs="楷体_GB2312"/>
          <w:b w:val="0"/>
          <w:bCs/>
          <w:sz w:val="32"/>
          <w:szCs w:val="32"/>
        </w:rPr>
        <w:t>（三）一般公共预算财政拨款支出决算具体情况</w:t>
      </w:r>
      <w:bookmarkEnd w:id="32"/>
      <w:r>
        <w:rPr>
          <w:rFonts w:hint="eastAsia" w:ascii="楷体_GB2312" w:hAnsi="楷体_GB2312" w:eastAsia="楷体_GB2312" w:cs="楷体_GB2312"/>
          <w:b w:val="0"/>
          <w:bCs/>
          <w:sz w:val="32"/>
          <w:szCs w:val="32"/>
          <w:lang w:eastAsia="zh-CN"/>
        </w:rPr>
        <w:t>。</w:t>
      </w:r>
    </w:p>
    <w:p w14:paraId="13DBC4A6">
      <w:pPr>
        <w:spacing w:line="600" w:lineRule="exact"/>
        <w:ind w:firstLine="640" w:firstLineChars="200"/>
        <w:outlineLvl w:val="2"/>
        <w:rPr>
          <w:rFonts w:hint="eastAsia" w:ascii="仿宋_GB2312" w:hAnsi="仿宋_GB2312" w:eastAsia="仿宋_GB2312" w:cs="仿宋_GB2312"/>
          <w:sz w:val="32"/>
          <w:szCs w:val="32"/>
        </w:rPr>
      </w:pPr>
      <w:bookmarkStart w:id="33" w:name="_Toc15377444"/>
      <w:bookmarkStart w:id="34" w:name="_Toc15377213"/>
      <w:bookmarkStart w:id="35" w:name="_Toc15378460"/>
      <w:r>
        <w:rPr>
          <w:rFonts w:hint="eastAsia" w:ascii="仿宋_GB2312" w:hAnsi="仿宋_GB2312" w:eastAsia="仿宋_GB2312" w:cs="仿宋_GB2312"/>
          <w:b w:val="0"/>
          <w:bCs/>
          <w:sz w:val="32"/>
          <w:szCs w:val="32"/>
        </w:rPr>
        <w:t>2023年度一般公共预算支出决算数为5125.98</w:t>
      </w:r>
      <w:r>
        <w:rPr>
          <w:rFonts w:hint="eastAsia" w:ascii="仿宋_GB2312" w:hAnsi="仿宋_GB2312" w:eastAsia="仿宋_GB2312" w:cs="仿宋_GB2312"/>
          <w:b w:val="0"/>
          <w:bCs/>
          <w:sz w:val="32"/>
          <w:szCs w:val="32"/>
          <w:lang w:val="en-US" w:eastAsia="zh-CN"/>
        </w:rPr>
        <w:t>万元</w:t>
      </w:r>
      <w:r>
        <w:rPr>
          <w:rFonts w:hint="eastAsia" w:ascii="仿宋_GB2312" w:hAnsi="仿宋_GB2312" w:eastAsia="仿宋_GB2312" w:cs="仿宋_GB2312"/>
          <w:b w:val="0"/>
          <w:bCs/>
          <w:sz w:val="32"/>
          <w:szCs w:val="32"/>
        </w:rPr>
        <w:t>，</w:t>
      </w:r>
      <w:r>
        <w:rPr>
          <w:rStyle w:val="18"/>
          <w:rFonts w:hint="eastAsia" w:ascii="仿宋_GB2312" w:hAnsi="仿宋_GB2312" w:eastAsia="仿宋_GB2312" w:cs="仿宋_GB2312"/>
          <w:b w:val="0"/>
          <w:bCs/>
          <w:sz w:val="32"/>
          <w:szCs w:val="32"/>
        </w:rPr>
        <w:t>完成预算100%。其中：</w:t>
      </w:r>
      <w:bookmarkEnd w:id="33"/>
      <w:bookmarkEnd w:id="34"/>
      <w:bookmarkEnd w:id="35"/>
    </w:p>
    <w:p w14:paraId="0E06C107">
      <w:pPr>
        <w:spacing w:line="600" w:lineRule="exact"/>
        <w:ind w:firstLine="643" w:firstLineChars="200"/>
        <w:rPr>
          <w:rFonts w:hint="eastAsia" w:ascii="仿宋_GB2312" w:hAnsi="仿宋_GB2312" w:eastAsia="仿宋_GB2312" w:cs="仿宋_GB2312"/>
          <w:b/>
          <w:sz w:val="32"/>
          <w:szCs w:val="32"/>
        </w:rPr>
      </w:pPr>
      <w:r>
        <w:rPr>
          <w:rStyle w:val="18"/>
          <w:rFonts w:hint="eastAsia" w:ascii="仿宋_GB2312" w:hAnsi="仿宋_GB2312" w:eastAsia="仿宋_GB2312" w:cs="仿宋_GB2312"/>
          <w:bCs/>
          <w:sz w:val="32"/>
          <w:szCs w:val="32"/>
        </w:rPr>
        <w:t>1.一般公共服务支出（201类）其他一般公共服务支出（99款）其他一般公共服务支出（99项）:</w:t>
      </w:r>
      <w:r>
        <w:rPr>
          <w:rStyle w:val="18"/>
          <w:rFonts w:hint="eastAsia" w:ascii="仿宋_GB2312" w:hAnsi="仿宋_GB2312" w:eastAsia="仿宋_GB2312" w:cs="仿宋_GB2312"/>
          <w:b w:val="0"/>
          <w:bCs/>
          <w:sz w:val="32"/>
          <w:szCs w:val="32"/>
        </w:rPr>
        <w:t xml:space="preserve"> 支出决算为10万元，完成预算100%。</w:t>
      </w:r>
    </w:p>
    <w:p w14:paraId="6F00BD16">
      <w:pPr>
        <w:spacing w:line="600" w:lineRule="exact"/>
        <w:ind w:firstLine="643" w:firstLineChars="200"/>
        <w:rPr>
          <w:rFonts w:hint="eastAsia" w:ascii="仿宋_GB2312" w:hAnsi="仿宋_GB2312" w:eastAsia="仿宋_GB2312" w:cs="仿宋_GB2312"/>
          <w:bCs/>
          <w:sz w:val="32"/>
          <w:szCs w:val="32"/>
        </w:rPr>
      </w:pPr>
      <w:r>
        <w:rPr>
          <w:rStyle w:val="18"/>
          <w:rFonts w:hint="eastAsia" w:ascii="仿宋_GB2312" w:hAnsi="仿宋_GB2312" w:eastAsia="仿宋_GB2312" w:cs="仿宋_GB2312"/>
          <w:bCs/>
          <w:sz w:val="32"/>
          <w:szCs w:val="32"/>
        </w:rPr>
        <w:t>2.教育支出（205类）:</w:t>
      </w:r>
      <w:r>
        <w:rPr>
          <w:rStyle w:val="18"/>
          <w:rFonts w:hint="eastAsia" w:ascii="仿宋_GB2312" w:hAnsi="仿宋_GB2312" w:eastAsia="仿宋_GB2312" w:cs="仿宋_GB2312"/>
          <w:b w:val="0"/>
          <w:bCs/>
          <w:sz w:val="32"/>
          <w:szCs w:val="32"/>
        </w:rPr>
        <w:t xml:space="preserve"> 支出决算为3876.31万元，完成预算100%。</w:t>
      </w:r>
    </w:p>
    <w:p w14:paraId="1966D514">
      <w:pPr>
        <w:spacing w:line="600" w:lineRule="exact"/>
        <w:ind w:firstLine="640" w:firstLineChars="200"/>
        <w:rPr>
          <w:rStyle w:val="18"/>
          <w:rFonts w:hint="eastAsia"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①教育支出（205类）普通教育（02款）初中教育（03项）: 支出决算为1357.54万元，完成预算100%。</w:t>
      </w:r>
    </w:p>
    <w:p w14:paraId="13811226">
      <w:pPr>
        <w:spacing w:line="600" w:lineRule="exact"/>
        <w:ind w:firstLine="640" w:firstLineChars="200"/>
        <w:rPr>
          <w:rStyle w:val="18"/>
          <w:rFonts w:hint="eastAsia"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②教育支出（205类）普通教育（02款）高中教育（项）: 支出决算为2046.87万元，完成预算100%。</w:t>
      </w:r>
    </w:p>
    <w:p w14:paraId="159143A0">
      <w:pPr>
        <w:spacing w:line="600" w:lineRule="exact"/>
        <w:ind w:firstLine="640" w:firstLineChars="200"/>
        <w:rPr>
          <w:rStyle w:val="18"/>
          <w:rFonts w:hint="eastAsia"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③教育支出（205类）教育费附加安排的支出（09款）农村中小学校舍建设（01项）: 支出决算为222.11万元，完成预算100%。</w:t>
      </w:r>
    </w:p>
    <w:p w14:paraId="17893C9A">
      <w:pPr>
        <w:spacing w:line="600" w:lineRule="exact"/>
        <w:ind w:firstLine="640" w:firstLineChars="200"/>
        <w:rPr>
          <w:rFonts w:hint="eastAsia" w:ascii="仿宋_GB2312" w:hAnsi="仿宋_GB2312" w:eastAsia="仿宋_GB2312" w:cs="仿宋_GB2312"/>
          <w:bCs/>
          <w:sz w:val="32"/>
          <w:szCs w:val="32"/>
        </w:rPr>
      </w:pPr>
      <w:r>
        <w:rPr>
          <w:rStyle w:val="18"/>
          <w:rFonts w:hint="eastAsia" w:ascii="仿宋_GB2312" w:hAnsi="仿宋_GB2312" w:eastAsia="仿宋_GB2312" w:cs="仿宋_GB2312"/>
          <w:b w:val="0"/>
          <w:bCs/>
          <w:sz w:val="32"/>
          <w:szCs w:val="32"/>
        </w:rPr>
        <w:t>④教育支出（205类）教育费附加安排的支出（09款）农村中小学教学设施（02项）: 支出决算为249.79万元，完成预算100%。</w:t>
      </w:r>
    </w:p>
    <w:p w14:paraId="4E1526F7">
      <w:pPr>
        <w:spacing w:line="600" w:lineRule="exact"/>
        <w:ind w:firstLine="643" w:firstLineChars="200"/>
        <w:rPr>
          <w:rFonts w:hint="eastAsia" w:ascii="仿宋_GB2312" w:hAnsi="仿宋_GB2312" w:eastAsia="仿宋_GB2312" w:cs="仿宋_GB2312"/>
          <w:b/>
          <w:sz w:val="32"/>
          <w:szCs w:val="32"/>
        </w:rPr>
      </w:pPr>
      <w:r>
        <w:rPr>
          <w:rStyle w:val="18"/>
          <w:rFonts w:hint="eastAsia" w:ascii="仿宋_GB2312" w:hAnsi="仿宋_GB2312" w:eastAsia="仿宋_GB2312" w:cs="仿宋_GB2312"/>
          <w:bCs/>
          <w:sz w:val="32"/>
          <w:szCs w:val="32"/>
        </w:rPr>
        <w:t>3.社会保障和就业支出（208类）:</w:t>
      </w:r>
      <w:r>
        <w:rPr>
          <w:rStyle w:val="18"/>
          <w:rFonts w:hint="eastAsia" w:ascii="仿宋_GB2312" w:hAnsi="仿宋_GB2312" w:eastAsia="仿宋_GB2312" w:cs="仿宋_GB2312"/>
          <w:b w:val="0"/>
          <w:bCs/>
          <w:sz w:val="32"/>
          <w:szCs w:val="32"/>
        </w:rPr>
        <w:t xml:space="preserve"> 支出决算为598.41万元，完成预算100%。</w:t>
      </w:r>
    </w:p>
    <w:p w14:paraId="04930D26">
      <w:pPr>
        <w:spacing w:line="600" w:lineRule="exact"/>
        <w:ind w:firstLine="640" w:firstLineChars="200"/>
        <w:rPr>
          <w:rStyle w:val="18"/>
          <w:rFonts w:hint="eastAsia" w:ascii="仿宋_GB2312" w:hAnsi="仿宋_GB2312" w:eastAsia="仿宋_GB2312" w:cs="仿宋_GB2312"/>
          <w:bCs/>
        </w:rPr>
      </w:pPr>
      <w:r>
        <w:rPr>
          <w:rStyle w:val="18"/>
          <w:rFonts w:hint="eastAsia" w:ascii="仿宋_GB2312" w:hAnsi="仿宋_GB2312" w:eastAsia="仿宋_GB2312" w:cs="仿宋_GB2312"/>
          <w:b w:val="0"/>
          <w:bCs/>
          <w:sz w:val="32"/>
          <w:szCs w:val="32"/>
        </w:rPr>
        <w:t>①社会保障和就业支出（208类）行政事业单位养老支出（05款）事业单位离退休（02项）: 支出决算为39.02万元，完成预算100%。</w:t>
      </w:r>
    </w:p>
    <w:p w14:paraId="75411ADE">
      <w:pPr>
        <w:spacing w:line="600" w:lineRule="exact"/>
        <w:ind w:firstLine="640" w:firstLineChars="200"/>
        <w:rPr>
          <w:rStyle w:val="18"/>
          <w:rFonts w:hint="eastAsia" w:ascii="仿宋_GB2312" w:hAnsi="仿宋_GB2312" w:eastAsia="仿宋_GB2312" w:cs="仿宋_GB2312"/>
          <w:bCs/>
        </w:rPr>
      </w:pPr>
      <w:r>
        <w:rPr>
          <w:rStyle w:val="18"/>
          <w:rFonts w:hint="eastAsia" w:ascii="仿宋_GB2312" w:hAnsi="仿宋_GB2312" w:eastAsia="仿宋_GB2312" w:cs="仿宋_GB2312"/>
          <w:b w:val="0"/>
          <w:bCs/>
          <w:sz w:val="32"/>
          <w:szCs w:val="32"/>
        </w:rPr>
        <w:t>②社会保障和就业支出（208类）行政事业单位养老支出（05款）机关事业单位基本养老保险缴费支出（05项）: 支出决算为417.93万元，完成预算100%。</w:t>
      </w:r>
    </w:p>
    <w:p w14:paraId="0185CA82">
      <w:pPr>
        <w:spacing w:line="600" w:lineRule="exact"/>
        <w:ind w:firstLine="640" w:firstLineChars="200"/>
        <w:rPr>
          <w:rStyle w:val="18"/>
          <w:rFonts w:hint="eastAsia" w:ascii="仿宋_GB2312" w:hAnsi="仿宋_GB2312" w:eastAsia="仿宋_GB2312" w:cs="仿宋_GB2312"/>
          <w:bCs/>
        </w:rPr>
      </w:pPr>
      <w:r>
        <w:rPr>
          <w:rStyle w:val="18"/>
          <w:rFonts w:hint="eastAsia" w:ascii="仿宋_GB2312" w:hAnsi="仿宋_GB2312" w:eastAsia="仿宋_GB2312" w:cs="仿宋_GB2312"/>
          <w:b w:val="0"/>
          <w:bCs/>
          <w:sz w:val="32"/>
          <w:szCs w:val="32"/>
        </w:rPr>
        <w:t>③社会保障和就业支出（208类）行政事业单位养老支出（05款）机关事业单位职业年金缴费支出（06项）: 支出决算为141.46万元，完成预算100%。</w:t>
      </w:r>
    </w:p>
    <w:p w14:paraId="68E4E14E">
      <w:pPr>
        <w:spacing w:line="600" w:lineRule="exact"/>
        <w:ind w:firstLine="643" w:firstLineChars="200"/>
        <w:rPr>
          <w:rFonts w:hint="eastAsia" w:ascii="仿宋_GB2312" w:hAnsi="仿宋_GB2312" w:eastAsia="仿宋_GB2312" w:cs="仿宋_GB2312"/>
          <w:b/>
          <w:sz w:val="32"/>
          <w:szCs w:val="32"/>
        </w:rPr>
      </w:pPr>
      <w:r>
        <w:rPr>
          <w:rStyle w:val="18"/>
          <w:rFonts w:hint="eastAsia" w:ascii="仿宋_GB2312" w:hAnsi="仿宋_GB2312" w:eastAsia="仿宋_GB2312" w:cs="仿宋_GB2312"/>
          <w:bCs/>
          <w:sz w:val="32"/>
          <w:szCs w:val="32"/>
        </w:rPr>
        <w:t>4.</w:t>
      </w:r>
      <w:r>
        <w:rPr>
          <w:rFonts w:hint="eastAsia" w:ascii="仿宋_GB2312" w:hAnsi="仿宋_GB2312" w:eastAsia="仿宋_GB2312" w:cs="仿宋_GB2312"/>
          <w:b/>
          <w:bCs/>
          <w:sz w:val="32"/>
          <w:szCs w:val="32"/>
        </w:rPr>
        <w:t>卫生健康支出</w:t>
      </w:r>
      <w:r>
        <w:rPr>
          <w:rStyle w:val="18"/>
          <w:rFonts w:hint="eastAsia" w:ascii="仿宋_GB2312" w:hAnsi="仿宋_GB2312" w:eastAsia="仿宋_GB2312" w:cs="仿宋_GB2312"/>
          <w:bCs/>
          <w:sz w:val="32"/>
          <w:szCs w:val="32"/>
        </w:rPr>
        <w:t>（210类）:</w:t>
      </w:r>
      <w:r>
        <w:rPr>
          <w:rStyle w:val="18"/>
          <w:rFonts w:hint="eastAsia" w:ascii="仿宋_GB2312" w:hAnsi="仿宋_GB2312" w:eastAsia="仿宋_GB2312" w:cs="仿宋_GB2312"/>
          <w:b w:val="0"/>
          <w:bCs/>
          <w:sz w:val="32"/>
          <w:szCs w:val="32"/>
        </w:rPr>
        <w:t>支出决算为331.56万元，完成预算100%。</w:t>
      </w:r>
    </w:p>
    <w:p w14:paraId="6BD7370F">
      <w:pPr>
        <w:spacing w:line="600" w:lineRule="exact"/>
        <w:ind w:firstLine="640" w:firstLineChars="200"/>
        <w:rPr>
          <w:rStyle w:val="18"/>
          <w:rFonts w:hint="eastAsia"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①卫生健康支出（210类）行政事业单位医疗（11款）事业单位医疗（02项）:支出决算为199.67万元，完成预算100%。</w:t>
      </w:r>
    </w:p>
    <w:p w14:paraId="631032E8">
      <w:pPr>
        <w:spacing w:line="600" w:lineRule="exact"/>
        <w:ind w:firstLine="640" w:firstLineChars="200"/>
        <w:rPr>
          <w:rFonts w:hint="eastAsia" w:ascii="仿宋_GB2312" w:hAnsi="仿宋_GB2312" w:eastAsia="仿宋_GB2312" w:cs="仿宋_GB2312"/>
          <w:bCs/>
          <w:sz w:val="32"/>
          <w:szCs w:val="32"/>
        </w:rPr>
      </w:pPr>
      <w:r>
        <w:rPr>
          <w:rStyle w:val="18"/>
          <w:rFonts w:hint="eastAsia" w:ascii="仿宋_GB2312" w:hAnsi="仿宋_GB2312" w:eastAsia="仿宋_GB2312" w:cs="仿宋_GB2312"/>
          <w:b w:val="0"/>
          <w:bCs/>
          <w:sz w:val="32"/>
          <w:szCs w:val="32"/>
        </w:rPr>
        <w:t>②卫生健康支出（210类）行政事业单位医疗（11款）其他行政事业单位医疗支出（99项）:支出决算为131.89万元，完成预算100%。</w:t>
      </w:r>
    </w:p>
    <w:p w14:paraId="357A03DA">
      <w:pPr>
        <w:spacing w:line="600" w:lineRule="exact"/>
        <w:ind w:firstLine="643"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sz w:val="32"/>
          <w:szCs w:val="32"/>
        </w:rPr>
        <w:t>5.住房保障支出（221类）住房改革支出（02款）住房公积金（01项） ：</w:t>
      </w:r>
      <w:r>
        <w:rPr>
          <w:rStyle w:val="18"/>
          <w:rFonts w:hint="eastAsia" w:ascii="仿宋_GB2312" w:hAnsi="仿宋_GB2312" w:eastAsia="仿宋_GB2312" w:cs="仿宋_GB2312"/>
          <w:b w:val="0"/>
          <w:bCs/>
          <w:sz w:val="32"/>
          <w:szCs w:val="32"/>
        </w:rPr>
        <w:t>支出决算为309.69万元，完成预算100%。</w:t>
      </w:r>
    </w:p>
    <w:p w14:paraId="3FE8FAC3">
      <w:pPr>
        <w:tabs>
          <w:tab w:val="right" w:pos="8306"/>
        </w:tabs>
        <w:spacing w:line="600" w:lineRule="exact"/>
        <w:ind w:firstLine="640"/>
        <w:outlineLvl w:val="1"/>
        <w:rPr>
          <w:rStyle w:val="29"/>
        </w:rPr>
      </w:pPr>
      <w:bookmarkStart w:id="36" w:name="_Toc15396608"/>
      <w:bookmarkStart w:id="37"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6"/>
      <w:bookmarkEnd w:id="37"/>
      <w:r>
        <w:rPr>
          <w:rStyle w:val="29"/>
          <w:rFonts w:ascii="黑体" w:hAnsi="黑体" w:eastAsia="黑体"/>
          <w:b w:val="0"/>
        </w:rPr>
        <w:tab/>
      </w:r>
    </w:p>
    <w:p w14:paraId="5725CDAB">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2023年度一般公共预算财政拨款基本支出4373.09万元，其中：</w:t>
      </w:r>
    </w:p>
    <w:p w14:paraId="307FA6A3">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员经费4073.73万元，主要包括：主要包括：基本工资、津贴补贴、绩效工资、机关事业单位基本养老保险缴费、职业年金缴费、职工基本医疗保险缴费、公务员医疗补助缴费、其他社会保障缴费、住房公积金、医疗费、其他工资福利支出、生活补助、医疗费补助、助学金、奖励金等。</w:t>
      </w:r>
    </w:p>
    <w:p w14:paraId="62832FD6">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用经费299.36万元，主要包括：办公费、印刷费、咨询费、水费、电费、邮电费、物业管理费、差旅费、维修（护）费、租赁费、培训费、劳务费、工会经费、福利费、公务用车运行维护费、其他交通费用、其他商品和服务支出、房屋建筑物购建、办公设备购置等。</w:t>
      </w:r>
    </w:p>
    <w:p w14:paraId="5BBACCBF">
      <w:pPr>
        <w:spacing w:line="600" w:lineRule="exact"/>
        <w:ind w:firstLine="640"/>
        <w:outlineLvl w:val="1"/>
        <w:rPr>
          <w:rStyle w:val="29"/>
          <w:rFonts w:ascii="黑体" w:hAnsi="黑体" w:eastAsia="黑体"/>
          <w:b w:val="0"/>
        </w:rPr>
      </w:pPr>
      <w:bookmarkStart w:id="38" w:name="_Toc15377215"/>
      <w:bookmarkStart w:id="39" w:name="_Toc15396609"/>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8"/>
      <w:bookmarkEnd w:id="39"/>
    </w:p>
    <w:p w14:paraId="57E61AB0">
      <w:pPr>
        <w:spacing w:line="600" w:lineRule="exact"/>
        <w:ind w:firstLine="640"/>
        <w:outlineLvl w:val="2"/>
        <w:rPr>
          <w:rFonts w:hint="eastAsia" w:ascii="楷体_GB2312" w:hAnsi="楷体_GB2312" w:eastAsia="楷体_GB2312" w:cs="楷体_GB2312"/>
          <w:b w:val="0"/>
          <w:bCs/>
          <w:sz w:val="32"/>
          <w:szCs w:val="32"/>
          <w:lang w:eastAsia="zh-CN"/>
        </w:rPr>
      </w:pPr>
      <w:bookmarkStart w:id="40" w:name="_Toc15377216"/>
      <w:r>
        <w:rPr>
          <w:rFonts w:hint="eastAsia" w:ascii="楷体_GB2312" w:hAnsi="楷体_GB2312" w:eastAsia="楷体_GB2312" w:cs="楷体_GB2312"/>
          <w:b w:val="0"/>
          <w:bCs/>
          <w:sz w:val="32"/>
          <w:szCs w:val="32"/>
        </w:rPr>
        <w:t>（一）“三公”经费财政拨款支出决算总体情况说明</w:t>
      </w:r>
      <w:bookmarkEnd w:id="40"/>
      <w:r>
        <w:rPr>
          <w:rFonts w:hint="eastAsia" w:ascii="楷体_GB2312" w:hAnsi="楷体_GB2312" w:eastAsia="楷体_GB2312" w:cs="楷体_GB2312"/>
          <w:b w:val="0"/>
          <w:bCs/>
          <w:sz w:val="32"/>
          <w:szCs w:val="32"/>
          <w:lang w:eastAsia="zh-CN"/>
        </w:rPr>
        <w:t>。</w:t>
      </w:r>
    </w:p>
    <w:p w14:paraId="5F37680E">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2023年度“三公”经费财政拨款支出决算为2.15万元，完成预算100%。</w:t>
      </w:r>
    </w:p>
    <w:p w14:paraId="7BD3AB43">
      <w:pPr>
        <w:spacing w:line="600" w:lineRule="exact"/>
        <w:ind w:firstLine="640"/>
        <w:outlineLvl w:val="2"/>
        <w:rPr>
          <w:rFonts w:hint="eastAsia" w:ascii="楷体_GB2312" w:hAnsi="楷体_GB2312" w:eastAsia="楷体_GB2312" w:cs="楷体_GB2312"/>
          <w:b w:val="0"/>
          <w:bCs/>
          <w:sz w:val="32"/>
          <w:szCs w:val="32"/>
          <w:lang w:eastAsia="zh-CN"/>
        </w:rPr>
      </w:pPr>
      <w:bookmarkStart w:id="41" w:name="_Toc15377217"/>
      <w:r>
        <w:rPr>
          <w:rFonts w:hint="eastAsia" w:ascii="楷体_GB2312" w:hAnsi="楷体_GB2312" w:eastAsia="楷体_GB2312" w:cs="楷体_GB2312"/>
          <w:b w:val="0"/>
          <w:bCs/>
          <w:sz w:val="32"/>
          <w:szCs w:val="32"/>
        </w:rPr>
        <w:t>（二）“三公”经费财政拨款支出决算具体情况说明</w:t>
      </w:r>
      <w:bookmarkEnd w:id="41"/>
      <w:r>
        <w:rPr>
          <w:rFonts w:hint="eastAsia" w:ascii="楷体_GB2312" w:hAnsi="楷体_GB2312" w:eastAsia="楷体_GB2312" w:cs="楷体_GB2312"/>
          <w:b w:val="0"/>
          <w:bCs/>
          <w:sz w:val="32"/>
          <w:szCs w:val="32"/>
          <w:lang w:eastAsia="zh-CN"/>
        </w:rPr>
        <w:t>。</w:t>
      </w:r>
    </w:p>
    <w:p w14:paraId="238A56E5">
      <w:pPr>
        <w:spacing w:line="600" w:lineRule="exact"/>
        <w:ind w:firstLine="640"/>
        <w:rPr>
          <w:rFonts w:ascii="仿宋" w:hAnsi="仿宋" w:eastAsia="仿宋"/>
          <w:sz w:val="32"/>
          <w:szCs w:val="32"/>
        </w:rPr>
      </w:pPr>
      <w:r>
        <w:rPr>
          <w:rFonts w:hint="eastAsia" w:ascii="仿宋_GB2312" w:hAnsi="仿宋_GB2312" w:eastAsia="仿宋_GB2312" w:cs="仿宋_GB2312"/>
          <w:sz w:val="32"/>
          <w:szCs w:val="32"/>
        </w:rPr>
        <w:t>2023年度“三公”经费财政拨款支出决算中，因公出国（境）费支出决算0万元，占0%；公务用车购置及运行维护费支出决算2.15万元，占100%；公务接待费支出决算0万元，占0%。具体情况如下：</w:t>
      </w:r>
    </w:p>
    <w:p w14:paraId="249C92E7">
      <w:pPr>
        <w:pStyle w:val="7"/>
        <w:spacing w:before="93"/>
        <w:jc w:val="center"/>
        <w:rPr>
          <w:rFonts w:ascii="Times New Roman"/>
        </w:rPr>
      </w:pPr>
      <w:r>
        <w:rPr>
          <w:rFonts w:ascii="Times New Roman"/>
        </w:rPr>
        <w:drawing>
          <wp:inline distT="0" distB="0" distL="0" distR="0">
            <wp:extent cx="4831080" cy="2491740"/>
            <wp:effectExtent l="0" t="0" r="26670" b="2286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75C3CE6">
      <w:pPr>
        <w:spacing w:line="600" w:lineRule="exact"/>
        <w:ind w:firstLine="64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图7：“三公”经费财政拨款支出结构（万元）</w:t>
      </w:r>
    </w:p>
    <w:p w14:paraId="33BE1D46">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1.因公出国（境）经费支出</w:t>
      </w:r>
      <w:r>
        <w:rPr>
          <w:rFonts w:hint="eastAsia" w:ascii="仿宋_GB2312" w:hAnsi="仿宋_GB2312" w:eastAsia="仿宋_GB2312" w:cs="仿宋_GB2312"/>
          <w:sz w:val="32"/>
          <w:szCs w:val="32"/>
        </w:rPr>
        <w:t>0万元，</w:t>
      </w:r>
      <w:r>
        <w:rPr>
          <w:rStyle w:val="18"/>
          <w:rFonts w:hint="eastAsia" w:ascii="仿宋_GB2312" w:hAnsi="仿宋_GB2312" w:eastAsia="仿宋_GB2312" w:cs="仿宋_GB2312"/>
          <w:b w:val="0"/>
          <w:bCs/>
          <w:sz w:val="32"/>
          <w:szCs w:val="32"/>
        </w:rPr>
        <w:t>完成预算</w:t>
      </w:r>
      <w:r>
        <w:rPr>
          <w:rFonts w:hint="eastAsia" w:ascii="仿宋_GB2312" w:hAnsi="仿宋_GB2312" w:eastAsia="仿宋_GB2312" w:cs="仿宋_GB2312"/>
          <w:sz w:val="32"/>
          <w:szCs w:val="32"/>
        </w:rPr>
        <w:t>0</w:t>
      </w:r>
      <w:r>
        <w:rPr>
          <w:rStyle w:val="18"/>
          <w:rFonts w:hint="eastAsia" w:ascii="仿宋_GB2312" w:hAnsi="仿宋_GB2312" w:eastAsia="仿宋_GB2312" w:cs="仿宋_GB2312"/>
          <w:b w:val="0"/>
          <w:bCs/>
          <w:sz w:val="32"/>
          <w:szCs w:val="32"/>
        </w:rPr>
        <w:t>%。</w:t>
      </w:r>
    </w:p>
    <w:p w14:paraId="630D8CE2">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2.公务用车购置及运行维护费支出</w:t>
      </w:r>
      <w:r>
        <w:rPr>
          <w:rFonts w:hint="eastAsia" w:ascii="仿宋_GB2312" w:hAnsi="仿宋_GB2312" w:eastAsia="仿宋_GB2312" w:cs="仿宋_GB2312"/>
          <w:sz w:val="32"/>
          <w:szCs w:val="32"/>
        </w:rPr>
        <w:t>2.15万元,</w:t>
      </w:r>
      <w:r>
        <w:rPr>
          <w:rStyle w:val="18"/>
          <w:rFonts w:hint="eastAsia" w:ascii="仿宋_GB2312" w:hAnsi="仿宋_GB2312" w:eastAsia="仿宋_GB2312" w:cs="仿宋_GB2312"/>
          <w:b w:val="0"/>
          <w:bCs/>
          <w:sz w:val="32"/>
          <w:szCs w:val="32"/>
        </w:rPr>
        <w:t>完成预算</w:t>
      </w:r>
      <w:r>
        <w:rPr>
          <w:rFonts w:hint="eastAsia" w:ascii="仿宋_GB2312" w:hAnsi="仿宋_GB2312" w:eastAsia="仿宋_GB2312" w:cs="仿宋_GB2312"/>
          <w:sz w:val="32"/>
          <w:szCs w:val="32"/>
        </w:rPr>
        <w:t>100</w:t>
      </w:r>
      <w:r>
        <w:rPr>
          <w:rStyle w:val="18"/>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rPr>
        <w:t>公务用车购置及运行维护费支出决算比2022年度减少22.72万元，下降91.37%。主要原因是节约开支，压减“三公”经费。</w:t>
      </w:r>
    </w:p>
    <w:p w14:paraId="00C253CA">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val="0"/>
          <w:bCs/>
          <w:sz w:val="32"/>
          <w:szCs w:val="32"/>
        </w:rPr>
        <w:t>公务用车购置支出0万元。截至2023年12月31日，单位共有公务用车1辆，其中：轿车0辆、越野车0辆、载客汽车1辆。</w:t>
      </w:r>
    </w:p>
    <w:p w14:paraId="4D7A9F82">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公务用车运行维护费支出2.15万元。主要用于学校教学研究、学生家访等所需的公务用车燃料费、维修费、过路过桥费、保险费等支出。</w:t>
      </w:r>
    </w:p>
    <w:p w14:paraId="21599BE7">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3.公务接待费支出</w:t>
      </w:r>
      <w:r>
        <w:rPr>
          <w:rFonts w:hint="eastAsia" w:ascii="仿宋_GB2312" w:hAnsi="仿宋_GB2312" w:eastAsia="仿宋_GB2312" w:cs="仿宋_GB2312"/>
          <w:sz w:val="32"/>
          <w:szCs w:val="32"/>
        </w:rPr>
        <w:t>0万元，</w:t>
      </w:r>
      <w:r>
        <w:rPr>
          <w:rStyle w:val="18"/>
          <w:rFonts w:hint="eastAsia" w:ascii="仿宋_GB2312" w:hAnsi="仿宋_GB2312" w:eastAsia="仿宋_GB2312" w:cs="仿宋_GB2312"/>
          <w:b w:val="0"/>
          <w:bCs/>
          <w:sz w:val="32"/>
          <w:szCs w:val="32"/>
        </w:rPr>
        <w:t>完成预算</w:t>
      </w:r>
      <w:r>
        <w:rPr>
          <w:rFonts w:hint="eastAsia" w:ascii="仿宋_GB2312" w:hAnsi="仿宋_GB2312" w:eastAsia="仿宋_GB2312" w:cs="仿宋_GB2312"/>
          <w:sz w:val="32"/>
          <w:szCs w:val="32"/>
        </w:rPr>
        <w:t>0%</w:t>
      </w:r>
      <w:r>
        <w:rPr>
          <w:rStyle w:val="18"/>
          <w:rFonts w:hint="eastAsia" w:ascii="仿宋_GB2312" w:hAnsi="仿宋_GB2312" w:eastAsia="仿宋_GB2312" w:cs="仿宋_GB2312"/>
          <w:b w:val="0"/>
          <w:bCs/>
          <w:sz w:val="32"/>
          <w:szCs w:val="32"/>
        </w:rPr>
        <w:t>。</w:t>
      </w:r>
    </w:p>
    <w:p w14:paraId="3E9CFC18">
      <w:pPr>
        <w:keepNext w:val="0"/>
        <w:keepLines w:val="0"/>
        <w:pageBreakBefore w:val="0"/>
        <w:widowControl w:val="0"/>
        <w:kinsoku/>
        <w:wordWrap/>
        <w:overflowPunct/>
        <w:topLinePunct w:val="0"/>
        <w:bidi w:val="0"/>
        <w:snapToGrid/>
        <w:spacing w:line="560" w:lineRule="exact"/>
        <w:ind w:firstLine="64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国内公务接待支出0万元。外事接待支出0万元。</w:t>
      </w:r>
      <w:bookmarkStart w:id="42" w:name="_Toc15396610"/>
      <w:bookmarkStart w:id="43" w:name="_Toc15377218"/>
    </w:p>
    <w:p w14:paraId="200D181A">
      <w:pPr>
        <w:keepNext w:val="0"/>
        <w:keepLines w:val="0"/>
        <w:pageBreakBefore w:val="0"/>
        <w:widowControl w:val="0"/>
        <w:kinsoku/>
        <w:wordWrap/>
        <w:overflowPunct/>
        <w:topLinePunct w:val="0"/>
        <w:bidi w:val="0"/>
        <w:snapToGrid/>
        <w:spacing w:line="560" w:lineRule="exact"/>
        <w:ind w:firstLine="640"/>
        <w:textAlignment w:val="auto"/>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2"/>
      <w:bookmarkEnd w:id="43"/>
    </w:p>
    <w:p w14:paraId="07F50B66">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14:paraId="2911593B">
      <w:pPr>
        <w:keepNext w:val="0"/>
        <w:keepLines w:val="0"/>
        <w:pageBreakBefore w:val="0"/>
        <w:widowControl w:val="0"/>
        <w:numPr>
          <w:ilvl w:val="0"/>
          <w:numId w:val="1"/>
        </w:numPr>
        <w:kinsoku/>
        <w:wordWrap/>
        <w:overflowPunct/>
        <w:topLinePunct w:val="0"/>
        <w:bidi w:val="0"/>
        <w:snapToGrid/>
        <w:spacing w:line="560" w:lineRule="exact"/>
        <w:ind w:firstLine="640"/>
        <w:textAlignment w:val="auto"/>
        <w:outlineLvl w:val="1"/>
        <w:rPr>
          <w:rStyle w:val="29"/>
          <w:rFonts w:ascii="黑体" w:hAnsi="黑体" w:eastAsia="黑体"/>
          <w:b w:val="0"/>
        </w:rPr>
      </w:pPr>
      <w:bookmarkStart w:id="44" w:name="_Toc15377219"/>
      <w:bookmarkStart w:id="45" w:name="_Toc15396611"/>
      <w:r>
        <w:rPr>
          <w:rStyle w:val="29"/>
          <w:rFonts w:hint="eastAsia" w:ascii="黑体" w:hAnsi="黑体" w:eastAsia="黑体"/>
          <w:b w:val="0"/>
        </w:rPr>
        <w:t>国有资本经营预算支出决算情况说明</w:t>
      </w:r>
      <w:bookmarkEnd w:id="44"/>
      <w:bookmarkEnd w:id="45"/>
    </w:p>
    <w:p w14:paraId="2FD415FE">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14:paraId="228BB660">
      <w:pPr>
        <w:keepNext w:val="0"/>
        <w:keepLines w:val="0"/>
        <w:pageBreakBefore w:val="0"/>
        <w:widowControl w:val="0"/>
        <w:numPr>
          <w:ilvl w:val="0"/>
          <w:numId w:val="1"/>
        </w:numPr>
        <w:kinsoku/>
        <w:wordWrap/>
        <w:overflowPunct/>
        <w:topLinePunct w:val="0"/>
        <w:bidi w:val="0"/>
        <w:snapToGrid/>
        <w:spacing w:line="560" w:lineRule="exact"/>
        <w:ind w:firstLine="640"/>
        <w:textAlignment w:val="auto"/>
        <w:outlineLvl w:val="1"/>
        <w:rPr>
          <w:rStyle w:val="29"/>
          <w:rFonts w:ascii="黑体" w:hAnsi="黑体" w:eastAsia="黑体"/>
          <w:b w:val="0"/>
        </w:rPr>
      </w:pPr>
      <w:bookmarkStart w:id="46" w:name="_Toc15377221"/>
      <w:bookmarkStart w:id="47" w:name="_Toc15396612"/>
      <w:r>
        <w:rPr>
          <w:rStyle w:val="29"/>
          <w:rFonts w:hint="eastAsia" w:ascii="黑体" w:hAnsi="黑体" w:eastAsia="黑体"/>
          <w:b w:val="0"/>
        </w:rPr>
        <w:t>其他重要事项的情况说明</w:t>
      </w:r>
      <w:bookmarkEnd w:id="46"/>
      <w:bookmarkEnd w:id="47"/>
    </w:p>
    <w:p w14:paraId="5C813766">
      <w:pPr>
        <w:keepNext w:val="0"/>
        <w:keepLines w:val="0"/>
        <w:pageBreakBefore w:val="0"/>
        <w:widowControl w:val="0"/>
        <w:kinsoku/>
        <w:wordWrap/>
        <w:overflowPunct/>
        <w:topLinePunct w:val="0"/>
        <w:bidi w:val="0"/>
        <w:snapToGrid/>
        <w:spacing w:line="560" w:lineRule="exact"/>
        <w:ind w:firstLine="640" w:firstLineChars="200"/>
        <w:textAlignment w:val="auto"/>
        <w:outlineLvl w:val="2"/>
        <w:rPr>
          <w:rFonts w:hint="eastAsia" w:ascii="楷体_GB2312" w:hAnsi="楷体_GB2312" w:eastAsia="楷体_GB2312" w:cs="楷体_GB2312"/>
          <w:b w:val="0"/>
          <w:bCs/>
          <w:sz w:val="32"/>
          <w:szCs w:val="32"/>
          <w:lang w:eastAsia="zh-CN"/>
        </w:rPr>
      </w:pPr>
      <w:bookmarkStart w:id="48" w:name="_Toc15377222"/>
      <w:r>
        <w:rPr>
          <w:rFonts w:hint="eastAsia" w:ascii="楷体_GB2312" w:hAnsi="楷体_GB2312" w:eastAsia="楷体_GB2312" w:cs="楷体_GB2312"/>
          <w:b w:val="0"/>
          <w:bCs/>
          <w:sz w:val="32"/>
          <w:szCs w:val="32"/>
        </w:rPr>
        <w:t>（一）机关运行经费支出情况</w:t>
      </w:r>
      <w:bookmarkEnd w:id="48"/>
      <w:r>
        <w:rPr>
          <w:rFonts w:hint="eastAsia" w:ascii="楷体_GB2312" w:hAnsi="楷体_GB2312" w:eastAsia="楷体_GB2312" w:cs="楷体_GB2312"/>
          <w:b w:val="0"/>
          <w:bCs/>
          <w:sz w:val="32"/>
          <w:szCs w:val="32"/>
          <w:lang w:eastAsia="zh-CN"/>
        </w:rPr>
        <w:t>。</w:t>
      </w:r>
    </w:p>
    <w:p w14:paraId="2B3A3CEB">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sz w:val="32"/>
          <w:szCs w:val="32"/>
        </w:rPr>
        <w:t>2023年度，盐边县中学校机关运行经费支出0万元，与2022年度决算数持平</w:t>
      </w:r>
      <w:r>
        <w:rPr>
          <w:rFonts w:hint="eastAsia" w:ascii="仿宋_GB2312" w:eastAsia="仿宋_GB2312"/>
          <w:sz w:val="32"/>
          <w:szCs w:val="32"/>
        </w:rPr>
        <w:t>。</w:t>
      </w:r>
    </w:p>
    <w:p w14:paraId="6DFBE4F1">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outlineLvl w:val="2"/>
        <w:rPr>
          <w:rFonts w:hint="eastAsia" w:ascii="楷体_GB2312" w:hAnsi="楷体_GB2312" w:eastAsia="楷体_GB2312" w:cs="楷体_GB2312"/>
          <w:b w:val="0"/>
          <w:bCs/>
          <w:sz w:val="32"/>
          <w:szCs w:val="32"/>
          <w:lang w:eastAsia="zh-CN"/>
        </w:rPr>
      </w:pPr>
      <w:bookmarkStart w:id="49" w:name="_Toc15377223"/>
      <w:r>
        <w:rPr>
          <w:rFonts w:hint="eastAsia" w:ascii="楷体_GB2312" w:hAnsi="楷体_GB2312" w:eastAsia="楷体_GB2312" w:cs="楷体_GB2312"/>
          <w:b w:val="0"/>
          <w:bCs/>
          <w:sz w:val="32"/>
          <w:szCs w:val="32"/>
        </w:rPr>
        <w:t>（二）政府采购支出情况</w:t>
      </w:r>
      <w:bookmarkEnd w:id="49"/>
      <w:r>
        <w:rPr>
          <w:rFonts w:hint="eastAsia" w:ascii="楷体_GB2312" w:hAnsi="楷体_GB2312" w:eastAsia="楷体_GB2312" w:cs="楷体_GB2312"/>
          <w:b w:val="0"/>
          <w:bCs/>
          <w:sz w:val="32"/>
          <w:szCs w:val="32"/>
          <w:lang w:eastAsia="zh-CN"/>
        </w:rPr>
        <w:t>。</w:t>
      </w:r>
    </w:p>
    <w:p w14:paraId="1E02C7F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2023年度，盐边县中学校政府采购支出总额437.53万元，其中：政府采购货物支出167.56万元、政府采购工程支出269.97万元、政府采购服务支出0万元。</w:t>
      </w:r>
      <w:bookmarkStart w:id="50" w:name="_Toc15377224"/>
      <w:r>
        <w:rPr>
          <w:rFonts w:hint="eastAsia" w:ascii="仿宋_GB2312" w:hAnsi="仿宋_GB2312" w:eastAsia="仿宋_GB2312" w:cs="仿宋_GB2312"/>
          <w:sz w:val="32"/>
          <w:szCs w:val="32"/>
        </w:rPr>
        <w:t>主要用于采购高考标准化考点UPS不间断电源11.46万元、采购高考标准化考点升级改造设施设备68.38万元、采购学生宿舍专用公寓床（多功能组合）84.92万元、采购教师公共租赁住房空调2.8万元以及学生宿舍维修改造工程269.97万元。授予中小企业合同金额437.53万元，占政府采购支出总额的100%，其中：授予小微企业合同金额437.53万元，占政府采购支出总额的100%。</w:t>
      </w:r>
    </w:p>
    <w:p w14:paraId="607A8E4D">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楷体_GB2312" w:hAnsi="楷体_GB2312" w:eastAsia="楷体_GB2312" w:cs="楷体_GB2312"/>
          <w:b w:val="0"/>
          <w:bCs/>
          <w:sz w:val="32"/>
          <w:szCs w:val="32"/>
          <w:lang w:eastAsia="zh-CN"/>
        </w:rPr>
      </w:pPr>
      <w:r>
        <w:rPr>
          <w:rFonts w:hint="eastAsia" w:ascii="楷体_GB2312" w:hAnsi="楷体_GB2312" w:eastAsia="楷体_GB2312" w:cs="楷体_GB2312"/>
          <w:b w:val="0"/>
          <w:bCs/>
          <w:sz w:val="32"/>
          <w:szCs w:val="32"/>
        </w:rPr>
        <w:t>（三）国有资产占有使用情况</w:t>
      </w:r>
      <w:bookmarkEnd w:id="50"/>
      <w:r>
        <w:rPr>
          <w:rFonts w:hint="eastAsia" w:ascii="楷体_GB2312" w:hAnsi="楷体_GB2312" w:eastAsia="楷体_GB2312" w:cs="楷体_GB2312"/>
          <w:b w:val="0"/>
          <w:bCs/>
          <w:sz w:val="32"/>
          <w:szCs w:val="32"/>
          <w:lang w:eastAsia="zh-CN"/>
        </w:rPr>
        <w:t>。</w:t>
      </w:r>
    </w:p>
    <w:p w14:paraId="4B8DB133">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日，盐边县中学校共有车辆1辆，其中：主要领导干部用车0辆、机要通信用车0辆、应急保障用车0辆、其他用车1辆，其他用车主要是用于学校教学研究、学生家访。单价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sz w:val="32"/>
          <w:szCs w:val="32"/>
        </w:rPr>
        <w:t>1</w:t>
      </w:r>
      <w:r>
        <w:rPr>
          <w:rFonts w:hint="eastAsia" w:ascii="仿宋_GB2312" w:eastAsia="仿宋_GB2312"/>
          <w:sz w:val="32"/>
          <w:szCs w:val="32"/>
        </w:rPr>
        <w:t>台（套）。</w:t>
      </w:r>
    </w:p>
    <w:p w14:paraId="36F52A50">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outlineLvl w:val="2"/>
        <w:rPr>
          <w:rFonts w:hint="eastAsia" w:ascii="楷体_GB2312" w:hAnsi="楷体_GB2312" w:eastAsia="楷体_GB2312" w:cs="楷体_GB2312"/>
          <w:b w:val="0"/>
          <w:bCs/>
          <w:color w:val="000000" w:themeColor="text1"/>
          <w:sz w:val="32"/>
          <w:szCs w:val="32"/>
          <w:lang w:eastAsia="zh-CN"/>
        </w:rPr>
      </w:pPr>
      <w:r>
        <w:rPr>
          <w:rFonts w:hint="eastAsia" w:ascii="楷体_GB2312" w:hAnsi="楷体_GB2312" w:eastAsia="楷体_GB2312" w:cs="楷体_GB2312"/>
          <w:b w:val="0"/>
          <w:bCs/>
          <w:color w:val="000000" w:themeColor="text1"/>
          <w:sz w:val="32"/>
          <w:szCs w:val="32"/>
        </w:rPr>
        <w:t>（四）预算绩效管理情况</w:t>
      </w:r>
      <w:r>
        <w:rPr>
          <w:rFonts w:hint="eastAsia" w:ascii="楷体_GB2312" w:hAnsi="楷体_GB2312" w:eastAsia="楷体_GB2312" w:cs="楷体_GB2312"/>
          <w:b w:val="0"/>
          <w:bCs/>
          <w:color w:val="000000" w:themeColor="text1"/>
          <w:sz w:val="32"/>
          <w:szCs w:val="32"/>
          <w:lang w:eastAsia="zh-CN"/>
        </w:rPr>
        <w:t>。</w:t>
      </w:r>
    </w:p>
    <w:p w14:paraId="77C3B0F8">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000000" w:themeColor="text1"/>
          <w:sz w:val="32"/>
          <w:szCs w:val="32"/>
        </w:rPr>
        <w:t>根据预算绩效管理要求，本部门在2023年度预算编制阶段，组织对盐边县中学</w:t>
      </w:r>
      <w:r>
        <w:rPr>
          <w:rFonts w:hint="eastAsia" w:ascii="仿宋_GB2312" w:hAnsi="仿宋_GB2312" w:eastAsia="仿宋_GB2312" w:cs="仿宋_GB2312"/>
          <w:sz w:val="32"/>
          <w:szCs w:val="32"/>
        </w:rPr>
        <w:t>校新建初中部教学楼工程、运动场改造工程、“十三五”节约型公共机构示范单位奖补资金、盐边县中学校发展资金、高考标准化考场升级改造项目、学生宿舍维修改造工程、学生宿舍专用公寓床（多功能组合）采购项目、教师公共租赁住房家具家电采购项目等8个项目开展了预算事前绩效评估，对8个项目编制了绩效目标，预算执行过程中，选取8个项目开展绩效监控</w:t>
      </w:r>
      <w:r>
        <w:rPr>
          <w:rFonts w:hint="eastAsia" w:ascii="仿宋_GB2312" w:hAnsi="仿宋_GB2312" w:eastAsia="仿宋_GB2312" w:cs="仿宋_GB2312"/>
          <w:sz w:val="32"/>
          <w:szCs w:val="32"/>
          <w:lang w:eastAsia="zh-CN"/>
        </w:rPr>
        <w:t>。</w:t>
      </w:r>
    </w:p>
    <w:p w14:paraId="2AE6D14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组织对2023年度一般公共预算、政府性基金预算、国有资本经营预算、社会保险基金预算以及资本资产、债券资金等全面开展绩效自评，形成盐边县中学校部门整体（含部门预算项目）绩效自评报告，</w:t>
      </w:r>
      <w:r>
        <w:rPr>
          <w:rFonts w:hint="eastAsia" w:ascii="仿宋_GB2312" w:hAnsi="仿宋_GB2312" w:eastAsia="仿宋_GB2312" w:cs="仿宋_GB2312"/>
          <w:color w:val="000000" w:themeColor="text1"/>
          <w:sz w:val="32"/>
          <w:szCs w:val="32"/>
        </w:rPr>
        <w:t>盐边县中学</w:t>
      </w:r>
      <w:r>
        <w:rPr>
          <w:rFonts w:hint="eastAsia" w:ascii="仿宋_GB2312" w:hAnsi="仿宋_GB2312" w:eastAsia="仿宋_GB2312" w:cs="仿宋_GB2312"/>
          <w:sz w:val="32"/>
          <w:szCs w:val="32"/>
        </w:rPr>
        <w:t>校新建初中部教学楼工程等专项预算项目绩效自评报告专项预算项目绩效自评报告，其中：</w:t>
      </w:r>
    </w:p>
    <w:p w14:paraId="11ADD7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盐边县中学校部门整体（含部门预算项目）绩效自评得分为95分。</w:t>
      </w:r>
      <w:r>
        <w:rPr>
          <w:rFonts w:hint="eastAsia" w:ascii="仿宋_GB2312" w:hAnsi="仿宋_GB2312" w:eastAsia="仿宋_GB2312" w:cs="仿宋_GB2312"/>
          <w:sz w:val="32"/>
          <w:szCs w:val="32"/>
          <w:lang w:val="zh-CN"/>
        </w:rPr>
        <w:t>20</w:t>
      </w:r>
      <w:r>
        <w:rPr>
          <w:rFonts w:hint="eastAsia" w:ascii="仿宋_GB2312" w:hAnsi="仿宋_GB2312" w:eastAsia="仿宋_GB2312" w:cs="仿宋_GB2312"/>
          <w:sz w:val="32"/>
          <w:szCs w:val="32"/>
        </w:rPr>
        <w:t>23</w:t>
      </w:r>
      <w:r>
        <w:rPr>
          <w:rFonts w:hint="eastAsia" w:ascii="仿宋_GB2312" w:hAnsi="仿宋_GB2312" w:eastAsia="仿宋_GB2312" w:cs="仿宋_GB2312"/>
          <w:sz w:val="32"/>
          <w:szCs w:val="32"/>
          <w:lang w:val="zh-CN"/>
        </w:rPr>
        <w:t>年度部门</w:t>
      </w:r>
      <w:r>
        <w:rPr>
          <w:rFonts w:hint="eastAsia" w:ascii="仿宋_GB2312" w:hAnsi="仿宋_GB2312" w:eastAsia="仿宋_GB2312" w:cs="仿宋_GB2312"/>
          <w:sz w:val="32"/>
          <w:szCs w:val="32"/>
        </w:rPr>
        <w:t>人员类项目</w:t>
      </w:r>
      <w:r>
        <w:rPr>
          <w:rFonts w:hint="eastAsia" w:ascii="仿宋_GB2312" w:hAnsi="仿宋_GB2312" w:eastAsia="仿宋_GB2312" w:cs="仿宋_GB2312"/>
          <w:sz w:val="32"/>
          <w:szCs w:val="32"/>
          <w:lang w:val="zh-CN"/>
        </w:rPr>
        <w:t>支出和</w:t>
      </w:r>
      <w:r>
        <w:rPr>
          <w:rFonts w:hint="eastAsia" w:ascii="仿宋_GB2312" w:hAnsi="仿宋_GB2312" w:eastAsia="仿宋_GB2312" w:cs="仿宋_GB2312"/>
          <w:sz w:val="32"/>
          <w:szCs w:val="32"/>
        </w:rPr>
        <w:t>运转类项目中的公用经费项目支出为单位完成日常工作任务而发生的人员支出、公用支出提供了资金保障，有效保证了学校正常运转。项目支出为部门完成</w:t>
      </w:r>
      <w:r>
        <w:rPr>
          <w:rFonts w:hint="eastAsia" w:ascii="仿宋_GB2312" w:hAnsi="仿宋_GB2312" w:eastAsia="仿宋_GB2312" w:cs="仿宋_GB2312"/>
          <w:color w:val="000000" w:themeColor="text1"/>
          <w:sz w:val="32"/>
          <w:szCs w:val="32"/>
        </w:rPr>
        <w:t>盐边县中学</w:t>
      </w:r>
      <w:r>
        <w:rPr>
          <w:rFonts w:hint="eastAsia" w:ascii="仿宋_GB2312" w:hAnsi="仿宋_GB2312" w:eastAsia="仿宋_GB2312" w:cs="仿宋_GB2312"/>
          <w:sz w:val="32"/>
          <w:szCs w:val="32"/>
        </w:rPr>
        <w:t>校新建初中部教学楼工程、运动场改造工程、“十三五”节约型公共机构示范单位奖补资金、盐边县中学校发展资金、高考标准化考场升级改造项目、学生宿舍维修改造工程、学生宿舍专用公寓床（多功能组合）采购项目、教师公共租赁住房家具家电采购项目提供了资金保障，极大的改善了我校的办学条件。</w:t>
      </w:r>
    </w:p>
    <w:p w14:paraId="3FF795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sz w:val="32"/>
          <w:szCs w:val="32"/>
        </w:rPr>
        <w:t>盐边县中学校专项绩效自评得分为94分。学校</w:t>
      </w:r>
      <w:r>
        <w:rPr>
          <w:rFonts w:hint="eastAsia" w:ascii="仿宋_GB2312" w:hAnsi="仿宋_GB2312" w:eastAsia="仿宋_GB2312" w:cs="仿宋_GB2312"/>
          <w:kern w:val="0"/>
          <w:sz w:val="32"/>
          <w:szCs w:val="32"/>
          <w:shd w:val="clear" w:color="auto" w:fill="FFFFFF"/>
          <w:lang w:val="zh-CN"/>
        </w:rPr>
        <w:t>切实围绕预算编制有目标、预算执行有监控、预算完成有评价、评价结果有反馈、反馈结果有应用的预算绩效管理体系认真开展工作，圆满完成2023年各项目标任务。</w:t>
      </w:r>
    </w:p>
    <w:p w14:paraId="33D57664">
      <w:pPr>
        <w:spacing w:line="640" w:lineRule="exact"/>
        <w:rPr>
          <w:rFonts w:hint="eastAsia" w:ascii="仿宋_GB2312" w:hAnsi="仿宋_GB2312" w:eastAsia="仿宋_GB2312" w:cs="仿宋_GB2312"/>
        </w:rPr>
      </w:pPr>
    </w:p>
    <w:p w14:paraId="2BB9E75A">
      <w:pPr>
        <w:spacing w:line="640" w:lineRule="exact"/>
        <w:rPr>
          <w:rFonts w:hint="eastAsia" w:ascii="仿宋_GB2312" w:hAnsi="仿宋_GB2312" w:eastAsia="仿宋_GB2312" w:cs="仿宋_GB2312"/>
        </w:rPr>
      </w:pPr>
    </w:p>
    <w:p w14:paraId="2BCF18A5">
      <w:pPr>
        <w:spacing w:line="640" w:lineRule="exact"/>
      </w:pPr>
    </w:p>
    <w:p w14:paraId="54E574C6">
      <w:pPr>
        <w:spacing w:line="640" w:lineRule="exact"/>
      </w:pPr>
    </w:p>
    <w:p w14:paraId="333DFBDC">
      <w:pPr>
        <w:spacing w:line="640" w:lineRule="exact"/>
      </w:pPr>
    </w:p>
    <w:p w14:paraId="27CEE2DD">
      <w:pPr>
        <w:spacing w:line="640" w:lineRule="exact"/>
      </w:pPr>
    </w:p>
    <w:p w14:paraId="17811DBB">
      <w:pPr>
        <w:numPr>
          <w:ilvl w:val="0"/>
          <w:numId w:val="2"/>
        </w:numPr>
        <w:spacing w:line="640" w:lineRule="exact"/>
        <w:jc w:val="center"/>
        <w:rPr>
          <w:rFonts w:hint="eastAsia"/>
          <w:b/>
          <w:sz w:val="44"/>
          <w:szCs w:val="44"/>
        </w:rPr>
      </w:pPr>
      <w:r>
        <w:rPr>
          <w:rFonts w:hint="eastAsia"/>
          <w:b/>
          <w:sz w:val="44"/>
          <w:szCs w:val="44"/>
        </w:rPr>
        <w:t>名词解释</w:t>
      </w:r>
    </w:p>
    <w:p w14:paraId="11369284"/>
    <w:p w14:paraId="2F8099D8">
      <w:pPr>
        <w:ind w:firstLine="640" w:firstLineChars="200"/>
        <w:rPr>
          <w:rFonts w:ascii="仿宋_GB2312" w:eastAsia="仿宋_GB2312"/>
          <w:b w:val="0"/>
          <w:bCs w:val="0"/>
          <w:sz w:val="32"/>
          <w:szCs w:val="32"/>
        </w:rPr>
      </w:pPr>
      <w:r>
        <w:rPr>
          <w:rFonts w:hint="eastAsia" w:ascii="仿宋_GB2312" w:eastAsia="仿宋_GB2312"/>
          <w:b w:val="0"/>
          <w:bCs w:val="0"/>
          <w:sz w:val="32"/>
          <w:szCs w:val="32"/>
        </w:rPr>
        <w:t>1.财政拨款收入：指单位从同级财政部门取得的财政预算资金。</w:t>
      </w:r>
    </w:p>
    <w:p w14:paraId="482FF629">
      <w:pPr>
        <w:ind w:firstLine="640" w:firstLineChars="200"/>
        <w:rPr>
          <w:rFonts w:ascii="仿宋_GB2312" w:eastAsia="仿宋_GB2312"/>
          <w:b w:val="0"/>
          <w:bCs w:val="0"/>
          <w:sz w:val="32"/>
          <w:szCs w:val="32"/>
        </w:rPr>
      </w:pPr>
      <w:r>
        <w:rPr>
          <w:rFonts w:hint="eastAsia" w:ascii="仿宋_GB2312" w:eastAsia="仿宋_GB2312"/>
          <w:b w:val="0"/>
          <w:bCs w:val="0"/>
          <w:sz w:val="32"/>
          <w:szCs w:val="32"/>
        </w:rPr>
        <w:t>2.事业收入：指事业单位开展专业业务活动及辅助活动取得的收入。</w:t>
      </w:r>
    </w:p>
    <w:p w14:paraId="114E3A17">
      <w:pPr>
        <w:ind w:firstLine="640" w:firstLineChars="200"/>
        <w:rPr>
          <w:rFonts w:ascii="仿宋_GB2312" w:eastAsia="仿宋_GB2312"/>
          <w:b w:val="0"/>
          <w:bCs w:val="0"/>
          <w:sz w:val="32"/>
          <w:szCs w:val="32"/>
        </w:rPr>
      </w:pPr>
      <w:r>
        <w:rPr>
          <w:rFonts w:hint="eastAsia" w:ascii="仿宋_GB2312" w:eastAsia="仿宋_GB2312"/>
          <w:b w:val="0"/>
          <w:bCs w:val="0"/>
          <w:sz w:val="32"/>
          <w:szCs w:val="32"/>
        </w:rPr>
        <w:t>3.经营收入：指事业单位在专业业务活动及其辅助活动之外开展非独立核算经营活动取得的收入。</w:t>
      </w:r>
    </w:p>
    <w:p w14:paraId="06DEE568">
      <w:pPr>
        <w:ind w:firstLine="640" w:firstLineChars="200"/>
        <w:rPr>
          <w:rFonts w:ascii="仿宋_GB2312" w:eastAsia="仿宋_GB2312"/>
          <w:b w:val="0"/>
          <w:bCs w:val="0"/>
          <w:sz w:val="32"/>
          <w:szCs w:val="32"/>
        </w:rPr>
      </w:pPr>
      <w:r>
        <w:rPr>
          <w:rFonts w:hint="eastAsia" w:ascii="仿宋_GB2312" w:eastAsia="仿宋_GB2312"/>
          <w:b w:val="0"/>
          <w:bCs w:val="0"/>
          <w:sz w:val="32"/>
          <w:szCs w:val="32"/>
        </w:rPr>
        <w:t xml:space="preserve">4.其他收入：指单位取得的除上述收入以外的各项收入。 </w:t>
      </w:r>
    </w:p>
    <w:p w14:paraId="2690D96C">
      <w:pPr>
        <w:ind w:firstLine="640" w:firstLineChars="200"/>
        <w:rPr>
          <w:rFonts w:hint="eastAsia" w:ascii="仿宋_GB2312" w:eastAsia="仿宋_GB2312"/>
          <w:b w:val="0"/>
          <w:bCs w:val="0"/>
          <w:sz w:val="32"/>
          <w:szCs w:val="32"/>
        </w:rPr>
      </w:pPr>
      <w:r>
        <w:rPr>
          <w:rFonts w:hint="eastAsia" w:ascii="仿宋_GB2312" w:eastAsia="仿宋_GB2312"/>
          <w:b w:val="0"/>
          <w:bCs w:val="0"/>
          <w:sz w:val="32"/>
          <w:szCs w:val="32"/>
        </w:rPr>
        <w:t xml:space="preserve">5.使用非财政拨款结余（含专用结余）：指事业单位使用以前年度积累的非财政拨款结余弥补当年收支差额的金额。 </w:t>
      </w:r>
    </w:p>
    <w:p w14:paraId="41ECFE93">
      <w:pPr>
        <w:ind w:firstLine="640" w:firstLineChars="200"/>
        <w:rPr>
          <w:rFonts w:ascii="仿宋_GB2312" w:eastAsia="仿宋_GB2312"/>
          <w:b w:val="0"/>
          <w:bCs w:val="0"/>
          <w:sz w:val="32"/>
          <w:szCs w:val="32"/>
        </w:rPr>
      </w:pPr>
      <w:r>
        <w:rPr>
          <w:rFonts w:hint="eastAsia" w:ascii="仿宋_GB2312" w:eastAsia="仿宋_GB2312"/>
          <w:b w:val="0"/>
          <w:bCs w:val="0"/>
          <w:sz w:val="32"/>
          <w:szCs w:val="32"/>
        </w:rPr>
        <w:t xml:space="preserve">6.年初结转和结余：指以前年度尚未完成、结转到本年按有关规定继续使用的资金。 </w:t>
      </w:r>
    </w:p>
    <w:p w14:paraId="39358862">
      <w:pPr>
        <w:ind w:firstLine="640" w:firstLineChars="200"/>
        <w:rPr>
          <w:rFonts w:ascii="仿宋_GB2312" w:eastAsia="仿宋_GB2312"/>
          <w:b w:val="0"/>
          <w:bCs w:val="0"/>
          <w:sz w:val="32"/>
          <w:szCs w:val="32"/>
        </w:rPr>
      </w:pPr>
      <w:r>
        <w:rPr>
          <w:rFonts w:hint="eastAsia" w:ascii="仿宋_GB2312" w:eastAsia="仿宋_GB2312"/>
          <w:b w:val="0"/>
          <w:bCs w:val="0"/>
          <w:sz w:val="32"/>
          <w:szCs w:val="32"/>
        </w:rPr>
        <w:t>7.结余分配：指事业单位按照会计制度规定缴纳的所得税、提取的专用结余以及转入非财政拨款结余的金额等。</w:t>
      </w:r>
    </w:p>
    <w:p w14:paraId="164F3081">
      <w:pPr>
        <w:ind w:firstLine="640" w:firstLineChars="200"/>
        <w:rPr>
          <w:rFonts w:ascii="仿宋_GB2312" w:eastAsia="仿宋_GB2312"/>
          <w:b w:val="0"/>
          <w:bCs w:val="0"/>
          <w:sz w:val="32"/>
          <w:szCs w:val="32"/>
        </w:rPr>
      </w:pPr>
      <w:r>
        <w:rPr>
          <w:rFonts w:hint="eastAsia" w:ascii="仿宋_GB2312" w:eastAsia="仿宋_GB2312"/>
          <w:b w:val="0"/>
          <w:bCs w:val="0"/>
          <w:sz w:val="32"/>
          <w:szCs w:val="32"/>
        </w:rPr>
        <w:t>8.年末结转和结余：指单位按有关规定结转到下年或以后年度继续使用的资金。</w:t>
      </w:r>
    </w:p>
    <w:p w14:paraId="6B86CF1E">
      <w:pPr>
        <w:ind w:firstLine="640" w:firstLineChars="200"/>
        <w:rPr>
          <w:rFonts w:ascii="仿宋_GB2312" w:eastAsia="仿宋_GB2312"/>
          <w:b w:val="0"/>
          <w:bCs w:val="0"/>
          <w:sz w:val="32"/>
          <w:szCs w:val="32"/>
        </w:rPr>
      </w:pPr>
      <w:r>
        <w:rPr>
          <w:rFonts w:hint="eastAsia" w:ascii="仿宋_GB2312" w:eastAsia="仿宋_GB2312"/>
          <w:b w:val="0"/>
          <w:bCs w:val="0"/>
          <w:sz w:val="32"/>
          <w:szCs w:val="32"/>
        </w:rPr>
        <w:t>9.一般公共服务支出（201类）其他一般公共服务支出（99款）其他一般公共服务支出（99项）：指反映除上述项目以外的其他一般公共服务支出。</w:t>
      </w:r>
    </w:p>
    <w:p w14:paraId="39FDDA46">
      <w:pPr>
        <w:spacing w:line="600" w:lineRule="exact"/>
        <w:ind w:firstLine="640" w:firstLineChars="200"/>
        <w:rPr>
          <w:rFonts w:eastAsia="仿宋_GB2312"/>
          <w:b w:val="0"/>
          <w:bCs w:val="0"/>
          <w:sz w:val="32"/>
          <w:szCs w:val="32"/>
        </w:rPr>
      </w:pPr>
      <w:r>
        <w:rPr>
          <w:rFonts w:hint="eastAsia" w:ascii="仿宋_GB2312" w:eastAsia="仿宋_GB2312"/>
          <w:b w:val="0"/>
          <w:bCs w:val="0"/>
          <w:sz w:val="32"/>
          <w:szCs w:val="32"/>
        </w:rPr>
        <w:t>10.教育支出（205类）普通教育（02款）初中教育（03项）：</w:t>
      </w:r>
      <w:r>
        <w:rPr>
          <w:rFonts w:eastAsia="仿宋_GB2312"/>
          <w:b w:val="0"/>
          <w:bCs w:val="0"/>
          <w:sz w:val="32"/>
          <w:szCs w:val="32"/>
        </w:rPr>
        <w:t>指反映各部门举办的初中教育支出。</w:t>
      </w:r>
    </w:p>
    <w:p w14:paraId="3728DB80">
      <w:pPr>
        <w:spacing w:line="600" w:lineRule="exact"/>
        <w:ind w:firstLine="640" w:firstLineChars="200"/>
        <w:rPr>
          <w:rFonts w:eastAsia="仿宋_GB2312"/>
          <w:b w:val="0"/>
          <w:bCs w:val="0"/>
          <w:sz w:val="32"/>
          <w:szCs w:val="32"/>
        </w:rPr>
      </w:pPr>
      <w:r>
        <w:rPr>
          <w:rFonts w:hint="eastAsia" w:ascii="仿宋_GB2312" w:eastAsia="仿宋_GB2312"/>
          <w:b w:val="0"/>
          <w:bCs w:val="0"/>
          <w:sz w:val="32"/>
          <w:szCs w:val="32"/>
        </w:rPr>
        <w:t>11.教育支出（205类）普通教育（02款）高中教育（04项）：</w:t>
      </w:r>
      <w:r>
        <w:rPr>
          <w:rFonts w:eastAsia="仿宋_GB2312"/>
          <w:b w:val="0"/>
          <w:bCs w:val="0"/>
          <w:sz w:val="32"/>
          <w:szCs w:val="32"/>
        </w:rPr>
        <w:t>指反映各部门举办的</w:t>
      </w:r>
      <w:r>
        <w:rPr>
          <w:rFonts w:hint="eastAsia" w:eastAsia="仿宋_GB2312"/>
          <w:b w:val="0"/>
          <w:bCs w:val="0"/>
          <w:sz w:val="32"/>
          <w:szCs w:val="32"/>
        </w:rPr>
        <w:t>普通高中</w:t>
      </w:r>
      <w:r>
        <w:rPr>
          <w:rFonts w:eastAsia="仿宋_GB2312"/>
          <w:b w:val="0"/>
          <w:bCs w:val="0"/>
          <w:sz w:val="32"/>
          <w:szCs w:val="32"/>
        </w:rPr>
        <w:t>教育支出。</w:t>
      </w:r>
    </w:p>
    <w:p w14:paraId="468C0045">
      <w:pPr>
        <w:spacing w:line="600" w:lineRule="exact"/>
        <w:ind w:firstLine="640" w:firstLineChars="200"/>
        <w:rPr>
          <w:rFonts w:eastAsia="仿宋_GB2312"/>
          <w:b w:val="0"/>
          <w:bCs w:val="0"/>
          <w:sz w:val="32"/>
          <w:szCs w:val="32"/>
        </w:rPr>
      </w:pPr>
      <w:r>
        <w:rPr>
          <w:rFonts w:hint="eastAsia" w:ascii="仿宋_GB2312" w:eastAsia="仿宋_GB2312"/>
          <w:b w:val="0"/>
          <w:bCs w:val="0"/>
          <w:sz w:val="32"/>
          <w:szCs w:val="32"/>
        </w:rPr>
        <w:t>12.教育支出（205类）教育费附加安排支出（09款）农村中小学校舍建设（01项）：</w:t>
      </w:r>
      <w:r>
        <w:rPr>
          <w:rFonts w:eastAsia="仿宋_GB2312"/>
          <w:b w:val="0"/>
          <w:bCs w:val="0"/>
          <w:sz w:val="32"/>
          <w:szCs w:val="32"/>
        </w:rPr>
        <w:t>指反映</w:t>
      </w:r>
      <w:r>
        <w:rPr>
          <w:rFonts w:hint="eastAsia" w:eastAsia="仿宋_GB2312"/>
          <w:b w:val="0"/>
          <w:bCs w:val="0"/>
          <w:sz w:val="32"/>
          <w:szCs w:val="32"/>
        </w:rPr>
        <w:t>教育费附加安排用于农村中小学校舍新建、改建、修缮和维护的支出。</w:t>
      </w:r>
    </w:p>
    <w:p w14:paraId="589CDF78">
      <w:pPr>
        <w:ind w:firstLine="640" w:firstLineChars="200"/>
        <w:rPr>
          <w:rFonts w:ascii="仿宋_GB2312" w:eastAsia="仿宋_GB2312"/>
          <w:b w:val="0"/>
          <w:bCs w:val="0"/>
          <w:sz w:val="32"/>
          <w:szCs w:val="32"/>
        </w:rPr>
      </w:pPr>
      <w:r>
        <w:rPr>
          <w:rFonts w:hint="eastAsia" w:ascii="仿宋_GB2312" w:eastAsia="仿宋_GB2312"/>
          <w:b w:val="0"/>
          <w:bCs w:val="0"/>
          <w:sz w:val="32"/>
          <w:szCs w:val="32"/>
        </w:rPr>
        <w:t>13.教育支出（205类）教育费附加安排支出（09款）农村中小学教学设施（02项）：</w:t>
      </w:r>
      <w:r>
        <w:rPr>
          <w:rFonts w:eastAsia="仿宋_GB2312"/>
          <w:b w:val="0"/>
          <w:bCs w:val="0"/>
          <w:sz w:val="32"/>
          <w:szCs w:val="32"/>
        </w:rPr>
        <w:t>指</w:t>
      </w:r>
      <w:r>
        <w:rPr>
          <w:rFonts w:hint="eastAsia" w:eastAsia="仿宋_GB2312"/>
          <w:b w:val="0"/>
          <w:bCs w:val="0"/>
          <w:sz w:val="32"/>
          <w:szCs w:val="32"/>
        </w:rPr>
        <w:t>反映教育费附加安排用于改善农村中小学教学设施和办学条件的支出。</w:t>
      </w:r>
    </w:p>
    <w:p w14:paraId="476CC7CE">
      <w:pPr>
        <w:ind w:firstLine="640" w:firstLineChars="200"/>
        <w:rPr>
          <w:rFonts w:ascii="仿宋_GB2312" w:eastAsia="仿宋_GB2312"/>
          <w:b w:val="0"/>
          <w:bCs w:val="0"/>
          <w:sz w:val="32"/>
          <w:szCs w:val="32"/>
        </w:rPr>
      </w:pPr>
      <w:r>
        <w:rPr>
          <w:rFonts w:hint="eastAsia" w:ascii="仿宋_GB2312" w:eastAsia="仿宋_GB2312"/>
          <w:b w:val="0"/>
          <w:bCs w:val="0"/>
          <w:sz w:val="32"/>
          <w:szCs w:val="32"/>
        </w:rPr>
        <w:t>14.社会保障和就业支出（208类）行政事业单位养老支出（05款）事业单位离退休（02项）：指反映事业单位开支的离退休经费。</w:t>
      </w:r>
    </w:p>
    <w:p w14:paraId="54CB0500">
      <w:pPr>
        <w:ind w:firstLine="640" w:firstLineChars="200"/>
        <w:rPr>
          <w:rFonts w:ascii="仿宋_GB2312" w:eastAsia="仿宋_GB2312"/>
          <w:b w:val="0"/>
          <w:bCs w:val="0"/>
          <w:sz w:val="32"/>
          <w:szCs w:val="32"/>
        </w:rPr>
      </w:pPr>
      <w:r>
        <w:rPr>
          <w:rFonts w:hint="eastAsia" w:ascii="仿宋_GB2312" w:eastAsia="仿宋_GB2312"/>
          <w:b w:val="0"/>
          <w:bCs w:val="0"/>
          <w:sz w:val="32"/>
          <w:szCs w:val="32"/>
        </w:rPr>
        <w:t>15.社会保障和就业支出（208类）行政事业单位养老支出（05款）机关事业单位基本养老保险缴费支出（05项）：指反映机关事业单位实施养老保险制度由单位缴纳的基本养老保险费支出。</w:t>
      </w:r>
    </w:p>
    <w:p w14:paraId="7530A6CA">
      <w:pPr>
        <w:ind w:firstLine="640" w:firstLineChars="200"/>
        <w:rPr>
          <w:rFonts w:ascii="仿宋_GB2312" w:eastAsia="仿宋_GB2312"/>
          <w:b w:val="0"/>
          <w:bCs w:val="0"/>
          <w:sz w:val="32"/>
          <w:szCs w:val="32"/>
        </w:rPr>
      </w:pPr>
      <w:r>
        <w:rPr>
          <w:rFonts w:hint="eastAsia" w:ascii="仿宋_GB2312" w:eastAsia="仿宋_GB2312"/>
          <w:b w:val="0"/>
          <w:bCs w:val="0"/>
          <w:sz w:val="32"/>
          <w:szCs w:val="32"/>
        </w:rPr>
        <w:t>16.社会保障和就业支出（208类）行政事业单位养老支出（05款）机关事业单位职业年金缴费支出（06项）：指反映机关事业单位实施养老保险制度由单位实际缴纳的职业年金支出。</w:t>
      </w:r>
    </w:p>
    <w:p w14:paraId="388719ED">
      <w:pPr>
        <w:ind w:firstLine="640" w:firstLineChars="200"/>
        <w:rPr>
          <w:rFonts w:ascii="仿宋_GB2312" w:eastAsia="仿宋_GB2312"/>
          <w:b w:val="0"/>
          <w:bCs w:val="0"/>
          <w:sz w:val="32"/>
          <w:szCs w:val="32"/>
        </w:rPr>
      </w:pPr>
      <w:r>
        <w:rPr>
          <w:rFonts w:hint="eastAsia" w:ascii="仿宋_GB2312" w:eastAsia="仿宋_GB2312"/>
          <w:b w:val="0"/>
          <w:bCs w:val="0"/>
          <w:sz w:val="32"/>
          <w:szCs w:val="32"/>
        </w:rPr>
        <w:t>17.卫生健康支出（210类）行政事业单位医疗（11款）事业单位医疗（02项）：指反映财政部门安排的事业单位基本医疗保险缴费经费，未参加医疗保险的事业单位的公费医疗经费，按国家规定享受离休人员待遇的医疗经费。</w:t>
      </w:r>
    </w:p>
    <w:p w14:paraId="773E6912">
      <w:pPr>
        <w:ind w:firstLine="640" w:firstLineChars="200"/>
        <w:rPr>
          <w:rFonts w:ascii="仿宋_GB2312" w:eastAsia="仿宋_GB2312"/>
          <w:b w:val="0"/>
          <w:bCs w:val="0"/>
          <w:sz w:val="32"/>
          <w:szCs w:val="32"/>
        </w:rPr>
      </w:pPr>
      <w:r>
        <w:rPr>
          <w:rFonts w:hint="eastAsia" w:ascii="仿宋_GB2312" w:eastAsia="仿宋_GB2312"/>
          <w:b w:val="0"/>
          <w:bCs w:val="0"/>
          <w:sz w:val="32"/>
          <w:szCs w:val="32"/>
        </w:rPr>
        <w:t>18.卫生健康支出（210类）行政事业单位医疗（11款）其他行政事业单位医疗支出（99项）：指反映除上述项目以外的其他用于行政事业单位医疗方面的支出。</w:t>
      </w:r>
    </w:p>
    <w:p w14:paraId="3B22338B">
      <w:pPr>
        <w:ind w:firstLine="640" w:firstLineChars="200"/>
        <w:rPr>
          <w:rFonts w:ascii="仿宋_GB2312" w:eastAsia="仿宋_GB2312"/>
          <w:b w:val="0"/>
          <w:bCs w:val="0"/>
          <w:sz w:val="32"/>
          <w:szCs w:val="32"/>
        </w:rPr>
      </w:pPr>
      <w:r>
        <w:rPr>
          <w:rFonts w:hint="eastAsia" w:ascii="仿宋_GB2312" w:eastAsia="仿宋_GB2312"/>
          <w:b w:val="0"/>
          <w:bCs w:val="0"/>
          <w:sz w:val="32"/>
          <w:szCs w:val="32"/>
        </w:rPr>
        <w:t>19.住房保障支出（221类）住房改革支出（02款）住房公积金（01项）：指反映行政事业单位按人力资源和社会保障部、财政部规定的基本工资和津贴补贴以及规定比例为职工缴纳的住房公积金。</w:t>
      </w:r>
    </w:p>
    <w:p w14:paraId="2505A5BA">
      <w:pPr>
        <w:ind w:firstLine="640" w:firstLineChars="200"/>
        <w:rPr>
          <w:rFonts w:ascii="仿宋_GB2312" w:eastAsia="仿宋_GB2312"/>
          <w:b w:val="0"/>
          <w:bCs w:val="0"/>
          <w:sz w:val="32"/>
          <w:szCs w:val="32"/>
        </w:rPr>
      </w:pPr>
      <w:r>
        <w:rPr>
          <w:rFonts w:hint="eastAsia" w:ascii="仿宋_GB2312" w:eastAsia="仿宋_GB2312"/>
          <w:b w:val="0"/>
          <w:bCs w:val="0"/>
          <w:sz w:val="32"/>
          <w:szCs w:val="32"/>
        </w:rPr>
        <w:t>20.基本支出：指为保障机构正常运转、完成日常工作任务而发生的人员支出和公用支出。</w:t>
      </w:r>
    </w:p>
    <w:p w14:paraId="7F52B27F">
      <w:pPr>
        <w:ind w:firstLine="640" w:firstLineChars="200"/>
        <w:rPr>
          <w:rFonts w:ascii="仿宋_GB2312" w:eastAsia="仿宋_GB2312"/>
          <w:b w:val="0"/>
          <w:bCs w:val="0"/>
          <w:sz w:val="32"/>
          <w:szCs w:val="32"/>
        </w:rPr>
      </w:pPr>
      <w:r>
        <w:rPr>
          <w:rFonts w:hint="eastAsia" w:ascii="仿宋_GB2312" w:eastAsia="仿宋_GB2312"/>
          <w:b w:val="0"/>
          <w:bCs w:val="0"/>
          <w:sz w:val="32"/>
          <w:szCs w:val="32"/>
        </w:rPr>
        <w:t xml:space="preserve">21.项目支出：指在基本支出之外为完成特定行政任务和事业发展目标所发生的支出。 </w:t>
      </w:r>
    </w:p>
    <w:p w14:paraId="27AB4E30">
      <w:pPr>
        <w:ind w:firstLine="640" w:firstLineChars="200"/>
        <w:rPr>
          <w:rFonts w:ascii="仿宋_GB2312" w:eastAsia="仿宋_GB2312"/>
          <w:b w:val="0"/>
          <w:bCs w:val="0"/>
          <w:sz w:val="32"/>
          <w:szCs w:val="32"/>
        </w:rPr>
      </w:pPr>
      <w:r>
        <w:rPr>
          <w:rFonts w:hint="eastAsia" w:ascii="仿宋_GB2312" w:eastAsia="仿宋_GB2312"/>
          <w:b w:val="0"/>
          <w:bCs w:val="0"/>
          <w:sz w:val="32"/>
          <w:szCs w:val="32"/>
        </w:rPr>
        <w:t>22.经营支出：指事业单位在专业业务活动及其辅助活动之外开展非独立核算经营活动发生的支出。</w:t>
      </w:r>
    </w:p>
    <w:p w14:paraId="4ABDF27B">
      <w:pPr>
        <w:ind w:firstLine="640" w:firstLineChars="200"/>
        <w:rPr>
          <w:rFonts w:ascii="仿宋_GB2312" w:eastAsia="仿宋_GB2312"/>
          <w:b w:val="0"/>
          <w:bCs w:val="0"/>
          <w:sz w:val="32"/>
          <w:szCs w:val="32"/>
        </w:rPr>
      </w:pPr>
      <w:r>
        <w:rPr>
          <w:rFonts w:hint="eastAsia" w:ascii="仿宋_GB2312" w:eastAsia="仿宋_GB2312"/>
          <w:b w:val="0"/>
          <w:bCs w:val="0"/>
          <w:sz w:val="32"/>
          <w:szCs w:val="32"/>
        </w:rPr>
        <w:t>23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B52849F">
      <w:pPr>
        <w:ind w:firstLine="640" w:firstLineChars="200"/>
        <w:rPr>
          <w:rFonts w:ascii="仿宋_GB2312" w:eastAsia="仿宋_GB2312"/>
          <w:b w:val="0"/>
          <w:bCs w:val="0"/>
          <w:sz w:val="32"/>
          <w:szCs w:val="32"/>
        </w:rPr>
      </w:pPr>
      <w:r>
        <w:rPr>
          <w:rFonts w:hint="eastAsia" w:ascii="仿宋_GB2312" w:eastAsia="仿宋_GB2312"/>
          <w:b w:val="0"/>
          <w:bCs w:val="0"/>
          <w:sz w:val="32"/>
          <w:szCs w:val="32"/>
        </w:rPr>
        <w:t>24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543DD5D">
      <w:pPr>
        <w:pageBreakBefore w:val="0"/>
        <w:kinsoku/>
        <w:wordWrap/>
        <w:overflowPunct/>
        <w:topLinePunct w:val="0"/>
        <w:autoSpaceDE/>
        <w:autoSpaceDN/>
        <w:bidi w:val="0"/>
        <w:spacing w:line="560" w:lineRule="exact"/>
        <w:textAlignment w:val="auto"/>
        <w:rPr>
          <w:rFonts w:hint="eastAsia" w:ascii="黑体" w:hAnsi="黑体" w:eastAsia="黑体"/>
          <w:color w:val="000000" w:themeColor="text1"/>
          <w:sz w:val="32"/>
          <w:szCs w:val="32"/>
          <w:lang w:eastAsia="zh-CN"/>
        </w:rPr>
      </w:pPr>
      <w:r>
        <w:rPr>
          <w:rFonts w:ascii="仿宋" w:hAnsi="仿宋" w:eastAsia="仿宋"/>
          <w:b/>
          <w:sz w:val="32"/>
          <w:szCs w:val="32"/>
        </w:rPr>
        <w:br w:type="page"/>
      </w:r>
    </w:p>
    <w:p w14:paraId="0CB1101D">
      <w:pPr>
        <w:ind w:firstLine="880" w:firstLineChars="200"/>
        <w:jc w:val="center"/>
        <w:rPr>
          <w:rFonts w:ascii="仿宋" w:hAnsi="仿宋" w:eastAsia="仿宋"/>
          <w:b/>
          <w:color w:val="000000" w:themeColor="text1"/>
          <w:sz w:val="44"/>
          <w:szCs w:val="44"/>
        </w:rPr>
      </w:pPr>
      <w:r>
        <w:rPr>
          <w:rFonts w:hint="eastAsia" w:ascii="黑体" w:hAnsi="黑体" w:eastAsia="黑体"/>
          <w:color w:val="000000" w:themeColor="text1"/>
          <w:sz w:val="44"/>
          <w:szCs w:val="44"/>
        </w:rPr>
        <w:t>第四部分 附件</w:t>
      </w:r>
    </w:p>
    <w:p w14:paraId="05DBA135">
      <w:pPr>
        <w:widowControl/>
        <w:spacing w:line="578" w:lineRule="exact"/>
        <w:contextualSpacing/>
        <w:jc w:val="both"/>
        <w:rPr>
          <w:rFonts w:eastAsia="方正小标宋简体"/>
          <w:bCs/>
          <w:color w:val="000000" w:themeColor="text1"/>
          <w:sz w:val="44"/>
          <w:szCs w:val="44"/>
          <w:shd w:val="clear" w:color="auto" w:fill="FFFFFF"/>
        </w:rPr>
      </w:pPr>
      <w:r>
        <w:rPr>
          <w:rFonts w:hint="eastAsia" w:ascii="黑体" w:hAnsi="黑体" w:eastAsia="黑体"/>
          <w:color w:val="000000" w:themeColor="text1"/>
          <w:sz w:val="32"/>
          <w:szCs w:val="32"/>
        </w:rPr>
        <w:t>附件</w:t>
      </w:r>
      <w:r>
        <w:rPr>
          <w:rFonts w:hint="eastAsia" w:ascii="黑体" w:hAnsi="黑体" w:eastAsia="黑体"/>
          <w:color w:val="000000" w:themeColor="text1"/>
          <w:sz w:val="32"/>
          <w:szCs w:val="32"/>
          <w:lang w:val="en-US" w:eastAsia="zh-CN"/>
        </w:rPr>
        <w:t>1</w:t>
      </w:r>
    </w:p>
    <w:p w14:paraId="5DC6AAB2">
      <w:pPr>
        <w:widowControl/>
        <w:spacing w:line="578" w:lineRule="exact"/>
        <w:contextualSpacing/>
        <w:jc w:val="center"/>
        <w:rPr>
          <w:rFonts w:eastAsia="方正小标宋简体"/>
          <w:bCs/>
          <w:color w:val="000000" w:themeColor="text1"/>
          <w:sz w:val="44"/>
          <w:szCs w:val="44"/>
          <w:shd w:val="clear" w:color="auto" w:fill="FFFFFF"/>
        </w:rPr>
      </w:pPr>
      <w:r>
        <w:rPr>
          <w:rFonts w:eastAsia="方正小标宋简体"/>
          <w:bCs/>
          <w:color w:val="000000" w:themeColor="text1"/>
          <w:sz w:val="44"/>
          <w:szCs w:val="44"/>
          <w:shd w:val="clear" w:color="auto" w:fill="FFFFFF"/>
        </w:rPr>
        <w:t>部门预算绩效</w:t>
      </w:r>
      <w:r>
        <w:rPr>
          <w:rFonts w:hint="eastAsia" w:eastAsia="方正小标宋简体"/>
          <w:bCs/>
          <w:color w:val="000000" w:themeColor="text1"/>
          <w:sz w:val="44"/>
          <w:szCs w:val="44"/>
          <w:shd w:val="clear" w:color="auto" w:fill="FFFFFF"/>
        </w:rPr>
        <w:t>评价</w:t>
      </w:r>
      <w:r>
        <w:rPr>
          <w:rFonts w:eastAsia="方正小标宋简体"/>
          <w:bCs/>
          <w:color w:val="000000" w:themeColor="text1"/>
          <w:sz w:val="44"/>
          <w:szCs w:val="44"/>
          <w:shd w:val="clear" w:color="auto" w:fill="FFFFFF"/>
        </w:rPr>
        <w:t>报告</w:t>
      </w:r>
    </w:p>
    <w:p w14:paraId="09731829">
      <w:pPr>
        <w:widowControl/>
        <w:adjustRightInd w:val="0"/>
        <w:snapToGrid w:val="0"/>
        <w:spacing w:line="580" w:lineRule="exact"/>
        <w:ind w:firstLine="640" w:firstLineChars="200"/>
        <w:contextualSpacing/>
        <w:jc w:val="left"/>
        <w:rPr>
          <w:rFonts w:eastAsia="黑体"/>
          <w:color w:val="000000" w:themeColor="text1"/>
          <w:kern w:val="0"/>
          <w:sz w:val="32"/>
          <w:szCs w:val="32"/>
          <w:shd w:val="clear" w:color="auto" w:fill="FFFFFF"/>
          <w:lang w:val="zh-CN"/>
        </w:rPr>
      </w:pPr>
      <w:r>
        <w:rPr>
          <w:rFonts w:eastAsia="黑体"/>
          <w:color w:val="000000" w:themeColor="text1"/>
          <w:kern w:val="0"/>
          <w:sz w:val="32"/>
          <w:szCs w:val="32"/>
          <w:shd w:val="clear" w:color="auto" w:fill="FFFFFF"/>
        </w:rPr>
        <w:t>一、</w:t>
      </w:r>
      <w:r>
        <w:rPr>
          <w:rFonts w:eastAsia="黑体"/>
          <w:color w:val="000000" w:themeColor="text1"/>
          <w:kern w:val="0"/>
          <w:sz w:val="32"/>
          <w:szCs w:val="32"/>
          <w:shd w:val="clear" w:color="auto" w:fill="FFFFFF"/>
          <w:lang w:val="zh-CN"/>
        </w:rPr>
        <w:t>部门概况</w:t>
      </w:r>
    </w:p>
    <w:p w14:paraId="60503568">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themeColor="text1"/>
          <w:kern w:val="0"/>
          <w:sz w:val="32"/>
          <w:szCs w:val="32"/>
          <w:shd w:val="clear" w:color="auto" w:fill="FFFFFF"/>
          <w:lang w:val="zh-CN"/>
        </w:rPr>
      </w:pPr>
      <w:r>
        <w:rPr>
          <w:rFonts w:hint="eastAsia" w:ascii="楷体_GB2312" w:hAnsi="楷体_GB2312" w:eastAsia="楷体_GB2312" w:cs="楷体_GB2312"/>
          <w:color w:val="000000" w:themeColor="text1"/>
          <w:kern w:val="0"/>
          <w:sz w:val="32"/>
          <w:szCs w:val="32"/>
          <w:shd w:val="clear" w:color="auto" w:fill="FFFFFF"/>
          <w:lang w:val="zh-CN"/>
        </w:rPr>
        <w:t>（一）机构组成。</w:t>
      </w:r>
    </w:p>
    <w:p w14:paraId="7DC6D602">
      <w:pPr>
        <w:ind w:firstLine="800" w:firstLineChars="25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盐边县中学校下属二级预算单位1个，其中行政单位0个，参照公务员法管理的事业单位</w:t>
      </w:r>
      <w:r>
        <w:rPr>
          <w:rFonts w:hint="eastAsia" w:ascii="仿宋_GB2312" w:hAnsi="仿宋_GB2312" w:eastAsia="仿宋_GB2312" w:cs="仿宋_GB2312"/>
          <w:bCs/>
          <w:color w:val="000000" w:themeColor="text1"/>
          <w:sz w:val="32"/>
          <w:szCs w:val="32"/>
        </w:rPr>
        <w:t>0</w:t>
      </w:r>
      <w:r>
        <w:rPr>
          <w:rFonts w:hint="eastAsia" w:ascii="仿宋_GB2312" w:hAnsi="仿宋_GB2312" w:eastAsia="仿宋_GB2312" w:cs="仿宋_GB2312"/>
          <w:color w:val="000000" w:themeColor="text1"/>
          <w:sz w:val="32"/>
          <w:szCs w:val="32"/>
        </w:rPr>
        <w:t>个，其他事业单位0个。</w:t>
      </w:r>
    </w:p>
    <w:p w14:paraId="0120B26A">
      <w:pPr>
        <w:pStyle w:val="7"/>
        <w:adjustRightInd w:val="0"/>
        <w:snapToGrid w:val="0"/>
        <w:spacing w:before="93" w:line="600" w:lineRule="exact"/>
        <w:ind w:firstLine="672" w:firstLineChars="21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纳入</w:t>
      </w:r>
      <w:r>
        <w:rPr>
          <w:rFonts w:hint="eastAsia" w:ascii="仿宋_GB2312" w:hAnsi="仿宋_GB2312" w:eastAsia="仿宋_GB2312" w:cs="仿宋_GB2312"/>
          <w:color w:val="000000" w:themeColor="text1"/>
          <w:kern w:val="2"/>
          <w:sz w:val="32"/>
          <w:szCs w:val="32"/>
        </w:rPr>
        <w:t>盐边县中学校</w:t>
      </w:r>
      <w:r>
        <w:rPr>
          <w:rFonts w:hint="eastAsia" w:ascii="仿宋_GB2312" w:hAnsi="仿宋_GB2312" w:eastAsia="仿宋_GB2312" w:cs="仿宋_GB2312"/>
          <w:color w:val="000000" w:themeColor="text1"/>
          <w:sz w:val="32"/>
          <w:szCs w:val="32"/>
        </w:rPr>
        <w:t>2023年度部门决算编制范围的二级预算单位是：盐边县中学校</w:t>
      </w:r>
    </w:p>
    <w:p w14:paraId="02EC5DE0">
      <w:pPr>
        <w:pStyle w:val="7"/>
        <w:suppressAutoHyphens/>
        <w:adjustRightInd w:val="0"/>
        <w:snapToGrid w:val="0"/>
        <w:spacing w:beforeLines="0" w:after="140" w:line="560" w:lineRule="exact"/>
        <w:ind w:firstLine="320" w:firstLineChars="100"/>
        <w:outlineLvl w:val="2"/>
        <w:rPr>
          <w:rFonts w:hint="eastAsia" w:ascii="楷体_GB2312" w:hAnsi="楷体_GB2312" w:eastAsia="楷体_GB2312" w:cs="楷体_GB2312"/>
          <w:color w:val="000000" w:themeColor="text1"/>
          <w:sz w:val="32"/>
          <w:szCs w:val="32"/>
          <w:shd w:val="clear" w:color="auto" w:fill="FFFFFF"/>
          <w:lang w:val="zh-CN"/>
        </w:rPr>
      </w:pPr>
      <w:r>
        <w:rPr>
          <w:rFonts w:hint="eastAsia" w:ascii="楷体_GB2312" w:hAnsi="楷体_GB2312" w:eastAsia="楷体_GB2312" w:cs="楷体_GB2312"/>
          <w:color w:val="000000" w:themeColor="text1"/>
          <w:sz w:val="32"/>
          <w:szCs w:val="32"/>
          <w:shd w:val="clear" w:color="auto" w:fill="FFFFFF"/>
          <w:lang w:val="zh-CN"/>
        </w:rPr>
        <w:t>（二）机构职能。</w:t>
      </w:r>
    </w:p>
    <w:p w14:paraId="75B8F6EF">
      <w:pPr>
        <w:ind w:firstLine="480" w:firstLineChars="15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盐边县中学校是经盐边县机构编制委员会批准成立的独立法人机构，是经费独立核算单位，学校的主要工作职能是：实施高中学历教育，促进基础教育发展，进行高中学历教育等相关社会服务。</w:t>
      </w:r>
    </w:p>
    <w:p w14:paraId="78EDBDA2">
      <w:pPr>
        <w:pStyle w:val="7"/>
        <w:spacing w:before="93"/>
        <w:ind w:firstLine="640" w:firstLineChars="200"/>
        <w:rPr>
          <w:rFonts w:hint="eastAsia" w:ascii="黑体" w:hAnsi="黑体" w:eastAsia="黑体" w:cs="黑体"/>
          <w:color w:val="000000" w:themeColor="text1"/>
          <w:sz w:val="32"/>
          <w:szCs w:val="32"/>
          <w:shd w:val="clear" w:color="auto" w:fill="FFFFFF"/>
        </w:rPr>
      </w:pPr>
      <w:r>
        <w:rPr>
          <w:rFonts w:hint="eastAsia" w:ascii="黑体" w:hAnsi="黑体" w:eastAsia="黑体" w:cs="黑体"/>
          <w:color w:val="000000" w:themeColor="text1"/>
          <w:sz w:val="32"/>
          <w:szCs w:val="32"/>
          <w:shd w:val="clear" w:color="auto" w:fill="FFFFFF"/>
        </w:rPr>
        <w:t>二、部门财政资金收支情况</w:t>
      </w:r>
    </w:p>
    <w:p w14:paraId="38F5C921">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themeColor="text1"/>
          <w:kern w:val="0"/>
          <w:sz w:val="32"/>
          <w:szCs w:val="32"/>
          <w:shd w:val="clear" w:color="auto" w:fill="FFFFFF"/>
          <w:lang w:val="zh-CN"/>
        </w:rPr>
      </w:pPr>
      <w:r>
        <w:rPr>
          <w:rFonts w:hint="eastAsia" w:ascii="楷体_GB2312" w:hAnsi="楷体_GB2312" w:eastAsia="楷体_GB2312" w:cs="楷体_GB2312"/>
          <w:color w:val="000000" w:themeColor="text1"/>
          <w:kern w:val="0"/>
          <w:sz w:val="32"/>
          <w:szCs w:val="32"/>
          <w:shd w:val="clear" w:color="auto" w:fill="FFFFFF"/>
          <w:lang w:val="zh-CN"/>
        </w:rPr>
        <w:t>（一）部门财政资金收入情况。</w:t>
      </w:r>
    </w:p>
    <w:p w14:paraId="41316482">
      <w:pPr>
        <w:spacing w:line="600" w:lineRule="exact"/>
        <w:ind w:firstLine="640" w:firstLineChars="200"/>
        <w:outlineLvl w:val="1"/>
        <w:rPr>
          <w:rFonts w:hint="eastAsia" w:ascii="仿宋_GB2312" w:hAnsi="仿宋_GB2312" w:eastAsia="仿宋_GB2312" w:cs="仿宋_GB2312"/>
          <w:color w:val="000000" w:themeColor="text1"/>
          <w:lang w:val="zh-CN"/>
        </w:rPr>
      </w:pPr>
      <w:bookmarkStart w:id="51" w:name="_Toc13563"/>
      <w:bookmarkStart w:id="52" w:name="_Toc12820"/>
      <w:r>
        <w:rPr>
          <w:rFonts w:hint="eastAsia" w:ascii="仿宋_GB2312" w:hAnsi="仿宋_GB2312" w:eastAsia="仿宋_GB2312" w:cs="仿宋_GB2312"/>
          <w:color w:val="000000" w:themeColor="text1"/>
          <w:sz w:val="32"/>
          <w:szCs w:val="32"/>
        </w:rPr>
        <w:t>2023年本年收入合计</w:t>
      </w:r>
      <w:r>
        <w:rPr>
          <w:rFonts w:hint="eastAsia" w:ascii="仿宋_GB2312" w:hAnsi="仿宋_GB2312" w:eastAsia="仿宋_GB2312" w:cs="仿宋_GB2312"/>
          <w:sz w:val="32"/>
          <w:szCs w:val="32"/>
        </w:rPr>
        <w:t>5811.51</w:t>
      </w:r>
      <w:r>
        <w:rPr>
          <w:rFonts w:hint="eastAsia" w:ascii="仿宋_GB2312" w:hAnsi="仿宋_GB2312" w:eastAsia="仿宋_GB2312" w:cs="仿宋_GB2312"/>
          <w:color w:val="000000" w:themeColor="text1"/>
          <w:sz w:val="32"/>
          <w:szCs w:val="32"/>
        </w:rPr>
        <w:t>元，其中：一般公共预算财政拨款收入</w:t>
      </w:r>
      <w:r>
        <w:rPr>
          <w:rFonts w:hint="eastAsia" w:ascii="仿宋_GB2312" w:hAnsi="仿宋_GB2312" w:eastAsia="仿宋_GB2312" w:cs="仿宋_GB2312"/>
          <w:sz w:val="32"/>
          <w:szCs w:val="32"/>
        </w:rPr>
        <w:t>5125.98</w:t>
      </w:r>
      <w:r>
        <w:rPr>
          <w:rFonts w:hint="eastAsia" w:ascii="仿宋_GB2312" w:hAnsi="仿宋_GB2312" w:eastAsia="仿宋_GB2312" w:cs="仿宋_GB2312"/>
          <w:color w:val="000000" w:themeColor="text1"/>
          <w:sz w:val="32"/>
          <w:szCs w:val="32"/>
        </w:rPr>
        <w:t>万元，占88.2%；政府性基金预算财政拨款收入0万元，占0%；事业收入685.53万元，占11.8%。</w:t>
      </w:r>
      <w:bookmarkEnd w:id="51"/>
      <w:bookmarkEnd w:id="52"/>
    </w:p>
    <w:p w14:paraId="52CA1281">
      <w:pPr>
        <w:widowControl/>
        <w:numPr>
          <w:ilvl w:val="0"/>
          <w:numId w:val="3"/>
        </w:numPr>
        <w:suppressAutoHyphens/>
        <w:adjustRightInd w:val="0"/>
        <w:snapToGrid w:val="0"/>
        <w:spacing w:line="580" w:lineRule="exact"/>
        <w:ind w:firstLine="640" w:firstLineChars="200"/>
        <w:contextualSpacing/>
        <w:jc w:val="left"/>
        <w:rPr>
          <w:rFonts w:hint="eastAsia" w:ascii="楷体_GB2312" w:hAnsi="楷体_GB2312" w:eastAsia="楷体_GB2312" w:cs="楷体_GB2312"/>
          <w:color w:val="000000" w:themeColor="text1"/>
          <w:kern w:val="0"/>
          <w:sz w:val="32"/>
          <w:szCs w:val="32"/>
          <w:shd w:val="clear" w:color="auto" w:fill="FFFFFF"/>
          <w:lang w:val="zh-CN"/>
        </w:rPr>
      </w:pPr>
      <w:r>
        <w:rPr>
          <w:rFonts w:hint="eastAsia" w:ascii="楷体_GB2312" w:hAnsi="楷体_GB2312" w:eastAsia="楷体_GB2312" w:cs="楷体_GB2312"/>
          <w:color w:val="000000" w:themeColor="text1"/>
          <w:kern w:val="0"/>
          <w:sz w:val="32"/>
          <w:szCs w:val="32"/>
          <w:shd w:val="clear" w:color="auto" w:fill="FFFFFF"/>
          <w:lang w:val="zh-CN"/>
        </w:rPr>
        <w:t>部门财政资金支出情况。</w:t>
      </w:r>
    </w:p>
    <w:p w14:paraId="0EA37369">
      <w:pPr>
        <w:spacing w:line="600" w:lineRule="exact"/>
        <w:ind w:firstLine="640" w:firstLineChars="200"/>
        <w:outlineLvl w:val="1"/>
        <w:rPr>
          <w:rFonts w:hint="eastAsia" w:ascii="仿宋_GB2312" w:hAnsi="仿宋_GB2312" w:eastAsia="仿宋_GB2312" w:cs="仿宋_GB2312"/>
          <w:color w:val="000000" w:themeColor="text1"/>
          <w:sz w:val="32"/>
          <w:szCs w:val="32"/>
        </w:rPr>
      </w:pPr>
      <w:bookmarkStart w:id="53" w:name="_Toc24260"/>
      <w:bookmarkStart w:id="54" w:name="_Toc10826"/>
      <w:r>
        <w:rPr>
          <w:rFonts w:hint="eastAsia" w:ascii="仿宋_GB2312" w:hAnsi="仿宋_GB2312" w:eastAsia="仿宋_GB2312" w:cs="仿宋_GB2312"/>
          <w:color w:val="000000" w:themeColor="text1"/>
          <w:sz w:val="32"/>
          <w:szCs w:val="32"/>
        </w:rPr>
        <w:t>2023年本年支出合计5811.51万元，其中：基本支出4,373.09万元，占75.25%；项目支出1,438.42万元，占24.75%。</w:t>
      </w:r>
      <w:bookmarkEnd w:id="53"/>
      <w:bookmarkEnd w:id="54"/>
    </w:p>
    <w:p w14:paraId="01D7F704">
      <w:pPr>
        <w:widowControl/>
        <w:adjustRightInd w:val="0"/>
        <w:snapToGrid w:val="0"/>
        <w:spacing w:line="580" w:lineRule="exact"/>
        <w:ind w:firstLine="640" w:firstLineChars="200"/>
        <w:contextualSpacing/>
        <w:jc w:val="left"/>
        <w:rPr>
          <w:rFonts w:eastAsia="黑体"/>
          <w:color w:val="000000" w:themeColor="text1"/>
          <w:kern w:val="0"/>
          <w:sz w:val="32"/>
          <w:szCs w:val="32"/>
          <w:shd w:val="clear" w:color="auto" w:fill="FFFFFF"/>
        </w:rPr>
      </w:pPr>
      <w:r>
        <w:rPr>
          <w:rFonts w:eastAsia="黑体"/>
          <w:color w:val="000000" w:themeColor="text1"/>
          <w:kern w:val="0"/>
          <w:sz w:val="32"/>
          <w:szCs w:val="32"/>
          <w:shd w:val="clear" w:color="auto" w:fill="FFFFFF"/>
        </w:rPr>
        <w:t>三、部门整体预算绩效管理情况</w:t>
      </w:r>
    </w:p>
    <w:p w14:paraId="7DD53CFB">
      <w:pPr>
        <w:widowControl/>
        <w:adjustRightInd w:val="0"/>
        <w:snapToGrid w:val="0"/>
        <w:spacing w:line="560" w:lineRule="exact"/>
        <w:ind w:firstLine="640" w:firstLineChars="200"/>
        <w:contextualSpacing/>
        <w:jc w:val="left"/>
        <w:rPr>
          <w:rFonts w:hint="eastAsia" w:ascii="楷体_GB2312" w:hAnsi="楷体_GB2312" w:eastAsia="楷体_GB2312" w:cs="楷体_GB2312"/>
          <w:color w:val="000000" w:themeColor="text1"/>
          <w:kern w:val="0"/>
          <w:sz w:val="32"/>
          <w:szCs w:val="32"/>
          <w:shd w:val="clear" w:color="auto" w:fill="FFFFFF"/>
          <w:lang w:val="zh-CN"/>
        </w:rPr>
      </w:pPr>
      <w:r>
        <w:rPr>
          <w:rFonts w:hint="eastAsia" w:ascii="楷体_GB2312" w:hAnsi="楷体_GB2312" w:eastAsia="楷体_GB2312" w:cs="楷体_GB2312"/>
          <w:color w:val="000000" w:themeColor="text1"/>
          <w:kern w:val="0"/>
          <w:sz w:val="32"/>
          <w:szCs w:val="32"/>
          <w:shd w:val="clear" w:color="auto" w:fill="FFFFFF"/>
          <w:lang w:val="zh-CN"/>
        </w:rPr>
        <w:t>（一）部门预算项目绩效管理。</w:t>
      </w:r>
    </w:p>
    <w:p w14:paraId="1C307532">
      <w:pPr>
        <w:keepNext w:val="0"/>
        <w:keepLines w:val="0"/>
        <w:pageBreakBefore w:val="0"/>
        <w:kinsoku/>
        <w:wordWrap/>
        <w:overflowPunct/>
        <w:topLinePunct w:val="0"/>
        <w:autoSpaceDE/>
        <w:autoSpaceDN/>
        <w:bidi w:val="0"/>
        <w:spacing w:line="560" w:lineRule="exact"/>
        <w:ind w:firstLine="420" w:firstLineChars="200"/>
        <w:textAlignment w:val="auto"/>
        <w:rPr>
          <w:rFonts w:hint="eastAsia" w:ascii="仿宋_GB2312" w:hAnsi="Times New Roman" w:eastAsia="仿宋_GB2312" w:cs="Times New Roman"/>
          <w:sz w:val="32"/>
          <w:szCs w:val="32"/>
          <w:lang w:val="zh-CN"/>
        </w:rPr>
      </w:pPr>
      <w:r>
        <w:rPr>
          <w:rFonts w:hint="eastAsia"/>
          <w:color w:val="000000" w:themeColor="text1"/>
          <w:lang w:val="zh-CN"/>
        </w:rPr>
        <w:t xml:space="preserve">  </w:t>
      </w:r>
      <w:r>
        <w:rPr>
          <w:rFonts w:hint="eastAsia" w:ascii="仿宋_GB2312" w:hAnsi="Times New Roman" w:eastAsia="仿宋_GB2312" w:cs="Times New Roman"/>
          <w:sz w:val="32"/>
          <w:szCs w:val="32"/>
          <w:lang w:val="zh-CN"/>
        </w:rPr>
        <w:t>根据部门预算绩效管理要求，我校高度重视，认真开展2023年部门绩效评价工作，强化绩效意识，认真梳理各项资料，切实做好绩效评价工作,在年初预算编制阶段，对项目开展了预算事前绩效评估，在预算项目执行过程中开展了事中绩效监控，项目执行完毕后，开展了绩效目标完成情况自评，为进一步提高财务管理水平，我校认真贯彻实施预算绩效管理的相关意见，扎实推进预算绩效管理工作。</w:t>
      </w:r>
    </w:p>
    <w:p w14:paraId="40E9DA17">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一是做好预算编制工作，制定年度目标。结合工作实际，设定项目预算绩效总目标、年度总目标，细化绩效实施计划及支出预算，从源头上提高预算编制的科学性和精准性。</w:t>
      </w:r>
    </w:p>
    <w:p w14:paraId="4FFBFA6F">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二是严格预算执行，保障各项目标实现。严格按照县财政局有关要求，做到无预算不开支，同时认真执行国库集中支付、政府采购等相关财务制度，加强分析和测算，提高预算的执行率。</w:t>
      </w:r>
    </w:p>
    <w:p w14:paraId="41756DE5">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三是认真开展预算绩效评价。对2023年预算整体绩效和项目绩效开展了评价工作，深入了解部门整体绩效及各个项目执行和资金使用情况，以及项目所产生的经济效益、社会效益等，查找出项目实施以及资金监管过程中存在的不足。</w:t>
      </w:r>
    </w:p>
    <w:p w14:paraId="63E8C07C">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000000" w:themeColor="text1"/>
          <w:kern w:val="0"/>
          <w:sz w:val="32"/>
          <w:szCs w:val="32"/>
          <w:shd w:val="clear" w:color="auto" w:fill="FFFFFF"/>
          <w:lang w:eastAsia="zh-CN"/>
        </w:rPr>
      </w:pPr>
      <w:r>
        <w:rPr>
          <w:rFonts w:hint="eastAsia" w:ascii="仿宋_GB2312" w:hAnsi="仿宋_GB2312" w:eastAsia="仿宋_GB2312" w:cs="仿宋_GB2312"/>
          <w:b/>
          <w:bCs/>
          <w:color w:val="000000" w:themeColor="text1"/>
          <w:kern w:val="0"/>
          <w:sz w:val="32"/>
          <w:szCs w:val="32"/>
          <w:shd w:val="clear" w:color="auto" w:fill="FFFFFF"/>
        </w:rPr>
        <w:t>1.人员类项目绩效分析</w:t>
      </w:r>
      <w:r>
        <w:rPr>
          <w:rFonts w:hint="eastAsia" w:ascii="仿宋_GB2312" w:hAnsi="仿宋_GB2312" w:eastAsia="仿宋_GB2312" w:cs="仿宋_GB2312"/>
          <w:b/>
          <w:bCs/>
          <w:color w:val="000000" w:themeColor="text1"/>
          <w:kern w:val="0"/>
          <w:sz w:val="32"/>
          <w:szCs w:val="32"/>
          <w:shd w:val="clear" w:color="auto" w:fill="FFFFFF"/>
          <w:lang w:eastAsia="zh-CN"/>
        </w:rPr>
        <w:t>。</w:t>
      </w:r>
    </w:p>
    <w:p w14:paraId="2E4381F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ascii="仿宋_GB2312" w:hAnsi="仿宋_GB2312" w:eastAsia="仿宋_GB2312" w:cs="仿宋_GB2312"/>
          <w:color w:val="000000" w:themeColor="text1"/>
          <w:kern w:val="0"/>
          <w:sz w:val="32"/>
          <w:szCs w:val="32"/>
          <w:shd w:val="clear" w:color="auto" w:fill="FFFFFF"/>
          <w:lang w:val="zh-CN"/>
        </w:rPr>
      </w:pPr>
      <w:r>
        <w:rPr>
          <w:rFonts w:hint="eastAsia" w:ascii="仿宋_GB2312" w:hAnsi="Times New Roman" w:eastAsia="仿宋_GB2312" w:cs="Times New Roman"/>
          <w:sz w:val="32"/>
          <w:szCs w:val="32"/>
          <w:lang w:val="zh-CN"/>
        </w:rPr>
        <w:t>2023年度人员经费支出</w:t>
      </w:r>
      <w:r>
        <w:rPr>
          <w:rFonts w:hint="eastAsia" w:ascii="仿宋_GB2312" w:eastAsia="仿宋_GB2312" w:cs="Times New Roman"/>
          <w:sz w:val="32"/>
          <w:szCs w:val="32"/>
          <w:lang w:val="en-US" w:eastAsia="zh-CN"/>
        </w:rPr>
        <w:t>4073.73</w:t>
      </w:r>
      <w:r>
        <w:rPr>
          <w:rFonts w:hint="eastAsia" w:ascii="仿宋_GB2312" w:hAnsi="Times New Roman" w:eastAsia="仿宋_GB2312" w:cs="Times New Roman"/>
          <w:sz w:val="32"/>
          <w:szCs w:val="32"/>
          <w:lang w:val="zh-CN"/>
        </w:rPr>
        <w:t>万元，主要用于职工工资及福利待遇支出，基本支出保障有力，确保单位职工工资和社保医保等人员类支出。年底无结余资金，预算执行率100%。</w:t>
      </w:r>
    </w:p>
    <w:p w14:paraId="00CD1050">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000000" w:themeColor="text1"/>
          <w:kern w:val="0"/>
          <w:sz w:val="32"/>
          <w:szCs w:val="32"/>
          <w:shd w:val="clear" w:color="auto" w:fill="FFFFFF"/>
          <w:lang w:eastAsia="zh-CN"/>
        </w:rPr>
      </w:pPr>
      <w:r>
        <w:rPr>
          <w:rFonts w:hint="eastAsia" w:ascii="仿宋_GB2312" w:hAnsi="仿宋_GB2312" w:eastAsia="仿宋_GB2312" w:cs="仿宋_GB2312"/>
          <w:b/>
          <w:bCs/>
          <w:color w:val="000000" w:themeColor="text1"/>
          <w:kern w:val="0"/>
          <w:sz w:val="32"/>
          <w:szCs w:val="32"/>
          <w:shd w:val="clear" w:color="auto" w:fill="FFFFFF"/>
        </w:rPr>
        <w:t>2.运转类项目绩效分析</w:t>
      </w:r>
      <w:r>
        <w:rPr>
          <w:rFonts w:hint="eastAsia" w:ascii="仿宋_GB2312" w:hAnsi="仿宋_GB2312" w:eastAsia="仿宋_GB2312" w:cs="仿宋_GB2312"/>
          <w:b/>
          <w:bCs/>
          <w:color w:val="000000" w:themeColor="text1"/>
          <w:kern w:val="0"/>
          <w:sz w:val="32"/>
          <w:szCs w:val="32"/>
          <w:shd w:val="clear" w:color="auto" w:fill="FFFFFF"/>
          <w:lang w:eastAsia="zh-CN"/>
        </w:rPr>
        <w:t>。</w:t>
      </w:r>
    </w:p>
    <w:p w14:paraId="023749CA">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ascii="仿宋_GB2312" w:hAnsi="仿宋_GB2312" w:eastAsia="仿宋_GB2312" w:cs="仿宋_GB2312"/>
          <w:color w:val="000000" w:themeColor="text1"/>
          <w:kern w:val="0"/>
          <w:sz w:val="32"/>
          <w:szCs w:val="32"/>
          <w:shd w:val="clear" w:color="auto" w:fill="FFFFFF"/>
          <w:lang w:val="zh-CN"/>
        </w:rPr>
      </w:pPr>
      <w:r>
        <w:rPr>
          <w:rFonts w:hint="eastAsia" w:ascii="仿宋_GB2312" w:hAnsi="仿宋_GB2312" w:eastAsia="仿宋_GB2312" w:cs="仿宋_GB2312"/>
          <w:color w:val="000000" w:themeColor="text1"/>
          <w:kern w:val="0"/>
          <w:sz w:val="32"/>
          <w:szCs w:val="32"/>
          <w:shd w:val="clear" w:color="auto" w:fill="FFFFFF"/>
          <w:lang w:val="zh-CN"/>
        </w:rPr>
        <w:t>2</w:t>
      </w:r>
      <w:r>
        <w:rPr>
          <w:rFonts w:hint="eastAsia" w:ascii="仿宋_GB2312" w:hAnsi="Times New Roman" w:eastAsia="仿宋_GB2312" w:cs="Times New Roman"/>
          <w:sz w:val="32"/>
          <w:szCs w:val="32"/>
          <w:lang w:val="zh-CN"/>
        </w:rPr>
        <w:t>023年度公用经费支出</w:t>
      </w:r>
      <w:r>
        <w:rPr>
          <w:rFonts w:hint="eastAsia" w:ascii="仿宋_GB2312" w:eastAsia="仿宋_GB2312" w:cs="Times New Roman"/>
          <w:sz w:val="32"/>
          <w:szCs w:val="32"/>
          <w:lang w:val="en-US" w:eastAsia="zh-CN"/>
        </w:rPr>
        <w:t>299.36</w:t>
      </w:r>
      <w:r>
        <w:rPr>
          <w:rFonts w:hint="eastAsia" w:ascii="仿宋_GB2312" w:hAnsi="Times New Roman" w:eastAsia="仿宋_GB2312" w:cs="Times New Roman"/>
          <w:sz w:val="32"/>
          <w:szCs w:val="32"/>
          <w:lang w:val="zh-CN"/>
        </w:rPr>
        <w:t>万元，主要用于办公费、水电费、差旅费、培训费、维修（护）费等日常公用支出，保障了学校基本运转的需要。年底无结余资金，预算执行率100%。</w:t>
      </w:r>
    </w:p>
    <w:p w14:paraId="0CE680DC">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000000" w:themeColor="text1"/>
          <w:kern w:val="0"/>
          <w:sz w:val="32"/>
          <w:szCs w:val="32"/>
          <w:shd w:val="clear" w:color="auto" w:fill="FFFFFF"/>
          <w:lang w:eastAsia="zh-CN"/>
        </w:rPr>
      </w:pPr>
      <w:r>
        <w:rPr>
          <w:rFonts w:hint="eastAsia" w:ascii="仿宋_GB2312" w:hAnsi="仿宋_GB2312" w:eastAsia="仿宋_GB2312" w:cs="仿宋_GB2312"/>
          <w:b/>
          <w:bCs/>
          <w:color w:val="000000" w:themeColor="text1"/>
          <w:kern w:val="0"/>
          <w:sz w:val="32"/>
          <w:szCs w:val="32"/>
          <w:shd w:val="clear" w:color="auto" w:fill="FFFFFF"/>
        </w:rPr>
        <w:t>3.特定目标类项目绩效分析</w:t>
      </w:r>
      <w:r>
        <w:rPr>
          <w:rFonts w:hint="eastAsia" w:ascii="仿宋_GB2312" w:hAnsi="仿宋_GB2312" w:eastAsia="仿宋_GB2312" w:cs="仿宋_GB2312"/>
          <w:b/>
          <w:bCs/>
          <w:color w:val="000000" w:themeColor="text1"/>
          <w:kern w:val="0"/>
          <w:sz w:val="32"/>
          <w:szCs w:val="32"/>
          <w:shd w:val="clear" w:color="auto" w:fill="FFFFFF"/>
          <w:lang w:eastAsia="zh-CN"/>
        </w:rPr>
        <w:t>。</w:t>
      </w:r>
    </w:p>
    <w:p w14:paraId="6667C731">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2023年收入</w:t>
      </w:r>
      <w:r>
        <w:rPr>
          <w:rFonts w:hint="eastAsia" w:ascii="仿宋_GB2312" w:eastAsia="仿宋_GB2312" w:cs="Times New Roman"/>
          <w:sz w:val="32"/>
          <w:szCs w:val="32"/>
          <w:lang w:val="en-US" w:eastAsia="zh-CN"/>
        </w:rPr>
        <w:t>1438.42</w:t>
      </w:r>
      <w:r>
        <w:rPr>
          <w:rFonts w:hint="eastAsia" w:ascii="仿宋_GB2312" w:hAnsi="Times New Roman" w:eastAsia="仿宋_GB2312" w:cs="Times New Roman"/>
          <w:sz w:val="32"/>
          <w:szCs w:val="32"/>
          <w:lang w:val="zh-CN"/>
        </w:rPr>
        <w:t>万元，支出</w:t>
      </w:r>
      <w:r>
        <w:rPr>
          <w:rFonts w:hint="eastAsia" w:ascii="仿宋_GB2312" w:eastAsia="仿宋_GB2312" w:cs="Times New Roman"/>
          <w:sz w:val="32"/>
          <w:szCs w:val="32"/>
          <w:lang w:val="en-US" w:eastAsia="zh-CN"/>
        </w:rPr>
        <w:t>1438.42</w:t>
      </w:r>
      <w:r>
        <w:rPr>
          <w:rFonts w:hint="eastAsia" w:ascii="仿宋_GB2312" w:hAnsi="Times New Roman" w:eastAsia="仿宋_GB2312" w:cs="Times New Roman"/>
          <w:sz w:val="32"/>
          <w:szCs w:val="32"/>
          <w:lang w:val="zh-CN"/>
        </w:rPr>
        <w:t>万元，主要用于盐边县中学校新建初中部教学楼工程、运动场改造工程、“十三五”节约型公共机构示范单位奖补资金、盐边县中学校发展资金、高考标准化考场升级改造项目、学生宿舍维修改造工程、学生宿舍专用公寓床（多功能组合）采购项目、教师公共租赁住房家具家电采购项目等项目的支出提供经费保障，预算执行率100%。</w:t>
      </w:r>
    </w:p>
    <w:p w14:paraId="0EECE82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themeColor="text1"/>
          <w:sz w:val="32"/>
          <w:szCs w:val="32"/>
          <w:lang w:val="zh-CN"/>
        </w:rPr>
      </w:pPr>
      <w:r>
        <w:rPr>
          <w:rFonts w:hint="eastAsia" w:ascii="楷体_GB2312" w:hAnsi="楷体_GB2312" w:eastAsia="楷体_GB2312" w:cs="楷体_GB2312"/>
          <w:color w:val="000000" w:themeColor="text1"/>
          <w:sz w:val="32"/>
          <w:szCs w:val="32"/>
          <w:lang w:val="zh-CN"/>
        </w:rPr>
        <w:t>（二）结果应用情况。</w:t>
      </w:r>
    </w:p>
    <w:p w14:paraId="059F8BA9">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一是绩效评价内部应用情况</w:t>
      </w:r>
    </w:p>
    <w:p w14:paraId="0536A3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具有完善的内部控制制度，并严格执行，内控制度运行情况较好。学校成立以校长为组长的内部控制制度建设领导小组，全面负责内部控制规范的实施工作。小组成员分工明确，各司其职，各尽其责，从机构设置上保证了各项收支业务的决策、执行、监督三个环节相互分离。</w:t>
      </w:r>
    </w:p>
    <w:p w14:paraId="6B602A46">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在执行过程中重点对预算业务、收支业务、政府采购业务、资产和合同管理五方面的内控制度进行全面落实，同时学校加强了风险点管控，严格按照内控制度预算管理要求对编制过程中不科学、不合理的内容进行调整，重视决算分析、按规定开展预算绩效管理。</w:t>
      </w:r>
    </w:p>
    <w:p w14:paraId="5247EF02">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绩效评价结果直接用于指导今后的部门预算绩效工作，全面做到保障学校正常工作运转，结合我校年度工作计划，按照进度有序使用资金。</w:t>
      </w:r>
    </w:p>
    <w:p w14:paraId="39BDE8CE">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二是自评信息公开情况</w:t>
      </w:r>
    </w:p>
    <w:p w14:paraId="7659EE4F">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我校按照财政相关要求，按时在盐边县公众信息网财政版块下的“财政绩效评价信息专栏”进行信息公开。</w:t>
      </w:r>
    </w:p>
    <w:p w14:paraId="1FCCF1F9">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三是绩效监控情况</w:t>
      </w:r>
    </w:p>
    <w:p w14:paraId="73F81D7F">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2023年我校根据相关财经政策要求认真做好本部门绩效事中监控工作，对预算执行进度进行监控，切实分析本部门在预算绩效管理工作中存在的问题，并针对存在问题提出具体措施加以改进，2023年我校支付进度符合预算执行进度要求。</w:t>
      </w:r>
    </w:p>
    <w:p w14:paraId="61358711">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四是部门绩效完成情况</w:t>
      </w:r>
    </w:p>
    <w:p w14:paraId="2D304052">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2023年，在县委、</w:t>
      </w:r>
      <w:r>
        <w:rPr>
          <w:rFonts w:hint="eastAsia" w:ascii="仿宋_GB2312" w:eastAsia="仿宋_GB2312" w:cs="Times New Roman"/>
          <w:sz w:val="32"/>
          <w:szCs w:val="32"/>
          <w:lang w:val="en-US" w:eastAsia="zh-CN"/>
        </w:rPr>
        <w:t>县</w:t>
      </w:r>
      <w:r>
        <w:rPr>
          <w:rFonts w:hint="eastAsia" w:ascii="仿宋_GB2312" w:hAnsi="Times New Roman" w:eastAsia="仿宋_GB2312" w:cs="Times New Roman"/>
          <w:sz w:val="32"/>
          <w:szCs w:val="32"/>
          <w:lang w:val="zh-CN"/>
        </w:rPr>
        <w:t>政府的坚强领导下，在县教育和体育局的直接指导下，我校积极贯彻党的教育方针，紧紧围绕“预算编制有目标、预算执行有监控、预算完成有评价、评价结果有反馈、反馈结果有应用”开展工作，切实提高资金使用效益，部门绩效目标任务已圆满完成。</w:t>
      </w:r>
    </w:p>
    <w:p w14:paraId="451F3D15">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严格对照项目支出绩效评价发现的问题，查找管理漏洞，强化结果应用，将评价结果用于制定政策、完善内控管理制度，用于改进项目管理、财务管理和资金使用管理，用于调整预算安排方式、增减预算规模和优化支出结构，不断提高资金使用效益。按时将绩效自评公开，对预算绩效评价结果存在的问题及时进行整改。</w:t>
      </w:r>
    </w:p>
    <w:p w14:paraId="4B1FEB82">
      <w:pPr>
        <w:keepNext w:val="0"/>
        <w:keepLines w:val="0"/>
        <w:pageBreakBefore w:val="0"/>
        <w:widowControl/>
        <w:numPr>
          <w:ilvl w:val="0"/>
          <w:numId w:val="3"/>
        </w:numPr>
        <w:suppressAutoHyphens/>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楷体_GB2312" w:hAnsi="楷体_GB2312" w:eastAsia="楷体_GB2312" w:cs="楷体_GB2312"/>
          <w:color w:val="000000" w:themeColor="text1"/>
          <w:kern w:val="0"/>
          <w:sz w:val="32"/>
          <w:szCs w:val="32"/>
          <w:shd w:val="clear" w:color="auto" w:fill="FFFFFF"/>
        </w:rPr>
      </w:pPr>
      <w:r>
        <w:rPr>
          <w:rFonts w:hint="eastAsia" w:ascii="楷体_GB2312" w:hAnsi="楷体_GB2312" w:eastAsia="楷体_GB2312" w:cs="楷体_GB2312"/>
          <w:color w:val="000000" w:themeColor="text1"/>
          <w:sz w:val="32"/>
          <w:szCs w:val="32"/>
          <w:lang w:val="zh-CN"/>
        </w:rPr>
        <w:t>自评质量。</w:t>
      </w:r>
    </w:p>
    <w:p w14:paraId="11414E6F">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_GB2312" w:eastAsia="仿宋_GB2312" w:cs="仿宋_GB2312"/>
          <w:color w:val="000000" w:themeColor="text1"/>
          <w:kern w:val="0"/>
          <w:sz w:val="32"/>
          <w:szCs w:val="32"/>
          <w:shd w:val="clear" w:color="auto" w:fill="FFFFFF"/>
          <w:lang w:val="zh-CN"/>
        </w:rPr>
      </w:pPr>
      <w:r>
        <w:rPr>
          <w:rFonts w:hint="eastAsia" w:ascii="仿宋_GB2312" w:hAnsi="Times New Roman" w:eastAsia="仿宋_GB2312" w:cs="Times New Roman"/>
          <w:sz w:val="32"/>
          <w:szCs w:val="32"/>
          <w:lang w:val="zh-CN"/>
        </w:rPr>
        <w:t>按照国家政策法规规定，结合初预算制定的绩效目标，结合部门实际情况，我校建立健全了财务管理制度和约束机制，依法、有效地使用财政资金，提高财政资金使用效率，合理分配人、财、物，完成了部门职能目标，实现了较高的工作效率和支出绩效。通过对照“部门整体支出绩效评价指标体系”中评分标准，结合我校实际，我校自评分为95分。</w:t>
      </w:r>
    </w:p>
    <w:p w14:paraId="0356ACD9">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eastAsia="黑体"/>
          <w:color w:val="000000" w:themeColor="text1"/>
          <w:kern w:val="0"/>
          <w:sz w:val="32"/>
          <w:szCs w:val="32"/>
          <w:shd w:val="clear" w:color="auto" w:fill="FFFFFF"/>
        </w:rPr>
      </w:pPr>
      <w:r>
        <w:rPr>
          <w:rFonts w:eastAsia="黑体"/>
          <w:color w:val="000000" w:themeColor="text1"/>
          <w:kern w:val="0"/>
          <w:sz w:val="32"/>
          <w:szCs w:val="32"/>
          <w:shd w:val="clear" w:color="auto" w:fill="FFFFFF"/>
        </w:rPr>
        <w:t>四、评价结论及建议</w:t>
      </w:r>
    </w:p>
    <w:p w14:paraId="049A1B93">
      <w:pPr>
        <w:pStyle w:val="15"/>
        <w:pageBreakBefore w:val="0"/>
        <w:kinsoku/>
        <w:wordWrap/>
        <w:overflowPunct/>
        <w:topLinePunct w:val="0"/>
        <w:autoSpaceDE/>
        <w:autoSpaceDN/>
        <w:bidi w:val="0"/>
        <w:spacing w:line="560" w:lineRule="exact"/>
        <w:ind w:leftChars="0" w:firstLine="640"/>
        <w:textAlignment w:val="auto"/>
        <w:rPr>
          <w:rFonts w:hint="eastAsia" w:ascii="楷体_GB2312" w:hAnsi="楷体_GB2312" w:eastAsia="楷体_GB2312" w:cs="楷体_GB2312"/>
          <w:color w:val="000000" w:themeColor="text1"/>
          <w:sz w:val="32"/>
          <w:lang w:val="zh-CN"/>
        </w:rPr>
      </w:pPr>
      <w:r>
        <w:rPr>
          <w:rFonts w:hint="eastAsia" w:ascii="楷体_GB2312" w:hAnsi="楷体_GB2312" w:eastAsia="楷体_GB2312" w:cs="楷体_GB2312"/>
          <w:color w:val="000000" w:themeColor="text1"/>
          <w:sz w:val="32"/>
          <w:lang w:val="zh-CN"/>
        </w:rPr>
        <w:t>（一）评价结论。</w:t>
      </w:r>
    </w:p>
    <w:p w14:paraId="749D7F9F">
      <w:pPr>
        <w:pStyle w:val="15"/>
        <w:pageBreakBefore w:val="0"/>
        <w:kinsoku/>
        <w:wordWrap/>
        <w:overflowPunct/>
        <w:topLinePunct w:val="0"/>
        <w:autoSpaceDE/>
        <w:autoSpaceDN/>
        <w:bidi w:val="0"/>
        <w:spacing w:line="560" w:lineRule="exact"/>
        <w:ind w:leftChars="0" w:firstLine="640"/>
        <w:textAlignment w:val="auto"/>
        <w:rPr>
          <w:rFonts w:hint="eastAsia" w:ascii="仿宋_GB2312" w:hAnsi="Times New Roman" w:eastAsia="仿宋_GB2312" w:cs="Times New Roman"/>
          <w:kern w:val="2"/>
          <w:sz w:val="32"/>
          <w:szCs w:val="32"/>
          <w:lang w:val="zh-CN" w:eastAsia="zh-CN" w:bidi="ar-SA"/>
        </w:rPr>
      </w:pPr>
      <w:r>
        <w:rPr>
          <w:rFonts w:hint="eastAsia" w:ascii="仿宋_GB2312" w:hAnsi="Times New Roman" w:eastAsia="仿宋_GB2312" w:cs="Times New Roman"/>
          <w:kern w:val="2"/>
          <w:sz w:val="32"/>
          <w:szCs w:val="32"/>
          <w:lang w:val="zh-CN" w:eastAsia="zh-CN" w:bidi="ar-SA"/>
        </w:rPr>
        <w:t>2023年我单位在执行财政预算的过程中，强化了预算绩效意识，严格按照预算项目支出绩效目标开展相关工作，整体支出情况良好，预算执行严格有序，预算管理规范可控，资金效益符合预期，达到预期绩效目标。</w:t>
      </w:r>
    </w:p>
    <w:p w14:paraId="1D8F84F4">
      <w:pPr>
        <w:pStyle w:val="15"/>
        <w:pageBreakBefore w:val="0"/>
        <w:kinsoku/>
        <w:wordWrap/>
        <w:overflowPunct/>
        <w:topLinePunct w:val="0"/>
        <w:autoSpaceDE/>
        <w:autoSpaceDN/>
        <w:bidi w:val="0"/>
        <w:spacing w:line="560" w:lineRule="exact"/>
        <w:ind w:leftChars="0" w:firstLine="640"/>
        <w:textAlignment w:val="auto"/>
        <w:rPr>
          <w:rFonts w:hint="eastAsia" w:ascii="楷体_GB2312" w:hAnsi="楷体_GB2312" w:eastAsia="楷体_GB2312" w:cs="楷体_GB2312"/>
          <w:color w:val="000000" w:themeColor="text1"/>
          <w:sz w:val="32"/>
          <w:lang w:val="zh-CN"/>
        </w:rPr>
      </w:pPr>
      <w:r>
        <w:rPr>
          <w:rFonts w:hint="eastAsia" w:ascii="楷体_GB2312" w:hAnsi="楷体_GB2312" w:eastAsia="楷体_GB2312" w:cs="楷体_GB2312"/>
          <w:color w:val="000000" w:themeColor="text1"/>
          <w:sz w:val="32"/>
          <w:lang w:val="zh-CN"/>
        </w:rPr>
        <w:t>（二）存在问题。</w:t>
      </w:r>
    </w:p>
    <w:p w14:paraId="2F0B1E08">
      <w:pPr>
        <w:pStyle w:val="15"/>
        <w:pageBreakBefore w:val="0"/>
        <w:kinsoku/>
        <w:wordWrap/>
        <w:overflowPunct/>
        <w:topLinePunct w:val="0"/>
        <w:autoSpaceDE/>
        <w:autoSpaceDN/>
        <w:bidi w:val="0"/>
        <w:spacing w:line="560" w:lineRule="exact"/>
        <w:ind w:leftChars="0" w:firstLine="640"/>
        <w:textAlignment w:val="auto"/>
        <w:rPr>
          <w:rFonts w:hAnsi="Calibri" w:eastAsia="仿宋_GB2312" w:cs="宋体"/>
          <w:color w:val="000000" w:themeColor="text1"/>
          <w:sz w:val="32"/>
          <w:lang w:val="zh-CN"/>
        </w:rPr>
      </w:pPr>
      <w:r>
        <w:rPr>
          <w:rFonts w:hint="eastAsia" w:hAnsi="Calibri" w:eastAsia="仿宋_GB2312" w:cs="宋体"/>
          <w:color w:val="000000" w:themeColor="text1"/>
          <w:sz w:val="32"/>
          <w:lang w:val="zh-CN"/>
        </w:rPr>
        <w:t>由于预算绩效管理工作涉及面广，专业性强，加上缺乏系统的培训，具体工作人员对预算绩效管理理解不充分，对预算绩效管理业务不精通，在一定程度上影响了绩效评价工作质量。</w:t>
      </w:r>
    </w:p>
    <w:p w14:paraId="17456B23">
      <w:pPr>
        <w:pStyle w:val="15"/>
        <w:pageBreakBefore w:val="0"/>
        <w:kinsoku/>
        <w:wordWrap/>
        <w:overflowPunct/>
        <w:topLinePunct w:val="0"/>
        <w:autoSpaceDE/>
        <w:autoSpaceDN/>
        <w:bidi w:val="0"/>
        <w:spacing w:line="560" w:lineRule="exact"/>
        <w:ind w:leftChars="0" w:firstLine="640"/>
        <w:textAlignment w:val="auto"/>
        <w:rPr>
          <w:rFonts w:hint="eastAsia" w:ascii="楷体_GB2312" w:hAnsi="楷体_GB2312" w:eastAsia="楷体_GB2312" w:cs="楷体_GB2312"/>
          <w:color w:val="000000" w:themeColor="text1"/>
          <w:sz w:val="32"/>
          <w:lang w:val="zh-CN"/>
        </w:rPr>
      </w:pPr>
      <w:r>
        <w:rPr>
          <w:rFonts w:hint="eastAsia" w:ascii="楷体_GB2312" w:hAnsi="楷体_GB2312" w:eastAsia="楷体_GB2312" w:cs="楷体_GB2312"/>
          <w:color w:val="000000" w:themeColor="text1"/>
          <w:sz w:val="32"/>
          <w:lang w:val="zh-CN"/>
        </w:rPr>
        <w:t>（三）改进建议。</w:t>
      </w:r>
    </w:p>
    <w:p w14:paraId="0321A8DD">
      <w:pPr>
        <w:pStyle w:val="6"/>
        <w:pageBreakBefore w:val="0"/>
        <w:kinsoku/>
        <w:wordWrap/>
        <w:overflowPunct/>
        <w:topLinePunct w:val="0"/>
        <w:autoSpaceDE/>
        <w:autoSpaceDN/>
        <w:bidi w:val="0"/>
        <w:spacing w:line="560" w:lineRule="exact"/>
        <w:ind w:firstLine="640"/>
        <w:textAlignment w:val="auto"/>
        <w:rPr>
          <w:rFonts w:hint="eastAsia" w:ascii="仿宋_GB2312" w:hAnsi="Times New Roman" w:eastAsia="仿宋_GB2312" w:cs="Times New Roman"/>
          <w:kern w:val="2"/>
          <w:sz w:val="32"/>
          <w:szCs w:val="32"/>
          <w:lang w:val="zh-CN" w:eastAsia="zh-CN" w:bidi="ar-SA"/>
        </w:rPr>
      </w:pPr>
      <w:r>
        <w:rPr>
          <w:rFonts w:hint="eastAsia" w:ascii="仿宋_GB2312" w:hAnsi="Times New Roman" w:eastAsia="仿宋_GB2312" w:cs="Times New Roman"/>
          <w:kern w:val="2"/>
          <w:sz w:val="32"/>
          <w:szCs w:val="32"/>
          <w:lang w:val="zh-CN" w:eastAsia="zh-CN" w:bidi="ar-SA"/>
        </w:rPr>
        <w:t xml:space="preserve">细化预算编制，提高预算精准度，提高单位领导对全面预算管理的重视程度，加强财务人员业务培训，提高绩效评价水平，进一步加强资金使用管控，提高资金使用效益。 </w:t>
      </w:r>
    </w:p>
    <w:p w14:paraId="0ED42941">
      <w:pPr>
        <w:pStyle w:val="15"/>
        <w:pageBreakBefore w:val="0"/>
        <w:kinsoku/>
        <w:wordWrap/>
        <w:overflowPunct/>
        <w:topLinePunct w:val="0"/>
        <w:autoSpaceDE/>
        <w:autoSpaceDN/>
        <w:bidi w:val="0"/>
        <w:spacing w:line="560" w:lineRule="exact"/>
        <w:ind w:leftChars="0" w:firstLine="1280" w:firstLineChars="400"/>
        <w:textAlignment w:val="auto"/>
        <w:rPr>
          <w:rFonts w:hint="eastAsia" w:ascii="仿宋_GB2312" w:hAnsi="Times New Roman" w:eastAsia="仿宋_GB2312" w:cs="Times New Roman"/>
          <w:kern w:val="2"/>
          <w:sz w:val="32"/>
          <w:szCs w:val="32"/>
          <w:lang w:val="zh-CN" w:eastAsia="zh-CN" w:bidi="ar-SA"/>
        </w:rPr>
      </w:pPr>
    </w:p>
    <w:p w14:paraId="45FE68F7">
      <w:pPr>
        <w:pStyle w:val="15"/>
        <w:pageBreakBefore w:val="0"/>
        <w:kinsoku/>
        <w:wordWrap/>
        <w:overflowPunct/>
        <w:topLinePunct w:val="0"/>
        <w:autoSpaceDE/>
        <w:autoSpaceDN/>
        <w:bidi w:val="0"/>
        <w:spacing w:line="560" w:lineRule="exact"/>
        <w:ind w:leftChars="0" w:firstLine="1280" w:firstLineChars="400"/>
        <w:textAlignment w:val="auto"/>
        <w:rPr>
          <w:rFonts w:hAnsi="Calibri" w:eastAsia="仿宋_GB2312" w:cs="宋体"/>
          <w:color w:val="000000" w:themeColor="text1"/>
          <w:sz w:val="32"/>
          <w:lang w:val="zh-CN"/>
        </w:rPr>
      </w:pPr>
    </w:p>
    <w:p w14:paraId="1C872F04">
      <w:pPr>
        <w:pStyle w:val="15"/>
        <w:pageBreakBefore w:val="0"/>
        <w:kinsoku/>
        <w:wordWrap/>
        <w:overflowPunct/>
        <w:topLinePunct w:val="0"/>
        <w:autoSpaceDE/>
        <w:autoSpaceDN/>
        <w:bidi w:val="0"/>
        <w:spacing w:line="560" w:lineRule="exact"/>
        <w:ind w:leftChars="0" w:firstLine="1280" w:firstLineChars="400"/>
        <w:textAlignment w:val="auto"/>
        <w:rPr>
          <w:rFonts w:hAnsi="Calibri" w:eastAsia="仿宋_GB2312" w:cs="宋体"/>
          <w:color w:val="000000" w:themeColor="text1"/>
          <w:sz w:val="32"/>
          <w:lang w:val="zh-CN"/>
        </w:rPr>
      </w:pPr>
    </w:p>
    <w:p w14:paraId="1769FD07">
      <w:pPr>
        <w:pStyle w:val="15"/>
        <w:pageBreakBefore w:val="0"/>
        <w:kinsoku/>
        <w:wordWrap/>
        <w:overflowPunct/>
        <w:topLinePunct w:val="0"/>
        <w:autoSpaceDE/>
        <w:autoSpaceDN/>
        <w:bidi w:val="0"/>
        <w:spacing w:line="560" w:lineRule="exact"/>
        <w:ind w:leftChars="0" w:firstLine="1280" w:firstLineChars="400"/>
        <w:textAlignment w:val="auto"/>
        <w:rPr>
          <w:rFonts w:hAnsi="Calibri" w:eastAsia="仿宋_GB2312" w:cs="宋体"/>
          <w:color w:val="000000" w:themeColor="text1"/>
          <w:sz w:val="32"/>
          <w:lang w:val="zh-CN"/>
        </w:rPr>
      </w:pPr>
    </w:p>
    <w:p w14:paraId="2AEF075B">
      <w:pPr>
        <w:pStyle w:val="2"/>
        <w:pageBreakBefore w:val="0"/>
        <w:kinsoku/>
        <w:wordWrap/>
        <w:overflowPunct/>
        <w:topLinePunct w:val="0"/>
        <w:autoSpaceDE/>
        <w:autoSpaceDN/>
        <w:bidi w:val="0"/>
        <w:spacing w:line="560" w:lineRule="exact"/>
        <w:textAlignment w:val="auto"/>
      </w:pPr>
    </w:p>
    <w:p w14:paraId="3D91CA96">
      <w:pPr>
        <w:pageBreakBefore w:val="0"/>
        <w:kinsoku/>
        <w:wordWrap/>
        <w:overflowPunct/>
        <w:topLinePunct w:val="0"/>
        <w:autoSpaceDE/>
        <w:autoSpaceDN/>
        <w:bidi w:val="0"/>
        <w:spacing w:line="560" w:lineRule="exact"/>
        <w:textAlignment w:val="auto"/>
      </w:pPr>
    </w:p>
    <w:p w14:paraId="07A9E121">
      <w:pPr>
        <w:pStyle w:val="2"/>
        <w:pageBreakBefore w:val="0"/>
        <w:kinsoku/>
        <w:wordWrap/>
        <w:overflowPunct/>
        <w:topLinePunct w:val="0"/>
        <w:autoSpaceDE/>
        <w:autoSpaceDN/>
        <w:bidi w:val="0"/>
        <w:spacing w:line="560" w:lineRule="exact"/>
        <w:textAlignment w:val="auto"/>
      </w:pPr>
    </w:p>
    <w:p w14:paraId="10470D61">
      <w:pPr>
        <w:pageBreakBefore w:val="0"/>
        <w:kinsoku/>
        <w:wordWrap/>
        <w:overflowPunct/>
        <w:topLinePunct w:val="0"/>
        <w:autoSpaceDE/>
        <w:autoSpaceDN/>
        <w:bidi w:val="0"/>
        <w:spacing w:line="560" w:lineRule="exact"/>
        <w:textAlignment w:val="auto"/>
      </w:pPr>
    </w:p>
    <w:p w14:paraId="7B8DC8DA">
      <w:pPr>
        <w:pStyle w:val="2"/>
        <w:pageBreakBefore w:val="0"/>
        <w:kinsoku/>
        <w:wordWrap/>
        <w:overflowPunct/>
        <w:topLinePunct w:val="0"/>
        <w:autoSpaceDE/>
        <w:autoSpaceDN/>
        <w:bidi w:val="0"/>
        <w:spacing w:line="560" w:lineRule="exact"/>
        <w:textAlignment w:val="auto"/>
      </w:pPr>
    </w:p>
    <w:p w14:paraId="7890C7F9">
      <w:pPr>
        <w:pageBreakBefore w:val="0"/>
        <w:kinsoku/>
        <w:wordWrap/>
        <w:overflowPunct/>
        <w:topLinePunct w:val="0"/>
        <w:autoSpaceDE/>
        <w:autoSpaceDN/>
        <w:bidi w:val="0"/>
        <w:spacing w:line="560" w:lineRule="exact"/>
        <w:textAlignment w:val="auto"/>
      </w:pPr>
    </w:p>
    <w:p w14:paraId="6151A7A7">
      <w:pPr>
        <w:pStyle w:val="2"/>
        <w:pageBreakBefore w:val="0"/>
        <w:kinsoku/>
        <w:wordWrap/>
        <w:overflowPunct/>
        <w:topLinePunct w:val="0"/>
        <w:autoSpaceDE/>
        <w:autoSpaceDN/>
        <w:bidi w:val="0"/>
        <w:spacing w:line="560" w:lineRule="exact"/>
        <w:textAlignment w:val="auto"/>
      </w:pPr>
    </w:p>
    <w:p w14:paraId="72EA0EB2">
      <w:pPr>
        <w:pageBreakBefore w:val="0"/>
        <w:kinsoku/>
        <w:wordWrap/>
        <w:overflowPunct/>
        <w:topLinePunct w:val="0"/>
        <w:autoSpaceDE/>
        <w:autoSpaceDN/>
        <w:bidi w:val="0"/>
        <w:spacing w:line="560" w:lineRule="exact"/>
        <w:textAlignment w:val="auto"/>
      </w:pPr>
    </w:p>
    <w:p w14:paraId="381AA1BE">
      <w:pPr>
        <w:pageBreakBefore w:val="0"/>
        <w:kinsoku/>
        <w:wordWrap/>
        <w:overflowPunct/>
        <w:topLinePunct w:val="0"/>
        <w:autoSpaceDE/>
        <w:autoSpaceDN/>
        <w:bidi w:val="0"/>
        <w:spacing w:line="560" w:lineRule="exact"/>
        <w:textAlignment w:val="auto"/>
        <w:rPr>
          <w:color w:val="000000" w:themeColor="text1"/>
        </w:rPr>
      </w:pPr>
    </w:p>
    <w:p w14:paraId="552A438D">
      <w:pPr>
        <w:pageBreakBefore w:val="0"/>
        <w:kinsoku/>
        <w:wordWrap/>
        <w:overflowPunct/>
        <w:topLinePunct w:val="0"/>
        <w:autoSpaceDE/>
        <w:autoSpaceDN/>
        <w:bidi w:val="0"/>
        <w:spacing w:line="560" w:lineRule="exact"/>
        <w:textAlignment w:val="auto"/>
        <w:rPr>
          <w:color w:val="000000" w:themeColor="text1"/>
        </w:rPr>
      </w:pPr>
    </w:p>
    <w:p w14:paraId="1ED7D36D">
      <w:pPr>
        <w:pStyle w:val="2"/>
        <w:pageBreakBefore w:val="0"/>
        <w:kinsoku/>
        <w:wordWrap/>
        <w:overflowPunct/>
        <w:topLinePunct w:val="0"/>
        <w:autoSpaceDE/>
        <w:autoSpaceDN/>
        <w:bidi w:val="0"/>
        <w:spacing w:line="560" w:lineRule="exact"/>
        <w:textAlignment w:val="auto"/>
        <w:rPr>
          <w:rFonts w:ascii="Times New Roman" w:hAnsi="Times New Roman" w:eastAsia="宋体"/>
          <w:b w:val="0"/>
          <w:color w:val="000000" w:themeColor="text1"/>
          <w:sz w:val="21"/>
          <w:szCs w:val="24"/>
        </w:rPr>
      </w:pPr>
    </w:p>
    <w:p w14:paraId="506B404F">
      <w:pPr>
        <w:pageBreakBefore w:val="0"/>
        <w:kinsoku/>
        <w:wordWrap/>
        <w:overflowPunct/>
        <w:topLinePunct w:val="0"/>
        <w:autoSpaceDE/>
        <w:autoSpaceDN/>
        <w:bidi w:val="0"/>
        <w:spacing w:line="560" w:lineRule="exact"/>
        <w:textAlignment w:val="auto"/>
      </w:pPr>
    </w:p>
    <w:p w14:paraId="406DA4F6">
      <w:pPr>
        <w:pageBreakBefore w:val="0"/>
        <w:kinsoku/>
        <w:wordWrap/>
        <w:overflowPunct/>
        <w:topLinePunct w:val="0"/>
        <w:autoSpaceDE/>
        <w:autoSpaceDN/>
        <w:bidi w:val="0"/>
        <w:spacing w:line="560" w:lineRule="exact"/>
        <w:textAlignment w:val="auto"/>
      </w:pPr>
    </w:p>
    <w:p w14:paraId="3CFD8220">
      <w:pPr>
        <w:pageBreakBefore w:val="0"/>
        <w:kinsoku/>
        <w:wordWrap/>
        <w:overflowPunct/>
        <w:topLinePunct w:val="0"/>
        <w:autoSpaceDE/>
        <w:autoSpaceDN/>
        <w:bidi w:val="0"/>
        <w:spacing w:line="560" w:lineRule="exact"/>
        <w:ind w:firstLine="2640" w:firstLineChars="600"/>
        <w:textAlignment w:val="auto"/>
        <w:rPr>
          <w:rFonts w:hint="eastAsia" w:eastAsia="方正小标宋_GBK"/>
          <w:color w:val="FF0000"/>
          <w:sz w:val="44"/>
          <w:szCs w:val="44"/>
        </w:rPr>
      </w:pPr>
    </w:p>
    <w:p w14:paraId="43949B70">
      <w:pPr>
        <w:pageBreakBefore w:val="0"/>
        <w:kinsoku/>
        <w:wordWrap/>
        <w:overflowPunct/>
        <w:topLinePunct w:val="0"/>
        <w:autoSpaceDE/>
        <w:autoSpaceDN/>
        <w:bidi w:val="0"/>
        <w:spacing w:line="560" w:lineRule="exact"/>
        <w:textAlignment w:val="auto"/>
        <w:rPr>
          <w:rFonts w:hint="eastAsia" w:ascii="黑体" w:hAnsi="黑体" w:eastAsia="黑体"/>
          <w:color w:val="000000" w:themeColor="text1"/>
          <w:sz w:val="32"/>
          <w:szCs w:val="32"/>
        </w:rPr>
      </w:pPr>
      <w:r>
        <w:rPr>
          <w:rFonts w:hint="eastAsia" w:ascii="黑体" w:hAnsi="黑体" w:eastAsia="黑体"/>
          <w:color w:val="000000" w:themeColor="text1"/>
          <w:sz w:val="32"/>
          <w:szCs w:val="32"/>
        </w:rPr>
        <w:t>附件2</w:t>
      </w:r>
    </w:p>
    <w:p w14:paraId="633E8F4A">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r>
        <w:rPr>
          <w:rFonts w:hint="eastAsia" w:eastAsia="方正小标宋_GBK"/>
          <w:color w:val="auto"/>
          <w:sz w:val="44"/>
          <w:szCs w:val="44"/>
        </w:rPr>
        <w:t>盐边县中学校</w:t>
      </w:r>
    </w:p>
    <w:p w14:paraId="2FC9DDDE">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r>
        <w:rPr>
          <w:rFonts w:hint="eastAsia" w:eastAsia="方正小标宋_GBK"/>
          <w:color w:val="auto"/>
          <w:sz w:val="44"/>
          <w:szCs w:val="44"/>
        </w:rPr>
        <w:t>2023预算</w:t>
      </w:r>
      <w:r>
        <w:rPr>
          <w:rFonts w:eastAsia="方正小标宋_GBK"/>
          <w:color w:val="auto"/>
          <w:sz w:val="44"/>
          <w:szCs w:val="44"/>
        </w:rPr>
        <w:t>项目支出绩效自评报告</w:t>
      </w:r>
    </w:p>
    <w:p w14:paraId="3EB2A33C">
      <w:pPr>
        <w:pageBreakBefore w:val="0"/>
        <w:kinsoku/>
        <w:wordWrap/>
        <w:overflowPunct/>
        <w:topLinePunct w:val="0"/>
        <w:autoSpaceDE/>
        <w:autoSpaceDN/>
        <w:bidi w:val="0"/>
        <w:spacing w:line="560" w:lineRule="exact"/>
        <w:ind w:firstLine="482" w:firstLineChars="150"/>
        <w:textAlignment w:val="auto"/>
        <w:rPr>
          <w:rFonts w:eastAsia="楷体_GB2312"/>
          <w:b/>
          <w:color w:val="auto"/>
          <w:sz w:val="32"/>
          <w:szCs w:val="32"/>
        </w:rPr>
      </w:pPr>
      <w:r>
        <w:rPr>
          <w:rFonts w:eastAsia="楷体_GB2312"/>
          <w:b/>
          <w:color w:val="auto"/>
          <w:sz w:val="32"/>
          <w:szCs w:val="32"/>
        </w:rPr>
        <w:t>（</w:t>
      </w:r>
      <w:r>
        <w:rPr>
          <w:rFonts w:hint="eastAsia" w:eastAsia="仿宋_GB2312"/>
          <w:color w:val="auto"/>
          <w:sz w:val="32"/>
          <w:szCs w:val="32"/>
        </w:rPr>
        <w:t>“十三五”节约型公共机构示范单位奖补资金</w:t>
      </w:r>
      <w:r>
        <w:rPr>
          <w:rFonts w:eastAsia="楷体_GB2312"/>
          <w:b/>
          <w:color w:val="auto"/>
          <w:sz w:val="32"/>
          <w:szCs w:val="32"/>
        </w:rPr>
        <w:t>）</w:t>
      </w:r>
    </w:p>
    <w:p w14:paraId="29AA19E1">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一、项目概况</w:t>
      </w:r>
    </w:p>
    <w:p w14:paraId="60DA317C">
      <w:pPr>
        <w:pageBreakBefore w:val="0"/>
        <w:kinsoku/>
        <w:wordWrap/>
        <w:overflowPunct/>
        <w:topLinePunct w:val="0"/>
        <w:autoSpaceDE/>
        <w:autoSpaceDN/>
        <w:bidi w:val="0"/>
        <w:spacing w:line="560" w:lineRule="exact"/>
        <w:ind w:firstLine="640" w:firstLineChars="200"/>
        <w:textAlignment w:val="auto"/>
        <w:rPr>
          <w:rFonts w:ascii="仿宋" w:hAnsi="仿宋" w:eastAsia="仿宋"/>
          <w:color w:val="auto"/>
          <w:sz w:val="32"/>
          <w:szCs w:val="32"/>
        </w:rPr>
      </w:pPr>
      <w:r>
        <w:rPr>
          <w:rFonts w:hint="eastAsia" w:eastAsia="仿宋_GB2312"/>
          <w:color w:val="auto"/>
          <w:sz w:val="32"/>
          <w:szCs w:val="32"/>
        </w:rPr>
        <w:t>“十三五”节约型公共机构示范单位奖补资金。是根据盐财资管[2022]5号文下达给盐边县中学校专项奖补资金10万元，用于盐边县中学校开展水、电、气、油、建筑等设施设备改造项目。</w:t>
      </w:r>
    </w:p>
    <w:p w14:paraId="3540CC11">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hint="eastAsia" w:eastAsia="楷体_GB2312"/>
          <w:color w:val="auto"/>
          <w:sz w:val="32"/>
          <w:szCs w:val="32"/>
        </w:rPr>
        <w:t>（一）</w:t>
      </w:r>
      <w:r>
        <w:rPr>
          <w:rFonts w:eastAsia="楷体_GB2312"/>
          <w:color w:val="auto"/>
          <w:sz w:val="32"/>
          <w:szCs w:val="32"/>
        </w:rPr>
        <w:t>项目资金申报及批复情况。</w:t>
      </w:r>
    </w:p>
    <w:p w14:paraId="7883FA8D">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十三五”节约型公共机构示范单位奖补资金，是根据《四川省财政厅关于下达“十三五”节约型公共机构示范单位奖补资金的通知》（川财资[2021]122号）文件，由盐财资管[2022]5号文下达给盐边县中学校专项奖补资金10万元，专项用于盐边县中学校开展水、电、气、油、建筑等设施设备改造项目</w:t>
      </w:r>
    </w:p>
    <w:p w14:paraId="393A712B">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（二）项目绩效目标。</w:t>
      </w:r>
    </w:p>
    <w:p w14:paraId="28FB9C28">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“十三五”节约型公共机构示范单位奖补资金，专项用于盐边县中学校开展水、电、气、油、建筑等设施设备改造项目,</w:t>
      </w:r>
      <w:r>
        <w:rPr>
          <w:rFonts w:eastAsia="仿宋_GB2312"/>
          <w:color w:val="auto"/>
          <w:sz w:val="32"/>
          <w:szCs w:val="32"/>
        </w:rPr>
        <w:t>项目</w:t>
      </w:r>
      <w:r>
        <w:rPr>
          <w:rFonts w:hint="eastAsia" w:eastAsia="仿宋_GB2312"/>
          <w:color w:val="auto"/>
          <w:sz w:val="32"/>
          <w:szCs w:val="32"/>
        </w:rPr>
        <w:t>于2023年8月实施，2023年9月投入使用</w:t>
      </w:r>
      <w:r>
        <w:rPr>
          <w:rFonts w:eastAsia="仿宋_GB2312"/>
          <w:color w:val="auto"/>
          <w:sz w:val="32"/>
          <w:szCs w:val="32"/>
        </w:rPr>
        <w:t>。</w:t>
      </w:r>
    </w:p>
    <w:p w14:paraId="18CE579A">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（三）项目资金申报相符性。</w:t>
      </w:r>
    </w:p>
    <w:p w14:paraId="27B651D7">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eastAsia="仿宋_GB2312"/>
          <w:color w:val="auto"/>
          <w:sz w:val="32"/>
          <w:szCs w:val="32"/>
        </w:rPr>
        <w:t>项目申报内容与具体实施内容相符、申报目标合理可行。</w:t>
      </w:r>
    </w:p>
    <w:p w14:paraId="2AAEDF77">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二、项目实施及管理情况</w:t>
      </w:r>
    </w:p>
    <w:p w14:paraId="47D5FBA6">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（一）资金计划、到位及使用情况。</w:t>
      </w:r>
    </w:p>
    <w:p w14:paraId="235043E8">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1.资金计划及到位。</w:t>
      </w:r>
    </w:p>
    <w:p w14:paraId="1D66B78A">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eastAsia="仿宋_GB2312"/>
          <w:color w:val="auto"/>
          <w:sz w:val="32"/>
          <w:szCs w:val="32"/>
        </w:rPr>
        <w:t>根据《四川省财政厅关于下达“十三五”节约型公共机构示范单位奖补资金的通知》（川财资[2021]122号）文件，由盐财资管[2022]5号文下达给盐边县中学校专项奖补资金10万元,资金及时到位</w:t>
      </w:r>
      <w:r>
        <w:rPr>
          <w:rFonts w:eastAsia="仿宋_GB2312"/>
          <w:color w:val="auto"/>
          <w:sz w:val="32"/>
          <w:szCs w:val="32"/>
        </w:rPr>
        <w:t>。</w:t>
      </w:r>
    </w:p>
    <w:p w14:paraId="5A72F0EE">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2.资金使用。</w:t>
      </w:r>
    </w:p>
    <w:p w14:paraId="5777D696">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eastAsia="仿宋_GB2312"/>
          <w:color w:val="auto"/>
          <w:sz w:val="32"/>
          <w:szCs w:val="32"/>
        </w:rPr>
        <w:t>截至评价时项目资金的实际支出</w:t>
      </w:r>
      <w:r>
        <w:rPr>
          <w:rFonts w:hint="eastAsia" w:eastAsia="仿宋_GB2312"/>
          <w:color w:val="auto"/>
          <w:sz w:val="32"/>
          <w:szCs w:val="32"/>
        </w:rPr>
        <w:t>10万元</w:t>
      </w:r>
      <w:r>
        <w:rPr>
          <w:rFonts w:eastAsia="仿宋_GB2312"/>
          <w:color w:val="auto"/>
          <w:sz w:val="32"/>
          <w:szCs w:val="32"/>
        </w:rPr>
        <w:t>，资金</w:t>
      </w:r>
      <w:r>
        <w:rPr>
          <w:rFonts w:hint="eastAsia" w:eastAsia="仿宋_GB2312"/>
          <w:color w:val="auto"/>
          <w:sz w:val="32"/>
          <w:szCs w:val="32"/>
        </w:rPr>
        <w:t>用于支付学生食堂用电线路改造及学校节水系统改造</w:t>
      </w:r>
      <w:r>
        <w:rPr>
          <w:rFonts w:eastAsia="仿宋_GB2312"/>
          <w:color w:val="auto"/>
          <w:sz w:val="32"/>
          <w:szCs w:val="32"/>
        </w:rPr>
        <w:t>，支付依据合规合法，资金支付与预算相符。</w:t>
      </w:r>
    </w:p>
    <w:p w14:paraId="4DEF4B7E">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（二）项目财务管理情况。</w:t>
      </w:r>
    </w:p>
    <w:p w14:paraId="52B5246E">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实施过程中，我校制定了详细的资金使用方案，严格执行相关法律法规及项目管理制度，单位财务管理制度健全，严格执行财务管理制度，接受各级监管部门的监督。评价项目严格执行财务管理制度、财务处理及时、会计核算规范。</w:t>
      </w:r>
    </w:p>
    <w:p w14:paraId="5A538905">
      <w:pPr>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sz w:val="32"/>
          <w:szCs w:val="32"/>
          <w:lang w:val="zh-CN"/>
        </w:rPr>
        <w:t>（三）项目组</w:t>
      </w:r>
      <w:r>
        <w:rPr>
          <w:rFonts w:hint="eastAsia" w:ascii="楷体_GB2312" w:hAnsi="楷体_GB2312" w:eastAsia="楷体_GB2312" w:cs="楷体_GB2312"/>
          <w:color w:val="auto"/>
          <w:sz w:val="32"/>
          <w:szCs w:val="32"/>
        </w:rPr>
        <w:t>织实施情况。</w:t>
      </w:r>
    </w:p>
    <w:p w14:paraId="5119EC6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我校严格按照相关管理制度及管理规定，通过比选方式对学生食堂用电线路改造及学校节水系统改造项目组织实施。</w:t>
      </w:r>
    </w:p>
    <w:p w14:paraId="1440FB78">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三、项目绩效情况</w:t>
      </w:r>
      <w:r>
        <w:rPr>
          <w:rFonts w:eastAsia="黑体"/>
          <w:color w:val="auto"/>
          <w:sz w:val="32"/>
          <w:szCs w:val="32"/>
        </w:rPr>
        <w:tab/>
      </w:r>
    </w:p>
    <w:p w14:paraId="32BBD144">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（一）项目完成情况。</w:t>
      </w:r>
    </w:p>
    <w:p w14:paraId="3027DF44">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hAnsi="Times New Roman" w:eastAsia="仿宋_GB2312" w:cs="Times New Roman"/>
          <w:sz w:val="32"/>
          <w:szCs w:val="32"/>
          <w:lang w:val="zh-CN"/>
        </w:rPr>
        <w:t>项目在规定时间内圆满完成学生食堂用电线路改造及学校节水系统改造，质量合格，项目完成情况良好</w:t>
      </w:r>
      <w:r>
        <w:rPr>
          <w:rFonts w:hint="eastAsia" w:eastAsia="仿宋_GB2312"/>
          <w:color w:val="auto"/>
          <w:sz w:val="32"/>
          <w:szCs w:val="32"/>
        </w:rPr>
        <w:t>。</w:t>
      </w:r>
    </w:p>
    <w:p w14:paraId="0C5DEB9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（二）项目效益情况。</w:t>
      </w:r>
    </w:p>
    <w:p w14:paraId="3DFAA437">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的实施有力的推动和巩固我校节约型公共机构示范单位取得的成果，将极大的改善我校的办学条件。从该项目经济效益、社会效益、生态效益、可持续效益以及服务对象满意度等方面来看，都能达到预期的效果。</w:t>
      </w:r>
    </w:p>
    <w:p w14:paraId="6E14A7DC">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四、问题及建议</w:t>
      </w:r>
    </w:p>
    <w:p w14:paraId="071125B6">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（一）存在的问题。</w:t>
      </w:r>
    </w:p>
    <w:p w14:paraId="1776CA8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在该项目的实施过程中我校对于此项目绩效管理工作经验欠缺，在绩效考评指标的设计上有待完善。</w:t>
      </w:r>
    </w:p>
    <w:p w14:paraId="2E283C8F">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（二）相关建议。</w:t>
      </w:r>
    </w:p>
    <w:p w14:paraId="16E1B70D">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建议相关绩效评价管理部门，能够从实际出发加强对资金使用过程的监管，重点督查资金使用后是否达到了预期的效果，减少各单位的文字上报材料。</w:t>
      </w:r>
    </w:p>
    <w:p w14:paraId="2ABB1865">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6BD5FBFF">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04750EA7">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34531C8E">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64A3FA99">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2DE262F7">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6B4620EE">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25B4B354">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7E46DC11">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43D858BA">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06465966">
      <w:pPr>
        <w:pageBreakBefore w:val="0"/>
        <w:kinsoku/>
        <w:wordWrap/>
        <w:overflowPunct/>
        <w:topLinePunct w:val="0"/>
        <w:autoSpaceDE/>
        <w:autoSpaceDN/>
        <w:bidi w:val="0"/>
        <w:spacing w:line="560" w:lineRule="exact"/>
        <w:textAlignment w:val="auto"/>
        <w:rPr>
          <w:rFonts w:eastAsia="仿宋_GB2312"/>
          <w:color w:val="auto"/>
          <w:sz w:val="32"/>
          <w:szCs w:val="32"/>
        </w:rPr>
      </w:pPr>
    </w:p>
    <w:p w14:paraId="39CA0B9E">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r>
        <w:rPr>
          <w:rFonts w:hint="eastAsia" w:eastAsia="方正小标宋_GBK"/>
          <w:color w:val="auto"/>
          <w:sz w:val="44"/>
          <w:szCs w:val="44"/>
        </w:rPr>
        <w:t>盐边县中学校</w:t>
      </w:r>
    </w:p>
    <w:p w14:paraId="289B33CD">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r>
        <w:rPr>
          <w:rFonts w:hint="eastAsia" w:eastAsia="方正小标宋_GBK"/>
          <w:color w:val="auto"/>
          <w:sz w:val="44"/>
          <w:szCs w:val="44"/>
        </w:rPr>
        <w:t>2023预算</w:t>
      </w:r>
      <w:r>
        <w:rPr>
          <w:rFonts w:eastAsia="方正小标宋_GBK"/>
          <w:color w:val="auto"/>
          <w:sz w:val="44"/>
          <w:szCs w:val="44"/>
        </w:rPr>
        <w:t>项目支出绩效自评报告</w:t>
      </w:r>
    </w:p>
    <w:p w14:paraId="421E4ADD">
      <w:pPr>
        <w:pageBreakBefore w:val="0"/>
        <w:kinsoku/>
        <w:wordWrap/>
        <w:overflowPunct/>
        <w:topLinePunct w:val="0"/>
        <w:autoSpaceDE/>
        <w:autoSpaceDN/>
        <w:bidi w:val="0"/>
        <w:spacing w:line="560" w:lineRule="exact"/>
        <w:ind w:firstLine="1606" w:firstLineChars="500"/>
        <w:textAlignment w:val="auto"/>
        <w:rPr>
          <w:rFonts w:eastAsia="楷体_GB2312"/>
          <w:b/>
          <w:color w:val="auto"/>
          <w:sz w:val="32"/>
          <w:szCs w:val="32"/>
        </w:rPr>
      </w:pPr>
      <w:r>
        <w:rPr>
          <w:rFonts w:eastAsia="楷体_GB2312"/>
          <w:b/>
          <w:color w:val="auto"/>
          <w:sz w:val="32"/>
          <w:szCs w:val="32"/>
        </w:rPr>
        <w:t>（</w:t>
      </w:r>
      <w:r>
        <w:rPr>
          <w:rFonts w:hint="eastAsia" w:eastAsia="仿宋_GB2312"/>
          <w:color w:val="auto"/>
          <w:sz w:val="32"/>
          <w:szCs w:val="32"/>
        </w:rPr>
        <w:t>2023年盐边县中学校发展资金</w:t>
      </w:r>
      <w:r>
        <w:rPr>
          <w:rFonts w:eastAsia="楷体_GB2312"/>
          <w:b/>
          <w:color w:val="auto"/>
          <w:sz w:val="32"/>
          <w:szCs w:val="32"/>
        </w:rPr>
        <w:t>）</w:t>
      </w:r>
    </w:p>
    <w:p w14:paraId="19C7E0C8">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一、项目概况</w:t>
      </w:r>
    </w:p>
    <w:p w14:paraId="6EE2C712">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为了确保各项教育教学目标任务的顺利完成，按照盐边县财政局的总体要求将教育收费纳入年初预算，我校特此申报2023年盐边中学发展资金960万元，主要用于2023年度高中优秀学生开学奖学金、高中优秀困难学生生活补助、本科上线补习生困难补助、本科上线应届择校生困难补助、临聘人员工资、教师超工作量绩效、2022年高考质量考核奖励性绩效、2022年校长及中层干部考核绩效、2022年教师接送车租车费、维修（护）费、水电费、办公费等学校运转所需资金。</w:t>
      </w:r>
    </w:p>
    <w:p w14:paraId="3AFD349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hint="eastAsia" w:eastAsia="楷体_GB2312"/>
          <w:color w:val="auto"/>
          <w:sz w:val="32"/>
          <w:szCs w:val="32"/>
        </w:rPr>
        <w:t>（一）</w:t>
      </w:r>
      <w:r>
        <w:rPr>
          <w:rFonts w:eastAsia="楷体_GB2312"/>
          <w:color w:val="auto"/>
          <w:sz w:val="32"/>
          <w:szCs w:val="32"/>
        </w:rPr>
        <w:t>项目资金申报及批复情况。</w:t>
      </w:r>
    </w:p>
    <w:p w14:paraId="77BC58A7">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2023年盐边中学发展资金，是根据2023年2月4日盐边县第十九届人民代表大会第三次会议批准的盐边县2023年县本级财政预算，现按照《中 华人民共和国预算法》《中华人民共和国预算法实施条例》 的相关规定，经县政府同意，批复的部门专项资金。</w:t>
      </w:r>
    </w:p>
    <w:p w14:paraId="551932EA">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（二）项目绩效目标。</w:t>
      </w:r>
    </w:p>
    <w:p w14:paraId="080EBF54">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2023年盐边县中学校发展资金，弥补学校生均公用经费的不足，是我校各项教育教学管理工作的有力保障，全面促进各项工作更快更好的发展，使我校2023年各项教育教学目标任务得以圆满完成。</w:t>
      </w:r>
    </w:p>
    <w:p w14:paraId="742CCB42">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（三）项目资金申报相符性。</w:t>
      </w:r>
    </w:p>
    <w:p w14:paraId="3D9E1211">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盐边县中学校发展资金，是按照县委、县政府所确定的盐边县中学校支持政策，结合我校实际进行的。该项目的实施是为了我校2023年各项教育教学目标任务得以圆满完成，绩效目标设置与学校年度工作目标相一致，项目申报内容与具体实施内容相符、申报目标合理可行。</w:t>
      </w:r>
    </w:p>
    <w:p w14:paraId="37431B0E">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二、项目实施及管理情况</w:t>
      </w:r>
    </w:p>
    <w:p w14:paraId="6B65CDB7">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（一）资金计划、到位及使用情况。</w:t>
      </w:r>
    </w:p>
    <w:p w14:paraId="47619A55">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1.资金计划及到位。</w:t>
      </w:r>
    </w:p>
    <w:p w14:paraId="30EB4925">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根据2023年2月4日盐边县第十九届人民代表大会第三次会议批准的盐边县2023年县本级财政预算，现按照《中 华人民共和国预算法》《中华人民共和国预算法实施条例》 的相关规定，经县政府同意，批复下达给盐边县中学校发展资金960万元,资金准确及时到位。</w:t>
      </w:r>
    </w:p>
    <w:p w14:paraId="05AF7CE0">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2.资金使用。</w:t>
      </w:r>
    </w:p>
    <w:p w14:paraId="39286EF2">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截至评价时项目资金的实际支出685.53万元，资金用于支付2023年度高中优秀学生开学奖学金、年高中优秀困难学生生活补助、本科上线补习生困难补助、年本科上线应届择校生困难补助、临聘人员工资、2022年教师接送车租车费、维修（护）费、水电费、办公费等学校运转所需资金（教师超工作量绩效、2022年高考质量考核奖励性绩效、2022年校长及中层干部考核绩效未支付，未支付的原因是上级正在考核中，没有考核结论），支付依据合规合法，资金支付与预算基本相符。</w:t>
      </w:r>
    </w:p>
    <w:p w14:paraId="56EEDDF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（二）项目财务管理情况。</w:t>
      </w:r>
    </w:p>
    <w:p w14:paraId="3EA3DE8D">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实施过程中，我校制定了详细的资金使用方案，严格执行相关法律法规及项目管理制度，单位财务管理制度健全，严格执行财务管理制度，接受各级监管部门的监督。评价项目严格执行财务管理制度、财务处理及时、会计核算规范。</w:t>
      </w:r>
    </w:p>
    <w:p w14:paraId="43F1D039">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（三）项目组织实施情况。</w:t>
      </w:r>
    </w:p>
    <w:p w14:paraId="488FCD81">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我校严格按照相关管理制度及管理规定，通过比选方式对学生食堂用电线路改造及学校节水系统改造项目组织实施。</w:t>
      </w:r>
    </w:p>
    <w:p w14:paraId="0C37BF36">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三、项目绩效情况</w:t>
      </w:r>
      <w:r>
        <w:rPr>
          <w:rFonts w:eastAsia="黑体"/>
          <w:color w:val="auto"/>
          <w:sz w:val="32"/>
          <w:szCs w:val="32"/>
        </w:rPr>
        <w:tab/>
      </w:r>
    </w:p>
    <w:p w14:paraId="34CA6674">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（一）项目完成情况。</w:t>
      </w:r>
    </w:p>
    <w:p w14:paraId="541E2F42">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项目在规定时间内圆满完成2023年度高中优秀学生开学奖学金、年高中优秀困难学生生活补助、本科上线补习生困难补助、年本科上线应届择校生困难补助、临聘人员工资、2022年教师接送车租车费、维修（护）费、水电费、办公费等学校运转所需资金的支付，项目完成情况较好。</w:t>
      </w:r>
    </w:p>
    <w:p w14:paraId="3ABE102F">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（二）项目效益情况。</w:t>
      </w:r>
    </w:p>
    <w:p w14:paraId="389BF9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olor w:val="auto"/>
          <w:sz w:val="32"/>
          <w:szCs w:val="32"/>
        </w:rPr>
      </w:pPr>
      <w:r>
        <w:rPr>
          <w:rFonts w:hint="eastAsia" w:ascii="仿宋_GB2312" w:hAnsi="Times New Roman" w:eastAsia="仿宋_GB2312" w:cs="Times New Roman"/>
          <w:b/>
          <w:bCs/>
          <w:sz w:val="32"/>
          <w:szCs w:val="32"/>
          <w:lang w:val="zh-CN"/>
        </w:rPr>
        <w:t>1.党建工作：</w:t>
      </w:r>
      <w:r>
        <w:rPr>
          <w:rFonts w:hint="eastAsia" w:ascii="仿宋_GB2312" w:hAnsi="Times New Roman" w:eastAsia="仿宋_GB2312" w:cs="Times New Roman"/>
          <w:sz w:val="32"/>
          <w:szCs w:val="32"/>
          <w:lang w:val="zh-CN"/>
        </w:rPr>
        <w:t>学校加强党的政治建设、思想建设、组织建设、党风廉政建设、加强学校意识形态工作、加强教师师德师风建设。按期组织党总支大会、党小组会议，</w:t>
      </w:r>
      <w:r>
        <w:rPr>
          <w:rFonts w:hint="eastAsia" w:ascii="仿宋_GB2312" w:hAnsi="Times New Roman" w:eastAsia="仿宋_GB2312" w:cs="Times New Roman"/>
          <w:b/>
          <w:bCs/>
          <w:sz w:val="32"/>
          <w:szCs w:val="32"/>
          <w:lang w:val="zh-CN"/>
        </w:rPr>
        <w:t xml:space="preserve"> 2.德育工作：</w:t>
      </w:r>
      <w:r>
        <w:rPr>
          <w:rFonts w:hint="eastAsia" w:ascii="仿宋_GB2312" w:hAnsi="Times New Roman" w:eastAsia="仿宋_GB2312" w:cs="Times New Roman"/>
          <w:sz w:val="32"/>
          <w:szCs w:val="32"/>
          <w:lang w:val="zh-CN"/>
        </w:rPr>
        <w:t>扎实并创新开展学生思想教育工作。推进班级文化建设，促进学生自主发展。做好家庭经济困难学生的资助帮扶工作。组织好家长学校活动，加强家校联系。</w:t>
      </w:r>
      <w:r>
        <w:rPr>
          <w:rFonts w:hint="eastAsia" w:ascii="仿宋_GB2312" w:hAnsi="Times New Roman" w:eastAsia="仿宋_GB2312" w:cs="Times New Roman"/>
          <w:b/>
          <w:bCs/>
          <w:sz w:val="32"/>
          <w:szCs w:val="32"/>
          <w:lang w:val="zh-CN"/>
        </w:rPr>
        <w:t>3.教学工作：</w:t>
      </w:r>
      <w:r>
        <w:rPr>
          <w:rFonts w:hint="eastAsia" w:ascii="仿宋_GB2312" w:hAnsi="Times New Roman" w:eastAsia="仿宋_GB2312" w:cs="Times New Roman"/>
          <w:sz w:val="32"/>
          <w:szCs w:val="32"/>
          <w:lang w:val="zh-CN"/>
        </w:rPr>
        <w:t>切实规范常规教学管理，构建高效教学体系。扎实有效做好高考备考工作。教学质量稳步提升。</w:t>
      </w:r>
      <w:r>
        <w:rPr>
          <w:rFonts w:hint="eastAsia" w:ascii="仿宋_GB2312" w:hAnsi="Times New Roman" w:eastAsia="仿宋_GB2312" w:cs="Times New Roman"/>
          <w:b/>
          <w:bCs/>
          <w:sz w:val="32"/>
          <w:szCs w:val="32"/>
          <w:lang w:val="zh-CN"/>
        </w:rPr>
        <w:t>4.安全工作：</w:t>
      </w:r>
      <w:bookmarkStart w:id="55" w:name="_GoBack"/>
      <w:bookmarkEnd w:id="55"/>
      <w:r>
        <w:rPr>
          <w:rFonts w:hint="eastAsia" w:ascii="仿宋_GB2312" w:eastAsia="仿宋_GB2312" w:cs="Times New Roman"/>
          <w:sz w:val="32"/>
          <w:szCs w:val="32"/>
          <w:lang w:val="zh-CN"/>
        </w:rPr>
        <w:t>坚持不懈</w:t>
      </w:r>
      <w:r>
        <w:rPr>
          <w:rFonts w:hint="eastAsia" w:ascii="仿宋_GB2312" w:hAnsi="Times New Roman" w:eastAsia="仿宋_GB2312" w:cs="Times New Roman"/>
          <w:sz w:val="32"/>
          <w:szCs w:val="32"/>
          <w:lang w:val="zh-CN"/>
        </w:rPr>
        <w:t>地抓好安全常规工作。学校安全无重大事故发生。</w:t>
      </w:r>
      <w:r>
        <w:rPr>
          <w:rFonts w:hint="eastAsia" w:ascii="仿宋_GB2312" w:hAnsi="Times New Roman" w:eastAsia="仿宋_GB2312" w:cs="Times New Roman"/>
          <w:b/>
          <w:bCs/>
          <w:sz w:val="32"/>
          <w:szCs w:val="32"/>
          <w:lang w:val="zh-CN"/>
        </w:rPr>
        <w:t>5.后勤保障工作：</w:t>
      </w:r>
      <w:r>
        <w:rPr>
          <w:rFonts w:hint="eastAsia" w:ascii="仿宋_GB2312" w:hAnsi="Times New Roman" w:eastAsia="仿宋_GB2312" w:cs="Times New Roman"/>
          <w:sz w:val="32"/>
          <w:szCs w:val="32"/>
          <w:lang w:val="zh-CN"/>
        </w:rPr>
        <w:t>规范化管理，服务师生，稳步、安全，抓好花园校园打造工作，进一步美化、绿化、亮化校园，狠抓食堂食品安全管理，督促从业人员规范经营。圆满完成2023年目标任务，从该项目经济效益、社会效益、生态效益、可持续效益以及服务对象满意度等方面来看，都能达到预期的效果。</w:t>
      </w:r>
    </w:p>
    <w:p w14:paraId="2B536A1B">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四、问题及建议</w:t>
      </w:r>
    </w:p>
    <w:p w14:paraId="20E501B8">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（一）存在的问题。</w:t>
      </w:r>
    </w:p>
    <w:p w14:paraId="4B1F5C1C">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在该项目的实施过程中我校对于项目的预算执行不到位，预算编制过程中精细化程度不够，今后在预算编制精细化上有待提高。</w:t>
      </w:r>
    </w:p>
    <w:p w14:paraId="067FEB8B">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（二）相关建议。</w:t>
      </w:r>
    </w:p>
    <w:p w14:paraId="03288FC6">
      <w:pPr>
        <w:pageBreakBefore w:val="0"/>
        <w:kinsoku/>
        <w:wordWrap/>
        <w:overflowPunct/>
        <w:topLinePunct w:val="0"/>
        <w:autoSpaceDE/>
        <w:autoSpaceDN/>
        <w:bidi w:val="0"/>
        <w:spacing w:line="560" w:lineRule="exact"/>
        <w:ind w:firstLine="800" w:firstLineChars="250"/>
        <w:textAlignment w:val="auto"/>
        <w:rPr>
          <w:rFonts w:eastAsia="仿宋_GB2312"/>
          <w:color w:val="auto"/>
          <w:sz w:val="32"/>
          <w:szCs w:val="32"/>
        </w:rPr>
      </w:pPr>
      <w:r>
        <w:rPr>
          <w:rFonts w:hint="eastAsia" w:eastAsia="仿宋_GB2312"/>
          <w:color w:val="auto"/>
          <w:sz w:val="32"/>
          <w:szCs w:val="32"/>
        </w:rPr>
        <w:t>无</w:t>
      </w:r>
    </w:p>
    <w:p w14:paraId="55BC7464">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p>
    <w:p w14:paraId="18EF4D58">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p>
    <w:p w14:paraId="4A29C3E6">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p>
    <w:p w14:paraId="6581C495">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p>
    <w:p w14:paraId="7F6622CD">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p>
    <w:p w14:paraId="7E50E909">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r>
        <w:rPr>
          <w:rFonts w:hint="eastAsia" w:eastAsia="方正小标宋_GBK"/>
          <w:color w:val="auto"/>
          <w:sz w:val="44"/>
          <w:szCs w:val="44"/>
        </w:rPr>
        <w:t>盐边县中学校</w:t>
      </w:r>
    </w:p>
    <w:p w14:paraId="0A10BFD6">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r>
        <w:rPr>
          <w:rFonts w:hint="eastAsia" w:eastAsia="方正小标宋_GBK"/>
          <w:color w:val="auto"/>
          <w:sz w:val="44"/>
          <w:szCs w:val="44"/>
        </w:rPr>
        <w:t>2023预算</w:t>
      </w:r>
      <w:r>
        <w:rPr>
          <w:rFonts w:eastAsia="方正小标宋_GBK"/>
          <w:color w:val="auto"/>
          <w:sz w:val="44"/>
          <w:szCs w:val="44"/>
        </w:rPr>
        <w:t>项目支出绩效自评报告</w:t>
      </w:r>
    </w:p>
    <w:p w14:paraId="6EE59791">
      <w:pPr>
        <w:pageBreakBefore w:val="0"/>
        <w:kinsoku/>
        <w:wordWrap/>
        <w:overflowPunct/>
        <w:topLinePunct w:val="0"/>
        <w:autoSpaceDE/>
        <w:autoSpaceDN/>
        <w:bidi w:val="0"/>
        <w:spacing w:line="560" w:lineRule="exact"/>
        <w:ind w:firstLine="964" w:firstLineChars="300"/>
        <w:textAlignment w:val="auto"/>
        <w:rPr>
          <w:rFonts w:eastAsia="楷体_GB2312"/>
          <w:b/>
          <w:color w:val="auto"/>
          <w:sz w:val="32"/>
          <w:szCs w:val="32"/>
        </w:rPr>
      </w:pPr>
      <w:r>
        <w:rPr>
          <w:rFonts w:eastAsia="楷体_GB2312"/>
          <w:b/>
          <w:color w:val="auto"/>
          <w:sz w:val="32"/>
          <w:szCs w:val="32"/>
        </w:rPr>
        <w:t>（</w:t>
      </w:r>
      <w:r>
        <w:rPr>
          <w:rFonts w:hint="eastAsia" w:ascii="仿宋_GB2312" w:eastAsia="仿宋_GB2312"/>
          <w:color w:val="auto"/>
          <w:sz w:val="32"/>
          <w:szCs w:val="32"/>
        </w:rPr>
        <w:t>盐边县中学校新建初中部教学楼工程</w:t>
      </w:r>
      <w:r>
        <w:rPr>
          <w:rFonts w:eastAsia="楷体_GB2312"/>
          <w:b/>
          <w:color w:val="auto"/>
          <w:sz w:val="32"/>
          <w:szCs w:val="32"/>
        </w:rPr>
        <w:t>）</w:t>
      </w:r>
    </w:p>
    <w:p w14:paraId="1A74E5D6">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一、项目概况</w:t>
      </w:r>
    </w:p>
    <w:p w14:paraId="6ED792F8">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盐边县中学校新建初中部教学楼工程2021年2月开工，于2022年9月完工投入使用，但是配套设施及设施设备采购等尚未完成，2023年实施的主要内容是新建初中部教学楼工程配套项目——新建初中部教学楼围墙挡墙及场地硬化、新增箱变配电工程等内容。</w:t>
      </w:r>
    </w:p>
    <w:p w14:paraId="4DE56720">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hint="eastAsia" w:eastAsia="楷体_GB2312"/>
          <w:color w:val="auto"/>
          <w:sz w:val="32"/>
          <w:szCs w:val="32"/>
        </w:rPr>
        <w:t>（一）</w:t>
      </w:r>
      <w:r>
        <w:rPr>
          <w:rFonts w:eastAsia="楷体_GB2312"/>
          <w:color w:val="auto"/>
          <w:sz w:val="32"/>
          <w:szCs w:val="32"/>
        </w:rPr>
        <w:t>项目资金申报及批复情况。</w:t>
      </w:r>
    </w:p>
    <w:p w14:paraId="020A84B8">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盐边县中学校新建初中部教学楼工程资金，是由学校向盐边县教育和体育局及财政局提出申报，纳入预算批复的项目。</w:t>
      </w:r>
    </w:p>
    <w:p w14:paraId="465A477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（二）项目绩效目标。</w:t>
      </w:r>
    </w:p>
    <w:p w14:paraId="1BAE47E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该项目资金完成了新建初中部教学楼围墙挡墙及场地硬化、新增箱变配电工程等新建初中部教学楼工程配套项目，改善了我学校的办学条件，提升我校师生的幸福感。</w:t>
      </w:r>
    </w:p>
    <w:p w14:paraId="18A4FB12">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（三）项目资金申报相符性。</w:t>
      </w:r>
    </w:p>
    <w:p w14:paraId="56FB65B3">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eastAsia="仿宋_GB2312"/>
          <w:color w:val="auto"/>
          <w:sz w:val="32"/>
          <w:szCs w:val="32"/>
        </w:rPr>
        <w:t>项目申报内容与具体实施内容相符、申报目标合理可行。</w:t>
      </w:r>
    </w:p>
    <w:p w14:paraId="51FAF2DB">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二、项目实施及管理情况</w:t>
      </w:r>
    </w:p>
    <w:p w14:paraId="10D13B78">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（一）资金计划、到位及使用情况。</w:t>
      </w:r>
    </w:p>
    <w:p w14:paraId="4C152EF3">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1.资金计划及到位。</w:t>
      </w:r>
    </w:p>
    <w:p w14:paraId="7CF33F64">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rPr>
        <w:t>盐边县中学校新建初中部教学楼工程下达项目</w:t>
      </w:r>
      <w:r>
        <w:rPr>
          <w:rFonts w:hint="eastAsia" w:eastAsia="仿宋_GB2312"/>
          <w:color w:val="auto"/>
          <w:sz w:val="32"/>
          <w:szCs w:val="32"/>
        </w:rPr>
        <w:t>资金222.11万元,资金及时到位</w:t>
      </w:r>
      <w:r>
        <w:rPr>
          <w:rFonts w:eastAsia="仿宋_GB2312"/>
          <w:color w:val="auto"/>
          <w:sz w:val="32"/>
          <w:szCs w:val="32"/>
        </w:rPr>
        <w:t>。</w:t>
      </w:r>
    </w:p>
    <w:p w14:paraId="7857D574">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2.资金使用。</w:t>
      </w:r>
    </w:p>
    <w:p w14:paraId="0329CEDB">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hAnsi="Times New Roman" w:eastAsia="仿宋_GB2312" w:cs="Times New Roman"/>
          <w:sz w:val="32"/>
          <w:szCs w:val="32"/>
          <w:lang w:val="zh-CN"/>
        </w:rPr>
        <w:t>截至评价时项目资金的实际支出222.11万元，资金用于支付新建初中部教学楼围墙挡墙及场地硬化、新增箱变配电工程等新建初中部教学楼工程配套项目，支付依据合规合法，资金支付与预算相符。</w:t>
      </w:r>
    </w:p>
    <w:p w14:paraId="1154995F">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（二）项目财务管理情况。</w:t>
      </w:r>
    </w:p>
    <w:p w14:paraId="55975422">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实施过程中，我校制定了详细的资金使用方案，严格执行相关法律法规及项目管理制度，单位财务管理制度健全，严格执行财务管理制度，接受各级监管部门的监督。评价项目严格执行财务管理制度、财务处理及时、会计核算规范。</w:t>
      </w:r>
    </w:p>
    <w:p w14:paraId="6803111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（三）项目组织实施情况。</w:t>
      </w:r>
    </w:p>
    <w:p w14:paraId="2EAC741D">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我校严格按照相关管理制度及管理规定，通过公开招标或者政府采购等方式对新建初中部教学楼围墙挡墙及场地硬化、新增箱变配电工程等新建初中部教学楼工程配套项目组织实施。</w:t>
      </w:r>
    </w:p>
    <w:p w14:paraId="3FBE336D">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三、项目绩效情况</w:t>
      </w:r>
      <w:r>
        <w:rPr>
          <w:rFonts w:eastAsia="黑体"/>
          <w:color w:val="auto"/>
          <w:sz w:val="32"/>
          <w:szCs w:val="32"/>
        </w:rPr>
        <w:tab/>
      </w:r>
    </w:p>
    <w:p w14:paraId="265A6E2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（一）项目完成情况。</w:t>
      </w:r>
    </w:p>
    <w:p w14:paraId="20E6B0B5">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项目在规定时间内圆满完成新建初中部教学楼围墙挡墙及场地硬化、新增箱变配电工程等新建初中部教学楼工程配套项目，质量合格，项目完成情况良好。</w:t>
      </w:r>
    </w:p>
    <w:p w14:paraId="65A5812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（二）项目效益情况。</w:t>
      </w:r>
    </w:p>
    <w:p w14:paraId="1ED7EEEB">
      <w:pPr>
        <w:pageBreakBefore w:val="0"/>
        <w:kinsoku/>
        <w:wordWrap/>
        <w:overflowPunct/>
        <w:topLinePunct w:val="0"/>
        <w:autoSpaceDE/>
        <w:autoSpaceDN/>
        <w:bidi w:val="0"/>
        <w:spacing w:line="560" w:lineRule="exact"/>
        <w:ind w:firstLine="640" w:firstLineChars="200"/>
        <w:textAlignment w:val="auto"/>
        <w:rPr>
          <w:rFonts w:ascii="仿宋_GB2312" w:hAnsi="宋体" w:eastAsia="仿宋_GB2312"/>
          <w:color w:val="auto"/>
          <w:sz w:val="32"/>
          <w:szCs w:val="32"/>
        </w:rPr>
      </w:pPr>
      <w:r>
        <w:rPr>
          <w:rFonts w:hint="eastAsia" w:ascii="仿宋_GB2312" w:hAnsi="Times New Roman" w:eastAsia="仿宋_GB2312" w:cs="Times New Roman"/>
          <w:sz w:val="32"/>
          <w:szCs w:val="32"/>
          <w:lang w:val="zh-CN"/>
        </w:rPr>
        <w:t>新建初中部教学楼围墙挡墙及场地硬化、新增箱变配电工程等新建初中部教学楼工程配套项目的实施，将极大的改善我校的办学条件。从该项目经济效益、社会效益、生态效益、可持续效益以及服务对象满意度等方面来看，都能达到预期的效果。</w:t>
      </w:r>
    </w:p>
    <w:p w14:paraId="23748E1B">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四、问题及建议</w:t>
      </w:r>
    </w:p>
    <w:p w14:paraId="7048837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（一）存在的问题。</w:t>
      </w:r>
    </w:p>
    <w:p w14:paraId="7AAF0FDA">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在该项目的实施过程中，学校对项目的推动缓慢，绩效管理工作经验不足，整体绩效水平不高。</w:t>
      </w:r>
    </w:p>
    <w:p w14:paraId="375232FE">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（二）相关建议。</w:t>
      </w:r>
    </w:p>
    <w:p w14:paraId="1784D2F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建议学校加强项目监督管理。</w:t>
      </w:r>
    </w:p>
    <w:p w14:paraId="0575F19D">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p>
    <w:p w14:paraId="08D0D7E0">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48197D3F">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5CE6A111">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03E086ED">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1DC9494B">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21CD6811">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7F5C595E">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660BAFB7">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37EFE796">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212AEFBE">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638687A2">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61874526">
      <w:pPr>
        <w:pageBreakBefore w:val="0"/>
        <w:kinsoku/>
        <w:wordWrap/>
        <w:overflowPunct/>
        <w:topLinePunct w:val="0"/>
        <w:autoSpaceDE/>
        <w:autoSpaceDN/>
        <w:bidi w:val="0"/>
        <w:spacing w:line="560" w:lineRule="exact"/>
        <w:ind w:firstLine="880" w:firstLineChars="200"/>
        <w:textAlignment w:val="auto"/>
        <w:rPr>
          <w:rFonts w:eastAsia="方正小标宋_GBK"/>
          <w:color w:val="auto"/>
          <w:sz w:val="44"/>
          <w:szCs w:val="44"/>
        </w:rPr>
      </w:pPr>
    </w:p>
    <w:p w14:paraId="4AF8E0DF">
      <w:pPr>
        <w:pageBreakBefore w:val="0"/>
        <w:kinsoku/>
        <w:wordWrap/>
        <w:overflowPunct/>
        <w:topLinePunct w:val="0"/>
        <w:autoSpaceDE/>
        <w:autoSpaceDN/>
        <w:bidi w:val="0"/>
        <w:spacing w:line="560" w:lineRule="exact"/>
        <w:ind w:firstLine="2640" w:firstLineChars="600"/>
        <w:textAlignment w:val="auto"/>
        <w:rPr>
          <w:rFonts w:eastAsia="方正小标宋_GBK"/>
          <w:color w:val="auto"/>
          <w:sz w:val="44"/>
          <w:szCs w:val="44"/>
        </w:rPr>
      </w:pPr>
      <w:r>
        <w:rPr>
          <w:rFonts w:hint="eastAsia" w:eastAsia="方正小标宋_GBK"/>
          <w:color w:val="auto"/>
          <w:sz w:val="44"/>
          <w:szCs w:val="44"/>
        </w:rPr>
        <w:t>盐边县中学校</w:t>
      </w:r>
    </w:p>
    <w:p w14:paraId="6E05E9C3">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r>
        <w:rPr>
          <w:rFonts w:hint="eastAsia" w:eastAsia="方正小标宋_GBK"/>
          <w:color w:val="auto"/>
          <w:sz w:val="44"/>
          <w:szCs w:val="44"/>
        </w:rPr>
        <w:t>2023预算</w:t>
      </w:r>
      <w:r>
        <w:rPr>
          <w:rFonts w:eastAsia="方正小标宋_GBK"/>
          <w:color w:val="auto"/>
          <w:sz w:val="44"/>
          <w:szCs w:val="44"/>
        </w:rPr>
        <w:t>项目支出绩效自评报告</w:t>
      </w:r>
    </w:p>
    <w:p w14:paraId="0F42BA30">
      <w:pPr>
        <w:pageBreakBefore w:val="0"/>
        <w:kinsoku/>
        <w:wordWrap/>
        <w:overflowPunct/>
        <w:topLinePunct w:val="0"/>
        <w:autoSpaceDE/>
        <w:autoSpaceDN/>
        <w:bidi w:val="0"/>
        <w:spacing w:line="560" w:lineRule="exact"/>
        <w:ind w:firstLine="643" w:firstLineChars="200"/>
        <w:textAlignment w:val="auto"/>
        <w:rPr>
          <w:rFonts w:eastAsia="楷体_GB2312"/>
          <w:b/>
          <w:color w:val="auto"/>
          <w:sz w:val="32"/>
          <w:szCs w:val="32"/>
        </w:rPr>
      </w:pPr>
      <w:r>
        <w:rPr>
          <w:rFonts w:eastAsia="楷体_GB2312"/>
          <w:b/>
          <w:color w:val="auto"/>
          <w:sz w:val="32"/>
          <w:szCs w:val="32"/>
        </w:rPr>
        <w:t>（</w:t>
      </w:r>
      <w:r>
        <w:rPr>
          <w:rFonts w:hint="eastAsia" w:eastAsia="仿宋_GB2312"/>
          <w:color w:val="auto"/>
          <w:sz w:val="32"/>
          <w:szCs w:val="32"/>
        </w:rPr>
        <w:t>盐边县中学校高考标准化考场升级改造项目</w:t>
      </w:r>
      <w:r>
        <w:rPr>
          <w:rFonts w:eastAsia="楷体_GB2312"/>
          <w:b/>
          <w:color w:val="auto"/>
          <w:sz w:val="32"/>
          <w:szCs w:val="32"/>
        </w:rPr>
        <w:t>）</w:t>
      </w:r>
    </w:p>
    <w:p w14:paraId="0AB2B583">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一、项目概况</w:t>
      </w:r>
    </w:p>
    <w:p w14:paraId="4B9DBB46">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hAnsi="Times New Roman" w:eastAsia="仿宋_GB2312" w:cs="Times New Roman"/>
          <w:sz w:val="32"/>
          <w:szCs w:val="32"/>
          <w:lang w:val="zh-CN"/>
        </w:rPr>
        <w:t>盐边县中学校高考标准化考场已经无法满足高考考试需要，为了确保2023年高考顺利在我校举行，需要将盐边县中学校标准化考点进行升级改造，把初中部26间教室改造为高考标准考场,每间教室需要安装空调、监控设备、高考听力系统、备用电源UPS等设施设备。</w:t>
      </w:r>
    </w:p>
    <w:p w14:paraId="4A2FE560">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hint="eastAsia" w:eastAsia="楷体_GB2312"/>
          <w:color w:val="auto"/>
          <w:sz w:val="32"/>
          <w:szCs w:val="32"/>
        </w:rPr>
        <w:t>（一）</w:t>
      </w:r>
      <w:r>
        <w:rPr>
          <w:rFonts w:eastAsia="楷体_GB2312"/>
          <w:color w:val="auto"/>
          <w:sz w:val="32"/>
          <w:szCs w:val="32"/>
        </w:rPr>
        <w:t>项目资金申报及批复情况。</w:t>
      </w:r>
    </w:p>
    <w:p w14:paraId="324420E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盐边县中学校高考标准化考场升级改造项目资金，是经过盐边县财政局预审会通过并报请经县政府批准的部门专项资金。</w:t>
      </w:r>
    </w:p>
    <w:p w14:paraId="5D47E18A">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（二）项目绩效目标。</w:t>
      </w:r>
    </w:p>
    <w:p w14:paraId="3ED4D339">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完成盐边县中学校标准化考点进行升级改造，把初中部26间教室改造为高考标准考场，圆满完成2023年高考工作。</w:t>
      </w:r>
    </w:p>
    <w:p w14:paraId="2E438AD3">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（三）项目资金申报相符性。</w:t>
      </w:r>
    </w:p>
    <w:p w14:paraId="5030A726">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盐边县中学校高考标准化考场升级改造项目资金，是结合我校实际进行的。该项目的实施是为了改善我校办学条件，圆满完成2023年高考目标任务，绩效目标设置与学校年度工作目标相一致，与学校办学方向一致，项目申报内容与具体实施内容相符、申报目标合理可行。</w:t>
      </w:r>
    </w:p>
    <w:p w14:paraId="4AD55783">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二、项目实施及管理情况</w:t>
      </w:r>
    </w:p>
    <w:p w14:paraId="2763CA39">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（一）资金计划、到位及使用情况。</w:t>
      </w:r>
    </w:p>
    <w:p w14:paraId="13616980">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1.资金计划及到位。</w:t>
      </w:r>
    </w:p>
    <w:p w14:paraId="760A6C2A">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hAnsi="Times New Roman" w:eastAsia="仿宋_GB2312" w:cs="Times New Roman"/>
          <w:sz w:val="32"/>
          <w:szCs w:val="32"/>
          <w:lang w:val="zh-CN"/>
        </w:rPr>
        <w:t>根据2023年2月27日盐财资综【2023】27号文，下达盐边县中学校高考标准化考场升级改造项目80万元,资金准确及时到位</w:t>
      </w:r>
      <w:r>
        <w:rPr>
          <w:rFonts w:eastAsia="仿宋_GB2312"/>
          <w:color w:val="auto"/>
          <w:sz w:val="32"/>
          <w:szCs w:val="32"/>
        </w:rPr>
        <w:t>。</w:t>
      </w:r>
    </w:p>
    <w:p w14:paraId="6096F236">
      <w:pPr>
        <w:pageBreakBefore w:val="0"/>
        <w:kinsoku/>
        <w:wordWrap/>
        <w:overflowPunct/>
        <w:topLinePunct w:val="0"/>
        <w:autoSpaceDE/>
        <w:autoSpaceDN/>
        <w:bidi w:val="0"/>
        <w:spacing w:line="560" w:lineRule="exact"/>
        <w:ind w:firstLine="643" w:firstLineChars="200"/>
        <w:textAlignment w:val="auto"/>
        <w:rPr>
          <w:rFonts w:eastAsia="仿宋_GB2312"/>
          <w:b/>
          <w:color w:val="auto"/>
          <w:sz w:val="32"/>
          <w:szCs w:val="32"/>
        </w:rPr>
      </w:pPr>
      <w:r>
        <w:rPr>
          <w:rFonts w:eastAsia="仿宋_GB2312"/>
          <w:b/>
          <w:color w:val="auto"/>
          <w:sz w:val="32"/>
          <w:szCs w:val="32"/>
        </w:rPr>
        <w:t>2.资金使用。</w:t>
      </w:r>
    </w:p>
    <w:p w14:paraId="68B1F614">
      <w:pPr>
        <w:pageBreakBefore w:val="0"/>
        <w:kinsoku/>
        <w:wordWrap/>
        <w:overflowPunct/>
        <w:topLinePunct w:val="0"/>
        <w:autoSpaceDE/>
        <w:autoSpaceDN/>
        <w:bidi w:val="0"/>
        <w:spacing w:line="560" w:lineRule="exact"/>
        <w:ind w:firstLine="640" w:firstLineChars="200"/>
        <w:textAlignment w:val="auto"/>
        <w:rPr>
          <w:rFonts w:eastAsia="仿宋_GB2312"/>
          <w:color w:val="auto"/>
          <w:sz w:val="32"/>
          <w:szCs w:val="32"/>
        </w:rPr>
      </w:pPr>
      <w:r>
        <w:rPr>
          <w:rFonts w:hint="eastAsia" w:ascii="仿宋_GB2312" w:hAnsi="Times New Roman" w:eastAsia="仿宋_GB2312" w:cs="Times New Roman"/>
          <w:sz w:val="32"/>
          <w:szCs w:val="32"/>
          <w:lang w:val="zh-CN"/>
        </w:rPr>
        <w:t>截至评价时项目资金的实际支出79.84万元，资金用于支付盐边县中学校高考标准化考场升级改造采购经费，支付依据合规合法，资金支付与预算基本相符。</w:t>
      </w:r>
    </w:p>
    <w:p w14:paraId="0848121A">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（二）项目财务管理情况。</w:t>
      </w:r>
    </w:p>
    <w:p w14:paraId="7A8FD768">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该项目实施过程中，我校制定了详细的资金使用方案，严格执行相关法律法规及项目管理制度，单位财务管理制度健全，严格执行财务管理制度，接受各级监管部门的监督。评价项目严格执行财务管理制度、财务处理及时、会计核算规范。</w:t>
      </w:r>
    </w:p>
    <w:p w14:paraId="333853B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（三）项目组织实施情况。</w:t>
      </w:r>
    </w:p>
    <w:p w14:paraId="71CB13C8">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我校严格按照相关管理制度及管理规定，通过政府采购方式盐边县中学校高考标准化考场升级改造项目组织实施。</w:t>
      </w:r>
    </w:p>
    <w:p w14:paraId="1E5C5544">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三、项目绩效情况</w:t>
      </w:r>
      <w:r>
        <w:rPr>
          <w:rFonts w:eastAsia="黑体"/>
          <w:color w:val="auto"/>
          <w:sz w:val="32"/>
          <w:szCs w:val="32"/>
        </w:rPr>
        <w:tab/>
      </w:r>
    </w:p>
    <w:p w14:paraId="763E802C">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（一）项目完成情况。</w:t>
      </w:r>
    </w:p>
    <w:p w14:paraId="5CDECDE8">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项目在规定时间内圆满完成盐边县中学校标准化考点进行升级改造，把初中部26间教室改造为高考标准考场,每间教室安装空调、监控设备、高考听力系统、备用电源UPS等设施设备，项目完成情况好。</w:t>
      </w:r>
    </w:p>
    <w:p w14:paraId="7AB1457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（二）项目效益情况。</w:t>
      </w:r>
    </w:p>
    <w:p w14:paraId="577D72C3">
      <w:pPr>
        <w:pageBreakBefore w:val="0"/>
        <w:suppressAutoHyphens/>
        <w:kinsoku/>
        <w:wordWrap/>
        <w:overflowPunct/>
        <w:topLinePunct w:val="0"/>
        <w:autoSpaceDE/>
        <w:autoSpaceDN/>
        <w:bidi w:val="0"/>
        <w:adjustRightInd w:val="0"/>
        <w:snapToGrid w:val="0"/>
        <w:spacing w:line="560" w:lineRule="exact"/>
        <w:ind w:firstLine="640" w:firstLineChars="200"/>
        <w:textAlignment w:val="auto"/>
        <w:rPr>
          <w:rFonts w:ascii="楷体_GB2312" w:hAnsi="宋体" w:eastAsia="仿宋_GB2312"/>
          <w:b/>
          <w:color w:val="auto"/>
          <w:sz w:val="32"/>
          <w:szCs w:val="32"/>
        </w:rPr>
      </w:pPr>
      <w:r>
        <w:rPr>
          <w:rFonts w:hint="eastAsia" w:ascii="仿宋_GB2312" w:hAnsi="Times New Roman" w:eastAsia="仿宋_GB2312" w:cs="Times New Roman"/>
          <w:sz w:val="32"/>
          <w:szCs w:val="32"/>
          <w:lang w:val="zh-CN"/>
        </w:rPr>
        <w:t>本项目虽不直接产生经济效益，但是项目的社会效益比较明显，改善的我校办学条件，保证2023年高考顺利进行，学校教学质量进一步提升。学生、家长和教师的满意度均大于95%。圆满完成学校2023年目标任务，从该项目社会效益、生态效益、可持续效益以及服务对象满意度等方面来看，都能达到预期的效果。</w:t>
      </w:r>
    </w:p>
    <w:p w14:paraId="068732C5">
      <w:pPr>
        <w:pageBreakBefore w:val="0"/>
        <w:kinsoku/>
        <w:wordWrap/>
        <w:overflowPunct/>
        <w:topLinePunct w:val="0"/>
        <w:autoSpaceDE/>
        <w:autoSpaceDN/>
        <w:bidi w:val="0"/>
        <w:spacing w:line="560" w:lineRule="exact"/>
        <w:ind w:firstLine="640" w:firstLineChars="200"/>
        <w:textAlignment w:val="auto"/>
        <w:rPr>
          <w:rFonts w:eastAsia="黑体"/>
          <w:color w:val="auto"/>
          <w:sz w:val="32"/>
          <w:szCs w:val="32"/>
        </w:rPr>
      </w:pPr>
      <w:r>
        <w:rPr>
          <w:rFonts w:eastAsia="黑体"/>
          <w:color w:val="auto"/>
          <w:sz w:val="32"/>
          <w:szCs w:val="32"/>
        </w:rPr>
        <w:t>四、问题及建议</w:t>
      </w:r>
    </w:p>
    <w:p w14:paraId="3A1A4FE0">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（一）存在的问题。</w:t>
      </w:r>
    </w:p>
    <w:p w14:paraId="3415EE5F">
      <w:pPr>
        <w:ind w:firstLine="640" w:firstLineChars="200"/>
        <w:rPr>
          <w:rFonts w:hint="eastAsia" w:ascii="仿宋_GB2312" w:hAnsi="Times New Roman" w:eastAsia="仿宋_GB2312" w:cs="Times New Roman"/>
          <w:sz w:val="32"/>
          <w:szCs w:val="32"/>
          <w:lang w:val="zh-CN"/>
        </w:rPr>
      </w:pPr>
      <w:r>
        <w:rPr>
          <w:rFonts w:hint="eastAsia" w:ascii="仿宋_GB2312" w:hAnsi="Times New Roman" w:eastAsia="仿宋_GB2312" w:cs="Times New Roman"/>
          <w:sz w:val="32"/>
          <w:szCs w:val="32"/>
          <w:lang w:val="zh-CN"/>
        </w:rPr>
        <w:t>在该项目的实施过程中我校对于项目的管理水平有待提高。</w:t>
      </w:r>
    </w:p>
    <w:p w14:paraId="5DA7C44D">
      <w:pPr>
        <w:pageBreakBefore w:val="0"/>
        <w:kinsoku/>
        <w:wordWrap/>
        <w:overflowPunct/>
        <w:topLinePunct w:val="0"/>
        <w:autoSpaceDE/>
        <w:autoSpaceDN/>
        <w:bidi w:val="0"/>
        <w:spacing w:line="560" w:lineRule="exact"/>
        <w:ind w:firstLine="640" w:firstLineChars="200"/>
        <w:textAlignment w:val="auto"/>
        <w:rPr>
          <w:rFonts w:eastAsia="楷体_GB2312"/>
          <w:color w:val="auto"/>
          <w:sz w:val="32"/>
          <w:szCs w:val="32"/>
        </w:rPr>
      </w:pPr>
      <w:r>
        <w:rPr>
          <w:rFonts w:eastAsia="楷体_GB2312"/>
          <w:color w:val="auto"/>
          <w:sz w:val="32"/>
          <w:szCs w:val="32"/>
        </w:rPr>
        <w:t>（二）相关建议。</w:t>
      </w:r>
    </w:p>
    <w:p w14:paraId="2FB9B270">
      <w:pPr>
        <w:pageBreakBefore w:val="0"/>
        <w:kinsoku/>
        <w:wordWrap/>
        <w:overflowPunct/>
        <w:topLinePunct w:val="0"/>
        <w:autoSpaceDE/>
        <w:autoSpaceDN/>
        <w:bidi w:val="0"/>
        <w:spacing w:line="560" w:lineRule="exact"/>
        <w:ind w:firstLine="800" w:firstLineChars="250"/>
        <w:textAlignment w:val="auto"/>
        <w:rPr>
          <w:rFonts w:eastAsia="仿宋_GB2312"/>
          <w:color w:val="auto"/>
          <w:sz w:val="32"/>
          <w:szCs w:val="32"/>
        </w:rPr>
      </w:pPr>
      <w:r>
        <w:rPr>
          <w:rFonts w:hint="eastAsia" w:eastAsia="仿宋_GB2312"/>
          <w:color w:val="auto"/>
          <w:sz w:val="32"/>
          <w:szCs w:val="32"/>
        </w:rPr>
        <w:t>无</w:t>
      </w:r>
    </w:p>
    <w:p w14:paraId="73AD9E2A">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034BF089">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5DCC86CD">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7FA4C4F2">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5542AFFA">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0DBF85BA">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7BF03195">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1E9DF904">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0098F63A">
      <w:pPr>
        <w:pageBreakBefore w:val="0"/>
        <w:kinsoku/>
        <w:wordWrap/>
        <w:overflowPunct/>
        <w:topLinePunct w:val="0"/>
        <w:autoSpaceDE/>
        <w:autoSpaceDN/>
        <w:bidi w:val="0"/>
        <w:spacing w:line="560" w:lineRule="exact"/>
        <w:jc w:val="center"/>
        <w:textAlignment w:val="auto"/>
        <w:rPr>
          <w:rFonts w:eastAsia="方正小标宋_GBK"/>
          <w:color w:val="auto"/>
          <w:sz w:val="44"/>
          <w:szCs w:val="44"/>
        </w:rPr>
      </w:pPr>
    </w:p>
    <w:p w14:paraId="5E9ED1E5">
      <w:pPr>
        <w:pageBreakBefore w:val="0"/>
        <w:kinsoku/>
        <w:wordWrap/>
        <w:overflowPunct/>
        <w:topLinePunct w:val="0"/>
        <w:autoSpaceDE/>
        <w:autoSpaceDN/>
        <w:bidi w:val="0"/>
        <w:spacing w:line="560" w:lineRule="exact"/>
        <w:textAlignment w:val="auto"/>
        <w:rPr>
          <w:color w:val="auto"/>
          <w:lang w:val="zh-CN"/>
        </w:rPr>
      </w:pPr>
    </w:p>
    <w:p w14:paraId="13C2CE77">
      <w:pPr>
        <w:pageBreakBefore w:val="0"/>
        <w:numPr>
          <w:ilvl w:val="0"/>
          <w:numId w:val="4"/>
        </w:numPr>
        <w:kinsoku/>
        <w:wordWrap/>
        <w:overflowPunct/>
        <w:topLinePunct w:val="0"/>
        <w:autoSpaceDE/>
        <w:autoSpaceDN/>
        <w:bidi w:val="0"/>
        <w:spacing w:line="560" w:lineRule="exact"/>
        <w:ind w:firstLine="880" w:firstLineChars="200"/>
        <w:jc w:val="center"/>
        <w:textAlignment w:val="auto"/>
        <w:rPr>
          <w:rFonts w:hint="eastAsia" w:ascii="黑体" w:hAnsi="黑体" w:eastAsia="黑体"/>
          <w:sz w:val="44"/>
          <w:szCs w:val="44"/>
        </w:rPr>
      </w:pPr>
      <w:r>
        <w:rPr>
          <w:rFonts w:hint="eastAsia" w:ascii="黑体" w:hAnsi="黑体" w:eastAsia="黑体"/>
          <w:sz w:val="44"/>
          <w:szCs w:val="44"/>
        </w:rPr>
        <w:t>附表</w:t>
      </w:r>
    </w:p>
    <w:p w14:paraId="02AE3914">
      <w:pPr>
        <w:pageBreakBefore w:val="0"/>
        <w:widowControl w:val="0"/>
        <w:numPr>
          <w:ilvl w:val="0"/>
          <w:numId w:val="0"/>
        </w:numPr>
        <w:kinsoku/>
        <w:wordWrap/>
        <w:overflowPunct/>
        <w:topLinePunct w:val="0"/>
        <w:autoSpaceDE/>
        <w:autoSpaceDN/>
        <w:bidi w:val="0"/>
        <w:spacing w:line="560" w:lineRule="exact"/>
        <w:jc w:val="center"/>
        <w:textAlignment w:val="auto"/>
        <w:rPr>
          <w:rFonts w:hint="eastAsia" w:ascii="黑体" w:hAnsi="黑体" w:eastAsia="黑体"/>
          <w:sz w:val="44"/>
          <w:szCs w:val="44"/>
        </w:rPr>
      </w:pPr>
    </w:p>
    <w:p w14:paraId="5D3F658B">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一、收入支出决算总表</w:t>
      </w:r>
    </w:p>
    <w:p w14:paraId="0622CC77">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二、收入决算表</w:t>
      </w:r>
    </w:p>
    <w:p w14:paraId="41EDA6E2">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三、支出决算表</w:t>
      </w:r>
    </w:p>
    <w:p w14:paraId="24D0239F">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四、财政拨款收入支出决算总表</w:t>
      </w:r>
    </w:p>
    <w:p w14:paraId="53175534">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五、财政拨款支出决算明细表</w:t>
      </w:r>
    </w:p>
    <w:p w14:paraId="1DA6992A">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六、一般公共预算财政拨款支出决算表</w:t>
      </w:r>
    </w:p>
    <w:p w14:paraId="1785769C">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七、一般公共预算财政拨款支出决算明细表</w:t>
      </w:r>
    </w:p>
    <w:p w14:paraId="3DEF58BC">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八、一般公共预算财政拨款基本支出决算表</w:t>
      </w:r>
    </w:p>
    <w:p w14:paraId="593AB56C">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九、一般公共预算财政拨款项目支出决算表</w:t>
      </w:r>
    </w:p>
    <w:p w14:paraId="2F2F3909">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十、政府性基金预算财政拨款收入支出决算表</w:t>
      </w:r>
    </w:p>
    <w:p w14:paraId="679F222D">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十一、国有资本经营预算财政拨款收入支出决算表</w:t>
      </w:r>
    </w:p>
    <w:p w14:paraId="1A1D221D">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十二、国有资本经营预算财政拨款支出决算表</w:t>
      </w:r>
    </w:p>
    <w:p w14:paraId="3BB2A0ED">
      <w:pPr>
        <w:pStyle w:val="4"/>
        <w:pageBreakBefore w:val="0"/>
        <w:kinsoku/>
        <w:wordWrap/>
        <w:overflowPunct/>
        <w:topLinePunct w:val="0"/>
        <w:bidi w:val="0"/>
        <w:spacing w:line="560" w:lineRule="exact"/>
        <w:textAlignment w:val="auto"/>
        <w:rPr>
          <w:rFonts w:hint="eastAsia" w:ascii="Times New Roman" w:hAnsi="Times New Roman" w:eastAsia="仿宋_GB2312" w:cs="Times New Roman"/>
          <w:b w:val="0"/>
        </w:rPr>
      </w:pPr>
      <w:r>
        <w:rPr>
          <w:rFonts w:hint="eastAsia" w:ascii="Times New Roman" w:hAnsi="Times New Roman" w:eastAsia="仿宋_GB2312" w:cs="Times New Roman"/>
          <w:b w:val="0"/>
        </w:rPr>
        <w:t>十三、财政拨款“三公”经费支出决算表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7309E580">
        <w:pPr>
          <w:pStyle w:val="11"/>
          <w:jc w:val="center"/>
        </w:pPr>
        <w:r>
          <w:fldChar w:fldCharType="begin"/>
        </w:r>
        <w:r>
          <w:instrText xml:space="preserve">PAGE   \* MERGEFORMAT</w:instrText>
        </w:r>
        <w:r>
          <w:fldChar w:fldCharType="separate"/>
        </w:r>
        <w:r>
          <w:rPr>
            <w:lang w:val="zh-CN"/>
          </w:rPr>
          <w:t>39</w:t>
        </w:r>
        <w:r>
          <w:fldChar w:fldCharType="end"/>
        </w:r>
      </w:p>
    </w:sdtContent>
  </w:sdt>
  <w:p w14:paraId="78293C6E">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D6939">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F19C6F3C"/>
    <w:multiLevelType w:val="singleLevel"/>
    <w:tmpl w:val="F19C6F3C"/>
    <w:lvl w:ilvl="0" w:tentative="0">
      <w:start w:val="3"/>
      <w:numFmt w:val="chineseCounting"/>
      <w:suff w:val="space"/>
      <w:lvlText w:val="第%1部分"/>
      <w:lvlJc w:val="left"/>
      <w:rPr>
        <w:rFonts w:hint="eastAsia"/>
      </w:rPr>
    </w:lvl>
  </w:abstractNum>
  <w:abstractNum w:abstractNumId="2">
    <w:nsid w:val="01CE833B"/>
    <w:multiLevelType w:val="singleLevel"/>
    <w:tmpl w:val="01CE833B"/>
    <w:lvl w:ilvl="0" w:tentative="0">
      <w:start w:val="2"/>
      <w:numFmt w:val="chineseCounting"/>
      <w:suff w:val="nothing"/>
      <w:lvlText w:val="（%1）"/>
      <w:lvlJc w:val="left"/>
      <w:rPr>
        <w:rFonts w:hint="eastAsia"/>
      </w:rPr>
    </w:lvl>
  </w:abstractNum>
  <w:abstractNum w:abstractNumId="3">
    <w:nsid w:val="78CF8C89"/>
    <w:multiLevelType w:val="singleLevel"/>
    <w:tmpl w:val="78CF8C89"/>
    <w:lvl w:ilvl="0" w:tentative="0">
      <w:start w:val="5"/>
      <w:numFmt w:val="chineseCounting"/>
      <w:suff w:val="space"/>
      <w:lvlText w:val="第%1部分"/>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wYjgyMzAyYjdlMTc0NjlhNjFkZTU2NDY0NzJjZGIifQ=="/>
  </w:docVars>
  <w:rsids>
    <w:rsidRoot w:val="00F1361C"/>
    <w:rsid w:val="00014A1C"/>
    <w:rsid w:val="000209F9"/>
    <w:rsid w:val="000222C6"/>
    <w:rsid w:val="0002549F"/>
    <w:rsid w:val="000314A0"/>
    <w:rsid w:val="00035392"/>
    <w:rsid w:val="000468DB"/>
    <w:rsid w:val="00050BC2"/>
    <w:rsid w:val="0006487A"/>
    <w:rsid w:val="00065F8F"/>
    <w:rsid w:val="00070A43"/>
    <w:rsid w:val="000768F2"/>
    <w:rsid w:val="00082EAC"/>
    <w:rsid w:val="0009184B"/>
    <w:rsid w:val="000939D0"/>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0F6DAF"/>
    <w:rsid w:val="00114E9B"/>
    <w:rsid w:val="00120F59"/>
    <w:rsid w:val="00142216"/>
    <w:rsid w:val="00144D6A"/>
    <w:rsid w:val="0014729F"/>
    <w:rsid w:val="00157BAB"/>
    <w:rsid w:val="001654D1"/>
    <w:rsid w:val="001730E5"/>
    <w:rsid w:val="00174518"/>
    <w:rsid w:val="0018106D"/>
    <w:rsid w:val="001877A7"/>
    <w:rsid w:val="00191536"/>
    <w:rsid w:val="00196687"/>
    <w:rsid w:val="001B5162"/>
    <w:rsid w:val="001C0962"/>
    <w:rsid w:val="001C2738"/>
    <w:rsid w:val="001D4D5A"/>
    <w:rsid w:val="001D7531"/>
    <w:rsid w:val="001E737D"/>
    <w:rsid w:val="001F0592"/>
    <w:rsid w:val="001F6419"/>
    <w:rsid w:val="001F7506"/>
    <w:rsid w:val="002006CD"/>
    <w:rsid w:val="00202B36"/>
    <w:rsid w:val="00204B7A"/>
    <w:rsid w:val="00204CDE"/>
    <w:rsid w:val="0021101A"/>
    <w:rsid w:val="00220536"/>
    <w:rsid w:val="00226CEF"/>
    <w:rsid w:val="002308CA"/>
    <w:rsid w:val="00235629"/>
    <w:rsid w:val="00247A74"/>
    <w:rsid w:val="00260289"/>
    <w:rsid w:val="00260C38"/>
    <w:rsid w:val="002616C0"/>
    <w:rsid w:val="0026183E"/>
    <w:rsid w:val="002643DB"/>
    <w:rsid w:val="00265372"/>
    <w:rsid w:val="002662AA"/>
    <w:rsid w:val="00272554"/>
    <w:rsid w:val="00280496"/>
    <w:rsid w:val="00283D47"/>
    <w:rsid w:val="00294DC9"/>
    <w:rsid w:val="00295495"/>
    <w:rsid w:val="002A31DE"/>
    <w:rsid w:val="002A62F7"/>
    <w:rsid w:val="002B2613"/>
    <w:rsid w:val="002C1468"/>
    <w:rsid w:val="002D6D05"/>
    <w:rsid w:val="002F1818"/>
    <w:rsid w:val="002F5109"/>
    <w:rsid w:val="002F567B"/>
    <w:rsid w:val="00313885"/>
    <w:rsid w:val="003216A9"/>
    <w:rsid w:val="00335A74"/>
    <w:rsid w:val="0036561B"/>
    <w:rsid w:val="0037013F"/>
    <w:rsid w:val="00380C92"/>
    <w:rsid w:val="00390F5A"/>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096B"/>
    <w:rsid w:val="00443880"/>
    <w:rsid w:val="004464F4"/>
    <w:rsid w:val="00447329"/>
    <w:rsid w:val="00455ADE"/>
    <w:rsid w:val="00471401"/>
    <w:rsid w:val="00472689"/>
    <w:rsid w:val="00473F31"/>
    <w:rsid w:val="0048263A"/>
    <w:rsid w:val="004826A2"/>
    <w:rsid w:val="00487E5D"/>
    <w:rsid w:val="004A711F"/>
    <w:rsid w:val="004B199D"/>
    <w:rsid w:val="004B4690"/>
    <w:rsid w:val="004E0A2D"/>
    <w:rsid w:val="004E206B"/>
    <w:rsid w:val="004E3607"/>
    <w:rsid w:val="004E6DF7"/>
    <w:rsid w:val="004F0FBD"/>
    <w:rsid w:val="004F4357"/>
    <w:rsid w:val="00505A47"/>
    <w:rsid w:val="00512FDA"/>
    <w:rsid w:val="00520DA0"/>
    <w:rsid w:val="00534172"/>
    <w:rsid w:val="005664BB"/>
    <w:rsid w:val="00566FFA"/>
    <w:rsid w:val="0057481D"/>
    <w:rsid w:val="0058486E"/>
    <w:rsid w:val="00585B33"/>
    <w:rsid w:val="0059014D"/>
    <w:rsid w:val="005A09FD"/>
    <w:rsid w:val="005B0198"/>
    <w:rsid w:val="005B321C"/>
    <w:rsid w:val="005B5C64"/>
    <w:rsid w:val="005C5337"/>
    <w:rsid w:val="005C6782"/>
    <w:rsid w:val="005C6BD0"/>
    <w:rsid w:val="005D1C8B"/>
    <w:rsid w:val="005D252C"/>
    <w:rsid w:val="005D468D"/>
    <w:rsid w:val="005D5CED"/>
    <w:rsid w:val="005D645C"/>
    <w:rsid w:val="005F1A4C"/>
    <w:rsid w:val="00605688"/>
    <w:rsid w:val="00606749"/>
    <w:rsid w:val="006070AF"/>
    <w:rsid w:val="00607E6C"/>
    <w:rsid w:val="006101B1"/>
    <w:rsid w:val="00614E44"/>
    <w:rsid w:val="00617049"/>
    <w:rsid w:val="00617519"/>
    <w:rsid w:val="00620030"/>
    <w:rsid w:val="0062270A"/>
    <w:rsid w:val="00622830"/>
    <w:rsid w:val="00623DA0"/>
    <w:rsid w:val="00630AEF"/>
    <w:rsid w:val="006325F8"/>
    <w:rsid w:val="00633463"/>
    <w:rsid w:val="00634C9A"/>
    <w:rsid w:val="00640417"/>
    <w:rsid w:val="00641F56"/>
    <w:rsid w:val="006440E4"/>
    <w:rsid w:val="00644795"/>
    <w:rsid w:val="0064659F"/>
    <w:rsid w:val="0066343B"/>
    <w:rsid w:val="00664777"/>
    <w:rsid w:val="006748A4"/>
    <w:rsid w:val="00681A31"/>
    <w:rsid w:val="00683E73"/>
    <w:rsid w:val="006A3141"/>
    <w:rsid w:val="006A5E34"/>
    <w:rsid w:val="006B2422"/>
    <w:rsid w:val="006B2B9A"/>
    <w:rsid w:val="006C1937"/>
    <w:rsid w:val="006F020C"/>
    <w:rsid w:val="007127B7"/>
    <w:rsid w:val="00712AEE"/>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433B9"/>
    <w:rsid w:val="00850625"/>
    <w:rsid w:val="00853718"/>
    <w:rsid w:val="00855221"/>
    <w:rsid w:val="00860645"/>
    <w:rsid w:val="008703E8"/>
    <w:rsid w:val="00871F71"/>
    <w:rsid w:val="00872FD8"/>
    <w:rsid w:val="00875641"/>
    <w:rsid w:val="00883839"/>
    <w:rsid w:val="00885AF4"/>
    <w:rsid w:val="00887F08"/>
    <w:rsid w:val="008914B9"/>
    <w:rsid w:val="00891E98"/>
    <w:rsid w:val="008939CD"/>
    <w:rsid w:val="008B768C"/>
    <w:rsid w:val="008C165D"/>
    <w:rsid w:val="008C4DB1"/>
    <w:rsid w:val="008C4EAF"/>
    <w:rsid w:val="008C5176"/>
    <w:rsid w:val="008C7FD0"/>
    <w:rsid w:val="008E1DE7"/>
    <w:rsid w:val="008E4BE3"/>
    <w:rsid w:val="008E707C"/>
    <w:rsid w:val="008F7B8B"/>
    <w:rsid w:val="00900B08"/>
    <w:rsid w:val="00902155"/>
    <w:rsid w:val="00902FA3"/>
    <w:rsid w:val="00906EE8"/>
    <w:rsid w:val="00923564"/>
    <w:rsid w:val="0092392E"/>
    <w:rsid w:val="009315F9"/>
    <w:rsid w:val="00933499"/>
    <w:rsid w:val="009334F0"/>
    <w:rsid w:val="00935C98"/>
    <w:rsid w:val="0094422A"/>
    <w:rsid w:val="00946945"/>
    <w:rsid w:val="00951248"/>
    <w:rsid w:val="0095152F"/>
    <w:rsid w:val="009546E4"/>
    <w:rsid w:val="00954C49"/>
    <w:rsid w:val="00955E37"/>
    <w:rsid w:val="0097099F"/>
    <w:rsid w:val="00970F33"/>
    <w:rsid w:val="00971997"/>
    <w:rsid w:val="00971FFC"/>
    <w:rsid w:val="00980BD8"/>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6546"/>
    <w:rsid w:val="009F7527"/>
    <w:rsid w:val="00A0029B"/>
    <w:rsid w:val="00A04EB0"/>
    <w:rsid w:val="00A13CC1"/>
    <w:rsid w:val="00A16847"/>
    <w:rsid w:val="00A237D8"/>
    <w:rsid w:val="00A25C9F"/>
    <w:rsid w:val="00A268C4"/>
    <w:rsid w:val="00A27C77"/>
    <w:rsid w:val="00A3057C"/>
    <w:rsid w:val="00A307CD"/>
    <w:rsid w:val="00A331C8"/>
    <w:rsid w:val="00A40872"/>
    <w:rsid w:val="00A40A00"/>
    <w:rsid w:val="00A4142F"/>
    <w:rsid w:val="00A422EB"/>
    <w:rsid w:val="00A45BB7"/>
    <w:rsid w:val="00A51AD4"/>
    <w:rsid w:val="00A56DF2"/>
    <w:rsid w:val="00A56E6E"/>
    <w:rsid w:val="00A67AB5"/>
    <w:rsid w:val="00A733B2"/>
    <w:rsid w:val="00A741C2"/>
    <w:rsid w:val="00A74A25"/>
    <w:rsid w:val="00A74A9E"/>
    <w:rsid w:val="00A91760"/>
    <w:rsid w:val="00A93B00"/>
    <w:rsid w:val="00A93C21"/>
    <w:rsid w:val="00A96A3F"/>
    <w:rsid w:val="00AB64C9"/>
    <w:rsid w:val="00AC2E50"/>
    <w:rsid w:val="00AC3C6A"/>
    <w:rsid w:val="00AC611D"/>
    <w:rsid w:val="00AD5620"/>
    <w:rsid w:val="00AD5B7D"/>
    <w:rsid w:val="00AD656B"/>
    <w:rsid w:val="00AD7C1B"/>
    <w:rsid w:val="00AE16BA"/>
    <w:rsid w:val="00AE1EBE"/>
    <w:rsid w:val="00B02DBE"/>
    <w:rsid w:val="00B03C9D"/>
    <w:rsid w:val="00B051AF"/>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3462"/>
    <w:rsid w:val="00BF5BD6"/>
    <w:rsid w:val="00C03E31"/>
    <w:rsid w:val="00C33E72"/>
    <w:rsid w:val="00C354B2"/>
    <w:rsid w:val="00C35554"/>
    <w:rsid w:val="00C42709"/>
    <w:rsid w:val="00C45FC0"/>
    <w:rsid w:val="00C46119"/>
    <w:rsid w:val="00C52A67"/>
    <w:rsid w:val="00C533CC"/>
    <w:rsid w:val="00C5751C"/>
    <w:rsid w:val="00C61BFC"/>
    <w:rsid w:val="00C62B85"/>
    <w:rsid w:val="00C65438"/>
    <w:rsid w:val="00C67E2A"/>
    <w:rsid w:val="00C860D5"/>
    <w:rsid w:val="00C87FD8"/>
    <w:rsid w:val="00C91381"/>
    <w:rsid w:val="00C91CBB"/>
    <w:rsid w:val="00CA1639"/>
    <w:rsid w:val="00CB4E70"/>
    <w:rsid w:val="00CC09B6"/>
    <w:rsid w:val="00CC666F"/>
    <w:rsid w:val="00CD1E3F"/>
    <w:rsid w:val="00CE13AE"/>
    <w:rsid w:val="00CE44F6"/>
    <w:rsid w:val="00CE49DA"/>
    <w:rsid w:val="00CE7B61"/>
    <w:rsid w:val="00D00095"/>
    <w:rsid w:val="00D114F0"/>
    <w:rsid w:val="00D20620"/>
    <w:rsid w:val="00D22EAC"/>
    <w:rsid w:val="00D254F7"/>
    <w:rsid w:val="00D26091"/>
    <w:rsid w:val="00D2685C"/>
    <w:rsid w:val="00D34E7C"/>
    <w:rsid w:val="00D35489"/>
    <w:rsid w:val="00D36AFE"/>
    <w:rsid w:val="00D51276"/>
    <w:rsid w:val="00D7035F"/>
    <w:rsid w:val="00D76178"/>
    <w:rsid w:val="00D950A1"/>
    <w:rsid w:val="00DA634F"/>
    <w:rsid w:val="00DA65AC"/>
    <w:rsid w:val="00DB1913"/>
    <w:rsid w:val="00DB36BD"/>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2FD2"/>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3A3D"/>
    <w:rsid w:val="00FA789D"/>
    <w:rsid w:val="00FC6744"/>
    <w:rsid w:val="00FC7DA4"/>
    <w:rsid w:val="00FD3CC1"/>
    <w:rsid w:val="00FF097B"/>
    <w:rsid w:val="00FF1E02"/>
    <w:rsid w:val="00FF30B4"/>
    <w:rsid w:val="015975B8"/>
    <w:rsid w:val="02FEBE30"/>
    <w:rsid w:val="036F8141"/>
    <w:rsid w:val="037B160E"/>
    <w:rsid w:val="066E0107"/>
    <w:rsid w:val="07996F6E"/>
    <w:rsid w:val="07DFD8BA"/>
    <w:rsid w:val="088B407F"/>
    <w:rsid w:val="0A2032A3"/>
    <w:rsid w:val="0D35B1ED"/>
    <w:rsid w:val="0E7ED1F5"/>
    <w:rsid w:val="0F98263C"/>
    <w:rsid w:val="101860EC"/>
    <w:rsid w:val="10C055FF"/>
    <w:rsid w:val="118107EC"/>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9FD04D3"/>
    <w:rsid w:val="2BFF7BC6"/>
    <w:rsid w:val="2C8A61B5"/>
    <w:rsid w:val="2CD59C95"/>
    <w:rsid w:val="2DF04E50"/>
    <w:rsid w:val="2DF65A17"/>
    <w:rsid w:val="2EFD05E5"/>
    <w:rsid w:val="2F040D46"/>
    <w:rsid w:val="2F4F95CE"/>
    <w:rsid w:val="2FACAFDD"/>
    <w:rsid w:val="2FAE5751"/>
    <w:rsid w:val="2FB1A395"/>
    <w:rsid w:val="2FCF0B76"/>
    <w:rsid w:val="2FD9A7D8"/>
    <w:rsid w:val="319F7F4E"/>
    <w:rsid w:val="3304709D"/>
    <w:rsid w:val="33144BA4"/>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7F4F6B"/>
    <w:rsid w:val="4737FB58"/>
    <w:rsid w:val="47ECCB02"/>
    <w:rsid w:val="47FA6A3F"/>
    <w:rsid w:val="49167DBB"/>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0B87B99"/>
    <w:rsid w:val="537E6D0A"/>
    <w:rsid w:val="53AB6B88"/>
    <w:rsid w:val="53F74C96"/>
    <w:rsid w:val="5583522D"/>
    <w:rsid w:val="56ED24E3"/>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7">
    <w:name w:val="Body Text"/>
    <w:basedOn w:val="1"/>
    <w:link w:val="25"/>
    <w:qFormat/>
    <w:uiPriority w:val="99"/>
    <w:pPr>
      <w:spacing w:beforeLines="30"/>
    </w:pPr>
    <w:rPr>
      <w:rFonts w:ascii="仿宋_GB2312" w:eastAsia="仿宋_GB2312"/>
      <w:kern w:val="0"/>
      <w:sz w:val="30"/>
    </w:rPr>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8"/>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7"/>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8968006154404"/>
          <c:y val="0.0466982952052129"/>
          <c:w val="0.763145533532452"/>
          <c:h val="0.844588290816955"/>
        </c:manualLayout>
      </c:layout>
      <c:barChart>
        <c:barDir val="col"/>
        <c:grouping val="clustered"/>
        <c:varyColors val="0"/>
        <c:ser>
          <c:idx val="0"/>
          <c:order val="0"/>
          <c:tx>
            <c:strRef>
              <c:f>Sheet1!$B$1</c:f>
              <c:strCache>
                <c:ptCount val="1"/>
                <c:pt idx="0">
                  <c:v>收入</c:v>
                </c:pt>
              </c:strCache>
            </c:strRef>
          </c:tx>
          <c:invertIfNegative val="0"/>
          <c:dLbls>
            <c:delete val="1"/>
          </c:dLbls>
          <c:cat>
            <c:strRef>
              <c:f>Sheet1!$A$2:$A$5</c:f>
              <c:strCache>
                <c:ptCount val="2"/>
                <c:pt idx="0">
                  <c:v>2023年</c:v>
                </c:pt>
                <c:pt idx="1">
                  <c:v>2022年</c:v>
                </c:pt>
              </c:strCache>
            </c:strRef>
          </c:cat>
          <c:val>
            <c:numRef>
              <c:f>Sheet1!$B$2:$B$5</c:f>
              <c:numCache>
                <c:formatCode>General</c:formatCode>
                <c:ptCount val="4"/>
                <c:pt idx="0">
                  <c:v>5811.51</c:v>
                </c:pt>
                <c:pt idx="1">
                  <c:v>5215.15</c:v>
                </c:pt>
              </c:numCache>
            </c:numRef>
          </c:val>
        </c:ser>
        <c:ser>
          <c:idx val="1"/>
          <c:order val="1"/>
          <c:tx>
            <c:strRef>
              <c:f>Sheet1!$C$1</c:f>
              <c:strCache>
                <c:ptCount val="1"/>
                <c:pt idx="0">
                  <c:v>支出</c:v>
                </c:pt>
              </c:strCache>
            </c:strRef>
          </c:tx>
          <c:invertIfNegative val="0"/>
          <c:dLbls>
            <c:dLbl>
              <c:idx val="0"/>
              <c:layout>
                <c:manualLayout>
                  <c:x val="-0.0321583178726039"/>
                  <c:y val="-0.0040404040404040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48367952522256"/>
                  <c:y val="-0.012106537530266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2023年</c:v>
                </c:pt>
                <c:pt idx="1">
                  <c:v>2022年</c:v>
                </c:pt>
              </c:strCache>
            </c:strRef>
          </c:cat>
          <c:val>
            <c:numRef>
              <c:f>Sheet1!$C$2:$C$5</c:f>
              <c:numCache>
                <c:formatCode>General</c:formatCode>
                <c:ptCount val="4"/>
                <c:pt idx="0">
                  <c:v>5811.51</c:v>
                </c:pt>
                <c:pt idx="1">
                  <c:v>5215.15</c:v>
                </c:pt>
              </c:numCache>
            </c:numRef>
          </c:val>
        </c:ser>
        <c:dLbls>
          <c:showLegendKey val="0"/>
          <c:showVal val="0"/>
          <c:showCatName val="0"/>
          <c:showSerName val="0"/>
          <c:showPercent val="0"/>
          <c:showBubbleSize val="0"/>
        </c:dLbls>
        <c:gapWidth val="150"/>
        <c:axId val="120081024"/>
        <c:axId val="219781376"/>
      </c:barChart>
      <c:catAx>
        <c:axId val="1200810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9781376"/>
        <c:crosses val="autoZero"/>
        <c:auto val="1"/>
        <c:lblAlgn val="ctr"/>
        <c:lblOffset val="100"/>
        <c:noMultiLvlLbl val="0"/>
      </c:catAx>
      <c:valAx>
        <c:axId val="2197813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00810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fcdf012-53d3-4dc7-b7fc-4974deaa12fd}"/>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3720202263432"/>
          <c:y val="0.012383900928792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3"/>
              <c:layout>
                <c:manualLayout>
                  <c:x val="0.0431769908819201"/>
                  <c:y val="-0.018215158129986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  5125.98万元</c:v>
                </c:pt>
                <c:pt idx="1">
                  <c:v>政府性基金预算财政拨款收入 0万元</c:v>
                </c:pt>
                <c:pt idx="2">
                  <c:v>上级补助收入 0万元</c:v>
                </c:pt>
                <c:pt idx="3">
                  <c:v>事业收入  685.53万元</c:v>
                </c:pt>
                <c:pt idx="4">
                  <c:v>其他收入 0万元</c:v>
                </c:pt>
              </c:strCache>
            </c:strRef>
          </c:cat>
          <c:val>
            <c:numRef>
              <c:f>Sheet1!$B$2:$B$6</c:f>
              <c:numCache>
                <c:formatCode>0%</c:formatCode>
                <c:ptCount val="5"/>
                <c:pt idx="0">
                  <c:v>0.882</c:v>
                </c:pt>
                <c:pt idx="1" c:formatCode="0.00%">
                  <c:v>0</c:v>
                </c:pt>
                <c:pt idx="2" c:formatCode="0.00%">
                  <c:v>0</c:v>
                </c:pt>
                <c:pt idx="3" c:formatCode="0.00%">
                  <c:v>0.118</c:v>
                </c:pt>
                <c:pt idx="4" c:formatCode="0.00%">
                  <c:v>0</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2baaeced-4bce-4832-aa99-aec9e820cf06}"/>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3720202263432"/>
          <c:y val="0.012383900928792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dLbl>
              <c:idx val="0"/>
              <c:layout>
                <c:manualLayout>
                  <c:x val="0.0205088828472988"/>
                  <c:y val="-0.07706779251277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65377200406953"/>
                  <c:y val="0.10889409794170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基本支出4373.09万元</c:v>
                </c:pt>
                <c:pt idx="1">
                  <c:v>项目支出  1438.42万元</c:v>
                </c:pt>
              </c:strCache>
            </c:strRef>
          </c:cat>
          <c:val>
            <c:numRef>
              <c:f>Sheet1!$B$2:$B$3</c:f>
              <c:numCache>
                <c:formatCode>0.00%</c:formatCode>
                <c:ptCount val="2"/>
                <c:pt idx="0">
                  <c:v>0.7525</c:v>
                </c:pt>
                <c:pt idx="1">
                  <c:v>0.2475</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76215d76-831c-45f8-ae8e-d93fb71e3299}"/>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5125.98</c:v>
                </c:pt>
                <c:pt idx="1">
                  <c:v>4695.85</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4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5125.98</c:v>
                </c:pt>
                <c:pt idx="1">
                  <c:v>4695.85</c:v>
                </c:pt>
              </c:numCache>
            </c:numRef>
          </c:val>
        </c:ser>
        <c:dLbls>
          <c:showLegendKey val="0"/>
          <c:showVal val="1"/>
          <c:showCatName val="0"/>
          <c:showSerName val="0"/>
          <c:showPercent val="0"/>
          <c:showBubbleSize val="0"/>
        </c:dLbls>
        <c:gapWidth val="150"/>
        <c:axId val="47663360"/>
        <c:axId val="47669248"/>
      </c:barChart>
      <c:catAx>
        <c:axId val="4766336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7669248"/>
        <c:crosses val="autoZero"/>
        <c:auto val="1"/>
        <c:lblAlgn val="ctr"/>
        <c:lblOffset val="100"/>
        <c:noMultiLvlLbl val="0"/>
      </c:catAx>
      <c:valAx>
        <c:axId val="4766924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766336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d41e208-7cba-434c-be65-fbff24888527}"/>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1312304358295"/>
          <c:y val="0.0206398348813211"/>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5125.98</c:v>
                </c:pt>
                <c:pt idx="1">
                  <c:v>4695.85</c:v>
                </c:pt>
              </c:numCache>
            </c:numRef>
          </c:val>
        </c:ser>
        <c:dLbls>
          <c:showLegendKey val="0"/>
          <c:showVal val="1"/>
          <c:showCatName val="0"/>
          <c:showSerName val="0"/>
          <c:showPercent val="0"/>
          <c:showBubbleSize val="0"/>
        </c:dLbls>
        <c:gapWidth val="150"/>
        <c:axId val="47689088"/>
        <c:axId val="121922688"/>
      </c:barChart>
      <c:catAx>
        <c:axId val="476890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1922688"/>
        <c:crosses val="autoZero"/>
        <c:auto val="1"/>
        <c:lblAlgn val="ctr"/>
        <c:lblOffset val="100"/>
        <c:noMultiLvlLbl val="0"/>
      </c:catAx>
      <c:valAx>
        <c:axId val="1219226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7689088"/>
        <c:crosses val="autoZero"/>
        <c:crossBetween val="between"/>
      </c:valAx>
    </c:plotArea>
    <c:plotVisOnly val="1"/>
    <c:dispBlanksAs val="gap"/>
    <c:showDLblsOverMax val="0"/>
    <c:extLst>
      <c:ext uri="{0b15fc19-7d7d-44ad-8c2d-2c3a37ce22c3}">
        <chartProps xmlns="https://web.wps.cn/et/2018/main" chartId="{083c5601-4c37-4965-a782-f0641c3c6bc0}"/>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a:t>单位：万元</a:t>
            </a:r>
            <a:endParaRPr lang="zh-CN" altLang="en-US" sz="1000"/>
          </a:p>
        </c:rich>
      </c:tx>
      <c:layout>
        <c:manualLayout>
          <c:xMode val="edge"/>
          <c:yMode val="edge"/>
          <c:x val="0.841197297953364"/>
          <c:y val="0.0412874706451167"/>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0"/>
              <c:layout>
                <c:manualLayout>
                  <c:x val="0.0429827008338936"/>
                  <c:y val="0.016112868589373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42505314854967"/>
                  <c:y val="-0.07236705382501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33684557546249"/>
                  <c:y val="0.034323550465282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 10万元</c:v>
                </c:pt>
                <c:pt idx="1">
                  <c:v>教育支出  3876.31万元</c:v>
                </c:pt>
                <c:pt idx="2">
                  <c:v>社会保障和就业支出  598.41万元</c:v>
                </c:pt>
                <c:pt idx="3">
                  <c:v>卫生健康支出  331.57万元</c:v>
                </c:pt>
                <c:pt idx="4">
                  <c:v>住房保障支出  309.69万元</c:v>
                </c:pt>
              </c:strCache>
            </c:strRef>
          </c:cat>
          <c:val>
            <c:numRef>
              <c:f>Sheet1!$B$2:$B$6</c:f>
              <c:numCache>
                <c:formatCode>0.00%</c:formatCode>
                <c:ptCount val="5"/>
                <c:pt idx="0">
                  <c:v>0.00200000000000001</c:v>
                </c:pt>
                <c:pt idx="1">
                  <c:v>0.756200000000001</c:v>
                </c:pt>
                <c:pt idx="2">
                  <c:v>0.1167</c:v>
                </c:pt>
                <c:pt idx="3">
                  <c:v>0.0647</c:v>
                </c:pt>
                <c:pt idx="4">
                  <c:v>0.0604</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bcd342a9-324d-4f09-bc8b-23fbe0f813da}"/>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1312304358295"/>
          <c:y val="0.0247678018575851"/>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dLbl>
              <c:idx val="0"/>
              <c:layout/>
              <c:dLblPos val="bestFit"/>
              <c:showLegendKey val="0"/>
              <c:showVal val="1"/>
              <c:showCatName val="0"/>
              <c:showSerName val="0"/>
              <c:showPercent val="0"/>
              <c:showBubbleSize val="0"/>
              <c:extLst>
                <c:ext xmlns:c15="http://schemas.microsoft.com/office/drawing/2012/chart" uri="{CE6537A1-D6FC-4f65-9D91-7224C49458BB}"/>
              </c:extLst>
            </c:dLbl>
            <c:dLbl>
              <c:idx val="1"/>
              <c:layout/>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公务用车购置及运行维护费  2.15万元</c:v>
                </c:pt>
                <c:pt idx="1">
                  <c:v>公务接待费 0万元</c:v>
                </c:pt>
              </c:strCache>
            </c:strRef>
          </c:cat>
          <c:val>
            <c:numRef>
              <c:f>Sheet1!$B$2:$B$3</c:f>
              <c:numCache>
                <c:formatCode>0.00%</c:formatCode>
                <c:ptCount val="2"/>
                <c:pt idx="0">
                  <c:v>1</c:v>
                </c:pt>
                <c:pt idx="1">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extLst>
      <c:ext uri="{0b15fc19-7d7d-44ad-8c2d-2c3a37ce22c3}">
        <chartProps xmlns="https://web.wps.cn/et/2018/main" chartId="{c926ddde-b187-4dba-9152-2613f3203655}"/>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Company>四川省财政厅</Company>
  <Pages>38</Pages>
  <Words>13182</Words>
  <Characters>14172</Characters>
  <Lines>104</Lines>
  <Paragraphs>29</Paragraphs>
  <TotalTime>6</TotalTime>
  <ScaleCrop>false</ScaleCrop>
  <LinksUpToDate>false</LinksUpToDate>
  <CharactersWithSpaces>14239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2024-10-21T09:51:00Z</dcterms:created>
  <dc:creator>曹颖</dc:creator>
  <cp:lastModifiedBy>唐天贵</cp:lastModifiedBy>
  <cp:lastPrinted>2023-08-03T10:35:00Z</cp:lastPrinted>
  <dcterms:modified xsi:type="dcterms:W3CDTF">2024-12-20T01:21:29Z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937C215723624B43AC2517762E4376BD_12</vt:lpwstr>
  </property>
</Properties>
</file>