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4BEB8">
      <w:pPr>
        <w:spacing w:line="600" w:lineRule="exact"/>
        <w:jc w:val="center"/>
        <w:outlineLvl w:val="0"/>
        <w:rPr>
          <w:rFonts w:hint="eastAsia" w:ascii="方正小标宋简体" w:hAnsi="宋体" w:eastAsia="方正小标宋简体"/>
          <w:sz w:val="72"/>
          <w:szCs w:val="72"/>
        </w:rPr>
      </w:pPr>
      <w:bookmarkStart w:id="0" w:name="_Toc15396597"/>
      <w:bookmarkStart w:id="1" w:name="_Toc15378441"/>
      <w:bookmarkStart w:id="2" w:name="_Toc15377425"/>
      <w:bookmarkStart w:id="3" w:name="_Toc15396475"/>
      <w:bookmarkStart w:id="4" w:name="_Toc15377193"/>
      <w:bookmarkStart w:id="5" w:name="_Toc15306267"/>
    </w:p>
    <w:p w14:paraId="1C487E27">
      <w:pPr>
        <w:spacing w:line="600" w:lineRule="exact"/>
        <w:jc w:val="center"/>
        <w:outlineLvl w:val="0"/>
        <w:rPr>
          <w:rFonts w:ascii="方正小标宋简体" w:hAnsi="宋体" w:eastAsia="方正小标宋简体"/>
          <w:sz w:val="72"/>
          <w:szCs w:val="72"/>
        </w:rPr>
      </w:pPr>
    </w:p>
    <w:p w14:paraId="0FD20BB2">
      <w:pPr>
        <w:spacing w:line="600" w:lineRule="exact"/>
        <w:jc w:val="center"/>
        <w:outlineLvl w:val="0"/>
        <w:rPr>
          <w:rFonts w:ascii="方正小标宋简体" w:hAnsi="宋体" w:eastAsia="方正小标宋简体"/>
          <w:sz w:val="72"/>
          <w:szCs w:val="72"/>
        </w:rPr>
      </w:pPr>
    </w:p>
    <w:p w14:paraId="48CEB447">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14:paraId="1CAA3BCA">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15378442"/>
      <w:bookmarkStart w:id="8" w:name="_Toc15396598"/>
      <w:bookmarkStart w:id="9" w:name="_Toc15396476"/>
      <w:bookmarkStart w:id="10" w:name="_Toc15377194"/>
      <w:bookmarkStart w:id="11" w:name="_Toc15377426"/>
      <w:r>
        <w:rPr>
          <w:rFonts w:hint="eastAsia" w:ascii="方正小标宋简体" w:hAnsi="方正小标宋简体" w:eastAsia="方正小标宋简体" w:cs="方正小标宋简体"/>
          <w:sz w:val="72"/>
          <w:szCs w:val="72"/>
        </w:rPr>
        <w:t>盐边县档案馆部门决算</w:t>
      </w:r>
      <w:bookmarkEnd w:id="6"/>
      <w:bookmarkEnd w:id="7"/>
      <w:bookmarkEnd w:id="8"/>
      <w:bookmarkEnd w:id="9"/>
      <w:bookmarkEnd w:id="10"/>
      <w:bookmarkEnd w:id="11"/>
    </w:p>
    <w:p w14:paraId="15CA0043">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35716918">
      <w:pPr>
        <w:widowControl/>
        <w:jc w:val="center"/>
        <w:rPr>
          <w:rFonts w:ascii="黑体" w:hAnsi="黑体" w:eastAsia="黑体" w:cstheme="minorBidi"/>
          <w:sz w:val="28"/>
          <w:szCs w:val="28"/>
        </w:rPr>
      </w:pPr>
    </w:p>
    <w:p w14:paraId="1BD15A47">
      <w:pPr>
        <w:pStyle w:val="11"/>
      </w:pPr>
      <w:r>
        <w:rPr>
          <w:rFonts w:hint="eastAsia"/>
        </w:rPr>
        <w:t>公开时间：2023年10月26日</w:t>
      </w:r>
    </w:p>
    <w:p w14:paraId="53D8FFB3"/>
    <w:p w14:paraId="36534E0C">
      <w:pPr>
        <w:pStyle w:val="11"/>
        <w:adjustRightInd w:val="0"/>
        <w:snapToGrid w:val="0"/>
        <w:spacing w:before="0" w:line="440" w:lineRule="exact"/>
        <w:jc w:val="left"/>
        <w:rPr>
          <w:rFonts w:ascii="Times New Roman" w:hAnsi="Times New Roman" w:eastAsia="宋体"/>
          <w:sz w:val="21"/>
          <w:szCs w:val="24"/>
        </w:rPr>
      </w:pPr>
      <w:r>
        <w:rPr>
          <w:rFonts w:hint="eastAsia"/>
          <w:sz w:val="24"/>
        </w:rPr>
        <w:t>第一部分部门概况</w:t>
      </w:r>
      <w:r>
        <w:ptab w:relativeTo="margin" w:alignment="right" w:leader="dot"/>
      </w:r>
      <w:r>
        <w:rPr>
          <w:rFonts w:ascii="Times New Roman" w:hAnsi="Times New Roman" w:eastAsia="宋体"/>
          <w:sz w:val="21"/>
          <w:szCs w:val="24"/>
        </w:rPr>
        <w:t>1</w:t>
      </w:r>
    </w:p>
    <w:p w14:paraId="2C4ED0C9">
      <w:pPr>
        <w:pStyle w:val="12"/>
        <w:adjustRightInd w:val="0"/>
        <w:snapToGrid w:val="0"/>
        <w:spacing w:line="440" w:lineRule="exact"/>
        <w:jc w:val="left"/>
        <w:rPr>
          <w:sz w:val="24"/>
        </w:rPr>
      </w:pPr>
      <w:r>
        <w:rPr>
          <w:rFonts w:hint="eastAsia"/>
          <w:sz w:val="24"/>
        </w:rPr>
        <w:t>一、部门职责</w:t>
      </w:r>
      <w:r>
        <w:ptab w:relativeTo="margin" w:alignment="right" w:leader="dot"/>
      </w:r>
      <w:r>
        <w:t>1</w:t>
      </w:r>
    </w:p>
    <w:p w14:paraId="563FA417">
      <w:pPr>
        <w:pStyle w:val="12"/>
        <w:adjustRightInd w:val="0"/>
        <w:snapToGrid w:val="0"/>
        <w:spacing w:line="440" w:lineRule="exact"/>
        <w:jc w:val="left"/>
        <w:rPr>
          <w:rFonts w:ascii="仿宋" w:hAnsi="仿宋" w:cstheme="minorBidi"/>
          <w:sz w:val="24"/>
        </w:rPr>
      </w:pPr>
      <w:r>
        <w:rPr>
          <w:rFonts w:hint="eastAsia"/>
          <w:sz w:val="24"/>
        </w:rPr>
        <w:t>二、机构设置</w:t>
      </w:r>
      <w:r>
        <w:ptab w:relativeTo="margin" w:alignment="right" w:leader="dot"/>
      </w:r>
      <w:r>
        <w:rPr>
          <w:rFonts w:hint="eastAsia"/>
        </w:rPr>
        <w:t>6</w:t>
      </w:r>
    </w:p>
    <w:p w14:paraId="33859558">
      <w:pPr>
        <w:pStyle w:val="11"/>
        <w:adjustRightInd w:val="0"/>
        <w:snapToGrid w:val="0"/>
        <w:spacing w:before="0" w:line="440" w:lineRule="exact"/>
        <w:jc w:val="left"/>
        <w:rPr>
          <w:sz w:val="24"/>
          <w:szCs w:val="24"/>
        </w:rPr>
      </w:pPr>
      <w:r>
        <w:rPr>
          <w:rFonts w:hint="eastAsia"/>
          <w:sz w:val="24"/>
        </w:rPr>
        <w:t>第二部分 2022年度部门决算情况说明</w:t>
      </w:r>
      <w:r>
        <w:ptab w:relativeTo="margin" w:alignment="right" w:leader="dot"/>
      </w:r>
      <w:r>
        <w:rPr>
          <w:rFonts w:hint="eastAsia" w:ascii="Times New Roman" w:hAnsi="Times New Roman" w:eastAsia="宋体"/>
          <w:sz w:val="21"/>
          <w:szCs w:val="24"/>
        </w:rPr>
        <w:t>7</w:t>
      </w:r>
    </w:p>
    <w:p w14:paraId="247D5870">
      <w:pPr>
        <w:pStyle w:val="12"/>
        <w:adjustRightInd w:val="0"/>
        <w:snapToGrid w:val="0"/>
        <w:spacing w:line="440" w:lineRule="exact"/>
        <w:jc w:val="left"/>
        <w:rPr>
          <w:rFonts w:ascii="仿宋" w:hAnsi="仿宋" w:cstheme="minorBidi"/>
          <w:sz w:val="24"/>
        </w:rPr>
      </w:pPr>
      <w:r>
        <w:rPr>
          <w:rFonts w:hint="eastAsia"/>
          <w:sz w:val="24"/>
        </w:rPr>
        <w:t>一、收入支出决算总体情况说明</w:t>
      </w:r>
      <w:r>
        <w:ptab w:relativeTo="margin" w:alignment="right" w:leader="dot"/>
      </w:r>
      <w:r>
        <w:rPr>
          <w:rFonts w:hint="eastAsia"/>
        </w:rPr>
        <w:t>7</w:t>
      </w:r>
    </w:p>
    <w:p w14:paraId="352A324B">
      <w:pPr>
        <w:pStyle w:val="12"/>
        <w:adjustRightInd w:val="0"/>
        <w:snapToGrid w:val="0"/>
        <w:spacing w:line="440" w:lineRule="exact"/>
        <w:jc w:val="left"/>
        <w:rPr>
          <w:rFonts w:ascii="仿宋" w:hAnsi="仿宋" w:cstheme="minorBidi"/>
          <w:sz w:val="24"/>
        </w:rPr>
      </w:pPr>
      <w:r>
        <w:rPr>
          <w:rFonts w:hint="eastAsia"/>
          <w:sz w:val="24"/>
        </w:rPr>
        <w:t>二、收入决算情况说明</w:t>
      </w:r>
      <w:r>
        <w:ptab w:relativeTo="margin" w:alignment="right" w:leader="dot"/>
      </w:r>
      <w:r>
        <w:rPr>
          <w:rFonts w:hint="eastAsia"/>
        </w:rPr>
        <w:t>7</w:t>
      </w:r>
    </w:p>
    <w:p w14:paraId="3C2AF952">
      <w:pPr>
        <w:pStyle w:val="12"/>
        <w:adjustRightInd w:val="0"/>
        <w:snapToGrid w:val="0"/>
        <w:spacing w:line="440" w:lineRule="exact"/>
        <w:jc w:val="left"/>
        <w:rPr>
          <w:rFonts w:ascii="仿宋" w:hAnsi="仿宋" w:cstheme="minorBidi"/>
          <w:sz w:val="24"/>
        </w:rPr>
      </w:pPr>
      <w:r>
        <w:rPr>
          <w:rFonts w:hint="eastAsia"/>
          <w:sz w:val="24"/>
        </w:rPr>
        <w:t>三、支出决算情况说明</w:t>
      </w:r>
      <w:r>
        <w:ptab w:relativeTo="margin" w:alignment="right" w:leader="dot"/>
      </w:r>
      <w:r>
        <w:rPr>
          <w:rFonts w:hint="eastAsia"/>
        </w:rPr>
        <w:t>8</w:t>
      </w:r>
    </w:p>
    <w:p w14:paraId="577C1103">
      <w:pPr>
        <w:pStyle w:val="12"/>
        <w:adjustRightInd w:val="0"/>
        <w:snapToGrid w:val="0"/>
        <w:spacing w:line="440" w:lineRule="exact"/>
        <w:jc w:val="left"/>
        <w:rPr>
          <w:rFonts w:ascii="仿宋" w:hAnsi="仿宋" w:cstheme="minorBidi"/>
          <w:sz w:val="24"/>
        </w:rPr>
      </w:pPr>
      <w:r>
        <w:rPr>
          <w:rFonts w:hint="eastAsia"/>
          <w:sz w:val="24"/>
        </w:rPr>
        <w:t>四、财政拨款收入支出决算总体情况说明</w:t>
      </w:r>
      <w:r>
        <w:ptab w:relativeTo="margin" w:alignment="right" w:leader="dot"/>
      </w:r>
      <w:r>
        <w:rPr>
          <w:rFonts w:hint="eastAsia"/>
        </w:rPr>
        <w:t>9</w:t>
      </w:r>
    </w:p>
    <w:p w14:paraId="2ACB42B7">
      <w:pPr>
        <w:pStyle w:val="12"/>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ptab w:relativeTo="margin" w:alignment="right" w:leader="dot"/>
      </w:r>
      <w:r>
        <w:rPr>
          <w:rFonts w:hint="eastAsia"/>
        </w:rPr>
        <w:t>9</w:t>
      </w:r>
    </w:p>
    <w:p w14:paraId="0C850ABD">
      <w:pPr>
        <w:pStyle w:val="12"/>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ptab w:relativeTo="margin" w:alignment="right" w:leader="dot"/>
      </w:r>
      <w:r>
        <w:rPr>
          <w:rFonts w:hint="eastAsia"/>
        </w:rPr>
        <w:t>11</w:t>
      </w:r>
    </w:p>
    <w:p w14:paraId="61D58A9E">
      <w:pPr>
        <w:pStyle w:val="12"/>
        <w:adjustRightInd w:val="0"/>
        <w:snapToGrid w:val="0"/>
        <w:spacing w:line="440" w:lineRule="exact"/>
        <w:jc w:val="left"/>
        <w:rPr>
          <w:rFonts w:ascii="仿宋" w:hAnsi="仿宋" w:cstheme="minorBidi"/>
          <w:sz w:val="24"/>
        </w:rPr>
      </w:pPr>
      <w:r>
        <w:rPr>
          <w:rFonts w:hint="eastAsia"/>
          <w:sz w:val="24"/>
        </w:rPr>
        <w:t>七、财政拨款“三公”经费支出决算情况说明</w:t>
      </w:r>
      <w:r>
        <w:ptab w:relativeTo="margin" w:alignment="right" w:leader="dot"/>
      </w:r>
      <w:r>
        <w:rPr>
          <w:rFonts w:hint="eastAsia"/>
        </w:rPr>
        <w:t>12</w:t>
      </w:r>
    </w:p>
    <w:p w14:paraId="0148CBA0">
      <w:pPr>
        <w:pStyle w:val="12"/>
        <w:adjustRightInd w:val="0"/>
        <w:snapToGrid w:val="0"/>
        <w:spacing w:line="440" w:lineRule="exact"/>
        <w:jc w:val="left"/>
        <w:rPr>
          <w:rFonts w:ascii="仿宋" w:hAnsi="仿宋" w:cstheme="minorBidi"/>
          <w:sz w:val="24"/>
        </w:rPr>
      </w:pPr>
      <w:r>
        <w:rPr>
          <w:rFonts w:hint="eastAsia"/>
          <w:sz w:val="24"/>
        </w:rPr>
        <w:t>八、政府性基金预算支出决算情况说明</w:t>
      </w:r>
      <w:r>
        <w:ptab w:relativeTo="margin" w:alignment="right" w:leader="dot"/>
      </w:r>
      <w:r>
        <w:rPr>
          <w:rFonts w:hint="eastAsia"/>
        </w:rPr>
        <w:t>13</w:t>
      </w:r>
    </w:p>
    <w:p w14:paraId="0CE3FFFB">
      <w:pPr>
        <w:pStyle w:val="12"/>
        <w:adjustRightInd w:val="0"/>
        <w:snapToGrid w:val="0"/>
        <w:spacing w:line="440" w:lineRule="exact"/>
        <w:ind w:leftChars="0"/>
        <w:jc w:val="left"/>
        <w:rPr>
          <w:rFonts w:asciiTheme="minorEastAsia" w:hAnsiTheme="minorEastAsia" w:cstheme="minorEastAsia"/>
          <w:sz w:val="24"/>
        </w:rPr>
      </w:pPr>
      <w:r>
        <w:rPr>
          <w:rFonts w:hint="eastAsia" w:asciiTheme="minorEastAsia" w:hAnsiTheme="minorEastAsia" w:eastAsiaTheme="minorEastAsia" w:cstheme="minorEastAsia"/>
          <w:sz w:val="24"/>
        </w:rPr>
        <w:t>九、国有资本经营预算支出决算情况说明</w:t>
      </w:r>
      <w:r>
        <w:ptab w:relativeTo="margin" w:alignment="right" w:leader="dot"/>
      </w:r>
      <w:r>
        <w:rPr>
          <w:rFonts w:hint="eastAsia"/>
        </w:rPr>
        <w:t>13</w:t>
      </w:r>
    </w:p>
    <w:p w14:paraId="57EF7318">
      <w:pPr>
        <w:adjustRightInd w:val="0"/>
        <w:snapToGrid w:val="0"/>
        <w:spacing w:line="440" w:lineRule="exact"/>
        <w:ind w:firstLine="420" w:firstLineChars="175"/>
        <w:jc w:val="left"/>
        <w:rPr>
          <w:rFonts w:asciiTheme="minorEastAsia" w:hAnsiTheme="minorEastAsia" w:cstheme="minorEastAsia"/>
          <w:sz w:val="24"/>
        </w:rPr>
      </w:pPr>
      <w:r>
        <w:rPr>
          <w:rStyle w:val="1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ptab w:relativeTo="margin" w:alignment="right" w:leader="dot"/>
      </w:r>
      <w:r>
        <w:rPr>
          <w:rFonts w:hint="eastAsia"/>
        </w:rPr>
        <w:t>13</w:t>
      </w:r>
    </w:p>
    <w:p w14:paraId="1BAD1853">
      <w:pPr>
        <w:pStyle w:val="11"/>
        <w:adjustRightInd w:val="0"/>
        <w:snapToGrid w:val="0"/>
        <w:spacing w:before="0" w:line="440" w:lineRule="exact"/>
        <w:jc w:val="left"/>
        <w:rPr>
          <w:rFonts w:cstheme="minorBidi"/>
          <w:sz w:val="24"/>
          <w:szCs w:val="24"/>
        </w:rPr>
      </w:pPr>
      <w:r>
        <w:rPr>
          <w:rFonts w:hint="eastAsia"/>
          <w:sz w:val="24"/>
        </w:rPr>
        <w:t>第三部分名词解释</w:t>
      </w:r>
      <w:r>
        <w:ptab w:relativeTo="margin" w:alignment="right" w:leader="dot"/>
      </w:r>
      <w:r>
        <w:rPr>
          <w:rFonts w:hint="eastAsia" w:ascii="Times New Roman" w:hAnsi="Times New Roman" w:eastAsia="宋体"/>
          <w:sz w:val="21"/>
          <w:szCs w:val="24"/>
        </w:rPr>
        <w:t>16</w:t>
      </w:r>
    </w:p>
    <w:p w14:paraId="4C661F46">
      <w:pPr>
        <w:pStyle w:val="11"/>
        <w:adjustRightInd w:val="0"/>
        <w:snapToGrid w:val="0"/>
        <w:spacing w:before="0" w:line="440" w:lineRule="exact"/>
        <w:jc w:val="left"/>
        <w:rPr>
          <w:rFonts w:cstheme="minorBidi"/>
          <w:sz w:val="24"/>
          <w:szCs w:val="24"/>
        </w:rPr>
      </w:pPr>
      <w:r>
        <w:rPr>
          <w:rFonts w:hint="eastAsia"/>
          <w:sz w:val="24"/>
        </w:rPr>
        <w:t>第四部分附件</w:t>
      </w:r>
      <w:r>
        <w:ptab w:relativeTo="margin" w:alignment="right" w:leader="dot"/>
      </w:r>
      <w:r>
        <w:rPr>
          <w:rFonts w:hint="eastAsia" w:ascii="Times New Roman" w:hAnsi="Times New Roman" w:eastAsia="宋体"/>
          <w:sz w:val="21"/>
          <w:szCs w:val="24"/>
        </w:rPr>
        <w:t>19</w:t>
      </w:r>
    </w:p>
    <w:p w14:paraId="2D20D89C">
      <w:pPr>
        <w:pStyle w:val="11"/>
        <w:adjustRightInd w:val="0"/>
        <w:snapToGrid w:val="0"/>
        <w:spacing w:before="0" w:line="440" w:lineRule="exact"/>
        <w:jc w:val="left"/>
        <w:rPr>
          <w:rFonts w:cstheme="minorBidi"/>
          <w:sz w:val="24"/>
          <w:szCs w:val="24"/>
        </w:rPr>
      </w:pPr>
      <w:r>
        <w:rPr>
          <w:rFonts w:hint="eastAsia"/>
          <w:sz w:val="24"/>
        </w:rPr>
        <w:t>第五部分附表</w:t>
      </w:r>
      <w:r>
        <w:ptab w:relativeTo="margin" w:alignment="right" w:leader="dot"/>
      </w:r>
      <w:r>
        <w:rPr>
          <w:rFonts w:hint="eastAsia" w:ascii="Times New Roman" w:hAnsi="Times New Roman" w:eastAsia="宋体"/>
          <w:sz w:val="21"/>
          <w:szCs w:val="24"/>
        </w:rPr>
        <w:t>72</w:t>
      </w:r>
    </w:p>
    <w:p w14:paraId="5256ED1F">
      <w:pPr>
        <w:pStyle w:val="12"/>
        <w:adjustRightInd w:val="0"/>
        <w:snapToGrid w:val="0"/>
        <w:spacing w:line="440" w:lineRule="exact"/>
        <w:jc w:val="left"/>
        <w:rPr>
          <w:sz w:val="24"/>
        </w:rPr>
      </w:pPr>
      <w:r>
        <w:rPr>
          <w:rFonts w:hint="eastAsia"/>
          <w:sz w:val="24"/>
        </w:rPr>
        <w:t>一、收入支出决算总表</w:t>
      </w:r>
      <w:r>
        <w:ptab w:relativeTo="margin" w:alignment="right" w:leader="dot"/>
      </w:r>
      <w:r>
        <w:rPr>
          <w:rFonts w:hint="eastAsia"/>
        </w:rPr>
        <w:t>72</w:t>
      </w:r>
    </w:p>
    <w:p w14:paraId="4592523D">
      <w:pPr>
        <w:pStyle w:val="12"/>
        <w:adjustRightInd w:val="0"/>
        <w:snapToGrid w:val="0"/>
        <w:spacing w:line="440" w:lineRule="exact"/>
        <w:jc w:val="left"/>
        <w:rPr>
          <w:sz w:val="24"/>
        </w:rPr>
      </w:pPr>
      <w:r>
        <w:rPr>
          <w:rFonts w:hint="eastAsia"/>
          <w:sz w:val="24"/>
        </w:rPr>
        <w:t>二、收入决算表</w:t>
      </w:r>
      <w:r>
        <w:ptab w:relativeTo="margin" w:alignment="right" w:leader="dot"/>
      </w:r>
      <w:r>
        <w:rPr>
          <w:rFonts w:hint="eastAsia"/>
        </w:rPr>
        <w:t>73</w:t>
      </w:r>
    </w:p>
    <w:p w14:paraId="7EACDCAB">
      <w:pPr>
        <w:pStyle w:val="12"/>
        <w:adjustRightInd w:val="0"/>
        <w:snapToGrid w:val="0"/>
        <w:spacing w:line="440" w:lineRule="exact"/>
        <w:jc w:val="left"/>
        <w:rPr>
          <w:sz w:val="24"/>
        </w:rPr>
      </w:pPr>
      <w:r>
        <w:rPr>
          <w:rFonts w:hint="eastAsia"/>
          <w:sz w:val="24"/>
        </w:rPr>
        <w:t>三、支出决算表</w:t>
      </w:r>
      <w:r>
        <w:ptab w:relativeTo="margin" w:alignment="right" w:leader="dot"/>
      </w:r>
      <w:r>
        <w:rPr>
          <w:rFonts w:hint="eastAsia"/>
        </w:rPr>
        <w:t>74</w:t>
      </w:r>
    </w:p>
    <w:p w14:paraId="59FA1556">
      <w:pPr>
        <w:pStyle w:val="12"/>
        <w:adjustRightInd w:val="0"/>
        <w:snapToGrid w:val="0"/>
        <w:spacing w:line="440" w:lineRule="exact"/>
        <w:jc w:val="left"/>
        <w:rPr>
          <w:sz w:val="24"/>
        </w:rPr>
      </w:pPr>
      <w:r>
        <w:rPr>
          <w:rFonts w:hint="eastAsia"/>
          <w:sz w:val="24"/>
        </w:rPr>
        <w:t>四、财政拨款收入支出决算总表</w:t>
      </w:r>
      <w:r>
        <w:ptab w:relativeTo="margin" w:alignment="right" w:leader="dot"/>
      </w:r>
      <w:r>
        <w:rPr>
          <w:rFonts w:hint="eastAsia"/>
        </w:rPr>
        <w:t>75</w:t>
      </w:r>
    </w:p>
    <w:p w14:paraId="4DB323BA">
      <w:pPr>
        <w:pStyle w:val="12"/>
        <w:adjustRightInd w:val="0"/>
        <w:snapToGrid w:val="0"/>
        <w:spacing w:line="440" w:lineRule="exact"/>
        <w:jc w:val="left"/>
        <w:rPr>
          <w:sz w:val="24"/>
        </w:rPr>
      </w:pPr>
      <w:r>
        <w:rPr>
          <w:rFonts w:hint="eastAsia"/>
          <w:sz w:val="24"/>
        </w:rPr>
        <w:t>五、财政拨款支出决算明细表</w:t>
      </w:r>
      <w:r>
        <w:ptab w:relativeTo="margin" w:alignment="right" w:leader="dot"/>
      </w:r>
      <w:r>
        <w:rPr>
          <w:rFonts w:hint="eastAsia"/>
        </w:rPr>
        <w:t>76</w:t>
      </w:r>
    </w:p>
    <w:p w14:paraId="7054A008">
      <w:pPr>
        <w:pStyle w:val="12"/>
        <w:adjustRightInd w:val="0"/>
        <w:snapToGrid w:val="0"/>
        <w:spacing w:line="440" w:lineRule="exact"/>
        <w:jc w:val="left"/>
        <w:rPr>
          <w:sz w:val="24"/>
        </w:rPr>
      </w:pPr>
      <w:r>
        <w:rPr>
          <w:rFonts w:hint="eastAsia"/>
          <w:sz w:val="24"/>
        </w:rPr>
        <w:t>六、一般公共预算财政拨款支出决算表</w:t>
      </w:r>
      <w:r>
        <w:ptab w:relativeTo="margin" w:alignment="right" w:leader="dot"/>
      </w:r>
      <w:r>
        <w:rPr>
          <w:rFonts w:hint="eastAsia"/>
        </w:rPr>
        <w:t>79</w:t>
      </w:r>
    </w:p>
    <w:p w14:paraId="3B459B08">
      <w:pPr>
        <w:pStyle w:val="12"/>
        <w:adjustRightInd w:val="0"/>
        <w:snapToGrid w:val="0"/>
        <w:spacing w:line="440" w:lineRule="exact"/>
        <w:jc w:val="left"/>
        <w:rPr>
          <w:sz w:val="24"/>
        </w:rPr>
      </w:pPr>
      <w:r>
        <w:rPr>
          <w:rFonts w:hint="eastAsia"/>
          <w:sz w:val="24"/>
        </w:rPr>
        <w:t>七、一般公共预算财政拨款支出决算明细表</w:t>
      </w:r>
      <w:r>
        <w:ptab w:relativeTo="margin" w:alignment="right" w:leader="dot"/>
      </w:r>
      <w:r>
        <w:rPr>
          <w:rFonts w:hint="eastAsia"/>
        </w:rPr>
        <w:t>80</w:t>
      </w:r>
    </w:p>
    <w:p w14:paraId="2AC2DEA0">
      <w:pPr>
        <w:pStyle w:val="12"/>
        <w:adjustRightInd w:val="0"/>
        <w:snapToGrid w:val="0"/>
        <w:spacing w:line="440" w:lineRule="exact"/>
        <w:jc w:val="left"/>
        <w:rPr>
          <w:sz w:val="24"/>
        </w:rPr>
      </w:pPr>
      <w:r>
        <w:rPr>
          <w:rFonts w:hint="eastAsia"/>
          <w:sz w:val="24"/>
        </w:rPr>
        <w:t>八、一般公共预算财政拨款基本支出决算明细表</w:t>
      </w:r>
      <w:r>
        <w:ptab w:relativeTo="margin" w:alignment="right" w:leader="dot"/>
      </w:r>
      <w:r>
        <w:rPr>
          <w:rFonts w:hint="eastAsia"/>
        </w:rPr>
        <w:t>91</w:t>
      </w:r>
    </w:p>
    <w:p w14:paraId="60B76005">
      <w:pPr>
        <w:pStyle w:val="12"/>
        <w:adjustRightInd w:val="0"/>
        <w:snapToGrid w:val="0"/>
        <w:spacing w:line="440" w:lineRule="exact"/>
        <w:jc w:val="left"/>
        <w:rPr>
          <w:sz w:val="24"/>
        </w:rPr>
      </w:pPr>
      <w:r>
        <w:rPr>
          <w:rFonts w:hint="eastAsia"/>
          <w:sz w:val="24"/>
        </w:rPr>
        <w:t>九、一般公共预算财政拨款项目支出决算表</w:t>
      </w:r>
      <w:r>
        <w:ptab w:relativeTo="margin" w:alignment="right" w:leader="dot"/>
      </w:r>
      <w:r>
        <w:rPr>
          <w:rFonts w:hint="eastAsia"/>
        </w:rPr>
        <w:t>92</w:t>
      </w:r>
    </w:p>
    <w:p w14:paraId="11B95391">
      <w:pPr>
        <w:pStyle w:val="12"/>
        <w:adjustRightInd w:val="0"/>
        <w:snapToGrid w:val="0"/>
        <w:spacing w:line="440" w:lineRule="exact"/>
        <w:jc w:val="left"/>
        <w:rPr>
          <w:sz w:val="24"/>
        </w:rPr>
      </w:pPr>
      <w:r>
        <w:rPr>
          <w:rFonts w:hint="eastAsia"/>
          <w:sz w:val="24"/>
        </w:rPr>
        <w:t>十、政府性基金预算财政拨款收入支出决算表</w:t>
      </w:r>
      <w:r>
        <w:ptab w:relativeTo="margin" w:alignment="right" w:leader="dot"/>
      </w:r>
      <w:r>
        <w:rPr>
          <w:rFonts w:hint="eastAsia"/>
        </w:rPr>
        <w:t>93</w:t>
      </w:r>
    </w:p>
    <w:p w14:paraId="7962F1EC">
      <w:pPr>
        <w:pStyle w:val="12"/>
        <w:adjustRightInd w:val="0"/>
        <w:snapToGrid w:val="0"/>
        <w:spacing w:line="440" w:lineRule="exact"/>
        <w:jc w:val="left"/>
        <w:rPr>
          <w:sz w:val="24"/>
        </w:rPr>
      </w:pPr>
      <w:r>
        <w:rPr>
          <w:rFonts w:hint="eastAsia"/>
          <w:sz w:val="24"/>
        </w:rPr>
        <w:t>十一、国有资本经营预算财政拨款收入支出决算表</w:t>
      </w:r>
      <w:r>
        <w:ptab w:relativeTo="margin" w:alignment="right" w:leader="dot"/>
      </w:r>
      <w:r>
        <w:rPr>
          <w:rFonts w:hint="eastAsia"/>
        </w:rPr>
        <w:t>94</w:t>
      </w:r>
    </w:p>
    <w:p w14:paraId="5A13950C">
      <w:pPr>
        <w:pStyle w:val="12"/>
        <w:adjustRightInd w:val="0"/>
        <w:snapToGrid w:val="0"/>
        <w:spacing w:line="440" w:lineRule="exact"/>
        <w:jc w:val="left"/>
        <w:rPr>
          <w:sz w:val="24"/>
        </w:rPr>
      </w:pPr>
      <w:r>
        <w:rPr>
          <w:rFonts w:hint="eastAsia"/>
          <w:sz w:val="24"/>
        </w:rPr>
        <w:t>十二、国有资本经营预算财政拨款支出决算表</w:t>
      </w:r>
      <w:r>
        <w:ptab w:relativeTo="margin" w:alignment="right" w:leader="dot"/>
      </w:r>
      <w:r>
        <w:rPr>
          <w:rFonts w:hint="eastAsia"/>
        </w:rPr>
        <w:t>95</w:t>
      </w:r>
    </w:p>
    <w:p w14:paraId="1F37013A">
      <w:pPr>
        <w:pStyle w:val="12"/>
        <w:adjustRightInd w:val="0"/>
        <w:snapToGrid w:val="0"/>
        <w:spacing w:line="440" w:lineRule="exact"/>
        <w:jc w:val="left"/>
        <w:rPr>
          <w:rFonts w:asciiTheme="minorEastAsia" w:hAnsiTheme="minorEastAsia" w:cstheme="minorEastAsia"/>
          <w:sz w:val="24"/>
        </w:rPr>
      </w:pPr>
      <w:r>
        <w:rPr>
          <w:rFonts w:hint="eastAsia"/>
          <w:sz w:val="24"/>
        </w:rPr>
        <w:t>十三、财政拨款“三公”经费支出决算表</w:t>
      </w:r>
      <w:r>
        <w:ptab w:relativeTo="margin" w:alignment="right" w:leader="dot"/>
      </w:r>
      <w:r>
        <w:rPr>
          <w:rFonts w:hint="eastAsia"/>
        </w:rPr>
        <w:t>96</w:t>
      </w:r>
    </w:p>
    <w:p w14:paraId="5433B6DA">
      <w:pPr>
        <w:pStyle w:val="3"/>
        <w:jc w:val="center"/>
        <w:rPr>
          <w:rFonts w:ascii="黑体" w:hAnsi="黑体" w:eastAsia="黑体"/>
          <w:b w:val="0"/>
        </w:rPr>
        <w:sectPr>
          <w:footerReference r:id="rId5" w:type="first"/>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bookmarkStart w:id="12" w:name="_Toc15377196"/>
      <w:bookmarkStart w:id="13" w:name="_Toc15396599"/>
    </w:p>
    <w:p w14:paraId="0DB9642B">
      <w:pPr>
        <w:pStyle w:val="3"/>
        <w:jc w:val="center"/>
        <w:rPr>
          <w:rStyle w:val="28"/>
          <w:rFonts w:ascii="黑体" w:hAnsi="黑体" w:eastAsia="黑体"/>
          <w:b/>
          <w:bCs w:val="0"/>
        </w:rPr>
      </w:pPr>
      <w:r>
        <w:rPr>
          <w:rFonts w:hint="eastAsia" w:ascii="黑体" w:hAnsi="黑体" w:eastAsia="黑体"/>
          <w:b w:val="0"/>
        </w:rPr>
        <w:t xml:space="preserve">第一部分 </w:t>
      </w:r>
      <w:r>
        <w:rPr>
          <w:rStyle w:val="28"/>
          <w:rFonts w:hint="eastAsia" w:ascii="黑体" w:hAnsi="黑体" w:eastAsia="黑体"/>
          <w:b w:val="0"/>
          <w:bCs w:val="0"/>
        </w:rPr>
        <w:t>部门概况</w:t>
      </w:r>
      <w:bookmarkEnd w:id="12"/>
      <w:bookmarkEnd w:id="13"/>
    </w:p>
    <w:p w14:paraId="69863EAA">
      <w:pPr>
        <w:widowControl/>
        <w:jc w:val="left"/>
        <w:rPr>
          <w:rFonts w:ascii="黑体" w:eastAsia="黑体"/>
          <w:sz w:val="32"/>
          <w:szCs w:val="32"/>
        </w:rPr>
      </w:pPr>
    </w:p>
    <w:p w14:paraId="73C7A979">
      <w:pPr>
        <w:pStyle w:val="4"/>
        <w:numPr>
          <w:ilvl w:val="0"/>
          <w:numId w:val="1"/>
        </w:numPr>
        <w:spacing w:before="0" w:after="0" w:line="600" w:lineRule="exact"/>
        <w:ind w:firstLine="640" w:firstLineChars="200"/>
        <w:rPr>
          <w:rFonts w:ascii="Times New Roman" w:hAnsi="Times New Roman" w:eastAsia="方正黑体_GBK" w:cs="Times New Roman"/>
          <w:b w:val="0"/>
        </w:rPr>
      </w:pPr>
      <w:r>
        <w:rPr>
          <w:rFonts w:ascii="Times New Roman" w:hAnsi="Times New Roman" w:eastAsia="方正黑体_GBK" w:cs="Times New Roman"/>
          <w:b w:val="0"/>
        </w:rPr>
        <w:t>部门职责</w:t>
      </w:r>
    </w:p>
    <w:p w14:paraId="41E08277">
      <w:pPr>
        <w:pStyle w:val="2"/>
        <w:adjustRightInd w:val="0"/>
        <w:snapToGrid w:val="0"/>
        <w:spacing w:beforeLines="0" w:line="600" w:lineRule="exact"/>
        <w:ind w:firstLine="675" w:firstLineChars="210"/>
        <w:outlineLvl w:val="2"/>
        <w:rPr>
          <w:rFonts w:ascii="Times New Roman" w:eastAsia="方正楷体_GBK"/>
          <w:b/>
          <w:sz w:val="32"/>
          <w:szCs w:val="32"/>
        </w:rPr>
      </w:pPr>
      <w:bookmarkStart w:id="14" w:name="_Toc15377198"/>
      <w:bookmarkStart w:id="15" w:name="_Toc15378445"/>
      <w:r>
        <w:rPr>
          <w:rFonts w:ascii="Times New Roman" w:eastAsia="方正楷体_GBK"/>
          <w:b/>
          <w:sz w:val="32"/>
          <w:szCs w:val="32"/>
        </w:rPr>
        <w:t>（一）主要职能。</w:t>
      </w:r>
      <w:bookmarkEnd w:id="14"/>
      <w:bookmarkEnd w:id="15"/>
      <w:bookmarkStart w:id="16" w:name="_Toc15378446"/>
      <w:bookmarkStart w:id="17" w:name="_Toc15377199"/>
    </w:p>
    <w:p w14:paraId="08F4A895">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1.贯彻执行党和国家档案事业的方针政策以及法律法规，落实省、市、县档案事业发展规划、计划和相关政策法规。</w:t>
      </w:r>
    </w:p>
    <w:p w14:paraId="09B4430F">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2.负责接收本行政区域内对国家和社会具有保存价值的档案，通过接受捐献、购买、代存等方式收集档案。</w:t>
      </w:r>
    </w:p>
    <w:p w14:paraId="7E9331AE">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3.研究制定本馆进馆档案的接收标准和规范，负责进馆档案整理质量检查、移交、保管工作。</w:t>
      </w:r>
    </w:p>
    <w:p w14:paraId="69B4A62C">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4.采取各种形式开发档案资源，为社会利用档案资源提供服务。</w:t>
      </w:r>
    </w:p>
    <w:p w14:paraId="4ACF632B">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5.组织各单位依法依规开展馆藏档案解密、开放鉴定、销毁工作。依法依规开放档案信息资源。</w:t>
      </w:r>
    </w:p>
    <w:p w14:paraId="107432F2">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6.维护馆藏档案资料安全，承担重要档案异地异质备份工作。</w:t>
      </w:r>
    </w:p>
    <w:p w14:paraId="5640AAC8">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7.组织实施电子档案移交系统或数据接口部署，承担本馆档案信息化建设、馆藏电子档案的管理和备份、馆藏档案资料数字化等工作。承担本馆数字档案馆的建设、运行、管理和维护等工作。</w:t>
      </w:r>
    </w:p>
    <w:p w14:paraId="599106B5">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8.承担馆藏档案资料的修复、缩微等抢救保护工作。开展档案保护技术研究和应用等科研工作。</w:t>
      </w:r>
    </w:p>
    <w:p w14:paraId="3AF72A44">
      <w:pPr>
        <w:pStyle w:val="2"/>
        <w:adjustRightInd w:val="0"/>
        <w:snapToGrid w:val="0"/>
        <w:spacing w:beforeLines="0" w:line="600" w:lineRule="exact"/>
        <w:ind w:firstLine="672" w:firstLineChars="210"/>
        <w:outlineLvl w:val="2"/>
        <w:rPr>
          <w:rFonts w:ascii="Times New Roman"/>
          <w:sz w:val="32"/>
          <w:szCs w:val="32"/>
        </w:rPr>
      </w:pPr>
      <w:r>
        <w:rPr>
          <w:rFonts w:ascii="Times New Roman"/>
          <w:sz w:val="32"/>
          <w:szCs w:val="32"/>
        </w:rPr>
        <w:t>9.完成县委和县政府交办的其他任务。</w:t>
      </w:r>
    </w:p>
    <w:p w14:paraId="028485B4">
      <w:pPr>
        <w:pStyle w:val="2"/>
        <w:adjustRightInd w:val="0"/>
        <w:snapToGrid w:val="0"/>
        <w:spacing w:beforeLines="0" w:line="600" w:lineRule="exact"/>
        <w:ind w:firstLine="675" w:firstLineChars="210"/>
        <w:outlineLvl w:val="2"/>
        <w:rPr>
          <w:rFonts w:ascii="Times New Roman" w:eastAsia="方正楷体_GBK"/>
          <w:b/>
          <w:sz w:val="32"/>
          <w:szCs w:val="32"/>
        </w:rPr>
      </w:pPr>
      <w:r>
        <w:rPr>
          <w:rFonts w:ascii="Times New Roman" w:eastAsia="方正楷体_GBK"/>
          <w:b/>
          <w:sz w:val="32"/>
          <w:szCs w:val="32"/>
        </w:rPr>
        <w:t>（二）2022年重点工作完成情况。</w:t>
      </w:r>
      <w:bookmarkEnd w:id="16"/>
      <w:bookmarkEnd w:id="17"/>
    </w:p>
    <w:p w14:paraId="3EFC4576">
      <w:pPr>
        <w:ind w:firstLine="640" w:firstLineChars="200"/>
        <w:rPr>
          <w:rFonts w:eastAsia="仿宋_GB2312"/>
          <w:kern w:val="0"/>
          <w:sz w:val="32"/>
          <w:szCs w:val="32"/>
        </w:rPr>
      </w:pPr>
      <w:r>
        <w:rPr>
          <w:rFonts w:eastAsia="仿宋_GB2312"/>
          <w:kern w:val="0"/>
          <w:sz w:val="32"/>
          <w:szCs w:val="32"/>
        </w:rPr>
        <w:t>1.坚持“档案工作姓党”，提升档案队伍素质。</w:t>
      </w:r>
    </w:p>
    <w:p w14:paraId="5969E1A0">
      <w:pPr>
        <w:ind w:firstLine="640" w:firstLineChars="200"/>
        <w:rPr>
          <w:rFonts w:eastAsia="仿宋_GB2312"/>
          <w:kern w:val="0"/>
          <w:sz w:val="32"/>
          <w:szCs w:val="32"/>
        </w:rPr>
      </w:pPr>
      <w:r>
        <w:rPr>
          <w:rFonts w:eastAsia="仿宋_GB2312"/>
          <w:kern w:val="0"/>
          <w:sz w:val="32"/>
          <w:szCs w:val="32"/>
        </w:rPr>
        <w:t>县档案馆按照全国档案局长馆长会议、全省、全市档案工作会议部署要求，进一步筑牢干部职工“为党管档、为国守史、为民服务”的工作理念。坚持“档案工作姓党”的鲜明政治属性，切实落实县委办对档案工作的领导、档案局对档案工作的指导机制，加强了与市级档案工作部门的交流沟通，不断加强自身建设，提升档案队伍综合素质，立足我县档案现状，把握未来工作趋势，进一步提高了档案业务水平，为迎接新挑战奠定基础。</w:t>
      </w:r>
    </w:p>
    <w:p w14:paraId="62E763D0">
      <w:pPr>
        <w:ind w:firstLine="640" w:firstLineChars="200"/>
        <w:rPr>
          <w:rFonts w:eastAsia="仿宋_GB2312"/>
          <w:kern w:val="0"/>
          <w:sz w:val="32"/>
          <w:szCs w:val="32"/>
        </w:rPr>
      </w:pPr>
      <w:r>
        <w:rPr>
          <w:rFonts w:eastAsia="仿宋_GB2312"/>
          <w:kern w:val="0"/>
          <w:sz w:val="32"/>
          <w:szCs w:val="32"/>
        </w:rPr>
        <w:t>2.用好档案红色资源，全力迎接党的二十大。</w:t>
      </w:r>
    </w:p>
    <w:p w14:paraId="05EA7CFF">
      <w:pPr>
        <w:ind w:firstLine="640" w:firstLineChars="200"/>
        <w:rPr>
          <w:rFonts w:eastAsia="仿宋_GB2312"/>
          <w:kern w:val="0"/>
          <w:sz w:val="32"/>
          <w:szCs w:val="32"/>
        </w:rPr>
      </w:pPr>
      <w:r>
        <w:rPr>
          <w:rFonts w:eastAsia="仿宋_GB2312"/>
          <w:kern w:val="0"/>
          <w:sz w:val="32"/>
          <w:szCs w:val="32"/>
        </w:rPr>
        <w:t>一是盐边县展览馆共接待823人次参观，并且启动了对县展览馆展陈内容进行了全面的梳理更新，召开专题座谈会与各部门进行各版块的沟通交流，预计2022年底完成县展览馆7个板块的更新，同时开展了道德模范专题展览，为文明城市创建打好基础，积极发挥了盐边县展览馆作为三线建设博物馆盐边分馆、党史</w:t>
      </w:r>
      <w:r>
        <w:rPr>
          <w:rFonts w:hint="eastAsia" w:eastAsia="仿宋_GB2312"/>
          <w:kern w:val="0"/>
          <w:sz w:val="32"/>
          <w:szCs w:val="32"/>
        </w:rPr>
        <w:t>学习</w:t>
      </w:r>
      <w:r>
        <w:rPr>
          <w:rFonts w:eastAsia="仿宋_GB2312"/>
          <w:kern w:val="0"/>
          <w:sz w:val="32"/>
          <w:szCs w:val="32"/>
        </w:rPr>
        <w:t>教育基地、爱国主义教育基地和科普教育基地的作用。</w:t>
      </w:r>
    </w:p>
    <w:p w14:paraId="2B239E4B">
      <w:pPr>
        <w:ind w:firstLine="640" w:firstLineChars="200"/>
        <w:rPr>
          <w:rFonts w:eastAsia="仿宋_GB2312"/>
          <w:kern w:val="0"/>
          <w:sz w:val="32"/>
          <w:szCs w:val="32"/>
        </w:rPr>
      </w:pPr>
      <w:r>
        <w:rPr>
          <w:rFonts w:eastAsia="仿宋_GB2312"/>
          <w:kern w:val="0"/>
          <w:sz w:val="32"/>
          <w:szCs w:val="32"/>
        </w:rPr>
        <w:t>二是为喜迎党的二十大召开，盐边县档案馆利用档案资源，在全县多个部门和乡镇，特别是县融媒体中心的大力支持下，开展了以“二滩开发，改变了盐边什么”为主题的档案编研工作，形成了《跟着档案走二滩——二滩开发，改变了盐边什么》的研究报告，同时制作了包含33张图片、82张照片、19段视频，可用于对外宣传、党校教学的PPT文档形成以“二滩开发，改变了盐边什么”为主题的档案编研工作，全面、真实、准确地反映出全县人民为支援国家重点建设项目展现的顾全大局、无私奉献的精神。</w:t>
      </w:r>
    </w:p>
    <w:p w14:paraId="31E2A68C">
      <w:pPr>
        <w:ind w:firstLine="640" w:firstLineChars="200"/>
        <w:rPr>
          <w:rFonts w:eastAsia="仿宋_GB2312"/>
          <w:kern w:val="0"/>
          <w:sz w:val="32"/>
          <w:szCs w:val="32"/>
        </w:rPr>
      </w:pPr>
      <w:r>
        <w:rPr>
          <w:rFonts w:eastAsia="仿宋_GB2312"/>
          <w:kern w:val="0"/>
          <w:sz w:val="32"/>
          <w:szCs w:val="32"/>
        </w:rPr>
        <w:t>三是立足档案工作职能职责，利用盐边县展览馆在“6.9”国际档案日、七一建党节组织开展好“喜迎二十大、档案颂辉煌”主题宣传系列活动，开展了档案讲座宣传、“千人读档”视频制作、档案馆风貌展示、档案留言、知识竞赛等活动，以实际行动迎接党的二十大胜利召开！</w:t>
      </w:r>
    </w:p>
    <w:p w14:paraId="6B01BAB6">
      <w:pPr>
        <w:ind w:firstLine="640" w:firstLineChars="200"/>
        <w:rPr>
          <w:rFonts w:eastAsia="仿宋_GB2312"/>
          <w:kern w:val="0"/>
          <w:sz w:val="32"/>
          <w:szCs w:val="32"/>
        </w:rPr>
      </w:pPr>
      <w:r>
        <w:rPr>
          <w:rFonts w:eastAsia="仿宋_GB2312"/>
          <w:kern w:val="0"/>
          <w:sz w:val="32"/>
          <w:szCs w:val="32"/>
        </w:rPr>
        <w:t>3.提升依法治档能力，提高档案管理水平。</w:t>
      </w:r>
    </w:p>
    <w:p w14:paraId="53148949">
      <w:pPr>
        <w:ind w:firstLine="640" w:firstLineChars="200"/>
        <w:rPr>
          <w:rFonts w:eastAsia="仿宋_GB2312"/>
          <w:kern w:val="0"/>
          <w:sz w:val="32"/>
          <w:szCs w:val="32"/>
        </w:rPr>
      </w:pPr>
      <w:r>
        <w:rPr>
          <w:rFonts w:eastAsia="仿宋_GB2312"/>
          <w:kern w:val="0"/>
          <w:sz w:val="32"/>
          <w:szCs w:val="32"/>
        </w:rPr>
        <w:t>2022年我馆积极开展市县档案座谈会、档案培训会等档案业务交流培训，对县级部门及乡镇40余人进行了档案业务工作等具体讲解指导和问题解答，全面提升了我县档案人才队伍的综合素质和业务水平。</w:t>
      </w:r>
    </w:p>
    <w:p w14:paraId="04CBE522">
      <w:pPr>
        <w:ind w:firstLine="640" w:firstLineChars="200"/>
        <w:rPr>
          <w:rFonts w:eastAsia="仿宋_GB2312"/>
          <w:kern w:val="0"/>
          <w:sz w:val="32"/>
          <w:szCs w:val="32"/>
        </w:rPr>
      </w:pPr>
      <w:r>
        <w:rPr>
          <w:rFonts w:eastAsia="仿宋_GB2312"/>
          <w:kern w:val="0"/>
          <w:sz w:val="32"/>
          <w:szCs w:val="32"/>
        </w:rPr>
        <w:t>为做好2022年档案执法检查工作，县档案馆组织全体干部职工共7人考试通过了盐边县2022年通用法律知识培训及考试，并及时申办了档案执法证件。扎实做好2022年档案行政执法检查工作，按照档案行政执法检查三年行动方案要求，统筹对全县12个县级部门（单位）、4个乡镇、2个企业开展档案行政执法检查，并延伸抽查单位下属机构、学校、卫生院及村（社区）等档案室，加强对各单位的监督指导，增强了全县各级各部门（单位）的责任意识和档案法治意识。运用好四川省行政执法监督管理信息系统、四川省一体化政务服务平台、四川省“互联网+监管”平台，为盐边的经济社会发展提供优质高效的档案服务和法治支撑。</w:t>
      </w:r>
    </w:p>
    <w:p w14:paraId="04AE1FCF">
      <w:pPr>
        <w:ind w:firstLine="640" w:firstLineChars="200"/>
        <w:rPr>
          <w:rFonts w:eastAsia="仿宋_GB2312"/>
          <w:kern w:val="0"/>
          <w:sz w:val="32"/>
          <w:szCs w:val="32"/>
        </w:rPr>
      </w:pPr>
      <w:r>
        <w:rPr>
          <w:rFonts w:eastAsia="仿宋_GB2312"/>
          <w:kern w:val="0"/>
          <w:sz w:val="32"/>
          <w:szCs w:val="32"/>
        </w:rPr>
        <w:t>4.加强档案接收指导，切实服务发展大局。</w:t>
      </w:r>
    </w:p>
    <w:p w14:paraId="22D377C8">
      <w:pPr>
        <w:ind w:firstLine="640" w:firstLineChars="200"/>
        <w:rPr>
          <w:rFonts w:eastAsia="仿宋_GB2312"/>
          <w:kern w:val="0"/>
          <w:sz w:val="32"/>
          <w:szCs w:val="32"/>
        </w:rPr>
      </w:pPr>
      <w:r>
        <w:rPr>
          <w:rFonts w:eastAsia="仿宋_GB2312"/>
          <w:kern w:val="0"/>
          <w:sz w:val="32"/>
          <w:szCs w:val="32"/>
        </w:rPr>
        <w:t>一是认真执行档案“双套制”进馆，2022年开展档案“双套制”进馆接收10个单位（全宗），完成档案数字化规范指导、数据审核、档案实体及进馆材料查验、档案冷冻消杀等工作。接收网箱拆除档案852件19921页，污普档案1622件16569页，疫情防控档案1414件12981页。完成数字化接收88卷、25890件，共接收文件级档案26042件，数字化副本271187页，并入数据库运行26042条。</w:t>
      </w:r>
    </w:p>
    <w:p w14:paraId="44BB4A73">
      <w:pPr>
        <w:pStyle w:val="2"/>
        <w:spacing w:before="93"/>
        <w:ind w:firstLine="640" w:firstLineChars="200"/>
        <w:rPr>
          <w:rFonts w:ascii="Times New Roman"/>
          <w:sz w:val="32"/>
          <w:szCs w:val="32"/>
        </w:rPr>
      </w:pPr>
      <w:r>
        <w:rPr>
          <w:rFonts w:ascii="Times New Roman"/>
          <w:sz w:val="32"/>
          <w:szCs w:val="32"/>
        </w:rPr>
        <w:t>二是根据全县年度重点工作，延伸档案工作服务领域，主动跟进全县重点工作、重大项目、重要活动，按时间节点联合相关部门对重点档案工作进行业务指导，积极开展了脱贫攻坚、防洪治理、后期扶持、移民项目、网箱拆除、污普档案、土地确权、退耕还林、党史学习教育、疫情防控、棚改、公证档案等重点档案业务指导，规范档案收集管理，为数字化进馆打好基础。</w:t>
      </w:r>
    </w:p>
    <w:p w14:paraId="68796BCD">
      <w:pPr>
        <w:ind w:firstLine="640" w:firstLineChars="200"/>
        <w:rPr>
          <w:rFonts w:eastAsia="仿宋_GB2312"/>
          <w:kern w:val="0"/>
          <w:sz w:val="32"/>
          <w:szCs w:val="32"/>
        </w:rPr>
      </w:pPr>
      <w:r>
        <w:rPr>
          <w:rFonts w:eastAsia="仿宋_GB2312"/>
          <w:kern w:val="0"/>
          <w:sz w:val="32"/>
          <w:szCs w:val="32"/>
        </w:rPr>
        <w:t>5.优化档案服务利用，热情迎接便民查阅。</w:t>
      </w:r>
    </w:p>
    <w:p w14:paraId="3867BEAA">
      <w:pPr>
        <w:ind w:firstLine="640" w:firstLineChars="200"/>
        <w:rPr>
          <w:rFonts w:eastAsia="仿宋_GB2312"/>
          <w:kern w:val="0"/>
          <w:sz w:val="32"/>
          <w:szCs w:val="32"/>
        </w:rPr>
      </w:pPr>
      <w:r>
        <w:rPr>
          <w:rFonts w:eastAsia="仿宋_GB2312"/>
          <w:kern w:val="0"/>
          <w:sz w:val="32"/>
          <w:szCs w:val="32"/>
        </w:rPr>
        <w:t>2022年县档案馆制定完善了《盐边县档案馆未开放档案制度》，持续优化档案查阅和异地利用服务，全方位发挥档案工作的服务作用。截至2022年11月4日，共接待1024人次个人档案查阅利用、228人次公务查阅利用、54次异地查档利用，在处理社保、职工退休、矛盾纠纷、民事争议、电梯加装、组织人事、干部职工档案和纪检监察工作等方面发挥了积极作用。</w:t>
      </w:r>
    </w:p>
    <w:p w14:paraId="51243D9F">
      <w:pPr>
        <w:ind w:firstLine="640" w:firstLineChars="200"/>
        <w:rPr>
          <w:rFonts w:eastAsia="仿宋_GB2312"/>
          <w:kern w:val="0"/>
          <w:sz w:val="32"/>
          <w:szCs w:val="32"/>
        </w:rPr>
      </w:pPr>
      <w:r>
        <w:rPr>
          <w:rFonts w:eastAsia="仿宋_GB2312"/>
          <w:kern w:val="0"/>
          <w:sz w:val="32"/>
          <w:szCs w:val="32"/>
        </w:rPr>
        <w:t>6.筑牢档案安全屏障，坚守档案安全红线。</w:t>
      </w:r>
    </w:p>
    <w:p w14:paraId="3A7C217D">
      <w:pPr>
        <w:ind w:firstLine="640" w:firstLineChars="200"/>
        <w:rPr>
          <w:rFonts w:eastAsia="仿宋_GB2312"/>
          <w:kern w:val="0"/>
          <w:sz w:val="32"/>
          <w:szCs w:val="32"/>
        </w:rPr>
      </w:pPr>
      <w:r>
        <w:rPr>
          <w:rFonts w:eastAsia="仿宋_GB2312"/>
          <w:kern w:val="0"/>
          <w:sz w:val="32"/>
          <w:szCs w:val="32"/>
        </w:rPr>
        <w:t>持续加强库房及机房安全巡查，运用监控设备、门禁系统、气体灭火系统、中央空调、自动温湿度记录仪、低温杀虫灭菌消毒柜和防磁柜等设施设备严控档案安全风险。对档案馆楼顶加装防雨棚，进一步防止雨水、沙尘进入库房，并实行档案汛期安全周报告制度，向市档案局每周报告全县档案安全情况。持续做好消防工作，消防日巡查、月维保、年检测工作，签订消防责任书，加强应急学习培训，适时开展消防应急演练，确保馆藏档案绝对安全。</w:t>
      </w:r>
    </w:p>
    <w:p w14:paraId="48B31F56">
      <w:pPr>
        <w:ind w:firstLine="640" w:firstLineChars="200"/>
        <w:rPr>
          <w:rFonts w:eastAsia="仿宋_GB2312"/>
          <w:kern w:val="0"/>
          <w:sz w:val="32"/>
          <w:szCs w:val="32"/>
        </w:rPr>
      </w:pPr>
      <w:r>
        <w:rPr>
          <w:rFonts w:eastAsia="仿宋_GB2312"/>
          <w:kern w:val="0"/>
          <w:sz w:val="32"/>
          <w:szCs w:val="32"/>
        </w:rPr>
        <w:t>7.有力有序推动其他重要工作</w:t>
      </w:r>
    </w:p>
    <w:p w14:paraId="629D95ED">
      <w:pPr>
        <w:ind w:firstLine="640" w:firstLineChars="200"/>
        <w:rPr>
          <w:rFonts w:eastAsia="仿宋_GB2312"/>
          <w:kern w:val="0"/>
          <w:sz w:val="32"/>
          <w:szCs w:val="32"/>
        </w:rPr>
      </w:pPr>
      <w:r>
        <w:rPr>
          <w:rFonts w:eastAsia="仿宋_GB2312"/>
          <w:kern w:val="0"/>
          <w:sz w:val="32"/>
          <w:szCs w:val="32"/>
        </w:rPr>
        <w:t>按照县森林草原防灭火工作、疫情防控要求和县委办安排，县档案馆负责格萨拉大坪子村，全馆职工轮流到格萨拉乡大坪子村开展森林防灭火和疫情防控工作；积极开展文明城市创建实地点位打造、楼栋包保工作；积极申报民族团结进步示范单位，开展民族团结宣传工作；按照“党建引领惠民生·增设电梯暖民心”活动任务安排，做实做细做好宣传动员、耐心说服等协调服务工作；持续做好天府科技云、政务数据资源共享、普法宣传等各项工作。</w:t>
      </w:r>
    </w:p>
    <w:p w14:paraId="3C402299">
      <w:pPr>
        <w:pStyle w:val="4"/>
        <w:spacing w:before="0" w:after="0" w:line="240" w:lineRule="auto"/>
        <w:ind w:firstLine="640" w:firstLineChars="200"/>
        <w:rPr>
          <w:rStyle w:val="29"/>
          <w:b w:val="0"/>
          <w:bCs w:val="0"/>
        </w:rPr>
      </w:pPr>
      <w:bookmarkStart w:id="18" w:name="_Toc15396601"/>
      <w:bookmarkStart w:id="19" w:name="_Toc15377200"/>
      <w:r>
        <w:rPr>
          <w:rFonts w:hint="eastAsia" w:ascii="黑体" w:eastAsia="黑体"/>
          <w:b w:val="0"/>
        </w:rPr>
        <w:t>二、</w:t>
      </w:r>
      <w:r>
        <w:rPr>
          <w:rFonts w:hint="eastAsia" w:ascii="黑体" w:hAnsi="黑体" w:eastAsia="黑体"/>
          <w:b w:val="0"/>
        </w:rPr>
        <w:t>机</w:t>
      </w:r>
      <w:r>
        <w:rPr>
          <w:rStyle w:val="29"/>
          <w:rFonts w:hint="eastAsia" w:ascii="黑体" w:hAnsi="黑体" w:eastAsia="黑体"/>
          <w:b w:val="0"/>
          <w:bCs w:val="0"/>
        </w:rPr>
        <w:t>构设置</w:t>
      </w:r>
      <w:bookmarkEnd w:id="18"/>
      <w:bookmarkEnd w:id="19"/>
    </w:p>
    <w:p w14:paraId="46A1A531">
      <w:pPr>
        <w:ind w:firstLine="640" w:firstLineChars="200"/>
        <w:rPr>
          <w:rFonts w:eastAsia="仿宋_GB2312"/>
          <w:kern w:val="0"/>
          <w:sz w:val="32"/>
          <w:szCs w:val="32"/>
        </w:rPr>
      </w:pPr>
      <w:r>
        <w:rPr>
          <w:rFonts w:hint="eastAsia" w:eastAsia="仿宋_GB2312"/>
          <w:kern w:val="0"/>
          <w:sz w:val="32"/>
          <w:szCs w:val="32"/>
        </w:rPr>
        <w:t>盐边县档案馆下属二级预算单位0个，其中行政单位0个，参照公务员法管理的事业单位0个，其他事业单位0个。</w:t>
      </w:r>
    </w:p>
    <w:p w14:paraId="3DE31B04">
      <w:pPr>
        <w:widowControl/>
        <w:jc w:val="left"/>
        <w:rPr>
          <w:rFonts w:ascii="仿宋" w:hAnsi="仿宋" w:eastAsia="仿宋"/>
          <w:kern w:val="0"/>
          <w:sz w:val="32"/>
          <w:szCs w:val="32"/>
        </w:rPr>
      </w:pPr>
      <w:r>
        <w:rPr>
          <w:rFonts w:ascii="仿宋" w:hAnsi="仿宋" w:eastAsia="仿宋"/>
          <w:sz w:val="32"/>
          <w:szCs w:val="32"/>
        </w:rPr>
        <w:br w:type="page"/>
      </w:r>
    </w:p>
    <w:p w14:paraId="2A188AEE">
      <w:pPr>
        <w:pStyle w:val="3"/>
        <w:ind w:right="440"/>
        <w:jc w:val="center"/>
        <w:rPr>
          <w:rStyle w:val="28"/>
          <w:rFonts w:ascii="黑体" w:hAnsi="黑体" w:eastAsia="黑体"/>
          <w:b w:val="0"/>
          <w:bCs/>
        </w:rPr>
      </w:pPr>
      <w:bookmarkStart w:id="20" w:name="_Toc15396602"/>
      <w:bookmarkStart w:id="21" w:name="_Toc15377204"/>
      <w:r>
        <w:rPr>
          <w:rFonts w:hint="eastAsia" w:ascii="黑体" w:hAnsi="黑体" w:eastAsia="黑体"/>
          <w:b w:val="0"/>
        </w:rPr>
        <w:t>第二部分 2022年度</w:t>
      </w:r>
      <w:r>
        <w:rPr>
          <w:rStyle w:val="28"/>
          <w:rFonts w:hint="eastAsia" w:ascii="黑体" w:hAnsi="黑体" w:eastAsia="黑体"/>
          <w:b w:val="0"/>
          <w:bCs/>
        </w:rPr>
        <w:t>部门决算情况说明</w:t>
      </w:r>
      <w:bookmarkEnd w:id="20"/>
      <w:bookmarkEnd w:id="21"/>
    </w:p>
    <w:p w14:paraId="49CEDE96"/>
    <w:p w14:paraId="3B1BFAC5">
      <w:pPr>
        <w:pStyle w:val="27"/>
        <w:spacing w:line="600" w:lineRule="exact"/>
        <w:ind w:left="1360" w:hanging="720" w:firstLineChars="0"/>
        <w:outlineLvl w:val="1"/>
        <w:rPr>
          <w:rStyle w:val="29"/>
          <w:rFonts w:ascii="黑体" w:hAnsi="黑体" w:eastAsia="黑体"/>
          <w:b w:val="0"/>
        </w:rPr>
      </w:pPr>
      <w:bookmarkStart w:id="22" w:name="_Toc15377205"/>
      <w:bookmarkStart w:id="23" w:name="_Toc15396603"/>
      <w:r>
        <w:rPr>
          <w:rFonts w:ascii="黑体" w:hAnsi="黑体" w:eastAsia="黑体" w:cstheme="majorBidi"/>
          <w:bCs/>
          <w:sz w:val="32"/>
          <w:szCs w:val="32"/>
        </w:rPr>
        <w:t>一、</w:t>
      </w:r>
      <w:r>
        <w:rPr>
          <w:rFonts w:hint="eastAsia" w:ascii="黑体" w:hAnsi="黑体" w:eastAsia="黑体"/>
          <w:sz w:val="32"/>
          <w:szCs w:val="32"/>
        </w:rPr>
        <w:t>收</w:t>
      </w:r>
      <w:r>
        <w:rPr>
          <w:rStyle w:val="29"/>
          <w:rFonts w:hint="eastAsia" w:ascii="黑体" w:hAnsi="黑体" w:eastAsia="黑体"/>
          <w:b w:val="0"/>
        </w:rPr>
        <w:t>入支出决算总体情况说明</w:t>
      </w:r>
      <w:bookmarkEnd w:id="22"/>
      <w:bookmarkEnd w:id="23"/>
    </w:p>
    <w:p w14:paraId="125992E6">
      <w:pPr>
        <w:ind w:firstLine="640" w:firstLineChars="200"/>
        <w:rPr>
          <w:rFonts w:eastAsia="仿宋_GB2312"/>
          <w:kern w:val="0"/>
          <w:sz w:val="32"/>
          <w:szCs w:val="32"/>
          <w:lang w:val="zh-CN"/>
        </w:rPr>
      </w:pPr>
      <w:r>
        <w:rPr>
          <w:rFonts w:hint="eastAsia" w:eastAsia="仿宋_GB2312"/>
          <w:kern w:val="0"/>
          <w:sz w:val="32"/>
          <w:szCs w:val="32"/>
          <w:lang w:val="zh-CN"/>
        </w:rPr>
        <w:t>2022年度收、支总计246.4万元。与2021年相比，收、支总计各减少121.17万元，下降33%。主要变动原因是人员变动及上一年度包含化解暂付款。</w:t>
      </w:r>
    </w:p>
    <w:p w14:paraId="482325A0">
      <w:pPr>
        <w:ind w:firstLine="640" w:firstLineChars="200"/>
        <w:rPr>
          <w:rFonts w:eastAsia="仿宋_GB2312"/>
          <w:kern w:val="0"/>
          <w:sz w:val="32"/>
          <w:szCs w:val="32"/>
        </w:rPr>
      </w:pPr>
      <w:r>
        <w:rPr>
          <w:rFonts w:hint="eastAsia" w:eastAsia="仿宋_GB2312"/>
          <w:kern w:val="0"/>
          <w:sz w:val="32"/>
          <w:szCs w:val="32"/>
        </w:rPr>
        <w:drawing>
          <wp:anchor distT="0" distB="0" distL="114300" distR="114300" simplePos="0" relativeHeight="251659264" behindDoc="0" locked="0" layoutInCell="1" allowOverlap="1">
            <wp:simplePos x="0" y="0"/>
            <wp:positionH relativeFrom="column">
              <wp:posOffset>365760</wp:posOffset>
            </wp:positionH>
            <wp:positionV relativeFrom="paragraph">
              <wp:posOffset>53975</wp:posOffset>
            </wp:positionV>
            <wp:extent cx="4599940" cy="2215515"/>
            <wp:effectExtent l="4445" t="4445" r="5715" b="889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eastAsia="仿宋_GB2312"/>
          <w:kern w:val="0"/>
          <w:sz w:val="32"/>
          <w:szCs w:val="32"/>
        </w:rPr>
        <w:t>（图1：收、支决算总计变动情况图）（柱状图）</w:t>
      </w:r>
    </w:p>
    <w:p w14:paraId="4D16EBB4">
      <w:pPr>
        <w:pStyle w:val="27"/>
        <w:spacing w:line="600" w:lineRule="exact"/>
        <w:ind w:left="640" w:firstLine="0" w:firstLineChars="0"/>
        <w:outlineLvl w:val="1"/>
        <w:rPr>
          <w:rFonts w:ascii="仿宋" w:hAnsi="仿宋" w:eastAsia="仿宋"/>
          <w:sz w:val="32"/>
          <w:szCs w:val="32"/>
          <w:lang w:val="zh-CN"/>
        </w:rPr>
      </w:pPr>
      <w:bookmarkStart w:id="24" w:name="_Toc15396604"/>
      <w:bookmarkStart w:id="25" w:name="_Toc15377206"/>
      <w:r>
        <w:rPr>
          <w:rFonts w:hint="eastAsia" w:ascii="黑体" w:hAnsi="黑体" w:eastAsia="黑体"/>
          <w:sz w:val="32"/>
          <w:szCs w:val="32"/>
        </w:rPr>
        <w:t>二、收</w:t>
      </w:r>
      <w:r>
        <w:rPr>
          <w:rStyle w:val="29"/>
          <w:rFonts w:hint="eastAsia" w:ascii="黑体" w:hAnsi="黑体" w:eastAsia="黑体"/>
          <w:b w:val="0"/>
        </w:rPr>
        <w:t>入决算情况说明</w:t>
      </w:r>
      <w:bookmarkEnd w:id="24"/>
      <w:bookmarkEnd w:id="25"/>
    </w:p>
    <w:p w14:paraId="512B6EE2">
      <w:pPr>
        <w:ind w:firstLine="640" w:firstLineChars="200"/>
        <w:rPr>
          <w:rFonts w:eastAsia="仿宋_GB2312"/>
          <w:kern w:val="0"/>
          <w:sz w:val="32"/>
          <w:szCs w:val="32"/>
          <w:lang w:val="zh-CN"/>
        </w:rPr>
      </w:pPr>
      <w:r>
        <w:rPr>
          <w:rFonts w:hint="eastAsia" w:eastAsia="仿宋_GB2312"/>
          <w:kern w:val="0"/>
          <w:sz w:val="32"/>
          <w:szCs w:val="32"/>
          <w:lang w:val="zh-CN"/>
        </w:rPr>
        <w:t>2022年本年收入合计246.4万元，其中：一般公共预算财政拨款收入246.4万元，占100%；政府性基金预算财政拨款收入0万元，占0%；国有资本经营预算财政拨款收入0万元，占0%；上级补助收入0万元，占0%；事业收入0万元，占0%；经营收入0万元，占0%；附属单位上缴收入0万元，占0%；其他收入0万元，占0%。</w:t>
      </w:r>
    </w:p>
    <w:p w14:paraId="4B784FB1">
      <w:pPr>
        <w:keepNext/>
        <w:keepLines/>
        <w:spacing w:line="576" w:lineRule="exact"/>
        <w:rPr>
          <w:rFonts w:ascii="仿宋" w:hAnsi="仿宋" w:eastAsia="仿宋"/>
          <w:sz w:val="32"/>
          <w:szCs w:val="32"/>
          <w:lang w:val="zh-CN"/>
        </w:rPr>
      </w:pPr>
      <w:r>
        <w:rPr>
          <w:rFonts w:hint="eastAsia" w:ascii="仿宋" w:hAnsi="仿宋" w:eastAsia="仿宋"/>
          <w:sz w:val="32"/>
          <w:szCs w:val="32"/>
        </w:rPr>
        <w:drawing>
          <wp:anchor distT="0" distB="0" distL="114300" distR="114300" simplePos="0" relativeHeight="251660288" behindDoc="0" locked="0" layoutInCell="1" allowOverlap="1">
            <wp:simplePos x="0" y="0"/>
            <wp:positionH relativeFrom="column">
              <wp:posOffset>184785</wp:posOffset>
            </wp:positionH>
            <wp:positionV relativeFrom="paragraph">
              <wp:posOffset>192405</wp:posOffset>
            </wp:positionV>
            <wp:extent cx="4865370" cy="2649220"/>
            <wp:effectExtent l="4445" t="4445" r="6985" b="1333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57BF37CC">
      <w:pPr>
        <w:keepNext/>
        <w:keepLines/>
        <w:spacing w:line="576" w:lineRule="exact"/>
        <w:rPr>
          <w:rFonts w:ascii="仿宋" w:hAnsi="仿宋" w:eastAsia="仿宋"/>
          <w:sz w:val="32"/>
          <w:szCs w:val="32"/>
          <w:lang w:val="zh-CN"/>
        </w:rPr>
      </w:pPr>
    </w:p>
    <w:p w14:paraId="4D91C5BC">
      <w:pPr>
        <w:keepNext/>
        <w:keepLines/>
        <w:spacing w:line="576" w:lineRule="exact"/>
        <w:rPr>
          <w:rFonts w:ascii="仿宋" w:hAnsi="仿宋" w:eastAsia="仿宋"/>
          <w:sz w:val="32"/>
          <w:szCs w:val="32"/>
          <w:lang w:val="zh-CN"/>
        </w:rPr>
      </w:pPr>
    </w:p>
    <w:p w14:paraId="7AB7B51D">
      <w:pPr>
        <w:keepNext/>
        <w:keepLines/>
        <w:spacing w:line="576" w:lineRule="exact"/>
        <w:rPr>
          <w:rFonts w:ascii="仿宋" w:hAnsi="仿宋" w:eastAsia="仿宋"/>
          <w:sz w:val="32"/>
          <w:szCs w:val="32"/>
          <w:lang w:val="zh-CN"/>
        </w:rPr>
      </w:pPr>
    </w:p>
    <w:p w14:paraId="2D7CB3E1">
      <w:pPr>
        <w:keepNext/>
        <w:keepLines/>
        <w:spacing w:line="576" w:lineRule="exact"/>
        <w:rPr>
          <w:rFonts w:ascii="仿宋" w:hAnsi="仿宋" w:eastAsia="仿宋"/>
          <w:sz w:val="32"/>
          <w:szCs w:val="32"/>
          <w:lang w:val="zh-CN"/>
        </w:rPr>
      </w:pPr>
    </w:p>
    <w:p w14:paraId="67695928">
      <w:pPr>
        <w:keepNext/>
        <w:keepLines/>
        <w:spacing w:line="576" w:lineRule="exact"/>
        <w:rPr>
          <w:rFonts w:ascii="仿宋" w:hAnsi="仿宋" w:eastAsia="仿宋"/>
          <w:sz w:val="32"/>
          <w:szCs w:val="32"/>
          <w:lang w:val="zh-CN"/>
        </w:rPr>
      </w:pPr>
    </w:p>
    <w:p w14:paraId="0057B6C0">
      <w:pPr>
        <w:keepNext/>
        <w:keepLines/>
        <w:spacing w:line="576" w:lineRule="exact"/>
        <w:rPr>
          <w:rFonts w:ascii="仿宋" w:hAnsi="仿宋" w:eastAsia="仿宋"/>
          <w:sz w:val="32"/>
          <w:szCs w:val="32"/>
          <w:lang w:val="zh-CN"/>
        </w:rPr>
      </w:pPr>
    </w:p>
    <w:p w14:paraId="71C38194">
      <w:pPr>
        <w:keepNext/>
        <w:keepLines/>
        <w:spacing w:line="576" w:lineRule="exact"/>
        <w:rPr>
          <w:rFonts w:ascii="仿宋" w:hAnsi="仿宋" w:eastAsia="仿宋"/>
          <w:sz w:val="32"/>
          <w:szCs w:val="32"/>
          <w:lang w:val="zh-CN"/>
        </w:rPr>
      </w:pPr>
    </w:p>
    <w:p w14:paraId="3C671F2E">
      <w:pPr>
        <w:ind w:firstLine="640" w:firstLineChars="200"/>
        <w:jc w:val="center"/>
        <w:rPr>
          <w:rFonts w:eastAsia="仿宋_GB2312"/>
          <w:kern w:val="0"/>
          <w:sz w:val="32"/>
          <w:szCs w:val="32"/>
        </w:rPr>
      </w:pPr>
      <w:r>
        <w:rPr>
          <w:rFonts w:hint="eastAsia" w:eastAsia="仿宋_GB2312"/>
          <w:kern w:val="0"/>
          <w:sz w:val="32"/>
          <w:szCs w:val="32"/>
        </w:rPr>
        <w:t>（图2：收入决算结构图）（饼状图）</w:t>
      </w:r>
    </w:p>
    <w:p w14:paraId="01D2237B">
      <w:pPr>
        <w:pStyle w:val="27"/>
        <w:spacing w:line="600" w:lineRule="exact"/>
        <w:ind w:left="1360" w:hanging="720" w:firstLineChars="0"/>
        <w:outlineLvl w:val="1"/>
        <w:rPr>
          <w:rStyle w:val="29"/>
          <w:rFonts w:ascii="黑体" w:hAnsi="黑体" w:eastAsia="黑体"/>
          <w:b w:val="0"/>
        </w:rPr>
      </w:pPr>
      <w:bookmarkStart w:id="26" w:name="_Toc15377207"/>
      <w:bookmarkStart w:id="27" w:name="_Toc15396605"/>
      <w:r>
        <w:rPr>
          <w:rFonts w:hint="eastAsia" w:ascii="黑体" w:hAnsi="黑体" w:eastAsia="黑体"/>
          <w:sz w:val="32"/>
          <w:szCs w:val="32"/>
        </w:rPr>
        <w:t>三、支</w:t>
      </w:r>
      <w:r>
        <w:rPr>
          <w:rStyle w:val="29"/>
          <w:rFonts w:hint="eastAsia" w:ascii="黑体" w:hAnsi="黑体" w:eastAsia="黑体"/>
          <w:b w:val="0"/>
        </w:rPr>
        <w:t>出决算情况说明</w:t>
      </w:r>
      <w:bookmarkEnd w:id="26"/>
      <w:bookmarkEnd w:id="27"/>
    </w:p>
    <w:p w14:paraId="6516C970">
      <w:pPr>
        <w:ind w:firstLine="640" w:firstLineChars="200"/>
        <w:rPr>
          <w:rFonts w:eastAsia="仿宋_GB2312"/>
          <w:kern w:val="0"/>
          <w:sz w:val="32"/>
          <w:szCs w:val="32"/>
          <w:lang w:val="zh-CN"/>
        </w:rPr>
      </w:pPr>
      <w:r>
        <w:rPr>
          <w:rFonts w:hint="eastAsia" w:eastAsia="仿宋_GB2312"/>
          <w:kern w:val="0"/>
          <w:sz w:val="32"/>
          <w:szCs w:val="32"/>
          <w:lang w:val="zh-CN"/>
        </w:rPr>
        <w:t>2022年本年支出合计246.4万元，其中：基本支出216.4万元，占87.8%；项目支出30万元，占12.2%；上缴上级支出0万元，占0%；经营支出0万元，占0%；对附属单位补助支出0万元，占0%。</w:t>
      </w:r>
    </w:p>
    <w:p w14:paraId="4CCC498C">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drawing>
          <wp:anchor distT="0" distB="0" distL="114300" distR="114300" simplePos="0" relativeHeight="251661312" behindDoc="0" locked="0" layoutInCell="1" allowOverlap="1">
            <wp:simplePos x="0" y="0"/>
            <wp:positionH relativeFrom="column">
              <wp:posOffset>370205</wp:posOffset>
            </wp:positionH>
            <wp:positionV relativeFrom="paragraph">
              <wp:posOffset>85725</wp:posOffset>
            </wp:positionV>
            <wp:extent cx="4865370" cy="2649220"/>
            <wp:effectExtent l="4445" t="4445" r="6985" b="1333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51DCCF12">
      <w:pPr>
        <w:spacing w:line="600" w:lineRule="exact"/>
        <w:ind w:firstLine="640"/>
        <w:rPr>
          <w:rFonts w:ascii="仿宋" w:hAnsi="仿宋" w:eastAsia="仿宋"/>
          <w:sz w:val="32"/>
          <w:szCs w:val="32"/>
          <w:shd w:val="pct10" w:color="auto" w:fill="FFFFFF"/>
        </w:rPr>
      </w:pPr>
    </w:p>
    <w:p w14:paraId="2FF6ADC4">
      <w:pPr>
        <w:spacing w:line="600" w:lineRule="exact"/>
        <w:ind w:firstLine="640"/>
        <w:rPr>
          <w:rFonts w:ascii="仿宋" w:hAnsi="仿宋" w:eastAsia="仿宋"/>
          <w:sz w:val="32"/>
          <w:szCs w:val="32"/>
          <w:shd w:val="pct10" w:color="auto" w:fill="FFFFFF"/>
        </w:rPr>
      </w:pPr>
    </w:p>
    <w:p w14:paraId="09E7E871">
      <w:pPr>
        <w:spacing w:line="600" w:lineRule="exact"/>
        <w:ind w:firstLine="640"/>
        <w:rPr>
          <w:rFonts w:ascii="仿宋" w:hAnsi="仿宋" w:eastAsia="仿宋"/>
          <w:sz w:val="32"/>
          <w:szCs w:val="32"/>
          <w:shd w:val="pct10" w:color="auto" w:fill="FFFFFF"/>
        </w:rPr>
      </w:pPr>
    </w:p>
    <w:p w14:paraId="032D2AC6">
      <w:pPr>
        <w:spacing w:line="600" w:lineRule="exact"/>
        <w:ind w:firstLine="640"/>
        <w:rPr>
          <w:rFonts w:ascii="仿宋" w:hAnsi="仿宋" w:eastAsia="仿宋"/>
          <w:sz w:val="32"/>
          <w:szCs w:val="32"/>
          <w:shd w:val="pct10" w:color="auto" w:fill="FFFFFF"/>
        </w:rPr>
      </w:pPr>
    </w:p>
    <w:p w14:paraId="1391634B">
      <w:pPr>
        <w:spacing w:line="600" w:lineRule="exact"/>
        <w:ind w:firstLine="640"/>
        <w:rPr>
          <w:rFonts w:ascii="仿宋" w:hAnsi="仿宋" w:eastAsia="仿宋"/>
          <w:sz w:val="32"/>
          <w:szCs w:val="32"/>
          <w:shd w:val="pct10" w:color="auto" w:fill="FFFFFF"/>
        </w:rPr>
      </w:pPr>
    </w:p>
    <w:p w14:paraId="3631063E">
      <w:pPr>
        <w:spacing w:line="600" w:lineRule="exact"/>
        <w:rPr>
          <w:rFonts w:ascii="仿宋" w:hAnsi="仿宋" w:eastAsia="仿宋"/>
          <w:sz w:val="32"/>
          <w:szCs w:val="32"/>
          <w:shd w:val="pct10" w:color="auto" w:fill="FFFFFF"/>
        </w:rPr>
      </w:pPr>
    </w:p>
    <w:p w14:paraId="50B590F9">
      <w:pPr>
        <w:ind w:firstLine="640" w:firstLineChars="200"/>
        <w:jc w:val="center"/>
        <w:rPr>
          <w:rFonts w:eastAsia="仿宋_GB2312"/>
          <w:kern w:val="0"/>
          <w:sz w:val="32"/>
          <w:szCs w:val="32"/>
        </w:rPr>
      </w:pPr>
      <w:r>
        <w:rPr>
          <w:rFonts w:hint="eastAsia" w:eastAsia="仿宋_GB2312"/>
          <w:kern w:val="0"/>
          <w:sz w:val="32"/>
          <w:szCs w:val="32"/>
        </w:rPr>
        <w:t>（图3：支出决算结构图）（饼状图）</w:t>
      </w:r>
    </w:p>
    <w:p w14:paraId="2B8C7FBB">
      <w:pPr>
        <w:spacing w:line="600" w:lineRule="exact"/>
        <w:ind w:firstLine="640" w:firstLineChars="200"/>
        <w:rPr>
          <w:rFonts w:ascii="仿宋_GB2312" w:eastAsia="仿宋_GB2312"/>
          <w:sz w:val="32"/>
          <w:szCs w:val="32"/>
        </w:rPr>
      </w:pPr>
    </w:p>
    <w:p w14:paraId="1842BB2C">
      <w:pPr>
        <w:spacing w:line="600" w:lineRule="exact"/>
        <w:ind w:firstLine="640" w:firstLineChars="200"/>
        <w:outlineLvl w:val="1"/>
        <w:rPr>
          <w:rStyle w:val="29"/>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8"/>
      <w:bookmarkEnd w:id="29"/>
    </w:p>
    <w:p w14:paraId="65FC8ADB">
      <w:pPr>
        <w:ind w:firstLine="640" w:firstLineChars="200"/>
        <w:rPr>
          <w:rFonts w:eastAsia="仿宋_GB2312"/>
          <w:kern w:val="0"/>
          <w:sz w:val="32"/>
          <w:szCs w:val="32"/>
          <w:lang w:val="zh-CN"/>
        </w:rPr>
      </w:pPr>
      <w:r>
        <w:rPr>
          <w:rFonts w:hint="eastAsia" w:eastAsia="仿宋_GB2312"/>
          <w:kern w:val="0"/>
          <w:sz w:val="32"/>
          <w:szCs w:val="32"/>
          <w:lang w:val="zh-CN"/>
        </w:rPr>
        <w:t>2022年财政拨款收、支总计246.4万元。与2021年相比，财政拨款收、支总计各减少121.17万元，下降33%。主要变动原因是人员变动及上一年度包含化解暂付款。</w:t>
      </w:r>
    </w:p>
    <w:p w14:paraId="0FDFFB3D">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2336" behindDoc="0" locked="0" layoutInCell="1" allowOverlap="1">
            <wp:simplePos x="0" y="0"/>
            <wp:positionH relativeFrom="column">
              <wp:posOffset>560705</wp:posOffset>
            </wp:positionH>
            <wp:positionV relativeFrom="paragraph">
              <wp:posOffset>186055</wp:posOffset>
            </wp:positionV>
            <wp:extent cx="4219575" cy="1972310"/>
            <wp:effectExtent l="5080" t="4445" r="4445" b="2349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49D9BE7B">
      <w:pPr>
        <w:spacing w:line="600" w:lineRule="exact"/>
        <w:rPr>
          <w:rFonts w:ascii="仿宋" w:hAnsi="仿宋" w:eastAsia="仿宋"/>
          <w:sz w:val="32"/>
          <w:szCs w:val="32"/>
        </w:rPr>
      </w:pPr>
    </w:p>
    <w:p w14:paraId="76D48B1A">
      <w:pPr>
        <w:spacing w:line="600" w:lineRule="exact"/>
        <w:rPr>
          <w:rFonts w:ascii="仿宋" w:hAnsi="仿宋" w:eastAsia="仿宋"/>
          <w:sz w:val="32"/>
          <w:szCs w:val="32"/>
        </w:rPr>
      </w:pPr>
    </w:p>
    <w:p w14:paraId="6A46EB17">
      <w:pPr>
        <w:spacing w:line="600" w:lineRule="exact"/>
        <w:rPr>
          <w:rFonts w:ascii="仿宋" w:hAnsi="仿宋" w:eastAsia="仿宋"/>
          <w:sz w:val="32"/>
          <w:szCs w:val="32"/>
        </w:rPr>
      </w:pPr>
    </w:p>
    <w:p w14:paraId="22547A5A">
      <w:pPr>
        <w:spacing w:line="600" w:lineRule="exact"/>
        <w:rPr>
          <w:rFonts w:ascii="仿宋" w:hAnsi="仿宋" w:eastAsia="仿宋"/>
          <w:sz w:val="32"/>
          <w:szCs w:val="32"/>
        </w:rPr>
      </w:pPr>
    </w:p>
    <w:p w14:paraId="0F364E66">
      <w:pPr>
        <w:spacing w:line="600" w:lineRule="exact"/>
        <w:rPr>
          <w:rFonts w:ascii="仿宋" w:hAnsi="仿宋" w:eastAsia="仿宋"/>
          <w:sz w:val="32"/>
          <w:szCs w:val="32"/>
        </w:rPr>
      </w:pPr>
    </w:p>
    <w:p w14:paraId="55E7EE01">
      <w:pPr>
        <w:ind w:firstLine="640" w:firstLineChars="200"/>
        <w:jc w:val="center"/>
        <w:rPr>
          <w:rFonts w:eastAsia="仿宋_GB2312"/>
          <w:kern w:val="0"/>
          <w:sz w:val="32"/>
          <w:szCs w:val="32"/>
        </w:rPr>
      </w:pPr>
      <w:r>
        <w:rPr>
          <w:rFonts w:hint="eastAsia" w:eastAsia="仿宋_GB2312"/>
          <w:kern w:val="0"/>
          <w:sz w:val="32"/>
          <w:szCs w:val="32"/>
        </w:rPr>
        <w:t>（图4：财政拨款收、支决算总计变动情况）（柱状图）</w:t>
      </w:r>
    </w:p>
    <w:p w14:paraId="6379BEC8">
      <w:pPr>
        <w:spacing w:line="600" w:lineRule="exact"/>
        <w:ind w:firstLine="640" w:firstLineChars="200"/>
        <w:outlineLvl w:val="1"/>
        <w:rPr>
          <w:rStyle w:val="29"/>
          <w:rFonts w:ascii="黑体" w:hAnsi="黑体" w:eastAsia="黑体"/>
          <w:b w:val="0"/>
        </w:rPr>
      </w:pPr>
      <w:bookmarkStart w:id="30" w:name="_Toc15377209"/>
      <w:bookmarkStart w:id="31"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0"/>
      <w:bookmarkEnd w:id="31"/>
    </w:p>
    <w:p w14:paraId="43647D5B">
      <w:pPr>
        <w:spacing w:line="600" w:lineRule="exact"/>
        <w:ind w:firstLine="643" w:firstLineChars="200"/>
        <w:outlineLvl w:val="2"/>
        <w:rPr>
          <w:rFonts w:ascii="方正楷体简体" w:hAnsi="方正楷体简体" w:eastAsia="方正楷体简体" w:cs="方正楷体简体"/>
          <w:b/>
          <w:sz w:val="32"/>
          <w:szCs w:val="32"/>
        </w:rPr>
      </w:pPr>
      <w:bookmarkStart w:id="32" w:name="_Toc15377210"/>
      <w:r>
        <w:rPr>
          <w:rFonts w:hint="eastAsia" w:ascii="方正楷体简体" w:hAnsi="方正楷体简体" w:eastAsia="方正楷体简体" w:cs="方正楷体简体"/>
          <w:b/>
          <w:sz w:val="32"/>
          <w:szCs w:val="32"/>
        </w:rPr>
        <w:t>（一）一般公共预算财政拨款支出决算总体情况</w:t>
      </w:r>
      <w:bookmarkEnd w:id="32"/>
    </w:p>
    <w:p w14:paraId="45E24DC7">
      <w:pPr>
        <w:ind w:firstLine="640" w:firstLineChars="200"/>
        <w:rPr>
          <w:rFonts w:eastAsia="仿宋_GB2312"/>
          <w:kern w:val="0"/>
          <w:sz w:val="32"/>
          <w:szCs w:val="32"/>
          <w:lang w:val="zh-CN"/>
        </w:rPr>
      </w:pPr>
      <w:r>
        <w:rPr>
          <w:rFonts w:hint="eastAsia" w:eastAsia="仿宋_GB2312"/>
          <w:kern w:val="0"/>
          <w:sz w:val="32"/>
          <w:szCs w:val="32"/>
          <w:lang w:val="zh-CN"/>
        </w:rPr>
        <w:t>2022年一般公共预算财政拨款支出246.4万元，占本年支出合计的100%。与2021年相比，一般公共预算财政拨款支出减少121.17万元，下降33%。主要变动原因是人员变动及上一年度包含化解暂付款。</w:t>
      </w:r>
    </w:p>
    <w:p w14:paraId="4D45F05E">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3360" behindDoc="0" locked="0" layoutInCell="1" allowOverlap="1">
            <wp:simplePos x="0" y="0"/>
            <wp:positionH relativeFrom="column">
              <wp:posOffset>698500</wp:posOffset>
            </wp:positionH>
            <wp:positionV relativeFrom="paragraph">
              <wp:posOffset>6350</wp:posOffset>
            </wp:positionV>
            <wp:extent cx="4188460" cy="1910715"/>
            <wp:effectExtent l="4445" t="5080" r="17145" b="8255"/>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306069FC">
      <w:pPr>
        <w:spacing w:line="600" w:lineRule="exact"/>
        <w:ind w:firstLine="640" w:firstLineChars="200"/>
        <w:rPr>
          <w:rFonts w:ascii="仿宋" w:hAnsi="仿宋" w:eastAsia="仿宋"/>
          <w:sz w:val="32"/>
          <w:szCs w:val="32"/>
        </w:rPr>
      </w:pPr>
    </w:p>
    <w:p w14:paraId="136C4207">
      <w:pPr>
        <w:spacing w:line="600" w:lineRule="exact"/>
        <w:ind w:firstLine="640" w:firstLineChars="200"/>
        <w:rPr>
          <w:rFonts w:ascii="仿宋" w:hAnsi="仿宋" w:eastAsia="仿宋"/>
          <w:sz w:val="32"/>
          <w:szCs w:val="32"/>
        </w:rPr>
      </w:pPr>
    </w:p>
    <w:p w14:paraId="63F1E012">
      <w:pPr>
        <w:spacing w:line="600" w:lineRule="exact"/>
        <w:ind w:firstLine="640" w:firstLineChars="200"/>
        <w:rPr>
          <w:rFonts w:ascii="仿宋" w:hAnsi="仿宋" w:eastAsia="仿宋"/>
          <w:sz w:val="32"/>
          <w:szCs w:val="32"/>
        </w:rPr>
      </w:pPr>
    </w:p>
    <w:p w14:paraId="514BB7FC">
      <w:pPr>
        <w:spacing w:line="600" w:lineRule="exact"/>
        <w:ind w:firstLine="640" w:firstLineChars="200"/>
        <w:rPr>
          <w:rFonts w:ascii="仿宋" w:hAnsi="仿宋" w:eastAsia="仿宋"/>
          <w:sz w:val="32"/>
          <w:szCs w:val="32"/>
        </w:rPr>
      </w:pPr>
    </w:p>
    <w:p w14:paraId="3FFB8B2B">
      <w:pPr>
        <w:rPr>
          <w:rFonts w:ascii="仿宋" w:hAnsi="仿宋" w:eastAsia="仿宋"/>
          <w:sz w:val="32"/>
          <w:szCs w:val="32"/>
        </w:rPr>
      </w:pPr>
      <w:r>
        <w:rPr>
          <w:rFonts w:hint="eastAsia" w:eastAsia="仿宋_GB2312"/>
          <w:kern w:val="0"/>
          <w:sz w:val="32"/>
          <w:szCs w:val="32"/>
        </w:rPr>
        <w:t>（图5：一般公共预算财政拨款支出决算变动情况）（柱状图）</w:t>
      </w:r>
    </w:p>
    <w:p w14:paraId="505F7A0C">
      <w:pPr>
        <w:spacing w:line="600" w:lineRule="exact"/>
        <w:ind w:firstLine="643" w:firstLineChars="200"/>
        <w:outlineLvl w:val="2"/>
        <w:rPr>
          <w:rFonts w:ascii="方正楷体简体" w:hAnsi="方正楷体简体" w:eastAsia="方正楷体简体" w:cs="方正楷体简体"/>
          <w:b/>
          <w:sz w:val="32"/>
          <w:szCs w:val="32"/>
        </w:rPr>
      </w:pPr>
      <w:bookmarkStart w:id="33" w:name="_Toc15377211"/>
      <w:r>
        <w:rPr>
          <w:rFonts w:hint="eastAsia" w:ascii="方正楷体简体" w:hAnsi="方正楷体简体" w:eastAsia="方正楷体简体" w:cs="方正楷体简体"/>
          <w:b/>
          <w:sz w:val="32"/>
          <w:szCs w:val="32"/>
        </w:rPr>
        <w:t>（二）一般公共预算财政拨款支出决算结构情况</w:t>
      </w:r>
      <w:bookmarkEnd w:id="33"/>
    </w:p>
    <w:p w14:paraId="11C3E570">
      <w:pPr>
        <w:ind w:firstLine="640" w:firstLineChars="200"/>
        <w:rPr>
          <w:rFonts w:eastAsia="仿宋_GB2312"/>
          <w:kern w:val="0"/>
          <w:sz w:val="32"/>
          <w:szCs w:val="32"/>
          <w:lang w:val="zh-CN"/>
        </w:rPr>
      </w:pPr>
      <w:r>
        <w:rPr>
          <w:rFonts w:hint="eastAsia" w:eastAsia="仿宋_GB2312"/>
          <w:kern w:val="0"/>
          <w:sz w:val="32"/>
          <w:szCs w:val="32"/>
          <w:lang w:val="zh-CN"/>
        </w:rPr>
        <w:t>2022年一般公共预算财政拨款支出246.4万元，主要用于以下方面: 一般公共服务支出184.84万元，占75%；社会保障和就业支出30.78万元，占12.5%；卫生健康支出15.52万元，占6.3%；住房保障支出15.26万元，占6.2%。</w:t>
      </w:r>
    </w:p>
    <w:p w14:paraId="253506EF">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4384" behindDoc="0" locked="0" layoutInCell="1" allowOverlap="1">
            <wp:simplePos x="0" y="0"/>
            <wp:positionH relativeFrom="column">
              <wp:posOffset>243840</wp:posOffset>
            </wp:positionH>
            <wp:positionV relativeFrom="paragraph">
              <wp:posOffset>48260</wp:posOffset>
            </wp:positionV>
            <wp:extent cx="5066665" cy="3030220"/>
            <wp:effectExtent l="4445" t="4445" r="15240" b="13335"/>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638545EC">
      <w:pPr>
        <w:spacing w:line="600" w:lineRule="exact"/>
        <w:ind w:firstLine="640"/>
        <w:rPr>
          <w:rFonts w:ascii="仿宋" w:hAnsi="仿宋" w:eastAsia="仿宋"/>
          <w:sz w:val="32"/>
          <w:szCs w:val="32"/>
        </w:rPr>
      </w:pPr>
    </w:p>
    <w:p w14:paraId="5EB155E2">
      <w:pPr>
        <w:spacing w:line="600" w:lineRule="exact"/>
        <w:ind w:firstLine="640"/>
        <w:rPr>
          <w:rFonts w:ascii="仿宋" w:hAnsi="仿宋" w:eastAsia="仿宋"/>
          <w:sz w:val="32"/>
          <w:szCs w:val="32"/>
        </w:rPr>
      </w:pPr>
    </w:p>
    <w:p w14:paraId="2A25CB79">
      <w:pPr>
        <w:spacing w:line="600" w:lineRule="exact"/>
        <w:ind w:firstLine="640"/>
        <w:rPr>
          <w:rFonts w:ascii="仿宋" w:hAnsi="仿宋" w:eastAsia="仿宋"/>
          <w:sz w:val="32"/>
          <w:szCs w:val="32"/>
        </w:rPr>
      </w:pPr>
    </w:p>
    <w:p w14:paraId="62A2AA81">
      <w:pPr>
        <w:spacing w:line="600" w:lineRule="exact"/>
        <w:ind w:firstLine="640"/>
        <w:rPr>
          <w:rFonts w:ascii="仿宋" w:hAnsi="仿宋" w:eastAsia="仿宋"/>
          <w:sz w:val="32"/>
          <w:szCs w:val="32"/>
        </w:rPr>
      </w:pPr>
    </w:p>
    <w:p w14:paraId="1AAE4869">
      <w:pPr>
        <w:spacing w:line="600" w:lineRule="exact"/>
        <w:ind w:firstLine="640"/>
        <w:rPr>
          <w:rFonts w:ascii="仿宋" w:hAnsi="仿宋" w:eastAsia="仿宋"/>
          <w:sz w:val="32"/>
          <w:szCs w:val="32"/>
        </w:rPr>
      </w:pPr>
    </w:p>
    <w:p w14:paraId="66D3206D">
      <w:pPr>
        <w:spacing w:line="600" w:lineRule="exact"/>
        <w:ind w:firstLine="640"/>
        <w:rPr>
          <w:rFonts w:ascii="仿宋" w:hAnsi="仿宋" w:eastAsia="仿宋"/>
          <w:sz w:val="32"/>
          <w:szCs w:val="32"/>
        </w:rPr>
      </w:pPr>
    </w:p>
    <w:p w14:paraId="77E7F5AD">
      <w:pPr>
        <w:spacing w:line="600" w:lineRule="exact"/>
        <w:ind w:firstLine="640"/>
        <w:rPr>
          <w:rFonts w:ascii="仿宋" w:hAnsi="仿宋" w:eastAsia="仿宋"/>
          <w:sz w:val="32"/>
          <w:szCs w:val="32"/>
        </w:rPr>
      </w:pPr>
    </w:p>
    <w:p w14:paraId="50E6039B">
      <w:pPr>
        <w:rPr>
          <w:rFonts w:eastAsia="仿宋_GB2312"/>
          <w:kern w:val="0"/>
          <w:sz w:val="32"/>
          <w:szCs w:val="32"/>
          <w:lang w:val="zh-CN"/>
        </w:rPr>
      </w:pPr>
      <w:r>
        <w:rPr>
          <w:rFonts w:hint="eastAsia" w:eastAsia="仿宋_GB2312"/>
          <w:kern w:val="0"/>
          <w:sz w:val="32"/>
          <w:szCs w:val="32"/>
          <w:lang w:val="zh-CN"/>
        </w:rPr>
        <w:t>（图6：一般公共预算财政拨款支出决算结构）（饼状图）</w:t>
      </w:r>
    </w:p>
    <w:p w14:paraId="34FD5B1A">
      <w:pPr>
        <w:spacing w:line="600" w:lineRule="exact"/>
        <w:ind w:firstLine="643" w:firstLineChars="200"/>
        <w:outlineLvl w:val="2"/>
        <w:rPr>
          <w:rFonts w:ascii="方正楷体简体" w:hAnsi="方正楷体简体" w:eastAsia="方正楷体简体" w:cs="方正楷体简体"/>
          <w:b/>
          <w:sz w:val="32"/>
          <w:szCs w:val="32"/>
        </w:rPr>
      </w:pPr>
      <w:bookmarkStart w:id="34" w:name="_Toc15377212"/>
      <w:r>
        <w:rPr>
          <w:rFonts w:hint="eastAsia" w:ascii="方正楷体简体" w:hAnsi="方正楷体简体" w:eastAsia="方正楷体简体" w:cs="方正楷体简体"/>
          <w:b/>
          <w:sz w:val="32"/>
          <w:szCs w:val="32"/>
        </w:rPr>
        <w:t>（三）一般公共预算财政拨款支出决算具体情况</w:t>
      </w:r>
      <w:bookmarkEnd w:id="34"/>
    </w:p>
    <w:p w14:paraId="117DD179">
      <w:pPr>
        <w:ind w:firstLine="643" w:firstLineChars="200"/>
        <w:rPr>
          <w:rFonts w:eastAsia="仿宋_GB2312"/>
          <w:b/>
          <w:bCs/>
          <w:kern w:val="0"/>
          <w:sz w:val="32"/>
          <w:szCs w:val="32"/>
          <w:lang w:val="zh-CN"/>
        </w:rPr>
      </w:pPr>
      <w:r>
        <w:rPr>
          <w:rFonts w:hint="eastAsia" w:eastAsia="仿宋_GB2312"/>
          <w:b/>
          <w:bCs/>
          <w:kern w:val="0"/>
          <w:sz w:val="32"/>
          <w:szCs w:val="32"/>
          <w:lang w:val="zh-CN"/>
        </w:rPr>
        <w:t>2022年一般公共预算支出决算数为246.4万元，完成预算100%。其中：</w:t>
      </w:r>
    </w:p>
    <w:p w14:paraId="320C8847">
      <w:pPr>
        <w:spacing w:line="600" w:lineRule="exact"/>
        <w:ind w:firstLine="643" w:firstLineChars="200"/>
        <w:rPr>
          <w:rStyle w:val="17"/>
          <w:rFonts w:ascii="仿宋" w:hAnsi="仿宋" w:eastAsia="仿宋"/>
          <w:b w:val="0"/>
          <w:bCs/>
          <w:color w:val="000000"/>
          <w:sz w:val="32"/>
          <w:szCs w:val="32"/>
        </w:rPr>
      </w:pPr>
      <w:r>
        <w:rPr>
          <w:rFonts w:hint="eastAsia" w:eastAsia="仿宋_GB2312"/>
          <w:b/>
          <w:bCs/>
          <w:kern w:val="0"/>
          <w:sz w:val="32"/>
          <w:szCs w:val="32"/>
        </w:rPr>
        <w:t>1.</w:t>
      </w:r>
      <w:r>
        <w:rPr>
          <w:rFonts w:hint="eastAsia" w:eastAsia="仿宋_GB2312"/>
          <w:b/>
          <w:bCs/>
          <w:kern w:val="0"/>
          <w:sz w:val="32"/>
          <w:szCs w:val="32"/>
          <w:lang w:val="zh-CN"/>
        </w:rPr>
        <w:t>一般公共服务（类）档案事务（款）行政运行（项）:</w:t>
      </w:r>
      <w:r>
        <w:rPr>
          <w:rFonts w:hint="eastAsia" w:eastAsia="仿宋_GB2312"/>
          <w:kern w:val="0"/>
          <w:sz w:val="32"/>
          <w:szCs w:val="32"/>
          <w:lang w:val="zh-CN"/>
        </w:rPr>
        <w:t>支出决算为154.84万元，完成预算100%。</w:t>
      </w:r>
    </w:p>
    <w:p w14:paraId="22A6D96E">
      <w:pPr>
        <w:spacing w:line="600" w:lineRule="exact"/>
        <w:ind w:firstLine="643" w:firstLineChars="200"/>
        <w:rPr>
          <w:rStyle w:val="17"/>
          <w:rFonts w:ascii="仿宋" w:hAnsi="仿宋" w:eastAsia="仿宋"/>
          <w:b w:val="0"/>
          <w:bCs/>
          <w:color w:val="000000"/>
          <w:sz w:val="32"/>
          <w:szCs w:val="32"/>
        </w:rPr>
      </w:pPr>
      <w:r>
        <w:rPr>
          <w:rFonts w:hint="eastAsia" w:eastAsia="仿宋_GB2312"/>
          <w:b/>
          <w:bCs/>
          <w:kern w:val="0"/>
          <w:sz w:val="32"/>
          <w:szCs w:val="32"/>
          <w:lang w:val="zh-CN"/>
        </w:rPr>
        <w:t>2.一般公共服务（类）档案事务（款）档案馆（项）:</w:t>
      </w:r>
      <w:r>
        <w:rPr>
          <w:rFonts w:hint="eastAsia" w:eastAsia="仿宋_GB2312"/>
          <w:kern w:val="0"/>
          <w:sz w:val="32"/>
          <w:szCs w:val="32"/>
          <w:lang w:val="zh-CN"/>
        </w:rPr>
        <w:t>支出决算为30</w:t>
      </w:r>
      <w:r>
        <w:rPr>
          <w:rFonts w:hint="eastAsia" w:eastAsia="仿宋_GB2312"/>
          <w:kern w:val="0"/>
          <w:sz w:val="32"/>
          <w:szCs w:val="32"/>
        </w:rPr>
        <w:t>.00</w:t>
      </w:r>
      <w:r>
        <w:rPr>
          <w:rFonts w:hint="eastAsia" w:eastAsia="仿宋_GB2312"/>
          <w:kern w:val="0"/>
          <w:sz w:val="32"/>
          <w:szCs w:val="32"/>
          <w:lang w:val="zh-CN"/>
        </w:rPr>
        <w:t>万元，完成预算100%。</w:t>
      </w:r>
    </w:p>
    <w:p w14:paraId="72316364">
      <w:pPr>
        <w:spacing w:line="600" w:lineRule="exact"/>
        <w:ind w:firstLine="643" w:firstLineChars="200"/>
        <w:rPr>
          <w:rFonts w:eastAsia="仿宋_GB2312"/>
          <w:kern w:val="0"/>
          <w:sz w:val="32"/>
          <w:szCs w:val="32"/>
          <w:lang w:val="zh-CN"/>
        </w:rPr>
      </w:pPr>
      <w:r>
        <w:rPr>
          <w:rFonts w:hint="eastAsia" w:eastAsia="仿宋_GB2312"/>
          <w:b/>
          <w:bCs/>
          <w:kern w:val="0"/>
          <w:sz w:val="32"/>
          <w:szCs w:val="32"/>
        </w:rPr>
        <w:t>3</w:t>
      </w:r>
      <w:r>
        <w:rPr>
          <w:rFonts w:hint="eastAsia" w:eastAsia="仿宋_GB2312"/>
          <w:b/>
          <w:bCs/>
          <w:kern w:val="0"/>
          <w:sz w:val="32"/>
          <w:szCs w:val="32"/>
          <w:lang w:val="zh-CN"/>
        </w:rPr>
        <w:t>.社会保障和就业（类）行政事业单位养老支出（款） 行政单位离退休（项）:</w:t>
      </w:r>
      <w:r>
        <w:rPr>
          <w:rFonts w:hint="eastAsia" w:eastAsia="仿宋_GB2312"/>
          <w:kern w:val="0"/>
          <w:sz w:val="32"/>
          <w:szCs w:val="32"/>
          <w:lang w:val="zh-CN"/>
        </w:rPr>
        <w:t>支出决算为10.26万元，完成预算100%。</w:t>
      </w:r>
    </w:p>
    <w:p w14:paraId="38FB7E73">
      <w:pPr>
        <w:spacing w:line="600" w:lineRule="exact"/>
        <w:ind w:firstLine="643" w:firstLineChars="200"/>
        <w:rPr>
          <w:rFonts w:eastAsia="仿宋_GB2312"/>
          <w:kern w:val="0"/>
          <w:sz w:val="32"/>
          <w:szCs w:val="32"/>
          <w:lang w:val="zh-CN"/>
        </w:rPr>
      </w:pPr>
      <w:r>
        <w:rPr>
          <w:rFonts w:hint="eastAsia" w:eastAsia="仿宋_GB2312"/>
          <w:b/>
          <w:bCs/>
          <w:kern w:val="0"/>
          <w:sz w:val="32"/>
          <w:szCs w:val="32"/>
        </w:rPr>
        <w:t>4</w:t>
      </w:r>
      <w:r>
        <w:rPr>
          <w:rFonts w:hint="eastAsia" w:eastAsia="仿宋_GB2312"/>
          <w:b/>
          <w:bCs/>
          <w:kern w:val="0"/>
          <w:sz w:val="32"/>
          <w:szCs w:val="32"/>
          <w:lang w:val="zh-CN"/>
        </w:rPr>
        <w:t>.社会保障和就业（类）行政事业单位养老支出（款） 基本养老保险缴费支出（项）:</w:t>
      </w:r>
      <w:r>
        <w:rPr>
          <w:rFonts w:hint="eastAsia" w:eastAsia="仿宋_GB2312"/>
          <w:kern w:val="0"/>
          <w:sz w:val="32"/>
          <w:szCs w:val="32"/>
          <w:lang w:val="zh-CN"/>
        </w:rPr>
        <w:t>支出决算为12.95万元，完成预算100%。</w:t>
      </w:r>
    </w:p>
    <w:p w14:paraId="712354C6">
      <w:pPr>
        <w:spacing w:line="600" w:lineRule="exact"/>
        <w:ind w:firstLine="643" w:firstLineChars="200"/>
        <w:rPr>
          <w:rFonts w:eastAsia="仿宋_GB2312"/>
          <w:kern w:val="0"/>
          <w:sz w:val="32"/>
          <w:szCs w:val="32"/>
        </w:rPr>
      </w:pPr>
      <w:r>
        <w:rPr>
          <w:rFonts w:hint="eastAsia" w:eastAsia="仿宋_GB2312"/>
          <w:b/>
          <w:bCs/>
          <w:kern w:val="0"/>
          <w:sz w:val="32"/>
          <w:szCs w:val="32"/>
        </w:rPr>
        <w:t>5</w:t>
      </w:r>
      <w:r>
        <w:rPr>
          <w:rFonts w:hint="eastAsia" w:eastAsia="仿宋_GB2312"/>
          <w:b/>
          <w:bCs/>
          <w:kern w:val="0"/>
          <w:sz w:val="32"/>
          <w:szCs w:val="32"/>
          <w:lang w:val="zh-CN"/>
        </w:rPr>
        <w:t>.社会保障和就业（类）行政事业单位养老支出（款）   机关事业单位职业年金缴费支出（项）:</w:t>
      </w:r>
      <w:r>
        <w:rPr>
          <w:rFonts w:hint="eastAsia" w:eastAsia="仿宋_GB2312"/>
          <w:kern w:val="0"/>
          <w:sz w:val="32"/>
          <w:szCs w:val="32"/>
          <w:lang w:val="zh-CN"/>
        </w:rPr>
        <w:t>支出决算为7.57万元，完成预算100%。</w:t>
      </w:r>
    </w:p>
    <w:p w14:paraId="140FBBD1">
      <w:pPr>
        <w:spacing w:line="600" w:lineRule="exact"/>
        <w:ind w:firstLine="643" w:firstLineChars="200"/>
        <w:rPr>
          <w:rFonts w:eastAsia="仿宋_GB2312"/>
          <w:kern w:val="0"/>
          <w:sz w:val="32"/>
          <w:szCs w:val="32"/>
        </w:rPr>
      </w:pPr>
      <w:r>
        <w:rPr>
          <w:rFonts w:hint="eastAsia" w:eastAsia="仿宋_GB2312"/>
          <w:b/>
          <w:bCs/>
          <w:kern w:val="0"/>
          <w:sz w:val="32"/>
          <w:szCs w:val="32"/>
        </w:rPr>
        <w:t>6</w:t>
      </w:r>
      <w:r>
        <w:rPr>
          <w:rFonts w:hint="eastAsia" w:eastAsia="仿宋_GB2312"/>
          <w:b/>
          <w:bCs/>
          <w:kern w:val="0"/>
          <w:sz w:val="32"/>
          <w:szCs w:val="32"/>
          <w:lang w:val="zh-CN"/>
        </w:rPr>
        <w:t>.卫生健康支出（类）行政事业单位医疗（款）行政单位医疗（项）:</w:t>
      </w:r>
      <w:r>
        <w:rPr>
          <w:rFonts w:hint="eastAsia" w:eastAsia="仿宋_GB2312"/>
          <w:kern w:val="0"/>
          <w:sz w:val="32"/>
          <w:szCs w:val="32"/>
          <w:lang w:val="zh-CN"/>
        </w:rPr>
        <w:t>支出决算为9.73万元，完成预算100%。</w:t>
      </w:r>
    </w:p>
    <w:p w14:paraId="6856C6BF">
      <w:pPr>
        <w:spacing w:line="600" w:lineRule="exact"/>
        <w:ind w:firstLine="643" w:firstLineChars="200"/>
        <w:rPr>
          <w:rFonts w:eastAsia="仿宋"/>
        </w:rPr>
      </w:pPr>
      <w:r>
        <w:rPr>
          <w:rFonts w:hint="eastAsia" w:eastAsia="仿宋_GB2312"/>
          <w:b/>
          <w:bCs/>
          <w:kern w:val="0"/>
          <w:sz w:val="32"/>
          <w:szCs w:val="32"/>
        </w:rPr>
        <w:t>7</w:t>
      </w:r>
      <w:r>
        <w:rPr>
          <w:rFonts w:hint="eastAsia" w:eastAsia="仿宋_GB2312"/>
          <w:b/>
          <w:bCs/>
          <w:kern w:val="0"/>
          <w:sz w:val="32"/>
          <w:szCs w:val="32"/>
          <w:lang w:val="zh-CN"/>
        </w:rPr>
        <w:t>.卫生健康支出（类）行政事业单位医疗（款）公务员医疗补助（项）:</w:t>
      </w:r>
      <w:r>
        <w:rPr>
          <w:rFonts w:hint="eastAsia" w:eastAsia="仿宋_GB2312"/>
          <w:kern w:val="0"/>
          <w:sz w:val="32"/>
          <w:szCs w:val="32"/>
          <w:lang w:val="zh-CN"/>
        </w:rPr>
        <w:t>支出决算为5.79万元，完成预算100%。</w:t>
      </w:r>
    </w:p>
    <w:p w14:paraId="25BB0DCE">
      <w:pPr>
        <w:spacing w:line="600" w:lineRule="exact"/>
        <w:ind w:firstLine="643" w:firstLineChars="200"/>
        <w:rPr>
          <w:rFonts w:ascii="仿宋" w:hAnsi="仿宋" w:eastAsia="仿宋"/>
          <w:b/>
          <w:sz w:val="32"/>
          <w:szCs w:val="32"/>
        </w:rPr>
      </w:pPr>
      <w:r>
        <w:rPr>
          <w:rFonts w:hint="eastAsia" w:eastAsia="仿宋_GB2312"/>
          <w:b/>
          <w:bCs/>
          <w:kern w:val="0"/>
          <w:sz w:val="32"/>
          <w:szCs w:val="32"/>
        </w:rPr>
        <w:t>8</w:t>
      </w:r>
      <w:r>
        <w:rPr>
          <w:rFonts w:hint="eastAsia" w:eastAsia="仿宋_GB2312"/>
          <w:b/>
          <w:bCs/>
          <w:kern w:val="0"/>
          <w:sz w:val="32"/>
          <w:szCs w:val="32"/>
          <w:lang w:val="zh-CN"/>
        </w:rPr>
        <w:t>.住房保障支出（类）住房改革支出（款）住房公积金（项）:</w:t>
      </w:r>
      <w:r>
        <w:rPr>
          <w:rFonts w:hint="eastAsia" w:eastAsia="仿宋_GB2312"/>
          <w:kern w:val="0"/>
          <w:sz w:val="32"/>
          <w:szCs w:val="32"/>
          <w:lang w:val="zh-CN"/>
        </w:rPr>
        <w:t>支出决算为15.26万元，完成预算100%。</w:t>
      </w:r>
    </w:p>
    <w:p w14:paraId="51F95EB3">
      <w:pPr>
        <w:tabs>
          <w:tab w:val="right" w:pos="8306"/>
        </w:tabs>
        <w:spacing w:line="600" w:lineRule="exact"/>
        <w:ind w:firstLine="640"/>
        <w:outlineLvl w:val="1"/>
        <w:rPr>
          <w:rStyle w:val="29"/>
        </w:rPr>
      </w:pPr>
      <w:bookmarkStart w:id="35" w:name="_Toc15396608"/>
      <w:bookmarkStart w:id="36"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5"/>
      <w:bookmarkEnd w:id="36"/>
      <w:r>
        <w:rPr>
          <w:rStyle w:val="29"/>
          <w:rFonts w:ascii="黑体" w:hAnsi="黑体" w:eastAsia="黑体"/>
          <w:b w:val="0"/>
        </w:rPr>
        <w:tab/>
      </w:r>
    </w:p>
    <w:p w14:paraId="68A9E274">
      <w:pPr>
        <w:ind w:firstLine="640" w:firstLineChars="200"/>
        <w:rPr>
          <w:rFonts w:eastAsia="仿宋_GB2312"/>
          <w:kern w:val="0"/>
          <w:sz w:val="32"/>
          <w:szCs w:val="32"/>
          <w:lang w:val="zh-CN"/>
        </w:rPr>
      </w:pPr>
      <w:r>
        <w:rPr>
          <w:rFonts w:hint="eastAsia" w:eastAsia="仿宋_GB2312"/>
          <w:kern w:val="0"/>
          <w:sz w:val="32"/>
          <w:szCs w:val="32"/>
          <w:lang w:val="zh-CN"/>
        </w:rPr>
        <w:t>2022年一般公共预算财政拨款基本支出216.4万元，其中：</w:t>
      </w:r>
    </w:p>
    <w:p w14:paraId="5BCDC2A8">
      <w:pPr>
        <w:ind w:firstLine="643" w:firstLineChars="200"/>
        <w:rPr>
          <w:rFonts w:eastAsia="仿宋_GB2312"/>
          <w:kern w:val="0"/>
          <w:sz w:val="32"/>
          <w:szCs w:val="32"/>
          <w:lang w:val="zh-CN"/>
        </w:rPr>
      </w:pPr>
      <w:r>
        <w:rPr>
          <w:rFonts w:hint="eastAsia" w:eastAsia="仿宋_GB2312"/>
          <w:b/>
          <w:bCs/>
          <w:kern w:val="0"/>
          <w:sz w:val="32"/>
          <w:szCs w:val="32"/>
          <w:lang w:val="zh-CN"/>
        </w:rPr>
        <w:t>人员经费</w:t>
      </w:r>
      <w:r>
        <w:rPr>
          <w:rFonts w:hint="eastAsia" w:eastAsia="仿宋_GB2312"/>
          <w:kern w:val="0"/>
          <w:sz w:val="32"/>
          <w:szCs w:val="32"/>
          <w:lang w:val="zh-CN"/>
        </w:rPr>
        <w:t>199.77万元，主要包括：基本工资、津贴补贴、奖金、机关事业单位基本养老保险缴费、职业年金缴费、其他社会保障缴费、其他工资福利支出、生活补助、医疗费补助、奖励金、住房公积金等。</w:t>
      </w:r>
      <w:r>
        <w:rPr>
          <w:rFonts w:hint="eastAsia" w:eastAsia="仿宋_GB2312"/>
          <w:kern w:val="0"/>
          <w:sz w:val="32"/>
          <w:szCs w:val="32"/>
          <w:lang w:val="zh-CN"/>
        </w:rPr>
        <w:br w:type="textWrapping"/>
      </w:r>
      <w:r>
        <w:rPr>
          <w:rFonts w:hint="eastAsia" w:eastAsia="仿宋_GB2312"/>
          <w:kern w:val="0"/>
          <w:sz w:val="32"/>
          <w:szCs w:val="32"/>
          <w:lang w:val="zh-CN"/>
        </w:rPr>
        <w:t>　　</w:t>
      </w:r>
      <w:r>
        <w:rPr>
          <w:rFonts w:hint="eastAsia" w:eastAsia="仿宋_GB2312"/>
          <w:b/>
          <w:bCs/>
          <w:kern w:val="0"/>
          <w:sz w:val="32"/>
          <w:szCs w:val="32"/>
          <w:lang w:val="zh-CN"/>
        </w:rPr>
        <w:t>公用经费</w:t>
      </w:r>
      <w:r>
        <w:rPr>
          <w:rFonts w:hint="eastAsia" w:eastAsia="仿宋_GB2312"/>
          <w:kern w:val="0"/>
          <w:sz w:val="32"/>
          <w:szCs w:val="32"/>
          <w:lang w:val="zh-CN"/>
        </w:rPr>
        <w:t>16.63万元，主要包括：办公费、水费、电费、邮电费、差旅费、维修（护）费、培训费、劳务费、工会经费、福利费、其他交通费、其他商品和服务支出、办公设备购置等。</w:t>
      </w:r>
    </w:p>
    <w:p w14:paraId="7D65DB93">
      <w:pPr>
        <w:spacing w:line="600" w:lineRule="exact"/>
        <w:ind w:firstLine="640"/>
        <w:outlineLvl w:val="1"/>
        <w:rPr>
          <w:rStyle w:val="29"/>
          <w:rFonts w:ascii="黑体" w:hAnsi="黑体" w:eastAsia="黑体"/>
          <w:b w:val="0"/>
        </w:rPr>
      </w:pPr>
      <w:bookmarkStart w:id="37" w:name="_Toc15377215"/>
      <w:bookmarkStart w:id="38"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7"/>
      <w:bookmarkEnd w:id="38"/>
    </w:p>
    <w:p w14:paraId="48C36EBC">
      <w:pPr>
        <w:spacing w:line="600" w:lineRule="exact"/>
        <w:ind w:firstLine="643" w:firstLineChars="200"/>
        <w:outlineLvl w:val="2"/>
        <w:rPr>
          <w:rFonts w:ascii="方正楷体简体" w:hAnsi="方正楷体简体" w:eastAsia="方正楷体简体" w:cs="方正楷体简体"/>
          <w:b/>
          <w:sz w:val="32"/>
          <w:szCs w:val="32"/>
        </w:rPr>
      </w:pPr>
      <w:bookmarkStart w:id="39" w:name="_Toc15377216"/>
      <w:r>
        <w:rPr>
          <w:rFonts w:hint="eastAsia" w:ascii="方正楷体简体" w:hAnsi="方正楷体简体" w:eastAsia="方正楷体简体" w:cs="方正楷体简体"/>
          <w:b/>
          <w:sz w:val="32"/>
          <w:szCs w:val="32"/>
        </w:rPr>
        <w:t>（一）“三公”经费财政拨款支出决算总体情况说明</w:t>
      </w:r>
      <w:bookmarkEnd w:id="39"/>
    </w:p>
    <w:p w14:paraId="33C6A061">
      <w:pPr>
        <w:ind w:firstLine="640" w:firstLineChars="200"/>
        <w:rPr>
          <w:rFonts w:eastAsia="仿宋_GB2312"/>
          <w:kern w:val="0"/>
          <w:sz w:val="32"/>
          <w:szCs w:val="32"/>
          <w:lang w:val="zh-CN"/>
        </w:rPr>
      </w:pPr>
      <w:r>
        <w:rPr>
          <w:rFonts w:hint="eastAsia" w:eastAsia="仿宋_GB2312"/>
          <w:kern w:val="0"/>
          <w:sz w:val="32"/>
          <w:szCs w:val="32"/>
          <w:lang w:val="zh-CN"/>
        </w:rPr>
        <w:t>2022年“三公”经费财政拨款支出决算为</w:t>
      </w:r>
      <w:r>
        <w:rPr>
          <w:rFonts w:hint="eastAsia" w:eastAsia="仿宋_GB2312"/>
          <w:kern w:val="0"/>
          <w:sz w:val="32"/>
          <w:szCs w:val="32"/>
        </w:rPr>
        <w:t>0</w:t>
      </w:r>
      <w:r>
        <w:rPr>
          <w:rFonts w:hint="eastAsia" w:eastAsia="仿宋_GB2312"/>
          <w:kern w:val="0"/>
          <w:sz w:val="32"/>
          <w:szCs w:val="32"/>
          <w:lang w:val="zh-CN"/>
        </w:rPr>
        <w:t>万元，完成预算</w:t>
      </w:r>
      <w:r>
        <w:rPr>
          <w:rFonts w:hint="eastAsia" w:eastAsia="仿宋_GB2312"/>
          <w:kern w:val="0"/>
          <w:sz w:val="32"/>
          <w:szCs w:val="32"/>
        </w:rPr>
        <w:t>0</w:t>
      </w:r>
      <w:r>
        <w:rPr>
          <w:rFonts w:hint="eastAsia" w:eastAsia="仿宋_GB2312"/>
          <w:kern w:val="0"/>
          <w:sz w:val="32"/>
          <w:szCs w:val="32"/>
          <w:lang w:val="zh-CN"/>
        </w:rPr>
        <w:t>%，较上年减少</w:t>
      </w:r>
      <w:r>
        <w:rPr>
          <w:rFonts w:hint="eastAsia" w:eastAsia="仿宋_GB2312"/>
          <w:kern w:val="0"/>
          <w:sz w:val="32"/>
          <w:szCs w:val="32"/>
        </w:rPr>
        <w:t>0.11</w:t>
      </w:r>
      <w:r>
        <w:rPr>
          <w:rFonts w:hint="eastAsia" w:eastAsia="仿宋_GB2312"/>
          <w:kern w:val="0"/>
          <w:sz w:val="32"/>
          <w:szCs w:val="32"/>
          <w:lang w:val="zh-CN"/>
        </w:rPr>
        <w:t>万元，下降</w:t>
      </w:r>
      <w:r>
        <w:rPr>
          <w:rFonts w:hint="eastAsia" w:eastAsia="仿宋_GB2312"/>
          <w:kern w:val="0"/>
          <w:sz w:val="32"/>
          <w:szCs w:val="32"/>
        </w:rPr>
        <w:t>100</w:t>
      </w:r>
      <w:r>
        <w:rPr>
          <w:rFonts w:hint="eastAsia" w:eastAsia="仿宋_GB2312"/>
          <w:kern w:val="0"/>
          <w:sz w:val="32"/>
          <w:szCs w:val="32"/>
          <w:lang w:val="zh-CN"/>
        </w:rPr>
        <w:t>%。决算数小于预算数的主要原因是</w:t>
      </w:r>
      <w:r>
        <w:rPr>
          <w:rFonts w:hint="eastAsia" w:eastAsia="仿宋_GB2312"/>
          <w:kern w:val="0"/>
          <w:sz w:val="32"/>
          <w:szCs w:val="32"/>
        </w:rPr>
        <w:t>2022</w:t>
      </w:r>
      <w:r>
        <w:rPr>
          <w:rFonts w:hint="eastAsia" w:eastAsia="仿宋_GB2312"/>
          <w:kern w:val="0"/>
          <w:sz w:val="32"/>
          <w:szCs w:val="32"/>
          <w:lang w:val="zh-CN"/>
        </w:rPr>
        <w:t>年度未发生公务接待、因公出国（境）、公务用车购置及运行维护等活动支出。</w:t>
      </w:r>
    </w:p>
    <w:p w14:paraId="64904A76">
      <w:pPr>
        <w:spacing w:line="600" w:lineRule="exact"/>
        <w:ind w:firstLine="643" w:firstLineChars="200"/>
        <w:outlineLvl w:val="2"/>
        <w:rPr>
          <w:rFonts w:ascii="方正楷体简体" w:hAnsi="方正楷体简体" w:eastAsia="方正楷体简体" w:cs="方正楷体简体"/>
          <w:b/>
          <w:sz w:val="32"/>
          <w:szCs w:val="32"/>
        </w:rPr>
      </w:pPr>
      <w:bookmarkStart w:id="40" w:name="_Toc15377217"/>
      <w:r>
        <w:rPr>
          <w:rFonts w:hint="eastAsia" w:ascii="方正楷体简体" w:hAnsi="方正楷体简体" w:eastAsia="方正楷体简体" w:cs="方正楷体简体"/>
          <w:b/>
          <w:sz w:val="32"/>
          <w:szCs w:val="32"/>
        </w:rPr>
        <w:t>（二）“三公”经费财政拨款支出决算具体情况说明</w:t>
      </w:r>
      <w:bookmarkEnd w:id="40"/>
    </w:p>
    <w:p w14:paraId="2904C8F4">
      <w:pPr>
        <w:ind w:firstLine="640" w:firstLineChars="200"/>
        <w:rPr>
          <w:rFonts w:eastAsia="仿宋_GB2312"/>
          <w:kern w:val="0"/>
          <w:sz w:val="32"/>
          <w:szCs w:val="32"/>
          <w:lang w:val="zh-CN"/>
        </w:rPr>
      </w:pPr>
      <w:r>
        <w:rPr>
          <w:rFonts w:hint="eastAsia" w:eastAsia="仿宋_GB2312"/>
          <w:kern w:val="0"/>
          <w:sz w:val="32"/>
          <w:szCs w:val="32"/>
          <w:lang w:val="zh-CN"/>
        </w:rPr>
        <w:t>2022年“三公”经费财政拨款支出决算中，因公出国（境）费支出决算</w:t>
      </w:r>
      <w:r>
        <w:rPr>
          <w:rFonts w:hint="eastAsia" w:eastAsia="仿宋_GB2312"/>
          <w:kern w:val="0"/>
          <w:sz w:val="32"/>
          <w:szCs w:val="32"/>
        </w:rPr>
        <w:t>0</w:t>
      </w:r>
      <w:r>
        <w:rPr>
          <w:rFonts w:hint="eastAsia" w:eastAsia="仿宋_GB2312"/>
          <w:kern w:val="0"/>
          <w:sz w:val="32"/>
          <w:szCs w:val="32"/>
          <w:lang w:val="zh-CN"/>
        </w:rPr>
        <w:t>万元，占</w:t>
      </w:r>
      <w:r>
        <w:rPr>
          <w:rFonts w:hint="eastAsia" w:eastAsia="仿宋_GB2312"/>
          <w:kern w:val="0"/>
          <w:sz w:val="32"/>
          <w:szCs w:val="32"/>
        </w:rPr>
        <w:t>0</w:t>
      </w:r>
      <w:r>
        <w:rPr>
          <w:rFonts w:hint="eastAsia" w:eastAsia="仿宋_GB2312"/>
          <w:kern w:val="0"/>
          <w:sz w:val="32"/>
          <w:szCs w:val="32"/>
          <w:lang w:val="zh-CN"/>
        </w:rPr>
        <w:t>%；公务用车购置及运行维护费支出决算</w:t>
      </w:r>
      <w:r>
        <w:rPr>
          <w:rFonts w:hint="eastAsia" w:eastAsia="仿宋_GB2312"/>
          <w:kern w:val="0"/>
          <w:sz w:val="32"/>
          <w:szCs w:val="32"/>
        </w:rPr>
        <w:t>0</w:t>
      </w:r>
      <w:r>
        <w:rPr>
          <w:rFonts w:hint="eastAsia" w:eastAsia="仿宋_GB2312"/>
          <w:kern w:val="0"/>
          <w:sz w:val="32"/>
          <w:szCs w:val="32"/>
          <w:lang w:val="zh-CN"/>
        </w:rPr>
        <w:t>万元，占</w:t>
      </w:r>
      <w:r>
        <w:rPr>
          <w:rFonts w:hint="eastAsia" w:eastAsia="仿宋_GB2312"/>
          <w:kern w:val="0"/>
          <w:sz w:val="32"/>
          <w:szCs w:val="32"/>
        </w:rPr>
        <w:t>0</w:t>
      </w:r>
      <w:r>
        <w:rPr>
          <w:rFonts w:hint="eastAsia" w:eastAsia="仿宋_GB2312"/>
          <w:kern w:val="0"/>
          <w:sz w:val="32"/>
          <w:szCs w:val="32"/>
          <w:lang w:val="zh-CN"/>
        </w:rPr>
        <w:t>%；公务接待费支出决算</w:t>
      </w:r>
      <w:r>
        <w:rPr>
          <w:rFonts w:hint="eastAsia" w:eastAsia="仿宋_GB2312"/>
          <w:kern w:val="0"/>
          <w:sz w:val="32"/>
          <w:szCs w:val="32"/>
        </w:rPr>
        <w:t>0</w:t>
      </w:r>
      <w:r>
        <w:rPr>
          <w:rFonts w:hint="eastAsia" w:eastAsia="仿宋_GB2312"/>
          <w:kern w:val="0"/>
          <w:sz w:val="32"/>
          <w:szCs w:val="32"/>
          <w:lang w:val="zh-CN"/>
        </w:rPr>
        <w:t>万元，占</w:t>
      </w:r>
      <w:r>
        <w:rPr>
          <w:rFonts w:hint="eastAsia" w:eastAsia="仿宋_GB2312"/>
          <w:kern w:val="0"/>
          <w:sz w:val="32"/>
          <w:szCs w:val="32"/>
        </w:rPr>
        <w:t>0</w:t>
      </w:r>
      <w:r>
        <w:rPr>
          <w:rFonts w:hint="eastAsia" w:eastAsia="仿宋_GB2312"/>
          <w:kern w:val="0"/>
          <w:sz w:val="32"/>
          <w:szCs w:val="32"/>
          <w:lang w:val="zh-CN"/>
        </w:rPr>
        <w:t>%。具体情况如下：</w:t>
      </w:r>
    </w:p>
    <w:p w14:paraId="2DEA5F10">
      <w:pPr>
        <w:spacing w:line="560" w:lineRule="exact"/>
        <w:ind w:firstLine="643" w:firstLineChars="200"/>
        <w:rPr>
          <w:rFonts w:eastAsia="仿宋_GB2312"/>
          <w:kern w:val="0"/>
          <w:sz w:val="32"/>
          <w:szCs w:val="32"/>
          <w:lang w:val="zh-CN"/>
        </w:rPr>
      </w:pPr>
      <w:r>
        <w:rPr>
          <w:rFonts w:hint="eastAsia" w:eastAsia="仿宋_GB2312"/>
          <w:b/>
          <w:bCs/>
          <w:kern w:val="0"/>
          <w:sz w:val="32"/>
          <w:szCs w:val="32"/>
          <w:lang w:val="zh-CN"/>
        </w:rPr>
        <w:t>1.因公出国（境）经费支出</w:t>
      </w:r>
      <w:r>
        <w:rPr>
          <w:rFonts w:hint="eastAsia" w:eastAsia="仿宋_GB2312"/>
          <w:kern w:val="0"/>
          <w:sz w:val="32"/>
          <w:szCs w:val="32"/>
        </w:rPr>
        <w:t>0</w:t>
      </w:r>
      <w:r>
        <w:rPr>
          <w:rFonts w:hint="eastAsia" w:eastAsia="仿宋_GB2312"/>
          <w:kern w:val="0"/>
          <w:sz w:val="32"/>
          <w:szCs w:val="32"/>
          <w:lang w:val="zh-CN"/>
        </w:rPr>
        <w:t>万元，完成预算</w:t>
      </w:r>
      <w:r>
        <w:rPr>
          <w:rFonts w:hint="eastAsia" w:eastAsia="仿宋_GB2312"/>
          <w:kern w:val="0"/>
          <w:sz w:val="32"/>
          <w:szCs w:val="32"/>
        </w:rPr>
        <w:t>0</w:t>
      </w:r>
      <w:r>
        <w:rPr>
          <w:rFonts w:hint="eastAsia" w:eastAsia="仿宋_GB2312"/>
          <w:kern w:val="0"/>
          <w:sz w:val="32"/>
          <w:szCs w:val="32"/>
          <w:lang w:val="zh-CN"/>
        </w:rPr>
        <w:t>%。全年安排因公出国（境）团组</w:t>
      </w:r>
      <w:r>
        <w:rPr>
          <w:rFonts w:hint="eastAsia" w:eastAsia="仿宋_GB2312"/>
          <w:kern w:val="0"/>
          <w:sz w:val="32"/>
          <w:szCs w:val="32"/>
        </w:rPr>
        <w:t>0</w:t>
      </w:r>
      <w:r>
        <w:rPr>
          <w:rFonts w:hint="eastAsia" w:eastAsia="仿宋_GB2312"/>
          <w:kern w:val="0"/>
          <w:sz w:val="32"/>
          <w:szCs w:val="32"/>
          <w:lang w:val="zh-CN"/>
        </w:rPr>
        <w:t>次，出国（境）</w:t>
      </w:r>
      <w:r>
        <w:rPr>
          <w:rFonts w:hint="eastAsia" w:eastAsia="仿宋_GB2312"/>
          <w:kern w:val="0"/>
          <w:sz w:val="32"/>
          <w:szCs w:val="32"/>
        </w:rPr>
        <w:t>0</w:t>
      </w:r>
      <w:r>
        <w:rPr>
          <w:rFonts w:hint="eastAsia" w:eastAsia="仿宋_GB2312"/>
          <w:kern w:val="0"/>
          <w:sz w:val="32"/>
          <w:szCs w:val="32"/>
          <w:lang w:val="zh-CN"/>
        </w:rPr>
        <w:t>人。因公出国（境）支出决算比2021年无增减变动。主要原因是我单位2022年无因公出国（境）支出。</w:t>
      </w:r>
    </w:p>
    <w:p w14:paraId="6CFE72D8">
      <w:pPr>
        <w:spacing w:line="600" w:lineRule="exact"/>
        <w:ind w:firstLine="640"/>
        <w:rPr>
          <w:rFonts w:eastAsia="仿宋_GB2312"/>
          <w:kern w:val="0"/>
          <w:sz w:val="32"/>
          <w:szCs w:val="32"/>
          <w:lang w:val="zh-CN"/>
        </w:rPr>
      </w:pPr>
      <w:r>
        <w:rPr>
          <w:rFonts w:hint="eastAsia" w:eastAsia="仿宋_GB2312"/>
          <w:b/>
          <w:bCs/>
          <w:kern w:val="0"/>
          <w:sz w:val="32"/>
          <w:szCs w:val="32"/>
          <w:lang w:val="zh-CN"/>
        </w:rPr>
        <w:t>2.公务用车购置及运行维护费支出</w:t>
      </w:r>
      <w:r>
        <w:rPr>
          <w:rFonts w:hint="eastAsia" w:eastAsia="仿宋_GB2312"/>
          <w:kern w:val="0"/>
          <w:sz w:val="32"/>
          <w:szCs w:val="32"/>
        </w:rPr>
        <w:t>0</w:t>
      </w:r>
      <w:r>
        <w:rPr>
          <w:rFonts w:hint="eastAsia" w:eastAsia="仿宋_GB2312"/>
          <w:kern w:val="0"/>
          <w:sz w:val="32"/>
          <w:szCs w:val="32"/>
          <w:lang w:val="zh-CN"/>
        </w:rPr>
        <w:t>万元,完成预算</w:t>
      </w:r>
      <w:r>
        <w:rPr>
          <w:rFonts w:hint="eastAsia" w:eastAsia="仿宋_GB2312"/>
          <w:kern w:val="0"/>
          <w:sz w:val="32"/>
          <w:szCs w:val="32"/>
        </w:rPr>
        <w:t>0</w:t>
      </w:r>
      <w:r>
        <w:rPr>
          <w:rFonts w:hint="eastAsia" w:eastAsia="仿宋_GB2312"/>
          <w:kern w:val="0"/>
          <w:sz w:val="32"/>
          <w:szCs w:val="32"/>
          <w:lang w:val="zh-CN"/>
        </w:rPr>
        <w:t>%。公务用车购置及运行维护费支出决算比2021年增加</w:t>
      </w:r>
      <w:r>
        <w:rPr>
          <w:rFonts w:hint="eastAsia" w:eastAsia="仿宋_GB2312"/>
          <w:kern w:val="0"/>
          <w:sz w:val="32"/>
          <w:szCs w:val="32"/>
        </w:rPr>
        <w:t>0</w:t>
      </w:r>
      <w:r>
        <w:rPr>
          <w:rFonts w:hint="eastAsia" w:eastAsia="仿宋_GB2312"/>
          <w:kern w:val="0"/>
          <w:sz w:val="32"/>
          <w:szCs w:val="32"/>
          <w:lang w:val="zh-CN"/>
        </w:rPr>
        <w:t>万元，增长</w:t>
      </w:r>
      <w:r>
        <w:rPr>
          <w:rFonts w:hint="eastAsia" w:eastAsia="仿宋_GB2312"/>
          <w:kern w:val="0"/>
          <w:sz w:val="32"/>
          <w:szCs w:val="32"/>
        </w:rPr>
        <w:t>0</w:t>
      </w:r>
      <w:r>
        <w:rPr>
          <w:rFonts w:hint="eastAsia" w:eastAsia="仿宋_GB2312"/>
          <w:kern w:val="0"/>
          <w:sz w:val="32"/>
          <w:szCs w:val="32"/>
          <w:lang w:val="zh-CN"/>
        </w:rPr>
        <w:t>%。主要原因是我单位无公务用车。</w:t>
      </w:r>
    </w:p>
    <w:p w14:paraId="0587B8F5">
      <w:pPr>
        <w:spacing w:line="600" w:lineRule="exact"/>
        <w:ind w:firstLine="640" w:firstLineChars="200"/>
        <w:rPr>
          <w:rFonts w:eastAsia="仿宋_GB2312"/>
          <w:kern w:val="0"/>
          <w:sz w:val="32"/>
          <w:szCs w:val="32"/>
          <w:lang w:val="zh-CN"/>
        </w:rPr>
      </w:pPr>
      <w:r>
        <w:rPr>
          <w:rFonts w:hint="eastAsia" w:ascii="仿宋_GB2312" w:eastAsia="仿宋_GB2312"/>
          <w:sz w:val="32"/>
          <w:szCs w:val="32"/>
        </w:rPr>
        <w:t>其中：</w:t>
      </w:r>
      <w:r>
        <w:rPr>
          <w:rFonts w:hint="eastAsia" w:eastAsia="仿宋_GB2312"/>
          <w:b/>
          <w:bCs/>
          <w:kern w:val="0"/>
          <w:sz w:val="32"/>
          <w:szCs w:val="32"/>
          <w:lang w:val="zh-CN"/>
        </w:rPr>
        <w:t>公务用车购置支出</w:t>
      </w:r>
      <w:r>
        <w:rPr>
          <w:rFonts w:hint="eastAsia" w:eastAsia="仿宋_GB2312"/>
          <w:kern w:val="0"/>
          <w:sz w:val="32"/>
          <w:szCs w:val="32"/>
        </w:rPr>
        <w:t>0</w:t>
      </w:r>
      <w:r>
        <w:rPr>
          <w:rFonts w:hint="eastAsia" w:eastAsia="仿宋_GB2312"/>
          <w:kern w:val="0"/>
          <w:sz w:val="32"/>
          <w:szCs w:val="32"/>
          <w:lang w:val="zh-CN"/>
        </w:rPr>
        <w:t>万元。全年按规定更新购置公务用车</w:t>
      </w:r>
      <w:r>
        <w:rPr>
          <w:rFonts w:hint="eastAsia" w:eastAsia="仿宋_GB2312"/>
          <w:kern w:val="0"/>
          <w:sz w:val="32"/>
          <w:szCs w:val="32"/>
        </w:rPr>
        <w:t>0</w:t>
      </w:r>
      <w:r>
        <w:rPr>
          <w:rFonts w:hint="eastAsia" w:eastAsia="仿宋_GB2312"/>
          <w:kern w:val="0"/>
          <w:sz w:val="32"/>
          <w:szCs w:val="32"/>
          <w:lang w:val="zh-CN"/>
        </w:rPr>
        <w:t>辆，其中：轿车</w:t>
      </w:r>
      <w:r>
        <w:rPr>
          <w:rFonts w:hint="eastAsia" w:eastAsia="仿宋_GB2312"/>
          <w:kern w:val="0"/>
          <w:sz w:val="32"/>
          <w:szCs w:val="32"/>
        </w:rPr>
        <w:t>0</w:t>
      </w:r>
      <w:r>
        <w:rPr>
          <w:rFonts w:hint="eastAsia" w:eastAsia="仿宋_GB2312"/>
          <w:kern w:val="0"/>
          <w:sz w:val="32"/>
          <w:szCs w:val="32"/>
          <w:lang w:val="zh-CN"/>
        </w:rPr>
        <w:t>辆、金额</w:t>
      </w:r>
      <w:r>
        <w:rPr>
          <w:rFonts w:hint="eastAsia" w:eastAsia="仿宋_GB2312"/>
          <w:kern w:val="0"/>
          <w:sz w:val="32"/>
          <w:szCs w:val="32"/>
        </w:rPr>
        <w:t>0</w:t>
      </w:r>
      <w:r>
        <w:rPr>
          <w:rFonts w:hint="eastAsia" w:eastAsia="仿宋_GB2312"/>
          <w:kern w:val="0"/>
          <w:sz w:val="32"/>
          <w:szCs w:val="32"/>
          <w:lang w:val="zh-CN"/>
        </w:rPr>
        <w:t>万元，越野车</w:t>
      </w:r>
      <w:r>
        <w:rPr>
          <w:rFonts w:hint="eastAsia" w:eastAsia="仿宋_GB2312"/>
          <w:kern w:val="0"/>
          <w:sz w:val="32"/>
          <w:szCs w:val="32"/>
        </w:rPr>
        <w:t>0</w:t>
      </w:r>
      <w:r>
        <w:rPr>
          <w:rFonts w:hint="eastAsia" w:eastAsia="仿宋_GB2312"/>
          <w:kern w:val="0"/>
          <w:sz w:val="32"/>
          <w:szCs w:val="32"/>
          <w:lang w:val="zh-CN"/>
        </w:rPr>
        <w:t>辆、金额</w:t>
      </w:r>
      <w:r>
        <w:rPr>
          <w:rFonts w:hint="eastAsia" w:eastAsia="仿宋_GB2312"/>
          <w:kern w:val="0"/>
          <w:sz w:val="32"/>
          <w:szCs w:val="32"/>
        </w:rPr>
        <w:t>0</w:t>
      </w:r>
      <w:r>
        <w:rPr>
          <w:rFonts w:hint="eastAsia" w:eastAsia="仿宋_GB2312"/>
          <w:kern w:val="0"/>
          <w:sz w:val="32"/>
          <w:szCs w:val="32"/>
          <w:lang w:val="zh-CN"/>
        </w:rPr>
        <w:t>万元，载客汽车</w:t>
      </w:r>
      <w:r>
        <w:rPr>
          <w:rFonts w:hint="eastAsia" w:eastAsia="仿宋_GB2312"/>
          <w:kern w:val="0"/>
          <w:sz w:val="32"/>
          <w:szCs w:val="32"/>
        </w:rPr>
        <w:t>0</w:t>
      </w:r>
      <w:r>
        <w:rPr>
          <w:rFonts w:hint="eastAsia" w:eastAsia="仿宋_GB2312"/>
          <w:kern w:val="0"/>
          <w:sz w:val="32"/>
          <w:szCs w:val="32"/>
          <w:lang w:val="zh-CN"/>
        </w:rPr>
        <w:t>辆、金额</w:t>
      </w:r>
      <w:r>
        <w:rPr>
          <w:rFonts w:hint="eastAsia" w:eastAsia="仿宋_GB2312"/>
          <w:kern w:val="0"/>
          <w:sz w:val="32"/>
          <w:szCs w:val="32"/>
        </w:rPr>
        <w:t>0</w:t>
      </w:r>
      <w:r>
        <w:rPr>
          <w:rFonts w:hint="eastAsia" w:eastAsia="仿宋_GB2312"/>
          <w:kern w:val="0"/>
          <w:sz w:val="32"/>
          <w:szCs w:val="32"/>
          <w:lang w:val="zh-CN"/>
        </w:rPr>
        <w:t>万元。截至2022年12月底，单位共有公务用车</w:t>
      </w:r>
      <w:r>
        <w:rPr>
          <w:rFonts w:hint="eastAsia" w:eastAsia="仿宋_GB2312"/>
          <w:kern w:val="0"/>
          <w:sz w:val="32"/>
          <w:szCs w:val="32"/>
        </w:rPr>
        <w:t>0</w:t>
      </w:r>
      <w:r>
        <w:rPr>
          <w:rFonts w:hint="eastAsia" w:eastAsia="仿宋_GB2312"/>
          <w:kern w:val="0"/>
          <w:sz w:val="32"/>
          <w:szCs w:val="32"/>
          <w:lang w:val="zh-CN"/>
        </w:rPr>
        <w:t>辆，其中：轿车</w:t>
      </w:r>
      <w:r>
        <w:rPr>
          <w:rFonts w:hint="eastAsia" w:eastAsia="仿宋_GB2312"/>
          <w:kern w:val="0"/>
          <w:sz w:val="32"/>
          <w:szCs w:val="32"/>
        </w:rPr>
        <w:t>0</w:t>
      </w:r>
      <w:r>
        <w:rPr>
          <w:rFonts w:hint="eastAsia" w:eastAsia="仿宋_GB2312"/>
          <w:kern w:val="0"/>
          <w:sz w:val="32"/>
          <w:szCs w:val="32"/>
          <w:lang w:val="zh-CN"/>
        </w:rPr>
        <w:t>辆、越野车</w:t>
      </w:r>
      <w:r>
        <w:rPr>
          <w:rFonts w:hint="eastAsia" w:eastAsia="仿宋_GB2312"/>
          <w:kern w:val="0"/>
          <w:sz w:val="32"/>
          <w:szCs w:val="32"/>
        </w:rPr>
        <w:t>0</w:t>
      </w:r>
      <w:r>
        <w:rPr>
          <w:rFonts w:hint="eastAsia" w:eastAsia="仿宋_GB2312"/>
          <w:kern w:val="0"/>
          <w:sz w:val="32"/>
          <w:szCs w:val="32"/>
          <w:lang w:val="zh-CN"/>
        </w:rPr>
        <w:t>辆、载客汽车</w:t>
      </w:r>
      <w:r>
        <w:rPr>
          <w:rFonts w:hint="eastAsia" w:eastAsia="仿宋_GB2312"/>
          <w:kern w:val="0"/>
          <w:sz w:val="32"/>
          <w:szCs w:val="32"/>
        </w:rPr>
        <w:t>0</w:t>
      </w:r>
      <w:r>
        <w:rPr>
          <w:rFonts w:hint="eastAsia" w:eastAsia="仿宋_GB2312"/>
          <w:kern w:val="0"/>
          <w:sz w:val="32"/>
          <w:szCs w:val="32"/>
          <w:lang w:val="zh-CN"/>
        </w:rPr>
        <w:t>辆。</w:t>
      </w:r>
    </w:p>
    <w:p w14:paraId="3B521E60">
      <w:pPr>
        <w:spacing w:line="600" w:lineRule="exact"/>
        <w:ind w:firstLine="640"/>
        <w:rPr>
          <w:rFonts w:eastAsia="仿宋_GB2312"/>
          <w:kern w:val="0"/>
          <w:sz w:val="32"/>
          <w:szCs w:val="32"/>
          <w:lang w:val="zh-CN"/>
        </w:rPr>
      </w:pPr>
      <w:r>
        <w:rPr>
          <w:rFonts w:hint="eastAsia" w:eastAsia="仿宋_GB2312"/>
          <w:b/>
          <w:bCs/>
          <w:kern w:val="0"/>
          <w:sz w:val="32"/>
          <w:szCs w:val="32"/>
          <w:lang w:val="zh-CN"/>
        </w:rPr>
        <w:t>公务用车运行维护费支出</w:t>
      </w:r>
      <w:r>
        <w:rPr>
          <w:rFonts w:hint="eastAsia" w:eastAsia="仿宋_GB2312"/>
          <w:kern w:val="0"/>
          <w:sz w:val="32"/>
          <w:szCs w:val="32"/>
        </w:rPr>
        <w:t>0</w:t>
      </w:r>
      <w:r>
        <w:rPr>
          <w:rFonts w:hint="eastAsia" w:eastAsia="仿宋_GB2312"/>
          <w:kern w:val="0"/>
          <w:sz w:val="32"/>
          <w:szCs w:val="32"/>
          <w:lang w:val="zh-CN"/>
        </w:rPr>
        <w:t>万元。</w:t>
      </w:r>
    </w:p>
    <w:p w14:paraId="7CECA953">
      <w:pPr>
        <w:spacing w:line="600" w:lineRule="exact"/>
        <w:ind w:firstLine="640"/>
        <w:rPr>
          <w:rFonts w:eastAsia="仿宋_GB2312"/>
          <w:kern w:val="0"/>
          <w:sz w:val="32"/>
          <w:szCs w:val="32"/>
          <w:lang w:val="zh-CN"/>
        </w:rPr>
      </w:pPr>
      <w:r>
        <w:rPr>
          <w:rFonts w:hint="eastAsia" w:eastAsia="仿宋_GB2312"/>
          <w:b/>
          <w:bCs/>
          <w:kern w:val="0"/>
          <w:sz w:val="32"/>
          <w:szCs w:val="32"/>
          <w:lang w:val="zh-CN"/>
        </w:rPr>
        <w:t>3.公务接待费支出</w:t>
      </w:r>
      <w:r>
        <w:rPr>
          <w:rFonts w:hint="eastAsia" w:eastAsia="仿宋_GB2312"/>
          <w:kern w:val="0"/>
          <w:sz w:val="32"/>
          <w:szCs w:val="32"/>
        </w:rPr>
        <w:t>0</w:t>
      </w:r>
      <w:r>
        <w:rPr>
          <w:rFonts w:hint="eastAsia" w:eastAsia="仿宋_GB2312"/>
          <w:kern w:val="0"/>
          <w:sz w:val="32"/>
          <w:szCs w:val="32"/>
          <w:lang w:val="zh-CN"/>
        </w:rPr>
        <w:t>万元，完成预算</w:t>
      </w:r>
      <w:r>
        <w:rPr>
          <w:rFonts w:hint="eastAsia" w:eastAsia="仿宋_GB2312"/>
          <w:kern w:val="0"/>
          <w:sz w:val="32"/>
          <w:szCs w:val="32"/>
        </w:rPr>
        <w:t>0</w:t>
      </w:r>
      <w:r>
        <w:rPr>
          <w:rFonts w:hint="eastAsia" w:eastAsia="仿宋_GB2312"/>
          <w:kern w:val="0"/>
          <w:sz w:val="32"/>
          <w:szCs w:val="32"/>
          <w:lang w:val="zh-CN"/>
        </w:rPr>
        <w:t>%。公务接待费支出决算比2021年减少</w:t>
      </w:r>
      <w:r>
        <w:rPr>
          <w:rFonts w:hint="eastAsia" w:eastAsia="仿宋_GB2312"/>
          <w:kern w:val="0"/>
          <w:sz w:val="32"/>
          <w:szCs w:val="32"/>
        </w:rPr>
        <w:t>0.11</w:t>
      </w:r>
      <w:r>
        <w:rPr>
          <w:rFonts w:hint="eastAsia" w:eastAsia="仿宋_GB2312"/>
          <w:kern w:val="0"/>
          <w:sz w:val="32"/>
          <w:szCs w:val="32"/>
          <w:lang w:val="zh-CN"/>
        </w:rPr>
        <w:t>万元，下降</w:t>
      </w:r>
      <w:r>
        <w:rPr>
          <w:rFonts w:hint="eastAsia" w:eastAsia="仿宋_GB2312"/>
          <w:kern w:val="0"/>
          <w:sz w:val="32"/>
          <w:szCs w:val="32"/>
        </w:rPr>
        <w:t>100</w:t>
      </w:r>
      <w:r>
        <w:rPr>
          <w:rFonts w:hint="eastAsia" w:eastAsia="仿宋_GB2312"/>
          <w:kern w:val="0"/>
          <w:sz w:val="32"/>
          <w:szCs w:val="32"/>
          <w:lang w:val="zh-CN"/>
        </w:rPr>
        <w:t>%。主要原因是</w:t>
      </w:r>
      <w:r>
        <w:rPr>
          <w:rFonts w:hint="eastAsia" w:eastAsia="仿宋_GB2312"/>
          <w:kern w:val="0"/>
          <w:sz w:val="32"/>
          <w:szCs w:val="32"/>
        </w:rPr>
        <w:t>2022年无公务接待</w:t>
      </w:r>
      <w:r>
        <w:rPr>
          <w:rFonts w:hint="eastAsia" w:eastAsia="仿宋_GB2312"/>
          <w:kern w:val="0"/>
          <w:sz w:val="32"/>
          <w:szCs w:val="32"/>
          <w:lang w:val="zh-CN"/>
        </w:rPr>
        <w:t>。其中：</w:t>
      </w:r>
    </w:p>
    <w:p w14:paraId="22C1AE0B">
      <w:pPr>
        <w:spacing w:line="600" w:lineRule="exact"/>
        <w:ind w:firstLine="640"/>
        <w:rPr>
          <w:rFonts w:eastAsia="仿宋_GB2312"/>
          <w:kern w:val="0"/>
          <w:sz w:val="32"/>
          <w:szCs w:val="32"/>
          <w:lang w:val="zh-CN"/>
        </w:rPr>
      </w:pPr>
      <w:r>
        <w:rPr>
          <w:rFonts w:hint="eastAsia" w:eastAsia="仿宋_GB2312"/>
          <w:b/>
          <w:bCs/>
          <w:kern w:val="0"/>
          <w:sz w:val="32"/>
          <w:szCs w:val="32"/>
          <w:lang w:val="zh-CN"/>
        </w:rPr>
        <w:t>国内公务接待支出</w:t>
      </w:r>
      <w:r>
        <w:rPr>
          <w:rFonts w:hint="eastAsia" w:eastAsia="仿宋_GB2312"/>
          <w:kern w:val="0"/>
          <w:sz w:val="32"/>
          <w:szCs w:val="32"/>
        </w:rPr>
        <w:t>0</w:t>
      </w:r>
      <w:r>
        <w:rPr>
          <w:rFonts w:hint="eastAsia" w:eastAsia="仿宋_GB2312"/>
          <w:kern w:val="0"/>
          <w:sz w:val="32"/>
          <w:szCs w:val="32"/>
          <w:lang w:val="zh-CN"/>
        </w:rPr>
        <w:t>万元。国内公务接待</w:t>
      </w:r>
      <w:r>
        <w:rPr>
          <w:rFonts w:hint="eastAsia" w:eastAsia="仿宋_GB2312"/>
          <w:kern w:val="0"/>
          <w:sz w:val="32"/>
          <w:szCs w:val="32"/>
        </w:rPr>
        <w:t>0</w:t>
      </w:r>
      <w:r>
        <w:rPr>
          <w:rFonts w:hint="eastAsia" w:eastAsia="仿宋_GB2312"/>
          <w:kern w:val="0"/>
          <w:sz w:val="32"/>
          <w:szCs w:val="32"/>
          <w:lang w:val="zh-CN"/>
        </w:rPr>
        <w:t>批次，</w:t>
      </w:r>
      <w:r>
        <w:rPr>
          <w:rFonts w:hint="eastAsia" w:eastAsia="仿宋_GB2312"/>
          <w:kern w:val="0"/>
          <w:sz w:val="32"/>
          <w:szCs w:val="32"/>
        </w:rPr>
        <w:t>0</w:t>
      </w:r>
      <w:r>
        <w:rPr>
          <w:rFonts w:hint="eastAsia" w:eastAsia="仿宋_GB2312"/>
          <w:kern w:val="0"/>
          <w:sz w:val="32"/>
          <w:szCs w:val="32"/>
          <w:lang w:val="zh-CN"/>
        </w:rPr>
        <w:t>人次（不包括陪同人员），共计支出</w:t>
      </w:r>
      <w:r>
        <w:rPr>
          <w:rFonts w:hint="eastAsia" w:eastAsia="仿宋_GB2312"/>
          <w:kern w:val="0"/>
          <w:sz w:val="32"/>
          <w:szCs w:val="32"/>
        </w:rPr>
        <w:t>0</w:t>
      </w:r>
      <w:r>
        <w:rPr>
          <w:rFonts w:hint="eastAsia" w:eastAsia="仿宋_GB2312"/>
          <w:kern w:val="0"/>
          <w:sz w:val="32"/>
          <w:szCs w:val="32"/>
          <w:lang w:val="zh-CN"/>
        </w:rPr>
        <w:t>万元。</w:t>
      </w:r>
    </w:p>
    <w:p w14:paraId="000E21E1">
      <w:pPr>
        <w:ind w:firstLine="643" w:firstLineChars="200"/>
        <w:rPr>
          <w:rFonts w:eastAsia="仿宋_GB2312"/>
          <w:kern w:val="0"/>
          <w:sz w:val="32"/>
          <w:szCs w:val="32"/>
          <w:lang w:val="zh-CN"/>
        </w:rPr>
      </w:pPr>
      <w:r>
        <w:rPr>
          <w:rFonts w:hint="eastAsia" w:eastAsia="仿宋_GB2312"/>
          <w:b/>
          <w:bCs/>
          <w:kern w:val="0"/>
          <w:sz w:val="32"/>
          <w:szCs w:val="32"/>
          <w:lang w:val="zh-CN"/>
        </w:rPr>
        <w:t>外事接待支出</w:t>
      </w:r>
      <w:r>
        <w:rPr>
          <w:rFonts w:hint="eastAsia" w:eastAsia="仿宋_GB2312"/>
          <w:kern w:val="0"/>
          <w:sz w:val="32"/>
          <w:szCs w:val="32"/>
        </w:rPr>
        <w:t>0</w:t>
      </w:r>
      <w:r>
        <w:rPr>
          <w:rFonts w:hint="eastAsia" w:eastAsia="仿宋_GB2312"/>
          <w:kern w:val="0"/>
          <w:sz w:val="32"/>
          <w:szCs w:val="32"/>
          <w:lang w:val="zh-CN"/>
        </w:rPr>
        <w:t>万元</w:t>
      </w:r>
      <w:r>
        <w:rPr>
          <w:rFonts w:hint="eastAsia" w:eastAsia="仿宋_GB2312"/>
          <w:kern w:val="0"/>
          <w:sz w:val="32"/>
          <w:szCs w:val="32"/>
        </w:rPr>
        <w:t>.</w:t>
      </w:r>
      <w:r>
        <w:rPr>
          <w:rFonts w:hint="eastAsia" w:eastAsia="仿宋_GB2312"/>
          <w:kern w:val="0"/>
          <w:sz w:val="32"/>
          <w:szCs w:val="32"/>
          <w:lang w:val="zh-CN"/>
        </w:rPr>
        <w:t>外事接待</w:t>
      </w:r>
      <w:r>
        <w:rPr>
          <w:rFonts w:hint="eastAsia" w:eastAsia="仿宋_GB2312"/>
          <w:kern w:val="0"/>
          <w:sz w:val="32"/>
          <w:szCs w:val="32"/>
        </w:rPr>
        <w:t>0</w:t>
      </w:r>
      <w:r>
        <w:rPr>
          <w:rFonts w:hint="eastAsia" w:eastAsia="仿宋_GB2312"/>
          <w:kern w:val="0"/>
          <w:sz w:val="32"/>
          <w:szCs w:val="32"/>
          <w:lang w:val="zh-CN"/>
        </w:rPr>
        <w:t>批次，</w:t>
      </w:r>
      <w:r>
        <w:rPr>
          <w:rFonts w:hint="eastAsia" w:eastAsia="仿宋_GB2312"/>
          <w:kern w:val="0"/>
          <w:sz w:val="32"/>
          <w:szCs w:val="32"/>
        </w:rPr>
        <w:t>0</w:t>
      </w:r>
      <w:r>
        <w:rPr>
          <w:rFonts w:hint="eastAsia" w:eastAsia="仿宋_GB2312"/>
          <w:kern w:val="0"/>
          <w:sz w:val="32"/>
          <w:szCs w:val="32"/>
          <w:lang w:val="zh-CN"/>
        </w:rPr>
        <w:t>人次（不包括陪同人员），共计支出</w:t>
      </w:r>
      <w:r>
        <w:rPr>
          <w:rFonts w:hint="eastAsia" w:eastAsia="仿宋_GB2312"/>
          <w:kern w:val="0"/>
          <w:sz w:val="32"/>
          <w:szCs w:val="32"/>
        </w:rPr>
        <w:t>0</w:t>
      </w:r>
      <w:r>
        <w:rPr>
          <w:rFonts w:hint="eastAsia" w:eastAsia="仿宋_GB2312"/>
          <w:kern w:val="0"/>
          <w:sz w:val="32"/>
          <w:szCs w:val="32"/>
          <w:lang w:val="zh-CN"/>
        </w:rPr>
        <w:t>万元。</w:t>
      </w:r>
      <w:bookmarkStart w:id="41" w:name="_Toc15377218"/>
      <w:bookmarkStart w:id="42" w:name="_Toc15396610"/>
    </w:p>
    <w:p w14:paraId="0E9B2FE6">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1"/>
      <w:bookmarkEnd w:id="42"/>
    </w:p>
    <w:p w14:paraId="15A8DB10">
      <w:pPr>
        <w:ind w:firstLine="640" w:firstLineChars="200"/>
        <w:rPr>
          <w:rFonts w:eastAsia="仿宋_GB2312"/>
          <w:kern w:val="0"/>
          <w:sz w:val="32"/>
          <w:szCs w:val="32"/>
          <w:lang w:val="zh-CN"/>
        </w:rPr>
      </w:pPr>
      <w:r>
        <w:rPr>
          <w:rFonts w:hint="eastAsia" w:eastAsia="仿宋_GB2312"/>
          <w:kern w:val="0"/>
          <w:sz w:val="32"/>
          <w:szCs w:val="32"/>
          <w:lang w:val="zh-CN"/>
        </w:rPr>
        <w:t>2022年政府性基金预算财政拨款支出</w:t>
      </w:r>
      <w:r>
        <w:rPr>
          <w:rFonts w:hint="eastAsia" w:eastAsia="仿宋_GB2312"/>
          <w:kern w:val="0"/>
          <w:sz w:val="32"/>
          <w:szCs w:val="32"/>
        </w:rPr>
        <w:t>0</w:t>
      </w:r>
      <w:r>
        <w:rPr>
          <w:rFonts w:hint="eastAsia" w:eastAsia="仿宋_GB2312"/>
          <w:kern w:val="0"/>
          <w:sz w:val="32"/>
          <w:szCs w:val="32"/>
          <w:lang w:val="zh-CN"/>
        </w:rPr>
        <w:t>万元。</w:t>
      </w:r>
    </w:p>
    <w:p w14:paraId="1F73AD35">
      <w:pPr>
        <w:numPr>
          <w:ilvl w:val="0"/>
          <w:numId w:val="2"/>
        </w:numPr>
        <w:spacing w:line="600" w:lineRule="exact"/>
        <w:ind w:firstLine="640"/>
        <w:outlineLvl w:val="1"/>
        <w:rPr>
          <w:rStyle w:val="29"/>
          <w:rFonts w:ascii="黑体" w:hAnsi="黑体" w:eastAsia="黑体"/>
          <w:b w:val="0"/>
        </w:rPr>
      </w:pPr>
      <w:bookmarkStart w:id="43" w:name="_Toc15377219"/>
      <w:bookmarkStart w:id="44" w:name="_Toc15396611"/>
      <w:r>
        <w:rPr>
          <w:rStyle w:val="29"/>
          <w:rFonts w:hint="eastAsia" w:ascii="黑体" w:hAnsi="黑体" w:eastAsia="黑体"/>
          <w:b w:val="0"/>
        </w:rPr>
        <w:t>国有资本经营预算支出决算情况说明</w:t>
      </w:r>
      <w:bookmarkEnd w:id="43"/>
      <w:bookmarkEnd w:id="44"/>
    </w:p>
    <w:p w14:paraId="35A61883">
      <w:pPr>
        <w:ind w:firstLine="640" w:firstLineChars="200"/>
        <w:rPr>
          <w:rFonts w:ascii="方正小标宋简体" w:hAnsi="方正小标宋简体" w:eastAsia="方正小标宋简体" w:cs="方正小标宋简体"/>
          <w:sz w:val="44"/>
          <w:szCs w:val="44"/>
        </w:rPr>
      </w:pPr>
      <w:r>
        <w:rPr>
          <w:rFonts w:hint="eastAsia" w:eastAsia="仿宋_GB2312"/>
          <w:kern w:val="0"/>
          <w:sz w:val="32"/>
          <w:szCs w:val="32"/>
          <w:lang w:val="zh-CN"/>
        </w:rPr>
        <w:t>2022年国有资本经营预算财政拨款支出</w:t>
      </w:r>
      <w:r>
        <w:rPr>
          <w:rFonts w:hint="eastAsia" w:eastAsia="仿宋_GB2312"/>
          <w:kern w:val="0"/>
          <w:sz w:val="32"/>
          <w:szCs w:val="32"/>
        </w:rPr>
        <w:t>0</w:t>
      </w:r>
      <w:r>
        <w:rPr>
          <w:rFonts w:hint="eastAsia" w:eastAsia="仿宋_GB2312"/>
          <w:kern w:val="0"/>
          <w:sz w:val="32"/>
          <w:szCs w:val="32"/>
          <w:lang w:val="zh-CN"/>
        </w:rPr>
        <w:t>万元。</w:t>
      </w:r>
    </w:p>
    <w:p w14:paraId="5C669E95">
      <w:pPr>
        <w:numPr>
          <w:ilvl w:val="0"/>
          <w:numId w:val="2"/>
        </w:numPr>
        <w:spacing w:line="600" w:lineRule="exact"/>
        <w:ind w:firstLine="640"/>
        <w:outlineLvl w:val="1"/>
        <w:rPr>
          <w:rStyle w:val="29"/>
          <w:rFonts w:ascii="黑体" w:hAnsi="黑体" w:eastAsia="黑体"/>
          <w:b w:val="0"/>
        </w:rPr>
      </w:pPr>
      <w:bookmarkStart w:id="45" w:name="_Toc15396612"/>
      <w:bookmarkStart w:id="46" w:name="_Toc15377221"/>
      <w:r>
        <w:rPr>
          <w:rStyle w:val="29"/>
          <w:rFonts w:hint="eastAsia" w:ascii="黑体" w:hAnsi="黑体" w:eastAsia="黑体"/>
          <w:b w:val="0"/>
        </w:rPr>
        <w:t>其他重要事项的情况说明</w:t>
      </w:r>
      <w:bookmarkEnd w:id="45"/>
      <w:bookmarkEnd w:id="46"/>
    </w:p>
    <w:p w14:paraId="7402457C">
      <w:pPr>
        <w:spacing w:line="600" w:lineRule="exact"/>
        <w:ind w:firstLine="643" w:firstLineChars="200"/>
        <w:outlineLvl w:val="2"/>
        <w:rPr>
          <w:rFonts w:ascii="方正楷体简体" w:hAnsi="方正楷体简体" w:eastAsia="方正楷体简体" w:cs="方正楷体简体"/>
          <w:b/>
          <w:sz w:val="32"/>
          <w:szCs w:val="32"/>
        </w:rPr>
      </w:pPr>
      <w:bookmarkStart w:id="47" w:name="_Toc15377222"/>
      <w:r>
        <w:rPr>
          <w:rFonts w:hint="eastAsia" w:ascii="方正楷体简体" w:hAnsi="方正楷体简体" w:eastAsia="方正楷体简体" w:cs="方正楷体简体"/>
          <w:b/>
          <w:sz w:val="32"/>
          <w:szCs w:val="32"/>
        </w:rPr>
        <w:t>（一）机关运行经费支出情况</w:t>
      </w:r>
      <w:bookmarkEnd w:id="47"/>
    </w:p>
    <w:p w14:paraId="57B729B9">
      <w:pPr>
        <w:spacing w:line="576" w:lineRule="exact"/>
        <w:ind w:firstLine="640"/>
        <w:rPr>
          <w:rFonts w:ascii="仿宋_GB2312" w:hAnsi="仿宋_GB2312" w:eastAsia="仿宋_GB2312"/>
          <w:color w:val="000000"/>
          <w:sz w:val="32"/>
          <w:lang w:val="zh-CN"/>
        </w:rPr>
      </w:pPr>
      <w:r>
        <w:rPr>
          <w:rFonts w:hint="eastAsia" w:eastAsia="仿宋_GB2312"/>
          <w:kern w:val="0"/>
          <w:sz w:val="32"/>
          <w:szCs w:val="32"/>
          <w:lang w:val="zh-CN"/>
        </w:rPr>
        <w:t>2022年，盐边县档案馆机关运行经费支出16.63万元，比2021年减少1.44万元，下降8%。主要原因是落实过紧日子要求，厉行节约，从严控制和压缩相关经费支出。</w:t>
      </w:r>
    </w:p>
    <w:p w14:paraId="757260A9">
      <w:pPr>
        <w:spacing w:line="600" w:lineRule="exact"/>
        <w:ind w:firstLine="643" w:firstLineChars="200"/>
        <w:outlineLvl w:val="2"/>
        <w:rPr>
          <w:rFonts w:ascii="方正楷体简体" w:hAnsi="方正楷体简体" w:eastAsia="方正楷体简体" w:cs="方正楷体简体"/>
          <w:b/>
          <w:sz w:val="32"/>
          <w:szCs w:val="32"/>
        </w:rPr>
      </w:pPr>
      <w:bookmarkStart w:id="48" w:name="_Toc15377223"/>
      <w:r>
        <w:rPr>
          <w:rFonts w:hint="eastAsia" w:ascii="方正楷体简体" w:hAnsi="方正楷体简体" w:eastAsia="方正楷体简体" w:cs="方正楷体简体"/>
          <w:b/>
          <w:sz w:val="32"/>
          <w:szCs w:val="32"/>
        </w:rPr>
        <w:t>（二）政府采购支出情况</w:t>
      </w:r>
      <w:bookmarkEnd w:id="48"/>
    </w:p>
    <w:p w14:paraId="72CECDDF">
      <w:pPr>
        <w:ind w:firstLine="640" w:firstLineChars="200"/>
        <w:rPr>
          <w:rFonts w:eastAsia="仿宋_GB2312"/>
          <w:kern w:val="0"/>
          <w:sz w:val="32"/>
          <w:szCs w:val="32"/>
          <w:lang w:val="zh-CN"/>
        </w:rPr>
      </w:pPr>
      <w:r>
        <w:rPr>
          <w:rFonts w:hint="eastAsia" w:eastAsia="仿宋_GB2312"/>
          <w:kern w:val="0"/>
          <w:sz w:val="32"/>
          <w:szCs w:val="32"/>
          <w:lang w:val="zh-CN"/>
        </w:rPr>
        <w:t>2022年，盐边县档案馆政府采购支出总额</w:t>
      </w:r>
      <w:r>
        <w:rPr>
          <w:rFonts w:hint="eastAsia" w:eastAsia="仿宋_GB2312"/>
          <w:kern w:val="0"/>
          <w:sz w:val="32"/>
          <w:szCs w:val="32"/>
        </w:rPr>
        <w:t>0</w:t>
      </w:r>
      <w:r>
        <w:rPr>
          <w:rFonts w:hint="eastAsia" w:eastAsia="仿宋_GB2312"/>
          <w:kern w:val="0"/>
          <w:sz w:val="32"/>
          <w:szCs w:val="32"/>
          <w:lang w:val="zh-CN"/>
        </w:rPr>
        <w:t>万元，其中：政府采购货物支出</w:t>
      </w:r>
      <w:r>
        <w:rPr>
          <w:rFonts w:hint="eastAsia" w:eastAsia="仿宋_GB2312"/>
          <w:kern w:val="0"/>
          <w:sz w:val="32"/>
          <w:szCs w:val="32"/>
        </w:rPr>
        <w:t>0</w:t>
      </w:r>
      <w:r>
        <w:rPr>
          <w:rFonts w:hint="eastAsia" w:eastAsia="仿宋_GB2312"/>
          <w:kern w:val="0"/>
          <w:sz w:val="32"/>
          <w:szCs w:val="32"/>
          <w:lang w:val="zh-CN"/>
        </w:rPr>
        <w:t>万元、政府采购工程支出</w:t>
      </w:r>
      <w:r>
        <w:rPr>
          <w:rFonts w:hint="eastAsia" w:eastAsia="仿宋_GB2312"/>
          <w:kern w:val="0"/>
          <w:sz w:val="32"/>
          <w:szCs w:val="32"/>
        </w:rPr>
        <w:t>0</w:t>
      </w:r>
      <w:r>
        <w:rPr>
          <w:rFonts w:hint="eastAsia" w:eastAsia="仿宋_GB2312"/>
          <w:kern w:val="0"/>
          <w:sz w:val="32"/>
          <w:szCs w:val="32"/>
          <w:lang w:val="zh-CN"/>
        </w:rPr>
        <w:t>万元、政府采购服务支出</w:t>
      </w:r>
      <w:r>
        <w:rPr>
          <w:rFonts w:hint="eastAsia" w:eastAsia="仿宋_GB2312"/>
          <w:kern w:val="0"/>
          <w:sz w:val="32"/>
          <w:szCs w:val="32"/>
        </w:rPr>
        <w:t>0</w:t>
      </w:r>
      <w:r>
        <w:rPr>
          <w:rFonts w:hint="eastAsia" w:eastAsia="仿宋_GB2312"/>
          <w:kern w:val="0"/>
          <w:sz w:val="32"/>
          <w:szCs w:val="32"/>
          <w:lang w:val="zh-CN"/>
        </w:rPr>
        <w:t>万元。授予中小企业合同金额</w:t>
      </w:r>
      <w:r>
        <w:rPr>
          <w:rFonts w:hint="eastAsia" w:eastAsia="仿宋_GB2312"/>
          <w:kern w:val="0"/>
          <w:sz w:val="32"/>
          <w:szCs w:val="32"/>
        </w:rPr>
        <w:t>0</w:t>
      </w:r>
      <w:r>
        <w:rPr>
          <w:rFonts w:hint="eastAsia" w:eastAsia="仿宋_GB2312"/>
          <w:kern w:val="0"/>
          <w:sz w:val="32"/>
          <w:szCs w:val="32"/>
          <w:lang w:val="zh-CN"/>
        </w:rPr>
        <w:t>万元，占政府采购支出总额的</w:t>
      </w:r>
      <w:r>
        <w:rPr>
          <w:rFonts w:hint="eastAsia" w:eastAsia="仿宋_GB2312"/>
          <w:kern w:val="0"/>
          <w:sz w:val="32"/>
          <w:szCs w:val="32"/>
        </w:rPr>
        <w:t>0</w:t>
      </w:r>
      <w:r>
        <w:rPr>
          <w:rFonts w:hint="eastAsia" w:eastAsia="仿宋_GB2312"/>
          <w:kern w:val="0"/>
          <w:sz w:val="32"/>
          <w:szCs w:val="32"/>
          <w:lang w:val="zh-CN"/>
        </w:rPr>
        <w:t>%，其中：授予小微企业合同金额</w:t>
      </w:r>
      <w:r>
        <w:rPr>
          <w:rFonts w:hint="eastAsia" w:eastAsia="仿宋_GB2312"/>
          <w:kern w:val="0"/>
          <w:sz w:val="32"/>
          <w:szCs w:val="32"/>
        </w:rPr>
        <w:t>0</w:t>
      </w:r>
      <w:r>
        <w:rPr>
          <w:rFonts w:hint="eastAsia" w:eastAsia="仿宋_GB2312"/>
          <w:kern w:val="0"/>
          <w:sz w:val="32"/>
          <w:szCs w:val="32"/>
          <w:lang w:val="zh-CN"/>
        </w:rPr>
        <w:t>万元，占政府采购支出总额的</w:t>
      </w:r>
      <w:r>
        <w:rPr>
          <w:rFonts w:hint="eastAsia" w:eastAsia="仿宋_GB2312"/>
          <w:kern w:val="0"/>
          <w:sz w:val="32"/>
          <w:szCs w:val="32"/>
        </w:rPr>
        <w:t>0</w:t>
      </w:r>
      <w:r>
        <w:rPr>
          <w:rFonts w:hint="eastAsia" w:eastAsia="仿宋_GB2312"/>
          <w:kern w:val="0"/>
          <w:sz w:val="32"/>
          <w:szCs w:val="32"/>
          <w:lang w:val="zh-CN"/>
        </w:rPr>
        <w:t>%。</w:t>
      </w:r>
    </w:p>
    <w:p w14:paraId="2488F373">
      <w:pPr>
        <w:spacing w:line="600" w:lineRule="exact"/>
        <w:ind w:firstLine="643" w:firstLineChars="200"/>
        <w:outlineLvl w:val="2"/>
        <w:rPr>
          <w:rFonts w:ascii="方正楷体简体" w:hAnsi="方正楷体简体" w:eastAsia="方正楷体简体" w:cs="方正楷体简体"/>
          <w:b/>
          <w:sz w:val="32"/>
          <w:szCs w:val="32"/>
        </w:rPr>
      </w:pPr>
      <w:bookmarkStart w:id="49" w:name="_Toc15377224"/>
      <w:r>
        <w:rPr>
          <w:rFonts w:hint="eastAsia" w:ascii="方正楷体简体" w:hAnsi="方正楷体简体" w:eastAsia="方正楷体简体" w:cs="方正楷体简体"/>
          <w:b/>
          <w:sz w:val="32"/>
          <w:szCs w:val="32"/>
        </w:rPr>
        <w:t>（三）国有资产占有使用情况</w:t>
      </w:r>
      <w:bookmarkEnd w:id="49"/>
    </w:p>
    <w:p w14:paraId="18B4102F">
      <w:pPr>
        <w:ind w:firstLine="640" w:firstLineChars="200"/>
        <w:rPr>
          <w:rFonts w:eastAsia="仿宋_GB2312"/>
          <w:kern w:val="0"/>
          <w:sz w:val="32"/>
          <w:szCs w:val="32"/>
          <w:lang w:val="zh-CN"/>
        </w:rPr>
      </w:pPr>
      <w:r>
        <w:rPr>
          <w:rFonts w:hint="eastAsia" w:eastAsia="仿宋_GB2312"/>
          <w:kern w:val="0"/>
          <w:sz w:val="32"/>
          <w:szCs w:val="32"/>
          <w:lang w:val="zh-CN"/>
        </w:rPr>
        <w:t>截至2022年12月31日，盐边县档案馆共有车辆</w:t>
      </w:r>
      <w:r>
        <w:rPr>
          <w:rFonts w:hint="eastAsia" w:eastAsia="仿宋_GB2312"/>
          <w:kern w:val="0"/>
          <w:sz w:val="32"/>
          <w:szCs w:val="32"/>
        </w:rPr>
        <w:t>0</w:t>
      </w:r>
      <w:r>
        <w:rPr>
          <w:rFonts w:hint="eastAsia" w:eastAsia="仿宋_GB2312"/>
          <w:kern w:val="0"/>
          <w:sz w:val="32"/>
          <w:szCs w:val="32"/>
          <w:lang w:val="zh-CN"/>
        </w:rPr>
        <w:t>辆，其中：主要领导干部用车</w:t>
      </w:r>
      <w:r>
        <w:rPr>
          <w:rFonts w:hint="eastAsia" w:eastAsia="仿宋_GB2312"/>
          <w:kern w:val="0"/>
          <w:sz w:val="32"/>
          <w:szCs w:val="32"/>
        </w:rPr>
        <w:t>0</w:t>
      </w:r>
      <w:r>
        <w:rPr>
          <w:rFonts w:hint="eastAsia" w:eastAsia="仿宋_GB2312"/>
          <w:kern w:val="0"/>
          <w:sz w:val="32"/>
          <w:szCs w:val="32"/>
          <w:lang w:val="zh-CN"/>
        </w:rPr>
        <w:t>辆、机要通信用车</w:t>
      </w:r>
      <w:r>
        <w:rPr>
          <w:rFonts w:hint="eastAsia" w:eastAsia="仿宋_GB2312"/>
          <w:kern w:val="0"/>
          <w:sz w:val="32"/>
          <w:szCs w:val="32"/>
        </w:rPr>
        <w:t>0</w:t>
      </w:r>
      <w:r>
        <w:rPr>
          <w:rFonts w:hint="eastAsia" w:eastAsia="仿宋_GB2312"/>
          <w:kern w:val="0"/>
          <w:sz w:val="32"/>
          <w:szCs w:val="32"/>
          <w:lang w:val="zh-CN"/>
        </w:rPr>
        <w:t>辆、应急保障用车</w:t>
      </w:r>
      <w:r>
        <w:rPr>
          <w:rFonts w:hint="eastAsia" w:eastAsia="仿宋_GB2312"/>
          <w:kern w:val="0"/>
          <w:sz w:val="32"/>
          <w:szCs w:val="32"/>
        </w:rPr>
        <w:t>0</w:t>
      </w:r>
      <w:r>
        <w:rPr>
          <w:rFonts w:hint="eastAsia" w:eastAsia="仿宋_GB2312"/>
          <w:kern w:val="0"/>
          <w:sz w:val="32"/>
          <w:szCs w:val="32"/>
          <w:lang w:val="zh-CN"/>
        </w:rPr>
        <w:t>辆、其他用车</w:t>
      </w:r>
      <w:r>
        <w:rPr>
          <w:rFonts w:hint="eastAsia" w:eastAsia="仿宋_GB2312"/>
          <w:kern w:val="0"/>
          <w:sz w:val="32"/>
          <w:szCs w:val="32"/>
        </w:rPr>
        <w:t>0</w:t>
      </w:r>
      <w:r>
        <w:rPr>
          <w:rFonts w:hint="eastAsia" w:eastAsia="仿宋_GB2312"/>
          <w:kern w:val="0"/>
          <w:sz w:val="32"/>
          <w:szCs w:val="32"/>
          <w:lang w:val="zh-CN"/>
        </w:rPr>
        <w:t>辆。单价100万元以上专用设备</w:t>
      </w:r>
      <w:r>
        <w:rPr>
          <w:rFonts w:hint="eastAsia" w:eastAsia="仿宋_GB2312"/>
          <w:kern w:val="0"/>
          <w:sz w:val="32"/>
          <w:szCs w:val="32"/>
        </w:rPr>
        <w:t>0</w:t>
      </w:r>
      <w:r>
        <w:rPr>
          <w:rFonts w:hint="eastAsia" w:eastAsia="仿宋_GB2312"/>
          <w:kern w:val="0"/>
          <w:sz w:val="32"/>
          <w:szCs w:val="32"/>
          <w:lang w:val="zh-CN"/>
        </w:rPr>
        <w:t>台（套）。</w:t>
      </w:r>
    </w:p>
    <w:p w14:paraId="0A8A419E">
      <w:pPr>
        <w:spacing w:line="600" w:lineRule="exact"/>
        <w:ind w:firstLine="643" w:firstLineChars="200"/>
        <w:outlineLvl w:val="2"/>
        <w:rPr>
          <w:rFonts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rPr>
        <w:t>（四）预算绩效管理情况</w:t>
      </w:r>
    </w:p>
    <w:p w14:paraId="18E92A5D">
      <w:pPr>
        <w:ind w:firstLine="640" w:firstLineChars="200"/>
        <w:rPr>
          <w:rFonts w:eastAsia="仿宋_GB2312"/>
          <w:kern w:val="0"/>
          <w:sz w:val="32"/>
          <w:szCs w:val="32"/>
          <w:lang w:val="zh-CN"/>
        </w:rPr>
      </w:pPr>
      <w:r>
        <w:rPr>
          <w:rFonts w:hint="eastAsia" w:eastAsia="仿宋_GB2312"/>
          <w:kern w:val="0"/>
          <w:sz w:val="32"/>
          <w:szCs w:val="32"/>
          <w:lang w:val="zh-CN"/>
        </w:rPr>
        <w:t>根据预算绩效管理要求，本部门在2022年度预算编制阶段，组织对档案馆电费项目、盐边县档案馆2022年运转必要支出经费项目等</w:t>
      </w:r>
      <w:r>
        <w:rPr>
          <w:rFonts w:hint="eastAsia" w:eastAsia="仿宋_GB2312"/>
          <w:kern w:val="0"/>
          <w:sz w:val="32"/>
          <w:szCs w:val="32"/>
        </w:rPr>
        <w:t>2</w:t>
      </w:r>
      <w:r>
        <w:rPr>
          <w:rFonts w:hint="eastAsia" w:eastAsia="仿宋_GB2312"/>
          <w:kern w:val="0"/>
          <w:sz w:val="32"/>
          <w:szCs w:val="32"/>
          <w:lang w:val="zh-CN"/>
        </w:rPr>
        <w:t>个项目开展了预算事前绩效评估，对</w:t>
      </w:r>
      <w:r>
        <w:rPr>
          <w:rFonts w:hint="eastAsia" w:eastAsia="仿宋_GB2312"/>
          <w:kern w:val="0"/>
          <w:sz w:val="32"/>
          <w:szCs w:val="32"/>
        </w:rPr>
        <w:t>2</w:t>
      </w:r>
      <w:r>
        <w:rPr>
          <w:rFonts w:hint="eastAsia" w:eastAsia="仿宋_GB2312"/>
          <w:kern w:val="0"/>
          <w:sz w:val="32"/>
          <w:szCs w:val="32"/>
          <w:lang w:val="zh-CN"/>
        </w:rPr>
        <w:t>个项目编制了绩效目标，预算执行过程中，选取</w:t>
      </w:r>
      <w:r>
        <w:rPr>
          <w:rFonts w:hint="eastAsia" w:eastAsia="仿宋_GB2312"/>
          <w:kern w:val="0"/>
          <w:sz w:val="32"/>
          <w:szCs w:val="32"/>
        </w:rPr>
        <w:t>2</w:t>
      </w:r>
      <w:r>
        <w:rPr>
          <w:rFonts w:hint="eastAsia" w:eastAsia="仿宋_GB2312"/>
          <w:kern w:val="0"/>
          <w:sz w:val="32"/>
          <w:szCs w:val="32"/>
          <w:lang w:val="zh-CN"/>
        </w:rPr>
        <w:t>个项目开展绩效监控。</w:t>
      </w:r>
    </w:p>
    <w:p w14:paraId="04F2D0E9">
      <w:pPr>
        <w:ind w:firstLine="640" w:firstLineChars="200"/>
        <w:rPr>
          <w:rFonts w:ascii="仿宋_GB2312" w:eastAsia="仿宋_GB2312"/>
          <w:b/>
          <w:sz w:val="32"/>
          <w:szCs w:val="32"/>
        </w:rPr>
      </w:pPr>
      <w:r>
        <w:rPr>
          <w:rFonts w:hint="eastAsia" w:eastAsia="仿宋_GB2312"/>
          <w:kern w:val="0"/>
          <w:sz w:val="32"/>
          <w:szCs w:val="32"/>
          <w:lang w:val="zh-CN"/>
        </w:rPr>
        <w:t>组织对2022年度部门所有预算资金全面开展绩效自评，形成盐边县档案馆部门整体（含部门预算项目）绩效自评报告、档案馆电费项目、盐边县档案馆2022年运转必要支出经费项目等专项预算项目绩效自评报告，其中，盐边县档案馆部门整体（含部门预算项目）绩效自评得分为</w:t>
      </w:r>
      <w:r>
        <w:rPr>
          <w:rFonts w:hint="eastAsia" w:eastAsia="仿宋_GB2312"/>
          <w:kern w:val="0"/>
          <w:sz w:val="32"/>
          <w:szCs w:val="32"/>
        </w:rPr>
        <w:t>95</w:t>
      </w:r>
      <w:r>
        <w:rPr>
          <w:rFonts w:hint="eastAsia" w:eastAsia="仿宋_GB2312"/>
          <w:kern w:val="0"/>
          <w:sz w:val="32"/>
          <w:szCs w:val="32"/>
          <w:lang w:val="zh-CN"/>
        </w:rPr>
        <w:t>分，绩效自评综述：</w:t>
      </w:r>
      <w:r>
        <w:rPr>
          <w:rFonts w:hint="eastAsia" w:eastAsia="仿宋_GB2312"/>
          <w:kern w:val="0"/>
          <w:sz w:val="32"/>
          <w:szCs w:val="32"/>
        </w:rPr>
        <w:t>我单位2022年在资金预算编制方面、预算执行、综合管理、整体绩效方面，均按照国家政策法规规定，结合本单位实际情况及相关规定严格执行，并合理安排项目资金，使财政资金发挥最大的效益，节约开支，确保了各项工作高效规范有序运转，圆满完成年初下达的各项工作任务，切实推进了各项档案工作</w:t>
      </w:r>
      <w:r>
        <w:rPr>
          <w:rFonts w:hint="eastAsia" w:eastAsia="仿宋_GB2312"/>
          <w:kern w:val="0"/>
          <w:sz w:val="32"/>
          <w:szCs w:val="32"/>
          <w:lang w:val="zh-CN"/>
        </w:rPr>
        <w:t>；档案馆电费项目专项预算项目绩效自评得分为</w:t>
      </w:r>
      <w:r>
        <w:rPr>
          <w:rFonts w:hint="eastAsia" w:eastAsia="仿宋_GB2312"/>
          <w:kern w:val="0"/>
          <w:sz w:val="32"/>
          <w:szCs w:val="32"/>
        </w:rPr>
        <w:t>98</w:t>
      </w:r>
      <w:r>
        <w:rPr>
          <w:rFonts w:hint="eastAsia" w:eastAsia="仿宋_GB2312"/>
          <w:kern w:val="0"/>
          <w:sz w:val="32"/>
          <w:szCs w:val="32"/>
          <w:lang w:val="zh-CN"/>
        </w:rPr>
        <w:t>分，绩效自评综述：</w:t>
      </w:r>
      <w:r>
        <w:rPr>
          <w:rFonts w:hint="eastAsia" w:eastAsia="仿宋_GB2312"/>
          <w:bCs/>
          <w:sz w:val="32"/>
          <w:szCs w:val="32"/>
          <w:lang w:val="zh-CN"/>
        </w:rPr>
        <w:t>档案馆及展厅各项设施设备正常运行，绩效目标完成良好，各项指标完成度高，完成率达100%。确保档案馆及展厅发挥正常功能，确保库房及馆内档案、数据的绝对安全，维持设备设施基本运转，保障查档、参观等服务，更好地提供档案服务</w:t>
      </w:r>
      <w:r>
        <w:rPr>
          <w:rFonts w:hint="eastAsia" w:eastAsia="仿宋_GB2312"/>
          <w:kern w:val="0"/>
          <w:sz w:val="32"/>
          <w:szCs w:val="32"/>
          <w:lang w:val="zh-CN"/>
        </w:rPr>
        <w:t>；盐边县档案馆2022年运转必要支出经费专项预算项目绩效自评得分为</w:t>
      </w:r>
      <w:r>
        <w:rPr>
          <w:rFonts w:hint="eastAsia" w:eastAsia="仿宋_GB2312"/>
          <w:kern w:val="0"/>
          <w:sz w:val="32"/>
          <w:szCs w:val="32"/>
        </w:rPr>
        <w:t>98</w:t>
      </w:r>
      <w:r>
        <w:rPr>
          <w:rFonts w:hint="eastAsia" w:eastAsia="仿宋_GB2312"/>
          <w:kern w:val="0"/>
          <w:sz w:val="32"/>
          <w:szCs w:val="32"/>
          <w:lang w:val="zh-CN"/>
        </w:rPr>
        <w:t>分，绩效自评综述：</w:t>
      </w:r>
      <w:r>
        <w:rPr>
          <w:rFonts w:hint="eastAsia" w:eastAsia="仿宋_GB2312"/>
          <w:bCs/>
          <w:sz w:val="32"/>
          <w:szCs w:val="32"/>
          <w:lang w:val="zh-CN"/>
        </w:rPr>
        <w:t>档案馆及展厅持续实行24小时安保制度，数据系统维护、消防维护、设施设备维护、电梯维护等完成良好，各项指标完成度高，完成率达100%。确保档案馆展厅、安保、消防、电梯等系统发挥正常功能，确保库房及馆内档案、数据的绝对安全，维持设备设施基本运转，保障查档、参观人员安全，不发生重大安全事故，确保社会稳定，更好地提供档案服务</w:t>
      </w:r>
      <w:r>
        <w:rPr>
          <w:rFonts w:hint="eastAsia" w:eastAsia="仿宋_GB2312"/>
          <w:kern w:val="0"/>
          <w:sz w:val="32"/>
          <w:szCs w:val="32"/>
          <w:lang w:val="zh-CN"/>
        </w:rPr>
        <w:t>。绩效自评报告详见附件。</w:t>
      </w:r>
      <w:r>
        <w:rPr>
          <w:rFonts w:ascii="仿宋_GB2312" w:eastAsia="仿宋_GB2312"/>
          <w:b/>
          <w:sz w:val="32"/>
          <w:szCs w:val="32"/>
        </w:rPr>
        <w:br w:type="page"/>
      </w:r>
    </w:p>
    <w:p w14:paraId="3B2F9C23">
      <w:pPr>
        <w:numPr>
          <w:ilvl w:val="0"/>
          <w:numId w:val="3"/>
        </w:numPr>
        <w:spacing w:line="600" w:lineRule="exact"/>
        <w:ind w:firstLine="660" w:firstLineChars="150"/>
        <w:jc w:val="center"/>
        <w:outlineLvl w:val="0"/>
        <w:rPr>
          <w:rStyle w:val="28"/>
          <w:rFonts w:ascii="黑体" w:hAnsi="黑体" w:eastAsia="黑体"/>
          <w:b w:val="0"/>
        </w:rPr>
      </w:pPr>
      <w:bookmarkStart w:id="50" w:name="_Toc15377225"/>
      <w:bookmarkStart w:id="51" w:name="_Toc15396613"/>
      <w:r>
        <w:rPr>
          <w:rFonts w:hint="eastAsia" w:ascii="黑体" w:hAnsi="黑体" w:eastAsia="黑体"/>
          <w:sz w:val="44"/>
          <w:szCs w:val="44"/>
        </w:rPr>
        <w:t>名</w:t>
      </w:r>
      <w:r>
        <w:rPr>
          <w:rStyle w:val="28"/>
          <w:rFonts w:hint="eastAsia" w:ascii="黑体" w:hAnsi="黑体" w:eastAsia="黑体"/>
          <w:b w:val="0"/>
        </w:rPr>
        <w:t>词解释</w:t>
      </w:r>
      <w:bookmarkEnd w:id="50"/>
      <w:bookmarkEnd w:id="51"/>
    </w:p>
    <w:p w14:paraId="50C70255">
      <w:pPr>
        <w:spacing w:line="600" w:lineRule="exact"/>
        <w:jc w:val="left"/>
        <w:rPr>
          <w:rFonts w:ascii="宋体"/>
          <w:b/>
          <w:sz w:val="44"/>
          <w:szCs w:val="44"/>
        </w:rPr>
      </w:pPr>
    </w:p>
    <w:p w14:paraId="4BB6BFAA">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zh-CN"/>
        </w:rPr>
        <w:t>财政拨款收入：指单位从同级财政部门取得的财政预算资金。</w:t>
      </w:r>
    </w:p>
    <w:p w14:paraId="6D94911B">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zh-CN"/>
        </w:rPr>
        <w:t>一般公共服务（类）档案事务（款）行政运行（项）:指反映行政单位(包括实行公务员管理的事业单位)的基本支出</w:t>
      </w:r>
    </w:p>
    <w:p w14:paraId="4BD79A16">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lang w:val="zh-CN"/>
        </w:rPr>
        <w:t>.一般公共服务（类）档案事务（款）档案馆（项）:反映中央和地方各级档案馆的支出，包括档案资料征集，档案抢救、保护、编纂、修复、现代化管理，档案信息资源开发、提供、利用，档案馆设备购置、维护，档案陈列展览等方面的支出。</w:t>
      </w:r>
    </w:p>
    <w:p w14:paraId="4A986CDD">
      <w:pPr>
        <w:pStyle w:val="26"/>
        <w:spacing w:line="560" w:lineRule="exact"/>
        <w:ind w:firstLine="640" w:firstLineChars="200"/>
        <w:rPr>
          <w:rFonts w:ascii="Times New Roman" w:hAnsi="Times New Roman" w:eastAsia="仿宋_GB2312" w:cs="Times New Roman"/>
          <w:color w:val="auto"/>
          <w:sz w:val="32"/>
          <w:szCs w:val="32"/>
          <w:lang w:val="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lang w:val="zh-CN"/>
        </w:rPr>
        <w:t>.社会保障和就业（类）行政事业单位养老支出（款） 行政单位离退休（项）:</w:t>
      </w:r>
      <w:r>
        <w:rPr>
          <w:rFonts w:hint="eastAsia" w:ascii="Times New Roman" w:hAnsi="Times New Roman" w:eastAsia="仿宋_GB2312" w:cs="Times New Roman"/>
          <w:color w:val="auto"/>
          <w:sz w:val="32"/>
          <w:szCs w:val="32"/>
        </w:rPr>
        <w:t>反映行政单位（包括实行公务员管理的事业单位）开支的离退休经费。</w:t>
      </w:r>
    </w:p>
    <w:p w14:paraId="32B13C74">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lang w:val="zh-CN"/>
        </w:rPr>
        <w:t>.社会保障和就业（类）行政事业单位养老支出（款） 基本养老保险缴费支出（项）:</w:t>
      </w:r>
      <w:r>
        <w:rPr>
          <w:rFonts w:hint="eastAsia" w:ascii="Times New Roman" w:hAnsi="Times New Roman" w:eastAsia="仿宋_GB2312" w:cs="Times New Roman"/>
          <w:color w:val="auto"/>
          <w:sz w:val="32"/>
          <w:szCs w:val="32"/>
        </w:rPr>
        <w:t>反映机关事业单位实施养老保险制度由单位缴纳的基本养老保险费支出。</w:t>
      </w:r>
    </w:p>
    <w:p w14:paraId="60235F33">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6</w:t>
      </w:r>
      <w:r>
        <w:rPr>
          <w:rFonts w:hint="eastAsia" w:ascii="Times New Roman" w:hAnsi="Times New Roman" w:eastAsia="仿宋_GB2312" w:cs="Times New Roman"/>
          <w:color w:val="auto"/>
          <w:sz w:val="32"/>
          <w:szCs w:val="32"/>
          <w:lang w:val="zh-CN"/>
        </w:rPr>
        <w:t>.社会保障和就业（类）行政事业单位养老支出（款）   机关事业单位职业年金缴费支出（项）:</w:t>
      </w:r>
      <w:r>
        <w:rPr>
          <w:rFonts w:hint="eastAsia" w:ascii="Times New Roman" w:hAnsi="Times New Roman" w:eastAsia="仿宋_GB2312" w:cs="Times New Roman"/>
          <w:color w:val="auto"/>
          <w:sz w:val="32"/>
          <w:szCs w:val="32"/>
        </w:rPr>
        <w:t>反映机关事业单位实施养老保险制度由单位实际缴纳的职业年金支出。</w:t>
      </w:r>
    </w:p>
    <w:p w14:paraId="13D7716A">
      <w:pPr>
        <w:pStyle w:val="26"/>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w:t>
      </w:r>
      <w:r>
        <w:rPr>
          <w:rFonts w:hint="eastAsia" w:ascii="Times New Roman" w:hAnsi="Times New Roman" w:eastAsia="仿宋_GB2312" w:cs="Times New Roman"/>
          <w:color w:val="auto"/>
          <w:sz w:val="32"/>
          <w:szCs w:val="32"/>
          <w:lang w:val="zh-CN"/>
        </w:rPr>
        <w:t>.卫生健康支出（类）行政事业单位医疗（款）行政单位医疗（项）:</w:t>
      </w:r>
      <w:r>
        <w:rPr>
          <w:rFonts w:hint="eastAsia" w:ascii="Times New Roman" w:hAnsi="Times New Roman" w:eastAsia="仿宋_GB2312" w:cs="Times New Roman"/>
          <w:color w:val="auto"/>
          <w:sz w:val="32"/>
          <w:szCs w:val="32"/>
        </w:rPr>
        <w:t>反映财政部门安排的行政单位（包括实行公务员管理的事业单位）基本医疗保险缴费经费，未参加医疗保险的行政单位的公费医疗经费，按国家规定享受离休人员、红军老战士待遇人员的医疗经费。</w:t>
      </w:r>
    </w:p>
    <w:p w14:paraId="06A728DD">
      <w:pPr>
        <w:pStyle w:val="26"/>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w:t>
      </w:r>
      <w:r>
        <w:rPr>
          <w:rFonts w:hint="eastAsia" w:ascii="Times New Roman" w:hAnsi="Times New Roman" w:eastAsia="仿宋_GB2312" w:cs="Times New Roman"/>
          <w:color w:val="auto"/>
          <w:sz w:val="32"/>
          <w:szCs w:val="32"/>
          <w:lang w:val="zh-CN"/>
        </w:rPr>
        <w:t>.卫生健康支出（类）行政事业单位医疗（款）公务员医疗补助（项）:反映财政部门安排的公务员医疗补助经费。</w:t>
      </w:r>
    </w:p>
    <w:p w14:paraId="5A015A5E">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9</w:t>
      </w:r>
      <w:r>
        <w:rPr>
          <w:rFonts w:hint="eastAsia" w:ascii="Times New Roman" w:hAnsi="Times New Roman" w:eastAsia="仿宋_GB2312" w:cs="Times New Roman"/>
          <w:color w:val="auto"/>
          <w:sz w:val="32"/>
          <w:szCs w:val="32"/>
          <w:lang w:val="zh-CN"/>
        </w:rPr>
        <w:t>.住房保障支出（类）住房改革支出（款）住房公积金（项）:</w:t>
      </w:r>
      <w:r>
        <w:rPr>
          <w:rFonts w:hint="eastAsia" w:ascii="Times New Roman" w:hAnsi="Times New Roman" w:eastAsia="仿宋_GB2312" w:cs="Times New Roman"/>
          <w:color w:val="auto"/>
          <w:sz w:val="32"/>
          <w:szCs w:val="32"/>
        </w:rPr>
        <w:t>反映行政事业单位按人力资源和社会保障部、财政部规定的基本工资和津贴补贴以及规定比例为职工缴纳的住房公积金。</w:t>
      </w:r>
    </w:p>
    <w:p w14:paraId="7A0B294B">
      <w:pPr>
        <w:ind w:firstLine="640" w:firstLineChars="200"/>
        <w:rPr>
          <w:rFonts w:eastAsia="仿宋_GB2312"/>
          <w:kern w:val="0"/>
          <w:sz w:val="32"/>
          <w:szCs w:val="32"/>
          <w:lang w:val="zh-CN"/>
        </w:rPr>
      </w:pPr>
      <w:r>
        <w:rPr>
          <w:rFonts w:hint="eastAsia" w:eastAsia="仿宋_GB2312"/>
          <w:kern w:val="0"/>
          <w:sz w:val="32"/>
          <w:szCs w:val="32"/>
        </w:rPr>
        <w:t>10</w:t>
      </w:r>
      <w:r>
        <w:rPr>
          <w:rFonts w:hint="eastAsia" w:eastAsia="仿宋_GB2312"/>
          <w:kern w:val="0"/>
          <w:sz w:val="32"/>
          <w:szCs w:val="32"/>
          <w:lang w:val="zh-CN"/>
        </w:rPr>
        <w:t>.基本支出：指为保障机构正常运转、完成日常工作任务而发生的人员支出和公用支出。</w:t>
      </w:r>
    </w:p>
    <w:p w14:paraId="51B6CF13">
      <w:pPr>
        <w:ind w:firstLine="640" w:firstLineChars="200"/>
        <w:rPr>
          <w:rFonts w:eastAsia="仿宋_GB2312"/>
          <w:kern w:val="0"/>
          <w:sz w:val="32"/>
          <w:szCs w:val="32"/>
          <w:lang w:val="zh-CN"/>
        </w:rPr>
      </w:pPr>
      <w:r>
        <w:rPr>
          <w:rFonts w:hint="eastAsia" w:eastAsia="仿宋_GB2312"/>
          <w:kern w:val="0"/>
          <w:sz w:val="32"/>
          <w:szCs w:val="32"/>
        </w:rPr>
        <w:t>11</w:t>
      </w:r>
      <w:r>
        <w:rPr>
          <w:rFonts w:hint="eastAsia" w:eastAsia="仿宋_GB2312"/>
          <w:kern w:val="0"/>
          <w:sz w:val="32"/>
          <w:szCs w:val="32"/>
          <w:lang w:val="zh-CN"/>
        </w:rPr>
        <w:t>.项目支出：指在基本支出之外为完成特定行政任务和事业发展目标所发生的支出。</w:t>
      </w:r>
    </w:p>
    <w:p w14:paraId="6228CE75">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12</w:t>
      </w:r>
      <w:r>
        <w:rPr>
          <w:rFonts w:hint="eastAsia" w:ascii="Times New Roman" w:hAnsi="Times New Roman" w:eastAsia="仿宋_GB2312" w:cs="Times New Roman"/>
          <w:color w:val="auto"/>
          <w:sz w:val="32"/>
          <w:szCs w:val="32"/>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w:t>
      </w:r>
      <w:r>
        <w:rPr>
          <w:rFonts w:hint="eastAsia" w:ascii="Times New Roman" w:hAnsi="Times New Roman" w:eastAsia="仿宋_GB2312" w:cs="Times New Roman"/>
          <w:color w:val="auto"/>
          <w:sz w:val="32"/>
          <w:szCs w:val="32"/>
        </w:rPr>
        <w:t>/、安全奖励费用</w:t>
      </w:r>
      <w:r>
        <w:rPr>
          <w:rFonts w:hint="eastAsia" w:ascii="Times New Roman" w:hAnsi="Times New Roman" w:eastAsia="仿宋_GB2312" w:cs="Times New Roman"/>
          <w:color w:val="auto"/>
          <w:sz w:val="32"/>
          <w:szCs w:val="32"/>
          <w:lang w:val="zh-CN"/>
        </w:rPr>
        <w:t>等支出；公务接待费反映单位按规定开支的各类公务接待（含外宾接待）支出。</w:t>
      </w:r>
    </w:p>
    <w:p w14:paraId="70283BE2">
      <w:pPr>
        <w:pStyle w:val="26"/>
        <w:spacing w:line="560" w:lineRule="exact"/>
        <w:ind w:firstLine="640" w:firstLineChars="200"/>
        <w:rPr>
          <w:rFonts w:ascii="Times New Roman" w:hAnsi="Times New Roman" w:eastAsia="仿宋_GB2312" w:cs="Times New Roman"/>
          <w:color w:val="auto"/>
          <w:sz w:val="32"/>
          <w:szCs w:val="32"/>
          <w:lang w:val="zh-CN"/>
        </w:rPr>
      </w:pPr>
      <w:r>
        <w:rPr>
          <w:rFonts w:hint="eastAsia" w:ascii="Times New Roman" w:hAnsi="Times New Roman" w:eastAsia="仿宋_GB2312" w:cs="Times New Roman"/>
          <w:color w:val="auto"/>
          <w:sz w:val="32"/>
          <w:szCs w:val="32"/>
        </w:rPr>
        <w:t>13</w:t>
      </w:r>
      <w:r>
        <w:rPr>
          <w:rFonts w:hint="eastAsia" w:ascii="Times New Roman" w:hAnsi="Times New Roman" w:eastAsia="仿宋_GB2312" w:cs="Times New Roman"/>
          <w:color w:val="auto"/>
          <w:sz w:val="32"/>
          <w:szCs w:val="32"/>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F9DE492">
      <w:pPr>
        <w:pStyle w:val="26"/>
        <w:spacing w:line="560" w:lineRule="exact"/>
        <w:ind w:firstLine="640" w:firstLineChars="200"/>
        <w:rPr>
          <w:rFonts w:ascii="仿宋_GB2312" w:eastAsia="仿宋_GB2312" w:cs="黑体"/>
          <w:color w:val="auto"/>
          <w:sz w:val="32"/>
          <w:szCs w:val="32"/>
        </w:rPr>
      </w:pPr>
    </w:p>
    <w:p w14:paraId="03FF2128">
      <w:pPr>
        <w:spacing w:line="600" w:lineRule="exact"/>
        <w:jc w:val="center"/>
        <w:outlineLvl w:val="0"/>
        <w:rPr>
          <w:rStyle w:val="28"/>
          <w:rFonts w:ascii="黑体" w:hAnsi="黑体" w:eastAsia="黑体"/>
          <w:b w:val="0"/>
        </w:rPr>
      </w:pPr>
      <w:bookmarkStart w:id="52" w:name="_Toc15377226"/>
      <w:r>
        <w:rPr>
          <w:rFonts w:ascii="宋体"/>
          <w:b/>
          <w:sz w:val="44"/>
          <w:szCs w:val="44"/>
        </w:rPr>
        <w:br w:type="page"/>
      </w:r>
      <w:bookmarkStart w:id="53" w:name="_Toc15396614"/>
      <w:r>
        <w:rPr>
          <w:rFonts w:hint="eastAsia" w:ascii="黑体" w:hAnsi="黑体" w:eastAsia="黑体"/>
          <w:sz w:val="44"/>
          <w:szCs w:val="44"/>
        </w:rPr>
        <w:t>第</w:t>
      </w:r>
      <w:r>
        <w:rPr>
          <w:rStyle w:val="28"/>
          <w:rFonts w:hint="eastAsia" w:ascii="黑体" w:hAnsi="黑体" w:eastAsia="黑体"/>
          <w:b w:val="0"/>
        </w:rPr>
        <w:t>四部分 附件</w:t>
      </w:r>
      <w:bookmarkEnd w:id="53"/>
    </w:p>
    <w:p w14:paraId="65A11464">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14:paraId="6E49F253">
      <w:pPr>
        <w:widowControl/>
        <w:spacing w:line="560" w:lineRule="exact"/>
        <w:contextualSpacing/>
        <w:jc w:val="center"/>
        <w:rPr>
          <w:rFonts w:ascii="仿宋_GB2312" w:hAnsi="仿宋_GB2312" w:eastAsia="仿宋_GB2312" w:cs="仿宋_GB2312"/>
          <w:sz w:val="32"/>
          <w:szCs w:val="32"/>
          <w:shd w:val="clear" w:color="auto" w:fill="FFFFFF"/>
        </w:rPr>
      </w:pPr>
      <w:r>
        <w:rPr>
          <w:rFonts w:hint="eastAsia" w:ascii="宋体" w:hAnsi="宋体"/>
          <w:b/>
          <w:color w:val="000000" w:themeColor="text1"/>
          <w:sz w:val="32"/>
          <w:szCs w:val="32"/>
          <w:shd w:val="clear" w:color="auto" w:fill="FFFFFF"/>
          <w14:textFill>
            <w14:solidFill>
              <w14:schemeClr w14:val="tx1"/>
            </w14:solidFill>
          </w14:textFill>
        </w:rPr>
        <w:t>2023年盐边县档案馆部门整体绩效评价报告</w:t>
      </w:r>
    </w:p>
    <w:p w14:paraId="0151C383">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14:paraId="4A6D40CF">
      <w:pPr>
        <w:widowControl/>
        <w:numPr>
          <w:ilvl w:val="0"/>
          <w:numId w:val="4"/>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14:paraId="1FE542E3">
      <w:pPr>
        <w:widowControl/>
        <w:numPr>
          <w:ilvl w:val="0"/>
          <w:numId w:val="5"/>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14:paraId="648E7C2C">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盐边县档案馆属于一级预算单位，是县委直属事业（参公）单位，由县委办代管。内设办公室、档案接收股、保管利用股。</w:t>
      </w:r>
    </w:p>
    <w:p w14:paraId="546DEC5A">
      <w:pPr>
        <w:widowControl/>
        <w:numPr>
          <w:ilvl w:val="0"/>
          <w:numId w:val="5"/>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机构职能和人员概况。</w:t>
      </w:r>
    </w:p>
    <w:p w14:paraId="2B0D3A6B">
      <w:pPr>
        <w:widowControl/>
        <w:spacing w:line="560" w:lineRule="exact"/>
        <w:ind w:firstLine="643" w:firstLineChars="200"/>
        <w:contextualSpacing/>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1.机构职能。</w:t>
      </w:r>
    </w:p>
    <w:p w14:paraId="32940CD3">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（1）贯彻执行党和国家档案事业的方针政策以及法律法规，落实省、市、县档案事业发展规划、计划和相关政策法规。</w:t>
      </w:r>
    </w:p>
    <w:p w14:paraId="47D00572">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（2）负责接收和保管县级党政机关、人民团体、国有企业事业单位和其他组织等本馆保管范围内对党、国家和社会有保存价值的各类档案（包括电子档案、名人档案等）、资料和政府公开信息，并提供利用。</w:t>
      </w:r>
    </w:p>
    <w:p w14:paraId="19A512C8">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（3）研究制定本馆进馆档案的接收标准和规范，负责进馆档案整理质量检查和移交工作。</w:t>
      </w:r>
    </w:p>
    <w:p w14:paraId="0C532188">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（4）负责组织征集整理散存在国内外有重要价值的档案资料（包括名人档案等）。</w:t>
      </w:r>
    </w:p>
    <w:p w14:paraId="01533CFA">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（5）利用档案为县委和县政府决策服务。配合县委和县政府重大活动，开展档案展览、陈列、编纂出版工作。组织各单位依法依规开展馆藏档案解密、开放鉴定、销毁工作。依法依规开放档案信息资源。</w:t>
      </w:r>
    </w:p>
    <w:p w14:paraId="30A868A6">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（6）维护馆藏档案资料安全，承担重要档案异地异质备份工作。</w:t>
      </w:r>
    </w:p>
    <w:p w14:paraId="24E88E03">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（7）组织实施电子档案移交系统或数据接口部署，承担本馆档案信息化建设、馆藏电子档案的管理和备份、馆藏档案资料数字化等工作。承担本馆数字档案馆的建设、运行、管理和维护等工作。</w:t>
      </w:r>
    </w:p>
    <w:p w14:paraId="2F7FC9AD">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（8）承担馆藏档案资料的修复、缩微等抢救保护工作。开展档案保护技术研究和应用等科研工作。</w:t>
      </w:r>
    </w:p>
    <w:p w14:paraId="376796AA">
      <w:pPr>
        <w:widowControl/>
        <w:spacing w:line="560" w:lineRule="exact"/>
        <w:ind w:firstLine="640" w:firstLineChars="200"/>
        <w:contextualSpacing/>
        <w:rPr>
          <w:rFonts w:eastAsia="仿宋_GB2312"/>
          <w:kern w:val="0"/>
          <w:sz w:val="32"/>
          <w:szCs w:val="32"/>
          <w:lang w:val="zh-CN"/>
        </w:rPr>
      </w:pPr>
      <w:r>
        <w:rPr>
          <w:rFonts w:hint="eastAsia" w:eastAsia="仿宋_GB2312"/>
          <w:kern w:val="0"/>
          <w:sz w:val="32"/>
          <w:szCs w:val="32"/>
          <w:lang w:val="zh-CN"/>
        </w:rPr>
        <w:t>（9）完成县委和县政府交办的其他任务。</w:t>
      </w:r>
    </w:p>
    <w:p w14:paraId="1CC648E0">
      <w:pPr>
        <w:widowControl/>
        <w:spacing w:line="560" w:lineRule="exact"/>
        <w:ind w:firstLine="643" w:firstLineChars="200"/>
        <w:contextualSpacing/>
        <w:rPr>
          <w:rFonts w:ascii="仿宋_GB2312" w:hAnsi="仿宋_GB2312" w:eastAsia="仿宋_GB2312" w:cs="仿宋_GB2312"/>
          <w:b/>
          <w:bCs/>
          <w:sz w:val="32"/>
          <w:szCs w:val="32"/>
          <w:shd w:val="clear" w:color="auto" w:fill="FFFFFF"/>
          <w:lang w:val="zh-CN"/>
        </w:rPr>
      </w:pPr>
      <w:r>
        <w:rPr>
          <w:rFonts w:hint="eastAsia" w:ascii="仿宋_GB2312" w:hAnsi="仿宋_GB2312" w:eastAsia="仿宋_GB2312" w:cs="仿宋_GB2312"/>
          <w:b/>
          <w:bCs/>
          <w:sz w:val="32"/>
          <w:szCs w:val="32"/>
          <w:shd w:val="clear" w:color="auto" w:fill="FFFFFF"/>
        </w:rPr>
        <w:t>2.</w:t>
      </w:r>
      <w:r>
        <w:rPr>
          <w:rFonts w:hint="eastAsia" w:ascii="仿宋_GB2312" w:hAnsi="仿宋_GB2312" w:eastAsia="仿宋_GB2312" w:cs="仿宋_GB2312"/>
          <w:b/>
          <w:bCs/>
          <w:sz w:val="32"/>
          <w:szCs w:val="32"/>
          <w:shd w:val="clear" w:color="auto" w:fill="FFFFFF"/>
          <w:lang w:val="zh-CN"/>
        </w:rPr>
        <w:t>人员概况。</w:t>
      </w:r>
    </w:p>
    <w:p w14:paraId="4F5A648E">
      <w:pPr>
        <w:widowControl/>
        <w:adjustRightInd w:val="0"/>
        <w:snapToGrid w:val="0"/>
        <w:spacing w:line="580" w:lineRule="exact"/>
        <w:ind w:firstLine="640" w:firstLineChars="200"/>
        <w:contextualSpacing/>
        <w:jc w:val="left"/>
        <w:rPr>
          <w:rFonts w:eastAsia="仿宋_GB2312"/>
          <w:kern w:val="0"/>
          <w:sz w:val="32"/>
          <w:szCs w:val="32"/>
        </w:rPr>
      </w:pPr>
      <w:r>
        <w:rPr>
          <w:rFonts w:hint="eastAsia" w:eastAsia="仿宋_GB2312"/>
          <w:kern w:val="0"/>
          <w:sz w:val="32"/>
          <w:szCs w:val="32"/>
        </w:rPr>
        <w:t>2022年县档案馆编制9人，在职9人，其中馆长1人，副馆长2人，工作人员6人。</w:t>
      </w:r>
    </w:p>
    <w:p w14:paraId="007C69AC">
      <w:pPr>
        <w:widowControl/>
        <w:numPr>
          <w:ilvl w:val="0"/>
          <w:numId w:val="5"/>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年度主要工作任务。</w:t>
      </w:r>
    </w:p>
    <w:p w14:paraId="2AEC8F0D">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一是强化理论武装， 汲取奋进力量。县档案馆继续强化理论武装，加强党性锻炼，继续发挥好盐边县档案馆党史学习教育基地，科普基地、爱国主义基地作用，展现盐边的历史文化及发展历程，更好地体现出档案的魅力。</w:t>
      </w:r>
    </w:p>
    <w:p w14:paraId="6E8A2ABA">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二是加强业务学习，提升人员素养。县档案馆坚持开展</w:t>
      </w:r>
      <w:r>
        <w:rPr>
          <w:rFonts w:ascii="Times New Roman" w:eastAsia="仿宋_GB2312"/>
          <w:kern w:val="0"/>
          <w:sz w:val="32"/>
          <w:lang w:val="zh-CN"/>
        </w:rPr>
        <w:t>“业务学习半月谈”活动</w:t>
      </w:r>
      <w:r>
        <w:rPr>
          <w:rFonts w:hint="eastAsia" w:ascii="Times New Roman" w:eastAsia="仿宋_GB2312"/>
          <w:kern w:val="0"/>
          <w:sz w:val="32"/>
          <w:lang w:val="zh-CN"/>
        </w:rPr>
        <w:t>，立足我县档案现状，把握未来工作趋势，加强档案基础业务学习和重点工作沟通交流，进一步提升工作技能，促进各项工作高质高效推进，为迎接新挑战奠定基础。提高每月《档案工作动态》质量，全面提升档案人才队伍的综合素质和业务水平。</w:t>
      </w:r>
    </w:p>
    <w:p w14:paraId="1BAE38E8">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三是规范档案接收，强化档案利用。按照档案进馆计划，主动对接单位，规范开展2023年档案进馆和档案数字化审核验收工作，持续增加档案馆馆藏档案数量，做好档案数据维护，同时进一步完善档案查阅条件，保障档案查阅利用等工作能够更加高效开展。</w:t>
      </w:r>
    </w:p>
    <w:p w14:paraId="0361D216">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四是履行法治建设，夯实档案业务基础。与县档案局配合做好2023年计划内单位的档案执法检查及档案“三合一”制度审查，以档案督导检查促进全县档案工作健康发展。加强法律知识学习和普法宣传，把普法宣传工作纳入检查内容，增强全县各级各部门（单位）的责任意识和档案法治意识。</w:t>
      </w:r>
    </w:p>
    <w:p w14:paraId="02869B15">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五是筑牢安全防线，健全防范体系。继续重点开展档案库房及中心机房安全巡查，执行每日库房安全巡查；主动</w:t>
      </w:r>
      <w:r>
        <w:rPr>
          <w:rFonts w:ascii="Times New Roman" w:eastAsia="仿宋_GB2312"/>
          <w:kern w:val="0"/>
          <w:sz w:val="32"/>
          <w:lang w:val="zh-CN"/>
        </w:rPr>
        <w:t>催交到期档</w:t>
      </w:r>
      <w:r>
        <w:rPr>
          <w:rFonts w:hint="eastAsia" w:ascii="Times New Roman" w:eastAsia="仿宋_GB2312"/>
          <w:kern w:val="0"/>
          <w:sz w:val="32"/>
          <w:lang w:val="zh-CN"/>
        </w:rPr>
        <w:t>案、存在保管安全隐患的档案等进馆；完善消防安全管理各项制度；坚持做好消防工作，加强应急宣传学习，组织开展消防应急演练，确保馆藏档案和数字化成果的绝对安全。</w:t>
      </w:r>
    </w:p>
    <w:p w14:paraId="7657EF4A">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六是聚焦重点工作，服务中心大局。按照国家档案局关于《“十四五”全国档案事业发展规划》相关工作的通知，进一步探索争取数字档案馆发展工作。</w:t>
      </w:r>
      <w:r>
        <w:rPr>
          <w:rFonts w:ascii="Times New Roman" w:eastAsia="仿宋_GB2312"/>
          <w:kern w:val="0"/>
          <w:sz w:val="32"/>
          <w:lang w:val="zh-CN"/>
        </w:rPr>
        <w:t>根据全县2023年度重点工作，延伸档案工作服务领域</w:t>
      </w:r>
      <w:r>
        <w:rPr>
          <w:rFonts w:hint="eastAsia" w:ascii="Times New Roman" w:eastAsia="仿宋_GB2312"/>
          <w:kern w:val="0"/>
          <w:sz w:val="32"/>
          <w:lang w:val="zh-CN"/>
        </w:rPr>
        <w:t>，主动跟进后期扶持、土地确权、土地征补、疫情防控、棚改、既有住宅增设电梯等重点档案整理进度，按时间节点联合相关部门对重点档案工作进行业务指导，完成进馆任务。</w:t>
      </w:r>
    </w:p>
    <w:p w14:paraId="42524F54">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七是</w:t>
      </w:r>
      <w:r>
        <w:rPr>
          <w:rFonts w:ascii="Times New Roman" w:eastAsia="仿宋_GB2312"/>
          <w:kern w:val="0"/>
          <w:sz w:val="32"/>
          <w:lang w:val="zh-CN"/>
        </w:rPr>
        <w:t>档案服务探索，助力共同富裕。基于盐边县南北跨度大、北部困难群众多、北部群众到县档案馆查阅档案路途远成本高的现状，拟在</w:t>
      </w:r>
      <w:r>
        <w:rPr>
          <w:rFonts w:hint="eastAsia" w:ascii="Times New Roman" w:eastAsia="仿宋_GB2312"/>
          <w:kern w:val="0"/>
          <w:sz w:val="32"/>
          <w:lang w:val="zh-CN"/>
        </w:rPr>
        <w:t>2023</w:t>
      </w:r>
      <w:r>
        <w:rPr>
          <w:rFonts w:ascii="Times New Roman" w:eastAsia="仿宋_GB2312"/>
          <w:kern w:val="0"/>
          <w:sz w:val="32"/>
          <w:lang w:val="zh-CN"/>
        </w:rPr>
        <w:t>年</w:t>
      </w:r>
      <w:r>
        <w:rPr>
          <w:rFonts w:hint="eastAsia" w:ascii="Times New Roman" w:eastAsia="仿宋_GB2312"/>
          <w:kern w:val="0"/>
          <w:sz w:val="32"/>
          <w:lang w:val="zh-CN"/>
        </w:rPr>
        <w:t>完成</w:t>
      </w:r>
      <w:r>
        <w:rPr>
          <w:rFonts w:ascii="Times New Roman" w:eastAsia="仿宋_GB2312"/>
          <w:kern w:val="0"/>
          <w:sz w:val="32"/>
          <w:lang w:val="zh-CN"/>
        </w:rPr>
        <w:t>对群众查询档案的高频事项进行梳理，积极与事项相关单位及</w:t>
      </w:r>
      <w:r>
        <w:rPr>
          <w:rFonts w:hint="eastAsia" w:ascii="Times New Roman" w:eastAsia="仿宋_GB2312"/>
          <w:kern w:val="0"/>
          <w:sz w:val="32"/>
          <w:lang w:val="zh-CN"/>
        </w:rPr>
        <w:t>北部乡镇</w:t>
      </w:r>
      <w:r>
        <w:rPr>
          <w:rFonts w:ascii="Times New Roman" w:eastAsia="仿宋_GB2312"/>
          <w:kern w:val="0"/>
          <w:sz w:val="32"/>
          <w:lang w:val="zh-CN"/>
        </w:rPr>
        <w:t>沟通，</w:t>
      </w:r>
      <w:r>
        <w:rPr>
          <w:rFonts w:hint="eastAsia" w:ascii="Times New Roman" w:eastAsia="仿宋_GB2312"/>
          <w:kern w:val="0"/>
          <w:sz w:val="32"/>
          <w:lang w:val="zh-CN"/>
        </w:rPr>
        <w:t>搭建服务平台，</w:t>
      </w:r>
      <w:r>
        <w:rPr>
          <w:rFonts w:ascii="Times New Roman" w:eastAsia="仿宋_GB2312"/>
          <w:kern w:val="0"/>
          <w:sz w:val="32"/>
          <w:lang w:val="zh-CN"/>
        </w:rPr>
        <w:t>争取档案查询服务</w:t>
      </w:r>
      <w:r>
        <w:rPr>
          <w:rFonts w:hint="eastAsia" w:ascii="Times New Roman" w:eastAsia="仿宋_GB2312"/>
          <w:kern w:val="0"/>
          <w:sz w:val="32"/>
          <w:lang w:val="zh-CN"/>
        </w:rPr>
        <w:t>能</w:t>
      </w:r>
      <w:r>
        <w:rPr>
          <w:rFonts w:ascii="Times New Roman" w:eastAsia="仿宋_GB2312"/>
          <w:kern w:val="0"/>
          <w:sz w:val="32"/>
          <w:lang w:val="zh-CN"/>
        </w:rPr>
        <w:t>入驻</w:t>
      </w:r>
      <w:r>
        <w:rPr>
          <w:rFonts w:hint="eastAsia" w:ascii="Times New Roman" w:eastAsia="仿宋_GB2312"/>
          <w:kern w:val="0"/>
          <w:sz w:val="32"/>
          <w:lang w:val="zh-CN"/>
        </w:rPr>
        <w:t>乡镇</w:t>
      </w:r>
      <w:r>
        <w:rPr>
          <w:rFonts w:ascii="Times New Roman" w:eastAsia="仿宋_GB2312"/>
          <w:kern w:val="0"/>
          <w:sz w:val="32"/>
          <w:lang w:val="zh-CN"/>
        </w:rPr>
        <w:t>便民服务中心。同时，积极完善相关技术手段，建立相关责任制度，健全安全防范体系，确保档案数据安全，更好地服务民生、服务社会、服务共同富裕。</w:t>
      </w:r>
    </w:p>
    <w:p w14:paraId="1FBD7565">
      <w:pPr>
        <w:pStyle w:val="14"/>
        <w:spacing w:after="0"/>
        <w:ind w:left="0" w:leftChars="0" w:firstLine="640"/>
        <w:rPr>
          <w:rFonts w:ascii="Times New Roman" w:eastAsia="仿宋_GB2312"/>
          <w:kern w:val="0"/>
          <w:sz w:val="32"/>
          <w:lang w:val="zh-CN"/>
        </w:rPr>
      </w:pPr>
      <w:r>
        <w:rPr>
          <w:rFonts w:hint="eastAsia" w:ascii="Times New Roman" w:eastAsia="仿宋_GB2312"/>
          <w:kern w:val="0"/>
          <w:sz w:val="32"/>
          <w:lang w:val="zh-CN"/>
        </w:rPr>
        <w:t>八是着力</w:t>
      </w:r>
      <w:r>
        <w:rPr>
          <w:rFonts w:ascii="Times New Roman" w:eastAsia="仿宋_GB2312"/>
          <w:kern w:val="0"/>
          <w:sz w:val="32"/>
          <w:lang w:val="zh-CN"/>
        </w:rPr>
        <w:t>档案编研</w:t>
      </w:r>
      <w:r>
        <w:rPr>
          <w:rFonts w:hint="eastAsia" w:ascii="Times New Roman" w:eastAsia="仿宋_GB2312"/>
          <w:kern w:val="0"/>
          <w:sz w:val="32"/>
          <w:lang w:val="zh-CN"/>
        </w:rPr>
        <w:t>，以档资政育人</w:t>
      </w:r>
      <w:r>
        <w:rPr>
          <w:rFonts w:ascii="Times New Roman" w:eastAsia="仿宋_GB2312"/>
          <w:kern w:val="0"/>
          <w:sz w:val="32"/>
          <w:lang w:val="zh-CN"/>
        </w:rPr>
        <w:t>。</w:t>
      </w:r>
      <w:r>
        <w:rPr>
          <w:rFonts w:hint="eastAsia" w:ascii="Times New Roman" w:eastAsia="仿宋_GB2312"/>
          <w:kern w:val="0"/>
          <w:sz w:val="32"/>
          <w:lang w:val="zh-CN"/>
        </w:rPr>
        <w:t>梳理利用</w:t>
      </w:r>
      <w:r>
        <w:rPr>
          <w:rFonts w:ascii="Times New Roman" w:eastAsia="仿宋_GB2312"/>
          <w:kern w:val="0"/>
          <w:sz w:val="32"/>
          <w:lang w:val="zh-CN"/>
        </w:rPr>
        <w:t>盐边县20年间开展扶贫工作及脱贫攻坚工作的档案资料，完成</w:t>
      </w:r>
      <w:r>
        <w:rPr>
          <w:rFonts w:hint="eastAsia" w:ascii="Times New Roman" w:eastAsia="仿宋_GB2312"/>
          <w:kern w:val="0"/>
          <w:sz w:val="32"/>
          <w:lang w:val="zh-CN"/>
        </w:rPr>
        <w:t>档案编研</w:t>
      </w:r>
      <w:r>
        <w:rPr>
          <w:rFonts w:ascii="Times New Roman" w:eastAsia="仿宋_GB2312"/>
          <w:kern w:val="0"/>
          <w:sz w:val="32"/>
          <w:lang w:val="zh-CN"/>
        </w:rPr>
        <w:t>报告、PPT文稿编写</w:t>
      </w:r>
      <w:r>
        <w:rPr>
          <w:rFonts w:hint="eastAsia" w:ascii="Times New Roman" w:eastAsia="仿宋_GB2312"/>
          <w:kern w:val="0"/>
          <w:sz w:val="32"/>
          <w:lang w:val="zh-CN"/>
        </w:rPr>
        <w:t>，为“</w:t>
      </w:r>
      <w:r>
        <w:rPr>
          <w:rFonts w:ascii="Times New Roman" w:eastAsia="仿宋_GB2312"/>
          <w:kern w:val="0"/>
          <w:sz w:val="32"/>
          <w:lang w:val="zh-CN"/>
        </w:rPr>
        <w:t>脱贫攻坚成果展</w:t>
      </w:r>
      <w:r>
        <w:rPr>
          <w:rFonts w:hint="eastAsia" w:ascii="Times New Roman" w:eastAsia="仿宋_GB2312"/>
          <w:kern w:val="0"/>
          <w:sz w:val="32"/>
          <w:lang w:val="zh-CN"/>
        </w:rPr>
        <w:t>”打好基础</w:t>
      </w:r>
      <w:r>
        <w:rPr>
          <w:rFonts w:ascii="Times New Roman" w:eastAsia="仿宋_GB2312"/>
          <w:kern w:val="0"/>
          <w:sz w:val="32"/>
          <w:lang w:val="zh-CN"/>
        </w:rPr>
        <w:t>，切实把县委县政府领导全县人民的奋斗历史记录好、留存好。</w:t>
      </w:r>
    </w:p>
    <w:p w14:paraId="397082CE">
      <w:pPr>
        <w:widowControl/>
        <w:numPr>
          <w:ilvl w:val="0"/>
          <w:numId w:val="5"/>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部门整体支出绩效目标。</w:t>
      </w:r>
    </w:p>
    <w:p w14:paraId="2598CC94">
      <w:pPr>
        <w:pStyle w:val="13"/>
        <w:ind w:firstLine="640" w:firstLineChars="200"/>
        <w:jc w:val="both"/>
        <w:rPr>
          <w:rFonts w:ascii="Times New Roman" w:hAnsi="Times New Roman" w:eastAsia="仿宋_GB2312"/>
          <w:b w:val="0"/>
          <w:bCs w:val="0"/>
          <w:kern w:val="0"/>
          <w:lang w:val="zh-CN"/>
        </w:rPr>
      </w:pPr>
      <w:r>
        <w:rPr>
          <w:rFonts w:hint="eastAsia" w:ascii="Times New Roman" w:hAnsi="Times New Roman" w:eastAsia="仿宋_GB2312"/>
          <w:b w:val="0"/>
          <w:bCs w:val="0"/>
          <w:kern w:val="0"/>
          <w:lang w:val="zh-CN"/>
        </w:rPr>
        <w:t>按规定使用预算经费，保障档案馆各项人员及各项专项工作正常运行，确保全县档案、数据安全；推进全县档案工作进一步规范化，开展业务监督指导；收集展陈具有价值的档案，盐边展览馆继续开放参观；高效便捷地开展档案利用工作，方便群众查档。</w:t>
      </w:r>
    </w:p>
    <w:p w14:paraId="10A0CCC8">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14:paraId="6267A8A7">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（一）部门总体收支情况。</w:t>
      </w:r>
    </w:p>
    <w:p w14:paraId="52C8B3BF">
      <w:pPr>
        <w:widowControl/>
        <w:adjustRightInd w:val="0"/>
        <w:snapToGrid w:val="0"/>
        <w:spacing w:line="560" w:lineRule="exact"/>
        <w:ind w:firstLine="643" w:firstLineChars="200"/>
        <w:contextualSpacing/>
        <w:jc w:val="left"/>
        <w:rPr>
          <w:rFonts w:eastAsia="仿宋_GB2312"/>
          <w:b/>
          <w:bCs/>
          <w:kern w:val="0"/>
          <w:sz w:val="32"/>
          <w:szCs w:val="32"/>
        </w:rPr>
      </w:pPr>
      <w:r>
        <w:rPr>
          <w:rFonts w:hint="eastAsia" w:eastAsia="仿宋_GB2312"/>
          <w:b/>
          <w:bCs/>
          <w:kern w:val="0"/>
          <w:sz w:val="32"/>
          <w:szCs w:val="32"/>
        </w:rPr>
        <w:t>1.部门总体收入情况</w:t>
      </w:r>
    </w:p>
    <w:p w14:paraId="595C02F7">
      <w:pPr>
        <w:snapToGrid w:val="0"/>
        <w:spacing w:line="520" w:lineRule="exact"/>
        <w:ind w:firstLine="640" w:firstLineChars="200"/>
        <w:rPr>
          <w:rFonts w:eastAsia="仿宋_GB2312"/>
          <w:kern w:val="0"/>
          <w:sz w:val="32"/>
          <w:szCs w:val="32"/>
        </w:rPr>
      </w:pPr>
      <w:r>
        <w:rPr>
          <w:rFonts w:hint="eastAsia" w:eastAsia="仿宋_GB2312"/>
          <w:kern w:val="0"/>
          <w:sz w:val="32"/>
          <w:szCs w:val="32"/>
        </w:rPr>
        <w:t>2022年总收入246.40万元，本年财政拨款收入246.40万元，占本年总收入100%。</w:t>
      </w:r>
    </w:p>
    <w:p w14:paraId="3CD9557E">
      <w:pPr>
        <w:widowControl/>
        <w:adjustRightInd w:val="0"/>
        <w:snapToGrid w:val="0"/>
        <w:spacing w:line="560" w:lineRule="exact"/>
        <w:ind w:firstLine="643" w:firstLineChars="200"/>
        <w:contextualSpacing/>
        <w:jc w:val="left"/>
        <w:rPr>
          <w:rFonts w:eastAsia="仿宋_GB2312"/>
          <w:b/>
          <w:bCs/>
          <w:kern w:val="0"/>
          <w:sz w:val="32"/>
          <w:szCs w:val="32"/>
        </w:rPr>
      </w:pPr>
      <w:r>
        <w:rPr>
          <w:rFonts w:hint="eastAsia" w:eastAsia="仿宋_GB2312"/>
          <w:b/>
          <w:bCs/>
          <w:kern w:val="0"/>
          <w:sz w:val="32"/>
          <w:szCs w:val="32"/>
        </w:rPr>
        <w:t>2.部门总体支出情况</w:t>
      </w:r>
    </w:p>
    <w:p w14:paraId="645FC97C">
      <w:pPr>
        <w:spacing w:line="520" w:lineRule="exact"/>
        <w:ind w:firstLine="640" w:firstLineChars="200"/>
        <w:rPr>
          <w:rFonts w:eastAsia="仿宋_GB2312"/>
          <w:kern w:val="0"/>
          <w:sz w:val="32"/>
          <w:szCs w:val="32"/>
        </w:rPr>
      </w:pPr>
      <w:r>
        <w:rPr>
          <w:rFonts w:hint="eastAsia" w:eastAsia="仿宋_GB2312"/>
          <w:kern w:val="0"/>
          <w:sz w:val="32"/>
          <w:szCs w:val="32"/>
        </w:rPr>
        <w:t>2022年总支出246.40万元，其中：基本支出为246.40万元（人员经费支出199.77元，公用经费支出16.63万元），项目支出30.00万元。</w:t>
      </w:r>
    </w:p>
    <w:p w14:paraId="2F86F9C5">
      <w:pPr>
        <w:widowControl/>
        <w:adjustRightInd w:val="0"/>
        <w:snapToGrid w:val="0"/>
        <w:spacing w:line="560" w:lineRule="exact"/>
        <w:ind w:firstLine="643" w:firstLineChars="200"/>
        <w:contextualSpacing/>
        <w:jc w:val="left"/>
        <w:rPr>
          <w:rFonts w:eastAsia="仿宋_GB2312"/>
          <w:b/>
          <w:bCs/>
          <w:kern w:val="0"/>
          <w:sz w:val="32"/>
          <w:szCs w:val="32"/>
        </w:rPr>
      </w:pPr>
      <w:r>
        <w:rPr>
          <w:rFonts w:hint="eastAsia" w:eastAsia="仿宋_GB2312"/>
          <w:b/>
          <w:bCs/>
          <w:kern w:val="0"/>
          <w:sz w:val="32"/>
          <w:szCs w:val="32"/>
        </w:rPr>
        <w:t>3.部门总体结转结余情况</w:t>
      </w:r>
    </w:p>
    <w:p w14:paraId="0C832416">
      <w:pPr>
        <w:snapToGrid w:val="0"/>
        <w:spacing w:line="520" w:lineRule="exact"/>
        <w:ind w:firstLine="640" w:firstLineChars="200"/>
        <w:rPr>
          <w:rFonts w:eastAsia="仿宋_GB2312"/>
          <w:kern w:val="0"/>
          <w:sz w:val="32"/>
          <w:szCs w:val="32"/>
        </w:rPr>
      </w:pPr>
      <w:r>
        <w:rPr>
          <w:rFonts w:hint="eastAsia" w:eastAsia="仿宋_GB2312"/>
          <w:kern w:val="0"/>
          <w:sz w:val="32"/>
          <w:szCs w:val="32"/>
        </w:rPr>
        <w:t>本年无结转和结余资金。</w:t>
      </w:r>
    </w:p>
    <w:p w14:paraId="10545E42">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（二）部门财政拨款收支情况。</w:t>
      </w:r>
    </w:p>
    <w:p w14:paraId="4AC6A7AF">
      <w:pPr>
        <w:widowControl/>
        <w:adjustRightInd w:val="0"/>
        <w:snapToGrid w:val="0"/>
        <w:spacing w:line="560" w:lineRule="exact"/>
        <w:ind w:firstLine="643" w:firstLineChars="200"/>
        <w:contextualSpacing/>
        <w:jc w:val="left"/>
        <w:rPr>
          <w:rFonts w:eastAsia="仿宋_GB2312"/>
          <w:b/>
          <w:bCs/>
          <w:kern w:val="0"/>
          <w:sz w:val="32"/>
          <w:szCs w:val="32"/>
        </w:rPr>
      </w:pPr>
      <w:r>
        <w:rPr>
          <w:rFonts w:hint="eastAsia" w:eastAsia="仿宋_GB2312"/>
          <w:b/>
          <w:bCs/>
          <w:kern w:val="0"/>
          <w:sz w:val="32"/>
          <w:szCs w:val="32"/>
        </w:rPr>
        <w:t>1.部门财政拨款收入情况</w:t>
      </w:r>
    </w:p>
    <w:p w14:paraId="692825D1">
      <w:pPr>
        <w:snapToGrid w:val="0"/>
        <w:spacing w:line="520" w:lineRule="exact"/>
        <w:ind w:firstLine="640" w:firstLineChars="200"/>
        <w:rPr>
          <w:rFonts w:eastAsia="仿宋_GB2312"/>
          <w:kern w:val="0"/>
          <w:sz w:val="32"/>
          <w:szCs w:val="32"/>
        </w:rPr>
      </w:pPr>
      <w:r>
        <w:rPr>
          <w:rFonts w:hint="eastAsia" w:eastAsia="仿宋_GB2312"/>
          <w:kern w:val="0"/>
          <w:sz w:val="32"/>
          <w:szCs w:val="32"/>
        </w:rPr>
        <w:t>2022年财政拨款收入246.40万元，本年财政拨款收入246.40万元，占本年总计收入100%。</w:t>
      </w:r>
    </w:p>
    <w:p w14:paraId="4A3997F8">
      <w:pPr>
        <w:widowControl/>
        <w:adjustRightInd w:val="0"/>
        <w:snapToGrid w:val="0"/>
        <w:spacing w:line="560" w:lineRule="exact"/>
        <w:ind w:firstLine="643" w:firstLineChars="200"/>
        <w:contextualSpacing/>
        <w:jc w:val="left"/>
        <w:rPr>
          <w:rFonts w:eastAsia="仿宋_GB2312"/>
          <w:b/>
          <w:bCs/>
          <w:kern w:val="0"/>
          <w:sz w:val="32"/>
          <w:szCs w:val="32"/>
        </w:rPr>
      </w:pPr>
      <w:r>
        <w:rPr>
          <w:rFonts w:hint="eastAsia" w:eastAsia="仿宋_GB2312"/>
          <w:b/>
          <w:bCs/>
          <w:kern w:val="0"/>
          <w:sz w:val="32"/>
          <w:szCs w:val="32"/>
        </w:rPr>
        <w:t>2.部门财政拨款支出情况</w:t>
      </w:r>
    </w:p>
    <w:p w14:paraId="20E285A4">
      <w:pPr>
        <w:spacing w:line="520" w:lineRule="exact"/>
        <w:ind w:firstLine="640" w:firstLineChars="200"/>
        <w:rPr>
          <w:rFonts w:eastAsia="仿宋_GB2312"/>
          <w:kern w:val="0"/>
          <w:sz w:val="32"/>
          <w:szCs w:val="32"/>
        </w:rPr>
      </w:pPr>
      <w:r>
        <w:rPr>
          <w:rFonts w:hint="eastAsia" w:eastAsia="仿宋_GB2312"/>
          <w:kern w:val="0"/>
          <w:sz w:val="32"/>
          <w:szCs w:val="32"/>
        </w:rPr>
        <w:t>2022年财政拨款支出246.40万元，其中：基本支出为246.40万元。其中，人员经费支出199.77元，公用经费支出16.63万元，项目支出30.00万元。</w:t>
      </w:r>
    </w:p>
    <w:p w14:paraId="57B20C6B">
      <w:pPr>
        <w:spacing w:line="520" w:lineRule="exact"/>
        <w:ind w:firstLine="640" w:firstLineChars="200"/>
        <w:rPr>
          <w:rFonts w:eastAsia="仿宋_GB2312"/>
          <w:kern w:val="0"/>
          <w:sz w:val="32"/>
          <w:szCs w:val="32"/>
        </w:rPr>
      </w:pPr>
      <w:r>
        <w:rPr>
          <w:rFonts w:hint="eastAsia" w:eastAsia="仿宋_GB2312"/>
          <w:kern w:val="0"/>
          <w:sz w:val="32"/>
          <w:szCs w:val="32"/>
        </w:rPr>
        <w:t>其中：（1）一般公共服务决算支出184.84万元，主要用于单位人员工资、日常运转以及为完成特定行政工作任务和事业发展目标而安排的年度项目支出，主要包括：行政运行支出154.84万元，用于基本工资、津贴补贴、奖金、办公费、水费、电费、差旅费、维修(护)费、培训费、福利费、工会经费、其他交通费用支出；档案馆项目支出30.00万元，用于档案馆项目支出。其中根据盐边财政〔2022〕8 号年初预算批复下达档案馆电费10万元，用于档案馆及展厅、库房设备正常运行；按盐财资行〔2022〕252号文《关于下达2022年度档案馆运转必要支出经费的通知》，年中追加预算下达我单位运转经费20.00万元，主要保证档案业务正常运行。</w:t>
      </w:r>
    </w:p>
    <w:p w14:paraId="2B72CFD4">
      <w:pPr>
        <w:snapToGrid w:val="0"/>
        <w:spacing w:line="520" w:lineRule="exact"/>
        <w:ind w:firstLine="640" w:firstLineChars="200"/>
        <w:rPr>
          <w:rFonts w:eastAsia="仿宋_GB2312"/>
          <w:kern w:val="0"/>
          <w:sz w:val="32"/>
          <w:szCs w:val="32"/>
        </w:rPr>
      </w:pPr>
      <w:r>
        <w:rPr>
          <w:rFonts w:hint="eastAsia" w:eastAsia="仿宋_GB2312"/>
          <w:kern w:val="0"/>
          <w:sz w:val="32"/>
          <w:szCs w:val="32"/>
        </w:rPr>
        <w:t>（2）社会保障和就业决算支出30.78万元，主要用于单位离退休人员支出以及养老保险单位缴费等支出。</w:t>
      </w:r>
    </w:p>
    <w:p w14:paraId="4F1D6A32">
      <w:pPr>
        <w:snapToGrid w:val="0"/>
        <w:spacing w:line="520" w:lineRule="exact"/>
        <w:ind w:firstLine="640" w:firstLineChars="200"/>
        <w:rPr>
          <w:rFonts w:eastAsia="仿宋_GB2312"/>
          <w:kern w:val="0"/>
          <w:sz w:val="32"/>
          <w:szCs w:val="32"/>
        </w:rPr>
      </w:pPr>
      <w:r>
        <w:rPr>
          <w:rFonts w:hint="eastAsia" w:eastAsia="仿宋_GB2312"/>
          <w:kern w:val="0"/>
          <w:sz w:val="32"/>
          <w:szCs w:val="32"/>
        </w:rPr>
        <w:t>（3）卫生健康决算支出15.52万元，用于单位人员的职工基本医疗保险缴费、公务员医疗补助缴费等支出。</w:t>
      </w:r>
    </w:p>
    <w:p w14:paraId="1D335814">
      <w:pPr>
        <w:snapToGrid w:val="0"/>
        <w:spacing w:line="520" w:lineRule="exact"/>
        <w:ind w:firstLine="640" w:firstLineChars="200"/>
        <w:rPr>
          <w:rFonts w:eastAsia="仿宋_GB2312"/>
          <w:kern w:val="0"/>
          <w:sz w:val="32"/>
          <w:szCs w:val="32"/>
        </w:rPr>
      </w:pPr>
      <w:r>
        <w:rPr>
          <w:rFonts w:hint="eastAsia" w:eastAsia="仿宋_GB2312"/>
          <w:kern w:val="0"/>
          <w:sz w:val="32"/>
          <w:szCs w:val="32"/>
        </w:rPr>
        <w:t>（4）住房保障决算支出15.26万元，用于按照规定标准为职工缴纳住房公积金支出。</w:t>
      </w:r>
    </w:p>
    <w:p w14:paraId="06821DCA">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3.部门财政拨款结转结余情况</w:t>
      </w:r>
    </w:p>
    <w:p w14:paraId="70816832">
      <w:pPr>
        <w:snapToGrid w:val="0"/>
        <w:spacing w:line="520" w:lineRule="exact"/>
        <w:ind w:firstLine="640" w:firstLineChars="200"/>
        <w:rPr>
          <w:rFonts w:eastAsia="仿宋_GB2312"/>
          <w:kern w:val="0"/>
          <w:sz w:val="32"/>
          <w:szCs w:val="32"/>
        </w:rPr>
      </w:pPr>
      <w:r>
        <w:rPr>
          <w:rFonts w:hint="eastAsia" w:eastAsia="仿宋_GB2312"/>
          <w:kern w:val="0"/>
          <w:sz w:val="32"/>
          <w:szCs w:val="32"/>
        </w:rPr>
        <w:t>本年无结转和结余资金。</w:t>
      </w:r>
    </w:p>
    <w:p w14:paraId="5D0C54D0">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14:paraId="2C2C3534">
      <w:pPr>
        <w:widowControl/>
        <w:adjustRightInd w:val="0"/>
        <w:snapToGrid w:val="0"/>
        <w:spacing w:line="560" w:lineRule="exact"/>
        <w:ind w:firstLine="643"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（一）部门预算项目绩效分析。</w:t>
      </w:r>
    </w:p>
    <w:p w14:paraId="044DF4F3">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1.人员类项目绩效分析</w:t>
      </w:r>
    </w:p>
    <w:p w14:paraId="5CC8020A">
      <w:pPr>
        <w:widowControl/>
        <w:adjustRightInd w:val="0"/>
        <w:snapToGrid w:val="0"/>
        <w:spacing w:line="580" w:lineRule="exact"/>
        <w:ind w:firstLine="720"/>
        <w:jc w:val="left"/>
        <w:rPr>
          <w:rFonts w:eastAsia="仿宋_GB2312"/>
          <w:kern w:val="0"/>
          <w:sz w:val="32"/>
          <w:szCs w:val="32"/>
        </w:rPr>
      </w:pPr>
      <w:r>
        <w:rPr>
          <w:rFonts w:hint="eastAsia" w:eastAsia="仿宋_GB2312"/>
          <w:kern w:val="0"/>
          <w:sz w:val="32"/>
          <w:szCs w:val="32"/>
        </w:rPr>
        <w:t>（1）指标完成情况</w:t>
      </w:r>
    </w:p>
    <w:p w14:paraId="5711832D">
      <w:pPr>
        <w:widowControl/>
        <w:adjustRightInd w:val="0"/>
        <w:snapToGrid w:val="0"/>
        <w:spacing w:line="580" w:lineRule="exact"/>
        <w:ind w:firstLine="640" w:firstLineChars="200"/>
        <w:contextualSpacing/>
        <w:jc w:val="left"/>
        <w:rPr>
          <w:rFonts w:eastAsia="仿宋_GB2312"/>
          <w:kern w:val="0"/>
          <w:sz w:val="32"/>
          <w:szCs w:val="32"/>
        </w:rPr>
      </w:pPr>
      <w:r>
        <w:rPr>
          <w:rFonts w:hint="eastAsia" w:eastAsia="仿宋_GB2312"/>
          <w:kern w:val="0"/>
          <w:sz w:val="32"/>
          <w:szCs w:val="32"/>
        </w:rPr>
        <w:t>我单位严格遵守各项财经纪律，加强单位财务管理工作，按人员情况加强了预算编制，严格按照预算执行，确保财务收支平衡。按照全年进度保证机关正常工作需要的人员经费，保障人员工资福利，完成日常工作任务。在2022年度按时按质完成预算指标，完成率100%，2022年无结转结余，无违规记录。</w:t>
      </w:r>
    </w:p>
    <w:p w14:paraId="3B64B640">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（2）社会效益、可持续发展效益</w:t>
      </w:r>
    </w:p>
    <w:p w14:paraId="0AE79744">
      <w:pPr>
        <w:pStyle w:val="27"/>
        <w:adjustRightInd w:val="0"/>
        <w:snapToGrid w:val="0"/>
        <w:spacing w:line="520" w:lineRule="exact"/>
        <w:ind w:firstLine="640"/>
        <w:rPr>
          <w:rFonts w:eastAsia="仿宋_GB2312"/>
          <w:kern w:val="0"/>
          <w:sz w:val="32"/>
          <w:szCs w:val="32"/>
        </w:rPr>
      </w:pPr>
      <w:r>
        <w:rPr>
          <w:rFonts w:hint="eastAsia" w:eastAsia="仿宋_GB2312"/>
          <w:kern w:val="0"/>
          <w:sz w:val="32"/>
          <w:szCs w:val="32"/>
        </w:rPr>
        <w:t xml:space="preserve">2022年度我单位严格遵守各项财经纪律，按照全年进度保证机关人员经费。认真落实贯彻了中央八项规定精神、省、市“十项规定”和单位财务规章制度，优化了年度预算安排，提高财政资金使用效益，保障了单位更好地履行职责，使得各项工作圆满完成。在2022年度按时按质完成预算指标，完成率100%。 </w:t>
      </w:r>
    </w:p>
    <w:p w14:paraId="1BAE6A3F">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2.运转类项目绩效分析</w:t>
      </w:r>
    </w:p>
    <w:p w14:paraId="6638B909">
      <w:pPr>
        <w:widowControl/>
        <w:adjustRightInd w:val="0"/>
        <w:snapToGrid w:val="0"/>
        <w:spacing w:line="580" w:lineRule="exact"/>
        <w:ind w:firstLine="720"/>
        <w:jc w:val="left"/>
        <w:rPr>
          <w:rFonts w:eastAsia="仿宋_GB2312"/>
          <w:kern w:val="0"/>
          <w:sz w:val="32"/>
          <w:szCs w:val="32"/>
        </w:rPr>
      </w:pPr>
      <w:r>
        <w:rPr>
          <w:rFonts w:hint="eastAsia" w:eastAsia="仿宋_GB2312"/>
          <w:kern w:val="0"/>
          <w:sz w:val="32"/>
          <w:szCs w:val="32"/>
        </w:rPr>
        <w:t>（1）指标完成情况</w:t>
      </w:r>
    </w:p>
    <w:p w14:paraId="4B6140D4">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我单位严格遵守各项财经纪律，加强单位财务管理工作，按单位运转保持情况加强了预算编制，严格按照预算执行，节约开支，确保财务收支平衡。按照全年进度保证机关正常工作需要的公用经费，保障单位日常运转正常，完成日常工作任务。在2022年度按时按质完成预算指标，完成率100%，2022年无结转结余，无违规记录。</w:t>
      </w:r>
    </w:p>
    <w:p w14:paraId="5C991209">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（2）社会效益、可持续发展效益</w:t>
      </w:r>
    </w:p>
    <w:p w14:paraId="177D6B78">
      <w:pPr>
        <w:pStyle w:val="27"/>
        <w:adjustRightInd w:val="0"/>
        <w:snapToGrid w:val="0"/>
        <w:spacing w:line="520" w:lineRule="exact"/>
        <w:ind w:firstLine="640"/>
        <w:rPr>
          <w:rFonts w:eastAsia="仿宋_GB2312"/>
          <w:kern w:val="0"/>
          <w:sz w:val="32"/>
          <w:szCs w:val="32"/>
        </w:rPr>
      </w:pPr>
      <w:r>
        <w:rPr>
          <w:rFonts w:hint="eastAsia" w:eastAsia="仿宋_GB2312"/>
          <w:kern w:val="0"/>
          <w:sz w:val="32"/>
          <w:szCs w:val="32"/>
        </w:rPr>
        <w:t>2022年度我单位继续发挥拓展盐边展览馆爱国主义教育基地作用；热情提供档案查阅利用服务；编研档案成果；库房达到行业“九防”标准；结合脱贫攻坚、疫情防控，配合档案局进行业务指导、规范化管理、各重大项目（活动）档案符合行业标准；档案管理规范，未发生任何档案安全事故。2022年度运转类项目支出绩效目标效益实现良好。</w:t>
      </w:r>
    </w:p>
    <w:p w14:paraId="425D2C5E">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3.特定目标类项目绩效分析</w:t>
      </w:r>
    </w:p>
    <w:p w14:paraId="1A43AAB8">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（1）项目经费管理情况。</w:t>
      </w:r>
    </w:p>
    <w:p w14:paraId="38F87855">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项目经费分配严格按照预算项目经费的使用范围和用途高效合理地使用资金。严格按照实际工作需要，按照项目资金管理办法实行专款专用。依据项目的进度和开展情况、合理安排，资金严格按照规范程序申请、管理和使用。资金支付范围、支付标准、支付依据合规合法，与预算相符。通过项目实施充分保障了全县档案工作进一步完善。</w:t>
      </w:r>
    </w:p>
    <w:p w14:paraId="318E35D9">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（2）绩效目标完成情况。</w:t>
      </w:r>
    </w:p>
    <w:p w14:paraId="3AC91F05">
      <w:pPr>
        <w:snapToGrid w:val="0"/>
        <w:spacing w:line="520" w:lineRule="exact"/>
        <w:ind w:firstLine="640" w:firstLineChars="200"/>
        <w:rPr>
          <w:rFonts w:eastAsia="仿宋_GB2312"/>
          <w:kern w:val="0"/>
          <w:sz w:val="32"/>
          <w:szCs w:val="32"/>
        </w:rPr>
      </w:pPr>
      <w:r>
        <w:rPr>
          <w:rFonts w:hint="eastAsia" w:eastAsia="仿宋_GB2312"/>
          <w:kern w:val="0"/>
          <w:sz w:val="32"/>
          <w:szCs w:val="32"/>
        </w:rPr>
        <w:t>2022年，我单位认真按照项目预算绩效目标，全面完成各项目标任务，在2022年度按时按质完成预算指标，完成率100%，2022年项目经费无结转结余，无违规记录。切实保证了档案馆设备设施运行正常，保障档案馆财产、查档和参观人员安全，保障馆藏档案实体和数据安全，未发生重大安全事故。在2022年度保质保量按时完成各项指标。具体项目如下。</w:t>
      </w:r>
    </w:p>
    <w:p w14:paraId="6F23EBA0">
      <w:pPr>
        <w:snapToGrid w:val="0"/>
        <w:spacing w:line="520" w:lineRule="exact"/>
        <w:ind w:firstLine="640" w:firstLineChars="200"/>
        <w:rPr>
          <w:rFonts w:eastAsia="仿宋_GB2312"/>
          <w:kern w:val="0"/>
          <w:sz w:val="32"/>
          <w:szCs w:val="32"/>
        </w:rPr>
      </w:pPr>
      <w:r>
        <w:rPr>
          <w:rFonts w:hint="eastAsia" w:eastAsia="仿宋_GB2312"/>
          <w:kern w:val="0"/>
          <w:sz w:val="32"/>
          <w:szCs w:val="32"/>
        </w:rPr>
        <w:t>根据盐边财政〔2022〕8 号年初预算批复下达档案馆电费10万元，用于档案馆及展厅、库房设备正常运行，完成率100%，达到绩效目标；按盐财资行〔2022〕252号文《关于下达2022年度档案馆运转必要支出经费的通知》，年中追加预算下达我单位运转经费20.00万元，保障档案实体及数据安全，完成率100%，达到绩效目标。</w:t>
      </w:r>
    </w:p>
    <w:p w14:paraId="04EF0F0C">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w:t>
      </w:r>
      <w:r>
        <w:rPr>
          <w:rFonts w:eastAsia="仿宋_GB2312"/>
          <w:kern w:val="0"/>
          <w:sz w:val="32"/>
          <w:szCs w:val="32"/>
        </w:rPr>
        <w:t>3</w:t>
      </w:r>
      <w:r>
        <w:rPr>
          <w:rFonts w:hint="eastAsia" w:eastAsia="仿宋_GB2312"/>
          <w:kern w:val="0"/>
          <w:sz w:val="32"/>
          <w:szCs w:val="32"/>
        </w:rPr>
        <w:t>）主要</w:t>
      </w:r>
      <w:r>
        <w:rPr>
          <w:rFonts w:eastAsia="仿宋_GB2312"/>
          <w:kern w:val="0"/>
          <w:sz w:val="32"/>
          <w:szCs w:val="32"/>
        </w:rPr>
        <w:t>质量、时效指标等</w:t>
      </w:r>
      <w:r>
        <w:rPr>
          <w:rFonts w:hint="eastAsia" w:eastAsia="仿宋_GB2312"/>
          <w:kern w:val="0"/>
          <w:sz w:val="32"/>
          <w:szCs w:val="32"/>
        </w:rPr>
        <w:t>完成情况</w:t>
      </w:r>
    </w:p>
    <w:p w14:paraId="76CF6705">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切实保证了档案馆设备设施运行正常，保障档案馆财产、查档和参观人员安全，保障馆藏档案实体和数据安全，未发生重大安全事故。在2022年度保质保量按时完成各项指标。</w:t>
      </w:r>
    </w:p>
    <w:p w14:paraId="4A351E66">
      <w:pPr>
        <w:pStyle w:val="35"/>
        <w:adjustRightInd w:val="0"/>
        <w:snapToGrid w:val="0"/>
        <w:spacing w:line="580" w:lineRule="exact"/>
        <w:ind w:firstLine="640"/>
        <w:rPr>
          <w:rFonts w:eastAsia="仿宋_GB2312"/>
          <w:kern w:val="0"/>
          <w:sz w:val="32"/>
          <w:szCs w:val="32"/>
        </w:rPr>
      </w:pPr>
      <w:r>
        <w:rPr>
          <w:rFonts w:eastAsia="仿宋_GB2312"/>
          <w:kern w:val="0"/>
          <w:sz w:val="32"/>
          <w:szCs w:val="32"/>
        </w:rPr>
        <w:t>（4）社会效益、可持续影响等</w:t>
      </w:r>
    </w:p>
    <w:p w14:paraId="47626BAE">
      <w:pPr>
        <w:pStyle w:val="35"/>
        <w:adjustRightInd w:val="0"/>
        <w:snapToGrid w:val="0"/>
        <w:spacing w:line="580" w:lineRule="exact"/>
        <w:ind w:firstLine="640"/>
        <w:rPr>
          <w:rFonts w:eastAsia="仿宋_GB2312"/>
          <w:kern w:val="0"/>
          <w:sz w:val="32"/>
          <w:szCs w:val="32"/>
        </w:rPr>
      </w:pPr>
      <w:r>
        <w:rPr>
          <w:rFonts w:hint="eastAsia" w:eastAsia="仿宋_GB2312"/>
          <w:kern w:val="0"/>
          <w:sz w:val="32"/>
          <w:szCs w:val="32"/>
        </w:rPr>
        <w:t>项目运行保持了馆内设备正常运转，确保全县档案及数据安全，为盐边县档案保管及利用提供基础，更好地为全县各项档案工作服务。</w:t>
      </w:r>
    </w:p>
    <w:p w14:paraId="38F599F2">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（二）部门整体履职绩效分析。</w:t>
      </w:r>
    </w:p>
    <w:p w14:paraId="7AAADBF0">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（1）指标完成情况</w:t>
      </w:r>
    </w:p>
    <w:p w14:paraId="4987960E">
      <w:pPr>
        <w:widowControl/>
        <w:adjustRightInd w:val="0"/>
        <w:snapToGrid w:val="0"/>
        <w:spacing w:line="580" w:lineRule="exact"/>
        <w:ind w:firstLine="720"/>
        <w:jc w:val="left"/>
        <w:rPr>
          <w:rFonts w:eastAsia="仿宋_GB2312"/>
          <w:kern w:val="0"/>
          <w:sz w:val="32"/>
          <w:szCs w:val="32"/>
        </w:rPr>
      </w:pPr>
      <w:r>
        <w:rPr>
          <w:rFonts w:hint="eastAsia" w:eastAsia="仿宋_GB2312"/>
          <w:kern w:val="0"/>
          <w:sz w:val="32"/>
          <w:szCs w:val="32"/>
        </w:rPr>
        <w:t>我单位严格遵守各项财经纪律，加强单位财务管理工作，制定了相关规章制度，加强了预算编制，严格按照预算执行，确保财务收支平衡。按照全年进度保证机关正常工作需要的人员经费、公用经费和项目经费正常支付，保障机关正常运转，完成日常工作任务。在2022年度按时按质完成预算指标，完成率100%，2022年无结转结余。</w:t>
      </w:r>
    </w:p>
    <w:p w14:paraId="3FD95E84">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（2）社会效益、可持续发展效益</w:t>
      </w:r>
    </w:p>
    <w:p w14:paraId="799D87C8">
      <w:pPr>
        <w:pStyle w:val="27"/>
        <w:adjustRightInd w:val="0"/>
        <w:snapToGrid w:val="0"/>
        <w:spacing w:line="580" w:lineRule="exact"/>
        <w:ind w:firstLine="640"/>
        <w:rPr>
          <w:rFonts w:eastAsia="仿宋_GB2312"/>
          <w:kern w:val="0"/>
          <w:sz w:val="32"/>
          <w:szCs w:val="32"/>
        </w:rPr>
      </w:pPr>
      <w:r>
        <w:rPr>
          <w:rFonts w:hint="eastAsia" w:eastAsia="仿宋_GB2312"/>
          <w:kern w:val="0"/>
          <w:sz w:val="32"/>
          <w:szCs w:val="32"/>
        </w:rPr>
        <w:t>我单位按规定使用预算经费，保障档案馆各项工作正常运行，确保了全县档案、数据安全；完成档案数字化接收进馆，并开展查阅利用，大大提高了档案利用效率，高效便捷，方便群众查档；完成年度档案行政执法检查任务，开展业务监督指导，强化收集整理、归档、交接等业务规范，推进了全县档案工作进一步规范化；收集展陈具有价值的档案，盐边展览馆建成并开放参观，作为三线建设博物馆盐边分馆、盐边县青少年爱国主义教育基地，也是县级党性教育基地、三线建设干部学院盐边分院教学点，让更多人了解到盐边的发展历史。群众满意度高。</w:t>
      </w:r>
    </w:p>
    <w:p w14:paraId="21A2375B">
      <w:pPr>
        <w:pStyle w:val="27"/>
        <w:adjustRightInd w:val="0"/>
        <w:snapToGrid w:val="0"/>
        <w:spacing w:line="580" w:lineRule="exact"/>
        <w:ind w:firstLine="640"/>
        <w:rPr>
          <w:rFonts w:eastAsia="仿宋_GB2312"/>
          <w:kern w:val="0"/>
          <w:sz w:val="32"/>
          <w:szCs w:val="32"/>
          <w:lang w:val="zh-CN"/>
        </w:rPr>
      </w:pPr>
      <w:r>
        <w:rPr>
          <w:rFonts w:hint="eastAsia" w:eastAsia="仿宋_GB2312"/>
          <w:kern w:val="0"/>
          <w:sz w:val="32"/>
          <w:szCs w:val="32"/>
        </w:rPr>
        <w:t>我单位2022年度认真贯彻落实了中央八项规定精神、省、市“十项规定”和单位财务规章制度，优化了年度预算安排，提高财政资金使用效益，保障了单位更好地履行职责，使得各项工作圆满完成。</w:t>
      </w:r>
    </w:p>
    <w:p w14:paraId="0420F518">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（三）结果应用情况。</w:t>
      </w:r>
    </w:p>
    <w:p w14:paraId="1AED121B">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1. 内部控制制度情况。</w:t>
      </w:r>
    </w:p>
    <w:p w14:paraId="1A937DA7">
      <w:pPr>
        <w:spacing w:line="580" w:lineRule="atLeast"/>
        <w:ind w:firstLine="560"/>
        <w:rPr>
          <w:rFonts w:eastAsia="仿宋_GB2312"/>
          <w:kern w:val="0"/>
          <w:sz w:val="32"/>
          <w:szCs w:val="32"/>
        </w:rPr>
      </w:pPr>
      <w:r>
        <w:rPr>
          <w:rFonts w:hint="eastAsia" w:eastAsia="仿宋_GB2312"/>
          <w:kern w:val="0"/>
          <w:sz w:val="32"/>
          <w:szCs w:val="32"/>
        </w:rPr>
        <w:t>为了提高单位内部治理水平，促进廉政风险防控机制建设，结合我单位实际情况，制定《盐边县档案馆内控建设实施方案》，成立了盐边县档案馆行政事业单位内部控制规范实施领导小组。我单位按照全面动员、全员参与的要求，宣传内部控制建设的重要意义、方法步骤、实施要求，为实施单位内部控制规范奠定基础。实施内部控制监督，开展内部控制设计和执行有效性自我评价，持续改进内部控制体系。</w:t>
      </w:r>
    </w:p>
    <w:p w14:paraId="27C99393">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2. 信息公开。</w:t>
      </w:r>
    </w:p>
    <w:p w14:paraId="55F1188E">
      <w:pPr>
        <w:widowControl/>
        <w:adjustRightInd w:val="0"/>
        <w:snapToGrid w:val="0"/>
        <w:spacing w:line="580" w:lineRule="exact"/>
        <w:ind w:firstLine="640" w:firstLineChars="200"/>
        <w:contextualSpacing/>
        <w:jc w:val="left"/>
        <w:rPr>
          <w:rFonts w:eastAsia="仿宋_GB2312"/>
          <w:kern w:val="0"/>
          <w:sz w:val="32"/>
          <w:szCs w:val="32"/>
        </w:rPr>
      </w:pPr>
      <w:r>
        <w:rPr>
          <w:rFonts w:hint="eastAsia" w:eastAsia="仿宋_GB2312"/>
          <w:kern w:val="0"/>
          <w:sz w:val="32"/>
          <w:szCs w:val="32"/>
        </w:rPr>
        <w:t>我馆均按县财政局要求，按时在盐边县公众信息网的财政信息板块挂网公开，公开及时，内容完整、详细、真实，公开内容按照县财政局部门要求结合我馆年度预决算的相关数据情况编写。</w:t>
      </w:r>
    </w:p>
    <w:p w14:paraId="18F05BEB">
      <w:pPr>
        <w:widowControl/>
        <w:adjustRightInd w:val="0"/>
        <w:snapToGrid w:val="0"/>
        <w:spacing w:line="560" w:lineRule="exact"/>
        <w:ind w:left="420" w:leftChars="200" w:firstLine="321" w:firstLineChars="100"/>
        <w:contextualSpacing/>
        <w:jc w:val="left"/>
        <w:rPr>
          <w:rFonts w:eastAsia="仿宋_GB2312"/>
          <w:b/>
          <w:bCs/>
          <w:kern w:val="0"/>
          <w:sz w:val="32"/>
          <w:szCs w:val="32"/>
        </w:rPr>
      </w:pPr>
      <w:r>
        <w:rPr>
          <w:rFonts w:hint="eastAsia" w:eastAsia="仿宋_GB2312"/>
          <w:b/>
          <w:bCs/>
          <w:kern w:val="0"/>
          <w:sz w:val="32"/>
          <w:szCs w:val="32"/>
        </w:rPr>
        <w:t>3. 绩效监控。</w:t>
      </w:r>
    </w:p>
    <w:p w14:paraId="6910C852">
      <w:pPr>
        <w:widowControl/>
        <w:adjustRightInd w:val="0"/>
        <w:snapToGrid w:val="0"/>
        <w:spacing w:line="580" w:lineRule="exact"/>
        <w:ind w:firstLine="640" w:firstLineChars="200"/>
        <w:contextualSpacing/>
        <w:jc w:val="left"/>
        <w:rPr>
          <w:rFonts w:eastAsia="仿宋_GB2312"/>
          <w:kern w:val="0"/>
          <w:sz w:val="32"/>
          <w:szCs w:val="32"/>
        </w:rPr>
      </w:pPr>
      <w:r>
        <w:rPr>
          <w:rFonts w:hint="eastAsia" w:eastAsia="仿宋_GB2312"/>
          <w:kern w:val="0"/>
          <w:sz w:val="32"/>
          <w:szCs w:val="32"/>
        </w:rPr>
        <w:t>我单位对2022年预算执行进度进行严格监控。年中绩效监控预计能够全面完成全年部门预算。因此在2022年下半年严格按照编制的绩效目标推进工作，控制部门支出，确保在年内准确完成部门绩效目标。</w:t>
      </w:r>
    </w:p>
    <w:p w14:paraId="25684CAA">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自评质量。</w:t>
      </w:r>
    </w:p>
    <w:p w14:paraId="2C709B86">
      <w:pPr>
        <w:spacing w:line="560" w:lineRule="exact"/>
        <w:ind w:firstLine="660" w:firstLineChars="200"/>
        <w:rPr>
          <w:rFonts w:eastAsia="仿宋_GB2312"/>
          <w:bCs/>
          <w:color w:val="000000"/>
          <w:sz w:val="33"/>
          <w:szCs w:val="33"/>
        </w:rPr>
      </w:pPr>
      <w:r>
        <w:rPr>
          <w:rFonts w:hint="eastAsia" w:eastAsia="仿宋_GB2312"/>
          <w:bCs/>
          <w:color w:val="000000"/>
          <w:sz w:val="33"/>
          <w:szCs w:val="33"/>
        </w:rPr>
        <w:t>盐边县档案馆评价部门整体支出自评根据2022年预算情况、整体支出、绩效监控真实准确评价，全年无违规情况。</w:t>
      </w:r>
    </w:p>
    <w:p w14:paraId="188E467E">
      <w:pPr>
        <w:widowControl/>
        <w:adjustRightInd w:val="0"/>
        <w:snapToGrid w:val="0"/>
        <w:spacing w:line="560" w:lineRule="exact"/>
        <w:ind w:firstLine="640" w:firstLineChars="200"/>
        <w:contextualSpacing/>
        <w:jc w:val="left"/>
        <w:rPr>
          <w:rFonts w:ascii="黑体" w:hAnsi="宋体" w:eastAsia="黑体" w:cs="宋体"/>
          <w:color w:val="000000" w:themeColor="text1"/>
          <w:kern w:val="0"/>
          <w:sz w:val="32"/>
          <w:szCs w:val="32"/>
          <w:shd w:val="clear" w:color="auto" w:fill="FFFFFF"/>
          <w14:textFill>
            <w14:solidFill>
              <w14:schemeClr w14:val="tx1"/>
            </w14:solidFill>
          </w14:textFill>
        </w:rPr>
      </w:pPr>
      <w:r>
        <w:rPr>
          <w:rFonts w:hint="eastAsia" w:ascii="黑体" w:hAnsi="宋体" w:eastAsia="黑体" w:cs="宋体"/>
          <w:color w:val="000000" w:themeColor="text1"/>
          <w:kern w:val="0"/>
          <w:sz w:val="32"/>
          <w:szCs w:val="32"/>
          <w:shd w:val="clear" w:color="auto" w:fill="FFFFFF"/>
          <w14:textFill>
            <w14:solidFill>
              <w14:schemeClr w14:val="tx1"/>
            </w14:solidFill>
          </w14:textFill>
        </w:rPr>
        <w:t>四、评价结论及建议</w:t>
      </w:r>
    </w:p>
    <w:p w14:paraId="114AE204">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（一）评价结论。</w:t>
      </w:r>
    </w:p>
    <w:p w14:paraId="2001A3E1">
      <w:pPr>
        <w:widowControl/>
        <w:adjustRightInd w:val="0"/>
        <w:snapToGrid w:val="0"/>
        <w:spacing w:line="580" w:lineRule="exact"/>
        <w:ind w:firstLine="640" w:firstLineChars="200"/>
        <w:contextualSpacing/>
        <w:jc w:val="left"/>
        <w:rPr>
          <w:rFonts w:eastAsia="仿宋_GB2312"/>
          <w:kern w:val="0"/>
          <w:sz w:val="32"/>
          <w:szCs w:val="32"/>
          <w:lang w:val="zh-CN"/>
        </w:rPr>
      </w:pPr>
      <w:r>
        <w:rPr>
          <w:rFonts w:hint="eastAsia" w:eastAsia="仿宋_GB2312"/>
          <w:kern w:val="0"/>
          <w:sz w:val="32"/>
          <w:szCs w:val="32"/>
        </w:rPr>
        <w:t>我单位在资金预算编制方面、预算执行、综合管理、整体绩效方面，均按照国家政策法规规定，结合本单位实际情况及相关规定严格执行，并合理安排项目资金，使财政资金发挥最大的效益，确保各项工作高效规范有序运转，圆满完成年初下达的各项工作任务，切实推进了各项档案工作。在今后工作中，进一步提高工作效率，把有限的资金用在刀刃上，扎实为全县档案事务更好的服务。</w:t>
      </w:r>
    </w:p>
    <w:p w14:paraId="55F7878F">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（二）存在问题。</w:t>
      </w:r>
    </w:p>
    <w:p w14:paraId="4AA18083">
      <w:pPr>
        <w:widowControl/>
        <w:adjustRightInd w:val="0"/>
        <w:snapToGrid w:val="0"/>
        <w:spacing w:line="580" w:lineRule="exact"/>
        <w:ind w:firstLine="640"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eastAsia="仿宋_GB2312"/>
          <w:color w:val="000000"/>
          <w:sz w:val="32"/>
          <w:szCs w:val="32"/>
        </w:rPr>
        <w:t>财务人员专业度不够，业务不够熟练，工作效率需进一步提高。</w:t>
      </w:r>
    </w:p>
    <w:p w14:paraId="72C59F1C">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pPr>
      <w:r>
        <w:rPr>
          <w:rFonts w:hint="eastAsia" w:ascii="楷体_GB2312" w:hAnsi="楷体_GB2312" w:eastAsia="楷体_GB2312" w:cs="楷体_GB2312"/>
          <w:b/>
          <w:bCs/>
          <w:color w:val="000000" w:themeColor="text1"/>
          <w:kern w:val="0"/>
          <w:sz w:val="32"/>
          <w:szCs w:val="32"/>
          <w:shd w:val="clear" w:color="auto" w:fill="FFFFFF"/>
          <w:lang w:val="zh-CN"/>
          <w14:textFill>
            <w14:solidFill>
              <w14:schemeClr w14:val="tx1"/>
            </w14:solidFill>
          </w14:textFill>
        </w:rPr>
        <w:t>（三）改进建议。</w:t>
      </w:r>
    </w:p>
    <w:p w14:paraId="785E60E3">
      <w:pPr>
        <w:spacing w:line="590" w:lineRule="exact"/>
        <w:ind w:firstLine="640" w:firstLineChars="200"/>
        <w:jc w:val="left"/>
        <w:rPr>
          <w:rFonts w:eastAsia="仿宋_GB2312"/>
          <w:color w:val="000000"/>
          <w:sz w:val="32"/>
          <w:szCs w:val="32"/>
        </w:rPr>
      </w:pPr>
      <w:r>
        <w:rPr>
          <w:rFonts w:hint="eastAsia" w:eastAsia="仿宋_GB2312"/>
          <w:color w:val="000000"/>
          <w:sz w:val="32"/>
          <w:szCs w:val="32"/>
        </w:rPr>
        <w:t>1.加强预算管理，细化项目管理。单位在编制年度预算时，在进行调查研究的基础上，充分论证项目立项的必要性、经济性、绩效目标合理性、实施方案可行性，项目实施达到预期效果，发挥最大效益。认真细化方案，明确责任人，做好各项目支出绩效目标执行中的控制管理，确保资金对应绩效目标执行，强化项目管理，确保项目按计划推进。</w:t>
      </w:r>
    </w:p>
    <w:p w14:paraId="75C6E84F">
      <w:pPr>
        <w:widowControl/>
        <w:adjustRightInd w:val="0"/>
        <w:snapToGrid w:val="0"/>
        <w:spacing w:line="580" w:lineRule="exact"/>
        <w:ind w:firstLine="640" w:firstLineChars="200"/>
        <w:contextualSpacing/>
        <w:jc w:val="left"/>
        <w:rPr>
          <w:rFonts w:eastAsia="仿宋_GB2312"/>
          <w:color w:val="000000"/>
          <w:sz w:val="32"/>
          <w:szCs w:val="32"/>
        </w:rPr>
      </w:pPr>
      <w:r>
        <w:rPr>
          <w:rFonts w:hint="eastAsia" w:eastAsia="仿宋_GB2312"/>
          <w:color w:val="000000"/>
          <w:sz w:val="32"/>
          <w:szCs w:val="32"/>
        </w:rPr>
        <w:t>2.严格人员管理，提高绩效目标管理水平。单位将加强财务人员培训，熟练掌握预算编制和预算执行等各项政策，严格遵守各项财经纪律，不断提高业务能力，不断提高绩效目标管理水平。</w:t>
      </w:r>
    </w:p>
    <w:p w14:paraId="6752D6F2">
      <w:pPr>
        <w:pStyle w:val="14"/>
        <w:spacing w:line="560" w:lineRule="exact"/>
        <w:ind w:left="0" w:leftChars="0" w:firstLine="640"/>
        <w:rPr>
          <w:rFonts w:hAnsi="仿宋_GB2312" w:eastAsia="仿宋_GB2312" w:cs="仿宋_GB2312"/>
          <w:color w:val="000000" w:themeColor="text1"/>
          <w:sz w:val="32"/>
          <w:lang w:val="zh-CN"/>
          <w14:textFill>
            <w14:solidFill>
              <w14:schemeClr w14:val="tx1"/>
            </w14:solidFill>
          </w14:textFill>
        </w:rPr>
      </w:pPr>
    </w:p>
    <w:p w14:paraId="1B0E0C0F">
      <w:pPr>
        <w:pStyle w:val="14"/>
        <w:spacing w:line="560" w:lineRule="exact"/>
        <w:ind w:left="0" w:leftChars="0" w:firstLine="0" w:firstLineChars="0"/>
        <w:rPr>
          <w:rFonts w:hAnsi="仿宋_GB2312" w:eastAsia="仿宋_GB2312" w:cs="仿宋_GB2312"/>
          <w:color w:val="000000" w:themeColor="text1"/>
          <w:sz w:val="32"/>
          <w:lang w:val="zh-CN"/>
          <w14:textFill>
            <w14:solidFill>
              <w14:schemeClr w14:val="tx1"/>
            </w14:solidFill>
          </w14:textFill>
        </w:rPr>
        <w:sectPr>
          <w:footerReference r:id="rId6" w:type="default"/>
          <w:pgSz w:w="11906" w:h="16838"/>
          <w:pgMar w:top="1440" w:right="1800" w:bottom="1440" w:left="1800" w:header="851" w:footer="794" w:gutter="0"/>
          <w:pgNumType w:start="1"/>
          <w:cols w:space="425" w:num="1"/>
          <w:docGrid w:type="lines" w:linePitch="312" w:charSpace="0"/>
        </w:sectPr>
      </w:pPr>
    </w:p>
    <w:p w14:paraId="5E77ADF3">
      <w:pPr>
        <w:pStyle w:val="14"/>
        <w:spacing w:line="560" w:lineRule="exact"/>
        <w:ind w:left="0" w:leftChars="0" w:firstLine="640"/>
        <w:rPr>
          <w:color w:val="FF0000"/>
          <w:sz w:val="32"/>
          <w:lang w:val="zh-CN"/>
        </w:rPr>
      </w:pPr>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14:textFill>
            <w14:solidFill>
              <w14:schemeClr w14:val="tx1"/>
            </w14:solidFill>
          </w14:textFill>
        </w:rPr>
        <w:t>部门预算项目支出绩效自评表（2022年度）</w:t>
      </w:r>
    </w:p>
    <w:tbl>
      <w:tblPr>
        <w:tblStyle w:val="15"/>
        <w:tblW w:w="14100" w:type="dxa"/>
        <w:tblInd w:w="93" w:type="dxa"/>
        <w:tblLayout w:type="fixed"/>
        <w:tblCellMar>
          <w:top w:w="0" w:type="dxa"/>
          <w:left w:w="108" w:type="dxa"/>
          <w:bottom w:w="0" w:type="dxa"/>
          <w:right w:w="108" w:type="dxa"/>
        </w:tblCellMar>
      </w:tblPr>
      <w:tblGrid>
        <w:gridCol w:w="679"/>
        <w:gridCol w:w="1993"/>
        <w:gridCol w:w="1732"/>
        <w:gridCol w:w="18"/>
        <w:gridCol w:w="2201"/>
        <w:gridCol w:w="37"/>
        <w:gridCol w:w="478"/>
        <w:gridCol w:w="40"/>
        <w:gridCol w:w="1588"/>
        <w:gridCol w:w="60"/>
        <w:gridCol w:w="456"/>
        <w:gridCol w:w="64"/>
        <w:gridCol w:w="1016"/>
        <w:gridCol w:w="70"/>
        <w:gridCol w:w="576"/>
        <w:gridCol w:w="576"/>
        <w:gridCol w:w="30"/>
        <w:gridCol w:w="2486"/>
      </w:tblGrid>
      <w:tr w14:paraId="493DD5BF">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E929FF9">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303B8C1C">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6FFDD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88FA00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51042221R000000067280-在编人员经费（人员类）</w:t>
            </w:r>
          </w:p>
        </w:tc>
      </w:tr>
      <w:tr w14:paraId="06C938F9">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97C0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72B586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6" w:type="dxa"/>
            <w:gridSpan w:val="2"/>
            <w:tcBorders>
              <w:top w:val="nil"/>
              <w:left w:val="nil"/>
              <w:bottom w:val="nil"/>
              <w:right w:val="nil"/>
            </w:tcBorders>
            <w:shd w:val="clear" w:color="auto" w:fill="auto"/>
            <w:vAlign w:val="center"/>
          </w:tcPr>
          <w:p w14:paraId="3AEB5970">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6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85BD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70F0E151">
        <w:tblPrEx>
          <w:tblCellMar>
            <w:top w:w="0" w:type="dxa"/>
            <w:left w:w="108" w:type="dxa"/>
            <w:bottom w:w="0" w:type="dxa"/>
            <w:right w:w="108" w:type="dxa"/>
          </w:tblCellMar>
        </w:tblPrEx>
        <w:trPr>
          <w:trHeight w:val="286"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88BC1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42404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54913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7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7A4275">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2F676E90">
        <w:tblPrEx>
          <w:tblCellMar>
            <w:top w:w="0" w:type="dxa"/>
            <w:left w:w="108" w:type="dxa"/>
            <w:bottom w:w="0" w:type="dxa"/>
            <w:right w:w="108" w:type="dxa"/>
          </w:tblCellMar>
        </w:tblPrEx>
        <w:trPr>
          <w:trHeight w:val="708"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EFBE7">
            <w:pPr>
              <w:rPr>
                <w:rFonts w:ascii="宋体" w:hAnsi="宋体" w:cs="宋体"/>
                <w:color w:val="000000"/>
                <w:sz w:val="18"/>
                <w:szCs w:val="18"/>
              </w:rPr>
            </w:pP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790C08">
            <w:pPr>
              <w:rPr>
                <w:rFonts w:ascii="宋体" w:hAnsi="宋体" w:cs="宋体"/>
                <w:color w:val="000000"/>
                <w:sz w:val="18"/>
                <w:szCs w:val="18"/>
              </w:rPr>
            </w:pPr>
          </w:p>
        </w:tc>
        <w:tc>
          <w:tcPr>
            <w:tcW w:w="667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D64BE8">
            <w:pP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人员经费</w:t>
            </w:r>
            <w:r>
              <w:rPr>
                <w:rFonts w:ascii="宋体" w:hAnsi="宋体" w:cs="宋体"/>
                <w:color w:val="000000"/>
                <w:kern w:val="0"/>
                <w:sz w:val="18"/>
                <w:szCs w:val="18"/>
                <w:lang w:bidi="ar"/>
              </w:rPr>
              <w:t>及时发放、足额发放，预算编制科学合理，减少结余资金</w:t>
            </w:r>
          </w:p>
        </w:tc>
        <w:tc>
          <w:tcPr>
            <w:tcW w:w="47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D24047">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人员经费</w:t>
            </w:r>
            <w:r>
              <w:rPr>
                <w:rFonts w:ascii="宋体" w:hAnsi="宋体" w:cs="宋体"/>
                <w:color w:val="000000"/>
                <w:kern w:val="0"/>
                <w:sz w:val="18"/>
                <w:szCs w:val="18"/>
                <w:lang w:bidi="ar"/>
              </w:rPr>
              <w:t>及时发放、足额发放，预算编制科学合理，减少结余资金</w:t>
            </w:r>
          </w:p>
        </w:tc>
      </w:tr>
      <w:tr w14:paraId="23AA51CD">
        <w:tblPrEx>
          <w:tblCellMar>
            <w:top w:w="0" w:type="dxa"/>
            <w:left w:w="108" w:type="dxa"/>
            <w:bottom w:w="0" w:type="dxa"/>
            <w:right w:w="108" w:type="dxa"/>
          </w:tblCellMar>
        </w:tblPrEx>
        <w:trPr>
          <w:trHeight w:val="693"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72C1B">
            <w:pP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49C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1D1F55E">
            <w:pPr>
              <w:rPr>
                <w:rFonts w:ascii="宋体" w:hAnsi="宋体" w:cs="宋体"/>
                <w:color w:val="000000"/>
                <w:sz w:val="18"/>
                <w:szCs w:val="18"/>
              </w:rPr>
            </w:pPr>
            <w:r>
              <w:rPr>
                <w:rFonts w:hint="eastAsia" w:ascii="宋体" w:hAnsi="宋体" w:cs="宋体"/>
                <w:color w:val="000000"/>
                <w:sz w:val="18"/>
                <w:szCs w:val="18"/>
              </w:rPr>
              <w:t>按月度计划及财政安排足额发放经费，并及时进行核对及账务处理</w:t>
            </w:r>
          </w:p>
        </w:tc>
      </w:tr>
      <w:tr w14:paraId="5E326212">
        <w:tblPrEx>
          <w:tblCellMar>
            <w:top w:w="0" w:type="dxa"/>
            <w:left w:w="108" w:type="dxa"/>
            <w:bottom w:w="0" w:type="dxa"/>
            <w:right w:w="108" w:type="dxa"/>
          </w:tblCellMar>
        </w:tblPrEx>
        <w:trPr>
          <w:trHeight w:val="361"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4BE8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9E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F21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78E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AA334B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752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3F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CD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889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1CD608A3">
        <w:tblPrEx>
          <w:tblCellMar>
            <w:top w:w="0" w:type="dxa"/>
            <w:left w:w="108" w:type="dxa"/>
            <w:bottom w:w="0" w:type="dxa"/>
            <w:right w:w="108" w:type="dxa"/>
          </w:tblCellMar>
        </w:tblPrEx>
        <w:trPr>
          <w:trHeight w:val="387"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C46E0E">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BD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6959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9D7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41.51</w:t>
            </w: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2C3C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41.51</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EA9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06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4CBA">
            <w:pPr>
              <w:jc w:val="center"/>
              <w:rPr>
                <w:rFonts w:ascii="宋体" w:hAnsi="宋体" w:cs="宋体"/>
                <w:color w:val="000000"/>
                <w:sz w:val="18"/>
                <w:szCs w:val="18"/>
              </w:rPr>
            </w:pPr>
            <w:r>
              <w:rPr>
                <w:rFonts w:hint="eastAsia" w:ascii="宋体" w:hAnsi="宋体" w:cs="宋体"/>
                <w:color w:val="000000"/>
                <w:sz w:val="18"/>
                <w:szCs w:val="18"/>
              </w:rPr>
              <w:t>10</w:t>
            </w:r>
          </w:p>
        </w:tc>
        <w:tc>
          <w:tcPr>
            <w:tcW w:w="25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439B1C">
            <w:pPr>
              <w:widowControl/>
              <w:jc w:val="left"/>
              <w:textAlignment w:val="center"/>
              <w:rPr>
                <w:rFonts w:ascii="黑体" w:hAnsi="黑体" w:eastAsia="黑体" w:cs="黑体"/>
                <w:i/>
                <w:iCs/>
                <w:color w:val="000000"/>
                <w:sz w:val="18"/>
                <w:szCs w:val="18"/>
              </w:rPr>
            </w:pPr>
          </w:p>
        </w:tc>
      </w:tr>
      <w:tr w14:paraId="61800750">
        <w:tblPrEx>
          <w:tblCellMar>
            <w:top w:w="0" w:type="dxa"/>
            <w:left w:w="108" w:type="dxa"/>
            <w:bottom w:w="0" w:type="dxa"/>
            <w:right w:w="108" w:type="dxa"/>
          </w:tblCellMar>
        </w:tblPrEx>
        <w:trPr>
          <w:trHeight w:val="432"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484C0">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00E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0F70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E6C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41.51</w:t>
            </w: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DE90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41.51</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057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59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A402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5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22F8D3">
            <w:pPr>
              <w:rPr>
                <w:rFonts w:ascii="黑体" w:hAnsi="黑体" w:eastAsia="黑体" w:cs="黑体"/>
                <w:i/>
                <w:iCs/>
                <w:color w:val="000000"/>
                <w:sz w:val="18"/>
                <w:szCs w:val="18"/>
              </w:rPr>
            </w:pPr>
          </w:p>
        </w:tc>
      </w:tr>
      <w:tr w14:paraId="3D88C791">
        <w:tblPrEx>
          <w:tblCellMar>
            <w:top w:w="0" w:type="dxa"/>
            <w:left w:w="108" w:type="dxa"/>
            <w:bottom w:w="0" w:type="dxa"/>
            <w:right w:w="108" w:type="dxa"/>
          </w:tblCellMar>
        </w:tblPrEx>
        <w:trPr>
          <w:trHeight w:val="447"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3A09A">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99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4BF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9ED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EBC7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372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AED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DD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5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B404B">
            <w:pPr>
              <w:rPr>
                <w:rFonts w:ascii="黑体" w:hAnsi="黑体" w:eastAsia="黑体" w:cs="黑体"/>
                <w:i/>
                <w:iCs/>
                <w:color w:val="000000"/>
                <w:sz w:val="18"/>
                <w:szCs w:val="18"/>
              </w:rPr>
            </w:pPr>
          </w:p>
        </w:tc>
      </w:tr>
      <w:tr w14:paraId="4E14E88D">
        <w:tblPrEx>
          <w:tblCellMar>
            <w:top w:w="0" w:type="dxa"/>
            <w:left w:w="108" w:type="dxa"/>
            <w:bottom w:w="0" w:type="dxa"/>
            <w:right w:w="108" w:type="dxa"/>
          </w:tblCellMar>
        </w:tblPrEx>
        <w:trPr>
          <w:trHeight w:val="402"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C3904">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33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30C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BF2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A960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8287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D3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1C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5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835F4">
            <w:pPr>
              <w:rPr>
                <w:rFonts w:ascii="黑体" w:hAnsi="黑体" w:eastAsia="黑体" w:cs="黑体"/>
                <w:i/>
                <w:iCs/>
                <w:color w:val="000000"/>
                <w:sz w:val="18"/>
                <w:szCs w:val="18"/>
              </w:rPr>
            </w:pPr>
          </w:p>
        </w:tc>
      </w:tr>
      <w:tr w14:paraId="5C649908">
        <w:tblPrEx>
          <w:tblCellMar>
            <w:top w:w="0" w:type="dxa"/>
            <w:left w:w="108" w:type="dxa"/>
            <w:bottom w:w="0" w:type="dxa"/>
            <w:right w:w="108" w:type="dxa"/>
          </w:tblCellMar>
        </w:tblPrEx>
        <w:trPr>
          <w:trHeight w:val="37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5A0C9">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7B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7D344">
            <w:pPr>
              <w:jc w:val="center"/>
              <w:rPr>
                <w:rFonts w:ascii="微软雅黑" w:hAnsi="微软雅黑" w:eastAsia="微软雅黑" w:cs="微软雅黑"/>
                <w:i/>
                <w:iCs/>
                <w:color w:val="000000"/>
                <w:sz w:val="16"/>
                <w:szCs w:val="16"/>
              </w:rPr>
            </w:pP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26910">
            <w:pPr>
              <w:jc w:val="center"/>
              <w:rPr>
                <w:rFonts w:ascii="微软雅黑" w:hAnsi="微软雅黑" w:eastAsia="微软雅黑" w:cs="微软雅黑"/>
                <w:i/>
                <w:iCs/>
                <w:color w:val="000000"/>
                <w:sz w:val="16"/>
                <w:szCs w:val="16"/>
              </w:rPr>
            </w:pPr>
          </w:p>
        </w:tc>
        <w:tc>
          <w:tcPr>
            <w:tcW w:w="2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ACFE3F">
            <w:pPr>
              <w:jc w:val="center"/>
              <w:rPr>
                <w:rFonts w:ascii="微软雅黑" w:hAnsi="微软雅黑" w:eastAsia="微软雅黑" w:cs="微软雅黑"/>
                <w:i/>
                <w:iCs/>
                <w:color w:val="000000"/>
                <w:sz w:val="16"/>
                <w:szCs w:val="16"/>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5AE2A">
            <w:pPr>
              <w:jc w:val="center"/>
              <w:rPr>
                <w:rFonts w:ascii="微软雅黑" w:hAnsi="微软雅黑" w:eastAsia="微软雅黑" w:cs="微软雅黑"/>
                <w:i/>
                <w:iCs/>
                <w:color w:val="000000"/>
                <w:sz w:val="16"/>
                <w:szCs w:val="16"/>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47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BC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5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D9C3C">
            <w:pPr>
              <w:rPr>
                <w:rFonts w:ascii="黑体" w:hAnsi="黑体" w:eastAsia="黑体" w:cs="黑体"/>
                <w:i/>
                <w:iCs/>
                <w:color w:val="000000"/>
                <w:sz w:val="18"/>
                <w:szCs w:val="18"/>
              </w:rPr>
            </w:pPr>
          </w:p>
        </w:tc>
      </w:tr>
      <w:tr w14:paraId="6C22F5EC">
        <w:tblPrEx>
          <w:tblCellMar>
            <w:top w:w="0" w:type="dxa"/>
            <w:left w:w="108" w:type="dxa"/>
            <w:bottom w:w="0" w:type="dxa"/>
            <w:right w:w="108" w:type="dxa"/>
          </w:tblCellMar>
        </w:tblPrEx>
        <w:trPr>
          <w:trHeight w:val="452"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977EC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36A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842A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8C4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BEF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7343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4F5BD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9F8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609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D9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ADBE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0EE3109A">
        <w:tblPrEx>
          <w:tblCellMar>
            <w:top w:w="0" w:type="dxa"/>
            <w:left w:w="108" w:type="dxa"/>
            <w:bottom w:w="0" w:type="dxa"/>
            <w:right w:w="108" w:type="dxa"/>
          </w:tblCellMar>
        </w:tblPrEx>
        <w:trPr>
          <w:trHeight w:val="33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FE376">
            <w:pPr>
              <w:jc w:val="center"/>
              <w:rPr>
                <w:rFonts w:ascii="宋体" w:hAnsi="宋体" w:cs="宋体"/>
                <w:color w:val="000000"/>
                <w:sz w:val="18"/>
                <w:szCs w:val="18"/>
              </w:rPr>
            </w:pP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045B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C39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519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B9A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0E8E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B33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B41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C7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5F93">
            <w:pPr>
              <w:jc w:val="center"/>
              <w:rPr>
                <w:rFonts w:ascii="宋体" w:hAnsi="宋体" w:cs="宋体"/>
                <w:color w:val="000000"/>
                <w:sz w:val="18"/>
                <w:szCs w:val="18"/>
              </w:rPr>
            </w:pPr>
            <w:r>
              <w:rPr>
                <w:rFonts w:hint="eastAsia" w:ascii="宋体" w:hAnsi="宋体" w:cs="宋体"/>
                <w:color w:val="000000"/>
                <w:sz w:val="18"/>
                <w:szCs w:val="18"/>
              </w:rPr>
              <w:t>22.5</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3CC26">
            <w:pPr>
              <w:jc w:val="center"/>
              <w:rPr>
                <w:rFonts w:ascii="微软雅黑" w:hAnsi="微软雅黑" w:eastAsia="微软雅黑" w:cs="微软雅黑"/>
                <w:i/>
                <w:iCs/>
                <w:color w:val="000000"/>
                <w:sz w:val="16"/>
                <w:szCs w:val="16"/>
              </w:rPr>
            </w:pPr>
          </w:p>
        </w:tc>
      </w:tr>
      <w:tr w14:paraId="7A5D18BA">
        <w:tblPrEx>
          <w:tblCellMar>
            <w:top w:w="0" w:type="dxa"/>
            <w:left w:w="108" w:type="dxa"/>
            <w:bottom w:w="0" w:type="dxa"/>
            <w:right w:w="108" w:type="dxa"/>
          </w:tblCellMar>
        </w:tblPrEx>
        <w:trPr>
          <w:trHeight w:val="33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C059C">
            <w:pPr>
              <w:jc w:val="center"/>
              <w:rPr>
                <w:rFonts w:ascii="宋体" w:hAnsi="宋体" w:cs="宋体"/>
                <w:color w:val="000000"/>
                <w:sz w:val="18"/>
                <w:szCs w:val="18"/>
              </w:rPr>
            </w:pP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E48FA5">
            <w:pPr>
              <w:jc w:val="center"/>
              <w:rPr>
                <w:rFonts w:ascii="宋体" w:hAnsi="宋体" w:cs="宋体"/>
                <w:color w:val="000000"/>
                <w:sz w:val="18"/>
                <w:szCs w:val="18"/>
              </w:rPr>
            </w:pPr>
          </w:p>
        </w:tc>
        <w:tc>
          <w:tcPr>
            <w:tcW w:w="17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A0B1D">
            <w:pPr>
              <w:jc w:val="center"/>
              <w:rPr>
                <w:rFonts w:ascii="宋体" w:hAnsi="宋体" w:cs="宋体"/>
                <w:color w:val="000000"/>
                <w:sz w:val="18"/>
                <w:szCs w:val="18"/>
              </w:rPr>
            </w:pP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A30F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34B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3C1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586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74100">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90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32C00">
            <w:pPr>
              <w:jc w:val="center"/>
              <w:rPr>
                <w:rFonts w:ascii="宋体" w:hAnsi="宋体" w:cs="宋体"/>
                <w:color w:val="000000"/>
                <w:sz w:val="18"/>
                <w:szCs w:val="18"/>
              </w:rPr>
            </w:pPr>
            <w:r>
              <w:rPr>
                <w:rFonts w:hint="eastAsia" w:ascii="宋体" w:hAnsi="宋体" w:cs="宋体"/>
                <w:color w:val="000000"/>
                <w:sz w:val="18"/>
                <w:szCs w:val="18"/>
              </w:rPr>
              <w:t>22.5</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63BCE">
            <w:pPr>
              <w:jc w:val="center"/>
              <w:rPr>
                <w:rFonts w:ascii="微软雅黑" w:hAnsi="微软雅黑" w:eastAsia="微软雅黑" w:cs="微软雅黑"/>
                <w:i/>
                <w:iCs/>
                <w:color w:val="000000"/>
                <w:sz w:val="16"/>
                <w:szCs w:val="16"/>
              </w:rPr>
            </w:pPr>
          </w:p>
        </w:tc>
      </w:tr>
      <w:tr w14:paraId="377107D4">
        <w:tblPrEx>
          <w:tblCellMar>
            <w:top w:w="0" w:type="dxa"/>
            <w:left w:w="108" w:type="dxa"/>
            <w:bottom w:w="0" w:type="dxa"/>
            <w:right w:w="108" w:type="dxa"/>
          </w:tblCellMar>
        </w:tblPrEx>
        <w:trPr>
          <w:trHeight w:val="33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D29FF">
            <w:pPr>
              <w:jc w:val="center"/>
              <w:rPr>
                <w:rFonts w:ascii="宋体" w:hAnsi="宋体" w:cs="宋体"/>
                <w:color w:val="000000"/>
                <w:sz w:val="18"/>
                <w:szCs w:val="18"/>
              </w:rPr>
            </w:pP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C6EA7">
            <w:pPr>
              <w:jc w:val="center"/>
              <w:rPr>
                <w:rFonts w:ascii="宋体" w:hAnsi="宋体" w:cs="宋体"/>
                <w:color w:val="000000"/>
                <w:sz w:val="18"/>
                <w:szCs w:val="18"/>
              </w:rPr>
            </w:pP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4DC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F98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A83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B6D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6AB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B4FDB3">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97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0440">
            <w:pPr>
              <w:jc w:val="center"/>
              <w:rPr>
                <w:rFonts w:ascii="宋体" w:hAnsi="宋体" w:cs="宋体"/>
                <w:color w:val="000000"/>
                <w:sz w:val="18"/>
                <w:szCs w:val="18"/>
              </w:rPr>
            </w:pPr>
            <w:r>
              <w:rPr>
                <w:rFonts w:hint="eastAsia" w:ascii="宋体" w:hAnsi="宋体" w:cs="宋体"/>
                <w:color w:val="000000"/>
                <w:sz w:val="18"/>
                <w:szCs w:val="18"/>
              </w:rPr>
              <w:t>22.5</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155E8">
            <w:pPr>
              <w:jc w:val="center"/>
              <w:rPr>
                <w:rFonts w:ascii="微软雅黑" w:hAnsi="微软雅黑" w:eastAsia="微软雅黑" w:cs="微软雅黑"/>
                <w:i/>
                <w:iCs/>
                <w:color w:val="000000"/>
                <w:sz w:val="16"/>
                <w:szCs w:val="16"/>
              </w:rPr>
            </w:pPr>
          </w:p>
        </w:tc>
      </w:tr>
      <w:tr w14:paraId="02BE948B">
        <w:tblPrEx>
          <w:tblCellMar>
            <w:top w:w="0" w:type="dxa"/>
            <w:left w:w="108" w:type="dxa"/>
            <w:bottom w:w="0" w:type="dxa"/>
            <w:right w:w="108" w:type="dxa"/>
          </w:tblCellMar>
        </w:tblPrEx>
        <w:trPr>
          <w:trHeight w:val="33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3C85E8">
            <w:pPr>
              <w:jc w:val="center"/>
              <w:rPr>
                <w:rFonts w:ascii="宋体" w:hAnsi="宋体" w:cs="宋体"/>
                <w:color w:val="000000"/>
                <w:sz w:val="18"/>
                <w:szCs w:val="18"/>
              </w:rPr>
            </w:pP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858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AF32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9F5B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D89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4AC8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8E1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20167">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83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4CD6E">
            <w:pPr>
              <w:jc w:val="center"/>
              <w:rPr>
                <w:rFonts w:ascii="宋体" w:hAnsi="宋体" w:cs="宋体"/>
                <w:color w:val="000000"/>
                <w:sz w:val="18"/>
                <w:szCs w:val="18"/>
              </w:rPr>
            </w:pPr>
            <w:r>
              <w:rPr>
                <w:rFonts w:hint="eastAsia" w:ascii="宋体" w:hAnsi="宋体" w:cs="宋体"/>
                <w:color w:val="000000"/>
                <w:sz w:val="18"/>
                <w:szCs w:val="18"/>
              </w:rPr>
              <w:t>22.5</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CDFCE">
            <w:pPr>
              <w:jc w:val="center"/>
              <w:rPr>
                <w:rFonts w:ascii="微软雅黑" w:hAnsi="微软雅黑" w:eastAsia="微软雅黑" w:cs="微软雅黑"/>
                <w:i/>
                <w:iCs/>
                <w:color w:val="000000"/>
                <w:sz w:val="16"/>
                <w:szCs w:val="16"/>
              </w:rPr>
            </w:pPr>
          </w:p>
        </w:tc>
      </w:tr>
      <w:tr w14:paraId="1C58CAA7">
        <w:tblPrEx>
          <w:tblCellMar>
            <w:top w:w="0" w:type="dxa"/>
            <w:left w:w="108" w:type="dxa"/>
            <w:bottom w:w="0" w:type="dxa"/>
            <w:right w:w="108" w:type="dxa"/>
          </w:tblCellMar>
        </w:tblPrEx>
        <w:trPr>
          <w:trHeight w:val="286" w:hRule="atLeast"/>
        </w:trPr>
        <w:tc>
          <w:tcPr>
            <w:tcW w:w="10431"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4BA3D45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EA1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EEC9">
            <w:pPr>
              <w:rPr>
                <w:rFonts w:ascii="宋体" w:hAnsi="宋体" w:cs="宋体"/>
                <w:color w:val="000000"/>
                <w:sz w:val="18"/>
                <w:szCs w:val="18"/>
              </w:rPr>
            </w:pPr>
            <w:r>
              <w:rPr>
                <w:rFonts w:hint="eastAsia" w:ascii="宋体" w:hAnsi="宋体" w:cs="宋体"/>
                <w:color w:val="000000"/>
                <w:sz w:val="18"/>
                <w:szCs w:val="18"/>
              </w:rPr>
              <w:t>100</w:t>
            </w:r>
          </w:p>
        </w:tc>
        <w:tc>
          <w:tcPr>
            <w:tcW w:w="2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1DBD1">
            <w:pPr>
              <w:rPr>
                <w:rFonts w:ascii="宋体" w:hAnsi="宋体" w:cs="宋体"/>
                <w:color w:val="000000"/>
                <w:sz w:val="18"/>
                <w:szCs w:val="18"/>
              </w:rPr>
            </w:pPr>
          </w:p>
        </w:tc>
      </w:tr>
      <w:tr w14:paraId="14E1D826">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25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D9BC43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人员经费</w:t>
            </w:r>
            <w:r>
              <w:rPr>
                <w:rFonts w:ascii="宋体" w:hAnsi="宋体" w:cs="宋体"/>
                <w:color w:val="000000"/>
                <w:kern w:val="0"/>
                <w:sz w:val="18"/>
                <w:szCs w:val="18"/>
                <w:lang w:bidi="ar"/>
              </w:rPr>
              <w:t>及时发放、足额发放，预算编制科学合理，</w:t>
            </w:r>
            <w:r>
              <w:rPr>
                <w:rFonts w:hint="eastAsia" w:ascii="宋体" w:hAnsi="宋体" w:cs="宋体"/>
                <w:color w:val="000000"/>
                <w:kern w:val="0"/>
                <w:sz w:val="18"/>
                <w:szCs w:val="18"/>
                <w:lang w:bidi="ar"/>
              </w:rPr>
              <w:t>无</w:t>
            </w:r>
            <w:r>
              <w:rPr>
                <w:rFonts w:ascii="宋体" w:hAnsi="宋体" w:cs="宋体"/>
                <w:color w:val="000000"/>
                <w:kern w:val="0"/>
                <w:sz w:val="18"/>
                <w:szCs w:val="18"/>
                <w:lang w:bidi="ar"/>
              </w:rPr>
              <w:t>结余资金</w:t>
            </w:r>
            <w:r>
              <w:rPr>
                <w:rFonts w:hint="eastAsia" w:ascii="宋体" w:hAnsi="宋体" w:cs="宋体"/>
                <w:color w:val="000000"/>
                <w:kern w:val="0"/>
                <w:sz w:val="18"/>
                <w:szCs w:val="18"/>
                <w:lang w:bidi="ar"/>
              </w:rPr>
              <w:t>。</w:t>
            </w:r>
          </w:p>
        </w:tc>
      </w:tr>
      <w:tr w14:paraId="0C8D56F0">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7F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2D0636B">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54D6B948">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3F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CEBC73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50F05CBF">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FE3CBF3">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471160E">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2121B4D2">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4BD48349">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1518CE24">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6AACAD63">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7B13F4A7">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239436E1">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4CD69F7D">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679E6940">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406D173E">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F85984C">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12C327EC">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6FE9D350">
            <w:pPr>
              <w:rPr>
                <w:rFonts w:ascii="宋体" w:hAnsi="宋体" w:cs="宋体"/>
                <w:color w:val="000000"/>
                <w:sz w:val="18"/>
                <w:szCs w:val="18"/>
              </w:rPr>
            </w:pPr>
          </w:p>
        </w:tc>
      </w:tr>
      <w:tr w14:paraId="014C1A28">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61EC9B40">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44CD6FF7">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EDC8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726009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51042221R000000067283-在编人员经费（行政）</w:t>
            </w:r>
          </w:p>
        </w:tc>
      </w:tr>
      <w:tr w14:paraId="30C9F70B">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BB1A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8B0E523">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782909C3">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2E0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0B039981">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87FB7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7023C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74364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A71DB4">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6C0F4B51">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BF36C6">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7137F">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52739B8">
            <w:pP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在编人员经费</w:t>
            </w:r>
            <w:r>
              <w:rPr>
                <w:rFonts w:ascii="宋体" w:hAnsi="宋体" w:cs="宋体"/>
                <w:color w:val="000000"/>
                <w:kern w:val="0"/>
                <w:sz w:val="18"/>
                <w:szCs w:val="18"/>
                <w:lang w:bidi="ar"/>
              </w:rPr>
              <w:t>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8444678">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在编人员经费</w:t>
            </w:r>
            <w:r>
              <w:rPr>
                <w:rFonts w:ascii="宋体" w:hAnsi="宋体" w:cs="宋体"/>
                <w:color w:val="000000"/>
                <w:kern w:val="0"/>
                <w:sz w:val="18"/>
                <w:szCs w:val="18"/>
                <w:lang w:bidi="ar"/>
              </w:rPr>
              <w:t>及时发放、足额发放，预算编制科学合理，减少结余资金</w:t>
            </w:r>
          </w:p>
        </w:tc>
      </w:tr>
      <w:tr w14:paraId="0603E8A6">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332E1">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F32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BD44BE8">
            <w:pPr>
              <w:rPr>
                <w:rFonts w:ascii="宋体" w:hAnsi="宋体" w:cs="宋体"/>
                <w:color w:val="000000"/>
                <w:sz w:val="18"/>
                <w:szCs w:val="18"/>
              </w:rPr>
            </w:pPr>
            <w:r>
              <w:rPr>
                <w:rFonts w:hint="eastAsia" w:ascii="宋体" w:hAnsi="宋体" w:cs="宋体"/>
                <w:color w:val="000000"/>
                <w:sz w:val="18"/>
                <w:szCs w:val="18"/>
              </w:rPr>
              <w:t>按月度计划及财政安排足额发放在编人员经费，并及时进行核对及账务处理</w:t>
            </w:r>
          </w:p>
        </w:tc>
      </w:tr>
      <w:tr w14:paraId="26CBC891">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5E33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16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5C6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7669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7197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8B8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E00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C1F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1C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2C584D3F">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CF0D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48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8FA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904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0.51</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A1C8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943C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076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9EEE1">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92A7D8">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2627A0FD">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6BEC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58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10A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4AB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0.51</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64E8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FD0F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9348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3AE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E10C7">
            <w:pPr>
              <w:rPr>
                <w:rFonts w:ascii="黑体" w:hAnsi="黑体" w:eastAsia="黑体" w:cs="黑体"/>
                <w:i/>
                <w:iCs/>
                <w:color w:val="000000"/>
                <w:sz w:val="18"/>
                <w:szCs w:val="18"/>
              </w:rPr>
            </w:pPr>
          </w:p>
        </w:tc>
      </w:tr>
      <w:tr w14:paraId="5C7C3DF2">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D4F0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79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2D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6A8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A920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ABA18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1BF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34EA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E6F2C">
            <w:pPr>
              <w:rPr>
                <w:rFonts w:ascii="黑体" w:hAnsi="黑体" w:eastAsia="黑体" w:cs="黑体"/>
                <w:i/>
                <w:iCs/>
                <w:color w:val="000000"/>
                <w:sz w:val="18"/>
                <w:szCs w:val="18"/>
              </w:rPr>
            </w:pPr>
          </w:p>
        </w:tc>
      </w:tr>
      <w:tr w14:paraId="5D47D790">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8C37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414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E0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57F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E8CA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ED6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8FB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048C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E8B63">
            <w:pPr>
              <w:rPr>
                <w:rFonts w:ascii="黑体" w:hAnsi="黑体" w:eastAsia="黑体" w:cs="黑体"/>
                <w:i/>
                <w:iCs/>
                <w:color w:val="000000"/>
                <w:sz w:val="18"/>
                <w:szCs w:val="18"/>
              </w:rPr>
            </w:pPr>
          </w:p>
        </w:tc>
      </w:tr>
      <w:tr w14:paraId="0F6AF3F9">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431E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805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4208">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68022">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25D202F">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991E0">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091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639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AD3600">
            <w:pPr>
              <w:rPr>
                <w:rFonts w:ascii="黑体" w:hAnsi="黑体" w:eastAsia="黑体" w:cs="黑体"/>
                <w:i/>
                <w:iCs/>
                <w:color w:val="000000"/>
                <w:sz w:val="18"/>
                <w:szCs w:val="18"/>
              </w:rPr>
            </w:pPr>
          </w:p>
        </w:tc>
      </w:tr>
      <w:tr w14:paraId="02F0F13B">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CC66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0CB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0D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694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FD6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27DD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657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612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632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02A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E9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646EBDD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F8C9C3">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F526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D421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A49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DAB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344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30D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7D744">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121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26718">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25C2A">
            <w:pPr>
              <w:jc w:val="center"/>
              <w:rPr>
                <w:rFonts w:ascii="微软雅黑" w:hAnsi="微软雅黑" w:eastAsia="微软雅黑" w:cs="微软雅黑"/>
                <w:i/>
                <w:iCs/>
                <w:color w:val="000000"/>
                <w:sz w:val="16"/>
                <w:szCs w:val="16"/>
              </w:rPr>
            </w:pPr>
          </w:p>
        </w:tc>
      </w:tr>
      <w:tr w14:paraId="68AD6197">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EB490">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D98E6">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10515">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BD9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7B3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996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A393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5FB02">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350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E8701">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8DDAA">
            <w:pPr>
              <w:jc w:val="center"/>
              <w:rPr>
                <w:rFonts w:ascii="微软雅黑" w:hAnsi="微软雅黑" w:eastAsia="微软雅黑" w:cs="微软雅黑"/>
                <w:i/>
                <w:iCs/>
                <w:color w:val="000000"/>
                <w:sz w:val="16"/>
                <w:szCs w:val="16"/>
              </w:rPr>
            </w:pPr>
          </w:p>
        </w:tc>
      </w:tr>
      <w:tr w14:paraId="6F9B4379">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76A6E">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21EEF">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B1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58A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DE0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3B78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97660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BA717">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0EA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1FF3D">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46BB">
            <w:pPr>
              <w:jc w:val="center"/>
              <w:rPr>
                <w:rFonts w:ascii="微软雅黑" w:hAnsi="微软雅黑" w:eastAsia="微软雅黑" w:cs="微软雅黑"/>
                <w:i/>
                <w:iCs/>
                <w:color w:val="000000"/>
                <w:sz w:val="16"/>
                <w:szCs w:val="16"/>
              </w:rPr>
            </w:pPr>
          </w:p>
        </w:tc>
      </w:tr>
      <w:tr w14:paraId="297D1396">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EF62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B07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FC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760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4428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023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A140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07C89">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940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94320">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AB5C">
            <w:pPr>
              <w:jc w:val="center"/>
              <w:rPr>
                <w:rFonts w:ascii="微软雅黑" w:hAnsi="微软雅黑" w:eastAsia="微软雅黑" w:cs="微软雅黑"/>
                <w:i/>
                <w:iCs/>
                <w:color w:val="000000"/>
                <w:sz w:val="16"/>
                <w:szCs w:val="16"/>
              </w:rPr>
            </w:pPr>
          </w:p>
        </w:tc>
      </w:tr>
      <w:tr w14:paraId="03BE8215">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347C77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0025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86CDE">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24A7">
            <w:pPr>
              <w:rPr>
                <w:rFonts w:ascii="宋体" w:hAnsi="宋体" w:cs="宋体"/>
                <w:color w:val="000000"/>
                <w:sz w:val="18"/>
                <w:szCs w:val="18"/>
              </w:rPr>
            </w:pPr>
          </w:p>
        </w:tc>
      </w:tr>
      <w:tr w14:paraId="33418835">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AE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982A614">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人员经费</w:t>
            </w:r>
            <w:r>
              <w:rPr>
                <w:rFonts w:ascii="宋体" w:hAnsi="宋体" w:cs="宋体"/>
                <w:color w:val="000000"/>
                <w:kern w:val="0"/>
                <w:sz w:val="18"/>
                <w:szCs w:val="18"/>
                <w:lang w:bidi="ar"/>
              </w:rPr>
              <w:t>及时发放、足额发放，预算编制科学合理，</w:t>
            </w:r>
            <w:r>
              <w:rPr>
                <w:rFonts w:hint="eastAsia" w:ascii="宋体" w:hAnsi="宋体" w:cs="宋体"/>
                <w:color w:val="000000"/>
                <w:kern w:val="0"/>
                <w:sz w:val="18"/>
                <w:szCs w:val="18"/>
                <w:lang w:bidi="ar"/>
              </w:rPr>
              <w:t>完成率100%，无</w:t>
            </w:r>
            <w:r>
              <w:rPr>
                <w:rFonts w:ascii="宋体" w:hAnsi="宋体" w:cs="宋体"/>
                <w:color w:val="000000"/>
                <w:kern w:val="0"/>
                <w:sz w:val="18"/>
                <w:szCs w:val="18"/>
                <w:lang w:bidi="ar"/>
              </w:rPr>
              <w:t>结余资金</w:t>
            </w:r>
            <w:r>
              <w:rPr>
                <w:rFonts w:hint="eastAsia" w:ascii="宋体" w:hAnsi="宋体" w:cs="宋体"/>
                <w:color w:val="000000"/>
                <w:kern w:val="0"/>
                <w:sz w:val="18"/>
                <w:szCs w:val="18"/>
                <w:lang w:bidi="ar"/>
              </w:rPr>
              <w:t>。</w:t>
            </w:r>
          </w:p>
        </w:tc>
      </w:tr>
      <w:tr w14:paraId="775F1001">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83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8D32A22">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40C56D21">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9A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91B59BB">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423DA7CD">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E1EFB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033A508">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7F6C8EFE">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2FE681B0">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6A8A2DEA">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152D43C7">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1C5ED9F6">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7448FD64">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39D2A23D">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681925AD">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1B054006">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465CE242">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59D3A01A">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776C8486">
            <w:pPr>
              <w:rPr>
                <w:rFonts w:ascii="宋体" w:hAnsi="宋体" w:cs="宋体"/>
                <w:color w:val="000000"/>
                <w:sz w:val="18"/>
                <w:szCs w:val="18"/>
              </w:rPr>
            </w:pPr>
          </w:p>
        </w:tc>
      </w:tr>
      <w:tr w14:paraId="6025982E">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146CF927">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34EB1BB7">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5E30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178A9B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51042221R000000067284-工资性支出（行政）</w:t>
            </w:r>
          </w:p>
        </w:tc>
      </w:tr>
      <w:tr w14:paraId="505E8CBE">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43B1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48A106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5521CA8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E0AA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1B7E3CD9">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79E48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D6CD1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31580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90FB7E4">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19293335">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9705B">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703EC">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87440D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严格执行相关政策，保障工资及时发放、足额发放，预算编制科学合理，减少结余资金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91CD203">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严格执行相关政策，保障工资及时发放、足额发放，预算编制科学合理，减少结余资金</w:t>
            </w:r>
          </w:p>
        </w:tc>
      </w:tr>
      <w:tr w14:paraId="63D41CF1">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7BCCA">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E09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D6BE73E">
            <w:pPr>
              <w:rPr>
                <w:rFonts w:ascii="宋体" w:hAnsi="宋体" w:cs="宋体"/>
                <w:color w:val="000000"/>
                <w:sz w:val="18"/>
                <w:szCs w:val="18"/>
              </w:rPr>
            </w:pPr>
            <w:r>
              <w:rPr>
                <w:rFonts w:hint="eastAsia" w:ascii="宋体" w:hAnsi="宋体" w:cs="宋体"/>
                <w:color w:val="000000"/>
                <w:sz w:val="18"/>
                <w:szCs w:val="18"/>
              </w:rPr>
              <w:t>按月度计划及财政安排足额发放工资等，并及时进行核对及账务处理</w:t>
            </w:r>
          </w:p>
        </w:tc>
      </w:tr>
      <w:tr w14:paraId="1305D63F">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294F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A984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D6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19C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69C5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00C7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02C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C58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5BC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71D36AD1">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4691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AB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77A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121.03</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6D2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120.56</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4BE4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120.56</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5F1C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930B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1EA86">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FB21EA">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386052E6">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E628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C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F2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121.03</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D0EB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120.56</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0D76B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120.56</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D282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8CA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1999E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F9FFE">
            <w:pPr>
              <w:rPr>
                <w:rFonts w:ascii="黑体" w:hAnsi="黑体" w:eastAsia="黑体" w:cs="黑体"/>
                <w:i/>
                <w:iCs/>
                <w:color w:val="000000"/>
                <w:sz w:val="18"/>
                <w:szCs w:val="18"/>
              </w:rPr>
            </w:pPr>
          </w:p>
        </w:tc>
      </w:tr>
      <w:tr w14:paraId="613504DC">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F053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B2A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D6F6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808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3CF8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07B0E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540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026F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5CAF9">
            <w:pPr>
              <w:rPr>
                <w:rFonts w:ascii="黑体" w:hAnsi="黑体" w:eastAsia="黑体" w:cs="黑体"/>
                <w:i/>
                <w:iCs/>
                <w:color w:val="000000"/>
                <w:sz w:val="18"/>
                <w:szCs w:val="18"/>
              </w:rPr>
            </w:pPr>
          </w:p>
        </w:tc>
      </w:tr>
      <w:tr w14:paraId="12C94B0B">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E7A3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49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7BF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DC5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40D62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A149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7B2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B56D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97882F">
            <w:pPr>
              <w:rPr>
                <w:rFonts w:ascii="黑体" w:hAnsi="黑体" w:eastAsia="黑体" w:cs="黑体"/>
                <w:i/>
                <w:iCs/>
                <w:color w:val="000000"/>
                <w:sz w:val="18"/>
                <w:szCs w:val="18"/>
              </w:rPr>
            </w:pPr>
          </w:p>
        </w:tc>
      </w:tr>
      <w:tr w14:paraId="2EC436A2">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5D39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BD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7E8C">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01AFF">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4A179E">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9A624">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11AA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059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015D1">
            <w:pPr>
              <w:rPr>
                <w:rFonts w:ascii="黑体" w:hAnsi="黑体" w:eastAsia="黑体" w:cs="黑体"/>
                <w:i/>
                <w:iCs/>
                <w:color w:val="000000"/>
                <w:sz w:val="18"/>
                <w:szCs w:val="18"/>
              </w:rPr>
            </w:pPr>
          </w:p>
        </w:tc>
      </w:tr>
      <w:tr w14:paraId="4B2D12FB">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ECF8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6413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C9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402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9A9E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84CF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1C2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204E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D7D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AC33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01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6AE9F6AE">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20768">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F67A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DEF6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48D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8E4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E9A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11F8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2159B">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786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5FD84">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0FE7">
            <w:pPr>
              <w:jc w:val="center"/>
              <w:rPr>
                <w:rFonts w:ascii="微软雅黑" w:hAnsi="微软雅黑" w:eastAsia="微软雅黑" w:cs="微软雅黑"/>
                <w:i/>
                <w:iCs/>
                <w:color w:val="000000"/>
                <w:sz w:val="16"/>
                <w:szCs w:val="16"/>
              </w:rPr>
            </w:pPr>
          </w:p>
        </w:tc>
      </w:tr>
      <w:tr w14:paraId="0B3BB55B">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F20E9">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DD220">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6E76D">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2FF2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7B8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92E4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485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CC44C">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7BF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7AA0A">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0A58">
            <w:pPr>
              <w:jc w:val="center"/>
              <w:rPr>
                <w:rFonts w:ascii="微软雅黑" w:hAnsi="微软雅黑" w:eastAsia="微软雅黑" w:cs="微软雅黑"/>
                <w:i/>
                <w:iCs/>
                <w:color w:val="000000"/>
                <w:sz w:val="16"/>
                <w:szCs w:val="16"/>
              </w:rPr>
            </w:pPr>
          </w:p>
        </w:tc>
      </w:tr>
      <w:tr w14:paraId="0CA4EFB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BA6F0">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79B3F">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31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385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806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A906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E7A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A75CC">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093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CD7DD">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47A7">
            <w:pPr>
              <w:jc w:val="center"/>
              <w:rPr>
                <w:rFonts w:ascii="微软雅黑" w:hAnsi="微软雅黑" w:eastAsia="微软雅黑" w:cs="微软雅黑"/>
                <w:i/>
                <w:iCs/>
                <w:color w:val="000000"/>
                <w:sz w:val="16"/>
                <w:szCs w:val="16"/>
              </w:rPr>
            </w:pPr>
          </w:p>
        </w:tc>
      </w:tr>
      <w:tr w14:paraId="1B5A4E6D">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DDCA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BCE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2DB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78CA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0DB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39E6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187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99C725">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E1C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B0170">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DBB9">
            <w:pPr>
              <w:jc w:val="center"/>
              <w:rPr>
                <w:rFonts w:ascii="微软雅黑" w:hAnsi="微软雅黑" w:eastAsia="微软雅黑" w:cs="微软雅黑"/>
                <w:i/>
                <w:iCs/>
                <w:color w:val="000000"/>
                <w:sz w:val="16"/>
                <w:szCs w:val="16"/>
              </w:rPr>
            </w:pPr>
          </w:p>
        </w:tc>
      </w:tr>
      <w:tr w14:paraId="0298E15B">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BBB781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F39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FBE95">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CEAC">
            <w:pPr>
              <w:rPr>
                <w:rFonts w:ascii="宋体" w:hAnsi="宋体" w:cs="宋体"/>
                <w:color w:val="000000"/>
                <w:sz w:val="18"/>
                <w:szCs w:val="18"/>
              </w:rPr>
            </w:pPr>
          </w:p>
        </w:tc>
      </w:tr>
      <w:tr w14:paraId="06A070D8">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D2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A5E3A7A">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工资经费等</w:t>
            </w:r>
            <w:r>
              <w:rPr>
                <w:rFonts w:ascii="宋体" w:hAnsi="宋体" w:cs="宋体"/>
                <w:color w:val="000000"/>
                <w:kern w:val="0"/>
                <w:sz w:val="18"/>
                <w:szCs w:val="18"/>
                <w:lang w:bidi="ar"/>
              </w:rPr>
              <w:t>及时发放、足额发放，预算编制科学合理，</w:t>
            </w:r>
            <w:r>
              <w:rPr>
                <w:rFonts w:hint="eastAsia" w:ascii="宋体" w:hAnsi="宋体" w:cs="宋体"/>
                <w:color w:val="000000"/>
                <w:kern w:val="0"/>
                <w:sz w:val="18"/>
                <w:szCs w:val="18"/>
                <w:lang w:bidi="ar"/>
              </w:rPr>
              <w:t>完成率100%，无</w:t>
            </w:r>
            <w:r>
              <w:rPr>
                <w:rFonts w:ascii="宋体" w:hAnsi="宋体" w:cs="宋体"/>
                <w:color w:val="000000"/>
                <w:kern w:val="0"/>
                <w:sz w:val="18"/>
                <w:szCs w:val="18"/>
                <w:lang w:bidi="ar"/>
              </w:rPr>
              <w:t>结余资金</w:t>
            </w:r>
            <w:r>
              <w:rPr>
                <w:rFonts w:hint="eastAsia" w:ascii="宋体" w:hAnsi="宋体" w:cs="宋体"/>
                <w:color w:val="000000"/>
                <w:kern w:val="0"/>
                <w:sz w:val="18"/>
                <w:szCs w:val="18"/>
                <w:lang w:bidi="ar"/>
              </w:rPr>
              <w:t>。</w:t>
            </w:r>
          </w:p>
        </w:tc>
      </w:tr>
      <w:tr w14:paraId="32790A61">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ED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226F44F">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2B237AEF">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FC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B70580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0904FB30">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C8F2386">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4C0A23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25D2BE51">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69138509">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01F8E7D8">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654D4055">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556E84AE">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1BF82CB6">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6D08B6DC">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0C32B928">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47CFBE1C">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9F95175">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028F7D2F">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7E9088DC">
            <w:pPr>
              <w:rPr>
                <w:rFonts w:ascii="宋体" w:hAnsi="宋体" w:cs="宋体"/>
                <w:color w:val="000000"/>
                <w:sz w:val="18"/>
                <w:szCs w:val="18"/>
              </w:rPr>
            </w:pPr>
          </w:p>
        </w:tc>
      </w:tr>
      <w:tr w14:paraId="5BF66191">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110CF9F7">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2E60ED42">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AB19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7D0039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51042221R000000067287-机关事业单位基本养老保险缴费（行政）</w:t>
            </w:r>
          </w:p>
        </w:tc>
      </w:tr>
      <w:tr w14:paraId="13970A66">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FC9C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BA2E9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542D1A56">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6A98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52FFBD81">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1CEF1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8B70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E409D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650F3BF">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3EB3E8F9">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80D91">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809F1">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724757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严格执行相关政策，保障基本养老保险缴费及时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E2A6AA5">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严格执行相关政策，保障基本养老保险缴费及时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减少</w:t>
            </w:r>
            <w:r>
              <w:rPr>
                <w:rFonts w:ascii="宋体" w:hAnsi="宋体" w:cs="宋体"/>
                <w:color w:val="000000"/>
                <w:kern w:val="0"/>
                <w:sz w:val="18"/>
                <w:szCs w:val="18"/>
                <w:lang w:bidi="ar"/>
              </w:rPr>
              <w:t>结余资金</w:t>
            </w:r>
            <w:r>
              <w:rPr>
                <w:rFonts w:hint="eastAsia" w:ascii="宋体" w:hAnsi="宋体" w:cs="宋体"/>
                <w:color w:val="000000"/>
                <w:kern w:val="0"/>
                <w:sz w:val="18"/>
                <w:szCs w:val="18"/>
                <w:lang w:bidi="ar"/>
              </w:rPr>
              <w:t>。</w:t>
            </w:r>
          </w:p>
        </w:tc>
      </w:tr>
      <w:tr w14:paraId="5D6A1092">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B3EF1">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490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61788BF0">
            <w:pPr>
              <w:rPr>
                <w:rFonts w:ascii="宋体" w:hAnsi="宋体" w:cs="宋体"/>
                <w:color w:val="000000"/>
                <w:sz w:val="18"/>
                <w:szCs w:val="18"/>
              </w:rPr>
            </w:pPr>
            <w:r>
              <w:rPr>
                <w:rFonts w:hint="eastAsia" w:ascii="宋体" w:hAnsi="宋体" w:cs="宋体"/>
                <w:color w:val="000000"/>
                <w:sz w:val="18"/>
                <w:szCs w:val="18"/>
              </w:rPr>
              <w:t>按月度计划及财政安排</w:t>
            </w:r>
            <w:r>
              <w:rPr>
                <w:rFonts w:ascii="宋体" w:hAnsi="宋体" w:cs="宋体"/>
                <w:color w:val="000000"/>
                <w:kern w:val="0"/>
                <w:sz w:val="18"/>
                <w:szCs w:val="18"/>
                <w:lang w:bidi="ar"/>
              </w:rPr>
              <w:t>基本养老保险缴费及时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hint="eastAsia" w:ascii="宋体" w:hAnsi="宋体" w:cs="宋体"/>
                <w:color w:val="000000"/>
                <w:sz w:val="18"/>
                <w:szCs w:val="18"/>
              </w:rPr>
              <w:t>等，并及时进行核对及账务处理</w:t>
            </w:r>
          </w:p>
        </w:tc>
      </w:tr>
      <w:tr w14:paraId="13F6A55E">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C8F5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1E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9A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A85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FB9903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121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BCF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3183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E5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61E348FC">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7B22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06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AE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A91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7D91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FC2E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CC0D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064AA">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2D854">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3EC9F660">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C41D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38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B7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C0D9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4C528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E46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D8D8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13B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BBECA">
            <w:pPr>
              <w:rPr>
                <w:rFonts w:ascii="黑体" w:hAnsi="黑体" w:eastAsia="黑体" w:cs="黑体"/>
                <w:i/>
                <w:iCs/>
                <w:color w:val="000000"/>
                <w:sz w:val="18"/>
                <w:szCs w:val="18"/>
              </w:rPr>
            </w:pPr>
          </w:p>
        </w:tc>
      </w:tr>
      <w:tr w14:paraId="4D2E6132">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3ADC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B2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D0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EE2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A9F5E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9E8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7FD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A6D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2567C">
            <w:pPr>
              <w:rPr>
                <w:rFonts w:ascii="黑体" w:hAnsi="黑体" w:eastAsia="黑体" w:cs="黑体"/>
                <w:i/>
                <w:iCs/>
                <w:color w:val="000000"/>
                <w:sz w:val="18"/>
                <w:szCs w:val="18"/>
              </w:rPr>
            </w:pPr>
          </w:p>
        </w:tc>
      </w:tr>
      <w:tr w14:paraId="36A911A1">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DC21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23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48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60E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15FF61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C7B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9D83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C80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47473">
            <w:pPr>
              <w:rPr>
                <w:rFonts w:ascii="黑体" w:hAnsi="黑体" w:eastAsia="黑体" w:cs="黑体"/>
                <w:i/>
                <w:iCs/>
                <w:color w:val="000000"/>
                <w:sz w:val="18"/>
                <w:szCs w:val="18"/>
              </w:rPr>
            </w:pPr>
          </w:p>
        </w:tc>
      </w:tr>
      <w:tr w14:paraId="4CD5C27E">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DA58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EEB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A87D">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8B018">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0851BA">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454F2">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193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67D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6A0B2">
            <w:pPr>
              <w:rPr>
                <w:rFonts w:ascii="黑体" w:hAnsi="黑体" w:eastAsia="黑体" w:cs="黑体"/>
                <w:i/>
                <w:iCs/>
                <w:color w:val="000000"/>
                <w:sz w:val="18"/>
                <w:szCs w:val="18"/>
              </w:rPr>
            </w:pPr>
          </w:p>
        </w:tc>
      </w:tr>
      <w:tr w14:paraId="5759B21E">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2A7F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140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4F4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F23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BCE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33FEA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48E8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08BE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7A6A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85B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5C2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6CD37A8E">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24863">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D8AA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F84F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285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7BF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272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AF6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A2893">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257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83664">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8175">
            <w:pPr>
              <w:jc w:val="center"/>
              <w:rPr>
                <w:rFonts w:ascii="微软雅黑" w:hAnsi="微软雅黑" w:eastAsia="微软雅黑" w:cs="微软雅黑"/>
                <w:i/>
                <w:iCs/>
                <w:color w:val="000000"/>
                <w:sz w:val="16"/>
                <w:szCs w:val="16"/>
              </w:rPr>
            </w:pPr>
          </w:p>
        </w:tc>
      </w:tr>
      <w:tr w14:paraId="546CB71F">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3B809">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35A40">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ABE7F">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BD96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A9D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6DAD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FB2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7C0A1">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D105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53C54">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E56E">
            <w:pPr>
              <w:jc w:val="center"/>
              <w:rPr>
                <w:rFonts w:ascii="微软雅黑" w:hAnsi="微软雅黑" w:eastAsia="微软雅黑" w:cs="微软雅黑"/>
                <w:i/>
                <w:iCs/>
                <w:color w:val="000000"/>
                <w:sz w:val="16"/>
                <w:szCs w:val="16"/>
              </w:rPr>
            </w:pPr>
          </w:p>
        </w:tc>
      </w:tr>
      <w:tr w14:paraId="6E55D0A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AE14E">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5A05C">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C9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354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8F3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E91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DFE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A91DA">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8CA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CD214">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C0547">
            <w:pPr>
              <w:jc w:val="center"/>
              <w:rPr>
                <w:rFonts w:ascii="微软雅黑" w:hAnsi="微软雅黑" w:eastAsia="微软雅黑" w:cs="微软雅黑"/>
                <w:i/>
                <w:iCs/>
                <w:color w:val="000000"/>
                <w:sz w:val="16"/>
                <w:szCs w:val="16"/>
              </w:rPr>
            </w:pPr>
          </w:p>
        </w:tc>
      </w:tr>
      <w:tr w14:paraId="459F51A7">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2893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41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B9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4D14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DC69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E46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D0C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0CE49">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2C1EE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4A3D2">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B21DF">
            <w:pPr>
              <w:jc w:val="center"/>
              <w:rPr>
                <w:rFonts w:ascii="微软雅黑" w:hAnsi="微软雅黑" w:eastAsia="微软雅黑" w:cs="微软雅黑"/>
                <w:i/>
                <w:iCs/>
                <w:color w:val="000000"/>
                <w:sz w:val="16"/>
                <w:szCs w:val="16"/>
              </w:rPr>
            </w:pPr>
          </w:p>
        </w:tc>
      </w:tr>
      <w:tr w14:paraId="5172730C">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77155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FFD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8C172">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2303">
            <w:pPr>
              <w:rPr>
                <w:rFonts w:ascii="宋体" w:hAnsi="宋体" w:cs="宋体"/>
                <w:color w:val="000000"/>
                <w:sz w:val="18"/>
                <w:szCs w:val="18"/>
              </w:rPr>
            </w:pPr>
          </w:p>
        </w:tc>
      </w:tr>
      <w:tr w14:paraId="5826FE36">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81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DEACBA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严格执行相关政策，保障基本养老保险缴费及时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完成率100%，无</w:t>
            </w:r>
            <w:r>
              <w:rPr>
                <w:rFonts w:ascii="宋体" w:hAnsi="宋体" w:cs="宋体"/>
                <w:color w:val="000000"/>
                <w:kern w:val="0"/>
                <w:sz w:val="18"/>
                <w:szCs w:val="18"/>
                <w:lang w:bidi="ar"/>
              </w:rPr>
              <w:t>结余资金</w:t>
            </w:r>
            <w:r>
              <w:rPr>
                <w:rFonts w:hint="eastAsia" w:ascii="宋体" w:hAnsi="宋体" w:cs="宋体"/>
                <w:color w:val="000000"/>
                <w:kern w:val="0"/>
                <w:sz w:val="18"/>
                <w:szCs w:val="18"/>
                <w:lang w:bidi="ar"/>
              </w:rPr>
              <w:t>。</w:t>
            </w:r>
          </w:p>
        </w:tc>
      </w:tr>
      <w:tr w14:paraId="1203EF6E">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28FF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2718628">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5795A09">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FC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5D8191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64D66DBA">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CF0F611">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FD7B476">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0BCF3982">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51E41E99">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5C46CE79">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106762C9">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5DCE9013">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6C6A2CF2">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818CE75">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5B8C018D">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2CE28B9B">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6B994C2">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2DF9EA3C">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39D722FC">
            <w:pPr>
              <w:rPr>
                <w:rFonts w:ascii="宋体" w:hAnsi="宋体" w:cs="宋体"/>
                <w:color w:val="000000"/>
                <w:sz w:val="18"/>
                <w:szCs w:val="18"/>
              </w:rPr>
            </w:pPr>
          </w:p>
        </w:tc>
      </w:tr>
      <w:tr w14:paraId="2E3B50C9">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75189FE4">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13FE5B35">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F805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B1C6F8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51042221R000000067293-住房公积金（行政）</w:t>
            </w:r>
          </w:p>
        </w:tc>
      </w:tr>
      <w:tr w14:paraId="09B5E788">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DBF9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B2F6E2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48DB55F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468E5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4110E06D">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112B0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527F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E86DA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16A8180">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14720D72">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A7DDD0">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B4D4A1">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EF5EF02">
            <w:pPr>
              <w:rPr>
                <w:rFonts w:ascii="宋体" w:hAnsi="宋体" w:cs="宋体"/>
                <w:color w:val="000000"/>
                <w:sz w:val="18"/>
                <w:szCs w:val="18"/>
              </w:rPr>
            </w:pPr>
            <w:r>
              <w:rPr>
                <w:rFonts w:ascii="宋体" w:hAnsi="宋体" w:cs="宋体"/>
                <w:color w:val="000000"/>
                <w:kern w:val="0"/>
                <w:sz w:val="18"/>
                <w:szCs w:val="18"/>
                <w:lang w:bidi="ar"/>
              </w:rPr>
              <w:t>严格执行相关政策，保障住房公积金及时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832DBEF">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严格执行相关政策，保障住房公积金及时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，预算编制科学合理，减少结余资金</w:t>
            </w:r>
          </w:p>
        </w:tc>
      </w:tr>
      <w:tr w14:paraId="25F68294">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96D0E">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B66E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DC2C990">
            <w:pPr>
              <w:rPr>
                <w:rFonts w:ascii="宋体" w:hAnsi="宋体" w:cs="宋体"/>
                <w:color w:val="000000"/>
                <w:sz w:val="18"/>
                <w:szCs w:val="18"/>
              </w:rPr>
            </w:pPr>
            <w:r>
              <w:rPr>
                <w:rFonts w:hint="eastAsia" w:ascii="宋体" w:hAnsi="宋体" w:cs="宋体"/>
                <w:color w:val="000000"/>
                <w:sz w:val="18"/>
                <w:szCs w:val="18"/>
              </w:rPr>
              <w:t>按月度计划及财政安排</w:t>
            </w:r>
            <w:r>
              <w:rPr>
                <w:rFonts w:ascii="宋体" w:hAnsi="宋体" w:cs="宋体"/>
                <w:color w:val="000000"/>
                <w:kern w:val="0"/>
                <w:sz w:val="18"/>
                <w:szCs w:val="18"/>
                <w:lang w:bidi="ar"/>
              </w:rPr>
              <w:t>住房公积金及时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hint="eastAsia" w:ascii="宋体" w:hAnsi="宋体" w:cs="宋体"/>
                <w:color w:val="000000"/>
                <w:sz w:val="18"/>
                <w:szCs w:val="18"/>
              </w:rPr>
              <w:t>等，并及时进行核对及账务处理</w:t>
            </w:r>
          </w:p>
        </w:tc>
      </w:tr>
      <w:tr w14:paraId="70F77E59">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B3A50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D6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32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3D3E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A60F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0CC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799E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601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47E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4D873508">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9448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E4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DCA4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7CB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0.14</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95AD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0.14</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F23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4A8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78F30">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FCFCE2">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4707CF4E">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43BF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E3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B7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367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0.14</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5BE7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0.14</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C10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AAC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9ED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675B4">
            <w:pPr>
              <w:rPr>
                <w:rFonts w:ascii="黑体" w:hAnsi="黑体" w:eastAsia="黑体" w:cs="黑体"/>
                <w:i/>
                <w:iCs/>
                <w:color w:val="000000"/>
                <w:sz w:val="18"/>
                <w:szCs w:val="18"/>
              </w:rPr>
            </w:pPr>
          </w:p>
        </w:tc>
      </w:tr>
      <w:tr w14:paraId="64A8506E">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0ACC5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18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6CA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D4CE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AD86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708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9D6F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EFB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5F2405">
            <w:pPr>
              <w:rPr>
                <w:rFonts w:ascii="黑体" w:hAnsi="黑体" w:eastAsia="黑体" w:cs="黑体"/>
                <w:i/>
                <w:iCs/>
                <w:color w:val="000000"/>
                <w:sz w:val="18"/>
                <w:szCs w:val="18"/>
              </w:rPr>
            </w:pPr>
          </w:p>
        </w:tc>
      </w:tr>
      <w:tr w14:paraId="67D58643">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3566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4DF8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5C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099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CF1F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7E57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9718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A9C8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6E6D0">
            <w:pPr>
              <w:rPr>
                <w:rFonts w:ascii="黑体" w:hAnsi="黑体" w:eastAsia="黑体" w:cs="黑体"/>
                <w:i/>
                <w:iCs/>
                <w:color w:val="000000"/>
                <w:sz w:val="18"/>
                <w:szCs w:val="18"/>
              </w:rPr>
            </w:pPr>
          </w:p>
        </w:tc>
      </w:tr>
      <w:tr w14:paraId="5A6B2BA4">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D5E4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572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4BB5">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8CB07">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178A789">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B80493">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B06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D36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8DC79">
            <w:pPr>
              <w:rPr>
                <w:rFonts w:ascii="黑体" w:hAnsi="黑体" w:eastAsia="黑体" w:cs="黑体"/>
                <w:i/>
                <w:iCs/>
                <w:color w:val="000000"/>
                <w:sz w:val="18"/>
                <w:szCs w:val="18"/>
              </w:rPr>
            </w:pPr>
          </w:p>
        </w:tc>
      </w:tr>
      <w:tr w14:paraId="735286CA">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6D0E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8FF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48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67E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93A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F61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83C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6BE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1CD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6408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39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7F77781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8F61B">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C98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AC11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FB70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7A4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C07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C0D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5093AA">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C3C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1E0F3">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30254">
            <w:pPr>
              <w:jc w:val="center"/>
              <w:rPr>
                <w:rFonts w:ascii="微软雅黑" w:hAnsi="微软雅黑" w:eastAsia="微软雅黑" w:cs="微软雅黑"/>
                <w:i/>
                <w:iCs/>
                <w:color w:val="000000"/>
                <w:sz w:val="16"/>
                <w:szCs w:val="16"/>
              </w:rPr>
            </w:pPr>
          </w:p>
        </w:tc>
      </w:tr>
      <w:tr w14:paraId="1639E8A3">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E837E">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8F4F7">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BEE18">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9CFA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ED9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037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18BE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14682">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DD7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CC77A">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E71F">
            <w:pPr>
              <w:jc w:val="center"/>
              <w:rPr>
                <w:rFonts w:ascii="微软雅黑" w:hAnsi="微软雅黑" w:eastAsia="微软雅黑" w:cs="微软雅黑"/>
                <w:i/>
                <w:iCs/>
                <w:color w:val="000000"/>
                <w:sz w:val="16"/>
                <w:szCs w:val="16"/>
              </w:rPr>
            </w:pPr>
          </w:p>
        </w:tc>
      </w:tr>
      <w:tr w14:paraId="6852589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461F5">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FFC59">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3B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687D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3D5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102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0B4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BBCDB">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D38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BAF81">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DEF2">
            <w:pPr>
              <w:jc w:val="center"/>
              <w:rPr>
                <w:rFonts w:ascii="微软雅黑" w:hAnsi="微软雅黑" w:eastAsia="微软雅黑" w:cs="微软雅黑"/>
                <w:i/>
                <w:iCs/>
                <w:color w:val="000000"/>
                <w:sz w:val="16"/>
                <w:szCs w:val="16"/>
              </w:rPr>
            </w:pPr>
          </w:p>
        </w:tc>
      </w:tr>
      <w:tr w14:paraId="4EBF22D2">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2699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34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C9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EDD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DB3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CBA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01A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DF36B">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5F8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32ED8">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6E8AD">
            <w:pPr>
              <w:jc w:val="center"/>
              <w:rPr>
                <w:rFonts w:ascii="微软雅黑" w:hAnsi="微软雅黑" w:eastAsia="微软雅黑" w:cs="微软雅黑"/>
                <w:i/>
                <w:iCs/>
                <w:color w:val="000000"/>
                <w:sz w:val="16"/>
                <w:szCs w:val="16"/>
              </w:rPr>
            </w:pPr>
          </w:p>
        </w:tc>
      </w:tr>
      <w:tr w14:paraId="3ADB3079">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752B3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644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AB82C">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38A00">
            <w:pPr>
              <w:rPr>
                <w:rFonts w:ascii="宋体" w:hAnsi="宋体" w:cs="宋体"/>
                <w:color w:val="000000"/>
                <w:sz w:val="18"/>
                <w:szCs w:val="18"/>
              </w:rPr>
            </w:pPr>
          </w:p>
        </w:tc>
      </w:tr>
      <w:tr w14:paraId="60B11A1E">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D5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DEF04D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严格执行相关政策，保障住房公积金缴费及时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w:t>
            </w:r>
          </w:p>
        </w:tc>
      </w:tr>
      <w:tr w14:paraId="2FE51981">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4F2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C3FF2E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604ABABC">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E3C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A47F0C1">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5BF864A2">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8FB9FC2">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2780AF8">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0A6DC97F">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5CC863DE">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1F488A06">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7C4AC701">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65345626">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33D5139B">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483A36A7">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411C4F27">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2CAFCAE7">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1A8BE791">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4CDB54C7">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33513B43">
            <w:pPr>
              <w:rPr>
                <w:rFonts w:ascii="宋体" w:hAnsi="宋体" w:cs="宋体"/>
                <w:color w:val="000000"/>
                <w:sz w:val="18"/>
                <w:szCs w:val="18"/>
              </w:rPr>
            </w:pPr>
          </w:p>
        </w:tc>
      </w:tr>
      <w:tr w14:paraId="23692890">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0D0B7C5">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65029389">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4C62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69D2F0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51042221R000000067319-公务员医疗补助缴费（行政退休）</w:t>
            </w:r>
          </w:p>
        </w:tc>
      </w:tr>
      <w:tr w14:paraId="3185AFC2">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5621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980291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0E05D2DD">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0564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3A330D4C">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551F4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20BD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4C241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0858736">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302A4542">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28D88">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823A2">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322265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严格执行相关政策，保障公务员医疗补助缴费及时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3B7284F">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严格执行相关政策，保障公务员医疗补助缴费及时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，预算编制科学合理，减少结余资金</w:t>
            </w:r>
          </w:p>
        </w:tc>
      </w:tr>
      <w:tr w14:paraId="3F914571">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3A871">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4FC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7397A6F">
            <w:pPr>
              <w:rPr>
                <w:rFonts w:ascii="宋体" w:hAnsi="宋体" w:cs="宋体"/>
                <w:color w:val="000000"/>
                <w:sz w:val="18"/>
                <w:szCs w:val="18"/>
              </w:rPr>
            </w:pPr>
            <w:r>
              <w:rPr>
                <w:rFonts w:hint="eastAsia" w:ascii="宋体" w:hAnsi="宋体" w:cs="宋体"/>
                <w:color w:val="000000"/>
                <w:sz w:val="18"/>
                <w:szCs w:val="18"/>
              </w:rPr>
              <w:t>按月度计划及财政安排</w:t>
            </w:r>
            <w:r>
              <w:rPr>
                <w:rFonts w:ascii="宋体" w:hAnsi="宋体" w:cs="宋体"/>
                <w:color w:val="000000"/>
                <w:kern w:val="0"/>
                <w:sz w:val="18"/>
                <w:szCs w:val="18"/>
                <w:lang w:bidi="ar"/>
              </w:rPr>
              <w:t>住房公积金及时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hint="eastAsia" w:ascii="宋体" w:hAnsi="宋体" w:cs="宋体"/>
                <w:color w:val="000000"/>
                <w:sz w:val="18"/>
                <w:szCs w:val="18"/>
              </w:rPr>
              <w:t>等，并及时进行核对及账务处理</w:t>
            </w:r>
          </w:p>
        </w:tc>
      </w:tr>
      <w:tr w14:paraId="4E7CF5F4">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4CD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33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C32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9B73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3B1E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6588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9DFA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116D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973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55AE632C">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C840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16B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7B2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69C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BE71F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AA5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E86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EF4D0">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D928DD">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3118E677">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C950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D1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A5D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E70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8A4A8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0.40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DA1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502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4F5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AAC23">
            <w:pPr>
              <w:rPr>
                <w:rFonts w:ascii="黑体" w:hAnsi="黑体" w:eastAsia="黑体" w:cs="黑体"/>
                <w:i/>
                <w:iCs/>
                <w:color w:val="000000"/>
                <w:sz w:val="18"/>
                <w:szCs w:val="18"/>
              </w:rPr>
            </w:pPr>
          </w:p>
        </w:tc>
      </w:tr>
      <w:tr w14:paraId="58FC1C01">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20FAD">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36C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CC3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3D8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7D8C7E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C8A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3BEC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838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32403">
            <w:pPr>
              <w:rPr>
                <w:rFonts w:ascii="黑体" w:hAnsi="黑体" w:eastAsia="黑体" w:cs="黑体"/>
                <w:i/>
                <w:iCs/>
                <w:color w:val="000000"/>
                <w:sz w:val="18"/>
                <w:szCs w:val="18"/>
              </w:rPr>
            </w:pPr>
          </w:p>
        </w:tc>
      </w:tr>
      <w:tr w14:paraId="74613BFC">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C960E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12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A39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0C7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7A54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694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1E3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973DA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CEB75">
            <w:pPr>
              <w:rPr>
                <w:rFonts w:ascii="黑体" w:hAnsi="黑体" w:eastAsia="黑体" w:cs="黑体"/>
                <w:i/>
                <w:iCs/>
                <w:color w:val="000000"/>
                <w:sz w:val="18"/>
                <w:szCs w:val="18"/>
              </w:rPr>
            </w:pPr>
          </w:p>
        </w:tc>
      </w:tr>
      <w:tr w14:paraId="2AF65535">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0068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50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CFB1">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C54B2">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F46AB1">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404752">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52B2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34C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E8202">
            <w:pPr>
              <w:rPr>
                <w:rFonts w:ascii="黑体" w:hAnsi="黑体" w:eastAsia="黑体" w:cs="黑体"/>
                <w:i/>
                <w:iCs/>
                <w:color w:val="000000"/>
                <w:sz w:val="18"/>
                <w:szCs w:val="18"/>
              </w:rPr>
            </w:pPr>
          </w:p>
        </w:tc>
      </w:tr>
      <w:tr w14:paraId="231A20A8">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6078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EA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D2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4B0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FA8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664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2E7E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0B1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A9E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3DD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219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25BE1ED8">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2590E">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A2772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9089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521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E264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F30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FB95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73AE8">
            <w:pPr>
              <w:widowControl/>
              <w:jc w:val="center"/>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868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81710">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4A50">
            <w:pPr>
              <w:jc w:val="center"/>
              <w:rPr>
                <w:rFonts w:ascii="微软雅黑" w:hAnsi="微软雅黑" w:eastAsia="微软雅黑" w:cs="微软雅黑"/>
                <w:i/>
                <w:iCs/>
                <w:color w:val="000000"/>
                <w:sz w:val="16"/>
                <w:szCs w:val="16"/>
              </w:rPr>
            </w:pPr>
          </w:p>
        </w:tc>
      </w:tr>
      <w:tr w14:paraId="2794639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CCA86">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6B6FD">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06D78">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63B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AA4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0AB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622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E8824">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D9FA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D0BD7">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685F">
            <w:pPr>
              <w:jc w:val="center"/>
              <w:rPr>
                <w:rFonts w:ascii="微软雅黑" w:hAnsi="微软雅黑" w:eastAsia="微软雅黑" w:cs="微软雅黑"/>
                <w:i/>
                <w:iCs/>
                <w:color w:val="000000"/>
                <w:sz w:val="16"/>
                <w:szCs w:val="16"/>
              </w:rPr>
            </w:pPr>
          </w:p>
        </w:tc>
      </w:tr>
      <w:tr w14:paraId="4155F9E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4C990">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EB5B9">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85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6A0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F700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1D09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75B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9AE88">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858C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9026C">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7312">
            <w:pPr>
              <w:jc w:val="center"/>
              <w:rPr>
                <w:rFonts w:ascii="微软雅黑" w:hAnsi="微软雅黑" w:eastAsia="微软雅黑" w:cs="微软雅黑"/>
                <w:i/>
                <w:iCs/>
                <w:color w:val="000000"/>
                <w:sz w:val="16"/>
                <w:szCs w:val="16"/>
              </w:rPr>
            </w:pPr>
          </w:p>
        </w:tc>
      </w:tr>
      <w:tr w14:paraId="4B8DC3E8">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D723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DFB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753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CF0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369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B7F5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78D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D71462">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270A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68C72">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74A3">
            <w:pPr>
              <w:jc w:val="center"/>
              <w:rPr>
                <w:rFonts w:ascii="微软雅黑" w:hAnsi="微软雅黑" w:eastAsia="微软雅黑" w:cs="微软雅黑"/>
                <w:i/>
                <w:iCs/>
                <w:color w:val="000000"/>
                <w:sz w:val="16"/>
                <w:szCs w:val="16"/>
              </w:rPr>
            </w:pPr>
          </w:p>
        </w:tc>
      </w:tr>
      <w:tr w14:paraId="56BA6F50">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65E0EA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7CB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8783E">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4357">
            <w:pPr>
              <w:rPr>
                <w:rFonts w:ascii="宋体" w:hAnsi="宋体" w:cs="宋体"/>
                <w:color w:val="000000"/>
                <w:sz w:val="18"/>
                <w:szCs w:val="18"/>
              </w:rPr>
            </w:pPr>
          </w:p>
        </w:tc>
      </w:tr>
      <w:tr w14:paraId="50E7DADF">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14F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F5F52ED">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严格执行相关政策，保障公务员医疗补助缴费及时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w:t>
            </w:r>
          </w:p>
        </w:tc>
      </w:tr>
      <w:tr w14:paraId="3ED3A5BA">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46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5815087">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34779174">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089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BAE8E83">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1161CC6C">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5E82955">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DDC6A7E">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15AF3248">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714E28D3">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360E321D">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46BB53E3">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331680D5">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57B04CB5">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5F19B8DB">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1E0A9BDD">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21DF5CC0">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1A01637D">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781C54F4">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023C55AC">
            <w:pPr>
              <w:rPr>
                <w:rFonts w:ascii="宋体" w:hAnsi="宋体" w:cs="宋体"/>
                <w:color w:val="000000"/>
                <w:sz w:val="18"/>
                <w:szCs w:val="18"/>
              </w:rPr>
            </w:pPr>
          </w:p>
        </w:tc>
      </w:tr>
      <w:tr w14:paraId="34E23EE5">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16397D0A">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525EE1B1">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44F6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6123CC2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51042221R000000067324-独生子女奖励费</w:t>
            </w:r>
          </w:p>
        </w:tc>
      </w:tr>
      <w:tr w14:paraId="205ADFE9">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31DF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BE8E77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1443552F">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9773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60DEB3AB">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7499B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A829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ACDE8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EBC154D">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512C40EA">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AF550">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6B734">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C3BE6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严格执行相关政策，保障独生子女奖励费及时发放、足额发放，预算编制科学合理，减少结余资金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EF5D722">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严格执行相关政策，保障独生子女奖励费及时发放、足额发放，预算编制科学合理，减少结余资金</w:t>
            </w:r>
          </w:p>
        </w:tc>
      </w:tr>
      <w:tr w14:paraId="1FB317C2">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D2D3E">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3FD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5D76E2AC">
            <w:pPr>
              <w:rPr>
                <w:rFonts w:ascii="宋体" w:hAnsi="宋体" w:cs="宋体"/>
                <w:color w:val="000000"/>
                <w:sz w:val="18"/>
                <w:szCs w:val="18"/>
              </w:rPr>
            </w:pPr>
            <w:r>
              <w:rPr>
                <w:rFonts w:hint="eastAsia" w:ascii="宋体" w:hAnsi="宋体" w:cs="宋体"/>
                <w:color w:val="000000"/>
                <w:sz w:val="18"/>
                <w:szCs w:val="18"/>
              </w:rPr>
              <w:t>按月度计划及财政安排</w:t>
            </w:r>
            <w:r>
              <w:rPr>
                <w:rFonts w:ascii="宋体" w:hAnsi="宋体" w:cs="宋体"/>
                <w:color w:val="000000"/>
                <w:kern w:val="0"/>
                <w:sz w:val="18"/>
                <w:szCs w:val="18"/>
                <w:lang w:bidi="ar"/>
              </w:rPr>
              <w:t>独生子女奖励费及时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hint="eastAsia" w:ascii="宋体" w:hAnsi="宋体" w:cs="宋体"/>
                <w:color w:val="000000"/>
                <w:sz w:val="18"/>
                <w:szCs w:val="18"/>
              </w:rPr>
              <w:t>等，并及时进行核对及账务处理</w:t>
            </w:r>
          </w:p>
        </w:tc>
      </w:tr>
      <w:tr w14:paraId="5025FB47">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712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CC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300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5FC7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2A3E5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D61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4825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925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73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6B314480">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1E60D">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BF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92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F0A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B691F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BF38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287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20727">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1C9F16">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151052B1">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6339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81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26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4F5E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F300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B067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54F7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2B52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533C9">
            <w:pPr>
              <w:rPr>
                <w:rFonts w:ascii="黑体" w:hAnsi="黑体" w:eastAsia="黑体" w:cs="黑体"/>
                <w:i/>
                <w:iCs/>
                <w:color w:val="000000"/>
                <w:sz w:val="18"/>
                <w:szCs w:val="18"/>
              </w:rPr>
            </w:pPr>
          </w:p>
        </w:tc>
      </w:tr>
      <w:tr w14:paraId="536B1052">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828D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979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E4E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0BF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BA7E2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36CA2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0CB7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EED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3BEC8">
            <w:pPr>
              <w:rPr>
                <w:rFonts w:ascii="黑体" w:hAnsi="黑体" w:eastAsia="黑体" w:cs="黑体"/>
                <w:i/>
                <w:iCs/>
                <w:color w:val="000000"/>
                <w:sz w:val="18"/>
                <w:szCs w:val="18"/>
              </w:rPr>
            </w:pPr>
          </w:p>
        </w:tc>
      </w:tr>
      <w:tr w14:paraId="594284EE">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9993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7E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280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044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FE4E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D06F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BF7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C69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04C5A">
            <w:pPr>
              <w:rPr>
                <w:rFonts w:ascii="黑体" w:hAnsi="黑体" w:eastAsia="黑体" w:cs="黑体"/>
                <w:i/>
                <w:iCs/>
                <w:color w:val="000000"/>
                <w:sz w:val="18"/>
                <w:szCs w:val="18"/>
              </w:rPr>
            </w:pPr>
          </w:p>
        </w:tc>
      </w:tr>
      <w:tr w14:paraId="11D80D71">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908F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827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A70D">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36774">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37079B1">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DDEB7">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4F5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B32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B92B5">
            <w:pPr>
              <w:rPr>
                <w:rFonts w:ascii="黑体" w:hAnsi="黑体" w:eastAsia="黑体" w:cs="黑体"/>
                <w:i/>
                <w:iCs/>
                <w:color w:val="000000"/>
                <w:sz w:val="18"/>
                <w:szCs w:val="18"/>
              </w:rPr>
            </w:pPr>
          </w:p>
        </w:tc>
      </w:tr>
      <w:tr w14:paraId="40799B0A">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58A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DC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9E81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2761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6F91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8AF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AD1E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206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3EE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03F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166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2DB2CBF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73795">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A9A7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C8F7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8D9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14AD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559F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4D47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0C22F">
            <w:pPr>
              <w:widowControl/>
              <w:jc w:val="center"/>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49D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A1F66">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6360">
            <w:pPr>
              <w:jc w:val="center"/>
              <w:rPr>
                <w:rFonts w:ascii="微软雅黑" w:hAnsi="微软雅黑" w:eastAsia="微软雅黑" w:cs="微软雅黑"/>
                <w:i/>
                <w:iCs/>
                <w:color w:val="000000"/>
                <w:sz w:val="16"/>
                <w:szCs w:val="16"/>
              </w:rPr>
            </w:pPr>
          </w:p>
        </w:tc>
      </w:tr>
      <w:tr w14:paraId="2EE5E8D9">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6875E">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E0F9D">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C6222">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E868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2DC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5EBD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394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E046B3">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711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2D73B">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61B32">
            <w:pPr>
              <w:jc w:val="center"/>
              <w:rPr>
                <w:rFonts w:ascii="微软雅黑" w:hAnsi="微软雅黑" w:eastAsia="微软雅黑" w:cs="微软雅黑"/>
                <w:i/>
                <w:iCs/>
                <w:color w:val="000000"/>
                <w:sz w:val="16"/>
                <w:szCs w:val="16"/>
              </w:rPr>
            </w:pPr>
          </w:p>
        </w:tc>
      </w:tr>
      <w:tr w14:paraId="1637846B">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FF5AD">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F72C5">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1D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893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C7B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164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61EF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C5D4A">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CD7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418CD">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DEC5">
            <w:pPr>
              <w:jc w:val="center"/>
              <w:rPr>
                <w:rFonts w:ascii="微软雅黑" w:hAnsi="微软雅黑" w:eastAsia="微软雅黑" w:cs="微软雅黑"/>
                <w:i/>
                <w:iCs/>
                <w:color w:val="000000"/>
                <w:sz w:val="16"/>
                <w:szCs w:val="16"/>
              </w:rPr>
            </w:pPr>
          </w:p>
        </w:tc>
      </w:tr>
      <w:tr w14:paraId="13CAB514">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3948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2D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E9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3C23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6A0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035E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99C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50866">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B7E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47CCA">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50CB">
            <w:pPr>
              <w:jc w:val="center"/>
              <w:rPr>
                <w:rFonts w:ascii="微软雅黑" w:hAnsi="微软雅黑" w:eastAsia="微软雅黑" w:cs="微软雅黑"/>
                <w:i/>
                <w:iCs/>
                <w:color w:val="000000"/>
                <w:sz w:val="16"/>
                <w:szCs w:val="16"/>
              </w:rPr>
            </w:pPr>
          </w:p>
        </w:tc>
      </w:tr>
      <w:tr w14:paraId="7CACBFDC">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2A0737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20F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83D51">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6CCE">
            <w:pPr>
              <w:rPr>
                <w:rFonts w:ascii="宋体" w:hAnsi="宋体" w:cs="宋体"/>
                <w:color w:val="000000"/>
                <w:sz w:val="18"/>
                <w:szCs w:val="18"/>
              </w:rPr>
            </w:pPr>
          </w:p>
        </w:tc>
      </w:tr>
      <w:tr w14:paraId="04D3DB22">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1D9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2E0C9DB">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严格执行相关政策，保障独生子女奖励费缴费及时</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缴纳</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w:t>
            </w:r>
          </w:p>
        </w:tc>
      </w:tr>
      <w:tr w14:paraId="6FA17B42">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F0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B711092">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DA02D07">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6E5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E640C36">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22E766D5">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4F698FB">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593FE6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61958EA9">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00E24045">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6CE4410E">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77AF7FEE">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45EF1560">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686F86CF">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5B9DBDF9">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356C6A52">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07198394">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259C239F">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11222D68">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5C6B970E">
            <w:pPr>
              <w:rPr>
                <w:rFonts w:ascii="宋体" w:hAnsi="宋体" w:cs="宋体"/>
                <w:color w:val="000000"/>
                <w:sz w:val="18"/>
                <w:szCs w:val="18"/>
              </w:rPr>
            </w:pPr>
          </w:p>
        </w:tc>
      </w:tr>
      <w:tr w14:paraId="4953AB31">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7F33EF21">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2C63001F">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25BF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200F15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51042221Y000000067570-公用经费-公务员、参公人员交通补贴</w:t>
            </w:r>
          </w:p>
        </w:tc>
      </w:tr>
      <w:tr w14:paraId="663C3CE9">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B3B7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86D487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132DF11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B2E2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6D764A3F">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92081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9FB523">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68B57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5E6DBEE">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17B4AB29">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F21EC">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18845">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9A4F16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保障单位日常运转，保障交通补贴及时发放、足额发放</w:t>
            </w:r>
            <w:r>
              <w:rPr>
                <w:rFonts w:hint="eastAsia" w:ascii="宋体" w:hAnsi="宋体" w:cs="宋体"/>
                <w:color w:val="000000"/>
                <w:kern w:val="0"/>
                <w:sz w:val="18"/>
                <w:szCs w:val="18"/>
                <w:lang w:bidi="ar"/>
              </w:rPr>
              <w:t>，</w:t>
            </w:r>
            <w:r>
              <w:rPr>
                <w:rFonts w:ascii="宋体" w:hAnsi="宋体" w:cs="宋体"/>
                <w:color w:val="000000"/>
                <w:kern w:val="0"/>
                <w:sz w:val="18"/>
                <w:szCs w:val="18"/>
                <w:lang w:bidi="ar"/>
              </w:rPr>
              <w:t>提高预算编制质量，严格执行预算</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A87C5B">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保障单位日常运转，保障交通补贴及时发放、足额发放</w:t>
            </w:r>
            <w:r>
              <w:rPr>
                <w:rFonts w:hint="eastAsia" w:ascii="宋体" w:hAnsi="宋体" w:cs="宋体"/>
                <w:color w:val="000000"/>
                <w:kern w:val="0"/>
                <w:sz w:val="18"/>
                <w:szCs w:val="18"/>
                <w:lang w:bidi="ar"/>
              </w:rPr>
              <w:t>，</w:t>
            </w:r>
            <w:r>
              <w:rPr>
                <w:rFonts w:ascii="宋体" w:hAnsi="宋体" w:cs="宋体"/>
                <w:color w:val="000000"/>
                <w:kern w:val="0"/>
                <w:sz w:val="18"/>
                <w:szCs w:val="18"/>
                <w:lang w:bidi="ar"/>
              </w:rPr>
              <w:t>提高预算编制质量，严格执行预算</w:t>
            </w:r>
          </w:p>
        </w:tc>
      </w:tr>
      <w:tr w14:paraId="1085F722">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529AF">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51BE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8766851">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发放交通补贴</w:t>
            </w:r>
            <w:r>
              <w:rPr>
                <w:rFonts w:hint="eastAsia" w:ascii="宋体" w:hAnsi="宋体" w:cs="宋体"/>
                <w:color w:val="000000"/>
                <w:sz w:val="18"/>
                <w:szCs w:val="18"/>
              </w:rPr>
              <w:t>等，并及时进行核对及账务处理</w:t>
            </w:r>
          </w:p>
        </w:tc>
      </w:tr>
      <w:tr w14:paraId="6BDCB997">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BF3B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862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085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3F7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97A1B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EA3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A7C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6E84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9A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4FF24832">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6DFC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2AF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4C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8.28</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C1D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6.93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71DA3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6.93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243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930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E7919">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6C6C8C">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413B57DC">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40CC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CC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24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8.28</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B79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6.93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6F191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6.93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F37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D02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46E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252C7">
            <w:pPr>
              <w:rPr>
                <w:rFonts w:ascii="黑体" w:hAnsi="黑体" w:eastAsia="黑体" w:cs="黑体"/>
                <w:i/>
                <w:iCs/>
                <w:color w:val="000000"/>
                <w:sz w:val="18"/>
                <w:szCs w:val="18"/>
              </w:rPr>
            </w:pPr>
          </w:p>
        </w:tc>
      </w:tr>
      <w:tr w14:paraId="7F50D467">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890D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DB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95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199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8978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6F9B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FD20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D8C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57511">
            <w:pPr>
              <w:rPr>
                <w:rFonts w:ascii="黑体" w:hAnsi="黑体" w:eastAsia="黑体" w:cs="黑体"/>
                <w:i/>
                <w:iCs/>
                <w:color w:val="000000"/>
                <w:sz w:val="18"/>
                <w:szCs w:val="18"/>
              </w:rPr>
            </w:pPr>
          </w:p>
        </w:tc>
      </w:tr>
      <w:tr w14:paraId="63E850FB">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231E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9A9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21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E3AB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70CD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E0DB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F64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F32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1BECE">
            <w:pPr>
              <w:rPr>
                <w:rFonts w:ascii="黑体" w:hAnsi="黑体" w:eastAsia="黑体" w:cs="黑体"/>
                <w:i/>
                <w:iCs/>
                <w:color w:val="000000"/>
                <w:sz w:val="18"/>
                <w:szCs w:val="18"/>
              </w:rPr>
            </w:pPr>
          </w:p>
        </w:tc>
      </w:tr>
      <w:tr w14:paraId="3F160F36">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A2CA1">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9B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1595">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C9E18">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8BFAA7">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1B9B6">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BB45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8888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13081">
            <w:pPr>
              <w:rPr>
                <w:rFonts w:ascii="黑体" w:hAnsi="黑体" w:eastAsia="黑体" w:cs="黑体"/>
                <w:i/>
                <w:iCs/>
                <w:color w:val="000000"/>
                <w:sz w:val="18"/>
                <w:szCs w:val="18"/>
              </w:rPr>
            </w:pPr>
          </w:p>
        </w:tc>
      </w:tr>
      <w:tr w14:paraId="55DFA002">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F933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B2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CA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856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B9A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E4D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D08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E9F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38E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48D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2C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05385D7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542F8">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17249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0F5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D62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6F5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B2C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B28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38768">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8593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1595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410E">
            <w:pPr>
              <w:jc w:val="center"/>
              <w:rPr>
                <w:rFonts w:ascii="微软雅黑" w:hAnsi="微软雅黑" w:eastAsia="微软雅黑" w:cs="微软雅黑"/>
                <w:i/>
                <w:iCs/>
                <w:color w:val="000000"/>
                <w:sz w:val="16"/>
                <w:szCs w:val="16"/>
              </w:rPr>
            </w:pPr>
          </w:p>
        </w:tc>
      </w:tr>
      <w:tr w14:paraId="2D84FE66">
        <w:tblPrEx>
          <w:tblCellMar>
            <w:top w:w="0" w:type="dxa"/>
            <w:left w:w="108" w:type="dxa"/>
            <w:bottom w:w="0" w:type="dxa"/>
            <w:right w:w="108" w:type="dxa"/>
          </w:tblCellMar>
        </w:tblPrEx>
        <w:trPr>
          <w:trHeight w:val="67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37A60B">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227EC4">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1A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60D2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预算编制准确率（计算方法为：∣（执行数-预算数）/预算数∣）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A3F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529F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075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CD8657">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4396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DAA7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711D">
            <w:pPr>
              <w:jc w:val="center"/>
              <w:rPr>
                <w:rFonts w:ascii="微软雅黑" w:hAnsi="微软雅黑" w:eastAsia="微软雅黑" w:cs="微软雅黑"/>
                <w:i/>
                <w:iCs/>
                <w:color w:val="000000"/>
                <w:sz w:val="16"/>
                <w:szCs w:val="16"/>
              </w:rPr>
            </w:pPr>
          </w:p>
        </w:tc>
      </w:tr>
      <w:tr w14:paraId="2414DADD">
        <w:tblPrEx>
          <w:tblCellMar>
            <w:top w:w="0" w:type="dxa"/>
            <w:left w:w="108" w:type="dxa"/>
            <w:bottom w:w="0" w:type="dxa"/>
            <w:right w:w="108" w:type="dxa"/>
          </w:tblCellMar>
        </w:tblPrEx>
        <w:trPr>
          <w:trHeight w:val="904"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979CD9">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3C3A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A1A0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6AD6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eastAsia="zh-CN" w:bidi="ar"/>
              </w:rPr>
              <w:t>“三公”经费</w:t>
            </w:r>
            <w:r>
              <w:rPr>
                <w:rFonts w:ascii="宋体" w:hAnsi="宋体" w:cs="宋体"/>
                <w:color w:val="000000"/>
                <w:kern w:val="0"/>
                <w:sz w:val="18"/>
                <w:szCs w:val="18"/>
                <w:lang w:bidi="ar"/>
              </w:rPr>
              <w:t>控制率[计算方法为：（三公经费实际支出数/预算安排数]×100%）</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7A2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C72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9AA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55118">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B68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3C50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0F14">
            <w:pPr>
              <w:jc w:val="center"/>
              <w:rPr>
                <w:rFonts w:ascii="微软雅黑" w:hAnsi="微软雅黑" w:eastAsia="微软雅黑" w:cs="微软雅黑"/>
                <w:i/>
                <w:iCs/>
                <w:color w:val="000000"/>
                <w:sz w:val="16"/>
                <w:szCs w:val="16"/>
              </w:rPr>
            </w:pPr>
          </w:p>
        </w:tc>
      </w:tr>
      <w:tr w14:paraId="7F9FD4B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CAA41">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9A8C8">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CD1EA">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BE6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运转保障率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2B35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B6CC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BA73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DCD97">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43A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72A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B1BD5">
            <w:pPr>
              <w:jc w:val="center"/>
              <w:rPr>
                <w:rFonts w:ascii="微软雅黑" w:hAnsi="微软雅黑" w:eastAsia="微软雅黑" w:cs="微软雅黑"/>
                <w:i/>
                <w:iCs/>
                <w:color w:val="000000"/>
                <w:sz w:val="16"/>
                <w:szCs w:val="16"/>
              </w:rPr>
            </w:pPr>
          </w:p>
        </w:tc>
      </w:tr>
      <w:tr w14:paraId="7DA70CDC">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94F4B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99A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EFA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A19C">
            <w:pPr>
              <w:rPr>
                <w:rFonts w:ascii="宋体" w:hAnsi="宋体" w:cs="宋体"/>
                <w:color w:val="000000"/>
                <w:sz w:val="18"/>
                <w:szCs w:val="18"/>
              </w:rPr>
            </w:pPr>
          </w:p>
        </w:tc>
      </w:tr>
      <w:tr w14:paraId="6DC7C342">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91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C12120A">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严格执行相关政策，保障交通补贴及时</w:t>
            </w:r>
            <w:r>
              <w:rPr>
                <w:rFonts w:hint="eastAsia" w:ascii="宋体" w:hAnsi="宋体" w:cs="宋体"/>
                <w:color w:val="000000"/>
                <w:kern w:val="0"/>
                <w:sz w:val="18"/>
                <w:szCs w:val="18"/>
                <w:lang w:bidi="ar"/>
              </w:rPr>
              <w:t>发放</w:t>
            </w:r>
            <w:r>
              <w:rPr>
                <w:rFonts w:ascii="宋体" w:hAnsi="宋体" w:cs="宋体"/>
                <w:color w:val="000000"/>
                <w:kern w:val="0"/>
                <w:sz w:val="18"/>
                <w:szCs w:val="18"/>
                <w:lang w:bidi="ar"/>
              </w:rPr>
              <w:t>、足额</w:t>
            </w:r>
            <w:r>
              <w:rPr>
                <w:rFonts w:hint="eastAsia" w:ascii="宋体" w:hAnsi="宋体" w:cs="宋体"/>
                <w:color w:val="000000"/>
                <w:kern w:val="0"/>
                <w:sz w:val="18"/>
                <w:szCs w:val="18"/>
                <w:lang w:bidi="ar"/>
              </w:rPr>
              <w:t>发放</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w:t>
            </w:r>
          </w:p>
        </w:tc>
      </w:tr>
      <w:tr w14:paraId="122F4792">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FE3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B87E74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3E7CBF67">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9BF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F530C88">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23B45383">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D7B1C9B">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4E6620E">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4FC249D7">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715F611A">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6651B642">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0F946359">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5FBB5B15">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40C7B25D">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7B451DE4">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20AE030C">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269D690B">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2516D0C8">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07A4E2EA">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52631ECC">
            <w:pPr>
              <w:rPr>
                <w:rFonts w:ascii="宋体" w:hAnsi="宋体" w:cs="宋体"/>
                <w:color w:val="000000"/>
                <w:sz w:val="18"/>
                <w:szCs w:val="18"/>
              </w:rPr>
            </w:pPr>
          </w:p>
        </w:tc>
      </w:tr>
      <w:tr w14:paraId="430151DD">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ED0D1AC">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1637D830">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9D51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9F08E4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51042221Y000000067571-公用经费-各单位金财网网络运行维护费</w:t>
            </w:r>
          </w:p>
        </w:tc>
      </w:tr>
      <w:tr w14:paraId="5203A21E">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6540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7EBC9E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4582B94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DCCB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02747335">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3CD91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C44F7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99D9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6850AD2">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43380CFF">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7F176">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DA31E">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255664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保障单位</w:t>
            </w:r>
            <w:r>
              <w:rPr>
                <w:rFonts w:hint="eastAsia" w:ascii="宋体" w:hAnsi="宋体" w:cs="宋体"/>
                <w:color w:val="000000"/>
                <w:kern w:val="0"/>
                <w:sz w:val="18"/>
                <w:szCs w:val="18"/>
                <w:lang w:bidi="ar"/>
              </w:rPr>
              <w:t>金财网</w:t>
            </w:r>
            <w:r>
              <w:rPr>
                <w:rFonts w:ascii="宋体" w:hAnsi="宋体" w:cs="宋体"/>
                <w:color w:val="000000"/>
                <w:kern w:val="0"/>
                <w:sz w:val="18"/>
                <w:szCs w:val="18"/>
                <w:lang w:bidi="ar"/>
              </w:rPr>
              <w:t>日常运转，提高预算编制质量，严格执行预算</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1AB4BE2">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保障单位</w:t>
            </w:r>
            <w:r>
              <w:rPr>
                <w:rFonts w:hint="eastAsia" w:ascii="宋体" w:hAnsi="宋体" w:cs="宋体"/>
                <w:color w:val="000000"/>
                <w:kern w:val="0"/>
                <w:sz w:val="18"/>
                <w:szCs w:val="18"/>
                <w:lang w:bidi="ar"/>
              </w:rPr>
              <w:t>金财网</w:t>
            </w:r>
            <w:r>
              <w:rPr>
                <w:rFonts w:ascii="宋体" w:hAnsi="宋体" w:cs="宋体"/>
                <w:color w:val="000000"/>
                <w:kern w:val="0"/>
                <w:sz w:val="18"/>
                <w:szCs w:val="18"/>
                <w:lang w:bidi="ar"/>
              </w:rPr>
              <w:t>日常运转，提高预算编制质量，严格执行预算</w:t>
            </w:r>
          </w:p>
        </w:tc>
      </w:tr>
      <w:tr w14:paraId="400F6F9E">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BA422">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F7C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DE42E07">
            <w:pPr>
              <w:rPr>
                <w:rFonts w:ascii="宋体" w:hAnsi="宋体" w:cs="宋体"/>
                <w:color w:val="000000"/>
                <w:sz w:val="18"/>
                <w:szCs w:val="18"/>
              </w:rPr>
            </w:pPr>
            <w:r>
              <w:rPr>
                <w:rFonts w:hint="eastAsia" w:ascii="宋体" w:hAnsi="宋体" w:cs="宋体"/>
                <w:color w:val="000000"/>
                <w:sz w:val="18"/>
                <w:szCs w:val="18"/>
              </w:rPr>
              <w:t>按财政安排及金财网维护合同</w:t>
            </w:r>
            <w:r>
              <w:rPr>
                <w:rFonts w:hint="eastAsia" w:ascii="宋体" w:hAnsi="宋体" w:cs="宋体"/>
                <w:color w:val="000000"/>
                <w:kern w:val="0"/>
                <w:sz w:val="18"/>
                <w:szCs w:val="18"/>
                <w:lang w:bidi="ar"/>
              </w:rPr>
              <w:t>支付</w:t>
            </w:r>
            <w:r>
              <w:rPr>
                <w:rFonts w:hint="eastAsia" w:ascii="宋体" w:hAnsi="宋体" w:cs="宋体"/>
                <w:color w:val="000000"/>
                <w:sz w:val="18"/>
                <w:szCs w:val="18"/>
              </w:rPr>
              <w:t>，并及时进行核对及账务处理</w:t>
            </w:r>
          </w:p>
        </w:tc>
      </w:tr>
      <w:tr w14:paraId="77068525">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5296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EF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593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884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6C1F7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238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3D7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BAA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5E5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09641605">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253B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D0A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AE6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52C2D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FFEF7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1C5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218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167E2">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D34101">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73B3823A">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7764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B9A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26D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5C06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93B79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0.12</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6233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3D3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270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7736A">
            <w:pPr>
              <w:rPr>
                <w:rFonts w:ascii="黑体" w:hAnsi="黑体" w:eastAsia="黑体" w:cs="黑体"/>
                <w:i/>
                <w:iCs/>
                <w:color w:val="000000"/>
                <w:sz w:val="18"/>
                <w:szCs w:val="18"/>
              </w:rPr>
            </w:pPr>
          </w:p>
        </w:tc>
      </w:tr>
      <w:tr w14:paraId="674DBA54">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A8DC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97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A9A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2B6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2BF9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990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06DA7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2E5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2971E">
            <w:pPr>
              <w:rPr>
                <w:rFonts w:ascii="黑体" w:hAnsi="黑体" w:eastAsia="黑体" w:cs="黑体"/>
                <w:i/>
                <w:iCs/>
                <w:color w:val="000000"/>
                <w:sz w:val="18"/>
                <w:szCs w:val="18"/>
              </w:rPr>
            </w:pPr>
          </w:p>
        </w:tc>
      </w:tr>
      <w:tr w14:paraId="4DFD5A22">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7B3DC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708E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77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D2D3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928C3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A82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EF5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CAB0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CE6C7">
            <w:pPr>
              <w:rPr>
                <w:rFonts w:ascii="黑体" w:hAnsi="黑体" w:eastAsia="黑体" w:cs="黑体"/>
                <w:i/>
                <w:iCs/>
                <w:color w:val="000000"/>
                <w:sz w:val="18"/>
                <w:szCs w:val="18"/>
              </w:rPr>
            </w:pPr>
          </w:p>
        </w:tc>
      </w:tr>
      <w:tr w14:paraId="026072F4">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5ADF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FE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748D">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4DE85">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6EBC24">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0074A">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3C90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C459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3CA4D">
            <w:pPr>
              <w:rPr>
                <w:rFonts w:ascii="黑体" w:hAnsi="黑体" w:eastAsia="黑体" w:cs="黑体"/>
                <w:i/>
                <w:iCs/>
                <w:color w:val="000000"/>
                <w:sz w:val="18"/>
                <w:szCs w:val="18"/>
              </w:rPr>
            </w:pPr>
          </w:p>
        </w:tc>
      </w:tr>
      <w:tr w14:paraId="259267F2">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98B5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0A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E83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083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269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F05A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B2CF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41B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25F9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DE5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2F5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67DE86E2">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03444">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508D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FEB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7F2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872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DDC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41E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CF189">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ED4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7A2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72F2">
            <w:pPr>
              <w:jc w:val="center"/>
              <w:rPr>
                <w:rFonts w:ascii="微软雅黑" w:hAnsi="微软雅黑" w:eastAsia="微软雅黑" w:cs="微软雅黑"/>
                <w:i/>
                <w:iCs/>
                <w:color w:val="000000"/>
                <w:sz w:val="16"/>
                <w:szCs w:val="16"/>
              </w:rPr>
            </w:pPr>
          </w:p>
        </w:tc>
      </w:tr>
      <w:tr w14:paraId="3C5F3E97">
        <w:tblPrEx>
          <w:tblCellMar>
            <w:top w:w="0" w:type="dxa"/>
            <w:left w:w="108" w:type="dxa"/>
            <w:bottom w:w="0" w:type="dxa"/>
            <w:right w:w="108" w:type="dxa"/>
          </w:tblCellMar>
        </w:tblPrEx>
        <w:trPr>
          <w:trHeight w:val="67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219F7F">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92C28">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A5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BC2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预算编制准确率（计算方法为：∣（执行数-预算数）/预算数∣）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BEE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F1B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E9C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BC9E1">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BE9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75189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E8A7">
            <w:pPr>
              <w:jc w:val="center"/>
              <w:rPr>
                <w:rFonts w:ascii="微软雅黑" w:hAnsi="微软雅黑" w:eastAsia="微软雅黑" w:cs="微软雅黑"/>
                <w:i/>
                <w:iCs/>
                <w:color w:val="000000"/>
                <w:sz w:val="16"/>
                <w:szCs w:val="16"/>
              </w:rPr>
            </w:pPr>
          </w:p>
        </w:tc>
      </w:tr>
      <w:tr w14:paraId="572B1C24">
        <w:tblPrEx>
          <w:tblCellMar>
            <w:top w:w="0" w:type="dxa"/>
            <w:left w:w="108" w:type="dxa"/>
            <w:bottom w:w="0" w:type="dxa"/>
            <w:right w:w="108" w:type="dxa"/>
          </w:tblCellMar>
        </w:tblPrEx>
        <w:trPr>
          <w:trHeight w:val="904"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EDD3E">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944E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1AA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6E1C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eastAsia="zh-CN" w:bidi="ar"/>
              </w:rPr>
              <w:t>“三公”经费</w:t>
            </w:r>
            <w:r>
              <w:rPr>
                <w:rFonts w:ascii="宋体" w:hAnsi="宋体" w:cs="宋体"/>
                <w:color w:val="000000"/>
                <w:kern w:val="0"/>
                <w:sz w:val="18"/>
                <w:szCs w:val="18"/>
                <w:lang w:bidi="ar"/>
              </w:rPr>
              <w:t>控制率[计算方法为：（三公经费实际支出数/预算安排数]×100%）</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62A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67E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5A6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5FB6C">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EF50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083F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36ED">
            <w:pPr>
              <w:jc w:val="center"/>
              <w:rPr>
                <w:rFonts w:ascii="微软雅黑" w:hAnsi="微软雅黑" w:eastAsia="微软雅黑" w:cs="微软雅黑"/>
                <w:i/>
                <w:iCs/>
                <w:color w:val="000000"/>
                <w:sz w:val="16"/>
                <w:szCs w:val="16"/>
              </w:rPr>
            </w:pPr>
          </w:p>
        </w:tc>
      </w:tr>
      <w:tr w14:paraId="1B989C0E">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96B1F">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6CB0C">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9E125">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0D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运转保障率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A46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51C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3F641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A6097">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88E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A431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051BE">
            <w:pPr>
              <w:jc w:val="center"/>
              <w:rPr>
                <w:rFonts w:ascii="微软雅黑" w:hAnsi="微软雅黑" w:eastAsia="微软雅黑" w:cs="微软雅黑"/>
                <w:i/>
                <w:iCs/>
                <w:color w:val="000000"/>
                <w:sz w:val="16"/>
                <w:szCs w:val="16"/>
              </w:rPr>
            </w:pPr>
          </w:p>
        </w:tc>
      </w:tr>
      <w:tr w14:paraId="1BD584ED">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F14B3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496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1C4B1">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47BD">
            <w:pPr>
              <w:rPr>
                <w:rFonts w:ascii="宋体" w:hAnsi="宋体" w:cs="宋体"/>
                <w:color w:val="000000"/>
                <w:sz w:val="18"/>
                <w:szCs w:val="18"/>
              </w:rPr>
            </w:pPr>
          </w:p>
        </w:tc>
      </w:tr>
      <w:tr w14:paraId="16E0B9A4">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79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01EBA71">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w:t>
            </w:r>
            <w:r>
              <w:rPr>
                <w:rFonts w:hint="eastAsia" w:ascii="宋体" w:hAnsi="宋体" w:cs="宋体"/>
                <w:color w:val="000000"/>
                <w:kern w:val="0"/>
                <w:sz w:val="18"/>
                <w:szCs w:val="18"/>
                <w:lang w:bidi="ar"/>
              </w:rPr>
              <w:t>金财网正常运行</w:t>
            </w:r>
            <w:r>
              <w:rPr>
                <w:rFonts w:ascii="宋体" w:hAnsi="宋体" w:cs="宋体"/>
                <w:color w:val="000000"/>
                <w:kern w:val="0"/>
                <w:sz w:val="18"/>
                <w:szCs w:val="18"/>
                <w:lang w:bidi="ar"/>
              </w:rPr>
              <w:t>，预算编制科学合理，</w:t>
            </w:r>
            <w:r>
              <w:rPr>
                <w:rFonts w:hint="eastAsia" w:ascii="宋体" w:hAnsi="宋体" w:cs="宋体"/>
                <w:color w:val="000000"/>
                <w:kern w:val="0"/>
                <w:sz w:val="18"/>
                <w:szCs w:val="18"/>
                <w:lang w:bidi="ar"/>
              </w:rPr>
              <w:t>完成率100%，无结余。</w:t>
            </w:r>
          </w:p>
        </w:tc>
      </w:tr>
      <w:tr w14:paraId="0610AC98">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22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F10F71C">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29105BD5">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B78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63DABA3">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542525C6">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AA49ED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F6C0D7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5101588B">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62D6EAE3">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71BD6DA2">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5BFF0FDB">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6487EDE5">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4EBC147A">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464B2BB">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1BC8645E">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546ADD8F">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8EB7B6C">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75FE5B6A">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00DEC49B">
            <w:pPr>
              <w:rPr>
                <w:rFonts w:ascii="宋体" w:hAnsi="宋体" w:cs="宋体"/>
                <w:color w:val="000000"/>
                <w:sz w:val="18"/>
                <w:szCs w:val="18"/>
              </w:rPr>
            </w:pPr>
          </w:p>
        </w:tc>
      </w:tr>
      <w:tr w14:paraId="6B73B288">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6A1F040E">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7E616553">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0182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5053812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51042221Y000000102324-公用经费-离退休人员（行政）</w:t>
            </w:r>
          </w:p>
        </w:tc>
      </w:tr>
      <w:tr w14:paraId="5F3FEC41">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BDA1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0DF95F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0828F511">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4B9E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069C9DA6">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70DA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18ECD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6B83E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D96B5D1">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53678B8E">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704F8">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FD66B7">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E1FAFF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保障单位</w:t>
            </w:r>
            <w:r>
              <w:rPr>
                <w:rFonts w:hint="eastAsia" w:ascii="宋体" w:hAnsi="宋体" w:cs="宋体"/>
                <w:color w:val="000000"/>
                <w:kern w:val="0"/>
                <w:sz w:val="18"/>
                <w:szCs w:val="18"/>
                <w:lang w:bidi="ar"/>
              </w:rPr>
              <w:t>离退休人员经费</w:t>
            </w:r>
            <w:r>
              <w:rPr>
                <w:rFonts w:ascii="宋体" w:hAnsi="宋体" w:cs="宋体"/>
                <w:color w:val="000000"/>
                <w:kern w:val="0"/>
                <w:sz w:val="18"/>
                <w:szCs w:val="18"/>
                <w:lang w:bidi="ar"/>
              </w:rPr>
              <w:t>，提高预算编制质量，严格执行预算</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CDA7BA9">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保障单位</w:t>
            </w:r>
            <w:r>
              <w:rPr>
                <w:rFonts w:hint="eastAsia" w:ascii="宋体" w:hAnsi="宋体" w:cs="宋体"/>
                <w:color w:val="000000"/>
                <w:kern w:val="0"/>
                <w:sz w:val="18"/>
                <w:szCs w:val="18"/>
                <w:lang w:bidi="ar"/>
              </w:rPr>
              <w:t>离退休人员</w:t>
            </w:r>
            <w:r>
              <w:rPr>
                <w:rFonts w:ascii="宋体" w:hAnsi="宋体" w:cs="宋体"/>
                <w:color w:val="000000"/>
                <w:kern w:val="0"/>
                <w:sz w:val="18"/>
                <w:szCs w:val="18"/>
                <w:lang w:bidi="ar"/>
              </w:rPr>
              <w:t>运转，提高预算编制质量，严格执行预算</w:t>
            </w:r>
          </w:p>
        </w:tc>
      </w:tr>
      <w:tr w14:paraId="2325519A">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F27E57">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BF3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22D5AE3A">
            <w:pPr>
              <w:rPr>
                <w:rFonts w:ascii="宋体" w:hAnsi="宋体" w:cs="宋体"/>
                <w:color w:val="000000"/>
                <w:sz w:val="18"/>
                <w:szCs w:val="18"/>
              </w:rPr>
            </w:pPr>
            <w:r>
              <w:rPr>
                <w:rFonts w:hint="eastAsia" w:ascii="宋体" w:hAnsi="宋体" w:cs="宋体"/>
                <w:color w:val="000000"/>
                <w:sz w:val="18"/>
                <w:szCs w:val="18"/>
              </w:rPr>
              <w:t>按财政安排及退休人员活动开展情况据实支付，并及时进行核对及账务处理</w:t>
            </w:r>
          </w:p>
        </w:tc>
      </w:tr>
      <w:tr w14:paraId="4DB90DF3">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9321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33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267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518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13960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333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B50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456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38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78B4730D">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4D25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F5F0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4E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2C8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6B99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BED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87E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BF058">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344250">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1CBA200D">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577F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42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D5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85D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A724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0.50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D0EF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1A4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748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95ADE">
            <w:pPr>
              <w:rPr>
                <w:rFonts w:ascii="黑体" w:hAnsi="黑体" w:eastAsia="黑体" w:cs="黑体"/>
                <w:i/>
                <w:iCs/>
                <w:color w:val="000000"/>
                <w:sz w:val="18"/>
                <w:szCs w:val="18"/>
              </w:rPr>
            </w:pPr>
          </w:p>
        </w:tc>
      </w:tr>
      <w:tr w14:paraId="5A82A46A">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62AA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31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79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EB6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ECAEE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DF4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925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54B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97373">
            <w:pPr>
              <w:rPr>
                <w:rFonts w:ascii="黑体" w:hAnsi="黑体" w:eastAsia="黑体" w:cs="黑体"/>
                <w:i/>
                <w:iCs/>
                <w:color w:val="000000"/>
                <w:sz w:val="18"/>
                <w:szCs w:val="18"/>
              </w:rPr>
            </w:pPr>
          </w:p>
        </w:tc>
      </w:tr>
      <w:tr w14:paraId="3E237C42">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28C3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C9E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55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8DC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8894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764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5F9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7C15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C9EE8">
            <w:pPr>
              <w:rPr>
                <w:rFonts w:ascii="黑体" w:hAnsi="黑体" w:eastAsia="黑体" w:cs="黑体"/>
                <w:i/>
                <w:iCs/>
                <w:color w:val="000000"/>
                <w:sz w:val="18"/>
                <w:szCs w:val="18"/>
              </w:rPr>
            </w:pPr>
          </w:p>
        </w:tc>
      </w:tr>
      <w:tr w14:paraId="5681D9FA">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76297">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EBE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226D">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BB1AD0">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2E0CD77">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2647C">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D5BA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42C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7CC20">
            <w:pPr>
              <w:rPr>
                <w:rFonts w:ascii="黑体" w:hAnsi="黑体" w:eastAsia="黑体" w:cs="黑体"/>
                <w:i/>
                <w:iCs/>
                <w:color w:val="000000"/>
                <w:sz w:val="18"/>
                <w:szCs w:val="18"/>
              </w:rPr>
            </w:pPr>
          </w:p>
        </w:tc>
      </w:tr>
      <w:tr w14:paraId="1A335970">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29D1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2BA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1FB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275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A638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BE8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0715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1876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18E2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9BE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E35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1EE251B2">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EBC68">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5F74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EA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435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B50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EAE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6F0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5955A2">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677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C5D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1F98">
            <w:pPr>
              <w:jc w:val="center"/>
              <w:rPr>
                <w:rFonts w:ascii="微软雅黑" w:hAnsi="微软雅黑" w:eastAsia="微软雅黑" w:cs="微软雅黑"/>
                <w:i/>
                <w:iCs/>
                <w:color w:val="000000"/>
                <w:sz w:val="16"/>
                <w:szCs w:val="16"/>
              </w:rPr>
            </w:pPr>
          </w:p>
        </w:tc>
      </w:tr>
      <w:tr w14:paraId="27E6DFB8">
        <w:tblPrEx>
          <w:tblCellMar>
            <w:top w:w="0" w:type="dxa"/>
            <w:left w:w="108" w:type="dxa"/>
            <w:bottom w:w="0" w:type="dxa"/>
            <w:right w:w="108" w:type="dxa"/>
          </w:tblCellMar>
        </w:tblPrEx>
        <w:trPr>
          <w:trHeight w:val="67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B432B">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CC455">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68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3FC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预算编制准确率（计算方法为：∣（执行数-预算数）/预算数∣）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37B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99FA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16B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CA68E">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0D5F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B14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3F54">
            <w:pPr>
              <w:jc w:val="center"/>
              <w:rPr>
                <w:rFonts w:ascii="微软雅黑" w:hAnsi="微软雅黑" w:eastAsia="微软雅黑" w:cs="微软雅黑"/>
                <w:i/>
                <w:iCs/>
                <w:color w:val="000000"/>
                <w:sz w:val="16"/>
                <w:szCs w:val="16"/>
              </w:rPr>
            </w:pPr>
          </w:p>
        </w:tc>
      </w:tr>
      <w:tr w14:paraId="53EC5EE7">
        <w:tblPrEx>
          <w:tblCellMar>
            <w:top w:w="0" w:type="dxa"/>
            <w:left w:w="108" w:type="dxa"/>
            <w:bottom w:w="0" w:type="dxa"/>
            <w:right w:w="108" w:type="dxa"/>
          </w:tblCellMar>
        </w:tblPrEx>
        <w:trPr>
          <w:trHeight w:val="904"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EDD56">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FA7D8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7B6C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3B09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eastAsia="zh-CN" w:bidi="ar"/>
              </w:rPr>
              <w:t>“三公”经费</w:t>
            </w:r>
            <w:r>
              <w:rPr>
                <w:rFonts w:ascii="宋体" w:hAnsi="宋体" w:cs="宋体"/>
                <w:color w:val="000000"/>
                <w:kern w:val="0"/>
                <w:sz w:val="18"/>
                <w:szCs w:val="18"/>
                <w:lang w:bidi="ar"/>
              </w:rPr>
              <w:t>控制率[计算方法为：（三公经费实际支出数/预算安排数]×100%）</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4AB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A47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C67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C9F3B">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F20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FBD8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EA96">
            <w:pPr>
              <w:jc w:val="center"/>
              <w:rPr>
                <w:rFonts w:ascii="微软雅黑" w:hAnsi="微软雅黑" w:eastAsia="微软雅黑" w:cs="微软雅黑"/>
                <w:i/>
                <w:iCs/>
                <w:color w:val="000000"/>
                <w:sz w:val="16"/>
                <w:szCs w:val="16"/>
              </w:rPr>
            </w:pPr>
          </w:p>
        </w:tc>
      </w:tr>
      <w:tr w14:paraId="3A0B006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10E4A">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3D9D7">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B6CAE">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87D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运转保障率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C638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022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EC2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BAE08">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B3C6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EE02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F6A1E">
            <w:pPr>
              <w:jc w:val="center"/>
              <w:rPr>
                <w:rFonts w:ascii="微软雅黑" w:hAnsi="微软雅黑" w:eastAsia="微软雅黑" w:cs="微软雅黑"/>
                <w:i/>
                <w:iCs/>
                <w:color w:val="000000"/>
                <w:sz w:val="16"/>
                <w:szCs w:val="16"/>
              </w:rPr>
            </w:pPr>
          </w:p>
        </w:tc>
      </w:tr>
      <w:tr w14:paraId="38CF6076">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719273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03A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90A81">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BF1F">
            <w:pPr>
              <w:rPr>
                <w:rFonts w:ascii="宋体" w:hAnsi="宋体" w:cs="宋体"/>
                <w:color w:val="000000"/>
                <w:sz w:val="18"/>
                <w:szCs w:val="18"/>
              </w:rPr>
            </w:pPr>
          </w:p>
        </w:tc>
      </w:tr>
      <w:tr w14:paraId="29C15411">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77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1D801D6">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40748461">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BD2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0075D143">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B911B53">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9A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09370E8">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0C6BE005">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E27867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54AECC5">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48D57A8C">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0620DC58">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643A3F55">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2D640D9A">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285B6DAE">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5CD22FD4">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2DF60640">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57A2F7C5">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514654AD">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6AE32724">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676F847D">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6C1FE87B">
            <w:pPr>
              <w:rPr>
                <w:rFonts w:ascii="宋体" w:hAnsi="宋体" w:cs="宋体"/>
                <w:color w:val="000000"/>
                <w:sz w:val="18"/>
                <w:szCs w:val="18"/>
              </w:rPr>
            </w:pPr>
          </w:p>
        </w:tc>
      </w:tr>
      <w:tr w14:paraId="542139C3">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D637E80">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1FD1AB1E">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760A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EC7AD6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51042222R000004950956-未发放2020年目标绩效奖（行政退休）</w:t>
            </w:r>
          </w:p>
        </w:tc>
      </w:tr>
      <w:tr w14:paraId="198EF5E1">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3D3B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B598B23">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3A2E68A8">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85F6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4468599A">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A60B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D72F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490D0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F0D7ED">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46F8E4C5">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75069">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AC6CE">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5C7D16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A4EBF2">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r>
      <w:tr w14:paraId="223F1577">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55F68">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26F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391F338">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25ACD798">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FFCC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1B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95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CE23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1387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E9F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390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E72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F9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0B3DA660">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9DE5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34A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F9C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E29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F7EE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781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1B5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BF5A9">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E5AF6D">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62EC8745">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63A57">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6C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6F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E78C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76A8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1.60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91DD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BA5E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9274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216B6">
            <w:pPr>
              <w:rPr>
                <w:rFonts w:ascii="黑体" w:hAnsi="黑体" w:eastAsia="黑体" w:cs="黑体"/>
                <w:i/>
                <w:iCs/>
                <w:color w:val="000000"/>
                <w:sz w:val="18"/>
                <w:szCs w:val="18"/>
              </w:rPr>
            </w:pPr>
          </w:p>
        </w:tc>
      </w:tr>
      <w:tr w14:paraId="37D94BAC">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D16C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D3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AC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5D4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9365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8EEF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6926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F04E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ECDEB">
            <w:pPr>
              <w:rPr>
                <w:rFonts w:ascii="黑体" w:hAnsi="黑体" w:eastAsia="黑体" w:cs="黑体"/>
                <w:i/>
                <w:iCs/>
                <w:color w:val="000000"/>
                <w:sz w:val="18"/>
                <w:szCs w:val="18"/>
              </w:rPr>
            </w:pPr>
          </w:p>
        </w:tc>
      </w:tr>
      <w:tr w14:paraId="0C1D6C56">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6AC6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0E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28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04A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EDFE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8F9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805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1A4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BA79F">
            <w:pPr>
              <w:rPr>
                <w:rFonts w:ascii="黑体" w:hAnsi="黑体" w:eastAsia="黑体" w:cs="黑体"/>
                <w:i/>
                <w:iCs/>
                <w:color w:val="000000"/>
                <w:sz w:val="18"/>
                <w:szCs w:val="18"/>
              </w:rPr>
            </w:pPr>
          </w:p>
        </w:tc>
      </w:tr>
      <w:tr w14:paraId="45280C5E">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DEEBA7">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58C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136E">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76C52">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CED3CA">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0F8B5">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2788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771B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89F079">
            <w:pPr>
              <w:rPr>
                <w:rFonts w:ascii="黑体" w:hAnsi="黑体" w:eastAsia="黑体" w:cs="黑体"/>
                <w:i/>
                <w:iCs/>
                <w:color w:val="000000"/>
                <w:sz w:val="18"/>
                <w:szCs w:val="18"/>
              </w:rPr>
            </w:pPr>
          </w:p>
        </w:tc>
      </w:tr>
      <w:tr w14:paraId="5A691B3E">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9C878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DA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4D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866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977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5828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3D9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A25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688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3DBD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FC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5BD5456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ED991">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1F2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ADE0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13B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9D19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0BD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D1E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91B4B">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840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0F82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3D82">
            <w:pPr>
              <w:jc w:val="center"/>
              <w:rPr>
                <w:rFonts w:ascii="微软雅黑" w:hAnsi="微软雅黑" w:eastAsia="微软雅黑" w:cs="微软雅黑"/>
                <w:i/>
                <w:iCs/>
                <w:color w:val="000000"/>
                <w:sz w:val="16"/>
                <w:szCs w:val="16"/>
              </w:rPr>
            </w:pPr>
          </w:p>
        </w:tc>
      </w:tr>
      <w:tr w14:paraId="5B3A974E">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F8C6D3">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3F77C">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DE435">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B8CD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7D6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1CFE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17F5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02F5C">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65A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B9C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529F">
            <w:pPr>
              <w:jc w:val="center"/>
              <w:rPr>
                <w:rFonts w:ascii="微软雅黑" w:hAnsi="微软雅黑" w:eastAsia="微软雅黑" w:cs="微软雅黑"/>
                <w:i/>
                <w:iCs/>
                <w:color w:val="000000"/>
                <w:sz w:val="16"/>
                <w:szCs w:val="16"/>
              </w:rPr>
            </w:pPr>
          </w:p>
        </w:tc>
      </w:tr>
      <w:tr w14:paraId="051F09C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0BD9F">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59492">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4CC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D6F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0038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621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B9F4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3CD4E">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543A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161E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A4738">
            <w:pPr>
              <w:jc w:val="center"/>
              <w:rPr>
                <w:rFonts w:ascii="微软雅黑" w:hAnsi="微软雅黑" w:eastAsia="微软雅黑" w:cs="微软雅黑"/>
                <w:i/>
                <w:iCs/>
                <w:color w:val="000000"/>
                <w:sz w:val="16"/>
                <w:szCs w:val="16"/>
              </w:rPr>
            </w:pPr>
          </w:p>
        </w:tc>
      </w:tr>
      <w:tr w14:paraId="7D2910F4">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CAEBD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CA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C18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C68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014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7BD6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BC46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B5624">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6829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AE74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E0D4">
            <w:pPr>
              <w:jc w:val="center"/>
              <w:rPr>
                <w:rFonts w:ascii="微软雅黑" w:hAnsi="微软雅黑" w:eastAsia="微软雅黑" w:cs="微软雅黑"/>
                <w:i/>
                <w:iCs/>
                <w:color w:val="000000"/>
                <w:sz w:val="16"/>
                <w:szCs w:val="16"/>
              </w:rPr>
            </w:pPr>
          </w:p>
        </w:tc>
      </w:tr>
      <w:tr w14:paraId="40B772D5">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2F7817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AB2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CE1B4">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2700">
            <w:pPr>
              <w:rPr>
                <w:rFonts w:ascii="宋体" w:hAnsi="宋体" w:cs="宋体"/>
                <w:color w:val="000000"/>
                <w:sz w:val="18"/>
                <w:szCs w:val="18"/>
              </w:rPr>
            </w:pPr>
          </w:p>
        </w:tc>
      </w:tr>
      <w:tr w14:paraId="32B6FF0E">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147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EB0F3F7">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4298B4E3">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23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A9E745D">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30171790">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D6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7BDA3FA">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71CF0ED4">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CE02BB2">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C029A10">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6876DF65">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20AD7EFB">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5C6730D5">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5E1AC63C">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00DD8847">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2BEF86F9">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58B4F8C6">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05B7C7C9">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3EFDB32D">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DEA8C61">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56CFE29E">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066ADDD4">
            <w:pPr>
              <w:rPr>
                <w:rFonts w:ascii="宋体" w:hAnsi="宋体" w:cs="宋体"/>
                <w:color w:val="000000"/>
                <w:sz w:val="18"/>
                <w:szCs w:val="18"/>
              </w:rPr>
            </w:pPr>
          </w:p>
        </w:tc>
      </w:tr>
      <w:tr w14:paraId="534640E4">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51293BD7">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6C13352A">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5946E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56F2A46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51042222R000005336430-职业年金纪实缴费</w:t>
            </w:r>
          </w:p>
        </w:tc>
      </w:tr>
      <w:tr w14:paraId="796C6FD4">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F7CB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17B0DC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4A3DE64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795571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7B20096F">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06960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3939D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12572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5AED56">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58B54C8D">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C73EC">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C0E87">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83FBE6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严格执行相关政策，保障职业年金纪实缴费及时发放、足额发放，预算编制科学合理，减少结余资金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9DDB874">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严格执行相关政策，保障职业年金纪实缴费及时发放、足额发放，预算编制科学合理，减少结余资金</w:t>
            </w:r>
          </w:p>
        </w:tc>
      </w:tr>
      <w:tr w14:paraId="088CF383">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5E1BA">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80A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64B9C782">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2D969EAC">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C0C1E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8FA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7D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B96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A226D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C56E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33C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568F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61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4030B29C">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58DF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2F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EC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D477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7.57</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CD6D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7.57</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D6A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C9F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579A9">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06483">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14BB9C60">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DC9B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D97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F1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AD8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7.57</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EA0A6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7.57</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4F7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7552E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AD4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56E91">
            <w:pPr>
              <w:rPr>
                <w:rFonts w:ascii="黑体" w:hAnsi="黑体" w:eastAsia="黑体" w:cs="黑体"/>
                <w:i/>
                <w:iCs/>
                <w:color w:val="000000"/>
                <w:sz w:val="18"/>
                <w:szCs w:val="18"/>
              </w:rPr>
            </w:pPr>
          </w:p>
        </w:tc>
      </w:tr>
      <w:tr w14:paraId="703FA223">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3D6A1">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50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5B0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3586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8599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6102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650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AE2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25F96">
            <w:pPr>
              <w:rPr>
                <w:rFonts w:ascii="黑体" w:hAnsi="黑体" w:eastAsia="黑体" w:cs="黑体"/>
                <w:i/>
                <w:iCs/>
                <w:color w:val="000000"/>
                <w:sz w:val="18"/>
                <w:szCs w:val="18"/>
              </w:rPr>
            </w:pPr>
          </w:p>
        </w:tc>
      </w:tr>
      <w:tr w14:paraId="25075456">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4191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85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20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725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1FB99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0EA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01A5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267A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EA2D2">
            <w:pPr>
              <w:rPr>
                <w:rFonts w:ascii="黑体" w:hAnsi="黑体" w:eastAsia="黑体" w:cs="黑体"/>
                <w:i/>
                <w:iCs/>
                <w:color w:val="000000"/>
                <w:sz w:val="18"/>
                <w:szCs w:val="18"/>
              </w:rPr>
            </w:pPr>
          </w:p>
        </w:tc>
      </w:tr>
      <w:tr w14:paraId="1541F5EA">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757F8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42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C493">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0B4A1">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78E4EF">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0002C">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466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2AA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C8FC2">
            <w:pPr>
              <w:rPr>
                <w:rFonts w:ascii="黑体" w:hAnsi="黑体" w:eastAsia="黑体" w:cs="黑体"/>
                <w:i/>
                <w:iCs/>
                <w:color w:val="000000"/>
                <w:sz w:val="18"/>
                <w:szCs w:val="18"/>
              </w:rPr>
            </w:pPr>
          </w:p>
        </w:tc>
      </w:tr>
      <w:tr w14:paraId="509BFC7C">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right w:val="single" w:color="000000" w:sz="4" w:space="0"/>
            </w:tcBorders>
            <w:shd w:val="clear" w:color="auto" w:fill="auto"/>
            <w:vAlign w:val="center"/>
          </w:tcPr>
          <w:p w14:paraId="707CA2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97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1D2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5563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E014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787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6A88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543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1A8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A7D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99A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14E785E3">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040752F6">
            <w:pPr>
              <w:jc w:val="center"/>
              <w:rPr>
                <w:rFonts w:ascii="宋体" w:hAnsi="宋体" w:cs="宋体"/>
                <w:color w:val="000000"/>
                <w:sz w:val="18"/>
                <w:szCs w:val="18"/>
              </w:rPr>
            </w:pPr>
          </w:p>
        </w:tc>
        <w:tc>
          <w:tcPr>
            <w:tcW w:w="1990" w:type="dxa"/>
            <w:vMerge w:val="restart"/>
            <w:tcBorders>
              <w:top w:val="single" w:color="000000" w:sz="4" w:space="0"/>
              <w:left w:val="single" w:color="000000" w:sz="4" w:space="0"/>
              <w:right w:val="single" w:color="000000" w:sz="4" w:space="0"/>
            </w:tcBorders>
            <w:shd w:val="clear" w:color="auto" w:fill="auto"/>
            <w:vAlign w:val="center"/>
          </w:tcPr>
          <w:p w14:paraId="789100E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right w:val="single" w:color="000000" w:sz="4" w:space="0"/>
            </w:tcBorders>
            <w:shd w:val="clear" w:color="auto" w:fill="auto"/>
            <w:vAlign w:val="center"/>
          </w:tcPr>
          <w:p w14:paraId="1AF561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F53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699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5DE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A802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A77FF">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084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4A9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9DEE">
            <w:pPr>
              <w:jc w:val="center"/>
              <w:rPr>
                <w:rFonts w:ascii="微软雅黑" w:hAnsi="微软雅黑" w:eastAsia="微软雅黑" w:cs="微软雅黑"/>
                <w:i/>
                <w:iCs/>
                <w:color w:val="000000"/>
                <w:sz w:val="16"/>
                <w:szCs w:val="16"/>
              </w:rPr>
            </w:pPr>
          </w:p>
        </w:tc>
      </w:tr>
      <w:tr w14:paraId="76F02E21">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7D3BD0F8">
            <w:pPr>
              <w:jc w:val="center"/>
              <w:rPr>
                <w:rFonts w:ascii="宋体" w:hAnsi="宋体" w:cs="宋体"/>
                <w:color w:val="000000"/>
                <w:sz w:val="18"/>
                <w:szCs w:val="18"/>
              </w:rPr>
            </w:pPr>
          </w:p>
        </w:tc>
        <w:tc>
          <w:tcPr>
            <w:tcW w:w="1990" w:type="dxa"/>
            <w:vMerge w:val="continue"/>
            <w:tcBorders>
              <w:left w:val="single" w:color="000000" w:sz="4" w:space="0"/>
              <w:right w:val="single" w:color="000000" w:sz="4" w:space="0"/>
            </w:tcBorders>
            <w:shd w:val="clear" w:color="auto" w:fill="auto"/>
            <w:vAlign w:val="center"/>
          </w:tcPr>
          <w:p w14:paraId="26CBEBA8">
            <w:pPr>
              <w:jc w:val="center"/>
              <w:rPr>
                <w:rFonts w:ascii="宋体" w:hAnsi="宋体" w:cs="宋体"/>
                <w:color w:val="000000"/>
                <w:sz w:val="18"/>
                <w:szCs w:val="18"/>
              </w:rPr>
            </w:pPr>
          </w:p>
        </w:tc>
        <w:tc>
          <w:tcPr>
            <w:tcW w:w="1733" w:type="dxa"/>
            <w:vMerge w:val="continue"/>
            <w:tcBorders>
              <w:left w:val="single" w:color="000000" w:sz="4" w:space="0"/>
              <w:bottom w:val="single" w:color="000000" w:sz="4" w:space="0"/>
              <w:right w:val="single" w:color="000000" w:sz="4" w:space="0"/>
            </w:tcBorders>
            <w:shd w:val="clear" w:color="auto" w:fill="auto"/>
            <w:vAlign w:val="center"/>
          </w:tcPr>
          <w:p w14:paraId="2F7979E8">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6C4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60AA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E7E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C1B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C3E43">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F85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04B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97B8">
            <w:pPr>
              <w:jc w:val="center"/>
              <w:rPr>
                <w:rFonts w:ascii="微软雅黑" w:hAnsi="微软雅黑" w:eastAsia="微软雅黑" w:cs="微软雅黑"/>
                <w:i/>
                <w:iCs/>
                <w:color w:val="000000"/>
                <w:sz w:val="16"/>
                <w:szCs w:val="16"/>
              </w:rPr>
            </w:pPr>
          </w:p>
        </w:tc>
      </w:tr>
      <w:tr w14:paraId="35995343">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43300449">
            <w:pPr>
              <w:jc w:val="center"/>
              <w:rPr>
                <w:rFonts w:ascii="宋体" w:hAnsi="宋体" w:cs="宋体"/>
                <w:color w:val="000000"/>
                <w:sz w:val="18"/>
                <w:szCs w:val="18"/>
              </w:rPr>
            </w:pPr>
          </w:p>
        </w:tc>
        <w:tc>
          <w:tcPr>
            <w:tcW w:w="1990" w:type="dxa"/>
            <w:vMerge w:val="continue"/>
            <w:tcBorders>
              <w:left w:val="single" w:color="000000" w:sz="4" w:space="0"/>
              <w:bottom w:val="single" w:color="000000" w:sz="4" w:space="0"/>
              <w:right w:val="single" w:color="000000" w:sz="4" w:space="0"/>
            </w:tcBorders>
            <w:shd w:val="clear" w:color="auto" w:fill="auto"/>
            <w:vAlign w:val="center"/>
          </w:tcPr>
          <w:p w14:paraId="535DA817">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BCD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7C78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780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AF6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8C36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468B6">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2DB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0F29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F90D9">
            <w:pPr>
              <w:jc w:val="center"/>
              <w:rPr>
                <w:rFonts w:ascii="微软雅黑" w:hAnsi="微软雅黑" w:eastAsia="微软雅黑" w:cs="微软雅黑"/>
                <w:i/>
                <w:iCs/>
                <w:color w:val="000000"/>
                <w:sz w:val="16"/>
                <w:szCs w:val="16"/>
              </w:rPr>
            </w:pPr>
          </w:p>
        </w:tc>
      </w:tr>
      <w:tr w14:paraId="1D54A01D">
        <w:tblPrEx>
          <w:tblCellMar>
            <w:top w:w="0" w:type="dxa"/>
            <w:left w:w="108" w:type="dxa"/>
            <w:bottom w:w="0" w:type="dxa"/>
            <w:right w:w="108" w:type="dxa"/>
          </w:tblCellMar>
        </w:tblPrEx>
        <w:trPr>
          <w:trHeight w:val="339" w:hRule="atLeast"/>
        </w:trPr>
        <w:tc>
          <w:tcPr>
            <w:tcW w:w="679" w:type="dxa"/>
            <w:vMerge w:val="continue"/>
            <w:tcBorders>
              <w:left w:val="single" w:color="000000" w:sz="4" w:space="0"/>
              <w:bottom w:val="single" w:color="000000" w:sz="4" w:space="0"/>
              <w:right w:val="single" w:color="000000" w:sz="4" w:space="0"/>
            </w:tcBorders>
            <w:shd w:val="clear" w:color="auto" w:fill="auto"/>
            <w:vAlign w:val="center"/>
          </w:tcPr>
          <w:p w14:paraId="5D5FF15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B5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BD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B2F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1A7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2C9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7B0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823D3">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3C1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FF6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E9BE">
            <w:pPr>
              <w:jc w:val="center"/>
              <w:rPr>
                <w:rFonts w:ascii="微软雅黑" w:hAnsi="微软雅黑" w:eastAsia="微软雅黑" w:cs="微软雅黑"/>
                <w:i/>
                <w:iCs/>
                <w:color w:val="000000"/>
                <w:sz w:val="16"/>
                <w:szCs w:val="16"/>
              </w:rPr>
            </w:pPr>
          </w:p>
        </w:tc>
      </w:tr>
      <w:tr w14:paraId="79329B61">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04F80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704F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5CAE1">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1F7B">
            <w:pPr>
              <w:rPr>
                <w:rFonts w:ascii="宋体" w:hAnsi="宋体" w:cs="宋体"/>
                <w:color w:val="000000"/>
                <w:sz w:val="18"/>
                <w:szCs w:val="18"/>
              </w:rPr>
            </w:pPr>
          </w:p>
        </w:tc>
      </w:tr>
      <w:tr w14:paraId="1DDF28B8">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FEC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7433508">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08994D9E">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657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75BA79D">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2F97FDD">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0B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6A7FF71">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0F13891B">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622E4D">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43F2AC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325DD68D">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1B18888F">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386A448A">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5A9F686A">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26E6D2BB">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7B603D29">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3B61CBE8">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596CA7A9">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4D9D6AEF">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0FB879C5">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1B1770FB">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14D8B1D3">
            <w:pPr>
              <w:rPr>
                <w:rFonts w:ascii="宋体" w:hAnsi="宋体" w:cs="宋体"/>
                <w:color w:val="000000"/>
                <w:sz w:val="18"/>
                <w:szCs w:val="18"/>
              </w:rPr>
            </w:pPr>
          </w:p>
        </w:tc>
      </w:tr>
      <w:tr w14:paraId="3D15FD16">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2165586E">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51F75744">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F8DD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124F2F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51042222R000005770870-2021年度表彰表扬奖励</w:t>
            </w:r>
          </w:p>
        </w:tc>
      </w:tr>
      <w:tr w14:paraId="3C33BE45">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7D6D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64607E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6A669920">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59F9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7E230486">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A25E6C">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DE5E1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8ACDE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330964B">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17A0C5AE">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49A15">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3B660">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421298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严格执行相关政策，保障年度表彰表扬奖励及时发放、足额发放，预算编制科学合理，减少结余资金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683EFE">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严格执行相关政策，保障年度表彰表扬奖励及时发放、足额发放，预算编制科学合理，减少结余资金</w:t>
            </w:r>
          </w:p>
        </w:tc>
      </w:tr>
      <w:tr w14:paraId="0350AD59">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5F0BF">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3C3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14956A28">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3BABAAAE">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007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E6F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01B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B051A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BD7D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E0F2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D24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697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26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0BC6C53A">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F4C1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D73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72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6A5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0.60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BE7A3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0.60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06C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CE3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198F4">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0F0420">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67BD40BF">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7CECD">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8DD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39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C90F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0.60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EA69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0.60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E25D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75B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854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9D0CD">
            <w:pPr>
              <w:rPr>
                <w:rFonts w:ascii="黑体" w:hAnsi="黑体" w:eastAsia="黑体" w:cs="黑体"/>
                <w:i/>
                <w:iCs/>
                <w:color w:val="000000"/>
                <w:sz w:val="18"/>
                <w:szCs w:val="18"/>
              </w:rPr>
            </w:pPr>
          </w:p>
        </w:tc>
      </w:tr>
      <w:tr w14:paraId="796BB3EC">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E82D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FE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589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720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5C31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72DD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AE5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5B74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0BE6B">
            <w:pPr>
              <w:rPr>
                <w:rFonts w:ascii="黑体" w:hAnsi="黑体" w:eastAsia="黑体" w:cs="黑体"/>
                <w:i/>
                <w:iCs/>
                <w:color w:val="000000"/>
                <w:sz w:val="18"/>
                <w:szCs w:val="18"/>
              </w:rPr>
            </w:pPr>
          </w:p>
        </w:tc>
      </w:tr>
      <w:tr w14:paraId="7D712F95">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DC921">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5AF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0C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B3C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BDE07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C610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360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7A82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63DCC">
            <w:pPr>
              <w:rPr>
                <w:rFonts w:ascii="黑体" w:hAnsi="黑体" w:eastAsia="黑体" w:cs="黑体"/>
                <w:i/>
                <w:iCs/>
                <w:color w:val="000000"/>
                <w:sz w:val="18"/>
                <w:szCs w:val="18"/>
              </w:rPr>
            </w:pPr>
          </w:p>
        </w:tc>
      </w:tr>
      <w:tr w14:paraId="72A3E164">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A512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D4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9461">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8F65D">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C22B041">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7053E">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557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E04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F4822">
            <w:pPr>
              <w:rPr>
                <w:rFonts w:ascii="黑体" w:hAnsi="黑体" w:eastAsia="黑体" w:cs="黑体"/>
                <w:i/>
                <w:iCs/>
                <w:color w:val="000000"/>
                <w:sz w:val="18"/>
                <w:szCs w:val="18"/>
              </w:rPr>
            </w:pPr>
          </w:p>
        </w:tc>
      </w:tr>
      <w:tr w14:paraId="0231F2BE">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92D7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93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C06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DB1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0FB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2B5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B36F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57D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4BE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D60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77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73A728F8">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93DE4">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D864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2CE8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A938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EA05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603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0B7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63633">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0A9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6C9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1D0D">
            <w:pPr>
              <w:jc w:val="center"/>
              <w:rPr>
                <w:rFonts w:ascii="微软雅黑" w:hAnsi="微软雅黑" w:eastAsia="微软雅黑" w:cs="微软雅黑"/>
                <w:i/>
                <w:iCs/>
                <w:color w:val="000000"/>
                <w:sz w:val="16"/>
                <w:szCs w:val="16"/>
              </w:rPr>
            </w:pPr>
          </w:p>
        </w:tc>
      </w:tr>
      <w:tr w14:paraId="3B2F7D83">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90BB7">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66B91">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B0837">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DB41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42A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B40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B82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9F1DC">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991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6D1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67F9">
            <w:pPr>
              <w:jc w:val="center"/>
              <w:rPr>
                <w:rFonts w:ascii="微软雅黑" w:hAnsi="微软雅黑" w:eastAsia="微软雅黑" w:cs="微软雅黑"/>
                <w:i/>
                <w:iCs/>
                <w:color w:val="000000"/>
                <w:sz w:val="16"/>
                <w:szCs w:val="16"/>
              </w:rPr>
            </w:pPr>
          </w:p>
        </w:tc>
      </w:tr>
      <w:tr w14:paraId="3276A5F8">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5D0D7">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B7B9B">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CE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4939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38F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474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4D5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271DC">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C27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2D8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487D">
            <w:pPr>
              <w:jc w:val="center"/>
              <w:rPr>
                <w:rFonts w:ascii="微软雅黑" w:hAnsi="微软雅黑" w:eastAsia="微软雅黑" w:cs="微软雅黑"/>
                <w:i/>
                <w:iCs/>
                <w:color w:val="000000"/>
                <w:sz w:val="16"/>
                <w:szCs w:val="16"/>
              </w:rPr>
            </w:pPr>
          </w:p>
        </w:tc>
      </w:tr>
      <w:tr w14:paraId="1EE2920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B70D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84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F70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616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ED3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06A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C393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15412">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461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1D8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12D6">
            <w:pPr>
              <w:jc w:val="center"/>
              <w:rPr>
                <w:rFonts w:ascii="微软雅黑" w:hAnsi="微软雅黑" w:eastAsia="微软雅黑" w:cs="微软雅黑"/>
                <w:i/>
                <w:iCs/>
                <w:color w:val="000000"/>
                <w:sz w:val="16"/>
                <w:szCs w:val="16"/>
              </w:rPr>
            </w:pPr>
          </w:p>
        </w:tc>
      </w:tr>
      <w:tr w14:paraId="64AE3323">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59F88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6B5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F4155">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A5E7">
            <w:pPr>
              <w:rPr>
                <w:rFonts w:ascii="宋体" w:hAnsi="宋体" w:cs="宋体"/>
                <w:color w:val="000000"/>
                <w:sz w:val="18"/>
                <w:szCs w:val="18"/>
              </w:rPr>
            </w:pPr>
          </w:p>
        </w:tc>
      </w:tr>
      <w:tr w14:paraId="3C3D5DB0">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25F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6886E2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3C1589FE">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C5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16329B9">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0667367">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599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E78272C">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3148A953">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B34903C">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394715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345E6207">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0C9298C4">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29178393">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4DB180AD">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1BDAF9E6">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02F08999">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1F336AD">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60290E7F">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2C87F08C">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175935DB">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6D410717">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6976BFD1">
            <w:pPr>
              <w:rPr>
                <w:rFonts w:ascii="宋体" w:hAnsi="宋体" w:cs="宋体"/>
                <w:color w:val="000000"/>
                <w:sz w:val="18"/>
                <w:szCs w:val="18"/>
              </w:rPr>
            </w:pPr>
          </w:p>
        </w:tc>
      </w:tr>
      <w:tr w14:paraId="5249FF69">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217410C4">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3DB6B567">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2B94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D4E286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51042222R000005814951-2021年度目标绩效奖（离退休人员）</w:t>
            </w:r>
          </w:p>
        </w:tc>
      </w:tr>
      <w:tr w14:paraId="7C3927A0">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C012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3F02D7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7479427E">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0CDA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2527C206">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33FE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E01D4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EADDC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DF6B440">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5D83FB8D">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7D680">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13A24">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AF646F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30FB0D">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r>
      <w:tr w14:paraId="254DF7D2">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7BA0B">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4D7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D8F109D">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76DC01F3">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DAA99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F8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5C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5FC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107D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C44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E62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394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09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0D1361A4">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91F7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1289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621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D9A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1.50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5141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1.50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FC6C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7E9E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21D93">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A7700A">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6223FB1A">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2A9C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95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F4A3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7E62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1.50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3D02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1.50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BD0B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E656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FDB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713AE">
            <w:pPr>
              <w:rPr>
                <w:rFonts w:ascii="黑体" w:hAnsi="黑体" w:eastAsia="黑体" w:cs="黑体"/>
                <w:i/>
                <w:iCs/>
                <w:color w:val="000000"/>
                <w:sz w:val="18"/>
                <w:szCs w:val="18"/>
              </w:rPr>
            </w:pPr>
          </w:p>
        </w:tc>
      </w:tr>
      <w:tr w14:paraId="69B9B310">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40EE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EF9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0D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4C1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2E63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992C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757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3AC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A4B20">
            <w:pPr>
              <w:rPr>
                <w:rFonts w:ascii="黑体" w:hAnsi="黑体" w:eastAsia="黑体" w:cs="黑体"/>
                <w:i/>
                <w:iCs/>
                <w:color w:val="000000"/>
                <w:sz w:val="18"/>
                <w:szCs w:val="18"/>
              </w:rPr>
            </w:pPr>
          </w:p>
        </w:tc>
      </w:tr>
      <w:tr w14:paraId="5CEA831C">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A6EE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3E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D0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C62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ADC8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AEF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BCC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4D0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B8971">
            <w:pPr>
              <w:rPr>
                <w:rFonts w:ascii="黑体" w:hAnsi="黑体" w:eastAsia="黑体" w:cs="黑体"/>
                <w:i/>
                <w:iCs/>
                <w:color w:val="000000"/>
                <w:sz w:val="18"/>
                <w:szCs w:val="18"/>
              </w:rPr>
            </w:pPr>
          </w:p>
        </w:tc>
      </w:tr>
      <w:tr w14:paraId="26B74FF2">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E801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FD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A1A0">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BB38D">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29C557">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73CB4">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09F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2E6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DC4A7">
            <w:pPr>
              <w:rPr>
                <w:rFonts w:ascii="黑体" w:hAnsi="黑体" w:eastAsia="黑体" w:cs="黑体"/>
                <w:i/>
                <w:iCs/>
                <w:color w:val="000000"/>
                <w:sz w:val="18"/>
                <w:szCs w:val="18"/>
              </w:rPr>
            </w:pPr>
          </w:p>
        </w:tc>
      </w:tr>
      <w:tr w14:paraId="79980B18">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880B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8F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31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217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518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19D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E5C3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B41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64F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31B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6D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2E2B9525">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4ABBE">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AD53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C736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756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0055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1E8D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C8EE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69372">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CA314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958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813D">
            <w:pPr>
              <w:jc w:val="center"/>
              <w:rPr>
                <w:rFonts w:ascii="微软雅黑" w:hAnsi="微软雅黑" w:eastAsia="微软雅黑" w:cs="微软雅黑"/>
                <w:i/>
                <w:iCs/>
                <w:color w:val="000000"/>
                <w:sz w:val="16"/>
                <w:szCs w:val="16"/>
              </w:rPr>
            </w:pPr>
          </w:p>
        </w:tc>
      </w:tr>
      <w:tr w14:paraId="385F3DD7">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4D14EC">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D941E">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4814A">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36070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809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E52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5ED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436F9">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746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F6DD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D36A">
            <w:pPr>
              <w:jc w:val="center"/>
              <w:rPr>
                <w:rFonts w:ascii="微软雅黑" w:hAnsi="微软雅黑" w:eastAsia="微软雅黑" w:cs="微软雅黑"/>
                <w:i/>
                <w:iCs/>
                <w:color w:val="000000"/>
                <w:sz w:val="16"/>
                <w:szCs w:val="16"/>
              </w:rPr>
            </w:pPr>
          </w:p>
        </w:tc>
      </w:tr>
      <w:tr w14:paraId="1EBB9A07">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F1B59">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355FF">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3C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221C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E50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6E7E9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2DC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FF98A">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EFB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487C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FC586">
            <w:pPr>
              <w:jc w:val="center"/>
              <w:rPr>
                <w:rFonts w:ascii="微软雅黑" w:hAnsi="微软雅黑" w:eastAsia="微软雅黑" w:cs="微软雅黑"/>
                <w:i/>
                <w:iCs/>
                <w:color w:val="000000"/>
                <w:sz w:val="16"/>
                <w:szCs w:val="16"/>
              </w:rPr>
            </w:pPr>
          </w:p>
        </w:tc>
      </w:tr>
      <w:tr w14:paraId="2A1DCB25">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7E722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D4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1C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C1B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7ECA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CDA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90A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80FBAF">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BB7A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312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FC21">
            <w:pPr>
              <w:jc w:val="center"/>
              <w:rPr>
                <w:rFonts w:ascii="微软雅黑" w:hAnsi="微软雅黑" w:eastAsia="微软雅黑" w:cs="微软雅黑"/>
                <w:i/>
                <w:iCs/>
                <w:color w:val="000000"/>
                <w:sz w:val="16"/>
                <w:szCs w:val="16"/>
              </w:rPr>
            </w:pPr>
          </w:p>
        </w:tc>
      </w:tr>
      <w:tr w14:paraId="35AA8BFD">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F79DD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C7F2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6C3A3">
            <w:pPr>
              <w:rPr>
                <w:rFonts w:ascii="宋体" w:hAnsi="宋体" w:cs="宋体"/>
                <w:color w:val="000000"/>
                <w:sz w:val="18"/>
                <w:szCs w:val="18"/>
              </w:rPr>
            </w:pP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07C7">
            <w:pPr>
              <w:rPr>
                <w:rFonts w:ascii="宋体" w:hAnsi="宋体" w:cs="宋体"/>
                <w:color w:val="000000"/>
                <w:sz w:val="18"/>
                <w:szCs w:val="18"/>
              </w:rPr>
            </w:pPr>
          </w:p>
        </w:tc>
      </w:tr>
      <w:tr w14:paraId="4A10A57E">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F92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9328BF8">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41C933BF">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1F0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50841DC">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31C9348C">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53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08D2F8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51305317">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1D9C95">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C14FA2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0F99A9B9">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34DA061E">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51455006">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47738C63">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31652901">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51D9A15A">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49D0483E">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7B1DAB5B">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19F80B87">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2CF8576">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34244F1A">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2568F240">
            <w:pPr>
              <w:rPr>
                <w:rFonts w:ascii="宋体" w:hAnsi="宋体" w:cs="宋体"/>
                <w:color w:val="000000"/>
                <w:sz w:val="18"/>
                <w:szCs w:val="18"/>
              </w:rPr>
            </w:pPr>
          </w:p>
        </w:tc>
      </w:tr>
      <w:tr w14:paraId="64EBC88E">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EEBE554">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6B7E27F7">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912C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180FB85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51042222R000007032056-公务员补充医疗保险（单位部分）</w:t>
            </w:r>
          </w:p>
        </w:tc>
      </w:tr>
      <w:tr w14:paraId="3B65BCF0">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8015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965EF4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08585EA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4985B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19D0C66F">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83040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1BEF1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D4344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6A70C7C">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24237588">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DDF61">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11F4B">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78AB5B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严格执行相关政策，保障公务员补充医疗保险缴费及时发放、足额发放，预算编制科学合理，减少结余资金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8A5B7D9">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严格执行相关政策，保障公务员补充医疗保险缴费及时发放、足额发放，预算编制科学合理，减少结余资金</w:t>
            </w:r>
          </w:p>
        </w:tc>
      </w:tr>
      <w:tr w14:paraId="3D464E35">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781D5">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BAA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649FACA6">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46206B60">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1152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25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5D00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334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A0C88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86623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CA0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6420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EC9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2CD7F560">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D4A2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5FFE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50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82087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6.83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0426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6.83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8FEB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2B4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154086">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441A3B">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555B22F0">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657CB1">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63A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933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7F0C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6.83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8B20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6.83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A126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640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271F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D4399">
            <w:pPr>
              <w:rPr>
                <w:rFonts w:ascii="黑体" w:hAnsi="黑体" w:eastAsia="黑体" w:cs="黑体"/>
                <w:i/>
                <w:iCs/>
                <w:color w:val="000000"/>
                <w:sz w:val="18"/>
                <w:szCs w:val="18"/>
              </w:rPr>
            </w:pPr>
          </w:p>
        </w:tc>
      </w:tr>
      <w:tr w14:paraId="3D1691FF">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2050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3EF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B05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C924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D293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F6CB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668A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FB1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7004F">
            <w:pPr>
              <w:rPr>
                <w:rFonts w:ascii="黑体" w:hAnsi="黑体" w:eastAsia="黑体" w:cs="黑体"/>
                <w:i/>
                <w:iCs/>
                <w:color w:val="000000"/>
                <w:sz w:val="18"/>
                <w:szCs w:val="18"/>
              </w:rPr>
            </w:pPr>
          </w:p>
        </w:tc>
      </w:tr>
      <w:tr w14:paraId="6E1AACBA">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19E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BD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B5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294D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F091F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C19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54C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40A9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87B8A">
            <w:pPr>
              <w:rPr>
                <w:rFonts w:ascii="黑体" w:hAnsi="黑体" w:eastAsia="黑体" w:cs="黑体"/>
                <w:i/>
                <w:iCs/>
                <w:color w:val="000000"/>
                <w:sz w:val="18"/>
                <w:szCs w:val="18"/>
              </w:rPr>
            </w:pPr>
          </w:p>
        </w:tc>
      </w:tr>
      <w:tr w14:paraId="7F150387">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1E27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CC5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BE8B">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BBDD0">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FB5654">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2D09B8">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46D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F5BF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EC215">
            <w:pPr>
              <w:rPr>
                <w:rFonts w:ascii="黑体" w:hAnsi="黑体" w:eastAsia="黑体" w:cs="黑体"/>
                <w:i/>
                <w:iCs/>
                <w:color w:val="000000"/>
                <w:sz w:val="18"/>
                <w:szCs w:val="18"/>
              </w:rPr>
            </w:pPr>
          </w:p>
        </w:tc>
      </w:tr>
      <w:tr w14:paraId="19F51F7C">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05A1C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45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00A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429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7F0F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BDA42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AC9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AE8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9AB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53B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BCE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0E6579A9">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B1252">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2AFC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8AAB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35F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3E9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7F9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B3A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B2A54">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4F5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15A7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2257">
            <w:pPr>
              <w:jc w:val="center"/>
              <w:rPr>
                <w:rFonts w:ascii="微软雅黑" w:hAnsi="微软雅黑" w:eastAsia="微软雅黑" w:cs="微软雅黑"/>
                <w:i/>
                <w:iCs/>
                <w:color w:val="000000"/>
                <w:sz w:val="16"/>
                <w:szCs w:val="16"/>
              </w:rPr>
            </w:pPr>
          </w:p>
        </w:tc>
      </w:tr>
      <w:tr w14:paraId="00091ADA">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797C66">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1E2D1">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EF4ED4">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EBA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83C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37B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616C2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4EB12">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DB7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528D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AC5F">
            <w:pPr>
              <w:jc w:val="center"/>
              <w:rPr>
                <w:rFonts w:ascii="微软雅黑" w:hAnsi="微软雅黑" w:eastAsia="微软雅黑" w:cs="微软雅黑"/>
                <w:i/>
                <w:iCs/>
                <w:color w:val="000000"/>
                <w:sz w:val="16"/>
                <w:szCs w:val="16"/>
              </w:rPr>
            </w:pPr>
          </w:p>
        </w:tc>
      </w:tr>
      <w:tr w14:paraId="4A040813">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75B2B">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9B2A8">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6A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CD8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B86E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7748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6FA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8915A">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664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1508D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F0D6">
            <w:pPr>
              <w:jc w:val="center"/>
              <w:rPr>
                <w:rFonts w:ascii="微软雅黑" w:hAnsi="微软雅黑" w:eastAsia="微软雅黑" w:cs="微软雅黑"/>
                <w:i/>
                <w:iCs/>
                <w:color w:val="000000"/>
                <w:sz w:val="16"/>
                <w:szCs w:val="16"/>
              </w:rPr>
            </w:pPr>
          </w:p>
        </w:tc>
      </w:tr>
      <w:tr w14:paraId="486E3D42">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412D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6C0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41D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0A7C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D06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79D8D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A26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FBCAFF">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6145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F60D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35BB">
            <w:pPr>
              <w:jc w:val="center"/>
              <w:rPr>
                <w:rFonts w:ascii="微软雅黑" w:hAnsi="微软雅黑" w:eastAsia="微软雅黑" w:cs="微软雅黑"/>
                <w:i/>
                <w:iCs/>
                <w:color w:val="000000"/>
                <w:sz w:val="16"/>
                <w:szCs w:val="16"/>
              </w:rPr>
            </w:pPr>
          </w:p>
        </w:tc>
      </w:tr>
      <w:tr w14:paraId="5947A4DA">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20D9C9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0CA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BCFA8">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53006">
            <w:pPr>
              <w:rPr>
                <w:rFonts w:ascii="宋体" w:hAnsi="宋体" w:cs="宋体"/>
                <w:color w:val="000000"/>
                <w:sz w:val="18"/>
                <w:szCs w:val="18"/>
              </w:rPr>
            </w:pPr>
          </w:p>
        </w:tc>
      </w:tr>
      <w:tr w14:paraId="707D9438">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A4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AA59D6A">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07C90C46">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1BC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3146B7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445447EF">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33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32C1CBC9">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2D8BB18B">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1DBA346">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FE351D1">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5822FBC4">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7FC2B3E1">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31D535D9">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4F5EB5BE">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7B9376C8">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3CAC1118">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4E0B7C26">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37ED9C8A">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551A9746">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2DA2216B">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4AE254A6">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0A3392C3">
            <w:pPr>
              <w:rPr>
                <w:rFonts w:ascii="宋体" w:hAnsi="宋体" w:cs="宋体"/>
                <w:color w:val="000000"/>
                <w:sz w:val="18"/>
                <w:szCs w:val="18"/>
              </w:rPr>
            </w:pPr>
          </w:p>
        </w:tc>
      </w:tr>
      <w:tr w14:paraId="3A7A79D9">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1685DEFB">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1F714602">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FA690">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BA5EAA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51042222R000007057449-2022年6月预发绩效奖</w:t>
            </w:r>
          </w:p>
        </w:tc>
      </w:tr>
      <w:tr w14:paraId="3F37BA82">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1308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0D1AA8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62A60442">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81230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42B6F2E9">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D3095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E664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544CC1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833366">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3B7ADEA4">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54D29">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155EB">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B1B8B8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CEDA043">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r>
      <w:tr w14:paraId="14EAE51B">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B6EE4">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C59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AB3CF61">
            <w:pPr>
              <w:rPr>
                <w:rFonts w:ascii="宋体" w:hAnsi="宋体" w:cs="宋体"/>
                <w:color w:val="000000"/>
                <w:sz w:val="18"/>
                <w:szCs w:val="18"/>
              </w:rPr>
            </w:pPr>
            <w:r>
              <w:rPr>
                <w:rFonts w:hint="eastAsia" w:ascii="宋体" w:hAnsi="宋体" w:cs="宋体"/>
                <w:color w:val="000000"/>
                <w:sz w:val="18"/>
                <w:szCs w:val="18"/>
              </w:rPr>
              <w:t>按计划及财政安排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5A2FF278">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A23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43F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240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301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FD2E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584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06D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C42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918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5D8ABE41">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88C8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29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FC3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1E9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A6CA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65C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3E3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013AE">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ADAE62">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2B7C8709">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8971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D6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CBD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13D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5CCE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014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A35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BC73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CE73A">
            <w:pPr>
              <w:rPr>
                <w:rFonts w:ascii="黑体" w:hAnsi="黑体" w:eastAsia="黑体" w:cs="黑体"/>
                <w:i/>
                <w:iCs/>
                <w:color w:val="000000"/>
                <w:sz w:val="18"/>
                <w:szCs w:val="18"/>
              </w:rPr>
            </w:pPr>
          </w:p>
        </w:tc>
      </w:tr>
      <w:tr w14:paraId="71D1FF5D">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2F93D">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BCE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A1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480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8FA4E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376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73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B032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9F45C">
            <w:pPr>
              <w:rPr>
                <w:rFonts w:ascii="黑体" w:hAnsi="黑体" w:eastAsia="黑体" w:cs="黑体"/>
                <w:i/>
                <w:iCs/>
                <w:color w:val="000000"/>
                <w:sz w:val="18"/>
                <w:szCs w:val="18"/>
              </w:rPr>
            </w:pPr>
          </w:p>
        </w:tc>
      </w:tr>
      <w:tr w14:paraId="0B415727">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95441">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2C2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16D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A85D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5E513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208D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3CB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AF2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9103E">
            <w:pPr>
              <w:rPr>
                <w:rFonts w:ascii="黑体" w:hAnsi="黑体" w:eastAsia="黑体" w:cs="黑体"/>
                <w:i/>
                <w:iCs/>
                <w:color w:val="000000"/>
                <w:sz w:val="18"/>
                <w:szCs w:val="18"/>
              </w:rPr>
            </w:pPr>
          </w:p>
        </w:tc>
      </w:tr>
      <w:tr w14:paraId="07B88F1A">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0BB6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BF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835E1">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C0B14">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E49435C">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65A50">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52B2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9D6F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55A9C">
            <w:pPr>
              <w:rPr>
                <w:rFonts w:ascii="黑体" w:hAnsi="黑体" w:eastAsia="黑体" w:cs="黑体"/>
                <w:i/>
                <w:iCs/>
                <w:color w:val="000000"/>
                <w:sz w:val="18"/>
                <w:szCs w:val="18"/>
              </w:rPr>
            </w:pPr>
          </w:p>
        </w:tc>
      </w:tr>
      <w:tr w14:paraId="4F5B8285">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F361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F83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5EC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AFEE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DAF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2D7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5D8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9D1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D51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7AA5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7AB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096D01D0">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8D5B1">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F665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EF4D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063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D7C14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4D49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1833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774D5">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684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D2A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1CE4">
            <w:pPr>
              <w:jc w:val="center"/>
              <w:rPr>
                <w:rFonts w:ascii="微软雅黑" w:hAnsi="微软雅黑" w:eastAsia="微软雅黑" w:cs="微软雅黑"/>
                <w:i/>
                <w:iCs/>
                <w:color w:val="000000"/>
                <w:sz w:val="16"/>
                <w:szCs w:val="16"/>
              </w:rPr>
            </w:pPr>
          </w:p>
        </w:tc>
      </w:tr>
      <w:tr w14:paraId="34DD671F">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9EAF7">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2F7B8">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34045">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51F1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CEC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08F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C0DE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0AE126">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319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91E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5FFA">
            <w:pPr>
              <w:jc w:val="center"/>
              <w:rPr>
                <w:rFonts w:ascii="微软雅黑" w:hAnsi="微软雅黑" w:eastAsia="微软雅黑" w:cs="微软雅黑"/>
                <w:i/>
                <w:iCs/>
                <w:color w:val="000000"/>
                <w:sz w:val="16"/>
                <w:szCs w:val="16"/>
              </w:rPr>
            </w:pPr>
          </w:p>
        </w:tc>
      </w:tr>
      <w:tr w14:paraId="4675277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4DF41">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0D4C8">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AE92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B864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DFA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CED5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1EE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35B42">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F36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F34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6603">
            <w:pPr>
              <w:jc w:val="center"/>
              <w:rPr>
                <w:rFonts w:ascii="微软雅黑" w:hAnsi="微软雅黑" w:eastAsia="微软雅黑" w:cs="微软雅黑"/>
                <w:i/>
                <w:iCs/>
                <w:color w:val="000000"/>
                <w:sz w:val="16"/>
                <w:szCs w:val="16"/>
              </w:rPr>
            </w:pPr>
          </w:p>
        </w:tc>
      </w:tr>
      <w:tr w14:paraId="0FB99D0E">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1E47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47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E86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D406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E0F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3C8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C7C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A5AB6A">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7BEA1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028FE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88A1">
            <w:pPr>
              <w:jc w:val="center"/>
              <w:rPr>
                <w:rFonts w:ascii="微软雅黑" w:hAnsi="微软雅黑" w:eastAsia="微软雅黑" w:cs="微软雅黑"/>
                <w:i/>
                <w:iCs/>
                <w:color w:val="000000"/>
                <w:sz w:val="16"/>
                <w:szCs w:val="16"/>
              </w:rPr>
            </w:pPr>
          </w:p>
        </w:tc>
      </w:tr>
      <w:tr w14:paraId="548555C3">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734F43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1F4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B24B8">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6F35">
            <w:pPr>
              <w:rPr>
                <w:rFonts w:ascii="宋体" w:hAnsi="宋体" w:cs="宋体"/>
                <w:color w:val="000000"/>
                <w:sz w:val="18"/>
                <w:szCs w:val="18"/>
              </w:rPr>
            </w:pPr>
          </w:p>
        </w:tc>
      </w:tr>
      <w:tr w14:paraId="30C669B9">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0F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AAE189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3F2BA9D7">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6F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0E4FD5E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6B47AD95">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2D8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1D68FC6">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4AA56A9E">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0EB02D8">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2140669">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3A201DE7">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082D8861">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41784EE4">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4E0F648C">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0C670FBF">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7805D5E4">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ADB1B43">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3B75154A">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45FDE523">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38FF3835">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2878B089">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7EBD9B39">
            <w:pPr>
              <w:rPr>
                <w:rFonts w:ascii="宋体" w:hAnsi="宋体" w:cs="宋体"/>
                <w:color w:val="000000"/>
                <w:sz w:val="18"/>
                <w:szCs w:val="18"/>
              </w:rPr>
            </w:pPr>
          </w:p>
        </w:tc>
      </w:tr>
      <w:tr w14:paraId="18EA3F10">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2706D8B5">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55AD0B02">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9979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7F1F6F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51042222T000000314298-档案馆电费</w:t>
            </w:r>
          </w:p>
        </w:tc>
      </w:tr>
      <w:tr w14:paraId="1025CDF2">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7DAE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3BAAF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36E66E46">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2310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0F785777">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AEE80B">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1E98A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660B16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CE9156E">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4AD21358">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D27A1">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962F4">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0CE5C8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保持档案馆基本运转、稳定，档案库房及数据服务器等各项</w:t>
            </w:r>
            <w:r>
              <w:rPr>
                <w:rFonts w:hint="eastAsia" w:ascii="宋体" w:hAnsi="宋体" w:cs="宋体"/>
                <w:color w:val="000000"/>
                <w:kern w:val="0"/>
                <w:sz w:val="18"/>
                <w:szCs w:val="18"/>
                <w:lang w:bidi="ar"/>
              </w:rPr>
              <w:t>用电</w:t>
            </w:r>
            <w:r>
              <w:rPr>
                <w:rFonts w:ascii="宋体" w:hAnsi="宋体" w:cs="宋体"/>
                <w:color w:val="000000"/>
                <w:kern w:val="0"/>
                <w:sz w:val="18"/>
                <w:szCs w:val="18"/>
                <w:lang w:bidi="ar"/>
              </w:rPr>
              <w:t>设施设备正常运行，保障全县档案安全</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7130080">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档案库房及数据服务器等各项</w:t>
            </w:r>
            <w:r>
              <w:rPr>
                <w:rFonts w:hint="eastAsia" w:ascii="宋体" w:hAnsi="宋体" w:cs="宋体"/>
                <w:color w:val="000000"/>
                <w:kern w:val="0"/>
                <w:sz w:val="18"/>
                <w:szCs w:val="18"/>
                <w:lang w:bidi="ar"/>
              </w:rPr>
              <w:t>用电</w:t>
            </w:r>
            <w:r>
              <w:rPr>
                <w:rFonts w:ascii="宋体" w:hAnsi="宋体" w:cs="宋体"/>
                <w:color w:val="000000"/>
                <w:kern w:val="0"/>
                <w:sz w:val="18"/>
                <w:szCs w:val="18"/>
                <w:lang w:bidi="ar"/>
              </w:rPr>
              <w:t>设施设备正常运行，</w:t>
            </w:r>
            <w:r>
              <w:rPr>
                <w:rFonts w:hint="eastAsia" w:ascii="宋体" w:hAnsi="宋体" w:cs="宋体"/>
                <w:color w:val="000000"/>
                <w:kern w:val="0"/>
                <w:sz w:val="18"/>
                <w:szCs w:val="18"/>
                <w:lang w:bidi="ar"/>
              </w:rPr>
              <w:t>未发生任何档案安全事故</w:t>
            </w:r>
          </w:p>
        </w:tc>
      </w:tr>
      <w:tr w14:paraId="3245BAD4">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20986">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DF66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610A5500">
            <w:r>
              <w:rPr>
                <w:rFonts w:hint="eastAsia" w:ascii="宋体" w:hAnsi="宋体" w:cs="宋体"/>
                <w:color w:val="000000"/>
                <w:sz w:val="18"/>
                <w:szCs w:val="18"/>
              </w:rPr>
              <w:t>年度预算10.00万元，按电费使用进度支付，及时监控用电情况，到年底已完成100%。</w:t>
            </w:r>
          </w:p>
        </w:tc>
      </w:tr>
      <w:tr w14:paraId="4CC90CAD">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FAF6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6F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56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884C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DF581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6C970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D1B35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5538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814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72D73C9D">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305D7">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1A2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D33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6D0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7107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263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988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82344">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3C7162">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17A15887">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7C0C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A6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5C1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4EA1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29DB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8C51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F54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946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29B36">
            <w:pPr>
              <w:rPr>
                <w:rFonts w:ascii="黑体" w:hAnsi="黑体" w:eastAsia="黑体" w:cs="黑体"/>
                <w:i/>
                <w:iCs/>
                <w:color w:val="000000"/>
                <w:sz w:val="18"/>
                <w:szCs w:val="18"/>
              </w:rPr>
            </w:pPr>
          </w:p>
        </w:tc>
      </w:tr>
      <w:tr w14:paraId="24289830">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99EC6">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194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03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FA6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649F6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EB6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C1F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CCF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82661">
            <w:pPr>
              <w:rPr>
                <w:rFonts w:ascii="黑体" w:hAnsi="黑体" w:eastAsia="黑体" w:cs="黑体"/>
                <w:i/>
                <w:iCs/>
                <w:color w:val="000000"/>
                <w:sz w:val="18"/>
                <w:szCs w:val="18"/>
              </w:rPr>
            </w:pPr>
          </w:p>
        </w:tc>
      </w:tr>
      <w:tr w14:paraId="4F7F249E">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D1F0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7E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BA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269C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1E7A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6574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702A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8BAD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E1632">
            <w:pPr>
              <w:rPr>
                <w:rFonts w:ascii="黑体" w:hAnsi="黑体" w:eastAsia="黑体" w:cs="黑体"/>
                <w:i/>
                <w:iCs/>
                <w:color w:val="000000"/>
                <w:sz w:val="18"/>
                <w:szCs w:val="18"/>
              </w:rPr>
            </w:pPr>
          </w:p>
        </w:tc>
      </w:tr>
      <w:tr w14:paraId="4BDD74F1">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C352B">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554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518D0">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B58D7">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39BBF5">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C85B3">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E2F2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FAA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37CDA">
            <w:pPr>
              <w:rPr>
                <w:rFonts w:ascii="黑体" w:hAnsi="黑体" w:eastAsia="黑体" w:cs="黑体"/>
                <w:i/>
                <w:iCs/>
                <w:color w:val="000000"/>
                <w:sz w:val="18"/>
                <w:szCs w:val="18"/>
              </w:rPr>
            </w:pPr>
          </w:p>
        </w:tc>
      </w:tr>
      <w:tr w14:paraId="48FBF27B">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8497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9EC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75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B150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C0C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1F0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AB0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2AD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98903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849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A6B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0D98F351">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8C768">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4BF8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95F5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845C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保障档案馆设备正常运行电费</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4790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0642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5797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万元</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F5B99">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2CD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50C7A">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B6EA4">
            <w:pPr>
              <w:jc w:val="center"/>
              <w:rPr>
                <w:rFonts w:ascii="微软雅黑" w:hAnsi="微软雅黑" w:eastAsia="微软雅黑" w:cs="微软雅黑"/>
                <w:i/>
                <w:iCs/>
                <w:color w:val="000000"/>
                <w:sz w:val="16"/>
                <w:szCs w:val="16"/>
              </w:rPr>
            </w:pPr>
          </w:p>
        </w:tc>
      </w:tr>
      <w:tr w14:paraId="6221CB38">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BE884">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FA375">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050C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5B4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全馆设备正常运转率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801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EC7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FA3B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C1B26">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4BED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1D1248">
            <w:pPr>
              <w:jc w:val="center"/>
              <w:rPr>
                <w:rFonts w:ascii="宋体" w:hAnsi="宋体" w:cs="宋体"/>
                <w:color w:val="000000"/>
                <w:sz w:val="18"/>
                <w:szCs w:val="18"/>
              </w:rPr>
            </w:pPr>
            <w:r>
              <w:rPr>
                <w:rFonts w:hint="eastAsia" w:ascii="宋体" w:hAnsi="宋体" w:cs="宋体"/>
                <w:color w:val="000000"/>
                <w:sz w:val="18"/>
                <w:szCs w:val="18"/>
              </w:rPr>
              <w:t>20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506A">
            <w:pPr>
              <w:jc w:val="center"/>
              <w:rPr>
                <w:rFonts w:ascii="微软雅黑" w:hAnsi="微软雅黑" w:eastAsia="微软雅黑" w:cs="微软雅黑"/>
                <w:i/>
                <w:iCs/>
                <w:color w:val="000000"/>
                <w:sz w:val="16"/>
                <w:szCs w:val="16"/>
              </w:rPr>
            </w:pPr>
          </w:p>
        </w:tc>
      </w:tr>
      <w:tr w14:paraId="359D638F">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E98E7">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6BF2D">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B6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6F7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2022年完成</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16C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0064E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2836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2064E">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FE7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37616">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F24E">
            <w:pPr>
              <w:jc w:val="center"/>
              <w:rPr>
                <w:rFonts w:ascii="微软雅黑" w:hAnsi="微软雅黑" w:eastAsia="微软雅黑" w:cs="微软雅黑"/>
                <w:i/>
                <w:iCs/>
                <w:color w:val="000000"/>
                <w:sz w:val="16"/>
                <w:szCs w:val="16"/>
              </w:rPr>
            </w:pPr>
          </w:p>
        </w:tc>
      </w:tr>
      <w:tr w14:paraId="37CE72BD">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0366A">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961DE">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D1F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成本指标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1C9F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年度电费</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6170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A7C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20F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万元</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B4D8FE">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F65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49EA1">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554F">
            <w:pPr>
              <w:jc w:val="center"/>
              <w:rPr>
                <w:rFonts w:ascii="微软雅黑" w:hAnsi="微软雅黑" w:eastAsia="微软雅黑" w:cs="微软雅黑"/>
                <w:i/>
                <w:iCs/>
                <w:color w:val="000000"/>
                <w:sz w:val="16"/>
                <w:szCs w:val="16"/>
              </w:rPr>
            </w:pPr>
          </w:p>
        </w:tc>
      </w:tr>
      <w:tr w14:paraId="13E158BC">
        <w:tblPrEx>
          <w:tblCellMar>
            <w:top w:w="0" w:type="dxa"/>
            <w:left w:w="108" w:type="dxa"/>
            <w:bottom w:w="0" w:type="dxa"/>
            <w:right w:w="108" w:type="dxa"/>
          </w:tblCellMar>
        </w:tblPrEx>
        <w:trPr>
          <w:trHeight w:val="67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AA22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95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98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社会效益指标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0CAB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保持设备正常运转，确保全县档案安全，方便群众档案查询、参观展厅</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360A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定性</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059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优良中低差</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A5D6BE">
            <w:pPr>
              <w:jc w:val="center"/>
              <w:rPr>
                <w:rFonts w:ascii="宋体" w:hAnsi="宋体" w:cs="宋体"/>
                <w:color w:val="000000"/>
                <w:sz w:val="18"/>
                <w:szCs w:val="18"/>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A487F9">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优</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26B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30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67A1B">
            <w:pPr>
              <w:jc w:val="center"/>
              <w:rPr>
                <w:rFonts w:ascii="宋体" w:hAnsi="宋体" w:cs="宋体"/>
                <w:color w:val="000000"/>
                <w:sz w:val="18"/>
                <w:szCs w:val="18"/>
              </w:rPr>
            </w:pPr>
            <w:r>
              <w:rPr>
                <w:rFonts w:hint="eastAsia" w:ascii="宋体" w:hAnsi="宋体" w:cs="宋体"/>
                <w:color w:val="000000"/>
                <w:sz w:val="18"/>
                <w:szCs w:val="18"/>
              </w:rPr>
              <w:t>30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22522">
            <w:pPr>
              <w:jc w:val="center"/>
              <w:rPr>
                <w:rFonts w:ascii="微软雅黑" w:hAnsi="微软雅黑" w:eastAsia="微软雅黑" w:cs="微软雅黑"/>
                <w:i/>
                <w:iCs/>
                <w:color w:val="000000"/>
                <w:sz w:val="16"/>
                <w:szCs w:val="16"/>
              </w:rPr>
            </w:pPr>
          </w:p>
        </w:tc>
      </w:tr>
      <w:tr w14:paraId="29EF63C8">
        <w:tblPrEx>
          <w:tblCellMar>
            <w:top w:w="0" w:type="dxa"/>
            <w:left w:w="108" w:type="dxa"/>
            <w:bottom w:w="0" w:type="dxa"/>
            <w:right w:w="108" w:type="dxa"/>
          </w:tblCellMar>
        </w:tblPrEx>
        <w:trPr>
          <w:trHeight w:val="45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C13B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1C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满意度指标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E5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服务对象满意度指标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10B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日常运行满意度</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8FAE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定性</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461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高中低</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CDE4AA">
            <w:pPr>
              <w:jc w:val="center"/>
              <w:rPr>
                <w:rFonts w:ascii="宋体" w:hAnsi="宋体" w:cs="宋体"/>
                <w:color w:val="000000"/>
                <w:sz w:val="18"/>
                <w:szCs w:val="18"/>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2D28D2">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优</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CDB0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CEC7C">
            <w:pPr>
              <w:jc w:val="center"/>
              <w:rPr>
                <w:rFonts w:ascii="宋体" w:hAnsi="宋体" w:cs="宋体"/>
                <w:color w:val="000000"/>
                <w:sz w:val="18"/>
                <w:szCs w:val="18"/>
              </w:rPr>
            </w:pPr>
            <w:r>
              <w:rPr>
                <w:rFonts w:hint="eastAsia" w:ascii="宋体" w:hAnsi="宋体" w:cs="宋体"/>
                <w:color w:val="000000"/>
                <w:sz w:val="18"/>
                <w:szCs w:val="18"/>
              </w:rPr>
              <w:t>8</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D476">
            <w:pPr>
              <w:jc w:val="center"/>
              <w:rPr>
                <w:rFonts w:ascii="微软雅黑" w:hAnsi="微软雅黑" w:eastAsia="微软雅黑" w:cs="微软雅黑"/>
                <w:i/>
                <w:iCs/>
                <w:color w:val="000000"/>
                <w:sz w:val="16"/>
                <w:szCs w:val="16"/>
              </w:rPr>
            </w:pPr>
          </w:p>
        </w:tc>
      </w:tr>
      <w:tr w14:paraId="2D02E5AD">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2190F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3EED5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F33C1">
            <w:pPr>
              <w:rPr>
                <w:rFonts w:ascii="宋体" w:hAnsi="宋体" w:cs="宋体"/>
                <w:color w:val="000000"/>
                <w:sz w:val="18"/>
                <w:szCs w:val="18"/>
              </w:rPr>
            </w:pPr>
            <w:r>
              <w:rPr>
                <w:rFonts w:hint="eastAsia" w:ascii="宋体" w:hAnsi="宋体" w:cs="宋体"/>
                <w:color w:val="000000"/>
                <w:sz w:val="18"/>
                <w:szCs w:val="18"/>
              </w:rPr>
              <w:t>98</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FDD0">
            <w:pPr>
              <w:rPr>
                <w:rFonts w:ascii="宋体" w:hAnsi="宋体" w:cs="宋体"/>
                <w:color w:val="000000"/>
                <w:sz w:val="18"/>
                <w:szCs w:val="18"/>
              </w:rPr>
            </w:pPr>
          </w:p>
        </w:tc>
      </w:tr>
      <w:tr w14:paraId="3B40076B">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74E8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2A091191">
            <w:pPr>
              <w:widowControl/>
              <w:jc w:val="left"/>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档案馆电费</w:t>
            </w:r>
            <w:r>
              <w:rPr>
                <w:rFonts w:hint="eastAsia" w:ascii="宋体" w:hAnsi="宋体" w:cs="宋体"/>
                <w:color w:val="000000"/>
                <w:kern w:val="0"/>
                <w:sz w:val="18"/>
                <w:szCs w:val="18"/>
                <w:lang w:bidi="ar"/>
              </w:rPr>
              <w:t>项目自评总分为100分，该项目</w:t>
            </w:r>
            <w:r>
              <w:rPr>
                <w:rFonts w:ascii="宋体" w:hAnsi="宋体" w:cs="宋体"/>
                <w:color w:val="000000"/>
                <w:kern w:val="0"/>
                <w:sz w:val="18"/>
                <w:szCs w:val="18"/>
                <w:lang w:bidi="ar"/>
              </w:rPr>
              <w:t>保持</w:t>
            </w:r>
            <w:r>
              <w:rPr>
                <w:rFonts w:hint="eastAsia" w:ascii="宋体" w:hAnsi="宋体" w:cs="宋体"/>
                <w:color w:val="000000"/>
                <w:kern w:val="0"/>
                <w:sz w:val="18"/>
                <w:szCs w:val="18"/>
                <w:lang w:bidi="ar"/>
              </w:rPr>
              <w:t>了档案馆用电</w:t>
            </w:r>
            <w:r>
              <w:rPr>
                <w:rFonts w:ascii="宋体" w:hAnsi="宋体" w:cs="宋体"/>
                <w:color w:val="000000"/>
                <w:kern w:val="0"/>
                <w:sz w:val="18"/>
                <w:szCs w:val="18"/>
                <w:lang w:bidi="ar"/>
              </w:rPr>
              <w:t>设备正常运转，</w:t>
            </w:r>
            <w:r>
              <w:rPr>
                <w:rFonts w:hint="eastAsia" w:ascii="宋体" w:hAnsi="宋体" w:cs="宋体"/>
                <w:color w:val="000000"/>
                <w:kern w:val="0"/>
                <w:sz w:val="18"/>
                <w:szCs w:val="18"/>
                <w:lang w:bidi="ar"/>
              </w:rPr>
              <w:t>使档案库房温湿度达标</w:t>
            </w:r>
            <w:r>
              <w:rPr>
                <w:rFonts w:ascii="宋体" w:hAnsi="宋体" w:cs="宋体"/>
                <w:color w:val="000000"/>
                <w:kern w:val="0"/>
                <w:sz w:val="18"/>
                <w:szCs w:val="18"/>
                <w:lang w:bidi="ar"/>
              </w:rPr>
              <w:t>确保全县档案</w:t>
            </w:r>
            <w:r>
              <w:rPr>
                <w:rFonts w:hint="eastAsia" w:ascii="宋体" w:hAnsi="宋体" w:cs="宋体"/>
                <w:color w:val="000000"/>
                <w:kern w:val="0"/>
                <w:sz w:val="18"/>
                <w:szCs w:val="18"/>
                <w:lang w:bidi="ar"/>
              </w:rPr>
              <w:t>实体和数据</w:t>
            </w:r>
            <w:r>
              <w:rPr>
                <w:rFonts w:ascii="宋体" w:hAnsi="宋体" w:cs="宋体"/>
                <w:color w:val="000000"/>
                <w:kern w:val="0"/>
                <w:sz w:val="18"/>
                <w:szCs w:val="18"/>
                <w:lang w:bidi="ar"/>
              </w:rPr>
              <w:t>安全，方便群众档案查询、参观展厅</w:t>
            </w:r>
            <w:r>
              <w:rPr>
                <w:rFonts w:hint="eastAsia" w:ascii="宋体" w:hAnsi="宋体" w:cs="宋体"/>
                <w:color w:val="000000"/>
                <w:kern w:val="0"/>
                <w:sz w:val="18"/>
                <w:szCs w:val="18"/>
                <w:lang w:bidi="ar"/>
              </w:rPr>
              <w:t>。</w:t>
            </w:r>
          </w:p>
        </w:tc>
      </w:tr>
      <w:tr w14:paraId="3273E388">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87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993ECAD">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6FF831C3">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3C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7A263DC3">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33001A3C">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597CE7">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DB61C22">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299A9C64">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598C8D12">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7120C74A">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5449F7A8">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7B5A30AC">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31879611">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522B051C">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20AB3841">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1A22C0B4">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7BB623A3">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1805A0F5">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120AD884">
            <w:pPr>
              <w:rPr>
                <w:rFonts w:ascii="宋体" w:hAnsi="宋体" w:cs="宋体"/>
                <w:color w:val="000000"/>
                <w:sz w:val="18"/>
                <w:szCs w:val="18"/>
              </w:rPr>
            </w:pPr>
          </w:p>
        </w:tc>
      </w:tr>
      <w:tr w14:paraId="0B88E594">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FE17301">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0A5BC180">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A9D7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81CC40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51042222T000007060491-盐边县档案馆2022年运转必要支出经费</w:t>
            </w:r>
          </w:p>
        </w:tc>
      </w:tr>
      <w:tr w14:paraId="08908484">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A164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E53D169">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70C5637A">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720F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75600D4E">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283368">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0B692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67334A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94F1880">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5DAB20F2">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3CCD7">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10055">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A6EC1B1">
            <w:pPr>
              <w:rPr>
                <w:rFonts w:ascii="宋体" w:hAnsi="宋体" w:cs="宋体"/>
                <w:color w:val="000000"/>
                <w:sz w:val="18"/>
                <w:szCs w:val="18"/>
              </w:rPr>
            </w:pPr>
            <w:r>
              <w:rPr>
                <w:rFonts w:hint="eastAsia" w:ascii="宋体" w:hAnsi="宋体" w:cs="宋体"/>
                <w:color w:val="000000"/>
                <w:sz w:val="18"/>
                <w:szCs w:val="18"/>
              </w:rPr>
              <w:t>维持档案馆消防、电梯、安保、安全、数据维护等工作正常开展，确保档案绝对安全，便于档案服务利用。</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67F374A">
            <w:pPr>
              <w:widowControl/>
              <w:jc w:val="left"/>
              <w:textAlignment w:val="center"/>
              <w:rPr>
                <w:rFonts w:ascii="黑体" w:hAnsi="黑体" w:eastAsia="黑体" w:cs="黑体"/>
                <w:color w:val="000000"/>
                <w:sz w:val="18"/>
                <w:szCs w:val="18"/>
              </w:rPr>
            </w:pPr>
            <w:r>
              <w:rPr>
                <w:rFonts w:hint="eastAsia" w:ascii="宋体" w:hAnsi="宋体" w:cs="宋体"/>
                <w:color w:val="000000"/>
                <w:sz w:val="18"/>
                <w:szCs w:val="18"/>
              </w:rPr>
              <w:t>档案馆消防、电梯、安保、安全、数据维护等工作持续正常开展，确保了档案的安全，便于提供档案服务利用。</w:t>
            </w:r>
          </w:p>
        </w:tc>
      </w:tr>
      <w:tr w14:paraId="1D54A7C9">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5D503">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BAF4E">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3010FC01">
            <w:pPr>
              <w:rPr>
                <w:rFonts w:ascii="宋体" w:hAnsi="宋体" w:cs="宋体"/>
                <w:color w:val="000000"/>
                <w:sz w:val="18"/>
                <w:szCs w:val="18"/>
              </w:rPr>
            </w:pPr>
            <w:r>
              <w:rPr>
                <w:rFonts w:hint="eastAsia" w:ascii="宋体" w:hAnsi="宋体" w:cs="宋体"/>
                <w:color w:val="000000"/>
                <w:sz w:val="18"/>
                <w:szCs w:val="18"/>
                <w:lang w:val="zh-CN"/>
              </w:rPr>
              <w:t>项目年度预算</w:t>
            </w:r>
            <w:r>
              <w:rPr>
                <w:rFonts w:hint="eastAsia" w:ascii="宋体" w:hAnsi="宋体" w:cs="宋体"/>
                <w:color w:val="000000"/>
                <w:sz w:val="18"/>
                <w:szCs w:val="18"/>
              </w:rPr>
              <w:t>20万元。其中按工作开展进度实施</w:t>
            </w:r>
            <w:r>
              <w:rPr>
                <w:rFonts w:hint="eastAsia" w:ascii="宋体" w:hAnsi="宋体" w:cs="宋体"/>
                <w:color w:val="000000"/>
                <w:sz w:val="18"/>
                <w:szCs w:val="18"/>
                <w:lang w:val="zh-CN"/>
              </w:rPr>
              <w:t>24小时安保工作，共</w:t>
            </w:r>
            <w:r>
              <w:rPr>
                <w:rFonts w:hint="eastAsia" w:ascii="宋体" w:hAnsi="宋体" w:cs="宋体"/>
                <w:color w:val="000000"/>
                <w:sz w:val="18"/>
                <w:szCs w:val="18"/>
              </w:rPr>
              <w:t>11.88</w:t>
            </w:r>
            <w:r>
              <w:rPr>
                <w:rFonts w:hint="eastAsia" w:ascii="宋体" w:hAnsi="宋体" w:cs="宋体"/>
                <w:color w:val="000000"/>
                <w:sz w:val="18"/>
                <w:szCs w:val="18"/>
                <w:lang w:val="zh-CN"/>
              </w:rPr>
              <w:t>万元；消防维护费：支付</w:t>
            </w:r>
            <w:r>
              <w:rPr>
                <w:rFonts w:hint="eastAsia" w:ascii="宋体" w:hAnsi="宋体" w:cs="宋体"/>
                <w:color w:val="000000"/>
                <w:sz w:val="18"/>
                <w:szCs w:val="18"/>
              </w:rPr>
              <w:t>2021年至2022年各阶段</w:t>
            </w:r>
            <w:r>
              <w:rPr>
                <w:rFonts w:hint="eastAsia" w:ascii="宋体" w:hAnsi="宋体" w:cs="宋体"/>
                <w:color w:val="000000"/>
                <w:sz w:val="18"/>
                <w:szCs w:val="18"/>
                <w:lang w:val="zh-CN"/>
              </w:rPr>
              <w:t>维护费</w:t>
            </w:r>
            <w:r>
              <w:rPr>
                <w:rFonts w:hint="eastAsia" w:ascii="宋体" w:hAnsi="宋体" w:cs="宋体"/>
                <w:color w:val="000000"/>
                <w:sz w:val="18"/>
                <w:szCs w:val="18"/>
              </w:rPr>
              <w:t>2.6</w:t>
            </w:r>
            <w:r>
              <w:rPr>
                <w:rFonts w:hint="eastAsia" w:ascii="宋体" w:hAnsi="宋体" w:cs="宋体"/>
                <w:color w:val="000000"/>
                <w:sz w:val="18"/>
                <w:szCs w:val="18"/>
                <w:lang w:val="zh-CN"/>
              </w:rPr>
              <w:t>万元；服务器数据维护：馆内无专业维护人才，相关维护费用为</w:t>
            </w:r>
            <w:r>
              <w:rPr>
                <w:rFonts w:hint="eastAsia" w:ascii="宋体" w:hAnsi="宋体" w:cs="宋体"/>
                <w:color w:val="000000"/>
                <w:sz w:val="18"/>
                <w:szCs w:val="18"/>
              </w:rPr>
              <w:t>1.88</w:t>
            </w:r>
            <w:r>
              <w:rPr>
                <w:rFonts w:hint="eastAsia" w:ascii="宋体" w:hAnsi="宋体" w:cs="宋体"/>
                <w:color w:val="000000"/>
                <w:sz w:val="18"/>
                <w:szCs w:val="18"/>
                <w:lang w:val="zh-CN"/>
              </w:rPr>
              <w:t>万元；电梯维护</w:t>
            </w:r>
            <w:r>
              <w:rPr>
                <w:rFonts w:hint="eastAsia" w:ascii="宋体" w:hAnsi="宋体" w:cs="宋体"/>
                <w:color w:val="000000"/>
                <w:sz w:val="18"/>
                <w:szCs w:val="18"/>
              </w:rPr>
              <w:t>0.4</w:t>
            </w:r>
            <w:r>
              <w:rPr>
                <w:rFonts w:hint="eastAsia" w:ascii="宋体" w:hAnsi="宋体" w:cs="宋体"/>
                <w:color w:val="000000"/>
                <w:sz w:val="18"/>
                <w:szCs w:val="18"/>
                <w:lang w:val="zh-CN"/>
              </w:rPr>
              <w:t>万元；档案馆加装雨棚</w:t>
            </w:r>
            <w:r>
              <w:rPr>
                <w:rFonts w:hint="eastAsia" w:ascii="宋体" w:hAnsi="宋体" w:cs="宋体"/>
                <w:color w:val="000000"/>
                <w:sz w:val="18"/>
                <w:szCs w:val="18"/>
              </w:rPr>
              <w:t>2.3</w:t>
            </w:r>
            <w:r>
              <w:rPr>
                <w:rFonts w:hint="eastAsia" w:ascii="宋体" w:hAnsi="宋体" w:cs="宋体"/>
                <w:color w:val="000000"/>
                <w:sz w:val="18"/>
                <w:szCs w:val="18"/>
                <w:lang w:val="zh-CN"/>
              </w:rPr>
              <w:t>万元；购置防磁柜</w:t>
            </w:r>
            <w:r>
              <w:rPr>
                <w:rFonts w:hint="eastAsia" w:ascii="宋体" w:hAnsi="宋体" w:cs="宋体"/>
                <w:color w:val="000000"/>
                <w:sz w:val="18"/>
                <w:szCs w:val="18"/>
              </w:rPr>
              <w:t>0.94万元</w:t>
            </w:r>
            <w:r>
              <w:rPr>
                <w:rFonts w:hint="eastAsia" w:ascii="宋体" w:hAnsi="宋体" w:cs="宋体"/>
                <w:color w:val="000000"/>
                <w:sz w:val="18"/>
                <w:szCs w:val="18"/>
                <w:lang w:val="zh-CN"/>
              </w:rPr>
              <w:t>。</w:t>
            </w:r>
            <w:r>
              <w:rPr>
                <w:rFonts w:hint="eastAsia" w:ascii="宋体" w:hAnsi="宋体" w:cs="宋体"/>
                <w:color w:val="000000"/>
                <w:sz w:val="18"/>
                <w:szCs w:val="18"/>
              </w:rPr>
              <w:t>到年底已完成100%。</w:t>
            </w:r>
          </w:p>
        </w:tc>
      </w:tr>
      <w:tr w14:paraId="64C56AAA">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B353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69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1A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6407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551E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4D22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DF81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3D6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A9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093828F7">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E1383">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F7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981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E517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7EAE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68A8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1E5A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F6AB5">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A29FB8">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5556C67F">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6A38A">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3CF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2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7D85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E010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10B3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B9D9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10B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1D18E">
            <w:pPr>
              <w:rPr>
                <w:rFonts w:ascii="黑体" w:hAnsi="黑体" w:eastAsia="黑体" w:cs="黑体"/>
                <w:i/>
                <w:iCs/>
                <w:color w:val="000000"/>
                <w:sz w:val="18"/>
                <w:szCs w:val="18"/>
              </w:rPr>
            </w:pPr>
          </w:p>
        </w:tc>
      </w:tr>
      <w:tr w14:paraId="70329467">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046A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E66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2E9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0B48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FE40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167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01E5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ECA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04059">
            <w:pPr>
              <w:rPr>
                <w:rFonts w:ascii="黑体" w:hAnsi="黑体" w:eastAsia="黑体" w:cs="黑体"/>
                <w:i/>
                <w:iCs/>
                <w:color w:val="000000"/>
                <w:sz w:val="18"/>
                <w:szCs w:val="18"/>
              </w:rPr>
            </w:pPr>
          </w:p>
        </w:tc>
      </w:tr>
      <w:tr w14:paraId="1A143612">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C038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AE01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0AC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AC1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D937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ED3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44E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C5A9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E300E">
            <w:pPr>
              <w:rPr>
                <w:rFonts w:ascii="黑体" w:hAnsi="黑体" w:eastAsia="黑体" w:cs="黑体"/>
                <w:i/>
                <w:iCs/>
                <w:color w:val="000000"/>
                <w:sz w:val="18"/>
                <w:szCs w:val="18"/>
              </w:rPr>
            </w:pPr>
          </w:p>
        </w:tc>
      </w:tr>
      <w:tr w14:paraId="06AF599C">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CB74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F4B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889D">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FDD0">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145CCB">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69A6ED">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8CA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4A7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6E95F">
            <w:pPr>
              <w:rPr>
                <w:rFonts w:ascii="黑体" w:hAnsi="黑体" w:eastAsia="黑体" w:cs="黑体"/>
                <w:i/>
                <w:iCs/>
                <w:color w:val="000000"/>
                <w:sz w:val="18"/>
                <w:szCs w:val="18"/>
              </w:rPr>
            </w:pPr>
          </w:p>
        </w:tc>
      </w:tr>
      <w:tr w14:paraId="4D73405F">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right w:val="single" w:color="000000" w:sz="4" w:space="0"/>
            </w:tcBorders>
            <w:shd w:val="clear" w:color="auto" w:fill="auto"/>
            <w:vAlign w:val="center"/>
          </w:tcPr>
          <w:p w14:paraId="5809A5B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A24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F60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9681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227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86A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370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EFE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257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B4F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F14C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67A559FB">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5AF592B3">
            <w:pPr>
              <w:jc w:val="center"/>
              <w:rPr>
                <w:rFonts w:ascii="宋体" w:hAnsi="宋体" w:cs="宋体"/>
                <w:color w:val="000000"/>
                <w:sz w:val="18"/>
                <w:szCs w:val="18"/>
              </w:rPr>
            </w:pPr>
          </w:p>
        </w:tc>
        <w:tc>
          <w:tcPr>
            <w:tcW w:w="1990" w:type="dxa"/>
            <w:vMerge w:val="restart"/>
            <w:tcBorders>
              <w:top w:val="single" w:color="000000" w:sz="4" w:space="0"/>
              <w:left w:val="single" w:color="000000" w:sz="4" w:space="0"/>
              <w:right w:val="single" w:color="000000" w:sz="4" w:space="0"/>
            </w:tcBorders>
            <w:shd w:val="clear" w:color="auto" w:fill="auto"/>
            <w:vAlign w:val="center"/>
          </w:tcPr>
          <w:p w14:paraId="209DF4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049E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71B3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开展的工作项目</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769A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BBF4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4EDD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项</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EE455">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6</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DB6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BA3F2">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6337">
            <w:pPr>
              <w:jc w:val="center"/>
              <w:rPr>
                <w:rFonts w:ascii="微软雅黑" w:hAnsi="微软雅黑" w:eastAsia="微软雅黑" w:cs="微软雅黑"/>
                <w:i/>
                <w:iCs/>
                <w:color w:val="000000"/>
                <w:sz w:val="16"/>
                <w:szCs w:val="16"/>
              </w:rPr>
            </w:pPr>
          </w:p>
        </w:tc>
      </w:tr>
      <w:tr w14:paraId="0DA6C9E0">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7D8A821A">
            <w:pPr>
              <w:jc w:val="center"/>
              <w:rPr>
                <w:rFonts w:ascii="宋体" w:hAnsi="宋体" w:cs="宋体"/>
                <w:color w:val="000000"/>
                <w:sz w:val="18"/>
                <w:szCs w:val="18"/>
              </w:rPr>
            </w:pPr>
          </w:p>
        </w:tc>
        <w:tc>
          <w:tcPr>
            <w:tcW w:w="1990" w:type="dxa"/>
            <w:vMerge w:val="continue"/>
            <w:tcBorders>
              <w:left w:val="single" w:color="000000" w:sz="4" w:space="0"/>
              <w:right w:val="single" w:color="000000" w:sz="4" w:space="0"/>
            </w:tcBorders>
            <w:shd w:val="clear" w:color="auto" w:fill="auto"/>
            <w:vAlign w:val="center"/>
          </w:tcPr>
          <w:p w14:paraId="6D729EE3">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A5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6E25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确保档案绝对安全</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389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78F4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88A3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56C10">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963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FE005">
            <w:pPr>
              <w:jc w:val="center"/>
              <w:rPr>
                <w:rFonts w:ascii="宋体" w:hAnsi="宋体" w:cs="宋体"/>
                <w:color w:val="000000"/>
                <w:sz w:val="18"/>
                <w:szCs w:val="18"/>
              </w:rPr>
            </w:pPr>
            <w:r>
              <w:rPr>
                <w:rFonts w:hint="eastAsia" w:ascii="宋体" w:hAnsi="宋体" w:cs="宋体"/>
                <w:color w:val="000000"/>
                <w:sz w:val="18"/>
                <w:szCs w:val="18"/>
              </w:rPr>
              <w:t>20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B1A6">
            <w:pPr>
              <w:jc w:val="center"/>
              <w:rPr>
                <w:rFonts w:ascii="微软雅黑" w:hAnsi="微软雅黑" w:eastAsia="微软雅黑" w:cs="微软雅黑"/>
                <w:i/>
                <w:iCs/>
                <w:color w:val="000000"/>
                <w:sz w:val="16"/>
                <w:szCs w:val="16"/>
              </w:rPr>
            </w:pPr>
          </w:p>
        </w:tc>
      </w:tr>
      <w:tr w14:paraId="47D5B822">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065C1F11">
            <w:pPr>
              <w:jc w:val="center"/>
              <w:rPr>
                <w:rFonts w:ascii="宋体" w:hAnsi="宋体" w:cs="宋体"/>
                <w:color w:val="000000"/>
                <w:sz w:val="18"/>
                <w:szCs w:val="18"/>
              </w:rPr>
            </w:pPr>
          </w:p>
        </w:tc>
        <w:tc>
          <w:tcPr>
            <w:tcW w:w="1990" w:type="dxa"/>
            <w:vMerge w:val="continue"/>
            <w:tcBorders>
              <w:left w:val="single" w:color="000000" w:sz="4" w:space="0"/>
              <w:right w:val="single" w:color="000000" w:sz="4" w:space="0"/>
            </w:tcBorders>
            <w:shd w:val="clear" w:color="auto" w:fill="auto"/>
            <w:vAlign w:val="center"/>
          </w:tcPr>
          <w:p w14:paraId="7A9B330C">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FBE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860A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2022年完成</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E94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F73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F038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42CC4">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1</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3E5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C581E">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FDF4">
            <w:pPr>
              <w:jc w:val="center"/>
              <w:rPr>
                <w:rFonts w:ascii="微软雅黑" w:hAnsi="微软雅黑" w:eastAsia="微软雅黑" w:cs="微软雅黑"/>
                <w:i/>
                <w:iCs/>
                <w:color w:val="000000"/>
                <w:sz w:val="16"/>
                <w:szCs w:val="16"/>
              </w:rPr>
            </w:pPr>
          </w:p>
        </w:tc>
      </w:tr>
      <w:tr w14:paraId="3570E865">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150D2EDB">
            <w:pPr>
              <w:jc w:val="center"/>
              <w:rPr>
                <w:rFonts w:ascii="宋体" w:hAnsi="宋体" w:cs="宋体"/>
                <w:color w:val="000000"/>
                <w:sz w:val="18"/>
                <w:szCs w:val="18"/>
              </w:rPr>
            </w:pPr>
          </w:p>
        </w:tc>
        <w:tc>
          <w:tcPr>
            <w:tcW w:w="1990" w:type="dxa"/>
            <w:vMerge w:val="continue"/>
            <w:tcBorders>
              <w:left w:val="single" w:color="000000" w:sz="4" w:space="0"/>
              <w:bottom w:val="single" w:color="000000" w:sz="4" w:space="0"/>
              <w:right w:val="single" w:color="000000" w:sz="4" w:space="0"/>
            </w:tcBorders>
            <w:shd w:val="clear" w:color="auto" w:fill="auto"/>
            <w:vAlign w:val="center"/>
          </w:tcPr>
          <w:p w14:paraId="54B42F55">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A68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成本指标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7B43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运转经费</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A76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355F4">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r>
              <w:rPr>
                <w:rFonts w:ascii="宋体" w:hAnsi="宋体" w:cs="宋体"/>
                <w:color w:val="000000"/>
                <w:kern w:val="0"/>
                <w:sz w:val="18"/>
                <w:szCs w:val="18"/>
                <w:lang w:bidi="ar"/>
              </w:rPr>
              <w:t>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D386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万元</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A5798">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20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F373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3FC82">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1133">
            <w:pPr>
              <w:jc w:val="center"/>
              <w:rPr>
                <w:rFonts w:ascii="微软雅黑" w:hAnsi="微软雅黑" w:eastAsia="微软雅黑" w:cs="微软雅黑"/>
                <w:i/>
                <w:iCs/>
                <w:color w:val="000000"/>
                <w:sz w:val="16"/>
                <w:szCs w:val="16"/>
              </w:rPr>
            </w:pPr>
          </w:p>
        </w:tc>
      </w:tr>
      <w:tr w14:paraId="554D6FF4">
        <w:tblPrEx>
          <w:tblCellMar>
            <w:top w:w="0" w:type="dxa"/>
            <w:left w:w="108" w:type="dxa"/>
            <w:bottom w:w="0" w:type="dxa"/>
            <w:right w:w="108" w:type="dxa"/>
          </w:tblCellMar>
        </w:tblPrEx>
        <w:trPr>
          <w:trHeight w:val="339" w:hRule="atLeast"/>
        </w:trPr>
        <w:tc>
          <w:tcPr>
            <w:tcW w:w="679" w:type="dxa"/>
            <w:vMerge w:val="continue"/>
            <w:tcBorders>
              <w:left w:val="single" w:color="000000" w:sz="4" w:space="0"/>
              <w:right w:val="single" w:color="000000" w:sz="4" w:space="0"/>
            </w:tcBorders>
            <w:shd w:val="clear" w:color="auto" w:fill="auto"/>
            <w:vAlign w:val="center"/>
          </w:tcPr>
          <w:p w14:paraId="047998D4">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9D2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BFA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社会效益指标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A9C7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保持</w:t>
            </w:r>
            <w:r>
              <w:rPr>
                <w:rFonts w:hint="eastAsia" w:ascii="宋体" w:hAnsi="宋体" w:cs="宋体"/>
                <w:color w:val="000000"/>
                <w:kern w:val="0"/>
                <w:sz w:val="18"/>
                <w:szCs w:val="18"/>
                <w:lang w:bidi="ar"/>
              </w:rPr>
              <w:t>档案馆专项业务</w:t>
            </w:r>
            <w:r>
              <w:rPr>
                <w:rFonts w:ascii="宋体" w:hAnsi="宋体" w:cs="宋体"/>
                <w:color w:val="000000"/>
                <w:kern w:val="0"/>
                <w:sz w:val="18"/>
                <w:szCs w:val="18"/>
                <w:lang w:bidi="ar"/>
              </w:rPr>
              <w:t>运转，确保全县档案安全，方便群众档案查询、参观展厅</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2C6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定性</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888B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优良中低差</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350B4">
            <w:pPr>
              <w:jc w:val="center"/>
              <w:rPr>
                <w:rFonts w:ascii="宋体" w:hAnsi="宋体" w:cs="宋体"/>
                <w:color w:val="000000"/>
                <w:sz w:val="18"/>
                <w:szCs w:val="18"/>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065A7">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优</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9D6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30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BA04C">
            <w:pPr>
              <w:jc w:val="center"/>
              <w:rPr>
                <w:rFonts w:ascii="宋体" w:hAnsi="宋体" w:cs="宋体"/>
                <w:color w:val="000000"/>
                <w:sz w:val="18"/>
                <w:szCs w:val="18"/>
              </w:rPr>
            </w:pPr>
            <w:r>
              <w:rPr>
                <w:rFonts w:hint="eastAsia" w:ascii="宋体" w:hAnsi="宋体" w:cs="宋体"/>
                <w:color w:val="000000"/>
                <w:sz w:val="18"/>
                <w:szCs w:val="18"/>
              </w:rPr>
              <w:t>30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EB4E">
            <w:pPr>
              <w:jc w:val="center"/>
              <w:rPr>
                <w:rFonts w:ascii="微软雅黑" w:hAnsi="微软雅黑" w:eastAsia="微软雅黑" w:cs="微软雅黑"/>
                <w:i/>
                <w:iCs/>
                <w:color w:val="000000"/>
                <w:sz w:val="16"/>
                <w:szCs w:val="16"/>
              </w:rPr>
            </w:pPr>
          </w:p>
        </w:tc>
      </w:tr>
      <w:tr w14:paraId="619F2255">
        <w:tblPrEx>
          <w:tblCellMar>
            <w:top w:w="0" w:type="dxa"/>
            <w:left w:w="108" w:type="dxa"/>
            <w:bottom w:w="0" w:type="dxa"/>
            <w:right w:w="108" w:type="dxa"/>
          </w:tblCellMar>
        </w:tblPrEx>
        <w:trPr>
          <w:trHeight w:val="339" w:hRule="atLeast"/>
        </w:trPr>
        <w:tc>
          <w:tcPr>
            <w:tcW w:w="679" w:type="dxa"/>
            <w:vMerge w:val="continue"/>
            <w:tcBorders>
              <w:left w:val="single" w:color="000000" w:sz="4" w:space="0"/>
              <w:bottom w:val="single" w:color="000000" w:sz="4" w:space="0"/>
              <w:right w:val="single" w:color="000000" w:sz="4" w:space="0"/>
            </w:tcBorders>
            <w:shd w:val="clear" w:color="auto" w:fill="auto"/>
            <w:vAlign w:val="center"/>
          </w:tcPr>
          <w:p w14:paraId="12ED5D5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556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满意度指标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8D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服务对象满意度指标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8876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档案服务</w:t>
            </w:r>
            <w:r>
              <w:rPr>
                <w:rFonts w:ascii="宋体" w:hAnsi="宋体" w:cs="宋体"/>
                <w:color w:val="000000"/>
                <w:kern w:val="0"/>
                <w:sz w:val="18"/>
                <w:szCs w:val="18"/>
                <w:lang w:bidi="ar"/>
              </w:rPr>
              <w:t>满意度</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B489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定性</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7E6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高中低</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7E99B">
            <w:pPr>
              <w:jc w:val="center"/>
              <w:rPr>
                <w:rFonts w:ascii="宋体" w:hAnsi="宋体" w:cs="宋体"/>
                <w:color w:val="000000"/>
                <w:sz w:val="18"/>
                <w:szCs w:val="18"/>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E4946">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优</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F438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6C472">
            <w:pPr>
              <w:jc w:val="center"/>
              <w:rPr>
                <w:rFonts w:ascii="宋体" w:hAnsi="宋体" w:cs="宋体"/>
                <w:color w:val="000000"/>
                <w:sz w:val="18"/>
                <w:szCs w:val="18"/>
              </w:rPr>
            </w:pPr>
            <w:r>
              <w:rPr>
                <w:rFonts w:hint="eastAsia" w:ascii="宋体" w:hAnsi="宋体" w:cs="宋体"/>
                <w:color w:val="000000"/>
                <w:sz w:val="18"/>
                <w:szCs w:val="18"/>
              </w:rPr>
              <w:t>8</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F880">
            <w:pPr>
              <w:jc w:val="center"/>
              <w:rPr>
                <w:rFonts w:ascii="微软雅黑" w:hAnsi="微软雅黑" w:eastAsia="微软雅黑" w:cs="微软雅黑"/>
                <w:i/>
                <w:iCs/>
                <w:color w:val="000000"/>
                <w:sz w:val="16"/>
                <w:szCs w:val="16"/>
              </w:rPr>
            </w:pPr>
          </w:p>
        </w:tc>
      </w:tr>
      <w:tr w14:paraId="3E25A1EF">
        <w:tblPrEx>
          <w:tblCellMar>
            <w:top w:w="0" w:type="dxa"/>
            <w:left w:w="108" w:type="dxa"/>
            <w:bottom w:w="0" w:type="dxa"/>
            <w:right w:w="108" w:type="dxa"/>
          </w:tblCellMar>
        </w:tblPrEx>
        <w:trPr>
          <w:trHeight w:val="339"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5BD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33BF">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F970">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5BBD8">
            <w:pPr>
              <w:jc w:val="center"/>
              <w:rPr>
                <w:rFonts w:ascii="宋体" w:hAnsi="宋体" w:cs="宋体"/>
                <w:color w:val="000000"/>
                <w:sz w:val="18"/>
                <w:szCs w:val="18"/>
              </w:rPr>
            </w:pP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F3C58">
            <w:pPr>
              <w:jc w:val="center"/>
              <w:rPr>
                <w:rFonts w:ascii="宋体" w:hAnsi="宋体" w:cs="宋体"/>
                <w:color w:val="000000"/>
                <w:sz w:val="18"/>
                <w:szCs w:val="18"/>
              </w:rPr>
            </w:pP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105CA">
            <w:pPr>
              <w:jc w:val="center"/>
              <w:rPr>
                <w:rFonts w:ascii="宋体" w:hAnsi="宋体" w:cs="宋体"/>
                <w:color w:val="000000"/>
                <w:sz w:val="18"/>
                <w:szCs w:val="18"/>
              </w:rPr>
            </w:pP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DCADB">
            <w:pPr>
              <w:jc w:val="center"/>
              <w:rPr>
                <w:rFonts w:ascii="宋体" w:hAnsi="宋体" w:cs="宋体"/>
                <w:color w:val="000000"/>
                <w:sz w:val="18"/>
                <w:szCs w:val="18"/>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36052">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88AF0">
            <w:pPr>
              <w:jc w:val="center"/>
              <w:rPr>
                <w:rFonts w:ascii="宋体" w:hAnsi="宋体" w:cs="宋体"/>
                <w:color w:val="000000"/>
                <w:sz w:val="18"/>
                <w:szCs w:val="18"/>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5C10A">
            <w:pPr>
              <w:jc w:val="center"/>
              <w:rPr>
                <w:rFonts w:ascii="宋体" w:hAnsi="宋体" w:cs="宋体"/>
                <w:color w:val="000000"/>
                <w:sz w:val="18"/>
                <w:szCs w:val="18"/>
              </w:rPr>
            </w:pP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6C8F">
            <w:pPr>
              <w:jc w:val="center"/>
              <w:rPr>
                <w:rFonts w:ascii="微软雅黑" w:hAnsi="微软雅黑" w:eastAsia="微软雅黑" w:cs="微软雅黑"/>
                <w:i/>
                <w:iCs/>
                <w:color w:val="000000"/>
                <w:sz w:val="16"/>
                <w:szCs w:val="16"/>
              </w:rPr>
            </w:pPr>
          </w:p>
        </w:tc>
      </w:tr>
      <w:tr w14:paraId="47565D65">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014C5D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53FF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7B114">
            <w:pPr>
              <w:rPr>
                <w:rFonts w:ascii="宋体" w:hAnsi="宋体" w:cs="宋体"/>
                <w:color w:val="000000"/>
                <w:sz w:val="18"/>
                <w:szCs w:val="18"/>
              </w:rPr>
            </w:pPr>
            <w:r>
              <w:rPr>
                <w:rFonts w:hint="eastAsia" w:ascii="宋体" w:hAnsi="宋体" w:cs="宋体"/>
                <w:color w:val="000000"/>
                <w:sz w:val="18"/>
                <w:szCs w:val="18"/>
              </w:rPr>
              <w:t>98</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834B">
            <w:pPr>
              <w:rPr>
                <w:rFonts w:ascii="宋体" w:hAnsi="宋体" w:cs="宋体"/>
                <w:color w:val="000000"/>
                <w:sz w:val="18"/>
                <w:szCs w:val="18"/>
              </w:rPr>
            </w:pPr>
          </w:p>
        </w:tc>
      </w:tr>
      <w:tr w14:paraId="5A3F1CF9">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F09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E86863F">
            <w:pPr>
              <w:widowControl/>
              <w:jc w:val="left"/>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档案馆2022年运转必要支出经费</w:t>
            </w:r>
            <w:r>
              <w:rPr>
                <w:rFonts w:hint="eastAsia" w:ascii="宋体" w:hAnsi="宋体" w:cs="宋体"/>
                <w:color w:val="000000"/>
                <w:kern w:val="0"/>
                <w:sz w:val="18"/>
                <w:szCs w:val="18"/>
                <w:lang w:bidi="ar"/>
              </w:rPr>
              <w:t>项目自评总分为100分，该项目</w:t>
            </w:r>
            <w:r>
              <w:rPr>
                <w:rFonts w:ascii="宋体" w:hAnsi="宋体" w:cs="宋体"/>
                <w:color w:val="000000"/>
                <w:kern w:val="0"/>
                <w:sz w:val="18"/>
                <w:szCs w:val="18"/>
                <w:lang w:bidi="ar"/>
              </w:rPr>
              <w:t>保持</w:t>
            </w:r>
            <w:r>
              <w:rPr>
                <w:rFonts w:hint="eastAsia" w:ascii="宋体" w:hAnsi="宋体" w:cs="宋体"/>
                <w:color w:val="000000"/>
                <w:kern w:val="0"/>
                <w:sz w:val="18"/>
                <w:szCs w:val="18"/>
                <w:lang w:bidi="ar"/>
              </w:rPr>
              <w:t>了档案馆专项业务</w:t>
            </w:r>
            <w:r>
              <w:rPr>
                <w:rFonts w:ascii="宋体" w:hAnsi="宋体" w:cs="宋体"/>
                <w:color w:val="000000"/>
                <w:kern w:val="0"/>
                <w:sz w:val="18"/>
                <w:szCs w:val="18"/>
                <w:lang w:bidi="ar"/>
              </w:rPr>
              <w:t>正常</w:t>
            </w:r>
            <w:r>
              <w:rPr>
                <w:rFonts w:hint="eastAsia" w:ascii="宋体" w:hAnsi="宋体" w:cs="宋体"/>
                <w:color w:val="000000"/>
                <w:kern w:val="0"/>
                <w:sz w:val="18"/>
                <w:szCs w:val="18"/>
                <w:lang w:bidi="ar"/>
              </w:rPr>
              <w:t>开展</w:t>
            </w:r>
            <w:r>
              <w:rPr>
                <w:rFonts w:ascii="宋体" w:hAnsi="宋体" w:cs="宋体"/>
                <w:color w:val="000000"/>
                <w:kern w:val="0"/>
                <w:sz w:val="18"/>
                <w:szCs w:val="18"/>
                <w:lang w:bidi="ar"/>
              </w:rPr>
              <w:t>，</w:t>
            </w:r>
            <w:r>
              <w:rPr>
                <w:rFonts w:hint="eastAsia" w:ascii="宋体" w:hAnsi="宋体" w:cs="宋体"/>
                <w:color w:val="000000"/>
                <w:sz w:val="18"/>
                <w:szCs w:val="18"/>
              </w:rPr>
              <w:t>维持档案馆消防、电梯、安保、安全、数据维护等工作正常开展，确保档案绝对安全，便于档案服务利用。</w:t>
            </w:r>
          </w:p>
        </w:tc>
      </w:tr>
      <w:tr w14:paraId="633E27CA">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5C5F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05921CE">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431672B0">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59D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05F6029">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76413526">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FA7F2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E5E4719">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7BB35EFE">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6E467193">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2785BF28">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273B438D">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19478D6A">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67BF04E9">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72DE336">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1226FA68">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3D78E1D8">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6E6E8280">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72007EF9">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03A7010A">
            <w:pPr>
              <w:rPr>
                <w:rFonts w:ascii="宋体" w:hAnsi="宋体" w:cs="宋体"/>
                <w:color w:val="000000"/>
                <w:sz w:val="18"/>
                <w:szCs w:val="18"/>
              </w:rPr>
            </w:pPr>
          </w:p>
        </w:tc>
      </w:tr>
      <w:tr w14:paraId="4A04F0AF">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57E8941D">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6E680721">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8E2F3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0158F63">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51042222Y000000305890-公用经费-行政单位</w:t>
            </w:r>
          </w:p>
        </w:tc>
      </w:tr>
      <w:tr w14:paraId="3E02E428">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2FC4F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0DB06D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41670078">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107D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2679A92E">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8C7BFA">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C220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DAA084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26754">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2FC8AB77">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C308C">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65B8A">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6EF704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保障单位日常运转，提高预算编制质量，严格执行预算</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8900181">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保障单位日常运转，提高预算编制质量，严格执行预算</w:t>
            </w:r>
          </w:p>
        </w:tc>
      </w:tr>
      <w:tr w14:paraId="7B08BD01">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591D4">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02CD">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1CD81F0E">
            <w:pP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r>
      <w:tr w14:paraId="4EE1C39A">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532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97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686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569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5365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0DC9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493F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2344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9E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1276C4C7">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A41D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002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2B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9.27</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6A5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8.93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C7CEC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8.93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E8F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337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A595E">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8BCED4">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702AFA05">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C5BE2">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60B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9AC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9.27</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59B0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8.93</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A0B1A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8.93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815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266E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D837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44F2D">
            <w:pPr>
              <w:rPr>
                <w:rFonts w:ascii="黑体" w:hAnsi="黑体" w:eastAsia="黑体" w:cs="黑体"/>
                <w:i/>
                <w:iCs/>
                <w:color w:val="000000"/>
                <w:sz w:val="18"/>
                <w:szCs w:val="18"/>
              </w:rPr>
            </w:pPr>
          </w:p>
        </w:tc>
      </w:tr>
      <w:tr w14:paraId="045C4D45">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F568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04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421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912B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D04B2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A0D1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8AD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D007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8933B">
            <w:pPr>
              <w:rPr>
                <w:rFonts w:ascii="黑体" w:hAnsi="黑体" w:eastAsia="黑体" w:cs="黑体"/>
                <w:i/>
                <w:iCs/>
                <w:color w:val="000000"/>
                <w:sz w:val="18"/>
                <w:szCs w:val="18"/>
              </w:rPr>
            </w:pPr>
          </w:p>
        </w:tc>
      </w:tr>
      <w:tr w14:paraId="077420EE">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7DE5C">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F9B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E4F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2A9D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356D5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20BF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62A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4AD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1883B">
            <w:pPr>
              <w:rPr>
                <w:rFonts w:ascii="黑体" w:hAnsi="黑体" w:eastAsia="黑体" w:cs="黑体"/>
                <w:i/>
                <w:iCs/>
                <w:color w:val="000000"/>
                <w:sz w:val="18"/>
                <w:szCs w:val="18"/>
              </w:rPr>
            </w:pPr>
          </w:p>
        </w:tc>
      </w:tr>
      <w:tr w14:paraId="6070E348">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4518E">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B841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0CD7">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DF206">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5F925C">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B177C">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6F2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F102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3FF0B">
            <w:pPr>
              <w:rPr>
                <w:rFonts w:ascii="黑体" w:hAnsi="黑体" w:eastAsia="黑体" w:cs="黑体"/>
                <w:i/>
                <w:iCs/>
                <w:color w:val="000000"/>
                <w:sz w:val="18"/>
                <w:szCs w:val="18"/>
              </w:rPr>
            </w:pPr>
          </w:p>
        </w:tc>
      </w:tr>
      <w:tr w14:paraId="3442BDDD">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03EE4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8F2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3543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DDF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39DA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41E7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0968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DF8B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2936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FCD9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05A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24BD58FB">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3E399">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512A6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6027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C96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C1FB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3D3E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054D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B2C15">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05AF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AE6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003A">
            <w:pPr>
              <w:jc w:val="center"/>
              <w:rPr>
                <w:rFonts w:ascii="微软雅黑" w:hAnsi="微软雅黑" w:eastAsia="微软雅黑" w:cs="微软雅黑"/>
                <w:i/>
                <w:iCs/>
                <w:color w:val="000000"/>
                <w:sz w:val="16"/>
                <w:szCs w:val="16"/>
              </w:rPr>
            </w:pPr>
          </w:p>
        </w:tc>
      </w:tr>
      <w:tr w14:paraId="516D3619">
        <w:tblPrEx>
          <w:tblCellMar>
            <w:top w:w="0" w:type="dxa"/>
            <w:left w:w="108" w:type="dxa"/>
            <w:bottom w:w="0" w:type="dxa"/>
            <w:right w:w="108" w:type="dxa"/>
          </w:tblCellMar>
        </w:tblPrEx>
        <w:trPr>
          <w:trHeight w:val="67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D7E78">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DD8BC">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9D6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6C8B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预算编制准确率（计算方法为：∣（执行数-预算数）/预算数∣）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510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3962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9885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01F51">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B7DC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D05E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5765">
            <w:pPr>
              <w:jc w:val="center"/>
              <w:rPr>
                <w:rFonts w:ascii="微软雅黑" w:hAnsi="微软雅黑" w:eastAsia="微软雅黑" w:cs="微软雅黑"/>
                <w:i/>
                <w:iCs/>
                <w:color w:val="000000"/>
                <w:sz w:val="16"/>
                <w:szCs w:val="16"/>
              </w:rPr>
            </w:pPr>
          </w:p>
        </w:tc>
      </w:tr>
      <w:tr w14:paraId="379F37E6">
        <w:tblPrEx>
          <w:tblCellMar>
            <w:top w:w="0" w:type="dxa"/>
            <w:left w:w="108" w:type="dxa"/>
            <w:bottom w:w="0" w:type="dxa"/>
            <w:right w:w="108" w:type="dxa"/>
          </w:tblCellMar>
        </w:tblPrEx>
        <w:trPr>
          <w:trHeight w:val="904"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7366CC">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4968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573E6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B645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eastAsia="zh-CN" w:bidi="ar"/>
              </w:rPr>
              <w:t>“三公”经费</w:t>
            </w:r>
            <w:r>
              <w:rPr>
                <w:rFonts w:ascii="宋体" w:hAnsi="宋体" w:cs="宋体"/>
                <w:color w:val="000000"/>
                <w:kern w:val="0"/>
                <w:sz w:val="18"/>
                <w:szCs w:val="18"/>
                <w:lang w:bidi="ar"/>
              </w:rPr>
              <w:t>控制率[计算方法为：（三公经费实际支出数/预算安排数]×100%）</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E49A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7277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0CC3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6EAFF">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C17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909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649A">
            <w:pPr>
              <w:jc w:val="center"/>
              <w:rPr>
                <w:rFonts w:ascii="微软雅黑" w:hAnsi="微软雅黑" w:eastAsia="微软雅黑" w:cs="微软雅黑"/>
                <w:i/>
                <w:iCs/>
                <w:color w:val="000000"/>
                <w:sz w:val="16"/>
                <w:szCs w:val="16"/>
              </w:rPr>
            </w:pPr>
          </w:p>
        </w:tc>
      </w:tr>
      <w:tr w14:paraId="5B016D0C">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B6305">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68ED9">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2B613">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E6A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运转保障率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AAD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534B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ECE0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A53AF">
            <w:pPr>
              <w:jc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884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8AEE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DAAC">
            <w:pPr>
              <w:jc w:val="center"/>
              <w:rPr>
                <w:rFonts w:ascii="微软雅黑" w:hAnsi="微软雅黑" w:eastAsia="微软雅黑" w:cs="微软雅黑"/>
                <w:i/>
                <w:iCs/>
                <w:color w:val="000000"/>
                <w:sz w:val="16"/>
                <w:szCs w:val="16"/>
              </w:rPr>
            </w:pPr>
          </w:p>
        </w:tc>
      </w:tr>
      <w:tr w14:paraId="19DE7BA4">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4F939B7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F48A0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0F7A4">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7D7C2">
            <w:pPr>
              <w:rPr>
                <w:rFonts w:ascii="宋体" w:hAnsi="宋体" w:cs="宋体"/>
                <w:color w:val="000000"/>
                <w:sz w:val="18"/>
                <w:szCs w:val="18"/>
              </w:rPr>
            </w:pPr>
          </w:p>
        </w:tc>
      </w:tr>
      <w:tr w14:paraId="3A10238D">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38E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05C8FB70">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1E85AFE6">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85DB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82DF144">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4E77766D">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B51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05EC184">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0802C3FF">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4F1F11">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73209A4">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r w14:paraId="14492AB3">
        <w:tblPrEx>
          <w:tblCellMar>
            <w:top w:w="0" w:type="dxa"/>
            <w:left w:w="108" w:type="dxa"/>
            <w:bottom w:w="0" w:type="dxa"/>
            <w:right w:w="108" w:type="dxa"/>
          </w:tblCellMar>
        </w:tblPrEx>
        <w:trPr>
          <w:trHeight w:val="286" w:hRule="atLeast"/>
        </w:trPr>
        <w:tc>
          <w:tcPr>
            <w:tcW w:w="679" w:type="dxa"/>
            <w:tcBorders>
              <w:top w:val="nil"/>
              <w:left w:val="nil"/>
              <w:bottom w:val="nil"/>
              <w:right w:val="nil"/>
            </w:tcBorders>
            <w:shd w:val="clear" w:color="auto" w:fill="auto"/>
            <w:vAlign w:val="center"/>
          </w:tcPr>
          <w:p w14:paraId="34F46C76">
            <w:pPr>
              <w:rPr>
                <w:rFonts w:ascii="宋体" w:hAnsi="宋体" w:cs="宋体"/>
                <w:color w:val="000000"/>
                <w:sz w:val="18"/>
                <w:szCs w:val="18"/>
              </w:rPr>
            </w:pPr>
          </w:p>
        </w:tc>
        <w:tc>
          <w:tcPr>
            <w:tcW w:w="1990" w:type="dxa"/>
            <w:tcBorders>
              <w:top w:val="nil"/>
              <w:left w:val="nil"/>
              <w:bottom w:val="nil"/>
              <w:right w:val="nil"/>
            </w:tcBorders>
            <w:shd w:val="clear" w:color="auto" w:fill="auto"/>
            <w:vAlign w:val="center"/>
          </w:tcPr>
          <w:p w14:paraId="0DFC6F97">
            <w:pPr>
              <w:rPr>
                <w:rFonts w:ascii="宋体" w:hAnsi="宋体" w:cs="宋体"/>
                <w:color w:val="000000"/>
                <w:sz w:val="18"/>
                <w:szCs w:val="18"/>
              </w:rPr>
            </w:pPr>
          </w:p>
        </w:tc>
        <w:tc>
          <w:tcPr>
            <w:tcW w:w="1733" w:type="dxa"/>
            <w:tcBorders>
              <w:top w:val="nil"/>
              <w:left w:val="nil"/>
              <w:bottom w:val="nil"/>
              <w:right w:val="nil"/>
            </w:tcBorders>
            <w:shd w:val="clear" w:color="auto" w:fill="auto"/>
            <w:vAlign w:val="center"/>
          </w:tcPr>
          <w:p w14:paraId="342CDB49">
            <w:pPr>
              <w:rPr>
                <w:rFonts w:ascii="宋体" w:hAnsi="宋体" w:cs="宋体"/>
                <w:color w:val="000000"/>
                <w:sz w:val="18"/>
                <w:szCs w:val="18"/>
              </w:rPr>
            </w:pPr>
          </w:p>
        </w:tc>
        <w:tc>
          <w:tcPr>
            <w:tcW w:w="2220" w:type="dxa"/>
            <w:gridSpan w:val="2"/>
            <w:tcBorders>
              <w:top w:val="nil"/>
              <w:left w:val="nil"/>
              <w:bottom w:val="nil"/>
              <w:right w:val="nil"/>
            </w:tcBorders>
            <w:shd w:val="clear" w:color="auto" w:fill="auto"/>
            <w:vAlign w:val="center"/>
          </w:tcPr>
          <w:p w14:paraId="6E1CE168">
            <w:pPr>
              <w:rPr>
                <w:rFonts w:ascii="宋体" w:hAnsi="宋体" w:cs="宋体"/>
                <w:color w:val="000000"/>
                <w:sz w:val="18"/>
                <w:szCs w:val="18"/>
              </w:rPr>
            </w:pPr>
          </w:p>
        </w:tc>
        <w:tc>
          <w:tcPr>
            <w:tcW w:w="515" w:type="dxa"/>
            <w:gridSpan w:val="2"/>
            <w:tcBorders>
              <w:top w:val="nil"/>
              <w:left w:val="nil"/>
              <w:bottom w:val="nil"/>
              <w:right w:val="nil"/>
            </w:tcBorders>
            <w:shd w:val="clear" w:color="auto" w:fill="auto"/>
            <w:vAlign w:val="center"/>
          </w:tcPr>
          <w:p w14:paraId="4D3E8B75">
            <w:pPr>
              <w:rPr>
                <w:rFonts w:ascii="宋体" w:hAnsi="宋体" w:cs="宋体"/>
                <w:color w:val="000000"/>
                <w:sz w:val="18"/>
                <w:szCs w:val="18"/>
              </w:rPr>
            </w:pPr>
          </w:p>
        </w:tc>
        <w:tc>
          <w:tcPr>
            <w:tcW w:w="1628" w:type="dxa"/>
            <w:gridSpan w:val="2"/>
            <w:tcBorders>
              <w:top w:val="nil"/>
              <w:left w:val="nil"/>
              <w:bottom w:val="nil"/>
              <w:right w:val="nil"/>
            </w:tcBorders>
            <w:shd w:val="clear" w:color="auto" w:fill="auto"/>
            <w:vAlign w:val="center"/>
          </w:tcPr>
          <w:p w14:paraId="1EA66CD3">
            <w:pPr>
              <w:rPr>
                <w:rFonts w:ascii="宋体" w:hAnsi="宋体" w:cs="宋体"/>
                <w:color w:val="000000"/>
                <w:sz w:val="18"/>
                <w:szCs w:val="18"/>
              </w:rPr>
            </w:pPr>
          </w:p>
        </w:tc>
        <w:tc>
          <w:tcPr>
            <w:tcW w:w="516" w:type="dxa"/>
            <w:gridSpan w:val="2"/>
            <w:tcBorders>
              <w:top w:val="nil"/>
              <w:left w:val="nil"/>
              <w:bottom w:val="nil"/>
              <w:right w:val="nil"/>
            </w:tcBorders>
            <w:shd w:val="clear" w:color="auto" w:fill="auto"/>
            <w:vAlign w:val="center"/>
          </w:tcPr>
          <w:p w14:paraId="6AF1816A">
            <w:pPr>
              <w:rPr>
                <w:rFonts w:ascii="宋体" w:hAnsi="宋体" w:cs="宋体"/>
                <w:color w:val="000000"/>
                <w:sz w:val="18"/>
                <w:szCs w:val="18"/>
              </w:rPr>
            </w:pPr>
          </w:p>
        </w:tc>
        <w:tc>
          <w:tcPr>
            <w:tcW w:w="1080" w:type="dxa"/>
            <w:gridSpan w:val="2"/>
            <w:tcBorders>
              <w:top w:val="nil"/>
              <w:left w:val="nil"/>
              <w:bottom w:val="nil"/>
              <w:right w:val="nil"/>
            </w:tcBorders>
            <w:shd w:val="clear" w:color="auto" w:fill="auto"/>
            <w:vAlign w:val="center"/>
          </w:tcPr>
          <w:p w14:paraId="3E38EF67">
            <w:pPr>
              <w:rPr>
                <w:rFonts w:ascii="宋体" w:hAnsi="宋体" w:cs="宋体"/>
                <w:color w:val="000000"/>
                <w:sz w:val="18"/>
                <w:szCs w:val="18"/>
              </w:rPr>
            </w:pPr>
          </w:p>
        </w:tc>
        <w:tc>
          <w:tcPr>
            <w:tcW w:w="646" w:type="dxa"/>
            <w:gridSpan w:val="2"/>
            <w:tcBorders>
              <w:top w:val="nil"/>
              <w:left w:val="nil"/>
              <w:bottom w:val="nil"/>
              <w:right w:val="nil"/>
            </w:tcBorders>
            <w:shd w:val="clear" w:color="auto" w:fill="auto"/>
            <w:vAlign w:val="center"/>
          </w:tcPr>
          <w:p w14:paraId="5FFCAFF2">
            <w:pPr>
              <w:rPr>
                <w:rFonts w:ascii="宋体" w:hAnsi="宋体" w:cs="宋体"/>
                <w:color w:val="000000"/>
                <w:sz w:val="18"/>
                <w:szCs w:val="18"/>
              </w:rPr>
            </w:pPr>
          </w:p>
        </w:tc>
        <w:tc>
          <w:tcPr>
            <w:tcW w:w="606" w:type="dxa"/>
            <w:gridSpan w:val="2"/>
            <w:tcBorders>
              <w:top w:val="nil"/>
              <w:left w:val="nil"/>
              <w:bottom w:val="nil"/>
              <w:right w:val="nil"/>
            </w:tcBorders>
            <w:shd w:val="clear" w:color="auto" w:fill="auto"/>
            <w:vAlign w:val="center"/>
          </w:tcPr>
          <w:p w14:paraId="0ED52B8C">
            <w:pPr>
              <w:rPr>
                <w:rFonts w:ascii="宋体" w:hAnsi="宋体" w:cs="宋体"/>
                <w:color w:val="000000"/>
                <w:sz w:val="18"/>
                <w:szCs w:val="18"/>
              </w:rPr>
            </w:pPr>
          </w:p>
        </w:tc>
        <w:tc>
          <w:tcPr>
            <w:tcW w:w="2487" w:type="dxa"/>
            <w:tcBorders>
              <w:top w:val="nil"/>
              <w:left w:val="nil"/>
              <w:bottom w:val="nil"/>
              <w:right w:val="nil"/>
            </w:tcBorders>
            <w:shd w:val="clear" w:color="auto" w:fill="auto"/>
            <w:vAlign w:val="center"/>
          </w:tcPr>
          <w:p w14:paraId="7D5A350E">
            <w:pPr>
              <w:rPr>
                <w:rFonts w:ascii="宋体" w:hAnsi="宋体" w:cs="宋体"/>
                <w:color w:val="000000"/>
                <w:sz w:val="18"/>
                <w:szCs w:val="18"/>
              </w:rPr>
            </w:pPr>
          </w:p>
        </w:tc>
      </w:tr>
      <w:tr w14:paraId="292BB6D2">
        <w:tblPrEx>
          <w:tblCellMar>
            <w:top w:w="0" w:type="dxa"/>
            <w:left w:w="108" w:type="dxa"/>
            <w:bottom w:w="0" w:type="dxa"/>
            <w:right w:w="108" w:type="dxa"/>
          </w:tblCellMar>
        </w:tblPrEx>
        <w:trPr>
          <w:trHeight w:val="904" w:hRule="atLeast"/>
        </w:trPr>
        <w:tc>
          <w:tcPr>
            <w:tcW w:w="1410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12AFE0AD">
            <w:pPr>
              <w:widowControl/>
              <w:jc w:val="center"/>
              <w:textAlignment w:val="center"/>
              <w:rPr>
                <w:rFonts w:ascii="黑体" w:hAnsi="宋体" w:eastAsia="黑体" w:cs="黑体"/>
                <w:b/>
                <w:bCs/>
                <w:color w:val="000000"/>
                <w:sz w:val="30"/>
                <w:szCs w:val="30"/>
              </w:rPr>
            </w:pPr>
            <w:r>
              <w:rPr>
                <w:rFonts w:hint="eastAsia" w:ascii="黑体" w:hAnsi="宋体" w:eastAsia="黑体" w:cs="黑体"/>
                <w:b/>
                <w:bCs/>
                <w:color w:val="000000"/>
                <w:kern w:val="0"/>
                <w:sz w:val="30"/>
                <w:szCs w:val="30"/>
                <w:lang w:bidi="ar"/>
              </w:rPr>
              <w:t>部门预算项目支出绩效自评表（2022年度）</w:t>
            </w:r>
          </w:p>
        </w:tc>
      </w:tr>
      <w:tr w14:paraId="28F1FE47">
        <w:tblPrEx>
          <w:tblCellMar>
            <w:top w:w="0" w:type="dxa"/>
            <w:left w:w="108" w:type="dxa"/>
            <w:bottom w:w="0" w:type="dxa"/>
            <w:right w:w="108" w:type="dxa"/>
          </w:tblCellMar>
        </w:tblPrEx>
        <w:trPr>
          <w:trHeight w:val="286"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108CB6">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项目名称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21456921">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51042223R000007511924-2022年9月预发绩效奖</w:t>
            </w:r>
          </w:p>
        </w:tc>
      </w:tr>
      <w:tr w14:paraId="65E8DAE6">
        <w:tblPrEx>
          <w:tblCellMar>
            <w:top w:w="0" w:type="dxa"/>
            <w:left w:w="108" w:type="dxa"/>
            <w:bottom w:w="0" w:type="dxa"/>
            <w:right w:w="108" w:type="dxa"/>
          </w:tblCellMar>
        </w:tblPrEx>
        <w:trPr>
          <w:trHeight w:val="512" w:hRule="atLeast"/>
        </w:trPr>
        <w:tc>
          <w:tcPr>
            <w:tcW w:w="2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A43C3">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主管部门</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7F5C252">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盐边县档案馆（部门）</w:t>
            </w:r>
          </w:p>
        </w:tc>
        <w:tc>
          <w:tcPr>
            <w:tcW w:w="1080" w:type="dxa"/>
            <w:gridSpan w:val="2"/>
            <w:tcBorders>
              <w:top w:val="nil"/>
              <w:left w:val="nil"/>
              <w:bottom w:val="nil"/>
              <w:right w:val="nil"/>
            </w:tcBorders>
            <w:shd w:val="clear" w:color="auto" w:fill="auto"/>
            <w:vAlign w:val="center"/>
          </w:tcPr>
          <w:p w14:paraId="52A35353">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实施单位 （盖章）</w:t>
            </w:r>
          </w:p>
        </w:tc>
        <w:tc>
          <w:tcPr>
            <w:tcW w:w="373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DB512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盐边县档案馆</w:t>
            </w:r>
          </w:p>
        </w:tc>
      </w:tr>
      <w:tr w14:paraId="2DA4767F">
        <w:tblPrEx>
          <w:tblCellMar>
            <w:top w:w="0" w:type="dxa"/>
            <w:left w:w="108" w:type="dxa"/>
            <w:bottom w:w="0" w:type="dxa"/>
            <w:right w:w="108" w:type="dxa"/>
          </w:tblCellMar>
        </w:tblPrEx>
        <w:trPr>
          <w:trHeight w:val="286"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CEC83F">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项目基本情况</w:t>
            </w: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ACD77">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1.项目年度目标完成情况</w:t>
            </w: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A52975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项目年度目标</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AFD8DBF">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年度目标完成情况</w:t>
            </w:r>
          </w:p>
        </w:tc>
      </w:tr>
      <w:tr w14:paraId="6CA5225F">
        <w:tblPrEx>
          <w:tblCellMar>
            <w:top w:w="0" w:type="dxa"/>
            <w:left w:w="108" w:type="dxa"/>
            <w:bottom w:w="0" w:type="dxa"/>
            <w:right w:w="108" w:type="dxa"/>
          </w:tblCellMar>
        </w:tblPrEx>
        <w:trPr>
          <w:trHeight w:val="708"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7B165">
            <w:pP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63E18">
            <w:pPr>
              <w:rPr>
                <w:rFonts w:ascii="宋体" w:hAnsi="宋体" w:cs="宋体"/>
                <w:color w:val="000000"/>
                <w:sz w:val="18"/>
                <w:szCs w:val="18"/>
              </w:rPr>
            </w:pPr>
          </w:p>
        </w:tc>
        <w:tc>
          <w:tcPr>
            <w:tcW w:w="6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43BBFA5">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c>
          <w:tcPr>
            <w:tcW w:w="48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5E0F55E">
            <w:pPr>
              <w:widowControl/>
              <w:jc w:val="left"/>
              <w:textAlignment w:val="center"/>
              <w:rPr>
                <w:rFonts w:ascii="黑体" w:hAnsi="黑体" w:eastAsia="黑体" w:cs="黑体"/>
                <w:color w:val="000000"/>
                <w:sz w:val="18"/>
                <w:szCs w:val="18"/>
              </w:rPr>
            </w:pPr>
            <w:r>
              <w:rPr>
                <w:rFonts w:ascii="宋体" w:hAnsi="宋体" w:cs="宋体"/>
                <w:color w:val="000000"/>
                <w:kern w:val="0"/>
                <w:sz w:val="18"/>
                <w:szCs w:val="18"/>
                <w:lang w:bidi="ar"/>
              </w:rPr>
              <w:t>严格执行相关政策，保障</w:t>
            </w:r>
            <w:r>
              <w:rPr>
                <w:rFonts w:hint="eastAsia" w:ascii="宋体" w:hAnsi="宋体" w:cs="宋体"/>
                <w:color w:val="000000"/>
                <w:kern w:val="0"/>
                <w:sz w:val="18"/>
                <w:szCs w:val="18"/>
                <w:lang w:bidi="ar"/>
              </w:rPr>
              <w:t>绩效奖</w:t>
            </w:r>
            <w:r>
              <w:rPr>
                <w:rFonts w:ascii="宋体" w:hAnsi="宋体" w:cs="宋体"/>
                <w:color w:val="000000"/>
                <w:kern w:val="0"/>
                <w:sz w:val="18"/>
                <w:szCs w:val="18"/>
                <w:lang w:bidi="ar"/>
              </w:rPr>
              <w:t>及时发放、足额发放，预算编制科学合理，减少结余资金</w:t>
            </w:r>
          </w:p>
        </w:tc>
      </w:tr>
      <w:tr w14:paraId="5B2FB97C">
        <w:tblPrEx>
          <w:tblCellMar>
            <w:top w:w="0" w:type="dxa"/>
            <w:left w:w="108" w:type="dxa"/>
            <w:bottom w:w="0" w:type="dxa"/>
            <w:right w:w="108" w:type="dxa"/>
          </w:tblCellMar>
        </w:tblPrEx>
        <w:trPr>
          <w:trHeight w:val="693"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E4F65">
            <w:pP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BA14">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2.项目实施内容及过程概述</w:t>
            </w:r>
          </w:p>
        </w:tc>
        <w:tc>
          <w:tcPr>
            <w:tcW w:w="11431"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2FA87561">
            <w:pPr>
              <w:rPr>
                <w:rFonts w:ascii="宋体" w:hAnsi="宋体" w:cs="宋体"/>
                <w:color w:val="000000"/>
                <w:sz w:val="18"/>
                <w:szCs w:val="18"/>
              </w:rPr>
            </w:pPr>
            <w:r>
              <w:rPr>
                <w:rFonts w:hint="eastAsia" w:ascii="宋体" w:hAnsi="宋体" w:cs="宋体"/>
                <w:color w:val="000000"/>
                <w:sz w:val="18"/>
                <w:szCs w:val="18"/>
              </w:rPr>
              <w:t>按月度计划及财政安排</w:t>
            </w:r>
            <w:r>
              <w:rPr>
                <w:rFonts w:hint="eastAsia" w:ascii="宋体" w:hAnsi="宋体" w:cs="宋体"/>
                <w:color w:val="000000"/>
                <w:kern w:val="0"/>
                <w:sz w:val="18"/>
                <w:szCs w:val="18"/>
                <w:lang w:bidi="ar"/>
              </w:rPr>
              <w:t>发放经费</w:t>
            </w:r>
            <w:r>
              <w:rPr>
                <w:rFonts w:hint="eastAsia" w:ascii="宋体" w:hAnsi="宋体" w:cs="宋体"/>
                <w:color w:val="000000"/>
                <w:sz w:val="18"/>
                <w:szCs w:val="18"/>
              </w:rPr>
              <w:t>等，并及时进行核对及账务处理</w:t>
            </w:r>
          </w:p>
        </w:tc>
      </w:tr>
      <w:tr w14:paraId="59603330">
        <w:tblPrEx>
          <w:tblCellMar>
            <w:top w:w="0" w:type="dxa"/>
            <w:left w:w="108" w:type="dxa"/>
            <w:bottom w:w="0" w:type="dxa"/>
            <w:right w:w="108" w:type="dxa"/>
          </w:tblCellMar>
        </w:tblPrEx>
        <w:trPr>
          <w:trHeight w:val="361"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006A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预算执行情况（10分）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EA64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年度预算数（万元）</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79A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年初预算</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C642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调整后预算数</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CFAA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预算执行数</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BCAD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预算执行率</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AE3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EB78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B5B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原因</w:t>
            </w:r>
          </w:p>
        </w:tc>
      </w:tr>
      <w:tr w14:paraId="3D520AE2">
        <w:tblPrEx>
          <w:tblCellMar>
            <w:top w:w="0" w:type="dxa"/>
            <w:left w:w="108" w:type="dxa"/>
            <w:bottom w:w="0" w:type="dxa"/>
            <w:right w:w="108" w:type="dxa"/>
          </w:tblCellMar>
        </w:tblPrEx>
        <w:trPr>
          <w:trHeight w:val="38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6B1AD">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CE1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总额</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685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7EBBB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13.66</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930C0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13.66</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3401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D529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D89CD">
            <w:pPr>
              <w:jc w:val="center"/>
              <w:rPr>
                <w:rFonts w:ascii="宋体" w:hAnsi="宋体" w:cs="宋体"/>
                <w:color w:val="000000"/>
                <w:sz w:val="18"/>
                <w:szCs w:val="18"/>
              </w:rPr>
            </w:pPr>
            <w:r>
              <w:rPr>
                <w:rFonts w:hint="eastAsia" w:ascii="宋体" w:hAnsi="宋体" w:cs="宋体"/>
                <w:color w:val="000000"/>
                <w:sz w:val="18"/>
                <w:szCs w:val="18"/>
              </w:rPr>
              <w:t>10</w:t>
            </w:r>
          </w:p>
        </w:tc>
        <w:tc>
          <w:tcPr>
            <w:tcW w:w="2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963186">
            <w:pPr>
              <w:widowControl/>
              <w:jc w:val="left"/>
              <w:textAlignment w:val="center"/>
              <w:rPr>
                <w:rFonts w:ascii="黑体" w:hAnsi="黑体" w:eastAsia="黑体" w:cs="黑体"/>
                <w:i/>
                <w:iCs/>
                <w:color w:val="000000"/>
                <w:sz w:val="18"/>
                <w:szCs w:val="18"/>
              </w:rPr>
            </w:pPr>
            <w:r>
              <w:rPr>
                <w:rFonts w:hint="eastAsia" w:ascii="黑体" w:hAnsi="黑体" w:eastAsia="黑体" w:cs="黑体"/>
                <w:i/>
                <w:iCs/>
                <w:color w:val="000000"/>
                <w:kern w:val="0"/>
                <w:sz w:val="18"/>
                <w:szCs w:val="18"/>
                <w:lang w:bidi="ar"/>
              </w:rPr>
              <w:t xml:space="preserve"> </w:t>
            </w:r>
          </w:p>
        </w:tc>
      </w:tr>
      <w:tr w14:paraId="1595399C">
        <w:tblPrEx>
          <w:tblCellMar>
            <w:top w:w="0" w:type="dxa"/>
            <w:left w:w="108" w:type="dxa"/>
            <w:bottom w:w="0" w:type="dxa"/>
            <w:right w:w="108" w:type="dxa"/>
          </w:tblCellMar>
        </w:tblPrEx>
        <w:trPr>
          <w:trHeight w:val="43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39C70">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51D4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其中：财政资金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022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8008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13.66</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999C9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13.66</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20B8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45FB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DEFC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BAE9B">
            <w:pPr>
              <w:rPr>
                <w:rFonts w:ascii="黑体" w:hAnsi="黑体" w:eastAsia="黑体" w:cs="黑体"/>
                <w:i/>
                <w:iCs/>
                <w:color w:val="000000"/>
                <w:sz w:val="18"/>
                <w:szCs w:val="18"/>
              </w:rPr>
            </w:pPr>
          </w:p>
        </w:tc>
      </w:tr>
      <w:tr w14:paraId="02024C1C">
        <w:tblPrEx>
          <w:tblCellMar>
            <w:top w:w="0" w:type="dxa"/>
            <w:left w:w="108" w:type="dxa"/>
            <w:bottom w:w="0" w:type="dxa"/>
            <w:right w:w="108" w:type="dxa"/>
          </w:tblCellMar>
        </w:tblPrEx>
        <w:trPr>
          <w:trHeight w:val="447"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5860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4D5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财政专户管理资金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A9C2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1123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D0101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93ED6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96DBD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A37F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1B6F7">
            <w:pPr>
              <w:rPr>
                <w:rFonts w:ascii="黑体" w:hAnsi="黑体" w:eastAsia="黑体" w:cs="黑体"/>
                <w:i/>
                <w:iCs/>
                <w:color w:val="000000"/>
                <w:sz w:val="18"/>
                <w:szCs w:val="18"/>
              </w:rPr>
            </w:pPr>
          </w:p>
        </w:tc>
      </w:tr>
      <w:tr w14:paraId="218C0A93">
        <w:tblPrEx>
          <w:tblCellMar>
            <w:top w:w="0" w:type="dxa"/>
            <w:left w:w="108" w:type="dxa"/>
            <w:bottom w:w="0" w:type="dxa"/>
            <w:right w:w="108" w:type="dxa"/>
          </w:tblCellMar>
        </w:tblPrEx>
        <w:trPr>
          <w:trHeight w:val="402"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71268">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607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单位资金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408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98B5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10607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3C4F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0.00%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175D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C7D5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B29B2">
            <w:pPr>
              <w:rPr>
                <w:rFonts w:ascii="黑体" w:hAnsi="黑体" w:eastAsia="黑体" w:cs="黑体"/>
                <w:i/>
                <w:iCs/>
                <w:color w:val="000000"/>
                <w:sz w:val="18"/>
                <w:szCs w:val="18"/>
              </w:rPr>
            </w:pPr>
          </w:p>
        </w:tc>
      </w:tr>
      <w:tr w14:paraId="44E1434B">
        <w:tblPrEx>
          <w:tblCellMar>
            <w:top w:w="0" w:type="dxa"/>
            <w:left w:w="108" w:type="dxa"/>
            <w:bottom w:w="0" w:type="dxa"/>
            <w:right w:w="108" w:type="dxa"/>
          </w:tblCellMar>
        </w:tblPrEx>
        <w:trPr>
          <w:trHeight w:val="37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E368F">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0176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F4F1">
            <w:pPr>
              <w:jc w:val="center"/>
              <w:rPr>
                <w:rFonts w:ascii="微软雅黑" w:hAnsi="微软雅黑" w:eastAsia="微软雅黑" w:cs="微软雅黑"/>
                <w:i/>
                <w:iCs/>
                <w:color w:val="000000"/>
                <w:sz w:val="16"/>
                <w:szCs w:val="16"/>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03C98">
            <w:pPr>
              <w:jc w:val="center"/>
              <w:rPr>
                <w:rFonts w:ascii="微软雅黑" w:hAnsi="微软雅黑" w:eastAsia="微软雅黑" w:cs="微软雅黑"/>
                <w:i/>
                <w:iCs/>
                <w:color w:val="000000"/>
                <w:sz w:val="16"/>
                <w:szCs w:val="16"/>
              </w:rPr>
            </w:pPr>
          </w:p>
        </w:tc>
        <w:tc>
          <w:tcPr>
            <w:tcW w:w="26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9AE845">
            <w:pPr>
              <w:jc w:val="center"/>
              <w:rPr>
                <w:rFonts w:ascii="微软雅黑" w:hAnsi="微软雅黑" w:eastAsia="微软雅黑" w:cs="微软雅黑"/>
                <w:i/>
                <w:iCs/>
                <w:color w:val="000000"/>
                <w:sz w:val="16"/>
                <w:szCs w:val="16"/>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3AB8C">
            <w:pPr>
              <w:jc w:val="center"/>
              <w:rPr>
                <w:rFonts w:ascii="微软雅黑" w:hAnsi="微软雅黑" w:eastAsia="微软雅黑" w:cs="微软雅黑"/>
                <w:i/>
                <w:iCs/>
                <w:color w:val="000000"/>
                <w:sz w:val="16"/>
                <w:szCs w:val="16"/>
              </w:rPr>
            </w:pP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B5C4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1D24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2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AC114">
            <w:pPr>
              <w:rPr>
                <w:rFonts w:ascii="黑体" w:hAnsi="黑体" w:eastAsia="黑体" w:cs="黑体"/>
                <w:i/>
                <w:iCs/>
                <w:color w:val="000000"/>
                <w:sz w:val="18"/>
                <w:szCs w:val="18"/>
              </w:rPr>
            </w:pPr>
          </w:p>
        </w:tc>
      </w:tr>
      <w:tr w14:paraId="179B4EF0">
        <w:tblPrEx>
          <w:tblCellMar>
            <w:top w:w="0" w:type="dxa"/>
            <w:left w:w="108" w:type="dxa"/>
            <w:bottom w:w="0" w:type="dxa"/>
            <w:right w:w="108" w:type="dxa"/>
          </w:tblCellMar>
        </w:tblPrEx>
        <w:trPr>
          <w:trHeight w:val="452" w:hRule="atLeast"/>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41B72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绩效指标（90分）</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7D7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0BC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EDB6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1A85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指标性质</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3D08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指标值</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A7CE2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度量单位</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3287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完成值</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1673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4CA48">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得分</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725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未完成原因分析</w:t>
            </w:r>
          </w:p>
        </w:tc>
      </w:tr>
      <w:tr w14:paraId="1F860F5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91562">
            <w:pPr>
              <w:jc w:val="center"/>
              <w:rPr>
                <w:rFonts w:ascii="宋体" w:hAnsi="宋体" w:cs="宋体"/>
                <w:color w:val="000000"/>
                <w:sz w:val="18"/>
                <w:szCs w:val="18"/>
              </w:rPr>
            </w:pPr>
          </w:p>
        </w:tc>
        <w:tc>
          <w:tcPr>
            <w:tcW w:w="1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45245">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6CC0C0">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C7E1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足额保障率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411F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C5D66">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5053A">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A3704">
            <w:pPr>
              <w:widowControl/>
              <w:jc w:val="center"/>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C7902">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210980">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7D448">
            <w:pPr>
              <w:jc w:val="center"/>
              <w:rPr>
                <w:rFonts w:ascii="微软雅黑" w:hAnsi="微软雅黑" w:eastAsia="微软雅黑" w:cs="微软雅黑"/>
                <w:i/>
                <w:iCs/>
                <w:color w:val="000000"/>
                <w:sz w:val="16"/>
                <w:szCs w:val="16"/>
              </w:rPr>
            </w:pPr>
          </w:p>
        </w:tc>
      </w:tr>
      <w:tr w14:paraId="5754C311">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A36BC">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47507">
            <w:pPr>
              <w:jc w:val="center"/>
              <w:rPr>
                <w:rFonts w:ascii="宋体" w:hAnsi="宋体" w:cs="宋体"/>
                <w:color w:val="000000"/>
                <w:sz w:val="18"/>
                <w:szCs w:val="18"/>
              </w:rPr>
            </w:pPr>
          </w:p>
        </w:tc>
        <w:tc>
          <w:tcPr>
            <w:tcW w:w="17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9C1EF">
            <w:pPr>
              <w:jc w:val="center"/>
              <w:rPr>
                <w:rFonts w:ascii="宋体" w:hAnsi="宋体" w:cs="宋体"/>
                <w:color w:val="000000"/>
                <w:sz w:val="18"/>
                <w:szCs w:val="18"/>
              </w:rPr>
            </w:pP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79EC4">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科目调整次数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C85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CCDC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BBCAF">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次</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C39BAA">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10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3FEF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9E4992">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8D68D">
            <w:pPr>
              <w:jc w:val="center"/>
              <w:rPr>
                <w:rFonts w:ascii="微软雅黑" w:hAnsi="微软雅黑" w:eastAsia="微软雅黑" w:cs="微软雅黑"/>
                <w:i/>
                <w:iCs/>
                <w:color w:val="000000"/>
                <w:sz w:val="16"/>
                <w:szCs w:val="16"/>
              </w:rPr>
            </w:pPr>
          </w:p>
        </w:tc>
      </w:tr>
      <w:tr w14:paraId="59BAFDFA">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95BD5">
            <w:pPr>
              <w:jc w:val="center"/>
              <w:rPr>
                <w:rFonts w:ascii="宋体" w:hAnsi="宋体" w:cs="宋体"/>
                <w:color w:val="000000"/>
                <w:sz w:val="18"/>
                <w:szCs w:val="18"/>
              </w:rPr>
            </w:pPr>
          </w:p>
        </w:tc>
        <w:tc>
          <w:tcPr>
            <w:tcW w:w="1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E6055">
            <w:pPr>
              <w:jc w:val="center"/>
              <w:rPr>
                <w:rFonts w:ascii="宋体" w:hAnsi="宋体" w:cs="宋体"/>
                <w:color w:val="000000"/>
                <w:sz w:val="18"/>
                <w:szCs w:val="18"/>
              </w:rPr>
            </w:pP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611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2E40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按时发放率</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D0F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961C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504D01">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2C254">
            <w:pPr>
              <w:widowControl/>
              <w:jc w:val="center"/>
              <w:textAlignment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100</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80CF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7D555B">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5105">
            <w:pPr>
              <w:jc w:val="center"/>
              <w:rPr>
                <w:rFonts w:ascii="微软雅黑" w:hAnsi="微软雅黑" w:eastAsia="微软雅黑" w:cs="微软雅黑"/>
                <w:i/>
                <w:iCs/>
                <w:color w:val="000000"/>
                <w:sz w:val="16"/>
                <w:szCs w:val="16"/>
              </w:rPr>
            </w:pPr>
          </w:p>
        </w:tc>
      </w:tr>
      <w:tr w14:paraId="7BEA2D04">
        <w:tblPrEx>
          <w:tblCellMar>
            <w:top w:w="0" w:type="dxa"/>
            <w:left w:w="108" w:type="dxa"/>
            <w:bottom w:w="0" w:type="dxa"/>
            <w:right w:w="108" w:type="dxa"/>
          </w:tblCellMar>
        </w:tblPrEx>
        <w:trPr>
          <w:trHeight w:val="339" w:hRule="atLeast"/>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26929">
            <w:pPr>
              <w:jc w:val="center"/>
              <w:rPr>
                <w:rFonts w:ascii="宋体" w:hAnsi="宋体" w:cs="宋体"/>
                <w:color w:val="000000"/>
                <w:sz w:val="18"/>
                <w:szCs w:val="1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0B6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16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经济效益指标</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EF21E">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结余率（计算方法为：结余数/预算数）</w:t>
            </w:r>
          </w:p>
        </w:tc>
        <w:tc>
          <w:tcPr>
            <w:tcW w:w="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E06E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6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33F9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F720B">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C5FA2">
            <w:pPr>
              <w:jc w:val="center"/>
              <w:rPr>
                <w:rFonts w:ascii="微软雅黑" w:hAnsi="微软雅黑" w:eastAsia="微软雅黑" w:cs="微软雅黑"/>
                <w:i/>
                <w:iCs/>
                <w:color w:val="000000"/>
                <w:sz w:val="16"/>
                <w:szCs w:val="16"/>
              </w:rPr>
            </w:pPr>
            <w:r>
              <w:rPr>
                <w:rFonts w:ascii="宋体" w:hAnsi="宋体" w:cs="宋体"/>
                <w:color w:val="000000"/>
                <w:kern w:val="0"/>
                <w:sz w:val="18"/>
                <w:szCs w:val="18"/>
                <w:lang w:bidi="ar"/>
              </w:rPr>
              <w:t>≤</w:t>
            </w:r>
            <w:r>
              <w:rPr>
                <w:rFonts w:hint="eastAsia" w:ascii="宋体" w:hAnsi="宋体" w:cs="宋体"/>
                <w:color w:val="000000"/>
                <w:kern w:val="0"/>
                <w:sz w:val="18"/>
                <w:szCs w:val="18"/>
                <w:lang w:bidi="ar"/>
              </w:rPr>
              <w:t>5</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8677C">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22.5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88126">
            <w:pPr>
              <w:jc w:val="center"/>
              <w:rPr>
                <w:rFonts w:ascii="宋体" w:hAnsi="宋体" w:cs="宋体"/>
                <w:color w:val="000000"/>
                <w:sz w:val="18"/>
                <w:szCs w:val="18"/>
              </w:rPr>
            </w:pPr>
            <w:r>
              <w:rPr>
                <w:rFonts w:hint="eastAsia" w:ascii="宋体" w:hAnsi="宋体" w:cs="宋体"/>
                <w:color w:val="000000"/>
                <w:sz w:val="18"/>
                <w:szCs w:val="18"/>
              </w:rPr>
              <w:t>22.5</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CC2EC">
            <w:pPr>
              <w:jc w:val="center"/>
              <w:rPr>
                <w:rFonts w:ascii="微软雅黑" w:hAnsi="微软雅黑" w:eastAsia="微软雅黑" w:cs="微软雅黑"/>
                <w:i/>
                <w:iCs/>
                <w:color w:val="000000"/>
                <w:sz w:val="16"/>
                <w:szCs w:val="16"/>
              </w:rPr>
            </w:pPr>
          </w:p>
        </w:tc>
      </w:tr>
      <w:tr w14:paraId="67668475">
        <w:tblPrEx>
          <w:tblCellMar>
            <w:top w:w="0" w:type="dxa"/>
            <w:left w:w="108" w:type="dxa"/>
            <w:bottom w:w="0" w:type="dxa"/>
            <w:right w:w="108" w:type="dxa"/>
          </w:tblCellMar>
        </w:tblPrEx>
        <w:trPr>
          <w:trHeight w:val="286" w:hRule="atLeast"/>
        </w:trPr>
        <w:tc>
          <w:tcPr>
            <w:tcW w:w="10361"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C25E927">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合计</w:t>
            </w:r>
          </w:p>
        </w:tc>
        <w:tc>
          <w:tcPr>
            <w:tcW w:w="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1E869">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9CA81">
            <w:pPr>
              <w:rPr>
                <w:rFonts w:ascii="宋体" w:hAnsi="宋体" w:cs="宋体"/>
                <w:color w:val="000000"/>
                <w:sz w:val="18"/>
                <w:szCs w:val="18"/>
              </w:rPr>
            </w:pPr>
            <w:r>
              <w:rPr>
                <w:rFonts w:hint="eastAsia" w:ascii="宋体" w:hAnsi="宋体" w:cs="宋体"/>
                <w:color w:val="000000"/>
                <w:sz w:val="18"/>
                <w:szCs w:val="18"/>
              </w:rPr>
              <w:t>100</w:t>
            </w:r>
          </w:p>
        </w:tc>
        <w:tc>
          <w:tcPr>
            <w:tcW w:w="2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D64D2">
            <w:pPr>
              <w:rPr>
                <w:rFonts w:ascii="宋体" w:hAnsi="宋体" w:cs="宋体"/>
                <w:color w:val="000000"/>
                <w:sz w:val="18"/>
                <w:szCs w:val="18"/>
              </w:rPr>
            </w:pPr>
          </w:p>
        </w:tc>
      </w:tr>
      <w:tr w14:paraId="5C0A9C72">
        <w:tblPrEx>
          <w:tblCellMar>
            <w:top w:w="0" w:type="dxa"/>
            <w:left w:w="108" w:type="dxa"/>
            <w:bottom w:w="0" w:type="dxa"/>
            <w:right w:w="108" w:type="dxa"/>
          </w:tblCellMar>
        </w:tblPrEx>
        <w:trPr>
          <w:trHeight w:val="60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E4D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评价结论</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43A20EE">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该项目自评100分，</w:t>
            </w:r>
            <w:r>
              <w:rPr>
                <w:rFonts w:ascii="宋体" w:hAnsi="宋体" w:cs="宋体"/>
                <w:color w:val="000000"/>
                <w:kern w:val="0"/>
                <w:sz w:val="18"/>
                <w:szCs w:val="18"/>
                <w:lang w:bidi="ar"/>
              </w:rPr>
              <w:t>严格执行相关政策，预算编制科学合理，</w:t>
            </w:r>
            <w:r>
              <w:rPr>
                <w:rFonts w:hint="eastAsia" w:ascii="宋体" w:hAnsi="宋体" w:cs="宋体"/>
                <w:color w:val="000000"/>
                <w:kern w:val="0"/>
                <w:sz w:val="18"/>
                <w:szCs w:val="18"/>
                <w:lang w:bidi="ar"/>
              </w:rPr>
              <w:t>完成率100%，无结余。</w:t>
            </w:r>
          </w:p>
        </w:tc>
      </w:tr>
      <w:tr w14:paraId="2992964F">
        <w:tblPrEx>
          <w:tblCellMar>
            <w:top w:w="0" w:type="dxa"/>
            <w:left w:w="108" w:type="dxa"/>
            <w:bottom w:w="0" w:type="dxa"/>
            <w:right w:w="108" w:type="dxa"/>
          </w:tblCellMar>
        </w:tblPrEx>
        <w:trPr>
          <w:trHeight w:val="572"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C7ED">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存在问题</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23785CF">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无</w:t>
            </w:r>
          </w:p>
        </w:tc>
      </w:tr>
      <w:tr w14:paraId="035CBCC5">
        <w:tblPrEx>
          <w:tblCellMar>
            <w:top w:w="0" w:type="dxa"/>
            <w:left w:w="108" w:type="dxa"/>
            <w:bottom w:w="0" w:type="dxa"/>
            <w:right w:w="108"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37E3">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改进措施</w:t>
            </w:r>
          </w:p>
        </w:tc>
        <w:tc>
          <w:tcPr>
            <w:tcW w:w="134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5017C595">
            <w:pPr>
              <w:widowControl/>
              <w:jc w:val="left"/>
              <w:textAlignment w:val="center"/>
              <w:rPr>
                <w:rFonts w:ascii="微软雅黑" w:hAnsi="微软雅黑" w:eastAsia="微软雅黑" w:cs="微软雅黑"/>
                <w:i/>
                <w:iCs/>
                <w:color w:val="000000"/>
                <w:sz w:val="16"/>
                <w:szCs w:val="16"/>
              </w:rPr>
            </w:pPr>
            <w:r>
              <w:rPr>
                <w:rFonts w:hint="eastAsia" w:ascii="宋体" w:hAnsi="宋体" w:cs="宋体"/>
                <w:color w:val="000000"/>
                <w:kern w:val="0"/>
                <w:sz w:val="18"/>
                <w:szCs w:val="18"/>
                <w:lang w:bidi="ar"/>
              </w:rPr>
              <w:t>1.加强预算管理，细化项目管理。2.加强财务人员培训，严格人员管理，提高绩效目标管理水平。</w:t>
            </w:r>
          </w:p>
        </w:tc>
      </w:tr>
      <w:tr w14:paraId="0FA8D17D">
        <w:tblPrEx>
          <w:tblCellMar>
            <w:top w:w="0" w:type="dxa"/>
            <w:left w:w="108" w:type="dxa"/>
            <w:bottom w:w="0" w:type="dxa"/>
            <w:right w:w="108" w:type="dxa"/>
          </w:tblCellMar>
        </w:tblPrEx>
        <w:trPr>
          <w:trHeight w:val="286" w:hRule="atLeast"/>
        </w:trPr>
        <w:tc>
          <w:tcPr>
            <w:tcW w:w="713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96C54A">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项目负责人：何雪林</w:t>
            </w:r>
          </w:p>
        </w:tc>
        <w:tc>
          <w:tcPr>
            <w:tcW w:w="6963"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0C1520A">
            <w:pPr>
              <w:widowControl/>
              <w:jc w:val="left"/>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 xml:space="preserve"> 财务负责人：罗代碧</w:t>
            </w:r>
          </w:p>
        </w:tc>
      </w:tr>
    </w:tbl>
    <w:p w14:paraId="24596CDC">
      <w:pPr>
        <w:pStyle w:val="2"/>
        <w:spacing w:before="93"/>
        <w:rPr>
          <w:rFonts w:hAnsi="宋体" w:cs="宋体"/>
          <w:sz w:val="32"/>
          <w:szCs w:val="32"/>
          <w:shd w:val="clear" w:color="auto" w:fill="FFFFFF"/>
          <w:lang w:val="zh-CN"/>
        </w:rPr>
        <w:sectPr>
          <w:footerReference r:id="rId8" w:type="first"/>
          <w:footerReference r:id="rId7" w:type="default"/>
          <w:pgSz w:w="16838" w:h="11906" w:orient="landscape"/>
          <w:pgMar w:top="1800" w:right="1440" w:bottom="1800" w:left="1440" w:header="851" w:footer="1134" w:gutter="0"/>
          <w:cols w:space="425" w:num="1"/>
          <w:titlePg/>
          <w:docGrid w:type="lines" w:linePitch="312" w:charSpace="0"/>
        </w:sectPr>
      </w:pPr>
    </w:p>
    <w:p w14:paraId="62ED21CE">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14:paraId="6B62369A">
      <w:pPr>
        <w:pStyle w:val="34"/>
        <w:spacing w:line="578" w:lineRule="exact"/>
        <w:jc w:val="center"/>
        <w:rPr>
          <w:rFonts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t>2022年档案馆电费</w:t>
      </w:r>
    </w:p>
    <w:p w14:paraId="3A42054B">
      <w:pPr>
        <w:pStyle w:val="34"/>
        <w:spacing w:line="578" w:lineRule="exact"/>
        <w:jc w:val="center"/>
        <w:rPr>
          <w:rFonts w:ascii="方正小标宋简体" w:hAnsi="方正小标宋简体" w:eastAsia="方正小标宋简体" w:cs="方正小标宋简体"/>
          <w:color w:val="FF0000"/>
          <w:kern w:val="2"/>
          <w:sz w:val="32"/>
          <w:szCs w:val="32"/>
          <w:lang w:val="en-US"/>
        </w:rPr>
      </w:pPr>
      <w: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t>专项资金预算项目绩效自评报告范本</w:t>
      </w:r>
    </w:p>
    <w:p w14:paraId="0167CCAE">
      <w:pPr>
        <w:pStyle w:val="34"/>
        <w:spacing w:line="578" w:lineRule="exact"/>
        <w:ind w:firstLine="640"/>
        <w:jc w:val="center"/>
        <w:rPr>
          <w:rFonts w:ascii="宋体" w:hAnsi="宋体"/>
          <w:color w:val="auto"/>
          <w:kern w:val="2"/>
          <w:sz w:val="32"/>
          <w:szCs w:val="32"/>
        </w:rPr>
      </w:pPr>
    </w:p>
    <w:p w14:paraId="1A72CC1A">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61841A46">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3601A343">
      <w:pPr>
        <w:ind w:firstLine="640" w:firstLineChars="200"/>
        <w:rPr>
          <w:rFonts w:eastAsia="仿宋_GB2312"/>
          <w:bCs/>
          <w:sz w:val="32"/>
          <w:szCs w:val="32"/>
        </w:rPr>
      </w:pPr>
      <w:r>
        <w:rPr>
          <w:rFonts w:eastAsia="仿宋_GB2312"/>
          <w:bCs/>
          <w:sz w:val="32"/>
          <w:szCs w:val="32"/>
        </w:rPr>
        <w:t>1.县</w:t>
      </w:r>
      <w:r>
        <w:rPr>
          <w:rFonts w:hint="eastAsia" w:eastAsia="仿宋_GB2312"/>
          <w:bCs/>
          <w:sz w:val="32"/>
          <w:szCs w:val="32"/>
        </w:rPr>
        <w:t>档案馆</w:t>
      </w:r>
      <w:r>
        <w:rPr>
          <w:rFonts w:eastAsia="仿宋_GB2312"/>
          <w:bCs/>
          <w:sz w:val="32"/>
          <w:szCs w:val="32"/>
        </w:rPr>
        <w:t>是项目监督管理的实施主体，负责项目建设监督管理、验收等工作。</w:t>
      </w:r>
    </w:p>
    <w:p w14:paraId="2DD8EC76">
      <w:pPr>
        <w:ind w:firstLine="640" w:firstLineChars="200"/>
        <w:rPr>
          <w:rFonts w:eastAsia="仿宋_GB2312"/>
          <w:bCs/>
          <w:sz w:val="32"/>
          <w:szCs w:val="32"/>
        </w:rPr>
      </w:pPr>
      <w:r>
        <w:rPr>
          <w:rFonts w:eastAsia="仿宋_GB2312"/>
          <w:bCs/>
          <w:sz w:val="32"/>
          <w:szCs w:val="32"/>
        </w:rPr>
        <w:t>2.</w:t>
      </w:r>
      <w:r>
        <w:rPr>
          <w:rFonts w:hint="eastAsia" w:eastAsia="仿宋_GB2312"/>
          <w:bCs/>
          <w:sz w:val="32"/>
          <w:szCs w:val="32"/>
        </w:rPr>
        <w:t>由于县综合档案馆要发挥爱国主义教育基地、档案安全保管基地、档案利用服务中心、政府信息公开中心、电子文件管理中心功能，加上县干部档案室、公务员档案室也设在县档案馆，为发挥正常功能、确保库房及馆内档案的绝对安全、维持基本运转、确保社会稳定，在充分考虑财政现状的基础上经认真研究确定项目立项。</w:t>
      </w:r>
    </w:p>
    <w:p w14:paraId="0CFE0E66">
      <w:pPr>
        <w:ind w:firstLine="640" w:firstLineChars="200"/>
        <w:rPr>
          <w:rFonts w:eastAsia="仿宋_GB2312"/>
          <w:bCs/>
          <w:sz w:val="32"/>
          <w:szCs w:val="32"/>
        </w:rPr>
      </w:pPr>
      <w:r>
        <w:rPr>
          <w:rFonts w:hint="eastAsia" w:eastAsia="仿宋_GB2312"/>
          <w:bCs/>
          <w:sz w:val="32"/>
          <w:szCs w:val="32"/>
        </w:rPr>
        <w:t>该笔项目</w:t>
      </w:r>
      <w:r>
        <w:rPr>
          <w:rFonts w:eastAsia="仿宋_GB2312"/>
          <w:bCs/>
          <w:sz w:val="32"/>
          <w:szCs w:val="32"/>
        </w:rPr>
        <w:t>资金</w:t>
      </w:r>
      <w:r>
        <w:rPr>
          <w:rFonts w:hint="eastAsia" w:eastAsia="仿宋_GB2312"/>
          <w:bCs/>
          <w:sz w:val="32"/>
          <w:szCs w:val="32"/>
        </w:rPr>
        <w:t>的</w:t>
      </w:r>
      <w:r>
        <w:rPr>
          <w:rFonts w:eastAsia="仿宋_GB2312"/>
          <w:bCs/>
          <w:sz w:val="32"/>
          <w:szCs w:val="32"/>
        </w:rPr>
        <w:t>管理</w:t>
      </w:r>
      <w:r>
        <w:rPr>
          <w:rFonts w:hint="eastAsia" w:eastAsia="仿宋_GB2312"/>
          <w:bCs/>
          <w:sz w:val="32"/>
          <w:szCs w:val="32"/>
        </w:rPr>
        <w:t>，依据盐边财政关于项目资金的使用要求进行资金管理，专款专用。</w:t>
      </w:r>
    </w:p>
    <w:p w14:paraId="539EECF3">
      <w:pPr>
        <w:ind w:firstLine="640" w:firstLineChars="200"/>
        <w:rPr>
          <w:rFonts w:eastAsia="仿宋_GB2312"/>
          <w:bCs/>
          <w:sz w:val="32"/>
          <w:szCs w:val="32"/>
        </w:rPr>
      </w:pPr>
      <w:r>
        <w:rPr>
          <w:rFonts w:eastAsia="仿宋_GB2312"/>
          <w:bCs/>
          <w:sz w:val="32"/>
          <w:szCs w:val="32"/>
        </w:rPr>
        <w:t>资金分配的原则</w:t>
      </w:r>
      <w:r>
        <w:rPr>
          <w:rFonts w:hint="eastAsia" w:eastAsia="仿宋_GB2312"/>
          <w:bCs/>
          <w:sz w:val="32"/>
          <w:szCs w:val="32"/>
        </w:rPr>
        <w:t>：依据各项保证档案馆安全运行的分项，按合同价分配。</w:t>
      </w:r>
    </w:p>
    <w:p w14:paraId="2C046AC2">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2D3E5B69">
      <w:pPr>
        <w:ind w:firstLine="643" w:firstLineChars="200"/>
        <w:rPr>
          <w:rFonts w:eastAsia="仿宋_GB2312"/>
          <w:b/>
          <w:sz w:val="32"/>
          <w:szCs w:val="32"/>
          <w:lang w:val="zh-CN"/>
        </w:rPr>
      </w:pPr>
      <w:r>
        <w:rPr>
          <w:rFonts w:hint="eastAsia" w:eastAsia="仿宋_GB2312"/>
          <w:b/>
          <w:sz w:val="32"/>
          <w:szCs w:val="32"/>
          <w:lang w:val="zh-CN"/>
        </w:rPr>
        <w:t>1</w:t>
      </w:r>
      <w:r>
        <w:rPr>
          <w:rFonts w:hint="eastAsia" w:eastAsia="仿宋_GB2312"/>
          <w:b/>
          <w:sz w:val="32"/>
          <w:szCs w:val="32"/>
        </w:rPr>
        <w:t>.</w:t>
      </w:r>
      <w:r>
        <w:rPr>
          <w:rFonts w:hint="eastAsia" w:eastAsia="仿宋_GB2312"/>
          <w:b/>
          <w:sz w:val="32"/>
          <w:szCs w:val="32"/>
          <w:lang w:val="zh-CN"/>
        </w:rPr>
        <w:t>项目主要内容。</w:t>
      </w:r>
    </w:p>
    <w:p w14:paraId="1F492739">
      <w:pPr>
        <w:ind w:firstLine="640" w:firstLineChars="200"/>
        <w:rPr>
          <w:rFonts w:eastAsia="仿宋_GB2312"/>
          <w:bCs/>
          <w:sz w:val="32"/>
          <w:szCs w:val="32"/>
          <w:lang w:val="zh-CN"/>
        </w:rPr>
      </w:pPr>
      <w:r>
        <w:rPr>
          <w:rFonts w:hint="eastAsia" w:eastAsia="仿宋_GB2312"/>
          <w:bCs/>
          <w:sz w:val="32"/>
          <w:szCs w:val="32"/>
          <w:lang w:val="zh-CN"/>
        </w:rPr>
        <w:t>主要是为保证档案馆安全运行、保障档案数据安全，档案库房中央空调24小时运行，天气干燥时需运行加湿器，机房有监控、档案服务器需要24小时运行，加上县干部档案室、公务员档案室也设在县档案馆，档案馆耗电量大。</w:t>
      </w:r>
    </w:p>
    <w:p w14:paraId="5050C89E">
      <w:pPr>
        <w:ind w:firstLine="643" w:firstLineChars="200"/>
        <w:rPr>
          <w:rFonts w:eastAsia="仿宋_GB2312"/>
          <w:b/>
          <w:sz w:val="32"/>
          <w:szCs w:val="32"/>
          <w:lang w:val="zh-CN"/>
        </w:rPr>
      </w:pPr>
      <w:r>
        <w:rPr>
          <w:rFonts w:hint="eastAsia" w:eastAsia="仿宋_GB2312"/>
          <w:b/>
          <w:sz w:val="32"/>
          <w:szCs w:val="32"/>
        </w:rPr>
        <w:t>2.</w:t>
      </w:r>
      <w:r>
        <w:rPr>
          <w:rFonts w:hint="eastAsia" w:eastAsia="仿宋_GB2312"/>
          <w:b/>
          <w:sz w:val="32"/>
          <w:szCs w:val="32"/>
          <w:lang w:val="zh-CN"/>
        </w:rPr>
        <w:t>项目应实现的具体绩效目标。</w:t>
      </w:r>
    </w:p>
    <w:p w14:paraId="5934D6A6">
      <w:pPr>
        <w:ind w:firstLine="640" w:firstLineChars="200"/>
        <w:rPr>
          <w:rFonts w:eastAsia="仿宋_GB2312"/>
          <w:bCs/>
          <w:sz w:val="32"/>
          <w:szCs w:val="32"/>
          <w:lang w:val="zh-CN"/>
        </w:rPr>
      </w:pPr>
      <w:r>
        <w:rPr>
          <w:rFonts w:hint="eastAsia" w:eastAsia="仿宋_GB2312"/>
          <w:bCs/>
          <w:sz w:val="32"/>
          <w:szCs w:val="32"/>
          <w:lang w:val="zh-CN"/>
        </w:rPr>
        <w:t>保持档案馆基本运转、稳定，保障全县档案安全。更好地提供档案及展览服务。项目实施在202</w:t>
      </w:r>
      <w:r>
        <w:rPr>
          <w:rFonts w:hint="eastAsia" w:eastAsia="仿宋_GB2312"/>
          <w:bCs/>
          <w:sz w:val="32"/>
          <w:szCs w:val="32"/>
        </w:rPr>
        <w:t>2</w:t>
      </w:r>
      <w:r>
        <w:rPr>
          <w:rFonts w:hint="eastAsia" w:eastAsia="仿宋_GB2312"/>
          <w:bCs/>
          <w:sz w:val="32"/>
          <w:szCs w:val="32"/>
          <w:lang w:val="zh-CN"/>
        </w:rPr>
        <w:t>年度持续进行。</w:t>
      </w:r>
    </w:p>
    <w:p w14:paraId="61F69806">
      <w:pPr>
        <w:ind w:firstLine="640" w:firstLineChars="200"/>
        <w:rPr>
          <w:rFonts w:eastAsia="仿宋_GB2312"/>
          <w:bCs/>
          <w:sz w:val="32"/>
          <w:szCs w:val="32"/>
          <w:lang w:val="zh-CN"/>
        </w:rPr>
      </w:pPr>
      <w:r>
        <w:rPr>
          <w:rFonts w:hint="eastAsia" w:eastAsia="仿宋_GB2312"/>
          <w:bCs/>
          <w:sz w:val="32"/>
          <w:szCs w:val="32"/>
          <w:lang w:val="zh-CN"/>
        </w:rPr>
        <w:t>3</w:t>
      </w:r>
      <w:r>
        <w:rPr>
          <w:rFonts w:hint="eastAsia" w:eastAsia="仿宋_GB2312"/>
          <w:bCs/>
          <w:sz w:val="32"/>
          <w:szCs w:val="32"/>
        </w:rPr>
        <w:t>.</w:t>
      </w:r>
      <w:r>
        <w:rPr>
          <w:rFonts w:hint="eastAsia" w:eastAsia="仿宋_GB2312"/>
          <w:bCs/>
          <w:sz w:val="32"/>
          <w:szCs w:val="32"/>
          <w:lang w:val="zh-CN"/>
        </w:rPr>
        <w:t>项目分析评价申报内容与实际相符，申报目标合理可行。</w:t>
      </w:r>
    </w:p>
    <w:p w14:paraId="283F2BAF">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25934072">
      <w:pPr>
        <w:ind w:firstLine="640" w:firstLineChars="200"/>
        <w:rPr>
          <w:rFonts w:eastAsia="仿宋_GB2312"/>
          <w:bCs/>
          <w:sz w:val="32"/>
          <w:szCs w:val="32"/>
        </w:rPr>
      </w:pPr>
      <w:r>
        <w:rPr>
          <w:rFonts w:eastAsia="仿宋_GB2312"/>
          <w:bCs/>
          <w:sz w:val="32"/>
          <w:szCs w:val="32"/>
        </w:rPr>
        <w:t>结合</w:t>
      </w:r>
      <w:r>
        <w:rPr>
          <w:rFonts w:hint="eastAsia" w:eastAsia="仿宋_GB2312"/>
          <w:bCs/>
          <w:sz w:val="32"/>
          <w:szCs w:val="32"/>
        </w:rPr>
        <w:t>实际档案工作需求，根据档案抢救、保护、利用的各项配套设施用电</w:t>
      </w:r>
      <w:r>
        <w:rPr>
          <w:rFonts w:eastAsia="仿宋_GB2312"/>
          <w:bCs/>
          <w:sz w:val="32"/>
          <w:szCs w:val="32"/>
        </w:rPr>
        <w:t>要求，对照支出绩效评价指标体系，</w:t>
      </w:r>
      <w:r>
        <w:rPr>
          <w:rFonts w:hint="eastAsia" w:eastAsia="仿宋_GB2312"/>
          <w:bCs/>
          <w:sz w:val="32"/>
          <w:szCs w:val="32"/>
        </w:rPr>
        <w:t>按实际完成情况</w:t>
      </w:r>
      <w:r>
        <w:rPr>
          <w:rFonts w:eastAsia="仿宋_GB2312"/>
          <w:bCs/>
          <w:sz w:val="32"/>
          <w:szCs w:val="32"/>
        </w:rPr>
        <w:t>认真开展自评。</w:t>
      </w:r>
    </w:p>
    <w:p w14:paraId="16671DC5">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0B6D7B85">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30AC0EBB">
      <w:pPr>
        <w:ind w:firstLine="640" w:firstLineChars="200"/>
        <w:rPr>
          <w:rFonts w:eastAsia="仿宋_GB2312"/>
          <w:bCs/>
          <w:sz w:val="32"/>
          <w:szCs w:val="32"/>
          <w:lang w:val="zh-CN"/>
        </w:rPr>
      </w:pPr>
      <w:r>
        <w:rPr>
          <w:rFonts w:eastAsia="仿宋_GB2312"/>
          <w:bCs/>
          <w:sz w:val="32"/>
          <w:szCs w:val="32"/>
        </w:rPr>
        <w:t>盐边财政〔2022〕8 号年初预算批复下达档案馆电费10万元，用于档案馆及展厅、库房用电设备正常运行。</w:t>
      </w:r>
    </w:p>
    <w:p w14:paraId="45B98A35">
      <w:pPr>
        <w:pStyle w:val="36"/>
        <w:spacing w:line="560" w:lineRule="exact"/>
        <w:ind w:firstLine="636" w:firstLineChars="198"/>
        <w:rPr>
          <w:rFonts w:ascii="楷体_GB2312" w:hAnsi="宋体" w:eastAsia="楷体_GB2312"/>
          <w:b/>
          <w:sz w:val="32"/>
          <w:szCs w:val="32"/>
          <w:lang w:val="zh-CN"/>
        </w:rPr>
      </w:pPr>
      <w:r>
        <w:rPr>
          <w:rFonts w:hint="eastAsia" w:ascii="楷体_GB2312" w:hAnsi="宋体" w:eastAsia="楷体_GB2312"/>
          <w:b/>
          <w:sz w:val="32"/>
          <w:szCs w:val="32"/>
          <w:lang w:val="zh-CN"/>
        </w:rPr>
        <w:t>（二）资金计划、到位及使用情况</w:t>
      </w:r>
    </w:p>
    <w:p w14:paraId="106E27F7">
      <w:pPr>
        <w:ind w:firstLine="643" w:firstLineChars="200"/>
        <w:rPr>
          <w:rFonts w:eastAsia="仿宋_GB2312"/>
          <w:b/>
          <w:sz w:val="32"/>
          <w:szCs w:val="32"/>
          <w:lang w:val="zh-CN"/>
        </w:rPr>
      </w:pPr>
      <w:r>
        <w:rPr>
          <w:rFonts w:eastAsia="仿宋_GB2312"/>
          <w:b/>
          <w:sz w:val="32"/>
          <w:szCs w:val="32"/>
          <w:lang w:val="zh-CN"/>
        </w:rPr>
        <w:t>1.资金计划</w:t>
      </w:r>
      <w:r>
        <w:rPr>
          <w:rFonts w:hint="eastAsia" w:eastAsia="仿宋_GB2312"/>
          <w:b/>
          <w:sz w:val="32"/>
          <w:szCs w:val="32"/>
          <w:lang w:val="zh-CN"/>
        </w:rPr>
        <w:t>及到位</w:t>
      </w:r>
    </w:p>
    <w:p w14:paraId="27E3DC12">
      <w:pPr>
        <w:ind w:firstLine="640" w:firstLineChars="200"/>
        <w:rPr>
          <w:rFonts w:eastAsia="仿宋_GB2312"/>
          <w:bCs/>
          <w:sz w:val="32"/>
          <w:szCs w:val="32"/>
          <w:lang w:val="zh-CN"/>
        </w:rPr>
      </w:pPr>
      <w:r>
        <w:rPr>
          <w:rFonts w:hint="eastAsia" w:eastAsia="仿宋_GB2312"/>
          <w:bCs/>
          <w:sz w:val="32"/>
          <w:szCs w:val="32"/>
          <w:lang w:val="zh-CN"/>
        </w:rPr>
        <w:t>档案馆电费项目根据</w:t>
      </w:r>
      <w:r>
        <w:rPr>
          <w:rFonts w:hint="eastAsia" w:eastAsia="仿宋_GB2312"/>
          <w:bCs/>
          <w:sz w:val="32"/>
          <w:szCs w:val="32"/>
        </w:rPr>
        <w:t>盐边财政〔2022〕8 号年初预算批复</w:t>
      </w:r>
      <w:r>
        <w:rPr>
          <w:rFonts w:hint="eastAsia" w:eastAsia="仿宋_GB2312"/>
          <w:bCs/>
          <w:sz w:val="32"/>
          <w:szCs w:val="32"/>
          <w:lang w:val="zh-CN"/>
        </w:rPr>
        <w:t>下达档案馆202</w:t>
      </w:r>
      <w:r>
        <w:rPr>
          <w:rFonts w:hint="eastAsia" w:eastAsia="仿宋_GB2312"/>
          <w:bCs/>
          <w:sz w:val="32"/>
          <w:szCs w:val="32"/>
        </w:rPr>
        <w:t>2</w:t>
      </w:r>
      <w:r>
        <w:rPr>
          <w:rFonts w:hint="eastAsia" w:eastAsia="仿宋_GB2312"/>
          <w:bCs/>
          <w:sz w:val="32"/>
          <w:szCs w:val="32"/>
          <w:lang w:val="zh-CN"/>
        </w:rPr>
        <w:t>年度电费，下达专项档案馆电费资金已全部到位。</w:t>
      </w:r>
    </w:p>
    <w:p w14:paraId="3A11D7C0">
      <w:pPr>
        <w:ind w:firstLine="643" w:firstLineChars="200"/>
        <w:rPr>
          <w:rFonts w:eastAsia="仿宋_GB2312"/>
          <w:b/>
          <w:sz w:val="32"/>
          <w:szCs w:val="32"/>
          <w:lang w:val="zh-CN"/>
        </w:rPr>
      </w:pPr>
      <w:r>
        <w:rPr>
          <w:rFonts w:hint="eastAsia" w:eastAsia="仿宋_GB2312"/>
          <w:b/>
          <w:sz w:val="32"/>
          <w:szCs w:val="32"/>
          <w:lang w:val="zh-CN"/>
        </w:rPr>
        <w:t>2</w:t>
      </w:r>
      <w:r>
        <w:rPr>
          <w:rFonts w:eastAsia="仿宋_GB2312"/>
          <w:b/>
          <w:sz w:val="32"/>
          <w:szCs w:val="32"/>
          <w:lang w:val="zh-CN"/>
        </w:rPr>
        <w:t>.资金使用</w:t>
      </w:r>
      <w:r>
        <w:rPr>
          <w:rFonts w:hint="eastAsia" w:eastAsia="仿宋_GB2312"/>
          <w:b/>
          <w:sz w:val="32"/>
          <w:szCs w:val="32"/>
          <w:lang w:val="zh-CN"/>
        </w:rPr>
        <w:t>及项目实施</w:t>
      </w:r>
    </w:p>
    <w:p w14:paraId="1D54BCA9">
      <w:pPr>
        <w:ind w:firstLine="640" w:firstLineChars="200"/>
        <w:rPr>
          <w:rFonts w:eastAsia="仿宋_GB2312"/>
          <w:bCs/>
          <w:sz w:val="32"/>
          <w:szCs w:val="32"/>
        </w:rPr>
      </w:pPr>
      <w:r>
        <w:rPr>
          <w:rFonts w:hint="eastAsia" w:eastAsia="仿宋_GB2312"/>
          <w:bCs/>
          <w:sz w:val="32"/>
          <w:szCs w:val="32"/>
          <w:lang w:val="zh-CN"/>
        </w:rPr>
        <w:t>电费项目于202</w:t>
      </w:r>
      <w:r>
        <w:rPr>
          <w:rFonts w:hint="eastAsia" w:eastAsia="仿宋_GB2312"/>
          <w:bCs/>
          <w:sz w:val="32"/>
          <w:szCs w:val="32"/>
        </w:rPr>
        <w:t>2</w:t>
      </w:r>
      <w:r>
        <w:rPr>
          <w:rFonts w:hint="eastAsia" w:eastAsia="仿宋_GB2312"/>
          <w:bCs/>
          <w:sz w:val="32"/>
          <w:szCs w:val="32"/>
          <w:lang w:val="zh-CN"/>
        </w:rPr>
        <w:t>年</w:t>
      </w:r>
      <w:r>
        <w:rPr>
          <w:rFonts w:hint="eastAsia" w:eastAsia="仿宋_GB2312"/>
          <w:bCs/>
          <w:sz w:val="32"/>
          <w:szCs w:val="32"/>
        </w:rPr>
        <w:t>1</w:t>
      </w:r>
      <w:r>
        <w:rPr>
          <w:rFonts w:hint="eastAsia" w:eastAsia="仿宋_GB2312"/>
          <w:bCs/>
          <w:sz w:val="32"/>
          <w:szCs w:val="32"/>
          <w:lang w:val="zh-CN"/>
        </w:rPr>
        <w:t>月下达资金10万元，</w:t>
      </w:r>
      <w:r>
        <w:rPr>
          <w:rFonts w:hint="eastAsia" w:eastAsia="仿宋_GB2312"/>
          <w:bCs/>
          <w:sz w:val="32"/>
          <w:szCs w:val="32"/>
        </w:rPr>
        <w:t>年中按季度支付电费</w:t>
      </w:r>
      <w:r>
        <w:rPr>
          <w:rFonts w:hint="eastAsia" w:eastAsia="仿宋_GB2312"/>
          <w:bCs/>
          <w:sz w:val="32"/>
          <w:szCs w:val="32"/>
          <w:lang w:val="zh-CN"/>
        </w:rPr>
        <w:t>到电力公司账户。202</w:t>
      </w:r>
      <w:r>
        <w:rPr>
          <w:rFonts w:hint="eastAsia" w:eastAsia="仿宋_GB2312"/>
          <w:bCs/>
          <w:sz w:val="32"/>
          <w:szCs w:val="32"/>
        </w:rPr>
        <w:t>2</w:t>
      </w:r>
      <w:r>
        <w:rPr>
          <w:rFonts w:hint="eastAsia" w:eastAsia="仿宋_GB2312"/>
          <w:bCs/>
          <w:sz w:val="32"/>
          <w:szCs w:val="32"/>
          <w:lang w:val="zh-CN"/>
        </w:rPr>
        <w:t>年电费项目</w:t>
      </w:r>
      <w:r>
        <w:rPr>
          <w:rFonts w:hint="eastAsia" w:eastAsia="仿宋_GB2312"/>
          <w:bCs/>
          <w:sz w:val="32"/>
          <w:szCs w:val="32"/>
        </w:rPr>
        <w:t>10万元</w:t>
      </w:r>
      <w:r>
        <w:rPr>
          <w:rFonts w:hint="eastAsia" w:eastAsia="仿宋_GB2312"/>
          <w:bCs/>
          <w:sz w:val="32"/>
          <w:szCs w:val="32"/>
          <w:lang w:val="zh-CN"/>
        </w:rPr>
        <w:t>资金支付完成100%。</w:t>
      </w:r>
      <w:r>
        <w:rPr>
          <w:rFonts w:hint="eastAsia" w:eastAsia="仿宋_GB2312"/>
          <w:bCs/>
          <w:sz w:val="32"/>
          <w:szCs w:val="32"/>
        </w:rPr>
        <w:t>项目</w:t>
      </w:r>
      <w:r>
        <w:rPr>
          <w:rFonts w:eastAsia="仿宋_GB2312"/>
          <w:bCs/>
          <w:sz w:val="32"/>
          <w:szCs w:val="32"/>
        </w:rPr>
        <w:t>资金</w:t>
      </w:r>
      <w:r>
        <w:rPr>
          <w:rFonts w:hint="eastAsia" w:eastAsia="仿宋_GB2312"/>
          <w:bCs/>
          <w:sz w:val="32"/>
          <w:szCs w:val="32"/>
        </w:rPr>
        <w:t>划转</w:t>
      </w:r>
      <w:r>
        <w:rPr>
          <w:rFonts w:eastAsia="仿宋_GB2312"/>
          <w:bCs/>
          <w:sz w:val="32"/>
          <w:szCs w:val="32"/>
        </w:rPr>
        <w:t>安全</w:t>
      </w:r>
      <w:r>
        <w:rPr>
          <w:rFonts w:hint="eastAsia" w:eastAsia="仿宋_GB2312"/>
          <w:bCs/>
          <w:sz w:val="32"/>
          <w:szCs w:val="32"/>
        </w:rPr>
        <w:t>、及时、</w:t>
      </w:r>
      <w:r>
        <w:rPr>
          <w:rFonts w:eastAsia="仿宋_GB2312"/>
          <w:bCs/>
          <w:sz w:val="32"/>
          <w:szCs w:val="32"/>
        </w:rPr>
        <w:t>规范，资金支付合规合法、与预算相符</w:t>
      </w:r>
      <w:r>
        <w:rPr>
          <w:rFonts w:hint="eastAsia" w:eastAsia="仿宋_GB2312"/>
          <w:bCs/>
          <w:sz w:val="32"/>
          <w:szCs w:val="32"/>
        </w:rPr>
        <w:t>。</w:t>
      </w:r>
    </w:p>
    <w:p w14:paraId="154088BE">
      <w:pPr>
        <w:adjustRightInd w:val="0"/>
        <w:snapToGrid w:val="0"/>
        <w:spacing w:line="578" w:lineRule="exact"/>
        <w:ind w:firstLine="720"/>
        <w:rPr>
          <w:rFonts w:ascii="楷体_GB2312" w:hAnsi="宋体" w:eastAsia="楷体_GB2312"/>
          <w:b/>
          <w:sz w:val="32"/>
          <w:szCs w:val="32"/>
          <w:lang w:val="zh-CN"/>
        </w:rPr>
      </w:pPr>
      <w:r>
        <w:rPr>
          <w:rFonts w:ascii="楷体_GB2312" w:hAnsi="宋体" w:eastAsia="楷体_GB2312"/>
          <w:b/>
          <w:sz w:val="32"/>
          <w:szCs w:val="32"/>
          <w:lang w:val="zh-CN"/>
        </w:rPr>
        <w:t>（三）项目财务管理情况。</w:t>
      </w:r>
    </w:p>
    <w:p w14:paraId="21785427">
      <w:pPr>
        <w:ind w:firstLine="640" w:firstLineChars="200"/>
        <w:rPr>
          <w:rFonts w:eastAsia="仿宋_GB2312"/>
          <w:bCs/>
          <w:sz w:val="32"/>
          <w:szCs w:val="32"/>
        </w:rPr>
      </w:pPr>
      <w:r>
        <w:rPr>
          <w:rFonts w:hint="eastAsia" w:eastAsia="仿宋_GB2312"/>
          <w:bCs/>
          <w:sz w:val="32"/>
          <w:szCs w:val="32"/>
        </w:rPr>
        <w:t>我单位</w:t>
      </w:r>
      <w:r>
        <w:rPr>
          <w:rFonts w:eastAsia="仿宋_GB2312"/>
          <w:bCs/>
          <w:sz w:val="32"/>
          <w:szCs w:val="32"/>
        </w:rPr>
        <w:t>严格执行</w:t>
      </w:r>
      <w:r>
        <w:rPr>
          <w:rFonts w:hint="eastAsia" w:eastAsia="仿宋_GB2312"/>
          <w:bCs/>
          <w:sz w:val="32"/>
          <w:szCs w:val="32"/>
        </w:rPr>
        <w:t>《行政事业单位财务管理制度》等财务管理制度</w:t>
      </w:r>
      <w:r>
        <w:rPr>
          <w:rFonts w:eastAsia="仿宋_GB2312"/>
          <w:bCs/>
          <w:sz w:val="32"/>
          <w:szCs w:val="32"/>
        </w:rPr>
        <w:t>，</w:t>
      </w:r>
      <w:r>
        <w:rPr>
          <w:rFonts w:hint="eastAsia" w:eastAsia="仿宋_GB2312"/>
          <w:bCs/>
          <w:sz w:val="32"/>
          <w:szCs w:val="32"/>
        </w:rPr>
        <w:t>权限管理规范，内控较为严谨，</w:t>
      </w:r>
      <w:r>
        <w:rPr>
          <w:rFonts w:eastAsia="仿宋_GB2312"/>
          <w:bCs/>
          <w:sz w:val="32"/>
          <w:szCs w:val="32"/>
        </w:rPr>
        <w:t>账务处理及时，会计核算规范</w:t>
      </w:r>
      <w:r>
        <w:rPr>
          <w:rFonts w:hint="eastAsia" w:eastAsia="仿宋_GB2312"/>
          <w:bCs/>
          <w:sz w:val="32"/>
          <w:szCs w:val="32"/>
        </w:rPr>
        <w:t>，项目资金从申报到支付，均严格遵守资金使用流程，专款专用，依法依规进行全流程、精细化管理，确保资金安全。</w:t>
      </w:r>
    </w:p>
    <w:p w14:paraId="37C77A38">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73463586">
      <w:pPr>
        <w:ind w:firstLine="643" w:firstLineChars="200"/>
        <w:rPr>
          <w:rFonts w:eastAsia="仿宋_GB2312"/>
          <w:bCs/>
          <w:sz w:val="32"/>
          <w:szCs w:val="32"/>
          <w:lang w:val="zh-CN"/>
        </w:rPr>
      </w:pPr>
      <w:r>
        <w:rPr>
          <w:rFonts w:hint="eastAsia" w:ascii="楷体_GB2312" w:hAnsi="宋体" w:eastAsia="楷体_GB2312"/>
          <w:b/>
          <w:sz w:val="32"/>
          <w:szCs w:val="32"/>
          <w:lang w:val="zh-CN"/>
        </w:rPr>
        <w:t>（一）项目组织架构及实施流程。</w:t>
      </w:r>
      <w:r>
        <w:rPr>
          <w:rFonts w:hint="eastAsia" w:eastAsia="仿宋_GB2312"/>
          <w:bCs/>
          <w:sz w:val="32"/>
          <w:szCs w:val="32"/>
        </w:rPr>
        <w:t>由于电费是需要转入电力公司后，根据每月电用量扣减电费才能正常用电，因此档案馆电费主要是分批次转入电力公司账户。</w:t>
      </w:r>
      <w:r>
        <w:rPr>
          <w:rFonts w:eastAsia="仿宋_GB2312"/>
          <w:bCs/>
          <w:sz w:val="32"/>
          <w:szCs w:val="32"/>
        </w:rPr>
        <w:t>为保障各项工作圆满完成，实现工作目标，制定了项目绩效目标，明确项目管理，</w:t>
      </w:r>
      <w:r>
        <w:rPr>
          <w:rFonts w:hint="eastAsia" w:eastAsia="仿宋_GB2312"/>
          <w:bCs/>
          <w:sz w:val="32"/>
          <w:szCs w:val="32"/>
        </w:rPr>
        <w:t>实时</w:t>
      </w:r>
      <w:r>
        <w:rPr>
          <w:rFonts w:eastAsia="仿宋_GB2312"/>
          <w:bCs/>
          <w:sz w:val="32"/>
          <w:szCs w:val="32"/>
        </w:rPr>
        <w:t>开展项目监督，制定项目回头看流程，确保项目落地见效。</w:t>
      </w:r>
    </w:p>
    <w:p w14:paraId="375B2B29">
      <w:pPr>
        <w:ind w:firstLine="643" w:firstLineChars="200"/>
        <w:rPr>
          <w:rFonts w:eastAsia="仿宋_GB2312"/>
          <w:bCs/>
          <w:sz w:val="32"/>
          <w:szCs w:val="32"/>
          <w:lang w:val="zh-CN"/>
        </w:rPr>
      </w:pPr>
      <w:r>
        <w:rPr>
          <w:rFonts w:hint="eastAsia" w:ascii="楷体_GB2312" w:hAnsi="宋体" w:eastAsia="楷体_GB2312"/>
          <w:b/>
          <w:sz w:val="32"/>
          <w:szCs w:val="32"/>
          <w:lang w:val="zh-CN"/>
        </w:rPr>
        <w:t>（二）项目管理情况。</w:t>
      </w:r>
      <w:r>
        <w:rPr>
          <w:rFonts w:hint="eastAsia" w:eastAsia="仿宋_GB2312"/>
          <w:bCs/>
          <w:sz w:val="32"/>
          <w:szCs w:val="32"/>
        </w:rPr>
        <w:t>由经办人员专人管理，每月关注用量及电费余额，保证档案馆不断电。</w:t>
      </w:r>
      <w:r>
        <w:rPr>
          <w:rFonts w:eastAsia="仿宋_GB2312"/>
          <w:bCs/>
          <w:sz w:val="32"/>
          <w:szCs w:val="32"/>
        </w:rPr>
        <w:t>按照县财政统一部署安排预算在及时推进支付进度的同时，加强资金管理，优化资源配置。</w:t>
      </w:r>
    </w:p>
    <w:p w14:paraId="3A304123">
      <w:pPr>
        <w:ind w:firstLine="643" w:firstLineChars="200"/>
        <w:rPr>
          <w:rFonts w:eastAsia="仿宋_GB2312"/>
          <w:bCs/>
          <w:sz w:val="32"/>
          <w:szCs w:val="32"/>
        </w:rPr>
      </w:pPr>
      <w:r>
        <w:rPr>
          <w:rFonts w:hint="eastAsia" w:ascii="楷体_GB2312" w:hAnsi="宋体" w:eastAsia="楷体_GB2312"/>
          <w:b/>
          <w:sz w:val="32"/>
          <w:szCs w:val="32"/>
          <w:lang w:val="zh-CN"/>
        </w:rPr>
        <w:t>（三）项目监管情况。</w:t>
      </w:r>
      <w:r>
        <w:rPr>
          <w:rFonts w:hint="eastAsia" w:eastAsia="仿宋_GB2312"/>
          <w:bCs/>
          <w:sz w:val="32"/>
          <w:szCs w:val="32"/>
        </w:rPr>
        <w:t>档案馆电费项目由经办人员每月关注用量及电费余额，再根据情况由分管领导审批后分批次将电费转入电力公司账户。每次缴费均到电力营业厅开具收据，并每月打印电费发票，并由办公室人员把每季度用电情况录入能耗管理平台。</w:t>
      </w:r>
    </w:p>
    <w:p w14:paraId="04015A61">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14:paraId="7AFBFC01">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515487A3">
      <w:pPr>
        <w:ind w:firstLine="640" w:firstLineChars="200"/>
        <w:rPr>
          <w:rFonts w:eastAsia="仿宋_GB2312"/>
          <w:bCs/>
          <w:sz w:val="32"/>
          <w:szCs w:val="32"/>
          <w:lang w:val="zh-CN"/>
        </w:rPr>
      </w:pPr>
      <w:r>
        <w:rPr>
          <w:rFonts w:hint="eastAsia" w:eastAsia="仿宋_GB2312"/>
          <w:bCs/>
          <w:sz w:val="32"/>
          <w:szCs w:val="32"/>
          <w:lang w:val="zh-CN"/>
        </w:rPr>
        <w:t>档案馆及展厅各项设施设备正常运行，绩效目标完成良好，各项指标完成度高，完成率达100%。</w:t>
      </w:r>
    </w:p>
    <w:p w14:paraId="5FF2CE00">
      <w:pPr>
        <w:adjustRightInd w:val="0"/>
        <w:snapToGrid w:val="0"/>
        <w:spacing w:line="578" w:lineRule="exact"/>
        <w:ind w:firstLine="720"/>
        <w:rPr>
          <w:rFonts w:ascii="楷体_GB2312" w:hAnsi="宋体" w:eastAsia="楷体_GB2312"/>
          <w:b/>
          <w:sz w:val="32"/>
          <w:szCs w:val="32"/>
          <w:lang w:val="zh-CN"/>
        </w:rPr>
      </w:pPr>
      <w:r>
        <w:rPr>
          <w:rFonts w:ascii="楷体_GB2312" w:hAnsi="宋体" w:eastAsia="楷体_GB2312"/>
          <w:b/>
          <w:sz w:val="32"/>
          <w:szCs w:val="32"/>
          <w:lang w:val="zh-CN"/>
        </w:rPr>
        <w:t>（二）项目效益情况</w:t>
      </w:r>
    </w:p>
    <w:p w14:paraId="200856AC">
      <w:pPr>
        <w:ind w:firstLine="640" w:firstLineChars="200"/>
        <w:rPr>
          <w:rFonts w:eastAsia="仿宋_GB2312"/>
          <w:bCs/>
          <w:sz w:val="32"/>
          <w:szCs w:val="32"/>
          <w:lang w:val="zh-CN"/>
        </w:rPr>
      </w:pPr>
      <w:r>
        <w:rPr>
          <w:rFonts w:hint="eastAsia" w:eastAsia="仿宋_GB2312"/>
          <w:bCs/>
          <w:sz w:val="32"/>
          <w:szCs w:val="32"/>
          <w:lang w:val="zh-CN"/>
        </w:rPr>
        <w:t>确保档案馆及展厅发挥正常功能，确保库房及馆内档案、数据的绝对安全，维持设备设施基本运转，保障查档、参观等服务，不发生重大安全事故，确保社会稳定，更好地提供档案服务。</w:t>
      </w:r>
    </w:p>
    <w:p w14:paraId="27535E4E">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14:paraId="1971F638">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05CF8BFB">
      <w:pPr>
        <w:ind w:firstLine="640" w:firstLineChars="200"/>
        <w:rPr>
          <w:rFonts w:eastAsia="仿宋_GB2312"/>
          <w:bCs/>
          <w:sz w:val="32"/>
          <w:szCs w:val="32"/>
          <w:lang w:val="zh-CN"/>
        </w:rPr>
      </w:pPr>
      <w:r>
        <w:rPr>
          <w:rFonts w:hint="eastAsia" w:eastAsia="仿宋_GB2312"/>
          <w:bCs/>
          <w:sz w:val="32"/>
          <w:szCs w:val="32"/>
          <w:lang w:val="zh-CN"/>
        </w:rPr>
        <w:t>项目绩效目标完成度高，满意度较高。</w:t>
      </w:r>
    </w:p>
    <w:p w14:paraId="4757C951">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1F3BF779">
      <w:pPr>
        <w:ind w:firstLine="640" w:firstLineChars="200"/>
        <w:rPr>
          <w:rFonts w:eastAsia="仿宋_GB2312"/>
          <w:bCs/>
          <w:sz w:val="32"/>
          <w:szCs w:val="32"/>
          <w:lang w:val="zh-CN"/>
        </w:rPr>
      </w:pPr>
      <w:r>
        <w:rPr>
          <w:rFonts w:hint="eastAsia" w:eastAsia="仿宋_GB2312"/>
          <w:bCs/>
          <w:sz w:val="32"/>
          <w:szCs w:val="32"/>
          <w:lang w:val="zh-CN"/>
        </w:rPr>
        <w:t>财务人员业务不够熟练，效率较低。</w:t>
      </w:r>
    </w:p>
    <w:p w14:paraId="23C3F5CE">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43988E55">
      <w:pPr>
        <w:ind w:firstLine="640" w:firstLineChars="200"/>
        <w:rPr>
          <w:rFonts w:eastAsia="仿宋_GB2312"/>
          <w:bCs/>
          <w:sz w:val="32"/>
          <w:szCs w:val="32"/>
          <w:lang w:val="zh-CN"/>
        </w:rPr>
      </w:pPr>
      <w:r>
        <w:rPr>
          <w:rFonts w:hint="eastAsia" w:eastAsia="仿宋_GB2312"/>
          <w:bCs/>
          <w:sz w:val="32"/>
          <w:szCs w:val="32"/>
          <w:lang w:val="zh-CN"/>
        </w:rPr>
        <w:t>1.加强预算管理，细化项目管理。在编制年度预算时，在进行调查研究的基础上，充分论证项目立项的必要性、经济性、绩效目标合理性、实施方案可行性，项目实施达到预期效果，发挥最大效益。认真细化方案，明确责任人，做好各项目支出绩效目标执行中的控制管理，确保资金对应绩效目标执行，强化项目管理，确保项目按计划推进。</w:t>
      </w:r>
    </w:p>
    <w:p w14:paraId="6B3ADB4C">
      <w:pPr>
        <w:ind w:firstLine="640" w:firstLineChars="200"/>
        <w:rPr>
          <w:rFonts w:eastAsia="仿宋_GB2312"/>
          <w:bCs/>
          <w:sz w:val="32"/>
          <w:szCs w:val="32"/>
          <w:lang w:val="zh-CN"/>
        </w:rPr>
      </w:pPr>
      <w:r>
        <w:rPr>
          <w:rFonts w:hint="eastAsia" w:eastAsia="仿宋_GB2312"/>
          <w:bCs/>
          <w:sz w:val="32"/>
          <w:szCs w:val="32"/>
          <w:lang w:val="zh-CN"/>
        </w:rPr>
        <w:t>2.严格人员管理，提高绩效目标管理水平。加强财务人员培训，熟练掌握预算编制和预算执行等各项政策，严格遵守各项财经纪律，不断提高业务能力，不断提高绩效目标管理水平。</w:t>
      </w:r>
    </w:p>
    <w:p w14:paraId="10CE3114">
      <w:pPr>
        <w:pStyle w:val="14"/>
        <w:ind w:left="420" w:firstLine="640"/>
        <w:rPr>
          <w:rFonts w:hAnsi="宋体" w:eastAsia="仿宋_GB2312"/>
          <w:sz w:val="32"/>
          <w:lang w:val="zh-CN"/>
        </w:rPr>
      </w:pPr>
    </w:p>
    <w:p w14:paraId="15442E8E">
      <w:pPr>
        <w:pStyle w:val="14"/>
        <w:ind w:left="420" w:firstLine="640"/>
        <w:rPr>
          <w:rFonts w:hAnsi="宋体" w:eastAsia="仿宋_GB2312"/>
          <w:sz w:val="32"/>
          <w:lang w:val="zh-CN"/>
        </w:rPr>
      </w:pPr>
    </w:p>
    <w:p w14:paraId="693ACBDB">
      <w:pPr>
        <w:pStyle w:val="14"/>
        <w:ind w:left="420" w:firstLine="640"/>
        <w:rPr>
          <w:rFonts w:hAnsi="宋体" w:eastAsia="仿宋_GB2312"/>
          <w:sz w:val="32"/>
          <w:lang w:val="zh-CN"/>
        </w:rPr>
      </w:pPr>
    </w:p>
    <w:p w14:paraId="0130248B">
      <w:pPr>
        <w:pStyle w:val="14"/>
        <w:ind w:left="420" w:firstLine="640"/>
        <w:rPr>
          <w:rFonts w:hAnsi="宋体" w:eastAsia="仿宋_GB2312"/>
          <w:sz w:val="32"/>
          <w:lang w:val="zh-CN"/>
        </w:rPr>
      </w:pPr>
    </w:p>
    <w:p w14:paraId="07A0BA38">
      <w:pPr>
        <w:pStyle w:val="14"/>
        <w:ind w:left="420" w:firstLine="640"/>
        <w:rPr>
          <w:rFonts w:hAnsi="宋体" w:eastAsia="仿宋_GB2312"/>
          <w:sz w:val="32"/>
          <w:lang w:val="zh-CN"/>
        </w:rPr>
      </w:pPr>
    </w:p>
    <w:p w14:paraId="1604DD4A">
      <w:pPr>
        <w:pStyle w:val="14"/>
        <w:ind w:left="420" w:firstLine="640"/>
        <w:rPr>
          <w:rFonts w:hAnsi="宋体" w:eastAsia="仿宋_GB2312"/>
          <w:sz w:val="32"/>
          <w:lang w:val="zh-CN"/>
        </w:rPr>
      </w:pPr>
    </w:p>
    <w:p w14:paraId="0693D3AD">
      <w:pPr>
        <w:pStyle w:val="14"/>
        <w:ind w:left="420" w:firstLine="640"/>
        <w:rPr>
          <w:rFonts w:hAnsi="宋体" w:eastAsia="仿宋_GB2312"/>
          <w:sz w:val="32"/>
          <w:lang w:val="zh-CN"/>
        </w:rPr>
      </w:pPr>
    </w:p>
    <w:p w14:paraId="0F8518A7">
      <w:pPr>
        <w:pStyle w:val="14"/>
        <w:ind w:left="420" w:firstLine="640"/>
        <w:rPr>
          <w:rFonts w:hAnsi="宋体" w:eastAsia="仿宋_GB2312"/>
          <w:sz w:val="32"/>
          <w:lang w:val="zh-CN"/>
        </w:rPr>
      </w:pPr>
    </w:p>
    <w:p w14:paraId="18A80245">
      <w:pPr>
        <w:pStyle w:val="14"/>
        <w:ind w:left="420" w:firstLine="640"/>
        <w:rPr>
          <w:rFonts w:hAnsi="宋体" w:eastAsia="仿宋_GB2312"/>
          <w:sz w:val="32"/>
          <w:lang w:val="zh-CN"/>
        </w:rPr>
      </w:pPr>
    </w:p>
    <w:p w14:paraId="267EA742">
      <w:pPr>
        <w:pStyle w:val="14"/>
        <w:ind w:left="420" w:firstLine="640"/>
        <w:rPr>
          <w:rFonts w:hAnsi="宋体" w:eastAsia="仿宋_GB2312"/>
          <w:sz w:val="32"/>
          <w:lang w:val="zh-CN"/>
        </w:rPr>
      </w:pPr>
    </w:p>
    <w:p w14:paraId="6BCB92FE">
      <w:pPr>
        <w:pStyle w:val="14"/>
        <w:ind w:left="420" w:firstLine="640"/>
        <w:rPr>
          <w:rFonts w:hAnsi="宋体" w:eastAsia="仿宋_GB2312"/>
          <w:sz w:val="32"/>
          <w:lang w:val="zh-CN"/>
        </w:rPr>
      </w:pPr>
    </w:p>
    <w:p w14:paraId="53674F4B">
      <w:pPr>
        <w:pStyle w:val="14"/>
        <w:ind w:left="420" w:firstLine="640"/>
        <w:rPr>
          <w:rFonts w:hAnsi="宋体" w:eastAsia="仿宋_GB2312"/>
          <w:sz w:val="32"/>
          <w:lang w:val="zh-CN"/>
        </w:rPr>
      </w:pPr>
    </w:p>
    <w:p w14:paraId="40EDE5C9">
      <w:pPr>
        <w:pStyle w:val="14"/>
        <w:ind w:left="420" w:firstLine="640"/>
        <w:rPr>
          <w:rFonts w:hAnsi="宋体" w:eastAsia="仿宋_GB2312"/>
          <w:sz w:val="32"/>
          <w:lang w:val="zh-CN"/>
        </w:rPr>
      </w:pPr>
    </w:p>
    <w:p w14:paraId="376E418B">
      <w:pPr>
        <w:pStyle w:val="14"/>
        <w:ind w:left="420" w:firstLine="640"/>
        <w:rPr>
          <w:rFonts w:hAnsi="宋体" w:eastAsia="仿宋_GB2312"/>
          <w:sz w:val="32"/>
          <w:lang w:val="zh-CN"/>
        </w:rPr>
      </w:pPr>
    </w:p>
    <w:p w14:paraId="1E48E5E6">
      <w:pPr>
        <w:pStyle w:val="34"/>
        <w:spacing w:line="578" w:lineRule="exact"/>
        <w:jc w:val="center"/>
        <w:rPr>
          <w:rFonts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t>盐边县档案馆2022年运转必要支出经费</w:t>
      </w:r>
    </w:p>
    <w:p w14:paraId="51AA884D">
      <w:pPr>
        <w:pStyle w:val="34"/>
        <w:spacing w:line="578" w:lineRule="exact"/>
        <w:jc w:val="center"/>
        <w:rPr>
          <w:rFonts w:ascii="方正小标宋简体" w:hAnsi="方正小标宋简体" w:eastAsia="方正小标宋简体" w:cs="方正小标宋简体"/>
          <w:color w:val="FF0000"/>
          <w:kern w:val="2"/>
          <w:sz w:val="32"/>
          <w:szCs w:val="32"/>
          <w:lang w:val="en-US"/>
        </w:rPr>
      </w:pPr>
      <w: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t>专项资金预算项目绩效自评报告</w:t>
      </w:r>
    </w:p>
    <w:p w14:paraId="75A6B285">
      <w:pPr>
        <w:pStyle w:val="34"/>
        <w:spacing w:line="578" w:lineRule="exact"/>
        <w:ind w:firstLine="640"/>
        <w:jc w:val="center"/>
        <w:rPr>
          <w:rFonts w:ascii="宋体" w:hAnsi="宋体"/>
          <w:color w:val="auto"/>
          <w:kern w:val="2"/>
          <w:sz w:val="32"/>
          <w:szCs w:val="32"/>
        </w:rPr>
      </w:pPr>
    </w:p>
    <w:p w14:paraId="3260C52A">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09FCB218">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465D6BE9">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1.县档案馆是项目监督管理的实施主体，负责项目建设监督管理、验收等工作。</w:t>
      </w:r>
    </w:p>
    <w:p w14:paraId="53F47F83">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2.由于县综合档案馆要发挥爱国主义教育基地、档案安</w:t>
      </w:r>
    </w:p>
    <w:p w14:paraId="77AD398C">
      <w:pPr>
        <w:pStyle w:val="36"/>
        <w:spacing w:line="560" w:lineRule="exact"/>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全保管基地、档案利用服务中心、政府信息公开中心、电子文件管理中心功能，加上县干部档案室也设在县档案馆，为发挥正常功能、确保库房及馆内档案的绝对安全、维持基本运转、确保社会稳定，在充分考虑财政现状的基础上经认真研究确定项目立项。</w:t>
      </w:r>
    </w:p>
    <w:p w14:paraId="20ACF7AE">
      <w:pPr>
        <w:numPr>
          <w:ilvl w:val="0"/>
          <w:numId w:val="7"/>
        </w:numPr>
        <w:autoSpaceDE w:val="0"/>
        <w:autoSpaceDN w:val="0"/>
        <w:adjustRightInd w:val="0"/>
        <w:spacing w:line="560" w:lineRule="exact"/>
        <w:ind w:firstLine="640" w:firstLineChars="200"/>
        <w:jc w:val="left"/>
        <w:rPr>
          <w:rFonts w:eastAsia="仿宋_GB2312"/>
          <w:bCs/>
          <w:sz w:val="32"/>
          <w:szCs w:val="32"/>
          <w:lang w:val="zh-CN"/>
        </w:rPr>
      </w:pPr>
      <w:r>
        <w:rPr>
          <w:rFonts w:hint="eastAsia" w:eastAsia="仿宋_GB2312"/>
          <w:bCs/>
          <w:sz w:val="32"/>
          <w:szCs w:val="32"/>
          <w:lang w:val="zh-CN"/>
        </w:rPr>
        <w:t>该笔项目资金的管理，依据盐边财政关于项目资金的使用要求进行资金管理，专款专用。</w:t>
      </w:r>
    </w:p>
    <w:p w14:paraId="5B0CA5D0">
      <w:pPr>
        <w:numPr>
          <w:ilvl w:val="0"/>
          <w:numId w:val="8"/>
        </w:numPr>
        <w:autoSpaceDE w:val="0"/>
        <w:autoSpaceDN w:val="0"/>
        <w:adjustRightInd w:val="0"/>
        <w:spacing w:line="560" w:lineRule="exact"/>
        <w:ind w:firstLine="640" w:firstLineChars="200"/>
        <w:jc w:val="left"/>
        <w:rPr>
          <w:rFonts w:eastAsia="仿宋_GB2312"/>
          <w:bCs/>
          <w:sz w:val="32"/>
          <w:szCs w:val="32"/>
          <w:lang w:val="zh-CN"/>
        </w:rPr>
      </w:pPr>
      <w:r>
        <w:rPr>
          <w:rFonts w:hint="eastAsia" w:eastAsia="仿宋_GB2312"/>
          <w:bCs/>
          <w:sz w:val="32"/>
          <w:szCs w:val="32"/>
          <w:lang w:val="zh-CN"/>
        </w:rPr>
        <w:t>资金分配的原则：依据各项保证档案馆安全运行的分项，按合同价分配。</w:t>
      </w:r>
    </w:p>
    <w:p w14:paraId="18E2607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61F985AB">
      <w:pPr>
        <w:ind w:firstLine="640" w:firstLineChars="200"/>
        <w:rPr>
          <w:rFonts w:eastAsia="仿宋_GB2312"/>
          <w:bCs/>
          <w:sz w:val="32"/>
          <w:szCs w:val="32"/>
          <w:lang w:val="zh-CN"/>
        </w:rPr>
      </w:pPr>
      <w:r>
        <w:rPr>
          <w:rFonts w:hint="eastAsia" w:eastAsia="仿宋_GB2312"/>
          <w:bCs/>
          <w:sz w:val="32"/>
          <w:szCs w:val="32"/>
          <w:lang w:val="zh-CN"/>
        </w:rPr>
        <w:t>1</w:t>
      </w:r>
      <w:r>
        <w:rPr>
          <w:rFonts w:hint="eastAsia" w:eastAsia="仿宋_GB2312"/>
          <w:bCs/>
          <w:sz w:val="32"/>
          <w:szCs w:val="32"/>
        </w:rPr>
        <w:t>.</w:t>
      </w:r>
      <w:r>
        <w:rPr>
          <w:rFonts w:hint="eastAsia" w:eastAsia="仿宋_GB2312"/>
          <w:bCs/>
          <w:sz w:val="32"/>
          <w:szCs w:val="32"/>
          <w:lang w:val="zh-CN"/>
        </w:rPr>
        <w:t>项目主要内容。</w:t>
      </w:r>
    </w:p>
    <w:p w14:paraId="75DE8C98">
      <w:pPr>
        <w:ind w:firstLine="640" w:firstLineChars="200"/>
        <w:rPr>
          <w:rFonts w:eastAsia="仿宋_GB2312"/>
          <w:bCs/>
          <w:sz w:val="32"/>
          <w:szCs w:val="32"/>
          <w:lang w:val="zh-CN"/>
        </w:rPr>
      </w:pPr>
      <w:r>
        <w:rPr>
          <w:rFonts w:hint="eastAsia" w:eastAsia="仿宋_GB2312"/>
          <w:bCs/>
          <w:sz w:val="32"/>
          <w:szCs w:val="32"/>
          <w:lang w:val="zh-CN"/>
        </w:rPr>
        <w:t>主要是为保证档案馆安全运行而产生的馆内和展厅需要24小时安保服务、消防维护费、数据维护费、雨棚安装费、防磁柜购置、电梯维护费等内容。</w:t>
      </w:r>
    </w:p>
    <w:p w14:paraId="48A8769B">
      <w:pPr>
        <w:ind w:firstLine="640" w:firstLineChars="200"/>
        <w:rPr>
          <w:rFonts w:eastAsia="仿宋_GB2312"/>
          <w:bCs/>
          <w:sz w:val="32"/>
          <w:szCs w:val="32"/>
          <w:lang w:val="zh-CN"/>
        </w:rPr>
      </w:pPr>
      <w:r>
        <w:rPr>
          <w:rFonts w:hint="eastAsia" w:eastAsia="仿宋_GB2312"/>
          <w:bCs/>
          <w:sz w:val="32"/>
          <w:szCs w:val="32"/>
          <w:lang w:val="zh-CN"/>
        </w:rPr>
        <w:t>2</w:t>
      </w:r>
      <w:r>
        <w:rPr>
          <w:rFonts w:hint="eastAsia" w:eastAsia="仿宋_GB2312"/>
          <w:bCs/>
          <w:sz w:val="32"/>
          <w:szCs w:val="32"/>
        </w:rPr>
        <w:t>.</w:t>
      </w:r>
      <w:r>
        <w:rPr>
          <w:rFonts w:hint="eastAsia" w:eastAsia="仿宋_GB2312"/>
          <w:bCs/>
          <w:sz w:val="32"/>
          <w:szCs w:val="32"/>
          <w:lang w:val="zh-CN"/>
        </w:rPr>
        <w:t>项目应实现的具体绩效目标。</w:t>
      </w:r>
    </w:p>
    <w:p w14:paraId="5F1482F0">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保持档案馆基本运转、稳定，保障全县档案安全。24小时安保服务保障档案馆安全，不发生意外事故；消防维护保障档案馆不发生火灾等事故，保障档案安全；数据维护、防磁柜购置保证档案数据安全，便于档案利用；电梯维护保障电梯安全运行，便于运送档案、利用档案；雨棚安装保障档案馆环境安全，避免楼体渗水，更好地提供档案及展览服务。</w:t>
      </w:r>
    </w:p>
    <w:p w14:paraId="0CFA1BA4">
      <w:pPr>
        <w:adjustRightInd w:val="0"/>
        <w:snapToGrid w:val="0"/>
        <w:spacing w:line="600" w:lineRule="exact"/>
        <w:ind w:firstLine="720"/>
        <w:rPr>
          <w:rFonts w:eastAsia="仿宋_GB2312"/>
          <w:bCs/>
          <w:sz w:val="32"/>
          <w:szCs w:val="32"/>
          <w:lang w:val="zh-CN"/>
        </w:rPr>
      </w:pPr>
      <w:r>
        <w:rPr>
          <w:rFonts w:hint="eastAsia" w:eastAsia="仿宋_GB2312"/>
          <w:bCs/>
          <w:sz w:val="32"/>
          <w:szCs w:val="32"/>
          <w:lang w:val="zh-CN"/>
        </w:rPr>
        <w:t>3</w:t>
      </w:r>
      <w:r>
        <w:rPr>
          <w:rFonts w:hint="eastAsia" w:eastAsia="仿宋_GB2312"/>
          <w:bCs/>
          <w:sz w:val="32"/>
          <w:szCs w:val="32"/>
        </w:rPr>
        <w:t>.</w:t>
      </w:r>
      <w:r>
        <w:rPr>
          <w:rFonts w:hint="eastAsia" w:eastAsia="仿宋_GB2312"/>
          <w:bCs/>
          <w:sz w:val="32"/>
          <w:szCs w:val="32"/>
          <w:lang w:val="zh-CN"/>
        </w:rPr>
        <w:t>项目分析评价申报内容是与实际相符，申报目标合理可行。</w:t>
      </w:r>
    </w:p>
    <w:p w14:paraId="589893B4">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4E5F63A4">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结合实际档案工作需求，根据档案保管、利用、库房、数据、安全等的各项要求，对照支出绩效评价指标体系，按实际完成情况认真开展自评。</w:t>
      </w:r>
    </w:p>
    <w:p w14:paraId="19E27ACB">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13C2D24C">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4B01A7B5">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按盐财资行〔202</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w:t>
      </w:r>
      <w:r>
        <w:rPr>
          <w:rFonts w:hint="eastAsia" w:ascii="Times New Roman" w:hAnsi="Times New Roman" w:eastAsia="仿宋_GB2312"/>
          <w:bCs/>
          <w:sz w:val="32"/>
          <w:szCs w:val="32"/>
        </w:rPr>
        <w:t>252</w:t>
      </w:r>
      <w:r>
        <w:rPr>
          <w:rFonts w:hint="eastAsia" w:ascii="Times New Roman" w:hAnsi="Times New Roman" w:eastAsia="仿宋_GB2312"/>
          <w:bCs/>
          <w:sz w:val="32"/>
          <w:szCs w:val="32"/>
          <w:lang w:val="zh-CN"/>
        </w:rPr>
        <w:t>号文《关于下达202</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年度档案馆运转必要支出经费的通知》，年中追加预算下达我单位运转经费</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0.00万元，主要保证档案专项业务正常运行。</w:t>
      </w:r>
    </w:p>
    <w:p w14:paraId="7391DE2A">
      <w:pPr>
        <w:pStyle w:val="36"/>
        <w:spacing w:line="560" w:lineRule="exact"/>
        <w:ind w:firstLine="636" w:firstLineChars="198"/>
        <w:rPr>
          <w:rFonts w:ascii="Times New Roman" w:hAnsi="Times New Roman" w:eastAsia="方正仿宋_GBK"/>
          <w:b/>
          <w:sz w:val="32"/>
          <w:szCs w:val="32"/>
        </w:rPr>
      </w:pPr>
      <w:r>
        <w:rPr>
          <w:rFonts w:ascii="Times New Roman" w:hAnsi="Times New Roman" w:eastAsia="方正仿宋_GBK"/>
          <w:b/>
          <w:sz w:val="32"/>
          <w:szCs w:val="32"/>
        </w:rPr>
        <w:t>（二）资金计划、到位及使用情况</w:t>
      </w:r>
    </w:p>
    <w:p w14:paraId="6994F123">
      <w:pPr>
        <w:pStyle w:val="36"/>
        <w:spacing w:line="560" w:lineRule="exact"/>
        <w:ind w:firstLine="636" w:firstLineChars="198"/>
        <w:rPr>
          <w:rFonts w:ascii="Times New Roman" w:hAnsi="Times New Roman" w:eastAsia="方正仿宋_GBK"/>
          <w:b/>
          <w:sz w:val="32"/>
          <w:szCs w:val="32"/>
        </w:rPr>
      </w:pPr>
      <w:r>
        <w:rPr>
          <w:rFonts w:ascii="Times New Roman" w:hAnsi="Times New Roman" w:eastAsia="方正仿宋_GBK"/>
          <w:b/>
          <w:sz w:val="32"/>
          <w:szCs w:val="32"/>
        </w:rPr>
        <w:t>1.资金计划</w:t>
      </w:r>
      <w:r>
        <w:rPr>
          <w:rFonts w:hint="eastAsia" w:ascii="Times New Roman" w:hAnsi="Times New Roman" w:eastAsia="方正仿宋_GBK"/>
          <w:b/>
          <w:sz w:val="32"/>
          <w:szCs w:val="32"/>
        </w:rPr>
        <w:t>及到位</w:t>
      </w:r>
    </w:p>
    <w:p w14:paraId="6079C60F">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档案馆运转必要支出经费项目根据盐财资行〔202</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w:t>
      </w:r>
      <w:r>
        <w:rPr>
          <w:rFonts w:hint="eastAsia" w:ascii="Times New Roman" w:hAnsi="Times New Roman" w:eastAsia="仿宋_GB2312"/>
          <w:bCs/>
          <w:sz w:val="32"/>
          <w:szCs w:val="32"/>
        </w:rPr>
        <w:t>252</w:t>
      </w:r>
      <w:r>
        <w:rPr>
          <w:rFonts w:hint="eastAsia" w:ascii="Times New Roman" w:hAnsi="Times New Roman" w:eastAsia="仿宋_GB2312"/>
          <w:bCs/>
          <w:sz w:val="32"/>
          <w:szCs w:val="32"/>
          <w:lang w:val="zh-CN"/>
        </w:rPr>
        <w:t>号文《关于下达202</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年度档案馆运转必要支出经费的通知》运转经费</w:t>
      </w:r>
      <w:r>
        <w:rPr>
          <w:rFonts w:hint="eastAsia" w:ascii="Times New Roman" w:hAnsi="Times New Roman" w:eastAsia="仿宋_GB2312"/>
          <w:bCs/>
          <w:sz w:val="32"/>
          <w:szCs w:val="32"/>
        </w:rPr>
        <w:t>2</w:t>
      </w:r>
      <w:r>
        <w:rPr>
          <w:rFonts w:hint="eastAsia" w:ascii="Times New Roman" w:hAnsi="Times New Roman" w:eastAsia="仿宋_GB2312"/>
          <w:bCs/>
          <w:sz w:val="32"/>
          <w:szCs w:val="32"/>
          <w:lang w:val="zh-CN"/>
        </w:rPr>
        <w:t>0.00万元，用于档案馆专项业务运转等，下达专项档案馆运转必要支出经费已全部到位。</w:t>
      </w:r>
    </w:p>
    <w:p w14:paraId="69DDF537">
      <w:pPr>
        <w:pStyle w:val="36"/>
        <w:spacing w:line="560" w:lineRule="exact"/>
        <w:ind w:firstLine="636" w:firstLineChars="198"/>
        <w:rPr>
          <w:rFonts w:ascii="Times New Roman" w:hAnsi="Times New Roman" w:eastAsia="方正仿宋_GBK"/>
          <w:b/>
          <w:sz w:val="32"/>
          <w:szCs w:val="32"/>
        </w:rPr>
      </w:pPr>
      <w:r>
        <w:rPr>
          <w:rFonts w:hint="eastAsia" w:ascii="Times New Roman" w:hAnsi="Times New Roman" w:eastAsia="方正仿宋_GBK"/>
          <w:b/>
          <w:sz w:val="32"/>
          <w:szCs w:val="32"/>
        </w:rPr>
        <w:t>2</w:t>
      </w:r>
      <w:r>
        <w:rPr>
          <w:rFonts w:ascii="Times New Roman" w:hAnsi="Times New Roman" w:eastAsia="方正仿宋_GBK"/>
          <w:b/>
          <w:sz w:val="32"/>
          <w:szCs w:val="32"/>
        </w:rPr>
        <w:t>.资金使用</w:t>
      </w:r>
      <w:r>
        <w:rPr>
          <w:rFonts w:hint="eastAsia" w:ascii="Times New Roman" w:hAnsi="Times New Roman" w:eastAsia="方正仿宋_GBK"/>
          <w:b/>
          <w:sz w:val="32"/>
          <w:szCs w:val="32"/>
        </w:rPr>
        <w:t>及项目实施</w:t>
      </w:r>
    </w:p>
    <w:p w14:paraId="4C508957">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24小时安保工作，共</w:t>
      </w:r>
      <w:r>
        <w:rPr>
          <w:rFonts w:hint="eastAsia" w:ascii="Times New Roman" w:hAnsi="Times New Roman" w:eastAsia="仿宋_GB2312"/>
          <w:bCs/>
          <w:sz w:val="32"/>
          <w:szCs w:val="32"/>
        </w:rPr>
        <w:t>11.88</w:t>
      </w:r>
      <w:r>
        <w:rPr>
          <w:rFonts w:hint="eastAsia" w:ascii="Times New Roman" w:hAnsi="Times New Roman" w:eastAsia="仿宋_GB2312"/>
          <w:bCs/>
          <w:sz w:val="32"/>
          <w:szCs w:val="32"/>
          <w:lang w:val="zh-CN"/>
        </w:rPr>
        <w:t>万元；消防维护费：支付</w:t>
      </w:r>
      <w:r>
        <w:rPr>
          <w:rFonts w:hint="eastAsia" w:ascii="Times New Roman" w:hAnsi="Times New Roman" w:eastAsia="仿宋_GB2312"/>
          <w:bCs/>
          <w:sz w:val="32"/>
          <w:szCs w:val="32"/>
        </w:rPr>
        <w:t>2021年至2022年各阶段</w:t>
      </w:r>
      <w:r>
        <w:rPr>
          <w:rFonts w:hint="eastAsia" w:ascii="Times New Roman" w:hAnsi="Times New Roman" w:eastAsia="仿宋_GB2312"/>
          <w:bCs/>
          <w:sz w:val="32"/>
          <w:szCs w:val="32"/>
          <w:lang w:val="zh-CN"/>
        </w:rPr>
        <w:t>维护费</w:t>
      </w:r>
      <w:r>
        <w:rPr>
          <w:rFonts w:hint="eastAsia" w:ascii="Times New Roman" w:hAnsi="Times New Roman" w:eastAsia="仿宋_GB2312"/>
          <w:bCs/>
          <w:sz w:val="32"/>
          <w:szCs w:val="32"/>
        </w:rPr>
        <w:t>2.6</w:t>
      </w:r>
      <w:r>
        <w:rPr>
          <w:rFonts w:hint="eastAsia" w:ascii="Times New Roman" w:hAnsi="Times New Roman" w:eastAsia="仿宋_GB2312"/>
          <w:bCs/>
          <w:sz w:val="32"/>
          <w:szCs w:val="32"/>
          <w:lang w:val="zh-CN"/>
        </w:rPr>
        <w:t>万元；服务器数据维护：馆内无专业维护人才，相关维护费用为</w:t>
      </w:r>
      <w:r>
        <w:rPr>
          <w:rFonts w:hint="eastAsia" w:ascii="Times New Roman" w:hAnsi="Times New Roman" w:eastAsia="仿宋_GB2312"/>
          <w:bCs/>
          <w:sz w:val="32"/>
          <w:szCs w:val="32"/>
        </w:rPr>
        <w:t>1.88</w:t>
      </w:r>
      <w:r>
        <w:rPr>
          <w:rFonts w:hint="eastAsia" w:ascii="Times New Roman" w:hAnsi="Times New Roman" w:eastAsia="仿宋_GB2312"/>
          <w:bCs/>
          <w:sz w:val="32"/>
          <w:szCs w:val="32"/>
          <w:lang w:val="zh-CN"/>
        </w:rPr>
        <w:t>万元</w:t>
      </w:r>
      <w:r>
        <w:rPr>
          <w:rFonts w:hint="eastAsia" w:ascii="Times New Roman" w:hAnsi="Times New Roman" w:eastAsia="仿宋_GB2312"/>
          <w:bCs/>
          <w:sz w:val="32"/>
          <w:szCs w:val="32"/>
          <w:lang w:val="zh-CN"/>
        </w:rPr>
        <w:tab/>
      </w:r>
      <w:r>
        <w:rPr>
          <w:rFonts w:hint="eastAsia" w:ascii="Times New Roman" w:hAnsi="Times New Roman" w:eastAsia="仿宋_GB2312"/>
          <w:bCs/>
          <w:sz w:val="32"/>
          <w:szCs w:val="32"/>
          <w:lang w:val="zh-CN"/>
        </w:rPr>
        <w:t>；电梯维护</w:t>
      </w:r>
      <w:r>
        <w:rPr>
          <w:rFonts w:hint="eastAsia" w:ascii="Times New Roman" w:hAnsi="Times New Roman" w:eastAsia="仿宋_GB2312"/>
          <w:bCs/>
          <w:sz w:val="32"/>
          <w:szCs w:val="32"/>
        </w:rPr>
        <w:t>0.4</w:t>
      </w:r>
      <w:r>
        <w:rPr>
          <w:rFonts w:hint="eastAsia" w:ascii="Times New Roman" w:hAnsi="Times New Roman" w:eastAsia="仿宋_GB2312"/>
          <w:bCs/>
          <w:sz w:val="32"/>
          <w:szCs w:val="32"/>
          <w:lang w:val="zh-CN"/>
        </w:rPr>
        <w:t>万元；档案馆加装雨棚</w:t>
      </w:r>
      <w:r>
        <w:rPr>
          <w:rFonts w:hint="eastAsia" w:ascii="Times New Roman" w:hAnsi="Times New Roman" w:eastAsia="仿宋_GB2312"/>
          <w:bCs/>
          <w:sz w:val="32"/>
          <w:szCs w:val="32"/>
        </w:rPr>
        <w:t>2.3</w:t>
      </w:r>
      <w:r>
        <w:rPr>
          <w:rFonts w:hint="eastAsia" w:ascii="Times New Roman" w:hAnsi="Times New Roman" w:eastAsia="仿宋_GB2312"/>
          <w:bCs/>
          <w:sz w:val="32"/>
          <w:szCs w:val="32"/>
          <w:lang w:val="zh-CN"/>
        </w:rPr>
        <w:t>万元；购置防磁柜</w:t>
      </w:r>
      <w:r>
        <w:rPr>
          <w:rFonts w:hint="eastAsia" w:ascii="Times New Roman" w:hAnsi="Times New Roman" w:eastAsia="仿宋_GB2312"/>
          <w:bCs/>
          <w:sz w:val="32"/>
          <w:szCs w:val="32"/>
        </w:rPr>
        <w:t>0.94万元</w:t>
      </w:r>
      <w:r>
        <w:rPr>
          <w:rFonts w:hint="eastAsia" w:ascii="Times New Roman" w:hAnsi="Times New Roman" w:eastAsia="仿宋_GB2312"/>
          <w:bCs/>
          <w:sz w:val="32"/>
          <w:szCs w:val="32"/>
          <w:lang w:val="zh-CN"/>
        </w:rPr>
        <w:t>。</w:t>
      </w:r>
    </w:p>
    <w:p w14:paraId="04CF5EC2">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项目资金划转安全、及时、规范，资金支付合规合法、与预算相符。</w:t>
      </w:r>
    </w:p>
    <w:p w14:paraId="6076ACE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0FB59E8E">
      <w:pPr>
        <w:ind w:firstLine="640" w:firstLineChars="200"/>
        <w:rPr>
          <w:rFonts w:eastAsia="仿宋_GB2312"/>
          <w:bCs/>
          <w:sz w:val="32"/>
          <w:szCs w:val="32"/>
          <w:lang w:val="zh-CN"/>
        </w:rPr>
      </w:pPr>
      <w:r>
        <w:rPr>
          <w:rFonts w:hint="eastAsia" w:eastAsia="仿宋_GB2312"/>
          <w:bCs/>
          <w:sz w:val="32"/>
          <w:szCs w:val="32"/>
          <w:lang w:val="zh-CN"/>
        </w:rPr>
        <w:t>我单位严格执行《行政事业单位财务管理制度》等财务管理制度，权限管理规范，内控较为严谨，账务处理及时，会计核算规范，项目资金从申报到支付，均严格遵守资金使用流程，专款专用，依法依规进行全流程、精细化管理，确保资金安全。</w:t>
      </w:r>
    </w:p>
    <w:p w14:paraId="4DC5F269">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1B456240">
      <w:pPr>
        <w:adjustRightInd w:val="0"/>
        <w:snapToGrid w:val="0"/>
        <w:spacing w:line="578" w:lineRule="exact"/>
        <w:ind w:firstLine="720"/>
        <w:rPr>
          <w:rFonts w:eastAsia="仿宋_GB2312"/>
          <w:bCs/>
          <w:sz w:val="32"/>
          <w:szCs w:val="32"/>
          <w:lang w:val="zh-CN"/>
        </w:rPr>
      </w:pPr>
      <w:r>
        <w:rPr>
          <w:rFonts w:hint="eastAsia" w:ascii="楷体_GB2312" w:hAnsi="宋体" w:eastAsia="楷体_GB2312"/>
          <w:b/>
          <w:sz w:val="32"/>
          <w:szCs w:val="32"/>
          <w:lang w:val="zh-CN"/>
        </w:rPr>
        <w:t>（一）项目组织架构及实施流程。</w:t>
      </w:r>
      <w:r>
        <w:rPr>
          <w:rFonts w:hint="eastAsia" w:eastAsia="仿宋_GB2312"/>
          <w:bCs/>
          <w:sz w:val="32"/>
          <w:szCs w:val="32"/>
          <w:lang w:val="zh-CN"/>
        </w:rPr>
        <w:t>档案馆运转必要支出经费项目按预算绩效目标组织实施，</w:t>
      </w:r>
      <w:r>
        <w:rPr>
          <w:rFonts w:eastAsia="仿宋_GB2312"/>
          <w:bCs/>
          <w:sz w:val="32"/>
          <w:szCs w:val="32"/>
        </w:rPr>
        <w:t>为保障各项工作圆满完成，实现工作目标，制定了项目绩效目标，明确项目管理，</w:t>
      </w:r>
      <w:r>
        <w:rPr>
          <w:rFonts w:hint="eastAsia" w:eastAsia="仿宋_GB2312"/>
          <w:bCs/>
          <w:sz w:val="32"/>
          <w:szCs w:val="32"/>
        </w:rPr>
        <w:t>实时</w:t>
      </w:r>
      <w:r>
        <w:rPr>
          <w:rFonts w:eastAsia="仿宋_GB2312"/>
          <w:bCs/>
          <w:sz w:val="32"/>
          <w:szCs w:val="32"/>
        </w:rPr>
        <w:t>开展项目监督，制定项目回头看流程，确保项目落地见效。</w:t>
      </w:r>
    </w:p>
    <w:p w14:paraId="26E1D4AE">
      <w:pPr>
        <w:spacing w:line="560" w:lineRule="exact"/>
        <w:ind w:firstLine="643" w:firstLineChars="200"/>
        <w:rPr>
          <w:rFonts w:eastAsia="仿宋_GB2312"/>
          <w:bCs/>
          <w:sz w:val="32"/>
          <w:szCs w:val="32"/>
          <w:lang w:val="zh-CN"/>
        </w:rPr>
      </w:pPr>
      <w:r>
        <w:rPr>
          <w:rFonts w:hint="eastAsia" w:ascii="楷体_GB2312" w:hAnsi="宋体" w:eastAsia="楷体_GB2312"/>
          <w:b/>
          <w:sz w:val="32"/>
          <w:szCs w:val="32"/>
          <w:lang w:val="zh-CN"/>
        </w:rPr>
        <w:t>（二）项目管理情况。</w:t>
      </w:r>
      <w:r>
        <w:rPr>
          <w:rFonts w:hint="eastAsia" w:eastAsia="仿宋_GB2312"/>
          <w:bCs/>
          <w:sz w:val="32"/>
          <w:szCs w:val="32"/>
          <w:lang w:val="zh-CN"/>
        </w:rPr>
        <w:t>由经办人员专人管理，根据各项设备设施、维护情况，按实际情况进行管理验收。</w:t>
      </w:r>
      <w:r>
        <w:rPr>
          <w:rFonts w:eastAsia="仿宋_GB2312"/>
          <w:bCs/>
          <w:sz w:val="32"/>
          <w:szCs w:val="32"/>
          <w:lang w:val="zh-CN"/>
        </w:rPr>
        <w:t>严格按照《中华人民共和国预算法》《中华人民共和国预算法实施条例》相关规定，按照县财政统一部署安排预算在及时推进支付进度的同时，加强资金管理，优化资源配置。</w:t>
      </w:r>
    </w:p>
    <w:p w14:paraId="24FAD998">
      <w:pPr>
        <w:pStyle w:val="2"/>
        <w:spacing w:beforeLines="0"/>
        <w:ind w:firstLine="643" w:firstLineChars="200"/>
        <w:rPr>
          <w:rFonts w:ascii="Times New Roman"/>
          <w:bCs/>
          <w:kern w:val="2"/>
          <w:sz w:val="32"/>
          <w:szCs w:val="32"/>
          <w:lang w:val="zh-CN"/>
        </w:rPr>
      </w:pPr>
      <w:r>
        <w:rPr>
          <w:rFonts w:hint="eastAsia" w:ascii="楷体_GB2312" w:hAnsi="宋体" w:eastAsia="楷体_GB2312"/>
          <w:b/>
          <w:sz w:val="32"/>
          <w:szCs w:val="32"/>
          <w:lang w:val="zh-CN"/>
        </w:rPr>
        <w:t>（三）项目监管情况。</w:t>
      </w:r>
      <w:r>
        <w:rPr>
          <w:rFonts w:hint="eastAsia" w:ascii="Times New Roman"/>
          <w:bCs/>
          <w:kern w:val="2"/>
          <w:sz w:val="32"/>
          <w:szCs w:val="32"/>
          <w:lang w:val="zh-CN"/>
        </w:rPr>
        <w:t>档案馆运转必要支出经费项目由经办人员根据各项预算绩效目标进行监管，按预算及合同按时按质推进，及时进行绩效监控，掌握项目及资金支付进度。</w:t>
      </w:r>
      <w:r>
        <w:rPr>
          <w:rFonts w:ascii="Times New Roman"/>
          <w:bCs/>
          <w:kern w:val="2"/>
          <w:sz w:val="32"/>
          <w:szCs w:val="32"/>
          <w:lang w:val="zh-CN"/>
        </w:rPr>
        <w:t>按照内部控制制度要求，严格预算业务管理，做到</w:t>
      </w:r>
      <w:r>
        <w:rPr>
          <w:rFonts w:hint="eastAsia" w:ascii="Times New Roman"/>
          <w:bCs/>
          <w:kern w:val="2"/>
          <w:sz w:val="32"/>
          <w:szCs w:val="32"/>
          <w:lang w:val="zh-CN"/>
        </w:rPr>
        <w:t>不相容岗位及业务分离，</w:t>
      </w:r>
      <w:r>
        <w:rPr>
          <w:rFonts w:ascii="Times New Roman"/>
          <w:bCs/>
          <w:kern w:val="2"/>
          <w:sz w:val="32"/>
          <w:szCs w:val="32"/>
          <w:lang w:val="zh-CN"/>
        </w:rPr>
        <w:t>不断提升中心内部管理能力和水平。</w:t>
      </w:r>
    </w:p>
    <w:p w14:paraId="58E77AAF">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hint="eastAsia" w:ascii="仿宋_GB2312" w:hAnsi="宋体"/>
          <w:sz w:val="32"/>
          <w:szCs w:val="32"/>
          <w:lang w:val="zh-CN"/>
        </w:rPr>
        <w:tab/>
      </w:r>
    </w:p>
    <w:p w14:paraId="5B7151E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59094DB8">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档案馆及展厅持续实行24小时安保制度，数据系统维护、消防维护、设施设备维护、电梯维护等完成良好，各项指标完成度高，完成率达100%。</w:t>
      </w:r>
    </w:p>
    <w:p w14:paraId="3B932FD2">
      <w:pPr>
        <w:pStyle w:val="36"/>
        <w:spacing w:line="560" w:lineRule="exact"/>
        <w:ind w:firstLine="636" w:firstLineChars="198"/>
        <w:rPr>
          <w:rFonts w:ascii="Times New Roman" w:hAnsi="Times New Roman" w:eastAsia="方正仿宋_GBK"/>
          <w:b/>
          <w:sz w:val="32"/>
          <w:szCs w:val="32"/>
        </w:rPr>
      </w:pPr>
      <w:r>
        <w:rPr>
          <w:rFonts w:ascii="Times New Roman" w:hAnsi="Times New Roman" w:eastAsia="方正仿宋_GBK"/>
          <w:b/>
          <w:sz w:val="32"/>
          <w:szCs w:val="32"/>
        </w:rPr>
        <w:t>（二）项目效益情况</w:t>
      </w:r>
      <w:r>
        <w:rPr>
          <w:rFonts w:hint="eastAsia" w:ascii="Times New Roman" w:hAnsi="Times New Roman" w:eastAsia="方正仿宋_GBK"/>
          <w:b/>
          <w:sz w:val="32"/>
          <w:szCs w:val="32"/>
        </w:rPr>
        <w:t>。</w:t>
      </w:r>
    </w:p>
    <w:p w14:paraId="2F07F935">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确保档案馆展厅、安保、消防、电梯等系统发挥正常功能，确保库房及馆内档案、数据的绝对安全，维持设备设施基本运转，保障查档、参观人员安全，不发生重大安全事故，确保社会稳定，更好地提供档案服务。</w:t>
      </w:r>
    </w:p>
    <w:p w14:paraId="00CBD1DD">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14:paraId="193F36B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33316A56">
      <w:pPr>
        <w:pStyle w:val="36"/>
        <w:spacing w:line="560" w:lineRule="exact"/>
        <w:ind w:firstLine="633" w:firstLineChars="198"/>
        <w:rPr>
          <w:rFonts w:ascii="Times New Roman" w:hAnsi="Times New Roman" w:eastAsia="仿宋_GB2312"/>
          <w:bCs/>
          <w:sz w:val="32"/>
          <w:szCs w:val="32"/>
          <w:lang w:val="zh-CN"/>
        </w:rPr>
      </w:pPr>
      <w:r>
        <w:rPr>
          <w:rFonts w:hint="eastAsia" w:ascii="Times New Roman" w:hAnsi="Times New Roman" w:eastAsia="仿宋_GB2312"/>
          <w:bCs/>
          <w:sz w:val="32"/>
          <w:szCs w:val="32"/>
          <w:lang w:val="zh-CN"/>
        </w:rPr>
        <w:t>项目绩效目标完成度高，满意度较高。</w:t>
      </w:r>
    </w:p>
    <w:p w14:paraId="3CDE1A1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09FF641E">
      <w:pPr>
        <w:ind w:firstLine="640" w:firstLineChars="200"/>
        <w:rPr>
          <w:rFonts w:eastAsia="仿宋_GB2312"/>
          <w:bCs/>
          <w:sz w:val="32"/>
          <w:szCs w:val="32"/>
          <w:lang w:val="zh-CN"/>
        </w:rPr>
      </w:pPr>
      <w:r>
        <w:rPr>
          <w:rFonts w:hint="eastAsia" w:eastAsia="仿宋_GB2312"/>
          <w:bCs/>
          <w:sz w:val="32"/>
          <w:szCs w:val="32"/>
          <w:lang w:val="zh-CN"/>
        </w:rPr>
        <w:t>财务人员业务不够熟练，效率较低。</w:t>
      </w:r>
    </w:p>
    <w:p w14:paraId="26EB0A89">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5E0D795D">
      <w:pPr>
        <w:ind w:firstLine="640" w:firstLineChars="200"/>
        <w:rPr>
          <w:rFonts w:eastAsia="仿宋_GB2312"/>
          <w:bCs/>
          <w:sz w:val="32"/>
          <w:szCs w:val="32"/>
          <w:lang w:val="zh-CN"/>
        </w:rPr>
      </w:pPr>
      <w:r>
        <w:rPr>
          <w:rFonts w:hint="eastAsia" w:eastAsia="仿宋_GB2312"/>
          <w:bCs/>
          <w:sz w:val="32"/>
          <w:szCs w:val="32"/>
          <w:lang w:val="zh-CN"/>
        </w:rPr>
        <w:t>1.加强预算管理，细化项目管理。在编制年度预算时，在进行调查研究的基础上，充分论证项目立项的必要性、经济性、绩效目标合理性、实施方案可行性，项目实施达到预期效果，发挥最大效益。认真细化方案，明确责任人，做好各项目支出绩效目标执行中的控制管理，确保资金对应绩效目标执行，强化项目管理，确保项目按计划推进。</w:t>
      </w:r>
    </w:p>
    <w:p w14:paraId="528D5328">
      <w:pPr>
        <w:ind w:firstLine="640" w:firstLineChars="200"/>
        <w:rPr>
          <w:rFonts w:eastAsia="仿宋_GB2312"/>
          <w:bCs/>
          <w:sz w:val="32"/>
          <w:szCs w:val="32"/>
          <w:lang w:val="zh-CN"/>
        </w:rPr>
      </w:pPr>
      <w:r>
        <w:rPr>
          <w:rFonts w:hint="eastAsia" w:eastAsia="仿宋_GB2312"/>
          <w:bCs/>
          <w:sz w:val="32"/>
          <w:szCs w:val="32"/>
          <w:lang w:val="zh-CN"/>
        </w:rPr>
        <w:t>2.严格人员管理，提高绩效目标管理水平。加强财务人员培训，熟练掌握预算编制和预算执行等各项政策，严格遵守各项财经纪律，不断提高业务能力，不断提高绩效目标管理水平。</w:t>
      </w:r>
    </w:p>
    <w:p w14:paraId="5071328A">
      <w:pPr>
        <w:spacing w:line="580" w:lineRule="exact"/>
        <w:rPr>
          <w:rStyle w:val="28"/>
          <w:rFonts w:ascii="黑体" w:hAnsi="黑体" w:eastAsia="黑体"/>
          <w:b w:val="0"/>
        </w:rPr>
      </w:pPr>
    </w:p>
    <w:p w14:paraId="3724E433">
      <w:pPr>
        <w:widowControl/>
        <w:jc w:val="left"/>
        <w:rPr>
          <w:rStyle w:val="28"/>
          <w:rFonts w:ascii="黑体" w:hAnsi="黑体" w:eastAsia="黑体"/>
          <w:b w:val="0"/>
        </w:rPr>
      </w:pPr>
      <w:r>
        <w:rPr>
          <w:rStyle w:val="28"/>
          <w:rFonts w:ascii="黑体" w:hAnsi="黑体" w:eastAsia="黑体"/>
          <w:b w:val="0"/>
        </w:rPr>
        <w:br w:type="page"/>
      </w:r>
    </w:p>
    <w:p w14:paraId="4A7975CE">
      <w:pPr>
        <w:spacing w:line="600" w:lineRule="exact"/>
        <w:jc w:val="center"/>
        <w:outlineLvl w:val="0"/>
        <w:rPr>
          <w:rFonts w:ascii="仿宋" w:hAnsi="仿宋" w:eastAsia="仿宋"/>
        </w:rPr>
      </w:pPr>
      <w:bookmarkStart w:id="54" w:name="_Toc15396618"/>
      <w:r>
        <w:rPr>
          <w:rFonts w:hint="eastAsia" w:ascii="黑体" w:hAnsi="黑体" w:eastAsia="黑体"/>
          <w:sz w:val="44"/>
          <w:szCs w:val="44"/>
        </w:rPr>
        <w:t>第</w:t>
      </w:r>
      <w:r>
        <w:rPr>
          <w:rStyle w:val="28"/>
          <w:rFonts w:hint="eastAsia" w:ascii="黑体" w:hAnsi="黑体" w:eastAsia="黑体"/>
          <w:b w:val="0"/>
        </w:rPr>
        <w:t>五部分 附表</w:t>
      </w:r>
      <w:bookmarkEnd w:id="52"/>
      <w:bookmarkEnd w:id="54"/>
      <w:bookmarkStart w:id="55" w:name="_Toc15396619"/>
    </w:p>
    <w:p w14:paraId="588B340C">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drawing>
          <wp:anchor distT="0" distB="0" distL="114300" distR="114300" simplePos="0" relativeHeight="251665408" behindDoc="0" locked="0" layoutInCell="1" allowOverlap="1">
            <wp:simplePos x="0" y="0"/>
            <wp:positionH relativeFrom="column">
              <wp:posOffset>-445770</wp:posOffset>
            </wp:positionH>
            <wp:positionV relativeFrom="paragraph">
              <wp:posOffset>525145</wp:posOffset>
            </wp:positionV>
            <wp:extent cx="6253480" cy="6795135"/>
            <wp:effectExtent l="0" t="0" r="13970" b="5715"/>
            <wp:wrapTopAndBottom/>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9"/>
                    <a:stretch>
                      <a:fillRect/>
                    </a:stretch>
                  </pic:blipFill>
                  <pic:spPr>
                    <a:xfrm>
                      <a:off x="0" y="0"/>
                      <a:ext cx="6253480" cy="6795135"/>
                    </a:xfrm>
                    <a:prstGeom prst="rect">
                      <a:avLst/>
                    </a:prstGeom>
                    <a:noFill/>
                    <a:ln>
                      <a:noFill/>
                    </a:ln>
                  </pic:spPr>
                </pic:pic>
              </a:graphicData>
            </a:graphic>
          </wp:anchor>
        </w:drawing>
      </w:r>
      <w:r>
        <w:rPr>
          <w:rStyle w:val="29"/>
          <w:rFonts w:hint="eastAsia" w:ascii="仿宋" w:hAnsi="仿宋" w:eastAsia="仿宋"/>
          <w:b w:val="0"/>
          <w:bCs w:val="0"/>
        </w:rPr>
        <w:t>一、收入支出决算总表</w:t>
      </w:r>
      <w:bookmarkEnd w:id="55"/>
    </w:p>
    <w:p w14:paraId="01FF86FE">
      <w:pPr>
        <w:sectPr>
          <w:footerReference r:id="rId10" w:type="first"/>
          <w:footerReference r:id="rId9" w:type="default"/>
          <w:pgSz w:w="11906" w:h="16838"/>
          <w:pgMar w:top="1440" w:right="1800" w:bottom="1440" w:left="1800" w:header="851" w:footer="992" w:gutter="0"/>
          <w:cols w:space="425" w:num="1"/>
          <w:titlePg/>
          <w:docGrid w:type="lines" w:linePitch="312" w:charSpace="0"/>
        </w:sectPr>
      </w:pPr>
    </w:p>
    <w:p w14:paraId="3F5BB58D">
      <w:pPr>
        <w:pStyle w:val="4"/>
        <w:spacing w:before="0" w:after="0" w:line="0" w:lineRule="atLeast"/>
        <w:rPr>
          <w:rStyle w:val="29"/>
          <w:rFonts w:ascii="仿宋" w:hAnsi="仿宋" w:eastAsia="仿宋"/>
          <w:b w:val="0"/>
          <w:bCs w:val="0"/>
        </w:rPr>
      </w:pPr>
      <w:bookmarkStart w:id="56" w:name="_Toc15396620"/>
      <w:r>
        <w:rPr>
          <w:rStyle w:val="29"/>
          <w:rFonts w:hint="eastAsia" w:ascii="仿宋" w:hAnsi="仿宋" w:eastAsia="仿宋"/>
          <w:b w:val="0"/>
          <w:bCs w:val="0"/>
        </w:rPr>
        <w:t>二、收入决算表</w:t>
      </w:r>
      <w:bookmarkEnd w:id="56"/>
    </w:p>
    <w:p w14:paraId="74D26C99">
      <w:r>
        <w:drawing>
          <wp:inline distT="0" distB="0" distL="114300" distR="114300">
            <wp:extent cx="9307830" cy="4149090"/>
            <wp:effectExtent l="0" t="0" r="7620" b="381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20"/>
                    <a:stretch>
                      <a:fillRect/>
                    </a:stretch>
                  </pic:blipFill>
                  <pic:spPr>
                    <a:xfrm>
                      <a:off x="0" y="0"/>
                      <a:ext cx="9307830" cy="4149090"/>
                    </a:xfrm>
                    <a:prstGeom prst="rect">
                      <a:avLst/>
                    </a:prstGeom>
                    <a:noFill/>
                    <a:ln>
                      <a:noFill/>
                    </a:ln>
                  </pic:spPr>
                </pic:pic>
              </a:graphicData>
            </a:graphic>
          </wp:inline>
        </w:drawing>
      </w:r>
    </w:p>
    <w:p w14:paraId="2228E6A5">
      <w:pPr>
        <w:pStyle w:val="4"/>
        <w:spacing w:before="0" w:after="0" w:line="0" w:lineRule="atLeast"/>
        <w:rPr>
          <w:rStyle w:val="29"/>
          <w:rFonts w:ascii="仿宋" w:hAnsi="仿宋" w:eastAsia="仿宋"/>
          <w:b w:val="0"/>
          <w:bCs w:val="0"/>
        </w:rPr>
      </w:pPr>
      <w:bookmarkStart w:id="57" w:name="_Toc15396621"/>
      <w:r>
        <w:rPr>
          <w:rStyle w:val="29"/>
          <w:rFonts w:hint="eastAsia" w:ascii="仿宋" w:hAnsi="仿宋" w:eastAsia="仿宋"/>
          <w:b w:val="0"/>
          <w:bCs w:val="0"/>
        </w:rPr>
        <w:t>三、支出决算表</w:t>
      </w:r>
      <w:bookmarkEnd w:id="57"/>
    </w:p>
    <w:p w14:paraId="05B4ADA3">
      <w:pPr>
        <w:pStyle w:val="4"/>
        <w:rPr>
          <w:rStyle w:val="29"/>
          <w:rFonts w:ascii="仿宋" w:hAnsi="仿宋" w:eastAsia="仿宋"/>
          <w:b w:val="0"/>
          <w:bCs w:val="0"/>
        </w:rPr>
      </w:pPr>
      <w:bookmarkStart w:id="58" w:name="_Toc15396622"/>
      <w:r>
        <w:drawing>
          <wp:inline distT="0" distB="0" distL="114300" distR="114300">
            <wp:extent cx="8862695" cy="4401820"/>
            <wp:effectExtent l="0" t="0" r="14605" b="1778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21"/>
                    <a:stretch>
                      <a:fillRect/>
                    </a:stretch>
                  </pic:blipFill>
                  <pic:spPr>
                    <a:xfrm>
                      <a:off x="0" y="0"/>
                      <a:ext cx="8862695" cy="4401820"/>
                    </a:xfrm>
                    <a:prstGeom prst="rect">
                      <a:avLst/>
                    </a:prstGeom>
                    <a:noFill/>
                    <a:ln>
                      <a:noFill/>
                    </a:ln>
                  </pic:spPr>
                </pic:pic>
              </a:graphicData>
            </a:graphic>
          </wp:inline>
        </w:drawing>
      </w:r>
    </w:p>
    <w:p w14:paraId="1F1C4413">
      <w:pPr>
        <w:pStyle w:val="4"/>
        <w:rPr>
          <w:rStyle w:val="29"/>
          <w:rFonts w:ascii="仿宋" w:hAnsi="仿宋" w:eastAsia="仿宋"/>
          <w:b w:val="0"/>
          <w:bCs w:val="0"/>
        </w:rPr>
      </w:pPr>
    </w:p>
    <w:p w14:paraId="7BE00539"/>
    <w:p w14:paraId="65343A02">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四、财政拨款收入支出决算总表</w:t>
      </w:r>
      <w:bookmarkEnd w:id="58"/>
    </w:p>
    <w:p w14:paraId="146DF9DE">
      <w:pPr>
        <w:pStyle w:val="4"/>
        <w:jc w:val="center"/>
        <w:rPr>
          <w:rStyle w:val="29"/>
          <w:rFonts w:ascii="仿宋" w:hAnsi="仿宋" w:eastAsia="仿宋"/>
          <w:b w:val="0"/>
          <w:bCs w:val="0"/>
        </w:rPr>
      </w:pPr>
      <w:bookmarkStart w:id="59" w:name="_Toc15396623"/>
      <w:r>
        <w:rPr>
          <w:rStyle w:val="29"/>
          <w:rFonts w:hint="eastAsia" w:ascii="仿宋" w:hAnsi="仿宋" w:eastAsia="仿宋"/>
          <w:b w:val="0"/>
          <w:bCs w:val="0"/>
        </w:rPr>
        <w:drawing>
          <wp:anchor distT="0" distB="0" distL="114300" distR="114300" simplePos="0" relativeHeight="251666432" behindDoc="0" locked="0" layoutInCell="1" allowOverlap="1">
            <wp:simplePos x="0" y="0"/>
            <wp:positionH relativeFrom="column">
              <wp:posOffset>405765</wp:posOffset>
            </wp:positionH>
            <wp:positionV relativeFrom="paragraph">
              <wp:posOffset>59690</wp:posOffset>
            </wp:positionV>
            <wp:extent cx="8041005" cy="5683885"/>
            <wp:effectExtent l="0" t="0" r="17145" b="12065"/>
            <wp:wrapNone/>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22"/>
                    <a:stretch>
                      <a:fillRect/>
                    </a:stretch>
                  </pic:blipFill>
                  <pic:spPr>
                    <a:xfrm>
                      <a:off x="0" y="0"/>
                      <a:ext cx="8041005" cy="5683885"/>
                    </a:xfrm>
                    <a:prstGeom prst="rect">
                      <a:avLst/>
                    </a:prstGeom>
                    <a:noFill/>
                    <a:ln>
                      <a:noFill/>
                    </a:ln>
                  </pic:spPr>
                </pic:pic>
              </a:graphicData>
            </a:graphic>
          </wp:anchor>
        </w:drawing>
      </w:r>
    </w:p>
    <w:p w14:paraId="0B0DB3A5">
      <w:pPr>
        <w:pStyle w:val="4"/>
        <w:jc w:val="center"/>
        <w:rPr>
          <w:rStyle w:val="29"/>
          <w:rFonts w:ascii="仿宋" w:hAnsi="仿宋" w:eastAsia="仿宋"/>
          <w:b w:val="0"/>
          <w:bCs w:val="0"/>
        </w:rPr>
      </w:pPr>
    </w:p>
    <w:p w14:paraId="4BE2F762">
      <w:pPr>
        <w:pStyle w:val="4"/>
        <w:jc w:val="center"/>
        <w:rPr>
          <w:rStyle w:val="29"/>
          <w:rFonts w:ascii="仿宋" w:hAnsi="仿宋" w:eastAsia="仿宋"/>
          <w:b w:val="0"/>
          <w:bCs w:val="0"/>
        </w:rPr>
      </w:pPr>
    </w:p>
    <w:p w14:paraId="22ACCA0F">
      <w:pPr>
        <w:pStyle w:val="4"/>
        <w:jc w:val="center"/>
        <w:rPr>
          <w:rStyle w:val="29"/>
          <w:rFonts w:ascii="仿宋" w:hAnsi="仿宋" w:eastAsia="仿宋"/>
          <w:b w:val="0"/>
          <w:bCs w:val="0"/>
        </w:rPr>
      </w:pPr>
    </w:p>
    <w:p w14:paraId="0C7A683C">
      <w:pPr>
        <w:pStyle w:val="4"/>
        <w:jc w:val="center"/>
        <w:rPr>
          <w:rStyle w:val="29"/>
          <w:rFonts w:ascii="仿宋" w:hAnsi="仿宋" w:eastAsia="仿宋"/>
          <w:b w:val="0"/>
          <w:bCs w:val="0"/>
        </w:rPr>
      </w:pPr>
    </w:p>
    <w:p w14:paraId="26DC5986">
      <w:pPr>
        <w:pStyle w:val="4"/>
        <w:jc w:val="center"/>
        <w:rPr>
          <w:rStyle w:val="29"/>
          <w:rFonts w:ascii="仿宋" w:hAnsi="仿宋" w:eastAsia="仿宋"/>
          <w:b w:val="0"/>
          <w:bCs w:val="0"/>
        </w:rPr>
      </w:pPr>
    </w:p>
    <w:p w14:paraId="19264667">
      <w:pPr>
        <w:pStyle w:val="4"/>
        <w:jc w:val="center"/>
        <w:rPr>
          <w:rStyle w:val="29"/>
          <w:rFonts w:ascii="仿宋" w:hAnsi="仿宋" w:eastAsia="仿宋"/>
          <w:b w:val="0"/>
          <w:bCs w:val="0"/>
        </w:rPr>
      </w:pPr>
    </w:p>
    <w:p w14:paraId="0F48869A">
      <w:pPr>
        <w:pStyle w:val="4"/>
        <w:jc w:val="center"/>
        <w:rPr>
          <w:rStyle w:val="29"/>
          <w:rFonts w:ascii="仿宋" w:hAnsi="仿宋" w:eastAsia="仿宋"/>
          <w:b w:val="0"/>
          <w:bCs w:val="0"/>
        </w:rPr>
      </w:pPr>
    </w:p>
    <w:p w14:paraId="6FBA654D"/>
    <w:p w14:paraId="5BB823D4">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9"/>
      <w:bookmarkStart w:id="60" w:name="_Toc15396624"/>
    </w:p>
    <w:p w14:paraId="547D08F0">
      <w:pPr>
        <w:pStyle w:val="4"/>
        <w:rPr>
          <w:rStyle w:val="29"/>
          <w:rFonts w:ascii="仿宋" w:hAnsi="仿宋" w:eastAsia="仿宋"/>
          <w:b w:val="0"/>
          <w:bCs w:val="0"/>
        </w:rPr>
      </w:pPr>
      <w:r>
        <w:drawing>
          <wp:anchor distT="0" distB="0" distL="114300" distR="114300" simplePos="0" relativeHeight="251667456" behindDoc="0" locked="0" layoutInCell="1" allowOverlap="1">
            <wp:simplePos x="0" y="0"/>
            <wp:positionH relativeFrom="column">
              <wp:posOffset>10795</wp:posOffset>
            </wp:positionH>
            <wp:positionV relativeFrom="paragraph">
              <wp:posOffset>52070</wp:posOffset>
            </wp:positionV>
            <wp:extent cx="8681720" cy="5678170"/>
            <wp:effectExtent l="0" t="0" r="5080" b="17780"/>
            <wp:wrapNone/>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23"/>
                    <a:stretch>
                      <a:fillRect/>
                    </a:stretch>
                  </pic:blipFill>
                  <pic:spPr>
                    <a:xfrm>
                      <a:off x="0" y="0"/>
                      <a:ext cx="8681720" cy="5678170"/>
                    </a:xfrm>
                    <a:prstGeom prst="rect">
                      <a:avLst/>
                    </a:prstGeom>
                    <a:noFill/>
                    <a:ln>
                      <a:noFill/>
                    </a:ln>
                  </pic:spPr>
                </pic:pic>
              </a:graphicData>
            </a:graphic>
          </wp:anchor>
        </w:drawing>
      </w:r>
    </w:p>
    <w:p w14:paraId="701B2440">
      <w:pPr>
        <w:pStyle w:val="4"/>
        <w:rPr>
          <w:rStyle w:val="29"/>
          <w:rFonts w:ascii="仿宋" w:hAnsi="仿宋" w:eastAsia="仿宋"/>
          <w:b w:val="0"/>
          <w:bCs w:val="0"/>
        </w:rPr>
      </w:pPr>
    </w:p>
    <w:p w14:paraId="2A483DFB">
      <w:pPr>
        <w:pStyle w:val="4"/>
        <w:rPr>
          <w:rStyle w:val="29"/>
          <w:rFonts w:ascii="仿宋" w:hAnsi="仿宋" w:eastAsia="仿宋"/>
          <w:b w:val="0"/>
          <w:bCs w:val="0"/>
        </w:rPr>
      </w:pPr>
    </w:p>
    <w:p w14:paraId="1119A2F8">
      <w:pPr>
        <w:rPr>
          <w:rStyle w:val="29"/>
          <w:rFonts w:ascii="仿宋" w:hAnsi="仿宋" w:eastAsia="仿宋"/>
          <w:b w:val="0"/>
          <w:bCs w:val="0"/>
        </w:rPr>
      </w:pPr>
    </w:p>
    <w:p w14:paraId="124D0080">
      <w:pPr>
        <w:rPr>
          <w:rStyle w:val="29"/>
          <w:rFonts w:ascii="仿宋" w:hAnsi="仿宋" w:eastAsia="仿宋"/>
          <w:b w:val="0"/>
          <w:bCs w:val="0"/>
        </w:rPr>
      </w:pPr>
    </w:p>
    <w:p w14:paraId="7A583078">
      <w:pPr>
        <w:rPr>
          <w:rStyle w:val="29"/>
          <w:rFonts w:ascii="仿宋" w:hAnsi="仿宋" w:eastAsia="仿宋"/>
          <w:b w:val="0"/>
          <w:bCs w:val="0"/>
        </w:rPr>
      </w:pPr>
    </w:p>
    <w:p w14:paraId="1AAA954F">
      <w:pPr>
        <w:rPr>
          <w:rStyle w:val="29"/>
          <w:rFonts w:ascii="仿宋" w:hAnsi="仿宋" w:eastAsia="仿宋"/>
          <w:b w:val="0"/>
          <w:bCs w:val="0"/>
        </w:rPr>
      </w:pPr>
    </w:p>
    <w:p w14:paraId="3944020A">
      <w:pPr>
        <w:rPr>
          <w:rStyle w:val="29"/>
          <w:rFonts w:ascii="仿宋" w:hAnsi="仿宋" w:eastAsia="仿宋"/>
          <w:b w:val="0"/>
          <w:bCs w:val="0"/>
        </w:rPr>
      </w:pPr>
    </w:p>
    <w:p w14:paraId="612FC19C">
      <w:pPr>
        <w:rPr>
          <w:rStyle w:val="29"/>
          <w:rFonts w:ascii="仿宋" w:hAnsi="仿宋" w:eastAsia="仿宋"/>
          <w:b w:val="0"/>
          <w:bCs w:val="0"/>
        </w:rPr>
      </w:pPr>
    </w:p>
    <w:p w14:paraId="19AACEAD">
      <w:pPr>
        <w:rPr>
          <w:rStyle w:val="29"/>
          <w:rFonts w:ascii="仿宋" w:hAnsi="仿宋" w:eastAsia="仿宋"/>
          <w:b w:val="0"/>
          <w:bCs w:val="0"/>
        </w:rPr>
      </w:pPr>
    </w:p>
    <w:p w14:paraId="0EAECE7D">
      <w:pPr>
        <w:rPr>
          <w:rStyle w:val="29"/>
          <w:rFonts w:ascii="仿宋" w:hAnsi="仿宋" w:eastAsia="仿宋"/>
          <w:b w:val="0"/>
          <w:bCs w:val="0"/>
        </w:rPr>
      </w:pPr>
    </w:p>
    <w:p w14:paraId="4167C4FE">
      <w:pPr>
        <w:rPr>
          <w:rStyle w:val="29"/>
          <w:rFonts w:ascii="仿宋" w:hAnsi="仿宋" w:eastAsia="仿宋"/>
          <w:b w:val="0"/>
          <w:bCs w:val="0"/>
        </w:rPr>
      </w:pPr>
    </w:p>
    <w:p w14:paraId="227CDCEC">
      <w:pPr>
        <w:rPr>
          <w:rStyle w:val="29"/>
          <w:rFonts w:ascii="仿宋" w:hAnsi="仿宋" w:eastAsia="仿宋"/>
          <w:b w:val="0"/>
          <w:bCs w:val="0"/>
        </w:rPr>
      </w:pPr>
      <w:r>
        <w:drawing>
          <wp:inline distT="0" distB="0" distL="114300" distR="114300">
            <wp:extent cx="8858250" cy="5793105"/>
            <wp:effectExtent l="0" t="0" r="0" b="1714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4"/>
                    <a:stretch>
                      <a:fillRect/>
                    </a:stretch>
                  </pic:blipFill>
                  <pic:spPr>
                    <a:xfrm>
                      <a:off x="0" y="0"/>
                      <a:ext cx="8858250" cy="5793105"/>
                    </a:xfrm>
                    <a:prstGeom prst="rect">
                      <a:avLst/>
                    </a:prstGeom>
                    <a:noFill/>
                    <a:ln>
                      <a:noFill/>
                    </a:ln>
                  </pic:spPr>
                </pic:pic>
              </a:graphicData>
            </a:graphic>
          </wp:inline>
        </w:drawing>
      </w:r>
    </w:p>
    <w:p w14:paraId="520E8CED">
      <w:pPr>
        <w:rPr>
          <w:rStyle w:val="29"/>
          <w:rFonts w:ascii="仿宋" w:hAnsi="仿宋" w:eastAsia="仿宋"/>
          <w:b w:val="0"/>
          <w:bCs w:val="0"/>
        </w:rPr>
      </w:pPr>
      <w:r>
        <w:drawing>
          <wp:inline distT="0" distB="0" distL="114300" distR="114300">
            <wp:extent cx="9190990" cy="5888355"/>
            <wp:effectExtent l="0" t="0" r="10160" b="1714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5"/>
                    <a:stretch>
                      <a:fillRect/>
                    </a:stretch>
                  </pic:blipFill>
                  <pic:spPr>
                    <a:xfrm>
                      <a:off x="0" y="0"/>
                      <a:ext cx="9190990" cy="5888355"/>
                    </a:xfrm>
                    <a:prstGeom prst="rect">
                      <a:avLst/>
                    </a:prstGeom>
                    <a:noFill/>
                    <a:ln>
                      <a:noFill/>
                    </a:ln>
                  </pic:spPr>
                </pic:pic>
              </a:graphicData>
            </a:graphic>
          </wp:inline>
        </w:drawing>
      </w:r>
    </w:p>
    <w:p w14:paraId="58B3AFAF">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六、一般公共预算财政拨款支出决算表</w:t>
      </w:r>
      <w:bookmarkEnd w:id="60"/>
    </w:p>
    <w:p w14:paraId="2DA55B20">
      <w:pPr>
        <w:pStyle w:val="4"/>
        <w:spacing w:before="0" w:after="0" w:line="0" w:lineRule="atLeast"/>
        <w:rPr>
          <w:rStyle w:val="29"/>
          <w:rFonts w:ascii="仿宋" w:hAnsi="仿宋" w:eastAsia="仿宋"/>
          <w:b w:val="0"/>
          <w:bCs w:val="0"/>
        </w:rPr>
      </w:pPr>
      <w:bookmarkStart w:id="61" w:name="_Toc15396625"/>
      <w:r>
        <w:drawing>
          <wp:anchor distT="0" distB="0" distL="114300" distR="114300" simplePos="0" relativeHeight="251668480" behindDoc="0" locked="0" layoutInCell="1" allowOverlap="1">
            <wp:simplePos x="0" y="0"/>
            <wp:positionH relativeFrom="column">
              <wp:posOffset>535305</wp:posOffset>
            </wp:positionH>
            <wp:positionV relativeFrom="paragraph">
              <wp:posOffset>53975</wp:posOffset>
            </wp:positionV>
            <wp:extent cx="8223250" cy="5478780"/>
            <wp:effectExtent l="0" t="0" r="6350" b="7620"/>
            <wp:wrapNone/>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26"/>
                    <a:stretch>
                      <a:fillRect/>
                    </a:stretch>
                  </pic:blipFill>
                  <pic:spPr>
                    <a:xfrm>
                      <a:off x="0" y="0"/>
                      <a:ext cx="8223250" cy="5478780"/>
                    </a:xfrm>
                    <a:prstGeom prst="rect">
                      <a:avLst/>
                    </a:prstGeom>
                    <a:noFill/>
                    <a:ln>
                      <a:noFill/>
                    </a:ln>
                  </pic:spPr>
                </pic:pic>
              </a:graphicData>
            </a:graphic>
          </wp:anchor>
        </w:drawing>
      </w:r>
    </w:p>
    <w:p w14:paraId="0DE83F8A">
      <w:pPr>
        <w:pStyle w:val="4"/>
        <w:spacing w:before="0" w:after="0" w:line="0" w:lineRule="atLeast"/>
        <w:rPr>
          <w:rStyle w:val="29"/>
          <w:rFonts w:ascii="仿宋" w:hAnsi="仿宋" w:eastAsia="仿宋"/>
          <w:b w:val="0"/>
          <w:bCs w:val="0"/>
        </w:rPr>
      </w:pPr>
    </w:p>
    <w:p w14:paraId="1DE055B7">
      <w:pPr>
        <w:pStyle w:val="4"/>
        <w:spacing w:before="0" w:after="0" w:line="0" w:lineRule="atLeast"/>
        <w:rPr>
          <w:rStyle w:val="29"/>
          <w:rFonts w:ascii="仿宋" w:hAnsi="仿宋" w:eastAsia="仿宋"/>
          <w:b w:val="0"/>
          <w:bCs w:val="0"/>
        </w:rPr>
      </w:pPr>
    </w:p>
    <w:p w14:paraId="616D04FE">
      <w:pPr>
        <w:rPr>
          <w:rStyle w:val="29"/>
          <w:rFonts w:ascii="仿宋" w:hAnsi="仿宋" w:eastAsia="仿宋"/>
          <w:b w:val="0"/>
          <w:bCs w:val="0"/>
        </w:rPr>
      </w:pPr>
    </w:p>
    <w:p w14:paraId="360893F7">
      <w:pPr>
        <w:rPr>
          <w:rStyle w:val="29"/>
          <w:rFonts w:ascii="仿宋" w:hAnsi="仿宋" w:eastAsia="仿宋"/>
          <w:b w:val="0"/>
          <w:bCs w:val="0"/>
        </w:rPr>
      </w:pPr>
    </w:p>
    <w:p w14:paraId="3DC7FD1F">
      <w:pPr>
        <w:rPr>
          <w:rStyle w:val="29"/>
          <w:rFonts w:ascii="仿宋" w:hAnsi="仿宋" w:eastAsia="仿宋"/>
          <w:b w:val="0"/>
          <w:bCs w:val="0"/>
        </w:rPr>
      </w:pPr>
    </w:p>
    <w:p w14:paraId="375676E2">
      <w:pPr>
        <w:rPr>
          <w:rStyle w:val="29"/>
          <w:rFonts w:ascii="仿宋" w:hAnsi="仿宋" w:eastAsia="仿宋"/>
          <w:b w:val="0"/>
          <w:bCs w:val="0"/>
        </w:rPr>
      </w:pPr>
    </w:p>
    <w:p w14:paraId="7BE47A2D">
      <w:pPr>
        <w:rPr>
          <w:rStyle w:val="29"/>
          <w:rFonts w:ascii="仿宋" w:hAnsi="仿宋" w:eastAsia="仿宋"/>
          <w:b w:val="0"/>
          <w:bCs w:val="0"/>
        </w:rPr>
      </w:pPr>
    </w:p>
    <w:p w14:paraId="16300B2A">
      <w:pPr>
        <w:rPr>
          <w:rStyle w:val="29"/>
          <w:rFonts w:ascii="仿宋" w:hAnsi="仿宋" w:eastAsia="仿宋"/>
          <w:b w:val="0"/>
          <w:bCs w:val="0"/>
        </w:rPr>
      </w:pPr>
    </w:p>
    <w:p w14:paraId="0089F616">
      <w:pPr>
        <w:rPr>
          <w:rStyle w:val="29"/>
          <w:rFonts w:ascii="仿宋" w:hAnsi="仿宋" w:eastAsia="仿宋"/>
          <w:b w:val="0"/>
          <w:bCs w:val="0"/>
        </w:rPr>
      </w:pPr>
    </w:p>
    <w:p w14:paraId="76DBBF56">
      <w:pPr>
        <w:rPr>
          <w:rStyle w:val="29"/>
          <w:rFonts w:ascii="仿宋" w:hAnsi="仿宋" w:eastAsia="仿宋"/>
          <w:b w:val="0"/>
          <w:bCs w:val="0"/>
        </w:rPr>
      </w:pPr>
    </w:p>
    <w:p w14:paraId="5791AC65">
      <w:pPr>
        <w:rPr>
          <w:rStyle w:val="29"/>
          <w:rFonts w:ascii="仿宋" w:hAnsi="仿宋" w:eastAsia="仿宋"/>
          <w:b w:val="0"/>
          <w:bCs w:val="0"/>
        </w:rPr>
      </w:pPr>
    </w:p>
    <w:p w14:paraId="1EC822A3">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七、一般公共预算财政拨款支出决算明细表</w:t>
      </w:r>
      <w:bookmarkEnd w:id="61"/>
    </w:p>
    <w:p w14:paraId="08E4A76A">
      <w:pPr>
        <w:pStyle w:val="4"/>
        <w:spacing w:before="0" w:after="0" w:line="0" w:lineRule="atLeast"/>
        <w:rPr>
          <w:rStyle w:val="29"/>
          <w:rFonts w:ascii="仿宋" w:hAnsi="仿宋" w:eastAsia="仿宋"/>
          <w:b w:val="0"/>
          <w:bCs w:val="0"/>
        </w:rPr>
      </w:pPr>
      <w:bookmarkStart w:id="62" w:name="_Toc15396626"/>
    </w:p>
    <w:p w14:paraId="3745A407">
      <w:pPr>
        <w:pStyle w:val="4"/>
        <w:spacing w:before="0" w:after="0" w:line="0" w:lineRule="atLeast"/>
        <w:rPr>
          <w:rStyle w:val="29"/>
          <w:rFonts w:ascii="仿宋" w:hAnsi="仿宋" w:eastAsia="仿宋"/>
          <w:b w:val="0"/>
          <w:bCs w:val="0"/>
        </w:rPr>
      </w:pPr>
      <w:r>
        <w:drawing>
          <wp:anchor distT="0" distB="0" distL="114300" distR="114300" simplePos="0" relativeHeight="251669504" behindDoc="1" locked="0" layoutInCell="1" allowOverlap="1">
            <wp:simplePos x="0" y="0"/>
            <wp:positionH relativeFrom="column">
              <wp:posOffset>-605790</wp:posOffset>
            </wp:positionH>
            <wp:positionV relativeFrom="paragraph">
              <wp:posOffset>22225</wp:posOffset>
            </wp:positionV>
            <wp:extent cx="10288905" cy="4832985"/>
            <wp:effectExtent l="0" t="0" r="17145" b="5715"/>
            <wp:wrapNone/>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27"/>
                    <a:stretch>
                      <a:fillRect/>
                    </a:stretch>
                  </pic:blipFill>
                  <pic:spPr>
                    <a:xfrm>
                      <a:off x="0" y="0"/>
                      <a:ext cx="10288905" cy="4832985"/>
                    </a:xfrm>
                    <a:prstGeom prst="rect">
                      <a:avLst/>
                    </a:prstGeom>
                    <a:noFill/>
                    <a:ln>
                      <a:noFill/>
                    </a:ln>
                  </pic:spPr>
                </pic:pic>
              </a:graphicData>
            </a:graphic>
          </wp:anchor>
        </w:drawing>
      </w:r>
    </w:p>
    <w:p w14:paraId="08C45072">
      <w:pPr>
        <w:pStyle w:val="4"/>
        <w:spacing w:before="0" w:after="0" w:line="0" w:lineRule="atLeast"/>
        <w:rPr>
          <w:rStyle w:val="29"/>
          <w:rFonts w:ascii="仿宋" w:hAnsi="仿宋" w:eastAsia="仿宋"/>
          <w:b w:val="0"/>
          <w:bCs w:val="0"/>
        </w:rPr>
      </w:pPr>
    </w:p>
    <w:p w14:paraId="74C4AACB">
      <w:pPr>
        <w:pStyle w:val="4"/>
        <w:spacing w:before="0" w:after="0" w:line="0" w:lineRule="atLeast"/>
        <w:rPr>
          <w:rStyle w:val="29"/>
          <w:rFonts w:ascii="仿宋" w:hAnsi="仿宋" w:eastAsia="仿宋"/>
          <w:b w:val="0"/>
          <w:bCs w:val="0"/>
        </w:rPr>
      </w:pPr>
    </w:p>
    <w:p w14:paraId="49A75051">
      <w:pPr>
        <w:pStyle w:val="4"/>
        <w:spacing w:before="0" w:after="0" w:line="0" w:lineRule="atLeast"/>
        <w:rPr>
          <w:rStyle w:val="29"/>
          <w:rFonts w:ascii="仿宋" w:hAnsi="仿宋" w:eastAsia="仿宋"/>
          <w:b w:val="0"/>
          <w:bCs w:val="0"/>
        </w:rPr>
      </w:pPr>
    </w:p>
    <w:p w14:paraId="43CA35F9">
      <w:pPr>
        <w:pStyle w:val="4"/>
        <w:spacing w:before="0" w:after="0" w:line="0" w:lineRule="atLeast"/>
        <w:rPr>
          <w:rStyle w:val="29"/>
          <w:rFonts w:ascii="仿宋" w:hAnsi="仿宋" w:eastAsia="仿宋"/>
          <w:b w:val="0"/>
          <w:bCs w:val="0"/>
        </w:rPr>
      </w:pPr>
    </w:p>
    <w:p w14:paraId="6FD562E9">
      <w:pPr>
        <w:pStyle w:val="4"/>
        <w:spacing w:before="0" w:after="0" w:line="0" w:lineRule="atLeast"/>
        <w:rPr>
          <w:rStyle w:val="29"/>
          <w:rFonts w:ascii="仿宋" w:hAnsi="仿宋" w:eastAsia="仿宋"/>
          <w:b w:val="0"/>
          <w:bCs w:val="0"/>
        </w:rPr>
      </w:pPr>
    </w:p>
    <w:p w14:paraId="212840CE">
      <w:pPr>
        <w:pStyle w:val="4"/>
        <w:spacing w:before="0" w:after="0" w:line="0" w:lineRule="atLeast"/>
        <w:rPr>
          <w:rStyle w:val="29"/>
          <w:rFonts w:ascii="仿宋" w:hAnsi="仿宋" w:eastAsia="仿宋"/>
          <w:b w:val="0"/>
          <w:bCs w:val="0"/>
        </w:rPr>
      </w:pPr>
    </w:p>
    <w:p w14:paraId="1646B19F">
      <w:pPr>
        <w:pStyle w:val="4"/>
        <w:spacing w:before="0" w:after="0" w:line="0" w:lineRule="atLeast"/>
        <w:rPr>
          <w:rStyle w:val="29"/>
          <w:rFonts w:ascii="仿宋" w:hAnsi="仿宋" w:eastAsia="仿宋"/>
          <w:b w:val="0"/>
          <w:bCs w:val="0"/>
        </w:rPr>
      </w:pPr>
    </w:p>
    <w:p w14:paraId="6F3A792B">
      <w:pPr>
        <w:pStyle w:val="4"/>
        <w:spacing w:before="0" w:after="0" w:line="0" w:lineRule="atLeast"/>
        <w:rPr>
          <w:rStyle w:val="29"/>
          <w:rFonts w:ascii="仿宋" w:hAnsi="仿宋" w:eastAsia="仿宋"/>
          <w:b w:val="0"/>
          <w:bCs w:val="0"/>
        </w:rPr>
      </w:pPr>
    </w:p>
    <w:p w14:paraId="363A6C4B">
      <w:pPr>
        <w:pStyle w:val="4"/>
        <w:spacing w:before="0" w:after="0" w:line="0" w:lineRule="atLeast"/>
        <w:rPr>
          <w:rStyle w:val="29"/>
          <w:rFonts w:ascii="仿宋" w:hAnsi="仿宋" w:eastAsia="仿宋"/>
          <w:b w:val="0"/>
          <w:bCs w:val="0"/>
        </w:rPr>
      </w:pPr>
    </w:p>
    <w:p w14:paraId="10B7B3CB">
      <w:pPr>
        <w:pStyle w:val="4"/>
        <w:spacing w:before="0" w:after="0" w:line="0" w:lineRule="atLeast"/>
        <w:rPr>
          <w:rStyle w:val="29"/>
          <w:rFonts w:ascii="仿宋" w:hAnsi="仿宋" w:eastAsia="仿宋"/>
          <w:b w:val="0"/>
          <w:bCs w:val="0"/>
        </w:rPr>
      </w:pPr>
    </w:p>
    <w:p w14:paraId="17DAAF73">
      <w:pPr>
        <w:pStyle w:val="4"/>
        <w:spacing w:before="0" w:after="0" w:line="0" w:lineRule="atLeast"/>
        <w:rPr>
          <w:rStyle w:val="29"/>
          <w:rFonts w:ascii="仿宋" w:hAnsi="仿宋" w:eastAsia="仿宋"/>
          <w:b w:val="0"/>
          <w:bCs w:val="0"/>
        </w:rPr>
      </w:pPr>
    </w:p>
    <w:p w14:paraId="4E11DCFD">
      <w:pPr>
        <w:pStyle w:val="4"/>
        <w:spacing w:before="0" w:after="0" w:line="0" w:lineRule="atLeast"/>
        <w:rPr>
          <w:rStyle w:val="29"/>
          <w:rFonts w:ascii="仿宋" w:hAnsi="仿宋" w:eastAsia="仿宋"/>
          <w:b w:val="0"/>
          <w:bCs w:val="0"/>
        </w:rPr>
      </w:pPr>
    </w:p>
    <w:p w14:paraId="08C9D987">
      <w:pPr>
        <w:pStyle w:val="4"/>
        <w:spacing w:before="0" w:after="0" w:line="0" w:lineRule="atLeast"/>
        <w:rPr>
          <w:rStyle w:val="29"/>
          <w:rFonts w:ascii="仿宋" w:hAnsi="仿宋" w:eastAsia="仿宋"/>
          <w:b w:val="0"/>
          <w:bCs w:val="0"/>
        </w:rPr>
      </w:pPr>
    </w:p>
    <w:p w14:paraId="10D687FA">
      <w:pPr>
        <w:pStyle w:val="4"/>
        <w:spacing w:before="0" w:after="0" w:line="0" w:lineRule="atLeast"/>
        <w:rPr>
          <w:rStyle w:val="29"/>
          <w:rFonts w:ascii="仿宋" w:hAnsi="仿宋" w:eastAsia="仿宋"/>
          <w:b w:val="0"/>
          <w:bCs w:val="0"/>
        </w:rPr>
      </w:pPr>
    </w:p>
    <w:p w14:paraId="692D6754">
      <w:pPr>
        <w:pStyle w:val="4"/>
        <w:spacing w:before="0" w:after="0" w:line="0" w:lineRule="atLeast"/>
        <w:rPr>
          <w:rStyle w:val="29"/>
          <w:rFonts w:ascii="仿宋" w:hAnsi="仿宋" w:eastAsia="仿宋"/>
          <w:b w:val="0"/>
          <w:bCs w:val="0"/>
        </w:rPr>
      </w:pPr>
    </w:p>
    <w:p w14:paraId="541D8520">
      <w:pPr>
        <w:pStyle w:val="4"/>
        <w:spacing w:before="0" w:after="0" w:line="0" w:lineRule="atLeast"/>
        <w:rPr>
          <w:rStyle w:val="29"/>
          <w:rFonts w:ascii="仿宋" w:hAnsi="仿宋" w:eastAsia="仿宋"/>
          <w:b w:val="0"/>
          <w:bCs w:val="0"/>
        </w:rPr>
      </w:pPr>
    </w:p>
    <w:p w14:paraId="5340E521">
      <w:pPr>
        <w:pStyle w:val="4"/>
        <w:spacing w:before="0" w:after="0" w:line="0" w:lineRule="atLeast"/>
        <w:rPr>
          <w:rStyle w:val="29"/>
          <w:rFonts w:ascii="仿宋" w:hAnsi="仿宋" w:eastAsia="仿宋"/>
          <w:b w:val="0"/>
          <w:bCs w:val="0"/>
        </w:rPr>
      </w:pPr>
    </w:p>
    <w:p w14:paraId="36195650"/>
    <w:p w14:paraId="469228D1">
      <w:pPr>
        <w:pStyle w:val="2"/>
        <w:spacing w:before="93"/>
      </w:pPr>
    </w:p>
    <w:p w14:paraId="7B74263F">
      <w:pPr>
        <w:pStyle w:val="2"/>
        <w:spacing w:before="93"/>
      </w:pPr>
      <w:r>
        <w:drawing>
          <wp:anchor distT="0" distB="0" distL="114300" distR="114300" simplePos="0" relativeHeight="251669504" behindDoc="1" locked="0" layoutInCell="1" allowOverlap="1">
            <wp:simplePos x="0" y="0"/>
            <wp:positionH relativeFrom="column">
              <wp:posOffset>-494030</wp:posOffset>
            </wp:positionH>
            <wp:positionV relativeFrom="paragraph">
              <wp:posOffset>291465</wp:posOffset>
            </wp:positionV>
            <wp:extent cx="9908540" cy="4891405"/>
            <wp:effectExtent l="0" t="0" r="16510" b="4445"/>
            <wp:wrapNone/>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28"/>
                    <a:stretch>
                      <a:fillRect/>
                    </a:stretch>
                  </pic:blipFill>
                  <pic:spPr>
                    <a:xfrm>
                      <a:off x="0" y="0"/>
                      <a:ext cx="9908540" cy="4891405"/>
                    </a:xfrm>
                    <a:prstGeom prst="rect">
                      <a:avLst/>
                    </a:prstGeom>
                    <a:noFill/>
                    <a:ln>
                      <a:noFill/>
                    </a:ln>
                  </pic:spPr>
                </pic:pic>
              </a:graphicData>
            </a:graphic>
          </wp:anchor>
        </w:drawing>
      </w:r>
    </w:p>
    <w:p w14:paraId="76667E8B"/>
    <w:p w14:paraId="56043227"/>
    <w:p w14:paraId="0BD5FB35"/>
    <w:p w14:paraId="68AAB823"/>
    <w:p w14:paraId="4D4D9D3B"/>
    <w:p w14:paraId="0B5D9754"/>
    <w:p w14:paraId="26F33819"/>
    <w:p w14:paraId="1D3DA155"/>
    <w:p w14:paraId="584E07AD"/>
    <w:p w14:paraId="440BBB0D"/>
    <w:p w14:paraId="3F4AD716"/>
    <w:p w14:paraId="7A45A67D"/>
    <w:p w14:paraId="0A13739B"/>
    <w:p w14:paraId="1C19D2A8"/>
    <w:p w14:paraId="22511BFE"/>
    <w:p w14:paraId="56E702DF"/>
    <w:p w14:paraId="611BA641"/>
    <w:p w14:paraId="30D81DC5"/>
    <w:p w14:paraId="17C6E391"/>
    <w:p w14:paraId="6201074A"/>
    <w:p w14:paraId="3623A1A5"/>
    <w:p w14:paraId="543D8DC2"/>
    <w:p w14:paraId="0A348842"/>
    <w:p w14:paraId="66790DF5"/>
    <w:p w14:paraId="366BD914"/>
    <w:p w14:paraId="75642538"/>
    <w:p w14:paraId="3E7E8019">
      <w:pPr>
        <w:tabs>
          <w:tab w:val="left" w:pos="8105"/>
        </w:tabs>
        <w:jc w:val="left"/>
      </w:pPr>
      <w:r>
        <w:rPr>
          <w:rFonts w:hint="eastAsia"/>
        </w:rPr>
        <w:tab/>
      </w:r>
    </w:p>
    <w:p w14:paraId="318891E8">
      <w:pPr>
        <w:pStyle w:val="2"/>
        <w:spacing w:before="93"/>
      </w:pPr>
      <w:r>
        <w:drawing>
          <wp:anchor distT="0" distB="0" distL="114300" distR="114300" simplePos="0" relativeHeight="251670528" behindDoc="1" locked="0" layoutInCell="1" allowOverlap="1">
            <wp:simplePos x="0" y="0"/>
            <wp:positionH relativeFrom="column">
              <wp:posOffset>-451485</wp:posOffset>
            </wp:positionH>
            <wp:positionV relativeFrom="paragraph">
              <wp:posOffset>374650</wp:posOffset>
            </wp:positionV>
            <wp:extent cx="9806940" cy="4739005"/>
            <wp:effectExtent l="0" t="0" r="3810" b="4445"/>
            <wp:wrapNone/>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29"/>
                    <a:stretch>
                      <a:fillRect/>
                    </a:stretch>
                  </pic:blipFill>
                  <pic:spPr>
                    <a:xfrm>
                      <a:off x="0" y="0"/>
                      <a:ext cx="9806940" cy="4739005"/>
                    </a:xfrm>
                    <a:prstGeom prst="rect">
                      <a:avLst/>
                    </a:prstGeom>
                    <a:noFill/>
                    <a:ln>
                      <a:noFill/>
                    </a:ln>
                  </pic:spPr>
                </pic:pic>
              </a:graphicData>
            </a:graphic>
          </wp:anchor>
        </w:drawing>
      </w:r>
    </w:p>
    <w:p w14:paraId="43E02FF3"/>
    <w:p w14:paraId="61326198"/>
    <w:p w14:paraId="482D35A2"/>
    <w:p w14:paraId="6CD0C57B"/>
    <w:p w14:paraId="720C0D18"/>
    <w:p w14:paraId="6DC4174B"/>
    <w:p w14:paraId="1DDA2672"/>
    <w:p w14:paraId="6E08C6EE"/>
    <w:p w14:paraId="7D6581AB"/>
    <w:p w14:paraId="7E4067E4"/>
    <w:p w14:paraId="34E4502C"/>
    <w:p w14:paraId="78E2661F"/>
    <w:p w14:paraId="108B6409"/>
    <w:p w14:paraId="30C6A74C"/>
    <w:p w14:paraId="3747A594"/>
    <w:p w14:paraId="0E85D97B"/>
    <w:p w14:paraId="1E8E5DD4"/>
    <w:p w14:paraId="20CE5B10"/>
    <w:p w14:paraId="7E3ED717"/>
    <w:p w14:paraId="6E7403E2"/>
    <w:p w14:paraId="04FFF3EF"/>
    <w:p w14:paraId="762153EE"/>
    <w:p w14:paraId="281B7F70"/>
    <w:p w14:paraId="3A824798"/>
    <w:p w14:paraId="159AF5C3">
      <w:pPr>
        <w:ind w:firstLine="291"/>
        <w:jc w:val="left"/>
      </w:pPr>
    </w:p>
    <w:p w14:paraId="3CA5C74B">
      <w:pPr>
        <w:pStyle w:val="2"/>
        <w:spacing w:before="93"/>
      </w:pPr>
    </w:p>
    <w:p w14:paraId="1F37DF17">
      <w:pPr>
        <w:pStyle w:val="2"/>
        <w:spacing w:before="93"/>
      </w:pPr>
    </w:p>
    <w:p w14:paraId="168C1CFE">
      <w:r>
        <w:drawing>
          <wp:anchor distT="0" distB="0" distL="114300" distR="114300" simplePos="0" relativeHeight="251671552" behindDoc="1" locked="0" layoutInCell="1" allowOverlap="1">
            <wp:simplePos x="0" y="0"/>
            <wp:positionH relativeFrom="column">
              <wp:posOffset>-393700</wp:posOffset>
            </wp:positionH>
            <wp:positionV relativeFrom="paragraph">
              <wp:posOffset>45085</wp:posOffset>
            </wp:positionV>
            <wp:extent cx="9510395" cy="4641850"/>
            <wp:effectExtent l="0" t="0" r="14605" b="6350"/>
            <wp:wrapNone/>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30"/>
                    <a:stretch>
                      <a:fillRect/>
                    </a:stretch>
                  </pic:blipFill>
                  <pic:spPr>
                    <a:xfrm>
                      <a:off x="0" y="0"/>
                      <a:ext cx="9510395" cy="4641850"/>
                    </a:xfrm>
                    <a:prstGeom prst="rect">
                      <a:avLst/>
                    </a:prstGeom>
                    <a:noFill/>
                    <a:ln>
                      <a:noFill/>
                    </a:ln>
                  </pic:spPr>
                </pic:pic>
              </a:graphicData>
            </a:graphic>
          </wp:anchor>
        </w:drawing>
      </w:r>
    </w:p>
    <w:p w14:paraId="77437DBC"/>
    <w:p w14:paraId="14CA9CA4"/>
    <w:p w14:paraId="4A455F33"/>
    <w:p w14:paraId="2A66AE15"/>
    <w:p w14:paraId="13983DCE"/>
    <w:p w14:paraId="66767868"/>
    <w:p w14:paraId="47EBA04D"/>
    <w:p w14:paraId="09911DBB"/>
    <w:p w14:paraId="235F827C"/>
    <w:p w14:paraId="56404EA2"/>
    <w:p w14:paraId="09396A23"/>
    <w:p w14:paraId="591B919A"/>
    <w:p w14:paraId="6D548F1D"/>
    <w:p w14:paraId="4C966B6C"/>
    <w:p w14:paraId="54526E1D"/>
    <w:p w14:paraId="5493A4AA"/>
    <w:p w14:paraId="00575346"/>
    <w:p w14:paraId="70607341"/>
    <w:p w14:paraId="4F254EDD"/>
    <w:p w14:paraId="3471206A"/>
    <w:p w14:paraId="2A4F3408"/>
    <w:p w14:paraId="754CB6A0"/>
    <w:p w14:paraId="376019F4"/>
    <w:p w14:paraId="0A02728A"/>
    <w:p w14:paraId="1C7FE0E2"/>
    <w:p w14:paraId="5B4585FA">
      <w:pPr>
        <w:ind w:firstLine="373"/>
        <w:jc w:val="left"/>
      </w:pPr>
    </w:p>
    <w:p w14:paraId="2C3BD482">
      <w:pPr>
        <w:pStyle w:val="2"/>
        <w:spacing w:before="93"/>
      </w:pPr>
      <w:r>
        <w:drawing>
          <wp:anchor distT="0" distB="0" distL="114300" distR="114300" simplePos="0" relativeHeight="251672576" behindDoc="1" locked="0" layoutInCell="1" allowOverlap="1">
            <wp:simplePos x="0" y="0"/>
            <wp:positionH relativeFrom="column">
              <wp:posOffset>-554355</wp:posOffset>
            </wp:positionH>
            <wp:positionV relativeFrom="paragraph">
              <wp:posOffset>314960</wp:posOffset>
            </wp:positionV>
            <wp:extent cx="9942195" cy="5003165"/>
            <wp:effectExtent l="0" t="0" r="1905" b="6985"/>
            <wp:wrapNone/>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31"/>
                    <a:stretch>
                      <a:fillRect/>
                    </a:stretch>
                  </pic:blipFill>
                  <pic:spPr>
                    <a:xfrm>
                      <a:off x="0" y="0"/>
                      <a:ext cx="9942195" cy="5003165"/>
                    </a:xfrm>
                    <a:prstGeom prst="rect">
                      <a:avLst/>
                    </a:prstGeom>
                    <a:noFill/>
                    <a:ln>
                      <a:noFill/>
                    </a:ln>
                  </pic:spPr>
                </pic:pic>
              </a:graphicData>
            </a:graphic>
          </wp:anchor>
        </w:drawing>
      </w:r>
    </w:p>
    <w:p w14:paraId="778E5269"/>
    <w:p w14:paraId="557E8420"/>
    <w:p w14:paraId="30735C6B"/>
    <w:p w14:paraId="2C7E34BE"/>
    <w:p w14:paraId="5BDF4DDE"/>
    <w:p w14:paraId="3EB81B5F"/>
    <w:p w14:paraId="5069D16E"/>
    <w:p w14:paraId="21B921B6"/>
    <w:p w14:paraId="1EB96756"/>
    <w:p w14:paraId="60A73232"/>
    <w:p w14:paraId="4267C565"/>
    <w:p w14:paraId="6AE55E98"/>
    <w:p w14:paraId="2C61A65C"/>
    <w:p w14:paraId="3ECCBA64"/>
    <w:p w14:paraId="270FB47A"/>
    <w:p w14:paraId="5B2CBD08"/>
    <w:p w14:paraId="24007F5C"/>
    <w:p w14:paraId="79448D44"/>
    <w:p w14:paraId="2D0F349D"/>
    <w:p w14:paraId="00EA08D1"/>
    <w:p w14:paraId="330C6F76"/>
    <w:p w14:paraId="32A6E8BA"/>
    <w:p w14:paraId="6F2FFAF0"/>
    <w:p w14:paraId="322DABC5"/>
    <w:p w14:paraId="090248D0"/>
    <w:p w14:paraId="4F527DD0"/>
    <w:p w14:paraId="1F58F607">
      <w:pPr>
        <w:jc w:val="left"/>
      </w:pPr>
    </w:p>
    <w:p w14:paraId="4751318B">
      <w:pPr>
        <w:pStyle w:val="2"/>
        <w:spacing w:before="93"/>
      </w:pPr>
    </w:p>
    <w:p w14:paraId="70F47E02">
      <w:r>
        <w:drawing>
          <wp:anchor distT="0" distB="0" distL="114300" distR="114300" simplePos="0" relativeHeight="251673600" behindDoc="1" locked="0" layoutInCell="1" allowOverlap="1">
            <wp:simplePos x="0" y="0"/>
            <wp:positionH relativeFrom="column">
              <wp:posOffset>-353695</wp:posOffset>
            </wp:positionH>
            <wp:positionV relativeFrom="paragraph">
              <wp:posOffset>51435</wp:posOffset>
            </wp:positionV>
            <wp:extent cx="9642475" cy="4457700"/>
            <wp:effectExtent l="0" t="0" r="15875" b="0"/>
            <wp:wrapNone/>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
                    <pic:cNvPicPr>
                      <a:picLocks noChangeAspect="1"/>
                    </pic:cNvPicPr>
                  </pic:nvPicPr>
                  <pic:blipFill>
                    <a:blip r:embed="rId32"/>
                    <a:stretch>
                      <a:fillRect/>
                    </a:stretch>
                  </pic:blipFill>
                  <pic:spPr>
                    <a:xfrm>
                      <a:off x="0" y="0"/>
                      <a:ext cx="9642475" cy="4457700"/>
                    </a:xfrm>
                    <a:prstGeom prst="rect">
                      <a:avLst/>
                    </a:prstGeom>
                    <a:noFill/>
                    <a:ln>
                      <a:noFill/>
                    </a:ln>
                  </pic:spPr>
                </pic:pic>
              </a:graphicData>
            </a:graphic>
          </wp:anchor>
        </w:drawing>
      </w:r>
    </w:p>
    <w:p w14:paraId="52336761"/>
    <w:p w14:paraId="05521A9F"/>
    <w:p w14:paraId="392A7A22"/>
    <w:p w14:paraId="53C70553"/>
    <w:p w14:paraId="04FEB496"/>
    <w:p w14:paraId="4B8FE5C0"/>
    <w:p w14:paraId="7AC4F024"/>
    <w:p w14:paraId="0DEF4F20"/>
    <w:p w14:paraId="6E9BDED8"/>
    <w:p w14:paraId="05588C1F"/>
    <w:p w14:paraId="1201A2A6"/>
    <w:p w14:paraId="04CFA5E5"/>
    <w:p w14:paraId="2FE1F4DA"/>
    <w:p w14:paraId="236344C8"/>
    <w:p w14:paraId="34497868"/>
    <w:p w14:paraId="7CCD2027"/>
    <w:p w14:paraId="53A257E3"/>
    <w:p w14:paraId="0722F2D6"/>
    <w:p w14:paraId="3D8F16F2"/>
    <w:p w14:paraId="5E192AA5"/>
    <w:p w14:paraId="6FB8C00C"/>
    <w:p w14:paraId="419062A7"/>
    <w:p w14:paraId="38E602D9"/>
    <w:p w14:paraId="5190D277"/>
    <w:p w14:paraId="4786BC6E"/>
    <w:p w14:paraId="6F6A2C77">
      <w:pPr>
        <w:ind w:firstLine="223"/>
        <w:jc w:val="left"/>
      </w:pPr>
    </w:p>
    <w:p w14:paraId="45605565">
      <w:pPr>
        <w:pStyle w:val="2"/>
        <w:spacing w:before="93"/>
      </w:pPr>
      <w:r>
        <w:drawing>
          <wp:anchor distT="0" distB="0" distL="114300" distR="114300" simplePos="0" relativeHeight="251674624" behindDoc="1" locked="0" layoutInCell="1" allowOverlap="1">
            <wp:simplePos x="0" y="0"/>
            <wp:positionH relativeFrom="column">
              <wp:posOffset>-539750</wp:posOffset>
            </wp:positionH>
            <wp:positionV relativeFrom="paragraph">
              <wp:posOffset>222250</wp:posOffset>
            </wp:positionV>
            <wp:extent cx="10077450" cy="4938395"/>
            <wp:effectExtent l="0" t="0" r="0" b="14605"/>
            <wp:wrapNone/>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33"/>
                    <a:stretch>
                      <a:fillRect/>
                    </a:stretch>
                  </pic:blipFill>
                  <pic:spPr>
                    <a:xfrm>
                      <a:off x="0" y="0"/>
                      <a:ext cx="10077450" cy="4938395"/>
                    </a:xfrm>
                    <a:prstGeom prst="rect">
                      <a:avLst/>
                    </a:prstGeom>
                    <a:noFill/>
                    <a:ln>
                      <a:noFill/>
                    </a:ln>
                  </pic:spPr>
                </pic:pic>
              </a:graphicData>
            </a:graphic>
          </wp:anchor>
        </w:drawing>
      </w:r>
    </w:p>
    <w:p w14:paraId="6A0AE216"/>
    <w:p w14:paraId="052EF166"/>
    <w:p w14:paraId="2D072D3C"/>
    <w:p w14:paraId="42EFF190"/>
    <w:p w14:paraId="22914A28"/>
    <w:p w14:paraId="74806EFD"/>
    <w:p w14:paraId="2931CB0F"/>
    <w:p w14:paraId="610A535B"/>
    <w:p w14:paraId="486AF358"/>
    <w:p w14:paraId="0A644273"/>
    <w:p w14:paraId="238CB839"/>
    <w:p w14:paraId="1E70C4A4"/>
    <w:p w14:paraId="04A4FAA4"/>
    <w:p w14:paraId="7774DA2B"/>
    <w:p w14:paraId="28C292A7"/>
    <w:p w14:paraId="06EE879F"/>
    <w:p w14:paraId="42598070"/>
    <w:p w14:paraId="363DCF24"/>
    <w:p w14:paraId="79377E4E"/>
    <w:p w14:paraId="4B4B8D77"/>
    <w:p w14:paraId="463BE5E1"/>
    <w:p w14:paraId="2C7D2A0E"/>
    <w:p w14:paraId="7B32D5B9"/>
    <w:p w14:paraId="67EEC099"/>
    <w:p w14:paraId="17357980"/>
    <w:p w14:paraId="0B3B6E6D"/>
    <w:p w14:paraId="6F5315AB">
      <w:pPr>
        <w:ind w:firstLine="264"/>
        <w:jc w:val="left"/>
      </w:pPr>
    </w:p>
    <w:p w14:paraId="1D194533">
      <w:pPr>
        <w:pStyle w:val="2"/>
        <w:spacing w:before="93"/>
      </w:pPr>
      <w:r>
        <w:drawing>
          <wp:anchor distT="0" distB="0" distL="114300" distR="114300" simplePos="0" relativeHeight="251675648" behindDoc="1" locked="0" layoutInCell="1" allowOverlap="1">
            <wp:simplePos x="0" y="0"/>
            <wp:positionH relativeFrom="column">
              <wp:posOffset>-372745</wp:posOffset>
            </wp:positionH>
            <wp:positionV relativeFrom="paragraph">
              <wp:posOffset>20955</wp:posOffset>
            </wp:positionV>
            <wp:extent cx="9744710" cy="4961255"/>
            <wp:effectExtent l="0" t="0" r="8890" b="10795"/>
            <wp:wrapNone/>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34"/>
                    <a:stretch>
                      <a:fillRect/>
                    </a:stretch>
                  </pic:blipFill>
                  <pic:spPr>
                    <a:xfrm>
                      <a:off x="0" y="0"/>
                      <a:ext cx="9744710" cy="4961255"/>
                    </a:xfrm>
                    <a:prstGeom prst="rect">
                      <a:avLst/>
                    </a:prstGeom>
                    <a:noFill/>
                    <a:ln>
                      <a:noFill/>
                    </a:ln>
                  </pic:spPr>
                </pic:pic>
              </a:graphicData>
            </a:graphic>
          </wp:anchor>
        </w:drawing>
      </w:r>
    </w:p>
    <w:p w14:paraId="0AAE6361"/>
    <w:p w14:paraId="5A1DE8C7"/>
    <w:p w14:paraId="2A5C8978"/>
    <w:p w14:paraId="265DA621"/>
    <w:p w14:paraId="437F556C"/>
    <w:p w14:paraId="061C5F2A"/>
    <w:p w14:paraId="54A99140"/>
    <w:p w14:paraId="460D17AC"/>
    <w:p w14:paraId="512117B5"/>
    <w:p w14:paraId="419E5B9E"/>
    <w:p w14:paraId="0711896D"/>
    <w:p w14:paraId="525C2CDF"/>
    <w:p w14:paraId="7F3ED1AD"/>
    <w:p w14:paraId="5DE54FAC"/>
    <w:p w14:paraId="63CFA9A3"/>
    <w:p w14:paraId="3A643A7A"/>
    <w:p w14:paraId="76A875EC"/>
    <w:p w14:paraId="7BD7B82E"/>
    <w:p w14:paraId="682D19A4"/>
    <w:p w14:paraId="43A7EA4E"/>
    <w:p w14:paraId="75791729"/>
    <w:p w14:paraId="5188A9A1"/>
    <w:p w14:paraId="2E237F1F"/>
    <w:p w14:paraId="5F0EBCA3"/>
    <w:p w14:paraId="66C9D332"/>
    <w:p w14:paraId="7AFBC57E"/>
    <w:p w14:paraId="3DFC52B7">
      <w:pPr>
        <w:ind w:firstLine="332"/>
        <w:jc w:val="left"/>
      </w:pPr>
    </w:p>
    <w:p w14:paraId="2C1EBAAB">
      <w:pPr>
        <w:pStyle w:val="2"/>
        <w:spacing w:before="93"/>
      </w:pPr>
      <w:r>
        <w:drawing>
          <wp:anchor distT="0" distB="0" distL="114300" distR="114300" simplePos="0" relativeHeight="251676672" behindDoc="1" locked="0" layoutInCell="1" allowOverlap="1">
            <wp:simplePos x="0" y="0"/>
            <wp:positionH relativeFrom="column">
              <wp:posOffset>-398780</wp:posOffset>
            </wp:positionH>
            <wp:positionV relativeFrom="paragraph">
              <wp:posOffset>11430</wp:posOffset>
            </wp:positionV>
            <wp:extent cx="9935210" cy="5076190"/>
            <wp:effectExtent l="0" t="0" r="8890" b="10160"/>
            <wp:wrapNone/>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pic:cNvPicPr>
                  </pic:nvPicPr>
                  <pic:blipFill>
                    <a:blip r:embed="rId35"/>
                    <a:stretch>
                      <a:fillRect/>
                    </a:stretch>
                  </pic:blipFill>
                  <pic:spPr>
                    <a:xfrm>
                      <a:off x="0" y="0"/>
                      <a:ext cx="9935210" cy="5076190"/>
                    </a:xfrm>
                    <a:prstGeom prst="rect">
                      <a:avLst/>
                    </a:prstGeom>
                    <a:noFill/>
                    <a:ln>
                      <a:noFill/>
                    </a:ln>
                  </pic:spPr>
                </pic:pic>
              </a:graphicData>
            </a:graphic>
          </wp:anchor>
        </w:drawing>
      </w:r>
    </w:p>
    <w:p w14:paraId="48B9EF00"/>
    <w:p w14:paraId="50FAACFA"/>
    <w:p w14:paraId="1D851B9C"/>
    <w:p w14:paraId="5B6C8658"/>
    <w:p w14:paraId="46AD4E7D"/>
    <w:p w14:paraId="068EE7F5"/>
    <w:p w14:paraId="578464A0"/>
    <w:p w14:paraId="70F556E4"/>
    <w:p w14:paraId="787B6449"/>
    <w:p w14:paraId="54CD4780"/>
    <w:p w14:paraId="61FA9A38"/>
    <w:p w14:paraId="7F4D4B57"/>
    <w:p w14:paraId="4680DE6A"/>
    <w:p w14:paraId="40844647"/>
    <w:p w14:paraId="43F8B3CF"/>
    <w:p w14:paraId="0C8A4A92"/>
    <w:p w14:paraId="6D2B0EE8"/>
    <w:p w14:paraId="795456AA"/>
    <w:p w14:paraId="5907E394"/>
    <w:p w14:paraId="4DAA33C8"/>
    <w:p w14:paraId="76869A1E"/>
    <w:p w14:paraId="75A17532"/>
    <w:p w14:paraId="748EBF90"/>
    <w:p w14:paraId="42A5703F"/>
    <w:p w14:paraId="6037586B"/>
    <w:p w14:paraId="75033184"/>
    <w:p w14:paraId="33D9A06E">
      <w:pPr>
        <w:jc w:val="left"/>
      </w:pPr>
    </w:p>
    <w:p w14:paraId="73AB4798">
      <w:pPr>
        <w:pStyle w:val="2"/>
        <w:spacing w:before="93"/>
      </w:pPr>
      <w:r>
        <w:drawing>
          <wp:anchor distT="0" distB="0" distL="114300" distR="114300" simplePos="0" relativeHeight="251677696" behindDoc="1" locked="0" layoutInCell="1" allowOverlap="1">
            <wp:simplePos x="0" y="0"/>
            <wp:positionH relativeFrom="column">
              <wp:posOffset>-580390</wp:posOffset>
            </wp:positionH>
            <wp:positionV relativeFrom="paragraph">
              <wp:posOffset>209550</wp:posOffset>
            </wp:positionV>
            <wp:extent cx="9949815" cy="4893945"/>
            <wp:effectExtent l="0" t="0" r="13335" b="1905"/>
            <wp:wrapNone/>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36"/>
                    <a:stretch>
                      <a:fillRect/>
                    </a:stretch>
                  </pic:blipFill>
                  <pic:spPr>
                    <a:xfrm>
                      <a:off x="0" y="0"/>
                      <a:ext cx="9949815" cy="4893945"/>
                    </a:xfrm>
                    <a:prstGeom prst="rect">
                      <a:avLst/>
                    </a:prstGeom>
                    <a:noFill/>
                    <a:ln>
                      <a:noFill/>
                    </a:ln>
                  </pic:spPr>
                </pic:pic>
              </a:graphicData>
            </a:graphic>
          </wp:anchor>
        </w:drawing>
      </w:r>
    </w:p>
    <w:p w14:paraId="267ED153"/>
    <w:p w14:paraId="6EDA232B"/>
    <w:p w14:paraId="6E26642B"/>
    <w:p w14:paraId="5B286CAC"/>
    <w:p w14:paraId="53DC6DE5"/>
    <w:p w14:paraId="53238326"/>
    <w:p w14:paraId="5519D09C"/>
    <w:p w14:paraId="56EC89DB"/>
    <w:p w14:paraId="1CD2070A"/>
    <w:p w14:paraId="0B8056C9"/>
    <w:p w14:paraId="7FE6E94C"/>
    <w:p w14:paraId="0442D818"/>
    <w:p w14:paraId="29848F4F"/>
    <w:p w14:paraId="73AB86B5"/>
    <w:p w14:paraId="03E12F85"/>
    <w:p w14:paraId="79C0F049"/>
    <w:p w14:paraId="7E18F3E7"/>
    <w:p w14:paraId="0C9DF750"/>
    <w:p w14:paraId="232BD02B"/>
    <w:p w14:paraId="7A86DA9C"/>
    <w:p w14:paraId="55BA11BF"/>
    <w:p w14:paraId="31BA011E"/>
    <w:p w14:paraId="5DB1CB7C"/>
    <w:p w14:paraId="510C1EA3"/>
    <w:p w14:paraId="5FDD8A1A"/>
    <w:p w14:paraId="61F5763B"/>
    <w:p w14:paraId="0B7FB4A1">
      <w:pPr>
        <w:jc w:val="left"/>
      </w:pPr>
    </w:p>
    <w:p w14:paraId="4C787711">
      <w:pPr>
        <w:pStyle w:val="2"/>
        <w:spacing w:before="93"/>
      </w:pPr>
      <w:r>
        <w:drawing>
          <wp:anchor distT="0" distB="0" distL="114300" distR="114300" simplePos="0" relativeHeight="251678720" behindDoc="1" locked="0" layoutInCell="1" allowOverlap="1">
            <wp:simplePos x="0" y="0"/>
            <wp:positionH relativeFrom="column">
              <wp:posOffset>-450850</wp:posOffset>
            </wp:positionH>
            <wp:positionV relativeFrom="paragraph">
              <wp:posOffset>-2540</wp:posOffset>
            </wp:positionV>
            <wp:extent cx="9984740" cy="5001895"/>
            <wp:effectExtent l="0" t="0" r="16510" b="8255"/>
            <wp:wrapNone/>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pic:cNvPicPr>
                      <a:picLocks noChangeAspect="1"/>
                    </pic:cNvPicPr>
                  </pic:nvPicPr>
                  <pic:blipFill>
                    <a:blip r:embed="rId37"/>
                    <a:stretch>
                      <a:fillRect/>
                    </a:stretch>
                  </pic:blipFill>
                  <pic:spPr>
                    <a:xfrm>
                      <a:off x="0" y="0"/>
                      <a:ext cx="9984740" cy="5001895"/>
                    </a:xfrm>
                    <a:prstGeom prst="rect">
                      <a:avLst/>
                    </a:prstGeom>
                    <a:noFill/>
                    <a:ln>
                      <a:noFill/>
                    </a:ln>
                  </pic:spPr>
                </pic:pic>
              </a:graphicData>
            </a:graphic>
          </wp:anchor>
        </w:drawing>
      </w:r>
    </w:p>
    <w:p w14:paraId="2650AC49"/>
    <w:p w14:paraId="0E3C4520"/>
    <w:p w14:paraId="21DFD522"/>
    <w:p w14:paraId="63F320F8"/>
    <w:p w14:paraId="3812DCA3"/>
    <w:p w14:paraId="04A2564B"/>
    <w:p w14:paraId="4BE499F1"/>
    <w:p w14:paraId="7E0F0581"/>
    <w:p w14:paraId="43BDFC40"/>
    <w:p w14:paraId="0CD0A71D"/>
    <w:p w14:paraId="49B5433D"/>
    <w:p w14:paraId="0175FAC5"/>
    <w:p w14:paraId="6A6F572A"/>
    <w:p w14:paraId="34317F06"/>
    <w:p w14:paraId="59F6F04F"/>
    <w:p w14:paraId="727C83DF"/>
    <w:p w14:paraId="340B8FA5"/>
    <w:p w14:paraId="7CFF7708"/>
    <w:p w14:paraId="2DB7A7E3"/>
    <w:p w14:paraId="3112BD5E"/>
    <w:p w14:paraId="2571F7FE"/>
    <w:p w14:paraId="31175834"/>
    <w:p w14:paraId="695DD710"/>
    <w:p w14:paraId="7CF574B8"/>
    <w:p w14:paraId="4D25DF2C"/>
    <w:p w14:paraId="0E5C8021">
      <w:pPr>
        <w:pStyle w:val="2"/>
        <w:spacing w:before="93"/>
      </w:pPr>
    </w:p>
    <w:p w14:paraId="45011933">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八、一般公共预算财政拨款基本支出决算表</w:t>
      </w:r>
      <w:bookmarkEnd w:id="62"/>
      <w:bookmarkStart w:id="63" w:name="_Toc15396627"/>
    </w:p>
    <w:p w14:paraId="5DEF08E9">
      <w:pPr>
        <w:pStyle w:val="4"/>
        <w:spacing w:before="0" w:after="0" w:line="0" w:lineRule="atLeast"/>
        <w:rPr>
          <w:rStyle w:val="29"/>
          <w:rFonts w:ascii="仿宋" w:hAnsi="仿宋" w:eastAsia="仿宋"/>
          <w:b w:val="0"/>
          <w:bCs w:val="0"/>
        </w:rPr>
      </w:pPr>
      <w:r>
        <w:drawing>
          <wp:inline distT="0" distB="0" distL="114300" distR="114300">
            <wp:extent cx="9474835" cy="5561965"/>
            <wp:effectExtent l="0" t="0" r="12065" b="63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38"/>
                    <a:stretch>
                      <a:fillRect/>
                    </a:stretch>
                  </pic:blipFill>
                  <pic:spPr>
                    <a:xfrm>
                      <a:off x="0" y="0"/>
                      <a:ext cx="9474835" cy="5561965"/>
                    </a:xfrm>
                    <a:prstGeom prst="rect">
                      <a:avLst/>
                    </a:prstGeom>
                    <a:noFill/>
                    <a:ln>
                      <a:noFill/>
                    </a:ln>
                  </pic:spPr>
                </pic:pic>
              </a:graphicData>
            </a:graphic>
          </wp:inline>
        </w:drawing>
      </w:r>
    </w:p>
    <w:p w14:paraId="3EC58C66">
      <w:pPr>
        <w:pStyle w:val="4"/>
        <w:spacing w:before="0" w:after="0" w:line="0" w:lineRule="atLeast"/>
      </w:pPr>
      <w:r>
        <w:rPr>
          <w:rStyle w:val="29"/>
          <w:rFonts w:hint="eastAsia" w:ascii="仿宋" w:hAnsi="仿宋" w:eastAsia="仿宋"/>
          <w:b w:val="0"/>
          <w:bCs w:val="0"/>
        </w:rPr>
        <w:t>九、一般公共预算财政拨款项目支出决算表</w:t>
      </w:r>
      <w:bookmarkEnd w:id="63"/>
    </w:p>
    <w:p w14:paraId="500D5290">
      <w:pPr>
        <w:pStyle w:val="4"/>
        <w:spacing w:before="0" w:after="0" w:line="0" w:lineRule="atLeast"/>
        <w:jc w:val="center"/>
      </w:pPr>
      <w:bookmarkStart w:id="64" w:name="_Toc15396628"/>
    </w:p>
    <w:p w14:paraId="1EDFDDF4">
      <w:pPr>
        <w:pStyle w:val="4"/>
        <w:spacing w:before="0" w:after="0" w:line="0" w:lineRule="atLeast"/>
        <w:jc w:val="center"/>
      </w:pPr>
    </w:p>
    <w:p w14:paraId="76EF6C04">
      <w:pPr>
        <w:pStyle w:val="4"/>
        <w:spacing w:before="0" w:after="0" w:line="0" w:lineRule="atLeast"/>
        <w:jc w:val="center"/>
        <w:rPr>
          <w:rStyle w:val="29"/>
          <w:rFonts w:ascii="仿宋" w:hAnsi="仿宋" w:eastAsia="仿宋"/>
          <w:b w:val="0"/>
          <w:bCs w:val="0"/>
        </w:rPr>
      </w:pPr>
      <w:r>
        <w:drawing>
          <wp:inline distT="0" distB="0" distL="114300" distR="114300">
            <wp:extent cx="7108825" cy="3599815"/>
            <wp:effectExtent l="0" t="0" r="15875" b="635"/>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39"/>
                    <a:stretch>
                      <a:fillRect/>
                    </a:stretch>
                  </pic:blipFill>
                  <pic:spPr>
                    <a:xfrm>
                      <a:off x="0" y="0"/>
                      <a:ext cx="7108825" cy="3599815"/>
                    </a:xfrm>
                    <a:prstGeom prst="rect">
                      <a:avLst/>
                    </a:prstGeom>
                    <a:noFill/>
                    <a:ln>
                      <a:noFill/>
                    </a:ln>
                  </pic:spPr>
                </pic:pic>
              </a:graphicData>
            </a:graphic>
          </wp:inline>
        </w:drawing>
      </w:r>
    </w:p>
    <w:p w14:paraId="5C21A986">
      <w:pPr>
        <w:pStyle w:val="4"/>
        <w:spacing w:before="0" w:after="0" w:line="0" w:lineRule="atLeast"/>
        <w:rPr>
          <w:rStyle w:val="29"/>
          <w:rFonts w:ascii="仿宋" w:hAnsi="仿宋" w:eastAsia="仿宋"/>
          <w:b w:val="0"/>
          <w:bCs w:val="0"/>
        </w:rPr>
      </w:pPr>
    </w:p>
    <w:p w14:paraId="64F9E203">
      <w:pPr>
        <w:pStyle w:val="4"/>
        <w:spacing w:before="0" w:after="0" w:line="0" w:lineRule="atLeast"/>
        <w:rPr>
          <w:rStyle w:val="29"/>
          <w:rFonts w:ascii="仿宋" w:hAnsi="仿宋" w:eastAsia="仿宋"/>
          <w:b w:val="0"/>
          <w:bCs w:val="0"/>
        </w:rPr>
      </w:pPr>
    </w:p>
    <w:p w14:paraId="5F5FF372">
      <w:pPr>
        <w:pStyle w:val="4"/>
        <w:spacing w:before="0" w:after="0" w:line="0" w:lineRule="atLeast"/>
        <w:rPr>
          <w:rStyle w:val="29"/>
          <w:rFonts w:ascii="仿宋" w:hAnsi="仿宋" w:eastAsia="仿宋"/>
          <w:b w:val="0"/>
          <w:bCs w:val="0"/>
        </w:rPr>
      </w:pPr>
    </w:p>
    <w:p w14:paraId="6A9D37FF">
      <w:pPr>
        <w:pStyle w:val="4"/>
        <w:spacing w:before="0" w:after="0" w:line="0" w:lineRule="atLeast"/>
        <w:rPr>
          <w:rStyle w:val="29"/>
          <w:rFonts w:ascii="仿宋" w:hAnsi="仿宋" w:eastAsia="仿宋"/>
          <w:b w:val="0"/>
          <w:bCs w:val="0"/>
        </w:rPr>
      </w:pPr>
    </w:p>
    <w:p w14:paraId="183A8D36"/>
    <w:p w14:paraId="5AC1D2C3">
      <w:pPr>
        <w:pStyle w:val="4"/>
        <w:spacing w:before="0" w:after="0" w:line="0" w:lineRule="atLeast"/>
        <w:rPr>
          <w:rStyle w:val="29"/>
          <w:rFonts w:ascii="仿宋" w:hAnsi="仿宋" w:eastAsia="仿宋"/>
          <w:b w:val="0"/>
          <w:bCs w:val="0"/>
        </w:rPr>
      </w:pPr>
    </w:p>
    <w:p w14:paraId="7B783622">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十、</w:t>
      </w:r>
      <w:bookmarkEnd w:id="64"/>
      <w:r>
        <w:rPr>
          <w:rStyle w:val="29"/>
          <w:rFonts w:hint="eastAsia" w:ascii="仿宋" w:hAnsi="仿宋" w:eastAsia="仿宋"/>
          <w:b w:val="0"/>
          <w:bCs w:val="0"/>
        </w:rPr>
        <w:t>政府性基金预算财政拨款收入支出决算表</w:t>
      </w:r>
    </w:p>
    <w:p w14:paraId="6D409ED2">
      <w:pPr>
        <w:pStyle w:val="4"/>
        <w:spacing w:before="0" w:after="0" w:line="0" w:lineRule="atLeast"/>
      </w:pPr>
      <w:bookmarkStart w:id="65" w:name="_Toc15396629"/>
    </w:p>
    <w:p w14:paraId="6C65849E">
      <w:pPr>
        <w:pStyle w:val="4"/>
        <w:spacing w:before="0" w:after="0" w:line="0" w:lineRule="atLeast"/>
      </w:pPr>
    </w:p>
    <w:p w14:paraId="17FC5C2C">
      <w:pPr>
        <w:pStyle w:val="4"/>
        <w:spacing w:before="0" w:after="0" w:line="0" w:lineRule="atLeast"/>
        <w:rPr>
          <w:rStyle w:val="29"/>
          <w:rFonts w:ascii="仿宋" w:hAnsi="仿宋" w:eastAsia="仿宋"/>
          <w:b w:val="0"/>
          <w:bCs w:val="0"/>
        </w:rPr>
      </w:pPr>
      <w:r>
        <w:drawing>
          <wp:inline distT="0" distB="0" distL="114300" distR="114300">
            <wp:extent cx="8857615" cy="2840355"/>
            <wp:effectExtent l="0" t="0" r="635" b="17145"/>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pic:cNvPicPr>
                  </pic:nvPicPr>
                  <pic:blipFill>
                    <a:blip r:embed="rId40"/>
                    <a:stretch>
                      <a:fillRect/>
                    </a:stretch>
                  </pic:blipFill>
                  <pic:spPr>
                    <a:xfrm>
                      <a:off x="0" y="0"/>
                      <a:ext cx="8857615" cy="2840355"/>
                    </a:xfrm>
                    <a:prstGeom prst="rect">
                      <a:avLst/>
                    </a:prstGeom>
                    <a:noFill/>
                    <a:ln>
                      <a:noFill/>
                    </a:ln>
                  </pic:spPr>
                </pic:pic>
              </a:graphicData>
            </a:graphic>
          </wp:inline>
        </w:drawing>
      </w:r>
    </w:p>
    <w:p w14:paraId="28788AAB">
      <w:pPr>
        <w:pStyle w:val="4"/>
        <w:spacing w:before="0" w:after="0" w:line="0" w:lineRule="atLeast"/>
        <w:rPr>
          <w:rStyle w:val="29"/>
          <w:rFonts w:ascii="仿宋" w:hAnsi="仿宋" w:eastAsia="仿宋"/>
          <w:b w:val="0"/>
          <w:bCs w:val="0"/>
        </w:rPr>
      </w:pPr>
    </w:p>
    <w:p w14:paraId="23098BCC">
      <w:pPr>
        <w:pStyle w:val="4"/>
        <w:spacing w:before="0" w:after="0" w:line="0" w:lineRule="atLeast"/>
        <w:rPr>
          <w:rStyle w:val="29"/>
          <w:rFonts w:ascii="仿宋" w:hAnsi="仿宋" w:eastAsia="仿宋"/>
          <w:b w:val="0"/>
          <w:bCs w:val="0"/>
        </w:rPr>
      </w:pPr>
    </w:p>
    <w:p w14:paraId="2C1A8CFE">
      <w:pPr>
        <w:pStyle w:val="4"/>
        <w:spacing w:before="0" w:after="0" w:line="0" w:lineRule="atLeast"/>
        <w:rPr>
          <w:rStyle w:val="29"/>
          <w:rFonts w:ascii="仿宋" w:hAnsi="仿宋" w:eastAsia="仿宋"/>
          <w:b w:val="0"/>
          <w:bCs w:val="0"/>
        </w:rPr>
      </w:pPr>
    </w:p>
    <w:p w14:paraId="3CA507B3">
      <w:pPr>
        <w:pStyle w:val="4"/>
        <w:spacing w:before="0" w:after="0" w:line="0" w:lineRule="atLeast"/>
        <w:rPr>
          <w:rStyle w:val="29"/>
          <w:rFonts w:ascii="仿宋" w:hAnsi="仿宋" w:eastAsia="仿宋"/>
          <w:b w:val="0"/>
          <w:bCs w:val="0"/>
        </w:rPr>
      </w:pPr>
    </w:p>
    <w:p w14:paraId="133C2FD3">
      <w:pPr>
        <w:pStyle w:val="4"/>
        <w:spacing w:before="0" w:after="0" w:line="0" w:lineRule="atLeast"/>
        <w:rPr>
          <w:rStyle w:val="29"/>
          <w:rFonts w:ascii="仿宋" w:hAnsi="仿宋" w:eastAsia="仿宋"/>
          <w:b w:val="0"/>
          <w:bCs w:val="0"/>
        </w:rPr>
      </w:pPr>
    </w:p>
    <w:p w14:paraId="2317B474">
      <w:pPr>
        <w:pStyle w:val="4"/>
        <w:spacing w:before="0" w:after="0" w:line="0" w:lineRule="atLeast"/>
        <w:rPr>
          <w:rStyle w:val="29"/>
          <w:rFonts w:ascii="仿宋" w:hAnsi="仿宋" w:eastAsia="仿宋"/>
          <w:b w:val="0"/>
          <w:bCs w:val="0"/>
        </w:rPr>
      </w:pPr>
    </w:p>
    <w:p w14:paraId="45D57CA8">
      <w:pPr>
        <w:pStyle w:val="4"/>
        <w:spacing w:before="0" w:after="0" w:line="0" w:lineRule="atLeast"/>
        <w:rPr>
          <w:rStyle w:val="29"/>
          <w:rFonts w:ascii="仿宋" w:hAnsi="仿宋" w:eastAsia="仿宋"/>
          <w:b w:val="0"/>
          <w:bCs w:val="0"/>
        </w:rPr>
      </w:pPr>
    </w:p>
    <w:p w14:paraId="12DDFF91">
      <w:pPr>
        <w:pStyle w:val="4"/>
        <w:spacing w:before="0" w:after="0" w:line="0" w:lineRule="atLeast"/>
        <w:rPr>
          <w:rStyle w:val="29"/>
          <w:rFonts w:ascii="仿宋" w:hAnsi="仿宋" w:eastAsia="仿宋"/>
          <w:b w:val="0"/>
          <w:bCs w:val="0"/>
        </w:rPr>
      </w:pPr>
    </w:p>
    <w:p w14:paraId="332A9263">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十一、</w:t>
      </w:r>
      <w:bookmarkEnd w:id="65"/>
      <w:r>
        <w:rPr>
          <w:rStyle w:val="29"/>
          <w:rFonts w:hint="eastAsia" w:ascii="仿宋" w:hAnsi="仿宋" w:eastAsia="仿宋"/>
          <w:b w:val="0"/>
          <w:bCs w:val="0"/>
        </w:rPr>
        <w:t>国有资本经营预算财政拨款收入支出决算表</w:t>
      </w:r>
    </w:p>
    <w:p w14:paraId="025850CE">
      <w:pPr>
        <w:pStyle w:val="4"/>
        <w:spacing w:before="0" w:after="0" w:line="0" w:lineRule="atLeast"/>
        <w:jc w:val="center"/>
      </w:pPr>
      <w:bookmarkStart w:id="66" w:name="_Toc15396630"/>
    </w:p>
    <w:p w14:paraId="78603585">
      <w:pPr>
        <w:pStyle w:val="4"/>
        <w:spacing w:before="0" w:after="0" w:line="0" w:lineRule="atLeast"/>
        <w:jc w:val="center"/>
        <w:rPr>
          <w:rStyle w:val="29"/>
          <w:rFonts w:ascii="仿宋" w:hAnsi="仿宋" w:eastAsia="仿宋"/>
          <w:b w:val="0"/>
          <w:bCs w:val="0"/>
        </w:rPr>
      </w:pPr>
      <w:r>
        <w:drawing>
          <wp:inline distT="0" distB="0" distL="114300" distR="114300">
            <wp:extent cx="8065770" cy="3319145"/>
            <wp:effectExtent l="0" t="0" r="11430" b="14605"/>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41"/>
                    <a:stretch>
                      <a:fillRect/>
                    </a:stretch>
                  </pic:blipFill>
                  <pic:spPr>
                    <a:xfrm>
                      <a:off x="0" y="0"/>
                      <a:ext cx="8065770" cy="3319145"/>
                    </a:xfrm>
                    <a:prstGeom prst="rect">
                      <a:avLst/>
                    </a:prstGeom>
                    <a:noFill/>
                    <a:ln>
                      <a:noFill/>
                    </a:ln>
                  </pic:spPr>
                </pic:pic>
              </a:graphicData>
            </a:graphic>
          </wp:inline>
        </w:drawing>
      </w:r>
    </w:p>
    <w:p w14:paraId="41246451">
      <w:pPr>
        <w:pStyle w:val="4"/>
        <w:spacing w:before="0" w:after="0" w:line="0" w:lineRule="atLeast"/>
        <w:rPr>
          <w:rStyle w:val="29"/>
          <w:rFonts w:ascii="仿宋" w:hAnsi="仿宋" w:eastAsia="仿宋"/>
          <w:b w:val="0"/>
          <w:bCs w:val="0"/>
        </w:rPr>
      </w:pPr>
    </w:p>
    <w:p w14:paraId="411AF509">
      <w:pPr>
        <w:pStyle w:val="4"/>
        <w:spacing w:before="0" w:after="0" w:line="0" w:lineRule="atLeast"/>
        <w:rPr>
          <w:rStyle w:val="29"/>
          <w:rFonts w:ascii="仿宋" w:hAnsi="仿宋" w:eastAsia="仿宋"/>
          <w:b w:val="0"/>
          <w:bCs w:val="0"/>
        </w:rPr>
      </w:pPr>
    </w:p>
    <w:p w14:paraId="735BC92C">
      <w:pPr>
        <w:pStyle w:val="4"/>
        <w:spacing w:before="0" w:after="0" w:line="0" w:lineRule="atLeast"/>
        <w:rPr>
          <w:rStyle w:val="29"/>
          <w:rFonts w:ascii="仿宋" w:hAnsi="仿宋" w:eastAsia="仿宋"/>
          <w:b w:val="0"/>
          <w:bCs w:val="0"/>
        </w:rPr>
      </w:pPr>
    </w:p>
    <w:p w14:paraId="527782E3">
      <w:pPr>
        <w:pStyle w:val="4"/>
        <w:spacing w:before="0" w:after="0" w:line="0" w:lineRule="atLeast"/>
        <w:rPr>
          <w:rStyle w:val="29"/>
          <w:rFonts w:ascii="仿宋" w:hAnsi="仿宋" w:eastAsia="仿宋"/>
          <w:b w:val="0"/>
          <w:bCs w:val="0"/>
        </w:rPr>
      </w:pPr>
    </w:p>
    <w:p w14:paraId="06B34F3A"/>
    <w:p w14:paraId="2D0376BB">
      <w:pPr>
        <w:pStyle w:val="4"/>
        <w:spacing w:before="0" w:after="0" w:line="0" w:lineRule="atLeast"/>
        <w:rPr>
          <w:rStyle w:val="29"/>
          <w:rFonts w:ascii="仿宋" w:hAnsi="仿宋" w:eastAsia="仿宋"/>
          <w:b w:val="0"/>
          <w:bCs w:val="0"/>
        </w:rPr>
      </w:pPr>
    </w:p>
    <w:p w14:paraId="2A1B5789">
      <w:pPr>
        <w:pStyle w:val="4"/>
        <w:spacing w:before="0" w:after="0" w:line="0" w:lineRule="atLeast"/>
        <w:rPr>
          <w:rStyle w:val="29"/>
          <w:rFonts w:ascii="仿宋" w:hAnsi="仿宋" w:eastAsia="仿宋"/>
          <w:b w:val="0"/>
          <w:bCs w:val="0"/>
        </w:rPr>
      </w:pPr>
    </w:p>
    <w:p w14:paraId="40F54FA8">
      <w:pPr>
        <w:pStyle w:val="4"/>
        <w:spacing w:before="0" w:after="0" w:line="0" w:lineRule="atLeast"/>
        <w:rPr>
          <w:rStyle w:val="29"/>
          <w:rFonts w:ascii="仿宋" w:hAnsi="仿宋" w:eastAsia="仿宋"/>
          <w:b w:val="0"/>
          <w:bCs w:val="0"/>
        </w:rPr>
      </w:pPr>
    </w:p>
    <w:p w14:paraId="4A6A377F">
      <w:pPr>
        <w:pStyle w:val="4"/>
        <w:spacing w:before="0" w:after="0" w:line="0" w:lineRule="atLeast"/>
        <w:rPr>
          <w:rStyle w:val="29"/>
          <w:rFonts w:ascii="仿宋" w:hAnsi="仿宋" w:eastAsia="仿宋"/>
          <w:b w:val="0"/>
          <w:bCs w:val="0"/>
        </w:rPr>
      </w:pPr>
      <w:r>
        <w:rPr>
          <w:rStyle w:val="29"/>
          <w:rFonts w:hint="eastAsia" w:ascii="仿宋" w:hAnsi="仿宋" w:eastAsia="仿宋"/>
          <w:b w:val="0"/>
          <w:bCs w:val="0"/>
        </w:rPr>
        <w:t>十二、</w:t>
      </w:r>
      <w:bookmarkEnd w:id="66"/>
      <w:r>
        <w:rPr>
          <w:rStyle w:val="29"/>
          <w:rFonts w:hint="eastAsia" w:ascii="仿宋" w:hAnsi="仿宋" w:eastAsia="仿宋"/>
          <w:b w:val="0"/>
          <w:bCs w:val="0"/>
        </w:rPr>
        <w:t>国有资本经营预算财政拨款支出决算表</w:t>
      </w:r>
    </w:p>
    <w:p w14:paraId="60BF7B8B">
      <w:pPr>
        <w:pStyle w:val="4"/>
        <w:spacing w:before="0" w:after="0" w:line="0" w:lineRule="atLeast"/>
      </w:pPr>
      <w:bookmarkStart w:id="67" w:name="_Toc15396631"/>
    </w:p>
    <w:p w14:paraId="34560541">
      <w:pPr>
        <w:pStyle w:val="4"/>
        <w:spacing w:before="0" w:after="0" w:line="0" w:lineRule="atLeast"/>
        <w:jc w:val="center"/>
        <w:rPr>
          <w:rStyle w:val="29"/>
          <w:rFonts w:ascii="仿宋" w:hAnsi="仿宋" w:eastAsia="仿宋"/>
          <w:b w:val="0"/>
          <w:bCs w:val="0"/>
        </w:rPr>
      </w:pPr>
      <w:r>
        <w:drawing>
          <wp:inline distT="0" distB="0" distL="114300" distR="114300">
            <wp:extent cx="7793355" cy="3761740"/>
            <wp:effectExtent l="0" t="0" r="17145" b="1016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42"/>
                    <a:stretch>
                      <a:fillRect/>
                    </a:stretch>
                  </pic:blipFill>
                  <pic:spPr>
                    <a:xfrm>
                      <a:off x="0" y="0"/>
                      <a:ext cx="7793355" cy="3761740"/>
                    </a:xfrm>
                    <a:prstGeom prst="rect">
                      <a:avLst/>
                    </a:prstGeom>
                    <a:noFill/>
                    <a:ln>
                      <a:noFill/>
                    </a:ln>
                  </pic:spPr>
                </pic:pic>
              </a:graphicData>
            </a:graphic>
          </wp:inline>
        </w:drawing>
      </w:r>
    </w:p>
    <w:p w14:paraId="40656F6B">
      <w:pPr>
        <w:pStyle w:val="4"/>
        <w:spacing w:before="0" w:after="0" w:line="0" w:lineRule="atLeast"/>
        <w:rPr>
          <w:rStyle w:val="29"/>
          <w:rFonts w:ascii="仿宋" w:hAnsi="仿宋" w:eastAsia="仿宋"/>
          <w:b w:val="0"/>
          <w:bCs w:val="0"/>
        </w:rPr>
      </w:pPr>
    </w:p>
    <w:p w14:paraId="459B6B73">
      <w:pPr>
        <w:pStyle w:val="4"/>
        <w:spacing w:before="0" w:after="0" w:line="0" w:lineRule="atLeast"/>
        <w:rPr>
          <w:rStyle w:val="29"/>
          <w:rFonts w:ascii="仿宋" w:hAnsi="仿宋" w:eastAsia="仿宋"/>
          <w:b w:val="0"/>
          <w:bCs w:val="0"/>
        </w:rPr>
      </w:pPr>
    </w:p>
    <w:p w14:paraId="7BB3FB79">
      <w:pPr>
        <w:pStyle w:val="4"/>
        <w:spacing w:before="0" w:after="0" w:line="0" w:lineRule="atLeast"/>
        <w:rPr>
          <w:rStyle w:val="29"/>
          <w:rFonts w:ascii="仿宋" w:hAnsi="仿宋" w:eastAsia="仿宋"/>
          <w:b w:val="0"/>
          <w:bCs w:val="0"/>
        </w:rPr>
      </w:pPr>
    </w:p>
    <w:bookmarkEnd w:id="67"/>
    <w:p w14:paraId="5D0E43A4">
      <w:pPr>
        <w:pStyle w:val="4"/>
        <w:numPr>
          <w:ilvl w:val="0"/>
          <w:numId w:val="9"/>
        </w:numPr>
        <w:spacing w:before="0" w:after="0" w:line="0" w:lineRule="atLeast"/>
        <w:rPr>
          <w:rStyle w:val="29"/>
          <w:rFonts w:ascii="仿宋" w:hAnsi="仿宋" w:eastAsia="仿宋"/>
          <w:b w:val="0"/>
          <w:bCs w:val="0"/>
        </w:rPr>
      </w:pPr>
      <w:r>
        <w:rPr>
          <w:rStyle w:val="29"/>
          <w:rFonts w:hint="eastAsia" w:ascii="仿宋" w:hAnsi="仿宋" w:eastAsia="仿宋"/>
          <w:b w:val="0"/>
          <w:bCs w:val="0"/>
        </w:rPr>
        <w:t>财政拨款</w:t>
      </w:r>
      <w:bookmarkStart w:id="68" w:name="_GoBack"/>
      <w:r>
        <w:rPr>
          <w:rStyle w:val="29"/>
          <w:rFonts w:hint="eastAsia" w:ascii="仿宋" w:hAnsi="仿宋" w:eastAsia="仿宋"/>
          <w:b w:val="0"/>
          <w:bCs w:val="0"/>
        </w:rPr>
        <w:t>“三公”经费</w:t>
      </w:r>
      <w:bookmarkEnd w:id="68"/>
      <w:r>
        <w:rPr>
          <w:rStyle w:val="29"/>
          <w:rFonts w:hint="eastAsia" w:ascii="仿宋" w:hAnsi="仿宋" w:eastAsia="仿宋"/>
          <w:b w:val="0"/>
          <w:bCs w:val="0"/>
        </w:rPr>
        <w:t>支出决算表</w:t>
      </w:r>
    </w:p>
    <w:p w14:paraId="55C8766B"/>
    <w:p w14:paraId="603BE787">
      <w:r>
        <w:drawing>
          <wp:inline distT="0" distB="0" distL="114300" distR="114300">
            <wp:extent cx="9475470" cy="1955800"/>
            <wp:effectExtent l="0" t="0" r="11430" b="635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43"/>
                    <a:stretch>
                      <a:fillRect/>
                    </a:stretch>
                  </pic:blipFill>
                  <pic:spPr>
                    <a:xfrm>
                      <a:off x="0" y="0"/>
                      <a:ext cx="9475470" cy="1955800"/>
                    </a:xfrm>
                    <a:prstGeom prst="rect">
                      <a:avLst/>
                    </a:prstGeom>
                    <a:noFill/>
                    <a:ln>
                      <a:noFill/>
                    </a:ln>
                  </pic:spPr>
                </pic:pic>
              </a:graphicData>
            </a:graphic>
          </wp:inline>
        </w:drawing>
      </w:r>
    </w:p>
    <w:sectPr>
      <w:footerReference r:id="rId11" w:type="default"/>
      <w:pgSz w:w="16838" w:h="11906" w:orient="landscape"/>
      <w:pgMar w:top="1179" w:right="1440" w:bottom="1179" w:left="1440" w:header="851" w:footer="73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楷体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E9FEE">
    <w:pPr>
      <w:pStyle w:val="9"/>
      <w:jc w:val="center"/>
    </w:pPr>
    <w: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007745" cy="5041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007745"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5E54A2">
                          <w:pPr>
                            <w:pStyle w:val="14"/>
                            <w:ind w:left="420"/>
                          </w:pPr>
                        </w:p>
                        <w:p w14:paraId="080C57D6">
                          <w:pPr>
                            <w:pStyle w:val="14"/>
                            <w:ind w:left="0" w:leftChars="0" w:firstLine="0" w:firstLineChars="0"/>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7pt;width:79.35pt;mso-position-horizontal:outside;mso-position-horizontal-relative:margin;z-index:251670528;mso-width-relative:page;mso-height-relative:page;" filled="f" stroked="f" coordsize="21600,21600" o:gfxdata="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LGPydQAAAAEAQAADwAAAAAAAAABACAAAAAiAAAAZHJzL2Rvd25yZXYueG1sUEsB&#10;AhQAFAAAAAgAh07iQCBm01EyAgAAWAQAAA4AAAAAAAAAAQAgAAAAIwEAAGRycy9lMm9Eb2MueG1s&#10;UEsFBgAAAAAGAAYAWQEAAMcFAAAAAA==&#10;">
              <v:fill on="f" focussize="0,0"/>
              <v:stroke on="f" weight="0.5pt"/>
              <v:imagedata o:title=""/>
              <o:lock v:ext="edit" aspectratio="f"/>
              <v:textbox inset="0mm,0mm,0mm,0mm">
                <w:txbxContent>
                  <w:p w14:paraId="585E54A2">
                    <w:pPr>
                      <w:pStyle w:val="14"/>
                      <w:ind w:left="420"/>
                    </w:pPr>
                  </w:p>
                  <w:p w14:paraId="080C57D6">
                    <w:pPr>
                      <w:pStyle w:val="14"/>
                      <w:ind w:left="0" w:leftChars="0" w:firstLine="0" w:firstLineChars="0"/>
                    </w:pPr>
                  </w:p>
                </w:txbxContent>
              </v:textbox>
            </v:shape>
          </w:pict>
        </mc:Fallback>
      </mc:AlternateContent>
    </w:r>
  </w:p>
  <w:p w14:paraId="6A0A051C">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470BD">
    <w:pPr>
      <w:pStyle w:val="9"/>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EDB7FA">
                          <w:pPr>
                            <w:pStyle w:val="9"/>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45EDB7FA">
                    <w:pPr>
                      <w:pStyle w:val="9"/>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B2D7E">
    <w:pPr>
      <w:pStyle w:val="9"/>
      <w:jc w:val="cente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60468">
                          <w:pPr>
                            <w:pStyle w:val="9"/>
                            <w:rPr>
                              <w:rFonts w:asciiTheme="minorHAnsi" w:hAnsiTheme="minorHAnsi"/>
                              <w:sz w:val="21"/>
                              <w:szCs w:val="21"/>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29</w:t>
                          </w:r>
                          <w:r>
                            <w:rPr>
                              <w:rFonts w:asciiTheme="minorHAnsi" w:hAnsiTheme="minorHAnsi"/>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14:paraId="60D60468">
                    <w:pPr>
                      <w:pStyle w:val="9"/>
                      <w:rPr>
                        <w:rFonts w:asciiTheme="minorHAnsi" w:hAnsiTheme="minorHAnsi"/>
                        <w:sz w:val="21"/>
                        <w:szCs w:val="21"/>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29</w:t>
                    </w:r>
                    <w:r>
                      <w:rPr>
                        <w:rFonts w:asciiTheme="minorHAnsi" w:hAnsiTheme="minorHAnsi"/>
                        <w:sz w:val="21"/>
                        <w:szCs w:val="21"/>
                      </w:rPr>
                      <w:fldChar w:fldCharType="end"/>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007745" cy="50419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007745"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91FDF">
                          <w:pPr>
                            <w:pStyle w:val="14"/>
                            <w:ind w:left="420"/>
                          </w:pPr>
                        </w:p>
                        <w:p w14:paraId="208BC7F3">
                          <w:pPr>
                            <w:pStyle w:val="14"/>
                            <w:ind w:left="0" w:leftChars="0" w:firstLine="0" w:firstLineChars="0"/>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7pt;width:79.35pt;mso-position-horizontal:outside;mso-position-horizontal-relative:margin;z-index:251673600;mso-width-relative:page;mso-height-relative:page;" filled="f" stroked="f" coordsize="21600,21600" o:gfxdata="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LGPydQAAAAEAQAADwAAAAAAAAABACAAAAAiAAAAZHJzL2Rvd25yZXYueG1sUEsB&#10;AhQAFAAAAAgAh07iQFIzV0QyAgAAWAQAAA4AAAAAAAAAAQAgAAAAIwEAAGRycy9lMm9Eb2MueG1s&#10;UEsFBgAAAAAGAAYAWQEAAMcFAAAAAA==&#10;">
              <v:fill on="f" focussize="0,0"/>
              <v:stroke on="f" weight="0.5pt"/>
              <v:imagedata o:title=""/>
              <o:lock v:ext="edit" aspectratio="f"/>
              <v:textbox inset="0mm,0mm,0mm,0mm">
                <w:txbxContent>
                  <w:p w14:paraId="60F91FDF">
                    <w:pPr>
                      <w:pStyle w:val="14"/>
                      <w:ind w:left="420"/>
                    </w:pPr>
                  </w:p>
                  <w:p w14:paraId="208BC7F3">
                    <w:pPr>
                      <w:pStyle w:val="14"/>
                      <w:ind w:left="0" w:leftChars="0" w:firstLine="0" w:firstLineChars="0"/>
                    </w:pPr>
                  </w:p>
                </w:txbxContent>
              </v:textbox>
            </v:shape>
          </w:pict>
        </mc:Fallback>
      </mc:AlternateContent>
    </w:r>
  </w:p>
  <w:p w14:paraId="28D13BBF">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2C3DF">
    <w:pPr>
      <w:pStyle w:val="9"/>
      <w:jc w:val="cen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6D208">
                          <w:pPr>
                            <w:pStyle w:val="9"/>
                            <w:rPr>
                              <w:rFonts w:ascii="Times New Roman" w:hAnsi="Times New Roman"/>
                              <w:sz w:val="28"/>
                              <w:szCs w:val="28"/>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61</w:t>
                          </w:r>
                          <w:r>
                            <w:rPr>
                              <w:rFonts w:asciiTheme="minorHAnsi" w:hAnsiTheme="minorHAnsi"/>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14:paraId="5C06D208">
                    <w:pPr>
                      <w:pStyle w:val="9"/>
                      <w:rPr>
                        <w:rFonts w:ascii="Times New Roman" w:hAnsi="Times New Roman"/>
                        <w:sz w:val="28"/>
                        <w:szCs w:val="28"/>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61</w:t>
                    </w:r>
                    <w:r>
                      <w:rPr>
                        <w:rFonts w:asciiTheme="minorHAnsi" w:hAnsiTheme="minorHAnsi"/>
                        <w:sz w:val="21"/>
                        <w:szCs w:val="21"/>
                      </w:rPr>
                      <w:fldChar w:fldCharType="end"/>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margin">
                <wp:align>outside</wp:align>
              </wp:positionH>
              <wp:positionV relativeFrom="paragraph">
                <wp:posOffset>0</wp:posOffset>
              </wp:positionV>
              <wp:extent cx="1007745" cy="50419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007745"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CA8F6">
                          <w:pPr>
                            <w:pStyle w:val="14"/>
                            <w:ind w:left="420"/>
                          </w:pPr>
                        </w:p>
                        <w:p w14:paraId="040D14EB">
                          <w:pPr>
                            <w:pStyle w:val="14"/>
                            <w:ind w:left="0" w:leftChars="0" w:firstLine="0" w:firstLineChars="0"/>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7pt;width:79.35pt;mso-position-horizontal:outside;mso-position-horizontal-relative:margin;z-index:251684864;mso-width-relative:page;mso-height-relative:page;" filled="f" stroked="f" coordsize="21600,21600" o:gfxdata="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LGPydQAAAAEAQAADwAAAAAAAAABACAAAAAiAAAAZHJzL2Rvd25yZXYueG1sUEsB&#10;AhQAFAAAAAgAh07iQBV9kYYyAgAAWAQAAA4AAAAAAAAAAQAgAAAAIwEAAGRycy9lMm9Eb2MueG1s&#10;UEsFBgAAAAAGAAYAWQEAAMcFAAAAAA==&#10;">
              <v:fill on="f" focussize="0,0"/>
              <v:stroke on="f" weight="0.5pt"/>
              <v:imagedata o:title=""/>
              <o:lock v:ext="edit" aspectratio="f"/>
              <v:textbox inset="0mm,0mm,0mm,0mm">
                <w:txbxContent>
                  <w:p w14:paraId="6F5CA8F6">
                    <w:pPr>
                      <w:pStyle w:val="14"/>
                      <w:ind w:left="420"/>
                    </w:pPr>
                  </w:p>
                  <w:p w14:paraId="040D14EB">
                    <w:pPr>
                      <w:pStyle w:val="14"/>
                      <w:ind w:left="0" w:leftChars="0" w:firstLine="0" w:firstLineChars="0"/>
                    </w:pPr>
                  </w:p>
                </w:txbxContent>
              </v:textbox>
            </v:shape>
          </w:pict>
        </mc:Fallback>
      </mc:AlternateContent>
    </w:r>
  </w:p>
  <w:p w14:paraId="7B528BCD">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D58D5">
    <w:pPr>
      <w:pStyle w:val="9"/>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71FF5D">
                          <w:pPr>
                            <w:pStyle w:val="9"/>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sRGw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ACxEbCwCAABXBAAADgAAAAAAAAABACAAAAAfAQAAZHJzL2Uyb0RvYy54bWxQSwUGAAAAAAYA&#10;BgBZAQAAvQUAAAAA&#10;">
              <v:fill on="f" focussize="0,0"/>
              <v:stroke on="f" weight="0.5pt"/>
              <v:imagedata o:title=""/>
              <o:lock v:ext="edit" aspectratio="f"/>
              <v:textbox inset="0mm,0mm,0mm,0mm" style="mso-fit-shape-to-text:t;">
                <w:txbxContent>
                  <w:p w14:paraId="0071FF5D">
                    <w:pPr>
                      <w:pStyle w:val="9"/>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D3F69">
    <w:pPr>
      <w:pStyle w:val="9"/>
      <w:jc w:val="cente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6A5F3C">
                          <w:pPr>
                            <w:pStyle w:val="9"/>
                            <w:rPr>
                              <w:rFonts w:asciiTheme="minorHAnsi" w:hAnsiTheme="minorHAnsi"/>
                              <w:sz w:val="21"/>
                              <w:szCs w:val="21"/>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72</w:t>
                          </w:r>
                          <w:r>
                            <w:rPr>
                              <w:rFonts w:asciiTheme="minorHAnsi" w:hAnsiTheme="minorHAnsi"/>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uMM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o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uduMMtAgAAVwQAAA4AAAAAAAAAAQAgAAAAHwEAAGRycy9lMm9Eb2MueG1sUEsFBgAAAAAG&#10;AAYAWQEAAL4FAAAAAA==&#10;">
              <v:fill on="f" focussize="0,0"/>
              <v:stroke on="f" weight="0.5pt"/>
              <v:imagedata o:title=""/>
              <o:lock v:ext="edit" aspectratio="f"/>
              <v:textbox inset="0mm,0mm,0mm,0mm" style="mso-fit-shape-to-text:t;">
                <w:txbxContent>
                  <w:p w14:paraId="7D6A5F3C">
                    <w:pPr>
                      <w:pStyle w:val="9"/>
                      <w:rPr>
                        <w:rFonts w:asciiTheme="minorHAnsi" w:hAnsiTheme="minorHAnsi"/>
                        <w:sz w:val="21"/>
                        <w:szCs w:val="21"/>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72</w:t>
                    </w:r>
                    <w:r>
                      <w:rPr>
                        <w:rFonts w:asciiTheme="minorHAnsi" w:hAnsiTheme="minorHAnsi"/>
                        <w:sz w:val="21"/>
                        <w:szCs w:val="21"/>
                      </w:rPr>
                      <w:fldChar w:fldCharType="end"/>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007745" cy="50419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007745"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B8421">
                          <w:pPr>
                            <w:pStyle w:val="14"/>
                            <w:ind w:left="420"/>
                          </w:pPr>
                        </w:p>
                        <w:p w14:paraId="0D3DB257">
                          <w:pPr>
                            <w:pStyle w:val="14"/>
                            <w:ind w:left="0" w:leftChars="0" w:firstLine="0" w:firstLineChars="0"/>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7pt;width:79.35pt;mso-position-horizontal:outside;mso-position-horizontal-relative:margin;z-index:251681792;mso-width-relative:page;mso-height-relative:page;" filled="f" stroked="f" coordsize="21600,21600" o:gfxdata="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ixj8nUAAAABAEAAA8AAAAAAAAAAQAgAAAAIgAAAGRycy9kb3ducmV2LnhtbFBL&#10;AQIUABQAAAAIAIdO4kDt8jc1MwIAAFgEAAAOAAAAAAAAAAEAIAAAACMBAABkcnMvZTJvRG9jLnht&#10;bFBLBQYAAAAABgAGAFkBAADIBQAAAAA=&#10;">
              <v:fill on="f" focussize="0,0"/>
              <v:stroke on="f" weight="0.5pt"/>
              <v:imagedata o:title=""/>
              <o:lock v:ext="edit" aspectratio="f"/>
              <v:textbox inset="0mm,0mm,0mm,0mm">
                <w:txbxContent>
                  <w:p w14:paraId="59BB8421">
                    <w:pPr>
                      <w:pStyle w:val="14"/>
                      <w:ind w:left="420"/>
                    </w:pPr>
                  </w:p>
                  <w:p w14:paraId="0D3DB257">
                    <w:pPr>
                      <w:pStyle w:val="14"/>
                      <w:ind w:left="0" w:leftChars="0" w:firstLine="0" w:firstLineChars="0"/>
                    </w:pPr>
                  </w:p>
                </w:txbxContent>
              </v:textbox>
            </v:shape>
          </w:pict>
        </mc:Fallback>
      </mc:AlternateContent>
    </w:r>
  </w:p>
  <w:p w14:paraId="23F8BFE4">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452FF">
    <w:pPr>
      <w:pStyle w:val="9"/>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23ED60">
                          <w:pPr>
                            <w:pStyle w:val="9"/>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62</w:t>
                          </w:r>
                          <w:r>
                            <w:rPr>
                              <w:rFonts w:ascii="Times New Roman" w:hAnsi="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14:paraId="7823ED60">
                    <w:pPr>
                      <w:pStyle w:val="9"/>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62</w:t>
                    </w:r>
                    <w:r>
                      <w:rPr>
                        <w:rFonts w:ascii="Times New Roman" w:hAnsi="Times New Roman"/>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8993C">
    <w:pPr>
      <w:pStyle w:val="9"/>
      <w:jc w:val="cente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2D3F2D">
                          <w:pPr>
                            <w:pStyle w:val="9"/>
                            <w:rPr>
                              <w:rFonts w:ascii="Times New Roman" w:hAnsi="Times New Roman"/>
                              <w:sz w:val="28"/>
                              <w:szCs w:val="28"/>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96</w:t>
                          </w:r>
                          <w:r>
                            <w:rPr>
                              <w:rFonts w:asciiTheme="minorHAnsi" w:hAnsiTheme="minorHAnsi"/>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GHkMsAgAAVw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wYeQywCAABXBAAADgAAAAAAAAABACAAAAAfAQAAZHJzL2Uyb0RvYy54bWxQSwUGAAAAAAYA&#10;BgBZAQAAvQUAAAAA&#10;">
              <v:fill on="f" focussize="0,0"/>
              <v:stroke on="f" weight="0.5pt"/>
              <v:imagedata o:title=""/>
              <o:lock v:ext="edit" aspectratio="f"/>
              <v:textbox inset="0mm,0mm,0mm,0mm" style="mso-fit-shape-to-text:t;">
                <w:txbxContent>
                  <w:p w14:paraId="732D3F2D">
                    <w:pPr>
                      <w:pStyle w:val="9"/>
                      <w:rPr>
                        <w:rFonts w:ascii="Times New Roman" w:hAnsi="Times New Roman"/>
                        <w:sz w:val="28"/>
                        <w:szCs w:val="28"/>
                      </w:rPr>
                    </w:pPr>
                    <w:r>
                      <w:rPr>
                        <w:rFonts w:asciiTheme="minorHAnsi" w:hAnsiTheme="minorHAnsi"/>
                        <w:sz w:val="21"/>
                        <w:szCs w:val="21"/>
                      </w:rPr>
                      <w:fldChar w:fldCharType="begin"/>
                    </w:r>
                    <w:r>
                      <w:rPr>
                        <w:rFonts w:asciiTheme="minorHAnsi" w:hAnsiTheme="minorHAnsi"/>
                        <w:sz w:val="21"/>
                        <w:szCs w:val="21"/>
                      </w:rPr>
                      <w:instrText xml:space="preserve"> PAGE  \* MERGEFORMAT </w:instrText>
                    </w:r>
                    <w:r>
                      <w:rPr>
                        <w:rFonts w:asciiTheme="minorHAnsi" w:hAnsiTheme="minorHAnsi"/>
                        <w:sz w:val="21"/>
                        <w:szCs w:val="21"/>
                      </w:rPr>
                      <w:fldChar w:fldCharType="separate"/>
                    </w:r>
                    <w:r>
                      <w:rPr>
                        <w:rFonts w:asciiTheme="minorHAnsi" w:hAnsiTheme="minorHAnsi"/>
                        <w:sz w:val="21"/>
                        <w:szCs w:val="21"/>
                      </w:rPr>
                      <w:t>96</w:t>
                    </w:r>
                    <w:r>
                      <w:rPr>
                        <w:rFonts w:asciiTheme="minorHAnsi" w:hAnsiTheme="minorHAnsi"/>
                        <w:sz w:val="21"/>
                        <w:szCs w:val="21"/>
                      </w:rPr>
                      <w:fldChar w:fldCharType="end"/>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007745" cy="50419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007745"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B3648B">
                          <w:pPr>
                            <w:pStyle w:val="14"/>
                            <w:ind w:left="420"/>
                          </w:pPr>
                        </w:p>
                        <w:p w14:paraId="75A321B9">
                          <w:pPr>
                            <w:pStyle w:val="14"/>
                            <w:ind w:left="0" w:leftChars="0" w:firstLine="0" w:firstLineChars="0"/>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7pt;width:79.35pt;mso-position-horizontal:outside;mso-position-horizontal-relative:margin;z-index:251679744;mso-width-relative:page;mso-height-relative:page;" filled="f" stroked="f" coordsize="21600,21600" o:gfxdata="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LGPydQAAAAEAQAADwAAAAAAAAABACAAAAAiAAAAZHJzL2Rvd25yZXYueG1sUEsB&#10;AhQAFAAAAAgAh07iQFzrC4kyAgAAWAQAAA4AAAAAAAAAAQAgAAAAIwEAAGRycy9lMm9Eb2MueG1s&#10;UEsFBgAAAAAGAAYAWQEAAMcFAAAAAA==&#10;">
              <v:fill on="f" focussize="0,0"/>
              <v:stroke on="f" weight="0.5pt"/>
              <v:imagedata o:title=""/>
              <o:lock v:ext="edit" aspectratio="f"/>
              <v:textbox inset="0mm,0mm,0mm,0mm">
                <w:txbxContent>
                  <w:p w14:paraId="6CB3648B">
                    <w:pPr>
                      <w:pStyle w:val="14"/>
                      <w:ind w:left="420"/>
                    </w:pPr>
                  </w:p>
                  <w:p w14:paraId="75A321B9">
                    <w:pPr>
                      <w:pStyle w:val="14"/>
                      <w:ind w:left="0" w:leftChars="0" w:firstLine="0" w:firstLineChars="0"/>
                    </w:pPr>
                  </w:p>
                </w:txbxContent>
              </v:textbox>
            </v:shape>
          </w:pict>
        </mc:Fallback>
      </mc:AlternateContent>
    </w:r>
  </w:p>
  <w:p w14:paraId="21A04D94">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3B4C5">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FF674BC"/>
    <w:multiLevelType w:val="singleLevel"/>
    <w:tmpl w:val="FFF674BC"/>
    <w:lvl w:ilvl="0" w:tentative="0">
      <w:start w:val="1"/>
      <w:numFmt w:val="chineseCounting"/>
      <w:suff w:val="nothing"/>
      <w:lvlText w:val="%1、"/>
      <w:lvlJc w:val="left"/>
      <w:rPr>
        <w:rFonts w:hint="eastAsia"/>
      </w:rPr>
    </w:lvl>
  </w:abstractNum>
  <w:abstractNum w:abstractNumId="4">
    <w:nsid w:val="4C3E8EC0"/>
    <w:multiLevelType w:val="singleLevel"/>
    <w:tmpl w:val="4C3E8EC0"/>
    <w:lvl w:ilvl="0" w:tentative="0">
      <w:start w:val="1"/>
      <w:numFmt w:val="chineseCounting"/>
      <w:suff w:val="nothing"/>
      <w:lvlText w:val="（%1）"/>
      <w:lvlJc w:val="left"/>
      <w:rPr>
        <w:rFonts w:hint="eastAsia"/>
      </w:rPr>
    </w:lvl>
  </w:abstractNum>
  <w:abstractNum w:abstractNumId="5">
    <w:nsid w:val="5932A9DF"/>
    <w:multiLevelType w:val="singleLevel"/>
    <w:tmpl w:val="5932A9DF"/>
    <w:lvl w:ilvl="0" w:tentative="0">
      <w:start w:val="13"/>
      <w:numFmt w:val="chineseCounting"/>
      <w:suff w:val="nothing"/>
      <w:lvlText w:val="%1、"/>
      <w:lvlJc w:val="left"/>
      <w:rPr>
        <w:rFonts w:hint="eastAsia"/>
      </w:rPr>
    </w:lvl>
  </w:abstractNum>
  <w:abstractNum w:abstractNumId="6">
    <w:nsid w:val="5EF2DA57"/>
    <w:multiLevelType w:val="singleLevel"/>
    <w:tmpl w:val="5EF2DA57"/>
    <w:lvl w:ilvl="0" w:tentative="0">
      <w:start w:val="3"/>
      <w:numFmt w:val="decimal"/>
      <w:suff w:val="nothing"/>
      <w:lvlText w:val="%1."/>
      <w:lvlJc w:val="left"/>
    </w:lvl>
  </w:abstractNum>
  <w:abstractNum w:abstractNumId="7">
    <w:nsid w:val="5EF2DA65"/>
    <w:multiLevelType w:val="singleLevel"/>
    <w:tmpl w:val="5EF2DA65"/>
    <w:lvl w:ilvl="0" w:tentative="0">
      <w:start w:val="4"/>
      <w:numFmt w:val="decimal"/>
      <w:suff w:val="nothing"/>
      <w:lvlText w:val="%1."/>
      <w:lvlJc w:val="left"/>
    </w:lvl>
  </w:abstractNum>
  <w:abstractNum w:abstractNumId="8">
    <w:nsid w:val="7DBB4CC1"/>
    <w:multiLevelType w:val="singleLevel"/>
    <w:tmpl w:val="7DBB4CC1"/>
    <w:lvl w:ilvl="0" w:tentative="0">
      <w:start w:val="1"/>
      <w:numFmt w:val="chineseCounting"/>
      <w:suff w:val="nothing"/>
      <w:lvlText w:val="%1、"/>
      <w:lvlJc w:val="left"/>
      <w:rPr>
        <w:rFonts w:hint="eastAsia"/>
      </w:rPr>
    </w:lvl>
  </w:abstractNum>
  <w:num w:numId="1">
    <w:abstractNumId w:val="8"/>
  </w:num>
  <w:num w:numId="2">
    <w:abstractNumId w:val="0"/>
  </w:num>
  <w:num w:numId="3">
    <w:abstractNumId w:val="2"/>
  </w:num>
  <w:num w:numId="4">
    <w:abstractNumId w:val="3"/>
  </w:num>
  <w:num w:numId="5">
    <w:abstractNumId w:val="4"/>
  </w:num>
  <w:num w:numId="6">
    <w:abstractNumId w:val="1"/>
  </w:num>
  <w:num w:numId="7">
    <w:abstractNumId w:val="6"/>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xYjU1M2ViNmQ4ZDUyMmNhNjFmMzIyYTQxNWU5M2Q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3657C"/>
    <w:rsid w:val="0024485B"/>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1AEF"/>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6250"/>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2AB5498"/>
    <w:rsid w:val="03540FC4"/>
    <w:rsid w:val="04544FDD"/>
    <w:rsid w:val="05E971D9"/>
    <w:rsid w:val="066E0107"/>
    <w:rsid w:val="07996F6E"/>
    <w:rsid w:val="08CE356A"/>
    <w:rsid w:val="0A2032A3"/>
    <w:rsid w:val="0F98263C"/>
    <w:rsid w:val="101860EC"/>
    <w:rsid w:val="10C055FF"/>
    <w:rsid w:val="118107EC"/>
    <w:rsid w:val="12B24C82"/>
    <w:rsid w:val="13D50BC4"/>
    <w:rsid w:val="141554C8"/>
    <w:rsid w:val="160B70B3"/>
    <w:rsid w:val="16BB723D"/>
    <w:rsid w:val="17167669"/>
    <w:rsid w:val="1BE8440E"/>
    <w:rsid w:val="1C481608"/>
    <w:rsid w:val="1C715F11"/>
    <w:rsid w:val="1D073569"/>
    <w:rsid w:val="1D155CEE"/>
    <w:rsid w:val="1D894E19"/>
    <w:rsid w:val="1DDE31AB"/>
    <w:rsid w:val="1E8B372B"/>
    <w:rsid w:val="1F1820AB"/>
    <w:rsid w:val="1FF35744"/>
    <w:rsid w:val="20337402"/>
    <w:rsid w:val="203F4236"/>
    <w:rsid w:val="21807FD7"/>
    <w:rsid w:val="21B74CB3"/>
    <w:rsid w:val="224E24D7"/>
    <w:rsid w:val="23860B96"/>
    <w:rsid w:val="240371BF"/>
    <w:rsid w:val="25091A44"/>
    <w:rsid w:val="252512E3"/>
    <w:rsid w:val="253A672A"/>
    <w:rsid w:val="29FD04D3"/>
    <w:rsid w:val="2B9447FE"/>
    <w:rsid w:val="2BEF7859"/>
    <w:rsid w:val="2C8A61B5"/>
    <w:rsid w:val="2DF04E50"/>
    <w:rsid w:val="2E4A4F08"/>
    <w:rsid w:val="2F040D46"/>
    <w:rsid w:val="30414D3E"/>
    <w:rsid w:val="310C22A6"/>
    <w:rsid w:val="3178021D"/>
    <w:rsid w:val="319F7F4E"/>
    <w:rsid w:val="32A01FA9"/>
    <w:rsid w:val="3304709D"/>
    <w:rsid w:val="35DA3A24"/>
    <w:rsid w:val="36343134"/>
    <w:rsid w:val="365D272B"/>
    <w:rsid w:val="36AA5135"/>
    <w:rsid w:val="36F164EF"/>
    <w:rsid w:val="36F34D9D"/>
    <w:rsid w:val="376D39B2"/>
    <w:rsid w:val="37E16F03"/>
    <w:rsid w:val="38D469F0"/>
    <w:rsid w:val="39FE5200"/>
    <w:rsid w:val="3A5A5133"/>
    <w:rsid w:val="3BC6392C"/>
    <w:rsid w:val="3C085343"/>
    <w:rsid w:val="3C2059E9"/>
    <w:rsid w:val="3D98207C"/>
    <w:rsid w:val="3E78745D"/>
    <w:rsid w:val="3FF335F9"/>
    <w:rsid w:val="44E268DA"/>
    <w:rsid w:val="4A627F82"/>
    <w:rsid w:val="4B0E749A"/>
    <w:rsid w:val="4B4F25DA"/>
    <w:rsid w:val="4BD27DF0"/>
    <w:rsid w:val="4BE068DB"/>
    <w:rsid w:val="4BE73A99"/>
    <w:rsid w:val="4D0C050F"/>
    <w:rsid w:val="4D577224"/>
    <w:rsid w:val="4DF3347D"/>
    <w:rsid w:val="4EAB630A"/>
    <w:rsid w:val="4ECE2238"/>
    <w:rsid w:val="4FEE6E1C"/>
    <w:rsid w:val="53237FFE"/>
    <w:rsid w:val="537E6D0A"/>
    <w:rsid w:val="548B440F"/>
    <w:rsid w:val="54E3523E"/>
    <w:rsid w:val="5AF92295"/>
    <w:rsid w:val="5BC8375F"/>
    <w:rsid w:val="5CD71FC4"/>
    <w:rsid w:val="5DB86B15"/>
    <w:rsid w:val="5F5875E4"/>
    <w:rsid w:val="6265728E"/>
    <w:rsid w:val="64CC7B44"/>
    <w:rsid w:val="64DB5333"/>
    <w:rsid w:val="68746124"/>
    <w:rsid w:val="6A024E2A"/>
    <w:rsid w:val="6C172034"/>
    <w:rsid w:val="6C4A05C8"/>
    <w:rsid w:val="6D8B317F"/>
    <w:rsid w:val="6E7E3605"/>
    <w:rsid w:val="6FF5CC65"/>
    <w:rsid w:val="700F58E2"/>
    <w:rsid w:val="715C0E4B"/>
    <w:rsid w:val="72734D90"/>
    <w:rsid w:val="72E73B31"/>
    <w:rsid w:val="73360C49"/>
    <w:rsid w:val="73AD73D5"/>
    <w:rsid w:val="73B6EB34"/>
    <w:rsid w:val="744731E5"/>
    <w:rsid w:val="76726D86"/>
    <w:rsid w:val="76E3355F"/>
    <w:rsid w:val="771545BC"/>
    <w:rsid w:val="778769C8"/>
    <w:rsid w:val="79EE5BA4"/>
    <w:rsid w:val="7A894339"/>
    <w:rsid w:val="7AFD3240"/>
    <w:rsid w:val="7BA24167"/>
    <w:rsid w:val="7DCF4ABD"/>
    <w:rsid w:val="7E01111B"/>
    <w:rsid w:val="7EC32874"/>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Title"/>
    <w:basedOn w:val="1"/>
    <w:next w:val="1"/>
    <w:qFormat/>
    <w:uiPriority w:val="0"/>
    <w:pPr>
      <w:spacing w:line="240" w:lineRule="atLeast"/>
      <w:jc w:val="center"/>
    </w:pPr>
    <w:rPr>
      <w:rFonts w:ascii="Cambria" w:hAnsi="Cambria"/>
      <w:b/>
      <w:bCs/>
      <w:sz w:val="32"/>
      <w:szCs w:val="32"/>
    </w:rPr>
  </w:style>
  <w:style w:type="paragraph" w:styleId="14">
    <w:name w:val="Body Text First Indent 2"/>
    <w:basedOn w:val="6"/>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0"/>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9"/>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8"/>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_Style 1"/>
    <w:basedOn w:val="1"/>
    <w:qFormat/>
    <w:uiPriority w:val="0"/>
    <w:pPr>
      <w:ind w:firstLine="420" w:firstLineChars="200"/>
    </w:pPr>
  </w:style>
  <w:style w:type="paragraph" w:styleId="36">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25.png"/><Relationship Id="rId42" Type="http://schemas.openxmlformats.org/officeDocument/2006/relationships/image" Target="media/image24.png"/><Relationship Id="rId41" Type="http://schemas.openxmlformats.org/officeDocument/2006/relationships/image" Target="media/image23.png"/><Relationship Id="rId40" Type="http://schemas.openxmlformats.org/officeDocument/2006/relationships/image" Target="media/image22.png"/><Relationship Id="rId4" Type="http://schemas.openxmlformats.org/officeDocument/2006/relationships/footer" Target="footer1.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png"/><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000" b="0"/>
              <a:t>单位：万元</a:t>
            </a:r>
            <a:endParaRPr sz="1000" b="0"/>
          </a:p>
        </c:rich>
      </c:tx>
      <c:layout>
        <c:manualLayout>
          <c:xMode val="edge"/>
          <c:yMode val="edge"/>
          <c:x val="0.794036443953617"/>
          <c:y val="0.0389796503296073"/>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367.57</c:v>
                </c:pt>
                <c:pt idx="1">
                  <c:v>246.4</c:v>
                </c:pt>
              </c:numCache>
            </c:numRef>
          </c:val>
        </c:ser>
        <c:ser>
          <c:idx val="1"/>
          <c:order val="1"/>
          <c:tx>
            <c:strRef>
              <c:f>Sheet1!$C$1</c:f>
              <c:strCache>
                <c:ptCount val="1"/>
                <c:pt idx="0">
                  <c:v>支出</c:v>
                </c:pt>
              </c:strCache>
            </c:strRef>
          </c:tx>
          <c:spPr>
            <a:solidFill>
              <a:schemeClr val="accent2">
                <a:alpha val="91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2021年</c:v>
                </c:pt>
                <c:pt idx="1">
                  <c:v>2022年</c:v>
                </c:pt>
              </c:strCache>
            </c:strRef>
          </c:cat>
          <c:val>
            <c:numRef>
              <c:f>Sheet1!$C$2:$C$3</c:f>
              <c:numCache>
                <c:formatCode>General</c:formatCode>
                <c:ptCount val="2"/>
                <c:pt idx="0">
                  <c:v>367.57</c:v>
                </c:pt>
                <c:pt idx="1">
                  <c:v>246.4</c:v>
                </c:pt>
              </c:numCache>
            </c:numRef>
          </c:val>
        </c:ser>
        <c:dLbls>
          <c:showLegendKey val="0"/>
          <c:showVal val="1"/>
          <c:showCatName val="0"/>
          <c:showSerName val="0"/>
          <c:showPercent val="0"/>
          <c:showBubbleSize val="0"/>
        </c:dLbls>
        <c:gapWidth val="400"/>
        <c:overlap val="-28"/>
        <c:axId val="264397184"/>
        <c:axId val="264398720"/>
      </c:barChart>
      <c:catAx>
        <c:axId val="26439718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4398720"/>
        <c:crosses val="autoZero"/>
        <c:auto val="1"/>
        <c:lblAlgn val="ctr"/>
        <c:lblOffset val="100"/>
        <c:noMultiLvlLbl val="0"/>
      </c:catAx>
      <c:valAx>
        <c:axId val="264398720"/>
        <c:scaling>
          <c:orientation val="minMax"/>
        </c:scaling>
        <c:delete val="0"/>
        <c:axPos val="l"/>
        <c:majorGridlines>
          <c:spPr>
            <a:ln w="9525" cap="flat" cmpd="sng" algn="ctr">
              <a:solidFill>
                <a:schemeClr val="bg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439718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715a2f0-72be-46b8-a8b0-8753ce915638}"/>
      </c:ext>
    </c:extLst>
  </c:chart>
  <c:spPr>
    <a:solidFill>
      <a:schemeClr val="bg1"/>
    </a:solidFill>
    <a:ln w="0"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200" b="0"/>
              <a:t>单位：万元</a:t>
            </a:r>
            <a:endParaRPr sz="1200" b="0"/>
          </a:p>
        </c:rich>
      </c:tx>
      <c:layout>
        <c:manualLayout>
          <c:xMode val="edge"/>
          <c:yMode val="edge"/>
          <c:x val="0.788596279294516"/>
          <c:y val="0.0325116872078198"/>
        </c:manualLayout>
      </c:layout>
      <c:overlay val="0"/>
      <c:spPr>
        <a:noFill/>
        <a:ln>
          <a:noFill/>
        </a:ln>
        <a:effectLst/>
      </c:spPr>
    </c:title>
    <c:autoTitleDeleted val="0"/>
    <c:plotArea>
      <c:layout/>
      <c:pieChart>
        <c:varyColors val="1"/>
        <c:ser>
          <c:idx val="0"/>
          <c:order val="0"/>
          <c:tx>
            <c:strRef>
              <c:f>Sheet1!$B$1</c:f>
              <c:strCache>
                <c:ptCount val="1"/>
                <c:pt idx="0">
                  <c:v>收入</c:v>
                </c:pt>
              </c:strCache>
            </c:strRef>
          </c:tx>
          <c:explosion val="0"/>
          <c:dPt>
            <c:idx val="0"/>
            <c:bubble3D val="0"/>
            <c:spPr>
              <a:solidFill>
                <a:schemeClr val="accent1"/>
              </a:solidFill>
              <a:ln>
                <a:solidFill>
                  <a:schemeClr val="bg1"/>
                </a:solidFill>
              </a:ln>
              <a:effectLst/>
            </c:spPr>
          </c:dPt>
          <c:dLbls>
            <c:dLbl>
              <c:idx val="0"/>
              <c:layout>
                <c:manualLayout>
                  <c:x val="0.303816683456279"/>
                  <c:y val="-0.56906519695340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一般公共预算财政拨款收入</c:v>
                </c:pt>
              </c:strCache>
            </c:strRef>
          </c:cat>
          <c:val>
            <c:numRef>
              <c:f>Sheet1!$B$2</c:f>
              <c:numCache>
                <c:formatCode>General</c:formatCode>
                <c:ptCount val="1"/>
                <c:pt idx="0">
                  <c:v>246.4</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1f79ef44-276c-4a43-b0d4-ebccff6ba51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200" b="0"/>
              <a:t>单位：万元</a:t>
            </a:r>
            <a:endParaRPr sz="1200" b="0"/>
          </a:p>
        </c:rich>
      </c:tx>
      <c:layout>
        <c:manualLayout>
          <c:xMode val="edge"/>
          <c:yMode val="edge"/>
          <c:x val="0.788596279294516"/>
          <c:y val="0.0325116872078198"/>
        </c:manualLayout>
      </c:layout>
      <c:overlay val="0"/>
      <c:spPr>
        <a:noFill/>
        <a:ln>
          <a:noFill/>
        </a:ln>
        <a:effectLst/>
      </c:spPr>
    </c:title>
    <c:autoTitleDeleted val="0"/>
    <c:plotArea>
      <c:layout/>
      <c:pieChart>
        <c:varyColors val="1"/>
        <c:ser>
          <c:idx val="0"/>
          <c:order val="0"/>
          <c:tx>
            <c:strRef>
              <c:f>Sheet1!$B$1</c:f>
              <c:strCache>
                <c:ptCount val="1"/>
                <c:pt idx="0">
                  <c:v>支出</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manualLayout>
                  <c:x val="0.192673371500313"/>
                  <c:y val="-0.5530057530416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216.4</c:v>
                </c:pt>
                <c:pt idx="1">
                  <c:v>30</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extLst>
      <c:ext uri="{0b15fc19-7d7d-44ad-8c2d-2c3a37ce22c3}">
        <chartProps xmlns="https://web.wps.cn/et/2018/main" chartId="{8a92e61f-aee6-4754-90d9-ed9bfe271994}"/>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000" b="0"/>
              <a:t>单位：万元</a:t>
            </a:r>
            <a:endParaRPr sz="1000" b="0"/>
          </a:p>
        </c:rich>
      </c:tx>
      <c:layout>
        <c:manualLayout>
          <c:xMode val="edge"/>
          <c:yMode val="edge"/>
          <c:x val="0.794036443953617"/>
          <c:y val="0.0389796503296073"/>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收支总计</c:v>
                </c:pt>
              </c:strCache>
            </c:strRef>
          </c:cat>
          <c:val>
            <c:numRef>
              <c:f>Sheet1!$B$2</c:f>
              <c:numCache>
                <c:formatCode>General</c:formatCode>
                <c:ptCount val="1"/>
                <c:pt idx="0">
                  <c:v>367.57</c:v>
                </c:pt>
              </c:numCache>
            </c:numRef>
          </c:val>
        </c:ser>
        <c:ser>
          <c:idx val="1"/>
          <c:order val="1"/>
          <c:tx>
            <c:strRef>
              <c:f>Sheet1!$C$1</c:f>
              <c:strCache>
                <c:ptCount val="1"/>
                <c:pt idx="0">
                  <c:v>2022年</c:v>
                </c:pt>
              </c:strCache>
            </c:strRef>
          </c:tx>
          <c:spPr>
            <a:solidFill>
              <a:schemeClr val="accent2">
                <a:alpha val="91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收支总计</c:v>
                </c:pt>
              </c:strCache>
            </c:strRef>
          </c:cat>
          <c:val>
            <c:numRef>
              <c:f>Sheet1!$C$2</c:f>
              <c:numCache>
                <c:formatCode>General</c:formatCode>
                <c:ptCount val="1"/>
                <c:pt idx="0">
                  <c:v>246.4</c:v>
                </c:pt>
              </c:numCache>
            </c:numRef>
          </c:val>
        </c:ser>
        <c:dLbls>
          <c:showLegendKey val="0"/>
          <c:showVal val="1"/>
          <c:showCatName val="0"/>
          <c:showSerName val="0"/>
          <c:showPercent val="0"/>
          <c:showBubbleSize val="0"/>
        </c:dLbls>
        <c:gapWidth val="500"/>
        <c:overlap val="-80"/>
        <c:axId val="389212416"/>
        <c:axId val="389213568"/>
      </c:barChart>
      <c:catAx>
        <c:axId val="38921241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9213568"/>
        <c:crosses val="autoZero"/>
        <c:auto val="1"/>
        <c:lblAlgn val="ctr"/>
        <c:lblOffset val="100"/>
        <c:noMultiLvlLbl val="0"/>
      </c:catAx>
      <c:valAx>
        <c:axId val="389213568"/>
        <c:scaling>
          <c:orientation val="minMax"/>
        </c:scaling>
        <c:delete val="0"/>
        <c:axPos val="l"/>
        <c:majorGridlines>
          <c:spPr>
            <a:ln w="9525" cap="flat" cmpd="sng" algn="ctr">
              <a:solidFill>
                <a:schemeClr val="bg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921241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57c4434-24d6-4a1e-967c-1c0d450bfd08}"/>
      </c:ext>
    </c:extLst>
  </c:chart>
  <c:spPr>
    <a:solidFill>
      <a:schemeClr val="bg1"/>
    </a:solidFill>
    <a:ln w="0" cap="flat" cmpd="sng" algn="ctr">
      <a:solidFill>
        <a:schemeClr val="tx1">
          <a:lumMod val="15000"/>
          <a:lumOff val="85000"/>
          <a:alpha val="97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000" b="0"/>
              <a:t>单位：万元</a:t>
            </a:r>
            <a:endParaRPr sz="1000" b="0"/>
          </a:p>
        </c:rich>
      </c:tx>
      <c:layout>
        <c:manualLayout>
          <c:xMode val="edge"/>
          <c:yMode val="edge"/>
          <c:x val="0.794036443953617"/>
          <c:y val="0.0389796503296073"/>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367.57</c:v>
                </c:pt>
              </c:numCache>
            </c:numRef>
          </c:val>
        </c:ser>
        <c:ser>
          <c:idx val="1"/>
          <c:order val="1"/>
          <c:tx>
            <c:strRef>
              <c:f>Sheet1!$C$1</c:f>
              <c:strCache>
                <c:ptCount val="1"/>
                <c:pt idx="0">
                  <c:v>2022年</c:v>
                </c:pt>
              </c:strCache>
            </c:strRef>
          </c:tx>
          <c:spPr>
            <a:solidFill>
              <a:schemeClr val="accent2">
                <a:alpha val="91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246.4</c:v>
                </c:pt>
              </c:numCache>
            </c:numRef>
          </c:val>
        </c:ser>
        <c:dLbls>
          <c:showLegendKey val="0"/>
          <c:showVal val="1"/>
          <c:showCatName val="0"/>
          <c:showSerName val="0"/>
          <c:showPercent val="0"/>
          <c:showBubbleSize val="0"/>
        </c:dLbls>
        <c:gapWidth val="500"/>
        <c:overlap val="-71"/>
        <c:axId val="389375104"/>
        <c:axId val="389376640"/>
      </c:barChart>
      <c:catAx>
        <c:axId val="38937510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9376640"/>
        <c:crosses val="autoZero"/>
        <c:auto val="1"/>
        <c:lblAlgn val="ctr"/>
        <c:lblOffset val="100"/>
        <c:noMultiLvlLbl val="0"/>
      </c:catAx>
      <c:valAx>
        <c:axId val="389376640"/>
        <c:scaling>
          <c:orientation val="minMax"/>
        </c:scaling>
        <c:delete val="0"/>
        <c:axPos val="l"/>
        <c:majorGridlines>
          <c:spPr>
            <a:ln w="9525" cap="flat" cmpd="sng" algn="ctr">
              <a:solidFill>
                <a:schemeClr val="bg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93751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553e444-5152-4fba-bc5e-f564910af23b}"/>
      </c:ext>
    </c:extLst>
  </c:chart>
  <c:spPr>
    <a:solidFill>
      <a:schemeClr val="bg1"/>
    </a:solidFill>
    <a:ln w="0" cap="flat" cmpd="sng" algn="ctr">
      <a:solidFill>
        <a:schemeClr val="tx1">
          <a:lumMod val="15000"/>
          <a:lumOff val="85000"/>
          <a:alpha val="97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200" b="0"/>
              <a:t>单位：万元</a:t>
            </a:r>
            <a:endParaRPr sz="1200" b="0"/>
          </a:p>
        </c:rich>
      </c:tx>
      <c:layout>
        <c:manualLayout>
          <c:xMode val="edge"/>
          <c:yMode val="edge"/>
          <c:x val="0.761811537457583"/>
          <c:y val="0.0287631831255992"/>
        </c:manualLayout>
      </c:layout>
      <c:overlay val="0"/>
      <c:spPr>
        <a:noFill/>
        <a:ln>
          <a:noFill/>
        </a:ln>
        <a:effectLst/>
      </c:spPr>
    </c:title>
    <c:autoTitleDeleted val="0"/>
    <c:plotArea>
      <c:layout/>
      <c:pieChart>
        <c:varyColors val="1"/>
        <c:ser>
          <c:idx val="0"/>
          <c:order val="0"/>
          <c:tx>
            <c:strRef>
              <c:f>Sheet1!$B$1</c:f>
              <c:strCache>
                <c:ptCount val="1"/>
                <c:pt idx="0">
                  <c:v>支出</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t>30.78, </a:t>
                    </a:r>
                    <a:r>
                      <a:rPr lang="en-US" altLang="zh-CN"/>
                      <a:t>12.5</a:t>
                    </a:r>
                    <a:r>
                      <a:t>%</a:t>
                    </a:r>
                  </a:p>
                </c:rich>
              </c:tx>
              <c:dLblPos val="outEnd"/>
              <c:showLegendKey val="1"/>
              <c:showVal val="1"/>
              <c:showCatName val="0"/>
              <c:showSerName val="0"/>
              <c:showPercent val="1"/>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t>15.52, 6</a:t>
                    </a:r>
                    <a:r>
                      <a:rPr lang="en-US" altLang="zh-CN"/>
                      <a:t>.2</a:t>
                    </a:r>
                    <a:r>
                      <a:t>%</a:t>
                    </a:r>
                  </a:p>
                </c:rich>
              </c:tx>
              <c:dLblPos val="outEnd"/>
              <c:showLegendKey val="1"/>
              <c:showVal val="1"/>
              <c:showCatName val="0"/>
              <c:showSerName val="0"/>
              <c:showPercent val="1"/>
              <c:showBubbleSize val="0"/>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r>
                      <a:t>15.26, 6</a:t>
                    </a:r>
                    <a:r>
                      <a:rPr lang="en-US" altLang="zh-CN"/>
                      <a:t>.3</a:t>
                    </a:r>
                    <a:r>
                      <a:t>%</a:t>
                    </a:r>
                  </a:p>
                </c:rich>
              </c:tx>
              <c:dLblPos val="outEnd"/>
              <c:showLegendKey val="1"/>
              <c:showVal val="1"/>
              <c:showCatName val="0"/>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General</c:formatCode>
                <c:ptCount val="4"/>
                <c:pt idx="0">
                  <c:v>184.84</c:v>
                </c:pt>
                <c:pt idx="1">
                  <c:v>30.78</c:v>
                </c:pt>
                <c:pt idx="2">
                  <c:v>15.52</c:v>
                </c:pt>
                <c:pt idx="3">
                  <c:v>15.26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67058209344819"/>
          <c:y val="0.28020134228187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d1250bd-3405-43b4-966a-12d6337da619}"/>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99</Pages>
  <Words>4108</Words>
  <Characters>4437</Characters>
  <Lines>255</Lines>
  <Paragraphs>71</Paragraphs>
  <TotalTime>3</TotalTime>
  <ScaleCrop>false</ScaleCrop>
  <LinksUpToDate>false</LinksUpToDate>
  <CharactersWithSpaces>4477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2024-05-06T07:17:00Z</dcterms:created>
  <dc:creator>曹颖</dc:creator>
  <cp:lastModifiedBy>Administrator</cp:lastModifiedBy>
  <cp:lastPrinted>2023-10-26T09:15:00Z</cp:lastPrinted>
  <dcterms:modified xsi:type="dcterms:W3CDTF">2024-12-19T08:49:36Z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7FBA04434CA547199AD6D96DB4206670_13</vt:lpwstr>
  </property>
</Properties>
</file>