
<file path=[Content_Types].xml><?xml version="1.0" encoding="utf-8"?>
<Types xmlns="http://schemas.openxmlformats.org/package/2006/content-types">
  <Default Extension="xml" ContentType="application/xml"/>
  <Default Extension="xlsx" ContentType="application/vnd.openxmlformats-officedocument.spreadsheetml.sheet"/>
  <Default Extension="bin" ContentType="application/vnd.openxmlformats-officedocument.oleObject"/>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825A4C">
      <w:pPr>
        <w:spacing w:line="600" w:lineRule="exact"/>
        <w:jc w:val="center"/>
        <w:outlineLvl w:val="0"/>
        <w:rPr>
          <w:rFonts w:hint="default" w:ascii="Times New Roman" w:hAnsi="Times New Roman" w:eastAsia="方正小标宋简体" w:cs="Times New Roman"/>
          <w:sz w:val="72"/>
          <w:szCs w:val="72"/>
        </w:rPr>
      </w:pPr>
      <w:bookmarkStart w:id="0" w:name="_Toc15377425"/>
      <w:bookmarkStart w:id="1" w:name="_Toc15396475"/>
      <w:bookmarkStart w:id="2" w:name="_Toc15377193"/>
      <w:bookmarkStart w:id="3" w:name="_Toc15378441"/>
      <w:bookmarkStart w:id="4" w:name="_Toc15396597"/>
      <w:bookmarkStart w:id="5" w:name="_Toc15306267"/>
    </w:p>
    <w:p w14:paraId="65E99D0A">
      <w:pPr>
        <w:spacing w:line="600" w:lineRule="exact"/>
        <w:jc w:val="center"/>
        <w:outlineLvl w:val="0"/>
        <w:rPr>
          <w:rFonts w:hint="default" w:ascii="Times New Roman" w:hAnsi="Times New Roman" w:eastAsia="方正小标宋简体" w:cs="Times New Roman"/>
          <w:sz w:val="72"/>
          <w:szCs w:val="72"/>
        </w:rPr>
      </w:pPr>
    </w:p>
    <w:p w14:paraId="7FB75904">
      <w:pPr>
        <w:spacing w:line="600" w:lineRule="exact"/>
        <w:jc w:val="center"/>
        <w:outlineLvl w:val="0"/>
        <w:rPr>
          <w:rFonts w:hint="default" w:ascii="Times New Roman" w:hAnsi="Times New Roman" w:eastAsia="方正小标宋简体" w:cs="Times New Roman"/>
          <w:sz w:val="72"/>
          <w:szCs w:val="72"/>
        </w:rPr>
      </w:pPr>
    </w:p>
    <w:p w14:paraId="455FCFAB">
      <w:pPr>
        <w:adjustRightInd w:val="0"/>
        <w:snapToGrid w:val="0"/>
        <w:spacing w:line="360" w:lineRule="auto"/>
        <w:jc w:val="center"/>
        <w:outlineLvl w:val="0"/>
        <w:rPr>
          <w:rFonts w:hint="default" w:ascii="Times New Roman" w:hAnsi="Times New Roman" w:eastAsia="方正小标宋简体" w:cs="Times New Roman"/>
          <w:sz w:val="72"/>
          <w:szCs w:val="72"/>
        </w:rPr>
      </w:pPr>
      <w:r>
        <w:rPr>
          <w:rFonts w:hint="default" w:ascii="Times New Roman" w:hAnsi="Times New Roman" w:eastAsia="方正小标宋简体" w:cs="Times New Roman"/>
          <w:sz w:val="72"/>
          <w:szCs w:val="72"/>
        </w:rPr>
        <w:t>2022年度</w:t>
      </w:r>
      <w:bookmarkEnd w:id="0"/>
      <w:bookmarkEnd w:id="1"/>
      <w:bookmarkEnd w:id="2"/>
      <w:bookmarkEnd w:id="3"/>
      <w:bookmarkEnd w:id="4"/>
    </w:p>
    <w:bookmarkEnd w:id="5"/>
    <w:p w14:paraId="1466B9A8">
      <w:pPr>
        <w:adjustRightInd w:val="0"/>
        <w:snapToGrid w:val="0"/>
        <w:spacing w:line="360" w:lineRule="auto"/>
        <w:jc w:val="center"/>
        <w:outlineLvl w:val="0"/>
        <w:rPr>
          <w:rFonts w:hint="default" w:ascii="Times New Roman" w:hAnsi="Times New Roman" w:eastAsia="方正小标宋简体" w:cs="Times New Roman"/>
          <w:sz w:val="72"/>
          <w:szCs w:val="72"/>
        </w:rPr>
      </w:pPr>
      <w:bookmarkStart w:id="6" w:name="_Toc15396598"/>
      <w:bookmarkStart w:id="7" w:name="_Toc15396476"/>
      <w:bookmarkStart w:id="8" w:name="_Toc15306268"/>
      <w:bookmarkStart w:id="9" w:name="_Toc15377194"/>
      <w:bookmarkStart w:id="10" w:name="_Toc15378442"/>
      <w:bookmarkStart w:id="11" w:name="_Toc15377426"/>
      <w:r>
        <w:rPr>
          <w:rFonts w:hint="default" w:ascii="Times New Roman" w:hAnsi="Times New Roman" w:eastAsia="方正小标宋简体" w:cs="Times New Roman"/>
          <w:sz w:val="72"/>
          <w:szCs w:val="72"/>
          <w:lang w:eastAsia="zh-CN"/>
        </w:rPr>
        <w:t>盐边县医疗保障局</w:t>
      </w:r>
      <w:r>
        <w:rPr>
          <w:rFonts w:hint="default" w:ascii="Times New Roman" w:hAnsi="Times New Roman" w:eastAsia="方正小标宋简体" w:cs="Times New Roman"/>
          <w:sz w:val="72"/>
          <w:szCs w:val="72"/>
          <w:lang w:val="en-US" w:eastAsia="zh-CN"/>
        </w:rPr>
        <w:t xml:space="preserve">      </w:t>
      </w:r>
      <w:r>
        <w:rPr>
          <w:rFonts w:hint="default" w:ascii="Times New Roman" w:hAnsi="Times New Roman" w:eastAsia="方正小标宋简体" w:cs="Times New Roman"/>
          <w:sz w:val="72"/>
          <w:szCs w:val="72"/>
        </w:rPr>
        <w:t>部门决算</w:t>
      </w:r>
      <w:bookmarkEnd w:id="6"/>
      <w:bookmarkEnd w:id="7"/>
      <w:bookmarkEnd w:id="8"/>
      <w:bookmarkEnd w:id="9"/>
      <w:bookmarkEnd w:id="10"/>
      <w:bookmarkEnd w:id="11"/>
    </w:p>
    <w:p w14:paraId="3B8BA79C">
      <w:pPr>
        <w:widowControl/>
        <w:jc w:val="center"/>
        <w:rPr>
          <w:rFonts w:hint="default" w:ascii="Times New Roman" w:hAnsi="Times New Roman" w:eastAsia="仿宋_GB2312" w:cs="Times New Roman"/>
          <w:b/>
          <w:bCs/>
          <w:sz w:val="48"/>
          <w:szCs w:val="48"/>
        </w:rPr>
      </w:pPr>
    </w:p>
    <w:p w14:paraId="1548923A">
      <w:pPr>
        <w:widowControl/>
        <w:jc w:val="center"/>
        <w:rPr>
          <w:rFonts w:hint="default" w:ascii="Times New Roman" w:hAnsi="Times New Roman" w:eastAsia="仿宋_GB2312" w:cs="Times New Roman"/>
          <w:b/>
          <w:bCs/>
          <w:sz w:val="48"/>
          <w:szCs w:val="48"/>
        </w:rPr>
      </w:pPr>
    </w:p>
    <w:p w14:paraId="49018094">
      <w:pPr>
        <w:widowControl/>
        <w:jc w:val="center"/>
        <w:rPr>
          <w:rFonts w:hint="default" w:ascii="Times New Roman" w:hAnsi="Times New Roman" w:eastAsia="仿宋_GB2312" w:cs="Times New Roman"/>
          <w:b/>
          <w:bCs/>
          <w:sz w:val="48"/>
          <w:szCs w:val="48"/>
        </w:rPr>
      </w:pPr>
    </w:p>
    <w:p w14:paraId="50D07DFA">
      <w:pPr>
        <w:widowControl/>
        <w:jc w:val="center"/>
        <w:rPr>
          <w:rFonts w:hint="default" w:ascii="Times New Roman" w:hAnsi="Times New Roman" w:eastAsia="仿宋_GB2312" w:cs="Times New Roman"/>
          <w:b/>
          <w:bCs/>
          <w:sz w:val="48"/>
          <w:szCs w:val="48"/>
        </w:rPr>
      </w:pPr>
    </w:p>
    <w:p w14:paraId="2D39571D">
      <w:pPr>
        <w:widowControl/>
        <w:jc w:val="center"/>
        <w:rPr>
          <w:rFonts w:hint="default" w:ascii="Times New Roman" w:hAnsi="Times New Roman" w:eastAsia="仿宋_GB2312" w:cs="Times New Roman"/>
          <w:b/>
          <w:bCs/>
          <w:sz w:val="48"/>
          <w:szCs w:val="48"/>
        </w:rPr>
      </w:pPr>
    </w:p>
    <w:p w14:paraId="38E759FD">
      <w:pPr>
        <w:widowControl/>
        <w:jc w:val="center"/>
        <w:rPr>
          <w:rFonts w:hint="default" w:ascii="Times New Roman" w:hAnsi="Times New Roman" w:eastAsia="仿宋_GB2312" w:cs="Times New Roman"/>
          <w:b/>
          <w:bCs/>
          <w:sz w:val="48"/>
          <w:szCs w:val="48"/>
        </w:rPr>
      </w:pPr>
    </w:p>
    <w:p w14:paraId="34252085">
      <w:pPr>
        <w:widowControl/>
        <w:jc w:val="center"/>
        <w:rPr>
          <w:rFonts w:hint="default" w:ascii="Times New Roman" w:hAnsi="Times New Roman" w:eastAsia="仿宋_GB2312" w:cs="Times New Roman"/>
          <w:b/>
          <w:bCs/>
          <w:sz w:val="48"/>
          <w:szCs w:val="48"/>
        </w:rPr>
      </w:pPr>
    </w:p>
    <w:p w14:paraId="4D17276C">
      <w:pPr>
        <w:widowControl/>
        <w:jc w:val="center"/>
        <w:rPr>
          <w:rFonts w:hint="default" w:ascii="Times New Roman" w:hAnsi="Times New Roman" w:eastAsia="仿宋_GB2312" w:cs="Times New Roman"/>
          <w:b/>
          <w:bCs/>
          <w:sz w:val="48"/>
          <w:szCs w:val="48"/>
        </w:rPr>
      </w:pPr>
    </w:p>
    <w:p w14:paraId="0683A940">
      <w:pPr>
        <w:widowControl/>
        <w:jc w:val="center"/>
        <w:rPr>
          <w:rFonts w:hint="default" w:ascii="Times New Roman" w:hAnsi="Times New Roman" w:eastAsia="仿宋_GB2312" w:cs="Times New Roman"/>
          <w:b/>
          <w:bCs/>
          <w:sz w:val="48"/>
          <w:szCs w:val="48"/>
        </w:rPr>
      </w:pPr>
    </w:p>
    <w:p w14:paraId="0A49957E">
      <w:pPr>
        <w:widowControl/>
        <w:jc w:val="center"/>
        <w:rPr>
          <w:rFonts w:hint="default" w:ascii="Times New Roman" w:hAnsi="Times New Roman" w:eastAsia="仿宋_GB2312" w:cs="Times New Roman"/>
          <w:b/>
          <w:bCs/>
          <w:sz w:val="48"/>
          <w:szCs w:val="48"/>
        </w:rPr>
      </w:pPr>
    </w:p>
    <w:p w14:paraId="387F58B6">
      <w:pPr>
        <w:widowControl/>
        <w:jc w:val="both"/>
        <w:rPr>
          <w:rFonts w:hint="default" w:ascii="Times New Roman" w:hAnsi="Times New Roman" w:eastAsia="仿宋_GB2312" w:cs="Times New Roman"/>
          <w:b/>
          <w:bCs/>
          <w:sz w:val="48"/>
          <w:szCs w:val="48"/>
        </w:rPr>
      </w:pPr>
    </w:p>
    <w:p w14:paraId="620C8720">
      <w:pPr>
        <w:widowControl/>
        <w:jc w:val="center"/>
        <w:rPr>
          <w:rFonts w:hint="default" w:ascii="Times New Roman" w:hAnsi="Times New Roman" w:eastAsia="仿宋_GB2312" w:cs="Times New Roman"/>
          <w:b/>
          <w:bCs/>
          <w:sz w:val="48"/>
          <w:szCs w:val="48"/>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p>
    <w:p w14:paraId="14ECCE35">
      <w:pPr>
        <w:widowControl/>
        <w:jc w:val="center"/>
        <w:rPr>
          <w:rFonts w:hint="default" w:ascii="Times New Roman" w:hAnsi="Times New Roman" w:eastAsia="仿宋_GB2312" w:cs="Times New Roman"/>
          <w:sz w:val="28"/>
          <w:szCs w:val="28"/>
        </w:rPr>
      </w:pPr>
      <w:r>
        <w:rPr>
          <w:rFonts w:hint="default" w:ascii="Times New Roman" w:hAnsi="Times New Roman" w:eastAsia="仿宋_GB2312" w:cs="Times New Roman"/>
          <w:b/>
          <w:bCs/>
          <w:sz w:val="48"/>
          <w:szCs w:val="48"/>
        </w:rPr>
        <w:t>目</w:t>
      </w:r>
      <w:r>
        <w:rPr>
          <w:rFonts w:hint="default" w:ascii="Times New Roman" w:hAnsi="Times New Roman" w:eastAsia="仿宋_GB2312" w:cs="Times New Roman"/>
          <w:b/>
          <w:bCs/>
          <w:sz w:val="48"/>
          <w:szCs w:val="48"/>
          <w:lang w:val="en-US" w:eastAsia="zh-CN"/>
        </w:rPr>
        <w:t xml:space="preserve">  </w:t>
      </w:r>
      <w:r>
        <w:rPr>
          <w:rFonts w:hint="default" w:ascii="Times New Roman" w:hAnsi="Times New Roman" w:eastAsia="仿宋_GB2312" w:cs="Times New Roman"/>
          <w:b/>
          <w:bCs/>
          <w:sz w:val="48"/>
          <w:szCs w:val="48"/>
        </w:rPr>
        <w:t>录</w:t>
      </w:r>
    </w:p>
    <w:p w14:paraId="1827A50F">
      <w:pPr>
        <w:pStyle w:val="12"/>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公开时间：2023年10月26日</w:t>
      </w:r>
    </w:p>
    <w:p w14:paraId="5C1F70B1">
      <w:pPr>
        <w:pStyle w:val="12"/>
        <w:adjustRightInd w:val="0"/>
        <w:snapToGrid w:val="0"/>
        <w:spacing w:before="0" w:line="440" w:lineRule="exact"/>
        <w:jc w:val="left"/>
        <w:rPr>
          <w:rFonts w:hint="default" w:ascii="Times New Roman" w:hAnsi="Times New Roman" w:eastAsia="仿宋_GB2312" w:cs="Times New Roman"/>
          <w:b/>
          <w:bCs/>
          <w:sz w:val="28"/>
          <w:szCs w:val="28"/>
        </w:rPr>
      </w:pPr>
    </w:p>
    <w:p w14:paraId="69E61169">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b/>
          <w:bCs/>
          <w:sz w:val="28"/>
          <w:szCs w:val="28"/>
        </w:rPr>
      </w:pPr>
      <w:r>
        <w:rPr>
          <w:rFonts w:hint="default" w:ascii="Times New Roman" w:hAnsi="Times New Roman" w:eastAsia="仿宋_GB2312" w:cs="Times New Roman"/>
          <w:b/>
          <w:bCs/>
          <w:sz w:val="28"/>
          <w:szCs w:val="28"/>
        </w:rPr>
        <w:t>第一部分</w:t>
      </w:r>
      <w:r>
        <w:rPr>
          <w:rFonts w:hint="default"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部门概况</w:t>
      </w:r>
      <w:r>
        <w:rPr>
          <w:rFonts w:hint="default" w:ascii="Times New Roman" w:hAnsi="Times New Roman" w:eastAsia="仿宋_GB2312" w:cs="Times New Roman"/>
          <w:b/>
          <w:bCs/>
          <w:sz w:val="28"/>
          <w:szCs w:val="28"/>
        </w:rPr>
        <w:ptab w:relativeTo="margin" w:alignment="right" w:leader="dot"/>
      </w:r>
      <w:r>
        <w:rPr>
          <w:rFonts w:hint="default" w:ascii="Times New Roman" w:hAnsi="Times New Roman" w:eastAsia="仿宋_GB2312" w:cs="Times New Roman"/>
          <w:b/>
          <w:bCs/>
          <w:sz w:val="28"/>
          <w:szCs w:val="28"/>
        </w:rPr>
        <w:t>1</w:t>
      </w:r>
    </w:p>
    <w:p w14:paraId="44E29DCE">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一、部门职责</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rPr>
        <w:t>1</w:t>
      </w:r>
    </w:p>
    <w:p w14:paraId="19031BD3">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二、机构设置</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3</w:t>
      </w:r>
    </w:p>
    <w:p w14:paraId="22FAD46A">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b/>
          <w:bCs/>
          <w:sz w:val="28"/>
          <w:szCs w:val="28"/>
          <w:lang w:eastAsia="zh-CN"/>
        </w:rPr>
      </w:pPr>
      <w:r>
        <w:rPr>
          <w:rFonts w:hint="default" w:ascii="Times New Roman" w:hAnsi="Times New Roman" w:eastAsia="仿宋_GB2312" w:cs="Times New Roman"/>
          <w:b/>
          <w:bCs/>
          <w:sz w:val="28"/>
          <w:szCs w:val="28"/>
        </w:rPr>
        <w:t>第二部分 2022年度部门决算情况说明</w:t>
      </w:r>
      <w:r>
        <w:rPr>
          <w:rFonts w:hint="default" w:ascii="Times New Roman" w:hAnsi="Times New Roman" w:eastAsia="仿宋_GB2312" w:cs="Times New Roman"/>
          <w:b/>
          <w:bCs/>
          <w:sz w:val="28"/>
          <w:szCs w:val="28"/>
        </w:rPr>
        <w:ptab w:relativeTo="margin" w:alignment="right" w:leader="dot"/>
      </w:r>
      <w:r>
        <w:rPr>
          <w:rFonts w:hint="default" w:ascii="Times New Roman" w:hAnsi="Times New Roman" w:eastAsia="仿宋_GB2312" w:cs="Times New Roman"/>
          <w:b/>
          <w:bCs/>
          <w:sz w:val="28"/>
          <w:szCs w:val="28"/>
          <w:lang w:val="en-US" w:eastAsia="zh-CN"/>
        </w:rPr>
        <w:t>4</w:t>
      </w:r>
    </w:p>
    <w:p w14:paraId="72AF048E">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一、收入支出决算总体情况说明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4</w:t>
      </w:r>
    </w:p>
    <w:p w14:paraId="78A0A9DF">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二、收入决算情况说明</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4</w:t>
      </w:r>
    </w:p>
    <w:p w14:paraId="284133F6">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三、支出决算情况说明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5</w:t>
      </w:r>
    </w:p>
    <w:p w14:paraId="65F91B05">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四、财政拨款收入支出决算总体情况说明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6</w:t>
      </w:r>
    </w:p>
    <w:p w14:paraId="6689E778">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五、一般公共预算财政拨款支出决算情况说明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6</w:t>
      </w:r>
    </w:p>
    <w:p w14:paraId="50C6E885">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六、一般公共预算财政拨款基本支出决算情况说明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9</w:t>
      </w:r>
    </w:p>
    <w:p w14:paraId="4213FEBA">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eastAsia="zh-CN"/>
        </w:rPr>
      </w:pPr>
      <w:r>
        <w:rPr>
          <w:rFonts w:hint="default" w:ascii="Times New Roman" w:hAnsi="Times New Roman" w:eastAsia="仿宋_GB2312" w:cs="Times New Roman"/>
          <w:sz w:val="28"/>
          <w:szCs w:val="28"/>
        </w:rPr>
        <w:t>七、财政拨款“三公”经费支出决算情况说明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9</w:t>
      </w:r>
    </w:p>
    <w:p w14:paraId="202DEDC7">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八、政府性基金预算支出决算情况说明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11</w:t>
      </w:r>
    </w:p>
    <w:p w14:paraId="0E8E6EB0">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九、国有资本经营预算支出决算情况说明</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11</w:t>
      </w:r>
    </w:p>
    <w:p w14:paraId="64BFF433">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Style w:val="18"/>
          <w:rFonts w:hint="default" w:ascii="Times New Roman" w:hAnsi="Times New Roman" w:eastAsia="仿宋_GB2312" w:cs="Times New Roman"/>
          <w:color w:val="auto"/>
          <w:sz w:val="28"/>
          <w:szCs w:val="28"/>
          <w:u w:val="none"/>
        </w:rPr>
        <w:t>十、</w:t>
      </w:r>
      <w:r>
        <w:rPr>
          <w:rFonts w:hint="default" w:ascii="Times New Roman" w:hAnsi="Times New Roman" w:eastAsia="仿宋_GB2312" w:cs="Times New Roman"/>
          <w:sz w:val="28"/>
          <w:szCs w:val="28"/>
        </w:rPr>
        <w:t>其他重要事项的情况说明</w:t>
      </w:r>
      <w:r>
        <w:rPr>
          <w:rFonts w:hint="default" w:ascii="Times New Roman" w:hAnsi="Times New Roman" w:eastAsia="仿宋_GB2312" w:cs="Times New Roman"/>
          <w:sz w:val="28"/>
          <w:szCs w:val="28"/>
        </w:rPr>
        <w:tab/>
      </w:r>
      <w:r>
        <w:rPr>
          <w:rFonts w:hint="default" w:ascii="Times New Roman" w:hAnsi="Times New Roman" w:eastAsia="仿宋_GB2312" w:cs="Times New Roman"/>
          <w:sz w:val="28"/>
          <w:szCs w:val="28"/>
          <w:lang w:val="en-US" w:eastAsia="zh-CN"/>
        </w:rPr>
        <w:t>11</w:t>
      </w:r>
    </w:p>
    <w:p w14:paraId="644F278B">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rPr>
        <w:t>第三部分</w:t>
      </w:r>
      <w:r>
        <w:rPr>
          <w:rFonts w:hint="default"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名词解释</w:t>
      </w:r>
      <w:r>
        <w:rPr>
          <w:rFonts w:hint="default" w:ascii="Times New Roman" w:hAnsi="Times New Roman" w:eastAsia="仿宋_GB2312" w:cs="Times New Roman"/>
          <w:b/>
          <w:bCs/>
          <w:sz w:val="28"/>
          <w:szCs w:val="28"/>
        </w:rPr>
        <w:ptab w:relativeTo="margin" w:alignment="right" w:leader="dot"/>
      </w:r>
      <w:r>
        <w:rPr>
          <w:rFonts w:hint="default" w:ascii="Times New Roman" w:hAnsi="Times New Roman" w:eastAsia="仿宋_GB2312" w:cs="Times New Roman"/>
          <w:b/>
          <w:bCs/>
          <w:sz w:val="28"/>
          <w:szCs w:val="28"/>
          <w:lang w:val="en-US" w:eastAsia="zh-CN"/>
        </w:rPr>
        <w:t>1</w:t>
      </w:r>
      <w:r>
        <w:rPr>
          <w:rFonts w:hint="eastAsia" w:ascii="Times New Roman" w:hAnsi="Times New Roman" w:eastAsia="仿宋_GB2312" w:cs="Times New Roman"/>
          <w:b/>
          <w:bCs/>
          <w:sz w:val="28"/>
          <w:szCs w:val="28"/>
          <w:lang w:val="en-US" w:eastAsia="zh-CN"/>
        </w:rPr>
        <w:t>3</w:t>
      </w:r>
    </w:p>
    <w:p w14:paraId="0FF3ABA2">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rPr>
        <w:t>第四部分</w:t>
      </w:r>
      <w:r>
        <w:rPr>
          <w:rFonts w:hint="default"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附件</w:t>
      </w:r>
      <w:r>
        <w:rPr>
          <w:rFonts w:hint="default" w:ascii="Times New Roman" w:hAnsi="Times New Roman" w:eastAsia="仿宋_GB2312" w:cs="Times New Roman"/>
          <w:b/>
          <w:bCs/>
          <w:sz w:val="28"/>
          <w:szCs w:val="28"/>
        </w:rPr>
        <w:ptab w:relativeTo="margin" w:alignment="right" w:leader="dot"/>
      </w:r>
      <w:r>
        <w:rPr>
          <w:rFonts w:hint="default" w:ascii="Times New Roman" w:hAnsi="Times New Roman" w:eastAsia="仿宋_GB2312" w:cs="Times New Roman"/>
          <w:b/>
          <w:bCs/>
          <w:sz w:val="28"/>
          <w:szCs w:val="28"/>
          <w:lang w:val="en-US" w:eastAsia="zh-CN"/>
        </w:rPr>
        <w:t>1</w:t>
      </w:r>
      <w:r>
        <w:rPr>
          <w:rFonts w:hint="eastAsia" w:ascii="Times New Roman" w:hAnsi="Times New Roman" w:eastAsia="仿宋_GB2312" w:cs="Times New Roman"/>
          <w:b/>
          <w:bCs/>
          <w:sz w:val="28"/>
          <w:szCs w:val="28"/>
          <w:lang w:val="en-US" w:eastAsia="zh-CN"/>
        </w:rPr>
        <w:t>6</w:t>
      </w:r>
    </w:p>
    <w:p w14:paraId="2FAA3A90">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b/>
          <w:bCs/>
          <w:sz w:val="28"/>
          <w:szCs w:val="28"/>
        </w:rPr>
        <w:t>第五部分</w:t>
      </w:r>
      <w:r>
        <w:rPr>
          <w:rFonts w:hint="default" w:ascii="Times New Roman" w:hAnsi="Times New Roman" w:eastAsia="仿宋_GB2312" w:cs="Times New Roman"/>
          <w:b/>
          <w:bCs/>
          <w:sz w:val="28"/>
          <w:szCs w:val="28"/>
          <w:lang w:val="en-US" w:eastAsia="zh-CN"/>
        </w:rPr>
        <w:t xml:space="preserve"> </w:t>
      </w:r>
      <w:r>
        <w:rPr>
          <w:rFonts w:hint="default" w:ascii="Times New Roman" w:hAnsi="Times New Roman" w:eastAsia="仿宋_GB2312" w:cs="Times New Roman"/>
          <w:b/>
          <w:bCs/>
          <w:sz w:val="28"/>
          <w:szCs w:val="28"/>
        </w:rPr>
        <w:t>附表</w:t>
      </w:r>
      <w:r>
        <w:rPr>
          <w:rFonts w:hint="default" w:ascii="Times New Roman" w:hAnsi="Times New Roman" w:eastAsia="仿宋_GB2312" w:cs="Times New Roman"/>
          <w:b/>
          <w:bCs/>
          <w:sz w:val="28"/>
          <w:szCs w:val="28"/>
        </w:rPr>
        <w:ptab w:relativeTo="margin" w:alignment="right" w:leader="dot"/>
      </w:r>
      <w:r>
        <w:rPr>
          <w:rFonts w:hint="default" w:ascii="Times New Roman" w:hAnsi="Times New Roman" w:eastAsia="仿宋_GB2312" w:cs="Times New Roman"/>
          <w:b/>
          <w:bCs/>
          <w:sz w:val="28"/>
          <w:szCs w:val="28"/>
          <w:lang w:val="en-US" w:eastAsia="zh-CN"/>
        </w:rPr>
        <w:t>4</w:t>
      </w:r>
      <w:r>
        <w:rPr>
          <w:rFonts w:hint="eastAsia" w:ascii="Times New Roman" w:hAnsi="Times New Roman" w:eastAsia="仿宋_GB2312" w:cs="Times New Roman"/>
          <w:b/>
          <w:bCs/>
          <w:sz w:val="28"/>
          <w:szCs w:val="28"/>
          <w:lang w:val="en-US" w:eastAsia="zh-CN"/>
        </w:rPr>
        <w:t>3</w:t>
      </w:r>
    </w:p>
    <w:p w14:paraId="4D09E025">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一、收入支出决算总表</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4</w:t>
      </w:r>
      <w:r>
        <w:rPr>
          <w:rFonts w:hint="eastAsia" w:ascii="Times New Roman" w:hAnsi="Times New Roman" w:eastAsia="仿宋_GB2312" w:cs="Times New Roman"/>
          <w:sz w:val="28"/>
          <w:szCs w:val="28"/>
          <w:lang w:val="en-US" w:eastAsia="zh-CN"/>
        </w:rPr>
        <w:t>3</w:t>
      </w:r>
    </w:p>
    <w:p w14:paraId="2C27C540">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二、收入决算表</w:t>
      </w:r>
      <w:r>
        <w:rPr>
          <w:rFonts w:hint="default" w:ascii="Times New Roman" w:hAnsi="Times New Roman" w:eastAsia="仿宋_GB2312" w:cs="Times New Roman"/>
          <w:sz w:val="28"/>
          <w:szCs w:val="28"/>
        </w:rPr>
        <w:ptab w:relativeTo="margin" w:alignment="right" w:leader="dot"/>
      </w:r>
      <w:r>
        <w:rPr>
          <w:rFonts w:hint="default" w:ascii="Times New Roman" w:hAnsi="Times New Roman" w:eastAsia="仿宋_GB2312" w:cs="Times New Roman"/>
          <w:sz w:val="28"/>
          <w:szCs w:val="28"/>
          <w:lang w:val="en-US" w:eastAsia="zh-CN"/>
        </w:rPr>
        <w:t>4</w:t>
      </w:r>
      <w:r>
        <w:rPr>
          <w:rFonts w:hint="eastAsia" w:ascii="Times New Roman" w:hAnsi="Times New Roman" w:eastAsia="仿宋_GB2312" w:cs="Times New Roman"/>
          <w:sz w:val="28"/>
          <w:szCs w:val="28"/>
          <w:lang w:val="en-US" w:eastAsia="zh-CN"/>
        </w:rPr>
        <w:t>4</w:t>
      </w:r>
    </w:p>
    <w:p w14:paraId="29FDAC48">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三、支出决算表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45</w:t>
      </w:r>
    </w:p>
    <w:p w14:paraId="42D06EBF">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四、财政拨款收入支出决算总表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46</w:t>
      </w:r>
    </w:p>
    <w:p w14:paraId="06F67168">
      <w:pPr>
        <w:pStyle w:val="12"/>
        <w:keepNext w:val="0"/>
        <w:keepLines w:val="0"/>
        <w:pageBreakBefore w:val="0"/>
        <w:widowControl w:val="0"/>
        <w:kinsoku/>
        <w:wordWrap/>
        <w:overflowPunct/>
        <w:topLinePunct w:val="0"/>
        <w:autoSpaceDE/>
        <w:autoSpaceDN/>
        <w:bidi w:val="0"/>
        <w:adjustRightInd w:val="0"/>
        <w:snapToGrid w:val="0"/>
        <w:spacing w:before="0" w:line="360" w:lineRule="auto"/>
        <w:jc w:val="left"/>
        <w:textAlignment w:val="auto"/>
        <w:rPr>
          <w:rFonts w:hint="default" w:ascii="Times New Roman" w:hAnsi="Times New Roman" w:eastAsia="仿宋_GB2312" w:cs="Times New Roman"/>
          <w:sz w:val="28"/>
          <w:szCs w:val="28"/>
        </w:rPr>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pPr>
    </w:p>
    <w:p w14:paraId="05490A5C">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五、财政拨款支出决算明细表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47</w:t>
      </w:r>
    </w:p>
    <w:p w14:paraId="7D4F9693">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六、一般公共预算财政拨款支出决算表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48</w:t>
      </w:r>
    </w:p>
    <w:p w14:paraId="44F003EE">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七、一般公共预算财政拨款支出决算明细表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49</w:t>
      </w:r>
    </w:p>
    <w:p w14:paraId="47B8BCDC">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八、一般公共预算财政拨款基本支出决算明细表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51</w:t>
      </w:r>
    </w:p>
    <w:p w14:paraId="218EEDE4">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九、一般公共预算财政拨款项目支出决算表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52</w:t>
      </w:r>
    </w:p>
    <w:p w14:paraId="07727737">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十、政府性基金预算财政拨款收入支出决算表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53</w:t>
      </w:r>
    </w:p>
    <w:p w14:paraId="4BEC656A">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十一、国有资本经营预算财政拨款收入支出决算表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54</w:t>
      </w:r>
    </w:p>
    <w:p w14:paraId="2A83038E">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十二、国有资本经营预算财政拨款支出决算表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55</w:t>
      </w:r>
    </w:p>
    <w:p w14:paraId="07B9C921">
      <w:pPr>
        <w:pStyle w:val="12"/>
        <w:keepNext w:val="0"/>
        <w:keepLines w:val="0"/>
        <w:pageBreakBefore w:val="0"/>
        <w:widowControl w:val="0"/>
        <w:kinsoku/>
        <w:wordWrap/>
        <w:overflowPunct/>
        <w:topLinePunct w:val="0"/>
        <w:autoSpaceDE/>
        <w:autoSpaceDN/>
        <w:bidi w:val="0"/>
        <w:adjustRightInd w:val="0"/>
        <w:snapToGrid w:val="0"/>
        <w:spacing w:before="0" w:line="360" w:lineRule="auto"/>
        <w:ind w:firstLine="560" w:firstLineChars="200"/>
        <w:jc w:val="left"/>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rPr>
        <w:t>十三、财政拨款“三公”经费支出决算表</w:t>
      </w:r>
      <w:r>
        <w:rPr>
          <w:rFonts w:hint="default" w:ascii="Times New Roman" w:hAnsi="Times New Roman" w:eastAsia="仿宋_GB2312" w:cs="Times New Roman"/>
          <w:sz w:val="28"/>
          <w:szCs w:val="28"/>
        </w:rPr>
        <w:ptab w:relativeTo="margin" w:alignment="right" w:leader="dot"/>
      </w:r>
      <w:r>
        <w:rPr>
          <w:rFonts w:hint="eastAsia" w:ascii="Times New Roman" w:hAnsi="Times New Roman" w:eastAsia="仿宋_GB2312" w:cs="Times New Roman"/>
          <w:sz w:val="28"/>
          <w:szCs w:val="28"/>
          <w:lang w:val="en-US" w:eastAsia="zh-CN"/>
        </w:rPr>
        <w:t>56</w:t>
      </w:r>
    </w:p>
    <w:p w14:paraId="07263660">
      <w:pPr>
        <w:pStyle w:val="13"/>
        <w:keepNext w:val="0"/>
        <w:keepLines w:val="0"/>
        <w:pageBreakBefore w:val="0"/>
        <w:widowControl w:val="0"/>
        <w:kinsoku/>
        <w:wordWrap/>
        <w:overflowPunct/>
        <w:topLinePunct w:val="0"/>
        <w:autoSpaceDE/>
        <w:autoSpaceDN/>
        <w:bidi w:val="0"/>
        <w:adjustRightInd w:val="0"/>
        <w:snapToGrid w:val="0"/>
        <w:spacing w:line="360" w:lineRule="auto"/>
        <w:jc w:val="left"/>
        <w:textAlignment w:val="auto"/>
        <w:rPr>
          <w:rFonts w:hint="default" w:ascii="Times New Roman" w:hAnsi="Times New Roman" w:eastAsia="仿宋_GB2312" w:cs="Times New Roman"/>
          <w:sz w:val="28"/>
          <w:szCs w:val="28"/>
        </w:rPr>
      </w:pPr>
    </w:p>
    <w:p w14:paraId="4692E27F">
      <w:pPr>
        <w:pStyle w:val="2"/>
        <w:jc w:val="center"/>
        <w:rPr>
          <w:rFonts w:hint="default" w:ascii="Times New Roman" w:hAnsi="Times New Roman" w:eastAsia="黑体" w:cs="Times New Roman"/>
          <w:b w:val="0"/>
        </w:rPr>
        <w:sectPr>
          <w:footerReference r:id="rId8" w:type="first"/>
          <w:footerReference r:id="rId7" w:type="default"/>
          <w:pgSz w:w="11906" w:h="16838"/>
          <w:pgMar w:top="1440" w:right="1800" w:bottom="1440" w:left="1800" w:header="851" w:footer="992" w:gutter="0"/>
          <w:pgNumType w:fmt="numberInDash" w:start="1"/>
          <w:cols w:space="425" w:num="1"/>
          <w:titlePg/>
          <w:docGrid w:type="lines" w:linePitch="312" w:charSpace="0"/>
        </w:sectPr>
      </w:pPr>
      <w:bookmarkStart w:id="12" w:name="_Toc15377196"/>
      <w:bookmarkStart w:id="13" w:name="_Toc15396599"/>
    </w:p>
    <w:p w14:paraId="66C43DD5">
      <w:pPr>
        <w:pStyle w:val="2"/>
        <w:keepNext/>
        <w:keepLines/>
        <w:pageBreakBefore w:val="0"/>
        <w:widowControl w:val="0"/>
        <w:kinsoku/>
        <w:wordWrap/>
        <w:overflowPunct/>
        <w:topLinePunct w:val="0"/>
        <w:autoSpaceDE/>
        <w:autoSpaceDN/>
        <w:bidi w:val="0"/>
        <w:adjustRightInd/>
        <w:snapToGrid/>
        <w:spacing w:before="0" w:after="0" w:line="640" w:lineRule="exact"/>
        <w:jc w:val="center"/>
        <w:textAlignment w:val="auto"/>
        <w:rPr>
          <w:rStyle w:val="28"/>
          <w:rFonts w:hint="default" w:ascii="Times New Roman" w:hAnsi="Times New Roman" w:eastAsia="方正小标宋简体" w:cs="Times New Roman"/>
          <w:b/>
          <w:bCs w:val="0"/>
        </w:rPr>
      </w:pPr>
      <w:r>
        <w:rPr>
          <w:rFonts w:hint="default" w:ascii="Times New Roman" w:hAnsi="Times New Roman" w:eastAsia="方正小标宋简体" w:cs="Times New Roman"/>
          <w:b w:val="0"/>
        </w:rPr>
        <w:t xml:space="preserve">第一部分 </w:t>
      </w:r>
      <w:r>
        <w:rPr>
          <w:rStyle w:val="28"/>
          <w:rFonts w:hint="default" w:ascii="Times New Roman" w:hAnsi="Times New Roman" w:eastAsia="方正小标宋简体" w:cs="Times New Roman"/>
          <w:b w:val="0"/>
          <w:bCs w:val="0"/>
        </w:rPr>
        <w:t>部门概况</w:t>
      </w:r>
      <w:bookmarkEnd w:id="12"/>
      <w:bookmarkEnd w:id="13"/>
    </w:p>
    <w:p w14:paraId="0A0FFD6F">
      <w:pPr>
        <w:widowControl/>
        <w:jc w:val="left"/>
        <w:rPr>
          <w:rFonts w:hint="default" w:ascii="Times New Roman" w:hAnsi="Times New Roman" w:eastAsia="黑体" w:cs="Times New Roman"/>
          <w:sz w:val="32"/>
          <w:szCs w:val="32"/>
        </w:rPr>
      </w:pPr>
    </w:p>
    <w:p w14:paraId="21F1F8BF">
      <w:pPr>
        <w:pStyle w:val="3"/>
        <w:pageBreakBefore w:val="0"/>
        <w:numPr>
          <w:ilvl w:val="0"/>
          <w:numId w:val="0"/>
        </w:numPr>
        <w:kinsoku/>
        <w:wordWrap/>
        <w:overflowPunct/>
        <w:topLinePunct w:val="0"/>
        <w:autoSpaceDE/>
        <w:autoSpaceDN/>
        <w:bidi w:val="0"/>
        <w:adjustRightInd/>
        <w:snapToGrid/>
        <w:spacing w:before="0" w:after="0" w:line="560" w:lineRule="exact"/>
        <w:ind w:left="0" w:firstLine="640" w:firstLineChars="200"/>
        <w:textAlignment w:val="auto"/>
        <w:rPr>
          <w:rFonts w:hint="default" w:ascii="Times New Roman" w:hAnsi="Times New Roman" w:eastAsia="黑体" w:cs="Times New Roman"/>
          <w:b w:val="0"/>
        </w:rPr>
      </w:pPr>
      <w:r>
        <w:rPr>
          <w:rFonts w:hint="default" w:ascii="Times New Roman" w:hAnsi="Times New Roman" w:eastAsia="黑体" w:cs="Times New Roman"/>
          <w:b w:val="0"/>
          <w:bCs/>
          <w:kern w:val="2"/>
          <w:sz w:val="32"/>
          <w:szCs w:val="32"/>
          <w:lang w:val="en-US" w:eastAsia="zh-CN" w:bidi="ar-SA"/>
        </w:rPr>
        <w:t>一、</w:t>
      </w:r>
      <w:r>
        <w:rPr>
          <w:rFonts w:hint="default" w:ascii="Times New Roman" w:hAnsi="Times New Roman" w:eastAsia="黑体" w:cs="Times New Roman"/>
          <w:b w:val="0"/>
        </w:rPr>
        <w:t>部门职责</w:t>
      </w:r>
    </w:p>
    <w:p w14:paraId="26BE36D4">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val="en-US" w:eastAsia="zh-CN"/>
        </w:rPr>
        <w:t>（一）</w:t>
      </w:r>
      <w:r>
        <w:rPr>
          <w:rFonts w:hint="default" w:ascii="Times New Roman" w:hAnsi="Times New Roman" w:cs="Times New Roman"/>
          <w:color w:val="auto"/>
          <w:sz w:val="32"/>
          <w:szCs w:val="32"/>
        </w:rPr>
        <w:t>贯彻执行医疗保险、生育保险、医疗救助等医疗保障的</w:t>
      </w:r>
      <w:bookmarkStart w:id="58" w:name="_GoBack"/>
      <w:r>
        <w:rPr>
          <w:rFonts w:hint="default" w:ascii="Times New Roman" w:hAnsi="Times New Roman" w:cs="Times New Roman"/>
          <w:color w:val="auto"/>
          <w:sz w:val="32"/>
          <w:szCs w:val="32"/>
        </w:rPr>
        <w:t>法律、法规</w:t>
      </w:r>
      <w:bookmarkEnd w:id="58"/>
      <w:r>
        <w:rPr>
          <w:rFonts w:hint="default" w:ascii="Times New Roman" w:hAnsi="Times New Roman" w:cs="Times New Roman"/>
          <w:color w:val="auto"/>
          <w:sz w:val="32"/>
          <w:szCs w:val="32"/>
        </w:rPr>
        <w:t>、规章。拟订全县医疗保障事业发展规划，并组织实施和监督检查。</w:t>
      </w:r>
    </w:p>
    <w:p w14:paraId="3734F419">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（二）</w:t>
      </w:r>
      <w:r>
        <w:rPr>
          <w:rFonts w:hint="default" w:ascii="Times New Roman" w:hAnsi="Times New Roman" w:cs="Times New Roman"/>
          <w:color w:val="auto"/>
          <w:sz w:val="32"/>
          <w:szCs w:val="32"/>
        </w:rPr>
        <w:t>组织拟订并实施医疗保障基金监督管理制度，建立健全医疗保障基金安全防控机制，监督强化全县医疗保障基金运行管理。</w:t>
      </w:r>
    </w:p>
    <w:p w14:paraId="5A4FE180">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（三）</w:t>
      </w:r>
      <w:r>
        <w:rPr>
          <w:rFonts w:hint="default" w:ascii="Times New Roman" w:hAnsi="Times New Roman" w:cs="Times New Roman"/>
          <w:color w:val="auto"/>
          <w:sz w:val="32"/>
          <w:szCs w:val="32"/>
        </w:rPr>
        <w:t>实施医疗保障筹资和待遇政策，完善全县医疗保障筹资标准动态调整机制，统筹城乡医疗保障待遇标准，建立健全与筹资水平相适应的待遇调整机制。贯彻执行长期护理保险制度改革政策。</w:t>
      </w:r>
    </w:p>
    <w:p w14:paraId="131A8361">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（四）</w:t>
      </w:r>
      <w:r>
        <w:rPr>
          <w:rFonts w:hint="default" w:ascii="Times New Roman" w:hAnsi="Times New Roman" w:cs="Times New Roman"/>
          <w:color w:val="auto"/>
          <w:sz w:val="32"/>
          <w:szCs w:val="32"/>
        </w:rPr>
        <w:t>组织实施全省城乡统一的药品、医用耗材、医疗服务项目、医疗服务设施等医疗保障目录和支付标准，根据授权在医疗保障目录准入谈判规则下进行目录增补和支付标准的调整。</w:t>
      </w:r>
    </w:p>
    <w:p w14:paraId="6986D11E">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（五）</w:t>
      </w:r>
      <w:r>
        <w:rPr>
          <w:rFonts w:hint="default" w:ascii="Times New Roman" w:hAnsi="Times New Roman" w:cs="Times New Roman"/>
          <w:color w:val="auto"/>
          <w:sz w:val="32"/>
          <w:szCs w:val="32"/>
        </w:rPr>
        <w:t>参与拟订并组织实施全县统一的药品、医用耗材价格和医疗服务项目、医疗服务设施收费等政策，建立医保支付医药服务价格合理确定和动态调整机制，推动建立市场主导的社会医药服务价格形成机制，建立价格信息监测和信息发布制度。</w:t>
      </w:r>
    </w:p>
    <w:p w14:paraId="2848C3C0">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（六）</w:t>
      </w:r>
      <w:r>
        <w:rPr>
          <w:rFonts w:hint="default" w:ascii="Times New Roman" w:hAnsi="Times New Roman" w:cs="Times New Roman"/>
          <w:color w:val="auto"/>
          <w:sz w:val="32"/>
          <w:szCs w:val="32"/>
        </w:rPr>
        <w:t>贯彻执行全省药品、医用耗材的招标采购政策并监督实施，根据省、市安排部署，参与全省药品、医用耗材招标采购平台建设，承担并完成相关工作任务。</w:t>
      </w:r>
    </w:p>
    <w:p w14:paraId="46CB7F91">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（七）</w:t>
      </w:r>
      <w:r>
        <w:rPr>
          <w:rFonts w:hint="default" w:ascii="Times New Roman" w:hAnsi="Times New Roman" w:cs="Times New Roman"/>
          <w:color w:val="auto"/>
          <w:sz w:val="32"/>
          <w:szCs w:val="32"/>
        </w:rPr>
        <w:t>推进医疗保障基金支付方式改革，参与市级制定基金支付管理办法并组织实施。执行医疗保障信用评价体系和信息披露制度，监督管理纳入医疗保障范围内的医疗服务行为和医疗费用，依法查处医疗保障领域违法违规行为。</w:t>
      </w:r>
    </w:p>
    <w:p w14:paraId="44033F22">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（八）</w:t>
      </w:r>
      <w:r>
        <w:rPr>
          <w:rFonts w:hint="default" w:ascii="Times New Roman" w:hAnsi="Times New Roman" w:cs="Times New Roman"/>
          <w:color w:val="auto"/>
          <w:sz w:val="32"/>
          <w:szCs w:val="32"/>
        </w:rPr>
        <w:t>负责全县医疗保障业务经办管理和公共服务体系建设。组织实施异地就医管理和费用结算政策。贯彻执行医疗保障关系转移接续政策。指导和监督管理全县医保经办服务工作。开展医疗保障领域对外合作交流。</w:t>
      </w:r>
    </w:p>
    <w:p w14:paraId="16432BB4">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（九）</w:t>
      </w:r>
      <w:r>
        <w:rPr>
          <w:rFonts w:hint="default" w:ascii="Times New Roman" w:hAnsi="Times New Roman" w:cs="Times New Roman"/>
          <w:color w:val="auto"/>
          <w:sz w:val="32"/>
          <w:szCs w:val="32"/>
        </w:rPr>
        <w:t>参与拟订市级医疗保障信息化建设规划和信息化建设。组织开展医疗保障大数据管理和应用。</w:t>
      </w:r>
    </w:p>
    <w:p w14:paraId="3246C0A8">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（十）</w:t>
      </w:r>
      <w:r>
        <w:rPr>
          <w:rFonts w:hint="default" w:ascii="Times New Roman" w:hAnsi="Times New Roman" w:cs="Times New Roman"/>
          <w:color w:val="auto"/>
          <w:sz w:val="32"/>
          <w:szCs w:val="32"/>
        </w:rPr>
        <w:t>组织拟订县本级离休干部、六级以上革命伤残军人的医疗保障政策和副厅级以上干部、县级干部、高级知识分子的医疗照顾政策。</w:t>
      </w:r>
    </w:p>
    <w:p w14:paraId="624A76B4">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（十一）</w:t>
      </w:r>
      <w:r>
        <w:rPr>
          <w:rFonts w:hint="default" w:ascii="Times New Roman" w:hAnsi="Times New Roman" w:cs="Times New Roman"/>
          <w:color w:val="auto"/>
          <w:sz w:val="32"/>
          <w:szCs w:val="32"/>
        </w:rPr>
        <w:t>负责职责范围内的安全生产和职业健康、生态环境保护、审批服务便民化等工作。</w:t>
      </w:r>
    </w:p>
    <w:p w14:paraId="7045EB89">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（十二）</w:t>
      </w:r>
      <w:r>
        <w:rPr>
          <w:rFonts w:hint="default" w:ascii="Times New Roman" w:hAnsi="Times New Roman" w:cs="Times New Roman"/>
          <w:color w:val="auto"/>
          <w:sz w:val="32"/>
          <w:szCs w:val="32"/>
        </w:rPr>
        <w:t>完成县委、县政府交办的其他任务。</w:t>
      </w:r>
    </w:p>
    <w:p w14:paraId="533D8A8B">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（十三）</w:t>
      </w:r>
      <w:r>
        <w:rPr>
          <w:rFonts w:hint="default" w:ascii="Times New Roman" w:hAnsi="Times New Roman" w:cs="Times New Roman"/>
          <w:color w:val="auto"/>
          <w:sz w:val="32"/>
          <w:szCs w:val="32"/>
        </w:rPr>
        <w:t>职能转变。完善统一的城乡居民基本医疗保险和大病保险制度，不断提高医疗保障水平，建立健全覆盖全民、城乡统筹的多层次医疗保障体系，确保医疗保障资金合理使用、安全可控，推进医疗、医保、医药“三医联动”改革，更好地保障人民群众就医需求、减轻医药费用负担。</w:t>
      </w:r>
    </w:p>
    <w:p w14:paraId="432DA288">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eastAsia="zh-CN"/>
        </w:rPr>
        <w:t>（十四）</w:t>
      </w:r>
      <w:r>
        <w:rPr>
          <w:rFonts w:hint="default" w:ascii="Times New Roman" w:hAnsi="Times New Roman" w:cs="Times New Roman"/>
          <w:color w:val="auto"/>
          <w:sz w:val="32"/>
          <w:szCs w:val="32"/>
        </w:rPr>
        <w:t>有关职责分工。</w:t>
      </w:r>
    </w:p>
    <w:p w14:paraId="418F834D">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cs="Times New Roman"/>
          <w:color w:val="auto"/>
          <w:sz w:val="32"/>
          <w:szCs w:val="32"/>
        </w:rPr>
      </w:pPr>
      <w:r>
        <w:rPr>
          <w:rFonts w:hint="default" w:ascii="Times New Roman" w:hAnsi="Times New Roman" w:cs="Times New Roman"/>
          <w:color w:val="auto"/>
          <w:sz w:val="32"/>
          <w:szCs w:val="32"/>
          <w:lang w:val="en-US" w:eastAsia="zh-CN"/>
        </w:rPr>
        <w:t>1.</w:t>
      </w:r>
      <w:r>
        <w:rPr>
          <w:rFonts w:hint="default" w:ascii="Times New Roman" w:hAnsi="Times New Roman" w:cs="Times New Roman"/>
          <w:color w:val="auto"/>
          <w:sz w:val="32"/>
          <w:szCs w:val="32"/>
        </w:rPr>
        <w:t>与县卫生健康局的有关职责分工。两部门在医疗、医保、医药等方面加强制度、政策衔接，建立沟通协商机制，协同推进改革，提高医疗资源使用效率和医疗保障水平。</w:t>
      </w:r>
    </w:p>
    <w:p w14:paraId="75BEE30D">
      <w:pPr>
        <w:pStyle w:val="6"/>
        <w:pageBreakBefore w:val="0"/>
        <w:kinsoku/>
        <w:wordWrap/>
        <w:overflowPunct/>
        <w:topLinePunct w:val="0"/>
        <w:autoSpaceDE/>
        <w:autoSpaceDN/>
        <w:bidi w:val="0"/>
        <w:adjustRightInd/>
        <w:snapToGrid/>
        <w:spacing w:beforeLines="0" w:line="560" w:lineRule="exact"/>
        <w:ind w:lef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cs="Times New Roman"/>
          <w:color w:val="auto"/>
          <w:sz w:val="32"/>
          <w:szCs w:val="32"/>
          <w:lang w:val="en-US" w:eastAsia="zh-CN"/>
        </w:rPr>
        <w:t>2.</w:t>
      </w:r>
      <w:r>
        <w:rPr>
          <w:rFonts w:hint="default" w:ascii="Times New Roman" w:hAnsi="Times New Roman" w:cs="Times New Roman"/>
          <w:color w:val="auto"/>
          <w:sz w:val="32"/>
          <w:szCs w:val="32"/>
        </w:rPr>
        <w:t>与国家税务总局盐边县税务局的有关职责分工。两部门在医疗、生育、长期护理保险基金征缴工作等方面加强协调，建立沟通机制，共同做好社会保险费税务征缴的相关工作。</w:t>
      </w:r>
    </w:p>
    <w:p w14:paraId="24ECC79C">
      <w:pPr>
        <w:pStyle w:val="3"/>
        <w:pageBreakBefore w:val="0"/>
        <w:kinsoku/>
        <w:wordWrap/>
        <w:overflowPunct/>
        <w:topLinePunct w:val="0"/>
        <w:autoSpaceDE/>
        <w:autoSpaceDN/>
        <w:bidi w:val="0"/>
        <w:adjustRightInd/>
        <w:snapToGrid/>
        <w:spacing w:before="0" w:after="0" w:line="560" w:lineRule="exact"/>
        <w:ind w:left="0" w:firstLine="640" w:firstLineChars="200"/>
        <w:textAlignment w:val="auto"/>
        <w:rPr>
          <w:rStyle w:val="29"/>
          <w:rFonts w:hint="default" w:ascii="Times New Roman" w:hAnsi="Times New Roman" w:cs="Times New Roman"/>
          <w:b w:val="0"/>
          <w:bCs w:val="0"/>
        </w:rPr>
      </w:pPr>
      <w:bookmarkStart w:id="14" w:name="_Toc15377200"/>
      <w:bookmarkStart w:id="15" w:name="_Toc15396601"/>
      <w:r>
        <w:rPr>
          <w:rFonts w:hint="default" w:ascii="Times New Roman" w:hAnsi="Times New Roman" w:eastAsia="黑体" w:cs="Times New Roman"/>
          <w:b w:val="0"/>
        </w:rPr>
        <w:t>二、机</w:t>
      </w:r>
      <w:r>
        <w:rPr>
          <w:rStyle w:val="29"/>
          <w:rFonts w:hint="default" w:ascii="Times New Roman" w:hAnsi="Times New Roman" w:eastAsia="黑体" w:cs="Times New Roman"/>
          <w:b w:val="0"/>
          <w:bCs w:val="0"/>
        </w:rPr>
        <w:t>构设置</w:t>
      </w:r>
      <w:bookmarkEnd w:id="14"/>
      <w:bookmarkEnd w:id="15"/>
    </w:p>
    <w:p w14:paraId="1270CDAA">
      <w:pPr>
        <w:pageBreakBefore w:val="0"/>
        <w:widowControl/>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sz w:val="32"/>
          <w:szCs w:val="32"/>
        </w:rPr>
        <w:t>盐边县医疗保障局</w:t>
      </w:r>
      <w:r>
        <w:rPr>
          <w:rFonts w:hint="eastAsia" w:eastAsia="仿宋_GB2312" w:cs="Times New Roman"/>
          <w:color w:val="auto"/>
          <w:sz w:val="32"/>
          <w:szCs w:val="32"/>
          <w:lang w:eastAsia="zh-CN"/>
        </w:rPr>
        <w:t>下属二级预算单位</w:t>
      </w:r>
      <w:r>
        <w:rPr>
          <w:rFonts w:hint="eastAsia" w:eastAsia="仿宋_GB2312" w:cs="Times New Roman"/>
          <w:color w:val="auto"/>
          <w:sz w:val="32"/>
          <w:szCs w:val="32"/>
          <w:lang w:val="en-US" w:eastAsia="zh-CN"/>
        </w:rPr>
        <w:t>0个，</w:t>
      </w:r>
      <w:r>
        <w:rPr>
          <w:rFonts w:hint="default" w:ascii="Times New Roman" w:hAnsi="Times New Roman" w:eastAsia="仿宋_GB2312" w:cs="Times New Roman"/>
          <w:color w:val="auto"/>
          <w:sz w:val="32"/>
          <w:szCs w:val="32"/>
          <w:lang w:val="zh-CN"/>
        </w:rPr>
        <w:t>内设办公室和业务与政策法规股</w:t>
      </w:r>
      <w:r>
        <w:rPr>
          <w:rFonts w:hint="default" w:ascii="Times New Roman" w:hAnsi="Times New Roman" w:eastAsia="仿宋_GB2312" w:cs="Times New Roman"/>
          <w:color w:val="auto"/>
          <w:sz w:val="32"/>
          <w:szCs w:val="32"/>
        </w:rPr>
        <w:t>2个机构</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下属参照公务员法管理的事业单位1个</w:t>
      </w:r>
      <w:r>
        <w:rPr>
          <w:rFonts w:hint="default" w:ascii="Times New Roman" w:hAnsi="Times New Roman" w:eastAsia="仿宋_GB2312" w:cs="Times New Roman"/>
          <w:color w:val="auto"/>
          <w:sz w:val="32"/>
          <w:szCs w:val="32"/>
          <w:lang w:eastAsia="zh-CN"/>
        </w:rPr>
        <w:t>：盐边县医疗保障事务中心。</w:t>
      </w:r>
      <w:r>
        <w:rPr>
          <w:rFonts w:hint="default" w:ascii="Times New Roman" w:hAnsi="Times New Roman" w:eastAsia="仿宋_GB2312" w:cs="Times New Roman"/>
          <w:sz w:val="32"/>
          <w:szCs w:val="32"/>
          <w:lang w:val="en-US" w:eastAsia="zh-CN"/>
        </w:rPr>
        <w:t>按照决算管理有关规定，</w:t>
      </w:r>
      <w:r>
        <w:rPr>
          <w:rFonts w:hint="eastAsia" w:eastAsia="仿宋_GB2312" w:cs="Times New Roman"/>
          <w:sz w:val="32"/>
          <w:szCs w:val="32"/>
          <w:lang w:val="en-US" w:eastAsia="zh-CN"/>
        </w:rPr>
        <w:t>下属</w:t>
      </w:r>
      <w:r>
        <w:rPr>
          <w:rFonts w:hint="default" w:ascii="Times New Roman" w:hAnsi="Times New Roman" w:eastAsia="仿宋_GB2312" w:cs="Times New Roman"/>
          <w:sz w:val="32"/>
          <w:szCs w:val="32"/>
          <w:lang w:val="en-US" w:eastAsia="zh-CN"/>
        </w:rPr>
        <w:t>单位收支情况</w:t>
      </w:r>
      <w:r>
        <w:rPr>
          <w:rFonts w:hint="eastAsia" w:eastAsia="仿宋_GB2312" w:cs="Times New Roman"/>
          <w:sz w:val="32"/>
          <w:szCs w:val="32"/>
          <w:lang w:val="en-US" w:eastAsia="zh-CN"/>
        </w:rPr>
        <w:t>纳入</w:t>
      </w:r>
      <w:r>
        <w:rPr>
          <w:rFonts w:hint="default" w:ascii="Times New Roman" w:hAnsi="Times New Roman" w:eastAsia="仿宋_GB2312" w:cs="Times New Roman"/>
          <w:sz w:val="32"/>
          <w:szCs w:val="32"/>
          <w:lang w:val="en-US" w:eastAsia="zh-CN"/>
        </w:rPr>
        <w:t>部门决算编</w:t>
      </w:r>
      <w:r>
        <w:rPr>
          <w:rFonts w:hint="eastAsia" w:eastAsia="仿宋_GB2312" w:cs="Times New Roman"/>
          <w:sz w:val="32"/>
          <w:szCs w:val="32"/>
          <w:lang w:val="en-US" w:eastAsia="zh-CN"/>
        </w:rPr>
        <w:t>制范围</w:t>
      </w:r>
      <w:r>
        <w:rPr>
          <w:rFonts w:hint="default" w:ascii="Times New Roman" w:hAnsi="Times New Roman" w:eastAsia="仿宋_GB2312" w:cs="Times New Roman"/>
          <w:sz w:val="32"/>
          <w:szCs w:val="32"/>
          <w:lang w:val="en-US" w:eastAsia="zh-CN"/>
        </w:rPr>
        <w:t>。</w:t>
      </w:r>
    </w:p>
    <w:p w14:paraId="0267CB75">
      <w:pPr>
        <w:pageBreakBefore w:val="0"/>
        <w:widowControl/>
        <w:kinsoku/>
        <w:wordWrap/>
        <w:overflowPunct/>
        <w:topLinePunct w:val="0"/>
        <w:autoSpaceDE/>
        <w:autoSpaceDN/>
        <w:bidi w:val="0"/>
        <w:adjustRightInd/>
        <w:snapToGrid/>
        <w:spacing w:line="560" w:lineRule="exact"/>
        <w:ind w:left="0"/>
        <w:jc w:val="left"/>
        <w:textAlignment w:val="auto"/>
        <w:rPr>
          <w:rFonts w:hint="default" w:ascii="Times New Roman" w:hAnsi="Times New Roman" w:eastAsia="仿宋" w:cs="Times New Roman"/>
          <w:kern w:val="0"/>
          <w:sz w:val="32"/>
          <w:szCs w:val="32"/>
        </w:rPr>
      </w:pPr>
      <w:r>
        <w:rPr>
          <w:rFonts w:hint="default" w:ascii="Times New Roman" w:hAnsi="Times New Roman" w:eastAsia="仿宋_GB2312" w:cs="Times New Roman"/>
          <w:sz w:val="32"/>
          <w:szCs w:val="32"/>
        </w:rPr>
        <w:br w:type="page"/>
      </w:r>
    </w:p>
    <w:p w14:paraId="1CB31852">
      <w:pPr>
        <w:pStyle w:val="2"/>
        <w:keepNext/>
        <w:keepLines/>
        <w:pageBreakBefore w:val="0"/>
        <w:widowControl w:val="0"/>
        <w:kinsoku/>
        <w:wordWrap/>
        <w:overflowPunct/>
        <w:topLinePunct w:val="0"/>
        <w:autoSpaceDE/>
        <w:autoSpaceDN/>
        <w:bidi w:val="0"/>
        <w:adjustRightInd/>
        <w:snapToGrid/>
        <w:spacing w:before="0" w:after="0" w:line="560" w:lineRule="exact"/>
        <w:ind w:left="0"/>
        <w:jc w:val="center"/>
        <w:textAlignment w:val="auto"/>
        <w:rPr>
          <w:rFonts w:hint="default" w:ascii="Times New Roman" w:hAnsi="Times New Roman" w:eastAsia="方正小标宋简体" w:cs="Times New Roman"/>
          <w:b w:val="0"/>
        </w:rPr>
      </w:pPr>
      <w:bookmarkStart w:id="16" w:name="_Toc15396602"/>
      <w:bookmarkStart w:id="17" w:name="_Toc15377204"/>
      <w:r>
        <w:rPr>
          <w:rFonts w:hint="default" w:ascii="Times New Roman" w:hAnsi="Times New Roman" w:eastAsia="方正小标宋简体" w:cs="Times New Roman"/>
          <w:b w:val="0"/>
          <w:lang w:val="en-US" w:eastAsia="zh-CN"/>
        </w:rPr>
        <w:t xml:space="preserve"> </w:t>
      </w:r>
      <w:r>
        <w:rPr>
          <w:rFonts w:hint="default" w:ascii="Times New Roman" w:hAnsi="Times New Roman" w:eastAsia="方正小标宋简体" w:cs="Times New Roman"/>
          <w:b w:val="0"/>
        </w:rPr>
        <w:t>第二部分 2022年度部门决算情况说明</w:t>
      </w:r>
      <w:bookmarkEnd w:id="16"/>
      <w:bookmarkEnd w:id="17"/>
    </w:p>
    <w:p w14:paraId="092AE7B4">
      <w:pPr>
        <w:pageBreakBefore w:val="0"/>
        <w:kinsoku/>
        <w:wordWrap/>
        <w:overflowPunct/>
        <w:topLinePunct w:val="0"/>
        <w:autoSpaceDE/>
        <w:autoSpaceDN/>
        <w:bidi w:val="0"/>
        <w:adjustRightInd/>
        <w:snapToGrid/>
        <w:spacing w:line="560" w:lineRule="exact"/>
        <w:ind w:left="0"/>
        <w:textAlignment w:val="auto"/>
        <w:rPr>
          <w:rFonts w:hint="default" w:ascii="Times New Roman" w:hAnsi="Times New Roman" w:cs="Times New Roman"/>
        </w:rPr>
      </w:pPr>
    </w:p>
    <w:p w14:paraId="65EDCF8D">
      <w:pPr>
        <w:pStyle w:val="27"/>
        <w:pageBreakBefore w:val="0"/>
        <w:numPr>
          <w:ilvl w:val="0"/>
          <w:numId w:val="0"/>
        </w:numPr>
        <w:kinsoku/>
        <w:wordWrap/>
        <w:overflowPunct/>
        <w:topLinePunct w:val="0"/>
        <w:autoSpaceDE/>
        <w:autoSpaceDN/>
        <w:bidi w:val="0"/>
        <w:adjustRightInd/>
        <w:snapToGrid/>
        <w:spacing w:line="560" w:lineRule="exact"/>
        <w:ind w:left="1092" w:leftChars="304" w:hanging="454" w:hangingChars="142"/>
        <w:textAlignment w:val="auto"/>
        <w:outlineLvl w:val="1"/>
        <w:rPr>
          <w:rStyle w:val="29"/>
          <w:rFonts w:hint="default" w:ascii="Times New Roman" w:hAnsi="Times New Roman" w:eastAsia="黑体" w:cs="Times New Roman"/>
          <w:b w:val="0"/>
        </w:rPr>
      </w:pPr>
      <w:bookmarkStart w:id="18" w:name="_Toc15396603"/>
      <w:bookmarkStart w:id="19" w:name="_Toc15377205"/>
      <w:r>
        <w:rPr>
          <w:rFonts w:hint="default" w:ascii="Times New Roman" w:hAnsi="Times New Roman" w:eastAsia="黑体" w:cs="Times New Roman"/>
          <w:b w:val="0"/>
          <w:bCs/>
          <w:kern w:val="2"/>
          <w:sz w:val="32"/>
          <w:szCs w:val="32"/>
          <w:lang w:val="en-US" w:eastAsia="zh-CN" w:bidi="ar-SA"/>
        </w:rPr>
        <w:t>一、</w:t>
      </w:r>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入支出决算总体情况说明</w:t>
      </w:r>
      <w:bookmarkEnd w:id="18"/>
      <w:bookmarkEnd w:id="19"/>
    </w:p>
    <w:p w14:paraId="66E2AD76">
      <w:pPr>
        <w:pageBreakBefore w:val="0"/>
        <w:kinsoku/>
        <w:wordWrap/>
        <w:overflowPunct/>
        <w:topLinePunct w:val="0"/>
        <w:autoSpaceDE/>
        <w:autoSpaceDN/>
        <w:bidi w:val="0"/>
        <w:adjustRightInd/>
        <w:snapToGrid/>
        <w:spacing w:line="560" w:lineRule="exact"/>
        <w:ind w:left="0"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_GB2312" w:cs="Times New Roman"/>
          <w:sz w:val="32"/>
          <w:szCs w:val="32"/>
        </w:rPr>
        <w:t>2022年度收、支总计</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万元。与2021年相比，收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支总计减少1196.88</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55.51</w:t>
      </w:r>
      <w:r>
        <w:rPr>
          <w:rFonts w:hint="default" w:ascii="Times New Roman" w:hAnsi="Times New Roman" w:eastAsia="仿宋_GB2312" w:cs="Times New Roman"/>
          <w:sz w:val="32"/>
          <w:szCs w:val="32"/>
        </w:rPr>
        <w:t>%。主要变动原因是</w:t>
      </w:r>
      <w:r>
        <w:rPr>
          <w:rFonts w:hint="default" w:ascii="Times New Roman" w:hAnsi="Times New Roman" w:eastAsia="仿宋_GB2312" w:cs="Times New Roman"/>
          <w:sz w:val="32"/>
          <w:szCs w:val="32"/>
          <w:lang w:eastAsia="zh-CN"/>
        </w:rPr>
        <w:t>预算项目减少以及部分预算项目资金下降</w:t>
      </w:r>
      <w:r>
        <w:rPr>
          <w:rFonts w:hint="default" w:ascii="Times New Roman" w:hAnsi="Times New Roman" w:eastAsia="仿宋_GB2312" w:cs="Times New Roman"/>
          <w:sz w:val="32"/>
          <w:szCs w:val="32"/>
        </w:rPr>
        <w:t>。</w:t>
      </w:r>
    </w:p>
    <w:p w14:paraId="75A14BF1">
      <w:pPr>
        <w:pStyle w:val="6"/>
        <w:ind w:firstLine="640" w:firstLineChars="200"/>
        <w:rPr>
          <w:rFonts w:hint="default" w:ascii="Times New Roman" w:hAnsi="Times New Roman" w:eastAsia="仿宋" w:cs="Times New Roman"/>
          <w:color w:val="auto"/>
          <w:sz w:val="32"/>
          <w:szCs w:val="32"/>
          <w:lang w:eastAsia="zh-CN"/>
        </w:rPr>
      </w:pP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lang w:eastAsia="zh-CN"/>
        </w:rPr>
        <w:drawing>
          <wp:inline distT="0" distB="0" distL="114300" distR="114300">
            <wp:extent cx="4360545" cy="2870835"/>
            <wp:effectExtent l="5080" t="4445" r="15875" b="203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E33A86F">
      <w:pPr>
        <w:spacing w:line="600" w:lineRule="exact"/>
        <w:ind w:firstLine="2240" w:firstLineChars="7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图1：收、支决算总计变动情况图</w:t>
      </w:r>
    </w:p>
    <w:p w14:paraId="3861E25C">
      <w:pPr>
        <w:pStyle w:val="6"/>
        <w:rPr>
          <w:rFonts w:hint="default" w:ascii="Times New Roman" w:hAnsi="Times New Roman" w:cs="Times New Roman"/>
        </w:rPr>
      </w:pPr>
    </w:p>
    <w:p w14:paraId="3886A525">
      <w:pPr>
        <w:pStyle w:val="27"/>
        <w:keepNext w:val="0"/>
        <w:keepLines w:val="0"/>
        <w:pageBreakBefore w:val="0"/>
        <w:widowControl w:val="0"/>
        <w:numPr>
          <w:ilvl w:val="0"/>
          <w:numId w:val="0"/>
        </w:numPr>
        <w:kinsoku/>
        <w:wordWrap/>
        <w:overflowPunct/>
        <w:topLinePunct w:val="0"/>
        <w:autoSpaceDE/>
        <w:autoSpaceDN/>
        <w:bidi w:val="0"/>
        <w:adjustRightInd/>
        <w:snapToGrid/>
        <w:spacing w:line="360" w:lineRule="auto"/>
        <w:ind w:left="1360" w:leftChars="0" w:hanging="720" w:firstLineChars="0"/>
        <w:textAlignment w:val="auto"/>
        <w:outlineLvl w:val="1"/>
        <w:rPr>
          <w:rStyle w:val="29"/>
          <w:rFonts w:hint="default" w:ascii="Times New Roman" w:hAnsi="Times New Roman" w:eastAsia="黑体" w:cs="Times New Roman"/>
          <w:b w:val="0"/>
        </w:rPr>
      </w:pPr>
      <w:bookmarkStart w:id="20" w:name="_Toc15377206"/>
      <w:bookmarkStart w:id="21" w:name="_Toc15396604"/>
      <w:r>
        <w:rPr>
          <w:rFonts w:hint="default" w:ascii="Times New Roman" w:hAnsi="Times New Roman" w:eastAsia="黑体" w:cs="Times New Roman"/>
          <w:b w:val="0"/>
          <w:bCs/>
          <w:kern w:val="2"/>
          <w:sz w:val="32"/>
          <w:szCs w:val="32"/>
          <w:lang w:val="en-US" w:eastAsia="zh-CN" w:bidi="ar-SA"/>
        </w:rPr>
        <w:t>二、</w:t>
      </w:r>
      <w:r>
        <w:rPr>
          <w:rFonts w:hint="default" w:ascii="Times New Roman" w:hAnsi="Times New Roman" w:eastAsia="黑体" w:cs="Times New Roman"/>
          <w:sz w:val="32"/>
          <w:szCs w:val="32"/>
        </w:rPr>
        <w:t>收</w:t>
      </w:r>
      <w:r>
        <w:rPr>
          <w:rStyle w:val="29"/>
          <w:rFonts w:hint="default" w:ascii="Times New Roman" w:hAnsi="Times New Roman" w:eastAsia="黑体" w:cs="Times New Roman"/>
          <w:b w:val="0"/>
        </w:rPr>
        <w:t>入决算情况说明</w:t>
      </w:r>
      <w:bookmarkEnd w:id="20"/>
      <w:bookmarkEnd w:id="21"/>
    </w:p>
    <w:p w14:paraId="6C852B0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2022年本年收入合计</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万元，其中：一般公共预算财政拨款收入</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w:t>
      </w:r>
    </w:p>
    <w:p w14:paraId="74CCDA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 w:cs="Times New Roman"/>
          <w:color w:val="auto"/>
          <w:sz w:val="32"/>
          <w:szCs w:val="32"/>
        </w:rPr>
      </w:pPr>
    </w:p>
    <w:p w14:paraId="786E454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1"/>
        <w:rPr>
          <w:rFonts w:hint="default" w:ascii="Times New Roman" w:hAnsi="Times New Roman" w:eastAsia="仿宋" w:cs="Times New Roman"/>
          <w:color w:val="auto"/>
          <w:sz w:val="32"/>
          <w:szCs w:val="32"/>
        </w:rPr>
      </w:pPr>
    </w:p>
    <w:p w14:paraId="269958C9">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outlineLvl w:val="1"/>
        <w:rPr>
          <w:rFonts w:hint="default" w:ascii="Times New Roman" w:hAnsi="Times New Roman" w:eastAsia="仿宋_GB2312" w:cs="Times New Roman"/>
          <w:sz w:val="32"/>
          <w:szCs w:val="32"/>
        </w:rPr>
      </w:pPr>
      <w:r>
        <w:rPr>
          <w:rFonts w:hint="default" w:ascii="Times New Roman" w:hAnsi="Times New Roman" w:eastAsia="仿宋" w:cs="Times New Roman"/>
          <w:color w:val="auto"/>
          <w:sz w:val="32"/>
          <w:szCs w:val="32"/>
        </w:rPr>
        <w:drawing>
          <wp:inline distT="0" distB="0" distL="114300" distR="114300">
            <wp:extent cx="4207510" cy="3379470"/>
            <wp:effectExtent l="4445" t="4445" r="17145" b="698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3B70EE4">
      <w:pPr>
        <w:keepNext w:val="0"/>
        <w:keepLines w:val="0"/>
        <w:pageBreakBefore w:val="0"/>
        <w:widowControl w:val="0"/>
        <w:kinsoku/>
        <w:wordWrap/>
        <w:overflowPunct/>
        <w:topLinePunct w:val="0"/>
        <w:autoSpaceDE/>
        <w:autoSpaceDN/>
        <w:bidi w:val="0"/>
        <w:adjustRightInd/>
        <w:snapToGrid/>
        <w:spacing w:line="360" w:lineRule="auto"/>
        <w:ind w:firstLine="2560" w:firstLineChars="8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图2：收入决算结构图</w:t>
      </w:r>
    </w:p>
    <w:p w14:paraId="61AB0084">
      <w:pPr>
        <w:pStyle w:val="6"/>
        <w:rPr>
          <w:rFonts w:hint="default" w:ascii="Times New Roman" w:hAnsi="Times New Roman" w:cs="Times New Roman"/>
        </w:rPr>
      </w:pPr>
    </w:p>
    <w:p w14:paraId="29A14A4A">
      <w:pPr>
        <w:pStyle w:val="27"/>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360" w:leftChars="0" w:hanging="720" w:firstLineChars="0"/>
        <w:textAlignment w:val="auto"/>
        <w:outlineLvl w:val="1"/>
        <w:rPr>
          <w:rStyle w:val="29"/>
          <w:rFonts w:hint="default" w:ascii="Times New Roman" w:hAnsi="Times New Roman" w:eastAsia="黑体" w:cs="Times New Roman"/>
          <w:b w:val="0"/>
        </w:rPr>
      </w:pPr>
      <w:bookmarkStart w:id="22" w:name="_Toc15377207"/>
      <w:bookmarkStart w:id="23" w:name="_Toc15396605"/>
      <w:r>
        <w:rPr>
          <w:rFonts w:hint="default" w:ascii="Times New Roman" w:hAnsi="Times New Roman" w:eastAsia="黑体" w:cs="Times New Roman"/>
          <w:b w:val="0"/>
          <w:bCs/>
          <w:kern w:val="2"/>
          <w:sz w:val="32"/>
          <w:szCs w:val="32"/>
          <w:lang w:val="en-US" w:eastAsia="zh-CN" w:bidi="ar-SA"/>
        </w:rPr>
        <w:t>三、</w:t>
      </w:r>
      <w:r>
        <w:rPr>
          <w:rFonts w:hint="default" w:ascii="Times New Roman" w:hAnsi="Times New Roman" w:eastAsia="黑体" w:cs="Times New Roman"/>
          <w:sz w:val="32"/>
          <w:szCs w:val="32"/>
        </w:rPr>
        <w:t>支</w:t>
      </w:r>
      <w:r>
        <w:rPr>
          <w:rStyle w:val="29"/>
          <w:rFonts w:hint="default" w:ascii="Times New Roman" w:hAnsi="Times New Roman" w:eastAsia="黑体" w:cs="Times New Roman"/>
          <w:b w:val="0"/>
        </w:rPr>
        <w:t>出决算情况说明</w:t>
      </w:r>
      <w:bookmarkEnd w:id="22"/>
      <w:bookmarkEnd w:id="23"/>
    </w:p>
    <w:p w14:paraId="7EA0D91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2022年本年支出合计</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万元，其中：基本支出</w:t>
      </w:r>
      <w:r>
        <w:rPr>
          <w:rFonts w:hint="default" w:ascii="Times New Roman" w:hAnsi="Times New Roman" w:eastAsia="仿宋_GB2312" w:cs="Times New Roman"/>
          <w:sz w:val="32"/>
          <w:szCs w:val="32"/>
          <w:lang w:val="en-US" w:eastAsia="zh-CN"/>
        </w:rPr>
        <w:t>331.08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34.52</w:t>
      </w:r>
      <w:r>
        <w:rPr>
          <w:rFonts w:hint="default" w:ascii="Times New Roman" w:hAnsi="Times New Roman" w:eastAsia="仿宋_GB2312" w:cs="Times New Roman"/>
          <w:sz w:val="32"/>
          <w:szCs w:val="32"/>
        </w:rPr>
        <w:t>%；项目支出</w:t>
      </w:r>
      <w:r>
        <w:rPr>
          <w:rFonts w:hint="default" w:ascii="Times New Roman" w:hAnsi="Times New Roman" w:eastAsia="仿宋_GB2312" w:cs="Times New Roman"/>
          <w:sz w:val="32"/>
          <w:szCs w:val="32"/>
          <w:lang w:val="en-US" w:eastAsia="zh-CN"/>
        </w:rPr>
        <w:t>628.0</w:t>
      </w:r>
      <w:r>
        <w:rPr>
          <w:rFonts w:hint="eastAsia" w:eastAsia="仿宋_GB2312" w:cs="Times New Roman"/>
          <w:sz w:val="32"/>
          <w:szCs w:val="32"/>
          <w:lang w:val="en-US" w:eastAsia="zh-CN"/>
        </w:rPr>
        <w:t>7</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65.48</w:t>
      </w:r>
      <w:r>
        <w:rPr>
          <w:rFonts w:hint="default" w:ascii="Times New Roman" w:hAnsi="Times New Roman" w:eastAsia="仿宋_GB2312" w:cs="Times New Roman"/>
          <w:sz w:val="32"/>
          <w:szCs w:val="32"/>
        </w:rPr>
        <w:t>%。</w:t>
      </w:r>
    </w:p>
    <w:p w14:paraId="621C8466">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default" w:ascii="Times New Roman" w:hAnsi="Times New Roman" w:eastAsia="仿宋" w:cs="Times New Roman"/>
          <w:sz w:val="32"/>
          <w:szCs w:val="32"/>
          <w:shd w:val="pct10" w:color="auto" w:fill="FFFFFF"/>
          <w:lang w:eastAsia="zh-CN"/>
        </w:rPr>
      </w:pPr>
      <w:r>
        <w:rPr>
          <w:rFonts w:hint="default" w:ascii="Times New Roman" w:hAnsi="Times New Roman" w:eastAsia="仿宋" w:cs="Times New Roman"/>
          <w:sz w:val="32"/>
          <w:szCs w:val="32"/>
          <w:shd w:val="pct10" w:color="auto" w:fill="FFFFFF"/>
          <w:lang w:eastAsia="zh-CN"/>
        </w:rPr>
        <w:drawing>
          <wp:inline distT="0" distB="0" distL="114300" distR="114300">
            <wp:extent cx="4320540" cy="2686050"/>
            <wp:effectExtent l="4445" t="4445" r="18415" b="1460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2B15493">
      <w:pPr>
        <w:keepNext w:val="0"/>
        <w:keepLines w:val="0"/>
        <w:pageBreakBefore w:val="0"/>
        <w:widowControl w:val="0"/>
        <w:kinsoku/>
        <w:wordWrap/>
        <w:overflowPunct/>
        <w:topLinePunct w:val="0"/>
        <w:autoSpaceDE/>
        <w:autoSpaceDN/>
        <w:bidi w:val="0"/>
        <w:adjustRightInd/>
        <w:snapToGrid/>
        <w:spacing w:line="360" w:lineRule="auto"/>
        <w:ind w:firstLine="2560" w:firstLineChars="8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图3：支出决算结构图</w:t>
      </w:r>
    </w:p>
    <w:p w14:paraId="5DF9442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41AE81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29"/>
          <w:rFonts w:hint="default" w:ascii="Times New Roman" w:hAnsi="Times New Roman" w:eastAsia="黑体" w:cs="Times New Roman"/>
          <w:b w:val="0"/>
        </w:rPr>
      </w:pPr>
      <w:bookmarkStart w:id="24" w:name="_Toc15396606"/>
      <w:bookmarkStart w:id="25" w:name="_Toc15377208"/>
      <w:r>
        <w:rPr>
          <w:rFonts w:hint="default" w:ascii="Times New Roman" w:hAnsi="Times New Roman" w:eastAsia="黑体" w:cs="Times New Roman"/>
          <w:sz w:val="32"/>
          <w:szCs w:val="32"/>
        </w:rPr>
        <w:t>四、财</w:t>
      </w:r>
      <w:r>
        <w:rPr>
          <w:rStyle w:val="29"/>
          <w:rFonts w:hint="default" w:ascii="Times New Roman" w:hAnsi="Times New Roman" w:eastAsia="黑体" w:cs="Times New Roman"/>
          <w:b w:val="0"/>
        </w:rPr>
        <w:t>政拨款收入支出决算总体情况说明</w:t>
      </w:r>
      <w:bookmarkEnd w:id="24"/>
      <w:bookmarkEnd w:id="25"/>
    </w:p>
    <w:p w14:paraId="20C6DE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2022年财政拨款收、支总计</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万元。与2021年相比，财政拨款收</w:t>
      </w:r>
      <w:r>
        <w:rPr>
          <w:rFonts w:hint="default" w:ascii="Times New Roman" w:hAnsi="Times New Roman" w:eastAsia="仿宋_GB2312" w:cs="Times New Roman"/>
          <w:sz w:val="32"/>
          <w:szCs w:val="32"/>
          <w:lang w:eastAsia="zh-CN"/>
        </w:rPr>
        <w:t>、支总计减少</w:t>
      </w:r>
      <w:r>
        <w:rPr>
          <w:rFonts w:hint="default" w:ascii="Times New Roman" w:hAnsi="Times New Roman" w:eastAsia="仿宋_GB2312" w:cs="Times New Roman"/>
          <w:sz w:val="32"/>
          <w:szCs w:val="32"/>
          <w:lang w:val="en-US" w:eastAsia="zh-CN"/>
        </w:rPr>
        <w:t>1189.88万元，</w:t>
      </w:r>
      <w:r>
        <w:rPr>
          <w:rFonts w:hint="default" w:ascii="Times New Roman" w:hAnsi="Times New Roman" w:eastAsia="仿宋_GB2312" w:cs="Times New Roman"/>
          <w:sz w:val="32"/>
          <w:szCs w:val="32"/>
        </w:rPr>
        <w:t>下降</w:t>
      </w:r>
      <w:r>
        <w:rPr>
          <w:rFonts w:hint="default" w:ascii="Times New Roman" w:hAnsi="Times New Roman" w:eastAsia="仿宋_GB2312" w:cs="Times New Roman"/>
          <w:sz w:val="32"/>
          <w:szCs w:val="32"/>
          <w:lang w:val="en-US" w:eastAsia="zh-CN"/>
        </w:rPr>
        <w:t>55.37</w:t>
      </w:r>
      <w:r>
        <w:rPr>
          <w:rFonts w:hint="default" w:ascii="Times New Roman" w:hAnsi="Times New Roman" w:eastAsia="仿宋_GB2312" w:cs="Times New Roman"/>
          <w:sz w:val="32"/>
          <w:szCs w:val="32"/>
        </w:rPr>
        <w:t>%。主要变动原因是</w:t>
      </w:r>
      <w:r>
        <w:rPr>
          <w:rFonts w:hint="default" w:ascii="Times New Roman" w:hAnsi="Times New Roman" w:eastAsia="仿宋_GB2312" w:cs="Times New Roman"/>
          <w:sz w:val="32"/>
          <w:szCs w:val="32"/>
          <w:lang w:eastAsia="zh-CN"/>
        </w:rPr>
        <w:t>预算项目减少以及部分预算项目资金下降</w:t>
      </w:r>
      <w:r>
        <w:rPr>
          <w:rFonts w:hint="default" w:ascii="Times New Roman" w:hAnsi="Times New Roman" w:eastAsia="仿宋_GB2312" w:cs="Times New Roman"/>
          <w:sz w:val="32"/>
          <w:szCs w:val="32"/>
        </w:rPr>
        <w:t>。</w:t>
      </w:r>
    </w:p>
    <w:p w14:paraId="55D22FE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14:paraId="36C67BE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仿宋_GB2312" w:cs="Times New Roman"/>
          <w:sz w:val="32"/>
          <w:szCs w:val="32"/>
          <w:lang w:eastAsia="zh-CN"/>
        </w:rPr>
      </w:pPr>
      <w:r>
        <w:rPr>
          <w:rFonts w:hint="default" w:ascii="Times New Roman" w:hAnsi="Times New Roman" w:cs="Times New Roman"/>
          <w:sz w:val="32"/>
        </w:rPr>
        <mc:AlternateContent>
          <mc:Choice Requires="wps">
            <w:drawing>
              <wp:anchor distT="0" distB="0" distL="114300" distR="114300" simplePos="0" relativeHeight="251660288" behindDoc="0" locked="0" layoutInCell="1" allowOverlap="1">
                <wp:simplePos x="0" y="0"/>
                <wp:positionH relativeFrom="column">
                  <wp:posOffset>3633470</wp:posOffset>
                </wp:positionH>
                <wp:positionV relativeFrom="paragraph">
                  <wp:posOffset>201930</wp:posOffset>
                </wp:positionV>
                <wp:extent cx="1110615" cy="365125"/>
                <wp:effectExtent l="0" t="0" r="13335" b="15875"/>
                <wp:wrapNone/>
                <wp:docPr id="7" name="椭圆 2"/>
                <wp:cNvGraphicFramePr/>
                <a:graphic xmlns:a="http://schemas.openxmlformats.org/drawingml/2006/main">
                  <a:graphicData uri="http://schemas.microsoft.com/office/word/2010/wordprocessingShape">
                    <wps:wsp>
                      <wps:cNvSpPr/>
                      <wps:spPr>
                        <a:xfrm>
                          <a:off x="0" y="0"/>
                          <a:ext cx="1110615" cy="365125"/>
                        </a:xfrm>
                        <a:prstGeom prst="ellipse">
                          <a:avLst/>
                        </a:prstGeom>
                        <a:solidFill>
                          <a:srgbClr val="FFFFFF"/>
                        </a:solidFill>
                        <a:ln>
                          <a:noFill/>
                        </a:ln>
                      </wps:spPr>
                      <wps:txbx>
                        <w:txbxContent>
                          <w:p w14:paraId="461BA3F7">
                            <w:pPr>
                              <w:rPr>
                                <w:rFonts w:hint="eastAsia" w:eastAsia="宋体"/>
                                <w:lang w:eastAsia="zh-CN"/>
                              </w:rPr>
                            </w:pPr>
                            <w:r>
                              <w:rPr>
                                <w:rFonts w:hint="eastAsia"/>
                                <w:lang w:eastAsia="zh-CN"/>
                              </w:rPr>
                              <w:t>单位：万元</w:t>
                            </w:r>
                          </w:p>
                        </w:txbxContent>
                      </wps:txbx>
                      <wps:bodyPr upright="1"/>
                    </wps:wsp>
                  </a:graphicData>
                </a:graphic>
              </wp:anchor>
            </w:drawing>
          </mc:Choice>
          <mc:Fallback>
            <w:pict>
              <v:shape id="椭圆 2" o:spid="_x0000_s1026" o:spt="3" type="#_x0000_t3" style="position:absolute;left:0pt;margin-left:286.1pt;margin-top:15.9pt;height:28.75pt;width:87.45pt;z-index:251660288;mso-width-relative:page;mso-height-relative:page;" fillcolor="#FFFFFF" filled="t" stroked="f" coordsize="21600,21600" o:gfxdata="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eJ9yp1gAAAAkBAAAPAAAAAAAAAAEAIAAAACIAAABkcnMvZG93bnJldi54bWxQSwECFAAUAAAA&#10;CACHTuJAcSUDZbcBAABtAwAADgAAAAAAAAABACAAAAAlAQAAZHJzL2Uyb0RvYy54bWxQSwUGAAAA&#10;AAYABgBZAQAATgUAAAAA&#10;">
                <v:fill on="t" focussize="0,0"/>
                <v:stroke on="f"/>
                <v:imagedata o:title=""/>
                <o:lock v:ext="edit" aspectratio="f"/>
                <v:textbox>
                  <w:txbxContent>
                    <w:p w14:paraId="461BA3F7">
                      <w:pPr>
                        <w:rPr>
                          <w:rFonts w:hint="eastAsia" w:eastAsia="宋体"/>
                          <w:lang w:eastAsia="zh-CN"/>
                        </w:rPr>
                      </w:pPr>
                      <w:r>
                        <w:rPr>
                          <w:rFonts w:hint="eastAsia"/>
                          <w:lang w:eastAsia="zh-CN"/>
                        </w:rPr>
                        <w:t>单位：万元</w:t>
                      </w:r>
                    </w:p>
                  </w:txbxContent>
                </v:textbox>
              </v:shape>
            </w:pict>
          </mc:Fallback>
        </mc:AlternateContent>
      </w:r>
      <w:r>
        <w:rPr>
          <w:rFonts w:hint="default" w:ascii="Times New Roman" w:hAnsi="Times New Roman" w:eastAsia="仿宋_GB2312" w:cs="Times New Roman"/>
          <w:sz w:val="32"/>
          <w:szCs w:val="32"/>
          <w:lang w:eastAsia="zh-CN"/>
        </w:rPr>
        <w:drawing>
          <wp:inline distT="0" distB="0" distL="114300" distR="114300">
            <wp:extent cx="5066665" cy="2934335"/>
            <wp:effectExtent l="4445" t="4445" r="15240" b="1397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9F71523">
      <w:pPr>
        <w:keepNext w:val="0"/>
        <w:keepLines w:val="0"/>
        <w:pageBreakBefore w:val="0"/>
        <w:widowControl w:val="0"/>
        <w:kinsoku/>
        <w:wordWrap/>
        <w:overflowPunct/>
        <w:topLinePunct w:val="0"/>
        <w:autoSpaceDE/>
        <w:autoSpaceDN/>
        <w:bidi w:val="0"/>
        <w:adjustRightInd/>
        <w:snapToGrid/>
        <w:spacing w:line="360" w:lineRule="auto"/>
        <w:ind w:firstLine="1280" w:firstLineChars="4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图4：财政拨款收、支决算总计变动情况</w:t>
      </w:r>
    </w:p>
    <w:p w14:paraId="24BE22B2">
      <w:pPr>
        <w:keepNext w:val="0"/>
        <w:keepLines w:val="0"/>
        <w:pageBreakBefore w:val="0"/>
        <w:widowControl w:val="0"/>
        <w:kinsoku/>
        <w:wordWrap/>
        <w:overflowPunct/>
        <w:topLinePunct w:val="0"/>
        <w:autoSpaceDE/>
        <w:autoSpaceDN/>
        <w:bidi w:val="0"/>
        <w:adjustRightInd/>
        <w:snapToGrid/>
        <w:spacing w:line="360" w:lineRule="auto"/>
        <w:ind w:firstLine="640"/>
        <w:textAlignment w:val="auto"/>
        <w:rPr>
          <w:rFonts w:hint="default" w:ascii="Times New Roman" w:hAnsi="Times New Roman" w:eastAsia="仿宋" w:cs="Times New Roman"/>
          <w:b/>
          <w:sz w:val="32"/>
          <w:szCs w:val="32"/>
        </w:rPr>
      </w:pPr>
    </w:p>
    <w:p w14:paraId="65B3C32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1"/>
        <w:rPr>
          <w:rStyle w:val="29"/>
          <w:rFonts w:hint="default" w:ascii="Times New Roman" w:hAnsi="Times New Roman" w:eastAsia="黑体" w:cs="Times New Roman"/>
          <w:b w:val="0"/>
        </w:rPr>
      </w:pPr>
      <w:bookmarkStart w:id="26" w:name="_Toc15396607"/>
      <w:bookmarkStart w:id="27" w:name="_Toc15377209"/>
      <w:r>
        <w:rPr>
          <w:rFonts w:hint="default" w:ascii="Times New Roman" w:hAnsi="Times New Roman" w:eastAsia="黑体" w:cs="Times New Roman"/>
          <w:sz w:val="32"/>
          <w:szCs w:val="32"/>
        </w:rPr>
        <w:t>五、</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般公共预算财政拨款支出决算情况说明</w:t>
      </w:r>
      <w:bookmarkEnd w:id="26"/>
      <w:bookmarkEnd w:id="27"/>
    </w:p>
    <w:p w14:paraId="2B7BB0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28" w:name="_Toc15377210"/>
      <w:r>
        <w:rPr>
          <w:rFonts w:hint="default" w:ascii="Times New Roman" w:hAnsi="Times New Roman" w:eastAsia="楷体_GB2312" w:cs="Times New Roman"/>
          <w:b w:val="0"/>
          <w:bCs/>
          <w:sz w:val="32"/>
          <w:szCs w:val="32"/>
        </w:rPr>
        <w:t>（一）一般公共预算财政拨款支出决算总体情况</w:t>
      </w:r>
      <w:bookmarkEnd w:id="28"/>
      <w:r>
        <w:rPr>
          <w:rFonts w:hint="default" w:ascii="Times New Roman" w:hAnsi="Times New Roman" w:eastAsia="楷体_GB2312" w:cs="Times New Roman"/>
          <w:b w:val="0"/>
          <w:bCs/>
          <w:sz w:val="32"/>
          <w:szCs w:val="32"/>
          <w:lang w:eastAsia="zh-CN"/>
        </w:rPr>
        <w:t>。</w:t>
      </w:r>
    </w:p>
    <w:p w14:paraId="00039BF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万元，占本年支出合计的</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%。与2021年相比，一般公共预算财政拨款支出减少</w:t>
      </w:r>
      <w:r>
        <w:rPr>
          <w:rFonts w:hint="default" w:ascii="Times New Roman" w:hAnsi="Times New Roman" w:eastAsia="仿宋_GB2312" w:cs="Times New Roman"/>
          <w:sz w:val="32"/>
          <w:szCs w:val="32"/>
          <w:lang w:val="en-US" w:eastAsia="zh-CN"/>
        </w:rPr>
        <w:t>1154.48</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54.62</w:t>
      </w:r>
      <w:r>
        <w:rPr>
          <w:rFonts w:hint="default" w:ascii="Times New Roman" w:hAnsi="Times New Roman" w:eastAsia="仿宋_GB2312" w:cs="Times New Roman"/>
          <w:sz w:val="32"/>
          <w:szCs w:val="32"/>
        </w:rPr>
        <w:t>%。主要变动原因是</w:t>
      </w:r>
      <w:r>
        <w:rPr>
          <w:rFonts w:hint="default" w:ascii="Times New Roman" w:hAnsi="Times New Roman" w:eastAsia="仿宋_GB2312" w:cs="Times New Roman"/>
          <w:sz w:val="32"/>
          <w:szCs w:val="32"/>
          <w:lang w:eastAsia="zh-CN"/>
        </w:rPr>
        <w:t>预算项目减少以及部分预算项目资金下降。</w:t>
      </w:r>
    </w:p>
    <w:p w14:paraId="617D7C05">
      <w:pPr>
        <w:pStyle w:val="6"/>
        <w:rPr>
          <w:rFonts w:hint="default" w:ascii="Times New Roman" w:hAnsi="Times New Roman" w:cs="Times New Roman"/>
        </w:rPr>
      </w:pPr>
    </w:p>
    <w:p w14:paraId="4C22D343">
      <w:pPr>
        <w:pStyle w:val="6"/>
        <w:rPr>
          <w:rFonts w:hint="default" w:ascii="Times New Roman" w:hAnsi="Times New Roman" w:cs="Times New Roma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3863975</wp:posOffset>
                </wp:positionH>
                <wp:positionV relativeFrom="paragraph">
                  <wp:posOffset>273050</wp:posOffset>
                </wp:positionV>
                <wp:extent cx="1110615" cy="365125"/>
                <wp:effectExtent l="0" t="0" r="13335" b="15875"/>
                <wp:wrapNone/>
                <wp:docPr id="8" name="椭圆 3"/>
                <wp:cNvGraphicFramePr/>
                <a:graphic xmlns:a="http://schemas.openxmlformats.org/drawingml/2006/main">
                  <a:graphicData uri="http://schemas.microsoft.com/office/word/2010/wordprocessingShape">
                    <wps:wsp>
                      <wps:cNvSpPr/>
                      <wps:spPr>
                        <a:xfrm>
                          <a:off x="0" y="0"/>
                          <a:ext cx="1110615" cy="365125"/>
                        </a:xfrm>
                        <a:prstGeom prst="ellipse">
                          <a:avLst/>
                        </a:prstGeom>
                        <a:solidFill>
                          <a:srgbClr val="FFFFFF"/>
                        </a:solidFill>
                        <a:ln>
                          <a:noFill/>
                        </a:ln>
                      </wps:spPr>
                      <wps:txbx>
                        <w:txbxContent>
                          <w:p w14:paraId="725F1CA9">
                            <w:pPr>
                              <w:rPr>
                                <w:rFonts w:hint="eastAsia" w:eastAsia="宋体"/>
                                <w:lang w:eastAsia="zh-CN"/>
                              </w:rPr>
                            </w:pPr>
                            <w:r>
                              <w:rPr>
                                <w:rFonts w:hint="eastAsia"/>
                                <w:lang w:eastAsia="zh-CN"/>
                              </w:rPr>
                              <w:t>单位：万元</w:t>
                            </w:r>
                          </w:p>
                        </w:txbxContent>
                      </wps:txbx>
                      <wps:bodyPr upright="1"/>
                    </wps:wsp>
                  </a:graphicData>
                </a:graphic>
              </wp:anchor>
            </w:drawing>
          </mc:Choice>
          <mc:Fallback>
            <w:pict>
              <v:shape id="椭圆 3" o:spid="_x0000_s1026" o:spt="3" type="#_x0000_t3" style="position:absolute;left:0pt;margin-left:304.25pt;margin-top:21.5pt;height:28.75pt;width:87.45pt;z-index:251661312;mso-width-relative:page;mso-height-relative:page;" fillcolor="#FFFFFF" filled="t" stroked="f" coordsize="21600,21600" o:gfxdata="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29kVO1gAAAAoBAAAPAAAAAAAAAAEAIAAAACIAAABkcnMvZG93bnJldi54bWxQSwECFAAUAAAA&#10;CACHTuJA6Im0vLcBAABtAwAADgAAAAAAAAABACAAAAAlAQAAZHJzL2Uyb0RvYy54bWxQSwUGAAAA&#10;AAYABgBZAQAATgUAAAAA&#10;">
                <v:fill on="t" focussize="0,0"/>
                <v:stroke on="f"/>
                <v:imagedata o:title=""/>
                <o:lock v:ext="edit" aspectratio="f"/>
                <v:textbox>
                  <w:txbxContent>
                    <w:p w14:paraId="725F1CA9">
                      <w:pPr>
                        <w:rPr>
                          <w:rFonts w:hint="eastAsia" w:eastAsia="宋体"/>
                          <w:lang w:eastAsia="zh-CN"/>
                        </w:rPr>
                      </w:pPr>
                      <w:r>
                        <w:rPr>
                          <w:rFonts w:hint="eastAsia"/>
                          <w:lang w:eastAsia="zh-CN"/>
                        </w:rPr>
                        <w:t>单位：万元</w:t>
                      </w:r>
                    </w:p>
                  </w:txbxContent>
                </v:textbox>
              </v:shape>
            </w:pict>
          </mc:Fallback>
        </mc:AlternateContent>
      </w:r>
      <w:r>
        <w:rPr>
          <w:rFonts w:hint="default" w:ascii="Times New Roman" w:hAnsi="Times New Roman" w:cs="Times New Roman"/>
          <w:lang w:val="en-US" w:eastAsia="zh-CN"/>
        </w:rPr>
        <w:t xml:space="preserve">  </w:t>
      </w:r>
      <w:r>
        <w:rPr>
          <w:rFonts w:hint="default" w:ascii="Times New Roman" w:hAnsi="Times New Roman" w:cs="Times New Roman"/>
        </w:rPr>
        <w:drawing>
          <wp:inline distT="0" distB="0" distL="114300" distR="114300">
            <wp:extent cx="4932045" cy="2726690"/>
            <wp:effectExtent l="4445" t="4445" r="16510" b="1206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24D1EE37">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图5：一般公共预算财政拨款支出决算变动情况</w:t>
      </w:r>
    </w:p>
    <w:p w14:paraId="4D880931">
      <w:pPr>
        <w:pStyle w:val="6"/>
        <w:rPr>
          <w:rFonts w:hint="default" w:ascii="Times New Roman" w:hAnsi="Times New Roman" w:cs="Times New Roman"/>
        </w:rPr>
      </w:pPr>
    </w:p>
    <w:p w14:paraId="3FA136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29" w:name="_Toc15377211"/>
      <w:r>
        <w:rPr>
          <w:rFonts w:hint="default" w:ascii="Times New Roman" w:hAnsi="Times New Roman" w:eastAsia="楷体_GB2312" w:cs="Times New Roman"/>
          <w:b w:val="0"/>
          <w:bCs/>
          <w:sz w:val="32"/>
          <w:szCs w:val="32"/>
        </w:rPr>
        <w:t>（二）一般公共预算财政拨款支出决算结构情况</w:t>
      </w:r>
      <w:bookmarkEnd w:id="29"/>
      <w:r>
        <w:rPr>
          <w:rFonts w:hint="default" w:ascii="Times New Roman" w:hAnsi="Times New Roman" w:eastAsia="楷体_GB2312" w:cs="Times New Roman"/>
          <w:b w:val="0"/>
          <w:bCs/>
          <w:sz w:val="32"/>
          <w:szCs w:val="32"/>
          <w:lang w:eastAsia="zh-CN"/>
        </w:rPr>
        <w:t>。</w:t>
      </w:r>
    </w:p>
    <w:p w14:paraId="5232DE2F">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2022年一般公共预算财政拨款支出</w:t>
      </w:r>
      <w:r>
        <w:rPr>
          <w:rFonts w:hint="default" w:ascii="Times New Roman" w:hAnsi="Times New Roman" w:eastAsia="仿宋_GB2312" w:cs="Times New Roman"/>
          <w:sz w:val="32"/>
          <w:szCs w:val="32"/>
          <w:lang w:val="en-US" w:eastAsia="zh-CN"/>
        </w:rPr>
        <w:t>959.14</w:t>
      </w:r>
      <w:r>
        <w:rPr>
          <w:rFonts w:hint="default" w:ascii="Times New Roman" w:hAnsi="Times New Roman" w:eastAsia="仿宋_GB2312" w:cs="Times New Roman"/>
          <w:sz w:val="32"/>
          <w:szCs w:val="32"/>
        </w:rPr>
        <w:t>万元，主要用于以下方面</w:t>
      </w:r>
      <w:r>
        <w:rPr>
          <w:rFonts w:hint="eastAsia" w:eastAsia="仿宋_GB2312" w:cs="Times New Roman"/>
          <w:sz w:val="32"/>
          <w:szCs w:val="32"/>
          <w:lang w:eastAsia="zh-CN"/>
        </w:rPr>
        <w:t>：</w:t>
      </w:r>
      <w:r>
        <w:rPr>
          <w:rFonts w:hint="default" w:ascii="Times New Roman" w:hAnsi="Times New Roman" w:eastAsia="仿宋_GB2312" w:cs="Times New Roman"/>
          <w:b/>
          <w:sz w:val="32"/>
          <w:szCs w:val="32"/>
        </w:rPr>
        <w:t>社会保障和就业</w:t>
      </w:r>
      <w:r>
        <w:rPr>
          <w:rFonts w:hint="default" w:ascii="Times New Roman" w:hAnsi="Times New Roman" w:eastAsia="仿宋_GB2312" w:cs="Times New Roman"/>
          <w:b/>
          <w:bCs/>
          <w:sz w:val="32"/>
          <w:szCs w:val="32"/>
        </w:rPr>
        <w:t>支出</w:t>
      </w:r>
      <w:r>
        <w:rPr>
          <w:rFonts w:hint="default" w:ascii="Times New Roman" w:hAnsi="Times New Roman" w:eastAsia="仿宋_GB2312" w:cs="Times New Roman"/>
          <w:sz w:val="32"/>
          <w:szCs w:val="32"/>
          <w:lang w:val="en-US" w:eastAsia="zh-CN"/>
        </w:rPr>
        <w:t>27.1</w:t>
      </w:r>
      <w:r>
        <w:rPr>
          <w:rFonts w:hint="eastAsia" w:eastAsia="仿宋_GB2312" w:cs="Times New Roman"/>
          <w:sz w:val="32"/>
          <w:szCs w:val="32"/>
          <w:lang w:val="en-US" w:eastAsia="zh-CN"/>
        </w:rPr>
        <w:t>3</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2.83</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卫生健康支出</w:t>
      </w:r>
      <w:r>
        <w:rPr>
          <w:rFonts w:hint="default" w:ascii="Times New Roman" w:hAnsi="Times New Roman" w:eastAsia="仿宋_GB2312" w:cs="Times New Roman"/>
          <w:b w:val="0"/>
          <w:bCs w:val="0"/>
          <w:sz w:val="32"/>
          <w:szCs w:val="32"/>
          <w:lang w:val="en-US" w:eastAsia="zh-CN"/>
        </w:rPr>
        <w:t>908.04</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94.67</w:t>
      </w:r>
      <w:r>
        <w:rPr>
          <w:rFonts w:hint="default" w:ascii="Times New Roman" w:hAnsi="Times New Roman" w:eastAsia="仿宋_GB2312" w:cs="Times New Roman"/>
          <w:sz w:val="32"/>
          <w:szCs w:val="32"/>
        </w:rPr>
        <w:t>%；</w:t>
      </w:r>
      <w:r>
        <w:rPr>
          <w:rFonts w:hint="default" w:ascii="Times New Roman" w:hAnsi="Times New Roman" w:eastAsia="仿宋_GB2312" w:cs="Times New Roman"/>
          <w:b/>
          <w:bCs/>
          <w:sz w:val="32"/>
          <w:szCs w:val="32"/>
        </w:rPr>
        <w:t>住房保障支出</w:t>
      </w:r>
      <w:r>
        <w:rPr>
          <w:rFonts w:hint="default" w:ascii="Times New Roman" w:hAnsi="Times New Roman" w:eastAsia="仿宋_GB2312" w:cs="Times New Roman"/>
          <w:sz w:val="32"/>
          <w:szCs w:val="32"/>
          <w:lang w:val="en-US" w:eastAsia="zh-CN"/>
        </w:rPr>
        <w:t>23.98</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w:t>
      </w:r>
    </w:p>
    <w:p w14:paraId="5C5CAE25">
      <w:pPr>
        <w:pStyle w:val="6"/>
        <w:rPr>
          <w:rFonts w:hint="default" w:ascii="Times New Roman" w:hAnsi="Times New Roman" w:eastAsia="仿宋" w:cs="Times New Roman"/>
          <w:sz w:val="32"/>
          <w:szCs w:val="32"/>
        </w:rPr>
      </w:pPr>
      <w:r>
        <w:rPr>
          <w:rFonts w:hint="default" w:ascii="Times New Roman" w:hAnsi="Times New Roman" w:eastAsia="仿宋" w:cs="Times New Roman"/>
          <w:b/>
          <w:color w:val="auto"/>
          <w:sz w:val="32"/>
          <w:szCs w:val="32"/>
          <w:lang w:val="en-US" w:eastAsia="zh-CN"/>
        </w:rPr>
        <w:t xml:space="preserve">    </w:t>
      </w:r>
      <w:r>
        <w:rPr>
          <w:rFonts w:hint="default" w:ascii="Times New Roman" w:hAnsi="Times New Roman" w:eastAsia="仿宋" w:cs="Times New Roman"/>
          <w:b/>
          <w:color w:val="auto"/>
          <w:sz w:val="32"/>
          <w:szCs w:val="32"/>
        </w:rPr>
        <w:drawing>
          <wp:inline distT="0" distB="0" distL="114300" distR="114300">
            <wp:extent cx="4408170" cy="2724150"/>
            <wp:effectExtent l="4445" t="5080" r="6985" b="1397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999FAEA">
      <w:pPr>
        <w:keepNext w:val="0"/>
        <w:keepLines w:val="0"/>
        <w:pageBreakBefore w:val="0"/>
        <w:widowControl w:val="0"/>
        <w:kinsoku/>
        <w:wordWrap/>
        <w:overflowPunct/>
        <w:topLinePunct w:val="0"/>
        <w:autoSpaceDE/>
        <w:autoSpaceDN/>
        <w:bidi w:val="0"/>
        <w:adjustRightInd/>
        <w:snapToGrid/>
        <w:spacing w:line="360" w:lineRule="auto"/>
        <w:ind w:firstLine="960" w:firstLineChars="300"/>
        <w:textAlignment w:val="auto"/>
        <w:rPr>
          <w:rFonts w:hint="default" w:ascii="Times New Roman" w:hAnsi="Times New Roman" w:cs="Times New Roman"/>
        </w:rPr>
      </w:pPr>
      <w:r>
        <w:rPr>
          <w:rFonts w:hint="default" w:ascii="Times New Roman" w:hAnsi="Times New Roman" w:eastAsia="仿宋_GB2312" w:cs="Times New Roman"/>
          <w:sz w:val="32"/>
          <w:szCs w:val="32"/>
        </w:rPr>
        <w:t>图6：一般公共预算财政拨款支出决算结构</w:t>
      </w:r>
    </w:p>
    <w:p w14:paraId="1FDFE74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30" w:name="_Toc15377212"/>
      <w:r>
        <w:rPr>
          <w:rFonts w:hint="default" w:ascii="Times New Roman" w:hAnsi="Times New Roman" w:eastAsia="楷体_GB2312" w:cs="Times New Roman"/>
          <w:b w:val="0"/>
          <w:bCs/>
          <w:sz w:val="32"/>
          <w:szCs w:val="32"/>
        </w:rPr>
        <w:t>（三）一般公共预算财政拨款支出决算具体情况</w:t>
      </w:r>
      <w:bookmarkEnd w:id="30"/>
      <w:r>
        <w:rPr>
          <w:rFonts w:hint="default" w:ascii="Times New Roman" w:hAnsi="Times New Roman" w:eastAsia="楷体_GB2312" w:cs="Times New Roman"/>
          <w:b w:val="0"/>
          <w:bCs/>
          <w:sz w:val="32"/>
          <w:szCs w:val="32"/>
          <w:lang w:eastAsia="zh-CN"/>
        </w:rPr>
        <w:t>。</w:t>
      </w:r>
    </w:p>
    <w:p w14:paraId="7DF4087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outlineLvl w:val="2"/>
        <w:rPr>
          <w:rFonts w:hint="default" w:ascii="Times New Roman" w:hAnsi="Times New Roman" w:eastAsia="仿宋_GB2312" w:cs="Times New Roman"/>
          <w:sz w:val="32"/>
          <w:szCs w:val="32"/>
        </w:rPr>
      </w:pPr>
      <w:bookmarkStart w:id="31" w:name="_Toc15378460"/>
      <w:bookmarkStart w:id="32" w:name="_Toc15377444"/>
      <w:bookmarkStart w:id="33" w:name="_Toc15377213"/>
      <w:r>
        <w:rPr>
          <w:rFonts w:hint="default" w:ascii="Times New Roman" w:hAnsi="Times New Roman" w:eastAsia="仿宋_GB2312" w:cs="Times New Roman"/>
          <w:b/>
          <w:sz w:val="32"/>
          <w:szCs w:val="32"/>
        </w:rPr>
        <w:t>2022年一般公共预算支出决算数为</w:t>
      </w:r>
      <w:r>
        <w:rPr>
          <w:rFonts w:hint="default" w:ascii="Times New Roman" w:hAnsi="Times New Roman" w:eastAsia="仿宋_GB2312" w:cs="Times New Roman"/>
          <w:b/>
          <w:sz w:val="32"/>
          <w:szCs w:val="32"/>
          <w:lang w:val="en-US" w:eastAsia="zh-CN"/>
        </w:rPr>
        <w:t>959.14万元</w:t>
      </w:r>
      <w:r>
        <w:rPr>
          <w:rFonts w:hint="default" w:ascii="Times New Roman" w:hAnsi="Times New Roman" w:eastAsia="仿宋_GB2312" w:cs="Times New Roman"/>
          <w:sz w:val="32"/>
          <w:szCs w:val="32"/>
        </w:rPr>
        <w:t>，</w:t>
      </w:r>
      <w:r>
        <w:rPr>
          <w:rStyle w:val="17"/>
          <w:rFonts w:hint="default" w:ascii="Times New Roman" w:hAnsi="Times New Roman" w:eastAsia="仿宋_GB2312" w:cs="Times New Roman"/>
          <w:bCs/>
          <w:sz w:val="32"/>
          <w:szCs w:val="32"/>
        </w:rPr>
        <w:t>完成预算</w:t>
      </w:r>
      <w:r>
        <w:rPr>
          <w:rStyle w:val="17"/>
          <w:rFonts w:hint="default" w:ascii="Times New Roman" w:hAnsi="Times New Roman" w:eastAsia="仿宋_GB2312" w:cs="Times New Roman"/>
          <w:bCs/>
          <w:sz w:val="32"/>
          <w:szCs w:val="32"/>
          <w:lang w:val="en-US" w:eastAsia="zh-CN"/>
        </w:rPr>
        <w:t>100</w:t>
      </w:r>
      <w:r>
        <w:rPr>
          <w:rStyle w:val="17"/>
          <w:rFonts w:hint="default" w:ascii="Times New Roman" w:hAnsi="Times New Roman" w:eastAsia="仿宋_GB2312" w:cs="Times New Roman"/>
          <w:bCs/>
          <w:sz w:val="32"/>
          <w:szCs w:val="32"/>
        </w:rPr>
        <w:t>%。其中：</w:t>
      </w:r>
      <w:bookmarkEnd w:id="31"/>
      <w:bookmarkEnd w:id="32"/>
      <w:bookmarkEnd w:id="33"/>
    </w:p>
    <w:p w14:paraId="1B5B153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1</w:t>
      </w:r>
      <w:r>
        <w:rPr>
          <w:rStyle w:val="17"/>
          <w:rFonts w:hint="default" w:ascii="Times New Roman" w:hAnsi="Times New Roman" w:eastAsia="仿宋_GB2312" w:cs="Times New Roman"/>
          <w:bCs/>
          <w:sz w:val="32"/>
          <w:szCs w:val="32"/>
        </w:rPr>
        <w:t>.社会保障和就业（类）</w:t>
      </w:r>
      <w:r>
        <w:rPr>
          <w:rStyle w:val="17"/>
          <w:rFonts w:hint="default" w:ascii="Times New Roman" w:hAnsi="Times New Roman" w:eastAsia="仿宋_GB2312" w:cs="Times New Roman"/>
          <w:bCs/>
          <w:sz w:val="32"/>
          <w:szCs w:val="32"/>
          <w:lang w:eastAsia="zh-CN"/>
        </w:rPr>
        <w:t>行政事业单位养老支出</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行政单位离退休</w:t>
      </w:r>
      <w:r>
        <w:rPr>
          <w:rStyle w:val="17"/>
          <w:rFonts w:hint="default" w:ascii="Times New Roman" w:hAnsi="Times New Roman" w:eastAsia="仿宋_GB2312" w:cs="Times New Roman"/>
          <w:bCs/>
          <w:sz w:val="32"/>
          <w:szCs w:val="32"/>
        </w:rPr>
        <w:t>（项）</w:t>
      </w:r>
      <w:r>
        <w:rPr>
          <w:rStyle w:val="17"/>
          <w:rFonts w:hint="eastAsia" w:eastAsia="仿宋_GB2312"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0.07</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4B48027C">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2.</w:t>
      </w:r>
      <w:r>
        <w:rPr>
          <w:rStyle w:val="17"/>
          <w:rFonts w:hint="default" w:ascii="Times New Roman" w:hAnsi="Times New Roman" w:eastAsia="仿宋_GB2312" w:cs="Times New Roman"/>
          <w:bCs/>
          <w:sz w:val="32"/>
          <w:szCs w:val="32"/>
        </w:rPr>
        <w:t>社会保障和就业（类）</w:t>
      </w:r>
      <w:r>
        <w:rPr>
          <w:rStyle w:val="17"/>
          <w:rFonts w:hint="default" w:ascii="Times New Roman" w:hAnsi="Times New Roman" w:eastAsia="仿宋_GB2312" w:cs="Times New Roman"/>
          <w:bCs/>
          <w:sz w:val="32"/>
          <w:szCs w:val="32"/>
          <w:lang w:eastAsia="zh-CN"/>
        </w:rPr>
        <w:t>行政事业单位养老支出</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机关事业单位基本养老保险缴费支出</w:t>
      </w:r>
      <w:r>
        <w:rPr>
          <w:rStyle w:val="17"/>
          <w:rFonts w:hint="default" w:ascii="Times New Roman" w:hAnsi="Times New Roman" w:eastAsia="仿宋_GB2312" w:cs="Times New Roman"/>
          <w:bCs/>
          <w:sz w:val="32"/>
          <w:szCs w:val="32"/>
        </w:rPr>
        <w:t>（项）</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21.6</w:t>
      </w:r>
      <w:r>
        <w:rPr>
          <w:rStyle w:val="17"/>
          <w:rFonts w:hint="eastAsia" w:ascii="Times New Roman" w:cs="Times New Roman"/>
          <w:b w:val="0"/>
          <w:bCs/>
          <w:sz w:val="32"/>
          <w:szCs w:val="32"/>
          <w:lang w:val="en-US" w:eastAsia="zh-CN"/>
        </w:rPr>
        <w:t>7</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673FA663">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lang w:val="en-US" w:eastAsia="zh-CN"/>
        </w:rPr>
      </w:pPr>
      <w:r>
        <w:rPr>
          <w:rStyle w:val="17"/>
          <w:rFonts w:hint="default" w:ascii="Times New Roman" w:hAnsi="Times New Roman" w:eastAsia="仿宋_GB2312" w:cs="Times New Roman"/>
          <w:bCs/>
          <w:sz w:val="32"/>
          <w:szCs w:val="32"/>
          <w:lang w:val="en-US" w:eastAsia="zh-CN"/>
        </w:rPr>
        <w:t>3.</w:t>
      </w:r>
      <w:r>
        <w:rPr>
          <w:rStyle w:val="17"/>
          <w:rFonts w:hint="default" w:ascii="Times New Roman" w:hAnsi="Times New Roman" w:eastAsia="仿宋_GB2312" w:cs="Times New Roman"/>
          <w:bCs/>
          <w:sz w:val="32"/>
          <w:szCs w:val="32"/>
        </w:rPr>
        <w:t>社会保障和就业（类）</w:t>
      </w:r>
      <w:r>
        <w:rPr>
          <w:rStyle w:val="17"/>
          <w:rFonts w:hint="default" w:ascii="Times New Roman" w:hAnsi="Times New Roman" w:eastAsia="仿宋_GB2312" w:cs="Times New Roman"/>
          <w:bCs/>
          <w:sz w:val="32"/>
          <w:szCs w:val="32"/>
          <w:lang w:eastAsia="zh-CN"/>
        </w:rPr>
        <w:t>行政事业单位养老支出</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机关事业单位职业年金缴费支出</w:t>
      </w:r>
      <w:r>
        <w:rPr>
          <w:rStyle w:val="17"/>
          <w:rFonts w:hint="default" w:ascii="Times New Roman" w:hAnsi="Times New Roman" w:eastAsia="仿宋_GB2312" w:cs="Times New Roman"/>
          <w:bCs/>
          <w:sz w:val="32"/>
          <w:szCs w:val="32"/>
        </w:rPr>
        <w:t>（项）</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5.39</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36C3911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4</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7"/>
          <w:rFonts w:hint="default" w:ascii="Times New Roman" w:hAnsi="Times New Roman" w:eastAsia="仿宋_GB2312" w:cs="Times New Roman"/>
          <w:bCs/>
          <w:sz w:val="32"/>
          <w:szCs w:val="32"/>
        </w:rPr>
        <w:t>（类）</w:t>
      </w:r>
      <w:r>
        <w:rPr>
          <w:rStyle w:val="17"/>
          <w:rFonts w:hint="default" w:ascii="Times New Roman" w:hAnsi="Times New Roman" w:eastAsia="仿宋_GB2312" w:cs="Times New Roman"/>
          <w:bCs/>
          <w:sz w:val="32"/>
          <w:szCs w:val="32"/>
          <w:lang w:eastAsia="zh-CN"/>
        </w:rPr>
        <w:t>行政事业单位医疗</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行政单位医疗（</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eastAsia="仿宋_GB2312"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16.46</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5F21948F">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lang w:val="en-US" w:eastAsia="zh-CN"/>
        </w:rPr>
      </w:pPr>
      <w:r>
        <w:rPr>
          <w:rStyle w:val="17"/>
          <w:rFonts w:hint="default" w:ascii="Times New Roman" w:hAnsi="Times New Roman" w:eastAsia="仿宋_GB2312" w:cs="Times New Roman"/>
          <w:bCs/>
          <w:sz w:val="32"/>
          <w:szCs w:val="32"/>
          <w:lang w:val="en-US" w:eastAsia="zh-CN"/>
        </w:rPr>
        <w:t>5</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7"/>
          <w:rFonts w:hint="default" w:ascii="Times New Roman" w:hAnsi="Times New Roman" w:eastAsia="仿宋_GB2312" w:cs="Times New Roman"/>
          <w:bCs/>
          <w:sz w:val="32"/>
          <w:szCs w:val="32"/>
        </w:rPr>
        <w:t>（类）</w:t>
      </w:r>
      <w:r>
        <w:rPr>
          <w:rStyle w:val="17"/>
          <w:rFonts w:hint="default" w:ascii="Times New Roman" w:hAnsi="Times New Roman" w:eastAsia="仿宋_GB2312" w:cs="Times New Roman"/>
          <w:bCs/>
          <w:sz w:val="32"/>
          <w:szCs w:val="32"/>
          <w:lang w:eastAsia="zh-CN"/>
        </w:rPr>
        <w:t>行政事业单位医疗</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公务员医疗补助（</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10.49</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2F088D59">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6</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7"/>
          <w:rFonts w:hint="default" w:ascii="Times New Roman" w:hAnsi="Times New Roman" w:eastAsia="仿宋_GB2312" w:cs="Times New Roman"/>
          <w:bCs/>
          <w:sz w:val="32"/>
          <w:szCs w:val="32"/>
        </w:rPr>
        <w:t>（类）</w:t>
      </w:r>
      <w:r>
        <w:rPr>
          <w:rStyle w:val="17"/>
          <w:rFonts w:hint="default" w:ascii="Times New Roman" w:hAnsi="Times New Roman" w:eastAsia="仿宋_GB2312" w:cs="Times New Roman"/>
          <w:bCs/>
          <w:sz w:val="32"/>
          <w:szCs w:val="32"/>
          <w:lang w:eastAsia="zh-CN"/>
        </w:rPr>
        <w:t>医疗救助</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城乡医疗救助（</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607.27</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31A5D40D">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lang w:val="en-US" w:eastAsia="zh-CN"/>
        </w:rPr>
      </w:pPr>
      <w:r>
        <w:rPr>
          <w:rStyle w:val="17"/>
          <w:rFonts w:hint="default" w:ascii="Times New Roman" w:hAnsi="Times New Roman" w:eastAsia="仿宋_GB2312" w:cs="Times New Roman"/>
          <w:bCs/>
          <w:sz w:val="32"/>
          <w:szCs w:val="32"/>
          <w:lang w:val="en-US" w:eastAsia="zh-CN"/>
        </w:rPr>
        <w:t>7</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Fonts w:hint="default" w:ascii="Times New Roman" w:hAnsi="Times New Roman" w:eastAsia="仿宋_GB2312" w:cs="Times New Roman"/>
          <w:b/>
          <w:bCs/>
          <w:sz w:val="32"/>
          <w:szCs w:val="32"/>
          <w:lang w:eastAsia="zh-CN"/>
        </w:rPr>
        <w:t>（类）</w:t>
      </w:r>
      <w:r>
        <w:rPr>
          <w:rStyle w:val="17"/>
          <w:rFonts w:hint="default" w:ascii="Times New Roman" w:hAnsi="Times New Roman" w:eastAsia="仿宋_GB2312" w:cs="Times New Roman"/>
          <w:bCs/>
          <w:sz w:val="32"/>
          <w:szCs w:val="32"/>
          <w:lang w:eastAsia="zh-CN"/>
        </w:rPr>
        <w:t>医疗保障管理事务</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行政运行（</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253.02</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6B928657">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8</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7"/>
          <w:rFonts w:hint="default" w:ascii="Times New Roman" w:hAnsi="Times New Roman" w:eastAsia="仿宋_GB2312" w:cs="Times New Roman"/>
          <w:bCs/>
          <w:sz w:val="32"/>
          <w:szCs w:val="32"/>
        </w:rPr>
        <w:t>（类）</w:t>
      </w:r>
      <w:r>
        <w:rPr>
          <w:rStyle w:val="17"/>
          <w:rFonts w:hint="default" w:ascii="Times New Roman" w:hAnsi="Times New Roman" w:eastAsia="仿宋_GB2312" w:cs="Times New Roman"/>
          <w:bCs/>
          <w:sz w:val="32"/>
          <w:szCs w:val="32"/>
          <w:lang w:eastAsia="zh-CN"/>
        </w:rPr>
        <w:t>医疗保障管理事务</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医疗保障政策管理（</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0.1</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347165C7">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rPr>
      </w:pPr>
      <w:r>
        <w:rPr>
          <w:rStyle w:val="17"/>
          <w:rFonts w:hint="default" w:ascii="Times New Roman" w:hAnsi="Times New Roman" w:eastAsia="仿宋_GB2312" w:cs="Times New Roman"/>
          <w:bCs/>
          <w:sz w:val="32"/>
          <w:szCs w:val="32"/>
          <w:lang w:val="en-US" w:eastAsia="zh-CN"/>
        </w:rPr>
        <w:t>9</w:t>
      </w:r>
      <w:r>
        <w:rPr>
          <w:rStyle w:val="17"/>
          <w:rFonts w:hint="default" w:ascii="Times New Roman" w:hAnsi="Times New Roman" w:eastAsia="仿宋_GB2312" w:cs="Times New Roman"/>
          <w:bCs/>
          <w:sz w:val="32"/>
          <w:szCs w:val="32"/>
        </w:rPr>
        <w:t>.</w:t>
      </w:r>
      <w:r>
        <w:rPr>
          <w:rFonts w:hint="default" w:ascii="Times New Roman" w:hAnsi="Times New Roman" w:eastAsia="仿宋_GB2312" w:cs="Times New Roman"/>
          <w:b/>
          <w:bCs/>
          <w:sz w:val="32"/>
          <w:szCs w:val="32"/>
        </w:rPr>
        <w:t>卫生健康</w:t>
      </w:r>
      <w:r>
        <w:rPr>
          <w:rStyle w:val="17"/>
          <w:rFonts w:hint="default" w:ascii="Times New Roman" w:hAnsi="Times New Roman" w:eastAsia="仿宋_GB2312" w:cs="Times New Roman"/>
          <w:bCs/>
          <w:sz w:val="32"/>
          <w:szCs w:val="32"/>
        </w:rPr>
        <w:t>（类）</w:t>
      </w:r>
      <w:r>
        <w:rPr>
          <w:rStyle w:val="17"/>
          <w:rFonts w:hint="default" w:ascii="Times New Roman" w:hAnsi="Times New Roman" w:eastAsia="仿宋_GB2312" w:cs="Times New Roman"/>
          <w:bCs/>
          <w:sz w:val="32"/>
          <w:szCs w:val="32"/>
          <w:lang w:eastAsia="zh-CN"/>
        </w:rPr>
        <w:t>医疗保障管理事务</w:t>
      </w:r>
      <w:r>
        <w:rPr>
          <w:rStyle w:val="17"/>
          <w:rFonts w:hint="default" w:ascii="Times New Roman" w:hAnsi="Times New Roman" w:eastAsia="仿宋_GB2312" w:cs="Times New Roman"/>
          <w:bCs/>
          <w:sz w:val="32"/>
          <w:szCs w:val="32"/>
        </w:rPr>
        <w:t>（款）</w:t>
      </w:r>
      <w:r>
        <w:rPr>
          <w:rStyle w:val="17"/>
          <w:rFonts w:hint="default" w:ascii="Times New Roman" w:hAnsi="Times New Roman" w:eastAsia="仿宋_GB2312" w:cs="Times New Roman"/>
          <w:bCs/>
          <w:sz w:val="32"/>
          <w:szCs w:val="32"/>
          <w:lang w:eastAsia="zh-CN"/>
        </w:rPr>
        <w:t>其他医疗保障管理事务支出（</w:t>
      </w:r>
      <w:r>
        <w:rPr>
          <w:rStyle w:val="17"/>
          <w:rFonts w:hint="default" w:ascii="Times New Roman" w:hAnsi="Times New Roman" w:eastAsia="仿宋_GB2312" w:cs="Times New Roman"/>
          <w:bCs/>
          <w:sz w:val="32"/>
          <w:szCs w:val="32"/>
        </w:rPr>
        <w:t>项</w:t>
      </w:r>
      <w:r>
        <w:rPr>
          <w:rStyle w:val="17"/>
          <w:rFonts w:hint="default" w:ascii="Times New Roman" w:hAnsi="Times New Roman" w:eastAsia="仿宋_GB2312" w:cs="Times New Roman"/>
          <w:bCs/>
          <w:sz w:val="32"/>
          <w:szCs w:val="32"/>
          <w:lang w:eastAsia="zh-CN"/>
        </w:rPr>
        <w:t>）</w:t>
      </w:r>
      <w:r>
        <w:rPr>
          <w:rStyle w:val="17"/>
          <w:rFonts w:hint="eastAsia" w:ascii="Times New Roman" w:cs="Times New Roman"/>
          <w:bCs/>
          <w:sz w:val="32"/>
          <w:szCs w:val="32"/>
          <w:lang w:eastAsia="zh-CN"/>
        </w:rPr>
        <w:t>：</w:t>
      </w:r>
      <w:r>
        <w:rPr>
          <w:rStyle w:val="17"/>
          <w:rFonts w:hint="default" w:ascii="Times New Roman" w:hAnsi="Times New Roman" w:eastAsia="仿宋_GB2312" w:cs="Times New Roman"/>
          <w:b w:val="0"/>
          <w:bCs/>
          <w:sz w:val="32"/>
          <w:szCs w:val="32"/>
        </w:rPr>
        <w:t>支出决算为</w:t>
      </w:r>
      <w:r>
        <w:rPr>
          <w:rStyle w:val="17"/>
          <w:rFonts w:hint="default" w:ascii="Times New Roman" w:hAnsi="Times New Roman" w:eastAsia="仿宋_GB2312" w:cs="Times New Roman"/>
          <w:b w:val="0"/>
          <w:bCs/>
          <w:sz w:val="32"/>
          <w:szCs w:val="32"/>
          <w:lang w:val="en-US" w:eastAsia="zh-CN"/>
        </w:rPr>
        <w:t>20.7</w:t>
      </w:r>
      <w:r>
        <w:rPr>
          <w:rStyle w:val="17"/>
          <w:rFonts w:hint="default" w:ascii="Times New Roman" w:hAnsi="Times New Roman" w:eastAsia="仿宋_GB2312" w:cs="Times New Roman"/>
          <w:b w:val="0"/>
          <w:bCs/>
          <w:sz w:val="32"/>
          <w:szCs w:val="32"/>
        </w:rPr>
        <w:t>万元，完成预算</w:t>
      </w:r>
      <w:r>
        <w:rPr>
          <w:rStyle w:val="17"/>
          <w:rFonts w:hint="default" w:ascii="Times New Roman" w:hAnsi="Times New Roman" w:eastAsia="仿宋_GB2312" w:cs="Times New Roman"/>
          <w:b w:val="0"/>
          <w:bCs/>
          <w:sz w:val="32"/>
          <w:szCs w:val="32"/>
          <w:lang w:val="en-US" w:eastAsia="zh-CN"/>
        </w:rPr>
        <w:t>100</w:t>
      </w:r>
      <w:r>
        <w:rPr>
          <w:rStyle w:val="17"/>
          <w:rFonts w:hint="default" w:ascii="Times New Roman" w:hAnsi="Times New Roman" w:eastAsia="仿宋_GB2312" w:cs="Times New Roman"/>
          <w:b w:val="0"/>
          <w:bCs/>
          <w:sz w:val="32"/>
          <w:szCs w:val="32"/>
        </w:rPr>
        <w:t>%。</w:t>
      </w:r>
    </w:p>
    <w:p w14:paraId="1B1B6D92">
      <w:pPr>
        <w:pStyle w:val="6"/>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Style w:val="17"/>
          <w:rFonts w:hint="default" w:ascii="Times New Roman" w:hAnsi="Times New Roman" w:eastAsia="仿宋_GB2312" w:cs="Times New Roman"/>
          <w:b w:val="0"/>
          <w:bCs/>
          <w:sz w:val="32"/>
          <w:szCs w:val="32"/>
          <w:lang w:val="en-US" w:eastAsia="zh-CN"/>
        </w:rPr>
      </w:pPr>
      <w:r>
        <w:rPr>
          <w:rStyle w:val="17"/>
          <w:rFonts w:hint="default" w:ascii="Times New Roman" w:hAnsi="Times New Roman" w:eastAsia="仿宋_GB2312" w:cs="Times New Roman"/>
          <w:color w:val="auto"/>
          <w:sz w:val="32"/>
          <w:szCs w:val="32"/>
          <w:lang w:val="en-US" w:eastAsia="zh-CN"/>
        </w:rPr>
        <w:t>10</w:t>
      </w:r>
      <w:r>
        <w:rPr>
          <w:rStyle w:val="17"/>
          <w:rFonts w:hint="default" w:ascii="Times New Roman" w:hAnsi="Times New Roman" w:eastAsia="仿宋_GB2312" w:cs="Times New Roman"/>
          <w:color w:val="auto"/>
          <w:sz w:val="32"/>
          <w:szCs w:val="32"/>
        </w:rPr>
        <w:t>.</w:t>
      </w:r>
      <w:r>
        <w:rPr>
          <w:rStyle w:val="17"/>
          <w:rFonts w:hint="default" w:ascii="Times New Roman" w:hAnsi="Times New Roman" w:eastAsia="仿宋_GB2312" w:cs="Times New Roman"/>
          <w:bCs/>
          <w:color w:val="auto"/>
          <w:sz w:val="32"/>
          <w:szCs w:val="32"/>
        </w:rPr>
        <w:t>住房保障支出（类）住房改革支出（款）住房公积金（项）</w:t>
      </w:r>
      <w:r>
        <w:rPr>
          <w:rStyle w:val="17"/>
          <w:rFonts w:hint="default" w:ascii="Times New Roman" w:hAnsi="Times New Roman" w:eastAsia="仿宋_GB2312" w:cs="Times New Roman"/>
          <w:bCs/>
          <w:color w:val="auto"/>
          <w:sz w:val="32"/>
          <w:szCs w:val="32"/>
          <w:lang w:eastAsia="zh-CN"/>
        </w:rPr>
        <w:t>：</w:t>
      </w:r>
      <w:r>
        <w:rPr>
          <w:rStyle w:val="17"/>
          <w:rFonts w:hint="default" w:ascii="Times New Roman" w:hAnsi="Times New Roman" w:eastAsia="仿宋_GB2312" w:cs="Times New Roman"/>
          <w:b w:val="0"/>
          <w:color w:val="auto"/>
          <w:sz w:val="32"/>
          <w:szCs w:val="32"/>
        </w:rPr>
        <w:t>支出决算数为</w:t>
      </w:r>
      <w:r>
        <w:rPr>
          <w:rStyle w:val="17"/>
          <w:rFonts w:hint="default" w:ascii="Times New Roman" w:hAnsi="Times New Roman" w:eastAsia="仿宋_GB2312" w:cs="Times New Roman"/>
          <w:b w:val="0"/>
          <w:color w:val="auto"/>
          <w:sz w:val="32"/>
          <w:szCs w:val="32"/>
          <w:lang w:val="en-US" w:eastAsia="zh-CN"/>
        </w:rPr>
        <w:t>23.98</w:t>
      </w:r>
      <w:r>
        <w:rPr>
          <w:rStyle w:val="17"/>
          <w:rFonts w:hint="default" w:ascii="Times New Roman" w:hAnsi="Times New Roman" w:eastAsia="仿宋_GB2312" w:cs="Times New Roman"/>
          <w:b w:val="0"/>
          <w:color w:val="auto"/>
          <w:sz w:val="32"/>
          <w:szCs w:val="32"/>
        </w:rPr>
        <w:t>万元，</w:t>
      </w:r>
      <w:r>
        <w:rPr>
          <w:rStyle w:val="17"/>
          <w:rFonts w:hint="default" w:ascii="Times New Roman" w:hAnsi="Times New Roman" w:eastAsia="仿宋_GB2312" w:cs="Times New Roman"/>
          <w:b w:val="0"/>
          <w:bCs/>
          <w:color w:val="auto"/>
          <w:sz w:val="32"/>
          <w:szCs w:val="32"/>
        </w:rPr>
        <w:t>完成预算100%。</w:t>
      </w:r>
    </w:p>
    <w:p w14:paraId="3E6E4DFF">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b/>
          <w:sz w:val="32"/>
          <w:szCs w:val="32"/>
        </w:rPr>
      </w:pPr>
    </w:p>
    <w:p w14:paraId="077859ED">
      <w:pPr>
        <w:keepNext w:val="0"/>
        <w:keepLines w:val="0"/>
        <w:pageBreakBefore w:val="0"/>
        <w:widowControl w:val="0"/>
        <w:tabs>
          <w:tab w:val="right" w:pos="8306"/>
        </w:tabs>
        <w:kinsoku/>
        <w:wordWrap/>
        <w:overflowPunct/>
        <w:topLinePunct w:val="0"/>
        <w:autoSpaceDE/>
        <w:autoSpaceDN/>
        <w:bidi w:val="0"/>
        <w:adjustRightInd/>
        <w:snapToGrid/>
        <w:spacing w:line="560" w:lineRule="exact"/>
        <w:ind w:firstLine="640"/>
        <w:textAlignment w:val="auto"/>
        <w:outlineLvl w:val="1"/>
        <w:rPr>
          <w:rStyle w:val="29"/>
          <w:rFonts w:hint="default" w:ascii="Times New Roman" w:hAnsi="Times New Roman" w:eastAsia="黑体" w:cs="Times New Roman"/>
        </w:rPr>
      </w:pPr>
      <w:bookmarkStart w:id="34" w:name="_Toc15377214"/>
      <w:bookmarkStart w:id="35" w:name="_Toc15396608"/>
      <w:r>
        <w:rPr>
          <w:rFonts w:hint="default" w:ascii="Times New Roman" w:hAnsi="Times New Roman" w:eastAsia="黑体" w:cs="Times New Roman"/>
          <w:sz w:val="32"/>
          <w:szCs w:val="32"/>
        </w:rPr>
        <w:t>六</w:t>
      </w:r>
      <w:r>
        <w:rPr>
          <w:rFonts w:hint="default" w:ascii="Times New Roman" w:hAnsi="Times New Roman" w:eastAsia="黑体" w:cs="Times New Roman"/>
          <w:b/>
          <w:sz w:val="32"/>
          <w:szCs w:val="32"/>
        </w:rPr>
        <w:t>、一</w:t>
      </w:r>
      <w:r>
        <w:rPr>
          <w:rStyle w:val="29"/>
          <w:rFonts w:hint="default" w:ascii="Times New Roman" w:hAnsi="Times New Roman" w:eastAsia="黑体" w:cs="Times New Roman"/>
          <w:b w:val="0"/>
        </w:rPr>
        <w:t>般公共预算财政拨款基本支出决算情况说明</w:t>
      </w:r>
      <w:bookmarkEnd w:id="34"/>
      <w:bookmarkEnd w:id="35"/>
      <w:r>
        <w:rPr>
          <w:rStyle w:val="29"/>
          <w:rFonts w:hint="default" w:ascii="Times New Roman" w:hAnsi="Times New Roman" w:eastAsia="黑体" w:cs="Times New Roman"/>
          <w:b w:val="0"/>
        </w:rPr>
        <w:tab/>
      </w:r>
    </w:p>
    <w:p w14:paraId="71E5768C">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2022年一般公共预算财政拨款基本支出</w:t>
      </w:r>
      <w:r>
        <w:rPr>
          <w:rFonts w:hint="default" w:ascii="Times New Roman" w:hAnsi="Times New Roman" w:eastAsia="仿宋_GB2312" w:cs="Times New Roman"/>
          <w:sz w:val="32"/>
          <w:szCs w:val="32"/>
          <w:lang w:val="en-US" w:eastAsia="zh-CN"/>
        </w:rPr>
        <w:t>331.08</w:t>
      </w:r>
      <w:r>
        <w:rPr>
          <w:rFonts w:hint="default" w:ascii="Times New Roman" w:hAnsi="Times New Roman" w:eastAsia="仿宋_GB2312" w:cs="Times New Roman"/>
          <w:sz w:val="32"/>
          <w:szCs w:val="32"/>
        </w:rPr>
        <w:t>万元，其中：</w:t>
      </w:r>
    </w:p>
    <w:p w14:paraId="7E830611">
      <w:pPr>
        <w:keepNext w:val="0"/>
        <w:keepLines w:val="0"/>
        <w:pageBreakBefore w:val="0"/>
        <w:widowControl w:val="0"/>
        <w:kinsoku/>
        <w:wordWrap/>
        <w:overflowPunct/>
        <w:topLinePunct w:val="0"/>
        <w:autoSpaceDE/>
        <w:autoSpaceDN/>
        <w:bidi w:val="0"/>
        <w:adjustRightInd/>
        <w:snapToGrid/>
        <w:spacing w:line="560" w:lineRule="exact"/>
        <w:ind w:firstLine="645"/>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人员经费</w:t>
      </w:r>
      <w:r>
        <w:rPr>
          <w:rFonts w:hint="default" w:ascii="Times New Roman" w:hAnsi="Times New Roman" w:eastAsia="仿宋_GB2312" w:cs="Times New Roman"/>
          <w:sz w:val="32"/>
          <w:szCs w:val="32"/>
          <w:lang w:val="en-US" w:eastAsia="zh-CN"/>
        </w:rPr>
        <w:t>300.41</w:t>
      </w:r>
      <w:r>
        <w:rPr>
          <w:rFonts w:hint="default" w:ascii="Times New Roman" w:hAnsi="Times New Roman" w:eastAsia="仿宋_GB2312" w:cs="Times New Roman"/>
          <w:sz w:val="32"/>
          <w:szCs w:val="32"/>
        </w:rPr>
        <w:t>万元，主要包括：基本工资、津贴补贴、奖金、机关事业单位基本养老保险缴费、职业年金缴费、</w:t>
      </w:r>
      <w:r>
        <w:rPr>
          <w:rFonts w:hint="default" w:ascii="Times New Roman" w:hAnsi="Times New Roman" w:eastAsia="仿宋_GB2312" w:cs="Times New Roman"/>
          <w:color w:val="auto"/>
          <w:sz w:val="32"/>
          <w:szCs w:val="32"/>
        </w:rPr>
        <w:t>职工基本医疗保险缴费、公务员医疗补助缴费</w:t>
      </w:r>
      <w:r>
        <w:rPr>
          <w:rFonts w:hint="default" w:ascii="Times New Roman" w:hAnsi="Times New Roman" w:eastAsia="仿宋_GB2312" w:cs="Times New Roman"/>
          <w:sz w:val="32"/>
          <w:szCs w:val="32"/>
        </w:rPr>
        <w:t>、其他社会保障缴费、住房公积金、其他工资福利支出</w:t>
      </w:r>
      <w:r>
        <w:rPr>
          <w:rFonts w:hint="default" w:ascii="Times New Roman" w:hAnsi="Times New Roman" w:eastAsia="仿宋_GB2312" w:cs="Times New Roman"/>
          <w:sz w:val="32"/>
          <w:szCs w:val="32"/>
          <w:lang w:eastAsia="zh-CN"/>
        </w:rPr>
        <w:t>、医疗费补助、奖励金</w:t>
      </w:r>
      <w:r>
        <w:rPr>
          <w:rFonts w:hint="default" w:ascii="Times New Roman" w:hAnsi="Times New Roman" w:eastAsia="仿宋_GB2312" w:cs="Times New Roman"/>
          <w:sz w:val="32"/>
          <w:szCs w:val="32"/>
        </w:rPr>
        <w:t>。</w:t>
      </w:r>
    </w:p>
    <w:p w14:paraId="600A6CE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公用经费</w:t>
      </w:r>
      <w:r>
        <w:rPr>
          <w:rFonts w:hint="default" w:ascii="Times New Roman" w:hAnsi="Times New Roman" w:eastAsia="仿宋_GB2312" w:cs="Times New Roman"/>
          <w:sz w:val="32"/>
          <w:szCs w:val="32"/>
          <w:lang w:val="en-US" w:eastAsia="zh-CN"/>
        </w:rPr>
        <w:t>30.67</w:t>
      </w:r>
      <w:r>
        <w:rPr>
          <w:rFonts w:hint="default" w:ascii="Times New Roman" w:hAnsi="Times New Roman" w:eastAsia="仿宋_GB2312" w:cs="Times New Roman"/>
          <w:sz w:val="32"/>
          <w:szCs w:val="32"/>
        </w:rPr>
        <w:t>万元，主要包括：办公费、印刷费、手续费、水费、电费、邮电费、取暖费、差旅费、维修（护）、培训费、公务接待费、劳务费、工会经费、福利费、其他交通费</w:t>
      </w:r>
      <w:r>
        <w:rPr>
          <w:rFonts w:hint="default" w:ascii="Times New Roman" w:hAnsi="Times New Roman" w:eastAsia="仿宋_GB2312" w:cs="Times New Roman"/>
          <w:sz w:val="32"/>
          <w:szCs w:val="32"/>
          <w:lang w:eastAsia="zh-CN"/>
        </w:rPr>
        <w:t>用</w:t>
      </w:r>
      <w:r>
        <w:rPr>
          <w:rFonts w:hint="default" w:ascii="Times New Roman" w:hAnsi="Times New Roman" w:eastAsia="仿宋_GB2312" w:cs="Times New Roman"/>
          <w:sz w:val="32"/>
          <w:szCs w:val="32"/>
        </w:rPr>
        <w:t>、其他商品和服务支出。</w:t>
      </w:r>
    </w:p>
    <w:p w14:paraId="75527C33">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b/>
          <w:sz w:val="32"/>
          <w:szCs w:val="32"/>
        </w:rPr>
      </w:pPr>
    </w:p>
    <w:p w14:paraId="207F4B4C">
      <w:pPr>
        <w:keepNext w:val="0"/>
        <w:keepLines w:val="0"/>
        <w:pageBreakBefore w:val="0"/>
        <w:widowControl w:val="0"/>
        <w:kinsoku/>
        <w:wordWrap/>
        <w:overflowPunct/>
        <w:topLinePunct w:val="0"/>
        <w:autoSpaceDE/>
        <w:autoSpaceDN/>
        <w:bidi w:val="0"/>
        <w:adjustRightInd/>
        <w:snapToGrid/>
        <w:spacing w:line="560" w:lineRule="exact"/>
        <w:ind w:firstLine="640"/>
        <w:textAlignment w:val="auto"/>
        <w:outlineLvl w:val="1"/>
        <w:rPr>
          <w:rStyle w:val="29"/>
          <w:rFonts w:hint="default" w:ascii="Times New Roman" w:hAnsi="Times New Roman" w:eastAsia="黑体" w:cs="Times New Roman"/>
          <w:b w:val="0"/>
        </w:rPr>
      </w:pPr>
      <w:bookmarkStart w:id="36" w:name="_Toc15396609"/>
      <w:bookmarkStart w:id="37" w:name="_Toc15377215"/>
      <w:r>
        <w:rPr>
          <w:rFonts w:hint="default" w:ascii="Times New Roman" w:hAnsi="Times New Roman" w:eastAsia="黑体" w:cs="Times New Roman"/>
          <w:sz w:val="32"/>
          <w:szCs w:val="32"/>
        </w:rPr>
        <w:t>七、</w:t>
      </w:r>
      <w:r>
        <w:rPr>
          <w:rStyle w:val="29"/>
          <w:rFonts w:hint="default" w:ascii="Times New Roman" w:hAnsi="Times New Roman" w:eastAsia="黑体" w:cs="Times New Roman"/>
          <w:b w:val="0"/>
        </w:rPr>
        <w:t>财政拨款</w:t>
      </w:r>
      <w:r>
        <w:rPr>
          <w:rStyle w:val="29"/>
          <w:rFonts w:hint="default" w:ascii="Times New Roman" w:hAnsi="Times New Roman" w:eastAsia="黑体" w:cs="Times New Roman"/>
        </w:rPr>
        <w:t>“</w:t>
      </w:r>
      <w:r>
        <w:rPr>
          <w:rStyle w:val="29"/>
          <w:rFonts w:hint="default" w:ascii="Times New Roman" w:hAnsi="Times New Roman" w:eastAsia="黑体" w:cs="Times New Roman"/>
          <w:b w:val="0"/>
        </w:rPr>
        <w:t>三公”经费支出决算情况说明</w:t>
      </w:r>
      <w:bookmarkEnd w:id="36"/>
      <w:bookmarkEnd w:id="37"/>
    </w:p>
    <w:p w14:paraId="36FE20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38" w:name="_Toc15377216"/>
      <w:r>
        <w:rPr>
          <w:rFonts w:hint="default" w:ascii="Times New Roman" w:hAnsi="Times New Roman" w:eastAsia="楷体_GB2312" w:cs="Times New Roman"/>
          <w:b w:val="0"/>
          <w:bCs/>
          <w:sz w:val="32"/>
          <w:szCs w:val="32"/>
        </w:rPr>
        <w:t>（一）“三公”经费财政拨款支出决算总体情况说明</w:t>
      </w:r>
      <w:bookmarkEnd w:id="38"/>
      <w:r>
        <w:rPr>
          <w:rFonts w:hint="default" w:ascii="Times New Roman" w:hAnsi="Times New Roman" w:eastAsia="楷体_GB2312" w:cs="Times New Roman"/>
          <w:b w:val="0"/>
          <w:bCs/>
          <w:sz w:val="32"/>
          <w:szCs w:val="32"/>
          <w:lang w:eastAsia="zh-CN"/>
        </w:rPr>
        <w:t>。</w:t>
      </w:r>
    </w:p>
    <w:p w14:paraId="6E622CA8">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2022年“三公”经费财政拨款支出决算为</w:t>
      </w:r>
      <w:r>
        <w:rPr>
          <w:rFonts w:hint="default" w:ascii="Times New Roman" w:hAnsi="Times New Roman" w:eastAsia="仿宋_GB2312" w:cs="Times New Roman"/>
          <w:sz w:val="32"/>
          <w:szCs w:val="32"/>
          <w:lang w:val="en-US" w:eastAsia="zh-CN"/>
        </w:rPr>
        <w:t>0.05</w:t>
      </w:r>
      <w:r>
        <w:rPr>
          <w:rFonts w:hint="default" w:ascii="Times New Roman" w:hAnsi="Times New Roman" w:eastAsia="仿宋_GB2312" w:cs="Times New Roman"/>
          <w:sz w:val="32"/>
          <w:szCs w:val="32"/>
        </w:rPr>
        <w:t>万元，完成预算</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%，较上年减少</w:t>
      </w:r>
      <w:r>
        <w:rPr>
          <w:rFonts w:hint="default" w:ascii="Times New Roman" w:hAnsi="Times New Roman" w:eastAsia="仿宋_GB2312" w:cs="Times New Roman"/>
          <w:sz w:val="32"/>
          <w:szCs w:val="32"/>
          <w:lang w:val="en-US" w:eastAsia="zh-CN"/>
        </w:rPr>
        <w:t>0.2</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80</w:t>
      </w:r>
      <w:r>
        <w:rPr>
          <w:rFonts w:hint="default" w:ascii="Times New Roman" w:hAnsi="Times New Roman" w:eastAsia="仿宋_GB2312" w:cs="Times New Roman"/>
          <w:sz w:val="32"/>
          <w:szCs w:val="32"/>
        </w:rPr>
        <w:t>%。决算数</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预算数持平。</w:t>
      </w:r>
    </w:p>
    <w:p w14:paraId="12F51AD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39" w:name="_Toc15377217"/>
      <w:r>
        <w:rPr>
          <w:rFonts w:hint="default" w:ascii="Times New Roman" w:hAnsi="Times New Roman" w:eastAsia="楷体_GB2312" w:cs="Times New Roman"/>
          <w:b w:val="0"/>
          <w:bCs/>
          <w:sz w:val="32"/>
          <w:szCs w:val="32"/>
        </w:rPr>
        <w:t>（二）“三公”经费财政拨款支出决算具体情况说明</w:t>
      </w:r>
      <w:bookmarkEnd w:id="39"/>
      <w:r>
        <w:rPr>
          <w:rFonts w:hint="default" w:ascii="Times New Roman" w:hAnsi="Times New Roman" w:eastAsia="楷体_GB2312" w:cs="Times New Roman"/>
          <w:b w:val="0"/>
          <w:bCs/>
          <w:sz w:val="32"/>
          <w:szCs w:val="32"/>
          <w:lang w:eastAsia="zh-CN"/>
        </w:rPr>
        <w:t>。</w:t>
      </w:r>
    </w:p>
    <w:p w14:paraId="3CD33FCB">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2022年“三公”经费财政拨款支出决算中，因公出国（境）费支出决算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%；公务接待费支出决算</w:t>
      </w:r>
      <w:r>
        <w:rPr>
          <w:rFonts w:hint="default" w:ascii="Times New Roman" w:hAnsi="Times New Roman" w:eastAsia="仿宋_GB2312" w:cs="Times New Roman"/>
          <w:sz w:val="32"/>
          <w:szCs w:val="32"/>
          <w:lang w:val="en-US" w:eastAsia="zh-CN"/>
        </w:rPr>
        <w:t>0.05</w:t>
      </w:r>
      <w:r>
        <w:rPr>
          <w:rFonts w:hint="default" w:ascii="Times New Roman" w:hAnsi="Times New Roman" w:eastAsia="仿宋_GB2312" w:cs="Times New Roman"/>
          <w:sz w:val="32"/>
          <w:szCs w:val="32"/>
        </w:rPr>
        <w:t>万元，占</w:t>
      </w:r>
      <w:r>
        <w:rPr>
          <w:rFonts w:hint="default" w:ascii="Times New Roman" w:hAnsi="Times New Roman" w:eastAsia="仿宋_GB2312" w:cs="Times New Roman"/>
          <w:sz w:val="32"/>
          <w:szCs w:val="32"/>
          <w:lang w:val="en-US" w:eastAsia="zh-CN"/>
        </w:rPr>
        <w:t>100</w:t>
      </w:r>
      <w:r>
        <w:rPr>
          <w:rFonts w:hint="default" w:ascii="Times New Roman" w:hAnsi="Times New Roman" w:eastAsia="仿宋_GB2312" w:cs="Times New Roman"/>
          <w:sz w:val="32"/>
          <w:szCs w:val="32"/>
        </w:rPr>
        <w:t>%。具体情况如下：</w:t>
      </w:r>
    </w:p>
    <w:p w14:paraId="3DB26DE3">
      <w:pPr>
        <w:pStyle w:val="6"/>
        <w:ind w:firstLine="640" w:firstLineChars="200"/>
        <w:rPr>
          <w:rFonts w:hint="default" w:ascii="Times New Roman" w:hAnsi="Times New Roman" w:cs="Times New Roman"/>
        </w:rPr>
      </w:pPr>
      <w:r>
        <w:rPr>
          <w:rFonts w:hint="default" w:ascii="Times New Roman" w:hAnsi="Times New Roman" w:eastAsia="仿宋" w:cs="Times New Roman"/>
          <w:color w:val="auto"/>
          <w:sz w:val="32"/>
          <w:szCs w:val="32"/>
        </w:rPr>
        <w:object>
          <v:shape id="_x0000_i1025" o:spt="75" type="#_x0000_t75" style="height:204.65pt;width:348pt;" o:ole="t" filled="f" o:preferrelative="t" stroked="f" coordsize="21600,21600" o:gfxdata="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">
            <v:path/>
            <v:fill on="f" focussize="0,0"/>
            <v:stroke on="f"/>
            <v:imagedata r:id="rId19" o:title=""/>
            <o:lock v:ext="edit" aspectratio="f"/>
            <w10:wrap type="none"/>
            <w10:anchorlock/>
          </v:shape>
          <o:OLEObject Type="Embed" ProgID="Excel.Sheet.8" ShapeID="_x0000_i1025" DrawAspect="Content" ObjectID="_1468075725" r:id="rId18">
            <o:LockedField>false</o:LockedField>
          </o:OLEObject>
        </w:object>
      </w:r>
    </w:p>
    <w:p w14:paraId="699E7292">
      <w:pPr>
        <w:spacing w:line="600" w:lineRule="exact"/>
        <w:ind w:firstLine="1609" w:firstLineChars="503"/>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图7：“三公”经费财政拨款支出结构</w:t>
      </w:r>
    </w:p>
    <w:p w14:paraId="63625D03">
      <w:pPr>
        <w:pStyle w:val="6"/>
        <w:keepNext w:val="0"/>
        <w:keepLines w:val="0"/>
        <w:pageBreakBefore w:val="0"/>
        <w:kinsoku/>
        <w:wordWrap/>
        <w:overflowPunct/>
        <w:topLinePunct w:val="0"/>
        <w:bidi w:val="0"/>
        <w:snapToGrid/>
        <w:spacing w:line="560" w:lineRule="exact"/>
        <w:textAlignment w:val="auto"/>
        <w:rPr>
          <w:rFonts w:hint="default" w:ascii="Times New Roman" w:hAnsi="Times New Roman" w:cs="Times New Roman"/>
        </w:rPr>
      </w:pPr>
    </w:p>
    <w:p w14:paraId="03AA7282">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1.因公出国（境）经费支出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全年安排因公出国（境）团组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次，出国（境）</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人。因公出国（境）支出决算</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lang w:val="en-US" w:eastAsia="zh-CN"/>
        </w:rPr>
        <w:t>2021年持平</w:t>
      </w:r>
      <w:r>
        <w:rPr>
          <w:rFonts w:hint="default" w:ascii="Times New Roman" w:hAnsi="Times New Roman" w:eastAsia="仿宋_GB2312" w:cs="Times New Roman"/>
          <w:sz w:val="32"/>
          <w:szCs w:val="32"/>
        </w:rPr>
        <w:t>。</w:t>
      </w:r>
    </w:p>
    <w:p w14:paraId="22FECAF5">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2.公务用车购置及运行维护费支出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r>
        <w:rPr>
          <w:rFonts w:hint="eastAsia" w:eastAsia="仿宋_GB2312" w:cs="Times New Roman"/>
          <w:sz w:val="32"/>
          <w:szCs w:val="32"/>
          <w:lang w:eastAsia="zh-CN"/>
        </w:rPr>
        <w:t>，</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公务用车购置及运行维护费支出决算</w:t>
      </w:r>
      <w:r>
        <w:rPr>
          <w:rFonts w:hint="default" w:ascii="Times New Roman" w:hAnsi="Times New Roman" w:eastAsia="仿宋_GB2312" w:cs="Times New Roman"/>
          <w:sz w:val="32"/>
          <w:szCs w:val="32"/>
          <w:lang w:eastAsia="zh-CN"/>
        </w:rPr>
        <w:t>与</w:t>
      </w:r>
      <w:r>
        <w:rPr>
          <w:rFonts w:hint="default" w:ascii="Times New Roman" w:hAnsi="Times New Roman" w:eastAsia="仿宋_GB2312" w:cs="Times New Roman"/>
          <w:sz w:val="32"/>
          <w:szCs w:val="32"/>
        </w:rPr>
        <w:t>2021年</w:t>
      </w:r>
      <w:r>
        <w:rPr>
          <w:rFonts w:hint="default" w:ascii="Times New Roman" w:hAnsi="Times New Roman" w:eastAsia="仿宋_GB2312" w:cs="Times New Roman"/>
          <w:sz w:val="32"/>
          <w:szCs w:val="32"/>
          <w:lang w:eastAsia="zh-CN"/>
        </w:rPr>
        <w:t>持平</w:t>
      </w:r>
      <w:r>
        <w:rPr>
          <w:rFonts w:hint="default" w:ascii="Times New Roman" w:hAnsi="Times New Roman" w:eastAsia="仿宋_GB2312" w:cs="Times New Roman"/>
          <w:sz w:val="32"/>
          <w:szCs w:val="32"/>
        </w:rPr>
        <w:t>。</w:t>
      </w:r>
    </w:p>
    <w:p w14:paraId="1027178C">
      <w:pPr>
        <w:keepNext w:val="0"/>
        <w:keepLines w:val="0"/>
        <w:pageBreakBefore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sz w:val="32"/>
          <w:szCs w:val="32"/>
        </w:rPr>
        <w:t>其中：</w:t>
      </w:r>
      <w:r>
        <w:rPr>
          <w:rFonts w:hint="default" w:ascii="Times New Roman" w:hAnsi="Times New Roman" w:eastAsia="仿宋_GB2312" w:cs="Times New Roman"/>
          <w:b/>
          <w:sz w:val="32"/>
          <w:szCs w:val="32"/>
        </w:rPr>
        <w:t>公务用车购置支出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万元。全年按规定更新购置公务用车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辆。截至2022年12月底，单位共有公务用车</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w:t>
      </w:r>
    </w:p>
    <w:p w14:paraId="1DC3A43C">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公务用车运行维护费支出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787BC30C">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
          <w:sz w:val="32"/>
          <w:szCs w:val="32"/>
        </w:rPr>
        <w:t>3.公务接待费支出</w:t>
      </w:r>
      <w:r>
        <w:rPr>
          <w:rFonts w:hint="default" w:ascii="Times New Roman" w:hAnsi="Times New Roman" w:eastAsia="仿宋_GB2312" w:cs="Times New Roman"/>
          <w:sz w:val="32"/>
          <w:szCs w:val="32"/>
          <w:lang w:val="en-US" w:eastAsia="zh-CN"/>
        </w:rPr>
        <w:t>0.05</w:t>
      </w:r>
      <w:r>
        <w:rPr>
          <w:rFonts w:hint="default" w:ascii="Times New Roman" w:hAnsi="Times New Roman" w:eastAsia="仿宋_GB2312" w:cs="Times New Roman"/>
          <w:sz w:val="32"/>
          <w:szCs w:val="32"/>
        </w:rPr>
        <w:t>万元，</w:t>
      </w:r>
      <w:r>
        <w:rPr>
          <w:rStyle w:val="17"/>
          <w:rFonts w:hint="default" w:ascii="Times New Roman" w:hAnsi="Times New Roman" w:eastAsia="仿宋" w:cs="Times New Roman"/>
          <w:b w:val="0"/>
          <w:bCs/>
          <w:sz w:val="32"/>
          <w:szCs w:val="32"/>
        </w:rPr>
        <w:t>完成预算</w:t>
      </w:r>
      <w:r>
        <w:rPr>
          <w:rStyle w:val="17"/>
          <w:rFonts w:hint="default" w:ascii="Times New Roman" w:hAnsi="Times New Roman" w:eastAsia="仿宋" w:cs="Times New Roman"/>
          <w:b w:val="0"/>
          <w:bCs/>
          <w:sz w:val="32"/>
          <w:szCs w:val="32"/>
          <w:lang w:val="en-US" w:eastAsia="zh-CN"/>
        </w:rPr>
        <w:t>100</w:t>
      </w:r>
      <w:r>
        <w:rPr>
          <w:rStyle w:val="17"/>
          <w:rFonts w:hint="default" w:ascii="Times New Roman" w:hAnsi="Times New Roman" w:eastAsia="仿宋" w:cs="Times New Roman"/>
          <w:b w:val="0"/>
          <w:bCs/>
          <w:sz w:val="32"/>
          <w:szCs w:val="32"/>
        </w:rPr>
        <w:t>%。</w:t>
      </w:r>
      <w:r>
        <w:rPr>
          <w:rFonts w:hint="default" w:ascii="Times New Roman" w:hAnsi="Times New Roman" w:eastAsia="仿宋_GB2312" w:cs="Times New Roman"/>
          <w:sz w:val="32"/>
          <w:szCs w:val="32"/>
        </w:rPr>
        <w:t>公务接待费支出决算比2021年减少</w:t>
      </w:r>
      <w:r>
        <w:rPr>
          <w:rFonts w:hint="default" w:ascii="Times New Roman" w:hAnsi="Times New Roman" w:eastAsia="仿宋_GB2312" w:cs="Times New Roman"/>
          <w:sz w:val="32"/>
          <w:szCs w:val="32"/>
          <w:lang w:val="en-US" w:eastAsia="zh-CN"/>
        </w:rPr>
        <w:t>0.2</w:t>
      </w:r>
      <w:r>
        <w:rPr>
          <w:rFonts w:hint="default" w:ascii="Times New Roman" w:hAnsi="Times New Roman" w:eastAsia="仿宋_GB2312" w:cs="Times New Roman"/>
          <w:sz w:val="32"/>
          <w:szCs w:val="32"/>
        </w:rPr>
        <w:t>万元，下降</w:t>
      </w:r>
      <w:r>
        <w:rPr>
          <w:rFonts w:hint="default" w:ascii="Times New Roman" w:hAnsi="Times New Roman" w:eastAsia="仿宋_GB2312" w:cs="Times New Roman"/>
          <w:sz w:val="32"/>
          <w:szCs w:val="32"/>
          <w:lang w:val="en-US" w:eastAsia="zh-CN"/>
        </w:rPr>
        <w:t>80</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eastAsia="zh-CN"/>
        </w:rPr>
        <w:t>接待批次减少，费用减少</w:t>
      </w:r>
      <w:r>
        <w:rPr>
          <w:rFonts w:hint="default" w:ascii="Times New Roman" w:hAnsi="Times New Roman" w:eastAsia="仿宋_GB2312" w:cs="Times New Roman"/>
          <w:sz w:val="32"/>
          <w:szCs w:val="32"/>
        </w:rPr>
        <w:t>。其中：</w:t>
      </w:r>
    </w:p>
    <w:p w14:paraId="3CEDDC51">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国内公务接待支出</w:t>
      </w:r>
      <w:r>
        <w:rPr>
          <w:rFonts w:hint="default" w:ascii="Times New Roman" w:hAnsi="Times New Roman" w:eastAsia="仿宋_GB2312" w:cs="Times New Roman"/>
          <w:sz w:val="32"/>
          <w:szCs w:val="32"/>
          <w:lang w:val="en-US" w:eastAsia="zh-CN"/>
        </w:rPr>
        <w:t>0.05</w:t>
      </w:r>
      <w:r>
        <w:rPr>
          <w:rFonts w:hint="default" w:ascii="Times New Roman" w:hAnsi="Times New Roman" w:eastAsia="仿宋_GB2312" w:cs="Times New Roman"/>
          <w:sz w:val="32"/>
          <w:szCs w:val="32"/>
        </w:rPr>
        <w:t>万元，主要用于开展业务活动开支的用餐费。国内公务接待</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批次，</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人次（不包括陪同人员），共计支出</w:t>
      </w:r>
      <w:r>
        <w:rPr>
          <w:rFonts w:hint="default" w:ascii="Times New Roman" w:hAnsi="Times New Roman" w:eastAsia="仿宋_GB2312" w:cs="Times New Roman"/>
          <w:sz w:val="32"/>
          <w:szCs w:val="32"/>
          <w:lang w:val="en-US" w:eastAsia="zh-CN"/>
        </w:rPr>
        <w:t>0.05</w:t>
      </w:r>
      <w:r>
        <w:rPr>
          <w:rFonts w:hint="default" w:ascii="Times New Roman" w:hAnsi="Times New Roman" w:eastAsia="仿宋_GB2312" w:cs="Times New Roman"/>
          <w:sz w:val="32"/>
          <w:szCs w:val="32"/>
        </w:rPr>
        <w:t>万元，具体内容包括：</w:t>
      </w:r>
      <w:r>
        <w:rPr>
          <w:rFonts w:hint="default" w:ascii="Times New Roman" w:hAnsi="Times New Roman" w:eastAsia="仿宋_GB2312" w:cs="Times New Roman"/>
          <w:sz w:val="32"/>
          <w:szCs w:val="32"/>
          <w:lang w:eastAsia="zh-CN"/>
        </w:rPr>
        <w:t>接待上级单位开展调研工作，</w:t>
      </w:r>
      <w:r>
        <w:rPr>
          <w:rFonts w:hint="default" w:ascii="Times New Roman" w:hAnsi="Times New Roman" w:eastAsia="仿宋_GB2312" w:cs="Times New Roman"/>
          <w:color w:val="auto"/>
          <w:sz w:val="32"/>
          <w:szCs w:val="32"/>
        </w:rPr>
        <w:t>餐费支出0.</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5万元</w:t>
      </w:r>
      <w:r>
        <w:rPr>
          <w:rFonts w:hint="default" w:ascii="Times New Roman" w:hAnsi="Times New Roman" w:eastAsia="仿宋_GB2312" w:cs="Times New Roman"/>
          <w:sz w:val="32"/>
          <w:szCs w:val="32"/>
        </w:rPr>
        <w:t>。</w:t>
      </w:r>
    </w:p>
    <w:p w14:paraId="34BC1702">
      <w:pPr>
        <w:keepNext w:val="0"/>
        <w:keepLines w:val="0"/>
        <w:pageBreakBefore w:val="0"/>
        <w:kinsoku/>
        <w:wordWrap/>
        <w:overflowPunct/>
        <w:topLinePunct w:val="0"/>
        <w:bidi w:val="0"/>
        <w:snapToGrid/>
        <w:spacing w:line="560" w:lineRule="exact"/>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仿宋" w:cs="Times New Roman"/>
          <w:b/>
          <w:sz w:val="32"/>
          <w:szCs w:val="32"/>
        </w:rPr>
        <w:t>外事接待支出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1E9E7B7E">
      <w:pPr>
        <w:keepNext w:val="0"/>
        <w:keepLines w:val="0"/>
        <w:pageBreakBefore w:val="0"/>
        <w:kinsoku/>
        <w:wordWrap/>
        <w:overflowPunct/>
        <w:topLinePunct w:val="0"/>
        <w:bidi w:val="0"/>
        <w:snapToGrid/>
        <w:spacing w:line="560" w:lineRule="exact"/>
        <w:ind w:firstLine="640"/>
        <w:textAlignment w:val="auto"/>
        <w:outlineLvl w:val="1"/>
        <w:rPr>
          <w:rFonts w:hint="default" w:ascii="Times New Roman" w:hAnsi="Times New Roman" w:eastAsia="黑体" w:cs="Times New Roman"/>
          <w:sz w:val="32"/>
          <w:szCs w:val="32"/>
        </w:rPr>
      </w:pPr>
      <w:bookmarkStart w:id="40" w:name="_Toc15396610"/>
      <w:bookmarkStart w:id="41" w:name="_Toc15377218"/>
    </w:p>
    <w:p w14:paraId="07840762">
      <w:pPr>
        <w:keepNext w:val="0"/>
        <w:keepLines w:val="0"/>
        <w:pageBreakBefore w:val="0"/>
        <w:kinsoku/>
        <w:wordWrap/>
        <w:overflowPunct/>
        <w:topLinePunct w:val="0"/>
        <w:bidi w:val="0"/>
        <w:snapToGrid/>
        <w:spacing w:line="560" w:lineRule="exact"/>
        <w:ind w:firstLine="640"/>
        <w:textAlignment w:val="auto"/>
        <w:outlineLvl w:val="1"/>
        <w:rPr>
          <w:rStyle w:val="29"/>
          <w:rFonts w:hint="default" w:ascii="Times New Roman" w:hAnsi="Times New Roman" w:eastAsia="黑体" w:cs="Times New Roman"/>
        </w:rPr>
      </w:pPr>
      <w:r>
        <w:rPr>
          <w:rFonts w:hint="default" w:ascii="Times New Roman" w:hAnsi="Times New Roman" w:eastAsia="黑体" w:cs="Times New Roman"/>
          <w:sz w:val="32"/>
          <w:szCs w:val="32"/>
        </w:rPr>
        <w:t>八、</w:t>
      </w:r>
      <w:r>
        <w:rPr>
          <w:rStyle w:val="29"/>
          <w:rFonts w:hint="default" w:ascii="Times New Roman" w:hAnsi="Times New Roman" w:eastAsia="黑体" w:cs="Times New Roman"/>
          <w:b w:val="0"/>
        </w:rPr>
        <w:t>政府性基金预算支出决算情况说明</w:t>
      </w:r>
      <w:bookmarkEnd w:id="40"/>
      <w:bookmarkEnd w:id="41"/>
    </w:p>
    <w:p w14:paraId="767C4A3B">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2022年政府性基金预算财政拨款支出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676F5D34">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p>
    <w:p w14:paraId="646140C6">
      <w:pPr>
        <w:keepNext w:val="0"/>
        <w:keepLines w:val="0"/>
        <w:pageBreakBefore w:val="0"/>
        <w:numPr>
          <w:ilvl w:val="0"/>
          <w:numId w:val="1"/>
        </w:numPr>
        <w:kinsoku/>
        <w:wordWrap/>
        <w:overflowPunct/>
        <w:topLinePunct w:val="0"/>
        <w:bidi w:val="0"/>
        <w:snapToGrid/>
        <w:spacing w:line="560" w:lineRule="exact"/>
        <w:ind w:firstLine="640"/>
        <w:textAlignment w:val="auto"/>
        <w:outlineLvl w:val="1"/>
        <w:rPr>
          <w:rStyle w:val="29"/>
          <w:rFonts w:hint="default" w:ascii="Times New Roman" w:hAnsi="Times New Roman" w:eastAsia="黑体" w:cs="Times New Roman"/>
          <w:b w:val="0"/>
        </w:rPr>
      </w:pPr>
      <w:bookmarkStart w:id="42" w:name="_Toc15396611"/>
      <w:bookmarkStart w:id="43" w:name="_Toc15377219"/>
      <w:r>
        <w:rPr>
          <w:rStyle w:val="29"/>
          <w:rFonts w:hint="default" w:ascii="Times New Roman" w:hAnsi="Times New Roman" w:eastAsia="黑体" w:cs="Times New Roman"/>
          <w:b w:val="0"/>
        </w:rPr>
        <w:t>国有资本经营预算支出决算情况说明</w:t>
      </w:r>
      <w:bookmarkEnd w:id="42"/>
      <w:bookmarkEnd w:id="43"/>
    </w:p>
    <w:p w14:paraId="2CA29B63">
      <w:pPr>
        <w:keepNext w:val="0"/>
        <w:keepLines w:val="0"/>
        <w:pageBreakBefore w:val="0"/>
        <w:kinsoku/>
        <w:wordWrap/>
        <w:overflowPunct/>
        <w:topLinePunct w:val="0"/>
        <w:bidi w:val="0"/>
        <w:snapToGrid/>
        <w:spacing w:line="560" w:lineRule="exact"/>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2022年国有资本经营预算财政拨款支出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w:t>
      </w:r>
    </w:p>
    <w:p w14:paraId="06D38579">
      <w:pPr>
        <w:keepNext w:val="0"/>
        <w:keepLines w:val="0"/>
        <w:pageBreakBefore w:val="0"/>
        <w:kinsoku/>
        <w:wordWrap/>
        <w:overflowPunct/>
        <w:topLinePunct w:val="0"/>
        <w:bidi w:val="0"/>
        <w:snapToGrid/>
        <w:spacing w:line="560" w:lineRule="exact"/>
        <w:jc w:val="center"/>
        <w:textAlignment w:val="auto"/>
        <w:rPr>
          <w:rFonts w:hint="default" w:ascii="Times New Roman" w:hAnsi="Times New Roman" w:eastAsia="方正小标宋简体" w:cs="Times New Roman"/>
          <w:sz w:val="44"/>
          <w:szCs w:val="44"/>
        </w:rPr>
      </w:pPr>
    </w:p>
    <w:p w14:paraId="6DE7D223">
      <w:pPr>
        <w:keepNext w:val="0"/>
        <w:keepLines w:val="0"/>
        <w:pageBreakBefore w:val="0"/>
        <w:numPr>
          <w:ilvl w:val="0"/>
          <w:numId w:val="1"/>
        </w:numPr>
        <w:kinsoku/>
        <w:wordWrap/>
        <w:overflowPunct/>
        <w:topLinePunct w:val="0"/>
        <w:bidi w:val="0"/>
        <w:snapToGrid/>
        <w:spacing w:line="560" w:lineRule="exact"/>
        <w:ind w:firstLine="640"/>
        <w:textAlignment w:val="auto"/>
        <w:outlineLvl w:val="1"/>
        <w:rPr>
          <w:rStyle w:val="29"/>
          <w:rFonts w:hint="default" w:ascii="Times New Roman" w:hAnsi="Times New Roman" w:eastAsia="黑体" w:cs="Times New Roman"/>
          <w:b w:val="0"/>
        </w:rPr>
      </w:pPr>
      <w:bookmarkStart w:id="44" w:name="_Toc15377221"/>
      <w:bookmarkStart w:id="45" w:name="_Toc15396612"/>
      <w:r>
        <w:rPr>
          <w:rStyle w:val="29"/>
          <w:rFonts w:hint="default" w:ascii="Times New Roman" w:hAnsi="Times New Roman" w:eastAsia="黑体" w:cs="Times New Roman"/>
          <w:b w:val="0"/>
        </w:rPr>
        <w:t>其他重要事项的情况说明</w:t>
      </w:r>
      <w:bookmarkEnd w:id="44"/>
      <w:bookmarkEnd w:id="45"/>
    </w:p>
    <w:p w14:paraId="3E21803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46" w:name="_Toc15377222"/>
      <w:r>
        <w:rPr>
          <w:rFonts w:hint="default" w:ascii="Times New Roman" w:hAnsi="Times New Roman" w:eastAsia="楷体_GB2312" w:cs="Times New Roman"/>
          <w:b w:val="0"/>
          <w:bCs/>
          <w:sz w:val="32"/>
          <w:szCs w:val="32"/>
        </w:rPr>
        <w:t>（一）机关运行经费支出情况</w:t>
      </w:r>
      <w:bookmarkEnd w:id="46"/>
      <w:r>
        <w:rPr>
          <w:rFonts w:hint="default" w:ascii="Times New Roman" w:hAnsi="Times New Roman" w:eastAsia="楷体_GB2312" w:cs="Times New Roman"/>
          <w:b w:val="0"/>
          <w:bCs/>
          <w:sz w:val="32"/>
          <w:szCs w:val="32"/>
          <w:lang w:eastAsia="zh-CN"/>
        </w:rPr>
        <w:t>。</w:t>
      </w:r>
    </w:p>
    <w:p w14:paraId="684BC85E">
      <w:pPr>
        <w:keepNext w:val="0"/>
        <w:keepLines w:val="0"/>
        <w:pageBreakBefore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机关运行经费支出</w:t>
      </w:r>
      <w:r>
        <w:rPr>
          <w:rFonts w:hint="default" w:ascii="Times New Roman" w:hAnsi="Times New Roman" w:eastAsia="仿宋_GB2312" w:cs="Times New Roman"/>
          <w:sz w:val="32"/>
          <w:szCs w:val="32"/>
          <w:lang w:val="en-US" w:eastAsia="zh-CN"/>
        </w:rPr>
        <w:t>30.67</w:t>
      </w:r>
      <w:r>
        <w:rPr>
          <w:rFonts w:hint="default" w:ascii="Times New Roman" w:hAnsi="Times New Roman" w:eastAsia="仿宋_GB2312" w:cs="Times New Roman"/>
          <w:sz w:val="32"/>
          <w:szCs w:val="32"/>
        </w:rPr>
        <w:t>万元，比2021年增加</w:t>
      </w:r>
      <w:r>
        <w:rPr>
          <w:rFonts w:hint="default" w:ascii="Times New Roman" w:hAnsi="Times New Roman" w:eastAsia="仿宋_GB2312" w:cs="Times New Roman"/>
          <w:sz w:val="32"/>
          <w:szCs w:val="32"/>
          <w:lang w:val="en-US" w:eastAsia="zh-CN"/>
        </w:rPr>
        <w:t>1.23</w:t>
      </w:r>
      <w:r>
        <w:rPr>
          <w:rFonts w:hint="default" w:ascii="Times New Roman" w:hAnsi="Times New Roman" w:eastAsia="仿宋_GB2312" w:cs="Times New Roman"/>
          <w:sz w:val="32"/>
          <w:szCs w:val="32"/>
        </w:rPr>
        <w:t>万元，增长</w:t>
      </w:r>
      <w:r>
        <w:rPr>
          <w:rFonts w:hint="default" w:ascii="Times New Roman" w:hAnsi="Times New Roman" w:eastAsia="仿宋_GB2312" w:cs="Times New Roman"/>
          <w:sz w:val="32"/>
          <w:szCs w:val="32"/>
          <w:lang w:val="en-US" w:eastAsia="zh-CN"/>
        </w:rPr>
        <w:t>4.18</w:t>
      </w:r>
      <w:r>
        <w:rPr>
          <w:rFonts w:hint="default" w:ascii="Times New Roman" w:hAnsi="Times New Roman" w:eastAsia="仿宋_GB2312" w:cs="Times New Roman"/>
          <w:sz w:val="32"/>
          <w:szCs w:val="32"/>
        </w:rPr>
        <w:t>%。主要原因是</w:t>
      </w:r>
      <w:r>
        <w:rPr>
          <w:rFonts w:hint="default" w:ascii="Times New Roman" w:hAnsi="Times New Roman" w:eastAsia="仿宋_GB2312" w:cs="Times New Roman"/>
          <w:sz w:val="32"/>
          <w:szCs w:val="32"/>
          <w:lang w:eastAsia="zh-CN"/>
        </w:rPr>
        <w:t>工会经费和福利费增加</w:t>
      </w:r>
      <w:r>
        <w:rPr>
          <w:rFonts w:hint="default" w:ascii="Times New Roman" w:hAnsi="Times New Roman" w:eastAsia="仿宋_GB2312" w:cs="Times New Roman"/>
          <w:sz w:val="32"/>
          <w:szCs w:val="32"/>
        </w:rPr>
        <w:t>。</w:t>
      </w:r>
    </w:p>
    <w:p w14:paraId="0E220F4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47" w:name="_Toc15377223"/>
      <w:r>
        <w:rPr>
          <w:rFonts w:hint="default" w:ascii="Times New Roman" w:hAnsi="Times New Roman" w:eastAsia="楷体_GB2312" w:cs="Times New Roman"/>
          <w:b w:val="0"/>
          <w:bCs/>
          <w:sz w:val="32"/>
          <w:szCs w:val="32"/>
        </w:rPr>
        <w:t>（二）政府采购支出情况</w:t>
      </w:r>
      <w:bookmarkEnd w:id="47"/>
      <w:r>
        <w:rPr>
          <w:rFonts w:hint="default" w:ascii="Times New Roman" w:hAnsi="Times New Roman" w:eastAsia="楷体_GB2312" w:cs="Times New Roman"/>
          <w:b w:val="0"/>
          <w:bCs/>
          <w:sz w:val="32"/>
          <w:szCs w:val="32"/>
          <w:lang w:eastAsia="zh-CN"/>
        </w:rPr>
        <w:t>。</w:t>
      </w:r>
    </w:p>
    <w:p w14:paraId="0A25271B">
      <w:pPr>
        <w:keepNext w:val="0"/>
        <w:keepLines w:val="0"/>
        <w:pageBreakBefore w:val="0"/>
        <w:kinsoku/>
        <w:wordWrap/>
        <w:overflowPunct/>
        <w:topLinePunct w:val="0"/>
        <w:bidi w:val="0"/>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2022年，</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政府采购支出总额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万元，其中：政府采购货物支出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万元、政府采购工程支出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万元、政府采购服务支出</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万元。授予中小企业合同金额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%，其中：授予小微企业合同金额</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万元，占政府采购支出总额的</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w:t>
      </w:r>
    </w:p>
    <w:p w14:paraId="4CEEED4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bookmarkStart w:id="48" w:name="_Toc15377224"/>
      <w:r>
        <w:rPr>
          <w:rFonts w:hint="default" w:ascii="Times New Roman" w:hAnsi="Times New Roman" w:eastAsia="楷体_GB2312" w:cs="Times New Roman"/>
          <w:b w:val="0"/>
          <w:bCs/>
          <w:sz w:val="32"/>
          <w:szCs w:val="32"/>
        </w:rPr>
        <w:t>（三）国有资产占有使用情况</w:t>
      </w:r>
      <w:bookmarkEnd w:id="48"/>
      <w:r>
        <w:rPr>
          <w:rFonts w:hint="default" w:ascii="Times New Roman" w:hAnsi="Times New Roman" w:eastAsia="楷体_GB2312" w:cs="Times New Roman"/>
          <w:b w:val="0"/>
          <w:bCs/>
          <w:sz w:val="32"/>
          <w:szCs w:val="32"/>
          <w:lang w:eastAsia="zh-CN"/>
        </w:rPr>
        <w:t>。</w:t>
      </w:r>
    </w:p>
    <w:p w14:paraId="69882DD8">
      <w:pPr>
        <w:keepNext w:val="0"/>
        <w:keepLines w:val="0"/>
        <w:pageBreakBefore w:val="0"/>
        <w:kinsoku/>
        <w:wordWrap/>
        <w:overflowPunct/>
        <w:topLinePunct w:val="0"/>
        <w:autoSpaceDE w:val="0"/>
        <w:autoSpaceDN w:val="0"/>
        <w:bidi w:val="0"/>
        <w:adjustRightInd w:val="0"/>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截至2022年12月31日，</w:t>
      </w:r>
      <w:r>
        <w:rPr>
          <w:rFonts w:hint="default" w:ascii="Times New Roman" w:hAnsi="Times New Roman" w:eastAsia="仿宋_GB2312" w:cs="Times New Roman"/>
          <w:sz w:val="32"/>
          <w:szCs w:val="32"/>
          <w:lang w:eastAsia="zh-CN"/>
        </w:rPr>
        <w:t>本单位</w:t>
      </w:r>
      <w:r>
        <w:rPr>
          <w:rFonts w:hint="default" w:ascii="Times New Roman" w:hAnsi="Times New Roman" w:eastAsia="仿宋_GB2312" w:cs="Times New Roman"/>
          <w:sz w:val="32"/>
          <w:szCs w:val="32"/>
        </w:rPr>
        <w:t>共有车辆</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辆。单价100万元以上专用设备</w:t>
      </w:r>
      <w:r>
        <w:rPr>
          <w:rFonts w:hint="default" w:ascii="Times New Roman" w:hAnsi="Times New Roman" w:eastAsia="仿宋_GB2312" w:cs="Times New Roman"/>
          <w:sz w:val="32"/>
          <w:szCs w:val="32"/>
          <w:lang w:val="en-US" w:eastAsia="zh-CN"/>
        </w:rPr>
        <w:t>0</w:t>
      </w:r>
      <w:r>
        <w:rPr>
          <w:rFonts w:hint="default" w:ascii="Times New Roman" w:hAnsi="Times New Roman" w:eastAsia="仿宋_GB2312" w:cs="Times New Roman"/>
          <w:sz w:val="32"/>
          <w:szCs w:val="32"/>
        </w:rPr>
        <w:t>台（套）。</w:t>
      </w:r>
    </w:p>
    <w:p w14:paraId="479B06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eastAsia="zh-CN"/>
        </w:rPr>
      </w:pPr>
      <w:r>
        <w:rPr>
          <w:rFonts w:hint="default" w:ascii="Times New Roman" w:hAnsi="Times New Roman" w:eastAsia="楷体_GB2312" w:cs="Times New Roman"/>
          <w:b w:val="0"/>
          <w:bCs/>
          <w:sz w:val="32"/>
          <w:szCs w:val="32"/>
        </w:rPr>
        <w:t>（四）预算绩效管理情况</w:t>
      </w:r>
      <w:r>
        <w:rPr>
          <w:rFonts w:hint="default" w:ascii="Times New Roman" w:hAnsi="Times New Roman" w:eastAsia="楷体_GB2312" w:cs="Times New Roman"/>
          <w:b w:val="0"/>
          <w:bCs/>
          <w:sz w:val="32"/>
          <w:szCs w:val="32"/>
          <w:lang w:eastAsia="zh-CN"/>
        </w:rPr>
        <w:t>。</w:t>
      </w:r>
    </w:p>
    <w:p w14:paraId="519A7D6E">
      <w:pPr>
        <w:keepNext w:val="0"/>
        <w:keepLines w:val="0"/>
        <w:pageBreakBefore w:val="0"/>
        <w:widowControl/>
        <w:kinsoku/>
        <w:wordWrap/>
        <w:overflowPunct/>
        <w:topLinePunct w:val="0"/>
        <w:bidi w:val="0"/>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根据预算绩效管理要求，本部门在2022年度预算编制阶段，组织对</w:t>
      </w:r>
      <w:r>
        <w:rPr>
          <w:rFonts w:hint="default" w:ascii="Times New Roman" w:hAnsi="Times New Roman" w:eastAsia="仿宋_GB2312" w:cs="Times New Roman"/>
          <w:sz w:val="32"/>
          <w:szCs w:val="32"/>
          <w:lang w:eastAsia="zh-CN"/>
        </w:rPr>
        <w:t>医疗救助</w:t>
      </w:r>
      <w:r>
        <w:rPr>
          <w:rFonts w:hint="default" w:ascii="Times New Roman" w:hAnsi="Times New Roman" w:eastAsia="仿宋_GB2312" w:cs="Times New Roman"/>
          <w:sz w:val="32"/>
          <w:szCs w:val="32"/>
        </w:rPr>
        <w:t>项目</w:t>
      </w:r>
      <w:r>
        <w:rPr>
          <w:rFonts w:hint="default" w:ascii="Times New Roman" w:hAnsi="Times New Roman" w:eastAsia="仿宋_GB2312" w:cs="Times New Roman"/>
          <w:sz w:val="32"/>
          <w:szCs w:val="32"/>
          <w:lang w:eastAsia="zh-CN"/>
        </w:rPr>
        <w:t>、欺诈骗保举报奖励金项目、基层医疗机构业务网络通信费项目、正县级领导干部享受上一级非领导职务医疗待遇补助资金项目、离休干部医疗费项目、建国初期参加革命工作部分退休干部医疗补助金项目共</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个项目开展了预算事前绩效评估，对</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个项目编制了绩效目标，预算执行过程中，选取</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个项目开展绩效监控。</w:t>
      </w:r>
    </w:p>
    <w:p w14:paraId="343617BF">
      <w:pPr>
        <w:keepNext w:val="0"/>
        <w:keepLines w:val="0"/>
        <w:pageBreakBefore w:val="0"/>
        <w:widowControl/>
        <w:kinsoku/>
        <w:wordWrap/>
        <w:overflowPunct/>
        <w:topLinePunct w:val="0"/>
        <w:bidi w:val="0"/>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组织对2022年度部门所有预算资金全面开展绩效自评，形成</w:t>
      </w:r>
      <w:r>
        <w:rPr>
          <w:rFonts w:hint="default" w:ascii="Times New Roman" w:hAnsi="Times New Roman" w:eastAsia="仿宋_GB2312" w:cs="Times New Roman"/>
          <w:sz w:val="32"/>
          <w:szCs w:val="32"/>
          <w:lang w:eastAsia="zh-CN"/>
        </w:rPr>
        <w:t>盐边县医疗保障局</w:t>
      </w:r>
      <w:r>
        <w:rPr>
          <w:rFonts w:hint="default" w:ascii="Times New Roman" w:hAnsi="Times New Roman" w:eastAsia="仿宋_GB2312" w:cs="Times New Roman"/>
          <w:sz w:val="32"/>
          <w:szCs w:val="32"/>
        </w:rPr>
        <w:t>部门整体绩效自评报告、</w:t>
      </w:r>
      <w:r>
        <w:rPr>
          <w:rFonts w:hint="default" w:ascii="Times New Roman" w:hAnsi="Times New Roman" w:eastAsia="仿宋_GB2312" w:cs="Times New Roman"/>
          <w:sz w:val="32"/>
          <w:szCs w:val="32"/>
          <w:lang w:eastAsia="zh-CN"/>
        </w:rPr>
        <w:t>盐边县医疗保障局</w:t>
      </w:r>
      <w:r>
        <w:rPr>
          <w:rFonts w:hint="default" w:ascii="Times New Roman" w:hAnsi="Times New Roman" w:eastAsia="仿宋_GB2312" w:cs="Times New Roman"/>
          <w:sz w:val="32"/>
          <w:szCs w:val="32"/>
        </w:rPr>
        <w:t>专项预算项目绩效自评报告，其中</w:t>
      </w:r>
      <w:r>
        <w:rPr>
          <w:rFonts w:hint="default" w:ascii="Times New Roman" w:hAnsi="Times New Roman" w:eastAsia="仿宋_GB2312" w:cs="Times New Roman"/>
          <w:sz w:val="32"/>
          <w:szCs w:val="32"/>
          <w:lang w:eastAsia="zh-CN"/>
        </w:rPr>
        <w:t>盐边县医疗保障局</w:t>
      </w:r>
      <w:r>
        <w:rPr>
          <w:rFonts w:hint="default" w:ascii="Times New Roman" w:hAnsi="Times New Roman" w:eastAsia="仿宋_GB2312" w:cs="Times New Roman"/>
          <w:sz w:val="32"/>
          <w:szCs w:val="32"/>
        </w:rPr>
        <w:t>部门整体绩效自评得分为</w:t>
      </w:r>
      <w:r>
        <w:rPr>
          <w:rFonts w:hint="default" w:ascii="Times New Roman" w:hAnsi="Times New Roman" w:eastAsia="仿宋_GB2312" w:cs="Times New Roman"/>
          <w:sz w:val="32"/>
          <w:szCs w:val="32"/>
          <w:lang w:val="en-US" w:eastAsia="zh-CN"/>
        </w:rPr>
        <w:t>94.6</w:t>
      </w:r>
      <w:r>
        <w:rPr>
          <w:rFonts w:hint="default" w:ascii="Times New Roman" w:hAnsi="Times New Roman" w:eastAsia="仿宋_GB2312" w:cs="Times New Roman"/>
          <w:sz w:val="32"/>
          <w:szCs w:val="32"/>
        </w:rPr>
        <w:t>分，绩效自评综述：在县委、县政府的领导和上级主管部门的指导下，坚持以人民为中心的发展思想，认真贯彻落实国家、省、市医保工作任务，圆满完成市级、县级目标考核任务</w:t>
      </w:r>
      <w:r>
        <w:rPr>
          <w:rFonts w:hint="default" w:ascii="Times New Roman" w:hAnsi="Times New Roman" w:eastAsia="仿宋_GB2312" w:cs="Times New Roman"/>
          <w:sz w:val="32"/>
          <w:szCs w:val="32"/>
          <w:lang w:eastAsia="zh-CN"/>
        </w:rPr>
        <w:t>，很好</w:t>
      </w:r>
      <w:r>
        <w:rPr>
          <w:rFonts w:hint="eastAsia" w:eastAsia="仿宋_GB2312" w:cs="Times New Roman"/>
          <w:sz w:val="32"/>
          <w:szCs w:val="32"/>
          <w:lang w:eastAsia="zh-CN"/>
        </w:rPr>
        <w:t>地</w:t>
      </w:r>
      <w:r>
        <w:rPr>
          <w:rFonts w:hint="default" w:ascii="Times New Roman" w:hAnsi="Times New Roman" w:eastAsia="仿宋_GB2312" w:cs="Times New Roman"/>
          <w:sz w:val="32"/>
          <w:szCs w:val="32"/>
          <w:lang w:eastAsia="zh-CN"/>
        </w:rPr>
        <w:t>完成了各项绩效目标指标</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医疗救助</w:t>
      </w:r>
      <w:r>
        <w:rPr>
          <w:rFonts w:hint="default" w:ascii="Times New Roman" w:hAnsi="Times New Roman" w:eastAsia="仿宋_GB2312" w:cs="Times New Roman"/>
          <w:sz w:val="32"/>
          <w:szCs w:val="32"/>
        </w:rPr>
        <w:t>专项预算项目绩效自评得分为</w:t>
      </w:r>
      <w:r>
        <w:rPr>
          <w:rFonts w:hint="default" w:ascii="Times New Roman" w:hAnsi="Times New Roman" w:eastAsia="仿宋_GB2312" w:cs="Times New Roman"/>
          <w:sz w:val="32"/>
          <w:szCs w:val="32"/>
          <w:lang w:val="en-US" w:eastAsia="zh-CN"/>
        </w:rPr>
        <w:t>94</w:t>
      </w:r>
      <w:r>
        <w:rPr>
          <w:rFonts w:hint="default" w:ascii="Times New Roman" w:hAnsi="Times New Roman" w:eastAsia="仿宋_GB2312" w:cs="Times New Roman"/>
          <w:sz w:val="32"/>
          <w:szCs w:val="32"/>
        </w:rPr>
        <w:t>分，绩效自评综述：</w:t>
      </w:r>
      <w:r>
        <w:rPr>
          <w:rFonts w:hint="default" w:ascii="Times New Roman" w:hAnsi="Times New Roman" w:eastAsia="仿宋_GB2312" w:cs="Times New Roman"/>
          <w:sz w:val="32"/>
          <w:szCs w:val="32"/>
          <w:lang w:val="en-US" w:eastAsia="zh-CN"/>
        </w:rPr>
        <w:t>2022年</w:t>
      </w:r>
      <w:r>
        <w:rPr>
          <w:rFonts w:hint="default" w:ascii="Times New Roman" w:hAnsi="Times New Roman" w:eastAsia="仿宋_GB2312" w:cs="Times New Roman"/>
          <w:sz w:val="32"/>
          <w:szCs w:val="32"/>
          <w:lang w:eastAsia="zh-CN"/>
        </w:rPr>
        <w:t>县级医疗救助资金支出</w:t>
      </w:r>
      <w:r>
        <w:rPr>
          <w:rFonts w:hint="default" w:ascii="Times New Roman" w:hAnsi="Times New Roman" w:eastAsia="仿宋_GB2312" w:cs="Times New Roman"/>
          <w:sz w:val="32"/>
          <w:szCs w:val="32"/>
          <w:lang w:val="en-US" w:eastAsia="zh-CN"/>
        </w:rPr>
        <w:t>150万元，补充中央、省级医疗救助资金不足部分，用于资助困难群众参加城乡居民基本医疗保险和医疗费用，很好</w:t>
      </w:r>
      <w:r>
        <w:rPr>
          <w:rFonts w:hint="eastAsia" w:eastAsia="仿宋_GB2312" w:cs="Times New Roman"/>
          <w:sz w:val="32"/>
          <w:szCs w:val="32"/>
          <w:lang w:val="en-US" w:eastAsia="zh-CN"/>
        </w:rPr>
        <w:t>地</w:t>
      </w:r>
      <w:r>
        <w:rPr>
          <w:rFonts w:hint="default" w:ascii="Times New Roman" w:hAnsi="Times New Roman" w:eastAsia="仿宋_GB2312" w:cs="Times New Roman"/>
          <w:sz w:val="32"/>
          <w:szCs w:val="32"/>
          <w:lang w:val="en-US" w:eastAsia="zh-CN"/>
        </w:rPr>
        <w:t>完成了各项绩效指标</w:t>
      </w:r>
      <w:r>
        <w:rPr>
          <w:rFonts w:hint="default" w:ascii="Times New Roman" w:hAnsi="Times New Roman" w:eastAsia="仿宋_GB2312" w:cs="Times New Roman"/>
          <w:sz w:val="32"/>
          <w:szCs w:val="32"/>
        </w:rPr>
        <w:t>。绩效自评报告详见附件。</w:t>
      </w:r>
    </w:p>
    <w:p w14:paraId="5440997D">
      <w:pPr>
        <w:keepNext w:val="0"/>
        <w:keepLines w:val="0"/>
        <w:pageBreakBefore w:val="0"/>
        <w:widowControl/>
        <w:kinsoku/>
        <w:wordWrap/>
        <w:overflowPunct/>
        <w:topLinePunct w:val="0"/>
        <w:bidi w:val="0"/>
        <w:snapToGrid/>
        <w:spacing w:line="560" w:lineRule="exact"/>
        <w:ind w:firstLine="640" w:firstLineChars="200"/>
        <w:jc w:val="left"/>
        <w:textAlignment w:val="auto"/>
        <w:rPr>
          <w:rFonts w:hint="default" w:ascii="Times New Roman" w:hAnsi="Times New Roman" w:eastAsia="仿宋_GB2312" w:cs="Times New Roman"/>
          <w:sz w:val="32"/>
          <w:szCs w:val="32"/>
        </w:rPr>
      </w:pPr>
    </w:p>
    <w:p w14:paraId="2DC6EF20">
      <w:pPr>
        <w:keepNext w:val="0"/>
        <w:keepLines w:val="0"/>
        <w:pageBreakBefore w:val="0"/>
        <w:widowControl/>
        <w:kinsoku/>
        <w:wordWrap/>
        <w:overflowPunct/>
        <w:topLinePunct w:val="0"/>
        <w:bidi w:val="0"/>
        <w:snapToGrid/>
        <w:spacing w:line="560" w:lineRule="exact"/>
        <w:ind w:firstLine="640" w:firstLineChars="200"/>
        <w:jc w:val="left"/>
        <w:textAlignment w:val="auto"/>
        <w:rPr>
          <w:rFonts w:hint="default" w:ascii="Times New Roman" w:hAnsi="Times New Roman" w:eastAsia="仿宋_GB2312" w:cs="Times New Roman"/>
          <w:sz w:val="32"/>
          <w:szCs w:val="32"/>
        </w:rPr>
      </w:pPr>
    </w:p>
    <w:p w14:paraId="0E97268D">
      <w:pPr>
        <w:numPr>
          <w:ilvl w:val="0"/>
          <w:numId w:val="2"/>
        </w:numPr>
        <w:spacing w:line="600" w:lineRule="exact"/>
        <w:ind w:firstLine="660" w:firstLineChars="150"/>
        <w:jc w:val="center"/>
        <w:outlineLvl w:val="0"/>
        <w:rPr>
          <w:rFonts w:hint="default" w:ascii="Times New Roman" w:hAnsi="Times New Roman" w:eastAsia="方正小标宋简体" w:cs="Times New Roman"/>
          <w:b w:val="0"/>
          <w:bCs/>
          <w:kern w:val="44"/>
          <w:sz w:val="44"/>
          <w:szCs w:val="44"/>
          <w:lang w:val="en-US" w:eastAsia="zh-CN" w:bidi="ar-SA"/>
        </w:rPr>
      </w:pPr>
      <w:bookmarkStart w:id="49" w:name="_Toc15377225"/>
      <w:bookmarkStart w:id="50" w:name="_Toc15396613"/>
      <w:r>
        <w:rPr>
          <w:rFonts w:hint="default" w:ascii="Times New Roman" w:hAnsi="Times New Roman" w:eastAsia="方正小标宋简体" w:cs="Times New Roman"/>
          <w:b w:val="0"/>
          <w:bCs/>
          <w:kern w:val="44"/>
          <w:sz w:val="44"/>
          <w:szCs w:val="44"/>
          <w:lang w:val="en-US" w:eastAsia="zh-CN" w:bidi="ar-SA"/>
        </w:rPr>
        <w:t>名词解释</w:t>
      </w:r>
      <w:bookmarkEnd w:id="49"/>
      <w:bookmarkEnd w:id="50"/>
    </w:p>
    <w:p w14:paraId="66AF3B22">
      <w:pPr>
        <w:spacing w:line="600" w:lineRule="exact"/>
        <w:jc w:val="left"/>
        <w:rPr>
          <w:rFonts w:hint="default" w:ascii="Times New Roman" w:hAnsi="Times New Roman" w:cs="Times New Roman"/>
          <w:b/>
          <w:sz w:val="44"/>
          <w:szCs w:val="44"/>
        </w:rPr>
      </w:pPr>
    </w:p>
    <w:p w14:paraId="034E424E">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1.财政拨款收入：指单位从同级财政部门取得的财政预算资金。</w:t>
      </w:r>
    </w:p>
    <w:p w14:paraId="27F2657E">
      <w:pPr>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color w:val="auto"/>
          <w:sz w:val="32"/>
          <w:szCs w:val="32"/>
        </w:rPr>
        <w:t>社会保障和就业（类）行政事业单位养老支出（款）</w:t>
      </w:r>
      <w:r>
        <w:rPr>
          <w:rFonts w:hint="default" w:ascii="Times New Roman" w:hAnsi="Times New Roman" w:eastAsia="仿宋_GB2312" w:cs="Times New Roman"/>
          <w:color w:val="auto"/>
          <w:sz w:val="32"/>
          <w:szCs w:val="32"/>
          <w:lang w:eastAsia="zh-CN"/>
        </w:rPr>
        <w:t>行政单位离退休</w:t>
      </w:r>
      <w:r>
        <w:rPr>
          <w:rFonts w:hint="default" w:ascii="Times New Roman" w:hAnsi="Times New Roman" w:eastAsia="仿宋_GB2312" w:cs="Times New Roman"/>
          <w:color w:val="auto"/>
          <w:sz w:val="32"/>
          <w:szCs w:val="32"/>
        </w:rPr>
        <w:t>（项）</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反映行政单位（包括实行公务员管理的事业单位）开支的离退休经费</w:t>
      </w:r>
      <w:r>
        <w:rPr>
          <w:rFonts w:hint="default" w:ascii="Times New Roman" w:hAnsi="Times New Roman" w:eastAsia="仿宋_GB2312" w:cs="Times New Roman"/>
          <w:sz w:val="32"/>
          <w:szCs w:val="32"/>
        </w:rPr>
        <w:t>。</w:t>
      </w:r>
    </w:p>
    <w:p w14:paraId="592E01B0">
      <w:pPr>
        <w:spacing w:line="360" w:lineRule="auto"/>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sz w:val="32"/>
          <w:szCs w:val="32"/>
          <w:lang w:val="en-US" w:eastAsia="zh-CN"/>
        </w:rPr>
        <w:t>3.社会保障和就业（类）行政事业单位养老支出（款）机关事业单位基本养老保险缴费支出（项）</w:t>
      </w:r>
      <w:r>
        <w:rPr>
          <w:rFonts w:hint="eastAsia" w:eastAsia="仿宋_GB2312" w:cs="Times New Roman"/>
          <w:sz w:val="32"/>
          <w:szCs w:val="32"/>
          <w:lang w:val="en-US" w:eastAsia="zh-CN"/>
        </w:rPr>
        <w:t>：</w:t>
      </w:r>
      <w:r>
        <w:rPr>
          <w:rFonts w:hint="default" w:ascii="Times New Roman" w:hAnsi="Times New Roman" w:eastAsia="仿宋_GB2312" w:cs="Times New Roman"/>
          <w:color w:val="auto"/>
          <w:sz w:val="32"/>
          <w:szCs w:val="32"/>
        </w:rPr>
        <w:t>反映机关事业单位实施养老保险制度由单位缴纳的基本养老保险费支出。</w:t>
      </w:r>
    </w:p>
    <w:p w14:paraId="04DEE7C2">
      <w:pPr>
        <w:pStyle w:val="6"/>
        <w:ind w:firstLine="640"/>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4</w:t>
      </w:r>
      <w:r>
        <w:rPr>
          <w:rFonts w:hint="default" w:ascii="Times New Roman" w:hAnsi="Times New Roman" w:eastAsia="仿宋_GB2312" w:cs="Times New Roman"/>
          <w:sz w:val="32"/>
          <w:szCs w:val="32"/>
          <w:lang w:val="en-US" w:eastAsia="zh-CN"/>
        </w:rPr>
        <w:t>.社会保障和就业（类）行政事业单位养老支出（款）机关事业单位职业年金缴费支出（项）</w:t>
      </w:r>
      <w:r>
        <w:rPr>
          <w:rFonts w:hint="eastAsia" w:ascii="Times New Roman" w:cs="Times New Roman"/>
          <w:sz w:val="32"/>
          <w:szCs w:val="32"/>
          <w:lang w:val="en-US" w:eastAsia="zh-CN"/>
        </w:rPr>
        <w:t>：</w:t>
      </w:r>
      <w:r>
        <w:rPr>
          <w:rFonts w:hint="default" w:ascii="Times New Roman" w:hAnsi="Times New Roman" w:cs="Times New Roman"/>
          <w:sz w:val="32"/>
          <w:szCs w:val="32"/>
          <w:lang w:val="en-US" w:eastAsia="zh-CN"/>
        </w:rPr>
        <w:t>反映机关事业单位实施养老保险制度由单位实际缴纳的职业年金支出。</w:t>
      </w:r>
    </w:p>
    <w:p w14:paraId="56A5B6D6">
      <w:pPr>
        <w:pStyle w:val="6"/>
        <w:ind w:firstLine="640"/>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5</w:t>
      </w:r>
      <w:r>
        <w:rPr>
          <w:rFonts w:hint="default" w:ascii="Times New Roman" w:hAnsi="Times New Roman" w:eastAsia="仿宋_GB2312" w:cs="Times New Roman"/>
          <w:sz w:val="32"/>
          <w:szCs w:val="32"/>
          <w:lang w:val="en-US" w:eastAsia="zh-CN"/>
        </w:rPr>
        <w:t>.卫生健康（类）行政事业单位医疗（款）行政单位医疗（项）</w:t>
      </w:r>
      <w:r>
        <w:rPr>
          <w:rFonts w:hint="eastAsia" w:ascii="Times New Roman" w:cs="Times New Roman"/>
          <w:sz w:val="32"/>
          <w:szCs w:val="32"/>
          <w:lang w:val="en-US" w:eastAsia="zh-CN"/>
        </w:rPr>
        <w:t>：</w:t>
      </w:r>
      <w:r>
        <w:rPr>
          <w:rFonts w:hint="default" w:ascii="Times New Roman" w:hAnsi="Times New Roman" w:eastAsia="仿宋_GB2312" w:cs="Times New Roman"/>
          <w:color w:val="auto"/>
          <w:kern w:val="0"/>
          <w:sz w:val="32"/>
          <w:szCs w:val="32"/>
        </w:rPr>
        <w:t>反映财政部门安排的行政单位（包括实行公务员管理的事业单位）基本医疗保险缴费经费，未参加医疗保险的行政单位的公费医疗经费，按国家规定享受离休人员、红军老战士待遇人员的医疗经费。</w:t>
      </w:r>
    </w:p>
    <w:p w14:paraId="4BB57867">
      <w:pPr>
        <w:spacing w:line="360" w:lineRule="auto"/>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6.卫生健康（类）行政事业单位医疗（款）公务员医疗补助（项）</w:t>
      </w:r>
      <w:r>
        <w:rPr>
          <w:rFonts w:hint="eastAsia" w:eastAsia="仿宋_GB2312" w:cs="Times New Roman"/>
          <w:sz w:val="32"/>
          <w:szCs w:val="32"/>
          <w:lang w:val="en-US" w:eastAsia="zh-CN"/>
        </w:rPr>
        <w:t>：</w:t>
      </w:r>
      <w:r>
        <w:rPr>
          <w:rFonts w:hint="default" w:ascii="Times New Roman" w:hAnsi="Times New Roman" w:eastAsia="仿宋_GB2312" w:cs="Times New Roman"/>
          <w:color w:val="auto"/>
          <w:kern w:val="0"/>
          <w:sz w:val="32"/>
          <w:szCs w:val="32"/>
        </w:rPr>
        <w:t>反映财政部门安排的公务员医疗补助经费。</w:t>
      </w:r>
    </w:p>
    <w:p w14:paraId="0728D436">
      <w:pPr>
        <w:spacing w:line="360" w:lineRule="auto"/>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7.卫生健康（类）医疗救助（款）城乡医疗救助（项）</w:t>
      </w:r>
      <w:r>
        <w:rPr>
          <w:rFonts w:hint="eastAsia" w:eastAsia="仿宋_GB2312" w:cs="Times New Roman"/>
          <w:sz w:val="32"/>
          <w:szCs w:val="32"/>
          <w:lang w:val="en-US" w:eastAsia="zh-CN"/>
        </w:rPr>
        <w:t>：</w:t>
      </w:r>
      <w:r>
        <w:rPr>
          <w:rFonts w:hint="default" w:ascii="Times New Roman" w:hAnsi="Times New Roman" w:eastAsia="仿宋_GB2312" w:cs="Times New Roman"/>
          <w:color w:val="auto"/>
          <w:sz w:val="32"/>
          <w:szCs w:val="32"/>
        </w:rPr>
        <w:t>反映财政用于城乡困难群众医疗救助的支出</w:t>
      </w:r>
      <w:r>
        <w:rPr>
          <w:rFonts w:hint="default" w:ascii="Times New Roman" w:hAnsi="Times New Roman" w:eastAsia="仿宋_GB2312" w:cs="Times New Roman"/>
          <w:color w:val="auto"/>
          <w:kern w:val="0"/>
          <w:sz w:val="32"/>
          <w:szCs w:val="32"/>
        </w:rPr>
        <w:t>。</w:t>
      </w:r>
    </w:p>
    <w:p w14:paraId="5C5A36C9">
      <w:pPr>
        <w:spacing w:line="360" w:lineRule="auto"/>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8.卫生健康（类）医疗保障管理事务（款）行政运行（项）</w:t>
      </w:r>
      <w:r>
        <w:rPr>
          <w:rFonts w:hint="eastAsia" w:eastAsia="仿宋_GB2312" w:cs="Times New Roman"/>
          <w:sz w:val="32"/>
          <w:szCs w:val="32"/>
          <w:lang w:val="en-US" w:eastAsia="zh-CN"/>
        </w:rPr>
        <w:t>：</w:t>
      </w:r>
      <w:r>
        <w:rPr>
          <w:rFonts w:hint="default" w:ascii="Times New Roman" w:hAnsi="Times New Roman" w:eastAsia="仿宋_GB2312" w:cs="Times New Roman"/>
          <w:color w:val="auto"/>
          <w:sz w:val="32"/>
          <w:szCs w:val="32"/>
        </w:rPr>
        <w:t>反映行政单位（包括实行公务员管理的事业单位）的基本支出。</w:t>
      </w:r>
    </w:p>
    <w:p w14:paraId="18D88A35">
      <w:pPr>
        <w:pStyle w:val="6"/>
        <w:ind w:firstLine="640"/>
        <w:rPr>
          <w:rFonts w:hint="default" w:ascii="Times New Roman" w:hAnsi="Times New Roman" w:eastAsia="仿宋_GB2312" w:cs="Times New Roman"/>
          <w:sz w:val="32"/>
          <w:szCs w:val="32"/>
          <w:lang w:val="en-US" w:eastAsia="zh-CN"/>
        </w:rPr>
      </w:pPr>
      <w:r>
        <w:rPr>
          <w:rFonts w:hint="default" w:ascii="Times New Roman" w:hAnsi="Times New Roman" w:cs="Times New Roman"/>
          <w:sz w:val="32"/>
          <w:szCs w:val="32"/>
          <w:lang w:val="en-US" w:eastAsia="zh-CN"/>
        </w:rPr>
        <w:t>9</w:t>
      </w:r>
      <w:r>
        <w:rPr>
          <w:rFonts w:hint="default" w:ascii="Times New Roman" w:hAnsi="Times New Roman" w:eastAsia="仿宋_GB2312" w:cs="Times New Roman"/>
          <w:sz w:val="32"/>
          <w:szCs w:val="32"/>
          <w:lang w:val="en-US" w:eastAsia="zh-CN"/>
        </w:rPr>
        <w:t>.卫生健康（类）医疗保障管理事务（款）医疗保障政策管理（项）</w:t>
      </w:r>
      <w:r>
        <w:rPr>
          <w:rFonts w:hint="eastAsia" w:ascii="Times New Roman" w:cs="Times New Roman"/>
          <w:sz w:val="32"/>
          <w:szCs w:val="32"/>
          <w:lang w:val="en-US" w:eastAsia="zh-CN"/>
        </w:rPr>
        <w:t>：</w:t>
      </w:r>
      <w:r>
        <w:rPr>
          <w:rFonts w:hint="default" w:ascii="Times New Roman" w:hAnsi="Times New Roman" w:cs="Times New Roman"/>
          <w:sz w:val="32"/>
          <w:szCs w:val="32"/>
          <w:lang w:val="en-US" w:eastAsia="zh-CN"/>
        </w:rPr>
        <w:t>反映医疗保障待遇管理、医药服务管理、医药价格和招标采购管理、医疗保障基金监管等支出</w:t>
      </w:r>
      <w:r>
        <w:rPr>
          <w:rFonts w:hint="default" w:ascii="Times New Roman" w:hAnsi="Times New Roman" w:eastAsia="仿宋_GB2312" w:cs="Times New Roman"/>
          <w:sz w:val="32"/>
          <w:szCs w:val="32"/>
          <w:lang w:val="en-US" w:eastAsia="zh-CN"/>
        </w:rPr>
        <w:t>。</w:t>
      </w:r>
    </w:p>
    <w:p w14:paraId="472BC2FC">
      <w:pPr>
        <w:spacing w:line="360" w:lineRule="auto"/>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10.卫生健康（类）医疗保障管理事务（款）其他医疗保障管理事务支出（项）</w:t>
      </w:r>
      <w:r>
        <w:rPr>
          <w:rFonts w:hint="eastAsia" w:eastAsia="仿宋_GB2312" w:cs="Times New Roman"/>
          <w:sz w:val="32"/>
          <w:szCs w:val="32"/>
          <w:lang w:val="en-US" w:eastAsia="zh-CN"/>
        </w:rPr>
        <w:t>：</w:t>
      </w:r>
      <w:r>
        <w:rPr>
          <w:rFonts w:hint="default" w:ascii="Times New Roman" w:hAnsi="Times New Roman" w:eastAsia="仿宋_GB2312" w:cs="Times New Roman"/>
          <w:color w:val="auto"/>
          <w:sz w:val="32"/>
          <w:szCs w:val="32"/>
        </w:rPr>
        <w:t>反映其他用于医疗保障管理事务方面的支出。</w:t>
      </w:r>
    </w:p>
    <w:p w14:paraId="6F8DA5E6">
      <w:pPr>
        <w:spacing w:line="360" w:lineRule="auto"/>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11.住房保障支出（类）住房改革支出（款）住房公积金（项）：</w:t>
      </w:r>
      <w:r>
        <w:rPr>
          <w:rFonts w:hint="default" w:ascii="Times New Roman" w:hAnsi="Times New Roman" w:eastAsia="仿宋_GB2312" w:cs="Times New Roman"/>
          <w:color w:val="auto"/>
          <w:sz w:val="32"/>
          <w:szCs w:val="32"/>
        </w:rPr>
        <w:t>反映行政事业单位按人力资源和社会保障部、财政部规定的基本工资和津贴补贴以及规定比例为职工缴纳的住房公积金。</w:t>
      </w:r>
    </w:p>
    <w:p w14:paraId="17EF91E6">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12</w:t>
      </w:r>
      <w:r>
        <w:rPr>
          <w:rFonts w:hint="default" w:ascii="Times New Roman" w:hAnsi="Times New Roman" w:eastAsia="仿宋_GB2312" w:cs="Times New Roman"/>
          <w:sz w:val="32"/>
          <w:szCs w:val="32"/>
        </w:rPr>
        <w:t>.基本支出：指为保障机构正常运转、完成日常工作任务而发生的人员支出和公用支出。</w:t>
      </w:r>
    </w:p>
    <w:p w14:paraId="5F238C07">
      <w:pPr>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13</w:t>
      </w:r>
      <w:r>
        <w:rPr>
          <w:rFonts w:hint="default" w:ascii="Times New Roman" w:hAnsi="Times New Roman" w:eastAsia="仿宋_GB2312" w:cs="Times New Roman"/>
          <w:sz w:val="32"/>
          <w:szCs w:val="32"/>
        </w:rPr>
        <w:t>.项目支出：指在基本支出之外为完成特定行政任务和事业发展目标所发生的支出。</w:t>
      </w:r>
    </w:p>
    <w:p w14:paraId="436B8BA2">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14</w:t>
      </w:r>
      <w:r>
        <w:rPr>
          <w:rFonts w:hint="default" w:ascii="Times New Roman" w:hAnsi="Times New Roman" w:eastAsia="仿宋_GB2312" w:cs="Times New Roman"/>
          <w:color w:val="auto"/>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w:t>
      </w:r>
      <w:r>
        <w:rPr>
          <w:rFonts w:hint="default" w:ascii="Times New Roman" w:hAnsi="Times New Roman" w:eastAsia="仿宋_GB2312" w:cs="Times New Roman"/>
          <w:color w:val="auto"/>
          <w:sz w:val="32"/>
          <w:szCs w:val="32"/>
          <w:lang w:eastAsia="zh-CN"/>
        </w:rPr>
        <w:t>、牌照费</w:t>
      </w:r>
      <w:r>
        <w:rPr>
          <w:rFonts w:hint="default" w:ascii="Times New Roman" w:hAnsi="Times New Roman" w:eastAsia="仿宋_GB2312" w:cs="Times New Roman"/>
          <w:color w:val="auto"/>
          <w:sz w:val="32"/>
          <w:szCs w:val="32"/>
        </w:rPr>
        <w:t>）及燃料费、维修费、过</w:t>
      </w:r>
      <w:r>
        <w:rPr>
          <w:rFonts w:hint="default" w:ascii="Times New Roman" w:hAnsi="Times New Roman" w:eastAsia="仿宋_GB2312" w:cs="Times New Roman"/>
          <w:color w:val="auto"/>
          <w:sz w:val="32"/>
          <w:szCs w:val="32"/>
          <w:lang w:eastAsia="zh-CN"/>
        </w:rPr>
        <w:t>桥</w:t>
      </w:r>
      <w:r>
        <w:rPr>
          <w:rFonts w:hint="default" w:ascii="Times New Roman" w:hAnsi="Times New Roman" w:eastAsia="仿宋_GB2312" w:cs="Times New Roman"/>
          <w:color w:val="auto"/>
          <w:sz w:val="32"/>
          <w:szCs w:val="32"/>
        </w:rPr>
        <w:t>过</w:t>
      </w:r>
      <w:r>
        <w:rPr>
          <w:rFonts w:hint="default" w:ascii="Times New Roman" w:hAnsi="Times New Roman" w:eastAsia="仿宋_GB2312" w:cs="Times New Roman"/>
          <w:color w:val="auto"/>
          <w:sz w:val="32"/>
          <w:szCs w:val="32"/>
          <w:lang w:eastAsia="zh-CN"/>
        </w:rPr>
        <w:t>路</w:t>
      </w:r>
      <w:r>
        <w:rPr>
          <w:rFonts w:hint="default" w:ascii="Times New Roman" w:hAnsi="Times New Roman" w:eastAsia="仿宋_GB2312" w:cs="Times New Roman"/>
          <w:color w:val="auto"/>
          <w:sz w:val="32"/>
          <w:szCs w:val="32"/>
        </w:rPr>
        <w:t>费、保险费</w:t>
      </w:r>
      <w:r>
        <w:rPr>
          <w:rFonts w:hint="default" w:ascii="Times New Roman" w:hAnsi="Times New Roman" w:eastAsia="仿宋_GB2312" w:cs="Times New Roman"/>
          <w:color w:val="auto"/>
          <w:sz w:val="32"/>
          <w:szCs w:val="32"/>
          <w:lang w:eastAsia="zh-CN"/>
        </w:rPr>
        <w:t>、安全奖励费用</w:t>
      </w:r>
      <w:r>
        <w:rPr>
          <w:rFonts w:hint="default" w:ascii="Times New Roman" w:hAnsi="Times New Roman" w:eastAsia="仿宋_GB2312" w:cs="Times New Roman"/>
          <w:color w:val="auto"/>
          <w:sz w:val="32"/>
          <w:szCs w:val="32"/>
        </w:rPr>
        <w:t>等支出；公务接待费反映单位按规定开支的各类公务接待（含外宾接待）支出。</w:t>
      </w:r>
    </w:p>
    <w:p w14:paraId="63AE385A">
      <w:pPr>
        <w:pStyle w:val="26"/>
        <w:spacing w:line="56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15</w:t>
      </w:r>
      <w:r>
        <w:rPr>
          <w:rFonts w:hint="default" w:ascii="Times New Roman" w:hAnsi="Times New Roman" w:eastAsia="仿宋_GB2312" w:cs="Times New Roman"/>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96EDAF3">
      <w:pPr>
        <w:spacing w:line="600" w:lineRule="exact"/>
        <w:jc w:val="center"/>
        <w:outlineLvl w:val="0"/>
        <w:rPr>
          <w:rFonts w:hint="default" w:ascii="Times New Roman" w:hAnsi="Times New Roman" w:eastAsia="方正小标宋简体" w:cs="Times New Roman"/>
          <w:b w:val="0"/>
          <w:bCs/>
          <w:color w:val="000000" w:themeColor="text1"/>
          <w:sz w:val="44"/>
          <w:szCs w:val="44"/>
          <w:shd w:val="clear" w:color="auto" w:fill="FFFFFF"/>
          <w14:textFill>
            <w14:solidFill>
              <w14:schemeClr w14:val="tx1"/>
            </w14:solidFill>
          </w14:textFill>
        </w:rPr>
      </w:pPr>
      <w:bookmarkStart w:id="51" w:name="_Toc15377226"/>
      <w:r>
        <w:rPr>
          <w:rFonts w:hint="default" w:ascii="Times New Roman" w:hAnsi="Times New Roman" w:cs="Times New Roman"/>
          <w:b/>
          <w:sz w:val="44"/>
          <w:szCs w:val="44"/>
        </w:rPr>
        <w:br w:type="page"/>
      </w:r>
      <w:bookmarkStart w:id="52" w:name="_Toc15396614"/>
      <w:r>
        <w:rPr>
          <w:rFonts w:hint="default" w:ascii="Times New Roman" w:hAnsi="Times New Roman" w:eastAsia="方正小标宋简体" w:cs="Times New Roman"/>
          <w:b w:val="0"/>
          <w:bCs/>
          <w:color w:val="000000" w:themeColor="text1"/>
          <w:sz w:val="44"/>
          <w:szCs w:val="44"/>
          <w:shd w:val="clear" w:color="auto" w:fill="FFFFFF"/>
          <w:lang w:val="en-US" w:eastAsia="zh-CN"/>
          <w14:textFill>
            <w14:solidFill>
              <w14:schemeClr w14:val="tx1"/>
            </w14:solidFill>
          </w14:textFill>
        </w:rPr>
        <w:t>第四部分 附件</w:t>
      </w:r>
      <w:bookmarkEnd w:id="52"/>
    </w:p>
    <w:p w14:paraId="5935C06F">
      <w:pPr>
        <w:widowControl/>
        <w:spacing w:line="560" w:lineRule="exact"/>
        <w:contextualSpacing/>
        <w:rPr>
          <w:rFonts w:hint="default" w:ascii="Times New Roman" w:hAnsi="Times New Roman" w:eastAsia="黑体" w:cs="Times New Roman"/>
          <w:b w:val="0"/>
          <w:bCs/>
          <w:sz w:val="32"/>
          <w:szCs w:val="32"/>
          <w:shd w:val="clear" w:color="auto" w:fill="FFFFFF"/>
        </w:rPr>
      </w:pPr>
      <w:r>
        <w:rPr>
          <w:rFonts w:hint="default" w:ascii="Times New Roman" w:hAnsi="Times New Roman" w:eastAsia="黑体" w:cs="Times New Roman"/>
          <w:b w:val="0"/>
          <w:bCs/>
          <w:sz w:val="32"/>
          <w:szCs w:val="32"/>
          <w:shd w:val="clear" w:color="auto" w:fill="FFFFFF"/>
        </w:rPr>
        <w:t>附件1</w:t>
      </w:r>
    </w:p>
    <w:p w14:paraId="0C305052">
      <w:pPr>
        <w:widowControl/>
        <w:spacing w:line="560" w:lineRule="exact"/>
        <w:contextualSpacing/>
        <w:jc w:val="center"/>
        <w:rPr>
          <w:rFonts w:hint="default" w:ascii="Times New Roman" w:hAnsi="Times New Roman" w:eastAsia="方正小标宋简体" w:cs="Times New Roman"/>
          <w:b w:val="0"/>
          <w:bCs/>
          <w:color w:val="000000" w:themeColor="text1"/>
          <w:sz w:val="44"/>
          <w:szCs w:val="44"/>
          <w:shd w:val="clear" w:color="auto" w:fill="FFFFFF"/>
          <w14:textFill>
            <w14:solidFill>
              <w14:schemeClr w14:val="tx1"/>
            </w14:solidFill>
          </w14:textFill>
        </w:rPr>
      </w:pPr>
      <w:r>
        <w:rPr>
          <w:rFonts w:hint="default" w:ascii="Times New Roman" w:hAnsi="Times New Roman" w:eastAsia="方正小标宋简体" w:cs="Times New Roman"/>
          <w:b w:val="0"/>
          <w:bCs/>
          <w:color w:val="000000" w:themeColor="text1"/>
          <w:sz w:val="44"/>
          <w:szCs w:val="44"/>
          <w:shd w:val="clear" w:color="auto" w:fill="FFFFFF"/>
          <w14:textFill>
            <w14:solidFill>
              <w14:schemeClr w14:val="tx1"/>
            </w14:solidFill>
          </w14:textFill>
        </w:rPr>
        <w:t>2023年部门整体绩效评价报告</w:t>
      </w:r>
    </w:p>
    <w:p w14:paraId="78DFE0CC">
      <w:pPr>
        <w:widowControl/>
        <w:adjustRightInd w:val="0"/>
        <w:snapToGrid w:val="0"/>
        <w:spacing w:line="560" w:lineRule="exact"/>
        <w:ind w:firstLine="640" w:firstLineChars="200"/>
        <w:contextualSpacing/>
        <w:jc w:val="left"/>
        <w:rPr>
          <w:rFonts w:hint="default" w:ascii="Times New Roman" w:hAnsi="Times New Roman" w:eastAsia="黑体" w:cs="Times New Roman"/>
          <w:kern w:val="0"/>
          <w:sz w:val="32"/>
          <w:szCs w:val="32"/>
          <w:shd w:val="clear" w:color="auto" w:fill="FFFFFF"/>
        </w:rPr>
      </w:pPr>
    </w:p>
    <w:p w14:paraId="7FA70FFF">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fill="FFFFFF"/>
          <w:lang w:val="zh-CN" w:eastAsia="zh-CN" w:bidi="ar-SA"/>
        </w:rPr>
        <w:t>一、</w:t>
      </w:r>
      <w:r>
        <w:rPr>
          <w:rFonts w:hint="default" w:ascii="Times New Roman" w:hAnsi="Times New Roman" w:eastAsia="黑体" w:cs="Times New Roman"/>
          <w:kern w:val="0"/>
          <w:sz w:val="32"/>
          <w:szCs w:val="32"/>
          <w:shd w:val="clear" w:color="auto" w:fill="FFFFFF"/>
          <w:lang w:val="zh-CN"/>
        </w:rPr>
        <w:t>部门（单位）基本情况</w:t>
      </w:r>
    </w:p>
    <w:p w14:paraId="77435B0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eastAsia="zh-CN"/>
        </w:rPr>
        <w:t>（一）</w:t>
      </w:r>
      <w:r>
        <w:rPr>
          <w:rFonts w:hint="default" w:ascii="Times New Roman" w:hAnsi="Times New Roman" w:eastAsia="楷体_GB2312" w:cs="Times New Roman"/>
          <w:b w:val="0"/>
          <w:bCs/>
          <w:sz w:val="32"/>
          <w:szCs w:val="32"/>
          <w:lang w:val="zh-CN"/>
        </w:rPr>
        <w:t>机构组成。</w:t>
      </w:r>
    </w:p>
    <w:p w14:paraId="71D659C6">
      <w:pPr>
        <w:pStyle w:val="6"/>
        <w:keepNext w:val="0"/>
        <w:keepLines w:val="0"/>
        <w:pageBreakBefore w:val="0"/>
        <w:numPr>
          <w:ilvl w:val="0"/>
          <w:numId w:val="0"/>
        </w:numPr>
        <w:kinsoku/>
        <w:wordWrap/>
        <w:overflowPunct/>
        <w:topLinePunct w:val="0"/>
        <w:autoSpaceDE/>
        <w:autoSpaceDN/>
        <w:bidi w:val="0"/>
        <w:spacing w:beforeLines="0" w:line="560" w:lineRule="exact"/>
        <w:textAlignment w:val="auto"/>
        <w:rPr>
          <w:rFonts w:hint="default" w:ascii="Times New Roman" w:hAnsi="Times New Roman" w:eastAsia="仿宋_GB2312" w:cs="Times New Roman"/>
          <w:lang w:val="en-US" w:eastAsia="zh-CN"/>
        </w:rPr>
      </w:pPr>
      <w:r>
        <w:rPr>
          <w:rFonts w:hint="default" w:ascii="Times New Roman" w:hAnsi="Times New Roman" w:cs="Times New Roman"/>
          <w:lang w:val="en-US" w:eastAsia="zh-CN"/>
        </w:rPr>
        <w:t xml:space="preserve">     </w:t>
      </w:r>
      <w:r>
        <w:rPr>
          <w:rFonts w:hint="default" w:ascii="Times New Roman" w:hAnsi="Times New Roman" w:eastAsia="仿宋_GB2312" w:cs="Times New Roman"/>
          <w:color w:val="000000"/>
          <w:kern w:val="0"/>
          <w:sz w:val="32"/>
          <w:szCs w:val="32"/>
          <w:shd w:val="clear" w:color="auto" w:fill="FFFFFF"/>
          <w:lang w:val="zh-CN"/>
        </w:rPr>
        <w:t>盐边县医疗保障局（简称县医保局）是盐边县人民政府工作部门，为正科级，下属二级单位盐边县医疗保障事务中心为参照公务员法管理的事业单位。县医保局内设办公室和业务与政策法规股</w:t>
      </w:r>
      <w:r>
        <w:rPr>
          <w:rFonts w:hint="default" w:ascii="Times New Roman" w:hAnsi="Times New Roman" w:eastAsia="仿宋_GB2312" w:cs="Times New Roman"/>
          <w:color w:val="000000"/>
          <w:kern w:val="0"/>
          <w:sz w:val="32"/>
          <w:szCs w:val="32"/>
          <w:shd w:val="clear" w:color="auto" w:fill="FFFFFF"/>
          <w:lang w:val="en-US" w:eastAsia="zh-CN"/>
        </w:rPr>
        <w:t>2个机构。</w:t>
      </w:r>
    </w:p>
    <w:p w14:paraId="6593024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eastAsia="zh-CN"/>
        </w:rPr>
        <w:t>（二）</w:t>
      </w:r>
      <w:r>
        <w:rPr>
          <w:rFonts w:hint="default" w:ascii="Times New Roman" w:hAnsi="Times New Roman" w:eastAsia="楷体_GB2312" w:cs="Times New Roman"/>
          <w:b w:val="0"/>
          <w:bCs/>
          <w:sz w:val="32"/>
          <w:szCs w:val="32"/>
          <w:lang w:val="zh-CN"/>
        </w:rPr>
        <w:t>机构职能和人员概况。</w:t>
      </w:r>
    </w:p>
    <w:p w14:paraId="1813368F">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422" w:firstLineChars="200"/>
        <w:jc w:val="left"/>
        <w:textAlignment w:val="auto"/>
        <w:rPr>
          <w:rFonts w:hint="default" w:ascii="Times New Roman" w:hAnsi="Times New Roman" w:eastAsia="仿宋_GB2312" w:cs="Times New Roman"/>
          <w:b/>
          <w:bCs/>
          <w:sz w:val="32"/>
          <w:szCs w:val="32"/>
          <w:lang w:val="en-US" w:eastAsia="zh-CN"/>
        </w:rPr>
      </w:pPr>
      <w:r>
        <w:rPr>
          <w:rFonts w:hint="default" w:ascii="Times New Roman" w:hAnsi="Times New Roman" w:cs="Times New Roman"/>
          <w:b/>
          <w:bCs/>
          <w:lang w:val="en-US" w:eastAsia="zh-CN"/>
        </w:rPr>
        <w:t xml:space="preserve">  </w:t>
      </w:r>
      <w:r>
        <w:rPr>
          <w:rFonts w:hint="default" w:ascii="Times New Roman" w:hAnsi="Times New Roman" w:eastAsia="仿宋_GB2312" w:cs="Times New Roman"/>
          <w:b/>
          <w:bCs/>
          <w:color w:val="000000"/>
          <w:kern w:val="0"/>
          <w:sz w:val="32"/>
          <w:szCs w:val="32"/>
          <w:shd w:val="clear" w:color="auto" w:fill="FFFFFF"/>
          <w:lang w:val="en-US" w:eastAsia="zh-CN"/>
        </w:rPr>
        <w:t>1.机构职能。</w:t>
      </w:r>
    </w:p>
    <w:p w14:paraId="56227FB1">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color w:val="000000"/>
          <w:kern w:val="0"/>
          <w:sz w:val="32"/>
          <w:szCs w:val="32"/>
          <w:shd w:val="clear" w:color="auto" w:fill="FFFFFF"/>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1）办公室。负责文电、会务、档案、保密机要、机关安全、综治、维稳、信访、绩效管理、信息、政务公开、后勤保障等机关日常运转工作。承担史志编纂、财务资产、人事和离退休管理等工作。拟订医疗保障工作规划、年度工作计划和总结。承担机关和直属单位的机构编制、人事管理、教育培训、队伍建设、规范性文件合法性审查、财务、国有资产管理和对外合作交流等工作。负责机关和直属单位的党群工作。</w:t>
      </w:r>
    </w:p>
    <w:p w14:paraId="6009A029">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0" w:firstLineChars="0"/>
        <w:contextualSpacing/>
        <w:jc w:val="left"/>
        <w:textAlignment w:val="auto"/>
        <w:rPr>
          <w:rFonts w:hint="default" w:ascii="Times New Roman" w:hAnsi="Times New Roman" w:eastAsia="楷体_GB2312" w:cs="Times New Roman"/>
          <w:color w:val="000000"/>
          <w:kern w:val="0"/>
          <w:szCs w:val="32"/>
          <w:shd w:val="clear" w:color="auto" w:fill="FFFFFF"/>
          <w:lang w:val="zh-CN"/>
        </w:rPr>
      </w:pPr>
      <w:r>
        <w:rPr>
          <w:rFonts w:hint="default" w:ascii="Times New Roman" w:hAnsi="Times New Roman" w:eastAsia="仿宋_GB2312" w:cs="Times New Roman"/>
          <w:color w:val="000000"/>
          <w:kern w:val="0"/>
          <w:sz w:val="32"/>
          <w:szCs w:val="32"/>
          <w:shd w:val="clear" w:color="auto" w:fill="FFFFFF"/>
          <w:lang w:val="en-US" w:eastAsia="zh-CN"/>
        </w:rPr>
        <w:t xml:space="preserve">    （2）业务与政策法规股。组织实施医疗保障筹资和待遇政策、统筹城乡待遇标准、长期护理保险政策、基本医疗保险、大病保险、补充医疗保险、公务员医疗补助、医疗救助政策、异地就医等管理办法和结算政策、全市城乡统一的药品、医用耗材价格和医疗服务项目、医疗服务设施收费等政策、医疗保障基金监督管理制度、监督管理纳入医疗保障支付范围的医疗服务行为和医疗费用、规范医保经办业务、依法查处医疗保障领域违法违规行为。负责行政复议、行政诉讼、医疗保障各项统计报表与数据分析、上级和县级审计等部门对全县医疗保障系统的审计、检查相关工作。统筹推进多层次医疗保障体系建设和医保支付方式改革。建立健全医疗保障关系转移接续制度、价格信息监测制度、基金安全防控机制、相关信息发布和披露制度、医疗保障信用评价体系。指导管理全县医疗保障经办服务、医疗保障定点医药机构管理工作，组织执行全市经办服务规程，规范经办服务窗口建设，督促做好县级医疗保障经办机构内控管理和风险防范等工作。制定完善县级离休干部、六级以上革命伤残军人的医疗保障政策和特殊人群医疗照顾政策。与医疗保障相关部门在医疗、医保、医药、基金征缴等方面加强制度、政策衔接，建立沟通协商机制，协同推进改革，提高医疗资源使用效率和医疗保障水平。</w:t>
      </w:r>
    </w:p>
    <w:p w14:paraId="17015516">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color w:val="000000"/>
          <w:kern w:val="0"/>
          <w:sz w:val="32"/>
          <w:szCs w:val="32"/>
          <w:shd w:val="clear" w:color="auto" w:fill="FFFFFF"/>
          <w:lang w:val="zh-CN" w:eastAsia="zh-CN"/>
        </w:rPr>
      </w:pPr>
      <w:r>
        <w:rPr>
          <w:rFonts w:hint="default" w:ascii="Times New Roman" w:hAnsi="Times New Roman" w:eastAsia="仿宋_GB2312" w:cs="Times New Roman"/>
          <w:b/>
          <w:bCs/>
          <w:color w:val="000000"/>
          <w:kern w:val="0"/>
          <w:sz w:val="32"/>
          <w:szCs w:val="32"/>
          <w:shd w:val="clear" w:color="auto" w:fill="FFFFFF"/>
          <w:lang w:val="en-US" w:eastAsia="zh-CN"/>
        </w:rPr>
        <w:t>2.</w:t>
      </w:r>
      <w:r>
        <w:rPr>
          <w:rFonts w:hint="default" w:ascii="Times New Roman" w:hAnsi="Times New Roman" w:eastAsia="仿宋_GB2312" w:cs="Times New Roman"/>
          <w:b/>
          <w:bCs/>
          <w:color w:val="000000"/>
          <w:kern w:val="0"/>
          <w:sz w:val="32"/>
          <w:szCs w:val="32"/>
          <w:shd w:val="clear" w:color="auto" w:fill="FFFFFF"/>
          <w:lang w:val="zh-CN" w:eastAsia="zh-CN"/>
        </w:rPr>
        <w:t>人员概况。</w:t>
      </w:r>
    </w:p>
    <w:p w14:paraId="2732C517">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lang w:val="en-US" w:eastAsia="zh-CN"/>
        </w:rPr>
      </w:pPr>
      <w:r>
        <w:rPr>
          <w:rFonts w:hint="default" w:ascii="Times New Roman" w:hAnsi="Times New Roman" w:eastAsia="仿宋_GB2312" w:cs="Times New Roman"/>
          <w:color w:val="000000"/>
          <w:kern w:val="0"/>
          <w:sz w:val="32"/>
          <w:szCs w:val="32"/>
          <w:shd w:val="clear" w:color="auto" w:fill="FFFFFF"/>
          <w:lang w:val="en-US" w:eastAsia="zh-CN"/>
        </w:rPr>
        <w:t>县医保局202</w:t>
      </w:r>
      <w:r>
        <w:rPr>
          <w:rFonts w:hint="default" w:ascii="Times New Roman" w:hAnsi="Times New Roman" w:cs="Times New Roman"/>
          <w:color w:val="000000"/>
          <w:kern w:val="0"/>
          <w:sz w:val="32"/>
          <w:szCs w:val="32"/>
          <w:shd w:val="clear" w:color="auto" w:fill="FFFFFF"/>
          <w:lang w:val="en-US" w:eastAsia="zh-CN"/>
        </w:rPr>
        <w:t>2</w:t>
      </w:r>
      <w:r>
        <w:rPr>
          <w:rFonts w:hint="default" w:ascii="Times New Roman" w:hAnsi="Times New Roman" w:eastAsia="仿宋_GB2312" w:cs="Times New Roman"/>
          <w:color w:val="000000"/>
          <w:kern w:val="0"/>
          <w:sz w:val="32"/>
          <w:szCs w:val="32"/>
          <w:shd w:val="clear" w:color="auto" w:fill="FFFFFF"/>
          <w:lang w:val="en-US" w:eastAsia="zh-CN"/>
        </w:rPr>
        <w:t>年末核定行政编制3名，参公编制1</w:t>
      </w:r>
      <w:r>
        <w:rPr>
          <w:rFonts w:hint="default" w:ascii="Times New Roman" w:hAnsi="Times New Roman" w:cs="Times New Roman"/>
          <w:color w:val="000000"/>
          <w:kern w:val="0"/>
          <w:sz w:val="32"/>
          <w:szCs w:val="32"/>
          <w:shd w:val="clear" w:color="auto" w:fill="FFFFFF"/>
          <w:lang w:val="en-US" w:eastAsia="zh-CN"/>
        </w:rPr>
        <w:t>6</w:t>
      </w:r>
      <w:r>
        <w:rPr>
          <w:rFonts w:hint="default" w:ascii="Times New Roman" w:hAnsi="Times New Roman" w:eastAsia="仿宋_GB2312" w:cs="Times New Roman"/>
          <w:color w:val="000000"/>
          <w:kern w:val="0"/>
          <w:sz w:val="32"/>
          <w:szCs w:val="32"/>
          <w:shd w:val="clear" w:color="auto" w:fill="FFFFFF"/>
          <w:lang w:val="en-US" w:eastAsia="zh-CN"/>
        </w:rPr>
        <w:t>名。202</w:t>
      </w:r>
      <w:r>
        <w:rPr>
          <w:rFonts w:hint="default" w:ascii="Times New Roman" w:hAnsi="Times New Roman" w:cs="Times New Roman"/>
          <w:color w:val="000000"/>
          <w:kern w:val="0"/>
          <w:sz w:val="32"/>
          <w:szCs w:val="32"/>
          <w:shd w:val="clear" w:color="auto" w:fill="FFFFFF"/>
          <w:lang w:val="en-US" w:eastAsia="zh-CN"/>
        </w:rPr>
        <w:t>2</w:t>
      </w:r>
      <w:r>
        <w:rPr>
          <w:rFonts w:hint="default" w:ascii="Times New Roman" w:hAnsi="Times New Roman" w:eastAsia="仿宋_GB2312" w:cs="Times New Roman"/>
          <w:color w:val="000000"/>
          <w:kern w:val="0"/>
          <w:sz w:val="32"/>
          <w:szCs w:val="32"/>
          <w:shd w:val="clear" w:color="auto" w:fill="FFFFFF"/>
          <w:lang w:val="en-US" w:eastAsia="zh-CN"/>
        </w:rPr>
        <w:t>年12月末，在职在编19人。</w:t>
      </w:r>
    </w:p>
    <w:p w14:paraId="6C812C7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eastAsia="zh-CN"/>
        </w:rPr>
        <w:t>（三）</w:t>
      </w:r>
      <w:r>
        <w:rPr>
          <w:rFonts w:hint="default" w:ascii="Times New Roman" w:hAnsi="Times New Roman" w:eastAsia="楷体_GB2312" w:cs="Times New Roman"/>
          <w:b w:val="0"/>
          <w:bCs/>
          <w:sz w:val="32"/>
          <w:szCs w:val="32"/>
          <w:lang w:val="zh-CN"/>
        </w:rPr>
        <w:t>年度主要工作任务。</w:t>
      </w:r>
    </w:p>
    <w:p w14:paraId="34C9B300">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color w:val="000000"/>
          <w:kern w:val="0"/>
          <w:sz w:val="32"/>
          <w:szCs w:val="32"/>
          <w:shd w:val="clear" w:color="auto" w:fill="FFFFFF"/>
          <w:lang w:val="en-US" w:eastAsia="zh-CN"/>
        </w:rPr>
      </w:pPr>
      <w:r>
        <w:rPr>
          <w:rFonts w:hint="default" w:ascii="Times New Roman" w:hAnsi="Times New Roman" w:eastAsia="仿宋_GB2312" w:cs="Times New Roman"/>
          <w:b/>
          <w:bCs/>
          <w:color w:val="000000"/>
          <w:kern w:val="0"/>
          <w:sz w:val="32"/>
          <w:szCs w:val="32"/>
          <w:shd w:val="clear" w:color="auto" w:fill="FFFFFF"/>
          <w:lang w:val="en-US" w:eastAsia="zh-CN"/>
        </w:rPr>
        <w:t>1.党建和党风廉政建设深入开展。</w:t>
      </w:r>
    </w:p>
    <w:p w14:paraId="7724232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lang w:val="en-US" w:eastAsia="zh-CN"/>
        </w:rPr>
      </w:pPr>
      <w:r>
        <w:rPr>
          <w:rFonts w:hint="default" w:ascii="Times New Roman" w:hAnsi="Times New Roman" w:eastAsia="仿宋_GB2312" w:cs="Times New Roman"/>
          <w:bCs/>
          <w:color w:val="auto"/>
          <w:kern w:val="33"/>
          <w:sz w:val="32"/>
          <w:szCs w:val="32"/>
        </w:rPr>
        <w:t>一是研究制定了《县医保局推进2022年全面从严治党、党风廉政建设和反腐败工作要点及责任分工》，建立了局党组、党组书记、党组成员“三张责任清单”，严格落实了分管领导、股室和下属单位负责人的工作职责。</w:t>
      </w:r>
      <w:r>
        <w:rPr>
          <w:rFonts w:hint="default" w:ascii="Times New Roman" w:hAnsi="Times New Roman" w:eastAsia="仿宋_GB2312" w:cs="Times New Roman"/>
          <w:bCs/>
          <w:color w:val="auto"/>
          <w:kern w:val="33"/>
          <w:sz w:val="32"/>
          <w:szCs w:val="32"/>
          <w:lang w:val="en-US" w:eastAsia="zh-CN"/>
        </w:rPr>
        <w:t>1-12月，组织召开4次党组会专题研究全年党风廉政建设工作，听取班子成员党风廉政履职情况汇报4次，</w:t>
      </w:r>
      <w:r>
        <w:rPr>
          <w:rFonts w:hint="default" w:ascii="Times New Roman" w:hAnsi="Times New Roman" w:eastAsia="仿宋_GB2312" w:cs="Times New Roman"/>
          <w:bCs/>
          <w:color w:val="auto"/>
          <w:kern w:val="33"/>
          <w:sz w:val="32"/>
          <w:szCs w:val="32"/>
        </w:rPr>
        <w:t>召开</w:t>
      </w:r>
      <w:r>
        <w:rPr>
          <w:rFonts w:hint="default" w:ascii="Times New Roman" w:hAnsi="Times New Roman" w:eastAsia="仿宋_GB2312" w:cs="Times New Roman"/>
          <w:bCs/>
          <w:color w:val="auto"/>
          <w:kern w:val="33"/>
          <w:sz w:val="32"/>
          <w:szCs w:val="32"/>
          <w:lang w:val="en-US" w:eastAsia="zh-CN"/>
        </w:rPr>
        <w:t>6</w:t>
      </w:r>
      <w:r>
        <w:rPr>
          <w:rFonts w:hint="default" w:ascii="Times New Roman" w:hAnsi="Times New Roman" w:eastAsia="仿宋_GB2312" w:cs="Times New Roman"/>
          <w:bCs/>
          <w:color w:val="auto"/>
          <w:kern w:val="33"/>
          <w:sz w:val="32"/>
          <w:szCs w:val="32"/>
        </w:rPr>
        <w:t>次理论学习中心组会</w:t>
      </w:r>
      <w:r>
        <w:rPr>
          <w:rFonts w:hint="eastAsia" w:eastAsia="仿宋_GB2312" w:cs="Times New Roman"/>
          <w:bCs/>
          <w:color w:val="auto"/>
          <w:kern w:val="33"/>
          <w:sz w:val="32"/>
          <w:szCs w:val="32"/>
          <w:lang w:val="en-US" w:eastAsia="zh-CN"/>
        </w:rPr>
        <w:t>议</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3</w:t>
      </w:r>
      <w:r>
        <w:rPr>
          <w:rFonts w:hint="default" w:ascii="Times New Roman" w:hAnsi="Times New Roman" w:eastAsia="仿宋_GB2312" w:cs="Times New Roman"/>
          <w:bCs/>
          <w:color w:val="auto"/>
          <w:kern w:val="33"/>
          <w:sz w:val="32"/>
          <w:szCs w:val="32"/>
        </w:rPr>
        <w:t>次党员大会</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开展党风廉政专项检查11次，督促落实党风廉政建设工作责任。</w:t>
      </w:r>
    </w:p>
    <w:p w14:paraId="253C2F8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lang w:val="en-US" w:eastAsia="zh-CN"/>
        </w:rPr>
      </w:pPr>
      <w:r>
        <w:rPr>
          <w:rFonts w:hint="default" w:ascii="Times New Roman" w:hAnsi="Times New Roman" w:eastAsia="仿宋_GB2312" w:cs="Times New Roman"/>
          <w:bCs/>
          <w:color w:val="auto"/>
          <w:kern w:val="33"/>
          <w:sz w:val="32"/>
          <w:szCs w:val="32"/>
          <w:lang w:val="en-US" w:eastAsia="zh-CN"/>
        </w:rPr>
        <w:t>二是政风行风建设持续深入推进。结合“窗口腐败”专项整治工作，狠抓经办机构政风行风建设，在工作中严格执行首问责任、一次性告知、限时办结和责任追究等制度，坚持文明用语、微笑服务；积极推进医保服务大厅标准化规范化建设，完成指引标志、设施配置和工作着装等事项的统一，树立经办机构良好的对外形象。</w:t>
      </w:r>
    </w:p>
    <w:p w14:paraId="203F1F51">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三是</w:t>
      </w:r>
      <w:r>
        <w:rPr>
          <w:rFonts w:hint="default" w:ascii="Times New Roman" w:hAnsi="Times New Roman" w:eastAsia="仿宋_GB2312" w:cs="Times New Roman"/>
          <w:bCs/>
          <w:color w:val="auto"/>
          <w:kern w:val="33"/>
          <w:sz w:val="32"/>
          <w:szCs w:val="32"/>
        </w:rPr>
        <w:t>修订完善各项工作制度</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全面防控“三公”经费支出、医保基金管理使用等廉政风险点，进一步规范财务管理、民主生活会、党组议事规则和选人用人程序。</w:t>
      </w:r>
    </w:p>
    <w:p w14:paraId="7D646ECA">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四</w:t>
      </w:r>
      <w:r>
        <w:rPr>
          <w:rFonts w:hint="default" w:ascii="Times New Roman" w:hAnsi="Times New Roman" w:eastAsia="仿宋_GB2312" w:cs="Times New Roman"/>
          <w:bCs/>
          <w:color w:val="auto"/>
          <w:kern w:val="33"/>
          <w:sz w:val="32"/>
          <w:szCs w:val="32"/>
        </w:rPr>
        <w:t>是加强党风廉政警示教育。班子成员带头讲廉政党课</w:t>
      </w:r>
      <w:r>
        <w:rPr>
          <w:rFonts w:hint="default" w:ascii="Times New Roman" w:hAnsi="Times New Roman" w:eastAsia="仿宋_GB2312" w:cs="Times New Roman"/>
          <w:bCs/>
          <w:color w:val="auto"/>
          <w:kern w:val="33"/>
          <w:sz w:val="32"/>
          <w:szCs w:val="32"/>
          <w:lang w:val="en-US" w:eastAsia="zh-CN"/>
        </w:rPr>
        <w:t>3</w:t>
      </w:r>
      <w:r>
        <w:rPr>
          <w:rFonts w:hint="default" w:ascii="Times New Roman" w:hAnsi="Times New Roman" w:eastAsia="仿宋_GB2312" w:cs="Times New Roman"/>
          <w:bCs/>
          <w:color w:val="auto"/>
          <w:kern w:val="33"/>
          <w:sz w:val="32"/>
          <w:szCs w:val="32"/>
        </w:rPr>
        <w:t>次，针对医保基金管理关键</w:t>
      </w:r>
      <w:r>
        <w:rPr>
          <w:rFonts w:hint="default" w:ascii="Times New Roman" w:hAnsi="Times New Roman" w:eastAsia="仿宋_GB2312" w:cs="Times New Roman"/>
          <w:bCs/>
          <w:color w:val="auto"/>
          <w:kern w:val="33"/>
          <w:sz w:val="32"/>
          <w:szCs w:val="32"/>
          <w:lang w:val="en-US" w:eastAsia="zh-CN"/>
        </w:rPr>
        <w:t>岗位</w:t>
      </w:r>
      <w:r>
        <w:rPr>
          <w:rFonts w:hint="default" w:ascii="Times New Roman" w:hAnsi="Times New Roman" w:eastAsia="仿宋_GB2312" w:cs="Times New Roman"/>
          <w:bCs/>
          <w:color w:val="auto"/>
          <w:kern w:val="33"/>
          <w:sz w:val="32"/>
          <w:szCs w:val="32"/>
        </w:rPr>
        <w:t>人员开展全覆盖谈心谈话1次，开展干部职工谈心谈话</w:t>
      </w:r>
      <w:r>
        <w:rPr>
          <w:rFonts w:hint="default" w:ascii="Times New Roman" w:hAnsi="Times New Roman" w:eastAsia="仿宋_GB2312" w:cs="Times New Roman"/>
          <w:bCs/>
          <w:color w:val="auto"/>
          <w:kern w:val="33"/>
          <w:sz w:val="32"/>
          <w:szCs w:val="32"/>
          <w:lang w:val="en-US" w:eastAsia="zh-CN"/>
        </w:rPr>
        <w:t>19</w:t>
      </w:r>
      <w:r>
        <w:rPr>
          <w:rFonts w:hint="default" w:ascii="Times New Roman" w:hAnsi="Times New Roman" w:eastAsia="仿宋_GB2312" w:cs="Times New Roman"/>
          <w:bCs/>
          <w:color w:val="auto"/>
          <w:kern w:val="33"/>
          <w:sz w:val="32"/>
          <w:szCs w:val="32"/>
        </w:rPr>
        <w:t>人次，做到谈话提醒常态化，帮助干部职工拧紧思想总开关</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组织观看《零容忍》等警示教育片以及各地骗取医保基金典型案例并开展专题研讨，</w:t>
      </w:r>
      <w:r>
        <w:rPr>
          <w:rFonts w:hint="default" w:ascii="Times New Roman" w:hAnsi="Times New Roman" w:eastAsia="仿宋_GB2312" w:cs="Times New Roman"/>
          <w:bCs/>
          <w:color w:val="auto"/>
          <w:kern w:val="33"/>
          <w:sz w:val="32"/>
          <w:szCs w:val="32"/>
          <w:lang w:val="en-US" w:eastAsia="zh-CN"/>
        </w:rPr>
        <w:t>组织学习纪委监委通报的3起典型案例，</w:t>
      </w:r>
      <w:r>
        <w:rPr>
          <w:rFonts w:hint="default" w:ascii="Times New Roman" w:hAnsi="Times New Roman" w:eastAsia="仿宋_GB2312" w:cs="Times New Roman"/>
          <w:bCs/>
          <w:color w:val="auto"/>
          <w:kern w:val="33"/>
          <w:sz w:val="32"/>
          <w:szCs w:val="32"/>
        </w:rPr>
        <w:t>以案为鉴，树牢“基金红线不可触碰”的法纪意识。</w:t>
      </w:r>
    </w:p>
    <w:p w14:paraId="79076652">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五是切实抓好意识形态工作。全面落实意识形态工作责任，全年召开意识形态工作专题会3次，分析研判个人账户收回、打击欺诈骗保、企业医保欠费、门诊共济改革等风险点，强化正面引导，牢牢掌握意识形态思想阵地，全年未出现意识形态问题和重大舆情。</w:t>
      </w:r>
    </w:p>
    <w:p w14:paraId="60169020">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val="en-US" w:eastAsia="zh-CN"/>
        </w:rPr>
      </w:pPr>
      <w:r>
        <w:rPr>
          <w:rFonts w:hint="default" w:ascii="Times New Roman" w:hAnsi="Times New Roman" w:eastAsia="仿宋_GB2312" w:cs="Times New Roman"/>
          <w:b/>
          <w:bCs w:val="0"/>
          <w:color w:val="auto"/>
          <w:kern w:val="33"/>
          <w:sz w:val="32"/>
          <w:szCs w:val="32"/>
          <w:lang w:val="en-US" w:eastAsia="zh-CN"/>
        </w:rPr>
        <w:t>2.全面落实各项医疗保障待遇。</w:t>
      </w:r>
    </w:p>
    <w:p w14:paraId="6A141589">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一是落实参保人员门诊住院报销。</w:t>
      </w:r>
      <w:r>
        <w:rPr>
          <w:rFonts w:hint="default" w:ascii="Times New Roman" w:hAnsi="Times New Roman" w:eastAsia="仿宋_GB2312" w:cs="Times New Roman"/>
          <w:bCs/>
          <w:color w:val="auto"/>
          <w:kern w:val="33"/>
          <w:sz w:val="32"/>
          <w:szCs w:val="32"/>
        </w:rPr>
        <w:t>实行基本医疗保险、大病医疗保险、补充医疗保险、医疗救助“一单制”结算</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2022年1-1</w:t>
      </w:r>
      <w:r>
        <w:rPr>
          <w:rFonts w:hint="default" w:ascii="Times New Roman" w:hAnsi="Times New Roman" w:eastAsia="仿宋_GB2312" w:cs="Times New Roman"/>
          <w:bCs/>
          <w:color w:val="auto"/>
          <w:kern w:val="33"/>
          <w:sz w:val="32"/>
          <w:szCs w:val="32"/>
          <w:lang w:val="en-US" w:eastAsia="zh-CN"/>
        </w:rPr>
        <w:t>2</w:t>
      </w:r>
      <w:r>
        <w:rPr>
          <w:rFonts w:hint="default" w:ascii="Times New Roman" w:hAnsi="Times New Roman" w:eastAsia="仿宋_GB2312" w:cs="Times New Roman"/>
          <w:bCs/>
          <w:color w:val="auto"/>
          <w:kern w:val="33"/>
          <w:sz w:val="32"/>
          <w:szCs w:val="32"/>
        </w:rPr>
        <w:t>月全县城乡居民在定点医疗机构住院</w:t>
      </w:r>
      <w:r>
        <w:rPr>
          <w:rFonts w:hint="default" w:ascii="Times New Roman" w:hAnsi="Times New Roman" w:eastAsia="仿宋_GB2312" w:cs="Times New Roman"/>
          <w:bCs/>
          <w:color w:val="auto"/>
          <w:kern w:val="33"/>
          <w:sz w:val="32"/>
          <w:szCs w:val="32"/>
          <w:lang w:val="en-US" w:eastAsia="zh-CN"/>
        </w:rPr>
        <w:t>3.05</w:t>
      </w:r>
      <w:r>
        <w:rPr>
          <w:rFonts w:hint="default" w:ascii="Times New Roman" w:hAnsi="Times New Roman" w:eastAsia="仿宋_GB2312" w:cs="Times New Roman"/>
          <w:bCs/>
          <w:color w:val="auto"/>
          <w:kern w:val="33"/>
          <w:sz w:val="32"/>
          <w:szCs w:val="32"/>
        </w:rPr>
        <w:t>万余人次，总费用</w:t>
      </w:r>
      <w:r>
        <w:rPr>
          <w:rFonts w:hint="default" w:ascii="Times New Roman" w:hAnsi="Times New Roman" w:eastAsia="仿宋_GB2312" w:cs="Times New Roman"/>
          <w:bCs/>
          <w:color w:val="auto"/>
          <w:kern w:val="33"/>
          <w:sz w:val="32"/>
          <w:szCs w:val="32"/>
          <w:lang w:val="en-US" w:eastAsia="zh-CN"/>
        </w:rPr>
        <w:t>19511.84</w:t>
      </w:r>
      <w:r>
        <w:rPr>
          <w:rFonts w:hint="default" w:ascii="Times New Roman" w:hAnsi="Times New Roman" w:eastAsia="仿宋_GB2312" w:cs="Times New Roman"/>
          <w:bCs/>
          <w:color w:val="auto"/>
          <w:kern w:val="33"/>
          <w:sz w:val="32"/>
          <w:szCs w:val="32"/>
        </w:rPr>
        <w:t>万元，医保报销</w:t>
      </w:r>
      <w:r>
        <w:rPr>
          <w:rFonts w:hint="default" w:ascii="Times New Roman" w:hAnsi="Times New Roman" w:eastAsia="仿宋_GB2312" w:cs="Times New Roman"/>
          <w:bCs/>
          <w:color w:val="auto"/>
          <w:kern w:val="33"/>
          <w:sz w:val="32"/>
          <w:szCs w:val="32"/>
          <w:lang w:val="en-US" w:eastAsia="zh-CN"/>
        </w:rPr>
        <w:t>12246.41</w:t>
      </w:r>
      <w:r>
        <w:rPr>
          <w:rFonts w:hint="default" w:ascii="Times New Roman" w:hAnsi="Times New Roman" w:eastAsia="仿宋_GB2312" w:cs="Times New Roman"/>
          <w:bCs/>
          <w:color w:val="auto"/>
          <w:kern w:val="33"/>
          <w:sz w:val="32"/>
          <w:szCs w:val="32"/>
        </w:rPr>
        <w:t>万元；门诊</w:t>
      </w:r>
      <w:r>
        <w:rPr>
          <w:rFonts w:hint="default" w:ascii="Times New Roman" w:hAnsi="Times New Roman" w:eastAsia="仿宋_GB2312" w:cs="Times New Roman"/>
          <w:bCs/>
          <w:color w:val="auto"/>
          <w:kern w:val="33"/>
          <w:sz w:val="32"/>
          <w:szCs w:val="32"/>
          <w:lang w:val="en-US" w:eastAsia="zh-CN"/>
        </w:rPr>
        <w:t>就诊30.2</w:t>
      </w:r>
      <w:r>
        <w:rPr>
          <w:rFonts w:hint="default" w:ascii="Times New Roman" w:hAnsi="Times New Roman" w:eastAsia="仿宋_GB2312" w:cs="Times New Roman"/>
          <w:bCs/>
          <w:color w:val="auto"/>
          <w:kern w:val="33"/>
          <w:sz w:val="32"/>
          <w:szCs w:val="32"/>
        </w:rPr>
        <w:t>万人次，总费用</w:t>
      </w:r>
      <w:r>
        <w:rPr>
          <w:rFonts w:hint="default" w:ascii="Times New Roman" w:hAnsi="Times New Roman" w:eastAsia="仿宋_GB2312" w:cs="Times New Roman"/>
          <w:bCs/>
          <w:color w:val="auto"/>
          <w:kern w:val="33"/>
          <w:sz w:val="32"/>
          <w:szCs w:val="32"/>
          <w:lang w:val="en-US" w:eastAsia="zh-CN"/>
        </w:rPr>
        <w:t>3032.19</w:t>
      </w:r>
      <w:r>
        <w:rPr>
          <w:rFonts w:hint="default" w:ascii="Times New Roman" w:hAnsi="Times New Roman" w:eastAsia="仿宋_GB2312" w:cs="Times New Roman"/>
          <w:bCs/>
          <w:color w:val="auto"/>
          <w:kern w:val="33"/>
          <w:sz w:val="32"/>
          <w:szCs w:val="32"/>
        </w:rPr>
        <w:t>万元，医保报销</w:t>
      </w:r>
      <w:r>
        <w:rPr>
          <w:rFonts w:hint="default" w:ascii="Times New Roman" w:hAnsi="Times New Roman" w:eastAsia="仿宋_GB2312" w:cs="Times New Roman"/>
          <w:bCs/>
          <w:color w:val="auto"/>
          <w:kern w:val="33"/>
          <w:sz w:val="32"/>
          <w:szCs w:val="32"/>
          <w:lang w:val="en-US" w:eastAsia="zh-CN"/>
        </w:rPr>
        <w:t>1909.26</w:t>
      </w:r>
      <w:r>
        <w:rPr>
          <w:rFonts w:hint="default" w:ascii="Times New Roman" w:hAnsi="Times New Roman" w:eastAsia="仿宋_GB2312" w:cs="Times New Roman"/>
          <w:bCs/>
          <w:color w:val="auto"/>
          <w:kern w:val="33"/>
          <w:sz w:val="32"/>
          <w:szCs w:val="32"/>
        </w:rPr>
        <w:t>万元。全县城镇职工在定点医疗机构住院</w:t>
      </w:r>
      <w:r>
        <w:rPr>
          <w:rFonts w:hint="default" w:ascii="Times New Roman" w:hAnsi="Times New Roman" w:eastAsia="仿宋_GB2312" w:cs="Times New Roman"/>
          <w:bCs/>
          <w:color w:val="auto"/>
          <w:kern w:val="33"/>
          <w:sz w:val="32"/>
          <w:szCs w:val="32"/>
          <w:lang w:val="en-US" w:eastAsia="zh-CN"/>
        </w:rPr>
        <w:t>0.57万</w:t>
      </w:r>
      <w:r>
        <w:rPr>
          <w:rFonts w:hint="default" w:ascii="Times New Roman" w:hAnsi="Times New Roman" w:eastAsia="仿宋_GB2312" w:cs="Times New Roman"/>
          <w:bCs/>
          <w:color w:val="auto"/>
          <w:kern w:val="33"/>
          <w:sz w:val="32"/>
          <w:szCs w:val="32"/>
        </w:rPr>
        <w:t>人次，总费用</w:t>
      </w:r>
      <w:r>
        <w:rPr>
          <w:rFonts w:hint="default" w:ascii="Times New Roman" w:hAnsi="Times New Roman" w:eastAsia="仿宋_GB2312" w:cs="Times New Roman"/>
          <w:bCs/>
          <w:color w:val="auto"/>
          <w:kern w:val="33"/>
          <w:sz w:val="32"/>
          <w:szCs w:val="32"/>
          <w:lang w:val="en-US" w:eastAsia="zh-CN"/>
        </w:rPr>
        <w:t>4497.03</w:t>
      </w:r>
      <w:r>
        <w:rPr>
          <w:rFonts w:hint="default" w:ascii="Times New Roman" w:hAnsi="Times New Roman" w:eastAsia="仿宋_GB2312" w:cs="Times New Roman"/>
          <w:bCs/>
          <w:color w:val="auto"/>
          <w:kern w:val="33"/>
          <w:sz w:val="32"/>
          <w:szCs w:val="32"/>
        </w:rPr>
        <w:t>万元，医保报销</w:t>
      </w:r>
      <w:r>
        <w:rPr>
          <w:rFonts w:hint="default" w:ascii="Times New Roman" w:hAnsi="Times New Roman" w:eastAsia="仿宋_GB2312" w:cs="Times New Roman"/>
          <w:bCs/>
          <w:color w:val="auto"/>
          <w:kern w:val="33"/>
          <w:sz w:val="32"/>
          <w:szCs w:val="32"/>
          <w:lang w:val="en-US" w:eastAsia="zh-CN"/>
        </w:rPr>
        <w:t>3444.63</w:t>
      </w:r>
      <w:r>
        <w:rPr>
          <w:rFonts w:hint="default" w:ascii="Times New Roman" w:hAnsi="Times New Roman" w:eastAsia="仿宋_GB2312" w:cs="Times New Roman"/>
          <w:bCs/>
          <w:color w:val="auto"/>
          <w:kern w:val="33"/>
          <w:sz w:val="32"/>
          <w:szCs w:val="32"/>
        </w:rPr>
        <w:t>万元</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门诊</w:t>
      </w:r>
      <w:r>
        <w:rPr>
          <w:rFonts w:hint="default" w:ascii="Times New Roman" w:hAnsi="Times New Roman" w:eastAsia="仿宋_GB2312" w:cs="Times New Roman"/>
          <w:bCs/>
          <w:color w:val="auto"/>
          <w:kern w:val="33"/>
          <w:sz w:val="32"/>
          <w:szCs w:val="32"/>
          <w:lang w:val="en-US" w:eastAsia="zh-CN"/>
        </w:rPr>
        <w:t>就诊14.21</w:t>
      </w:r>
      <w:r>
        <w:rPr>
          <w:rFonts w:hint="default" w:ascii="Times New Roman" w:hAnsi="Times New Roman" w:eastAsia="仿宋_GB2312" w:cs="Times New Roman"/>
          <w:bCs/>
          <w:color w:val="auto"/>
          <w:kern w:val="33"/>
          <w:sz w:val="32"/>
          <w:szCs w:val="32"/>
        </w:rPr>
        <w:t>万人次，总费用</w:t>
      </w:r>
      <w:r>
        <w:rPr>
          <w:rFonts w:hint="default" w:ascii="Times New Roman" w:hAnsi="Times New Roman" w:eastAsia="仿宋_GB2312" w:cs="Times New Roman"/>
          <w:bCs/>
          <w:color w:val="auto"/>
          <w:kern w:val="33"/>
          <w:sz w:val="32"/>
          <w:szCs w:val="32"/>
          <w:lang w:val="en-US" w:eastAsia="zh-CN"/>
        </w:rPr>
        <w:t>2221.61</w:t>
      </w:r>
      <w:r>
        <w:rPr>
          <w:rFonts w:hint="default" w:ascii="Times New Roman" w:hAnsi="Times New Roman" w:eastAsia="仿宋_GB2312" w:cs="Times New Roman"/>
          <w:bCs/>
          <w:color w:val="auto"/>
          <w:kern w:val="33"/>
          <w:sz w:val="32"/>
          <w:szCs w:val="32"/>
        </w:rPr>
        <w:t>万元，医保基金支付（含个人账户支出）</w:t>
      </w:r>
      <w:r>
        <w:rPr>
          <w:rFonts w:hint="default" w:ascii="Times New Roman" w:hAnsi="Times New Roman" w:eastAsia="仿宋_GB2312" w:cs="Times New Roman"/>
          <w:bCs/>
          <w:color w:val="auto"/>
          <w:kern w:val="33"/>
          <w:sz w:val="32"/>
          <w:szCs w:val="32"/>
          <w:lang w:val="en-US" w:eastAsia="zh-CN"/>
        </w:rPr>
        <w:t>573.15</w:t>
      </w:r>
      <w:r>
        <w:rPr>
          <w:rFonts w:hint="default" w:ascii="Times New Roman" w:hAnsi="Times New Roman" w:eastAsia="仿宋_GB2312" w:cs="Times New Roman"/>
          <w:bCs/>
          <w:color w:val="auto"/>
          <w:kern w:val="33"/>
          <w:sz w:val="32"/>
          <w:szCs w:val="32"/>
        </w:rPr>
        <w:t>万元。</w:t>
      </w:r>
    </w:p>
    <w:p w14:paraId="087FBA3F">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highlight w:val="none"/>
        </w:rPr>
      </w:pPr>
      <w:r>
        <w:rPr>
          <w:rFonts w:hint="default" w:ascii="Times New Roman" w:hAnsi="Times New Roman" w:eastAsia="仿宋_GB2312" w:cs="Times New Roman"/>
          <w:bCs/>
          <w:color w:val="auto"/>
          <w:kern w:val="33"/>
          <w:sz w:val="32"/>
          <w:szCs w:val="32"/>
        </w:rPr>
        <w:t>二是</w:t>
      </w:r>
      <w:r>
        <w:rPr>
          <w:rFonts w:hint="default" w:ascii="Times New Roman" w:hAnsi="Times New Roman" w:eastAsia="仿宋_GB2312" w:cs="Times New Roman"/>
          <w:bCs/>
          <w:color w:val="auto"/>
          <w:kern w:val="33"/>
          <w:sz w:val="32"/>
          <w:szCs w:val="32"/>
          <w:lang w:val="en-US" w:eastAsia="zh-CN"/>
        </w:rPr>
        <w:t>落实困难群众医保待遇保障。</w:t>
      </w:r>
      <w:r>
        <w:rPr>
          <w:rFonts w:hint="default" w:ascii="Times New Roman" w:hAnsi="Times New Roman" w:eastAsia="仿宋_GB2312" w:cs="Times New Roman"/>
          <w:bCs/>
          <w:color w:val="auto"/>
          <w:kern w:val="33"/>
          <w:sz w:val="32"/>
          <w:szCs w:val="32"/>
        </w:rPr>
        <w:t>按照特殊人群“应参尽参”的原则，采取定额资助与全额资助相结合的方式，</w:t>
      </w:r>
      <w:r>
        <w:rPr>
          <w:rFonts w:hint="default" w:ascii="Times New Roman" w:hAnsi="Times New Roman" w:eastAsia="仿宋_GB2312" w:cs="Times New Roman"/>
          <w:bCs/>
          <w:color w:val="auto"/>
          <w:kern w:val="33"/>
          <w:sz w:val="32"/>
          <w:szCs w:val="32"/>
          <w:lang w:val="en-US" w:eastAsia="zh-CN"/>
        </w:rPr>
        <w:t>分类资助困难群众参加2022年度城乡居民医保，已</w:t>
      </w:r>
      <w:r>
        <w:rPr>
          <w:rFonts w:hint="default" w:ascii="Times New Roman" w:hAnsi="Times New Roman" w:eastAsia="仿宋_GB2312" w:cs="Times New Roman"/>
          <w:bCs/>
          <w:color w:val="auto"/>
          <w:kern w:val="33"/>
          <w:sz w:val="32"/>
          <w:szCs w:val="32"/>
        </w:rPr>
        <w:t>资助</w:t>
      </w:r>
      <w:r>
        <w:rPr>
          <w:rFonts w:hint="default" w:ascii="Times New Roman" w:hAnsi="Times New Roman" w:eastAsia="仿宋_GB2312" w:cs="Times New Roman"/>
          <w:bCs/>
          <w:color w:val="auto"/>
          <w:kern w:val="33"/>
          <w:sz w:val="32"/>
          <w:szCs w:val="32"/>
          <w:lang w:val="en-US" w:eastAsia="zh-CN"/>
        </w:rPr>
        <w:t>3.04</w:t>
      </w:r>
      <w:r>
        <w:rPr>
          <w:rFonts w:hint="default" w:ascii="Times New Roman" w:hAnsi="Times New Roman" w:eastAsia="仿宋_GB2312" w:cs="Times New Roman"/>
          <w:bCs/>
          <w:color w:val="auto"/>
          <w:kern w:val="33"/>
          <w:sz w:val="32"/>
          <w:szCs w:val="32"/>
        </w:rPr>
        <w:t>万余名困难群众参加2022年度</w:t>
      </w:r>
      <w:r>
        <w:rPr>
          <w:rFonts w:hint="default" w:ascii="Times New Roman" w:hAnsi="Times New Roman" w:eastAsia="仿宋_GB2312" w:cs="Times New Roman"/>
          <w:bCs/>
          <w:color w:val="auto"/>
          <w:kern w:val="33"/>
          <w:sz w:val="32"/>
          <w:szCs w:val="32"/>
          <w:lang w:val="en-US" w:eastAsia="zh-CN"/>
        </w:rPr>
        <w:t>城乡</w:t>
      </w:r>
      <w:r>
        <w:rPr>
          <w:rFonts w:hint="default" w:ascii="Times New Roman" w:hAnsi="Times New Roman" w:eastAsia="仿宋_GB2312" w:cs="Times New Roman"/>
          <w:bCs/>
          <w:color w:val="auto"/>
          <w:kern w:val="33"/>
          <w:sz w:val="32"/>
          <w:szCs w:val="32"/>
        </w:rPr>
        <w:t>基本医疗保险，困难群众参保实现</w:t>
      </w:r>
      <w:r>
        <w:rPr>
          <w:rFonts w:hint="default" w:ascii="Times New Roman" w:hAnsi="Times New Roman" w:eastAsia="仿宋_GB2312" w:cs="Times New Roman"/>
          <w:bCs/>
          <w:color w:val="auto"/>
          <w:kern w:val="33"/>
          <w:sz w:val="32"/>
          <w:szCs w:val="32"/>
          <w:lang w:val="en-US" w:eastAsia="zh-CN"/>
        </w:rPr>
        <w:t>100%</w:t>
      </w:r>
      <w:r>
        <w:rPr>
          <w:rFonts w:hint="default" w:ascii="Times New Roman" w:hAnsi="Times New Roman" w:eastAsia="仿宋_GB2312" w:cs="Times New Roman"/>
          <w:bCs/>
          <w:color w:val="auto"/>
          <w:kern w:val="33"/>
          <w:sz w:val="32"/>
          <w:szCs w:val="32"/>
        </w:rPr>
        <w:t>全覆盖</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highlight w:val="none"/>
        </w:rPr>
        <w:t>对特殊困难群众实施医疗救助</w:t>
      </w:r>
      <w:r>
        <w:rPr>
          <w:rFonts w:hint="default" w:ascii="Times New Roman" w:hAnsi="Times New Roman" w:eastAsia="仿宋_GB2312" w:cs="Times New Roman"/>
          <w:bCs/>
          <w:color w:val="auto"/>
          <w:kern w:val="33"/>
          <w:sz w:val="32"/>
          <w:szCs w:val="32"/>
          <w:highlight w:val="none"/>
          <w:lang w:eastAsia="zh-CN"/>
        </w:rPr>
        <w:t>，</w:t>
      </w:r>
      <w:r>
        <w:rPr>
          <w:rFonts w:hint="default" w:ascii="Times New Roman" w:hAnsi="Times New Roman" w:eastAsia="仿宋_GB2312" w:cs="Times New Roman"/>
          <w:bCs/>
          <w:color w:val="auto"/>
          <w:kern w:val="33"/>
          <w:sz w:val="32"/>
          <w:szCs w:val="32"/>
          <w:highlight w:val="none"/>
          <w:lang w:val="en-US" w:eastAsia="zh-CN"/>
        </w:rPr>
        <w:t>将</w:t>
      </w:r>
      <w:r>
        <w:rPr>
          <w:rFonts w:hint="default" w:ascii="Times New Roman" w:hAnsi="Times New Roman" w:eastAsia="仿宋_GB2312" w:cs="Times New Roman"/>
          <w:color w:val="auto"/>
          <w:sz w:val="32"/>
          <w:szCs w:val="32"/>
          <w:lang w:val="en-US" w:eastAsia="zh-CN"/>
        </w:rPr>
        <w:t>城乡低收入人口（农村低保对象、特困人员、防止返贫监测对象）纳入基本医疗、大病保险、医疗救助三重制度保障范围，并全面落实县委交办的医疗救助历史遗留问题化解攻坚行动。</w:t>
      </w:r>
      <w:r>
        <w:rPr>
          <w:rFonts w:hint="default" w:ascii="Times New Roman" w:hAnsi="Times New Roman" w:eastAsia="仿宋_GB2312" w:cs="Times New Roman"/>
          <w:bCs/>
          <w:color w:val="auto"/>
          <w:kern w:val="33"/>
          <w:sz w:val="32"/>
          <w:szCs w:val="32"/>
          <w:highlight w:val="none"/>
          <w:lang w:val="en-US" w:eastAsia="zh-CN"/>
        </w:rPr>
        <w:t>截至12月底</w:t>
      </w:r>
      <w:r>
        <w:rPr>
          <w:rFonts w:hint="default" w:ascii="Times New Roman" w:hAnsi="Times New Roman" w:eastAsia="仿宋_GB2312" w:cs="Times New Roman"/>
          <w:bCs/>
          <w:color w:val="auto"/>
          <w:kern w:val="33"/>
          <w:sz w:val="32"/>
          <w:szCs w:val="32"/>
          <w:highlight w:val="none"/>
        </w:rPr>
        <w:t>，实施</w:t>
      </w:r>
      <w:r>
        <w:rPr>
          <w:rFonts w:hint="default" w:ascii="Times New Roman" w:hAnsi="Times New Roman" w:eastAsia="仿宋_GB2312" w:cs="Times New Roman"/>
          <w:bCs/>
          <w:color w:val="auto"/>
          <w:kern w:val="33"/>
          <w:sz w:val="32"/>
          <w:szCs w:val="32"/>
          <w:highlight w:val="none"/>
          <w:lang w:val="en-US" w:eastAsia="zh-CN"/>
        </w:rPr>
        <w:t>门诊、住院医疗救助共计8218</w:t>
      </w:r>
      <w:r>
        <w:rPr>
          <w:rFonts w:hint="default" w:ascii="Times New Roman" w:hAnsi="Times New Roman" w:eastAsia="仿宋_GB2312" w:cs="Times New Roman"/>
          <w:bCs/>
          <w:color w:val="auto"/>
          <w:kern w:val="33"/>
          <w:sz w:val="32"/>
          <w:szCs w:val="32"/>
          <w:highlight w:val="none"/>
        </w:rPr>
        <w:t>人次，支出医疗救助资金</w:t>
      </w:r>
      <w:r>
        <w:rPr>
          <w:rFonts w:hint="default" w:ascii="Times New Roman" w:hAnsi="Times New Roman" w:eastAsia="仿宋_GB2312" w:cs="Times New Roman"/>
          <w:bCs/>
          <w:color w:val="auto"/>
          <w:kern w:val="33"/>
          <w:sz w:val="32"/>
          <w:szCs w:val="32"/>
          <w:highlight w:val="none"/>
          <w:lang w:val="en-US" w:eastAsia="zh-CN"/>
        </w:rPr>
        <w:t>754.38</w:t>
      </w:r>
      <w:r>
        <w:rPr>
          <w:rFonts w:hint="default" w:ascii="Times New Roman" w:hAnsi="Times New Roman" w:eastAsia="仿宋_GB2312" w:cs="Times New Roman"/>
          <w:bCs/>
          <w:color w:val="auto"/>
          <w:kern w:val="33"/>
          <w:sz w:val="32"/>
          <w:szCs w:val="32"/>
          <w:highlight w:val="none"/>
        </w:rPr>
        <w:t>万元，全面实现困难群众医疗兜底保障。</w:t>
      </w:r>
    </w:p>
    <w:p w14:paraId="45F5AC35">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highlight w:val="none"/>
          <w:lang w:val="en-US" w:eastAsia="zh-CN"/>
        </w:rPr>
      </w:pPr>
      <w:r>
        <w:rPr>
          <w:rFonts w:hint="default" w:ascii="Times New Roman" w:hAnsi="Times New Roman" w:eastAsia="仿宋_GB2312" w:cs="Times New Roman"/>
          <w:bCs/>
          <w:color w:val="auto"/>
          <w:kern w:val="33"/>
          <w:sz w:val="32"/>
          <w:szCs w:val="32"/>
          <w:highlight w:val="none"/>
          <w:lang w:val="en-US" w:eastAsia="zh-CN"/>
        </w:rPr>
        <w:t>三是全面落实公务员个人医疗账户补充政策。已积极争取县级财政安排预算资金2980万元，按工资总额4%的标准兑现6792名财政供养人员的公务员个人医疗账户补充。</w:t>
      </w:r>
    </w:p>
    <w:p w14:paraId="2F21503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highlight w:val="none"/>
          <w:lang w:val="en-US" w:eastAsia="zh-CN"/>
        </w:rPr>
      </w:pPr>
      <w:r>
        <w:rPr>
          <w:rFonts w:hint="default" w:ascii="Times New Roman" w:hAnsi="Times New Roman" w:eastAsia="仿宋_GB2312" w:cs="Times New Roman"/>
          <w:b/>
          <w:bCs w:val="0"/>
          <w:color w:val="auto"/>
          <w:kern w:val="33"/>
          <w:sz w:val="32"/>
          <w:szCs w:val="32"/>
          <w:highlight w:val="none"/>
          <w:lang w:val="en-US" w:eastAsia="zh-CN"/>
        </w:rPr>
        <w:t>3.进一步加大医保基金监管力度。</w:t>
      </w:r>
    </w:p>
    <w:p w14:paraId="7F5F9B53">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lang w:eastAsia="zh-CN"/>
        </w:rPr>
      </w:pPr>
      <w:r>
        <w:rPr>
          <w:rFonts w:hint="default" w:ascii="Times New Roman" w:hAnsi="Times New Roman" w:eastAsia="仿宋_GB2312" w:cs="Times New Roman"/>
          <w:bCs/>
          <w:color w:val="auto"/>
          <w:kern w:val="33"/>
          <w:sz w:val="32"/>
          <w:szCs w:val="32"/>
        </w:rPr>
        <w:t>一是通过日常稽核、自查自纠、行政执法、现场检查、案件举报等多种手段，严惩医疗费重复报销、虚假报销、医保卡套现以及第三方责任事故纳入医保报销等违法违规行为，维护医保基金安全有效运行。</w:t>
      </w:r>
      <w:r>
        <w:rPr>
          <w:rFonts w:hint="default" w:ascii="Times New Roman" w:hAnsi="Times New Roman" w:eastAsia="仿宋_GB2312" w:cs="Times New Roman"/>
          <w:bCs/>
          <w:color w:val="auto"/>
          <w:kern w:val="33"/>
          <w:sz w:val="32"/>
          <w:szCs w:val="32"/>
          <w:lang w:val="en-US" w:eastAsia="zh-CN"/>
        </w:rPr>
        <w:t>1-12月</w:t>
      </w:r>
      <w:r>
        <w:rPr>
          <w:rFonts w:hint="default" w:ascii="Times New Roman" w:hAnsi="Times New Roman" w:eastAsia="仿宋_GB2312" w:cs="Times New Roman"/>
          <w:bCs/>
          <w:color w:val="auto"/>
          <w:kern w:val="33"/>
          <w:sz w:val="32"/>
          <w:szCs w:val="32"/>
        </w:rPr>
        <w:t>，</w:t>
      </w:r>
      <w:r>
        <w:rPr>
          <w:rFonts w:hint="default" w:ascii="Times New Roman" w:hAnsi="Times New Roman" w:eastAsia="仿宋_GB2312" w:cs="Times New Roman"/>
          <w:bCs/>
          <w:color w:val="auto"/>
          <w:kern w:val="33"/>
          <w:sz w:val="32"/>
          <w:szCs w:val="32"/>
          <w:lang w:val="en-US" w:eastAsia="zh-CN"/>
        </w:rPr>
        <w:t>对定点医药机构进行</w:t>
      </w:r>
      <w:r>
        <w:rPr>
          <w:rFonts w:hint="default" w:ascii="Times New Roman" w:hAnsi="Times New Roman" w:eastAsia="仿宋_GB2312" w:cs="Times New Roman"/>
          <w:bCs/>
          <w:color w:val="auto"/>
          <w:kern w:val="33"/>
          <w:sz w:val="32"/>
          <w:szCs w:val="32"/>
        </w:rPr>
        <w:t>限期整改</w:t>
      </w:r>
      <w:r>
        <w:rPr>
          <w:rFonts w:hint="default" w:ascii="Times New Roman" w:hAnsi="Times New Roman" w:eastAsia="仿宋_GB2312" w:cs="Times New Roman"/>
          <w:bCs/>
          <w:color w:val="auto"/>
          <w:kern w:val="33"/>
          <w:sz w:val="32"/>
          <w:szCs w:val="32"/>
          <w:lang w:val="en-US" w:eastAsia="zh-CN"/>
        </w:rPr>
        <w:t>65</w:t>
      </w:r>
      <w:r>
        <w:rPr>
          <w:rFonts w:hint="default" w:ascii="Times New Roman" w:hAnsi="Times New Roman" w:eastAsia="仿宋_GB2312" w:cs="Times New Roman"/>
          <w:bCs/>
          <w:color w:val="auto"/>
          <w:kern w:val="33"/>
          <w:sz w:val="32"/>
          <w:szCs w:val="32"/>
        </w:rPr>
        <w:t>家、暂停医保2家</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解除医保协议1家</w:t>
      </w:r>
      <w:r>
        <w:rPr>
          <w:rFonts w:hint="default" w:ascii="Times New Roman" w:hAnsi="Times New Roman" w:eastAsia="仿宋_GB2312" w:cs="Times New Roman"/>
          <w:bCs/>
          <w:color w:val="auto"/>
          <w:kern w:val="33"/>
          <w:sz w:val="32"/>
          <w:szCs w:val="32"/>
        </w:rPr>
        <w:t>，收回违规金</w:t>
      </w:r>
      <w:r>
        <w:rPr>
          <w:rFonts w:hint="default" w:ascii="Times New Roman" w:hAnsi="Times New Roman" w:eastAsia="仿宋_GB2312" w:cs="Times New Roman"/>
          <w:bCs/>
          <w:color w:val="auto"/>
          <w:kern w:val="33"/>
          <w:sz w:val="32"/>
          <w:szCs w:val="32"/>
          <w:lang w:val="en-US" w:eastAsia="zh-CN"/>
        </w:rPr>
        <w:t>66.96</w:t>
      </w:r>
      <w:r>
        <w:rPr>
          <w:rFonts w:hint="default" w:ascii="Times New Roman" w:hAnsi="Times New Roman" w:eastAsia="仿宋_GB2312" w:cs="Times New Roman"/>
          <w:bCs/>
          <w:color w:val="auto"/>
          <w:kern w:val="33"/>
          <w:sz w:val="32"/>
          <w:szCs w:val="32"/>
        </w:rPr>
        <w:t>万元，处理违约金</w:t>
      </w:r>
      <w:r>
        <w:rPr>
          <w:rFonts w:hint="default" w:ascii="Times New Roman" w:hAnsi="Times New Roman" w:eastAsia="仿宋_GB2312" w:cs="Times New Roman"/>
          <w:bCs/>
          <w:color w:val="auto"/>
          <w:kern w:val="33"/>
          <w:sz w:val="32"/>
          <w:szCs w:val="32"/>
          <w:lang w:val="en-US" w:eastAsia="zh-CN"/>
        </w:rPr>
        <w:t>14.85</w:t>
      </w:r>
      <w:r>
        <w:rPr>
          <w:rFonts w:hint="default" w:ascii="Times New Roman" w:hAnsi="Times New Roman" w:eastAsia="仿宋_GB2312" w:cs="Times New Roman"/>
          <w:bCs/>
          <w:color w:val="auto"/>
          <w:kern w:val="33"/>
          <w:sz w:val="32"/>
          <w:szCs w:val="32"/>
        </w:rPr>
        <w:t>万元</w:t>
      </w:r>
      <w:r>
        <w:rPr>
          <w:rFonts w:hint="default" w:ascii="Times New Roman" w:hAnsi="Times New Roman" w:eastAsia="仿宋_GB2312" w:cs="Times New Roman"/>
          <w:bCs/>
          <w:color w:val="auto"/>
          <w:kern w:val="33"/>
          <w:sz w:val="32"/>
          <w:szCs w:val="32"/>
          <w:lang w:eastAsia="zh-CN"/>
        </w:rPr>
        <w:t>；与公安局等部门互相配合，开展行政执法1件，追回医保基金1951.62元；兑现举报奖励金972.35元，对欺诈骗保行为形成有力威慑。</w:t>
      </w:r>
    </w:p>
    <w:p w14:paraId="7236F189">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rPr>
        <w:t>二是强化宣传动员。结合医保基金监管条例集中宣传月活动，通过政府门户网站、定点医药机构、举行定点集中宣传、举办义诊等形式广泛宣传医保政策，发放政策宣传、基金监管资料2万余份，并公布举报电话，营造医保基金安全监管良好氛围。</w:t>
      </w:r>
    </w:p>
    <w:p w14:paraId="6820C244">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rPr>
        <w:t>三是强化专项整治。深入推进医疗保障行业突出问题系统治理，组织全县各定点医疗机构对照问题清单，逐条逐项梳理，全面开展自查自纠，对存在的问题进行清零，并有针对性地制定具体整改措施，促进医疗机构进一步规范医疗服务行为。从7月起，县医保局联合县纪委监委、县公安局、县卫健局组成联合检查组，全面开展了2022年全县打击欺诈骗保专项整治行动，对全县范围内66家定点医疗机构、定点药店进行了全覆盖现场检查，处罚定点医药机构66家，解除协议1家。</w:t>
      </w:r>
    </w:p>
    <w:p w14:paraId="686A5E25">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eastAsia="zh-CN"/>
        </w:rPr>
      </w:pPr>
      <w:r>
        <w:rPr>
          <w:rFonts w:hint="default" w:ascii="Times New Roman" w:hAnsi="Times New Roman" w:eastAsia="仿宋_GB2312" w:cs="Times New Roman"/>
          <w:b/>
          <w:bCs w:val="0"/>
          <w:color w:val="auto"/>
          <w:kern w:val="33"/>
          <w:sz w:val="32"/>
          <w:szCs w:val="32"/>
          <w:lang w:val="en-US" w:eastAsia="zh-CN"/>
        </w:rPr>
        <w:t>4.</w:t>
      </w:r>
      <w:r>
        <w:rPr>
          <w:rFonts w:hint="default" w:ascii="Times New Roman" w:hAnsi="Times New Roman" w:eastAsia="仿宋_GB2312" w:cs="Times New Roman"/>
          <w:b/>
          <w:bCs w:val="0"/>
          <w:color w:val="auto"/>
          <w:kern w:val="33"/>
          <w:sz w:val="32"/>
          <w:szCs w:val="32"/>
        </w:rPr>
        <w:t>医保脱贫攻坚成果与乡村振兴战略有效衔接</w:t>
      </w:r>
      <w:r>
        <w:rPr>
          <w:rFonts w:hint="default" w:ascii="Times New Roman" w:hAnsi="Times New Roman" w:eastAsia="仿宋_GB2312" w:cs="Times New Roman"/>
          <w:b/>
          <w:bCs w:val="0"/>
          <w:color w:val="auto"/>
          <w:kern w:val="33"/>
          <w:sz w:val="32"/>
          <w:szCs w:val="32"/>
          <w:lang w:eastAsia="zh-CN"/>
        </w:rPr>
        <w:t>。</w:t>
      </w:r>
    </w:p>
    <w:p w14:paraId="19B0CCCD">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一是</w:t>
      </w:r>
      <w:r>
        <w:rPr>
          <w:rFonts w:hint="default" w:ascii="Times New Roman" w:hAnsi="Times New Roman" w:eastAsia="仿宋_GB2312" w:cs="Times New Roman"/>
          <w:bCs/>
          <w:color w:val="auto"/>
          <w:kern w:val="33"/>
          <w:sz w:val="32"/>
          <w:szCs w:val="32"/>
        </w:rPr>
        <w:t>加大重点人群信息管理。完善特困人员、低保对象等农村低收入人口台账及乡村振兴部门返贫致贫人口、监测人口台账，定期对新增和清退重点人群进行参保状态核查、系统标识等更新维护，确保重点人群信息准确并及时享受医保待遇。  </w:t>
      </w:r>
    </w:p>
    <w:p w14:paraId="7F055920">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highlight w:val="none"/>
        </w:rPr>
      </w:pPr>
      <w:r>
        <w:rPr>
          <w:rFonts w:hint="default" w:ascii="Times New Roman" w:hAnsi="Times New Roman" w:eastAsia="仿宋_GB2312" w:cs="Times New Roman"/>
          <w:bCs/>
          <w:color w:val="auto"/>
          <w:kern w:val="33"/>
          <w:sz w:val="32"/>
          <w:szCs w:val="32"/>
          <w:lang w:val="en-US" w:eastAsia="zh-CN"/>
        </w:rPr>
        <w:t>二是</w:t>
      </w:r>
      <w:r>
        <w:rPr>
          <w:rFonts w:hint="default" w:ascii="Times New Roman" w:hAnsi="Times New Roman" w:eastAsia="仿宋_GB2312" w:cs="Times New Roman"/>
          <w:bCs/>
          <w:color w:val="auto"/>
          <w:kern w:val="33"/>
          <w:sz w:val="32"/>
          <w:szCs w:val="32"/>
        </w:rPr>
        <w:t>巩固乡村振兴工作成效。强化衔接政策宣传，落实分类参保资助，优化医保公共服务。</w:t>
      </w:r>
      <w:r>
        <w:rPr>
          <w:rFonts w:hint="default" w:ascii="Times New Roman" w:hAnsi="Times New Roman" w:eastAsia="仿宋_GB2312" w:cs="Times New Roman"/>
          <w:bCs/>
          <w:color w:val="auto"/>
          <w:kern w:val="33"/>
          <w:sz w:val="32"/>
          <w:szCs w:val="32"/>
          <w:highlight w:val="none"/>
        </w:rPr>
        <w:t>截至</w:t>
      </w:r>
      <w:r>
        <w:rPr>
          <w:rFonts w:hint="default" w:ascii="Times New Roman" w:hAnsi="Times New Roman" w:eastAsia="仿宋_GB2312" w:cs="Times New Roman"/>
          <w:bCs/>
          <w:color w:val="auto"/>
          <w:kern w:val="33"/>
          <w:sz w:val="32"/>
          <w:szCs w:val="32"/>
          <w:highlight w:val="none"/>
          <w:lang w:val="en-US" w:eastAsia="zh-CN"/>
        </w:rPr>
        <w:t>目前</w:t>
      </w:r>
      <w:r>
        <w:rPr>
          <w:rFonts w:hint="default" w:ascii="Times New Roman" w:hAnsi="Times New Roman" w:eastAsia="仿宋_GB2312" w:cs="Times New Roman"/>
          <w:bCs/>
          <w:color w:val="auto"/>
          <w:kern w:val="33"/>
          <w:sz w:val="32"/>
          <w:szCs w:val="32"/>
          <w:highlight w:val="none"/>
        </w:rPr>
        <w:t>，</w:t>
      </w:r>
      <w:r>
        <w:rPr>
          <w:rFonts w:hint="default" w:ascii="Times New Roman" w:hAnsi="Times New Roman" w:eastAsia="仿宋_GB2312" w:cs="Times New Roman"/>
          <w:bCs/>
          <w:color w:val="auto"/>
          <w:kern w:val="33"/>
          <w:sz w:val="32"/>
          <w:szCs w:val="32"/>
          <w:highlight w:val="none"/>
          <w:lang w:val="en-US" w:eastAsia="zh-CN"/>
        </w:rPr>
        <w:t>2022年度</w:t>
      </w:r>
      <w:r>
        <w:rPr>
          <w:rFonts w:hint="default" w:ascii="Times New Roman" w:hAnsi="Times New Roman" w:eastAsia="仿宋_GB2312" w:cs="Times New Roman"/>
          <w:bCs/>
          <w:color w:val="auto"/>
          <w:kern w:val="33"/>
          <w:sz w:val="32"/>
          <w:szCs w:val="32"/>
          <w:highlight w:val="none"/>
        </w:rPr>
        <w:t>已稳定脱贫户、特困供养人员、低保对象、监测人口等特殊人群参保3.</w:t>
      </w:r>
      <w:r>
        <w:rPr>
          <w:rFonts w:hint="default" w:ascii="Times New Roman" w:hAnsi="Times New Roman" w:eastAsia="仿宋_GB2312" w:cs="Times New Roman"/>
          <w:bCs/>
          <w:color w:val="auto"/>
          <w:kern w:val="33"/>
          <w:sz w:val="32"/>
          <w:szCs w:val="32"/>
          <w:highlight w:val="none"/>
          <w:lang w:val="en-US" w:eastAsia="zh-CN"/>
        </w:rPr>
        <w:t>04</w:t>
      </w:r>
      <w:r>
        <w:rPr>
          <w:rFonts w:hint="default" w:ascii="Times New Roman" w:hAnsi="Times New Roman" w:eastAsia="仿宋_GB2312" w:cs="Times New Roman"/>
          <w:bCs/>
          <w:color w:val="auto"/>
          <w:kern w:val="33"/>
          <w:sz w:val="32"/>
          <w:szCs w:val="32"/>
          <w:highlight w:val="none"/>
        </w:rPr>
        <w:t>万人，财政资助金额97</w:t>
      </w:r>
      <w:r>
        <w:rPr>
          <w:rFonts w:hint="default" w:ascii="Times New Roman" w:hAnsi="Times New Roman" w:eastAsia="仿宋_GB2312" w:cs="Times New Roman"/>
          <w:bCs/>
          <w:color w:val="auto"/>
          <w:kern w:val="33"/>
          <w:sz w:val="32"/>
          <w:szCs w:val="32"/>
          <w:highlight w:val="none"/>
          <w:lang w:val="en-US" w:eastAsia="zh-CN"/>
        </w:rPr>
        <w:t>3</w:t>
      </w:r>
      <w:r>
        <w:rPr>
          <w:rFonts w:hint="default" w:ascii="Times New Roman" w:hAnsi="Times New Roman" w:eastAsia="仿宋_GB2312" w:cs="Times New Roman"/>
          <w:bCs/>
          <w:color w:val="auto"/>
          <w:kern w:val="33"/>
          <w:sz w:val="32"/>
          <w:szCs w:val="32"/>
          <w:highlight w:val="none"/>
        </w:rPr>
        <w:t>.</w:t>
      </w:r>
      <w:r>
        <w:rPr>
          <w:rFonts w:hint="default" w:ascii="Times New Roman" w:hAnsi="Times New Roman" w:eastAsia="仿宋_GB2312" w:cs="Times New Roman"/>
          <w:bCs/>
          <w:color w:val="auto"/>
          <w:kern w:val="33"/>
          <w:sz w:val="32"/>
          <w:szCs w:val="32"/>
          <w:highlight w:val="none"/>
          <w:lang w:val="en-US" w:eastAsia="zh-CN"/>
        </w:rPr>
        <w:t>06</w:t>
      </w:r>
      <w:r>
        <w:rPr>
          <w:rFonts w:hint="default" w:ascii="Times New Roman" w:hAnsi="Times New Roman" w:eastAsia="仿宋_GB2312" w:cs="Times New Roman"/>
          <w:bCs/>
          <w:color w:val="auto"/>
          <w:kern w:val="33"/>
          <w:sz w:val="32"/>
          <w:szCs w:val="32"/>
          <w:highlight w:val="none"/>
        </w:rPr>
        <w:t>万元</w:t>
      </w:r>
      <w:r>
        <w:rPr>
          <w:rFonts w:hint="default" w:ascii="Times New Roman" w:hAnsi="Times New Roman" w:eastAsia="仿宋_GB2312" w:cs="Times New Roman"/>
          <w:bCs/>
          <w:color w:val="auto"/>
          <w:kern w:val="33"/>
          <w:sz w:val="32"/>
          <w:szCs w:val="32"/>
          <w:highlight w:val="none"/>
          <w:lang w:val="en-US" w:eastAsia="zh-CN"/>
        </w:rPr>
        <w:t>全部到位</w:t>
      </w:r>
      <w:r>
        <w:rPr>
          <w:rFonts w:hint="default" w:ascii="Times New Roman" w:hAnsi="Times New Roman" w:eastAsia="仿宋_GB2312" w:cs="Times New Roman"/>
          <w:bCs/>
          <w:color w:val="auto"/>
          <w:kern w:val="33"/>
          <w:sz w:val="32"/>
          <w:szCs w:val="32"/>
          <w:highlight w:val="none"/>
        </w:rPr>
        <w:t>，困难群众</w:t>
      </w:r>
      <w:r>
        <w:rPr>
          <w:rFonts w:hint="default" w:ascii="Times New Roman" w:hAnsi="Times New Roman" w:eastAsia="仿宋_GB2312" w:cs="Times New Roman"/>
          <w:bCs/>
          <w:color w:val="auto"/>
          <w:kern w:val="33"/>
          <w:sz w:val="32"/>
          <w:szCs w:val="32"/>
          <w:highlight w:val="none"/>
          <w:lang w:eastAsia="zh-CN"/>
        </w:rPr>
        <w:t>参保率</w:t>
      </w:r>
      <w:r>
        <w:rPr>
          <w:rFonts w:hint="default" w:ascii="Times New Roman" w:hAnsi="Times New Roman" w:eastAsia="仿宋_GB2312" w:cs="Times New Roman"/>
          <w:bCs/>
          <w:color w:val="auto"/>
          <w:kern w:val="33"/>
          <w:sz w:val="32"/>
          <w:szCs w:val="32"/>
          <w:highlight w:val="none"/>
        </w:rPr>
        <w:t>100%。</w:t>
      </w:r>
    </w:p>
    <w:p w14:paraId="629E64C2">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三是</w:t>
      </w:r>
      <w:r>
        <w:rPr>
          <w:rFonts w:hint="default" w:ascii="Times New Roman" w:hAnsi="Times New Roman" w:eastAsia="仿宋_GB2312" w:cs="Times New Roman"/>
          <w:bCs/>
          <w:color w:val="auto"/>
          <w:kern w:val="33"/>
          <w:sz w:val="32"/>
          <w:szCs w:val="32"/>
        </w:rPr>
        <w:t>做好大额医疗费用数据监测工作。通过医保系统筛查将城乡居民自付医疗费用超过我市上一年度城乡居民可支配收入50%作为因病致贫风险预警监测标准，按月推送监测数据到乡村振兴、民政等部门，由相关职能部门入户核查和评估，对存在返贫风险的及时纳入</w:t>
      </w:r>
      <w:r>
        <w:rPr>
          <w:rFonts w:hint="default" w:ascii="Times New Roman" w:hAnsi="Times New Roman" w:eastAsia="仿宋_GB2312" w:cs="Times New Roman"/>
          <w:bCs/>
          <w:color w:val="auto"/>
          <w:kern w:val="33"/>
          <w:sz w:val="32"/>
          <w:szCs w:val="32"/>
          <w:lang w:val="en-US" w:eastAsia="zh-CN"/>
        </w:rPr>
        <w:t>医疗</w:t>
      </w:r>
      <w:r>
        <w:rPr>
          <w:rFonts w:hint="default" w:ascii="Times New Roman" w:hAnsi="Times New Roman" w:eastAsia="仿宋_GB2312" w:cs="Times New Roman"/>
          <w:bCs/>
          <w:color w:val="auto"/>
          <w:kern w:val="33"/>
          <w:sz w:val="32"/>
          <w:szCs w:val="32"/>
        </w:rPr>
        <w:t>救助。</w:t>
      </w:r>
      <w:r>
        <w:rPr>
          <w:rFonts w:hint="default" w:ascii="Times New Roman" w:hAnsi="Times New Roman" w:eastAsia="仿宋_GB2312" w:cs="Times New Roman"/>
          <w:bCs/>
          <w:color w:val="auto"/>
          <w:kern w:val="33"/>
          <w:sz w:val="32"/>
          <w:szCs w:val="32"/>
          <w:lang w:val="en-US" w:eastAsia="zh-CN"/>
        </w:rPr>
        <w:t>1-12月</w:t>
      </w:r>
      <w:r>
        <w:rPr>
          <w:rFonts w:hint="default" w:ascii="Times New Roman" w:hAnsi="Times New Roman" w:eastAsia="仿宋_GB2312" w:cs="Times New Roman"/>
          <w:bCs/>
          <w:color w:val="auto"/>
          <w:kern w:val="33"/>
          <w:sz w:val="32"/>
          <w:szCs w:val="32"/>
        </w:rPr>
        <w:t>共</w:t>
      </w:r>
      <w:r>
        <w:rPr>
          <w:rFonts w:hint="default" w:ascii="Times New Roman" w:hAnsi="Times New Roman" w:eastAsia="仿宋_GB2312" w:cs="Times New Roman"/>
          <w:bCs/>
          <w:color w:val="auto"/>
          <w:kern w:val="33"/>
          <w:sz w:val="32"/>
          <w:szCs w:val="32"/>
          <w:lang w:val="en-US" w:eastAsia="zh-CN"/>
        </w:rPr>
        <w:t>推送</w:t>
      </w:r>
      <w:r>
        <w:rPr>
          <w:rFonts w:hint="default" w:ascii="Times New Roman" w:hAnsi="Times New Roman" w:eastAsia="仿宋_GB2312" w:cs="Times New Roman"/>
          <w:bCs/>
          <w:color w:val="auto"/>
          <w:kern w:val="33"/>
          <w:sz w:val="32"/>
          <w:szCs w:val="32"/>
        </w:rPr>
        <w:t>监测预警</w:t>
      </w:r>
      <w:r>
        <w:rPr>
          <w:rFonts w:hint="default" w:ascii="Times New Roman" w:hAnsi="Times New Roman" w:eastAsia="仿宋_GB2312" w:cs="Times New Roman"/>
          <w:bCs/>
          <w:color w:val="auto"/>
          <w:kern w:val="33"/>
          <w:sz w:val="32"/>
          <w:szCs w:val="32"/>
          <w:lang w:val="en-US" w:eastAsia="zh-CN"/>
        </w:rPr>
        <w:t>835人</w:t>
      </w:r>
      <w:r>
        <w:rPr>
          <w:rFonts w:hint="default" w:ascii="Times New Roman" w:hAnsi="Times New Roman" w:eastAsia="仿宋_GB2312" w:cs="Times New Roman"/>
          <w:bCs/>
          <w:color w:val="auto"/>
          <w:kern w:val="33"/>
          <w:sz w:val="32"/>
          <w:szCs w:val="32"/>
        </w:rPr>
        <w:t>。</w:t>
      </w:r>
    </w:p>
    <w:p w14:paraId="45DF3938">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eastAsia="zh-CN"/>
        </w:rPr>
      </w:pPr>
      <w:r>
        <w:rPr>
          <w:rFonts w:hint="default" w:ascii="Times New Roman" w:hAnsi="Times New Roman" w:eastAsia="仿宋_GB2312" w:cs="Times New Roman"/>
          <w:b/>
          <w:bCs w:val="0"/>
          <w:color w:val="auto"/>
          <w:kern w:val="33"/>
          <w:sz w:val="32"/>
          <w:szCs w:val="32"/>
          <w:lang w:val="en-US" w:eastAsia="zh-CN"/>
        </w:rPr>
        <w:t>5.</w:t>
      </w:r>
      <w:r>
        <w:rPr>
          <w:rFonts w:hint="default" w:ascii="Times New Roman" w:hAnsi="Times New Roman" w:eastAsia="仿宋_GB2312" w:cs="Times New Roman"/>
          <w:b/>
          <w:bCs w:val="0"/>
          <w:color w:val="auto"/>
          <w:kern w:val="33"/>
          <w:sz w:val="32"/>
          <w:szCs w:val="32"/>
        </w:rPr>
        <w:t>持续强化新冠疫情防控保障</w:t>
      </w:r>
      <w:r>
        <w:rPr>
          <w:rFonts w:hint="default" w:ascii="Times New Roman" w:hAnsi="Times New Roman" w:eastAsia="仿宋_GB2312" w:cs="Times New Roman"/>
          <w:b/>
          <w:bCs w:val="0"/>
          <w:color w:val="auto"/>
          <w:kern w:val="33"/>
          <w:sz w:val="32"/>
          <w:szCs w:val="32"/>
          <w:lang w:eastAsia="zh-CN"/>
        </w:rPr>
        <w:t>。</w:t>
      </w:r>
    </w:p>
    <w:p w14:paraId="2935A15C">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一是</w:t>
      </w:r>
      <w:r>
        <w:rPr>
          <w:rFonts w:hint="default" w:ascii="Times New Roman" w:hAnsi="Times New Roman" w:eastAsia="仿宋_GB2312" w:cs="Times New Roman"/>
          <w:bCs/>
          <w:color w:val="auto"/>
          <w:kern w:val="33"/>
          <w:sz w:val="32"/>
          <w:szCs w:val="32"/>
        </w:rPr>
        <w:t>加强与市医保部门沟通协调，</w:t>
      </w:r>
      <w:r>
        <w:rPr>
          <w:rFonts w:hint="default" w:ascii="Times New Roman" w:hAnsi="Times New Roman" w:eastAsia="仿宋_GB2312" w:cs="Times New Roman"/>
          <w:bCs/>
          <w:color w:val="auto"/>
          <w:kern w:val="33"/>
          <w:sz w:val="32"/>
          <w:szCs w:val="32"/>
          <w:lang w:val="en-US" w:eastAsia="zh-CN"/>
        </w:rPr>
        <w:t>及时拨付新冠疫苗接种费用</w:t>
      </w:r>
      <w:r>
        <w:rPr>
          <w:rFonts w:hint="default" w:ascii="Times New Roman" w:hAnsi="Times New Roman" w:eastAsia="仿宋_GB2312" w:cs="Times New Roman"/>
          <w:bCs/>
          <w:color w:val="auto"/>
          <w:kern w:val="33"/>
          <w:sz w:val="32"/>
          <w:szCs w:val="32"/>
        </w:rPr>
        <w:t>。截至目前，已向我县</w:t>
      </w:r>
      <w:r>
        <w:rPr>
          <w:rFonts w:hint="default" w:ascii="Times New Roman" w:hAnsi="Times New Roman" w:eastAsia="仿宋_GB2312" w:cs="Times New Roman"/>
          <w:bCs/>
          <w:color w:val="auto"/>
          <w:kern w:val="33"/>
          <w:sz w:val="32"/>
          <w:szCs w:val="32"/>
          <w:lang w:val="en-US" w:eastAsia="zh-CN"/>
        </w:rPr>
        <w:t>12</w:t>
      </w:r>
      <w:r>
        <w:rPr>
          <w:rFonts w:hint="default" w:ascii="Times New Roman" w:hAnsi="Times New Roman" w:eastAsia="仿宋_GB2312" w:cs="Times New Roman"/>
          <w:bCs/>
          <w:color w:val="auto"/>
          <w:kern w:val="33"/>
          <w:sz w:val="32"/>
          <w:szCs w:val="32"/>
        </w:rPr>
        <w:t>家疫苗接种机构拨付新冠疫苗接种费</w:t>
      </w:r>
      <w:r>
        <w:rPr>
          <w:rFonts w:hint="default" w:ascii="Times New Roman" w:hAnsi="Times New Roman" w:eastAsia="仿宋_GB2312" w:cs="Times New Roman"/>
          <w:bCs/>
          <w:color w:val="auto"/>
          <w:kern w:val="33"/>
          <w:sz w:val="32"/>
          <w:szCs w:val="32"/>
          <w:lang w:val="en-US" w:eastAsia="zh-CN"/>
        </w:rPr>
        <w:t>114</w:t>
      </w:r>
      <w:r>
        <w:rPr>
          <w:rFonts w:hint="default" w:ascii="Times New Roman" w:hAnsi="Times New Roman" w:eastAsia="仿宋_GB2312" w:cs="Times New Roman"/>
          <w:bCs/>
          <w:color w:val="auto"/>
          <w:kern w:val="33"/>
          <w:sz w:val="32"/>
          <w:szCs w:val="32"/>
        </w:rPr>
        <w:t>万</w:t>
      </w:r>
      <w:r>
        <w:rPr>
          <w:rFonts w:hint="default" w:ascii="Times New Roman" w:hAnsi="Times New Roman" w:eastAsia="仿宋_GB2312" w:cs="Times New Roman"/>
          <w:bCs/>
          <w:color w:val="auto"/>
          <w:kern w:val="33"/>
          <w:sz w:val="32"/>
          <w:szCs w:val="32"/>
          <w:lang w:val="en-US" w:eastAsia="zh-CN"/>
        </w:rPr>
        <w:t>余</w:t>
      </w:r>
      <w:r>
        <w:rPr>
          <w:rFonts w:hint="default" w:ascii="Times New Roman" w:hAnsi="Times New Roman" w:eastAsia="仿宋_GB2312" w:cs="Times New Roman"/>
          <w:bCs/>
          <w:color w:val="auto"/>
          <w:kern w:val="33"/>
          <w:sz w:val="32"/>
          <w:szCs w:val="32"/>
        </w:rPr>
        <w:t>元，保障疫苗接种</w:t>
      </w:r>
      <w:r>
        <w:rPr>
          <w:rFonts w:hint="default" w:ascii="Times New Roman" w:hAnsi="Times New Roman" w:eastAsia="仿宋_GB2312" w:cs="Times New Roman"/>
          <w:bCs/>
          <w:color w:val="auto"/>
          <w:kern w:val="33"/>
          <w:sz w:val="32"/>
          <w:szCs w:val="32"/>
          <w:lang w:val="en-US" w:eastAsia="zh-CN"/>
        </w:rPr>
        <w:t>工作</w:t>
      </w:r>
      <w:r>
        <w:rPr>
          <w:rFonts w:hint="default" w:ascii="Times New Roman" w:hAnsi="Times New Roman" w:eastAsia="仿宋_GB2312" w:cs="Times New Roman"/>
          <w:bCs/>
          <w:color w:val="auto"/>
          <w:kern w:val="33"/>
          <w:sz w:val="32"/>
          <w:szCs w:val="32"/>
        </w:rPr>
        <w:t>有序推进。</w:t>
      </w:r>
    </w:p>
    <w:p w14:paraId="5080209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二是</w:t>
      </w:r>
      <w:r>
        <w:rPr>
          <w:rFonts w:hint="default" w:ascii="Times New Roman" w:hAnsi="Times New Roman" w:eastAsia="仿宋_GB2312" w:cs="Times New Roman"/>
          <w:bCs/>
          <w:color w:val="auto"/>
          <w:kern w:val="33"/>
          <w:sz w:val="32"/>
          <w:szCs w:val="32"/>
        </w:rPr>
        <w:t>强化疫情防控物资和医疗服务价格监测，严禁趁机哄抬医药价格</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今年疫情期间</w:t>
      </w:r>
      <w:r>
        <w:rPr>
          <w:rFonts w:hint="default" w:ascii="Times New Roman" w:hAnsi="Times New Roman" w:eastAsia="仿宋_GB2312" w:cs="Times New Roman"/>
          <w:bCs/>
          <w:color w:val="auto"/>
          <w:kern w:val="33"/>
          <w:sz w:val="32"/>
          <w:szCs w:val="32"/>
        </w:rPr>
        <w:t>加大对辖区内5个监测哨点销售的33个品规的医药器械</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4个品规的消毒用品</w:t>
      </w:r>
      <w:r>
        <w:rPr>
          <w:rFonts w:hint="default" w:ascii="Times New Roman" w:hAnsi="Times New Roman" w:eastAsia="仿宋_GB2312" w:cs="Times New Roman"/>
          <w:bCs/>
          <w:color w:val="auto"/>
          <w:kern w:val="33"/>
          <w:sz w:val="32"/>
          <w:szCs w:val="32"/>
          <w:lang w:val="en-US" w:eastAsia="zh-CN"/>
        </w:rPr>
        <w:t>的</w:t>
      </w:r>
      <w:r>
        <w:rPr>
          <w:rFonts w:hint="default" w:ascii="Times New Roman" w:hAnsi="Times New Roman" w:eastAsia="仿宋_GB2312" w:cs="Times New Roman"/>
          <w:bCs/>
          <w:color w:val="auto"/>
          <w:kern w:val="33"/>
          <w:sz w:val="32"/>
          <w:szCs w:val="32"/>
        </w:rPr>
        <w:t>应急监测</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深入盐边县人民医院、一心堂连锁药店等</w:t>
      </w:r>
      <w:r>
        <w:rPr>
          <w:rFonts w:hint="default" w:ascii="Times New Roman" w:hAnsi="Times New Roman" w:eastAsia="仿宋_GB2312" w:cs="Times New Roman"/>
          <w:bCs/>
          <w:color w:val="auto"/>
          <w:kern w:val="33"/>
          <w:sz w:val="32"/>
          <w:szCs w:val="32"/>
          <w:lang w:val="en-US" w:eastAsia="zh-CN"/>
        </w:rPr>
        <w:t>医药机构</w:t>
      </w:r>
      <w:r>
        <w:rPr>
          <w:rFonts w:hint="default" w:ascii="Times New Roman" w:hAnsi="Times New Roman" w:eastAsia="仿宋_GB2312" w:cs="Times New Roman"/>
          <w:bCs/>
          <w:color w:val="auto"/>
          <w:kern w:val="33"/>
          <w:sz w:val="32"/>
          <w:szCs w:val="32"/>
        </w:rPr>
        <w:t>开展现场医药价格监测，重点监测了部分常用抗病毒治感冒类药物以及口罩、酒精等消杀类药械。同时，对部分定点零售药店存在的价签与实物不符的情况进行了现场处理</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有效杜绝了借机涨价和囤积急需医用物资等违规</w:t>
      </w:r>
      <w:r>
        <w:rPr>
          <w:rFonts w:hint="default" w:ascii="Times New Roman" w:hAnsi="Times New Roman" w:eastAsia="仿宋_GB2312" w:cs="Times New Roman"/>
          <w:bCs/>
          <w:color w:val="auto"/>
          <w:kern w:val="33"/>
          <w:sz w:val="32"/>
          <w:szCs w:val="32"/>
          <w:lang w:val="en-US" w:eastAsia="zh-CN"/>
        </w:rPr>
        <w:t>情况</w:t>
      </w:r>
      <w:r>
        <w:rPr>
          <w:rFonts w:hint="default" w:ascii="Times New Roman" w:hAnsi="Times New Roman" w:eastAsia="仿宋_GB2312" w:cs="Times New Roman"/>
          <w:bCs/>
          <w:color w:val="auto"/>
          <w:kern w:val="33"/>
          <w:sz w:val="32"/>
          <w:szCs w:val="32"/>
        </w:rPr>
        <w:t>。</w:t>
      </w:r>
    </w:p>
    <w:p w14:paraId="49146612">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rPr>
      </w:pPr>
      <w:r>
        <w:rPr>
          <w:rFonts w:hint="default" w:ascii="Times New Roman" w:hAnsi="Times New Roman" w:eastAsia="仿宋_GB2312" w:cs="Times New Roman"/>
          <w:b/>
          <w:bCs w:val="0"/>
          <w:color w:val="auto"/>
          <w:kern w:val="33"/>
          <w:sz w:val="32"/>
          <w:szCs w:val="32"/>
          <w:lang w:val="en-US" w:eastAsia="zh-CN"/>
        </w:rPr>
        <w:t>6.</w:t>
      </w:r>
      <w:r>
        <w:rPr>
          <w:rFonts w:hint="default" w:ascii="Times New Roman" w:hAnsi="Times New Roman" w:eastAsia="仿宋_GB2312" w:cs="Times New Roman"/>
          <w:b/>
          <w:bCs w:val="0"/>
          <w:color w:val="auto"/>
          <w:kern w:val="33"/>
          <w:sz w:val="32"/>
          <w:szCs w:val="32"/>
        </w:rPr>
        <w:t>深入实施药品集中采购制度。</w:t>
      </w:r>
    </w:p>
    <w:p w14:paraId="072CAF7A">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rPr>
        <w:t>结合盐边南北片区工作实际，改革创新采购方式，将全县21家公立定点医疗机构的药械集中采购任务统筹分配给盐边县人民医院和盐边县中医院两家医共体医疗机构组织实施，简化工作流程，缩短预付款及回款周期，提升了药械集采效率，</w:t>
      </w:r>
      <w:r>
        <w:rPr>
          <w:rFonts w:hint="default" w:ascii="Times New Roman" w:hAnsi="Times New Roman" w:eastAsia="仿宋_GB2312" w:cs="Times New Roman"/>
          <w:bCs/>
          <w:color w:val="auto"/>
          <w:kern w:val="33"/>
          <w:sz w:val="32"/>
          <w:szCs w:val="32"/>
          <w:lang w:val="en-US" w:eastAsia="zh-CN"/>
        </w:rPr>
        <w:t>助力</w:t>
      </w:r>
      <w:r>
        <w:rPr>
          <w:rFonts w:hint="default" w:ascii="Times New Roman" w:hAnsi="Times New Roman" w:eastAsia="仿宋_GB2312" w:cs="Times New Roman"/>
          <w:bCs/>
          <w:color w:val="auto"/>
          <w:kern w:val="33"/>
          <w:sz w:val="32"/>
          <w:szCs w:val="32"/>
        </w:rPr>
        <w:t>定点医疗机构控制成本，有效减轻患者的医药费负担。</w:t>
      </w:r>
      <w:r>
        <w:rPr>
          <w:rFonts w:hint="default" w:ascii="Times New Roman" w:hAnsi="Times New Roman" w:eastAsia="仿宋_GB2312" w:cs="Times New Roman"/>
          <w:bCs/>
          <w:color w:val="auto"/>
          <w:kern w:val="33"/>
          <w:sz w:val="32"/>
          <w:szCs w:val="32"/>
          <w:lang w:val="en-US" w:eastAsia="zh-CN"/>
        </w:rPr>
        <w:t>截至目前</w:t>
      </w:r>
      <w:r>
        <w:rPr>
          <w:rFonts w:hint="default" w:ascii="Times New Roman" w:hAnsi="Times New Roman" w:eastAsia="仿宋_GB2312" w:cs="Times New Roman"/>
          <w:bCs/>
          <w:color w:val="auto"/>
          <w:kern w:val="33"/>
          <w:sz w:val="32"/>
          <w:szCs w:val="32"/>
        </w:rPr>
        <w:t>，与省市同步开展</w:t>
      </w:r>
      <w:r>
        <w:rPr>
          <w:rFonts w:hint="default" w:ascii="Times New Roman" w:hAnsi="Times New Roman" w:eastAsia="仿宋_GB2312" w:cs="Times New Roman"/>
          <w:bCs/>
          <w:color w:val="auto"/>
          <w:kern w:val="33"/>
          <w:sz w:val="32"/>
          <w:szCs w:val="32"/>
          <w:lang w:val="en-US" w:eastAsia="zh-CN"/>
        </w:rPr>
        <w:t>7</w:t>
      </w:r>
      <w:r>
        <w:rPr>
          <w:rFonts w:hint="default" w:ascii="Times New Roman" w:hAnsi="Times New Roman" w:eastAsia="仿宋_GB2312" w:cs="Times New Roman"/>
          <w:bCs/>
          <w:color w:val="auto"/>
          <w:kern w:val="33"/>
          <w:sz w:val="32"/>
          <w:szCs w:val="32"/>
        </w:rPr>
        <w:t>批</w:t>
      </w:r>
      <w:r>
        <w:rPr>
          <w:rFonts w:hint="default" w:ascii="Times New Roman" w:hAnsi="Times New Roman" w:eastAsia="仿宋_GB2312" w:cs="Times New Roman"/>
          <w:bCs/>
          <w:color w:val="auto"/>
          <w:kern w:val="33"/>
          <w:sz w:val="32"/>
          <w:szCs w:val="32"/>
          <w:lang w:val="en-US" w:eastAsia="zh-CN"/>
        </w:rPr>
        <w:t>药械</w:t>
      </w:r>
      <w:r>
        <w:rPr>
          <w:rFonts w:hint="default" w:ascii="Times New Roman" w:hAnsi="Times New Roman" w:eastAsia="仿宋_GB2312" w:cs="Times New Roman"/>
          <w:bCs/>
          <w:color w:val="auto"/>
          <w:kern w:val="33"/>
          <w:sz w:val="32"/>
          <w:szCs w:val="32"/>
        </w:rPr>
        <w:t>采购任务，涉及7</w:t>
      </w:r>
      <w:r>
        <w:rPr>
          <w:rFonts w:hint="default" w:ascii="Times New Roman" w:hAnsi="Times New Roman" w:eastAsia="仿宋_GB2312" w:cs="Times New Roman"/>
          <w:bCs/>
          <w:color w:val="auto"/>
          <w:kern w:val="33"/>
          <w:sz w:val="32"/>
          <w:szCs w:val="32"/>
          <w:lang w:val="en-US" w:eastAsia="zh-CN"/>
        </w:rPr>
        <w:t>0余个品规药械</w:t>
      </w:r>
      <w:r>
        <w:rPr>
          <w:rFonts w:hint="default" w:ascii="Times New Roman" w:hAnsi="Times New Roman" w:eastAsia="仿宋_GB2312" w:cs="Times New Roman"/>
          <w:bCs/>
          <w:color w:val="auto"/>
          <w:kern w:val="33"/>
          <w:sz w:val="32"/>
          <w:szCs w:val="32"/>
        </w:rPr>
        <w:t>，采购金额为</w:t>
      </w:r>
      <w:r>
        <w:rPr>
          <w:rFonts w:hint="default" w:ascii="Times New Roman" w:hAnsi="Times New Roman" w:eastAsia="仿宋_GB2312" w:cs="Times New Roman"/>
          <w:bCs/>
          <w:color w:val="auto"/>
          <w:kern w:val="33"/>
          <w:sz w:val="32"/>
          <w:szCs w:val="32"/>
          <w:lang w:val="en-US" w:eastAsia="zh-CN"/>
        </w:rPr>
        <w:t>122.48</w:t>
      </w:r>
      <w:r>
        <w:rPr>
          <w:rFonts w:hint="default" w:ascii="Times New Roman" w:hAnsi="Times New Roman" w:eastAsia="仿宋_GB2312" w:cs="Times New Roman"/>
          <w:bCs/>
          <w:color w:val="auto"/>
          <w:kern w:val="33"/>
          <w:sz w:val="32"/>
          <w:szCs w:val="32"/>
        </w:rPr>
        <w:t>万元。</w:t>
      </w:r>
    </w:p>
    <w:p w14:paraId="4CC42848">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eastAsia="zh-CN"/>
        </w:rPr>
      </w:pPr>
      <w:r>
        <w:rPr>
          <w:rFonts w:hint="default" w:ascii="Times New Roman" w:hAnsi="Times New Roman" w:eastAsia="仿宋_GB2312" w:cs="Times New Roman"/>
          <w:b/>
          <w:bCs w:val="0"/>
          <w:color w:val="auto"/>
          <w:kern w:val="33"/>
          <w:sz w:val="32"/>
          <w:szCs w:val="32"/>
          <w:lang w:val="en-US" w:eastAsia="zh-CN"/>
        </w:rPr>
        <w:t>7.</w:t>
      </w:r>
      <w:r>
        <w:rPr>
          <w:rFonts w:hint="default" w:ascii="Times New Roman" w:hAnsi="Times New Roman" w:eastAsia="仿宋_GB2312" w:cs="Times New Roman"/>
          <w:b/>
          <w:bCs w:val="0"/>
          <w:color w:val="auto"/>
          <w:kern w:val="33"/>
          <w:sz w:val="32"/>
          <w:szCs w:val="32"/>
        </w:rPr>
        <w:t>加快推进医保支付方式改革</w:t>
      </w:r>
      <w:r>
        <w:rPr>
          <w:rFonts w:hint="default" w:ascii="Times New Roman" w:hAnsi="Times New Roman" w:eastAsia="仿宋_GB2312" w:cs="Times New Roman"/>
          <w:b/>
          <w:bCs w:val="0"/>
          <w:color w:val="auto"/>
          <w:kern w:val="33"/>
          <w:sz w:val="32"/>
          <w:szCs w:val="32"/>
          <w:lang w:eastAsia="zh-CN"/>
        </w:rPr>
        <w:t>。</w:t>
      </w:r>
    </w:p>
    <w:p w14:paraId="23E051B8">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rPr>
        <w:t>按照攀枝花市建设国家DRG付费试点城市的工作部署，将县内有住院条件的12家医院纳入DRG付费改革，废除传统的按疾病项目付费，实行总额控制下的按疾病病种付费，年初根据点数法确定区域总额，年终进行考核结算。2021年，医疗机构在年初总额预算的基础上实现盈利的有11家，共盈利253.43万元，其中盐边县中医院盈利220万元，达到了“降低基金支出、减轻就医负担、增加医院收入”的改革目标。</w:t>
      </w:r>
    </w:p>
    <w:p w14:paraId="7B04B39E">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eastAsia="zh-CN"/>
        </w:rPr>
      </w:pPr>
      <w:r>
        <w:rPr>
          <w:rFonts w:hint="default" w:ascii="Times New Roman" w:hAnsi="Times New Roman" w:eastAsia="仿宋_GB2312" w:cs="Times New Roman"/>
          <w:b/>
          <w:bCs w:val="0"/>
          <w:color w:val="auto"/>
          <w:kern w:val="33"/>
          <w:sz w:val="32"/>
          <w:szCs w:val="32"/>
          <w:lang w:val="en-US" w:eastAsia="zh-CN"/>
        </w:rPr>
        <w:t>8.</w:t>
      </w:r>
      <w:r>
        <w:rPr>
          <w:rFonts w:hint="default" w:ascii="Times New Roman" w:hAnsi="Times New Roman" w:eastAsia="仿宋_GB2312" w:cs="Times New Roman"/>
          <w:b/>
          <w:bCs w:val="0"/>
          <w:color w:val="auto"/>
          <w:kern w:val="33"/>
          <w:sz w:val="32"/>
          <w:szCs w:val="32"/>
        </w:rPr>
        <w:t>加强医保经办服务体系建设</w:t>
      </w:r>
      <w:r>
        <w:rPr>
          <w:rFonts w:hint="default" w:ascii="Times New Roman" w:hAnsi="Times New Roman" w:eastAsia="仿宋_GB2312" w:cs="Times New Roman"/>
          <w:b/>
          <w:bCs w:val="0"/>
          <w:color w:val="auto"/>
          <w:kern w:val="33"/>
          <w:sz w:val="32"/>
          <w:szCs w:val="32"/>
          <w:lang w:eastAsia="zh-CN"/>
        </w:rPr>
        <w:t>。</w:t>
      </w:r>
    </w:p>
    <w:p w14:paraId="0A51BACE">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一是</w:t>
      </w:r>
      <w:r>
        <w:rPr>
          <w:rFonts w:hint="default" w:ascii="Times New Roman" w:hAnsi="Times New Roman" w:eastAsia="仿宋_GB2312" w:cs="Times New Roman"/>
          <w:bCs/>
          <w:color w:val="auto"/>
          <w:kern w:val="33"/>
          <w:sz w:val="32"/>
          <w:szCs w:val="32"/>
        </w:rPr>
        <w:t>医保经办服务体系更加完善。构建起纵向到底、横向到边的“县、乡、村”三</w:t>
      </w:r>
      <w:r>
        <w:rPr>
          <w:rFonts w:hint="default" w:ascii="Times New Roman" w:hAnsi="Times New Roman" w:eastAsia="仿宋_GB2312" w:cs="Times New Roman"/>
          <w:bCs/>
          <w:color w:val="auto"/>
          <w:kern w:val="33"/>
          <w:sz w:val="32"/>
          <w:szCs w:val="32"/>
          <w:lang w:val="en-US" w:eastAsia="zh-CN"/>
        </w:rPr>
        <w:t>级</w:t>
      </w:r>
      <w:r>
        <w:rPr>
          <w:rFonts w:hint="default" w:ascii="Times New Roman" w:hAnsi="Times New Roman" w:eastAsia="仿宋_GB2312" w:cs="Times New Roman"/>
          <w:bCs/>
          <w:color w:val="auto"/>
          <w:kern w:val="33"/>
          <w:sz w:val="32"/>
          <w:szCs w:val="32"/>
        </w:rPr>
        <w:t>经办服务体系，基本实现了医保服务网络全域覆盖。稳步推行“一窗通办、一网通行”医保综合柜员制改革工作，通过梳理业务事项清单、优化业务办理流程、组织开展培训学习等措施，综合提高窗口经办人员综合业务水平。县医保窗口实现了“前台综合受理、后台分类审批、统一窗口出件”，构建起“一站式服务”的医保经办集成式服务新格局。</w:t>
      </w:r>
      <w:r>
        <w:rPr>
          <w:rFonts w:hint="default" w:ascii="Times New Roman" w:hAnsi="Times New Roman" w:eastAsia="仿宋_GB2312" w:cs="Times New Roman"/>
          <w:bCs/>
          <w:color w:val="auto"/>
          <w:kern w:val="33"/>
          <w:sz w:val="32"/>
          <w:szCs w:val="32"/>
          <w:lang w:val="en-US" w:eastAsia="zh-CN"/>
        </w:rPr>
        <w:t>积极推动医保经办服务下沉工作</w:t>
      </w:r>
      <w:r>
        <w:rPr>
          <w:rFonts w:hint="default" w:ascii="Times New Roman" w:hAnsi="Times New Roman" w:eastAsia="仿宋_GB2312" w:cs="Times New Roman"/>
          <w:bCs/>
          <w:color w:val="auto"/>
          <w:kern w:val="33"/>
          <w:sz w:val="32"/>
          <w:szCs w:val="32"/>
        </w:rPr>
        <w:t>，在12个乡</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镇</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便民服务中心设立医保服务窗口</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在</w:t>
      </w:r>
      <w:r>
        <w:rPr>
          <w:rFonts w:hint="default" w:ascii="Times New Roman" w:hAnsi="Times New Roman" w:eastAsia="仿宋_GB2312" w:cs="Times New Roman"/>
          <w:bCs/>
          <w:color w:val="auto"/>
          <w:kern w:val="33"/>
          <w:sz w:val="32"/>
          <w:szCs w:val="32"/>
        </w:rPr>
        <w:t>88个村</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社区</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便民服务站</w:t>
      </w:r>
      <w:r>
        <w:rPr>
          <w:rFonts w:hint="default" w:ascii="Times New Roman" w:hAnsi="Times New Roman" w:eastAsia="仿宋_GB2312" w:cs="Times New Roman"/>
          <w:bCs/>
          <w:color w:val="auto"/>
          <w:kern w:val="33"/>
          <w:sz w:val="32"/>
          <w:szCs w:val="32"/>
          <w:lang w:val="en-US" w:eastAsia="zh-CN"/>
        </w:rPr>
        <w:t>设立</w:t>
      </w:r>
      <w:r>
        <w:rPr>
          <w:rFonts w:hint="default" w:ascii="Times New Roman" w:hAnsi="Times New Roman" w:eastAsia="仿宋_GB2312" w:cs="Times New Roman"/>
          <w:bCs/>
          <w:color w:val="auto"/>
          <w:kern w:val="33"/>
          <w:sz w:val="32"/>
          <w:szCs w:val="32"/>
        </w:rPr>
        <w:t>医保事项</w:t>
      </w:r>
      <w:r>
        <w:rPr>
          <w:rFonts w:hint="default" w:ascii="Times New Roman" w:hAnsi="Times New Roman" w:eastAsia="仿宋_GB2312" w:cs="Times New Roman"/>
          <w:bCs/>
          <w:color w:val="auto"/>
          <w:kern w:val="33"/>
          <w:sz w:val="32"/>
          <w:szCs w:val="32"/>
          <w:lang w:val="en-US" w:eastAsia="zh-CN"/>
        </w:rPr>
        <w:t>帮办</w:t>
      </w:r>
      <w:r>
        <w:rPr>
          <w:rFonts w:hint="default" w:ascii="Times New Roman" w:hAnsi="Times New Roman" w:eastAsia="仿宋_GB2312" w:cs="Times New Roman"/>
          <w:bCs/>
          <w:color w:val="auto"/>
          <w:kern w:val="33"/>
          <w:sz w:val="32"/>
          <w:szCs w:val="32"/>
        </w:rPr>
        <w:t>代办</w:t>
      </w:r>
      <w:r>
        <w:rPr>
          <w:rFonts w:hint="default" w:ascii="Times New Roman" w:hAnsi="Times New Roman" w:eastAsia="仿宋_GB2312" w:cs="Times New Roman"/>
          <w:bCs/>
          <w:color w:val="auto"/>
          <w:kern w:val="33"/>
          <w:sz w:val="32"/>
          <w:szCs w:val="32"/>
          <w:lang w:val="en-US" w:eastAsia="zh-CN"/>
        </w:rPr>
        <w:t>点</w:t>
      </w:r>
      <w:r>
        <w:rPr>
          <w:rFonts w:hint="default" w:ascii="Times New Roman" w:hAnsi="Times New Roman" w:eastAsia="仿宋_GB2312" w:cs="Times New Roman"/>
          <w:bCs/>
          <w:color w:val="auto"/>
          <w:kern w:val="33"/>
          <w:sz w:val="32"/>
          <w:szCs w:val="32"/>
        </w:rPr>
        <w:t>。</w:t>
      </w:r>
      <w:r>
        <w:rPr>
          <w:rFonts w:hint="default" w:ascii="Times New Roman" w:hAnsi="Times New Roman" w:eastAsia="仿宋_GB2312" w:cs="Times New Roman"/>
          <w:bCs/>
          <w:color w:val="auto"/>
          <w:kern w:val="33"/>
          <w:sz w:val="32"/>
          <w:szCs w:val="32"/>
          <w:lang w:val="en-US" w:eastAsia="zh-CN"/>
        </w:rPr>
        <w:t>试点</w:t>
      </w:r>
      <w:r>
        <w:rPr>
          <w:rFonts w:hint="default" w:ascii="Times New Roman" w:hAnsi="Times New Roman" w:eastAsia="仿宋_GB2312" w:cs="Times New Roman"/>
          <w:bCs/>
          <w:color w:val="auto"/>
          <w:kern w:val="33"/>
          <w:sz w:val="32"/>
          <w:szCs w:val="32"/>
        </w:rPr>
        <w:t>开展医保网格化服务管理，依托广大网格员为网格辖区居民提供参保动员、高频事项代办等服务。</w:t>
      </w:r>
    </w:p>
    <w:p w14:paraId="1EA28F7F">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二是积极推动</w:t>
      </w:r>
      <w:r>
        <w:rPr>
          <w:rFonts w:hint="default" w:ascii="Times New Roman" w:hAnsi="Times New Roman" w:eastAsia="仿宋_GB2312" w:cs="Times New Roman"/>
          <w:bCs/>
          <w:color w:val="auto"/>
          <w:kern w:val="33"/>
          <w:sz w:val="32"/>
          <w:szCs w:val="32"/>
        </w:rPr>
        <w:t>服务渠道多元</w:t>
      </w:r>
      <w:r>
        <w:rPr>
          <w:rFonts w:hint="default" w:ascii="Times New Roman" w:hAnsi="Times New Roman" w:eastAsia="仿宋_GB2312" w:cs="Times New Roman"/>
          <w:bCs/>
          <w:color w:val="auto"/>
          <w:kern w:val="33"/>
          <w:sz w:val="32"/>
          <w:szCs w:val="32"/>
          <w:lang w:val="en-US" w:eastAsia="zh-CN"/>
        </w:rPr>
        <w:t>化</w:t>
      </w:r>
      <w:r>
        <w:rPr>
          <w:rFonts w:hint="default" w:ascii="Times New Roman" w:hAnsi="Times New Roman" w:eastAsia="仿宋_GB2312" w:cs="Times New Roman"/>
          <w:bCs/>
          <w:color w:val="auto"/>
          <w:kern w:val="33"/>
          <w:sz w:val="32"/>
          <w:szCs w:val="32"/>
        </w:rPr>
        <w:t>。坚持传统服务方式与新型服务方式“两条腿”走路，大力推动医保经办数字化转型，充分利用四川医保APP、一体化政务服务平台等，推行医保服务事项“网上办”“掌上办”，实现了数据多跑路、群众少跑腿。目前，我县医保政务服务事项网上可办率达到100%。2022年1～1</w:t>
      </w:r>
      <w:r>
        <w:rPr>
          <w:rFonts w:hint="default" w:ascii="Times New Roman" w:hAnsi="Times New Roman" w:eastAsia="仿宋_GB2312" w:cs="Times New Roman"/>
          <w:bCs/>
          <w:color w:val="auto"/>
          <w:kern w:val="33"/>
          <w:sz w:val="32"/>
          <w:szCs w:val="32"/>
          <w:lang w:val="en-US" w:eastAsia="zh-CN"/>
        </w:rPr>
        <w:t>2</w:t>
      </w:r>
      <w:r>
        <w:rPr>
          <w:rFonts w:hint="default" w:ascii="Times New Roman" w:hAnsi="Times New Roman" w:eastAsia="仿宋_GB2312" w:cs="Times New Roman"/>
          <w:bCs/>
          <w:color w:val="auto"/>
          <w:kern w:val="33"/>
          <w:sz w:val="32"/>
          <w:szCs w:val="32"/>
        </w:rPr>
        <w:t>月共办理事项</w:t>
      </w:r>
      <w:r>
        <w:rPr>
          <w:rFonts w:hint="default" w:ascii="Times New Roman" w:hAnsi="Times New Roman" w:eastAsia="仿宋_GB2312" w:cs="Times New Roman"/>
          <w:bCs/>
          <w:color w:val="auto"/>
          <w:kern w:val="33"/>
          <w:sz w:val="32"/>
          <w:szCs w:val="32"/>
          <w:lang w:val="en-US" w:eastAsia="zh-CN"/>
        </w:rPr>
        <w:t>19364</w:t>
      </w:r>
      <w:r>
        <w:rPr>
          <w:rFonts w:hint="default" w:ascii="Times New Roman" w:hAnsi="Times New Roman" w:eastAsia="仿宋_GB2312" w:cs="Times New Roman"/>
          <w:bCs/>
          <w:color w:val="auto"/>
          <w:kern w:val="33"/>
          <w:sz w:val="32"/>
          <w:szCs w:val="32"/>
        </w:rPr>
        <w:t>件。其中系统办理7613件，线上办理</w:t>
      </w:r>
      <w:r>
        <w:rPr>
          <w:rFonts w:hint="default" w:ascii="Times New Roman" w:hAnsi="Times New Roman" w:eastAsia="仿宋_GB2312" w:cs="Times New Roman"/>
          <w:bCs/>
          <w:color w:val="auto"/>
          <w:kern w:val="33"/>
          <w:sz w:val="32"/>
          <w:szCs w:val="32"/>
          <w:lang w:val="en-US" w:eastAsia="zh-CN"/>
        </w:rPr>
        <w:t>11751</w:t>
      </w:r>
      <w:r>
        <w:rPr>
          <w:rFonts w:hint="default" w:ascii="Times New Roman" w:hAnsi="Times New Roman" w:eastAsia="仿宋_GB2312" w:cs="Times New Roman"/>
          <w:bCs/>
          <w:color w:val="auto"/>
          <w:kern w:val="33"/>
          <w:sz w:val="32"/>
          <w:szCs w:val="32"/>
        </w:rPr>
        <w:t>件。办理事项主要包括“参保人员参保信息查询”“城乡居民参保登记”“职工参保登记”等。本年度好差评满意率达到100%。</w:t>
      </w:r>
    </w:p>
    <w:p w14:paraId="588FE586">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rPr>
      </w:pPr>
      <w:r>
        <w:rPr>
          <w:rFonts w:hint="default" w:ascii="Times New Roman" w:hAnsi="Times New Roman" w:eastAsia="仿宋_GB2312" w:cs="Times New Roman"/>
          <w:b/>
          <w:bCs w:val="0"/>
          <w:color w:val="auto"/>
          <w:kern w:val="33"/>
          <w:sz w:val="32"/>
          <w:szCs w:val="32"/>
          <w:lang w:val="en-US" w:eastAsia="zh-CN"/>
        </w:rPr>
        <w:t>9.</w:t>
      </w:r>
      <w:r>
        <w:rPr>
          <w:rFonts w:hint="default" w:ascii="Times New Roman" w:hAnsi="Times New Roman" w:eastAsia="仿宋_GB2312" w:cs="Times New Roman"/>
          <w:b/>
          <w:bCs w:val="0"/>
          <w:color w:val="auto"/>
          <w:kern w:val="33"/>
          <w:sz w:val="32"/>
          <w:szCs w:val="32"/>
        </w:rPr>
        <w:t>全力</w:t>
      </w:r>
      <w:r>
        <w:rPr>
          <w:rFonts w:hint="default" w:ascii="Times New Roman" w:hAnsi="Times New Roman" w:eastAsia="仿宋_GB2312" w:cs="Times New Roman"/>
          <w:b/>
          <w:bCs w:val="0"/>
          <w:color w:val="auto"/>
          <w:kern w:val="33"/>
          <w:sz w:val="32"/>
          <w:szCs w:val="32"/>
          <w:lang w:val="en-US" w:eastAsia="zh-CN"/>
        </w:rPr>
        <w:t>做好基本医疗保险参保征缴工作</w:t>
      </w:r>
      <w:r>
        <w:rPr>
          <w:rFonts w:hint="default" w:ascii="Times New Roman" w:hAnsi="Times New Roman" w:eastAsia="仿宋_GB2312" w:cs="Times New Roman"/>
          <w:b/>
          <w:bCs w:val="0"/>
          <w:color w:val="auto"/>
          <w:kern w:val="33"/>
          <w:sz w:val="32"/>
          <w:szCs w:val="32"/>
        </w:rPr>
        <w:t>。</w:t>
      </w:r>
    </w:p>
    <w:p w14:paraId="3F06101B">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Cs/>
          <w:color w:val="auto"/>
          <w:kern w:val="33"/>
          <w:sz w:val="32"/>
          <w:szCs w:val="32"/>
        </w:rPr>
      </w:pPr>
      <w:r>
        <w:rPr>
          <w:rFonts w:hint="default" w:ascii="Times New Roman" w:hAnsi="Times New Roman" w:eastAsia="仿宋_GB2312" w:cs="Times New Roman"/>
          <w:bCs/>
          <w:color w:val="auto"/>
          <w:kern w:val="33"/>
          <w:sz w:val="32"/>
          <w:szCs w:val="32"/>
          <w:lang w:val="en-US" w:eastAsia="zh-CN"/>
        </w:rPr>
        <w:t>2022年，我局加强同县级各部门的沟通协调、加大医保政策宣传力度，分类</w:t>
      </w:r>
      <w:r>
        <w:rPr>
          <w:rFonts w:hint="default" w:ascii="Times New Roman" w:hAnsi="Times New Roman" w:eastAsia="仿宋_GB2312" w:cs="Times New Roman"/>
          <w:bCs/>
          <w:color w:val="auto"/>
          <w:kern w:val="33"/>
          <w:sz w:val="32"/>
          <w:szCs w:val="32"/>
        </w:rPr>
        <w:t>做好</w:t>
      </w:r>
      <w:r>
        <w:rPr>
          <w:rFonts w:hint="default" w:ascii="Times New Roman" w:hAnsi="Times New Roman" w:eastAsia="仿宋_GB2312" w:cs="Times New Roman"/>
          <w:bCs/>
          <w:color w:val="auto"/>
          <w:kern w:val="33"/>
          <w:sz w:val="32"/>
          <w:szCs w:val="32"/>
          <w:lang w:val="en-US" w:eastAsia="zh-CN"/>
        </w:rPr>
        <w:t>城镇职工、城乡居民基本医疗保险</w:t>
      </w:r>
      <w:r>
        <w:rPr>
          <w:rFonts w:hint="default" w:ascii="Times New Roman" w:hAnsi="Times New Roman" w:eastAsia="仿宋_GB2312" w:cs="Times New Roman"/>
          <w:bCs/>
          <w:color w:val="auto"/>
          <w:kern w:val="33"/>
          <w:sz w:val="32"/>
          <w:szCs w:val="32"/>
        </w:rPr>
        <w:t>医保的征缴工作</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2022年</w:t>
      </w:r>
      <w:r>
        <w:rPr>
          <w:rFonts w:hint="default" w:ascii="Times New Roman" w:hAnsi="Times New Roman" w:eastAsia="仿宋_GB2312" w:cs="Times New Roman"/>
          <w:bCs/>
          <w:color w:val="auto"/>
          <w:kern w:val="33"/>
          <w:sz w:val="32"/>
          <w:szCs w:val="32"/>
        </w:rPr>
        <w:t>职工基本医疗保险</w:t>
      </w:r>
      <w:r>
        <w:rPr>
          <w:rFonts w:hint="default" w:ascii="Times New Roman" w:hAnsi="Times New Roman" w:eastAsia="仿宋_GB2312" w:cs="Times New Roman"/>
          <w:bCs/>
          <w:color w:val="auto"/>
          <w:kern w:val="33"/>
          <w:sz w:val="32"/>
          <w:szCs w:val="32"/>
          <w:lang w:val="en-US" w:eastAsia="zh-CN"/>
        </w:rPr>
        <w:t>参保2.15</w:t>
      </w:r>
      <w:r>
        <w:rPr>
          <w:rFonts w:hint="default" w:ascii="Times New Roman" w:hAnsi="Times New Roman" w:eastAsia="仿宋_GB2312" w:cs="Times New Roman"/>
          <w:bCs/>
          <w:color w:val="auto"/>
          <w:kern w:val="33"/>
          <w:sz w:val="32"/>
          <w:szCs w:val="32"/>
        </w:rPr>
        <w:t>万人</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城乡居民基本医疗保险</w:t>
      </w:r>
      <w:r>
        <w:rPr>
          <w:rFonts w:hint="default" w:ascii="Times New Roman" w:hAnsi="Times New Roman" w:eastAsia="仿宋_GB2312" w:cs="Times New Roman"/>
          <w:bCs/>
          <w:color w:val="auto"/>
          <w:kern w:val="33"/>
          <w:sz w:val="32"/>
          <w:szCs w:val="32"/>
          <w:lang w:val="en-US" w:eastAsia="zh-CN"/>
        </w:rPr>
        <w:t>参保15.96</w:t>
      </w:r>
      <w:r>
        <w:rPr>
          <w:rFonts w:hint="default" w:ascii="Times New Roman" w:hAnsi="Times New Roman" w:eastAsia="仿宋_GB2312" w:cs="Times New Roman"/>
          <w:bCs/>
          <w:color w:val="auto"/>
          <w:kern w:val="33"/>
          <w:sz w:val="32"/>
          <w:szCs w:val="32"/>
        </w:rPr>
        <w:t>万人</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lang w:val="en-US" w:eastAsia="zh-CN"/>
        </w:rPr>
        <w:t>同时，2023年城乡居民医保</w:t>
      </w:r>
      <w:r>
        <w:rPr>
          <w:rFonts w:hint="default" w:ascii="Times New Roman" w:hAnsi="Times New Roman" w:eastAsia="仿宋_GB2312" w:cs="Times New Roman"/>
          <w:bCs/>
          <w:color w:val="auto"/>
          <w:kern w:val="33"/>
          <w:sz w:val="32"/>
          <w:szCs w:val="32"/>
          <w:lang w:eastAsia="zh-CN"/>
        </w:rPr>
        <w:t>集中征缴期内</w:t>
      </w:r>
      <w:r>
        <w:rPr>
          <w:rFonts w:hint="default" w:ascii="Times New Roman" w:hAnsi="Times New Roman" w:eastAsia="仿宋_GB2312" w:cs="Times New Roman"/>
          <w:bCs/>
          <w:color w:val="auto"/>
          <w:kern w:val="33"/>
          <w:sz w:val="32"/>
          <w:szCs w:val="32"/>
          <w:lang w:val="en-US" w:eastAsia="zh-CN"/>
        </w:rPr>
        <w:t>，我县</w:t>
      </w:r>
      <w:r>
        <w:rPr>
          <w:rFonts w:hint="default" w:ascii="Times New Roman" w:hAnsi="Times New Roman" w:eastAsia="仿宋_GB2312" w:cs="Times New Roman"/>
          <w:bCs/>
          <w:color w:val="auto"/>
          <w:kern w:val="33"/>
          <w:sz w:val="32"/>
          <w:szCs w:val="32"/>
        </w:rPr>
        <w:t>继续实施全民参保计划，</w:t>
      </w:r>
      <w:r>
        <w:rPr>
          <w:rFonts w:hint="default" w:ascii="Times New Roman" w:hAnsi="Times New Roman" w:eastAsia="仿宋_GB2312" w:cs="Times New Roman"/>
          <w:bCs/>
          <w:color w:val="auto"/>
          <w:kern w:val="33"/>
          <w:sz w:val="32"/>
          <w:szCs w:val="32"/>
          <w:lang w:eastAsia="zh-CN"/>
        </w:rPr>
        <w:t>截至</w:t>
      </w:r>
      <w:r>
        <w:rPr>
          <w:rFonts w:hint="default" w:ascii="Times New Roman" w:hAnsi="Times New Roman" w:eastAsia="仿宋_GB2312" w:cs="Times New Roman"/>
          <w:bCs/>
          <w:color w:val="auto"/>
          <w:kern w:val="33"/>
          <w:sz w:val="32"/>
          <w:szCs w:val="32"/>
          <w:lang w:val="en-US" w:eastAsia="zh-CN"/>
        </w:rPr>
        <w:t>2022年</w:t>
      </w:r>
      <w:r>
        <w:rPr>
          <w:rFonts w:hint="default" w:ascii="Times New Roman" w:hAnsi="Times New Roman" w:eastAsia="仿宋_GB2312" w:cs="Times New Roman"/>
          <w:bCs/>
          <w:color w:val="auto"/>
          <w:kern w:val="33"/>
          <w:sz w:val="32"/>
          <w:szCs w:val="32"/>
          <w:lang w:eastAsia="zh-CN"/>
        </w:rPr>
        <w:t>12月底</w:t>
      </w:r>
      <w:r>
        <w:rPr>
          <w:rFonts w:hint="default" w:ascii="Times New Roman" w:hAnsi="Times New Roman" w:eastAsia="仿宋_GB2312" w:cs="Times New Roman"/>
          <w:bCs/>
          <w:color w:val="auto"/>
          <w:kern w:val="33"/>
          <w:sz w:val="32"/>
          <w:szCs w:val="32"/>
        </w:rPr>
        <w:t>，已完成</w:t>
      </w:r>
      <w:r>
        <w:rPr>
          <w:rFonts w:hint="default" w:ascii="Times New Roman" w:hAnsi="Times New Roman" w:eastAsia="仿宋_GB2312" w:cs="Times New Roman"/>
          <w:bCs/>
          <w:color w:val="auto"/>
          <w:kern w:val="33"/>
          <w:sz w:val="32"/>
          <w:szCs w:val="32"/>
          <w:lang w:val="en-US" w:eastAsia="zh-CN"/>
        </w:rPr>
        <w:t>2023年度</w:t>
      </w:r>
      <w:r>
        <w:rPr>
          <w:rFonts w:hint="default" w:ascii="Times New Roman" w:hAnsi="Times New Roman" w:eastAsia="仿宋_GB2312" w:cs="Times New Roman"/>
          <w:bCs/>
          <w:color w:val="auto"/>
          <w:kern w:val="33"/>
          <w:sz w:val="32"/>
          <w:szCs w:val="32"/>
        </w:rPr>
        <w:t>城乡居民参保</w:t>
      </w:r>
      <w:r>
        <w:rPr>
          <w:rFonts w:hint="default" w:ascii="Times New Roman" w:hAnsi="Times New Roman" w:eastAsia="仿宋_GB2312" w:cs="Times New Roman"/>
          <w:bCs/>
          <w:color w:val="auto"/>
          <w:kern w:val="33"/>
          <w:sz w:val="32"/>
          <w:szCs w:val="32"/>
          <w:lang w:val="en-US" w:eastAsia="zh-CN"/>
        </w:rPr>
        <w:t>14.9</w:t>
      </w:r>
      <w:r>
        <w:rPr>
          <w:rFonts w:hint="default" w:ascii="Times New Roman" w:hAnsi="Times New Roman" w:eastAsia="仿宋_GB2312" w:cs="Times New Roman"/>
          <w:bCs/>
          <w:color w:val="auto"/>
          <w:kern w:val="33"/>
          <w:sz w:val="32"/>
          <w:szCs w:val="32"/>
        </w:rPr>
        <w:t>万余人。</w:t>
      </w:r>
    </w:p>
    <w:p w14:paraId="404CCA83">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仿宋_GB2312" w:cs="Times New Roman"/>
          <w:b/>
          <w:bCs w:val="0"/>
          <w:color w:val="auto"/>
          <w:kern w:val="33"/>
          <w:sz w:val="32"/>
          <w:szCs w:val="32"/>
          <w:lang w:val="en-US" w:eastAsia="zh-CN"/>
        </w:rPr>
      </w:pPr>
      <w:r>
        <w:rPr>
          <w:rFonts w:hint="default" w:ascii="Times New Roman" w:hAnsi="Times New Roman" w:eastAsia="仿宋_GB2312" w:cs="Times New Roman"/>
          <w:b/>
          <w:bCs w:val="0"/>
          <w:color w:val="auto"/>
          <w:kern w:val="33"/>
          <w:sz w:val="32"/>
          <w:szCs w:val="32"/>
          <w:lang w:val="en-US" w:eastAsia="zh-CN"/>
        </w:rPr>
        <w:t>10.全力推进县委、县政府安排的各项任务。</w:t>
      </w:r>
    </w:p>
    <w:p w14:paraId="006A12CA">
      <w:pPr>
        <w:keepNext w:val="0"/>
        <w:keepLines w:val="0"/>
        <w:pageBreakBefore w:val="0"/>
        <w:widowControl w:val="0"/>
        <w:kinsoku/>
        <w:wordWrap/>
        <w:overflowPunct/>
        <w:topLinePunct w:val="0"/>
        <w:autoSpaceDE/>
        <w:autoSpaceDN/>
        <w:bidi w:val="0"/>
        <w:adjustRightInd/>
        <w:snapToGrid/>
        <w:spacing w:line="560" w:lineRule="exact"/>
        <w:ind w:firstLine="660"/>
        <w:jc w:val="both"/>
        <w:textAlignment w:val="auto"/>
        <w:rPr>
          <w:rFonts w:hint="default" w:ascii="Times New Roman" w:hAnsi="Times New Roman" w:eastAsia="楷体_GB2312" w:cs="Times New Roman"/>
          <w:b/>
          <w:bCs/>
          <w:kern w:val="0"/>
          <w:sz w:val="32"/>
          <w:szCs w:val="32"/>
          <w:shd w:val="clear" w:color="auto" w:fill="FFFFFF"/>
          <w:lang w:val="en-US" w:eastAsia="zh-CN"/>
        </w:rPr>
      </w:pPr>
      <w:r>
        <w:rPr>
          <w:rFonts w:hint="default" w:ascii="Times New Roman" w:hAnsi="Times New Roman" w:eastAsia="仿宋_GB2312" w:cs="Times New Roman"/>
          <w:bCs/>
          <w:color w:val="auto"/>
          <w:kern w:val="33"/>
          <w:sz w:val="32"/>
          <w:szCs w:val="32"/>
        </w:rPr>
        <w:t>紧紧围绕县委</w:t>
      </w:r>
      <w:r>
        <w:rPr>
          <w:rFonts w:hint="default" w:ascii="Times New Roman" w:hAnsi="Times New Roman" w:eastAsia="仿宋_GB2312" w:cs="Times New Roman"/>
          <w:bCs/>
          <w:color w:val="auto"/>
          <w:kern w:val="33"/>
          <w:sz w:val="32"/>
          <w:szCs w:val="32"/>
          <w:lang w:eastAsia="zh-CN"/>
        </w:rPr>
        <w:t>、</w:t>
      </w:r>
      <w:r>
        <w:rPr>
          <w:rFonts w:hint="default" w:ascii="Times New Roman" w:hAnsi="Times New Roman" w:eastAsia="仿宋_GB2312" w:cs="Times New Roman"/>
          <w:bCs/>
          <w:color w:val="auto"/>
          <w:kern w:val="33"/>
          <w:sz w:val="32"/>
          <w:szCs w:val="32"/>
        </w:rPr>
        <w:t>县政府中心工作，结合医保职能职责，强化相关部门的沟通协作，加强工作力量的统筹协调，全面完成疫情防控、森林草原防灭火、</w:t>
      </w:r>
      <w:r>
        <w:rPr>
          <w:rFonts w:hint="default" w:ascii="Times New Roman" w:hAnsi="Times New Roman" w:eastAsia="仿宋_GB2312" w:cs="Times New Roman"/>
          <w:bCs/>
          <w:color w:val="auto"/>
          <w:kern w:val="33"/>
          <w:sz w:val="32"/>
          <w:szCs w:val="32"/>
          <w:lang w:val="en-US" w:eastAsia="zh-CN"/>
        </w:rPr>
        <w:t>既有建筑物加装电梯、民族团结、创建文明城市、</w:t>
      </w:r>
      <w:r>
        <w:rPr>
          <w:rFonts w:hint="default" w:ascii="Times New Roman" w:hAnsi="Times New Roman" w:eastAsia="仿宋_GB2312" w:cs="Times New Roman"/>
          <w:bCs/>
          <w:color w:val="auto"/>
          <w:kern w:val="33"/>
          <w:sz w:val="32"/>
          <w:szCs w:val="32"/>
        </w:rPr>
        <w:t>深化改革、法治政府建设、信访维稳等工作任务，充分发挥医疗保障围绕中心、服务大局的重要</w:t>
      </w:r>
      <w:r>
        <w:rPr>
          <w:rFonts w:hint="eastAsia" w:eastAsia="仿宋_GB2312" w:cs="Times New Roman"/>
          <w:bCs/>
          <w:color w:val="auto"/>
          <w:kern w:val="33"/>
          <w:sz w:val="32"/>
          <w:szCs w:val="32"/>
          <w:lang w:eastAsia="zh-CN"/>
        </w:rPr>
        <w:t>作用。</w:t>
      </w:r>
    </w:p>
    <w:p w14:paraId="43280CC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（四）部门整体支出绩效目标。</w:t>
      </w:r>
    </w:p>
    <w:p w14:paraId="2AEB4308">
      <w:pPr>
        <w:pStyle w:val="14"/>
        <w:keepNext w:val="0"/>
        <w:keepLines w:val="0"/>
        <w:pageBreakBefore w:val="0"/>
        <w:kinsoku/>
        <w:wordWrap/>
        <w:overflowPunct/>
        <w:topLinePunct w:val="0"/>
        <w:autoSpaceDE/>
        <w:autoSpaceDN/>
        <w:bidi w:val="0"/>
        <w:spacing w:after="0" w:line="560" w:lineRule="exact"/>
        <w:ind w:left="0" w:leftChars="0" w:firstLine="643" w:firstLineChars="200"/>
        <w:textAlignment w:val="auto"/>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b/>
          <w:bCs/>
          <w:kern w:val="0"/>
          <w:sz w:val="32"/>
          <w:szCs w:val="32"/>
          <w:shd w:val="clear" w:color="auto" w:fill="FFFFFF"/>
          <w:lang w:val="zh-CN" w:eastAsia="zh-CN" w:bidi="ar-SA"/>
        </w:rPr>
        <w:t>1.绩效目标制定。</w:t>
      </w:r>
      <w:r>
        <w:rPr>
          <w:rFonts w:hint="default" w:ascii="Times New Roman" w:hAnsi="Times New Roman" w:eastAsia="仿宋_GB2312" w:cs="Times New Roman"/>
          <w:kern w:val="0"/>
          <w:sz w:val="32"/>
          <w:szCs w:val="32"/>
          <w:shd w:val="clear" w:color="auto" w:fill="FFFFFF"/>
          <w:lang w:val="zh-CN" w:eastAsia="zh-CN" w:bidi="ar-SA"/>
        </w:rPr>
        <w:t>部门预算总体目标包括按时发放工资，保障机关正常运行；完成城乡居民医疗保险和职工医疗保险征收工作；加大医保基金监管力度，保障医保基金安全；保证医保脱贫攻坚成果与乡村振兴战略有效衔接；持续强化新冠疫情防控保障；加强医保经办服务体系建设；完成其他医疗保障事务及县委、县政府交办的其他任务。</w:t>
      </w:r>
    </w:p>
    <w:p w14:paraId="02C79CC8">
      <w:pPr>
        <w:pStyle w:val="14"/>
        <w:keepNext w:val="0"/>
        <w:keepLines w:val="0"/>
        <w:pageBreakBefore w:val="0"/>
        <w:kinsoku/>
        <w:wordWrap/>
        <w:overflowPunct/>
        <w:topLinePunct w:val="0"/>
        <w:autoSpaceDE/>
        <w:autoSpaceDN/>
        <w:bidi w:val="0"/>
        <w:spacing w:after="0" w:line="560" w:lineRule="exact"/>
        <w:ind w:left="0" w:leftChars="0" w:firstLine="643" w:firstLineChars="200"/>
        <w:textAlignment w:val="auto"/>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b/>
          <w:bCs/>
          <w:kern w:val="0"/>
          <w:sz w:val="32"/>
          <w:szCs w:val="32"/>
          <w:shd w:val="clear" w:color="auto" w:fill="FFFFFF"/>
          <w:lang w:val="zh-CN" w:eastAsia="zh-CN" w:bidi="ar-SA"/>
        </w:rPr>
        <w:t>2.目标实现情况。</w:t>
      </w:r>
      <w:r>
        <w:rPr>
          <w:rFonts w:hint="default" w:ascii="Times New Roman" w:hAnsi="Times New Roman" w:eastAsia="仿宋_GB2312" w:cs="Times New Roman"/>
          <w:kern w:val="0"/>
          <w:sz w:val="32"/>
          <w:szCs w:val="32"/>
          <w:shd w:val="clear" w:color="auto" w:fill="FFFFFF"/>
          <w:lang w:val="zh-CN" w:eastAsia="zh-CN" w:bidi="ar-SA"/>
        </w:rPr>
        <w:t>人员类：每月按时发放职工工资及相关待遇。全年实现支出300.41万元，及时、足额保障了全体员工的工资、奖金、社会保险缴费、医疗保险缴费、住房公积金缴纳等基本支出，全面完成年初制定的预算绩效目标。运转类：为履行职能、维持机关日常运转，全年实现支出30.67万元，全面完成年初公用经费预算绩效目标。特定目标类：全年项目实现支出628.06万元，包括6个项目。医疗救助项目支出607.27万元，其中中央资金376.76万元，省级资金80.51万元，县级资金150万元。完成对23854名困难群众进行资助参保，门诊、住院救助人次数达到9550人次，有效缓解困难群众医疗费用负担，健全医疗保障体系；欺诈骗保举报奖励金项目支出0.1万元，完成欺诈骗保案件举报奖励1例，切实保障医保基金安全；基层医疗机构业务网络通信费项目支出1.06万元，完成支付了7家村卫生室的医保专网系统网络通信费，保障村卫生室医保就医结算业务正常办理，解决偏远地区老百姓普通门诊医疗费用报销问题；正县级领导干部享受上一级非领导职务医疗待遇补助资金项目支出0.84万元，完成3名厅级干部医疗费报销，保障其医疗待遇；离休干部医疗费项目支出12.39万元，完成3名离休干部医疗费报销，保障其医疗待遇；建国初期参加革命工作部分退休干部医疗补助金项目支出6.4万元，完成16名退休干部医保个人账户及时上账，保障其医疗待遇。</w:t>
      </w:r>
    </w:p>
    <w:p w14:paraId="5A7C33A8">
      <w:pPr>
        <w:pStyle w:val="14"/>
        <w:keepNext w:val="0"/>
        <w:keepLines w:val="0"/>
        <w:pageBreakBefore w:val="0"/>
        <w:kinsoku/>
        <w:wordWrap/>
        <w:overflowPunct/>
        <w:topLinePunct w:val="0"/>
        <w:autoSpaceDE/>
        <w:autoSpaceDN/>
        <w:bidi w:val="0"/>
        <w:spacing w:after="0" w:line="560" w:lineRule="exact"/>
        <w:ind w:left="0" w:leftChars="0" w:firstLine="643" w:firstLineChars="200"/>
        <w:textAlignment w:val="auto"/>
        <w:rPr>
          <w:rFonts w:hint="default" w:ascii="Times New Roman" w:hAnsi="Times New Roman" w:eastAsia="仿宋_GB2312" w:cs="Times New Roman"/>
          <w:kern w:val="0"/>
          <w:sz w:val="32"/>
          <w:szCs w:val="32"/>
          <w:shd w:val="clear" w:color="auto" w:fill="FFFFFF"/>
          <w:lang w:val="zh-CN" w:eastAsia="zh-CN" w:bidi="ar-SA"/>
        </w:rPr>
      </w:pPr>
      <w:r>
        <w:rPr>
          <w:rFonts w:hint="default" w:ascii="Times New Roman" w:hAnsi="Times New Roman" w:eastAsia="仿宋_GB2312" w:cs="Times New Roman"/>
          <w:b/>
          <w:bCs/>
          <w:kern w:val="0"/>
          <w:sz w:val="32"/>
          <w:szCs w:val="32"/>
          <w:shd w:val="clear" w:color="auto" w:fill="FFFFFF"/>
          <w:lang w:val="zh-CN" w:eastAsia="zh-CN" w:bidi="ar-SA"/>
        </w:rPr>
        <w:t>3.其他情况。</w:t>
      </w:r>
      <w:r>
        <w:rPr>
          <w:rFonts w:hint="default" w:ascii="Times New Roman" w:hAnsi="Times New Roman" w:eastAsia="仿宋_GB2312" w:cs="Times New Roman"/>
          <w:kern w:val="0"/>
          <w:sz w:val="32"/>
          <w:szCs w:val="32"/>
          <w:shd w:val="clear" w:color="auto" w:fill="FFFFFF"/>
          <w:lang w:val="zh-CN" w:eastAsia="zh-CN" w:bidi="ar-SA"/>
        </w:rPr>
        <w:t>支出控制在预算指标内，预算完成情况良好，严格按照财政相关规定，对财政各项资金加强监督管理，确保资金及时、足额到位，专款专用；定期按规定对财政拨付的专项资金进行自查，做好资金使用效益管理工作，充分发挥各项资金的使用效益；在项目实施过程中，严格按照专项资金管理办法和各项财务管理制度执行，项目审批流程齐全、附件资料完整，资金拨付合法合规，会计核算及时，资金使用无截留、挤占、挪用、虚列支出等情况。</w:t>
      </w:r>
    </w:p>
    <w:p w14:paraId="214E092B">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黑体" w:cs="Times New Roman"/>
          <w:kern w:val="0"/>
          <w:sz w:val="32"/>
          <w:szCs w:val="32"/>
          <w:shd w:val="clear" w:color="auto" w:fill="FFFFFF"/>
        </w:rPr>
      </w:pPr>
      <w:r>
        <w:rPr>
          <w:rFonts w:hint="default" w:ascii="Times New Roman" w:hAnsi="Times New Roman" w:eastAsia="黑体" w:cs="Times New Roman"/>
          <w:kern w:val="0"/>
          <w:sz w:val="32"/>
          <w:szCs w:val="32"/>
          <w:shd w:val="clear" w:color="auto" w:fill="FFFFFF"/>
        </w:rPr>
        <w:t>二、部门资金收支情况</w:t>
      </w:r>
    </w:p>
    <w:p w14:paraId="0E53269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（一）部门总体收支情况。</w:t>
      </w:r>
    </w:p>
    <w:p w14:paraId="2678BA9A">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1.部门总体收入情况</w:t>
      </w:r>
      <w:r>
        <w:rPr>
          <w:rFonts w:hint="default" w:ascii="Times New Roman" w:hAnsi="Times New Roman" w:eastAsia="仿宋_GB2312" w:cs="Times New Roman"/>
          <w:b/>
          <w:bCs/>
          <w:kern w:val="0"/>
          <w:sz w:val="32"/>
          <w:szCs w:val="32"/>
          <w:shd w:val="clear" w:color="auto" w:fill="FFFFFF"/>
          <w:lang w:eastAsia="zh-CN"/>
        </w:rPr>
        <w:t>。</w:t>
      </w:r>
    </w:p>
    <w:p w14:paraId="625ACA31">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年部门收入</w:t>
      </w:r>
      <w:r>
        <w:rPr>
          <w:rFonts w:hint="default" w:ascii="Times New Roman" w:hAnsi="Times New Roman" w:cs="Times New Roman"/>
          <w:sz w:val="32"/>
          <w:szCs w:val="32"/>
          <w:lang w:val="en-US" w:eastAsia="zh-CN"/>
        </w:rPr>
        <w:t>959.14</w:t>
      </w:r>
      <w:r>
        <w:rPr>
          <w:rFonts w:hint="default" w:ascii="Times New Roman" w:hAnsi="Times New Roman" w:eastAsia="仿宋_GB2312" w:cs="Times New Roman"/>
          <w:sz w:val="32"/>
          <w:szCs w:val="32"/>
          <w:lang w:val="en-US" w:eastAsia="zh-CN"/>
        </w:rPr>
        <w:t>万元。</w:t>
      </w:r>
    </w:p>
    <w:p w14:paraId="691CAE29">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2.部门总体支出情况</w:t>
      </w:r>
      <w:r>
        <w:rPr>
          <w:rFonts w:hint="default" w:ascii="Times New Roman" w:hAnsi="Times New Roman" w:eastAsia="仿宋_GB2312" w:cs="Times New Roman"/>
          <w:b/>
          <w:bCs/>
          <w:kern w:val="0"/>
          <w:sz w:val="32"/>
          <w:szCs w:val="32"/>
          <w:shd w:val="clear" w:color="auto" w:fill="FFFFFF"/>
          <w:lang w:eastAsia="zh-CN"/>
        </w:rPr>
        <w:t>。</w:t>
      </w:r>
    </w:p>
    <w:p w14:paraId="7534E57C">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年部门支出</w:t>
      </w:r>
      <w:r>
        <w:rPr>
          <w:rFonts w:hint="default" w:ascii="Times New Roman" w:hAnsi="Times New Roman" w:cs="Times New Roman"/>
          <w:sz w:val="32"/>
          <w:szCs w:val="32"/>
          <w:lang w:val="en-US" w:eastAsia="zh-CN"/>
        </w:rPr>
        <w:t>959.14</w:t>
      </w:r>
      <w:r>
        <w:rPr>
          <w:rFonts w:hint="default" w:ascii="Times New Roman" w:hAnsi="Times New Roman" w:eastAsia="仿宋_GB2312" w:cs="Times New Roman"/>
          <w:sz w:val="32"/>
          <w:szCs w:val="32"/>
          <w:lang w:val="en-US" w:eastAsia="zh-CN"/>
        </w:rPr>
        <w:t>万元。基本支出</w:t>
      </w:r>
      <w:r>
        <w:rPr>
          <w:rFonts w:hint="default" w:ascii="Times New Roman" w:hAnsi="Times New Roman" w:cs="Times New Roman"/>
          <w:sz w:val="32"/>
          <w:szCs w:val="32"/>
          <w:lang w:val="en-US" w:eastAsia="zh-CN"/>
        </w:rPr>
        <w:t>331.08</w:t>
      </w:r>
      <w:r>
        <w:rPr>
          <w:rFonts w:hint="default" w:ascii="Times New Roman" w:hAnsi="Times New Roman" w:eastAsia="仿宋_GB2312" w:cs="Times New Roman"/>
          <w:sz w:val="32"/>
          <w:szCs w:val="32"/>
          <w:lang w:val="en-US" w:eastAsia="zh-CN"/>
        </w:rPr>
        <w:t>万元，其中人员经费支出</w:t>
      </w:r>
      <w:r>
        <w:rPr>
          <w:rFonts w:hint="default" w:ascii="Times New Roman" w:hAnsi="Times New Roman" w:cs="Times New Roman"/>
          <w:sz w:val="32"/>
          <w:szCs w:val="32"/>
          <w:lang w:val="en-US" w:eastAsia="zh-CN"/>
        </w:rPr>
        <w:t>300.41</w:t>
      </w:r>
      <w:r>
        <w:rPr>
          <w:rFonts w:hint="default" w:ascii="Times New Roman" w:hAnsi="Times New Roman" w:eastAsia="仿宋_GB2312" w:cs="Times New Roman"/>
          <w:sz w:val="32"/>
          <w:szCs w:val="32"/>
          <w:lang w:val="en-US" w:eastAsia="zh-CN"/>
        </w:rPr>
        <w:t>万元，公用经费支出</w:t>
      </w:r>
      <w:r>
        <w:rPr>
          <w:rFonts w:hint="default" w:ascii="Times New Roman" w:hAnsi="Times New Roman" w:cs="Times New Roman"/>
          <w:sz w:val="32"/>
          <w:szCs w:val="32"/>
          <w:lang w:val="en-US" w:eastAsia="zh-CN"/>
        </w:rPr>
        <w:t>30.67</w:t>
      </w:r>
      <w:r>
        <w:rPr>
          <w:rFonts w:hint="default" w:ascii="Times New Roman" w:hAnsi="Times New Roman" w:eastAsia="仿宋_GB2312" w:cs="Times New Roman"/>
          <w:sz w:val="32"/>
          <w:szCs w:val="32"/>
          <w:lang w:val="en-US" w:eastAsia="zh-CN"/>
        </w:rPr>
        <w:t>万元；项目支出</w:t>
      </w:r>
      <w:r>
        <w:rPr>
          <w:rFonts w:hint="default" w:ascii="Times New Roman" w:hAnsi="Times New Roman" w:cs="Times New Roman"/>
          <w:sz w:val="32"/>
          <w:szCs w:val="32"/>
          <w:lang w:val="en-US" w:eastAsia="zh-CN"/>
        </w:rPr>
        <w:t>628.06</w:t>
      </w:r>
      <w:r>
        <w:rPr>
          <w:rFonts w:hint="default" w:ascii="Times New Roman" w:hAnsi="Times New Roman" w:eastAsia="仿宋_GB2312" w:cs="Times New Roman"/>
          <w:sz w:val="32"/>
          <w:szCs w:val="32"/>
          <w:lang w:val="en-US" w:eastAsia="zh-CN"/>
        </w:rPr>
        <w:t>万元。</w:t>
      </w:r>
    </w:p>
    <w:p w14:paraId="247B1460">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3.部门总体结转结余情况</w:t>
      </w:r>
      <w:r>
        <w:rPr>
          <w:rFonts w:hint="default" w:ascii="Times New Roman" w:hAnsi="Times New Roman" w:eastAsia="仿宋_GB2312" w:cs="Times New Roman"/>
          <w:b/>
          <w:bCs/>
          <w:kern w:val="0"/>
          <w:sz w:val="32"/>
          <w:szCs w:val="32"/>
          <w:shd w:val="clear" w:color="auto" w:fill="FFFFFF"/>
          <w:lang w:eastAsia="zh-CN"/>
        </w:rPr>
        <w:t>。</w:t>
      </w:r>
    </w:p>
    <w:p w14:paraId="4EC91D9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en-US" w:eastAsia="zh-CN"/>
        </w:rPr>
        <w:t>2022年无结转结余资金。</w:t>
      </w:r>
    </w:p>
    <w:p w14:paraId="0B161C5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（二）部门财政拨款收支情况。</w:t>
      </w:r>
    </w:p>
    <w:p w14:paraId="6311DC83">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1.部门财政拨款收入情况</w:t>
      </w:r>
      <w:r>
        <w:rPr>
          <w:rFonts w:hint="default" w:ascii="Times New Roman" w:hAnsi="Times New Roman" w:eastAsia="仿宋_GB2312" w:cs="Times New Roman"/>
          <w:b/>
          <w:bCs/>
          <w:kern w:val="0"/>
          <w:sz w:val="32"/>
          <w:szCs w:val="32"/>
          <w:shd w:val="clear" w:color="auto" w:fill="FFFFFF"/>
          <w:lang w:eastAsia="zh-CN"/>
        </w:rPr>
        <w:t>。</w:t>
      </w:r>
    </w:p>
    <w:p w14:paraId="79ABEB14">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年财政拨款收入</w:t>
      </w:r>
      <w:r>
        <w:rPr>
          <w:rFonts w:hint="default" w:ascii="Times New Roman" w:hAnsi="Times New Roman" w:cs="Times New Roman"/>
          <w:sz w:val="32"/>
          <w:szCs w:val="32"/>
          <w:lang w:val="en-US" w:eastAsia="zh-CN"/>
        </w:rPr>
        <w:t>959.14</w:t>
      </w:r>
      <w:r>
        <w:rPr>
          <w:rFonts w:hint="default" w:ascii="Times New Roman" w:hAnsi="Times New Roman" w:eastAsia="仿宋_GB2312" w:cs="Times New Roman"/>
          <w:sz w:val="32"/>
          <w:szCs w:val="32"/>
          <w:lang w:val="en-US" w:eastAsia="zh-CN"/>
        </w:rPr>
        <w:t>万元。</w:t>
      </w:r>
    </w:p>
    <w:p w14:paraId="3A2CF8F0">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2.部门财政拨款支出情况</w:t>
      </w:r>
      <w:r>
        <w:rPr>
          <w:rFonts w:hint="default" w:ascii="Times New Roman" w:hAnsi="Times New Roman" w:eastAsia="仿宋_GB2312" w:cs="Times New Roman"/>
          <w:b/>
          <w:bCs/>
          <w:kern w:val="0"/>
          <w:sz w:val="32"/>
          <w:szCs w:val="32"/>
          <w:shd w:val="clear" w:color="auto" w:fill="FFFFFF"/>
          <w:lang w:eastAsia="zh-CN"/>
        </w:rPr>
        <w:t>。</w:t>
      </w:r>
    </w:p>
    <w:p w14:paraId="341B129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sz w:val="32"/>
          <w:szCs w:val="32"/>
          <w:lang w:val="en-US" w:eastAsia="zh-CN"/>
        </w:rPr>
        <w:t>202</w:t>
      </w:r>
      <w:r>
        <w:rPr>
          <w:rFonts w:hint="default" w:ascii="Times New Roman" w:hAnsi="Times New Roman" w:cs="Times New Roman"/>
          <w:sz w:val="32"/>
          <w:szCs w:val="32"/>
          <w:lang w:val="en-US" w:eastAsia="zh-CN"/>
        </w:rPr>
        <w:t>2</w:t>
      </w:r>
      <w:r>
        <w:rPr>
          <w:rFonts w:hint="default" w:ascii="Times New Roman" w:hAnsi="Times New Roman" w:eastAsia="仿宋_GB2312" w:cs="Times New Roman"/>
          <w:sz w:val="32"/>
          <w:szCs w:val="32"/>
          <w:lang w:val="en-US" w:eastAsia="zh-CN"/>
        </w:rPr>
        <w:t>年财政拨款支出</w:t>
      </w:r>
      <w:r>
        <w:rPr>
          <w:rFonts w:hint="default" w:ascii="Times New Roman" w:hAnsi="Times New Roman" w:cs="Times New Roman"/>
          <w:sz w:val="32"/>
          <w:szCs w:val="32"/>
          <w:lang w:val="en-US" w:eastAsia="zh-CN"/>
        </w:rPr>
        <w:t>959.14</w:t>
      </w:r>
      <w:r>
        <w:rPr>
          <w:rFonts w:hint="default" w:ascii="Times New Roman" w:hAnsi="Times New Roman" w:eastAsia="仿宋_GB2312" w:cs="Times New Roman"/>
          <w:sz w:val="32"/>
          <w:szCs w:val="32"/>
          <w:lang w:val="en-US" w:eastAsia="zh-CN"/>
        </w:rPr>
        <w:t>万元。</w:t>
      </w:r>
    </w:p>
    <w:p w14:paraId="57EDE48E">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rPr>
        <w:t>3.部门财政拨款结转结余情况</w:t>
      </w:r>
      <w:r>
        <w:rPr>
          <w:rFonts w:hint="default" w:ascii="Times New Roman" w:hAnsi="Times New Roman" w:eastAsia="仿宋_GB2312" w:cs="Times New Roman"/>
          <w:b/>
          <w:bCs/>
          <w:kern w:val="0"/>
          <w:sz w:val="32"/>
          <w:szCs w:val="32"/>
          <w:shd w:val="clear" w:color="auto" w:fill="FFFFFF"/>
          <w:lang w:eastAsia="zh-CN"/>
        </w:rPr>
        <w:t>。</w:t>
      </w:r>
    </w:p>
    <w:p w14:paraId="1524CDA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lang w:val="en-US" w:eastAsia="zh-CN"/>
        </w:rPr>
        <w:t>2022年无财政拨款结转结余资金。</w:t>
      </w:r>
    </w:p>
    <w:p w14:paraId="5AA4CED0">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黑体" w:cs="Times New Roman"/>
          <w:color w:val="FF0000"/>
          <w:kern w:val="0"/>
          <w:sz w:val="32"/>
          <w:szCs w:val="32"/>
          <w:shd w:val="clear" w:color="auto" w:fill="FFFFFF"/>
        </w:rPr>
      </w:pPr>
      <w:r>
        <w:rPr>
          <w:rFonts w:hint="default" w:ascii="Times New Roman" w:hAnsi="Times New Roman" w:eastAsia="黑体" w:cs="Times New Roman"/>
          <w:kern w:val="0"/>
          <w:sz w:val="32"/>
          <w:szCs w:val="32"/>
          <w:shd w:val="clear" w:color="auto" w:fill="FFFFFF"/>
        </w:rPr>
        <w:t>三、部门整体绩效分析</w:t>
      </w:r>
    </w:p>
    <w:p w14:paraId="2E7909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（一）部门预算项目绩效分析。</w:t>
      </w:r>
    </w:p>
    <w:p w14:paraId="4873D8B0">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color w:val="FF0000"/>
          <w:kern w:val="0"/>
          <w:sz w:val="32"/>
          <w:szCs w:val="32"/>
          <w:shd w:val="clear" w:color="auto" w:fill="FFFFFF"/>
          <w:lang w:val="zh-CN" w:eastAsia="zh-CN"/>
        </w:rPr>
      </w:pPr>
      <w:r>
        <w:rPr>
          <w:rFonts w:hint="default" w:ascii="Times New Roman" w:hAnsi="Times New Roman" w:eastAsia="仿宋_GB2312" w:cs="Times New Roman"/>
          <w:b/>
          <w:bCs/>
          <w:kern w:val="0"/>
          <w:sz w:val="32"/>
          <w:szCs w:val="32"/>
          <w:shd w:val="clear" w:color="auto" w:fill="FFFFFF"/>
        </w:rPr>
        <w:t>1.人员类项目绩效分析</w:t>
      </w:r>
      <w:r>
        <w:rPr>
          <w:rFonts w:hint="default" w:ascii="Times New Roman" w:hAnsi="Times New Roman" w:eastAsia="仿宋_GB2312" w:cs="Times New Roman"/>
          <w:b/>
          <w:bCs/>
          <w:kern w:val="0"/>
          <w:sz w:val="32"/>
          <w:szCs w:val="32"/>
          <w:shd w:val="clear" w:color="auto" w:fill="FFFFFF"/>
          <w:lang w:eastAsia="zh-CN"/>
        </w:rPr>
        <w:t>。</w:t>
      </w:r>
    </w:p>
    <w:p w14:paraId="39869F78">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color w:val="auto"/>
          <w:kern w:val="0"/>
          <w:sz w:val="32"/>
          <w:szCs w:val="32"/>
          <w:shd w:val="clear" w:color="auto" w:fill="FFFFFF"/>
          <w:lang w:val="en-US" w:eastAsia="zh-CN"/>
        </w:rPr>
        <w:t>人员类项目资金主要包括人员工资、养老保险、医疗保险、住房公积金等人员经费。绩效目标主要是保障人员经费按时发放、足额缴纳。预算支出规范，无超预算的现象，严格按照审批资金支付，执行进度达100%；项目预算编制完整，无未纳入预算的支出；预算支出控制率高；预算动态调整依规定执行；预算目标完成预期；无资金结余和违规记录。</w:t>
      </w:r>
    </w:p>
    <w:p w14:paraId="46F6CC1C">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color w:val="000000" w:themeColor="text1"/>
          <w:kern w:val="0"/>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shd w:val="clear" w:color="auto" w:fill="FFFFFF"/>
          <w14:textFill>
            <w14:solidFill>
              <w14:schemeClr w14:val="tx1"/>
            </w14:solidFill>
          </w14:textFill>
        </w:rPr>
        <w:t>2.运转类项目绩效分析</w:t>
      </w:r>
      <w:r>
        <w:rPr>
          <w:rFonts w:hint="default" w:ascii="Times New Roman" w:hAnsi="Times New Roman" w:eastAsia="仿宋_GB2312" w:cs="Times New Roman"/>
          <w:b/>
          <w:bCs/>
          <w:color w:val="000000" w:themeColor="text1"/>
          <w:kern w:val="0"/>
          <w:sz w:val="32"/>
          <w:szCs w:val="32"/>
          <w:shd w:val="clear" w:color="auto" w:fill="FFFFFF"/>
          <w:lang w:eastAsia="zh-CN"/>
          <w14:textFill>
            <w14:solidFill>
              <w14:schemeClr w14:val="tx1"/>
            </w14:solidFill>
          </w14:textFill>
        </w:rPr>
        <w:t>。</w:t>
      </w:r>
    </w:p>
    <w:p w14:paraId="359105D3">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t>运转类项目资金主要包括办公费、水费、电费、邮电费、差旅费、公务接待费等公用经费。</w:t>
      </w:r>
      <w:r>
        <w:rPr>
          <w:rFonts w:hint="default" w:ascii="Times New Roman" w:hAnsi="Times New Roman" w:eastAsia="仿宋_GB2312" w:cs="Times New Roman"/>
          <w:color w:val="auto"/>
          <w:kern w:val="0"/>
          <w:sz w:val="32"/>
          <w:szCs w:val="32"/>
          <w:shd w:val="clear" w:color="auto" w:fill="FFFFFF"/>
          <w:lang w:val="en-US" w:eastAsia="zh-CN"/>
        </w:rPr>
        <w:t>绩效目标主要是保障机关正常运行。预算支出规范，无超预算的现象，严格按照审批资金支付，执行进度达100%；项目预算编制完整，无未纳入预算的支出；预算支出控制率高；预算动态调整依规定执行；预算目标完成预期；无资金结余和违规记录。</w:t>
      </w:r>
    </w:p>
    <w:p w14:paraId="60FEFBF2">
      <w:pPr>
        <w:keepNext w:val="0"/>
        <w:keepLines w:val="0"/>
        <w:pageBreakBefore w:val="0"/>
        <w:widowControl/>
        <w:kinsoku/>
        <w:wordWrap/>
        <w:overflowPunct/>
        <w:topLinePunct w:val="0"/>
        <w:autoSpaceDE/>
        <w:autoSpaceDN/>
        <w:bidi w:val="0"/>
        <w:adjustRightInd w:val="0"/>
        <w:snapToGrid w:val="0"/>
        <w:spacing w:line="560" w:lineRule="exact"/>
        <w:ind w:firstLine="643" w:firstLineChars="200"/>
        <w:contextualSpacing/>
        <w:jc w:val="left"/>
        <w:textAlignment w:val="auto"/>
        <w:rPr>
          <w:rFonts w:hint="default" w:ascii="Times New Roman" w:hAnsi="Times New Roman" w:eastAsia="仿宋_GB2312" w:cs="Times New Roman"/>
          <w:b/>
          <w:bCs/>
          <w:color w:val="000000" w:themeColor="text1"/>
          <w:kern w:val="0"/>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shd w:val="clear" w:color="auto" w:fill="FFFFFF"/>
          <w14:textFill>
            <w14:solidFill>
              <w14:schemeClr w14:val="tx1"/>
            </w14:solidFill>
          </w14:textFill>
        </w:rPr>
        <w:t>3.特定目标类项目绩效分析</w:t>
      </w:r>
      <w:r>
        <w:rPr>
          <w:rFonts w:hint="default" w:ascii="Times New Roman" w:hAnsi="Times New Roman" w:eastAsia="仿宋_GB2312" w:cs="Times New Roman"/>
          <w:b/>
          <w:bCs/>
          <w:color w:val="000000" w:themeColor="text1"/>
          <w:kern w:val="0"/>
          <w:sz w:val="32"/>
          <w:szCs w:val="32"/>
          <w:shd w:val="clear" w:color="auto" w:fill="FFFFFF"/>
          <w:lang w:eastAsia="zh-CN"/>
          <w14:textFill>
            <w14:solidFill>
              <w14:schemeClr w14:val="tx1"/>
            </w14:solidFill>
          </w14:textFill>
        </w:rPr>
        <w:t>。</w:t>
      </w:r>
    </w:p>
    <w:p w14:paraId="41ED89A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eastAsia="zh-CN"/>
          <w14:textFill>
            <w14:solidFill>
              <w14:schemeClr w14:val="tx1"/>
            </w14:solidFill>
          </w14:textFill>
        </w:rPr>
        <w:t>特定目标类项目资金主要包括医疗救助资金、离休干部医疗费等项目经费。</w:t>
      </w:r>
      <w:r>
        <w:rPr>
          <w:rFonts w:hint="default" w:ascii="Times New Roman" w:hAnsi="Times New Roman" w:eastAsia="仿宋_GB2312" w:cs="Times New Roman"/>
          <w:color w:val="auto"/>
          <w:kern w:val="0"/>
          <w:sz w:val="32"/>
          <w:szCs w:val="32"/>
          <w:shd w:val="clear" w:color="auto" w:fill="FFFFFF"/>
          <w:lang w:val="en-US" w:eastAsia="zh-CN"/>
        </w:rPr>
        <w:t>绩效目标主要是根据各个项目的实施进度，按时支付资金，保障各个项目正常开展。预算支出规范，无超预算的现象，严格按照审批资金支付，执行进度达100%；项目资金预算办法科学，考虑的因素必要合理，无超预算的现象；预算支出控制率高；预算动态调整依规定执行；预算目标完成预期；无资金结余和违规记录。</w:t>
      </w:r>
    </w:p>
    <w:p w14:paraId="2E68DEC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（二）部门整体履职绩效分析。</w:t>
      </w:r>
    </w:p>
    <w:p w14:paraId="5E01FABA">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t>部门整体绩效目标完成情况很好。根据应保尽保原则，推动各类人群全面参保，确保完成上级任务；抓好异地就医直接结算各项工作落实，加强定点医药机构执行协议管理，持续推进医保支付方式改革；加强监督管理，规范医疗机构采购行为，做好国家和省集中带量采购药品、耗材的落地执行；深入推进医保领域“放管服”改革，不断加强基层医保经办公共服务扁平化、高效化管理，全面提升医保服务水平，保障参保人员待遇问题；深入开展医保专项治理、基金监管抽查复查等行动，营造维护医保基金安全的社会合力，维护医保基金安全；紧紧围绕县委、县政府中心工作，完成各项任务。</w:t>
      </w:r>
    </w:p>
    <w:p w14:paraId="1792B2D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outlineLvl w:val="2"/>
        <w:rPr>
          <w:rFonts w:hint="default" w:ascii="Times New Roman" w:hAnsi="Times New Roman" w:eastAsia="楷体_GB2312" w:cs="Times New Roman"/>
          <w:b w:val="0"/>
          <w:bCs/>
          <w:sz w:val="32"/>
          <w:szCs w:val="32"/>
          <w:lang w:val="zh-CN"/>
        </w:rPr>
      </w:pPr>
      <w:r>
        <w:rPr>
          <w:rFonts w:hint="default" w:ascii="Times New Roman" w:hAnsi="Times New Roman" w:eastAsia="楷体_GB2312" w:cs="Times New Roman"/>
          <w:b w:val="0"/>
          <w:bCs/>
          <w:sz w:val="32"/>
          <w:szCs w:val="32"/>
          <w:lang w:val="zh-CN"/>
        </w:rPr>
        <w:t>（三）结果应用情况。</w:t>
      </w:r>
    </w:p>
    <w:p w14:paraId="1B84276F">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color w:val="000000" w:themeColor="text1"/>
          <w:kern w:val="0"/>
          <w:sz w:val="32"/>
          <w:szCs w:val="32"/>
          <w:shd w:val="clear" w:color="auto" w:fill="FFFFFF"/>
          <w:lang w:val="zh-CN" w:eastAsia="zh-CN"/>
          <w14:textFill>
            <w14:solidFill>
              <w14:schemeClr w14:val="tx1"/>
            </w14:solidFill>
          </w14:textFill>
        </w:rPr>
        <w:t>年初预算制定部门预算整体绩效目标，项目绩效目标。具体实施过程中对照绩效目标，核对是否完成，对有偏离的及时修改。项目完成后对项目开展自评工作，并按要求在统一政府网站向社会公开。评价结果的运用是判断评价工作能否取得成效的主要依据，也是保证这项工作持续、深入发展的基本前提。财政绩效评价还是加强财政支出管理、合理配置公共资源、优化财政支出结构、提高资金使用效益的重要手段。应高度重视绩效评价工作，提高评价质量，应用于平时资金支付过程中。</w:t>
      </w:r>
    </w:p>
    <w:p w14:paraId="1B6A7722">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楷体_GB2312" w:cs="Times New Roman"/>
          <w:b w:val="0"/>
          <w:bCs w:val="0"/>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（四）</w:t>
      </w:r>
      <w:r>
        <w:rPr>
          <w:rFonts w:hint="default" w:ascii="Times New Roman" w:hAnsi="Times New Roman" w:eastAsia="楷体_GB2312" w:cs="Times New Roman"/>
          <w:b w:val="0"/>
          <w:bCs w:val="0"/>
          <w:color w:val="000000" w:themeColor="text1"/>
          <w:kern w:val="0"/>
          <w:sz w:val="32"/>
          <w:szCs w:val="32"/>
          <w:shd w:val="clear" w:color="auto" w:fill="FFFFFF"/>
          <w:lang w:val="zh-CN"/>
          <w14:textFill>
            <w14:solidFill>
              <w14:schemeClr w14:val="tx1"/>
            </w14:solidFill>
          </w14:textFill>
        </w:rPr>
        <w:t>自评质量。</w:t>
      </w:r>
    </w:p>
    <w:p w14:paraId="4750C18A">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本单位已按照本级财政要求强化绩效管理理念，秉承客观公正、实事求是的原则开展了单位自评工作。安排项目经办人实施，相关人员监督，做到严格审核，落实项目实施运行及资金使用情况，及时开展、报送绩效自评相关材料。抓好绩效目标编制，加强过程监控，深入开展财政支出绩效评价，强化评价结果应用，组织绩效自评和绩效跟踪监控，对发现的问题及时反馈并要求改进，加强评价结果与项目资金安排的衔接。强化日常监管，确保资金使用效益。</w:t>
      </w:r>
    </w:p>
    <w:p w14:paraId="009CBDFD">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pPr>
      <w:r>
        <w:rPr>
          <w:rFonts w:hint="default" w:ascii="Times New Roman" w:hAnsi="Times New Roman" w:eastAsia="黑体" w:cs="Times New Roman"/>
          <w:color w:val="000000" w:themeColor="text1"/>
          <w:kern w:val="0"/>
          <w:sz w:val="32"/>
          <w:szCs w:val="32"/>
          <w:shd w:val="clear" w:color="auto" w:fill="FFFFFF"/>
          <w14:textFill>
            <w14:solidFill>
              <w14:schemeClr w14:val="tx1"/>
            </w14:solidFill>
          </w14:textFill>
        </w:rPr>
        <w:t>四、评价结论及建议</w:t>
      </w:r>
    </w:p>
    <w:p w14:paraId="2C3F1BC9">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（一）评价结论。</w:t>
      </w:r>
    </w:p>
    <w:p w14:paraId="5DC04A2A">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楷体_GB2312" w:cs="Times New Roman"/>
          <w:b/>
          <w:bCs/>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sz w:val="32"/>
          <w:szCs w:val="32"/>
        </w:rPr>
        <w:t>部门预算编制规范、准确，各项经费足额纳入预算安排，确保了部门正常运转和专项工作的顺利开展，较好</w:t>
      </w:r>
      <w:r>
        <w:rPr>
          <w:rFonts w:hint="eastAsia" w:eastAsia="仿宋_GB2312" w:cs="Times New Roman"/>
          <w:sz w:val="32"/>
          <w:szCs w:val="32"/>
          <w:lang w:eastAsia="zh-CN"/>
        </w:rPr>
        <w:t>地</w:t>
      </w:r>
      <w:r>
        <w:rPr>
          <w:rFonts w:hint="default" w:ascii="Times New Roman" w:hAnsi="Times New Roman" w:eastAsia="仿宋_GB2312" w:cs="Times New Roman"/>
          <w:sz w:val="32"/>
          <w:szCs w:val="32"/>
        </w:rPr>
        <w:t>完成年初绩效目标任务</w:t>
      </w:r>
      <w:r>
        <w:rPr>
          <w:rFonts w:hint="default" w:ascii="Times New Roman" w:hAnsi="Times New Roman" w:eastAsia="仿宋_GB2312" w:cs="Times New Roman"/>
          <w:sz w:val="32"/>
          <w:szCs w:val="32"/>
          <w:lang w:eastAsia="zh-CN"/>
        </w:rPr>
        <w:t>。经自我评价，项目资金申报与实际相符。资金支付及时，不存在截留、挪用专项资金的违</w:t>
      </w:r>
      <w:r>
        <w:rPr>
          <w:rFonts w:hint="default" w:ascii="Times New Roman" w:hAnsi="Times New Roman" w:eastAsia="仿宋_GB2312" w:cs="Times New Roman"/>
          <w:color w:val="auto"/>
          <w:sz w:val="32"/>
          <w:szCs w:val="32"/>
          <w:lang w:eastAsia="zh-CN"/>
        </w:rPr>
        <w:t>规情况</w:t>
      </w:r>
      <w:r>
        <w:rPr>
          <w:rFonts w:hint="default" w:ascii="Times New Roman" w:hAnsi="Times New Roman" w:cs="Times New Roman"/>
          <w:color w:val="auto"/>
          <w:sz w:val="32"/>
          <w:szCs w:val="32"/>
          <w:lang w:eastAsia="zh-CN"/>
        </w:rPr>
        <w:t>。</w:t>
      </w:r>
      <w:r>
        <w:rPr>
          <w:rFonts w:hint="default" w:ascii="Times New Roman" w:hAnsi="Times New Roman" w:eastAsia="仿宋_GB2312" w:cs="Times New Roman"/>
          <w:color w:val="auto"/>
          <w:sz w:val="32"/>
          <w:szCs w:val="32"/>
          <w:lang w:eastAsia="zh-CN"/>
        </w:rPr>
        <w:t>资金</w:t>
      </w:r>
      <w:r>
        <w:rPr>
          <w:rFonts w:hint="default" w:ascii="Times New Roman" w:hAnsi="Times New Roman" w:cs="Times New Roman"/>
          <w:color w:val="auto"/>
          <w:sz w:val="32"/>
          <w:szCs w:val="32"/>
          <w:lang w:eastAsia="zh-CN"/>
        </w:rPr>
        <w:t>支付</w:t>
      </w:r>
      <w:r>
        <w:rPr>
          <w:rFonts w:hint="default" w:ascii="Times New Roman" w:hAnsi="Times New Roman" w:eastAsia="仿宋_GB2312" w:cs="Times New Roman"/>
          <w:color w:val="auto"/>
          <w:sz w:val="32"/>
          <w:szCs w:val="32"/>
          <w:lang w:eastAsia="zh-CN"/>
        </w:rPr>
        <w:t>程序合法、合规</w:t>
      </w:r>
      <w:r>
        <w:rPr>
          <w:rFonts w:hint="default" w:ascii="Times New Roman" w:hAnsi="Times New Roman" w:cs="Times New Roman"/>
          <w:color w:val="auto"/>
          <w:sz w:val="32"/>
          <w:szCs w:val="32"/>
          <w:lang w:eastAsia="zh-CN"/>
        </w:rPr>
        <w:t>。</w:t>
      </w:r>
      <w:r>
        <w:rPr>
          <w:rFonts w:hint="default" w:ascii="Times New Roman" w:hAnsi="Times New Roman" w:eastAsia="仿宋_GB2312" w:cs="Times New Roman"/>
          <w:color w:val="auto"/>
          <w:sz w:val="32"/>
          <w:szCs w:val="32"/>
          <w:lang w:eastAsia="zh-CN"/>
        </w:rPr>
        <w:t>资金使用目标明确，受益群体满意度较高，全面达到预期目标。</w:t>
      </w:r>
    </w:p>
    <w:p w14:paraId="23702FCA">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（二）存在问题。</w:t>
      </w:r>
    </w:p>
    <w:p w14:paraId="42311D8B">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lang w:val="zh-CN" w:eastAsia="zh-CN"/>
        </w:rPr>
      </w:pPr>
      <w:r>
        <w:rPr>
          <w:rFonts w:hint="default" w:ascii="Times New Roman" w:hAnsi="Times New Roman" w:eastAsia="仿宋_GB2312" w:cs="Times New Roman"/>
          <w:color w:val="auto"/>
          <w:sz w:val="32"/>
          <w:szCs w:val="32"/>
          <w:lang w:val="zh-CN" w:eastAsia="zh-CN"/>
        </w:rPr>
        <w:t>单位内部预算管理和绩效理念还未牢固树立，对预算编制、预算执行的监督结果实际运用不够；单位绩效评价体系还不够完善，绩效评价能力还有待加强。</w:t>
      </w:r>
    </w:p>
    <w:p w14:paraId="5A67FDB5">
      <w:pPr>
        <w:keepNext w:val="0"/>
        <w:keepLines w:val="0"/>
        <w:pageBreakBefore w:val="0"/>
        <w:widowControl/>
        <w:numPr>
          <w:ilvl w:val="0"/>
          <w:numId w:val="0"/>
        </w:numPr>
        <w:kinsoku/>
        <w:wordWrap/>
        <w:overflowPunct/>
        <w:topLinePunct w:val="0"/>
        <w:autoSpaceDE/>
        <w:autoSpaceDN/>
        <w:bidi w:val="0"/>
        <w:adjustRightInd w:val="0"/>
        <w:snapToGrid w:val="0"/>
        <w:spacing w:line="560" w:lineRule="exact"/>
        <w:ind w:firstLine="640" w:firstLineChars="200"/>
        <w:contextualSpacing/>
        <w:jc w:val="left"/>
        <w:textAlignment w:val="auto"/>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（三）改进建议。</w:t>
      </w:r>
    </w:p>
    <w:p w14:paraId="1D258E98">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lang w:val="zh-CN" w:eastAsia="zh-CN"/>
        </w:rPr>
      </w:pPr>
      <w:r>
        <w:rPr>
          <w:rFonts w:hint="default" w:ascii="Times New Roman" w:hAnsi="Times New Roman" w:eastAsia="仿宋_GB2312" w:cs="Times New Roman"/>
          <w:color w:val="auto"/>
          <w:sz w:val="32"/>
          <w:szCs w:val="32"/>
          <w:lang w:val="zh-CN" w:eastAsia="zh-CN"/>
        </w:rPr>
        <w:t>随着绩效评价工作的重要性、准确性、完整性加强，应加强认识，统筹协调各部门参与到预算编制、项目申报。进一步提高绩效评价工作效率，从而完善预算绩效管理制度，优化资金使用。</w:t>
      </w:r>
    </w:p>
    <w:p w14:paraId="406F1398">
      <w:pPr>
        <w:spacing w:line="560" w:lineRule="exact"/>
        <w:ind w:firstLine="640" w:firstLineChars="200"/>
        <w:rPr>
          <w:rFonts w:hint="default" w:ascii="Times New Roman" w:hAnsi="Times New Roman" w:eastAsia="仿宋_GB2312" w:cs="Times New Roman"/>
          <w:color w:val="auto"/>
          <w:sz w:val="32"/>
          <w:szCs w:val="32"/>
          <w:lang w:val="zh-CN" w:eastAsia="zh-CN"/>
        </w:rPr>
      </w:pPr>
    </w:p>
    <w:p w14:paraId="384E951A">
      <w:pPr>
        <w:pStyle w:val="14"/>
        <w:spacing w:line="560" w:lineRule="exact"/>
        <w:ind w:left="0" w:leftChars="0" w:firstLine="640"/>
        <w:rPr>
          <w:rFonts w:hint="default" w:ascii="Times New Roman" w:hAnsi="Times New Roman" w:eastAsia="仿宋_GB2312" w:cs="Times New Roman"/>
          <w:color w:val="000000" w:themeColor="text1"/>
          <w:sz w:val="32"/>
          <w:lang w:val="zh-CN"/>
          <w14:textFill>
            <w14:solidFill>
              <w14:schemeClr w14:val="tx1"/>
            </w14:solidFill>
          </w14:textFill>
        </w:rPr>
      </w:pPr>
    </w:p>
    <w:p w14:paraId="6DC387ED">
      <w:pPr>
        <w:pStyle w:val="14"/>
        <w:spacing w:line="560" w:lineRule="exact"/>
        <w:ind w:left="0" w:leftChars="0" w:firstLine="640"/>
        <w:rPr>
          <w:rFonts w:hint="default" w:ascii="Times New Roman" w:hAnsi="Times New Roman" w:eastAsia="仿宋_GB2312" w:cs="Times New Roman"/>
          <w:color w:val="000000" w:themeColor="text1"/>
          <w:sz w:val="32"/>
          <w:lang w:val="zh-CN"/>
          <w14:textFill>
            <w14:solidFill>
              <w14:schemeClr w14:val="tx1"/>
            </w14:solidFill>
          </w14:textFill>
        </w:rPr>
      </w:pPr>
    </w:p>
    <w:p w14:paraId="2727B29B">
      <w:pPr>
        <w:pStyle w:val="14"/>
        <w:spacing w:line="560" w:lineRule="exact"/>
        <w:ind w:left="0" w:leftChars="0" w:firstLine="640"/>
        <w:rPr>
          <w:rFonts w:hint="default" w:ascii="Times New Roman" w:hAnsi="Times New Roman" w:eastAsia="仿宋_GB2312" w:cs="Times New Roman"/>
          <w:color w:val="000000" w:themeColor="text1"/>
          <w:sz w:val="32"/>
          <w:lang w:val="zh-CN"/>
          <w14:textFill>
            <w14:solidFill>
              <w14:schemeClr w14:val="tx1"/>
            </w14:solidFill>
          </w14:textFill>
        </w:rPr>
      </w:pPr>
    </w:p>
    <w:p w14:paraId="07BE47CF">
      <w:pPr>
        <w:pStyle w:val="14"/>
        <w:spacing w:line="560" w:lineRule="exact"/>
        <w:ind w:left="0" w:leftChars="0" w:firstLine="640"/>
        <w:rPr>
          <w:rFonts w:hint="default" w:ascii="Times New Roman" w:hAnsi="Times New Roman" w:eastAsia="仿宋_GB2312" w:cs="Times New Roman"/>
          <w:color w:val="000000" w:themeColor="text1"/>
          <w:sz w:val="32"/>
          <w:lang w:val="zh-CN"/>
          <w14:textFill>
            <w14:solidFill>
              <w14:schemeClr w14:val="tx1"/>
            </w14:solidFill>
          </w14:textFill>
        </w:rPr>
        <w:sectPr>
          <w:footerReference r:id="rId10" w:type="first"/>
          <w:footerReference r:id="rId9" w:type="default"/>
          <w:pgSz w:w="11906" w:h="16838"/>
          <w:pgMar w:top="1440" w:right="1800" w:bottom="1440" w:left="1800" w:header="851" w:footer="482" w:gutter="0"/>
          <w:pgNumType w:fmt="numberInDash" w:start="1"/>
          <w:cols w:space="0" w:num="1"/>
          <w:titlePg/>
          <w:rtlGutter w:val="0"/>
          <w:docGrid w:type="lines" w:linePitch="312" w:charSpace="0"/>
        </w:sectPr>
      </w:pPr>
    </w:p>
    <w:p w14:paraId="1847720A">
      <w:pPr>
        <w:pStyle w:val="14"/>
        <w:spacing w:line="560" w:lineRule="exact"/>
        <w:ind w:left="0" w:leftChars="0" w:firstLine="640"/>
        <w:rPr>
          <w:rFonts w:hint="default" w:ascii="Times New Roman" w:hAnsi="Times New Roman" w:eastAsia="仿宋_GB2312" w:cs="Times New Roman"/>
          <w:color w:val="000000" w:themeColor="text1"/>
          <w:sz w:val="32"/>
          <w14:textFill>
            <w14:solidFill>
              <w14:schemeClr w14:val="tx1"/>
            </w14:solidFill>
          </w14:textFill>
        </w:rPr>
      </w:pPr>
      <w:r>
        <w:rPr>
          <w:rFonts w:hint="default" w:ascii="Times New Roman" w:hAnsi="Times New Roman" w:eastAsia="仿宋_GB2312" w:cs="Times New Roman"/>
          <w:color w:val="000000" w:themeColor="text1"/>
          <w:sz w:val="32"/>
          <w:lang w:val="zh-CN"/>
          <w14:textFill>
            <w14:solidFill>
              <w14:schemeClr w14:val="tx1"/>
            </w14:solidFill>
          </w14:textFill>
        </w:rPr>
        <w:t>附表：</w:t>
      </w:r>
      <w:r>
        <w:rPr>
          <w:rFonts w:hint="default" w:ascii="Times New Roman" w:hAnsi="Times New Roman" w:eastAsia="仿宋_GB2312" w:cs="Times New Roman"/>
          <w:color w:val="000000" w:themeColor="text1"/>
          <w:sz w:val="32"/>
          <w14:textFill>
            <w14:solidFill>
              <w14:schemeClr w14:val="tx1"/>
            </w14:solidFill>
          </w14:textFill>
        </w:rPr>
        <w:t>部门预算项目支出绩效自评表（2022年度）</w:t>
      </w:r>
    </w:p>
    <w:p w14:paraId="1064F9CE">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640"/>
        <w:textAlignment w:val="auto"/>
      </w:pPr>
      <w:r>
        <w:drawing>
          <wp:inline distT="0" distB="0" distL="114300" distR="114300">
            <wp:extent cx="8512175" cy="5819140"/>
            <wp:effectExtent l="0" t="0" r="3175" b="10160"/>
            <wp:docPr id="2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pic:cNvPicPr>
                      <a:picLocks noChangeAspect="1"/>
                    </pic:cNvPicPr>
                  </pic:nvPicPr>
                  <pic:blipFill>
                    <a:blip r:embed="rId20"/>
                    <a:stretch>
                      <a:fillRect/>
                    </a:stretch>
                  </pic:blipFill>
                  <pic:spPr>
                    <a:xfrm>
                      <a:off x="0" y="0"/>
                      <a:ext cx="8512175" cy="5819140"/>
                    </a:xfrm>
                    <a:prstGeom prst="rect">
                      <a:avLst/>
                    </a:prstGeom>
                    <a:noFill/>
                    <a:ln>
                      <a:noFill/>
                    </a:ln>
                  </pic:spPr>
                </pic:pic>
              </a:graphicData>
            </a:graphic>
          </wp:inline>
        </w:drawing>
      </w:r>
    </w:p>
    <w:p w14:paraId="46264FAA">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lang w:val="en-US" w:eastAsia="zh-CN"/>
        </w:rPr>
        <w:t xml:space="preserve">   </w:t>
      </w:r>
      <w:r>
        <w:drawing>
          <wp:inline distT="0" distB="0" distL="114300" distR="114300">
            <wp:extent cx="8704580" cy="6188710"/>
            <wp:effectExtent l="0" t="0" r="1270" b="2540"/>
            <wp:docPr id="2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
                    <pic:cNvPicPr>
                      <a:picLocks noChangeAspect="1"/>
                    </pic:cNvPicPr>
                  </pic:nvPicPr>
                  <pic:blipFill>
                    <a:blip r:embed="rId21"/>
                    <a:stretch>
                      <a:fillRect/>
                    </a:stretch>
                  </pic:blipFill>
                  <pic:spPr>
                    <a:xfrm>
                      <a:off x="0" y="0"/>
                      <a:ext cx="8704580" cy="6188710"/>
                    </a:xfrm>
                    <a:prstGeom prst="rect">
                      <a:avLst/>
                    </a:prstGeom>
                    <a:noFill/>
                    <a:ln>
                      <a:noFill/>
                    </a:ln>
                  </pic:spPr>
                </pic:pic>
              </a:graphicData>
            </a:graphic>
          </wp:inline>
        </w:drawing>
      </w:r>
    </w:p>
    <w:p w14:paraId="508BB88D">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lang w:val="en-US" w:eastAsia="zh-CN"/>
        </w:rPr>
        <w:t xml:space="preserve">    </w:t>
      </w:r>
      <w:r>
        <w:drawing>
          <wp:inline distT="0" distB="0" distL="114300" distR="114300">
            <wp:extent cx="8671560" cy="6262370"/>
            <wp:effectExtent l="0" t="0" r="15240" b="508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22"/>
                    <a:stretch>
                      <a:fillRect/>
                    </a:stretch>
                  </pic:blipFill>
                  <pic:spPr>
                    <a:xfrm>
                      <a:off x="0" y="0"/>
                      <a:ext cx="8671560" cy="6262370"/>
                    </a:xfrm>
                    <a:prstGeom prst="rect">
                      <a:avLst/>
                    </a:prstGeom>
                    <a:noFill/>
                    <a:ln>
                      <a:noFill/>
                    </a:ln>
                  </pic:spPr>
                </pic:pic>
              </a:graphicData>
            </a:graphic>
          </wp:inline>
        </w:drawing>
      </w:r>
    </w:p>
    <w:p w14:paraId="0AEA333F">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lang w:val="en-US" w:eastAsia="zh-CN"/>
        </w:rPr>
        <w:t xml:space="preserve">   </w:t>
      </w:r>
      <w:r>
        <w:drawing>
          <wp:inline distT="0" distB="0" distL="114300" distR="114300">
            <wp:extent cx="8832215" cy="6155055"/>
            <wp:effectExtent l="0" t="0" r="6985" b="17145"/>
            <wp:docPr id="2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5"/>
                    <pic:cNvPicPr>
                      <a:picLocks noChangeAspect="1"/>
                    </pic:cNvPicPr>
                  </pic:nvPicPr>
                  <pic:blipFill>
                    <a:blip r:embed="rId23"/>
                    <a:stretch>
                      <a:fillRect/>
                    </a:stretch>
                  </pic:blipFill>
                  <pic:spPr>
                    <a:xfrm>
                      <a:off x="0" y="0"/>
                      <a:ext cx="8832215" cy="6155055"/>
                    </a:xfrm>
                    <a:prstGeom prst="rect">
                      <a:avLst/>
                    </a:prstGeom>
                    <a:noFill/>
                    <a:ln>
                      <a:noFill/>
                    </a:ln>
                  </pic:spPr>
                </pic:pic>
              </a:graphicData>
            </a:graphic>
          </wp:inline>
        </w:drawing>
      </w:r>
    </w:p>
    <w:p w14:paraId="326BA188">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lang w:val="en-US" w:eastAsia="zh-CN"/>
        </w:rPr>
        <w:t xml:space="preserve">  </w:t>
      </w:r>
      <w:r>
        <w:drawing>
          <wp:inline distT="0" distB="0" distL="114300" distR="114300">
            <wp:extent cx="8898890" cy="6182995"/>
            <wp:effectExtent l="0" t="0" r="16510" b="8255"/>
            <wp:docPr id="2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6"/>
                    <pic:cNvPicPr>
                      <a:picLocks noChangeAspect="1"/>
                    </pic:cNvPicPr>
                  </pic:nvPicPr>
                  <pic:blipFill>
                    <a:blip r:embed="rId24"/>
                    <a:stretch>
                      <a:fillRect/>
                    </a:stretch>
                  </pic:blipFill>
                  <pic:spPr>
                    <a:xfrm>
                      <a:off x="0" y="0"/>
                      <a:ext cx="8898890" cy="6182995"/>
                    </a:xfrm>
                    <a:prstGeom prst="rect">
                      <a:avLst/>
                    </a:prstGeom>
                    <a:noFill/>
                    <a:ln>
                      <a:noFill/>
                    </a:ln>
                  </pic:spPr>
                </pic:pic>
              </a:graphicData>
            </a:graphic>
          </wp:inline>
        </w:drawing>
      </w:r>
    </w:p>
    <w:p w14:paraId="077F4E86">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pPr>
      <w:r>
        <w:rPr>
          <w:rFonts w:hint="eastAsia"/>
          <w:lang w:val="en-US" w:eastAsia="zh-CN"/>
        </w:rPr>
        <w:t xml:space="preserve">   </w:t>
      </w:r>
      <w:r>
        <w:drawing>
          <wp:inline distT="0" distB="0" distL="114300" distR="114300">
            <wp:extent cx="8756650" cy="6269990"/>
            <wp:effectExtent l="0" t="0" r="6350" b="16510"/>
            <wp:docPr id="2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7"/>
                    <pic:cNvPicPr>
                      <a:picLocks noChangeAspect="1"/>
                    </pic:cNvPicPr>
                  </pic:nvPicPr>
                  <pic:blipFill>
                    <a:blip r:embed="rId25"/>
                    <a:stretch>
                      <a:fillRect/>
                    </a:stretch>
                  </pic:blipFill>
                  <pic:spPr>
                    <a:xfrm>
                      <a:off x="0" y="0"/>
                      <a:ext cx="8756650" cy="6269990"/>
                    </a:xfrm>
                    <a:prstGeom prst="rect">
                      <a:avLst/>
                    </a:prstGeom>
                    <a:noFill/>
                    <a:ln>
                      <a:noFill/>
                    </a:ln>
                  </pic:spPr>
                </pic:pic>
              </a:graphicData>
            </a:graphic>
          </wp:inline>
        </w:drawing>
      </w:r>
    </w:p>
    <w:p w14:paraId="6EAD99EB">
      <w:pPr>
        <w:pStyle w:val="14"/>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lang w:val="zh-CN"/>
        </w:rPr>
        <w:sectPr>
          <w:pgSz w:w="16838" w:h="11906" w:orient="landscape"/>
          <w:pgMar w:top="952" w:right="1157" w:bottom="839" w:left="1157" w:header="567" w:footer="482" w:gutter="0"/>
          <w:pgNumType w:fmt="numberInDash"/>
          <w:cols w:space="0" w:num="1"/>
          <w:titlePg/>
          <w:rtlGutter w:val="0"/>
          <w:docGrid w:type="lines" w:linePitch="312" w:charSpace="0"/>
        </w:sectPr>
      </w:pPr>
      <w:r>
        <w:rPr>
          <w:rFonts w:hint="eastAsia"/>
          <w:lang w:val="en-US" w:eastAsia="zh-CN"/>
        </w:rPr>
        <w:t xml:space="preserve">    </w:t>
      </w:r>
      <w:r>
        <w:drawing>
          <wp:inline distT="0" distB="0" distL="114300" distR="114300">
            <wp:extent cx="8713470" cy="6242685"/>
            <wp:effectExtent l="0" t="0" r="11430" b="5715"/>
            <wp:docPr id="2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8"/>
                    <pic:cNvPicPr>
                      <a:picLocks noChangeAspect="1"/>
                    </pic:cNvPicPr>
                  </pic:nvPicPr>
                  <pic:blipFill>
                    <a:blip r:embed="rId26"/>
                    <a:stretch>
                      <a:fillRect/>
                    </a:stretch>
                  </pic:blipFill>
                  <pic:spPr>
                    <a:xfrm>
                      <a:off x="0" y="0"/>
                      <a:ext cx="8713470" cy="6242685"/>
                    </a:xfrm>
                    <a:prstGeom prst="rect">
                      <a:avLst/>
                    </a:prstGeom>
                    <a:noFill/>
                    <a:ln>
                      <a:noFill/>
                    </a:ln>
                  </pic:spPr>
                </pic:pic>
              </a:graphicData>
            </a:graphic>
          </wp:inline>
        </w:drawing>
      </w:r>
    </w:p>
    <w:p w14:paraId="3C0856F9">
      <w:pPr>
        <w:widowControl/>
        <w:spacing w:line="560" w:lineRule="exact"/>
        <w:contextualSpacing/>
        <w:rPr>
          <w:rFonts w:hint="default" w:ascii="Times New Roman" w:hAnsi="Times New Roman" w:eastAsia="黑体" w:cs="Times New Roman"/>
          <w:b w:val="0"/>
          <w:bCs/>
          <w:sz w:val="32"/>
          <w:szCs w:val="32"/>
          <w:shd w:val="clear" w:color="auto" w:fill="FFFFFF"/>
        </w:rPr>
      </w:pPr>
      <w:r>
        <w:rPr>
          <w:rFonts w:hint="default" w:ascii="Times New Roman" w:hAnsi="Times New Roman" w:eastAsia="黑体" w:cs="Times New Roman"/>
          <w:b w:val="0"/>
          <w:bCs/>
          <w:sz w:val="32"/>
          <w:szCs w:val="32"/>
          <w:shd w:val="clear" w:color="auto" w:fill="FFFFFF"/>
          <w:lang w:val="zh-CN"/>
        </w:rPr>
        <w:t>附件</w:t>
      </w:r>
      <w:r>
        <w:rPr>
          <w:rFonts w:hint="default" w:ascii="Times New Roman" w:hAnsi="Times New Roman" w:eastAsia="黑体" w:cs="Times New Roman"/>
          <w:b w:val="0"/>
          <w:bCs/>
          <w:sz w:val="32"/>
          <w:szCs w:val="32"/>
          <w:shd w:val="clear" w:color="auto" w:fill="FFFFFF"/>
        </w:rPr>
        <w:t>2</w:t>
      </w:r>
    </w:p>
    <w:p w14:paraId="0672FC63">
      <w:pPr>
        <w:widowControl/>
        <w:spacing w:line="560" w:lineRule="exact"/>
        <w:contextualSpacing/>
        <w:rPr>
          <w:rFonts w:hint="default" w:ascii="Times New Roman" w:hAnsi="Times New Roman" w:eastAsia="黑体" w:cs="Times New Roman"/>
          <w:b w:val="0"/>
          <w:bCs/>
          <w:sz w:val="32"/>
          <w:szCs w:val="32"/>
          <w:shd w:val="clear" w:color="auto" w:fill="FFFFFF"/>
        </w:rPr>
      </w:pPr>
    </w:p>
    <w:p w14:paraId="56CD4FEE">
      <w:pPr>
        <w:pStyle w:val="34"/>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themeColor="text1"/>
          <w:kern w:val="2"/>
          <w:sz w:val="44"/>
          <w:szCs w:val="44"/>
          <w:lang w:val="en-US"/>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14:textFill>
            <w14:solidFill>
              <w14:schemeClr w14:val="tx1"/>
            </w14:solidFill>
          </w14:textFill>
        </w:rPr>
        <w:t>2023年专项资金预算项目绩效自评报告</w:t>
      </w:r>
    </w:p>
    <w:p w14:paraId="6A688F1B">
      <w:pPr>
        <w:pStyle w:val="34"/>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themeColor="text1"/>
          <w:kern w:val="2"/>
          <w:sz w:val="44"/>
          <w:szCs w:val="44"/>
          <w:lang w:val="en-US" w:eastAsia="zh-CN"/>
          <w14:textFill>
            <w14:solidFill>
              <w14:schemeClr w14:val="tx1"/>
            </w14:solidFill>
          </w14:textFill>
        </w:rPr>
      </w:pPr>
      <w:r>
        <w:rPr>
          <w:rFonts w:hint="default" w:ascii="Times New Roman" w:hAnsi="Times New Roman" w:eastAsia="方正小标宋简体" w:cs="Times New Roman"/>
          <w:color w:val="000000" w:themeColor="text1"/>
          <w:kern w:val="2"/>
          <w:sz w:val="44"/>
          <w:szCs w:val="44"/>
          <w:lang w:val="en-US" w:eastAsia="zh-CN"/>
          <w14:textFill>
            <w14:solidFill>
              <w14:schemeClr w14:val="tx1"/>
            </w14:solidFill>
          </w14:textFill>
        </w:rPr>
        <w:t>（医疗救助资金）</w:t>
      </w:r>
    </w:p>
    <w:p w14:paraId="5C69324B">
      <w:pPr>
        <w:pStyle w:val="34"/>
        <w:spacing w:line="578" w:lineRule="exact"/>
        <w:ind w:firstLine="640"/>
        <w:jc w:val="center"/>
        <w:rPr>
          <w:rFonts w:hint="default" w:ascii="Times New Roman" w:hAnsi="Times New Roman" w:cs="Times New Roman"/>
          <w:color w:val="auto"/>
          <w:kern w:val="2"/>
          <w:sz w:val="32"/>
          <w:szCs w:val="32"/>
        </w:rPr>
      </w:pPr>
    </w:p>
    <w:p w14:paraId="7C18329F">
      <w:pPr>
        <w:adjustRightInd w:val="0"/>
        <w:snapToGrid w:val="0"/>
        <w:spacing w:line="578" w:lineRule="exact"/>
        <w:ind w:firstLine="720"/>
        <w:rPr>
          <w:rFonts w:hint="default" w:ascii="Times New Roman" w:hAnsi="Times New Roman" w:eastAsia="黑体" w:cs="Times New Roman"/>
          <w:sz w:val="32"/>
          <w:szCs w:val="32"/>
          <w:lang w:val="zh-CN"/>
        </w:rPr>
      </w:pPr>
      <w:r>
        <w:rPr>
          <w:rFonts w:hint="default" w:ascii="Times New Roman" w:hAnsi="Times New Roman" w:eastAsia="黑体" w:cs="Times New Roman"/>
          <w:sz w:val="32"/>
          <w:szCs w:val="32"/>
        </w:rPr>
        <w:t>一、</w:t>
      </w:r>
      <w:r>
        <w:rPr>
          <w:rFonts w:hint="default" w:ascii="Times New Roman" w:hAnsi="Times New Roman" w:eastAsia="黑体" w:cs="Times New Roman"/>
          <w:sz w:val="32"/>
          <w:szCs w:val="32"/>
          <w:lang w:val="zh-CN"/>
        </w:rPr>
        <w:t>项目概况</w:t>
      </w:r>
    </w:p>
    <w:p w14:paraId="6E86C31B">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（一）项目基本情况。</w:t>
      </w:r>
    </w:p>
    <w:p w14:paraId="0A8CA018">
      <w:pPr>
        <w:numPr>
          <w:ilvl w:val="0"/>
          <w:numId w:val="0"/>
        </w:numPr>
        <w:spacing w:line="560" w:lineRule="exact"/>
        <w:ind w:firstLine="643" w:firstLineChars="200"/>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1</w:t>
      </w:r>
      <w:r>
        <w:rPr>
          <w:rFonts w:hint="default" w:ascii="Times New Roman" w:hAnsi="Times New Roman" w:eastAsia="仿宋_GB2312" w:cs="Times New Roman"/>
          <w:b/>
          <w:bCs/>
          <w:kern w:val="0"/>
          <w:sz w:val="32"/>
          <w:szCs w:val="32"/>
          <w:shd w:val="clear" w:color="auto" w:fill="FFFFFF"/>
          <w:lang w:val="en-US" w:eastAsia="zh-CN"/>
        </w:rPr>
        <w:t>.</w:t>
      </w:r>
      <w:r>
        <w:rPr>
          <w:rFonts w:hint="default" w:ascii="Times New Roman" w:hAnsi="Times New Roman" w:eastAsia="仿宋_GB2312" w:cs="Times New Roman"/>
          <w:b/>
          <w:bCs/>
          <w:kern w:val="0"/>
          <w:sz w:val="32"/>
          <w:szCs w:val="32"/>
          <w:shd w:val="clear" w:color="auto" w:fill="FFFFFF"/>
          <w:lang w:val="zh-CN"/>
        </w:rPr>
        <w:t>项目主管部门（单位）在该项目管理中的职能。</w:t>
      </w:r>
    </w:p>
    <w:p w14:paraId="78D3171C">
      <w:pPr>
        <w:numPr>
          <w:ilvl w:val="0"/>
          <w:numId w:val="0"/>
        </w:numPr>
        <w:spacing w:line="560" w:lineRule="exact"/>
        <w:ind w:firstLine="640" w:firstLineChars="200"/>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sz w:val="32"/>
          <w:szCs w:val="32"/>
          <w:lang w:eastAsia="zh-CN"/>
        </w:rPr>
        <w:t>主要是贯彻执行医疗保险、生育保险、医疗救助等医疗保障的法律、法规、规章。</w:t>
      </w:r>
    </w:p>
    <w:p w14:paraId="3CD47F60">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2.项目立项、资金申报的依据。</w:t>
      </w:r>
    </w:p>
    <w:p w14:paraId="1EE04473">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sz w:val="32"/>
          <w:szCs w:val="32"/>
          <w:lang w:val="en-US" w:eastAsia="zh-CN"/>
        </w:rPr>
        <w:t>根据《盐边县机构改革方案》的通知（盐边委发〔2019〕1 号）文件明确县民政局的医疗救助职责划转县医保局，负责资助困难群众医疗保险参保以及重点救助对象的门诊、住院医疗费。</w:t>
      </w:r>
    </w:p>
    <w:p w14:paraId="628F74D2">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color w:val="FF0000"/>
          <w:kern w:val="0"/>
          <w:sz w:val="32"/>
          <w:szCs w:val="32"/>
          <w:shd w:val="clear" w:color="auto" w:fill="FFFFFF"/>
          <w:lang w:eastAsia="zh-CN"/>
        </w:rPr>
      </w:pPr>
      <w:r>
        <w:rPr>
          <w:rFonts w:hint="default" w:ascii="Times New Roman" w:hAnsi="Times New Roman" w:eastAsia="仿宋_GB2312" w:cs="Times New Roman"/>
          <w:b/>
          <w:bCs/>
          <w:kern w:val="0"/>
          <w:sz w:val="32"/>
          <w:szCs w:val="32"/>
          <w:shd w:val="clear" w:color="auto" w:fill="FFFFFF"/>
          <w:lang w:val="zh-CN"/>
        </w:rPr>
        <w:t>3.资金</w:t>
      </w:r>
      <w:r>
        <w:rPr>
          <w:rFonts w:hint="default" w:ascii="Times New Roman" w:hAnsi="Times New Roman" w:eastAsia="仿宋_GB2312" w:cs="Times New Roman"/>
          <w:b/>
          <w:bCs/>
          <w:kern w:val="0"/>
          <w:sz w:val="32"/>
          <w:szCs w:val="32"/>
          <w:shd w:val="clear" w:color="auto" w:fill="FFFFFF"/>
        </w:rPr>
        <w:t>或项目</w:t>
      </w:r>
      <w:r>
        <w:rPr>
          <w:rFonts w:hint="default" w:ascii="Times New Roman" w:hAnsi="Times New Roman" w:eastAsia="仿宋_GB2312" w:cs="Times New Roman"/>
          <w:b/>
          <w:bCs/>
          <w:kern w:val="0"/>
          <w:sz w:val="32"/>
          <w:szCs w:val="32"/>
          <w:shd w:val="clear" w:color="auto" w:fill="FFFFFF"/>
          <w:lang w:val="zh-CN"/>
        </w:rPr>
        <w:t>管理办法制定情况，资金支持具体项目的条件、范围与支持方式概况。</w:t>
      </w:r>
    </w:p>
    <w:p w14:paraId="09865BD3">
      <w:pPr>
        <w:widowControl/>
        <w:adjustRightInd w:val="0"/>
        <w:snapToGrid w:val="0"/>
        <w:spacing w:line="578" w:lineRule="exact"/>
        <w:ind w:firstLine="640" w:firstLineChars="200"/>
        <w:contextualSpacing/>
        <w:jc w:val="left"/>
        <w:rPr>
          <w:rFonts w:hint="default" w:ascii="Times New Roman" w:hAnsi="Times New Roman" w:eastAsia="仿宋_GB2312" w:cs="Times New Roman"/>
          <w:color w:val="FF0000"/>
          <w:kern w:val="0"/>
          <w:sz w:val="32"/>
          <w:szCs w:val="32"/>
          <w:shd w:val="clear" w:color="auto" w:fill="FFFFFF"/>
          <w:lang w:val="zh-CN" w:eastAsia="zh-CN"/>
        </w:rPr>
      </w:pPr>
      <w:r>
        <w:rPr>
          <w:rFonts w:hint="default" w:ascii="Times New Roman" w:hAnsi="Times New Roman" w:eastAsia="仿宋_GB2312" w:cs="Times New Roman"/>
          <w:color w:val="auto"/>
          <w:kern w:val="0"/>
          <w:sz w:val="32"/>
          <w:szCs w:val="32"/>
          <w:shd w:val="clear" w:color="auto" w:fill="FFFFFF"/>
          <w:lang w:val="zh-CN" w:eastAsia="zh-CN"/>
        </w:rPr>
        <w:t>项目资金分为中央资金、省级资金和县级资金。由我单位管理支付，2022年下半年交由财政专户管理。支付范围包括资助困难群众城乡居民医疗保险参保，资助重点救助对象的门诊、住院医疗费。</w:t>
      </w:r>
    </w:p>
    <w:p w14:paraId="7E4748BC">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4.资金分配的原则及考虑因素。</w:t>
      </w:r>
    </w:p>
    <w:p w14:paraId="4BB8E48F">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eastAsia="zh-CN"/>
        </w:rPr>
        <w:t>中央、省级资金采用因素和据实据效法进行分配。考虑因素主要包括困难群众人数、户籍人口数、重点工作开展、财政困难程度等。不足部分由县级财政负担。</w:t>
      </w:r>
    </w:p>
    <w:p w14:paraId="74318A84">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（二）项目绩效目标。</w:t>
      </w:r>
    </w:p>
    <w:p w14:paraId="386E3F1D">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1.项目主要内容。</w:t>
      </w:r>
    </w:p>
    <w:p w14:paraId="1F4E81E9">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rPr>
        <w:t>持续做好困难群众参保资助工作；重点救助对象自付医疗费用按规定年度限额内住院救助比例达到70%；年度救助对象人次符合客观需要；强化医疗救助规范管理</w:t>
      </w:r>
      <w:r>
        <w:rPr>
          <w:rFonts w:hint="default" w:ascii="Times New Roman" w:hAnsi="Times New Roman" w:eastAsia="仿宋_GB2312" w:cs="Times New Roman"/>
          <w:kern w:val="0"/>
          <w:sz w:val="32"/>
          <w:szCs w:val="32"/>
          <w:shd w:val="clear" w:color="auto" w:fill="FFFFFF"/>
          <w:lang w:val="zh-CN" w:eastAsia="zh-CN"/>
        </w:rPr>
        <w:t>，</w:t>
      </w:r>
      <w:r>
        <w:rPr>
          <w:rFonts w:hint="default" w:ascii="Times New Roman" w:hAnsi="Times New Roman" w:eastAsia="仿宋_GB2312" w:cs="Times New Roman"/>
          <w:kern w:val="0"/>
          <w:sz w:val="32"/>
          <w:szCs w:val="32"/>
          <w:shd w:val="clear" w:color="auto" w:fill="FFFFFF"/>
          <w:lang w:val="zh-CN"/>
        </w:rPr>
        <w:t>有效化解不合理累计结余。</w:t>
      </w:r>
    </w:p>
    <w:p w14:paraId="3B79FB08">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2.项目应实现的具体绩效目标。</w:t>
      </w:r>
    </w:p>
    <w:p w14:paraId="312134DE">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zh-CN" w:eastAsia="zh-CN"/>
        </w:rPr>
        <w:t>项目完成指标包括数量指标：资助参保人数完成23854人，门诊、住院救助人次数达到9550人次；质量指标：重点救助对象自付费用按规定年度限额内住院救助比例达到70%以上；时效指标：“一站式”即时结算覆盖率达到100%；成本指标：医疗救助资金使用情况不低于上年。</w:t>
      </w:r>
    </w:p>
    <w:p w14:paraId="072E7567">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zh-CN" w:eastAsia="zh-CN"/>
        </w:rPr>
        <w:t>项目效益指标包括经济效益指标：不合理累计结余减少程度达到90%以上；社会效益指标：医疗救助对象覆盖范围逐步扩大，困难群众看病就医方便程度明显提高，有效缓解困难群众医疗费用负担；可持续影响指标：对健全社会救助体系的影响成效明显，对健全医疗保障制度体系的作用成效明显。</w:t>
      </w:r>
    </w:p>
    <w:p w14:paraId="740A19A1">
      <w:pPr>
        <w:widowControl/>
        <w:adjustRightInd w:val="0"/>
        <w:snapToGrid w:val="0"/>
        <w:spacing w:line="578"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eastAsia="zh-CN"/>
        </w:rPr>
        <w:t>服务对象满意度指标：政策知晓率达到98%，工作满意度达到97%。</w:t>
      </w:r>
    </w:p>
    <w:p w14:paraId="579BA393">
      <w:pPr>
        <w:widowControl/>
        <w:adjustRightInd w:val="0"/>
        <w:snapToGrid w:val="0"/>
        <w:spacing w:line="578" w:lineRule="exact"/>
        <w:ind w:firstLine="643" w:firstLineChars="200"/>
        <w:contextualSpacing/>
        <w:jc w:val="left"/>
        <w:rPr>
          <w:rFonts w:hint="default" w:ascii="Times New Roman" w:hAnsi="Times New Roman" w:eastAsia="仿宋_GB2312" w:cs="Times New Roman"/>
          <w:b/>
          <w:bCs/>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rPr>
        <w:t>3.分析评价申报内容是否与实际相符，申报目标是否合理可行。</w:t>
      </w:r>
    </w:p>
    <w:p w14:paraId="5251B9EC">
      <w:pPr>
        <w:spacing w:line="560" w:lineRule="exact"/>
        <w:ind w:firstLine="640" w:firstLineChars="200"/>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sz w:val="32"/>
          <w:szCs w:val="32"/>
          <w:lang w:val="en-US" w:eastAsia="zh-CN"/>
        </w:rPr>
        <w:t>通过绩效目标完成情况看，申报内容与实际基本相符，申报目标合理可行。</w:t>
      </w:r>
    </w:p>
    <w:p w14:paraId="677DB92F">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（三）项目自评步骤及方法。</w:t>
      </w:r>
    </w:p>
    <w:p w14:paraId="32728F68">
      <w:pPr>
        <w:spacing w:line="560" w:lineRule="exact"/>
        <w:ind w:firstLine="640" w:firstLineChars="200"/>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由项目负责人根据项目绩效申报指标逐个核对，比对。是否完成申报指标，</w:t>
      </w:r>
      <w:r>
        <w:rPr>
          <w:rFonts w:hint="default" w:ascii="Times New Roman" w:hAnsi="Times New Roman" w:cs="Times New Roman"/>
          <w:sz w:val="32"/>
          <w:szCs w:val="32"/>
          <w:lang w:eastAsia="zh-CN"/>
        </w:rPr>
        <w:t>评价完成情况</w:t>
      </w:r>
      <w:r>
        <w:rPr>
          <w:rFonts w:hint="default" w:ascii="Times New Roman" w:hAnsi="Times New Roman" w:eastAsia="仿宋_GB2312" w:cs="Times New Roman"/>
          <w:sz w:val="32"/>
          <w:szCs w:val="32"/>
          <w:lang w:eastAsia="zh-CN"/>
        </w:rPr>
        <w:t>。</w:t>
      </w:r>
    </w:p>
    <w:p w14:paraId="624F853F">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二、项目资金申报及使用情况</w:t>
      </w:r>
    </w:p>
    <w:p w14:paraId="7F0FB60C">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（一）项目资金申报及批复情况。</w:t>
      </w:r>
    </w:p>
    <w:p w14:paraId="411354D1">
      <w:pPr>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eastAsia="zh-CN"/>
        </w:rPr>
        <w:t>县级资金根据政策文件及上年度费用估算，纳入年初预算。</w:t>
      </w:r>
    </w:p>
    <w:p w14:paraId="396ABFCA">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（二）资金计划、到位及使用情况。</w:t>
      </w:r>
    </w:p>
    <w:p w14:paraId="4411EAFA">
      <w:pPr>
        <w:widowControl/>
        <w:adjustRightInd w:val="0"/>
        <w:snapToGrid w:val="0"/>
        <w:spacing w:line="578" w:lineRule="exact"/>
        <w:ind w:firstLine="643"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zh-CN" w:eastAsia="zh-CN"/>
          <w14:textFill>
            <w14:solidFill>
              <w14:schemeClr w14:val="tx1"/>
            </w14:solidFill>
          </w14:textFill>
        </w:rPr>
      </w:pPr>
      <w:r>
        <w:rPr>
          <w:rFonts w:hint="default" w:ascii="Times New Roman" w:hAnsi="Times New Roman" w:eastAsia="仿宋_GB2312" w:cs="Times New Roman"/>
          <w:b/>
          <w:bCs/>
          <w:kern w:val="0"/>
          <w:sz w:val="32"/>
          <w:szCs w:val="32"/>
          <w:shd w:val="clear" w:color="auto" w:fill="FFFFFF"/>
          <w:lang w:val="zh-CN"/>
        </w:rPr>
        <w:t>1</w:t>
      </w:r>
      <w:r>
        <w:rPr>
          <w:rFonts w:hint="default" w:ascii="Times New Roman" w:hAnsi="Times New Roman" w:eastAsia="仿宋_GB2312" w:cs="Times New Roman"/>
          <w:b/>
          <w:bCs/>
          <w:color w:val="000000" w:themeColor="text1"/>
          <w:kern w:val="0"/>
          <w:sz w:val="32"/>
          <w:szCs w:val="32"/>
          <w:shd w:val="clear" w:color="auto" w:fill="FFFFFF"/>
          <w:lang w:val="zh-CN"/>
          <w14:textFill>
            <w14:solidFill>
              <w14:schemeClr w14:val="tx1"/>
            </w14:solidFill>
          </w14:textFill>
        </w:rPr>
        <w:t>.资金计划。</w:t>
      </w:r>
      <w:r>
        <w:rPr>
          <w:rFonts w:hint="default" w:ascii="Times New Roman" w:hAnsi="Times New Roman" w:eastAsia="仿宋_GB2312" w:cs="Times New Roman"/>
          <w:color w:val="000000" w:themeColor="text1"/>
          <w:kern w:val="0"/>
          <w:sz w:val="32"/>
          <w:szCs w:val="32"/>
          <w:shd w:val="clear" w:color="auto" w:fill="FFFFFF"/>
          <w:lang w:val="zh-CN" w:eastAsia="zh-CN"/>
          <w14:textFill>
            <w14:solidFill>
              <w14:schemeClr w14:val="tx1"/>
            </w14:solidFill>
          </w14:textFill>
        </w:rPr>
        <w:t>2022年医疗救助资金计划支出607.27万元，其中中央资金376.76万元，省级资金80.51万元，县级资金150万元。</w:t>
      </w:r>
    </w:p>
    <w:p w14:paraId="28291705">
      <w:pPr>
        <w:widowControl/>
        <w:adjustRightInd w:val="0"/>
        <w:snapToGrid w:val="0"/>
        <w:spacing w:line="578" w:lineRule="exact"/>
        <w:ind w:firstLine="643" w:firstLineChars="200"/>
        <w:contextualSpacing/>
        <w:jc w:val="left"/>
        <w:rPr>
          <w:rFonts w:hint="default" w:ascii="Times New Roman" w:hAnsi="Times New Roman" w:eastAsia="仿宋_GB2312" w:cs="Times New Roman"/>
          <w:color w:val="000000" w:themeColor="text1"/>
          <w:kern w:val="0"/>
          <w:sz w:val="32"/>
          <w:szCs w:val="32"/>
          <w:shd w:val="clear" w:color="auto" w:fill="FFFFFF"/>
          <w:lang w:val="zh-CN"/>
          <w14:textFill>
            <w14:solidFill>
              <w14:schemeClr w14:val="tx1"/>
            </w14:solidFill>
          </w14:textFill>
        </w:rPr>
      </w:pPr>
      <w:r>
        <w:rPr>
          <w:rFonts w:hint="default" w:ascii="Times New Roman" w:hAnsi="Times New Roman" w:eastAsia="仿宋_GB2312" w:cs="Times New Roman"/>
          <w:b/>
          <w:bCs/>
          <w:color w:val="000000" w:themeColor="text1"/>
          <w:kern w:val="0"/>
          <w:sz w:val="32"/>
          <w:szCs w:val="32"/>
          <w:shd w:val="clear" w:color="auto" w:fill="FFFFFF"/>
          <w:lang w:val="zh-CN"/>
          <w14:textFill>
            <w14:solidFill>
              <w14:schemeClr w14:val="tx1"/>
            </w14:solidFill>
          </w14:textFill>
        </w:rPr>
        <w:t>2.资金到位。</w:t>
      </w:r>
      <w:r>
        <w:rPr>
          <w:rFonts w:hint="default" w:ascii="Times New Roman" w:hAnsi="Times New Roman" w:eastAsia="仿宋_GB2312" w:cs="Times New Roman"/>
          <w:color w:val="000000" w:themeColor="text1"/>
          <w:kern w:val="0"/>
          <w:sz w:val="32"/>
          <w:szCs w:val="32"/>
          <w:shd w:val="clear" w:color="auto" w:fill="FFFFFF"/>
          <w:lang w:val="zh-CN" w:eastAsia="zh-CN"/>
          <w14:textFill>
            <w14:solidFill>
              <w14:schemeClr w14:val="tx1"/>
            </w14:solidFill>
          </w14:textFill>
        </w:rPr>
        <w:t>2022年到位资金607.27万元，其中中央资金376.76万元，省级资金80.51万元，县级资金150万元。到位率达100%，到位及时。</w:t>
      </w:r>
    </w:p>
    <w:p w14:paraId="24FAFF9C">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b/>
          <w:bCs/>
          <w:kern w:val="0"/>
          <w:sz w:val="32"/>
          <w:szCs w:val="32"/>
          <w:shd w:val="clear" w:color="auto" w:fill="FFFFFF"/>
          <w:lang w:val="zh-CN"/>
        </w:rPr>
        <w:t>3.资金使用。</w:t>
      </w:r>
      <w:r>
        <w:rPr>
          <w:rFonts w:hint="default" w:ascii="Times New Roman" w:hAnsi="Times New Roman" w:eastAsia="仿宋_GB2312" w:cs="Times New Roman"/>
          <w:kern w:val="0"/>
          <w:sz w:val="32"/>
          <w:szCs w:val="32"/>
          <w:shd w:val="clear" w:color="auto" w:fill="FFFFFF"/>
          <w:lang w:val="zh-CN" w:eastAsia="zh-CN"/>
        </w:rPr>
        <w:t>医疗救助资金根据医疗救助资金管理办法使用资金，专款专用。资金使用安全、规范、有效，主要用于资助困难群众参加城乡居民基本医疗保险、支付救助对象医疗费。</w:t>
      </w:r>
      <w:r>
        <w:rPr>
          <w:rFonts w:hint="default" w:ascii="Times New Roman" w:hAnsi="Times New Roman" w:eastAsia="仿宋_GB2312" w:cs="Times New Roman"/>
          <w:kern w:val="0"/>
          <w:sz w:val="32"/>
          <w:szCs w:val="32"/>
          <w:shd w:val="clear" w:color="auto" w:fill="FFFFFF"/>
          <w:lang w:val="zh-CN"/>
        </w:rPr>
        <w:t>支付范围、支付标准、支付进度、支付依据</w:t>
      </w:r>
      <w:r>
        <w:rPr>
          <w:rFonts w:hint="default" w:ascii="Times New Roman" w:hAnsi="Times New Roman" w:eastAsia="仿宋_GB2312" w:cs="Times New Roman"/>
          <w:kern w:val="0"/>
          <w:sz w:val="32"/>
          <w:szCs w:val="32"/>
          <w:shd w:val="clear" w:color="auto" w:fill="FFFFFF"/>
          <w:lang w:val="zh-CN" w:eastAsia="zh-CN"/>
        </w:rPr>
        <w:t>合规合法，与预算相符。</w:t>
      </w:r>
    </w:p>
    <w:p w14:paraId="7A5B6B84">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（三）项目财务管理情况。</w:t>
      </w:r>
    </w:p>
    <w:p w14:paraId="0AF450D5">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zh-CN" w:eastAsia="zh-CN"/>
        </w:rPr>
        <w:t>该项目实施单位财务管理制度健全，严格执行财务管理制度，账务处理及时，会计核算规范。</w:t>
      </w:r>
    </w:p>
    <w:p w14:paraId="557E9554">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三、项目实施及管理情况</w:t>
      </w:r>
    </w:p>
    <w:p w14:paraId="14FAC5FE">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（一）项目组织架构及实施流程。</w:t>
      </w:r>
    </w:p>
    <w:p w14:paraId="01AC46C0">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en-US" w:eastAsia="zh-CN"/>
        </w:rPr>
      </w:pPr>
      <w:r>
        <w:rPr>
          <w:rFonts w:hint="default" w:ascii="Times New Roman" w:hAnsi="Times New Roman" w:eastAsia="仿宋_GB2312" w:cs="Times New Roman"/>
          <w:kern w:val="0"/>
          <w:sz w:val="32"/>
          <w:szCs w:val="32"/>
          <w:shd w:val="clear" w:color="auto" w:fill="FFFFFF"/>
          <w:lang w:val="en-US" w:eastAsia="zh-CN"/>
        </w:rPr>
        <w:t>项目由医疗救助业务经办人员负责，负责项目的计划、执行、控制等。</w:t>
      </w:r>
    </w:p>
    <w:p w14:paraId="40661C84">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en-US" w:eastAsia="zh-CN"/>
        </w:rPr>
        <w:t>由于医疗保险基金为市级统筹。资金支付方式有：一是根据市级单位医疗救助“一单制”周转金划转表上解资金到市级单位统一核算；二是县内定点医疗机构产生的医疗救助费用由我单位直接拨付到定点医疗机构；三是在市内其他区县产生的医疗救助费用根据实际拨付到区县；四是未实现“一单制”结算的医疗救助费用通过惠民惠农“一卡通”支付到本人社会保障卡。</w:t>
      </w:r>
    </w:p>
    <w:p w14:paraId="30154232">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（二）项目管理情况。</w:t>
      </w:r>
    </w:p>
    <w:p w14:paraId="5AB62335">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zh-CN" w:eastAsia="zh-CN"/>
        </w:rPr>
        <w:t>按照上级部门要求，一是编制资金预算，二是定期核对资金，三是规范落实医疗救助政策。及时与财政局核对医疗救助资金，了解资金到位情况，医疗救助资金实行专账专户管理核算，资金使用有完整的审批程序和手续。严格执行《四川省中央和省级财政医疗救助补助资金管理办法》，费用申请、拨付流程按照单位内部管理办法，逐级审核支付。</w:t>
      </w:r>
    </w:p>
    <w:p w14:paraId="6AF08796">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（三）项目监管情况。</w:t>
      </w:r>
    </w:p>
    <w:p w14:paraId="57543661">
      <w:pPr>
        <w:adjustRightInd w:val="0"/>
        <w:snapToGrid w:val="0"/>
        <w:spacing w:line="578" w:lineRule="exact"/>
        <w:ind w:firstLine="720"/>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kern w:val="0"/>
          <w:sz w:val="32"/>
          <w:szCs w:val="32"/>
          <w:shd w:val="clear" w:color="auto" w:fill="FFFFFF"/>
          <w:lang w:val="zh-CN" w:eastAsia="zh-CN"/>
        </w:rPr>
        <w:t>为保障资金安全、有效使用，相关业务费用由业务经办人初审后，业务审核人复审，分管领导终审后交由财务审核支付。各个经办人、审核人对项目实施并监管，保障程序合理合规。</w:t>
      </w:r>
    </w:p>
    <w:p w14:paraId="23EE8E2F">
      <w:pPr>
        <w:adjustRightInd w:val="0"/>
        <w:snapToGrid w:val="0"/>
        <w:spacing w:line="578" w:lineRule="exact"/>
        <w:ind w:firstLine="720"/>
        <w:rPr>
          <w:rFonts w:hint="default" w:ascii="Times New Roman" w:hAnsi="Times New Roman" w:cs="Times New Roman"/>
          <w:sz w:val="32"/>
          <w:szCs w:val="32"/>
          <w:lang w:val="zh-CN"/>
        </w:rPr>
      </w:pPr>
      <w:r>
        <w:rPr>
          <w:rFonts w:hint="default" w:ascii="Times New Roman" w:hAnsi="Times New Roman" w:eastAsia="黑体" w:cs="Times New Roman"/>
          <w:sz w:val="32"/>
          <w:szCs w:val="32"/>
        </w:rPr>
        <w:t>四、项目绩效情况</w:t>
      </w:r>
      <w:r>
        <w:rPr>
          <w:rFonts w:hint="default" w:ascii="Times New Roman" w:hAnsi="Times New Roman" w:cs="Times New Roman"/>
          <w:sz w:val="32"/>
          <w:szCs w:val="32"/>
          <w:lang w:val="zh-CN"/>
        </w:rPr>
        <w:tab/>
      </w:r>
    </w:p>
    <w:p w14:paraId="06D5A828">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（一）项目完成情况。</w:t>
      </w:r>
    </w:p>
    <w:p w14:paraId="546FA4C9">
      <w:pPr>
        <w:widowControl/>
        <w:adjustRightInd w:val="0"/>
        <w:snapToGrid w:val="0"/>
        <w:spacing w:line="578" w:lineRule="exact"/>
        <w:ind w:firstLine="640" w:firstLineChars="200"/>
        <w:contextualSpacing/>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kern w:val="0"/>
          <w:sz w:val="32"/>
          <w:szCs w:val="32"/>
          <w:shd w:val="clear" w:color="auto" w:fill="FFFFFF"/>
          <w:lang w:val="zh-CN" w:eastAsia="zh-CN"/>
        </w:rPr>
        <w:t>2022年资助23854人参加城乡居民医疗保险；门诊、住院救助人次数达到9550人次；重点救助对象自付费用按规定年度限额内住院救助比例≥70%；“一站式”即时结算覆盖率达到100%。</w:t>
      </w:r>
      <w:r>
        <w:rPr>
          <w:rFonts w:hint="default" w:ascii="Times New Roman" w:hAnsi="Times New Roman" w:eastAsia="仿宋_GB2312" w:cs="Times New Roman"/>
          <w:kern w:val="0"/>
          <w:sz w:val="32"/>
          <w:szCs w:val="32"/>
          <w:shd w:val="clear" w:color="auto" w:fill="FFFFFF"/>
          <w:lang w:val="zh-CN"/>
        </w:rPr>
        <w:t>项目</w:t>
      </w:r>
      <w:r>
        <w:rPr>
          <w:rFonts w:hint="default" w:ascii="Times New Roman" w:hAnsi="Times New Roman" w:eastAsia="仿宋_GB2312" w:cs="Times New Roman"/>
          <w:kern w:val="0"/>
          <w:sz w:val="32"/>
          <w:szCs w:val="32"/>
          <w:shd w:val="clear" w:color="auto" w:fill="FFFFFF"/>
          <w:lang w:val="zh-CN" w:eastAsia="zh-CN"/>
        </w:rPr>
        <w:t>指标</w:t>
      </w:r>
      <w:r>
        <w:rPr>
          <w:rFonts w:hint="default" w:ascii="Times New Roman" w:hAnsi="Times New Roman" w:eastAsia="仿宋_GB2312" w:cs="Times New Roman"/>
          <w:kern w:val="0"/>
          <w:sz w:val="32"/>
          <w:szCs w:val="32"/>
          <w:shd w:val="clear" w:color="auto" w:fill="FFFFFF"/>
          <w:lang w:val="zh-CN"/>
        </w:rPr>
        <w:t>完成</w:t>
      </w:r>
      <w:r>
        <w:rPr>
          <w:rFonts w:hint="default" w:ascii="Times New Roman" w:hAnsi="Times New Roman" w:eastAsia="仿宋_GB2312" w:cs="Times New Roman"/>
          <w:kern w:val="0"/>
          <w:sz w:val="32"/>
          <w:szCs w:val="32"/>
          <w:shd w:val="clear" w:color="auto" w:fill="FFFFFF"/>
          <w:lang w:val="zh-CN" w:eastAsia="zh-CN"/>
        </w:rPr>
        <w:t>较好</w:t>
      </w:r>
      <w:r>
        <w:rPr>
          <w:rFonts w:hint="default" w:ascii="Times New Roman" w:hAnsi="Times New Roman" w:eastAsia="仿宋_GB2312" w:cs="Times New Roman"/>
          <w:kern w:val="0"/>
          <w:sz w:val="32"/>
          <w:szCs w:val="32"/>
          <w:shd w:val="clear" w:color="auto" w:fill="FFFFFF"/>
          <w:lang w:val="zh-CN"/>
        </w:rPr>
        <w:t>，资金</w:t>
      </w:r>
      <w:r>
        <w:rPr>
          <w:rFonts w:hint="default" w:ascii="Times New Roman" w:hAnsi="Times New Roman" w:eastAsia="仿宋_GB2312" w:cs="Times New Roman"/>
          <w:kern w:val="0"/>
          <w:sz w:val="32"/>
          <w:szCs w:val="32"/>
          <w:shd w:val="clear" w:color="auto" w:fill="FFFFFF"/>
          <w:lang w:val="zh-CN" w:eastAsia="zh-CN"/>
        </w:rPr>
        <w:t>无</w:t>
      </w:r>
      <w:r>
        <w:rPr>
          <w:rFonts w:hint="default" w:ascii="Times New Roman" w:hAnsi="Times New Roman" w:eastAsia="仿宋_GB2312" w:cs="Times New Roman"/>
          <w:kern w:val="0"/>
          <w:sz w:val="32"/>
          <w:szCs w:val="32"/>
          <w:shd w:val="clear" w:color="auto" w:fill="FFFFFF"/>
          <w:lang w:val="zh-CN"/>
        </w:rPr>
        <w:t>结余，</w:t>
      </w:r>
      <w:r>
        <w:rPr>
          <w:rFonts w:hint="default" w:ascii="Times New Roman" w:hAnsi="Times New Roman" w:eastAsia="仿宋_GB2312" w:cs="Times New Roman"/>
          <w:kern w:val="0"/>
          <w:sz w:val="32"/>
          <w:szCs w:val="32"/>
          <w:shd w:val="clear" w:color="auto" w:fill="FFFFFF"/>
          <w:lang w:val="zh-CN" w:eastAsia="zh-CN"/>
        </w:rPr>
        <w:t>无</w:t>
      </w:r>
      <w:r>
        <w:rPr>
          <w:rFonts w:hint="default" w:ascii="Times New Roman" w:hAnsi="Times New Roman" w:eastAsia="仿宋_GB2312" w:cs="Times New Roman"/>
          <w:kern w:val="0"/>
          <w:sz w:val="32"/>
          <w:szCs w:val="32"/>
          <w:shd w:val="clear" w:color="auto" w:fill="FFFFFF"/>
          <w:lang w:val="zh-CN"/>
        </w:rPr>
        <w:t>违规记录等，对照项目计划完成目标，任务量完成</w:t>
      </w:r>
      <w:r>
        <w:rPr>
          <w:rFonts w:hint="default" w:ascii="Times New Roman" w:hAnsi="Times New Roman" w:eastAsia="仿宋_GB2312" w:cs="Times New Roman"/>
          <w:kern w:val="0"/>
          <w:sz w:val="32"/>
          <w:szCs w:val="32"/>
          <w:shd w:val="clear" w:color="auto" w:fill="FFFFFF"/>
          <w:lang w:val="zh-CN" w:eastAsia="zh-CN"/>
        </w:rPr>
        <w:t>较好</w:t>
      </w:r>
      <w:r>
        <w:rPr>
          <w:rFonts w:hint="default" w:ascii="Times New Roman" w:hAnsi="Times New Roman" w:eastAsia="仿宋_GB2312" w:cs="Times New Roman"/>
          <w:kern w:val="0"/>
          <w:sz w:val="32"/>
          <w:szCs w:val="32"/>
          <w:shd w:val="clear" w:color="auto" w:fill="FFFFFF"/>
          <w:lang w:val="zh-CN"/>
        </w:rPr>
        <w:t>、质量标准、进度</w:t>
      </w:r>
      <w:r>
        <w:rPr>
          <w:rFonts w:hint="default" w:ascii="Times New Roman" w:hAnsi="Times New Roman" w:eastAsia="仿宋_GB2312" w:cs="Times New Roman"/>
          <w:kern w:val="0"/>
          <w:sz w:val="32"/>
          <w:szCs w:val="32"/>
          <w:shd w:val="clear" w:color="auto" w:fill="FFFFFF"/>
          <w:lang w:val="zh-CN" w:eastAsia="zh-CN"/>
        </w:rPr>
        <w:t>按计划有序推进</w:t>
      </w:r>
      <w:r>
        <w:rPr>
          <w:rFonts w:hint="default" w:ascii="Times New Roman" w:hAnsi="Times New Roman" w:eastAsia="仿宋_GB2312" w:cs="Times New Roman"/>
          <w:kern w:val="0"/>
          <w:sz w:val="32"/>
          <w:szCs w:val="32"/>
          <w:shd w:val="clear" w:color="auto" w:fill="FFFFFF"/>
          <w:lang w:val="zh-CN"/>
        </w:rPr>
        <w:t>。</w:t>
      </w:r>
    </w:p>
    <w:p w14:paraId="158D1648">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（二）项目效益情况。</w:t>
      </w:r>
    </w:p>
    <w:p w14:paraId="29DD1BAA">
      <w:pPr>
        <w:widowControl/>
        <w:adjustRightInd w:val="0"/>
        <w:snapToGrid w:val="0"/>
        <w:spacing w:line="578" w:lineRule="exact"/>
        <w:ind w:firstLine="643" w:firstLineChars="200"/>
        <w:contextualSpacing/>
        <w:rPr>
          <w:rFonts w:hint="default" w:ascii="Times New Roman" w:hAnsi="Times New Roman" w:eastAsia="仿宋_GB2312" w:cs="Times New Roman"/>
          <w:kern w:val="0"/>
          <w:sz w:val="32"/>
          <w:szCs w:val="32"/>
          <w:shd w:val="clear" w:color="auto" w:fill="FFFFFF"/>
          <w:lang w:val="zh-CN" w:eastAsia="zh-CN"/>
        </w:rPr>
      </w:pPr>
      <w:r>
        <w:rPr>
          <w:rFonts w:hint="default" w:ascii="Times New Roman" w:hAnsi="Times New Roman" w:eastAsia="仿宋_GB2312" w:cs="Times New Roman"/>
          <w:b/>
          <w:bCs/>
          <w:kern w:val="0"/>
          <w:sz w:val="32"/>
          <w:szCs w:val="32"/>
          <w:shd w:val="clear" w:color="auto" w:fill="FFFFFF"/>
          <w:lang w:val="zh-CN" w:eastAsia="zh-CN"/>
        </w:rPr>
        <w:t>1.经济效益。</w:t>
      </w:r>
      <w:r>
        <w:rPr>
          <w:rFonts w:hint="default" w:ascii="Times New Roman" w:hAnsi="Times New Roman" w:eastAsia="仿宋_GB2312" w:cs="Times New Roman"/>
          <w:kern w:val="0"/>
          <w:sz w:val="32"/>
          <w:szCs w:val="32"/>
          <w:shd w:val="clear" w:color="auto" w:fill="FFFFFF"/>
          <w:lang w:val="zh-CN" w:eastAsia="zh-CN"/>
        </w:rPr>
        <w:t>不合理累计结余减少程度达到90%以上。</w:t>
      </w:r>
    </w:p>
    <w:p w14:paraId="0814D1BE">
      <w:pPr>
        <w:widowControl/>
        <w:adjustRightInd w:val="0"/>
        <w:snapToGrid w:val="0"/>
        <w:spacing w:line="578" w:lineRule="exact"/>
        <w:ind w:firstLine="643" w:firstLineChars="200"/>
        <w:contextualSpacing/>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eastAsia="zh-CN"/>
        </w:rPr>
        <w:t>2.社会效益。</w:t>
      </w:r>
      <w:r>
        <w:rPr>
          <w:rFonts w:hint="default" w:ascii="Times New Roman" w:hAnsi="Times New Roman" w:eastAsia="仿宋_GB2312" w:cs="Times New Roman"/>
          <w:kern w:val="0"/>
          <w:sz w:val="32"/>
          <w:szCs w:val="32"/>
          <w:shd w:val="clear" w:color="auto" w:fill="FFFFFF"/>
          <w:lang w:val="zh-CN" w:eastAsia="zh-CN"/>
        </w:rPr>
        <w:t>医疗救助是各级政府解决困难群众医疗负担问题的制度性安排，是社会救助体系内的基本内容之一。体现的是基本救助制度，具有稳定性、程序性、限制性的特点。通过资助参保解决了困难群众基本医疗保障问题，通过门诊、住院救助极大降低因病致贫返贫的可能。医疗救助与基本医疗保险形成了分层次医疗保障体系，显著促进了社会稳定。通过实施医疗救助“一单制”结算和“一卡通”平台发放，进一步完善了医疗救助体制机制，降低了医疗救助政策执行的运行成本，有效维护了群众利益，实现了医疗救助托底保障功能。</w:t>
      </w:r>
    </w:p>
    <w:p w14:paraId="44ED8025">
      <w:pPr>
        <w:widowControl/>
        <w:adjustRightInd w:val="0"/>
        <w:snapToGrid w:val="0"/>
        <w:spacing w:line="578" w:lineRule="exact"/>
        <w:ind w:firstLine="643" w:firstLineChars="200"/>
        <w:contextualSpacing/>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eastAsia="zh-CN"/>
        </w:rPr>
        <w:t>3.可持续影响。</w:t>
      </w:r>
      <w:r>
        <w:rPr>
          <w:rFonts w:hint="default" w:ascii="Times New Roman" w:hAnsi="Times New Roman" w:eastAsia="仿宋_GB2312" w:cs="Times New Roman"/>
          <w:kern w:val="0"/>
          <w:sz w:val="32"/>
          <w:szCs w:val="32"/>
          <w:shd w:val="clear" w:color="auto" w:fill="FFFFFF"/>
          <w:lang w:val="zh-CN" w:eastAsia="zh-CN"/>
        </w:rPr>
        <w:t>2022年，我县医疗救助全面落实国务院《社会救助暂行办法》、四川省《社会救助实施办法》《民政事业发展第十三个五年规划》、市委、市政府《关于进一步健全城乡社会救助体系建设的意见》，医疗救助与城乡低保、城乡特困人员救助供养、乡村振兴、残疾人保障等制度有效衔接，深入融合，困难群众看病就医方便程度显著提高，进一步完善了我县社会救助体系。以“医疗救助+信息化”和健全社会保障体系，提高社会保障水平起到积极的促进作用，与养老、住房、教育、公用事业管理等保障措施共同形成了社会保障体系。</w:t>
      </w:r>
    </w:p>
    <w:p w14:paraId="10880BB6">
      <w:pPr>
        <w:widowControl/>
        <w:adjustRightInd w:val="0"/>
        <w:snapToGrid w:val="0"/>
        <w:spacing w:line="578" w:lineRule="exact"/>
        <w:ind w:firstLine="643" w:firstLineChars="200"/>
        <w:contextualSpacing/>
        <w:rPr>
          <w:rFonts w:hint="default" w:ascii="Times New Roman" w:hAnsi="Times New Roman" w:eastAsia="仿宋_GB2312" w:cs="Times New Roman"/>
          <w:kern w:val="0"/>
          <w:sz w:val="32"/>
          <w:szCs w:val="32"/>
          <w:shd w:val="clear" w:color="auto" w:fill="FFFFFF"/>
          <w:lang w:val="zh-CN"/>
        </w:rPr>
      </w:pPr>
      <w:r>
        <w:rPr>
          <w:rFonts w:hint="default" w:ascii="Times New Roman" w:hAnsi="Times New Roman" w:eastAsia="仿宋_GB2312" w:cs="Times New Roman"/>
          <w:b/>
          <w:bCs/>
          <w:kern w:val="0"/>
          <w:sz w:val="32"/>
          <w:szCs w:val="32"/>
          <w:shd w:val="clear" w:color="auto" w:fill="FFFFFF"/>
          <w:lang w:val="zh-CN" w:eastAsia="zh-CN"/>
        </w:rPr>
        <w:t>4.服务对象满意度。</w:t>
      </w:r>
      <w:r>
        <w:rPr>
          <w:rFonts w:hint="default" w:ascii="Times New Roman" w:hAnsi="Times New Roman" w:eastAsia="仿宋_GB2312" w:cs="Times New Roman"/>
          <w:kern w:val="0"/>
          <w:sz w:val="32"/>
          <w:szCs w:val="32"/>
          <w:shd w:val="clear" w:color="auto" w:fill="FFFFFF"/>
          <w:lang w:val="zh-CN" w:eastAsia="zh-CN"/>
        </w:rPr>
        <w:t>政策知晓率达到98%，工作满意度达到97%。</w:t>
      </w:r>
    </w:p>
    <w:p w14:paraId="7D7F5357">
      <w:pPr>
        <w:adjustRightInd w:val="0"/>
        <w:snapToGrid w:val="0"/>
        <w:spacing w:line="578" w:lineRule="exact"/>
        <w:ind w:firstLine="72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五、评价结论及建议</w:t>
      </w:r>
    </w:p>
    <w:p w14:paraId="4D1857B7">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（一）评价结论。</w:t>
      </w:r>
    </w:p>
    <w:p w14:paraId="3D885CB1">
      <w:pPr>
        <w:adjustRightInd w:val="0"/>
        <w:snapToGrid w:val="0"/>
        <w:spacing w:line="578" w:lineRule="exact"/>
        <w:ind w:firstLine="720"/>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lang w:eastAsia="zh-CN"/>
        </w:rPr>
        <w:t>该项目的实施主要是资助困难群众参加居民医疗保险；强化医疗救助规范管理，有效化解不合理累计结余；减轻困难群众医疗负担。对照项目绩效指标，都较好</w:t>
      </w:r>
      <w:r>
        <w:rPr>
          <w:rFonts w:hint="eastAsia" w:eastAsia="仿宋_GB2312" w:cs="Times New Roman"/>
          <w:color w:val="auto"/>
          <w:sz w:val="32"/>
          <w:szCs w:val="32"/>
          <w:lang w:eastAsia="zh-CN"/>
        </w:rPr>
        <w:t>地</w:t>
      </w:r>
      <w:r>
        <w:rPr>
          <w:rFonts w:hint="default" w:ascii="Times New Roman" w:hAnsi="Times New Roman" w:eastAsia="仿宋_GB2312" w:cs="Times New Roman"/>
          <w:color w:val="auto"/>
          <w:sz w:val="32"/>
          <w:szCs w:val="32"/>
          <w:lang w:eastAsia="zh-CN"/>
        </w:rPr>
        <w:t>完成了各项绩效指标。</w:t>
      </w:r>
    </w:p>
    <w:p w14:paraId="4C56EF1D">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（二）存在的问题。</w:t>
      </w:r>
    </w:p>
    <w:p w14:paraId="6D420481">
      <w:pPr>
        <w:adjustRightInd w:val="0"/>
        <w:snapToGrid w:val="0"/>
        <w:spacing w:line="578" w:lineRule="exact"/>
        <w:ind w:firstLine="72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网络建设</w:t>
      </w:r>
      <w:r>
        <w:rPr>
          <w:rFonts w:hint="default" w:ascii="Times New Roman" w:hAnsi="Times New Roman" w:eastAsia="仿宋_GB2312" w:cs="Times New Roman"/>
          <w:sz w:val="32"/>
          <w:szCs w:val="32"/>
          <w:lang w:eastAsia="zh-CN"/>
        </w:rPr>
        <w:t>仍未</w:t>
      </w:r>
      <w:r>
        <w:rPr>
          <w:rFonts w:hint="default" w:ascii="Times New Roman" w:hAnsi="Times New Roman" w:eastAsia="仿宋_GB2312" w:cs="Times New Roman"/>
          <w:sz w:val="32"/>
          <w:szCs w:val="32"/>
        </w:rPr>
        <w:t>完善，门诊医疗救助目前还不能实现医院</w:t>
      </w:r>
      <w:r>
        <w:rPr>
          <w:rFonts w:hint="default" w:ascii="Times New Roman" w:hAnsi="Times New Roman" w:cs="Times New Roman"/>
          <w:sz w:val="32"/>
          <w:szCs w:val="32"/>
          <w:lang w:eastAsia="zh-CN"/>
        </w:rPr>
        <w:t>“一单制”</w:t>
      </w:r>
      <w:r>
        <w:rPr>
          <w:rFonts w:hint="default" w:ascii="Times New Roman" w:hAnsi="Times New Roman" w:eastAsia="仿宋_GB2312" w:cs="Times New Roman"/>
          <w:sz w:val="32"/>
          <w:szCs w:val="32"/>
        </w:rPr>
        <w:t>联网结算。</w:t>
      </w:r>
    </w:p>
    <w:p w14:paraId="626E9E06">
      <w:pPr>
        <w:widowControl/>
        <w:numPr>
          <w:ilvl w:val="0"/>
          <w:numId w:val="0"/>
        </w:numPr>
        <w:adjustRightInd w:val="0"/>
        <w:snapToGrid w:val="0"/>
        <w:spacing w:line="560" w:lineRule="exact"/>
        <w:ind w:firstLine="640" w:firstLineChars="200"/>
        <w:contextualSpacing/>
        <w:jc w:val="left"/>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pPr>
      <w:r>
        <w:rPr>
          <w:rFonts w:hint="default" w:ascii="Times New Roman" w:hAnsi="Times New Roman" w:eastAsia="楷体_GB2312" w:cs="Times New Roman"/>
          <w:b w:val="0"/>
          <w:bCs w:val="0"/>
          <w:color w:val="000000" w:themeColor="text1"/>
          <w:kern w:val="0"/>
          <w:sz w:val="32"/>
          <w:szCs w:val="32"/>
          <w:shd w:val="clear" w:fill="FFFFFF"/>
          <w:lang w:val="zh-CN" w:eastAsia="zh-CN" w:bidi="ar-SA"/>
          <w14:textFill>
            <w14:solidFill>
              <w14:schemeClr w14:val="tx1"/>
            </w14:solidFill>
          </w14:textFill>
        </w:rPr>
        <w:t>（三）相关建议。</w:t>
      </w:r>
    </w:p>
    <w:p w14:paraId="1EC2509F">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建议上级部门完善医疗救助门诊“一单制”结算系统，杜绝群众“多跑路”现象，更好</w:t>
      </w:r>
      <w:r>
        <w:rPr>
          <w:rFonts w:hint="eastAsia" w:eastAsia="仿宋_GB2312" w:cs="Times New Roman"/>
          <w:sz w:val="32"/>
          <w:szCs w:val="32"/>
          <w:lang w:val="en-US" w:eastAsia="zh-CN"/>
        </w:rPr>
        <w:t>地</w:t>
      </w:r>
      <w:r>
        <w:rPr>
          <w:rFonts w:hint="default" w:ascii="Times New Roman" w:hAnsi="Times New Roman" w:eastAsia="仿宋_GB2312" w:cs="Times New Roman"/>
          <w:sz w:val="32"/>
          <w:szCs w:val="32"/>
          <w:lang w:val="en-US" w:eastAsia="zh-CN"/>
        </w:rPr>
        <w:t>服务于群众，提高群众满意度。</w:t>
      </w:r>
    </w:p>
    <w:p w14:paraId="339CCD12">
      <w:pPr>
        <w:spacing w:line="580" w:lineRule="exact"/>
        <w:rPr>
          <w:rStyle w:val="28"/>
          <w:rFonts w:hint="default" w:ascii="Times New Roman" w:hAnsi="Times New Roman" w:eastAsia="黑体" w:cs="Times New Roman"/>
          <w:b w:val="0"/>
        </w:rPr>
      </w:pPr>
    </w:p>
    <w:p w14:paraId="1840F981">
      <w:pPr>
        <w:widowControl/>
        <w:jc w:val="left"/>
        <w:rPr>
          <w:rStyle w:val="28"/>
          <w:rFonts w:hint="default" w:ascii="Times New Roman" w:hAnsi="Times New Roman" w:eastAsia="黑体" w:cs="Times New Roman"/>
          <w:b w:val="0"/>
        </w:rPr>
      </w:pPr>
      <w:r>
        <w:rPr>
          <w:rStyle w:val="28"/>
          <w:rFonts w:hint="default" w:ascii="Times New Roman" w:hAnsi="Times New Roman" w:eastAsia="黑体" w:cs="Times New Roman"/>
          <w:b w:val="0"/>
        </w:rPr>
        <w:br w:type="page"/>
      </w:r>
    </w:p>
    <w:p w14:paraId="1C5D250E">
      <w:pPr>
        <w:spacing w:line="600" w:lineRule="exact"/>
        <w:jc w:val="center"/>
        <w:outlineLvl w:val="0"/>
        <w:rPr>
          <w:rFonts w:hint="default" w:ascii="Times New Roman" w:hAnsi="Times New Roman" w:eastAsia="黑体" w:cs="Times New Roman"/>
          <w:sz w:val="44"/>
          <w:szCs w:val="44"/>
        </w:rPr>
        <w:sectPr>
          <w:pgSz w:w="11906" w:h="16838"/>
          <w:pgMar w:top="1440" w:right="1800" w:bottom="1440" w:left="1800" w:header="851" w:footer="992" w:gutter="0"/>
          <w:pgNumType w:fmt="numberInDash"/>
          <w:cols w:space="425" w:num="1"/>
          <w:titlePg/>
          <w:docGrid w:type="lines" w:linePitch="312" w:charSpace="0"/>
        </w:sectPr>
      </w:pPr>
      <w:bookmarkStart w:id="53" w:name="_Toc15396618"/>
    </w:p>
    <w:p w14:paraId="63FDEE57">
      <w:pPr>
        <w:pageBreakBefore w:val="0"/>
        <w:widowControl w:val="0"/>
        <w:numPr>
          <w:ilvl w:val="0"/>
          <w:numId w:val="2"/>
        </w:numPr>
        <w:kinsoku/>
        <w:wordWrap/>
        <w:overflowPunct/>
        <w:topLinePunct w:val="0"/>
        <w:autoSpaceDE/>
        <w:autoSpaceDN/>
        <w:bidi w:val="0"/>
        <w:adjustRightInd/>
        <w:snapToGrid/>
        <w:spacing w:afterAutospacing="0" w:line="560" w:lineRule="exact"/>
        <w:ind w:left="0" w:leftChars="0" w:firstLine="660" w:firstLineChars="150"/>
        <w:jc w:val="center"/>
        <w:textAlignment w:val="auto"/>
        <w:outlineLvl w:val="0"/>
        <w:rPr>
          <w:rFonts w:hint="default" w:ascii="Times New Roman" w:hAnsi="Times New Roman" w:eastAsia="方正小标宋简体" w:cs="Times New Roman"/>
          <w:b w:val="0"/>
          <w:bCs/>
          <w:kern w:val="44"/>
          <w:sz w:val="44"/>
          <w:szCs w:val="44"/>
          <w:lang w:val="en-US" w:eastAsia="zh-CN" w:bidi="ar-SA"/>
        </w:rPr>
      </w:pPr>
      <w:r>
        <w:rPr>
          <w:rFonts w:hint="default" w:ascii="Times New Roman" w:hAnsi="Times New Roman" w:eastAsia="方正小标宋简体" w:cs="Times New Roman"/>
          <w:b w:val="0"/>
          <w:bCs/>
          <w:kern w:val="44"/>
          <w:sz w:val="44"/>
          <w:szCs w:val="44"/>
          <w:lang w:val="en-US" w:eastAsia="zh-CN" w:bidi="ar-SA"/>
        </w:rPr>
        <w:t>附表</w:t>
      </w:r>
      <w:bookmarkEnd w:id="51"/>
      <w:bookmarkEnd w:id="53"/>
      <w:bookmarkStart w:id="54" w:name="_Toc15396619"/>
    </w:p>
    <w:p w14:paraId="48B55C4A">
      <w:pPr>
        <w:pageBreakBefore w:val="0"/>
        <w:widowControl w:val="0"/>
        <w:numPr>
          <w:ilvl w:val="0"/>
          <w:numId w:val="0"/>
        </w:numPr>
        <w:kinsoku/>
        <w:wordWrap/>
        <w:overflowPunct/>
        <w:topLinePunct w:val="0"/>
        <w:autoSpaceDE/>
        <w:autoSpaceDN/>
        <w:bidi w:val="0"/>
        <w:adjustRightInd/>
        <w:snapToGrid/>
        <w:spacing w:afterAutospacing="0" w:line="560" w:lineRule="exact"/>
        <w:ind w:leftChars="150"/>
        <w:jc w:val="both"/>
        <w:textAlignment w:val="auto"/>
        <w:outlineLvl w:val="0"/>
        <w:rPr>
          <w:rFonts w:hint="default" w:ascii="Times New Roman" w:hAnsi="Times New Roman" w:eastAsia="仿宋" w:cs="Times New Roman"/>
          <w:b w:val="0"/>
        </w:rPr>
      </w:pPr>
      <w:r>
        <w:rPr>
          <w:rStyle w:val="29"/>
          <w:rFonts w:hint="default" w:ascii="Times New Roman" w:hAnsi="Times New Roman" w:eastAsia="黑体" w:cs="Times New Roman"/>
          <w:b w:val="0"/>
          <w:bCs w:val="0"/>
        </w:rPr>
        <w:t>一、收入支出决算总表</w:t>
      </w:r>
    </w:p>
    <w:p w14:paraId="4CDD84CF">
      <w:pPr>
        <w:rPr>
          <w:rFonts w:hint="default"/>
        </w:rPr>
      </w:pPr>
    </w:p>
    <w:p w14:paraId="3C0CBBD5">
      <w:pPr>
        <w:rPr>
          <w:rFonts w:hint="default"/>
        </w:rPr>
        <w:sectPr>
          <w:pgSz w:w="16838" w:h="11906" w:orient="landscape"/>
          <w:pgMar w:top="1800" w:right="1440" w:bottom="1800" w:left="1440" w:header="851" w:footer="992" w:gutter="0"/>
          <w:pgNumType w:fmt="numberInDash"/>
          <w:cols w:space="425" w:num="1"/>
          <w:titlePg/>
          <w:docGrid w:type="lines" w:linePitch="312" w:charSpace="0"/>
        </w:sectPr>
      </w:pPr>
      <w:r>
        <w:drawing>
          <wp:inline distT="0" distB="0" distL="114300" distR="114300">
            <wp:extent cx="5715000" cy="4338955"/>
            <wp:effectExtent l="0" t="0" r="0" b="4445"/>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27"/>
                    <a:stretch>
                      <a:fillRect/>
                    </a:stretch>
                  </pic:blipFill>
                  <pic:spPr>
                    <a:xfrm>
                      <a:off x="0" y="0"/>
                      <a:ext cx="5715000" cy="4338955"/>
                    </a:xfrm>
                    <a:prstGeom prst="rect">
                      <a:avLst/>
                    </a:prstGeom>
                    <a:noFill/>
                    <a:ln>
                      <a:noFill/>
                    </a:ln>
                  </pic:spPr>
                </pic:pic>
              </a:graphicData>
            </a:graphic>
          </wp:inline>
        </w:drawing>
      </w:r>
    </w:p>
    <w:bookmarkEnd w:id="54"/>
    <w:p w14:paraId="3659ECE4">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bookmarkStart w:id="55" w:name="_Toc15396620"/>
      <w:r>
        <w:rPr>
          <w:rStyle w:val="29"/>
          <w:rFonts w:hint="default" w:ascii="Times New Roman" w:hAnsi="Times New Roman" w:eastAsia="黑体" w:cs="Times New Roman"/>
          <w:b w:val="0"/>
          <w:bCs w:val="0"/>
        </w:rPr>
        <w:t>二、收入决算表</w:t>
      </w:r>
      <w:bookmarkEnd w:id="55"/>
    </w:p>
    <w:p w14:paraId="4599C4C1">
      <w:pPr>
        <w:rPr>
          <w:rFonts w:hint="default" w:ascii="Times New Roman" w:hAnsi="Times New Roman" w:cs="Times New Roman"/>
        </w:rPr>
      </w:pPr>
      <w:r>
        <w:drawing>
          <wp:inline distT="0" distB="0" distL="114300" distR="114300">
            <wp:extent cx="8646160" cy="4149090"/>
            <wp:effectExtent l="0" t="0" r="2540" b="381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28"/>
                    <a:stretch>
                      <a:fillRect/>
                    </a:stretch>
                  </pic:blipFill>
                  <pic:spPr>
                    <a:xfrm>
                      <a:off x="0" y="0"/>
                      <a:ext cx="8646160" cy="4149090"/>
                    </a:xfrm>
                    <a:prstGeom prst="rect">
                      <a:avLst/>
                    </a:prstGeom>
                    <a:noFill/>
                    <a:ln>
                      <a:noFill/>
                    </a:ln>
                  </pic:spPr>
                </pic:pic>
              </a:graphicData>
            </a:graphic>
          </wp:inline>
        </w:drawing>
      </w:r>
    </w:p>
    <w:p w14:paraId="22558C18">
      <w:pPr>
        <w:rPr>
          <w:rFonts w:hint="default" w:ascii="Times New Roman" w:hAnsi="Times New Roman" w:cs="Times New Roman"/>
        </w:rPr>
      </w:pPr>
    </w:p>
    <w:p w14:paraId="7933C7AC">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三、支出决算表</w:t>
      </w:r>
    </w:p>
    <w:p w14:paraId="524FFFE8">
      <w:pPr>
        <w:pStyle w:val="3"/>
        <w:rPr>
          <w:rStyle w:val="29"/>
          <w:rFonts w:hint="default" w:ascii="Times New Roman" w:hAnsi="Times New Roman" w:eastAsia="仿宋" w:cs="Times New Roman"/>
          <w:b w:val="0"/>
          <w:bCs w:val="0"/>
        </w:rPr>
      </w:pPr>
      <w:r>
        <w:drawing>
          <wp:inline distT="0" distB="0" distL="114300" distR="114300">
            <wp:extent cx="8604885" cy="4671060"/>
            <wp:effectExtent l="0" t="0" r="5715" b="1524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29"/>
                    <a:stretch>
                      <a:fillRect/>
                    </a:stretch>
                  </pic:blipFill>
                  <pic:spPr>
                    <a:xfrm>
                      <a:off x="0" y="0"/>
                      <a:ext cx="8604885" cy="4671060"/>
                    </a:xfrm>
                    <a:prstGeom prst="rect">
                      <a:avLst/>
                    </a:prstGeom>
                    <a:noFill/>
                    <a:ln>
                      <a:noFill/>
                    </a:ln>
                  </pic:spPr>
                </pic:pic>
              </a:graphicData>
            </a:graphic>
          </wp:inline>
        </w:drawing>
      </w:r>
    </w:p>
    <w:p w14:paraId="44D202F3">
      <w:pPr>
        <w:rPr>
          <w:rFonts w:hint="default" w:ascii="Times New Roman" w:hAnsi="Times New Roman" w:cs="Times New Roman"/>
        </w:rPr>
      </w:pPr>
    </w:p>
    <w:p w14:paraId="69A32ACE">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四、财政拨款收入支出决算总表</w:t>
      </w:r>
    </w:p>
    <w:p w14:paraId="3DF69884">
      <w:pPr>
        <w:rPr>
          <w:rFonts w:hint="default" w:ascii="Times New Roman" w:hAnsi="Times New Roman" w:cs="Times New Roman"/>
        </w:rPr>
      </w:pPr>
      <w:r>
        <w:drawing>
          <wp:inline distT="0" distB="0" distL="114300" distR="114300">
            <wp:extent cx="7776210" cy="5198110"/>
            <wp:effectExtent l="0" t="0" r="15240" b="254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30"/>
                    <a:stretch>
                      <a:fillRect/>
                    </a:stretch>
                  </pic:blipFill>
                  <pic:spPr>
                    <a:xfrm>
                      <a:off x="0" y="0"/>
                      <a:ext cx="7776210" cy="5198110"/>
                    </a:xfrm>
                    <a:prstGeom prst="rect">
                      <a:avLst/>
                    </a:prstGeom>
                    <a:noFill/>
                    <a:ln>
                      <a:noFill/>
                    </a:ln>
                  </pic:spPr>
                </pic:pic>
              </a:graphicData>
            </a:graphic>
          </wp:inline>
        </w:drawing>
      </w:r>
    </w:p>
    <w:p w14:paraId="66F02C5A">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sectPr>
          <w:pgSz w:w="16838" w:h="11906" w:orient="landscape"/>
          <w:pgMar w:top="1236" w:right="1440" w:bottom="1800" w:left="1440" w:header="851" w:footer="992" w:gutter="0"/>
          <w:pgNumType w:fmt="numberInDash"/>
          <w:cols w:space="425" w:num="1"/>
          <w:titlePg/>
          <w:docGrid w:type="lines" w:linePitch="312" w:charSpace="0"/>
        </w:sectPr>
      </w:pPr>
    </w:p>
    <w:p w14:paraId="089E106D">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五、财政拨款支出决算明细表</w:t>
      </w:r>
    </w:p>
    <w:p w14:paraId="639C9FD6">
      <w:pPr>
        <w:rPr>
          <w:rFonts w:hint="default"/>
        </w:rPr>
        <w:sectPr>
          <w:pgSz w:w="11906" w:h="16838"/>
          <w:pgMar w:top="1440" w:right="1800" w:bottom="1440" w:left="1236" w:header="851" w:footer="992" w:gutter="0"/>
          <w:pgNumType w:fmt="numberInDash"/>
          <w:cols w:space="425" w:num="1"/>
          <w:titlePg/>
          <w:docGrid w:type="lines" w:linePitch="312" w:charSpace="0"/>
        </w:sectPr>
      </w:pPr>
      <w:r>
        <w:drawing>
          <wp:inline distT="0" distB="0" distL="114300" distR="114300">
            <wp:extent cx="5093970" cy="8432800"/>
            <wp:effectExtent l="0" t="0" r="11430" b="6350"/>
            <wp:docPr id="1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pic:cNvPicPr>
                      <a:picLocks noChangeAspect="1"/>
                    </pic:cNvPicPr>
                  </pic:nvPicPr>
                  <pic:blipFill>
                    <a:blip r:embed="rId31"/>
                    <a:stretch>
                      <a:fillRect/>
                    </a:stretch>
                  </pic:blipFill>
                  <pic:spPr>
                    <a:xfrm>
                      <a:off x="0" y="0"/>
                      <a:ext cx="5093970" cy="8432800"/>
                    </a:xfrm>
                    <a:prstGeom prst="rect">
                      <a:avLst/>
                    </a:prstGeom>
                    <a:noFill/>
                    <a:ln>
                      <a:noFill/>
                    </a:ln>
                  </pic:spPr>
                </pic:pic>
              </a:graphicData>
            </a:graphic>
          </wp:inline>
        </w:drawing>
      </w:r>
    </w:p>
    <w:p w14:paraId="0322CF8A">
      <w:pPr>
        <w:rPr>
          <w:rFonts w:hint="default" w:ascii="Times New Roman" w:hAnsi="Times New Roman" w:cs="Times New Roman"/>
        </w:rPr>
      </w:pPr>
    </w:p>
    <w:p w14:paraId="488F5C42">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bookmarkStart w:id="56" w:name="_Toc15396624"/>
      <w:r>
        <w:rPr>
          <w:rFonts w:hint="default" w:ascii="Times New Roman" w:hAnsi="Times New Roman" w:eastAsia="黑体" w:cs="Times New Roman"/>
          <w:b w:val="0"/>
          <w:bCs w:val="0"/>
          <w:kern w:val="2"/>
          <w:sz w:val="32"/>
          <w:szCs w:val="32"/>
          <w:lang w:val="en-US" w:eastAsia="zh-CN" w:bidi="ar-SA"/>
        </w:rPr>
        <w:t>六、</w:t>
      </w:r>
      <w:r>
        <w:rPr>
          <w:rFonts w:hint="default" w:ascii="Times New Roman" w:hAnsi="Times New Roman" w:eastAsia="黑体" w:cs="Times New Roman"/>
          <w:b w:val="0"/>
        </w:rPr>
        <w:t>一</w:t>
      </w:r>
      <w:r>
        <w:rPr>
          <w:rStyle w:val="29"/>
          <w:rFonts w:hint="default" w:ascii="Times New Roman" w:hAnsi="Times New Roman" w:eastAsia="黑体" w:cs="Times New Roman"/>
          <w:b w:val="0"/>
          <w:bCs w:val="0"/>
        </w:rPr>
        <w:t>般公共预算财政拨款支出决算表</w:t>
      </w:r>
      <w:bookmarkEnd w:id="56"/>
    </w:p>
    <w:p w14:paraId="48150CC2">
      <w:pPr>
        <w:numPr>
          <w:ilvl w:val="0"/>
          <w:numId w:val="0"/>
        </w:numPr>
        <w:rPr>
          <w:rFonts w:hint="default" w:ascii="Times New Roman" w:hAnsi="Times New Roman" w:cs="Times New Roman"/>
        </w:rPr>
      </w:pPr>
      <w:r>
        <w:drawing>
          <wp:inline distT="0" distB="0" distL="114300" distR="114300">
            <wp:extent cx="6771005" cy="4859020"/>
            <wp:effectExtent l="0" t="0" r="10795" b="17780"/>
            <wp:docPr id="1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8"/>
                    <pic:cNvPicPr>
                      <a:picLocks noChangeAspect="1"/>
                    </pic:cNvPicPr>
                  </pic:nvPicPr>
                  <pic:blipFill>
                    <a:blip r:embed="rId32"/>
                    <a:stretch>
                      <a:fillRect/>
                    </a:stretch>
                  </pic:blipFill>
                  <pic:spPr>
                    <a:xfrm>
                      <a:off x="0" y="0"/>
                      <a:ext cx="6771005" cy="4859020"/>
                    </a:xfrm>
                    <a:prstGeom prst="rect">
                      <a:avLst/>
                    </a:prstGeom>
                    <a:noFill/>
                    <a:ln>
                      <a:noFill/>
                    </a:ln>
                  </pic:spPr>
                </pic:pic>
              </a:graphicData>
            </a:graphic>
          </wp:inline>
        </w:drawing>
      </w:r>
    </w:p>
    <w:p w14:paraId="34D57AC9">
      <w:pPr>
        <w:numPr>
          <w:ilvl w:val="0"/>
          <w:numId w:val="3"/>
        </w:numPr>
        <w:ind w:firstLine="640" w:firstLineChars="200"/>
        <w:rPr>
          <w:rStyle w:val="29"/>
          <w:rFonts w:hint="default" w:ascii="Times New Roman" w:hAnsi="Times New Roman" w:eastAsia="黑体" w:cs="Times New Roman"/>
          <w:b w:val="0"/>
          <w:bCs w:val="0"/>
          <w:lang w:val="en-US" w:eastAsia="zh-CN" w:bidi="ar-SA"/>
        </w:rPr>
      </w:pPr>
      <w:r>
        <w:rPr>
          <w:rStyle w:val="29"/>
          <w:rFonts w:hint="default" w:ascii="Times New Roman" w:hAnsi="Times New Roman" w:eastAsia="黑体" w:cs="Times New Roman"/>
          <w:b w:val="0"/>
          <w:bCs w:val="0"/>
          <w:lang w:val="en-US" w:eastAsia="zh-CN" w:bidi="ar-SA"/>
        </w:rPr>
        <w:t>一般公共预算财政拨款支出决算明细表</w:t>
      </w:r>
    </w:p>
    <w:p w14:paraId="32B12F20">
      <w:pPr>
        <w:numPr>
          <w:ilvl w:val="0"/>
          <w:numId w:val="0"/>
        </w:numPr>
      </w:pPr>
      <w:r>
        <w:rPr>
          <w:rFonts w:hint="eastAsia"/>
          <w:lang w:val="en-US" w:eastAsia="zh-CN"/>
        </w:rPr>
        <w:t xml:space="preserve">   </w:t>
      </w:r>
      <w:r>
        <w:drawing>
          <wp:inline distT="0" distB="0" distL="114300" distR="114300">
            <wp:extent cx="7915910" cy="2344420"/>
            <wp:effectExtent l="0" t="0" r="8890" b="17780"/>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33"/>
                    <a:stretch>
                      <a:fillRect/>
                    </a:stretch>
                  </pic:blipFill>
                  <pic:spPr>
                    <a:xfrm>
                      <a:off x="0" y="0"/>
                      <a:ext cx="7915910" cy="2344420"/>
                    </a:xfrm>
                    <a:prstGeom prst="rect">
                      <a:avLst/>
                    </a:prstGeom>
                    <a:noFill/>
                    <a:ln>
                      <a:noFill/>
                    </a:ln>
                  </pic:spPr>
                </pic:pic>
              </a:graphicData>
            </a:graphic>
          </wp:inline>
        </w:drawing>
      </w:r>
    </w:p>
    <w:p w14:paraId="7A2278FA">
      <w:pPr>
        <w:numPr>
          <w:ilvl w:val="0"/>
          <w:numId w:val="0"/>
        </w:numPr>
      </w:pPr>
    </w:p>
    <w:p w14:paraId="22F1D7E3">
      <w:pPr>
        <w:numPr>
          <w:ilvl w:val="0"/>
          <w:numId w:val="0"/>
        </w:numPr>
      </w:pPr>
      <w:r>
        <w:rPr>
          <w:rFonts w:hint="eastAsia"/>
          <w:lang w:val="en-US" w:eastAsia="zh-CN"/>
        </w:rPr>
        <w:t xml:space="preserve">   </w:t>
      </w:r>
      <w:r>
        <w:drawing>
          <wp:inline distT="0" distB="0" distL="114300" distR="114300">
            <wp:extent cx="7927975" cy="2364105"/>
            <wp:effectExtent l="0" t="0" r="15875" b="17145"/>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34"/>
                    <a:stretch>
                      <a:fillRect/>
                    </a:stretch>
                  </pic:blipFill>
                  <pic:spPr>
                    <a:xfrm>
                      <a:off x="0" y="0"/>
                      <a:ext cx="7927975" cy="2364105"/>
                    </a:xfrm>
                    <a:prstGeom prst="rect">
                      <a:avLst/>
                    </a:prstGeom>
                    <a:noFill/>
                    <a:ln>
                      <a:noFill/>
                    </a:ln>
                  </pic:spPr>
                </pic:pic>
              </a:graphicData>
            </a:graphic>
          </wp:inline>
        </w:drawing>
      </w:r>
    </w:p>
    <w:p w14:paraId="533F14C1">
      <w:pPr>
        <w:numPr>
          <w:ilvl w:val="0"/>
          <w:numId w:val="0"/>
        </w:numPr>
      </w:pPr>
    </w:p>
    <w:p w14:paraId="17BD2C1E">
      <w:pPr>
        <w:numPr>
          <w:ilvl w:val="0"/>
          <w:numId w:val="0"/>
        </w:numPr>
      </w:pPr>
      <w:r>
        <w:drawing>
          <wp:inline distT="0" distB="0" distL="114300" distR="114300">
            <wp:extent cx="8025765" cy="2512060"/>
            <wp:effectExtent l="0" t="0" r="13335" b="2540"/>
            <wp:docPr id="3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pic:cNvPicPr>
                      <a:picLocks noChangeAspect="1"/>
                    </pic:cNvPicPr>
                  </pic:nvPicPr>
                  <pic:blipFill>
                    <a:blip r:embed="rId35"/>
                    <a:stretch>
                      <a:fillRect/>
                    </a:stretch>
                  </pic:blipFill>
                  <pic:spPr>
                    <a:xfrm>
                      <a:off x="0" y="0"/>
                      <a:ext cx="8025765" cy="2512060"/>
                    </a:xfrm>
                    <a:prstGeom prst="rect">
                      <a:avLst/>
                    </a:prstGeom>
                    <a:noFill/>
                    <a:ln>
                      <a:noFill/>
                    </a:ln>
                  </pic:spPr>
                </pic:pic>
              </a:graphicData>
            </a:graphic>
          </wp:inline>
        </w:drawing>
      </w:r>
    </w:p>
    <w:p w14:paraId="7B9FF374">
      <w:pPr>
        <w:numPr>
          <w:ilvl w:val="0"/>
          <w:numId w:val="0"/>
        </w:numPr>
      </w:pPr>
    </w:p>
    <w:p w14:paraId="6F3AE088">
      <w:pPr>
        <w:numPr>
          <w:ilvl w:val="0"/>
          <w:numId w:val="0"/>
        </w:numPr>
        <w:rPr>
          <w:rFonts w:hint="default"/>
          <w:lang w:val="en-US" w:eastAsia="zh-CN"/>
        </w:rPr>
      </w:pPr>
      <w:r>
        <w:drawing>
          <wp:inline distT="0" distB="0" distL="114300" distR="114300">
            <wp:extent cx="8037195" cy="2510790"/>
            <wp:effectExtent l="0" t="0" r="1905" b="3810"/>
            <wp:docPr id="3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pic:cNvPicPr>
                      <a:picLocks noChangeAspect="1"/>
                    </pic:cNvPicPr>
                  </pic:nvPicPr>
                  <pic:blipFill>
                    <a:blip r:embed="rId36"/>
                    <a:stretch>
                      <a:fillRect/>
                    </a:stretch>
                  </pic:blipFill>
                  <pic:spPr>
                    <a:xfrm>
                      <a:off x="0" y="0"/>
                      <a:ext cx="8037195" cy="2510790"/>
                    </a:xfrm>
                    <a:prstGeom prst="rect">
                      <a:avLst/>
                    </a:prstGeom>
                    <a:noFill/>
                    <a:ln>
                      <a:noFill/>
                    </a:ln>
                  </pic:spPr>
                </pic:pic>
              </a:graphicData>
            </a:graphic>
          </wp:inline>
        </w:drawing>
      </w:r>
    </w:p>
    <w:p w14:paraId="01EF0BBA">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lang w:val="en-US" w:eastAsia="zh-CN"/>
        </w:rPr>
        <w:t>八、</w:t>
      </w:r>
      <w:r>
        <w:rPr>
          <w:rStyle w:val="29"/>
          <w:rFonts w:hint="default" w:ascii="Times New Roman" w:hAnsi="Times New Roman" w:eastAsia="黑体" w:cs="Times New Roman"/>
          <w:b w:val="0"/>
          <w:bCs w:val="0"/>
        </w:rPr>
        <w:t>一般公共预算财政拨款基本支出决算表</w:t>
      </w:r>
    </w:p>
    <w:p w14:paraId="0F2DBC78">
      <w:pPr>
        <w:numPr>
          <w:ilvl w:val="0"/>
          <w:numId w:val="0"/>
        </w:numPr>
        <w:ind w:leftChars="0"/>
        <w:rPr>
          <w:rFonts w:hint="default" w:ascii="Times New Roman" w:hAnsi="Times New Roman" w:cs="Times New Roman"/>
        </w:rPr>
      </w:pPr>
      <w:r>
        <w:rPr>
          <w:rFonts w:hint="eastAsia"/>
          <w:lang w:val="en-US" w:eastAsia="zh-CN"/>
        </w:rPr>
        <w:t xml:space="preserve">      </w:t>
      </w:r>
      <w:r>
        <w:drawing>
          <wp:inline distT="0" distB="0" distL="114300" distR="114300">
            <wp:extent cx="7197090" cy="5193665"/>
            <wp:effectExtent l="0" t="0" r="3810" b="698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37"/>
                    <a:stretch>
                      <a:fillRect/>
                    </a:stretch>
                  </pic:blipFill>
                  <pic:spPr>
                    <a:xfrm>
                      <a:off x="0" y="0"/>
                      <a:ext cx="7197090" cy="5193665"/>
                    </a:xfrm>
                    <a:prstGeom prst="rect">
                      <a:avLst/>
                    </a:prstGeom>
                    <a:noFill/>
                    <a:ln>
                      <a:noFill/>
                    </a:ln>
                  </pic:spPr>
                </pic:pic>
              </a:graphicData>
            </a:graphic>
          </wp:inline>
        </w:drawing>
      </w:r>
    </w:p>
    <w:p w14:paraId="16805204">
      <w:pPr>
        <w:rPr>
          <w:rFonts w:hint="default" w:ascii="Times New Roman" w:hAnsi="Times New Roman" w:cs="Times New Roman"/>
        </w:rPr>
      </w:pPr>
    </w:p>
    <w:p w14:paraId="2638EB49">
      <w:pPr>
        <w:rPr>
          <w:rFonts w:hint="default" w:ascii="Times New Roman" w:hAnsi="Times New Roman" w:cs="Times New Roman"/>
        </w:rPr>
      </w:pPr>
    </w:p>
    <w:p w14:paraId="2B618C35">
      <w:pPr>
        <w:rPr>
          <w:rFonts w:hint="default" w:ascii="Times New Roman" w:hAnsi="Times New Roman" w:cs="Times New Roman"/>
        </w:rPr>
      </w:pPr>
    </w:p>
    <w:p w14:paraId="1B7CA327">
      <w:pPr>
        <w:pStyle w:val="3"/>
        <w:keepNext/>
        <w:keepLines/>
        <w:pageBreakBefore w:val="0"/>
        <w:widowControl w:val="0"/>
        <w:numPr>
          <w:ilvl w:val="0"/>
          <w:numId w:val="4"/>
        </w:numPr>
        <w:kinsoku/>
        <w:wordWrap/>
        <w:overflowPunct/>
        <w:topLinePunct w:val="0"/>
        <w:autoSpaceDE/>
        <w:autoSpaceDN/>
        <w:bidi w:val="0"/>
        <w:adjustRightInd/>
        <w:snapToGrid/>
        <w:spacing w:before="0" w:after="0" w:line="560" w:lineRule="exact"/>
        <w:ind w:firstLine="640" w:firstLineChars="200"/>
        <w:textAlignment w:val="auto"/>
        <w:rPr>
          <w:rStyle w:val="29"/>
          <w:rFonts w:hint="default" w:ascii="Times New Roman" w:hAnsi="Times New Roman" w:eastAsia="黑体" w:cs="Times New Roman"/>
          <w:b w:val="0"/>
          <w:bCs w:val="0"/>
        </w:rPr>
      </w:pPr>
      <w:bookmarkStart w:id="57" w:name="_Toc15396627"/>
      <w:r>
        <w:rPr>
          <w:rStyle w:val="29"/>
          <w:rFonts w:hint="default" w:ascii="Times New Roman" w:hAnsi="Times New Roman" w:eastAsia="黑体" w:cs="Times New Roman"/>
          <w:b w:val="0"/>
          <w:bCs w:val="0"/>
        </w:rPr>
        <w:t>一般公共预算财政拨款项目支出决算表</w:t>
      </w:r>
      <w:bookmarkEnd w:id="57"/>
    </w:p>
    <w:p w14:paraId="15DCEDBC">
      <w:pPr>
        <w:widowControl w:val="0"/>
        <w:numPr>
          <w:ilvl w:val="0"/>
          <w:numId w:val="0"/>
        </w:numPr>
        <w:jc w:val="both"/>
        <w:rPr>
          <w:rFonts w:hint="default"/>
        </w:rPr>
      </w:pPr>
    </w:p>
    <w:p w14:paraId="1FB8EAD0">
      <w:pPr>
        <w:widowControl w:val="0"/>
        <w:numPr>
          <w:ilvl w:val="0"/>
          <w:numId w:val="0"/>
        </w:numPr>
        <w:jc w:val="both"/>
        <w:rPr>
          <w:rFonts w:hint="default"/>
        </w:rPr>
      </w:pPr>
      <w:r>
        <w:rPr>
          <w:rFonts w:hint="eastAsia"/>
          <w:lang w:val="en-US" w:eastAsia="zh-CN"/>
        </w:rPr>
        <w:t xml:space="preserve">      </w:t>
      </w:r>
      <w:r>
        <w:drawing>
          <wp:inline distT="0" distB="0" distL="114300" distR="114300">
            <wp:extent cx="7177405" cy="3868420"/>
            <wp:effectExtent l="0" t="0" r="4445" b="1778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r:embed="rId38"/>
                    <a:stretch>
                      <a:fillRect/>
                    </a:stretch>
                  </pic:blipFill>
                  <pic:spPr>
                    <a:xfrm>
                      <a:off x="0" y="0"/>
                      <a:ext cx="7177405" cy="3868420"/>
                    </a:xfrm>
                    <a:prstGeom prst="rect">
                      <a:avLst/>
                    </a:prstGeom>
                    <a:noFill/>
                    <a:ln>
                      <a:noFill/>
                    </a:ln>
                  </pic:spPr>
                </pic:pic>
              </a:graphicData>
            </a:graphic>
          </wp:inline>
        </w:drawing>
      </w:r>
    </w:p>
    <w:p w14:paraId="5DDCD3C4">
      <w:pPr>
        <w:widowControl w:val="0"/>
        <w:numPr>
          <w:ilvl w:val="0"/>
          <w:numId w:val="0"/>
        </w:numPr>
        <w:jc w:val="both"/>
        <w:rPr>
          <w:rFonts w:hint="default"/>
        </w:rPr>
      </w:pPr>
    </w:p>
    <w:p w14:paraId="17B413B6">
      <w:pPr>
        <w:rPr>
          <w:rFonts w:hint="default"/>
          <w:lang w:eastAsia="zh-CN"/>
        </w:rPr>
      </w:pPr>
    </w:p>
    <w:p w14:paraId="4C73F53C">
      <w:pPr>
        <w:pStyle w:val="3"/>
        <w:keepNext/>
        <w:keepLines/>
        <w:pageBreakBefore w:val="0"/>
        <w:widowControl w:val="0"/>
        <w:numPr>
          <w:ilvl w:val="0"/>
          <w:numId w:val="4"/>
        </w:numPr>
        <w:kinsoku/>
        <w:wordWrap/>
        <w:overflowPunct/>
        <w:topLinePunct w:val="0"/>
        <w:autoSpaceDE/>
        <w:autoSpaceDN/>
        <w:bidi w:val="0"/>
        <w:adjustRightInd/>
        <w:snapToGrid/>
        <w:spacing w:before="0" w:after="0" w:line="560" w:lineRule="exact"/>
        <w:ind w:left="0" w:leftChars="0"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政府性基金预算财政拨款收入支出决算表</w:t>
      </w:r>
    </w:p>
    <w:p w14:paraId="3DB0D423">
      <w:pPr>
        <w:numPr>
          <w:ilvl w:val="0"/>
          <w:numId w:val="0"/>
        </w:numPr>
        <w:ind w:leftChars="200"/>
        <w:rPr>
          <w:rFonts w:hint="default"/>
        </w:rPr>
      </w:pPr>
    </w:p>
    <w:p w14:paraId="29E94D76">
      <w:pPr>
        <w:numPr>
          <w:ilvl w:val="0"/>
          <w:numId w:val="0"/>
        </w:numPr>
        <w:ind w:leftChars="0"/>
      </w:pPr>
      <w:r>
        <w:drawing>
          <wp:inline distT="0" distB="0" distL="114300" distR="114300">
            <wp:extent cx="8860155" cy="2932430"/>
            <wp:effectExtent l="0" t="0" r="17145" b="1270"/>
            <wp:docPr id="86"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69"/>
                    <pic:cNvPicPr>
                      <a:picLocks noChangeAspect="1"/>
                    </pic:cNvPicPr>
                  </pic:nvPicPr>
                  <pic:blipFill>
                    <a:blip r:embed="rId39"/>
                    <a:stretch>
                      <a:fillRect/>
                    </a:stretch>
                  </pic:blipFill>
                  <pic:spPr>
                    <a:xfrm>
                      <a:off x="0" y="0"/>
                      <a:ext cx="8860155" cy="2932430"/>
                    </a:xfrm>
                    <a:prstGeom prst="rect">
                      <a:avLst/>
                    </a:prstGeom>
                    <a:noFill/>
                    <a:ln>
                      <a:noFill/>
                    </a:ln>
                  </pic:spPr>
                </pic:pic>
              </a:graphicData>
            </a:graphic>
          </wp:inline>
        </w:drawing>
      </w:r>
    </w:p>
    <w:p w14:paraId="19B1092C">
      <w:pPr>
        <w:numPr>
          <w:ilvl w:val="0"/>
          <w:numId w:val="0"/>
        </w:numPr>
        <w:ind w:leftChars="0"/>
      </w:pPr>
    </w:p>
    <w:p w14:paraId="52EA4491">
      <w:pPr>
        <w:numPr>
          <w:ilvl w:val="0"/>
          <w:numId w:val="0"/>
        </w:numPr>
        <w:ind w:leftChars="0"/>
      </w:pPr>
    </w:p>
    <w:p w14:paraId="7B3E7708">
      <w:pPr>
        <w:numPr>
          <w:ilvl w:val="0"/>
          <w:numId w:val="0"/>
        </w:numPr>
        <w:ind w:leftChars="0"/>
      </w:pPr>
    </w:p>
    <w:p w14:paraId="2D31BB64">
      <w:pPr>
        <w:numPr>
          <w:ilvl w:val="0"/>
          <w:numId w:val="0"/>
        </w:numPr>
        <w:ind w:leftChars="0"/>
      </w:pPr>
    </w:p>
    <w:p w14:paraId="73911480">
      <w:pPr>
        <w:numPr>
          <w:ilvl w:val="0"/>
          <w:numId w:val="0"/>
        </w:numPr>
        <w:ind w:leftChars="0"/>
      </w:pPr>
    </w:p>
    <w:p w14:paraId="515AB933">
      <w:pPr>
        <w:numPr>
          <w:ilvl w:val="0"/>
          <w:numId w:val="0"/>
        </w:numPr>
        <w:ind w:leftChars="0"/>
      </w:pPr>
    </w:p>
    <w:p w14:paraId="39238020">
      <w:pPr>
        <w:numPr>
          <w:ilvl w:val="0"/>
          <w:numId w:val="0"/>
        </w:numPr>
        <w:ind w:leftChars="0"/>
      </w:pPr>
    </w:p>
    <w:p w14:paraId="79FF9942">
      <w:pPr>
        <w:numPr>
          <w:ilvl w:val="0"/>
          <w:numId w:val="0"/>
        </w:numPr>
        <w:ind w:leftChars="0"/>
        <w:rPr>
          <w:rFonts w:hint="default"/>
          <w:lang w:eastAsia="zh-CN"/>
        </w:rPr>
      </w:pPr>
    </w:p>
    <w:p w14:paraId="456B9967">
      <w:pPr>
        <w:pStyle w:val="3"/>
        <w:keepNext/>
        <w:keepLines/>
        <w:pageBreakBefore w:val="0"/>
        <w:widowControl w:val="0"/>
        <w:numPr>
          <w:ilvl w:val="0"/>
          <w:numId w:val="4"/>
        </w:numPr>
        <w:kinsoku/>
        <w:wordWrap/>
        <w:overflowPunct/>
        <w:topLinePunct w:val="0"/>
        <w:autoSpaceDE/>
        <w:autoSpaceDN/>
        <w:bidi w:val="0"/>
        <w:adjustRightInd/>
        <w:snapToGrid/>
        <w:spacing w:before="0" w:after="0" w:line="560" w:lineRule="exact"/>
        <w:ind w:left="0" w:leftChars="0"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国有资本经营预算财政拨款收入支出决算表</w:t>
      </w:r>
    </w:p>
    <w:p w14:paraId="048639C4">
      <w:pPr>
        <w:numPr>
          <w:ilvl w:val="0"/>
          <w:numId w:val="0"/>
        </w:numPr>
        <w:ind w:leftChars="200"/>
        <w:rPr>
          <w:rFonts w:hint="default"/>
        </w:rPr>
      </w:pPr>
    </w:p>
    <w:p w14:paraId="761E5DE8">
      <w:pPr>
        <w:numPr>
          <w:ilvl w:val="0"/>
          <w:numId w:val="0"/>
        </w:numPr>
        <w:ind w:leftChars="0"/>
        <w:rPr>
          <w:rFonts w:hint="default" w:ascii="Times New Roman" w:hAnsi="Times New Roman" w:cs="Times New Roman"/>
        </w:rPr>
      </w:pPr>
      <w:r>
        <w:rPr>
          <w:rFonts w:hint="eastAsia"/>
          <w:lang w:val="en-US" w:eastAsia="zh-CN"/>
        </w:rPr>
        <w:t xml:space="preserve">      </w:t>
      </w:r>
      <w:r>
        <w:drawing>
          <wp:inline distT="0" distB="0" distL="114300" distR="114300">
            <wp:extent cx="8160385" cy="3732530"/>
            <wp:effectExtent l="0" t="0" r="12065" b="1270"/>
            <wp:docPr id="87"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70"/>
                    <pic:cNvPicPr>
                      <a:picLocks noChangeAspect="1"/>
                    </pic:cNvPicPr>
                  </pic:nvPicPr>
                  <pic:blipFill>
                    <a:blip r:embed="rId40"/>
                    <a:stretch>
                      <a:fillRect/>
                    </a:stretch>
                  </pic:blipFill>
                  <pic:spPr>
                    <a:xfrm>
                      <a:off x="0" y="0"/>
                      <a:ext cx="8160385" cy="3732530"/>
                    </a:xfrm>
                    <a:prstGeom prst="rect">
                      <a:avLst/>
                    </a:prstGeom>
                    <a:noFill/>
                    <a:ln>
                      <a:noFill/>
                    </a:ln>
                  </pic:spPr>
                </pic:pic>
              </a:graphicData>
            </a:graphic>
          </wp:inline>
        </w:drawing>
      </w:r>
    </w:p>
    <w:p w14:paraId="608EC6D4">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textAlignment w:val="auto"/>
        <w:rPr>
          <w:rStyle w:val="29"/>
          <w:rFonts w:hint="default" w:ascii="Times New Roman" w:hAnsi="Times New Roman" w:eastAsia="黑体" w:cs="Times New Roman"/>
          <w:b w:val="0"/>
          <w:bCs w:val="0"/>
          <w:lang w:eastAsia="zh-CN"/>
        </w:rPr>
      </w:pPr>
    </w:p>
    <w:p w14:paraId="22640896">
      <w:pPr>
        <w:rPr>
          <w:rStyle w:val="29"/>
          <w:rFonts w:hint="default" w:ascii="Times New Roman" w:hAnsi="Times New Roman" w:eastAsia="黑体" w:cs="Times New Roman"/>
          <w:b w:val="0"/>
          <w:bCs w:val="0"/>
          <w:lang w:eastAsia="zh-CN"/>
        </w:rPr>
      </w:pPr>
    </w:p>
    <w:p w14:paraId="10B590C2">
      <w:pPr>
        <w:rPr>
          <w:rStyle w:val="29"/>
          <w:rFonts w:hint="default" w:ascii="Times New Roman" w:hAnsi="Times New Roman" w:eastAsia="黑体" w:cs="Times New Roman"/>
          <w:b w:val="0"/>
          <w:bCs w:val="0"/>
          <w:lang w:eastAsia="zh-CN"/>
        </w:rPr>
      </w:pPr>
    </w:p>
    <w:p w14:paraId="4EA3DED3">
      <w:pPr>
        <w:pStyle w:val="3"/>
        <w:keepNext/>
        <w:keepLines/>
        <w:pageBreakBefore w:val="0"/>
        <w:widowControl w:val="0"/>
        <w:numPr>
          <w:ilvl w:val="0"/>
          <w:numId w:val="4"/>
        </w:numPr>
        <w:kinsoku/>
        <w:wordWrap/>
        <w:overflowPunct/>
        <w:topLinePunct w:val="0"/>
        <w:autoSpaceDE/>
        <w:autoSpaceDN/>
        <w:bidi w:val="0"/>
        <w:adjustRightInd/>
        <w:snapToGrid/>
        <w:spacing w:before="0" w:after="0" w:line="560" w:lineRule="exact"/>
        <w:ind w:left="0" w:leftChars="0"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国有资本经营预算财政拨款支出决算表</w:t>
      </w:r>
    </w:p>
    <w:p w14:paraId="773C247B">
      <w:pPr>
        <w:numPr>
          <w:ilvl w:val="0"/>
          <w:numId w:val="0"/>
        </w:numPr>
        <w:ind w:leftChars="200"/>
        <w:rPr>
          <w:rFonts w:hint="default"/>
        </w:rPr>
      </w:pPr>
    </w:p>
    <w:p w14:paraId="06883DC0">
      <w:pPr>
        <w:numPr>
          <w:ilvl w:val="0"/>
          <w:numId w:val="0"/>
        </w:numPr>
        <w:ind w:leftChars="0"/>
        <w:rPr>
          <w:rStyle w:val="29"/>
          <w:rFonts w:hint="default" w:ascii="Times New Roman" w:hAnsi="Times New Roman" w:eastAsia="黑体" w:cs="Times New Roman"/>
          <w:b w:val="0"/>
          <w:bCs w:val="0"/>
          <w:lang w:eastAsia="zh-CN"/>
        </w:rPr>
      </w:pPr>
      <w:r>
        <w:rPr>
          <w:rFonts w:hint="eastAsia"/>
          <w:lang w:val="en-US" w:eastAsia="zh-CN"/>
        </w:rPr>
        <w:t xml:space="preserve">       </w:t>
      </w:r>
      <w:r>
        <w:drawing>
          <wp:inline distT="0" distB="0" distL="114300" distR="114300">
            <wp:extent cx="7552055" cy="3644900"/>
            <wp:effectExtent l="0" t="0" r="10795" b="12700"/>
            <wp:docPr id="88"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71"/>
                    <pic:cNvPicPr>
                      <a:picLocks noChangeAspect="1"/>
                    </pic:cNvPicPr>
                  </pic:nvPicPr>
                  <pic:blipFill>
                    <a:blip r:embed="rId41"/>
                    <a:stretch>
                      <a:fillRect/>
                    </a:stretch>
                  </pic:blipFill>
                  <pic:spPr>
                    <a:xfrm>
                      <a:off x="0" y="0"/>
                      <a:ext cx="7552055" cy="3644900"/>
                    </a:xfrm>
                    <a:prstGeom prst="rect">
                      <a:avLst/>
                    </a:prstGeom>
                    <a:noFill/>
                    <a:ln>
                      <a:noFill/>
                    </a:ln>
                  </pic:spPr>
                </pic:pic>
              </a:graphicData>
            </a:graphic>
          </wp:inline>
        </w:drawing>
      </w:r>
    </w:p>
    <w:p w14:paraId="2526C98A">
      <w:pPr>
        <w:pStyle w:val="3"/>
        <w:keepNext/>
        <w:keepLines/>
        <w:pageBreakBefore w:val="0"/>
        <w:widowControl w:val="0"/>
        <w:numPr>
          <w:ilvl w:val="0"/>
          <w:numId w:val="0"/>
        </w:numPr>
        <w:kinsoku/>
        <w:wordWrap/>
        <w:overflowPunct/>
        <w:topLinePunct w:val="0"/>
        <w:autoSpaceDE/>
        <w:autoSpaceDN/>
        <w:bidi w:val="0"/>
        <w:adjustRightInd/>
        <w:snapToGrid/>
        <w:spacing w:before="0" w:after="0" w:line="560" w:lineRule="exact"/>
        <w:textAlignment w:val="auto"/>
        <w:rPr>
          <w:rStyle w:val="29"/>
          <w:rFonts w:hint="eastAsia" w:ascii="Times New Roman" w:hAnsi="Times New Roman" w:eastAsia="黑体" w:cs="Times New Roman"/>
          <w:b w:val="0"/>
          <w:bCs w:val="0"/>
          <w:lang w:val="en-US" w:eastAsia="zh-CN"/>
        </w:rPr>
      </w:pPr>
      <w:r>
        <w:rPr>
          <w:rStyle w:val="29"/>
          <w:rFonts w:hint="eastAsia" w:ascii="Times New Roman" w:hAnsi="Times New Roman" w:eastAsia="黑体" w:cs="Times New Roman"/>
          <w:b w:val="0"/>
          <w:bCs w:val="0"/>
          <w:lang w:val="en-US" w:eastAsia="zh-CN"/>
        </w:rPr>
        <w:t xml:space="preserve">  </w:t>
      </w:r>
    </w:p>
    <w:p w14:paraId="5648F018">
      <w:pPr>
        <w:rPr>
          <w:rStyle w:val="29"/>
          <w:rFonts w:hint="eastAsia" w:ascii="Times New Roman" w:hAnsi="Times New Roman" w:eastAsia="黑体" w:cs="Times New Roman"/>
          <w:b w:val="0"/>
          <w:bCs w:val="0"/>
          <w:lang w:val="en-US" w:eastAsia="zh-CN"/>
        </w:rPr>
      </w:pPr>
    </w:p>
    <w:p w14:paraId="7EE99689">
      <w:pPr>
        <w:rPr>
          <w:rStyle w:val="29"/>
          <w:rFonts w:hint="eastAsia" w:ascii="Times New Roman" w:hAnsi="Times New Roman" w:eastAsia="黑体" w:cs="Times New Roman"/>
          <w:b w:val="0"/>
          <w:bCs w:val="0"/>
          <w:lang w:val="en-US" w:eastAsia="zh-CN"/>
        </w:rPr>
      </w:pPr>
    </w:p>
    <w:p w14:paraId="7B66FE05">
      <w:pPr>
        <w:rPr>
          <w:rFonts w:hint="default"/>
          <w:lang w:val="en-US" w:eastAsia="zh-CN"/>
        </w:rPr>
      </w:pPr>
    </w:p>
    <w:p w14:paraId="365A9213">
      <w:pPr>
        <w:pStyle w:val="3"/>
        <w:keepNext/>
        <w:keepLines/>
        <w:pageBreakBefore w:val="0"/>
        <w:widowControl w:val="0"/>
        <w:numPr>
          <w:ilvl w:val="0"/>
          <w:numId w:val="4"/>
        </w:numPr>
        <w:kinsoku/>
        <w:wordWrap/>
        <w:overflowPunct/>
        <w:topLinePunct w:val="0"/>
        <w:autoSpaceDE/>
        <w:autoSpaceDN/>
        <w:bidi w:val="0"/>
        <w:adjustRightInd/>
        <w:snapToGrid/>
        <w:spacing w:before="0" w:after="0" w:line="560" w:lineRule="exact"/>
        <w:ind w:left="0" w:leftChars="0" w:firstLine="640" w:firstLineChars="200"/>
        <w:textAlignment w:val="auto"/>
        <w:rPr>
          <w:rStyle w:val="29"/>
          <w:rFonts w:hint="default" w:ascii="Times New Roman" w:hAnsi="Times New Roman" w:eastAsia="黑体" w:cs="Times New Roman"/>
          <w:b w:val="0"/>
          <w:bCs w:val="0"/>
        </w:rPr>
      </w:pPr>
      <w:r>
        <w:rPr>
          <w:rStyle w:val="29"/>
          <w:rFonts w:hint="default" w:ascii="Times New Roman" w:hAnsi="Times New Roman" w:eastAsia="黑体" w:cs="Times New Roman"/>
          <w:b w:val="0"/>
          <w:bCs w:val="0"/>
        </w:rPr>
        <w:t>财政拨款“三公”经费支出决算表</w:t>
      </w:r>
    </w:p>
    <w:p w14:paraId="16CE8723">
      <w:pPr>
        <w:numPr>
          <w:ilvl w:val="0"/>
          <w:numId w:val="0"/>
        </w:numPr>
        <w:ind w:leftChars="200"/>
        <w:rPr>
          <w:rFonts w:hint="default"/>
        </w:rPr>
      </w:pPr>
    </w:p>
    <w:p w14:paraId="36142284">
      <w:pPr>
        <w:numPr>
          <w:ilvl w:val="0"/>
          <w:numId w:val="0"/>
        </w:numPr>
        <w:ind w:leftChars="0"/>
        <w:rPr>
          <w:rFonts w:hint="default" w:ascii="Times New Roman" w:hAnsi="Times New Roman" w:cs="Times New Roman"/>
        </w:rPr>
      </w:pPr>
      <w:r>
        <w:drawing>
          <wp:inline distT="0" distB="0" distL="114300" distR="114300">
            <wp:extent cx="8860155" cy="2497455"/>
            <wp:effectExtent l="0" t="0" r="17145" b="17145"/>
            <wp:docPr id="89"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72"/>
                    <pic:cNvPicPr>
                      <a:picLocks noChangeAspect="1"/>
                    </pic:cNvPicPr>
                  </pic:nvPicPr>
                  <pic:blipFill>
                    <a:blip r:embed="rId42"/>
                    <a:stretch>
                      <a:fillRect/>
                    </a:stretch>
                  </pic:blipFill>
                  <pic:spPr>
                    <a:xfrm>
                      <a:off x="0" y="0"/>
                      <a:ext cx="8860155" cy="2497455"/>
                    </a:xfrm>
                    <a:prstGeom prst="rect">
                      <a:avLst/>
                    </a:prstGeom>
                    <a:noFill/>
                    <a:ln>
                      <a:noFill/>
                    </a:ln>
                  </pic:spPr>
                </pic:pic>
              </a:graphicData>
            </a:graphic>
          </wp:inline>
        </w:drawing>
      </w:r>
    </w:p>
    <w:sectPr>
      <w:pgSz w:w="16838" w:h="11906" w:orient="landscape"/>
      <w:pgMar w:top="1236" w:right="1440" w:bottom="1800" w:left="1440" w:header="851" w:footer="992" w:gutter="0"/>
      <w:pgNumType w:fmt="numberInDash"/>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B8B91">
    <w:pPr>
      <w:pStyle w:val="1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-95250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994781956"/>
                          </w:sdtPr>
                          <w:sdtContent>
                            <w:p w14:paraId="0264C839">
                              <w:pPr>
                                <w:pStyle w:val="10"/>
                                <w:jc w:val="center"/>
                              </w:pPr>
                              <w:r>
                                <w:fldChar w:fldCharType="begin"/>
                              </w:r>
                              <w:r>
                                <w:instrText xml:space="preserve">PAGE   \* MERGEFORMAT</w:instrText>
                              </w:r>
                              <w:r>
                                <w:fldChar w:fldCharType="separate"/>
                              </w:r>
                              <w:r>
                                <w:rPr>
                                  <w:lang w:val="zh-CN"/>
                                </w:rPr>
                                <w:t>17</w:t>
                              </w:r>
                              <w:r>
                                <w:fldChar w:fldCharType="end"/>
                              </w:r>
                            </w:p>
                          </w:sdtContent>
                        </w:sdt>
                        <w:p w14:paraId="4ABCF954"/>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7.5pt;height:144pt;width:144pt;mso-position-horizontal:center;mso-position-horizontal-relative:margin;mso-wrap-style:none;z-index:251661312;mso-width-relative:page;mso-height-relative:page;" filled="f" stroked="f" coordsize="21600,21600" o:gfxdata="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qBWPKdUAAAAIAQAADwAAAAAAAAABACAAAAAiAAAAZHJzL2Rvd25yZXYueG1sUEsB&#10;AhQAFAAAAAgAh07iQOsAOHoxAgAAYwQAAA4AAAAAAAAAAQAgAAAAJAEAAGRycy9lMm9Eb2MueG1s&#10;UEsFBgAAAAAGAAYAWQEAAMcFAAAAAA==&#10;">
              <v:fill on="f" focussize="0,0"/>
              <v:stroke on="f" weight="0.5pt"/>
              <v:imagedata o:title=""/>
              <o:lock v:ext="edit" aspectratio="f"/>
              <v:textbox inset="0mm,0mm,0mm,0mm" style="mso-fit-shape-to-text:t;">
                <w:txbxContent>
                  <w:sdt>
                    <w:sdtPr>
                      <w:id w:val="-1994781956"/>
                    </w:sdtPr>
                    <w:sdtContent>
                      <w:p w14:paraId="0264C839">
                        <w:pPr>
                          <w:pStyle w:val="10"/>
                          <w:jc w:val="center"/>
                        </w:pPr>
                        <w:r>
                          <w:fldChar w:fldCharType="begin"/>
                        </w:r>
                        <w:r>
                          <w:instrText xml:space="preserve">PAGE   \* MERGEFORMAT</w:instrText>
                        </w:r>
                        <w:r>
                          <w:fldChar w:fldCharType="separate"/>
                        </w:r>
                        <w:r>
                          <w:rPr>
                            <w:lang w:val="zh-CN"/>
                          </w:rPr>
                          <w:t>17</w:t>
                        </w:r>
                        <w:r>
                          <w:fldChar w:fldCharType="end"/>
                        </w:r>
                      </w:p>
                    </w:sdtContent>
                  </w:sdt>
                  <w:p w14:paraId="4ABCF954"/>
                </w:txbxContent>
              </v:textbox>
            </v:shape>
          </w:pict>
        </mc:Fallback>
      </mc:AlternateContent>
    </w:r>
  </w:p>
  <w:p w14:paraId="4C3C408D">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327C4">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7ECBBE">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83356">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1C0E6">
    <w:pPr>
      <w:pStyle w:val="1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1856EB">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-95250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7465690"/>
                          </w:sdtPr>
                          <w:sdtContent>
                            <w:p w14:paraId="2F9EF78F">
                              <w:pPr>
                                <w:pStyle w:val="10"/>
                                <w:jc w:val="cente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17</w:t>
                              </w:r>
                              <w:r>
                                <w:rPr>
                                  <w:rFonts w:hint="eastAsia" w:ascii="仿宋" w:hAnsi="仿宋" w:eastAsia="仿宋" w:cs="仿宋"/>
                                  <w:sz w:val="24"/>
                                  <w:szCs w:val="24"/>
                                </w:rPr>
                                <w:fldChar w:fldCharType="end"/>
                              </w:r>
                            </w:p>
                          </w:sdtContent>
                        </w:sdt>
                        <w:p w14:paraId="24ED3C25"/>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7.5pt;height:144pt;width:144pt;mso-position-horizontal:center;mso-position-horizontal-relative:margin;mso-wrap-style:none;z-index:251659264;mso-width-relative:page;mso-height-relative:page;" filled="f" stroked="f" coordsize="21600,21600" o:gfxdata="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KgVjynVAAAACAEAAA8AAAAAAAAAAQAgAAAAIgAAAGRycy9kb3ducmV2LnhtbFBL&#10;AQIUABQAAAAIAIdO4kAClSD0MgIAAGEEAAAOAAAAAAAAAAEAIAAAACQBAABkcnMvZTJvRG9jLnht&#10;bFBLBQYAAAAABgAGAFkBAADIBQAAAAA=&#10;">
              <v:fill on="f" focussize="0,0"/>
              <v:stroke on="f" weight="0.5pt"/>
              <v:imagedata o:title=""/>
              <o:lock v:ext="edit" aspectratio="f"/>
              <v:textbox inset="0mm,0mm,0mm,0mm" style="mso-fit-shape-to-text:t;">
                <w:txbxContent>
                  <w:sdt>
                    <w:sdtPr>
                      <w:id w:val="147465690"/>
                    </w:sdtPr>
                    <w:sdtContent>
                      <w:p w14:paraId="2F9EF78F">
                        <w:pPr>
                          <w:pStyle w:val="10"/>
                          <w:jc w:val="cente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PAGE   \* MERGEFORMAT</w:instrText>
                        </w:r>
                        <w:r>
                          <w:rPr>
                            <w:rFonts w:hint="eastAsia" w:ascii="仿宋" w:hAnsi="仿宋" w:eastAsia="仿宋" w:cs="仿宋"/>
                            <w:sz w:val="24"/>
                            <w:szCs w:val="24"/>
                          </w:rPr>
                          <w:fldChar w:fldCharType="separate"/>
                        </w:r>
                        <w:r>
                          <w:rPr>
                            <w:rFonts w:hint="eastAsia" w:ascii="仿宋" w:hAnsi="仿宋" w:eastAsia="仿宋" w:cs="仿宋"/>
                            <w:sz w:val="24"/>
                            <w:szCs w:val="24"/>
                            <w:lang w:val="zh-CN"/>
                          </w:rPr>
                          <w:t>17</w:t>
                        </w:r>
                        <w:r>
                          <w:rPr>
                            <w:rFonts w:hint="eastAsia" w:ascii="仿宋" w:hAnsi="仿宋" w:eastAsia="仿宋" w:cs="仿宋"/>
                            <w:sz w:val="24"/>
                            <w:szCs w:val="24"/>
                          </w:rPr>
                          <w:fldChar w:fldCharType="end"/>
                        </w:r>
                      </w:p>
                    </w:sdtContent>
                  </w:sdt>
                  <w:p w14:paraId="24ED3C25"/>
                </w:txbxContent>
              </v:textbox>
            </v:shape>
          </w:pict>
        </mc:Fallback>
      </mc:AlternateContent>
    </w:r>
  </w:p>
  <w:p w14:paraId="338FF7E2">
    <w:pPr>
      <w:pStyle w:val="10"/>
      <w:tabs>
        <w:tab w:val="clear" w:pos="4153"/>
      </w:tabs>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AD6980">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-95250</wp:posOffset>
              </wp:positionV>
              <wp:extent cx="567690" cy="25209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567690" cy="2520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E6CECD">
                          <w:pPr>
                            <w:pStyle w:val="10"/>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7.5pt;height:19.85pt;width:44.7pt;mso-position-horizontal:center;mso-position-horizontal-relative:margin;z-index:251660288;mso-width-relative:page;mso-height-relative:page;" filled="f" stroked="f" coordsize="21600,21600" o:gfxdata="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26kDDWAAAABgEAAA8AAAAAAAAAAQAgAAAAIgAAAGRycy9kb3ducmV2&#10;LnhtbFBLAQIUABQAAAAIAIdO4kB1k+f8NwIAAGMEAAAOAAAAAAAAAAEAIAAAACUBAABkcnMvZTJv&#10;RG9jLnhtbFBLBQYAAAAABgAGAFkBAADOBQAAAAA=&#10;">
              <v:fill on="f" focussize="0,0"/>
              <v:stroke on="f" weight="0.5pt"/>
              <v:imagedata o:title=""/>
              <o:lock v:ext="edit" aspectratio="f"/>
              <v:textbox inset="0mm,0mm,0mm,0mm">
                <w:txbxContent>
                  <w:p w14:paraId="62E6CECD">
                    <w:pPr>
                      <w:pStyle w:val="10"/>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PAGE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1</w:t>
                    </w:r>
                    <w:r>
                      <w:rPr>
                        <w:rFonts w:hint="eastAsia" w:ascii="仿宋" w:hAnsi="仿宋" w:eastAsia="仿宋" w:cs="仿宋"/>
                        <w:sz w:val="24"/>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0B44B">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33BE776"/>
    <w:multiLevelType w:val="singleLevel"/>
    <w:tmpl w:val="C33BE776"/>
    <w:lvl w:ilvl="0" w:tentative="0">
      <w:start w:val="7"/>
      <w:numFmt w:val="chineseCounting"/>
      <w:suff w:val="nothing"/>
      <w:lvlText w:val="%1、"/>
      <w:lvlJc w:val="left"/>
      <w:rPr>
        <w:rFonts w:hint="eastAsia"/>
      </w:rPr>
    </w:lvl>
  </w:abstractNum>
  <w:abstractNum w:abstractNumId="1">
    <w:nsid w:val="CF652CEC"/>
    <w:multiLevelType w:val="singleLevel"/>
    <w:tmpl w:val="CF652CEC"/>
    <w:lvl w:ilvl="0" w:tentative="0">
      <w:start w:val="9"/>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62448398"/>
    <w:multiLevelType w:val="singleLevel"/>
    <w:tmpl w:val="62448398"/>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wMWVkZTk3YzVlZDg0OTA2ODQ2NWZkODg1YjhmYjYifQ=="/>
  </w:docVars>
  <w:rsids>
    <w:rsidRoot w:val="00F1361C"/>
    <w:rsid w:val="000142FB"/>
    <w:rsid w:val="000222C6"/>
    <w:rsid w:val="0002549F"/>
    <w:rsid w:val="000468DB"/>
    <w:rsid w:val="0006487A"/>
    <w:rsid w:val="00065F8F"/>
    <w:rsid w:val="00070A43"/>
    <w:rsid w:val="000768F2"/>
    <w:rsid w:val="0009184B"/>
    <w:rsid w:val="00094236"/>
    <w:rsid w:val="0009593C"/>
    <w:rsid w:val="00097322"/>
    <w:rsid w:val="000A6A92"/>
    <w:rsid w:val="000B047F"/>
    <w:rsid w:val="000B1D1B"/>
    <w:rsid w:val="000B5923"/>
    <w:rsid w:val="000B5A48"/>
    <w:rsid w:val="000B6FF3"/>
    <w:rsid w:val="000B7774"/>
    <w:rsid w:val="000C3467"/>
    <w:rsid w:val="000C3CA6"/>
    <w:rsid w:val="000D1267"/>
    <w:rsid w:val="000D1D50"/>
    <w:rsid w:val="000D5782"/>
    <w:rsid w:val="000E6613"/>
    <w:rsid w:val="000E7119"/>
    <w:rsid w:val="00114E9B"/>
    <w:rsid w:val="00115EF5"/>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2527F"/>
    <w:rsid w:val="00235629"/>
    <w:rsid w:val="00260C38"/>
    <w:rsid w:val="002616C0"/>
    <w:rsid w:val="00265372"/>
    <w:rsid w:val="002662AA"/>
    <w:rsid w:val="00280496"/>
    <w:rsid w:val="00294DC9"/>
    <w:rsid w:val="00295495"/>
    <w:rsid w:val="002A31DE"/>
    <w:rsid w:val="002A66F7"/>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4B0A"/>
    <w:rsid w:val="003C6115"/>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2FBC"/>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540C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8F7771"/>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38FA"/>
    <w:rsid w:val="00A56DF2"/>
    <w:rsid w:val="00A56E6E"/>
    <w:rsid w:val="00A67AB5"/>
    <w:rsid w:val="00A733B2"/>
    <w:rsid w:val="00A741C2"/>
    <w:rsid w:val="00A9134F"/>
    <w:rsid w:val="00A91760"/>
    <w:rsid w:val="00A93B00"/>
    <w:rsid w:val="00A93C21"/>
    <w:rsid w:val="00AB64C9"/>
    <w:rsid w:val="00AC3C6A"/>
    <w:rsid w:val="00AD5620"/>
    <w:rsid w:val="00AD656B"/>
    <w:rsid w:val="00AD6763"/>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6127B"/>
    <w:rsid w:val="00B77EA6"/>
    <w:rsid w:val="00B81598"/>
    <w:rsid w:val="00B841F1"/>
    <w:rsid w:val="00B90A81"/>
    <w:rsid w:val="00B944D6"/>
    <w:rsid w:val="00BB4DF0"/>
    <w:rsid w:val="00BC289F"/>
    <w:rsid w:val="00BC2D50"/>
    <w:rsid w:val="00BC5361"/>
    <w:rsid w:val="00BC5460"/>
    <w:rsid w:val="00BC6B50"/>
    <w:rsid w:val="00BD0E25"/>
    <w:rsid w:val="00BE083A"/>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CF2FD5"/>
    <w:rsid w:val="00D00095"/>
    <w:rsid w:val="00D114F0"/>
    <w:rsid w:val="00D20620"/>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DF49F1"/>
    <w:rsid w:val="00E01053"/>
    <w:rsid w:val="00E07ACF"/>
    <w:rsid w:val="00E12236"/>
    <w:rsid w:val="00E331A1"/>
    <w:rsid w:val="00E33202"/>
    <w:rsid w:val="00E336A9"/>
    <w:rsid w:val="00E472B1"/>
    <w:rsid w:val="00E50624"/>
    <w:rsid w:val="00E5174E"/>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05D1B"/>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5975B8"/>
    <w:rsid w:val="01EC2486"/>
    <w:rsid w:val="02143E91"/>
    <w:rsid w:val="066E0107"/>
    <w:rsid w:val="07996F6E"/>
    <w:rsid w:val="0A2032A3"/>
    <w:rsid w:val="0F98263C"/>
    <w:rsid w:val="0FE61E46"/>
    <w:rsid w:val="101860EC"/>
    <w:rsid w:val="10C055FF"/>
    <w:rsid w:val="118107EC"/>
    <w:rsid w:val="13D50BC4"/>
    <w:rsid w:val="16BB723D"/>
    <w:rsid w:val="17E56909"/>
    <w:rsid w:val="1A5B5013"/>
    <w:rsid w:val="1BE8440E"/>
    <w:rsid w:val="1CCB1E4B"/>
    <w:rsid w:val="1D155CEE"/>
    <w:rsid w:val="1EE5127D"/>
    <w:rsid w:val="1FF35744"/>
    <w:rsid w:val="23860B96"/>
    <w:rsid w:val="2403640B"/>
    <w:rsid w:val="240371BF"/>
    <w:rsid w:val="25624B1E"/>
    <w:rsid w:val="299B137B"/>
    <w:rsid w:val="29FD04D3"/>
    <w:rsid w:val="2C270268"/>
    <w:rsid w:val="2C8A61B5"/>
    <w:rsid w:val="2DF04E50"/>
    <w:rsid w:val="2DFF591F"/>
    <w:rsid w:val="2E672351"/>
    <w:rsid w:val="2F040D46"/>
    <w:rsid w:val="319F7F4E"/>
    <w:rsid w:val="3304709D"/>
    <w:rsid w:val="339E5895"/>
    <w:rsid w:val="34B85AD1"/>
    <w:rsid w:val="36AA5135"/>
    <w:rsid w:val="372C3219"/>
    <w:rsid w:val="376D39B2"/>
    <w:rsid w:val="37E16F03"/>
    <w:rsid w:val="38D469F0"/>
    <w:rsid w:val="3D98207C"/>
    <w:rsid w:val="3E78745D"/>
    <w:rsid w:val="44E268DA"/>
    <w:rsid w:val="487B7DFA"/>
    <w:rsid w:val="4A627F82"/>
    <w:rsid w:val="4B0E749A"/>
    <w:rsid w:val="4B4F25DA"/>
    <w:rsid w:val="4BE068DB"/>
    <w:rsid w:val="4D577224"/>
    <w:rsid w:val="4EAB630A"/>
    <w:rsid w:val="4ECE2238"/>
    <w:rsid w:val="50C3144F"/>
    <w:rsid w:val="53637BCF"/>
    <w:rsid w:val="537E6D0A"/>
    <w:rsid w:val="55E808A8"/>
    <w:rsid w:val="584E5DA6"/>
    <w:rsid w:val="5AF92295"/>
    <w:rsid w:val="5B086207"/>
    <w:rsid w:val="5CD71FC4"/>
    <w:rsid w:val="608F5287"/>
    <w:rsid w:val="625C7E30"/>
    <w:rsid w:val="65BC5E1C"/>
    <w:rsid w:val="685349A5"/>
    <w:rsid w:val="6C4A05C8"/>
    <w:rsid w:val="6D3E15C9"/>
    <w:rsid w:val="6E7E3605"/>
    <w:rsid w:val="6FDE6007"/>
    <w:rsid w:val="6FF5CC65"/>
    <w:rsid w:val="715C0E4B"/>
    <w:rsid w:val="72734D90"/>
    <w:rsid w:val="73AD73D5"/>
    <w:rsid w:val="73B6EB34"/>
    <w:rsid w:val="744731E5"/>
    <w:rsid w:val="75E26493"/>
    <w:rsid w:val="760E5364"/>
    <w:rsid w:val="765B5D65"/>
    <w:rsid w:val="76E3355F"/>
    <w:rsid w:val="778769C8"/>
    <w:rsid w:val="77963EA7"/>
    <w:rsid w:val="77FA4ACC"/>
    <w:rsid w:val="788103D3"/>
    <w:rsid w:val="79EE5BA4"/>
    <w:rsid w:val="7A23054D"/>
    <w:rsid w:val="7A894339"/>
    <w:rsid w:val="7DF05160"/>
    <w:rsid w:val="7EEF11D3"/>
    <w:rsid w:val="7FA30C79"/>
    <w:rsid w:val="7FB7269E"/>
    <w:rsid w:val="7FC96657"/>
    <w:rsid w:val="D8D6DB89"/>
    <w:rsid w:val="DB6F4CAB"/>
    <w:rsid w:val="DF6F978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paragraph" w:styleId="5">
    <w:name w:val="heading 4"/>
    <w:basedOn w:val="1"/>
    <w:next w:val="1"/>
    <w:unhideWhenUsed/>
    <w:qFormat/>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2"/>
    <w:qFormat/>
    <w:uiPriority w:val="9"/>
    <w:rPr>
      <w:rFonts w:ascii="Times New Roman" w:hAnsi="Times New Roman"/>
      <w:b/>
      <w:bCs/>
      <w:kern w:val="44"/>
      <w:sz w:val="44"/>
      <w:szCs w:val="44"/>
    </w:rPr>
  </w:style>
  <w:style w:type="character" w:customStyle="1" w:styleId="29">
    <w:name w:val="标题 2 Char"/>
    <w:basedOn w:val="16"/>
    <w:link w:val="3"/>
    <w:qFormat/>
    <w:uiPriority w:val="9"/>
    <w:rPr>
      <w:rFonts w:asciiTheme="majorHAnsi" w:hAnsiTheme="majorHAnsi" w:eastAsiaTheme="majorEastAsia" w:cstheme="majorBidi"/>
      <w:b/>
      <w:bCs/>
      <w:kern w:val="2"/>
      <w:sz w:val="32"/>
      <w:szCs w:val="32"/>
    </w:rPr>
  </w:style>
  <w:style w:type="paragraph" w:customStyle="1" w:styleId="30">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9"/>
    <w:semiHidden/>
    <w:qFormat/>
    <w:uiPriority w:val="99"/>
    <w:rPr>
      <w:rFonts w:ascii="Times New Roman" w:hAnsi="Times New Roman"/>
      <w:kern w:val="2"/>
      <w:sz w:val="18"/>
      <w:szCs w:val="18"/>
    </w:rPr>
  </w:style>
  <w:style w:type="character" w:customStyle="1" w:styleId="32">
    <w:name w:val="标题 3 Char"/>
    <w:basedOn w:val="16"/>
    <w:link w:val="4"/>
    <w:qFormat/>
    <w:uiPriority w:val="9"/>
    <w:rPr>
      <w:rFonts w:ascii="Times New Roman" w:hAnsi="Times New Roman"/>
      <w:b/>
      <w:bCs/>
      <w:kern w:val="2"/>
      <w:sz w:val="32"/>
      <w:szCs w:val="32"/>
    </w:rPr>
  </w:style>
  <w:style w:type="paragraph" w:customStyle="1" w:styleId="33">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5" Type="http://schemas.openxmlformats.org/officeDocument/2006/relationships/fontTable" Target="fontTable.xml"/><Relationship Id="rId44" Type="http://schemas.openxmlformats.org/officeDocument/2006/relationships/numbering" Target="numbering.xml"/><Relationship Id="rId43" Type="http://schemas.openxmlformats.org/officeDocument/2006/relationships/customXml" Target="../customXml/item1.xml"/><Relationship Id="rId42" Type="http://schemas.openxmlformats.org/officeDocument/2006/relationships/image" Target="media/image24.png"/><Relationship Id="rId41" Type="http://schemas.openxmlformats.org/officeDocument/2006/relationships/image" Target="media/image23.png"/><Relationship Id="rId40" Type="http://schemas.openxmlformats.org/officeDocument/2006/relationships/image" Target="media/image22.png"/><Relationship Id="rId4" Type="http://schemas.openxmlformats.org/officeDocument/2006/relationships/footer" Target="footer1.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openxmlformats.org/officeDocument/2006/relationships/image" Target="media/image18.png"/><Relationship Id="rId35" Type="http://schemas.openxmlformats.org/officeDocument/2006/relationships/image" Target="media/image17.png"/><Relationship Id="rId34" Type="http://schemas.openxmlformats.org/officeDocument/2006/relationships/image" Target="media/image16.png"/><Relationship Id="rId33" Type="http://schemas.openxmlformats.org/officeDocument/2006/relationships/image" Target="media/image15.png"/><Relationship Id="rId32" Type="http://schemas.openxmlformats.org/officeDocument/2006/relationships/image" Target="media/image14.png"/><Relationship Id="rId31" Type="http://schemas.openxmlformats.org/officeDocument/2006/relationships/image" Target="media/image13.png"/><Relationship Id="rId30" Type="http://schemas.openxmlformats.org/officeDocument/2006/relationships/image" Target="media/image12.png"/><Relationship Id="rId3" Type="http://schemas.openxmlformats.org/officeDocument/2006/relationships/header" Target="header1.xml"/><Relationship Id="rId29" Type="http://schemas.openxmlformats.org/officeDocument/2006/relationships/image" Target="media/image11.png"/><Relationship Id="rId28" Type="http://schemas.openxmlformats.org/officeDocument/2006/relationships/image" Target="media/image10.png"/><Relationship Id="rId27" Type="http://schemas.openxmlformats.org/officeDocument/2006/relationships/image" Target="media/image9.png"/><Relationship Id="rId26" Type="http://schemas.openxmlformats.org/officeDocument/2006/relationships/image" Target="media/image8.png"/><Relationship Id="rId25" Type="http://schemas.openxmlformats.org/officeDocument/2006/relationships/image" Target="media/image7.png"/><Relationship Id="rId24" Type="http://schemas.openxmlformats.org/officeDocument/2006/relationships/image" Target="media/image6.png"/><Relationship Id="rId23" Type="http://schemas.openxmlformats.org/officeDocument/2006/relationships/image" Target="media/image5.png"/><Relationship Id="rId22" Type="http://schemas.openxmlformats.org/officeDocument/2006/relationships/image" Target="media/image4.png"/><Relationship Id="rId21" Type="http://schemas.openxmlformats.org/officeDocument/2006/relationships/image" Target="media/image3.png"/><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emf"/><Relationship Id="rId18" Type="http://schemas.openxmlformats.org/officeDocument/2006/relationships/oleObject" Target="embeddings/oleObject1.bin"/><Relationship Id="rId17" Type="http://schemas.openxmlformats.org/officeDocument/2006/relationships/chart" Target="charts/chart6.xml"/><Relationship Id="rId16" Type="http://schemas.openxmlformats.org/officeDocument/2006/relationships/chart" Target="charts/chart5.xml"/><Relationship Id="rId15" Type="http://schemas.openxmlformats.org/officeDocument/2006/relationships/chart" Target="charts/chart4.xml"/><Relationship Id="rId14" Type="http://schemas.openxmlformats.org/officeDocument/2006/relationships/chart" Target="charts/chart3.xml"/><Relationship Id="rId13" Type="http://schemas.openxmlformats.org/officeDocument/2006/relationships/chart" Target="charts/chart2.xml"/><Relationship Id="rId12" Type="http://schemas.openxmlformats.org/officeDocument/2006/relationships/chart" Target="charts/chart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dk1">
                    <a:lumMod val="75000"/>
                    <a:lumOff val="25000"/>
                  </a:schemeClr>
                </a:solidFill>
                <a:latin typeface="+mn-lt"/>
                <a:ea typeface="+mn-ea"/>
                <a:cs typeface="+mn-cs"/>
              </a:defRPr>
            </a:pPr>
            <a:r>
              <a:rPr sz="1200" b="0"/>
              <a:t>单位：万元</a:t>
            </a:r>
            <a:endParaRPr sz="1200" b="0"/>
          </a:p>
        </c:rich>
      </c:tx>
      <c:layout>
        <c:manualLayout>
          <c:xMode val="edge"/>
          <c:yMode val="edge"/>
          <c:x val="0.787197975024326"/>
          <c:y val="0.0244813212889899"/>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2021年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收、支总计</c:v>
                </c:pt>
              </c:strCache>
            </c:strRef>
          </c:cat>
          <c:val>
            <c:numRef>
              <c:f>Sheet1!$B$2</c:f>
              <c:numCache>
                <c:formatCode>General</c:formatCode>
                <c:ptCount val="1"/>
                <c:pt idx="0">
                  <c:v>2156.02</c:v>
                </c:pt>
              </c:numCache>
            </c:numRef>
          </c:val>
        </c:ser>
        <c:ser>
          <c:idx val="2"/>
          <c:order val="1"/>
          <c:tx>
            <c:strRef>
              <c:f>Sheet1!$C$1</c:f>
              <c:strCache>
                <c:ptCount val="1"/>
                <c:pt idx="0">
                  <c:v>2022年</c:v>
                </c:pt>
              </c:strCache>
            </c:strRef>
          </c:tx>
          <c:spPr>
            <a:solidFill>
              <a:schemeClr val="accent6">
                <a:lumMod val="75000"/>
              </a:schemeClr>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收、支总计</c:v>
                </c:pt>
              </c:strCache>
            </c:strRef>
          </c:cat>
          <c:val>
            <c:numRef>
              <c:f>Sheet1!$C$2</c:f>
              <c:numCache>
                <c:formatCode>General</c:formatCode>
                <c:ptCount val="1"/>
                <c:pt idx="0">
                  <c:v>959.14</c:v>
                </c:pt>
              </c:numCache>
            </c:numRef>
          </c:val>
        </c:ser>
        <c:dLbls>
          <c:showLegendKey val="0"/>
          <c:showVal val="0"/>
          <c:showCatName val="0"/>
          <c:showSerName val="0"/>
          <c:showPercent val="0"/>
          <c:showBubbleSize val="0"/>
        </c:dLbls>
        <c:gapWidth val="246"/>
        <c:overlap val="-28"/>
        <c:axId val="849693835"/>
        <c:axId val="277500677"/>
      </c:barChart>
      <c:catAx>
        <c:axId val="849693835"/>
        <c:scaling>
          <c:orientation val="minMax"/>
        </c:scaling>
        <c:delete val="1"/>
        <c:axPos val="b"/>
        <c:majorTickMark val="none"/>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77500677"/>
        <c:crosses val="autoZero"/>
        <c:auto val="1"/>
        <c:lblAlgn val="ctr"/>
        <c:lblOffset val="100"/>
        <c:noMultiLvlLbl val="0"/>
      </c:catAx>
      <c:valAx>
        <c:axId val="277500677"/>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49693835"/>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8df35da-bfe1-4328-ae0b-0bb32a17a035}"/>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Sheet1!$B$1</c:f>
              <c:strCache>
                <c:ptCount val="1"/>
                <c:pt idx="0">
                  <c:v>收入</c:v>
                </c:pt>
              </c:strCache>
            </c:strRef>
          </c:tx>
          <c:spPr>
            <a:solidFill>
              <a:schemeClr val="accent6">
                <a:lumMod val="75000"/>
              </a:schemeClr>
            </a:solidFill>
          </c:spPr>
          <c:explosion val="0"/>
          <c:dPt>
            <c:idx val="0"/>
            <c:bubble3D val="0"/>
            <c:spPr>
              <a:solidFill>
                <a:schemeClr val="accent6">
                  <a:lumMod val="75000"/>
                </a:schemeClr>
              </a:solidFill>
              <a:ln w="19050">
                <a:solidFill>
                  <a:schemeClr val="lt1"/>
                </a:solidFill>
              </a:ln>
              <a:effectLst/>
            </c:spPr>
          </c:dPt>
          <c:dLbls>
            <c:dLbl>
              <c:idx val="0"/>
              <c:layout>
                <c:manualLayout>
                  <c:x val="0.0131289839084728"/>
                  <c:y val="-0.234352176183341"/>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rPr lang="en-US" altLang="zh-CN"/>
                      <a:t>100%</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189220183486239"/>
                      <c:h val="0.143110795454545"/>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一般性公共预算财政拨款收入</c:v>
                </c:pt>
              </c:strCache>
            </c:strRef>
          </c:cat>
          <c:val>
            <c:numRef>
              <c:f>Sheet1!$B$2</c:f>
              <c:numCache>
                <c:formatCode>General</c:formatCode>
                <c:ptCount val="1"/>
                <c:pt idx="0">
                  <c:v>959.14</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f7a78dc-c1bb-48c1-8635-91c2a6246c0a}"/>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支出决算结构</c:v>
                </c:pt>
              </c:strCache>
            </c:strRef>
          </c:tx>
          <c:spPr/>
          <c:explosion val="0"/>
          <c:dPt>
            <c:idx val="0"/>
            <c:bubble3D val="0"/>
            <c:spPr>
              <a:solidFill>
                <a:schemeClr val="accent1"/>
              </a:solidFill>
              <a:ln>
                <a:solidFill>
                  <a:schemeClr val="bg1"/>
                </a:solidFill>
              </a:ln>
              <a:effectLst/>
            </c:spPr>
          </c:dPt>
          <c:dPt>
            <c:idx val="1"/>
            <c:bubble3D val="0"/>
            <c:spPr>
              <a:solidFill>
                <a:schemeClr val="accent6">
                  <a:lumMod val="75000"/>
                </a:schemeClr>
              </a:solidFill>
              <a:ln>
                <a:solidFill>
                  <a:schemeClr val="bg1"/>
                </a:solidFill>
              </a:ln>
              <a:effectLst/>
            </c:spPr>
          </c:dPt>
          <c:dLbls>
            <c:dLbl>
              <c:idx val="0"/>
              <c:layout>
                <c:manualLayout>
                  <c:x val="0.022238694567441"/>
                  <c:y val="0.0601360175936351"/>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rPr lang="en-US" altLang="zh-CN"/>
                      <a:t>34.52%</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371514882118398"/>
                  <c:y val="-0.0767170642877004"/>
                </c:manualLayout>
              </c:layout>
              <c:tx>
                <c:rich>
                  <a:bodyPr rot="0" spcFirstLastPara="0" vertOverflow="ellipsis" vert="horz" wrap="square" lIns="38100" tIns="19050" rIns="38100" bIns="19050" anchor="ctr" anchorCtr="1"/>
                  <a:lstStyle/>
                  <a:p>
                    <a:pPr defTabSz="914400">
                      <a:defRPr lang="zh-CN" sz="1000" b="0" i="0" u="none" strike="noStrike" kern="1200" baseline="0">
                        <a:solidFill>
                          <a:schemeClr val="tx1">
                            <a:lumMod val="75000"/>
                            <a:lumOff val="25000"/>
                          </a:schemeClr>
                        </a:solidFill>
                        <a:latin typeface="+mn-lt"/>
                        <a:ea typeface="+mn-ea"/>
                        <a:cs typeface="+mn-cs"/>
                      </a:defRPr>
                    </a:pPr>
                    <a:r>
                      <a:rPr lang="en-US" altLang="zh-CN"/>
                      <a:t>65.48%</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manualLayout>
                      <c:w val="0.134908430029358"/>
                      <c:h val="0.0611212305201376"/>
                    </c:manualLayout>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331.08</c:v>
                </c:pt>
                <c:pt idx="1">
                  <c:v>628.07</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d1cf965-77b8-48a0-98cf-f1fa1c5f9912}"/>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04182026185331"/>
          <c:y val="0.0446891191709845"/>
          <c:w val="0.892004576077285"/>
          <c:h val="0.750302245250432"/>
        </c:manualLayout>
      </c:layout>
      <c:barChart>
        <c:barDir val="col"/>
        <c:grouping val="clustered"/>
        <c:varyColors val="0"/>
        <c:ser>
          <c:idx val="0"/>
          <c:order val="0"/>
          <c:tx>
            <c:strRef>
              <c:f>Sheet1!$B$1</c:f>
              <c:strCache>
                <c:ptCount val="1"/>
                <c:pt idx="0">
                  <c:v>财政拨款收、支总计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2149.02</c:v>
                </c:pt>
                <c:pt idx="1">
                  <c:v>959.14</c:v>
                </c:pt>
              </c:numCache>
            </c:numRef>
          </c:val>
        </c:ser>
        <c:dLbls>
          <c:showLegendKey val="0"/>
          <c:showVal val="0"/>
          <c:showCatName val="0"/>
          <c:showSerName val="0"/>
          <c:showPercent val="0"/>
          <c:showBubbleSize val="0"/>
        </c:dLbls>
        <c:gapWidth val="246"/>
        <c:overlap val="-28"/>
        <c:axId val="104590190"/>
        <c:axId val="68585262"/>
      </c:barChart>
      <c:catAx>
        <c:axId val="10459019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8585262"/>
        <c:crosses val="autoZero"/>
        <c:auto val="1"/>
        <c:lblAlgn val="ctr"/>
        <c:lblOffset val="100"/>
        <c:noMultiLvlLbl val="0"/>
      </c:catAx>
      <c:valAx>
        <c:axId val="68585262"/>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04590190"/>
        <c:crosses val="autoZero"/>
        <c:crossBetween val="between"/>
      </c:valAx>
      <c:spPr>
        <a:noFill/>
        <a:ln>
          <a:noFill/>
        </a:ln>
        <a:effectLst/>
      </c:spPr>
    </c:plotArea>
    <c:plotVisOnly val="1"/>
    <c:dispBlanksAs val="gap"/>
    <c:showDLblsOverMax val="0"/>
    <c:extLst>
      <c:ext uri="{0b15fc19-7d7d-44ad-8c2d-2c3a37ce22c3}">
        <chartProps xmlns="https://web.wps.cn/et/2018/main" chartId="{f9f9d891-6f9e-4e3d-ad16-6fcffbabddad}"/>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一般公共预算财政拨款支出决算数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2021年</c:v>
                </c:pt>
                <c:pt idx="1">
                  <c:v>2022年</c:v>
                </c:pt>
              </c:strCache>
            </c:strRef>
          </c:cat>
          <c:val>
            <c:numRef>
              <c:f>Sheet1!$B$2:$B$3</c:f>
              <c:numCache>
                <c:formatCode>General</c:formatCode>
                <c:ptCount val="2"/>
                <c:pt idx="0">
                  <c:v>2113.62</c:v>
                </c:pt>
                <c:pt idx="1">
                  <c:v>959.14</c:v>
                </c:pt>
              </c:numCache>
            </c:numRef>
          </c:val>
        </c:ser>
        <c:dLbls>
          <c:showLegendKey val="0"/>
          <c:showVal val="1"/>
          <c:showCatName val="0"/>
          <c:showSerName val="0"/>
          <c:showPercent val="0"/>
          <c:showBubbleSize val="0"/>
        </c:dLbls>
        <c:gapWidth val="246"/>
        <c:overlap val="-28"/>
        <c:axId val="675886408"/>
        <c:axId val="901210989"/>
      </c:barChart>
      <c:catAx>
        <c:axId val="675886408"/>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01210989"/>
        <c:crosses val="autoZero"/>
        <c:auto val="1"/>
        <c:lblAlgn val="ctr"/>
        <c:lblOffset val="100"/>
        <c:noMultiLvlLbl val="0"/>
      </c:catAx>
      <c:valAx>
        <c:axId val="901210989"/>
        <c:scaling>
          <c:orientation val="minMax"/>
        </c:scaling>
        <c:delete val="0"/>
        <c:axPos val="l"/>
        <c:majorGridlines>
          <c:spPr>
            <a:ln w="9525" cap="flat" cmpd="sng" algn="ctr">
              <a:solidFill>
                <a:schemeClr val="bg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75886408"/>
        <c:crosses val="autoZero"/>
        <c:crossBetween val="between"/>
      </c:valAx>
      <c:spPr>
        <a:noFill/>
        <a:ln>
          <a:noFill/>
        </a:ln>
        <a:effectLst/>
      </c:spPr>
    </c:plotArea>
    <c:plotVisOnly val="1"/>
    <c:dispBlanksAs val="gap"/>
    <c:showDLblsOverMax val="0"/>
    <c:extLst>
      <c:ext uri="{0b15fc19-7d7d-44ad-8c2d-2c3a37ce22c3}">
        <chartProps xmlns="https://web.wps.cn/et/2018/main" chartId="{ea524ded-91f7-4705-9489-c29ca78bbb5c}"/>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列1</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Lbl>
              <c:idx val="0"/>
              <c:layout>
                <c:manualLayout>
                  <c:x val="0.0888690415786827"/>
                  <c:y val="0.0466409951395303"/>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153404128882509"/>
                  <c:y val="-0.0316139291817505"/>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112200513256576"/>
                  <c:y val="0.0244247259187568"/>
                </c:manualLayout>
              </c:layout>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社会保障和就业支出</c:v>
                </c:pt>
                <c:pt idx="1">
                  <c:v>卫生健康支出</c:v>
                </c:pt>
                <c:pt idx="2">
                  <c:v>住房保障支出</c:v>
                </c:pt>
              </c:strCache>
            </c:strRef>
          </c:cat>
          <c:val>
            <c:numRef>
              <c:f>Sheet1!$B$2:$B$4</c:f>
              <c:numCache>
                <c:formatCode>0.00%</c:formatCode>
                <c:ptCount val="3"/>
                <c:pt idx="0">
                  <c:v>0.0283</c:v>
                </c:pt>
                <c:pt idx="1">
                  <c:v>0.9467</c:v>
                </c:pt>
                <c:pt idx="2">
                  <c:v>0.025</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53b7585-3155-4262-9ec4-437b9ba89445}"/>
      </c:ext>
    </c:extLst>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bg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dk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59</Pages>
  <Words>490</Words>
  <Characters>520</Characters>
  <Lines>57</Lines>
  <Paragraphs>16</Paragraphs>
  <TotalTime>3</TotalTime>
  <ScaleCrop>false</ScaleCrop>
  <LinksUpToDate>false</LinksUpToDate>
  <CharactersWithSpaces>565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2023-10-11T02:25:00Z</dcterms:created>
  <dc:creator>曹颖</dc:creator>
  <cp:lastModifiedBy>张泽莉</cp:lastModifiedBy>
  <cp:lastPrinted>2023-10-26T06:13:00Z</cp:lastPrinted>
  <dcterms:modified xsi:type="dcterms:W3CDTF">2024-12-19T08:05:20Z</dcterms:modified>
  <dc:title>四川省***</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FED02EE98AA641558DF1DC6176D3A3A8_13</vt:lpwstr>
  </property>
</Properties>
</file>