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rPr>
      </w:pPr>
      <w:bookmarkStart w:id="1" w:name="_Toc15377425"/>
      <w:bookmarkStart w:id="2" w:name="_Toc15396475"/>
      <w:bookmarkStart w:id="3" w:name="_Toc15396597"/>
      <w:bookmarkStart w:id="4" w:name="_Toc15378441"/>
      <w:bookmarkStart w:id="5" w:name="_Toc15377193"/>
      <w:r>
        <w:rPr>
          <w:rFonts w:hint="eastAsia" w:ascii="方正小标宋简体" w:hAnsi="方正小标宋简体" w:eastAsia="方正小标宋简体" w:cs="方正小标宋简体"/>
          <w:sz w:val="72"/>
          <w:szCs w:val="72"/>
        </w:rPr>
        <w:t>2021年度</w:t>
      </w:r>
      <w:bookmarkEnd w:id="1"/>
      <w:bookmarkEnd w:id="2"/>
      <w:bookmarkEnd w:id="3"/>
      <w:bookmarkEnd w:id="4"/>
      <w:bookmarkEnd w:id="5"/>
    </w:p>
    <w:p>
      <w:pPr>
        <w:pStyle w:val="2"/>
      </w:pPr>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lang w:eastAsia="zh-CN"/>
        </w:rPr>
      </w:pPr>
      <w:bookmarkStart w:id="6" w:name="_Toc15396598"/>
      <w:bookmarkStart w:id="7" w:name="_Toc15378442"/>
      <w:bookmarkStart w:id="8" w:name="_Toc15396476"/>
      <w:bookmarkStart w:id="9" w:name="_Toc15377194"/>
      <w:bookmarkStart w:id="10" w:name="_Toc15377426"/>
      <w:r>
        <w:rPr>
          <w:rFonts w:hint="eastAsia" w:ascii="方正小标宋简体" w:hAnsi="方正小标宋简体" w:eastAsia="方正小标宋简体" w:cs="方正小标宋简体"/>
          <w:sz w:val="72"/>
          <w:szCs w:val="72"/>
        </w:rPr>
        <w:t>盐边县</w:t>
      </w:r>
      <w:bookmarkEnd w:id="0"/>
      <w:bookmarkStart w:id="11" w:name="_Toc15306268"/>
      <w:r>
        <w:rPr>
          <w:rFonts w:hint="eastAsia" w:ascii="方正小标宋简体" w:hAnsi="方正小标宋简体" w:eastAsia="方正小标宋简体" w:cs="方正小标宋简体"/>
          <w:sz w:val="72"/>
          <w:szCs w:val="72"/>
          <w:lang w:eastAsia="zh-CN"/>
        </w:rPr>
        <w:t>中医院</w:t>
      </w:r>
      <w:r>
        <w:rPr>
          <w:rFonts w:hint="eastAsia" w:ascii="方正小标宋简体" w:hAnsi="方正小标宋简体" w:eastAsia="方正小标宋简体" w:cs="方正小标宋简体"/>
          <w:sz w:val="72"/>
          <w:szCs w:val="72"/>
        </w:rPr>
        <w:t>单位决算</w:t>
      </w:r>
      <w:bookmarkEnd w:id="6"/>
      <w:bookmarkEnd w:id="7"/>
      <w:bookmarkEnd w:id="8"/>
      <w:bookmarkEnd w:id="9"/>
      <w:bookmarkEnd w:id="10"/>
      <w:bookmarkEnd w:id="11"/>
      <w:r>
        <w:rPr>
          <w:rFonts w:hint="eastAsia" w:ascii="方正小标宋简体" w:hAnsi="方正小标宋简体" w:eastAsia="方正小标宋简体" w:cs="方正小标宋简体"/>
          <w:sz w:val="72"/>
          <w:szCs w:val="72"/>
          <w:lang w:eastAsia="zh-CN"/>
        </w:rPr>
        <w:t>公开编制说明</w:t>
      </w:r>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2"/>
        <w:rPr>
          <w:rFonts w:hint="eastAsia"/>
        </w:rPr>
      </w:pPr>
      <w:r>
        <w:rPr>
          <w:rFonts w:hint="eastAsia"/>
        </w:rPr>
        <w:t>公开时间：2022年1</w:t>
      </w:r>
      <w:r>
        <w:rPr>
          <w:rFonts w:hint="eastAsia"/>
          <w:lang w:val="en-US" w:eastAsia="zh-CN"/>
        </w:rPr>
        <w:t>1</w:t>
      </w:r>
      <w:r>
        <w:rPr>
          <w:rFonts w:hint="eastAsia"/>
        </w:rPr>
        <w:t>月</w:t>
      </w:r>
      <w:r>
        <w:rPr>
          <w:rFonts w:hint="eastAsia"/>
          <w:lang w:val="en-US" w:eastAsia="zh-CN"/>
        </w:rPr>
        <w:t>1</w:t>
      </w:r>
      <w:r>
        <w:rPr>
          <w:rFonts w:hint="eastAsia"/>
        </w:rPr>
        <w:t>日</w:t>
      </w:r>
    </w:p>
    <w:p>
      <w:pPr>
        <w:rPr>
          <w:rFonts w:hint="eastAsia" w:ascii="宋体" w:hAnsi="宋体" w:eastAsia="宋体" w:cs="宋体"/>
        </w:rPr>
      </w:pPr>
    </w:p>
    <w:p>
      <w:pPr>
        <w:pStyle w:val="33"/>
        <w:spacing w:before="0" w:line="240" w:lineRule="auto"/>
        <w:rPr>
          <w:rFonts w:hint="eastAsia" w:ascii="宋体" w:hAnsi="宋体" w:eastAsia="宋体" w:cs="宋体"/>
          <w:b w:val="0"/>
          <w:bCs w:val="0"/>
          <w:sz w:val="28"/>
          <w:szCs w:val="28"/>
          <w:lang w:val="en-US" w:eastAsia="zh-CN"/>
        </w:rPr>
      </w:pPr>
      <w:r>
        <w:rPr>
          <w:rFonts w:hint="eastAsia" w:ascii="宋体" w:hAnsi="宋体" w:eastAsia="宋体" w:cs="宋体"/>
          <w:b w:val="0"/>
          <w:bCs w:val="0"/>
          <w:color w:val="auto"/>
          <w:sz w:val="28"/>
          <w:szCs w:val="28"/>
          <w:lang w:eastAsia="zh-CN"/>
        </w:rPr>
        <w:t>第一部分</w:t>
      </w:r>
      <w:r>
        <w:rPr>
          <w:rFonts w:hint="eastAsia" w:ascii="宋体" w:hAnsi="宋体" w:eastAsia="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rPr>
        <w:t>单位概况</w:t>
      </w:r>
      <w:r>
        <w:rPr>
          <w:rFonts w:hint="eastAsia" w:ascii="宋体" w:hAnsi="宋体" w:eastAsia="宋体" w:cs="宋体"/>
          <w:b w:val="0"/>
          <w:bCs w:val="0"/>
          <w:color w:val="auto"/>
          <w:sz w:val="28"/>
          <w:szCs w:val="28"/>
          <w:lang w:val="en-US" w:eastAsia="zh-CN"/>
        </w:rPr>
        <w:t>........................................5</w:t>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TOC \o "1-3" \h \z \u </w:instrText>
      </w:r>
      <w:r>
        <w:rPr>
          <w:rFonts w:hint="eastAsia" w:ascii="宋体" w:hAnsi="宋体" w:eastAsia="宋体" w:cs="宋体"/>
          <w:b w:val="0"/>
          <w:bCs w:val="0"/>
          <w:sz w:val="28"/>
          <w:szCs w:val="28"/>
        </w:rPr>
        <w:fldChar w:fldCharType="separate"/>
      </w:r>
    </w:p>
    <w:p>
      <w:pPr>
        <w:pStyle w:val="7"/>
        <w:ind w:left="0" w:leftChars="0" w:firstLine="560" w:firstLineChars="200"/>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"_Toc52180067"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一</w:t>
      </w:r>
      <w:r>
        <w:rPr>
          <w:rStyle w:val="19"/>
          <w:rFonts w:hint="eastAsia" w:ascii="宋体" w:hAnsi="宋体" w:eastAsia="宋体" w:cs="宋体"/>
          <w:b w:val="0"/>
          <w:bCs w:val="0"/>
          <w:sz w:val="28"/>
          <w:szCs w:val="28"/>
          <w:lang w:eastAsia="zh-CN"/>
        </w:rPr>
        <w:t>、</w:t>
      </w:r>
      <w:r>
        <w:rPr>
          <w:rFonts w:hint="eastAsia"/>
          <w:b w:val="0"/>
          <w:bCs w:val="0"/>
          <w:sz w:val="28"/>
          <w:szCs w:val="28"/>
        </w:rPr>
        <w:t>职能简介</w:t>
      </w:r>
      <w:r>
        <w:rPr>
          <w:rFonts w:hint="eastAsia" w:ascii="宋体" w:hAnsi="宋体" w:eastAsia="宋体" w:cs="宋体"/>
          <w:b w:val="0"/>
          <w:bCs w:val="0"/>
          <w:sz w:val="28"/>
          <w:szCs w:val="28"/>
          <w:lang w:val="en-US" w:eastAsia="zh-CN"/>
        </w:rPr>
        <w:t>.</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lang w:val="en-US" w:eastAsia="zh-CN"/>
        </w:rPr>
        <w:t>.........................................</w:t>
      </w:r>
      <w:r>
        <w:rPr>
          <w:rFonts w:hint="eastAsia" w:ascii="宋体" w:hAnsi="宋体" w:cs="宋体"/>
          <w:b w:val="0"/>
          <w:bCs w:val="0"/>
          <w:sz w:val="28"/>
          <w:szCs w:val="28"/>
          <w:lang w:val="en-US" w:eastAsia="zh-CN"/>
        </w:rPr>
        <w:t>5</w:t>
      </w:r>
    </w:p>
    <w:p>
      <w:pPr>
        <w:rPr>
          <w:rFonts w:hint="eastAsia" w:ascii="宋体" w:hAnsi="宋体" w:cs="宋体"/>
          <w:b w:val="0"/>
          <w:bCs w:val="0"/>
          <w:sz w:val="28"/>
          <w:szCs w:val="28"/>
          <w:lang w:val="en-US" w:eastAsia="zh-CN"/>
        </w:rPr>
      </w:pPr>
      <w:r>
        <w:rPr>
          <w:rFonts w:hint="eastAsia" w:ascii="宋体" w:hAnsi="宋体" w:cs="宋体"/>
          <w:b w:val="0"/>
          <w:bCs w:val="0"/>
          <w:sz w:val="28"/>
          <w:szCs w:val="28"/>
          <w:lang w:val="en-US" w:eastAsia="zh-CN"/>
        </w:rPr>
        <w:t xml:space="preserve">    (一)主要职能..........................................5</w:t>
      </w:r>
    </w:p>
    <w:p>
      <w:pPr>
        <w:pStyle w:val="2"/>
        <w:rPr>
          <w:rFonts w:hint="default"/>
          <w:lang w:val="en-US" w:eastAsia="zh-CN"/>
        </w:rPr>
      </w:pPr>
      <w:r>
        <w:rPr>
          <w:rFonts w:hint="eastAsia" w:ascii="宋体" w:hAnsi="宋体" w:cs="宋体"/>
          <w:b w:val="0"/>
          <w:bCs w:val="0"/>
          <w:sz w:val="28"/>
          <w:szCs w:val="28"/>
          <w:lang w:val="en-US" w:eastAsia="zh-CN"/>
        </w:rPr>
        <w:t xml:space="preserve">   （二）机构设置.........................................5</w:t>
      </w:r>
    </w:p>
    <w:p>
      <w:pPr>
        <w:pStyle w:val="7"/>
        <w:ind w:left="0" w:leftChars="0" w:firstLine="560" w:firstLineChars="200"/>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"_Toc52180068"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二</w:t>
      </w:r>
      <w:r>
        <w:rPr>
          <w:rStyle w:val="19"/>
          <w:rFonts w:hint="eastAsia" w:ascii="宋体" w:hAnsi="宋体" w:eastAsia="宋体" w:cs="宋体"/>
          <w:b w:val="0"/>
          <w:bCs w:val="0"/>
          <w:sz w:val="28"/>
          <w:szCs w:val="28"/>
          <w:lang w:eastAsia="zh-CN"/>
        </w:rPr>
        <w:t>、</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lang w:val="en-US" w:eastAsia="zh-CN"/>
        </w:rPr>
        <w:t>2021年重点工作完成情况............................</w:t>
      </w:r>
      <w:r>
        <w:rPr>
          <w:rFonts w:hint="eastAsia" w:ascii="宋体" w:hAnsi="宋体" w:cs="宋体"/>
          <w:b w:val="0"/>
          <w:bCs w:val="0"/>
          <w:sz w:val="28"/>
          <w:szCs w:val="28"/>
          <w:lang w:val="en-US" w:eastAsia="zh-CN"/>
        </w:rPr>
        <w:t>5</w:t>
      </w:r>
    </w:p>
    <w:p>
      <w:pPr>
        <w:pStyle w:val="12"/>
        <w:jc w:val="both"/>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"_Toc52180073"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第二部分 20</w:t>
      </w:r>
      <w:r>
        <w:rPr>
          <w:rStyle w:val="19"/>
          <w:rFonts w:hint="eastAsia" w:ascii="宋体" w:hAnsi="宋体" w:eastAsia="宋体" w:cs="宋体"/>
          <w:b w:val="0"/>
          <w:bCs w:val="0"/>
          <w:sz w:val="28"/>
          <w:szCs w:val="28"/>
          <w:lang w:val="en-US" w:eastAsia="zh-CN"/>
        </w:rPr>
        <w:t>20</w:t>
      </w:r>
      <w:r>
        <w:rPr>
          <w:rStyle w:val="19"/>
          <w:rFonts w:hint="eastAsia" w:ascii="宋体" w:hAnsi="宋体" w:eastAsia="宋体" w:cs="宋体"/>
          <w:b w:val="0"/>
          <w:bCs w:val="0"/>
          <w:sz w:val="28"/>
          <w:szCs w:val="28"/>
        </w:rPr>
        <w:t>年度</w:t>
      </w:r>
      <w:r>
        <w:rPr>
          <w:rStyle w:val="19"/>
          <w:rFonts w:hint="eastAsia" w:ascii="宋体" w:hAnsi="宋体" w:eastAsia="宋体" w:cs="宋体"/>
          <w:b w:val="0"/>
          <w:bCs w:val="0"/>
          <w:sz w:val="28"/>
          <w:szCs w:val="28"/>
          <w:lang w:val="en-US" w:eastAsia="zh-CN"/>
        </w:rPr>
        <w:t>单位</w:t>
      </w:r>
      <w:r>
        <w:rPr>
          <w:rStyle w:val="19"/>
          <w:rFonts w:hint="eastAsia" w:ascii="宋体" w:hAnsi="宋体" w:eastAsia="宋体" w:cs="宋体"/>
          <w:b w:val="0"/>
          <w:bCs w:val="0"/>
          <w:sz w:val="28"/>
          <w:szCs w:val="28"/>
        </w:rPr>
        <w:t>决算情况说明</w:t>
      </w:r>
      <w:r>
        <w:rPr>
          <w:rStyle w:val="19"/>
          <w:rFonts w:hint="eastAsia" w:ascii="宋体" w:hAnsi="宋体" w:eastAsia="宋体" w:cs="宋体"/>
          <w:b w:val="0"/>
          <w:bCs w:val="0"/>
          <w:sz w:val="28"/>
          <w:szCs w:val="28"/>
          <w:lang w:val="en-US" w:eastAsia="zh-CN"/>
        </w:rPr>
        <w:t>.........................</w:t>
      </w:r>
      <w:r>
        <w:rPr>
          <w:rFonts w:hint="eastAsia" w:ascii="宋体" w:hAnsi="宋体" w:eastAsia="宋体" w:cs="宋体"/>
          <w:b w:val="0"/>
          <w:bCs w:val="0"/>
          <w:sz w:val="28"/>
          <w:szCs w:val="28"/>
          <w:lang w:val="en-US" w:eastAsia="zh-CN"/>
        </w:rPr>
        <w:t>8</w:t>
      </w:r>
      <w:r>
        <w:rPr>
          <w:rFonts w:hint="eastAsia" w:ascii="宋体" w:hAnsi="宋体" w:eastAsia="宋体" w:cs="宋体"/>
          <w:b w:val="0"/>
          <w:bCs w:val="0"/>
          <w:sz w:val="28"/>
          <w:szCs w:val="28"/>
        </w:rPr>
        <w:fldChar w:fldCharType="end"/>
      </w:r>
    </w:p>
    <w:p>
      <w:pPr>
        <w:pStyle w:val="13"/>
        <w:tabs>
          <w:tab w:val="left" w:pos="1260"/>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"_Toc52180074"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一、</w:t>
      </w:r>
      <w:r>
        <w:rPr>
          <w:rFonts w:hint="eastAsia" w:ascii="宋体" w:hAnsi="宋体" w:eastAsia="宋体" w:cs="宋体"/>
          <w:b w:val="0"/>
          <w:bCs w:val="0"/>
          <w:sz w:val="28"/>
          <w:szCs w:val="28"/>
        </w:rPr>
        <w:tab/>
      </w:r>
      <w:r>
        <w:rPr>
          <w:rStyle w:val="19"/>
          <w:rFonts w:hint="eastAsia" w:ascii="宋体" w:hAnsi="宋体" w:eastAsia="宋体" w:cs="宋体"/>
          <w:b w:val="0"/>
          <w:bCs w:val="0"/>
          <w:sz w:val="28"/>
          <w:szCs w:val="28"/>
        </w:rPr>
        <w:t>收入支出决算总体情况说明</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w:t>
      </w:r>
      <w:r>
        <w:rPr>
          <w:rFonts w:hint="eastAsia" w:ascii="宋体" w:hAnsi="宋体" w:cs="宋体"/>
          <w:b w:val="0"/>
          <w:bCs w:val="0"/>
          <w:sz w:val="28"/>
          <w:szCs w:val="28"/>
          <w:lang w:val="en-US" w:eastAsia="zh-CN"/>
        </w:rPr>
        <w:t>8</w:t>
      </w:r>
      <w:r>
        <w:rPr>
          <w:rFonts w:hint="eastAsia" w:ascii="宋体" w:hAnsi="宋体" w:eastAsia="宋体" w:cs="宋体"/>
          <w:b w:val="0"/>
          <w:bCs w:val="0"/>
          <w:sz w:val="28"/>
          <w:szCs w:val="28"/>
        </w:rPr>
        <w:fldChar w:fldCharType="end"/>
      </w:r>
    </w:p>
    <w:p>
      <w:pPr>
        <w:pStyle w:val="13"/>
        <w:tabs>
          <w:tab w:val="left" w:pos="1260"/>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"_Toc52180075"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二、</w:t>
      </w:r>
      <w:r>
        <w:rPr>
          <w:rFonts w:hint="eastAsia" w:ascii="宋体" w:hAnsi="宋体" w:eastAsia="宋体" w:cs="宋体"/>
          <w:b w:val="0"/>
          <w:bCs w:val="0"/>
          <w:sz w:val="28"/>
          <w:szCs w:val="28"/>
        </w:rPr>
        <w:tab/>
      </w:r>
      <w:r>
        <w:rPr>
          <w:rStyle w:val="19"/>
          <w:rFonts w:hint="eastAsia" w:ascii="宋体" w:hAnsi="宋体" w:eastAsia="宋体" w:cs="宋体"/>
          <w:b w:val="0"/>
          <w:bCs w:val="0"/>
          <w:sz w:val="28"/>
          <w:szCs w:val="28"/>
        </w:rPr>
        <w:t>收入决算情况说明</w:t>
      </w:r>
      <w:r>
        <w:rPr>
          <w:rFonts w:hint="eastAsia" w:ascii="宋体" w:hAnsi="宋体" w:eastAsia="宋体" w:cs="宋体"/>
          <w:b w:val="0"/>
          <w:bCs w:val="0"/>
          <w:sz w:val="28"/>
          <w:szCs w:val="28"/>
        </w:rPr>
        <w:tab/>
      </w:r>
      <w:r>
        <w:rPr>
          <w:rFonts w:hint="eastAsia" w:ascii="宋体" w:hAnsi="宋体" w:cs="宋体"/>
          <w:b w:val="0"/>
          <w:bCs w:val="0"/>
          <w:sz w:val="28"/>
          <w:szCs w:val="28"/>
          <w:lang w:val="en-US" w:eastAsia="zh-CN"/>
        </w:rPr>
        <w:t>9</w:t>
      </w:r>
      <w:r>
        <w:rPr>
          <w:rFonts w:hint="eastAsia" w:ascii="宋体" w:hAnsi="宋体" w:eastAsia="宋体" w:cs="宋体"/>
          <w:b w:val="0"/>
          <w:bCs w:val="0"/>
          <w:sz w:val="28"/>
          <w:szCs w:val="28"/>
        </w:rPr>
        <w:fldChar w:fldCharType="end"/>
      </w:r>
    </w:p>
    <w:p>
      <w:pPr>
        <w:pStyle w:val="13"/>
        <w:tabs>
          <w:tab w:val="left" w:pos="1260"/>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"_Toc52180077"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三、</w:t>
      </w:r>
      <w:r>
        <w:rPr>
          <w:rFonts w:hint="eastAsia" w:ascii="宋体" w:hAnsi="宋体" w:eastAsia="宋体" w:cs="宋体"/>
          <w:b w:val="0"/>
          <w:bCs w:val="0"/>
          <w:sz w:val="28"/>
          <w:szCs w:val="28"/>
        </w:rPr>
        <w:tab/>
      </w:r>
      <w:r>
        <w:rPr>
          <w:rStyle w:val="19"/>
          <w:rFonts w:hint="eastAsia" w:ascii="宋体" w:hAnsi="宋体" w:eastAsia="宋体" w:cs="宋体"/>
          <w:b w:val="0"/>
          <w:bCs w:val="0"/>
          <w:sz w:val="28"/>
          <w:szCs w:val="28"/>
        </w:rPr>
        <w:t>支出决算情况说明</w:t>
      </w:r>
      <w:r>
        <w:rPr>
          <w:rFonts w:hint="eastAsia" w:ascii="宋体" w:hAnsi="宋体" w:eastAsia="宋体" w:cs="宋体"/>
          <w:b w:val="0"/>
          <w:bCs w:val="0"/>
          <w:sz w:val="28"/>
          <w:szCs w:val="28"/>
        </w:rPr>
        <w:tab/>
      </w:r>
      <w:r>
        <w:rPr>
          <w:rFonts w:hint="eastAsia" w:ascii="宋体" w:hAnsi="宋体" w:cs="宋体"/>
          <w:b w:val="0"/>
          <w:bCs w:val="0"/>
          <w:sz w:val="28"/>
          <w:szCs w:val="28"/>
          <w:lang w:val="en-US" w:eastAsia="zh-CN"/>
        </w:rPr>
        <w:t>9</w:t>
      </w:r>
      <w:r>
        <w:rPr>
          <w:rFonts w:hint="eastAsia" w:ascii="宋体" w:hAnsi="宋体" w:eastAsia="宋体" w:cs="宋体"/>
          <w:b w:val="0"/>
          <w:bCs w:val="0"/>
          <w:sz w:val="28"/>
          <w:szCs w:val="28"/>
        </w:rPr>
        <w:fldChar w:fldCharType="end"/>
      </w:r>
    </w:p>
    <w:p>
      <w:pPr>
        <w:pStyle w:val="13"/>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"_Toc52180079"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四、财政拨款收入支出决算总体情况说明</w:t>
      </w:r>
      <w:r>
        <w:rPr>
          <w:rFonts w:hint="eastAsia" w:ascii="宋体" w:hAnsi="宋体" w:eastAsia="宋体" w:cs="宋体"/>
          <w:b w:val="0"/>
          <w:bCs w:val="0"/>
          <w:sz w:val="28"/>
          <w:szCs w:val="28"/>
        </w:rPr>
        <w:tab/>
      </w:r>
      <w:r>
        <w:rPr>
          <w:rFonts w:hint="eastAsia" w:ascii="宋体" w:hAnsi="宋体" w:cs="宋体"/>
          <w:b w:val="0"/>
          <w:bCs w:val="0"/>
          <w:sz w:val="28"/>
          <w:szCs w:val="28"/>
          <w:lang w:val="en-US" w:eastAsia="zh-CN"/>
        </w:rPr>
        <w:t>1</w:t>
      </w:r>
      <w:r>
        <w:rPr>
          <w:rFonts w:hint="eastAsia" w:ascii="宋体" w:hAnsi="宋体" w:eastAsia="宋体" w:cs="宋体"/>
          <w:b w:val="0"/>
          <w:bCs w:val="0"/>
          <w:sz w:val="28"/>
          <w:szCs w:val="28"/>
        </w:rPr>
        <w:fldChar w:fldCharType="end"/>
      </w:r>
      <w:r>
        <w:rPr>
          <w:rFonts w:hint="eastAsia" w:ascii="宋体" w:hAnsi="宋体" w:cs="宋体"/>
          <w:b w:val="0"/>
          <w:bCs w:val="0"/>
          <w:sz w:val="28"/>
          <w:szCs w:val="28"/>
          <w:lang w:val="en-US" w:eastAsia="zh-CN"/>
        </w:rPr>
        <w:t>0</w:t>
      </w:r>
    </w:p>
    <w:p>
      <w:pPr>
        <w:pStyle w:val="13"/>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"_Toc52180080"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五、一般公共预算财政拨款支出决算情况说明</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1</w:t>
      </w:r>
      <w:r>
        <w:rPr>
          <w:rFonts w:hint="eastAsia" w:ascii="宋体" w:hAnsi="宋体" w:eastAsia="宋体" w:cs="宋体"/>
          <w:b w:val="0"/>
          <w:bCs w:val="0"/>
          <w:sz w:val="28"/>
          <w:szCs w:val="28"/>
        </w:rPr>
        <w:fldChar w:fldCharType="end"/>
      </w:r>
      <w:r>
        <w:rPr>
          <w:rFonts w:hint="eastAsia" w:ascii="宋体" w:hAnsi="宋体" w:cs="宋体"/>
          <w:b w:val="0"/>
          <w:bCs w:val="0"/>
          <w:sz w:val="28"/>
          <w:szCs w:val="28"/>
          <w:lang w:val="en-US" w:eastAsia="zh-CN"/>
        </w:rPr>
        <w:t>1</w:t>
      </w:r>
    </w:p>
    <w:p>
      <w:pPr>
        <w:pStyle w:val="7"/>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"_Toc52180081"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（一）一般公共预算财政拨款支出决算总体情况</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1</w:t>
      </w:r>
      <w:r>
        <w:rPr>
          <w:rFonts w:hint="eastAsia" w:ascii="宋体" w:hAnsi="宋体" w:eastAsia="宋体" w:cs="宋体"/>
          <w:b w:val="0"/>
          <w:bCs w:val="0"/>
          <w:sz w:val="28"/>
          <w:szCs w:val="28"/>
        </w:rPr>
        <w:fldChar w:fldCharType="end"/>
      </w:r>
      <w:r>
        <w:rPr>
          <w:rFonts w:hint="eastAsia" w:ascii="宋体" w:hAnsi="宋体" w:cs="宋体"/>
          <w:b w:val="0"/>
          <w:bCs w:val="0"/>
          <w:sz w:val="28"/>
          <w:szCs w:val="28"/>
          <w:lang w:val="en-US" w:eastAsia="zh-CN"/>
        </w:rPr>
        <w:t>1</w:t>
      </w:r>
    </w:p>
    <w:p>
      <w:pPr>
        <w:pStyle w:val="7"/>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"_Toc52180082"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（二）一般公共预算财政拨款支出决算结构情况</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1</w:t>
      </w:r>
      <w:r>
        <w:rPr>
          <w:rFonts w:hint="eastAsia" w:ascii="宋体" w:hAnsi="宋体" w:eastAsia="宋体" w:cs="宋体"/>
          <w:b w:val="0"/>
          <w:bCs w:val="0"/>
          <w:sz w:val="28"/>
          <w:szCs w:val="28"/>
        </w:rPr>
        <w:fldChar w:fldCharType="end"/>
      </w:r>
      <w:r>
        <w:rPr>
          <w:rFonts w:hint="eastAsia" w:ascii="宋体" w:hAnsi="宋体" w:cs="宋体"/>
          <w:b w:val="0"/>
          <w:bCs w:val="0"/>
          <w:sz w:val="28"/>
          <w:szCs w:val="28"/>
          <w:lang w:val="en-US" w:eastAsia="zh-CN"/>
        </w:rPr>
        <w:t>1</w:t>
      </w:r>
    </w:p>
    <w:p>
      <w:pPr>
        <w:pStyle w:val="7"/>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"_Toc52180083"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（三）一般公共预算财政拨款支出决算具体情况</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1</w:t>
      </w:r>
      <w:r>
        <w:rPr>
          <w:rFonts w:hint="eastAsia" w:ascii="宋体" w:hAnsi="宋体" w:eastAsia="宋体" w:cs="宋体"/>
          <w:b w:val="0"/>
          <w:bCs w:val="0"/>
          <w:sz w:val="28"/>
          <w:szCs w:val="28"/>
        </w:rPr>
        <w:fldChar w:fldCharType="end"/>
      </w:r>
      <w:r>
        <w:rPr>
          <w:rFonts w:hint="eastAsia" w:ascii="宋体" w:hAnsi="宋体" w:cs="宋体"/>
          <w:b w:val="0"/>
          <w:bCs w:val="0"/>
          <w:sz w:val="28"/>
          <w:szCs w:val="28"/>
          <w:lang w:val="en-US" w:eastAsia="zh-CN"/>
        </w:rPr>
        <w:t>2</w:t>
      </w:r>
    </w:p>
    <w:p>
      <w:pPr>
        <w:pStyle w:val="13"/>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"_Toc52180085"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六、一般公共预算财政拨款基本支出决算情况说明</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1</w:t>
      </w:r>
      <w:r>
        <w:rPr>
          <w:rFonts w:hint="eastAsia" w:ascii="宋体" w:hAnsi="宋体" w:eastAsia="宋体" w:cs="宋体"/>
          <w:b w:val="0"/>
          <w:bCs w:val="0"/>
          <w:sz w:val="28"/>
          <w:szCs w:val="28"/>
        </w:rPr>
        <w:fldChar w:fldCharType="end"/>
      </w:r>
      <w:r>
        <w:rPr>
          <w:rFonts w:hint="eastAsia" w:ascii="宋体" w:hAnsi="宋体" w:cs="宋体"/>
          <w:b w:val="0"/>
          <w:bCs w:val="0"/>
          <w:sz w:val="28"/>
          <w:szCs w:val="28"/>
          <w:lang w:val="en-US" w:eastAsia="zh-CN"/>
        </w:rPr>
        <w:t>3</w:t>
      </w:r>
    </w:p>
    <w:p>
      <w:pPr>
        <w:pStyle w:val="13"/>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"_Toc52180086"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七、“三公”经费财政拨款支出决算情况说明</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1</w:t>
      </w:r>
      <w:r>
        <w:rPr>
          <w:rFonts w:hint="eastAsia" w:ascii="宋体" w:hAnsi="宋体" w:eastAsia="宋体" w:cs="宋体"/>
          <w:b w:val="0"/>
          <w:bCs w:val="0"/>
          <w:sz w:val="28"/>
          <w:szCs w:val="28"/>
        </w:rPr>
        <w:fldChar w:fldCharType="end"/>
      </w:r>
      <w:r>
        <w:rPr>
          <w:rFonts w:hint="eastAsia" w:ascii="宋体" w:hAnsi="宋体" w:cs="宋体"/>
          <w:b w:val="0"/>
          <w:bCs w:val="0"/>
          <w:sz w:val="28"/>
          <w:szCs w:val="28"/>
          <w:lang w:val="en-US" w:eastAsia="zh-CN"/>
        </w:rPr>
        <w:t>3</w:t>
      </w:r>
    </w:p>
    <w:p>
      <w:pPr>
        <w:pStyle w:val="7"/>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"_Toc52180087"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（一）“三公”经费财政拨款支出决算总体情况说明</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1</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lang w:val="en-US" w:eastAsia="zh-CN"/>
        </w:rPr>
        <w:t>3</w:t>
      </w:r>
    </w:p>
    <w:p>
      <w:pPr>
        <w:pStyle w:val="7"/>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"_Toc52180088"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（二）“三公”经费财政拨款支出决算具体情况说明</w:t>
      </w:r>
      <w:r>
        <w:rPr>
          <w:rStyle w:val="19"/>
          <w:rFonts w:hint="eastAsia" w:ascii="宋体" w:hAnsi="宋体" w:eastAsia="宋体" w:cs="宋体"/>
          <w:b w:val="0"/>
          <w:bCs w:val="0"/>
          <w:sz w:val="28"/>
          <w:szCs w:val="28"/>
          <w:lang w:val="en-US" w:eastAsia="zh-CN"/>
        </w:rPr>
        <w:t>.</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lang w:val="en-US" w:eastAsia="zh-CN"/>
        </w:rPr>
        <w:t>....................</w:t>
      </w:r>
      <w:r>
        <w:rPr>
          <w:rFonts w:hint="eastAsia" w:ascii="宋体" w:hAnsi="宋体" w:cs="宋体"/>
          <w:b w:val="0"/>
          <w:bCs w:val="0"/>
          <w:sz w:val="28"/>
          <w:szCs w:val="28"/>
          <w:lang w:val="en-US" w:eastAsia="zh-CN"/>
        </w:rPr>
        <w:t>..........................</w:t>
      </w:r>
      <w:r>
        <w:rPr>
          <w:rFonts w:hint="eastAsia" w:ascii="宋体" w:hAnsi="宋体" w:eastAsia="宋体" w:cs="宋体"/>
          <w:b w:val="0"/>
          <w:bCs w:val="0"/>
          <w:sz w:val="28"/>
          <w:szCs w:val="28"/>
          <w:lang w:val="en-US" w:eastAsia="zh-CN"/>
        </w:rPr>
        <w:t>..13</w:t>
      </w:r>
    </w:p>
    <w:p>
      <w:pPr>
        <w:pStyle w:val="13"/>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"_Toc52180089"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八、政府性基金预算支出决算情况说明</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lang w:val="en-US" w:eastAsia="zh-CN"/>
        </w:rPr>
        <w:t>15</w:t>
      </w:r>
    </w:p>
    <w:p>
      <w:pPr>
        <w:pStyle w:val="13"/>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"_Toc52180090"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九、 国有资本经营预算支出决算情况说明</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1</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lang w:val="en-US" w:eastAsia="zh-CN"/>
        </w:rPr>
        <w:t>5</w:t>
      </w:r>
    </w:p>
    <w:p>
      <w:pPr>
        <w:pStyle w:val="13"/>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"_Toc52180091"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十、其他重要事项的情况说明</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1</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lang w:val="en-US" w:eastAsia="zh-CN"/>
        </w:rPr>
        <w:t>5</w:t>
      </w:r>
    </w:p>
    <w:p>
      <w:pPr>
        <w:pStyle w:val="7"/>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"_Toc52180092"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（一）机关运行经费支出情况</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1</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lang w:val="en-US" w:eastAsia="zh-CN"/>
        </w:rPr>
        <w:t>5</w:t>
      </w:r>
    </w:p>
    <w:p>
      <w:pPr>
        <w:pStyle w:val="7"/>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"_Toc52180093"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（二）政府采购支出情况</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1</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lang w:val="en-US" w:eastAsia="zh-CN"/>
        </w:rPr>
        <w:t>5</w:t>
      </w:r>
    </w:p>
    <w:p>
      <w:pPr>
        <w:pStyle w:val="7"/>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"_Toc52180094"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（三）国有资产占有使用情况</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1</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lang w:val="en-US" w:eastAsia="zh-CN"/>
        </w:rPr>
        <w:t>5</w:t>
      </w:r>
    </w:p>
    <w:p>
      <w:pPr>
        <w:pStyle w:val="7"/>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"_Toc52180095"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（四）预算绩效管理情况。</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1</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lang w:val="en-US" w:eastAsia="zh-CN"/>
        </w:rPr>
        <w:t>6</w:t>
      </w:r>
    </w:p>
    <w:p>
      <w:pPr>
        <w:pStyle w:val="12"/>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"_Toc52180096"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kern w:val="44"/>
          <w:sz w:val="28"/>
          <w:szCs w:val="28"/>
        </w:rPr>
        <w:t>第三部分</w:t>
      </w:r>
      <w:r>
        <w:rPr>
          <w:rStyle w:val="19"/>
          <w:rFonts w:hint="eastAsia" w:ascii="宋体" w:hAnsi="宋体" w:eastAsia="宋体" w:cs="宋体"/>
          <w:b w:val="0"/>
          <w:bCs w:val="0"/>
          <w:sz w:val="28"/>
          <w:szCs w:val="28"/>
        </w:rPr>
        <w:t xml:space="preserve"> 名</w:t>
      </w:r>
      <w:r>
        <w:rPr>
          <w:rStyle w:val="19"/>
          <w:rFonts w:hint="eastAsia" w:ascii="宋体" w:hAnsi="宋体" w:eastAsia="宋体" w:cs="宋体"/>
          <w:b w:val="0"/>
          <w:bCs w:val="0"/>
          <w:kern w:val="44"/>
          <w:sz w:val="28"/>
          <w:szCs w:val="28"/>
        </w:rPr>
        <w:t>词解释</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1</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lang w:val="en-US" w:eastAsia="zh-CN"/>
        </w:rPr>
        <w:t>8</w:t>
      </w:r>
    </w:p>
    <w:p>
      <w:pPr>
        <w:pStyle w:val="12"/>
        <w:jc w:val="both"/>
        <w:rPr>
          <w:rStyle w:val="19"/>
          <w:rFonts w:hint="default" w:ascii="宋体" w:hAnsi="宋体" w:eastAsia="宋体" w:cs="宋体"/>
          <w:b w:val="0"/>
          <w:bCs w:val="0"/>
          <w:kern w:val="44"/>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"_Toc52180097"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kern w:val="44"/>
          <w:sz w:val="28"/>
          <w:szCs w:val="28"/>
        </w:rPr>
        <w:t>四部分</w:t>
      </w:r>
      <w:r>
        <w:rPr>
          <w:rStyle w:val="19"/>
          <w:rFonts w:hint="eastAsia" w:ascii="宋体" w:hAnsi="宋体" w:eastAsia="宋体" w:cs="宋体"/>
          <w:b w:val="0"/>
          <w:bCs w:val="0"/>
          <w:kern w:val="44"/>
          <w:sz w:val="28"/>
          <w:szCs w:val="28"/>
          <w:lang w:val="en-US" w:eastAsia="zh-CN"/>
        </w:rPr>
        <w:t xml:space="preserve"> </w:t>
      </w:r>
      <w:r>
        <w:rPr>
          <w:rStyle w:val="19"/>
          <w:rFonts w:hint="eastAsia" w:ascii="宋体" w:hAnsi="宋体" w:eastAsia="宋体" w:cs="宋体"/>
          <w:b w:val="0"/>
          <w:bCs w:val="0"/>
          <w:kern w:val="44"/>
          <w:sz w:val="28"/>
          <w:szCs w:val="28"/>
        </w:rPr>
        <w:t>附件</w:t>
      </w:r>
      <w:r>
        <w:rPr>
          <w:rStyle w:val="19"/>
          <w:rFonts w:hint="eastAsia" w:ascii="宋体" w:hAnsi="宋体" w:eastAsia="宋体" w:cs="宋体"/>
          <w:b w:val="0"/>
          <w:bCs w:val="0"/>
          <w:kern w:val="44"/>
          <w:sz w:val="28"/>
          <w:szCs w:val="28"/>
          <w:lang w:val="en-US" w:eastAsia="zh-CN"/>
        </w:rPr>
        <w:t>..............................................21</w:t>
      </w:r>
    </w:p>
    <w:p>
      <w:pPr>
        <w:pStyle w:val="12"/>
        <w:jc w:val="both"/>
        <w:rPr>
          <w:rFonts w:hint="default" w:ascii="宋体" w:hAnsi="宋体" w:eastAsia="宋体" w:cs="宋体"/>
          <w:b w:val="0"/>
          <w:bCs w:val="0"/>
          <w:sz w:val="28"/>
          <w:szCs w:val="28"/>
          <w:lang w:val="en-US" w:eastAsia="zh-CN"/>
        </w:rPr>
      </w:pPr>
      <w:r>
        <w:rPr>
          <w:rStyle w:val="19"/>
          <w:rFonts w:hint="eastAsia" w:ascii="宋体" w:hAnsi="宋体" w:eastAsia="宋体" w:cs="宋体"/>
          <w:b w:val="0"/>
          <w:bCs w:val="0"/>
          <w:kern w:val="44"/>
          <w:sz w:val="28"/>
          <w:szCs w:val="28"/>
        </w:rPr>
        <w:t>附件</w:t>
      </w:r>
      <w:r>
        <w:rPr>
          <w:rStyle w:val="19"/>
          <w:rFonts w:hint="eastAsia" w:ascii="宋体" w:hAnsi="宋体" w:eastAsia="宋体" w:cs="宋体"/>
          <w:b w:val="0"/>
          <w:bCs w:val="0"/>
          <w:kern w:val="44"/>
          <w:sz w:val="28"/>
          <w:szCs w:val="28"/>
          <w:lang w:val="en-US" w:eastAsia="zh-CN"/>
        </w:rPr>
        <w:t xml:space="preserve">1  </w:t>
      </w:r>
      <w:r>
        <w:rPr>
          <w:rFonts w:hint="eastAsia" w:ascii="宋体" w:hAnsi="宋体" w:eastAsia="宋体" w:cs="宋体"/>
          <w:b w:val="0"/>
          <w:bCs w:val="0"/>
          <w:sz w:val="28"/>
          <w:szCs w:val="28"/>
        </w:rPr>
        <w:t>专项（项目）资金绩效自评</w:t>
      </w:r>
      <w:r>
        <w:rPr>
          <w:rFonts w:hint="eastAsia" w:ascii="宋体" w:hAnsi="宋体" w:eastAsia="宋体" w:cs="宋体"/>
          <w:b w:val="0"/>
          <w:bCs w:val="0"/>
          <w:sz w:val="28"/>
          <w:szCs w:val="28"/>
          <w:lang w:val="en-US" w:eastAsia="zh-CN"/>
        </w:rPr>
        <w:t>表</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lang w:val="en-US" w:eastAsia="zh-CN"/>
        </w:rPr>
        <w:t>21</w:t>
      </w:r>
    </w:p>
    <w:p>
      <w:pPr>
        <w:ind w:firstLine="560" w:firstLineChars="200"/>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抗疫特别国债项目资金.................................</w:t>
      </w:r>
      <w:r>
        <w:rPr>
          <w:rFonts w:hint="eastAsia" w:ascii="宋体" w:hAnsi="宋体" w:cs="宋体"/>
          <w:b w:val="0"/>
          <w:bCs w:val="0"/>
          <w:sz w:val="28"/>
          <w:szCs w:val="28"/>
          <w:lang w:val="en-US" w:eastAsia="zh-CN"/>
        </w:rPr>
        <w:t>21</w:t>
      </w:r>
    </w:p>
    <w:p>
      <w:pPr>
        <w:ind w:firstLine="560" w:firstLineChars="200"/>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t>疗机构事业发展基金项目</w:t>
      </w:r>
      <w:r>
        <w:rPr>
          <w:rFonts w:hint="eastAsia" w:ascii="宋体" w:hAnsi="宋体" w:eastAsia="宋体" w:cs="宋体"/>
          <w:b w:val="0"/>
          <w:bCs w:val="0"/>
          <w:sz w:val="28"/>
          <w:szCs w:val="28"/>
          <w:lang w:val="en-US" w:eastAsia="zh-CN"/>
        </w:rPr>
        <w:t>...............................2</w:t>
      </w:r>
      <w:r>
        <w:rPr>
          <w:rFonts w:hint="eastAsia" w:ascii="宋体" w:hAnsi="宋体" w:cs="宋体"/>
          <w:b w:val="0"/>
          <w:bCs w:val="0"/>
          <w:sz w:val="28"/>
          <w:szCs w:val="28"/>
          <w:lang w:val="en-US" w:eastAsia="zh-CN"/>
        </w:rPr>
        <w:t>2</w:t>
      </w:r>
    </w:p>
    <w:p>
      <w:pPr>
        <w:ind w:firstLine="560" w:firstLineChars="200"/>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t>医</w:t>
      </w:r>
      <w:r>
        <w:rPr>
          <w:rFonts w:hint="eastAsia" w:ascii="宋体" w:hAnsi="宋体" w:cs="宋体"/>
          <w:b w:val="0"/>
          <w:bCs w:val="0"/>
          <w:sz w:val="28"/>
          <w:szCs w:val="28"/>
          <w:lang w:eastAsia="zh-CN"/>
        </w:rPr>
        <w:t>疗</w:t>
      </w:r>
      <w:r>
        <w:rPr>
          <w:rFonts w:hint="eastAsia" w:ascii="宋体" w:hAnsi="宋体" w:eastAsia="宋体" w:cs="宋体"/>
          <w:b w:val="0"/>
          <w:bCs w:val="0"/>
          <w:sz w:val="28"/>
          <w:szCs w:val="28"/>
        </w:rPr>
        <w:t>服务与保障能力提升</w:t>
      </w: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lang w:val="en-US" w:eastAsia="zh-CN"/>
        </w:rPr>
        <w:t>公立医院改革）项目............</w:t>
      </w:r>
      <w:r>
        <w:rPr>
          <w:rFonts w:hint="eastAsia" w:ascii="宋体" w:hAnsi="宋体" w:cs="宋体"/>
          <w:b w:val="0"/>
          <w:bCs w:val="0"/>
          <w:sz w:val="28"/>
          <w:szCs w:val="28"/>
          <w:lang w:val="en-US" w:eastAsia="zh-CN"/>
        </w:rPr>
        <w:t>........................................</w:t>
      </w:r>
      <w:r>
        <w:rPr>
          <w:rFonts w:hint="eastAsia" w:ascii="宋体" w:hAnsi="宋体" w:eastAsia="宋体" w:cs="宋体"/>
          <w:b w:val="0"/>
          <w:bCs w:val="0"/>
          <w:sz w:val="28"/>
          <w:szCs w:val="28"/>
          <w:lang w:val="en-US" w:eastAsia="zh-CN"/>
        </w:rPr>
        <w:t>...22</w:t>
      </w:r>
    </w:p>
    <w:p>
      <w:pPr>
        <w:pStyle w:val="12"/>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"_Toc52180099"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第</w:t>
      </w:r>
      <w:r>
        <w:rPr>
          <w:rStyle w:val="19"/>
          <w:rFonts w:hint="eastAsia" w:ascii="宋体" w:hAnsi="宋体" w:eastAsia="宋体" w:cs="宋体"/>
          <w:b w:val="0"/>
          <w:bCs w:val="0"/>
          <w:kern w:val="44"/>
          <w:sz w:val="28"/>
          <w:szCs w:val="28"/>
        </w:rPr>
        <w:t>五部分附表</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2</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lang w:val="en-US" w:eastAsia="zh-CN"/>
        </w:rPr>
        <w:t>5</w:t>
      </w:r>
    </w:p>
    <w:p>
      <w:pPr>
        <w:pStyle w:val="13"/>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"_Toc52180100"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一、收入支出决算总表</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2</w:t>
      </w:r>
      <w:r>
        <w:rPr>
          <w:rFonts w:hint="eastAsia" w:ascii="宋体" w:hAnsi="宋体" w:cs="宋体"/>
          <w:b w:val="0"/>
          <w:bCs w:val="0"/>
          <w:sz w:val="28"/>
          <w:szCs w:val="28"/>
          <w:lang w:val="en-US" w:eastAsia="zh-CN"/>
        </w:rPr>
        <w:t>5</w:t>
      </w:r>
      <w:r>
        <w:rPr>
          <w:rFonts w:hint="eastAsia" w:ascii="宋体" w:hAnsi="宋体" w:eastAsia="宋体" w:cs="宋体"/>
          <w:b w:val="0"/>
          <w:bCs w:val="0"/>
          <w:sz w:val="28"/>
          <w:szCs w:val="28"/>
        </w:rPr>
        <w:fldChar w:fldCharType="end"/>
      </w:r>
    </w:p>
    <w:p>
      <w:pPr>
        <w:pStyle w:val="13"/>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"_Toc52180101"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二、收入决算表</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2</w:t>
      </w:r>
      <w:r>
        <w:rPr>
          <w:rFonts w:hint="eastAsia" w:ascii="宋体" w:hAnsi="宋体" w:eastAsia="宋体" w:cs="宋体"/>
          <w:b w:val="0"/>
          <w:bCs w:val="0"/>
          <w:sz w:val="28"/>
          <w:szCs w:val="28"/>
        </w:rPr>
        <w:fldChar w:fldCharType="end"/>
      </w:r>
      <w:r>
        <w:rPr>
          <w:rFonts w:hint="eastAsia" w:ascii="宋体" w:hAnsi="宋体" w:cs="宋体"/>
          <w:b w:val="0"/>
          <w:bCs w:val="0"/>
          <w:sz w:val="28"/>
          <w:szCs w:val="28"/>
          <w:lang w:val="en-US" w:eastAsia="zh-CN"/>
        </w:rPr>
        <w:t>5</w:t>
      </w:r>
    </w:p>
    <w:p>
      <w:pPr>
        <w:pStyle w:val="13"/>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"_Toc52180102"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三、支出决算表</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2</w:t>
      </w:r>
      <w:r>
        <w:rPr>
          <w:rFonts w:hint="eastAsia" w:ascii="宋体" w:hAnsi="宋体" w:eastAsia="宋体" w:cs="宋体"/>
          <w:b w:val="0"/>
          <w:bCs w:val="0"/>
          <w:sz w:val="28"/>
          <w:szCs w:val="28"/>
        </w:rPr>
        <w:fldChar w:fldCharType="end"/>
      </w:r>
      <w:r>
        <w:rPr>
          <w:rFonts w:hint="eastAsia" w:ascii="宋体" w:hAnsi="宋体" w:cs="宋体"/>
          <w:b w:val="0"/>
          <w:bCs w:val="0"/>
          <w:sz w:val="28"/>
          <w:szCs w:val="28"/>
          <w:lang w:val="en-US" w:eastAsia="zh-CN"/>
        </w:rPr>
        <w:t>5</w:t>
      </w:r>
    </w:p>
    <w:p>
      <w:pPr>
        <w:pStyle w:val="13"/>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"_Toc52180103"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四、财政拨款收入支出决算总表</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2</w:t>
      </w:r>
      <w:r>
        <w:rPr>
          <w:rFonts w:hint="eastAsia" w:ascii="宋体" w:hAnsi="宋体" w:eastAsia="宋体" w:cs="宋体"/>
          <w:b w:val="0"/>
          <w:bCs w:val="0"/>
          <w:sz w:val="28"/>
          <w:szCs w:val="28"/>
        </w:rPr>
        <w:fldChar w:fldCharType="end"/>
      </w:r>
      <w:r>
        <w:rPr>
          <w:rFonts w:hint="eastAsia" w:ascii="宋体" w:hAnsi="宋体" w:cs="宋体"/>
          <w:b w:val="0"/>
          <w:bCs w:val="0"/>
          <w:sz w:val="28"/>
          <w:szCs w:val="28"/>
          <w:lang w:val="en-US" w:eastAsia="zh-CN"/>
        </w:rPr>
        <w:t>5</w:t>
      </w:r>
    </w:p>
    <w:p>
      <w:pPr>
        <w:pStyle w:val="13"/>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"_Toc52180104"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五、财政拨款支出决算明细表</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2</w:t>
      </w:r>
      <w:r>
        <w:rPr>
          <w:rFonts w:hint="eastAsia" w:ascii="宋体" w:hAnsi="宋体" w:eastAsia="宋体" w:cs="宋体"/>
          <w:b w:val="0"/>
          <w:bCs w:val="0"/>
          <w:sz w:val="28"/>
          <w:szCs w:val="28"/>
        </w:rPr>
        <w:fldChar w:fldCharType="end"/>
      </w:r>
      <w:r>
        <w:rPr>
          <w:rFonts w:hint="eastAsia" w:ascii="宋体" w:hAnsi="宋体" w:cs="宋体"/>
          <w:b w:val="0"/>
          <w:bCs w:val="0"/>
          <w:sz w:val="28"/>
          <w:szCs w:val="28"/>
          <w:lang w:val="en-US" w:eastAsia="zh-CN"/>
        </w:rPr>
        <w:t>5</w:t>
      </w:r>
    </w:p>
    <w:p>
      <w:pPr>
        <w:pStyle w:val="13"/>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"_Toc52180105"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六、一般公共预算财政拨款支出决算表</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2</w:t>
      </w:r>
      <w:r>
        <w:rPr>
          <w:rFonts w:hint="eastAsia" w:ascii="宋体" w:hAnsi="宋体" w:eastAsia="宋体" w:cs="宋体"/>
          <w:b w:val="0"/>
          <w:bCs w:val="0"/>
          <w:sz w:val="28"/>
          <w:szCs w:val="28"/>
        </w:rPr>
        <w:fldChar w:fldCharType="end"/>
      </w:r>
      <w:r>
        <w:rPr>
          <w:rFonts w:hint="eastAsia" w:ascii="宋体" w:hAnsi="宋体" w:cs="宋体"/>
          <w:b w:val="0"/>
          <w:bCs w:val="0"/>
          <w:sz w:val="28"/>
          <w:szCs w:val="28"/>
          <w:lang w:val="en-US" w:eastAsia="zh-CN"/>
        </w:rPr>
        <w:t>5</w:t>
      </w:r>
    </w:p>
    <w:p>
      <w:pPr>
        <w:pStyle w:val="13"/>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"_Toc52180106"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七、一般公共预算财政拨款支出决算明细表</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2</w:t>
      </w:r>
      <w:r>
        <w:rPr>
          <w:rFonts w:hint="eastAsia" w:ascii="宋体" w:hAnsi="宋体" w:eastAsia="宋体" w:cs="宋体"/>
          <w:b w:val="0"/>
          <w:bCs w:val="0"/>
          <w:sz w:val="28"/>
          <w:szCs w:val="28"/>
        </w:rPr>
        <w:fldChar w:fldCharType="end"/>
      </w:r>
      <w:r>
        <w:rPr>
          <w:rFonts w:hint="eastAsia" w:ascii="宋体" w:hAnsi="宋体" w:cs="宋体"/>
          <w:b w:val="0"/>
          <w:bCs w:val="0"/>
          <w:sz w:val="28"/>
          <w:szCs w:val="28"/>
          <w:lang w:val="en-US" w:eastAsia="zh-CN"/>
        </w:rPr>
        <w:t>5</w:t>
      </w:r>
    </w:p>
    <w:p>
      <w:pPr>
        <w:pStyle w:val="13"/>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"_Toc52180107"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八、一般公共预算财政拨款基本支出决算表</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2</w:t>
      </w:r>
      <w:r>
        <w:rPr>
          <w:rFonts w:hint="eastAsia" w:ascii="宋体" w:hAnsi="宋体" w:eastAsia="宋体" w:cs="宋体"/>
          <w:b w:val="0"/>
          <w:bCs w:val="0"/>
          <w:sz w:val="28"/>
          <w:szCs w:val="28"/>
        </w:rPr>
        <w:fldChar w:fldCharType="end"/>
      </w:r>
      <w:r>
        <w:rPr>
          <w:rFonts w:hint="eastAsia" w:ascii="宋体" w:hAnsi="宋体" w:cs="宋体"/>
          <w:b w:val="0"/>
          <w:bCs w:val="0"/>
          <w:sz w:val="28"/>
          <w:szCs w:val="28"/>
          <w:lang w:val="en-US" w:eastAsia="zh-CN"/>
        </w:rPr>
        <w:t>5</w:t>
      </w:r>
    </w:p>
    <w:p>
      <w:pPr>
        <w:pStyle w:val="13"/>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"_Toc52180108"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九、一般公共预算财政拨款项目支出决算表</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2</w:t>
      </w:r>
      <w:r>
        <w:rPr>
          <w:rFonts w:hint="eastAsia" w:ascii="宋体" w:hAnsi="宋体" w:eastAsia="宋体" w:cs="宋体"/>
          <w:b w:val="0"/>
          <w:bCs w:val="0"/>
          <w:sz w:val="28"/>
          <w:szCs w:val="28"/>
        </w:rPr>
        <w:fldChar w:fldCharType="end"/>
      </w:r>
      <w:r>
        <w:rPr>
          <w:rFonts w:hint="eastAsia" w:ascii="宋体" w:hAnsi="宋体" w:cs="宋体"/>
          <w:b w:val="0"/>
          <w:bCs w:val="0"/>
          <w:sz w:val="28"/>
          <w:szCs w:val="28"/>
          <w:lang w:val="en-US" w:eastAsia="zh-CN"/>
        </w:rPr>
        <w:t>5</w:t>
      </w:r>
    </w:p>
    <w:p>
      <w:pPr>
        <w:pStyle w:val="13"/>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"_Toc52180109"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十、一般公共预算财政拨款“三公”经费支出决算表</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2</w:t>
      </w:r>
      <w:r>
        <w:rPr>
          <w:rFonts w:hint="eastAsia" w:ascii="宋体" w:hAnsi="宋体" w:eastAsia="宋体" w:cs="宋体"/>
          <w:b w:val="0"/>
          <w:bCs w:val="0"/>
          <w:sz w:val="28"/>
          <w:szCs w:val="28"/>
        </w:rPr>
        <w:fldChar w:fldCharType="end"/>
      </w:r>
      <w:r>
        <w:rPr>
          <w:rFonts w:hint="eastAsia" w:ascii="宋体" w:hAnsi="宋体" w:cs="宋体"/>
          <w:b w:val="0"/>
          <w:bCs w:val="0"/>
          <w:sz w:val="28"/>
          <w:szCs w:val="28"/>
          <w:lang w:val="en-US" w:eastAsia="zh-CN"/>
        </w:rPr>
        <w:t>5</w:t>
      </w:r>
    </w:p>
    <w:p>
      <w:pPr>
        <w:pStyle w:val="13"/>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"_Toc52180110"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十一、政府性基金预算财政拨款收入支出决算表</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2</w:t>
      </w:r>
      <w:r>
        <w:rPr>
          <w:rFonts w:hint="eastAsia" w:ascii="宋体" w:hAnsi="宋体" w:eastAsia="宋体" w:cs="宋体"/>
          <w:b w:val="0"/>
          <w:bCs w:val="0"/>
          <w:sz w:val="28"/>
          <w:szCs w:val="28"/>
        </w:rPr>
        <w:fldChar w:fldCharType="end"/>
      </w:r>
      <w:r>
        <w:rPr>
          <w:rFonts w:hint="eastAsia" w:ascii="宋体" w:hAnsi="宋体" w:cs="宋体"/>
          <w:b w:val="0"/>
          <w:bCs w:val="0"/>
          <w:sz w:val="28"/>
          <w:szCs w:val="28"/>
          <w:lang w:val="en-US" w:eastAsia="zh-CN"/>
        </w:rPr>
        <w:t>5</w:t>
      </w:r>
    </w:p>
    <w:p>
      <w:pPr>
        <w:pStyle w:val="13"/>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"_Toc52180111"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十二、政府性基金预算财政拨款“三公”经费支出决算表</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2</w:t>
      </w:r>
      <w:r>
        <w:rPr>
          <w:rFonts w:hint="eastAsia" w:ascii="宋体" w:hAnsi="宋体" w:eastAsia="宋体" w:cs="宋体"/>
          <w:b w:val="0"/>
          <w:bCs w:val="0"/>
          <w:sz w:val="28"/>
          <w:szCs w:val="28"/>
        </w:rPr>
        <w:fldChar w:fldCharType="end"/>
      </w:r>
      <w:r>
        <w:rPr>
          <w:rFonts w:hint="eastAsia" w:ascii="宋体" w:hAnsi="宋体" w:cs="宋体"/>
          <w:b w:val="0"/>
          <w:bCs w:val="0"/>
          <w:sz w:val="28"/>
          <w:szCs w:val="28"/>
          <w:lang w:val="en-US" w:eastAsia="zh-CN"/>
        </w:rPr>
        <w:t>5</w:t>
      </w:r>
    </w:p>
    <w:p>
      <w:pPr>
        <w:pStyle w:val="13"/>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"_Toc52180112" </w:instrText>
      </w:r>
      <w:r>
        <w:rPr>
          <w:rFonts w:hint="eastAsia" w:ascii="宋体" w:hAnsi="宋体" w:eastAsia="宋体" w:cs="宋体"/>
          <w:b w:val="0"/>
          <w:bCs w:val="0"/>
          <w:sz w:val="28"/>
          <w:szCs w:val="28"/>
        </w:rPr>
        <w:fldChar w:fldCharType="separate"/>
      </w:r>
      <w:r>
        <w:rPr>
          <w:rStyle w:val="19"/>
          <w:rFonts w:hint="eastAsia" w:ascii="宋体" w:hAnsi="宋体" w:eastAsia="宋体" w:cs="宋体"/>
          <w:b w:val="0"/>
          <w:bCs w:val="0"/>
          <w:sz w:val="28"/>
          <w:szCs w:val="28"/>
        </w:rPr>
        <w:t>十三、国有资本经营预算支出决算表</w:t>
      </w:r>
      <w:r>
        <w:rPr>
          <w:rFonts w:hint="eastAsia" w:ascii="宋体" w:hAnsi="宋体" w:eastAsia="宋体" w:cs="宋体"/>
          <w:b w:val="0"/>
          <w:bCs w:val="0"/>
          <w:sz w:val="28"/>
          <w:szCs w:val="28"/>
        </w:rPr>
        <w:tab/>
      </w:r>
      <w:r>
        <w:rPr>
          <w:rFonts w:hint="eastAsia" w:ascii="宋体" w:hAnsi="宋体" w:eastAsia="宋体" w:cs="宋体"/>
          <w:b w:val="0"/>
          <w:bCs w:val="0"/>
          <w:sz w:val="28"/>
          <w:szCs w:val="28"/>
          <w:lang w:val="en-US" w:eastAsia="zh-CN"/>
        </w:rPr>
        <w:t>2</w:t>
      </w:r>
      <w:r>
        <w:rPr>
          <w:rFonts w:hint="eastAsia" w:ascii="宋体" w:hAnsi="宋体" w:eastAsia="宋体" w:cs="宋体"/>
          <w:b w:val="0"/>
          <w:bCs w:val="0"/>
          <w:sz w:val="28"/>
          <w:szCs w:val="28"/>
        </w:rPr>
        <w:fldChar w:fldCharType="end"/>
      </w:r>
      <w:r>
        <w:rPr>
          <w:rFonts w:hint="eastAsia" w:ascii="宋体" w:hAnsi="宋体" w:cs="宋体"/>
          <w:b w:val="0"/>
          <w:bCs w:val="0"/>
          <w:sz w:val="28"/>
          <w:szCs w:val="28"/>
          <w:lang w:val="en-US" w:eastAsia="zh-CN"/>
        </w:rPr>
        <w:t>5</w:t>
      </w:r>
    </w:p>
    <w:p>
      <w:pPr>
        <w:pStyle w:val="6"/>
        <w:rPr>
          <w:sz w:val="24"/>
          <w:szCs w:val="24"/>
        </w:rPr>
      </w:pPr>
      <w:r>
        <w:rPr>
          <w:rFonts w:hint="eastAsia" w:ascii="宋体" w:hAnsi="宋体" w:eastAsia="宋体" w:cs="宋体"/>
          <w:b w:val="0"/>
          <w:bCs w:val="0"/>
          <w:sz w:val="28"/>
          <w:szCs w:val="28"/>
        </w:rPr>
        <w:fldChar w:fldCharType="end"/>
      </w:r>
    </w:p>
    <w:p>
      <w:pPr>
        <w:pStyle w:val="6"/>
        <w:rPr>
          <w:sz w:val="24"/>
          <w:szCs w:val="24"/>
        </w:rPr>
      </w:pPr>
    </w:p>
    <w:p>
      <w:pPr>
        <w:pStyle w:val="6"/>
        <w:rPr>
          <w:sz w:val="24"/>
          <w:szCs w:val="24"/>
        </w:rPr>
      </w:pPr>
    </w:p>
    <w:p>
      <w:pPr>
        <w:pStyle w:val="6"/>
        <w:rPr>
          <w:sz w:val="24"/>
          <w:szCs w:val="24"/>
        </w:rPr>
      </w:pPr>
    </w:p>
    <w:p>
      <w:pPr>
        <w:pStyle w:val="6"/>
        <w:rPr>
          <w:sz w:val="24"/>
          <w:szCs w:val="24"/>
        </w:rPr>
      </w:pPr>
    </w:p>
    <w:p>
      <w:pPr>
        <w:pStyle w:val="6"/>
        <w:rPr>
          <w:sz w:val="24"/>
          <w:szCs w:val="24"/>
        </w:rPr>
      </w:pPr>
    </w:p>
    <w:p>
      <w:pPr>
        <w:pStyle w:val="6"/>
        <w:rPr>
          <w:sz w:val="24"/>
          <w:szCs w:val="24"/>
        </w:rPr>
      </w:pPr>
    </w:p>
    <w:p>
      <w:pPr>
        <w:pStyle w:val="6"/>
        <w:rPr>
          <w:sz w:val="24"/>
          <w:szCs w:val="24"/>
        </w:rPr>
      </w:pPr>
    </w:p>
    <w:p>
      <w:pPr>
        <w:pStyle w:val="6"/>
        <w:rPr>
          <w:sz w:val="24"/>
          <w:szCs w:val="24"/>
        </w:rPr>
      </w:pPr>
    </w:p>
    <w:p>
      <w:pPr>
        <w:pStyle w:val="6"/>
        <w:rPr>
          <w:sz w:val="24"/>
          <w:szCs w:val="24"/>
        </w:rPr>
      </w:pPr>
    </w:p>
    <w:p>
      <w:pPr>
        <w:pStyle w:val="6"/>
        <w:rPr>
          <w:sz w:val="24"/>
          <w:szCs w:val="24"/>
        </w:rPr>
      </w:pPr>
    </w:p>
    <w:p>
      <w:pPr>
        <w:pStyle w:val="6"/>
        <w:rPr>
          <w:sz w:val="24"/>
          <w:szCs w:val="24"/>
        </w:rPr>
      </w:pPr>
    </w:p>
    <w:p>
      <w:pPr>
        <w:pStyle w:val="6"/>
        <w:rPr>
          <w:sz w:val="24"/>
          <w:szCs w:val="24"/>
        </w:rPr>
      </w:pPr>
    </w:p>
    <w:p>
      <w:pPr>
        <w:pStyle w:val="6"/>
        <w:rPr>
          <w:sz w:val="24"/>
          <w:szCs w:val="24"/>
        </w:rPr>
      </w:pPr>
    </w:p>
    <w:p>
      <w:pPr>
        <w:pStyle w:val="6"/>
        <w:rPr>
          <w:sz w:val="24"/>
          <w:szCs w:val="24"/>
        </w:rPr>
      </w:pPr>
    </w:p>
    <w:p>
      <w:pPr>
        <w:pStyle w:val="6"/>
        <w:rPr>
          <w:sz w:val="24"/>
          <w:szCs w:val="24"/>
        </w:rPr>
      </w:pPr>
    </w:p>
    <w:p>
      <w:pPr>
        <w:pStyle w:val="6"/>
        <w:rPr>
          <w:sz w:val="24"/>
          <w:szCs w:val="24"/>
        </w:rPr>
      </w:pPr>
    </w:p>
    <w:p>
      <w:pPr>
        <w:pStyle w:val="6"/>
        <w:rPr>
          <w:sz w:val="24"/>
          <w:szCs w:val="24"/>
        </w:rPr>
      </w:pPr>
    </w:p>
    <w:p>
      <w:pPr>
        <w:pStyle w:val="6"/>
        <w:rPr>
          <w:sz w:val="24"/>
          <w:szCs w:val="24"/>
        </w:rPr>
      </w:pPr>
    </w:p>
    <w:p>
      <w:pPr>
        <w:pStyle w:val="6"/>
        <w:rPr>
          <w:sz w:val="24"/>
          <w:szCs w:val="24"/>
        </w:rPr>
      </w:pPr>
    </w:p>
    <w:p>
      <w:pPr>
        <w:pStyle w:val="6"/>
        <w:rPr>
          <w:sz w:val="24"/>
          <w:szCs w:val="24"/>
        </w:rPr>
      </w:pPr>
    </w:p>
    <w:p>
      <w:pPr>
        <w:pStyle w:val="6"/>
        <w:rPr>
          <w:sz w:val="24"/>
          <w:szCs w:val="24"/>
        </w:rPr>
      </w:pPr>
    </w:p>
    <w:p>
      <w:pPr>
        <w:pStyle w:val="6"/>
        <w:rPr>
          <w:rFonts w:hint="eastAsia"/>
          <w:b/>
          <w:bCs/>
          <w:sz w:val="36"/>
          <w:szCs w:val="40"/>
        </w:rPr>
      </w:pPr>
    </w:p>
    <w:p>
      <w:pPr>
        <w:pStyle w:val="6"/>
        <w:rPr>
          <w:rFonts w:hint="eastAsia"/>
          <w:b/>
          <w:bCs/>
          <w:sz w:val="36"/>
          <w:szCs w:val="40"/>
        </w:rPr>
      </w:pPr>
    </w:p>
    <w:p>
      <w:pPr>
        <w:pStyle w:val="6"/>
        <w:jc w:val="center"/>
        <w:rPr>
          <w:rFonts w:cstheme="minorBidi"/>
          <w:b/>
          <w:bCs/>
          <w:sz w:val="36"/>
          <w:szCs w:val="36"/>
        </w:rPr>
      </w:pPr>
      <w:r>
        <w:rPr>
          <w:rFonts w:hint="eastAsia" w:ascii="黑体" w:hAnsi="黑体" w:eastAsia="黑体" w:cs="黑体"/>
          <w:b/>
          <w:bCs/>
          <w:sz w:val="44"/>
          <w:szCs w:val="44"/>
        </w:rPr>
        <w:t>第一部分单位概况</w:t>
      </w:r>
    </w:p>
    <w:p>
      <w:pPr>
        <w:pStyle w:val="13"/>
        <w:numPr>
          <w:ilvl w:val="0"/>
          <w:numId w:val="1"/>
        </w:numPr>
        <w:adjustRightInd w:val="0"/>
        <w:snapToGrid w:val="0"/>
        <w:spacing w:line="440" w:lineRule="exact"/>
        <w:jc w:val="left"/>
        <w:rPr>
          <w:rFonts w:hint="eastAsia"/>
          <w:b/>
          <w:bCs/>
          <w:sz w:val="32"/>
          <w:szCs w:val="32"/>
        </w:rPr>
      </w:pPr>
      <w:r>
        <w:rPr>
          <w:rFonts w:hint="eastAsia"/>
          <w:b/>
          <w:bCs/>
          <w:sz w:val="32"/>
          <w:szCs w:val="32"/>
        </w:rPr>
        <w:t>职能简介</w:t>
      </w:r>
    </w:p>
    <w:p>
      <w:pPr>
        <w:spacing w:line="560" w:lineRule="exact"/>
        <w:ind w:firstLine="640" w:firstLineChars="200"/>
        <w:rPr>
          <w:rFonts w:hint="eastAsia" w:ascii="仿宋" w:hAnsi="仿宋" w:eastAsia="仿宋" w:cs="仿宋"/>
          <w:b w:val="0"/>
          <w:bCs w:val="0"/>
          <w:sz w:val="32"/>
          <w:szCs w:val="32"/>
        </w:rPr>
      </w:pPr>
      <w:bookmarkStart w:id="12" w:name="_Toc15378445"/>
      <w:bookmarkStart w:id="13" w:name="_Toc15377198"/>
      <w:r>
        <w:rPr>
          <w:rFonts w:hint="eastAsia" w:ascii="仿宋" w:hAnsi="仿宋" w:eastAsia="仿宋" w:cs="仿宋"/>
          <w:b w:val="0"/>
          <w:bCs w:val="0"/>
          <w:sz w:val="32"/>
          <w:szCs w:val="32"/>
        </w:rPr>
        <w:t>（一）主要职能。</w:t>
      </w:r>
      <w:bookmarkEnd w:id="12"/>
      <w:bookmarkEnd w:id="13"/>
    </w:p>
    <w:p>
      <w:pPr>
        <w:spacing w:line="560" w:lineRule="exact"/>
        <w:ind w:firstLine="640" w:firstLineChars="200"/>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盐边县中医院是执行中西医并重的政策，提供中西医医疗、预防、保健、计划生育指导、康复等医疗卫生服务、具体包括：常见病、多发病的诊断与治疗；急危重症患者的诊治，转诊转院服务;承担意外灾害事故、疫情等突发公共卫生事件的医疗急救主社区预防、保健和康复医疗服务工作，开展各种医疗保健卫生知识宣传普及；充分发挥中医药在国家基本公共卫生服务中的优势和作用，负责全县基本公共卫生服务中医药健康管理项目的实施和日常管理；承担中医药人才培养，中医药继续医学教育工作；做好城镇职工基本医疗保险、城镇居民基本医疗保险定点医疗机构的各项工作；参与卫生扶贫、重要会议与重大活动的医疗卫生、保障工作；承担县政府及卫生和计划生育局交办的其他卫生工作等</w:t>
      </w:r>
      <w:r>
        <w:rPr>
          <w:rFonts w:hint="eastAsia" w:ascii="仿宋" w:hAnsi="仿宋" w:eastAsia="仿宋" w:cs="仿宋"/>
          <w:b w:val="0"/>
          <w:bCs w:val="0"/>
          <w:sz w:val="32"/>
          <w:szCs w:val="32"/>
          <w:lang w:eastAsia="zh-CN"/>
        </w:rPr>
        <w:t>。</w:t>
      </w:r>
    </w:p>
    <w:p>
      <w:pPr>
        <w:spacing w:line="560" w:lineRule="exact"/>
        <w:ind w:firstLine="642" w:firstLineChars="200"/>
        <w:rPr>
          <w:rFonts w:hint="eastAsia" w:ascii="仿宋" w:hAnsi="仿宋" w:eastAsia="仿宋" w:cs="仿宋"/>
          <w:b/>
          <w:bCs/>
          <w:sz w:val="32"/>
          <w:szCs w:val="32"/>
        </w:rPr>
      </w:pPr>
      <w:bookmarkStart w:id="14" w:name="_Toc15396601"/>
      <w:bookmarkStart w:id="15" w:name="_Toc15377200"/>
      <w:r>
        <w:rPr>
          <w:rFonts w:hint="eastAsia" w:ascii="仿宋" w:hAnsi="仿宋" w:eastAsia="仿宋" w:cs="仿宋"/>
          <w:b/>
          <w:bCs/>
          <w:sz w:val="32"/>
          <w:szCs w:val="32"/>
          <w:lang w:eastAsia="zh-CN"/>
        </w:rPr>
        <w:t>（</w:t>
      </w:r>
      <w:r>
        <w:rPr>
          <w:rFonts w:hint="eastAsia" w:ascii="仿宋" w:hAnsi="仿宋" w:eastAsia="仿宋" w:cs="仿宋"/>
          <w:b/>
          <w:bCs/>
          <w:sz w:val="32"/>
          <w:szCs w:val="32"/>
        </w:rPr>
        <w:t>二</w:t>
      </w:r>
      <w:r>
        <w:rPr>
          <w:rFonts w:hint="eastAsia" w:ascii="仿宋" w:hAnsi="仿宋" w:eastAsia="仿宋" w:cs="仿宋"/>
          <w:b/>
          <w:bCs/>
          <w:sz w:val="32"/>
          <w:szCs w:val="32"/>
          <w:lang w:eastAsia="zh-CN"/>
        </w:rPr>
        <w:t>）</w:t>
      </w:r>
      <w:r>
        <w:rPr>
          <w:rFonts w:hint="eastAsia" w:ascii="仿宋" w:hAnsi="仿宋" w:eastAsia="仿宋" w:cs="仿宋"/>
          <w:b/>
          <w:bCs/>
          <w:sz w:val="32"/>
          <w:szCs w:val="32"/>
        </w:rPr>
        <w:t>机构设置</w:t>
      </w:r>
      <w:bookmarkEnd w:id="14"/>
      <w:bookmarkEnd w:id="15"/>
    </w:p>
    <w:p>
      <w:pPr>
        <w:spacing w:line="560" w:lineRule="exact"/>
        <w:ind w:firstLine="640" w:firstLineChars="200"/>
        <w:rPr>
          <w:b/>
          <w:bCs/>
          <w:sz w:val="24"/>
          <w:szCs w:val="32"/>
        </w:rPr>
      </w:pPr>
      <w:r>
        <w:rPr>
          <w:rFonts w:hint="eastAsia" w:ascii="仿宋" w:hAnsi="仿宋" w:eastAsia="仿宋" w:cs="仿宋"/>
          <w:b w:val="0"/>
          <w:bCs w:val="0"/>
          <w:sz w:val="32"/>
          <w:szCs w:val="32"/>
          <w:lang w:eastAsia="zh-CN"/>
        </w:rPr>
        <w:t>盐边县中医院</w:t>
      </w:r>
      <w:r>
        <w:rPr>
          <w:rFonts w:hint="eastAsia" w:ascii="仿宋" w:hAnsi="仿宋" w:eastAsia="仿宋" w:cs="仿宋"/>
          <w:b w:val="0"/>
          <w:bCs w:val="0"/>
          <w:sz w:val="32"/>
          <w:szCs w:val="32"/>
        </w:rPr>
        <w:t>下属二级单位</w:t>
      </w:r>
      <w:r>
        <w:rPr>
          <w:rFonts w:hint="eastAsia" w:ascii="仿宋" w:hAnsi="仿宋" w:eastAsia="仿宋" w:cs="仿宋"/>
          <w:b w:val="0"/>
          <w:bCs w:val="0"/>
          <w:sz w:val="32"/>
          <w:szCs w:val="32"/>
          <w:lang w:val="en-US" w:eastAsia="zh-CN"/>
        </w:rPr>
        <w:t>0</w:t>
      </w:r>
      <w:r>
        <w:rPr>
          <w:rFonts w:hint="eastAsia" w:ascii="仿宋" w:hAnsi="仿宋" w:eastAsia="仿宋" w:cs="仿宋"/>
          <w:b w:val="0"/>
          <w:bCs w:val="0"/>
          <w:sz w:val="32"/>
          <w:szCs w:val="32"/>
        </w:rPr>
        <w:t>个，其中行政单位</w:t>
      </w:r>
      <w:r>
        <w:rPr>
          <w:rFonts w:hint="eastAsia" w:ascii="仿宋" w:hAnsi="仿宋" w:eastAsia="仿宋" w:cs="仿宋"/>
          <w:b w:val="0"/>
          <w:bCs w:val="0"/>
          <w:sz w:val="32"/>
          <w:szCs w:val="32"/>
          <w:lang w:val="en-US" w:eastAsia="zh-CN"/>
        </w:rPr>
        <w:t>0</w:t>
      </w:r>
      <w:r>
        <w:rPr>
          <w:rFonts w:hint="eastAsia" w:ascii="仿宋" w:hAnsi="仿宋" w:eastAsia="仿宋" w:cs="仿宋"/>
          <w:b w:val="0"/>
          <w:bCs w:val="0"/>
          <w:sz w:val="32"/>
          <w:szCs w:val="32"/>
        </w:rPr>
        <w:t>个，参照公务员法管理的事业单位</w:t>
      </w:r>
      <w:r>
        <w:rPr>
          <w:rFonts w:hint="eastAsia" w:ascii="仿宋" w:hAnsi="仿宋" w:eastAsia="仿宋" w:cs="仿宋"/>
          <w:b w:val="0"/>
          <w:bCs w:val="0"/>
          <w:sz w:val="32"/>
          <w:szCs w:val="32"/>
          <w:lang w:val="en-US" w:eastAsia="zh-CN"/>
        </w:rPr>
        <w:t>0</w:t>
      </w:r>
      <w:r>
        <w:rPr>
          <w:rFonts w:hint="eastAsia" w:ascii="仿宋" w:hAnsi="仿宋" w:eastAsia="仿宋" w:cs="仿宋"/>
          <w:b w:val="0"/>
          <w:bCs w:val="0"/>
          <w:sz w:val="32"/>
          <w:szCs w:val="32"/>
        </w:rPr>
        <w:t>个，其他事业单位</w:t>
      </w:r>
      <w:r>
        <w:rPr>
          <w:rFonts w:hint="eastAsia" w:ascii="仿宋" w:hAnsi="仿宋" w:eastAsia="仿宋" w:cs="仿宋"/>
          <w:b w:val="0"/>
          <w:bCs w:val="0"/>
          <w:sz w:val="32"/>
          <w:szCs w:val="32"/>
          <w:lang w:val="en-US" w:eastAsia="zh-CN"/>
        </w:rPr>
        <w:t>0</w:t>
      </w:r>
      <w:r>
        <w:rPr>
          <w:rFonts w:hint="eastAsia" w:ascii="仿宋" w:hAnsi="仿宋" w:eastAsia="仿宋" w:cs="仿宋"/>
          <w:b w:val="0"/>
          <w:bCs w:val="0"/>
          <w:sz w:val="32"/>
          <w:szCs w:val="32"/>
        </w:rPr>
        <w:t>个。</w:t>
      </w:r>
    </w:p>
    <w:p>
      <w:pPr>
        <w:pStyle w:val="13"/>
        <w:adjustRightInd w:val="0"/>
        <w:snapToGrid w:val="0"/>
        <w:spacing w:line="440" w:lineRule="exact"/>
        <w:jc w:val="left"/>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二、2021年重点工作完成情况</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（一）坚持党建引领，推动医院发展。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方正仿宋_GBK-WinCharSetFFFF-H"/>
          <w:kern w:val="0"/>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eastAsia="仿宋_GB2312" w:cs="方正仿宋_GBK-WinCharSetFFFF-H"/>
          <w:kern w:val="0"/>
          <w:sz w:val="32"/>
          <w:szCs w:val="32"/>
        </w:rPr>
        <w:t>为切实加强医院党的建设，充分发挥党员的先锋模范作用和党支部的战斗堡垒作用</w:t>
      </w:r>
      <w:r>
        <w:rPr>
          <w:rFonts w:hint="eastAsia" w:ascii="仿宋_GB2312" w:eastAsia="仿宋_GB2312" w:cs="方正仿宋_GBK-WinCharSetFFFF-H"/>
          <w:kern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sz w:val="32"/>
          <w:szCs w:val="32"/>
          <w:lang w:val="en-US" w:eastAsia="zh-CN"/>
        </w:rPr>
        <w:t>2.扎实开展党史学习教育，提高职工的政治思想素质。我院严格按照县卫健局党委的部署，迅速行动、精心组织，成立党史学习教育领导小组</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lang w:eastAsia="zh-CN"/>
        </w:rPr>
        <w:t>召开党史学习教育动员会，制定工作方案。</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3.坚决落实全面从严治党主体责任，强化党风廉政建设，将党风廉政建设和反腐败工作贯穿到各项工作中，与全院各科室签订行风责任书、“九不准”承诺书，建立医德考评体系。</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000000"/>
          <w:kern w:val="0"/>
          <w:sz w:val="32"/>
          <w:szCs w:val="32"/>
          <w:lang w:val="en-US" w:eastAsia="zh-CN" w:bidi="ar"/>
        </w:rPr>
      </w:pPr>
      <w:r>
        <w:rPr>
          <w:rFonts w:hint="eastAsia" w:ascii="仿宋_GB2312" w:hAnsi="仿宋_GB2312" w:eastAsia="仿宋_GB2312" w:cs="仿宋_GB2312"/>
          <w:snapToGrid w:val="0"/>
          <w:color w:val="000000"/>
          <w:kern w:val="0"/>
          <w:sz w:val="32"/>
          <w:szCs w:val="32"/>
          <w:lang w:val="en-US" w:eastAsia="zh-CN" w:bidi="ar"/>
        </w:rPr>
        <w:t>4.扎实推进宣传阵地建设，意识形态及风险防范能力不断提高。</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（二）坚持落实防控举措，筑牢疫情防控保护屏障。</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医院按照省、市卫健委及县卫健局有关部署要求，把疫情防控作为当前首要任务和政治任务，进一步落实落细防控措施，切实筑牢“外防输入，内防反弹”坚固防线，坚决保障患者和医院安全。</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（三）绩效改革初见成效。</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2021年医院绩效管理紧紧围绕“保证医疗质量与安全，创造医院效益和提高员工待遇”为原则，坚持效率优先，兼顾公平，切实解决医院现有绩效问题，把绩效管理作为推动医院工作的总抓手，通过建章立制和创新机制来促进管理。打破之前的分配模式，绩效分配向工作量大、工作风险高、技术性强的临床一线岗位倾斜，实现多劳多得，优绩优酬的良性分配机制。</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（四）持续改进医疗质量，为人民群众提供全方位全周期健康服务。</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2021年医院围绕“以病人为中心，以质量为核心”，强化科学管理，促进医疗核心制度落实，提高医疗质量，确保医疗安全。</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（五）强化重点环节管理和监控。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1.依法执业。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kern w:val="0"/>
          <w:sz w:val="32"/>
          <w:szCs w:val="32"/>
          <w:lang w:val="en-US"/>
        </w:rPr>
      </w:pPr>
      <w:r>
        <w:rPr>
          <w:rFonts w:hint="eastAsia" w:ascii="仿宋_GB2312" w:hAnsi="宋体" w:eastAsia="仿宋_GB2312" w:cs="宋体"/>
          <w:kern w:val="0"/>
          <w:sz w:val="32"/>
          <w:szCs w:val="32"/>
          <w:lang w:val="en-US" w:eastAsia="zh-CN"/>
        </w:rPr>
        <w:t>2.推进</w:t>
      </w:r>
      <w:r>
        <w:rPr>
          <w:rFonts w:hint="eastAsia" w:ascii="仿宋_GB2312" w:hAnsi="宋体" w:eastAsia="仿宋_GB2312" w:cs="宋体"/>
          <w:kern w:val="0"/>
          <w:sz w:val="32"/>
          <w:szCs w:val="32"/>
          <w:lang w:val="en-US"/>
        </w:rPr>
        <w:t>行业领域不合理医疗检查专项治理工作</w:t>
      </w:r>
      <w:r>
        <w:rPr>
          <w:rFonts w:hint="eastAsia" w:ascii="仿宋_GB2312" w:hAnsi="宋体" w:eastAsia="仿宋_GB2312" w:cs="宋体"/>
          <w:kern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s="宋体"/>
          <w:kern w:val="0"/>
          <w:sz w:val="32"/>
          <w:szCs w:val="32"/>
          <w:lang w:val="en-US"/>
        </w:rPr>
      </w:pPr>
      <w:r>
        <w:rPr>
          <w:rFonts w:hint="eastAsia" w:ascii="仿宋_GB2312" w:hAnsi="宋体" w:eastAsia="仿宋_GB2312" w:cs="宋体"/>
          <w:b/>
          <w:bCs/>
          <w:kern w:val="0"/>
          <w:sz w:val="32"/>
          <w:szCs w:val="32"/>
          <w:lang w:val="en-US" w:eastAsia="zh-CN"/>
        </w:rPr>
        <w:t>3.</w:t>
      </w:r>
      <w:r>
        <w:rPr>
          <w:rFonts w:hint="eastAsia" w:ascii="仿宋_GB2312" w:hAnsi="宋体" w:eastAsia="仿宋_GB2312" w:cs="宋体"/>
          <w:kern w:val="0"/>
          <w:sz w:val="32"/>
          <w:szCs w:val="32"/>
          <w:lang w:val="en-US" w:eastAsia="zh-CN"/>
        </w:rPr>
        <w:t>梳理现有规章制度，强化薄弱环节。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4.强化医务人员法律意识，开展医疗法律法规知识培训。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5.</w:t>
      </w:r>
      <w:r>
        <w:rPr>
          <w:rFonts w:hint="eastAsia" w:ascii="仿宋_GB2312" w:hAnsi="宋体" w:eastAsia="仿宋_GB2312" w:cs="宋体"/>
          <w:kern w:val="0"/>
          <w:sz w:val="32"/>
          <w:szCs w:val="32"/>
          <w:lang w:val="en-US"/>
        </w:rPr>
        <w:t>积极推进</w:t>
      </w:r>
      <w:r>
        <w:rPr>
          <w:rFonts w:hint="eastAsia" w:ascii="仿宋_GB2312" w:hAnsi="宋体" w:eastAsia="仿宋_GB2312" w:cs="宋体"/>
          <w:kern w:val="0"/>
          <w:sz w:val="32"/>
          <w:szCs w:val="32"/>
          <w:lang w:val="en-US" w:eastAsia="zh-CN"/>
        </w:rPr>
        <w:t>医保支付方式改革。</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bCs/>
          <w:sz w:val="32"/>
          <w:szCs w:val="32"/>
        </w:rPr>
        <w:t>加强人才培养，做好教学工作。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为优化人才队伍建设，提升医院软实力，</w:t>
      </w:r>
      <w:r>
        <w:rPr>
          <w:rFonts w:hint="eastAsia" w:ascii="仿宋_GB2312" w:hAnsi="仿宋_GB2312" w:eastAsia="仿宋_GB2312" w:cs="仿宋_GB2312"/>
          <w:sz w:val="32"/>
          <w:szCs w:val="32"/>
        </w:rPr>
        <w:t>继续采取“送出去、请进来”</w:t>
      </w:r>
      <w:r>
        <w:rPr>
          <w:rFonts w:hint="eastAsia" w:ascii="仿宋_GB2312" w:hAnsi="仿宋_GB2312" w:eastAsia="仿宋_GB2312" w:cs="仿宋_GB2312"/>
          <w:sz w:val="32"/>
          <w:szCs w:val="32"/>
          <w:lang w:eastAsia="zh-CN"/>
        </w:rPr>
        <w:t>、强化教学管理的</w:t>
      </w:r>
      <w:r>
        <w:rPr>
          <w:rFonts w:hint="eastAsia" w:ascii="仿宋_GB2312" w:hAnsi="仿宋_GB2312" w:eastAsia="仿宋_GB2312" w:cs="仿宋_GB2312"/>
          <w:sz w:val="32"/>
          <w:szCs w:val="32"/>
        </w:rPr>
        <w:t>方式加强人才培养</w:t>
      </w:r>
      <w:r>
        <w:rPr>
          <w:rFonts w:hint="eastAsia" w:ascii="仿宋_GB2312" w:hAnsi="仿宋_GB2312" w:eastAsia="仿宋_GB2312" w:cs="仿宋_GB2312"/>
          <w:sz w:val="32"/>
          <w:szCs w:val="32"/>
          <w:lang w:eastAsia="zh-CN"/>
        </w:rPr>
        <w:t>，</w:t>
      </w:r>
      <w:r>
        <w:rPr>
          <w:rFonts w:hint="eastAsia" w:ascii="仿宋_GB2312" w:eastAsia="仿宋_GB2312"/>
          <w:sz w:val="32"/>
          <w:szCs w:val="32"/>
        </w:rPr>
        <w:t>为提高服务能力和开展新技术提供有力的人才保障。</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（七）落实具体行动，推动安全工作顺利开展。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医院坚持党政同责、一岗双责、齐抓共管、失职追责工作方针，不断完善安全生产责任体系。医院把安全生产大检查工作摆进议事日程，纳入领导班子成员职责分工，统筹兼顾，与其他工作一起部署、一起落实。</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（八）其他工作落实情况。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盐边</w:t>
      </w:r>
      <w:r>
        <w:rPr>
          <w:rFonts w:hint="eastAsia" w:ascii="仿宋_GB2312" w:hAnsi="仿宋_GB2312" w:eastAsia="仿宋_GB2312" w:cs="仿宋_GB2312"/>
          <w:sz w:val="32"/>
          <w:szCs w:val="32"/>
        </w:rPr>
        <w:t>县委统一部署，县委第二巡察组于2021年3月25日反馈了巡察意见，共反馈了4个方面20个问题，指出了我院存在的问题和不足，有针对性地提出了整改意见和建议。我院对反馈的意见照单全收，扎实整改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截至5月20日，已基本完成整改工作</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2.根据省医保局统一工作部署，2021年7月5日-7月12日接受省医保局飞行检查，并在时限要求内完成了整改任务。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华文仿宋" w:eastAsia="仿宋_GB2312" w:cs="华文仿宋"/>
          <w:sz w:val="32"/>
          <w:szCs w:val="32"/>
          <w:lang w:val="en-US" w:eastAsia="zh-CN"/>
        </w:rPr>
        <w:t>3.</w:t>
      </w:r>
      <w:r>
        <w:rPr>
          <w:rFonts w:hint="eastAsia" w:ascii="仿宋_GB2312" w:hAnsi="华文仿宋" w:eastAsia="仿宋_GB2312" w:cs="华文仿宋"/>
          <w:sz w:val="32"/>
          <w:szCs w:val="32"/>
        </w:rPr>
        <w:t>根据全市公立中医医院巡查工作统一安排和要求，2021年7月26日—28日，</w:t>
      </w:r>
      <w:r>
        <w:rPr>
          <w:rFonts w:hint="eastAsia" w:ascii="仿宋_GB2312" w:hAnsi="华文仿宋" w:eastAsia="仿宋_GB2312" w:cs="华文仿宋"/>
          <w:sz w:val="32"/>
          <w:szCs w:val="32"/>
          <w:lang w:eastAsia="zh-CN"/>
        </w:rPr>
        <w:t>市卫健委巡查</w:t>
      </w:r>
      <w:r>
        <w:rPr>
          <w:rFonts w:hint="eastAsia" w:ascii="仿宋_GB2312" w:hAnsi="华文仿宋" w:eastAsia="仿宋_GB2312" w:cs="华文仿宋"/>
          <w:sz w:val="32"/>
          <w:szCs w:val="32"/>
        </w:rPr>
        <w:t>专家组对</w:t>
      </w:r>
      <w:r>
        <w:rPr>
          <w:rFonts w:hint="eastAsia" w:ascii="仿宋_GB2312" w:hAnsi="华文仿宋" w:eastAsia="仿宋_GB2312" w:cs="华文仿宋"/>
          <w:sz w:val="32"/>
          <w:szCs w:val="32"/>
          <w:lang w:eastAsia="zh-CN"/>
        </w:rPr>
        <w:t>我</w:t>
      </w:r>
      <w:r>
        <w:rPr>
          <w:rFonts w:hint="eastAsia" w:ascii="仿宋_GB2312" w:hAnsi="华文仿宋" w:eastAsia="仿宋_GB2312" w:cs="华文仿宋"/>
          <w:sz w:val="32"/>
          <w:szCs w:val="32"/>
        </w:rPr>
        <w:t>院党建、行风作风建设、医院运行管理、疫情防控等方面开展了巡查，</w:t>
      </w:r>
      <w:r>
        <w:rPr>
          <w:rFonts w:hint="eastAsia" w:ascii="仿宋_GB2312" w:hAnsi="仿宋_GB2312" w:eastAsia="仿宋_GB2312" w:cs="仿宋_GB2312"/>
          <w:b w:val="0"/>
          <w:bCs w:val="0"/>
          <w:sz w:val="32"/>
          <w:szCs w:val="32"/>
        </w:rPr>
        <w:t>并于2021年</w:t>
      </w:r>
      <w:r>
        <w:rPr>
          <w:rFonts w:hint="eastAsia" w:ascii="仿宋_GB2312" w:hAnsi="仿宋_GB2312" w:eastAsia="仿宋_GB2312" w:cs="仿宋_GB2312"/>
          <w:b w:val="0"/>
          <w:bCs w:val="0"/>
          <w:sz w:val="32"/>
          <w:szCs w:val="32"/>
          <w:lang w:val="en-US" w:eastAsia="zh-CN"/>
        </w:rPr>
        <w:t>8月10日</w:t>
      </w:r>
      <w:r>
        <w:rPr>
          <w:rFonts w:hint="eastAsia" w:ascii="仿宋_GB2312" w:hAnsi="仿宋_GB2312" w:eastAsia="仿宋_GB2312" w:cs="仿宋_GB2312"/>
          <w:b w:val="0"/>
          <w:bCs w:val="0"/>
          <w:sz w:val="32"/>
          <w:szCs w:val="32"/>
        </w:rPr>
        <w:t>反馈了巡</w:t>
      </w:r>
      <w:r>
        <w:rPr>
          <w:rFonts w:hint="eastAsia" w:ascii="仿宋_GB2312" w:hAnsi="仿宋_GB2312" w:eastAsia="仿宋_GB2312" w:cs="仿宋_GB2312"/>
          <w:b w:val="0"/>
          <w:bCs w:val="0"/>
          <w:sz w:val="32"/>
          <w:szCs w:val="32"/>
          <w:lang w:eastAsia="zh-CN"/>
        </w:rPr>
        <w:t>查</w:t>
      </w:r>
      <w:r>
        <w:rPr>
          <w:rFonts w:hint="eastAsia" w:ascii="仿宋_GB2312" w:hAnsi="仿宋_GB2312" w:eastAsia="仿宋_GB2312" w:cs="仿宋_GB2312"/>
          <w:b w:val="0"/>
          <w:bCs w:val="0"/>
          <w:sz w:val="32"/>
          <w:szCs w:val="32"/>
        </w:rPr>
        <w:t>意见，共反馈了4个方面</w:t>
      </w:r>
      <w:r>
        <w:rPr>
          <w:rFonts w:hint="eastAsia" w:ascii="仿宋_GB2312" w:hAnsi="仿宋_GB2312" w:eastAsia="仿宋_GB2312" w:cs="仿宋_GB2312"/>
          <w:b w:val="0"/>
          <w:bCs w:val="0"/>
          <w:sz w:val="32"/>
          <w:szCs w:val="32"/>
          <w:lang w:val="en-US" w:eastAsia="zh-CN"/>
        </w:rPr>
        <w:t>36</w:t>
      </w:r>
      <w:r>
        <w:rPr>
          <w:rFonts w:hint="eastAsia" w:ascii="仿宋_GB2312" w:hAnsi="仿宋_GB2312" w:eastAsia="仿宋_GB2312" w:cs="仿宋_GB2312"/>
          <w:b w:val="0"/>
          <w:bCs w:val="0"/>
          <w:sz w:val="32"/>
          <w:szCs w:val="32"/>
        </w:rPr>
        <w:t>个问题，</w:t>
      </w:r>
      <w:r>
        <w:rPr>
          <w:rFonts w:hint="eastAsia" w:ascii="仿宋_GB2312" w:hAnsi="仿宋_GB2312" w:eastAsia="仿宋_GB2312" w:cs="仿宋_GB2312"/>
          <w:b w:val="0"/>
          <w:bCs w:val="0"/>
          <w:sz w:val="32"/>
          <w:szCs w:val="32"/>
          <w:lang w:eastAsia="zh-CN"/>
        </w:rPr>
        <w:t>我院于</w:t>
      </w:r>
      <w:r>
        <w:rPr>
          <w:rFonts w:hint="eastAsia" w:ascii="仿宋_GB2312" w:hAnsi="仿宋_GB2312" w:eastAsia="仿宋_GB2312" w:cs="仿宋_GB2312"/>
          <w:b w:val="0"/>
          <w:bCs w:val="0"/>
          <w:sz w:val="32"/>
          <w:szCs w:val="32"/>
          <w:lang w:val="en-US" w:eastAsia="zh-CN"/>
        </w:rPr>
        <w:t>10月完成整改并上报整改情况。</w:t>
      </w:r>
    </w:p>
    <w:p>
      <w:pPr>
        <w:pStyle w:val="2"/>
        <w:rPr>
          <w:rFonts w:hint="eastAsia"/>
          <w:lang w:val="en-US" w:eastAsia="zh-CN"/>
        </w:rPr>
      </w:pPr>
    </w:p>
    <w:p>
      <w:pPr>
        <w:rPr>
          <w:rFonts w:hint="eastAsia" w:eastAsiaTheme="minorEastAsia"/>
          <w:lang w:eastAsia="zh-CN"/>
        </w:rPr>
      </w:pPr>
    </w:p>
    <w:p>
      <w:pPr>
        <w:pStyle w:val="12"/>
        <w:numPr>
          <w:ilvl w:val="0"/>
          <w:numId w:val="2"/>
        </w:numPr>
        <w:adjustRightInd w:val="0"/>
        <w:snapToGrid w:val="0"/>
        <w:spacing w:before="0" w:line="440" w:lineRule="exact"/>
        <w:jc w:val="center"/>
        <w:rPr>
          <w:rFonts w:hint="eastAsia" w:ascii="黑体" w:hAnsi="黑体" w:eastAsia="黑体" w:cs="黑体"/>
          <w:b/>
          <w:bCs/>
          <w:sz w:val="44"/>
          <w:szCs w:val="44"/>
        </w:rPr>
      </w:pPr>
      <w:r>
        <w:rPr>
          <w:rFonts w:hint="eastAsia" w:ascii="黑体" w:hAnsi="黑体" w:eastAsia="黑体" w:cs="黑体"/>
          <w:b/>
          <w:bCs/>
          <w:sz w:val="44"/>
          <w:szCs w:val="44"/>
        </w:rPr>
        <w:t>2021年度单位决算情况说明</w:t>
      </w:r>
    </w:p>
    <w:p>
      <w:pPr>
        <w:rPr>
          <w:rFonts w:hint="eastAsia"/>
        </w:rPr>
      </w:pPr>
    </w:p>
    <w:p>
      <w:pPr>
        <w:pStyle w:val="13"/>
        <w:adjustRightInd w:val="0"/>
        <w:snapToGrid w:val="0"/>
        <w:spacing w:line="440" w:lineRule="exact"/>
        <w:jc w:val="left"/>
        <w:rPr>
          <w:rFonts w:hint="eastAsia"/>
          <w:b/>
          <w:bCs/>
          <w:sz w:val="32"/>
          <w:szCs w:val="32"/>
        </w:rPr>
      </w:pPr>
      <w:r>
        <w:rPr>
          <w:rFonts w:hint="eastAsia"/>
          <w:b/>
          <w:bCs/>
          <w:sz w:val="32"/>
          <w:szCs w:val="32"/>
        </w:rPr>
        <w:t>一、收入支出决算总体情况说明</w:t>
      </w:r>
    </w:p>
    <w:p>
      <w:pPr>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年度收</w:t>
      </w:r>
      <w:r>
        <w:rPr>
          <w:rFonts w:hint="eastAsia" w:ascii="仿宋" w:hAnsi="仿宋" w:eastAsia="仿宋" w:cs="仿宋"/>
          <w:sz w:val="32"/>
          <w:szCs w:val="32"/>
          <w:lang w:eastAsia="zh-CN"/>
        </w:rPr>
        <w:t>入总计</w:t>
      </w:r>
      <w:r>
        <w:rPr>
          <w:rFonts w:hint="eastAsia" w:ascii="仿宋" w:hAnsi="仿宋" w:eastAsia="仿宋" w:cs="仿宋"/>
          <w:sz w:val="32"/>
          <w:szCs w:val="32"/>
          <w:lang w:val="en-US" w:eastAsia="zh-CN"/>
        </w:rPr>
        <w:t>9017.44</w:t>
      </w:r>
      <w:r>
        <w:rPr>
          <w:rFonts w:hint="eastAsia" w:ascii="仿宋" w:hAnsi="仿宋" w:eastAsia="仿宋" w:cs="仿宋"/>
          <w:sz w:val="32"/>
          <w:szCs w:val="32"/>
          <w:lang w:eastAsia="zh-CN"/>
        </w:rPr>
        <w:t>万元</w:t>
      </w:r>
      <w:r>
        <w:rPr>
          <w:rFonts w:hint="eastAsia" w:ascii="仿宋" w:hAnsi="仿宋" w:eastAsia="仿宋" w:cs="仿宋"/>
          <w:sz w:val="32"/>
          <w:szCs w:val="32"/>
        </w:rPr>
        <w:t>、支</w:t>
      </w:r>
      <w:r>
        <w:rPr>
          <w:rFonts w:hint="eastAsia" w:ascii="仿宋" w:hAnsi="仿宋" w:eastAsia="仿宋" w:cs="仿宋"/>
          <w:sz w:val="32"/>
          <w:szCs w:val="32"/>
          <w:lang w:eastAsia="zh-CN"/>
        </w:rPr>
        <w:t>出总计</w:t>
      </w:r>
      <w:r>
        <w:rPr>
          <w:rFonts w:hint="eastAsia" w:ascii="仿宋" w:hAnsi="仿宋" w:eastAsia="仿宋" w:cs="仿宋"/>
          <w:sz w:val="32"/>
          <w:szCs w:val="32"/>
          <w:lang w:val="en-US" w:eastAsia="zh-CN"/>
        </w:rPr>
        <w:t>8905.64</w:t>
      </w:r>
      <w:r>
        <w:rPr>
          <w:rFonts w:hint="eastAsia" w:ascii="仿宋" w:hAnsi="仿宋" w:eastAsia="仿宋" w:cs="仿宋"/>
          <w:sz w:val="32"/>
          <w:szCs w:val="32"/>
          <w:lang w:eastAsia="zh-CN"/>
        </w:rPr>
        <w:t>万元</w:t>
      </w:r>
      <w:r>
        <w:rPr>
          <w:rFonts w:hint="eastAsia" w:ascii="仿宋" w:hAnsi="仿宋" w:eastAsia="仿宋" w:cs="仿宋"/>
          <w:sz w:val="32"/>
          <w:szCs w:val="32"/>
        </w:rPr>
        <w:t>。与20</w:t>
      </w:r>
      <w:r>
        <w:rPr>
          <w:rFonts w:hint="eastAsia" w:ascii="仿宋" w:hAnsi="仿宋" w:eastAsia="仿宋" w:cs="仿宋"/>
          <w:sz w:val="32"/>
          <w:szCs w:val="32"/>
          <w:lang w:val="en-US" w:eastAsia="zh-CN"/>
        </w:rPr>
        <w:t>20</w:t>
      </w:r>
      <w:r>
        <w:rPr>
          <w:rFonts w:hint="eastAsia" w:ascii="仿宋" w:hAnsi="仿宋" w:eastAsia="仿宋" w:cs="仿宋"/>
          <w:sz w:val="32"/>
          <w:szCs w:val="32"/>
        </w:rPr>
        <w:t>年相比，收</w:t>
      </w:r>
      <w:r>
        <w:rPr>
          <w:rFonts w:hint="eastAsia" w:ascii="仿宋" w:hAnsi="仿宋" w:eastAsia="仿宋" w:cs="仿宋"/>
          <w:sz w:val="32"/>
          <w:szCs w:val="32"/>
          <w:lang w:eastAsia="zh-CN"/>
        </w:rPr>
        <w:t>入总计</w:t>
      </w:r>
      <w:r>
        <w:rPr>
          <w:rFonts w:hint="eastAsia" w:ascii="仿宋" w:hAnsi="仿宋" w:eastAsia="仿宋" w:cs="仿宋"/>
          <w:sz w:val="32"/>
          <w:szCs w:val="32"/>
        </w:rPr>
        <w:t>6585.4</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万元</w:t>
      </w:r>
      <w:r>
        <w:rPr>
          <w:rFonts w:hint="eastAsia" w:ascii="仿宋" w:hAnsi="仿宋" w:eastAsia="仿宋" w:cs="仿宋"/>
          <w:sz w:val="32"/>
          <w:szCs w:val="32"/>
        </w:rPr>
        <w:t>、支</w:t>
      </w:r>
      <w:r>
        <w:rPr>
          <w:rFonts w:hint="eastAsia" w:ascii="仿宋" w:hAnsi="仿宋" w:eastAsia="仿宋" w:cs="仿宋"/>
          <w:sz w:val="32"/>
          <w:szCs w:val="32"/>
          <w:lang w:eastAsia="zh-CN"/>
        </w:rPr>
        <w:t>出总计</w:t>
      </w:r>
      <w:r>
        <w:rPr>
          <w:rFonts w:hint="eastAsia" w:ascii="仿宋" w:hAnsi="仿宋" w:eastAsia="仿宋" w:cs="仿宋"/>
          <w:sz w:val="32"/>
          <w:szCs w:val="32"/>
        </w:rPr>
        <w:t>6391.84</w:t>
      </w:r>
      <w:r>
        <w:rPr>
          <w:rFonts w:hint="eastAsia" w:ascii="仿宋" w:hAnsi="仿宋" w:eastAsia="仿宋" w:cs="仿宋"/>
          <w:sz w:val="32"/>
          <w:szCs w:val="32"/>
          <w:lang w:eastAsia="zh-CN"/>
        </w:rPr>
        <w:t>万元，收入</w:t>
      </w:r>
      <w:r>
        <w:rPr>
          <w:rFonts w:hint="eastAsia" w:ascii="仿宋" w:hAnsi="仿宋" w:eastAsia="仿宋" w:cs="仿宋"/>
          <w:sz w:val="32"/>
          <w:szCs w:val="32"/>
        </w:rPr>
        <w:t>增加</w:t>
      </w:r>
      <w:r>
        <w:rPr>
          <w:rFonts w:hint="eastAsia" w:ascii="仿宋" w:hAnsi="仿宋" w:eastAsia="仿宋" w:cs="仿宋"/>
          <w:sz w:val="32"/>
          <w:szCs w:val="32"/>
          <w:lang w:val="en-US" w:eastAsia="zh-CN"/>
        </w:rPr>
        <w:t>2432.02万元，</w:t>
      </w:r>
      <w:r>
        <w:rPr>
          <w:rFonts w:hint="eastAsia" w:ascii="仿宋" w:hAnsi="仿宋" w:eastAsia="仿宋" w:cs="仿宋"/>
          <w:sz w:val="32"/>
          <w:szCs w:val="32"/>
        </w:rPr>
        <w:t>增长</w:t>
      </w:r>
      <w:r>
        <w:rPr>
          <w:rFonts w:hint="eastAsia" w:ascii="仿宋" w:hAnsi="仿宋" w:eastAsia="仿宋" w:cs="仿宋"/>
          <w:sz w:val="32"/>
          <w:szCs w:val="32"/>
          <w:lang w:val="en-US" w:eastAsia="zh-CN"/>
        </w:rPr>
        <w:t>36.93</w:t>
      </w:r>
      <w:r>
        <w:rPr>
          <w:rFonts w:hint="eastAsia" w:ascii="仿宋" w:hAnsi="仿宋" w:eastAsia="仿宋" w:cs="仿宋"/>
          <w:sz w:val="32"/>
          <w:szCs w:val="32"/>
        </w:rPr>
        <w:t>%</w:t>
      </w:r>
      <w:r>
        <w:rPr>
          <w:rFonts w:hint="eastAsia" w:ascii="仿宋" w:hAnsi="仿宋" w:eastAsia="仿宋" w:cs="仿宋"/>
          <w:sz w:val="32"/>
          <w:szCs w:val="32"/>
          <w:lang w:eastAsia="zh-CN"/>
        </w:rPr>
        <w:t>，支出</w:t>
      </w:r>
      <w:r>
        <w:rPr>
          <w:rFonts w:hint="eastAsia" w:ascii="仿宋" w:hAnsi="仿宋" w:eastAsia="仿宋" w:cs="仿宋"/>
          <w:sz w:val="32"/>
          <w:szCs w:val="32"/>
        </w:rPr>
        <w:t>增加</w:t>
      </w:r>
      <w:r>
        <w:rPr>
          <w:rFonts w:hint="eastAsia" w:ascii="仿宋" w:hAnsi="仿宋" w:eastAsia="仿宋" w:cs="仿宋"/>
          <w:sz w:val="32"/>
          <w:szCs w:val="32"/>
          <w:lang w:val="en-US" w:eastAsia="zh-CN"/>
        </w:rPr>
        <w:t>2513.80万元，</w:t>
      </w:r>
      <w:r>
        <w:rPr>
          <w:rFonts w:hint="eastAsia" w:ascii="仿宋" w:hAnsi="仿宋" w:eastAsia="仿宋" w:cs="仿宋"/>
          <w:sz w:val="32"/>
          <w:szCs w:val="32"/>
        </w:rPr>
        <w:t>增长</w:t>
      </w:r>
      <w:r>
        <w:rPr>
          <w:rFonts w:hint="eastAsia" w:ascii="仿宋" w:hAnsi="仿宋" w:eastAsia="仿宋" w:cs="仿宋"/>
          <w:sz w:val="32"/>
          <w:szCs w:val="32"/>
          <w:lang w:val="en-US" w:eastAsia="zh-CN"/>
        </w:rPr>
        <w:t>39.33</w:t>
      </w:r>
      <w:r>
        <w:rPr>
          <w:rFonts w:hint="eastAsia" w:ascii="仿宋" w:hAnsi="仿宋" w:eastAsia="仿宋" w:cs="仿宋"/>
          <w:sz w:val="32"/>
          <w:szCs w:val="32"/>
        </w:rPr>
        <w:t>%。主要变动</w:t>
      </w:r>
      <w:r>
        <w:rPr>
          <w:rFonts w:hint="eastAsia" w:ascii="仿宋" w:hAnsi="仿宋" w:eastAsia="仿宋" w:cs="仿宋"/>
          <w:sz w:val="32"/>
          <w:szCs w:val="32"/>
          <w:lang w:eastAsia="zh-CN"/>
        </w:rPr>
        <w:t>原因是增加了</w:t>
      </w:r>
      <w:r>
        <w:rPr>
          <w:rFonts w:hint="eastAsia" w:ascii="仿宋" w:hAnsi="仿宋" w:eastAsia="仿宋" w:cs="仿宋"/>
          <w:sz w:val="32"/>
          <w:szCs w:val="32"/>
        </w:rPr>
        <w:t>国债项目的专项资金收入</w:t>
      </w:r>
      <w:r>
        <w:rPr>
          <w:rFonts w:hint="eastAsia" w:ascii="仿宋" w:hAnsi="仿宋" w:eastAsia="仿宋" w:cs="仿宋"/>
          <w:sz w:val="32"/>
          <w:szCs w:val="32"/>
          <w:lang w:eastAsia="zh-CN"/>
        </w:rPr>
        <w:t>。</w:t>
      </w:r>
    </w:p>
    <w:p/>
    <w:p>
      <w:pPr>
        <w:pStyle w:val="6"/>
      </w:pPr>
      <w:r>
        <w:drawing>
          <wp:inline distT="0" distB="0" distL="114300" distR="114300">
            <wp:extent cx="5515610" cy="2774315"/>
            <wp:effectExtent l="4445" t="4445" r="23495" b="21590"/>
            <wp:docPr id="1026"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pStyle w:val="13"/>
        <w:numPr>
          <w:ilvl w:val="0"/>
          <w:numId w:val="1"/>
        </w:numPr>
        <w:adjustRightInd w:val="0"/>
        <w:snapToGrid w:val="0"/>
        <w:spacing w:line="440" w:lineRule="exact"/>
        <w:ind w:left="420" w:leftChars="200" w:firstLine="0" w:firstLineChars="0"/>
        <w:jc w:val="left"/>
        <w:rPr>
          <w:rFonts w:hint="eastAsia"/>
          <w:b/>
          <w:bCs/>
          <w:sz w:val="32"/>
          <w:szCs w:val="32"/>
        </w:rPr>
      </w:pPr>
      <w:r>
        <w:rPr>
          <w:rFonts w:hint="eastAsia"/>
          <w:b/>
          <w:bCs/>
          <w:sz w:val="32"/>
          <w:szCs w:val="32"/>
        </w:rPr>
        <w:t>收入决算情况说明</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年本年收入合计</w:t>
      </w:r>
      <w:r>
        <w:rPr>
          <w:rFonts w:hint="eastAsia" w:ascii="仿宋" w:hAnsi="仿宋" w:eastAsia="仿宋" w:cs="仿宋"/>
          <w:sz w:val="32"/>
          <w:szCs w:val="32"/>
          <w:lang w:val="en-US" w:eastAsia="zh-CN"/>
        </w:rPr>
        <w:t>9017.44</w:t>
      </w:r>
      <w:r>
        <w:rPr>
          <w:rFonts w:hint="eastAsia" w:ascii="仿宋" w:hAnsi="仿宋" w:eastAsia="仿宋" w:cs="仿宋"/>
          <w:sz w:val="32"/>
          <w:szCs w:val="32"/>
        </w:rPr>
        <w:t>万元，其中：一般公共预算财政拨款收入</w:t>
      </w:r>
      <w:r>
        <w:rPr>
          <w:rFonts w:hint="eastAsia" w:ascii="仿宋" w:hAnsi="仿宋" w:eastAsia="仿宋" w:cs="仿宋"/>
          <w:sz w:val="32"/>
          <w:szCs w:val="32"/>
          <w:lang w:val="en-US" w:eastAsia="zh-CN"/>
        </w:rPr>
        <w:t>5921.22</w:t>
      </w:r>
      <w:r>
        <w:rPr>
          <w:rFonts w:hint="eastAsia" w:ascii="仿宋" w:hAnsi="仿宋" w:eastAsia="仿宋" w:cs="仿宋"/>
          <w:sz w:val="32"/>
          <w:szCs w:val="32"/>
        </w:rPr>
        <w:t>万元，占</w:t>
      </w:r>
      <w:r>
        <w:rPr>
          <w:rFonts w:hint="eastAsia" w:ascii="仿宋" w:hAnsi="仿宋" w:eastAsia="仿宋" w:cs="仿宋"/>
          <w:sz w:val="32"/>
          <w:szCs w:val="32"/>
          <w:lang w:val="en-US" w:eastAsia="zh-CN"/>
        </w:rPr>
        <w:t>65.66</w:t>
      </w:r>
      <w:r>
        <w:rPr>
          <w:rFonts w:hint="eastAsia" w:ascii="仿宋" w:hAnsi="仿宋" w:eastAsia="仿宋" w:cs="仿宋"/>
          <w:sz w:val="32"/>
          <w:szCs w:val="32"/>
        </w:rPr>
        <w:t>%；政府性基金预算财政拨款收入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%；上级补助收入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%；事业收入</w:t>
      </w:r>
      <w:r>
        <w:rPr>
          <w:rFonts w:hint="eastAsia" w:ascii="仿宋" w:hAnsi="仿宋" w:eastAsia="仿宋" w:cs="仿宋"/>
          <w:sz w:val="32"/>
          <w:szCs w:val="32"/>
          <w:lang w:val="en-US" w:eastAsia="zh-CN"/>
        </w:rPr>
        <w:t xml:space="preserve">0 </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%；经营收入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%；附属单位上缴收入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%；其他收入</w:t>
      </w:r>
      <w:r>
        <w:rPr>
          <w:rFonts w:hint="eastAsia" w:ascii="仿宋" w:hAnsi="仿宋" w:eastAsia="仿宋" w:cs="仿宋"/>
          <w:sz w:val="32"/>
          <w:szCs w:val="32"/>
          <w:lang w:val="en-US" w:eastAsia="zh-CN"/>
        </w:rPr>
        <w:t>3096.22</w:t>
      </w:r>
      <w:r>
        <w:rPr>
          <w:rFonts w:hint="eastAsia" w:ascii="仿宋" w:hAnsi="仿宋" w:eastAsia="仿宋" w:cs="仿宋"/>
          <w:sz w:val="32"/>
          <w:szCs w:val="32"/>
        </w:rPr>
        <w:t>万元，占</w:t>
      </w:r>
      <w:r>
        <w:rPr>
          <w:rFonts w:hint="eastAsia" w:ascii="仿宋" w:hAnsi="仿宋" w:eastAsia="仿宋" w:cs="仿宋"/>
          <w:sz w:val="32"/>
          <w:szCs w:val="32"/>
          <w:lang w:val="en-US" w:eastAsia="zh-CN"/>
        </w:rPr>
        <w:t>34.34</w:t>
      </w:r>
      <w:r>
        <w:rPr>
          <w:rFonts w:hint="eastAsia" w:ascii="仿宋" w:hAnsi="仿宋" w:eastAsia="仿宋" w:cs="仿宋"/>
          <w:sz w:val="32"/>
          <w:szCs w:val="32"/>
        </w:rPr>
        <w:t>%。</w:t>
      </w:r>
    </w:p>
    <w:p>
      <w:pPr>
        <w:pStyle w:val="6"/>
        <w:rPr>
          <w:rFonts w:hint="eastAsia"/>
        </w:rPr>
      </w:pPr>
      <w:r>
        <w:drawing>
          <wp:inline distT="0" distB="0" distL="114300" distR="114300">
            <wp:extent cx="5271770" cy="3001645"/>
            <wp:effectExtent l="4445" t="4445" r="19685" b="22860"/>
            <wp:docPr id="1027"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pStyle w:val="13"/>
        <w:numPr>
          <w:ilvl w:val="0"/>
          <w:numId w:val="1"/>
        </w:numPr>
        <w:adjustRightInd w:val="0"/>
        <w:snapToGrid w:val="0"/>
        <w:spacing w:line="440" w:lineRule="exact"/>
        <w:ind w:left="420" w:leftChars="200" w:firstLine="0" w:firstLineChars="0"/>
        <w:jc w:val="left"/>
        <w:rPr>
          <w:rFonts w:hint="eastAsia"/>
          <w:b/>
          <w:bCs/>
          <w:sz w:val="32"/>
          <w:szCs w:val="32"/>
        </w:rPr>
      </w:pPr>
      <w:r>
        <w:rPr>
          <w:rFonts w:hint="eastAsia"/>
          <w:b/>
          <w:bCs/>
          <w:sz w:val="32"/>
          <w:szCs w:val="32"/>
        </w:rPr>
        <w:t>支出决算情况说明</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年本年支出合计</w:t>
      </w:r>
      <w:r>
        <w:rPr>
          <w:rFonts w:hint="eastAsia" w:ascii="仿宋" w:hAnsi="仿宋" w:eastAsia="仿宋" w:cs="仿宋"/>
          <w:sz w:val="32"/>
          <w:szCs w:val="32"/>
          <w:lang w:val="en-US" w:eastAsia="zh-CN"/>
        </w:rPr>
        <w:t>8905.64</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6727.44</w:t>
      </w:r>
      <w:r>
        <w:rPr>
          <w:rFonts w:hint="eastAsia" w:ascii="仿宋" w:hAnsi="仿宋" w:eastAsia="仿宋" w:cs="仿宋"/>
          <w:sz w:val="32"/>
          <w:szCs w:val="32"/>
        </w:rPr>
        <w:t>万元，占</w:t>
      </w:r>
      <w:r>
        <w:rPr>
          <w:rFonts w:hint="eastAsia" w:ascii="仿宋" w:hAnsi="仿宋" w:eastAsia="仿宋" w:cs="仿宋"/>
          <w:sz w:val="32"/>
          <w:szCs w:val="32"/>
          <w:lang w:val="en-US" w:eastAsia="zh-CN"/>
        </w:rPr>
        <w:t>75.55</w:t>
      </w:r>
      <w:r>
        <w:rPr>
          <w:rFonts w:hint="eastAsia" w:ascii="仿宋" w:hAnsi="仿宋" w:eastAsia="仿宋" w:cs="仿宋"/>
          <w:sz w:val="32"/>
          <w:szCs w:val="32"/>
        </w:rPr>
        <w:t>%；项目支出</w:t>
      </w:r>
      <w:r>
        <w:rPr>
          <w:rFonts w:hint="eastAsia" w:ascii="仿宋" w:hAnsi="仿宋" w:eastAsia="仿宋" w:cs="仿宋"/>
          <w:sz w:val="32"/>
          <w:szCs w:val="32"/>
          <w:lang w:val="en-US" w:eastAsia="zh-CN"/>
        </w:rPr>
        <w:t>2178.20</w:t>
      </w:r>
      <w:r>
        <w:rPr>
          <w:rFonts w:hint="eastAsia" w:ascii="仿宋" w:hAnsi="仿宋" w:eastAsia="仿宋" w:cs="仿宋"/>
          <w:sz w:val="32"/>
          <w:szCs w:val="32"/>
        </w:rPr>
        <w:t>万元，占</w:t>
      </w:r>
      <w:r>
        <w:rPr>
          <w:rFonts w:hint="eastAsia" w:ascii="仿宋" w:hAnsi="仿宋" w:eastAsia="仿宋" w:cs="仿宋"/>
          <w:sz w:val="32"/>
          <w:szCs w:val="32"/>
          <w:lang w:val="en-US" w:eastAsia="zh-CN"/>
        </w:rPr>
        <w:t>24.45</w:t>
      </w:r>
      <w:r>
        <w:rPr>
          <w:rFonts w:hint="eastAsia" w:ascii="仿宋" w:hAnsi="仿宋" w:eastAsia="仿宋" w:cs="仿宋"/>
          <w:sz w:val="32"/>
          <w:szCs w:val="32"/>
        </w:rPr>
        <w:t>%；上缴上级支出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%；经营支出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%；对附属单位补助支出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w:t>
      </w:r>
    </w:p>
    <w:p>
      <w:pPr>
        <w:pStyle w:val="6"/>
        <w:rPr>
          <w:rFonts w:hint="eastAsia"/>
        </w:rPr>
      </w:pPr>
      <w:r>
        <w:drawing>
          <wp:inline distT="0" distB="0" distL="114300" distR="114300">
            <wp:extent cx="5216525" cy="2961005"/>
            <wp:effectExtent l="4445" t="4445" r="17780" b="6350"/>
            <wp:docPr id="102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numPr>
          <w:ilvl w:val="0"/>
          <w:numId w:val="0"/>
        </w:numPr>
        <w:ind w:leftChars="200"/>
        <w:rPr>
          <w:b/>
          <w:bCs/>
          <w:sz w:val="32"/>
          <w:szCs w:val="32"/>
        </w:rPr>
      </w:pPr>
    </w:p>
    <w:p>
      <w:pPr>
        <w:pStyle w:val="13"/>
        <w:numPr>
          <w:ilvl w:val="0"/>
          <w:numId w:val="1"/>
        </w:numPr>
        <w:adjustRightInd w:val="0"/>
        <w:snapToGrid w:val="0"/>
        <w:spacing w:line="440" w:lineRule="exact"/>
        <w:ind w:left="420" w:leftChars="200" w:firstLine="0" w:firstLineChars="0"/>
        <w:jc w:val="left"/>
        <w:rPr>
          <w:rFonts w:hint="eastAsia"/>
          <w:b/>
          <w:bCs/>
          <w:sz w:val="32"/>
          <w:szCs w:val="32"/>
        </w:rPr>
      </w:pPr>
      <w:r>
        <w:rPr>
          <w:rFonts w:hint="eastAsia"/>
          <w:b/>
          <w:bCs/>
          <w:sz w:val="32"/>
          <w:szCs w:val="32"/>
        </w:rPr>
        <w:t>财政拨款收入支出决算总体情况说明</w:t>
      </w:r>
    </w:p>
    <w:p>
      <w:pPr>
        <w:spacing w:line="54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年财政拨款收</w:t>
      </w:r>
      <w:r>
        <w:rPr>
          <w:rFonts w:hint="eastAsia" w:ascii="仿宋" w:hAnsi="仿宋" w:eastAsia="仿宋" w:cs="仿宋"/>
          <w:sz w:val="32"/>
          <w:szCs w:val="32"/>
          <w:lang w:eastAsia="zh-CN"/>
        </w:rPr>
        <w:t>入总计</w:t>
      </w:r>
      <w:r>
        <w:rPr>
          <w:rFonts w:hint="eastAsia" w:ascii="仿宋" w:hAnsi="仿宋" w:eastAsia="仿宋" w:cs="仿宋"/>
          <w:sz w:val="32"/>
          <w:szCs w:val="32"/>
          <w:lang w:val="en-US" w:eastAsia="zh-CN"/>
        </w:rPr>
        <w:t>5921.22</w:t>
      </w:r>
      <w:r>
        <w:rPr>
          <w:rFonts w:hint="eastAsia" w:ascii="仿宋" w:hAnsi="仿宋" w:eastAsia="仿宋" w:cs="仿宋"/>
          <w:sz w:val="32"/>
          <w:szCs w:val="32"/>
          <w:lang w:eastAsia="zh-CN"/>
        </w:rPr>
        <w:t>万元</w:t>
      </w:r>
      <w:r>
        <w:rPr>
          <w:rFonts w:hint="eastAsia" w:ascii="仿宋" w:hAnsi="仿宋" w:eastAsia="仿宋" w:cs="仿宋"/>
          <w:sz w:val="32"/>
          <w:szCs w:val="32"/>
        </w:rPr>
        <w:t>、支</w:t>
      </w:r>
      <w:r>
        <w:rPr>
          <w:rFonts w:hint="eastAsia" w:ascii="仿宋" w:hAnsi="仿宋" w:eastAsia="仿宋" w:cs="仿宋"/>
          <w:sz w:val="32"/>
          <w:szCs w:val="32"/>
          <w:lang w:eastAsia="zh-CN"/>
        </w:rPr>
        <w:t>出总计</w:t>
      </w:r>
      <w:r>
        <w:rPr>
          <w:rFonts w:hint="eastAsia" w:ascii="仿宋" w:hAnsi="仿宋" w:eastAsia="仿宋" w:cs="仿宋"/>
          <w:sz w:val="32"/>
          <w:szCs w:val="32"/>
          <w:lang w:val="en-US" w:eastAsia="zh-CN"/>
        </w:rPr>
        <w:t>6609.51</w:t>
      </w:r>
      <w:r>
        <w:rPr>
          <w:rFonts w:hint="eastAsia" w:ascii="仿宋" w:hAnsi="仿宋" w:eastAsia="仿宋" w:cs="仿宋"/>
          <w:sz w:val="32"/>
          <w:szCs w:val="32"/>
          <w:lang w:eastAsia="zh-CN"/>
        </w:rPr>
        <w:t>万元</w:t>
      </w:r>
      <w:r>
        <w:rPr>
          <w:rFonts w:hint="eastAsia" w:ascii="仿宋" w:hAnsi="仿宋" w:eastAsia="仿宋" w:cs="仿宋"/>
          <w:sz w:val="32"/>
          <w:szCs w:val="32"/>
        </w:rPr>
        <w:t>。与20</w:t>
      </w:r>
      <w:r>
        <w:rPr>
          <w:rFonts w:hint="eastAsia" w:ascii="仿宋" w:hAnsi="仿宋" w:eastAsia="仿宋" w:cs="仿宋"/>
          <w:sz w:val="32"/>
          <w:szCs w:val="32"/>
          <w:lang w:val="en-US" w:eastAsia="zh-CN"/>
        </w:rPr>
        <w:t>20</w:t>
      </w:r>
      <w:r>
        <w:rPr>
          <w:rFonts w:hint="eastAsia" w:ascii="仿宋" w:hAnsi="仿宋" w:eastAsia="仿宋" w:cs="仿宋"/>
          <w:sz w:val="32"/>
          <w:szCs w:val="32"/>
        </w:rPr>
        <w:t>年财政拨款收</w:t>
      </w:r>
      <w:r>
        <w:rPr>
          <w:rFonts w:hint="eastAsia" w:ascii="仿宋" w:hAnsi="仿宋" w:eastAsia="仿宋" w:cs="仿宋"/>
          <w:sz w:val="32"/>
          <w:szCs w:val="32"/>
          <w:lang w:eastAsia="zh-CN"/>
        </w:rPr>
        <w:t>入</w:t>
      </w:r>
      <w:r>
        <w:rPr>
          <w:rFonts w:hint="eastAsia" w:ascii="仿宋" w:hAnsi="仿宋" w:eastAsia="仿宋" w:cs="仿宋"/>
          <w:sz w:val="32"/>
          <w:szCs w:val="32"/>
        </w:rPr>
        <w:t>相比，收</w:t>
      </w:r>
      <w:r>
        <w:rPr>
          <w:rFonts w:hint="eastAsia" w:ascii="仿宋" w:hAnsi="仿宋" w:eastAsia="仿宋" w:cs="仿宋"/>
          <w:sz w:val="32"/>
          <w:szCs w:val="32"/>
          <w:lang w:eastAsia="zh-CN"/>
        </w:rPr>
        <w:t>入总计</w:t>
      </w:r>
      <w:r>
        <w:rPr>
          <w:rFonts w:hint="eastAsia" w:ascii="仿宋" w:hAnsi="仿宋" w:eastAsia="仿宋" w:cs="仿宋"/>
          <w:sz w:val="32"/>
          <w:szCs w:val="32"/>
          <w:lang w:val="en-US" w:eastAsia="zh-CN"/>
        </w:rPr>
        <w:t>6116.86</w:t>
      </w:r>
      <w:r>
        <w:rPr>
          <w:rFonts w:hint="eastAsia" w:ascii="仿宋" w:hAnsi="仿宋" w:eastAsia="仿宋" w:cs="仿宋"/>
          <w:sz w:val="32"/>
          <w:szCs w:val="32"/>
          <w:lang w:eastAsia="zh-CN"/>
        </w:rPr>
        <w:t>万元</w:t>
      </w:r>
      <w:r>
        <w:rPr>
          <w:rFonts w:hint="eastAsia" w:ascii="仿宋" w:hAnsi="仿宋" w:eastAsia="仿宋" w:cs="仿宋"/>
          <w:sz w:val="32"/>
          <w:szCs w:val="32"/>
        </w:rPr>
        <w:t>、支</w:t>
      </w:r>
      <w:r>
        <w:rPr>
          <w:rFonts w:hint="eastAsia" w:ascii="仿宋" w:hAnsi="仿宋" w:eastAsia="仿宋" w:cs="仿宋"/>
          <w:sz w:val="32"/>
          <w:szCs w:val="32"/>
          <w:lang w:eastAsia="zh-CN"/>
        </w:rPr>
        <w:t>出总计</w:t>
      </w:r>
      <w:r>
        <w:rPr>
          <w:rFonts w:hint="eastAsia" w:ascii="仿宋" w:hAnsi="仿宋" w:eastAsia="仿宋" w:cs="仿宋"/>
          <w:sz w:val="32"/>
          <w:szCs w:val="32"/>
          <w:lang w:val="en-US" w:eastAsia="zh-CN"/>
        </w:rPr>
        <w:t>5512.5</w:t>
      </w:r>
      <w:r>
        <w:rPr>
          <w:rFonts w:hint="eastAsia" w:ascii="仿宋" w:hAnsi="仿宋" w:eastAsia="仿宋" w:cs="仿宋"/>
          <w:sz w:val="32"/>
          <w:szCs w:val="32"/>
          <w:lang w:eastAsia="zh-CN"/>
        </w:rPr>
        <w:t>万元，收入</w:t>
      </w:r>
      <w:r>
        <w:rPr>
          <w:rFonts w:hint="eastAsia" w:ascii="仿宋" w:hAnsi="仿宋" w:eastAsia="仿宋" w:cs="仿宋"/>
          <w:sz w:val="32"/>
          <w:szCs w:val="32"/>
        </w:rPr>
        <w:t>减少</w:t>
      </w:r>
      <w:r>
        <w:rPr>
          <w:rFonts w:hint="eastAsia" w:ascii="仿宋" w:hAnsi="仿宋" w:eastAsia="仿宋" w:cs="仿宋"/>
          <w:sz w:val="32"/>
          <w:szCs w:val="32"/>
          <w:lang w:val="en-US" w:eastAsia="zh-CN"/>
        </w:rPr>
        <w:t>195.64万元，</w:t>
      </w:r>
      <w:r>
        <w:rPr>
          <w:rFonts w:hint="eastAsia" w:ascii="仿宋" w:hAnsi="仿宋" w:eastAsia="仿宋" w:cs="仿宋"/>
          <w:sz w:val="32"/>
          <w:szCs w:val="32"/>
        </w:rPr>
        <w:t>减少</w:t>
      </w:r>
      <w:r>
        <w:rPr>
          <w:rFonts w:hint="eastAsia" w:ascii="仿宋" w:hAnsi="仿宋" w:eastAsia="仿宋" w:cs="仿宋"/>
          <w:sz w:val="32"/>
          <w:szCs w:val="32"/>
          <w:lang w:val="en-US" w:eastAsia="zh-CN"/>
        </w:rPr>
        <w:t>3.20</w:t>
      </w:r>
      <w:r>
        <w:rPr>
          <w:rFonts w:hint="eastAsia" w:ascii="仿宋" w:hAnsi="仿宋" w:eastAsia="仿宋" w:cs="仿宋"/>
          <w:sz w:val="32"/>
          <w:szCs w:val="32"/>
        </w:rPr>
        <w:t>%</w:t>
      </w:r>
      <w:r>
        <w:rPr>
          <w:rFonts w:hint="eastAsia" w:ascii="仿宋" w:hAnsi="仿宋" w:eastAsia="仿宋" w:cs="仿宋"/>
          <w:sz w:val="32"/>
          <w:szCs w:val="32"/>
          <w:lang w:eastAsia="zh-CN"/>
        </w:rPr>
        <w:t>，支出增加</w:t>
      </w:r>
      <w:r>
        <w:rPr>
          <w:rFonts w:hint="eastAsia" w:ascii="仿宋" w:hAnsi="仿宋" w:eastAsia="仿宋" w:cs="仿宋"/>
          <w:sz w:val="32"/>
          <w:szCs w:val="32"/>
          <w:lang w:val="en-US" w:eastAsia="zh-CN"/>
        </w:rPr>
        <w:t>1097.01万元，</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19.90</w:t>
      </w:r>
      <w:r>
        <w:rPr>
          <w:rFonts w:hint="eastAsia" w:ascii="仿宋" w:hAnsi="仿宋" w:eastAsia="仿宋" w:cs="仿宋"/>
          <w:sz w:val="32"/>
          <w:szCs w:val="32"/>
        </w:rPr>
        <w:t>%。</w:t>
      </w:r>
      <w:r>
        <w:rPr>
          <w:rFonts w:hint="eastAsia" w:ascii="仿宋" w:hAnsi="仿宋" w:eastAsia="仿宋" w:cs="仿宋"/>
          <w:sz w:val="32"/>
          <w:szCs w:val="32"/>
          <w:highlight w:val="none"/>
        </w:rPr>
        <w:t>主要变动原因是</w:t>
      </w:r>
      <w:r>
        <w:rPr>
          <w:rFonts w:hint="eastAsia" w:ascii="仿宋" w:hAnsi="仿宋" w:eastAsia="仿宋" w:cs="仿宋"/>
          <w:color w:val="000000"/>
          <w:sz w:val="32"/>
          <w:szCs w:val="32"/>
          <w:highlight w:val="none"/>
        </w:rPr>
        <w:t>人员增减变动</w:t>
      </w:r>
      <w:r>
        <w:rPr>
          <w:rFonts w:hint="eastAsia" w:ascii="仿宋" w:hAnsi="仿宋" w:eastAsia="仿宋" w:cs="仿宋"/>
          <w:color w:val="000000"/>
          <w:sz w:val="32"/>
          <w:szCs w:val="32"/>
          <w:highlight w:val="none"/>
          <w:lang w:eastAsia="zh-CN"/>
        </w:rPr>
        <w:t>，因会计科目口径调整</w:t>
      </w:r>
      <w:r>
        <w:rPr>
          <w:rFonts w:hint="eastAsia" w:ascii="仿宋" w:hAnsi="仿宋" w:eastAsia="仿宋" w:cs="仿宋"/>
          <w:color w:val="000000"/>
          <w:sz w:val="32"/>
          <w:szCs w:val="32"/>
          <w:highlight w:val="none"/>
        </w:rPr>
        <w:t>导致。</w:t>
      </w:r>
    </w:p>
    <w:p>
      <w:pPr>
        <w:pStyle w:val="6"/>
        <w:rPr>
          <w:rFonts w:hint="eastAsia"/>
        </w:rPr>
      </w:pPr>
      <w:r>
        <w:drawing>
          <wp:inline distT="0" distB="0" distL="114300" distR="114300">
            <wp:extent cx="5184140" cy="3183255"/>
            <wp:effectExtent l="4445" t="4445" r="12065" b="1270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3"/>
        <w:adjustRightInd w:val="0"/>
        <w:snapToGrid w:val="0"/>
        <w:spacing w:line="440" w:lineRule="exact"/>
        <w:jc w:val="left"/>
        <w:rPr>
          <w:rFonts w:hint="eastAsia"/>
          <w:sz w:val="24"/>
        </w:rPr>
      </w:pPr>
      <w:r>
        <w:rPr>
          <w:rFonts w:hint="eastAsia"/>
          <w:sz w:val="24"/>
          <w:lang w:eastAsia="zh-CN"/>
        </w:rPr>
        <w:t>五</w:t>
      </w:r>
      <w:r>
        <w:rPr>
          <w:rFonts w:hint="eastAsia"/>
          <w:b/>
          <w:bCs/>
          <w:sz w:val="32"/>
          <w:szCs w:val="32"/>
        </w:rPr>
        <w:t>、一般公共预算财政拨款支出决算情况说明</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（一）一般公共预算财政拨款支出决算总体情况。</w:t>
      </w:r>
    </w:p>
    <w:p>
      <w:pPr>
        <w:spacing w:line="540" w:lineRule="exact"/>
        <w:ind w:firstLine="640" w:firstLineChars="200"/>
        <w:rPr>
          <w:rFonts w:hint="eastAsia" w:ascii="仿宋" w:hAnsi="仿宋" w:eastAsia="仿宋" w:cs="仿宋"/>
          <w:color w:val="000000"/>
          <w:sz w:val="32"/>
          <w:szCs w:val="32"/>
          <w:lang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年一般公共预算财政拨款支出</w:t>
      </w:r>
      <w:r>
        <w:rPr>
          <w:rFonts w:hint="eastAsia" w:ascii="仿宋" w:hAnsi="仿宋" w:eastAsia="仿宋" w:cs="仿宋"/>
          <w:sz w:val="32"/>
          <w:szCs w:val="32"/>
          <w:lang w:val="en-US" w:eastAsia="zh-CN"/>
        </w:rPr>
        <w:t>6606.04</w:t>
      </w:r>
      <w:r>
        <w:rPr>
          <w:rFonts w:hint="eastAsia" w:ascii="仿宋" w:hAnsi="仿宋" w:eastAsia="仿宋" w:cs="仿宋"/>
          <w:sz w:val="32"/>
          <w:szCs w:val="32"/>
        </w:rPr>
        <w:t>万元，占本年支出合计的</w:t>
      </w:r>
      <w:r>
        <w:rPr>
          <w:rFonts w:hint="eastAsia" w:ascii="仿宋" w:hAnsi="仿宋" w:eastAsia="仿宋" w:cs="仿宋"/>
          <w:sz w:val="32"/>
          <w:szCs w:val="32"/>
          <w:lang w:val="en-US" w:eastAsia="zh-CN"/>
        </w:rPr>
        <w:t>74.18</w:t>
      </w:r>
      <w:r>
        <w:rPr>
          <w:rFonts w:hint="eastAsia" w:ascii="仿宋" w:hAnsi="仿宋" w:eastAsia="仿宋" w:cs="仿宋"/>
          <w:sz w:val="32"/>
          <w:szCs w:val="32"/>
        </w:rPr>
        <w:t>%。与20</w:t>
      </w:r>
      <w:r>
        <w:rPr>
          <w:rFonts w:hint="eastAsia" w:ascii="仿宋" w:hAnsi="仿宋" w:eastAsia="仿宋" w:cs="仿宋"/>
          <w:sz w:val="32"/>
          <w:szCs w:val="32"/>
          <w:lang w:val="en-US" w:eastAsia="zh-CN"/>
        </w:rPr>
        <w:t>20</w:t>
      </w:r>
      <w:r>
        <w:rPr>
          <w:rFonts w:hint="eastAsia" w:ascii="仿宋" w:hAnsi="仿宋" w:eastAsia="仿宋" w:cs="仿宋"/>
          <w:sz w:val="32"/>
          <w:szCs w:val="32"/>
        </w:rPr>
        <w:t>年相比，一般公共预算财政拨款减少</w:t>
      </w:r>
      <w:r>
        <w:rPr>
          <w:rFonts w:hint="eastAsia" w:ascii="仿宋" w:hAnsi="仿宋" w:eastAsia="仿宋" w:cs="仿宋"/>
          <w:sz w:val="32"/>
          <w:szCs w:val="32"/>
          <w:lang w:val="en-US" w:eastAsia="zh-CN"/>
        </w:rPr>
        <w:t>1653.76</w:t>
      </w:r>
      <w:r>
        <w:rPr>
          <w:rFonts w:hint="eastAsia" w:ascii="仿宋" w:hAnsi="仿宋" w:eastAsia="仿宋" w:cs="仿宋"/>
          <w:sz w:val="32"/>
          <w:szCs w:val="32"/>
        </w:rPr>
        <w:t>万元，下降</w:t>
      </w:r>
      <w:r>
        <w:rPr>
          <w:rFonts w:hint="eastAsia" w:ascii="仿宋" w:hAnsi="仿宋" w:eastAsia="仿宋" w:cs="仿宋"/>
          <w:sz w:val="32"/>
          <w:szCs w:val="32"/>
          <w:lang w:val="en-US" w:eastAsia="zh-CN"/>
        </w:rPr>
        <w:t>33.39</w:t>
      </w:r>
      <w:r>
        <w:rPr>
          <w:rFonts w:hint="eastAsia" w:ascii="仿宋" w:hAnsi="仿宋" w:eastAsia="仿宋" w:cs="仿宋"/>
          <w:sz w:val="32"/>
          <w:szCs w:val="32"/>
        </w:rPr>
        <w:t>%。主要变动原因是</w:t>
      </w:r>
      <w:r>
        <w:rPr>
          <w:rFonts w:hint="eastAsia" w:ascii="仿宋" w:hAnsi="仿宋" w:eastAsia="仿宋" w:cs="仿宋"/>
          <w:color w:val="000000"/>
          <w:sz w:val="32"/>
          <w:szCs w:val="32"/>
        </w:rPr>
        <w:t>人员增减变动</w:t>
      </w:r>
      <w:r>
        <w:rPr>
          <w:rFonts w:hint="eastAsia" w:ascii="仿宋" w:hAnsi="仿宋" w:eastAsia="仿宋" w:cs="仿宋"/>
          <w:color w:val="000000"/>
          <w:sz w:val="32"/>
          <w:szCs w:val="32"/>
          <w:lang w:eastAsia="zh-CN"/>
        </w:rPr>
        <w:t>导致。</w:t>
      </w:r>
    </w:p>
    <w:p>
      <w:pPr>
        <w:pStyle w:val="6"/>
        <w:rPr>
          <w:rFonts w:hint="eastAsia"/>
          <w:lang w:eastAsia="zh-CN"/>
        </w:rPr>
      </w:pPr>
      <w:r>
        <w:drawing>
          <wp:inline distT="0" distB="0" distL="114300" distR="114300">
            <wp:extent cx="5153660" cy="2802255"/>
            <wp:effectExtent l="4445" t="4445" r="23495" b="12700"/>
            <wp:docPr id="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（二）一般公共预算财政拨款支出决算结构情况。</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年一般公共预算财政拨款支出</w:t>
      </w:r>
      <w:r>
        <w:rPr>
          <w:rFonts w:hint="eastAsia" w:ascii="仿宋" w:hAnsi="仿宋" w:eastAsia="仿宋" w:cs="仿宋"/>
          <w:sz w:val="32"/>
          <w:szCs w:val="32"/>
          <w:lang w:val="en-US" w:eastAsia="zh-CN"/>
        </w:rPr>
        <w:t>6606.04</w:t>
      </w:r>
      <w:r>
        <w:rPr>
          <w:rFonts w:hint="eastAsia" w:ascii="仿宋" w:hAnsi="仿宋" w:eastAsia="仿宋" w:cs="仿宋"/>
          <w:sz w:val="32"/>
          <w:szCs w:val="32"/>
        </w:rPr>
        <w:t>万元，主要用于以下方面:社会保障和就业（类）支出</w:t>
      </w:r>
      <w:r>
        <w:rPr>
          <w:rFonts w:hint="eastAsia" w:ascii="仿宋" w:hAnsi="仿宋" w:eastAsia="仿宋" w:cs="仿宋"/>
          <w:sz w:val="32"/>
          <w:szCs w:val="32"/>
          <w:lang w:val="en-US" w:eastAsia="zh-CN"/>
        </w:rPr>
        <w:t>148.10</w:t>
      </w:r>
      <w:r>
        <w:rPr>
          <w:rFonts w:hint="eastAsia" w:ascii="仿宋" w:hAnsi="仿宋" w:eastAsia="仿宋" w:cs="仿宋"/>
          <w:sz w:val="32"/>
          <w:szCs w:val="32"/>
        </w:rPr>
        <w:t>万元</w:t>
      </w:r>
      <w:r>
        <w:rPr>
          <w:rFonts w:hint="eastAsia" w:ascii="仿宋" w:hAnsi="仿宋" w:eastAsia="仿宋" w:cs="仿宋"/>
          <w:sz w:val="32"/>
          <w:szCs w:val="32"/>
          <w:lang w:eastAsia="zh-CN"/>
        </w:rPr>
        <w:t>（其中：机关事业单位基本养老保险缴费支出</w:t>
      </w:r>
      <w:r>
        <w:rPr>
          <w:rFonts w:hint="eastAsia" w:ascii="仿宋" w:hAnsi="仿宋" w:eastAsia="仿宋" w:cs="仿宋"/>
          <w:sz w:val="32"/>
          <w:szCs w:val="32"/>
          <w:lang w:val="en-US" w:eastAsia="zh-CN"/>
        </w:rPr>
        <w:t>91.95万元</w:t>
      </w:r>
      <w:r>
        <w:rPr>
          <w:rFonts w:hint="eastAsia" w:ascii="仿宋" w:hAnsi="仿宋" w:eastAsia="仿宋" w:cs="仿宋"/>
          <w:sz w:val="32"/>
          <w:szCs w:val="32"/>
          <w:lang w:eastAsia="zh-CN"/>
        </w:rPr>
        <w:t>， 机关事业单位职业年金缴费支出</w:t>
      </w:r>
      <w:r>
        <w:rPr>
          <w:rFonts w:hint="eastAsia" w:ascii="仿宋" w:hAnsi="仿宋" w:eastAsia="仿宋" w:cs="仿宋"/>
          <w:sz w:val="32"/>
          <w:szCs w:val="32"/>
          <w:lang w:val="en-US" w:eastAsia="zh-CN"/>
        </w:rPr>
        <w:t>45.97万元，死亡抚恤支出10.18万元）</w:t>
      </w:r>
      <w:r>
        <w:rPr>
          <w:rFonts w:hint="eastAsia" w:ascii="仿宋" w:hAnsi="仿宋" w:eastAsia="仿宋" w:cs="仿宋"/>
          <w:sz w:val="32"/>
          <w:szCs w:val="32"/>
        </w:rPr>
        <w:t>，占</w:t>
      </w:r>
      <w:r>
        <w:rPr>
          <w:rFonts w:hint="eastAsia" w:ascii="仿宋" w:hAnsi="仿宋" w:eastAsia="仿宋" w:cs="仿宋"/>
          <w:sz w:val="32"/>
          <w:szCs w:val="32"/>
          <w:lang w:val="en-US" w:eastAsia="zh-CN"/>
        </w:rPr>
        <w:t>2.24</w:t>
      </w:r>
      <w:r>
        <w:rPr>
          <w:rFonts w:hint="eastAsia" w:ascii="仿宋" w:hAnsi="仿宋" w:eastAsia="仿宋" w:cs="仿宋"/>
          <w:sz w:val="32"/>
          <w:szCs w:val="32"/>
        </w:rPr>
        <w:t>%；卫生健康支出</w:t>
      </w:r>
      <w:r>
        <w:rPr>
          <w:rFonts w:hint="eastAsia" w:ascii="仿宋" w:hAnsi="仿宋" w:eastAsia="仿宋" w:cs="仿宋"/>
          <w:sz w:val="32"/>
          <w:szCs w:val="32"/>
          <w:lang w:val="en-US" w:eastAsia="zh-CN"/>
        </w:rPr>
        <w:t>6347.53</w:t>
      </w:r>
      <w:r>
        <w:rPr>
          <w:rFonts w:hint="eastAsia" w:ascii="仿宋" w:hAnsi="仿宋" w:eastAsia="仿宋" w:cs="仿宋"/>
          <w:sz w:val="32"/>
          <w:szCs w:val="32"/>
        </w:rPr>
        <w:t>万元，占</w:t>
      </w:r>
      <w:r>
        <w:rPr>
          <w:rFonts w:hint="eastAsia" w:ascii="仿宋" w:hAnsi="仿宋" w:eastAsia="仿宋" w:cs="仿宋"/>
          <w:sz w:val="32"/>
          <w:szCs w:val="32"/>
          <w:lang w:val="en-US" w:eastAsia="zh-CN"/>
        </w:rPr>
        <w:t>96.09</w:t>
      </w:r>
      <w:r>
        <w:rPr>
          <w:rFonts w:hint="eastAsia" w:ascii="仿宋" w:hAnsi="仿宋" w:eastAsia="仿宋" w:cs="仿宋"/>
          <w:sz w:val="32"/>
          <w:szCs w:val="32"/>
        </w:rPr>
        <w:t>%；住房保障支出</w:t>
      </w:r>
      <w:r>
        <w:rPr>
          <w:rFonts w:hint="eastAsia" w:ascii="仿宋" w:hAnsi="仿宋" w:eastAsia="仿宋" w:cs="仿宋"/>
          <w:sz w:val="32"/>
          <w:szCs w:val="32"/>
          <w:lang w:val="en-US" w:eastAsia="zh-CN"/>
        </w:rPr>
        <w:t>110.41</w:t>
      </w:r>
      <w:r>
        <w:rPr>
          <w:rFonts w:hint="eastAsia" w:ascii="仿宋" w:hAnsi="仿宋" w:eastAsia="仿宋" w:cs="仿宋"/>
          <w:sz w:val="32"/>
          <w:szCs w:val="32"/>
        </w:rPr>
        <w:t>万元，占</w:t>
      </w:r>
      <w:r>
        <w:rPr>
          <w:rFonts w:hint="eastAsia" w:ascii="仿宋" w:hAnsi="仿宋" w:eastAsia="仿宋" w:cs="仿宋"/>
          <w:sz w:val="32"/>
          <w:szCs w:val="32"/>
          <w:lang w:val="en-US" w:eastAsia="zh-CN"/>
        </w:rPr>
        <w:t>1.67</w:t>
      </w:r>
      <w:r>
        <w:rPr>
          <w:rFonts w:hint="eastAsia" w:ascii="仿宋" w:hAnsi="仿宋" w:eastAsia="仿宋" w:cs="仿宋"/>
          <w:sz w:val="32"/>
          <w:szCs w:val="32"/>
        </w:rPr>
        <w:t>%。</w:t>
      </w:r>
    </w:p>
    <w:p>
      <w:pPr>
        <w:pStyle w:val="6"/>
        <w:rPr>
          <w:rFonts w:hint="eastAsia"/>
        </w:rPr>
      </w:pPr>
      <w:r>
        <w:drawing>
          <wp:inline distT="0" distB="0" distL="114300" distR="114300">
            <wp:extent cx="6265545" cy="3109595"/>
            <wp:effectExtent l="4445" t="4445" r="16510" b="10160"/>
            <wp:docPr id="4"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（三）一般公共预算财政拨款支出决算具体情况。</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年一般公共预算支出决算数为</w:t>
      </w:r>
      <w:r>
        <w:rPr>
          <w:rFonts w:hint="eastAsia" w:ascii="仿宋" w:hAnsi="仿宋" w:eastAsia="仿宋" w:cs="仿宋"/>
          <w:sz w:val="32"/>
          <w:szCs w:val="32"/>
          <w:lang w:val="en-US" w:eastAsia="zh-CN"/>
        </w:rPr>
        <w:t>6606.04</w:t>
      </w:r>
      <w:r>
        <w:rPr>
          <w:rFonts w:hint="eastAsia" w:ascii="仿宋" w:hAnsi="仿宋" w:eastAsia="仿宋" w:cs="仿宋"/>
          <w:sz w:val="32"/>
          <w:szCs w:val="32"/>
        </w:rPr>
        <w:t>万元，完成预算</w:t>
      </w:r>
      <w:r>
        <w:rPr>
          <w:rFonts w:hint="eastAsia" w:ascii="仿宋" w:hAnsi="仿宋" w:eastAsia="仿宋" w:cs="仿宋"/>
          <w:sz w:val="32"/>
          <w:szCs w:val="32"/>
          <w:lang w:val="en-US" w:eastAsia="zh-CN"/>
        </w:rPr>
        <w:t>100</w:t>
      </w:r>
      <w:r>
        <w:rPr>
          <w:rFonts w:hint="eastAsia" w:ascii="仿宋" w:hAnsi="仿宋" w:eastAsia="仿宋" w:cs="仿宋"/>
          <w:sz w:val="32"/>
          <w:szCs w:val="32"/>
        </w:rPr>
        <w:t>%。其中：</w:t>
      </w:r>
    </w:p>
    <w:p>
      <w:pPr>
        <w:spacing w:line="540" w:lineRule="exact"/>
        <w:ind w:firstLine="642" w:firstLineChars="200"/>
        <w:rPr>
          <w:rFonts w:hint="eastAsia" w:ascii="仿宋" w:hAnsi="仿宋" w:eastAsia="仿宋" w:cs="仿宋"/>
          <w:sz w:val="32"/>
          <w:szCs w:val="32"/>
        </w:rPr>
      </w:pPr>
      <w:r>
        <w:rPr>
          <w:rFonts w:hint="eastAsia" w:ascii="仿宋" w:hAnsi="仿宋" w:eastAsia="仿宋" w:cs="仿宋"/>
          <w:b/>
          <w:sz w:val="32"/>
          <w:szCs w:val="32"/>
          <w:lang w:val="en-US" w:eastAsia="zh-CN"/>
        </w:rPr>
        <w:t>1</w:t>
      </w:r>
      <w:r>
        <w:rPr>
          <w:rFonts w:hint="eastAsia" w:ascii="仿宋" w:hAnsi="仿宋" w:eastAsia="仿宋" w:cs="仿宋"/>
          <w:b/>
          <w:sz w:val="32"/>
          <w:szCs w:val="32"/>
        </w:rPr>
        <w:t>.社会保障和就业（类）行政事业单位养老支出（款）</w:t>
      </w:r>
      <w:r>
        <w:rPr>
          <w:rFonts w:hint="eastAsia" w:ascii="仿宋" w:hAnsi="仿宋" w:eastAsia="仿宋" w:cs="仿宋"/>
          <w:b/>
          <w:sz w:val="32"/>
          <w:szCs w:val="32"/>
          <w:lang w:eastAsia="zh-CN"/>
        </w:rPr>
        <w:t xml:space="preserve"> 机关事业单位基本养老保险缴费支出</w:t>
      </w:r>
      <w:r>
        <w:rPr>
          <w:rFonts w:hint="eastAsia" w:ascii="仿宋" w:hAnsi="仿宋" w:eastAsia="仿宋" w:cs="仿宋"/>
          <w:b/>
          <w:sz w:val="32"/>
          <w:szCs w:val="32"/>
        </w:rPr>
        <w:t xml:space="preserve">（项）: </w:t>
      </w:r>
      <w:r>
        <w:rPr>
          <w:rFonts w:hint="eastAsia" w:ascii="仿宋" w:hAnsi="仿宋" w:eastAsia="仿宋" w:cs="仿宋"/>
          <w:sz w:val="32"/>
          <w:szCs w:val="32"/>
        </w:rPr>
        <w:t>支出决算为</w:t>
      </w:r>
      <w:r>
        <w:rPr>
          <w:rFonts w:hint="eastAsia" w:ascii="仿宋" w:hAnsi="仿宋" w:eastAsia="仿宋" w:cs="仿宋"/>
          <w:sz w:val="32"/>
          <w:szCs w:val="32"/>
          <w:lang w:val="en-US" w:eastAsia="zh-CN"/>
        </w:rPr>
        <w:t>148.10</w:t>
      </w:r>
      <w:r>
        <w:rPr>
          <w:rFonts w:hint="eastAsia" w:ascii="仿宋" w:hAnsi="仿宋" w:eastAsia="仿宋" w:cs="仿宋"/>
          <w:sz w:val="32"/>
          <w:szCs w:val="32"/>
        </w:rPr>
        <w:t>万元，完成预算</w:t>
      </w:r>
      <w:r>
        <w:rPr>
          <w:rFonts w:hint="eastAsia" w:ascii="仿宋" w:hAnsi="仿宋" w:eastAsia="仿宋" w:cs="仿宋"/>
          <w:sz w:val="32"/>
          <w:szCs w:val="32"/>
          <w:lang w:val="en-US" w:eastAsia="zh-CN"/>
        </w:rPr>
        <w:t>100</w:t>
      </w:r>
      <w:r>
        <w:rPr>
          <w:rFonts w:hint="eastAsia" w:ascii="仿宋" w:hAnsi="仿宋" w:eastAsia="仿宋" w:cs="仿宋"/>
          <w:sz w:val="32"/>
          <w:szCs w:val="32"/>
        </w:rPr>
        <w:t>%，决算数等于预算数持平。</w:t>
      </w:r>
    </w:p>
    <w:p>
      <w:pPr>
        <w:spacing w:line="540" w:lineRule="exact"/>
        <w:ind w:firstLine="642" w:firstLineChars="200"/>
        <w:rPr>
          <w:rFonts w:hint="eastAsia" w:ascii="仿宋" w:hAnsi="仿宋" w:eastAsia="仿宋" w:cs="仿宋"/>
          <w:sz w:val="32"/>
          <w:szCs w:val="32"/>
        </w:rPr>
      </w:pPr>
      <w:r>
        <w:rPr>
          <w:rFonts w:hint="eastAsia" w:ascii="仿宋" w:hAnsi="仿宋" w:eastAsia="仿宋" w:cs="仿宋"/>
          <w:b/>
          <w:sz w:val="32"/>
          <w:szCs w:val="32"/>
          <w:lang w:val="en-US" w:eastAsia="zh-CN"/>
        </w:rPr>
        <w:t>2</w:t>
      </w:r>
      <w:r>
        <w:rPr>
          <w:rFonts w:hint="eastAsia" w:ascii="仿宋" w:hAnsi="仿宋" w:eastAsia="仿宋" w:cs="仿宋"/>
          <w:b/>
          <w:sz w:val="32"/>
          <w:szCs w:val="32"/>
        </w:rPr>
        <w:t>.卫生健康支出（类）公立医院（款）</w:t>
      </w:r>
      <w:r>
        <w:rPr>
          <w:rFonts w:hint="eastAsia" w:ascii="仿宋" w:hAnsi="仿宋" w:eastAsia="仿宋" w:cs="仿宋"/>
          <w:b/>
          <w:sz w:val="32"/>
          <w:szCs w:val="32"/>
          <w:lang w:eastAsia="zh-CN"/>
        </w:rPr>
        <w:t>中医（民族）医院</w:t>
      </w:r>
      <w:r>
        <w:rPr>
          <w:rFonts w:hint="eastAsia" w:ascii="仿宋" w:hAnsi="仿宋" w:eastAsia="仿宋" w:cs="仿宋"/>
          <w:b/>
          <w:sz w:val="32"/>
          <w:szCs w:val="32"/>
        </w:rPr>
        <w:t>（项）:</w:t>
      </w:r>
      <w:r>
        <w:rPr>
          <w:rFonts w:hint="eastAsia" w:ascii="仿宋" w:hAnsi="仿宋" w:eastAsia="仿宋" w:cs="仿宋"/>
          <w:sz w:val="32"/>
          <w:szCs w:val="32"/>
        </w:rPr>
        <w:t>支出决算为</w:t>
      </w:r>
      <w:r>
        <w:rPr>
          <w:rFonts w:hint="eastAsia" w:ascii="仿宋" w:hAnsi="仿宋" w:eastAsia="仿宋" w:cs="仿宋"/>
          <w:sz w:val="32"/>
          <w:szCs w:val="32"/>
          <w:lang w:val="en-US" w:eastAsia="zh-CN"/>
        </w:rPr>
        <w:t>6347.53</w:t>
      </w:r>
      <w:r>
        <w:rPr>
          <w:rFonts w:hint="eastAsia" w:ascii="仿宋" w:hAnsi="仿宋" w:eastAsia="仿宋" w:cs="仿宋"/>
          <w:sz w:val="32"/>
          <w:szCs w:val="32"/>
        </w:rPr>
        <w:t>万元，完成预算</w:t>
      </w:r>
      <w:r>
        <w:rPr>
          <w:rFonts w:hint="eastAsia" w:ascii="仿宋" w:hAnsi="仿宋" w:eastAsia="仿宋" w:cs="仿宋"/>
          <w:sz w:val="32"/>
          <w:szCs w:val="32"/>
          <w:lang w:val="en-US" w:eastAsia="zh-CN"/>
        </w:rPr>
        <w:t>100</w:t>
      </w:r>
      <w:r>
        <w:rPr>
          <w:rFonts w:hint="eastAsia" w:ascii="仿宋" w:hAnsi="仿宋" w:eastAsia="仿宋" w:cs="仿宋"/>
          <w:sz w:val="32"/>
          <w:szCs w:val="32"/>
        </w:rPr>
        <w:t>%，决算数等于预算数持平。</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color w:val="000000"/>
          <w:sz w:val="32"/>
          <w:szCs w:val="32"/>
        </w:rPr>
        <w:t>住房保障支出</w:t>
      </w:r>
      <w:r>
        <w:rPr>
          <w:rStyle w:val="17"/>
          <w:rFonts w:hint="eastAsia" w:ascii="仿宋" w:hAnsi="仿宋" w:eastAsia="仿宋" w:cs="仿宋"/>
          <w:bCs/>
          <w:color w:val="000000"/>
          <w:sz w:val="32"/>
          <w:szCs w:val="32"/>
        </w:rPr>
        <w:t>（类）住房改革支出（款）住房公积金</w:t>
      </w:r>
      <w:r>
        <w:rPr>
          <w:rStyle w:val="17"/>
          <w:rFonts w:hint="eastAsia" w:ascii="仿宋" w:hAnsi="仿宋" w:eastAsia="仿宋" w:cs="仿宋"/>
          <w:bCs/>
          <w:color w:val="000000"/>
          <w:sz w:val="32"/>
          <w:szCs w:val="32"/>
          <w:lang w:eastAsia="zh-CN"/>
        </w:rPr>
        <w:t>（</w:t>
      </w:r>
      <w:r>
        <w:rPr>
          <w:rStyle w:val="17"/>
          <w:rFonts w:hint="eastAsia" w:ascii="仿宋" w:hAnsi="仿宋" w:eastAsia="仿宋" w:cs="仿宋"/>
          <w:bCs/>
          <w:color w:val="000000"/>
          <w:sz w:val="32"/>
          <w:szCs w:val="32"/>
        </w:rPr>
        <w:t>项）</w:t>
      </w:r>
      <w:r>
        <w:rPr>
          <w:rFonts w:hint="eastAsia" w:ascii="仿宋" w:hAnsi="仿宋" w:eastAsia="仿宋" w:cs="仿宋"/>
          <w:sz w:val="32"/>
          <w:szCs w:val="32"/>
          <w:lang w:eastAsia="zh-CN"/>
        </w:rPr>
        <w:t>，</w:t>
      </w:r>
      <w:r>
        <w:rPr>
          <w:rFonts w:hint="eastAsia" w:ascii="仿宋" w:hAnsi="仿宋" w:eastAsia="仿宋" w:cs="仿宋"/>
          <w:sz w:val="32"/>
          <w:szCs w:val="32"/>
        </w:rPr>
        <w:t>支出决算为</w:t>
      </w:r>
      <w:r>
        <w:rPr>
          <w:rFonts w:hint="eastAsia" w:ascii="仿宋" w:hAnsi="仿宋" w:eastAsia="仿宋" w:cs="仿宋"/>
          <w:sz w:val="32"/>
          <w:szCs w:val="32"/>
          <w:lang w:val="en-US" w:eastAsia="zh-CN"/>
        </w:rPr>
        <w:t>110.41</w:t>
      </w:r>
      <w:r>
        <w:rPr>
          <w:rFonts w:hint="eastAsia" w:ascii="仿宋" w:hAnsi="仿宋" w:eastAsia="仿宋" w:cs="仿宋"/>
          <w:sz w:val="32"/>
          <w:szCs w:val="32"/>
        </w:rPr>
        <w:t>万元，完成预算</w:t>
      </w:r>
      <w:r>
        <w:rPr>
          <w:rFonts w:hint="eastAsia" w:ascii="仿宋" w:hAnsi="仿宋" w:eastAsia="仿宋" w:cs="仿宋"/>
          <w:sz w:val="32"/>
          <w:szCs w:val="32"/>
          <w:lang w:val="en-US" w:eastAsia="zh-CN"/>
        </w:rPr>
        <w:t>100</w:t>
      </w:r>
      <w:r>
        <w:rPr>
          <w:rFonts w:hint="eastAsia" w:ascii="仿宋" w:hAnsi="仿宋" w:eastAsia="仿宋" w:cs="仿宋"/>
          <w:sz w:val="32"/>
          <w:szCs w:val="32"/>
        </w:rPr>
        <w:t>%，决算数等于预算数持平。</w:t>
      </w:r>
    </w:p>
    <w:p>
      <w:pPr>
        <w:rPr>
          <w:b/>
          <w:bCs/>
          <w:sz w:val="24"/>
          <w:szCs w:val="32"/>
        </w:rPr>
      </w:pPr>
    </w:p>
    <w:p>
      <w:pPr>
        <w:pStyle w:val="13"/>
        <w:adjustRightInd w:val="0"/>
        <w:snapToGrid w:val="0"/>
        <w:spacing w:line="440" w:lineRule="exact"/>
        <w:jc w:val="left"/>
        <w:rPr>
          <w:rFonts w:hint="eastAsia"/>
          <w:b/>
          <w:bCs/>
          <w:sz w:val="32"/>
          <w:szCs w:val="32"/>
        </w:rPr>
      </w:pPr>
      <w:r>
        <w:rPr>
          <w:rFonts w:hint="eastAsia"/>
          <w:b/>
          <w:bCs/>
          <w:sz w:val="32"/>
          <w:szCs w:val="32"/>
        </w:rPr>
        <w:t>六、一般公共预算财政拨款基本支出决算情况说明</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年一般公共预算财政拨款基本支出</w:t>
      </w:r>
      <w:r>
        <w:rPr>
          <w:rFonts w:hint="eastAsia" w:ascii="仿宋" w:hAnsi="仿宋" w:eastAsia="仿宋" w:cs="仿宋"/>
          <w:sz w:val="32"/>
          <w:szCs w:val="32"/>
          <w:lang w:val="en-US" w:eastAsia="zh-CN"/>
        </w:rPr>
        <w:t>1067.12</w:t>
      </w:r>
      <w:r>
        <w:rPr>
          <w:rFonts w:hint="eastAsia" w:ascii="仿宋" w:hAnsi="仿宋" w:eastAsia="仿宋" w:cs="仿宋"/>
          <w:sz w:val="32"/>
          <w:szCs w:val="32"/>
        </w:rPr>
        <w:t>万元，其中：</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人员经费</w:t>
      </w:r>
      <w:r>
        <w:rPr>
          <w:rFonts w:hint="eastAsia" w:ascii="仿宋" w:hAnsi="仿宋" w:eastAsia="仿宋" w:cs="仿宋"/>
          <w:sz w:val="32"/>
          <w:szCs w:val="32"/>
          <w:lang w:val="en-US" w:eastAsia="zh-CN"/>
        </w:rPr>
        <w:t>1036.39</w:t>
      </w:r>
      <w:r>
        <w:rPr>
          <w:rFonts w:hint="eastAsia" w:ascii="仿宋" w:hAnsi="仿宋" w:eastAsia="仿宋" w:cs="仿宋"/>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hint="eastAsia" w:ascii="仿宋" w:hAnsi="仿宋" w:eastAsia="仿宋" w:cs="仿宋"/>
          <w:sz w:val="32"/>
          <w:szCs w:val="32"/>
        </w:rPr>
        <w:br w:type="textWrapping"/>
      </w:r>
      <w:r>
        <w:rPr>
          <w:rFonts w:hint="eastAsia" w:ascii="仿宋" w:hAnsi="仿宋" w:eastAsia="仿宋" w:cs="仿宋"/>
          <w:sz w:val="32"/>
          <w:szCs w:val="32"/>
        </w:rPr>
        <w:t>　　日常公用经费</w:t>
      </w:r>
      <w:r>
        <w:rPr>
          <w:rFonts w:hint="eastAsia" w:ascii="仿宋" w:hAnsi="仿宋" w:eastAsia="仿宋" w:cs="仿宋"/>
          <w:sz w:val="32"/>
          <w:szCs w:val="32"/>
          <w:lang w:val="en-US" w:eastAsia="zh-CN"/>
        </w:rPr>
        <w:t>0.03</w:t>
      </w:r>
      <w:r>
        <w:rPr>
          <w:rFonts w:hint="eastAsia" w:ascii="仿宋" w:hAnsi="仿宋" w:eastAsia="仿宋" w:cs="仿宋"/>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对个人和家庭的补助</w:t>
      </w:r>
      <w:r>
        <w:rPr>
          <w:rFonts w:hint="eastAsia" w:ascii="仿宋" w:hAnsi="仿宋" w:eastAsia="仿宋" w:cs="仿宋"/>
          <w:sz w:val="32"/>
          <w:szCs w:val="32"/>
          <w:lang w:val="en-US" w:eastAsia="zh-CN"/>
        </w:rPr>
        <w:t>30.70</w:t>
      </w:r>
      <w:r>
        <w:rPr>
          <w:rFonts w:hint="eastAsia" w:ascii="仿宋" w:hAnsi="仿宋" w:eastAsia="仿宋" w:cs="仿宋"/>
          <w:sz w:val="32"/>
          <w:szCs w:val="32"/>
        </w:rPr>
        <w:t>万元，主要包括</w:t>
      </w:r>
      <w:r>
        <w:rPr>
          <w:rFonts w:hint="eastAsia" w:ascii="仿宋" w:hAnsi="仿宋" w:eastAsia="仿宋" w:cs="仿宋"/>
          <w:sz w:val="32"/>
          <w:szCs w:val="32"/>
          <w:lang w:eastAsia="zh-CN"/>
        </w:rPr>
        <w:t>：生活补助，医疗费补助，其他个人和家庭的补助支出，救济费，助学金，个人农业生产补贴，代缴社会保险费</w:t>
      </w:r>
      <w:r>
        <w:rPr>
          <w:rFonts w:hint="eastAsia" w:ascii="仿宋" w:hAnsi="仿宋" w:eastAsia="仿宋" w:cs="仿宋"/>
          <w:sz w:val="32"/>
          <w:szCs w:val="32"/>
        </w:rPr>
        <w:t>等。</w:t>
      </w:r>
    </w:p>
    <w:p>
      <w:pPr>
        <w:pStyle w:val="13"/>
        <w:numPr>
          <w:ilvl w:val="0"/>
          <w:numId w:val="3"/>
        </w:numPr>
        <w:adjustRightInd w:val="0"/>
        <w:snapToGrid w:val="0"/>
        <w:spacing w:line="440" w:lineRule="exact"/>
        <w:jc w:val="left"/>
        <w:rPr>
          <w:rFonts w:hint="eastAsia"/>
          <w:b/>
          <w:bCs/>
          <w:sz w:val="32"/>
          <w:szCs w:val="32"/>
        </w:rPr>
      </w:pPr>
      <w:r>
        <w:rPr>
          <w:rFonts w:hint="eastAsia"/>
          <w:b/>
          <w:bCs/>
          <w:sz w:val="32"/>
          <w:szCs w:val="32"/>
        </w:rPr>
        <w:t>“三公”经费财政拨款支出决算情况说明</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（一）“三公”经费财政拨款支出决算总体情况说明。</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年“三公”经费财政拨款支出决算为</w:t>
      </w:r>
      <w:r>
        <w:rPr>
          <w:rFonts w:hint="eastAsia" w:ascii="仿宋" w:hAnsi="仿宋" w:eastAsia="仿宋" w:cs="仿宋"/>
          <w:sz w:val="32"/>
          <w:szCs w:val="32"/>
          <w:lang w:val="en-US" w:eastAsia="zh-CN"/>
        </w:rPr>
        <w:t>16.8</w:t>
      </w:r>
      <w:r>
        <w:rPr>
          <w:rFonts w:hint="eastAsia" w:ascii="仿宋" w:hAnsi="仿宋" w:eastAsia="仿宋" w:cs="仿宋"/>
          <w:sz w:val="32"/>
          <w:szCs w:val="32"/>
        </w:rPr>
        <w:t>万元，完成预算</w:t>
      </w:r>
      <w:r>
        <w:rPr>
          <w:rFonts w:hint="eastAsia" w:ascii="仿宋" w:hAnsi="仿宋" w:eastAsia="仿宋" w:cs="仿宋"/>
          <w:sz w:val="32"/>
          <w:szCs w:val="32"/>
          <w:lang w:val="en-US" w:eastAsia="zh-CN"/>
        </w:rPr>
        <w:t>100</w:t>
      </w:r>
      <w:r>
        <w:rPr>
          <w:rFonts w:hint="eastAsia" w:ascii="仿宋" w:hAnsi="仿宋" w:eastAsia="仿宋" w:cs="仿宋"/>
          <w:sz w:val="32"/>
          <w:szCs w:val="32"/>
        </w:rPr>
        <w:t>%，与预算数持平。</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（二）“三公”经费财政拨款支出决算具体情况说明。</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年“三公”经费财政拨款支出决算中，因公出国（境）费支出决算</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%；公务用车购置及运行维护费支出决算</w:t>
      </w:r>
      <w:r>
        <w:rPr>
          <w:rFonts w:hint="eastAsia" w:ascii="仿宋" w:hAnsi="仿宋" w:eastAsia="仿宋" w:cs="仿宋"/>
          <w:sz w:val="32"/>
          <w:szCs w:val="32"/>
          <w:lang w:val="en-US" w:eastAsia="zh-CN"/>
        </w:rPr>
        <w:t>16.8</w:t>
      </w:r>
      <w:r>
        <w:rPr>
          <w:rFonts w:hint="eastAsia" w:ascii="仿宋" w:hAnsi="仿宋" w:eastAsia="仿宋" w:cs="仿宋"/>
          <w:sz w:val="32"/>
          <w:szCs w:val="32"/>
        </w:rPr>
        <w:t>万元，占</w:t>
      </w:r>
      <w:r>
        <w:rPr>
          <w:rFonts w:hint="eastAsia" w:ascii="仿宋" w:hAnsi="仿宋" w:eastAsia="仿宋" w:cs="仿宋"/>
          <w:sz w:val="32"/>
          <w:szCs w:val="32"/>
          <w:lang w:val="en-US" w:eastAsia="zh-CN"/>
        </w:rPr>
        <w:t>100</w:t>
      </w:r>
      <w:r>
        <w:rPr>
          <w:rFonts w:hint="eastAsia" w:ascii="仿宋" w:hAnsi="仿宋" w:eastAsia="仿宋" w:cs="仿宋"/>
          <w:sz w:val="32"/>
          <w:szCs w:val="32"/>
        </w:rPr>
        <w:t>%；公务接待费支出决算</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%。具体情况如下：</w:t>
      </w:r>
    </w:p>
    <w:p>
      <w:pPr>
        <w:pStyle w:val="6"/>
      </w:pPr>
      <w:r>
        <w:drawing>
          <wp:inline distT="0" distB="0" distL="114300" distR="114300">
            <wp:extent cx="4624070" cy="2558415"/>
            <wp:effectExtent l="4445" t="4445" r="19685" b="8890"/>
            <wp:docPr id="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540" w:lineRule="exact"/>
        <w:ind w:firstLine="642" w:firstLineChars="200"/>
        <w:rPr>
          <w:rFonts w:hint="eastAsia" w:ascii="仿宋" w:hAnsi="仿宋" w:eastAsia="仿宋" w:cs="仿宋"/>
          <w:sz w:val="32"/>
          <w:szCs w:val="32"/>
        </w:rPr>
      </w:pPr>
      <w:r>
        <w:rPr>
          <w:rFonts w:hint="eastAsia" w:ascii="仿宋" w:hAnsi="仿宋" w:eastAsia="仿宋" w:cs="仿宋"/>
          <w:b/>
          <w:sz w:val="32"/>
          <w:szCs w:val="32"/>
          <w:lang w:val="en-US" w:eastAsia="zh-CN"/>
        </w:rPr>
        <w:t>1</w:t>
      </w:r>
      <w:r>
        <w:rPr>
          <w:rFonts w:hint="eastAsia" w:ascii="仿宋" w:hAnsi="仿宋" w:eastAsia="仿宋" w:cs="仿宋"/>
          <w:b/>
          <w:sz w:val="32"/>
          <w:szCs w:val="32"/>
        </w:rPr>
        <w:t>.公务用车购置及运行维护费支出</w:t>
      </w:r>
      <w:r>
        <w:rPr>
          <w:rFonts w:hint="eastAsia" w:ascii="仿宋" w:hAnsi="仿宋" w:eastAsia="仿宋" w:cs="仿宋"/>
          <w:sz w:val="32"/>
          <w:szCs w:val="32"/>
          <w:lang w:val="en-US" w:eastAsia="zh-CN"/>
        </w:rPr>
        <w:t>16.8</w:t>
      </w:r>
      <w:r>
        <w:rPr>
          <w:rFonts w:hint="eastAsia" w:ascii="仿宋" w:hAnsi="仿宋" w:eastAsia="仿宋" w:cs="仿宋"/>
          <w:sz w:val="32"/>
          <w:szCs w:val="32"/>
        </w:rPr>
        <w:t>万元,完成预算</w:t>
      </w:r>
      <w:r>
        <w:rPr>
          <w:rFonts w:hint="eastAsia" w:ascii="仿宋" w:hAnsi="仿宋" w:eastAsia="仿宋" w:cs="仿宋"/>
          <w:sz w:val="32"/>
          <w:szCs w:val="32"/>
          <w:lang w:val="en-US" w:eastAsia="zh-CN"/>
        </w:rPr>
        <w:t>100</w:t>
      </w:r>
      <w:r>
        <w:rPr>
          <w:rFonts w:hint="eastAsia" w:ascii="仿宋" w:hAnsi="仿宋" w:eastAsia="仿宋" w:cs="仿宋"/>
          <w:sz w:val="32"/>
          <w:szCs w:val="32"/>
        </w:rPr>
        <w:t>%。公务用车购置及运行维护费支出决算比20</w:t>
      </w:r>
      <w:r>
        <w:rPr>
          <w:rFonts w:hint="eastAsia" w:ascii="仿宋" w:hAnsi="仿宋" w:eastAsia="仿宋" w:cs="仿宋"/>
          <w:sz w:val="32"/>
          <w:szCs w:val="32"/>
          <w:lang w:val="en-US" w:eastAsia="zh-CN"/>
        </w:rPr>
        <w:t>20</w:t>
      </w:r>
      <w:r>
        <w:rPr>
          <w:rFonts w:hint="eastAsia" w:ascii="仿宋" w:hAnsi="仿宋" w:eastAsia="仿宋" w:cs="仿宋"/>
          <w:sz w:val="32"/>
          <w:szCs w:val="32"/>
        </w:rPr>
        <w:t>年</w:t>
      </w:r>
      <w:r>
        <w:rPr>
          <w:rFonts w:hint="eastAsia" w:ascii="仿宋" w:hAnsi="仿宋" w:eastAsia="仿宋" w:cs="仿宋"/>
          <w:sz w:val="32"/>
          <w:szCs w:val="32"/>
          <w:lang w:val="en-US" w:eastAsia="zh-CN"/>
        </w:rPr>
        <w:t>0</w:t>
      </w:r>
      <w:r>
        <w:rPr>
          <w:rFonts w:hint="eastAsia" w:ascii="仿宋" w:hAnsi="仿宋" w:eastAsia="仿宋" w:cs="仿宋"/>
          <w:sz w:val="32"/>
          <w:szCs w:val="32"/>
        </w:rPr>
        <w:t>万元增加</w:t>
      </w:r>
      <w:r>
        <w:rPr>
          <w:rFonts w:hint="eastAsia" w:ascii="仿宋" w:hAnsi="仿宋" w:eastAsia="仿宋" w:cs="仿宋"/>
          <w:sz w:val="32"/>
          <w:szCs w:val="32"/>
          <w:lang w:val="en-US" w:eastAsia="zh-CN"/>
        </w:rPr>
        <w:t>16.8</w:t>
      </w:r>
      <w:r>
        <w:rPr>
          <w:rFonts w:hint="eastAsia" w:ascii="仿宋" w:hAnsi="仿宋" w:eastAsia="仿宋" w:cs="仿宋"/>
          <w:sz w:val="32"/>
          <w:szCs w:val="32"/>
        </w:rPr>
        <w:t>万元，增加</w:t>
      </w:r>
      <w:r>
        <w:rPr>
          <w:rFonts w:hint="eastAsia" w:ascii="仿宋" w:hAnsi="仿宋" w:eastAsia="仿宋" w:cs="仿宋"/>
          <w:sz w:val="32"/>
          <w:szCs w:val="32"/>
          <w:lang w:val="en-US" w:eastAsia="zh-CN"/>
        </w:rPr>
        <w:t>100%</w:t>
      </w:r>
      <w:r>
        <w:rPr>
          <w:rFonts w:hint="eastAsia" w:ascii="仿宋" w:hAnsi="仿宋" w:eastAsia="仿宋" w:cs="仿宋"/>
          <w:sz w:val="32"/>
          <w:szCs w:val="32"/>
        </w:rPr>
        <w:t>，</w:t>
      </w:r>
      <w:bookmarkStart w:id="20" w:name="_GoBack"/>
      <w:bookmarkEnd w:id="20"/>
      <w:r>
        <w:rPr>
          <w:rFonts w:hint="eastAsia" w:ascii="仿宋" w:hAnsi="仿宋" w:eastAsia="仿宋" w:cs="仿宋"/>
          <w:sz w:val="32"/>
          <w:szCs w:val="32"/>
          <w:lang w:eastAsia="zh-CN"/>
        </w:rPr>
        <w:t>财政局下拨</w:t>
      </w:r>
      <w:r>
        <w:rPr>
          <w:rFonts w:hint="eastAsia" w:ascii="仿宋" w:hAnsi="仿宋" w:eastAsia="仿宋" w:cs="仿宋"/>
          <w:sz w:val="32"/>
          <w:szCs w:val="32"/>
        </w:rPr>
        <w:t>医疗机构事业发展资</w:t>
      </w:r>
      <w:r>
        <w:rPr>
          <w:rFonts w:hint="eastAsia" w:ascii="仿宋" w:hAnsi="仿宋" w:eastAsia="仿宋" w:cs="仿宋"/>
          <w:sz w:val="32"/>
          <w:szCs w:val="32"/>
          <w:highlight w:val="none"/>
        </w:rPr>
        <w:t>金主要</w:t>
      </w:r>
      <w:r>
        <w:rPr>
          <w:rFonts w:hint="eastAsia" w:ascii="仿宋" w:hAnsi="仿宋" w:eastAsia="仿宋" w:cs="仿宋"/>
          <w:sz w:val="32"/>
          <w:szCs w:val="32"/>
          <w:highlight w:val="none"/>
          <w:lang w:eastAsia="zh-CN"/>
        </w:rPr>
        <w:t>用</w:t>
      </w:r>
      <w:r>
        <w:rPr>
          <w:rFonts w:hint="eastAsia" w:ascii="仿宋" w:hAnsi="仿宋" w:eastAsia="仿宋" w:cs="仿宋"/>
          <w:sz w:val="32"/>
          <w:szCs w:val="32"/>
          <w:lang w:eastAsia="zh-CN"/>
        </w:rPr>
        <w:t>于车辆维修维护、保险费、汽油费等</w:t>
      </w:r>
      <w:r>
        <w:rPr>
          <w:rFonts w:hint="eastAsia" w:ascii="仿宋" w:hAnsi="仿宋" w:eastAsia="仿宋" w:cs="仿宋"/>
          <w:sz w:val="32"/>
          <w:szCs w:val="32"/>
        </w:rPr>
        <w:t>。</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其中：公务用车购置支出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万元。全年按规定更新购置公务用车</w:t>
      </w:r>
      <w:r>
        <w:rPr>
          <w:rFonts w:hint="eastAsia" w:ascii="仿宋" w:hAnsi="仿宋" w:eastAsia="仿宋" w:cs="仿宋"/>
          <w:sz w:val="32"/>
          <w:szCs w:val="32"/>
          <w:lang w:val="en-US" w:eastAsia="zh-CN"/>
        </w:rPr>
        <w:t>0</w:t>
      </w:r>
      <w:r>
        <w:rPr>
          <w:rFonts w:hint="eastAsia" w:ascii="仿宋" w:hAnsi="仿宋" w:eastAsia="仿宋" w:cs="仿宋"/>
          <w:sz w:val="32"/>
          <w:szCs w:val="32"/>
        </w:rPr>
        <w:t>辆，其中：轿车</w:t>
      </w:r>
      <w:r>
        <w:rPr>
          <w:rFonts w:hint="eastAsia" w:ascii="仿宋" w:hAnsi="仿宋" w:eastAsia="仿宋" w:cs="仿宋"/>
          <w:sz w:val="32"/>
          <w:szCs w:val="32"/>
          <w:lang w:val="en-US" w:eastAsia="zh-CN"/>
        </w:rPr>
        <w:t>0</w:t>
      </w:r>
      <w:r>
        <w:rPr>
          <w:rFonts w:hint="eastAsia" w:ascii="仿宋" w:hAnsi="仿宋" w:eastAsia="仿宋" w:cs="仿宋"/>
          <w:sz w:val="32"/>
          <w:szCs w:val="32"/>
        </w:rPr>
        <w:t>辆、金额</w:t>
      </w:r>
      <w:r>
        <w:rPr>
          <w:rFonts w:hint="eastAsia" w:ascii="仿宋" w:hAnsi="仿宋" w:eastAsia="仿宋" w:cs="仿宋"/>
          <w:sz w:val="32"/>
          <w:szCs w:val="32"/>
          <w:lang w:val="en-US" w:eastAsia="zh-CN"/>
        </w:rPr>
        <w:t>0</w:t>
      </w:r>
      <w:r>
        <w:rPr>
          <w:rFonts w:hint="eastAsia" w:ascii="仿宋" w:hAnsi="仿宋" w:eastAsia="仿宋" w:cs="仿宋"/>
          <w:sz w:val="32"/>
          <w:szCs w:val="32"/>
        </w:rPr>
        <w:t>万元，越野车</w:t>
      </w:r>
      <w:r>
        <w:rPr>
          <w:rFonts w:hint="eastAsia" w:ascii="仿宋" w:hAnsi="仿宋" w:eastAsia="仿宋" w:cs="仿宋"/>
          <w:sz w:val="32"/>
          <w:szCs w:val="32"/>
          <w:lang w:val="en-US" w:eastAsia="zh-CN"/>
        </w:rPr>
        <w:t>0</w:t>
      </w:r>
      <w:r>
        <w:rPr>
          <w:rFonts w:hint="eastAsia" w:ascii="仿宋" w:hAnsi="仿宋" w:eastAsia="仿宋" w:cs="仿宋"/>
          <w:sz w:val="32"/>
          <w:szCs w:val="32"/>
        </w:rPr>
        <w:t>辆、金额</w:t>
      </w:r>
      <w:r>
        <w:rPr>
          <w:rFonts w:hint="eastAsia" w:ascii="仿宋" w:hAnsi="仿宋" w:eastAsia="仿宋" w:cs="仿宋"/>
          <w:sz w:val="32"/>
          <w:szCs w:val="32"/>
          <w:lang w:val="en-US" w:eastAsia="zh-CN"/>
        </w:rPr>
        <w:t>0</w:t>
      </w:r>
      <w:r>
        <w:rPr>
          <w:rFonts w:hint="eastAsia" w:ascii="仿宋" w:hAnsi="仿宋" w:eastAsia="仿宋" w:cs="仿宋"/>
          <w:sz w:val="32"/>
          <w:szCs w:val="32"/>
        </w:rPr>
        <w:t>万元，载客汽车</w:t>
      </w:r>
      <w:r>
        <w:rPr>
          <w:rFonts w:hint="eastAsia" w:ascii="仿宋" w:hAnsi="仿宋" w:eastAsia="仿宋" w:cs="仿宋"/>
          <w:sz w:val="32"/>
          <w:szCs w:val="32"/>
          <w:lang w:val="en-US" w:eastAsia="zh-CN"/>
        </w:rPr>
        <w:t>0</w:t>
      </w:r>
      <w:r>
        <w:rPr>
          <w:rFonts w:hint="eastAsia" w:ascii="仿宋" w:hAnsi="仿宋" w:eastAsia="仿宋" w:cs="仿宋"/>
          <w:sz w:val="32"/>
          <w:szCs w:val="32"/>
        </w:rPr>
        <w:t>辆、金额</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万元，主要用于</w:t>
      </w:r>
      <w:r>
        <w:rPr>
          <w:rFonts w:hint="eastAsia" w:ascii="仿宋" w:hAnsi="仿宋" w:eastAsia="仿宋" w:cs="仿宋"/>
          <w:sz w:val="32"/>
          <w:szCs w:val="32"/>
          <w:lang w:eastAsia="zh-CN"/>
        </w:rPr>
        <w:t>无</w:t>
      </w:r>
      <w:r>
        <w:rPr>
          <w:rFonts w:hint="eastAsia" w:ascii="仿宋" w:hAnsi="仿宋" w:eastAsia="仿宋" w:cs="仿宋"/>
          <w:sz w:val="32"/>
          <w:szCs w:val="32"/>
        </w:rPr>
        <w:t>。截至202</w:t>
      </w:r>
      <w:r>
        <w:rPr>
          <w:rFonts w:hint="eastAsia" w:ascii="仿宋" w:hAnsi="仿宋" w:eastAsia="仿宋" w:cs="仿宋"/>
          <w:sz w:val="32"/>
          <w:szCs w:val="32"/>
          <w:lang w:val="en-US" w:eastAsia="zh-CN"/>
        </w:rPr>
        <w:t>1</w:t>
      </w:r>
      <w:r>
        <w:rPr>
          <w:rFonts w:hint="eastAsia" w:ascii="仿宋" w:hAnsi="仿宋" w:eastAsia="仿宋" w:cs="仿宋"/>
          <w:sz w:val="32"/>
          <w:szCs w:val="32"/>
        </w:rPr>
        <w:t>年12月底，单位共有公务用车</w:t>
      </w:r>
      <w:r>
        <w:rPr>
          <w:rFonts w:hint="eastAsia" w:ascii="仿宋" w:hAnsi="仿宋" w:eastAsia="仿宋" w:cs="仿宋"/>
          <w:sz w:val="32"/>
          <w:szCs w:val="32"/>
          <w:lang w:val="en-US" w:eastAsia="zh-CN"/>
        </w:rPr>
        <w:t>1</w:t>
      </w:r>
      <w:r>
        <w:rPr>
          <w:rFonts w:hint="eastAsia" w:ascii="仿宋" w:hAnsi="仿宋" w:eastAsia="仿宋" w:cs="仿宋"/>
          <w:sz w:val="32"/>
          <w:szCs w:val="32"/>
        </w:rPr>
        <w:t>辆，其中：轿车</w:t>
      </w:r>
      <w:r>
        <w:rPr>
          <w:rFonts w:hint="eastAsia" w:ascii="仿宋" w:hAnsi="仿宋" w:eastAsia="仿宋" w:cs="仿宋"/>
          <w:sz w:val="32"/>
          <w:szCs w:val="32"/>
          <w:lang w:val="en-US" w:eastAsia="zh-CN"/>
        </w:rPr>
        <w:t>0</w:t>
      </w:r>
      <w:r>
        <w:rPr>
          <w:rFonts w:hint="eastAsia" w:ascii="仿宋" w:hAnsi="仿宋" w:eastAsia="仿宋" w:cs="仿宋"/>
          <w:sz w:val="32"/>
          <w:szCs w:val="32"/>
        </w:rPr>
        <w:t>辆、越野车</w:t>
      </w:r>
      <w:r>
        <w:rPr>
          <w:rFonts w:hint="eastAsia" w:ascii="仿宋" w:hAnsi="仿宋" w:eastAsia="仿宋" w:cs="仿宋"/>
          <w:sz w:val="32"/>
          <w:szCs w:val="32"/>
          <w:lang w:val="en-US" w:eastAsia="zh-CN"/>
        </w:rPr>
        <w:t>1</w:t>
      </w:r>
      <w:r>
        <w:rPr>
          <w:rFonts w:hint="eastAsia" w:ascii="仿宋" w:hAnsi="仿宋" w:eastAsia="仿宋" w:cs="仿宋"/>
          <w:sz w:val="32"/>
          <w:szCs w:val="32"/>
        </w:rPr>
        <w:t>辆、载客汽车</w:t>
      </w:r>
      <w:r>
        <w:rPr>
          <w:rFonts w:hint="eastAsia" w:ascii="仿宋" w:hAnsi="仿宋" w:eastAsia="仿宋" w:cs="仿宋"/>
          <w:sz w:val="32"/>
          <w:szCs w:val="32"/>
          <w:lang w:val="en-US" w:eastAsia="zh-CN"/>
        </w:rPr>
        <w:t>0</w:t>
      </w:r>
      <w:r>
        <w:rPr>
          <w:rFonts w:hint="eastAsia" w:ascii="仿宋" w:hAnsi="仿宋" w:eastAsia="仿宋" w:cs="仿宋"/>
          <w:sz w:val="32"/>
          <w:szCs w:val="32"/>
        </w:rPr>
        <w:t>辆。</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公务用车运行维护费支出</w:t>
      </w:r>
      <w:r>
        <w:rPr>
          <w:rFonts w:hint="eastAsia" w:ascii="仿宋" w:hAnsi="仿宋" w:eastAsia="仿宋" w:cs="仿宋"/>
          <w:sz w:val="32"/>
          <w:szCs w:val="32"/>
          <w:lang w:val="en-US" w:eastAsia="zh-CN"/>
        </w:rPr>
        <w:t>16.8</w:t>
      </w:r>
      <w:r>
        <w:rPr>
          <w:rFonts w:hint="eastAsia" w:ascii="仿宋" w:hAnsi="仿宋" w:eastAsia="仿宋" w:cs="仿宋"/>
          <w:sz w:val="32"/>
          <w:szCs w:val="32"/>
        </w:rPr>
        <w:t>万元。主要用于</w:t>
      </w:r>
      <w:r>
        <w:rPr>
          <w:rFonts w:hint="eastAsia" w:ascii="仿宋" w:hAnsi="仿宋" w:eastAsia="仿宋" w:cs="仿宋"/>
          <w:sz w:val="32"/>
          <w:szCs w:val="32"/>
          <w:lang w:eastAsia="zh-CN"/>
        </w:rPr>
        <w:t>办理公务、处理突发事件、应急保障</w:t>
      </w:r>
      <w:r>
        <w:rPr>
          <w:rFonts w:hint="eastAsia" w:ascii="仿宋" w:hAnsi="仿宋" w:eastAsia="仿宋" w:cs="仿宋"/>
          <w:sz w:val="32"/>
          <w:szCs w:val="32"/>
        </w:rPr>
        <w:t>（具体工作）等所需的公务用车燃料费、维修费、过路过桥费、保险费等支出。</w:t>
      </w:r>
    </w:p>
    <w:p>
      <w:pPr>
        <w:spacing w:line="540" w:lineRule="exact"/>
        <w:ind w:firstLine="642" w:firstLineChars="200"/>
        <w:rPr>
          <w:rFonts w:hint="eastAsia" w:ascii="仿宋" w:hAnsi="仿宋" w:eastAsia="仿宋" w:cs="仿宋"/>
          <w:sz w:val="32"/>
          <w:szCs w:val="32"/>
        </w:rPr>
      </w:pPr>
      <w:r>
        <w:rPr>
          <w:rFonts w:hint="eastAsia" w:ascii="仿宋" w:hAnsi="仿宋" w:eastAsia="仿宋" w:cs="仿宋"/>
          <w:b/>
          <w:sz w:val="32"/>
          <w:szCs w:val="32"/>
          <w:lang w:val="en-US" w:eastAsia="zh-CN"/>
        </w:rPr>
        <w:t>2</w:t>
      </w:r>
      <w:r>
        <w:rPr>
          <w:rFonts w:hint="eastAsia" w:ascii="仿宋" w:hAnsi="仿宋" w:eastAsia="仿宋" w:cs="仿宋"/>
          <w:b/>
          <w:sz w:val="32"/>
          <w:szCs w:val="32"/>
        </w:rPr>
        <w:t>.公务接待费支出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万元，完成预算</w:t>
      </w:r>
      <w:r>
        <w:rPr>
          <w:rFonts w:hint="eastAsia" w:ascii="仿宋" w:hAnsi="仿宋" w:eastAsia="仿宋" w:cs="仿宋"/>
          <w:sz w:val="32"/>
          <w:szCs w:val="32"/>
          <w:lang w:val="en-US" w:eastAsia="zh-CN"/>
        </w:rPr>
        <w:t>0</w:t>
      </w:r>
      <w:r>
        <w:rPr>
          <w:rFonts w:hint="eastAsia" w:ascii="仿宋" w:hAnsi="仿宋" w:eastAsia="仿宋" w:cs="仿宋"/>
          <w:sz w:val="32"/>
          <w:szCs w:val="32"/>
        </w:rPr>
        <w:t>%。公务接待费支出决算比20</w:t>
      </w:r>
      <w:r>
        <w:rPr>
          <w:rFonts w:hint="eastAsia" w:ascii="仿宋" w:hAnsi="仿宋" w:eastAsia="仿宋" w:cs="仿宋"/>
          <w:sz w:val="32"/>
          <w:szCs w:val="32"/>
          <w:lang w:val="en-US" w:eastAsia="zh-CN"/>
        </w:rPr>
        <w:t>20</w:t>
      </w:r>
      <w:r>
        <w:rPr>
          <w:rFonts w:hint="eastAsia" w:ascii="仿宋" w:hAnsi="仿宋" w:eastAsia="仿宋" w:cs="仿宋"/>
          <w:sz w:val="32"/>
          <w:szCs w:val="32"/>
        </w:rPr>
        <w:t>年0.33万元</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0.33</w:t>
      </w:r>
      <w:r>
        <w:rPr>
          <w:rFonts w:hint="eastAsia" w:ascii="仿宋" w:hAnsi="仿宋" w:eastAsia="仿宋" w:cs="仿宋"/>
          <w:sz w:val="32"/>
          <w:szCs w:val="32"/>
        </w:rPr>
        <w:t>万元，</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100</w:t>
      </w:r>
      <w:r>
        <w:rPr>
          <w:rFonts w:hint="eastAsia" w:ascii="仿宋" w:hAnsi="仿宋" w:eastAsia="仿宋" w:cs="仿宋"/>
          <w:sz w:val="32"/>
          <w:szCs w:val="32"/>
        </w:rPr>
        <w:t>%。其中：国内公务接待支出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万元，主要用于</w:t>
      </w:r>
      <w:r>
        <w:rPr>
          <w:rFonts w:hint="eastAsia" w:ascii="仿宋" w:hAnsi="仿宋" w:eastAsia="仿宋" w:cs="仿宋"/>
          <w:sz w:val="32"/>
          <w:szCs w:val="32"/>
          <w:lang w:eastAsia="zh-CN"/>
        </w:rPr>
        <w:t>上级部门</w:t>
      </w:r>
      <w:r>
        <w:rPr>
          <w:rFonts w:hint="eastAsia" w:ascii="仿宋" w:hAnsi="仿宋" w:eastAsia="仿宋" w:cs="仿宋"/>
          <w:sz w:val="32"/>
          <w:szCs w:val="32"/>
        </w:rPr>
        <w:t>(执行公务、开展业务活动开支的交通费、住宿费、用餐费等)。国</w:t>
      </w:r>
      <w:r>
        <w:rPr>
          <w:rFonts w:hint="eastAsia" w:ascii="仿宋" w:hAnsi="仿宋" w:eastAsia="仿宋" w:cs="仿宋"/>
          <w:sz w:val="32"/>
          <w:szCs w:val="32"/>
          <w:highlight w:val="none"/>
        </w:rPr>
        <w:t>内公务接待</w:t>
      </w:r>
      <w:r>
        <w:rPr>
          <w:rFonts w:hint="eastAsia" w:ascii="仿宋" w:hAnsi="仿宋" w:eastAsia="仿宋" w:cs="仿宋"/>
          <w:sz w:val="32"/>
          <w:szCs w:val="32"/>
          <w:highlight w:val="none"/>
          <w:lang w:val="en-US" w:eastAsia="zh-CN"/>
        </w:rPr>
        <w:t>0</w:t>
      </w:r>
      <w:r>
        <w:rPr>
          <w:rFonts w:hint="eastAsia" w:ascii="仿宋" w:hAnsi="仿宋" w:eastAsia="仿宋" w:cs="仿宋"/>
          <w:sz w:val="32"/>
          <w:szCs w:val="32"/>
          <w:highlight w:val="none"/>
        </w:rPr>
        <w:t>批次，</w:t>
      </w:r>
      <w:r>
        <w:rPr>
          <w:rFonts w:hint="eastAsia" w:ascii="仿宋" w:hAnsi="仿宋" w:eastAsia="仿宋" w:cs="仿宋"/>
          <w:sz w:val="32"/>
          <w:szCs w:val="32"/>
          <w:highlight w:val="none"/>
          <w:lang w:val="en-US" w:eastAsia="zh-CN"/>
        </w:rPr>
        <w:t>0</w:t>
      </w:r>
      <w:r>
        <w:rPr>
          <w:rFonts w:hint="eastAsia" w:ascii="仿宋" w:hAnsi="仿宋" w:eastAsia="仿宋" w:cs="仿宋"/>
          <w:sz w:val="32"/>
          <w:szCs w:val="32"/>
          <w:highlight w:val="none"/>
        </w:rPr>
        <w:t>人次（不包括陪同人员），共计支出</w:t>
      </w:r>
      <w:r>
        <w:rPr>
          <w:rFonts w:hint="eastAsia" w:ascii="仿宋" w:hAnsi="仿宋" w:eastAsia="仿宋" w:cs="仿宋"/>
          <w:sz w:val="32"/>
          <w:szCs w:val="32"/>
          <w:highlight w:val="none"/>
          <w:lang w:val="en-US" w:eastAsia="zh-CN"/>
        </w:rPr>
        <w:t>0</w:t>
      </w:r>
      <w:r>
        <w:rPr>
          <w:rFonts w:hint="eastAsia" w:ascii="仿宋" w:hAnsi="仿宋" w:eastAsia="仿宋" w:cs="仿宋"/>
          <w:sz w:val="32"/>
          <w:szCs w:val="32"/>
          <w:highlight w:val="none"/>
        </w:rPr>
        <w:t>万元。</w:t>
      </w:r>
    </w:p>
    <w:p>
      <w:pPr>
        <w:numPr>
          <w:ilvl w:val="0"/>
          <w:numId w:val="0"/>
        </w:numPr>
      </w:pPr>
    </w:p>
    <w:p>
      <w:pPr>
        <w:pStyle w:val="13"/>
        <w:numPr>
          <w:ilvl w:val="0"/>
          <w:numId w:val="3"/>
        </w:numPr>
        <w:adjustRightInd w:val="0"/>
        <w:snapToGrid w:val="0"/>
        <w:spacing w:line="440" w:lineRule="exact"/>
        <w:ind w:left="420" w:leftChars="200" w:firstLine="0" w:firstLineChars="0"/>
        <w:jc w:val="left"/>
        <w:rPr>
          <w:rFonts w:hint="eastAsia"/>
          <w:b/>
          <w:bCs/>
          <w:sz w:val="32"/>
          <w:szCs w:val="32"/>
        </w:rPr>
      </w:pPr>
      <w:r>
        <w:rPr>
          <w:rFonts w:hint="eastAsia"/>
          <w:b/>
          <w:bCs/>
          <w:sz w:val="32"/>
          <w:szCs w:val="32"/>
        </w:rPr>
        <w:t>政府性基金预算支出决算情况说明</w:t>
      </w:r>
    </w:p>
    <w:p>
      <w:pPr>
        <w:numPr>
          <w:ilvl w:val="0"/>
          <w:numId w:val="0"/>
        </w:numPr>
        <w:ind w:leftChars="200"/>
      </w:pP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年政府性基金预算拨款支出</w:t>
      </w:r>
      <w:r>
        <w:rPr>
          <w:rFonts w:hint="eastAsia" w:ascii="仿宋" w:hAnsi="仿宋" w:eastAsia="仿宋" w:cs="仿宋"/>
          <w:sz w:val="32"/>
          <w:szCs w:val="32"/>
          <w:lang w:val="en-US" w:eastAsia="zh-CN"/>
        </w:rPr>
        <w:t>2178.20</w:t>
      </w:r>
      <w:r>
        <w:rPr>
          <w:rFonts w:hint="eastAsia" w:ascii="仿宋" w:hAnsi="仿宋" w:eastAsia="仿宋" w:cs="仿宋"/>
          <w:sz w:val="32"/>
          <w:szCs w:val="32"/>
        </w:rPr>
        <w:t>万元。</w:t>
      </w:r>
    </w:p>
    <w:p>
      <w:pPr>
        <w:pStyle w:val="13"/>
        <w:numPr>
          <w:ilvl w:val="0"/>
          <w:numId w:val="3"/>
        </w:numPr>
        <w:adjustRightInd w:val="0"/>
        <w:snapToGrid w:val="0"/>
        <w:spacing w:line="440" w:lineRule="exact"/>
        <w:ind w:left="420" w:leftChars="200" w:firstLine="0" w:firstLineChars="0"/>
        <w:jc w:val="left"/>
        <w:rPr>
          <w:rFonts w:hint="eastAsia"/>
          <w:b/>
          <w:bCs/>
          <w:sz w:val="32"/>
          <w:szCs w:val="32"/>
        </w:rPr>
      </w:pPr>
      <w:r>
        <w:rPr>
          <w:rFonts w:hint="eastAsia"/>
          <w:b/>
          <w:bCs/>
          <w:sz w:val="32"/>
          <w:szCs w:val="32"/>
        </w:rPr>
        <w:t>国有资本经营预算支出决算情况说明</w:t>
      </w:r>
    </w:p>
    <w:p>
      <w:pPr>
        <w:numPr>
          <w:ilvl w:val="0"/>
          <w:numId w:val="0"/>
        </w:numPr>
        <w:ind w:leftChars="200"/>
      </w:pP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年国有资本经营预算拨款支出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pStyle w:val="13"/>
        <w:numPr>
          <w:ilvl w:val="0"/>
          <w:numId w:val="3"/>
        </w:numPr>
        <w:adjustRightInd w:val="0"/>
        <w:snapToGrid w:val="0"/>
        <w:spacing w:line="440" w:lineRule="exact"/>
        <w:ind w:left="420" w:leftChars="200" w:firstLine="0" w:firstLineChars="0"/>
        <w:jc w:val="left"/>
        <w:rPr>
          <w:rFonts w:hint="eastAsia"/>
          <w:b/>
          <w:bCs/>
          <w:sz w:val="32"/>
          <w:szCs w:val="32"/>
        </w:rPr>
      </w:pPr>
      <w:r>
        <w:rPr>
          <w:rFonts w:hint="eastAsia"/>
          <w:b/>
          <w:bCs/>
          <w:sz w:val="32"/>
          <w:szCs w:val="32"/>
        </w:rPr>
        <w:t>其他重要事项的情况说明</w:t>
      </w:r>
    </w:p>
    <w:p>
      <w:pPr>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（一）机关运行经费支出情况。</w:t>
      </w:r>
    </w:p>
    <w:p>
      <w:pPr>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w:t>
      </w:r>
      <w:r>
        <w:rPr>
          <w:rFonts w:hint="eastAsia" w:ascii="仿宋" w:hAnsi="仿宋" w:eastAsia="仿宋" w:cs="仿宋"/>
          <w:sz w:val="32"/>
          <w:szCs w:val="32"/>
          <w:lang w:eastAsia="zh-CN"/>
        </w:rPr>
        <w:t>中医院</w:t>
      </w:r>
      <w:r>
        <w:rPr>
          <w:rFonts w:hint="eastAsia" w:ascii="仿宋" w:hAnsi="仿宋" w:eastAsia="仿宋" w:cs="仿宋"/>
          <w:sz w:val="32"/>
          <w:szCs w:val="32"/>
        </w:rPr>
        <w:t>机关运行经费支出</w:t>
      </w:r>
      <w:r>
        <w:rPr>
          <w:rFonts w:hint="eastAsia" w:ascii="仿宋" w:hAnsi="仿宋" w:eastAsia="仿宋" w:cs="仿宋"/>
          <w:sz w:val="32"/>
          <w:szCs w:val="32"/>
          <w:lang w:val="en-US" w:eastAsia="zh-CN"/>
        </w:rPr>
        <w:t>0.03</w:t>
      </w:r>
      <w:r>
        <w:rPr>
          <w:rFonts w:hint="eastAsia" w:ascii="仿宋" w:hAnsi="仿宋" w:eastAsia="仿宋" w:cs="仿宋"/>
          <w:sz w:val="32"/>
          <w:szCs w:val="32"/>
        </w:rPr>
        <w:t>万元，比20</w:t>
      </w:r>
      <w:r>
        <w:rPr>
          <w:rFonts w:hint="eastAsia" w:ascii="仿宋" w:hAnsi="仿宋" w:eastAsia="仿宋" w:cs="仿宋"/>
          <w:sz w:val="32"/>
          <w:szCs w:val="32"/>
          <w:lang w:val="en-US" w:eastAsia="zh-CN"/>
        </w:rPr>
        <w:t>20</w:t>
      </w:r>
      <w:r>
        <w:rPr>
          <w:rFonts w:hint="eastAsia" w:ascii="仿宋" w:hAnsi="仿宋" w:eastAsia="仿宋" w:cs="仿宋"/>
          <w:sz w:val="32"/>
          <w:szCs w:val="32"/>
        </w:rPr>
        <w:t>年</w:t>
      </w:r>
      <w:r>
        <w:rPr>
          <w:rFonts w:hint="eastAsia" w:ascii="仿宋" w:hAnsi="仿宋" w:eastAsia="仿宋" w:cs="仿宋"/>
          <w:sz w:val="32"/>
          <w:szCs w:val="32"/>
          <w:lang w:val="en-US" w:eastAsia="zh-CN"/>
        </w:rPr>
        <w:t>0.18万元</w:t>
      </w:r>
      <w:r>
        <w:rPr>
          <w:rFonts w:hint="eastAsia" w:ascii="仿宋" w:hAnsi="仿宋" w:eastAsia="仿宋" w:cs="仿宋"/>
          <w:sz w:val="32"/>
          <w:szCs w:val="32"/>
          <w:lang w:eastAsia="zh-CN"/>
        </w:rPr>
        <w:t>下降</w:t>
      </w:r>
      <w:r>
        <w:rPr>
          <w:rFonts w:hint="eastAsia" w:ascii="仿宋" w:hAnsi="仿宋" w:eastAsia="仿宋" w:cs="仿宋"/>
          <w:sz w:val="32"/>
          <w:szCs w:val="32"/>
          <w:lang w:val="en-US" w:eastAsia="zh-CN"/>
        </w:rPr>
        <w:t>0.15</w:t>
      </w:r>
      <w:r>
        <w:rPr>
          <w:rFonts w:hint="eastAsia" w:ascii="仿宋" w:hAnsi="仿宋" w:eastAsia="仿宋" w:cs="仿宋"/>
          <w:sz w:val="32"/>
          <w:szCs w:val="32"/>
        </w:rPr>
        <w:t>万元，</w:t>
      </w:r>
      <w:r>
        <w:rPr>
          <w:rFonts w:hint="eastAsia" w:ascii="仿宋" w:hAnsi="仿宋" w:eastAsia="仿宋" w:cs="仿宋"/>
          <w:sz w:val="32"/>
          <w:szCs w:val="32"/>
          <w:lang w:eastAsia="zh-CN"/>
        </w:rPr>
        <w:t>下降</w:t>
      </w:r>
      <w:r>
        <w:rPr>
          <w:rFonts w:hint="eastAsia" w:ascii="仿宋" w:hAnsi="仿宋" w:eastAsia="仿宋" w:cs="仿宋"/>
          <w:sz w:val="32"/>
          <w:szCs w:val="32"/>
          <w:lang w:val="en-US" w:eastAsia="zh-CN"/>
        </w:rPr>
        <w:t>83.33</w:t>
      </w:r>
      <w:r>
        <w:rPr>
          <w:rFonts w:hint="eastAsia" w:ascii="仿宋" w:hAnsi="仿宋" w:eastAsia="仿宋" w:cs="仿宋"/>
          <w:sz w:val="32"/>
          <w:szCs w:val="32"/>
        </w:rPr>
        <w:t>%。主要变动原因是</w:t>
      </w:r>
      <w:r>
        <w:rPr>
          <w:rFonts w:hint="eastAsia" w:ascii="仿宋" w:hAnsi="仿宋" w:eastAsia="仿宋" w:cs="仿宋"/>
          <w:sz w:val="32"/>
          <w:szCs w:val="32"/>
          <w:lang w:eastAsia="zh-CN"/>
        </w:rPr>
        <w:t>减少退休职工公用经费导致。</w:t>
      </w:r>
    </w:p>
    <w:p>
      <w:pPr>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（二）政府采购支出情况。</w:t>
      </w:r>
    </w:p>
    <w:p>
      <w:pPr>
        <w:spacing w:line="560" w:lineRule="exact"/>
        <w:ind w:firstLine="640" w:firstLineChars="200"/>
        <w:contextualSpacing/>
        <w:rPr>
          <w:rFonts w:hint="eastAsia" w:ascii="仿宋" w:hAnsi="仿宋" w:eastAsia="仿宋" w:cs="仿宋"/>
          <w:sz w:val="32"/>
          <w:szCs w:val="32"/>
          <w:highlight w:val="none"/>
        </w:rPr>
      </w:pPr>
      <w:r>
        <w:rPr>
          <w:rFonts w:hint="eastAsia" w:ascii="仿宋" w:hAnsi="仿宋" w:eastAsia="仿宋" w:cs="仿宋"/>
          <w:sz w:val="32"/>
          <w:szCs w:val="32"/>
          <w:highlight w:val="none"/>
        </w:rPr>
        <w:t>202</w:t>
      </w:r>
      <w:r>
        <w:rPr>
          <w:rFonts w:hint="eastAsia" w:ascii="仿宋" w:hAnsi="仿宋" w:eastAsia="仿宋" w:cs="仿宋"/>
          <w:sz w:val="32"/>
          <w:szCs w:val="32"/>
          <w:highlight w:val="none"/>
          <w:lang w:val="en-US" w:eastAsia="zh-CN"/>
        </w:rPr>
        <w:t>1</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eastAsia="zh-CN"/>
        </w:rPr>
        <w:t>中医院</w:t>
      </w:r>
      <w:r>
        <w:rPr>
          <w:rFonts w:hint="eastAsia" w:ascii="仿宋" w:hAnsi="仿宋" w:eastAsia="仿宋" w:cs="仿宋"/>
          <w:sz w:val="32"/>
          <w:szCs w:val="32"/>
          <w:highlight w:val="none"/>
        </w:rPr>
        <w:t>政府采购支出总额</w:t>
      </w:r>
      <w:r>
        <w:rPr>
          <w:rFonts w:hint="eastAsia" w:ascii="仿宋" w:hAnsi="仿宋" w:eastAsia="仿宋" w:cs="仿宋"/>
          <w:sz w:val="32"/>
          <w:szCs w:val="32"/>
          <w:highlight w:val="none"/>
          <w:lang w:val="en-US" w:eastAsia="zh-CN"/>
        </w:rPr>
        <w:t>1415.34</w:t>
      </w:r>
      <w:r>
        <w:rPr>
          <w:rFonts w:hint="eastAsia" w:ascii="仿宋" w:hAnsi="仿宋" w:eastAsia="仿宋" w:cs="仿宋"/>
          <w:sz w:val="32"/>
          <w:szCs w:val="32"/>
          <w:highlight w:val="none"/>
        </w:rPr>
        <w:t>万元，其中：政府采购货物支出</w:t>
      </w:r>
      <w:r>
        <w:rPr>
          <w:rFonts w:hint="eastAsia" w:ascii="仿宋" w:hAnsi="仿宋" w:eastAsia="仿宋" w:cs="仿宋"/>
          <w:sz w:val="32"/>
          <w:szCs w:val="32"/>
          <w:highlight w:val="none"/>
          <w:lang w:val="en-US" w:eastAsia="zh-CN"/>
        </w:rPr>
        <w:t>124.86</w:t>
      </w:r>
      <w:r>
        <w:rPr>
          <w:rFonts w:hint="eastAsia" w:ascii="仿宋" w:hAnsi="仿宋" w:eastAsia="仿宋" w:cs="仿宋"/>
          <w:sz w:val="32"/>
          <w:szCs w:val="32"/>
          <w:highlight w:val="none"/>
        </w:rPr>
        <w:t>万元、政府采购工程支出</w:t>
      </w:r>
      <w:r>
        <w:rPr>
          <w:rFonts w:hint="eastAsia" w:ascii="仿宋" w:hAnsi="仿宋" w:eastAsia="仿宋" w:cs="仿宋"/>
          <w:sz w:val="32"/>
          <w:szCs w:val="32"/>
          <w:highlight w:val="none"/>
          <w:lang w:val="en-US" w:eastAsia="zh-CN"/>
        </w:rPr>
        <w:t>867.70</w:t>
      </w:r>
      <w:r>
        <w:rPr>
          <w:rFonts w:hint="eastAsia" w:ascii="仿宋" w:hAnsi="仿宋" w:eastAsia="仿宋" w:cs="仿宋"/>
          <w:sz w:val="32"/>
          <w:szCs w:val="32"/>
          <w:highlight w:val="none"/>
        </w:rPr>
        <w:t>万元、政府采购服务支出</w:t>
      </w:r>
      <w:r>
        <w:rPr>
          <w:rFonts w:hint="eastAsia" w:ascii="仿宋" w:hAnsi="仿宋" w:eastAsia="仿宋" w:cs="仿宋"/>
          <w:sz w:val="32"/>
          <w:szCs w:val="32"/>
          <w:highlight w:val="none"/>
          <w:lang w:val="en-US" w:eastAsia="zh-CN"/>
        </w:rPr>
        <w:t>422.78</w:t>
      </w:r>
      <w:r>
        <w:rPr>
          <w:rFonts w:hint="eastAsia" w:ascii="仿宋" w:hAnsi="仿宋" w:eastAsia="仿宋" w:cs="仿宋"/>
          <w:sz w:val="32"/>
          <w:szCs w:val="32"/>
          <w:highlight w:val="none"/>
        </w:rPr>
        <w:t>万元。主要用于改建负压病房改造</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病房设施设备配套</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信息化建设</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医疗设备配置、负压120救护车购置、防护物资储备、电力供应系统保障、治未病科室改造、ICU病房改造、综合救治能力提升</w:t>
      </w:r>
      <w:r>
        <w:rPr>
          <w:rFonts w:hint="eastAsia" w:ascii="仿宋" w:hAnsi="仿宋" w:eastAsia="仿宋" w:cs="仿宋"/>
          <w:sz w:val="32"/>
          <w:szCs w:val="32"/>
          <w:highlight w:val="none"/>
          <w:lang w:eastAsia="zh-CN"/>
        </w:rPr>
        <w:t>等工作。</w:t>
      </w:r>
      <w:r>
        <w:rPr>
          <w:rFonts w:hint="eastAsia" w:ascii="仿宋" w:hAnsi="仿宋" w:eastAsia="仿宋" w:cs="仿宋"/>
          <w:sz w:val="32"/>
          <w:szCs w:val="32"/>
          <w:highlight w:val="none"/>
        </w:rPr>
        <w:t>（具体工作）。授予中小企业合同金额</w:t>
      </w:r>
      <w:r>
        <w:rPr>
          <w:rFonts w:hint="eastAsia" w:ascii="仿宋" w:hAnsi="仿宋" w:eastAsia="仿宋" w:cs="仿宋"/>
          <w:sz w:val="32"/>
          <w:szCs w:val="32"/>
          <w:highlight w:val="none"/>
          <w:lang w:val="en-US" w:eastAsia="zh-CN"/>
        </w:rPr>
        <w:t>1325.79</w:t>
      </w:r>
      <w:r>
        <w:rPr>
          <w:rFonts w:hint="eastAsia" w:ascii="仿宋" w:hAnsi="仿宋" w:eastAsia="仿宋" w:cs="仿宋"/>
          <w:sz w:val="32"/>
          <w:szCs w:val="32"/>
          <w:highlight w:val="none"/>
        </w:rPr>
        <w:t>万元，占政府采购支出总额的</w:t>
      </w:r>
      <w:r>
        <w:rPr>
          <w:rFonts w:hint="eastAsia" w:ascii="仿宋" w:hAnsi="仿宋" w:eastAsia="仿宋" w:cs="仿宋"/>
          <w:sz w:val="32"/>
          <w:szCs w:val="32"/>
          <w:highlight w:val="none"/>
          <w:lang w:val="en-US" w:eastAsia="zh-CN"/>
        </w:rPr>
        <w:t>93.67</w:t>
      </w:r>
      <w:r>
        <w:rPr>
          <w:rFonts w:hint="eastAsia" w:ascii="仿宋" w:hAnsi="仿宋" w:eastAsia="仿宋" w:cs="仿宋"/>
          <w:sz w:val="32"/>
          <w:szCs w:val="32"/>
          <w:highlight w:val="none"/>
        </w:rPr>
        <w:t>%，其中：授予小微企业合同金额</w:t>
      </w:r>
      <w:r>
        <w:rPr>
          <w:rFonts w:hint="eastAsia" w:ascii="仿宋" w:hAnsi="仿宋" w:eastAsia="仿宋" w:cs="仿宋"/>
          <w:sz w:val="32"/>
          <w:szCs w:val="32"/>
          <w:highlight w:val="none"/>
          <w:lang w:val="en-US" w:eastAsia="zh-CN"/>
        </w:rPr>
        <w:t>1325.79</w:t>
      </w:r>
      <w:r>
        <w:rPr>
          <w:rFonts w:hint="eastAsia" w:ascii="仿宋" w:hAnsi="仿宋" w:eastAsia="仿宋" w:cs="仿宋"/>
          <w:sz w:val="32"/>
          <w:szCs w:val="32"/>
          <w:highlight w:val="none"/>
        </w:rPr>
        <w:t>万元，占政府采购支出总额的</w:t>
      </w:r>
      <w:r>
        <w:rPr>
          <w:rFonts w:hint="eastAsia" w:ascii="仿宋" w:hAnsi="仿宋" w:eastAsia="仿宋" w:cs="仿宋"/>
          <w:sz w:val="32"/>
          <w:szCs w:val="32"/>
          <w:highlight w:val="none"/>
          <w:lang w:val="en-US" w:eastAsia="zh-CN"/>
        </w:rPr>
        <w:t>93.67</w:t>
      </w:r>
      <w:r>
        <w:rPr>
          <w:rFonts w:hint="eastAsia" w:ascii="仿宋" w:hAnsi="仿宋" w:eastAsia="仿宋" w:cs="仿宋"/>
          <w:sz w:val="32"/>
          <w:szCs w:val="32"/>
          <w:highlight w:val="none"/>
        </w:rPr>
        <w:t>%。</w:t>
      </w:r>
    </w:p>
    <w:p>
      <w:pPr>
        <w:spacing w:line="540" w:lineRule="exact"/>
        <w:ind w:firstLine="640" w:firstLineChars="200"/>
        <w:rPr>
          <w:rFonts w:hint="eastAsia" w:ascii="黑体" w:hAnsi="黑体" w:eastAsia="黑体" w:cs="黑体"/>
          <w:sz w:val="32"/>
          <w:szCs w:val="32"/>
          <w:highlight w:val="none"/>
        </w:rPr>
      </w:pPr>
      <w:r>
        <w:rPr>
          <w:rFonts w:hint="eastAsia" w:ascii="黑体" w:hAnsi="黑体" w:eastAsia="黑体" w:cs="黑体"/>
          <w:sz w:val="32"/>
          <w:szCs w:val="32"/>
          <w:highlight w:val="none"/>
        </w:rPr>
        <w:t>（三）国有资产占有使用情况。</w:t>
      </w:r>
    </w:p>
    <w:p>
      <w:pPr>
        <w:spacing w:line="54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截至202</w:t>
      </w:r>
      <w:r>
        <w:rPr>
          <w:rFonts w:hint="eastAsia" w:ascii="仿宋" w:hAnsi="仿宋" w:eastAsia="仿宋" w:cs="仿宋"/>
          <w:sz w:val="32"/>
          <w:szCs w:val="32"/>
          <w:highlight w:val="none"/>
          <w:lang w:val="en-US" w:eastAsia="zh-CN"/>
        </w:rPr>
        <w:t>1</w:t>
      </w:r>
      <w:r>
        <w:rPr>
          <w:rFonts w:hint="eastAsia" w:ascii="仿宋" w:hAnsi="仿宋" w:eastAsia="仿宋" w:cs="仿宋"/>
          <w:sz w:val="32"/>
          <w:szCs w:val="32"/>
          <w:highlight w:val="none"/>
        </w:rPr>
        <w:t>年12月31日，</w:t>
      </w:r>
      <w:r>
        <w:rPr>
          <w:rFonts w:hint="eastAsia" w:ascii="仿宋" w:hAnsi="仿宋" w:eastAsia="仿宋" w:cs="仿宋"/>
          <w:sz w:val="32"/>
          <w:szCs w:val="32"/>
          <w:highlight w:val="none"/>
          <w:lang w:eastAsia="zh-CN"/>
        </w:rPr>
        <w:t>中医院</w:t>
      </w:r>
      <w:r>
        <w:rPr>
          <w:rFonts w:hint="eastAsia" w:ascii="仿宋" w:hAnsi="仿宋" w:eastAsia="仿宋" w:cs="仿宋"/>
          <w:sz w:val="32"/>
          <w:szCs w:val="32"/>
          <w:highlight w:val="none"/>
        </w:rPr>
        <w:t>共有车辆</w:t>
      </w: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辆，其中：主要领导干部用车</w:t>
      </w:r>
      <w:r>
        <w:rPr>
          <w:rFonts w:hint="eastAsia" w:ascii="仿宋" w:hAnsi="仿宋" w:eastAsia="仿宋" w:cs="仿宋"/>
          <w:sz w:val="32"/>
          <w:szCs w:val="32"/>
          <w:highlight w:val="none"/>
          <w:lang w:val="en-US" w:eastAsia="zh-CN"/>
        </w:rPr>
        <w:t>0</w:t>
      </w:r>
      <w:r>
        <w:rPr>
          <w:rFonts w:hint="eastAsia" w:ascii="仿宋" w:hAnsi="仿宋" w:eastAsia="仿宋" w:cs="仿宋"/>
          <w:sz w:val="32"/>
          <w:szCs w:val="32"/>
          <w:highlight w:val="none"/>
        </w:rPr>
        <w:t>辆、机要通信用车</w:t>
      </w:r>
      <w:r>
        <w:rPr>
          <w:rFonts w:hint="eastAsia" w:ascii="仿宋" w:hAnsi="仿宋" w:eastAsia="仿宋" w:cs="仿宋"/>
          <w:sz w:val="32"/>
          <w:szCs w:val="32"/>
          <w:highlight w:val="none"/>
          <w:lang w:val="en-US" w:eastAsia="zh-CN"/>
        </w:rPr>
        <w:t>0</w:t>
      </w:r>
      <w:r>
        <w:rPr>
          <w:rFonts w:hint="eastAsia" w:ascii="仿宋" w:hAnsi="仿宋" w:eastAsia="仿宋" w:cs="仿宋"/>
          <w:sz w:val="32"/>
          <w:szCs w:val="32"/>
          <w:highlight w:val="none"/>
        </w:rPr>
        <w:t>辆、应急保障用车</w:t>
      </w: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辆、其他用车</w:t>
      </w:r>
      <w:r>
        <w:rPr>
          <w:rFonts w:hint="eastAsia" w:ascii="仿宋" w:hAnsi="仿宋" w:eastAsia="仿宋" w:cs="仿宋"/>
          <w:sz w:val="32"/>
          <w:szCs w:val="32"/>
          <w:highlight w:val="none"/>
          <w:lang w:val="en-US" w:eastAsia="zh-CN"/>
        </w:rPr>
        <w:t>1</w:t>
      </w:r>
      <w:r>
        <w:rPr>
          <w:rFonts w:hint="eastAsia" w:ascii="仿宋" w:hAnsi="仿宋" w:eastAsia="仿宋" w:cs="仿宋"/>
          <w:sz w:val="32"/>
          <w:szCs w:val="32"/>
          <w:highlight w:val="none"/>
        </w:rPr>
        <w:t>辆</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其他用车主要是用于</w:t>
      </w:r>
      <w:r>
        <w:rPr>
          <w:rFonts w:hint="eastAsia" w:ascii="仿宋" w:hAnsi="仿宋" w:eastAsia="仿宋" w:cs="仿宋"/>
          <w:color w:val="000000"/>
          <w:sz w:val="32"/>
          <w:szCs w:val="32"/>
          <w:highlight w:val="none"/>
        </w:rPr>
        <w:t>单位日常工作出差。</w:t>
      </w:r>
      <w:r>
        <w:rPr>
          <w:rFonts w:hint="eastAsia" w:ascii="仿宋" w:hAnsi="仿宋" w:eastAsia="仿宋" w:cs="仿宋"/>
          <w:sz w:val="32"/>
          <w:szCs w:val="32"/>
          <w:highlight w:val="none"/>
        </w:rPr>
        <w:t>单价50万元以上通用设备</w:t>
      </w:r>
      <w:r>
        <w:rPr>
          <w:rFonts w:hint="eastAsia" w:ascii="仿宋" w:hAnsi="仿宋" w:eastAsia="仿宋" w:cs="仿宋"/>
          <w:sz w:val="32"/>
          <w:szCs w:val="32"/>
          <w:highlight w:val="none"/>
          <w:lang w:val="en-US" w:eastAsia="zh-CN"/>
        </w:rPr>
        <w:t>1</w:t>
      </w:r>
      <w:r>
        <w:rPr>
          <w:rFonts w:hint="eastAsia" w:ascii="仿宋" w:hAnsi="仿宋" w:eastAsia="仿宋" w:cs="仿宋"/>
          <w:sz w:val="32"/>
          <w:szCs w:val="32"/>
          <w:highlight w:val="none"/>
        </w:rPr>
        <w:t>台（套），单价100万元以上专用设备</w:t>
      </w: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台（套）。</w:t>
      </w:r>
    </w:p>
    <w:p>
      <w:pPr>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（四）预算绩效管理情况。</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根据预算绩效管理要求，本部门（单位）在年初预算编制阶段，组织对</w:t>
      </w:r>
      <w:r>
        <w:rPr>
          <w:rFonts w:hint="eastAsia" w:ascii="仿宋" w:hAnsi="仿宋" w:eastAsia="仿宋" w:cs="仿宋"/>
          <w:b/>
          <w:sz w:val="32"/>
          <w:szCs w:val="32"/>
          <w:highlight w:val="none"/>
        </w:rPr>
        <w:t>传</w:t>
      </w:r>
      <w:r>
        <w:rPr>
          <w:rFonts w:hint="eastAsia" w:ascii="仿宋" w:hAnsi="仿宋" w:eastAsia="仿宋" w:cs="仿宋"/>
          <w:sz w:val="32"/>
          <w:szCs w:val="32"/>
          <w:highlight w:val="none"/>
        </w:rPr>
        <w:t>染病防控救治能力提升及中医药传承建设项目</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医疗机构事业发展基金项目</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医疗服务与保障能力提升中央补助资金</w:t>
      </w:r>
      <w:r>
        <w:rPr>
          <w:rFonts w:hint="eastAsia" w:ascii="仿宋" w:hAnsi="仿宋" w:eastAsia="仿宋" w:cs="仿宋"/>
          <w:sz w:val="32"/>
          <w:szCs w:val="32"/>
          <w:highlight w:val="none"/>
          <w:lang w:eastAsia="zh-CN"/>
        </w:rPr>
        <w:t>项目</w:t>
      </w:r>
      <w:r>
        <w:rPr>
          <w:rFonts w:hint="eastAsia" w:ascii="仿宋" w:hAnsi="仿宋" w:eastAsia="仿宋" w:cs="仿宋"/>
          <w:sz w:val="32"/>
          <w:szCs w:val="32"/>
          <w:highlight w:val="none"/>
        </w:rPr>
        <w:t>开展了预算事前绩效评估，对</w:t>
      </w: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个项目编制了绩效目标，预算执行</w:t>
      </w:r>
      <w:r>
        <w:rPr>
          <w:rFonts w:hint="eastAsia" w:ascii="仿宋" w:hAnsi="仿宋" w:eastAsia="仿宋" w:cs="仿宋"/>
          <w:sz w:val="32"/>
          <w:szCs w:val="32"/>
        </w:rPr>
        <w:t>过程中，选取</w:t>
      </w:r>
      <w:r>
        <w:rPr>
          <w:rFonts w:hint="eastAsia" w:ascii="仿宋" w:hAnsi="仿宋" w:eastAsia="仿宋" w:cs="仿宋"/>
          <w:sz w:val="32"/>
          <w:szCs w:val="32"/>
          <w:lang w:val="en-US" w:eastAsia="zh-CN"/>
        </w:rPr>
        <w:t>3</w:t>
      </w:r>
      <w:r>
        <w:rPr>
          <w:rFonts w:hint="eastAsia" w:ascii="仿宋" w:hAnsi="仿宋" w:eastAsia="仿宋" w:cs="仿宋"/>
          <w:sz w:val="32"/>
          <w:szCs w:val="32"/>
        </w:rPr>
        <w:t>个项目开展绩效监控，年终执行完毕后，对</w:t>
      </w:r>
      <w:r>
        <w:rPr>
          <w:rFonts w:hint="eastAsia" w:ascii="仿宋" w:hAnsi="仿宋" w:eastAsia="仿宋" w:cs="仿宋"/>
          <w:sz w:val="32"/>
          <w:szCs w:val="32"/>
          <w:lang w:val="en-US" w:eastAsia="zh-CN"/>
        </w:rPr>
        <w:t>3</w:t>
      </w:r>
      <w:r>
        <w:rPr>
          <w:rFonts w:hint="eastAsia" w:ascii="仿宋" w:hAnsi="仿宋" w:eastAsia="仿宋" w:cs="仿宋"/>
          <w:sz w:val="32"/>
          <w:szCs w:val="32"/>
        </w:rPr>
        <w:t>个项目开展了绩效目标完成情况自评。</w:t>
      </w:r>
    </w:p>
    <w:p>
      <w:pPr>
        <w:pStyle w:val="6"/>
        <w:spacing w:before="93"/>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eastAsia="仿宋_GB2312"/>
          <w:sz w:val="32"/>
          <w:szCs w:val="32"/>
        </w:rPr>
        <w:t>2021年特定目标类部门预算项目绩效目标自评表见附件（第四部分）</w:t>
      </w:r>
      <w:r>
        <w:rPr>
          <w:rFonts w:hint="eastAsia" w:ascii="仿宋_GB2312" w:hAnsi="仿宋_GB2312" w:eastAsia="仿宋_GB2312" w:cs="仿宋_GB2312"/>
          <w:sz w:val="32"/>
          <w:szCs w:val="32"/>
        </w:rPr>
        <w:t>。</w:t>
      </w:r>
    </w:p>
    <w:p>
      <w:pPr>
        <w:spacing w:line="560" w:lineRule="exact"/>
        <w:ind w:firstLine="640" w:firstLineChars="200"/>
        <w:contextualSpacing/>
        <w:rPr>
          <w:rFonts w:eastAsia="仿宋_GB2312"/>
          <w:sz w:val="32"/>
          <w:szCs w:val="32"/>
        </w:rPr>
      </w:pPr>
      <w:r>
        <w:rPr>
          <w:rFonts w:hint="eastAsia" w:eastAsia="仿宋_GB2312"/>
          <w:sz w:val="32"/>
          <w:szCs w:val="32"/>
          <w:lang w:val="en-US" w:eastAsia="zh-CN"/>
        </w:rPr>
        <w:t>1.</w:t>
      </w:r>
      <w:r>
        <w:rPr>
          <w:rFonts w:hint="eastAsia" w:ascii="仿宋" w:hAnsi="仿宋" w:eastAsia="仿宋" w:cs="仿宋"/>
          <w:b/>
          <w:sz w:val="32"/>
          <w:szCs w:val="32"/>
          <w:highlight w:val="none"/>
        </w:rPr>
        <w:t>传</w:t>
      </w:r>
      <w:r>
        <w:rPr>
          <w:rFonts w:hint="eastAsia" w:ascii="仿宋" w:hAnsi="仿宋" w:eastAsia="仿宋" w:cs="仿宋"/>
          <w:sz w:val="32"/>
          <w:szCs w:val="32"/>
          <w:highlight w:val="none"/>
        </w:rPr>
        <w:t>染病防控救治能力提升及中医药传承建设项目</w:t>
      </w:r>
      <w:r>
        <w:rPr>
          <w:rFonts w:hint="eastAsia" w:ascii="仿宋" w:hAnsi="仿宋" w:eastAsia="仿宋" w:cs="仿宋"/>
          <w:sz w:val="32"/>
          <w:szCs w:val="32"/>
          <w:highlight w:val="none"/>
          <w:lang w:eastAsia="zh-CN"/>
        </w:rPr>
        <w:t>完成情况。</w:t>
      </w:r>
      <w:r>
        <w:rPr>
          <w:rFonts w:hint="eastAsia" w:eastAsia="仿宋_GB2312"/>
          <w:sz w:val="32"/>
          <w:szCs w:val="32"/>
        </w:rPr>
        <w:t>完成仪器设备采购项目年度实际完成数100%，完成率100%；基础建设部分采购项目，实际完成数100%，完成率100%；建设采购项目信息化</w:t>
      </w:r>
      <w:r>
        <w:rPr>
          <w:rFonts w:hint="eastAsia" w:eastAsia="仿宋_GB2312"/>
          <w:sz w:val="32"/>
          <w:szCs w:val="32"/>
          <w:lang w:eastAsia="zh-CN"/>
        </w:rPr>
        <w:t>，</w:t>
      </w:r>
      <w:r>
        <w:rPr>
          <w:rFonts w:hint="eastAsia" w:eastAsia="仿宋_GB2312"/>
          <w:sz w:val="32"/>
          <w:szCs w:val="32"/>
        </w:rPr>
        <w:t>实际完成数100%，完成率100%；核酸实验室建设采购项目，实际完成数100%，完成率100%，促进了盐边地区医疗卫生事业进步，改善了地区医疗环境，能够满足当地居民日益增长的医疗服务需求，促进地方经济社会和谐可持续发展。项目资金按要求及时拨付，按时完成半年、年终绩效考核 ，开展绩效评价。切实做好项目建设的前期工作。开支合理全面经费审核和控制成本核算。</w:t>
      </w:r>
    </w:p>
    <w:p>
      <w:pPr>
        <w:spacing w:line="540" w:lineRule="exact"/>
        <w:ind w:firstLine="640" w:firstLineChars="200"/>
        <w:rPr>
          <w:rFonts w:eastAsia="仿宋_GB2312"/>
          <w:sz w:val="32"/>
          <w:szCs w:val="32"/>
        </w:rPr>
      </w:pPr>
      <w:r>
        <w:rPr>
          <w:rFonts w:hint="eastAsia" w:hAnsi="仿宋_GB2312" w:cs="仿宋_GB2312"/>
          <w:sz w:val="32"/>
          <w:szCs w:val="32"/>
          <w:lang w:val="en-US" w:eastAsia="zh-CN"/>
        </w:rPr>
        <w:t>2.</w:t>
      </w:r>
      <w:r>
        <w:rPr>
          <w:rFonts w:hint="eastAsia" w:eastAsia="仿宋_GB2312"/>
          <w:sz w:val="32"/>
          <w:szCs w:val="32"/>
        </w:rPr>
        <w:t>药品材料采购，实际完成数100%，完成率100%；公用经费，实际完成数100%，完成率100%；人员经费实际完成数100%，完成率100%；。</w:t>
      </w:r>
      <w:r>
        <w:rPr>
          <w:rFonts w:eastAsia="仿宋_GB2312"/>
          <w:sz w:val="32"/>
          <w:szCs w:val="32"/>
        </w:rPr>
        <w:t>为人民群众提供基本的医疗保障,督促医院规范服务行为,保证医院提供安全、有效、价格合理的医</w:t>
      </w:r>
      <w:r>
        <w:rPr>
          <w:rFonts w:hint="eastAsia" w:eastAsia="仿宋_GB2312"/>
          <w:sz w:val="32"/>
          <w:szCs w:val="32"/>
        </w:rPr>
        <w:t>疗</w:t>
      </w:r>
      <w:r>
        <w:rPr>
          <w:rFonts w:eastAsia="仿宋_GB2312"/>
          <w:sz w:val="32"/>
          <w:szCs w:val="32"/>
        </w:rPr>
        <w:t>服务。对医院监</w:t>
      </w:r>
      <w:r>
        <w:rPr>
          <w:rFonts w:hint="eastAsia" w:eastAsia="仿宋_GB2312"/>
          <w:sz w:val="32"/>
          <w:szCs w:val="32"/>
        </w:rPr>
        <w:t>管的</w:t>
      </w:r>
      <w:r>
        <w:rPr>
          <w:rFonts w:eastAsia="仿宋_GB2312"/>
          <w:sz w:val="32"/>
          <w:szCs w:val="32"/>
        </w:rPr>
        <w:t>关键环</w:t>
      </w:r>
      <w:r>
        <w:rPr>
          <w:rFonts w:hint="eastAsia" w:eastAsia="仿宋_GB2312"/>
          <w:sz w:val="32"/>
          <w:szCs w:val="32"/>
        </w:rPr>
        <w:t>节是</w:t>
      </w:r>
      <w:r>
        <w:rPr>
          <w:rFonts w:eastAsia="仿宋_GB2312"/>
          <w:sz w:val="32"/>
          <w:szCs w:val="32"/>
        </w:rPr>
        <w:t>财务收支管理,对收</w:t>
      </w:r>
      <w:r>
        <w:rPr>
          <w:rFonts w:hint="eastAsia" w:eastAsia="仿宋_GB2312"/>
          <w:sz w:val="32"/>
          <w:szCs w:val="32"/>
        </w:rPr>
        <w:t>支</w:t>
      </w:r>
      <w:r>
        <w:rPr>
          <w:rFonts w:eastAsia="仿宋_GB2312"/>
          <w:sz w:val="32"/>
          <w:szCs w:val="32"/>
        </w:rPr>
        <w:t>监</w:t>
      </w:r>
      <w:r>
        <w:rPr>
          <w:rFonts w:hint="eastAsia" w:eastAsia="仿宋_GB2312"/>
          <w:sz w:val="32"/>
          <w:szCs w:val="32"/>
        </w:rPr>
        <w:t>管</w:t>
      </w:r>
      <w:r>
        <w:rPr>
          <w:rFonts w:eastAsia="仿宋_GB2312"/>
          <w:sz w:val="32"/>
          <w:szCs w:val="32"/>
        </w:rPr>
        <w:t>的关键措施是收支两条线管理</w:t>
      </w:r>
      <w:r>
        <w:rPr>
          <w:rFonts w:hint="eastAsia" w:eastAsia="仿宋_GB2312"/>
          <w:sz w:val="32"/>
          <w:szCs w:val="32"/>
        </w:rPr>
        <w:t>。促进了盐边地区医疗卫生事业进步，改善了地区医疗环境，能够满足当地居民日益增长的医疗服务需求，促进地方经济社会和谐可持续发展。</w:t>
      </w:r>
      <w:r>
        <w:rPr>
          <w:rFonts w:eastAsia="仿宋_GB2312"/>
          <w:sz w:val="32"/>
          <w:szCs w:val="32"/>
        </w:rPr>
        <w:t>保护医护人员实际利益和工作积极性出发,合理制定医护人员工资收入</w:t>
      </w:r>
      <w:r>
        <w:rPr>
          <w:rFonts w:hint="eastAsia" w:eastAsia="仿宋_GB2312"/>
          <w:sz w:val="32"/>
          <w:szCs w:val="32"/>
        </w:rPr>
        <w:t>。项目资金按要求及时拨付，按时完成半年、年终绩效考核 ，开展绩效评价。切实做好项目资金。开支合理全面经费审核和控制成本核算。</w:t>
      </w:r>
    </w:p>
    <w:p>
      <w:pPr>
        <w:spacing w:line="540" w:lineRule="exact"/>
        <w:ind w:firstLine="640" w:firstLineChars="200"/>
        <w:rPr>
          <w:rFonts w:eastAsia="楷体_GB2312"/>
          <w:sz w:val="32"/>
          <w:szCs w:val="32"/>
        </w:rPr>
      </w:pPr>
      <w:r>
        <w:rPr>
          <w:rFonts w:hint="eastAsia" w:hAnsi="仿宋_GB2312" w:cs="仿宋_GB2312"/>
          <w:sz w:val="32"/>
          <w:szCs w:val="32"/>
          <w:lang w:val="en-US" w:eastAsia="zh-CN"/>
        </w:rPr>
        <w:t>3.</w:t>
      </w:r>
      <w:r>
        <w:rPr>
          <w:rFonts w:hint="eastAsia" w:eastAsia="仿宋_GB2312"/>
          <w:sz w:val="32"/>
          <w:szCs w:val="32"/>
        </w:rPr>
        <w:t>因受新冠疫情影响，本年度公立医院改革资金实际使用20.48万元，完成率20%</w:t>
      </w:r>
      <w:r>
        <w:rPr>
          <w:rFonts w:hint="eastAsia" w:eastAsia="楷体_GB2312"/>
          <w:sz w:val="32"/>
          <w:szCs w:val="32"/>
        </w:rPr>
        <w:t>。</w:t>
      </w:r>
      <w:r>
        <w:rPr>
          <w:rFonts w:hint="eastAsia" w:eastAsia="仿宋_GB2312"/>
          <w:sz w:val="32"/>
          <w:szCs w:val="32"/>
        </w:rPr>
        <w:t>项目实施后，进一步完善医院医疗条件，促进医疗服务业发展为满足广大人民群众的就医需求，提高人民群众的生命质量，稳定社会起到积极的作用。</w:t>
      </w:r>
    </w:p>
    <w:p>
      <w:pPr>
        <w:pStyle w:val="6"/>
        <w:spacing w:before="93"/>
        <w:ind w:firstLine="640" w:firstLineChars="200"/>
        <w:rPr>
          <w:rFonts w:hint="default" w:ascii="仿宋_GB2312" w:hAnsi="仿宋_GB2312" w:eastAsia="仿宋_GB2312" w:cs="仿宋_GB2312"/>
          <w:sz w:val="32"/>
          <w:szCs w:val="32"/>
          <w:lang w:val="en-US" w:eastAsia="zh-CN"/>
        </w:rPr>
      </w:pPr>
    </w:p>
    <w:p>
      <w:pPr>
        <w:pStyle w:val="6"/>
        <w:spacing w:before="93"/>
        <w:ind w:firstLine="640" w:firstLineChars="200"/>
        <w:rPr>
          <w:rFonts w:hint="eastAsia" w:ascii="仿宋_GB2312" w:hAnsi="仿宋_GB2312" w:eastAsia="仿宋_GB2312" w:cs="仿宋_GB2312"/>
          <w:sz w:val="32"/>
          <w:szCs w:val="32"/>
        </w:rPr>
      </w:pPr>
    </w:p>
    <w:p>
      <w:pPr>
        <w:pStyle w:val="6"/>
        <w:spacing w:before="93"/>
        <w:ind w:firstLine="640" w:firstLineChars="200"/>
        <w:rPr>
          <w:rFonts w:hint="eastAsia" w:ascii="仿宋_GB2312" w:hAnsi="仿宋_GB2312" w:eastAsia="仿宋_GB2312" w:cs="仿宋_GB2312"/>
          <w:sz w:val="32"/>
          <w:szCs w:val="32"/>
        </w:rPr>
      </w:pPr>
    </w:p>
    <w:p>
      <w:pPr>
        <w:pStyle w:val="6"/>
        <w:spacing w:before="93"/>
        <w:ind w:firstLine="640" w:firstLineChars="200"/>
        <w:rPr>
          <w:rFonts w:hint="eastAsia" w:ascii="仿宋_GB2312" w:hAnsi="仿宋_GB2312" w:eastAsia="仿宋_GB2312" w:cs="仿宋_GB2312"/>
          <w:sz w:val="32"/>
          <w:szCs w:val="32"/>
        </w:rPr>
      </w:pPr>
    </w:p>
    <w:p>
      <w:pPr>
        <w:pStyle w:val="6"/>
        <w:spacing w:before="93"/>
        <w:ind w:firstLine="640" w:firstLineChars="200"/>
        <w:rPr>
          <w:rFonts w:hint="eastAsia" w:ascii="仿宋_GB2312" w:hAnsi="仿宋_GB2312" w:eastAsia="仿宋_GB2312" w:cs="仿宋_GB2312"/>
          <w:sz w:val="32"/>
          <w:szCs w:val="32"/>
        </w:rPr>
      </w:pPr>
    </w:p>
    <w:p>
      <w:pPr>
        <w:pStyle w:val="6"/>
        <w:spacing w:before="93"/>
        <w:ind w:firstLine="640" w:firstLineChars="200"/>
        <w:rPr>
          <w:rFonts w:hint="eastAsia" w:ascii="仿宋_GB2312" w:hAnsi="仿宋_GB2312" w:eastAsia="仿宋_GB2312" w:cs="仿宋_GB2312"/>
          <w:sz w:val="32"/>
          <w:szCs w:val="32"/>
        </w:rPr>
      </w:pPr>
    </w:p>
    <w:p>
      <w:pPr>
        <w:pStyle w:val="6"/>
        <w:spacing w:before="93"/>
        <w:ind w:firstLine="640" w:firstLineChars="200"/>
        <w:rPr>
          <w:rFonts w:hint="eastAsia" w:ascii="仿宋_GB2312" w:hAnsi="仿宋_GB2312" w:eastAsia="仿宋_GB2312" w:cs="仿宋_GB2312"/>
          <w:sz w:val="32"/>
          <w:szCs w:val="32"/>
        </w:rPr>
      </w:pPr>
    </w:p>
    <w:p>
      <w:pPr>
        <w:pStyle w:val="6"/>
        <w:spacing w:before="93"/>
        <w:ind w:firstLine="640" w:firstLineChars="200"/>
        <w:rPr>
          <w:rFonts w:hint="eastAsia" w:ascii="仿宋_GB2312" w:hAnsi="仿宋_GB2312" w:eastAsia="仿宋_GB2312" w:cs="仿宋_GB2312"/>
          <w:sz w:val="32"/>
          <w:szCs w:val="32"/>
        </w:rPr>
      </w:pPr>
    </w:p>
    <w:p>
      <w:pPr>
        <w:pStyle w:val="6"/>
        <w:spacing w:before="93"/>
        <w:ind w:firstLine="640" w:firstLineChars="200"/>
        <w:rPr>
          <w:rFonts w:hint="eastAsia" w:ascii="仿宋_GB2312" w:hAnsi="仿宋_GB2312" w:eastAsia="仿宋_GB2312" w:cs="仿宋_GB2312"/>
          <w:sz w:val="32"/>
          <w:szCs w:val="32"/>
        </w:rPr>
      </w:pPr>
    </w:p>
    <w:p>
      <w:pPr>
        <w:pStyle w:val="12"/>
        <w:adjustRightInd w:val="0"/>
        <w:snapToGrid w:val="0"/>
        <w:spacing w:before="0" w:line="440" w:lineRule="exact"/>
        <w:jc w:val="left"/>
        <w:rPr>
          <w:rFonts w:hint="eastAsia"/>
          <w:sz w:val="36"/>
          <w:szCs w:val="36"/>
        </w:rPr>
      </w:pPr>
    </w:p>
    <w:p>
      <w:pPr>
        <w:pStyle w:val="12"/>
        <w:adjustRightInd w:val="0"/>
        <w:snapToGrid w:val="0"/>
        <w:spacing w:before="0" w:line="440" w:lineRule="exact"/>
        <w:jc w:val="center"/>
        <w:rPr>
          <w:rFonts w:hint="eastAsia"/>
          <w:b/>
          <w:bCs/>
          <w:sz w:val="36"/>
          <w:szCs w:val="36"/>
        </w:rPr>
      </w:pPr>
    </w:p>
    <w:p>
      <w:pPr>
        <w:pStyle w:val="12"/>
        <w:adjustRightInd w:val="0"/>
        <w:snapToGrid w:val="0"/>
        <w:spacing w:before="0" w:line="440" w:lineRule="exact"/>
        <w:jc w:val="center"/>
        <w:rPr>
          <w:rFonts w:hint="eastAsia"/>
          <w:b/>
          <w:bCs/>
          <w:sz w:val="36"/>
          <w:szCs w:val="36"/>
        </w:rPr>
      </w:pPr>
    </w:p>
    <w:p>
      <w:pPr>
        <w:pStyle w:val="12"/>
        <w:adjustRightInd w:val="0"/>
        <w:snapToGrid w:val="0"/>
        <w:spacing w:before="0" w:line="440" w:lineRule="exact"/>
        <w:jc w:val="center"/>
        <w:rPr>
          <w:rFonts w:hint="eastAsia"/>
          <w:b/>
          <w:bCs/>
          <w:sz w:val="36"/>
          <w:szCs w:val="36"/>
        </w:rPr>
      </w:pPr>
    </w:p>
    <w:p>
      <w:pPr>
        <w:pStyle w:val="12"/>
        <w:adjustRightInd w:val="0"/>
        <w:snapToGrid w:val="0"/>
        <w:spacing w:before="0" w:line="440" w:lineRule="exact"/>
        <w:jc w:val="center"/>
        <w:rPr>
          <w:rFonts w:hint="eastAsia"/>
          <w:b/>
          <w:bCs/>
          <w:sz w:val="36"/>
          <w:szCs w:val="36"/>
        </w:rPr>
      </w:pPr>
    </w:p>
    <w:p>
      <w:pPr>
        <w:pStyle w:val="12"/>
        <w:adjustRightInd w:val="0"/>
        <w:snapToGrid w:val="0"/>
        <w:spacing w:before="0" w:line="440" w:lineRule="exact"/>
        <w:jc w:val="center"/>
        <w:rPr>
          <w:rFonts w:hint="eastAsia"/>
          <w:b/>
          <w:bCs/>
          <w:sz w:val="44"/>
          <w:szCs w:val="44"/>
        </w:rPr>
      </w:pPr>
      <w:r>
        <w:rPr>
          <w:rFonts w:hint="eastAsia"/>
          <w:b/>
          <w:bCs/>
          <w:sz w:val="44"/>
          <w:szCs w:val="44"/>
        </w:rPr>
        <w:t>第三部分名词解释</w:t>
      </w:r>
    </w:p>
    <w:p>
      <w:pPr>
        <w:rPr>
          <w:rFonts w:hint="eastAsia"/>
        </w:rPr>
      </w:pP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3</w:t>
      </w:r>
      <w:r>
        <w:rPr>
          <w:rFonts w:ascii="仿宋_GB2312" w:eastAsia="仿宋_GB2312"/>
          <w:color w:val="auto"/>
          <w:sz w:val="32"/>
          <w:szCs w:val="32"/>
        </w:rPr>
        <w:t>.</w:t>
      </w:r>
      <w:r>
        <w:rPr>
          <w:rFonts w:hint="eastAsia" w:ascii="仿宋_GB2312" w:eastAsia="仿宋_GB2312"/>
          <w:color w:val="auto"/>
          <w:sz w:val="32"/>
          <w:szCs w:val="32"/>
        </w:rPr>
        <w:t>其他收入：指单位取得的除上述收入以外的各项收入。</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4</w:t>
      </w:r>
      <w:r>
        <w:rPr>
          <w:rFonts w:ascii="仿宋_GB2312" w:eastAsia="仿宋_GB2312"/>
          <w:color w:val="auto"/>
          <w:sz w:val="32"/>
          <w:szCs w:val="32"/>
        </w:rPr>
        <w:t>.</w:t>
      </w:r>
      <w:r>
        <w:rPr>
          <w:rFonts w:hint="eastAsia" w:ascii="仿宋_GB2312" w:eastAsia="仿宋_GB2312"/>
          <w:color w:val="auto"/>
          <w:sz w:val="32"/>
          <w:szCs w:val="32"/>
        </w:rPr>
        <w:t>年初结转和结余：指以前年度尚未完成、结转到本年按有关规定继续使用的资金。</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5</w:t>
      </w:r>
      <w:r>
        <w:rPr>
          <w:rFonts w:ascii="仿宋_GB2312" w:eastAsia="仿宋_GB2312"/>
          <w:color w:val="auto"/>
          <w:sz w:val="32"/>
          <w:szCs w:val="32"/>
        </w:rPr>
        <w:t>.</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6</w:t>
      </w:r>
      <w:r>
        <w:rPr>
          <w:rFonts w:hint="eastAsia" w:ascii="仿宋_GB2312" w:eastAsia="仿宋_GB2312"/>
          <w:color w:val="auto"/>
          <w:sz w:val="32"/>
          <w:szCs w:val="32"/>
        </w:rPr>
        <w:t>、年末结转和结余：指单位按有关规定结转到下年或以后年度继续使用的资金。</w:t>
      </w:r>
    </w:p>
    <w:p>
      <w:pPr>
        <w:ind w:firstLine="640" w:firstLineChars="200"/>
        <w:rPr>
          <w:rFonts w:ascii="仿宋_GB2312" w:eastAsia="仿宋_GB2312"/>
          <w:sz w:val="32"/>
          <w:szCs w:val="32"/>
        </w:rPr>
      </w:pPr>
      <w:r>
        <w:rPr>
          <w:rFonts w:hint="eastAsia" w:ascii="仿宋_GB2312" w:eastAsia="仿宋_GB2312"/>
          <w:sz w:val="32"/>
          <w:szCs w:val="32"/>
          <w:lang w:val="en-US" w:eastAsia="zh-CN"/>
        </w:rPr>
        <w:t>7</w:t>
      </w:r>
      <w:r>
        <w:rPr>
          <w:rFonts w:ascii="仿宋_GB2312" w:eastAsia="仿宋_GB2312"/>
          <w:sz w:val="32"/>
          <w:szCs w:val="32"/>
        </w:rPr>
        <w:t>.</w:t>
      </w:r>
      <w:r>
        <w:rPr>
          <w:rFonts w:hint="eastAsia" w:ascii="仿宋_GB2312" w:hAnsi="Times New Roman" w:eastAsia="仿宋_GB2312" w:cs="Times New Roman"/>
          <w:sz w:val="32"/>
          <w:szCs w:val="32"/>
        </w:rPr>
        <w:t>社会保障和就业（类）行政事业单位养老支出（款）机关事业单位基本养老保险缴费支出（项）</w:t>
      </w:r>
      <w:r>
        <w:rPr>
          <w:rFonts w:hint="eastAsia" w:ascii="仿宋_GB2312" w:eastAsia="仿宋_GB2312"/>
          <w:sz w:val="32"/>
          <w:szCs w:val="32"/>
        </w:rPr>
        <w:t>：指</w:t>
      </w:r>
      <w:r>
        <w:rPr>
          <w:rFonts w:hint="eastAsia" w:ascii="仿宋_GB2312" w:eastAsia="仿宋_GB2312"/>
          <w:sz w:val="32"/>
          <w:szCs w:val="32"/>
          <w:lang w:val="en-US" w:eastAsia="zh-CN"/>
        </w:rPr>
        <w:t>机关事业单位实施养老保险制度由单位缴纳的基本养老保险费支出</w:t>
      </w:r>
      <w:r>
        <w:rPr>
          <w:rFonts w:hint="eastAsia" w:ascii="仿宋_GB2312" w:eastAsia="仿宋_GB2312"/>
          <w:sz w:val="32"/>
          <w:szCs w:val="32"/>
        </w:rPr>
        <w:t>。</w:t>
      </w:r>
    </w:p>
    <w:p>
      <w:pPr>
        <w:pStyle w:val="6"/>
        <w:ind w:firstLine="640" w:firstLineChars="200"/>
        <w:rPr>
          <w:rFonts w:ascii="仿宋_GB2312" w:eastAsia="仿宋_GB2312"/>
          <w:sz w:val="32"/>
          <w:szCs w:val="32"/>
        </w:rPr>
      </w:pPr>
      <w:r>
        <w:rPr>
          <w:rFonts w:hint="eastAsia"/>
          <w:sz w:val="32"/>
          <w:szCs w:val="32"/>
          <w:lang w:val="en-US" w:eastAsia="zh-CN"/>
        </w:rPr>
        <w:t>8</w:t>
      </w:r>
      <w:r>
        <w:rPr>
          <w:rFonts w:ascii="仿宋_GB2312" w:eastAsia="仿宋_GB2312"/>
          <w:sz w:val="32"/>
          <w:szCs w:val="32"/>
        </w:rPr>
        <w:t>.</w:t>
      </w:r>
      <w:r>
        <w:rPr>
          <w:rFonts w:hint="eastAsia" w:ascii="仿宋_GB2312" w:hAnsi="Times New Roman" w:eastAsia="仿宋_GB2312" w:cs="Times New Roman"/>
          <w:kern w:val="2"/>
          <w:sz w:val="32"/>
          <w:szCs w:val="32"/>
          <w:lang w:val="en-US" w:eastAsia="zh-CN" w:bidi="ar-SA"/>
        </w:rPr>
        <w:t>社会保障和就业（类）行政事业单位养老支出（款）机关事业单位职业年金缴费支出（项）</w:t>
      </w:r>
      <w:r>
        <w:rPr>
          <w:rStyle w:val="17"/>
          <w:rFonts w:ascii="仿宋" w:hAnsi="仿宋" w:eastAsia="仿宋"/>
          <w:bCs/>
          <w:sz w:val="32"/>
          <w:szCs w:val="32"/>
        </w:rPr>
        <w:t>:</w:t>
      </w:r>
      <w:r>
        <w:rPr>
          <w:rFonts w:hint="eastAsia" w:ascii="仿宋_GB2312" w:eastAsia="仿宋_GB2312"/>
          <w:sz w:val="32"/>
          <w:szCs w:val="32"/>
        </w:rPr>
        <w:t>指</w:t>
      </w:r>
      <w:r>
        <w:rPr>
          <w:rFonts w:hint="eastAsia"/>
          <w:sz w:val="32"/>
          <w:szCs w:val="32"/>
          <w:lang w:val="en-US" w:eastAsia="zh-CN"/>
        </w:rPr>
        <w:t>机关事业单位实施养老保险制度由单位实际缴纳的职业年金支出</w:t>
      </w:r>
      <w:r>
        <w:rPr>
          <w:rFonts w:hint="eastAsia" w:ascii="仿宋_GB2312" w:eastAsia="仿宋_GB2312"/>
          <w:sz w:val="32"/>
          <w:szCs w:val="32"/>
        </w:rPr>
        <w:t>。</w:t>
      </w:r>
    </w:p>
    <w:p>
      <w:pPr>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9.卫生健康支出（类）公立医院（款）综合医院（项）：指卫生健康、中医部门所属的城市综合性医院、独立门诊、教学医院、疗养院和县医院的支出。</w:t>
      </w:r>
    </w:p>
    <w:p>
      <w:pPr>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10.卫生健康支出（类）公立医院（款）其他公立医院支出（项）：指除上述项目以外的其他用于公立医院方面的支出。</w:t>
      </w:r>
    </w:p>
    <w:p>
      <w:pPr>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11.卫生健康支出（类）公共卫生（款）重大公共卫生服务（项）：指重大疾病、重大传染病预防控制等重大公共卫生服务项目支出。</w:t>
      </w:r>
    </w:p>
    <w:p>
      <w:pPr>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12.卫生健康支出（类）公共卫生（款）突发公共卫生事件应急处理（项）：指用于突发公共卫生事件应急处理的支出。</w:t>
      </w:r>
    </w:p>
    <w:p>
      <w:pPr>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13.卫生健康支出（类）行政事业单位医疗（款）事业单位医疗（项）：指财政部门安排的事业单位基本医疗保险缴费经费，未参加医疗保险的事业单位的公费医疗经费，按国家规定享受离休人员待遇的医疗经费。</w:t>
      </w:r>
    </w:p>
    <w:p>
      <w:pPr>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14.卫生健康支出（类）行政事业单位医疗（款）公务员医疗补助（项）：指财政部门安排的公务员医疗补助经费。</w:t>
      </w:r>
    </w:p>
    <w:p>
      <w:pPr>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15.卫生健康支出（类）其他卫生健康支出（款）其他卫生健康支出（项）：指除上述项目以外其他用于卫生健康方面的支出。</w:t>
      </w:r>
    </w:p>
    <w:p>
      <w:pPr>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16.住房保障支出（类）住房改革支出（款）住房公积金（项）：指行政事业单位按人力资源和社会保障部、财政部规定的基本工资和津贴补贴以及规定比例为职工缴纳的住房公积金。</w:t>
      </w:r>
    </w:p>
    <w:p>
      <w:pPr>
        <w:ind w:firstLine="640" w:firstLineChars="200"/>
        <w:rPr>
          <w:rFonts w:ascii="仿宋_GB2312" w:eastAsia="仿宋_GB2312"/>
          <w:sz w:val="32"/>
          <w:szCs w:val="32"/>
        </w:rPr>
      </w:pPr>
      <w:r>
        <w:rPr>
          <w:rFonts w:hint="eastAsia" w:ascii="仿宋_GB2312" w:eastAsia="仿宋_GB2312"/>
          <w:sz w:val="32"/>
          <w:szCs w:val="32"/>
          <w:lang w:val="en-US" w:eastAsia="zh-CN"/>
        </w:rPr>
        <w:t>17</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18</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19</w:t>
      </w:r>
      <w:r>
        <w:rPr>
          <w:rFonts w:ascii="仿宋_GB2312" w:eastAsia="仿宋_GB2312"/>
          <w:color w:val="auto"/>
          <w:sz w:val="32"/>
          <w:szCs w:val="32"/>
        </w:rPr>
        <w:t>.</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6"/>
        <w:spacing w:line="560" w:lineRule="exact"/>
        <w:ind w:firstLine="640" w:firstLineChars="200"/>
        <w:rPr>
          <w:rFonts w:hint="eastAsia"/>
        </w:rPr>
      </w:pPr>
      <w:r>
        <w:rPr>
          <w:rFonts w:hint="eastAsia" w:ascii="仿宋_GB2312" w:eastAsia="仿宋_GB2312"/>
          <w:color w:val="auto"/>
          <w:sz w:val="32"/>
          <w:szCs w:val="32"/>
          <w:lang w:val="en-US" w:eastAsia="zh-CN"/>
        </w:rPr>
        <w:t>20</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6"/>
        <w:rPr>
          <w:rFonts w:hint="eastAsia"/>
        </w:rPr>
      </w:pPr>
    </w:p>
    <w:p>
      <w:pPr>
        <w:spacing w:line="600" w:lineRule="exact"/>
        <w:jc w:val="center"/>
        <w:outlineLvl w:val="0"/>
        <w:rPr>
          <w:rStyle w:val="28"/>
          <w:rFonts w:ascii="黑体" w:hAnsi="黑体" w:eastAsia="黑体"/>
          <w:b w:val="0"/>
        </w:rPr>
      </w:pPr>
      <w:bookmarkStart w:id="16" w:name="_Toc32587"/>
      <w:r>
        <w:rPr>
          <w:rFonts w:hint="eastAsia" w:ascii="黑体" w:hAnsi="黑体" w:eastAsia="黑体"/>
          <w:sz w:val="44"/>
          <w:szCs w:val="44"/>
        </w:rPr>
        <w:t>第</w:t>
      </w:r>
      <w:r>
        <w:rPr>
          <w:rStyle w:val="28"/>
          <w:rFonts w:hint="eastAsia" w:ascii="黑体" w:hAnsi="黑体" w:eastAsia="黑体"/>
          <w:b w:val="0"/>
        </w:rPr>
        <w:t>四部分 附件</w:t>
      </w:r>
      <w:bookmarkEnd w:id="16"/>
    </w:p>
    <w:p>
      <w:pPr>
        <w:spacing w:line="572" w:lineRule="exact"/>
        <w:jc w:val="left"/>
        <w:outlineLvl w:val="0"/>
        <w:rPr>
          <w:rFonts w:hint="eastAsia"/>
        </w:rPr>
      </w:pPr>
      <w:bookmarkStart w:id="17" w:name="_Toc13272"/>
      <w:r>
        <w:rPr>
          <w:rFonts w:hint="eastAsia" w:ascii="黑体" w:hAnsi="黑体" w:eastAsia="黑体" w:cs="黑体"/>
          <w:sz w:val="32"/>
          <w:szCs w:val="32"/>
        </w:rPr>
        <w:t>附件</w:t>
      </w:r>
      <w:bookmarkEnd w:id="17"/>
      <w:r>
        <w:rPr>
          <w:rFonts w:hint="eastAsia" w:ascii="黑体" w:hAnsi="黑体" w:eastAsia="黑体" w:cs="黑体"/>
          <w:sz w:val="32"/>
          <w:szCs w:val="32"/>
          <w:lang w:val="en-US" w:eastAsia="zh-CN"/>
        </w:rPr>
        <w:t>1：</w:t>
      </w:r>
    </w:p>
    <w:tbl>
      <w:tblPr>
        <w:tblStyle w:val="14"/>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865" w:hRule="atLeast"/>
        </w:trPr>
        <w:tc>
          <w:tcPr>
            <w:tcW w:w="9575" w:type="dxa"/>
            <w:gridSpan w:val="6"/>
            <w:tcBorders>
              <w:top w:val="nil"/>
              <w:left w:val="nil"/>
              <w:bottom w:val="nil"/>
              <w:right w:val="nil"/>
            </w:tcBorders>
            <w:shd w:val="clear" w:color="auto" w:fill="auto"/>
            <w:vAlign w:val="center"/>
          </w:tcPr>
          <w:p>
            <w:pPr>
              <w:pStyle w:val="6"/>
              <w:jc w:val="both"/>
              <w:rPr>
                <w:rFonts w:hint="eastAsia"/>
                <w:b/>
                <w:bCs/>
                <w:sz w:val="32"/>
                <w:szCs w:val="32"/>
              </w:rPr>
            </w:pPr>
          </w:p>
          <w:p>
            <w:pPr>
              <w:pStyle w:val="6"/>
              <w:ind w:firstLine="2248" w:firstLineChars="700"/>
              <w:jc w:val="both"/>
              <w:rPr>
                <w:rFonts w:hint="eastAsia"/>
                <w:b/>
                <w:bCs/>
                <w:sz w:val="32"/>
                <w:szCs w:val="32"/>
              </w:rPr>
            </w:pPr>
            <w:r>
              <w:rPr>
                <w:rFonts w:hint="eastAsia"/>
                <w:b/>
                <w:bCs/>
                <w:sz w:val="32"/>
                <w:szCs w:val="32"/>
              </w:rPr>
              <w:t>2021年度专项（项目）资金绩效自评表</w:t>
            </w:r>
          </w:p>
          <w:p>
            <w:pPr>
              <w:pStyle w:val="6"/>
              <w:jc w:val="center"/>
            </w:pPr>
            <w:r>
              <w:rPr>
                <w:rFonts w:hint="eastAsia"/>
                <w:b/>
                <w:bCs/>
                <w:sz w:val="32"/>
                <w:szCs w:val="32"/>
              </w:rPr>
              <w:t>抗疫特别国债项目</w:t>
            </w:r>
          </w:p>
        </w:tc>
        <w:tc>
          <w:tcPr>
            <w:tcW w:w="236" w:type="dxa"/>
            <w:tcBorders>
              <w:top w:val="nil"/>
              <w:left w:val="nil"/>
              <w:bottom w:val="nil"/>
              <w:right w:val="nil"/>
            </w:tcBorders>
            <w:shd w:val="clear" w:color="auto" w:fill="auto"/>
            <w:vAlign w:val="center"/>
          </w:tcPr>
          <w:p>
            <w:pPr>
              <w:widowControl/>
              <w:jc w:val="center"/>
              <w:textAlignment w:val="center"/>
            </w:pPr>
          </w:p>
          <w:p>
            <w:pPr>
              <w:pStyle w:val="6"/>
              <w:rPr>
                <w:rFonts w:ascii="宋体" w:hAnsi="宋体" w:cs="宋体"/>
                <w:b/>
                <w:kern w:val="0"/>
                <w:sz w:val="32"/>
                <w:szCs w:val="32"/>
              </w:rPr>
            </w:pPr>
          </w:p>
          <w:p>
            <w:pPr>
              <w:pStyle w:val="6"/>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r>
              <w:rPr>
                <w:rFonts w:hint="eastAsia" w:ascii="宋体" w:hAnsi="宋体" w:cs="宋体"/>
                <w:sz w:val="24"/>
              </w:rPr>
              <w:t>盐边县卫生健康局</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sz w:val="24"/>
              </w:rPr>
              <w:t>盐边县中医院</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3444</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both"/>
              <w:textAlignment w:val="center"/>
              <w:rPr>
                <w:rFonts w:hint="default" w:ascii="宋体" w:hAnsi="宋体" w:eastAsia="宋体" w:cs="宋体"/>
                <w:sz w:val="24"/>
                <w:lang w:val="en-US" w:eastAsia="zh-CN"/>
              </w:rPr>
            </w:pPr>
            <w:r>
              <w:rPr>
                <w:rFonts w:hint="eastAsia" w:ascii="宋体" w:hAnsi="宋体" w:cs="宋体"/>
                <w:sz w:val="24"/>
                <w:lang w:val="en-US" w:eastAsia="zh-CN"/>
              </w:rPr>
              <w:t>3444</w:t>
            </w: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3444</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宋体" w:hAnsi="宋体" w:eastAsia="宋体" w:cs="宋体"/>
                <w:sz w:val="24"/>
                <w:lang w:val="en-US" w:eastAsia="zh-CN"/>
              </w:rPr>
            </w:pPr>
            <w:r>
              <w:rPr>
                <w:rFonts w:hint="eastAsia" w:ascii="宋体" w:hAnsi="宋体" w:cs="宋体"/>
                <w:sz w:val="24"/>
                <w:lang w:val="en-US" w:eastAsia="zh-CN"/>
              </w:rPr>
              <w:t>3444</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hint="eastAsia" w:ascii="宋体" w:hAnsi="宋体" w:cs="宋体"/>
                <w:sz w:val="24"/>
              </w:rPr>
            </w:pPr>
          </w:p>
          <w:p>
            <w:pPr>
              <w:widowControl/>
              <w:spacing w:line="320" w:lineRule="exact"/>
              <w:jc w:val="left"/>
              <w:textAlignment w:val="top"/>
              <w:rPr>
                <w:rFonts w:ascii="宋体" w:hAnsi="宋体" w:cs="宋体"/>
                <w:sz w:val="24"/>
              </w:rPr>
            </w:pPr>
            <w:r>
              <w:rPr>
                <w:rFonts w:hint="eastAsia" w:ascii="宋体" w:hAnsi="宋体" w:cs="宋体"/>
                <w:sz w:val="24"/>
              </w:rPr>
              <w:t>本项目力求打造为攀西地区的标杆型中医院，让病员享受现代化的医疗环境，同时得到最全面的医疗服务，达到养生、养心的目的</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项目的建设促进了盐边地区医疗卫生事业进步，改善了地区医疗环境，能够满足当地居民日益增长的医疗服务需求，促进地方经济社会和谐可持续发展。</w:t>
            </w: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gridAfter w:val="1"/>
          <w:wAfter w:w="236" w:type="dxa"/>
          <w:trHeight w:val="1083"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传染病防控能力提升及中医药传承发展建设项目</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建设项目完成率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项目资金按要求及时拨付</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拨付进度达到100%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按预算控制范围内切实做好项目建设工作</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开支合理全面经费审核和控制成本核算全面</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效益</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提升医疗服务能力</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不断提升</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满意</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群众满意</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≥90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trHeight w:val="865" w:hRule="atLeast"/>
        </w:trPr>
        <w:tc>
          <w:tcPr>
            <w:tcW w:w="9575" w:type="dxa"/>
            <w:gridSpan w:val="6"/>
            <w:tcBorders>
              <w:top w:val="nil"/>
              <w:left w:val="nil"/>
              <w:bottom w:val="nil"/>
              <w:right w:val="nil"/>
            </w:tcBorders>
            <w:shd w:val="clear" w:color="auto" w:fill="auto"/>
            <w:vAlign w:val="center"/>
          </w:tcPr>
          <w:p>
            <w:pPr>
              <w:pStyle w:val="6"/>
              <w:jc w:val="center"/>
              <w:rPr>
                <w:rFonts w:hint="eastAsia"/>
                <w:b/>
                <w:bCs/>
                <w:sz w:val="32"/>
                <w:szCs w:val="32"/>
              </w:rPr>
            </w:pPr>
            <w:r>
              <w:rPr>
                <w:rFonts w:hint="eastAsia"/>
                <w:b/>
                <w:bCs/>
                <w:sz w:val="32"/>
                <w:szCs w:val="32"/>
              </w:rPr>
              <w:t>2021年度专项（项目）资金绩效自评表</w:t>
            </w:r>
          </w:p>
          <w:p>
            <w:pPr>
              <w:pStyle w:val="6"/>
              <w:jc w:val="center"/>
            </w:pPr>
            <w:r>
              <w:rPr>
                <w:rFonts w:hint="eastAsia"/>
                <w:b/>
                <w:bCs/>
                <w:sz w:val="32"/>
                <w:szCs w:val="32"/>
              </w:rPr>
              <w:t>医疗卫生机构事业发展资金</w:t>
            </w:r>
          </w:p>
        </w:tc>
        <w:tc>
          <w:tcPr>
            <w:tcW w:w="236" w:type="dxa"/>
            <w:tcBorders>
              <w:top w:val="nil"/>
              <w:left w:val="nil"/>
              <w:bottom w:val="nil"/>
              <w:right w:val="nil"/>
            </w:tcBorders>
            <w:shd w:val="clear" w:color="auto" w:fill="auto"/>
            <w:vAlign w:val="center"/>
          </w:tcPr>
          <w:p>
            <w:pPr>
              <w:widowControl/>
              <w:jc w:val="center"/>
              <w:textAlignment w:val="center"/>
            </w:pPr>
          </w:p>
          <w:p>
            <w:pPr>
              <w:pStyle w:val="6"/>
              <w:rPr>
                <w:rFonts w:ascii="宋体" w:hAnsi="宋体" w:cs="宋体"/>
                <w:b/>
                <w:kern w:val="0"/>
                <w:sz w:val="32"/>
                <w:szCs w:val="32"/>
              </w:rPr>
            </w:pPr>
          </w:p>
          <w:p>
            <w:pPr>
              <w:pStyle w:val="6"/>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r>
              <w:rPr>
                <w:rFonts w:hint="eastAsia" w:ascii="宋体" w:hAnsi="宋体" w:cs="宋体"/>
                <w:sz w:val="24"/>
              </w:rPr>
              <w:t>盐边县卫生健康局</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sz w:val="24"/>
              </w:rPr>
              <w:t>盐边县中医院</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4718.37</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both"/>
              <w:textAlignment w:val="center"/>
              <w:rPr>
                <w:rFonts w:hint="default" w:ascii="宋体" w:hAnsi="宋体" w:eastAsia="宋体" w:cs="宋体"/>
                <w:sz w:val="24"/>
                <w:lang w:val="en-US" w:eastAsia="zh-CN"/>
              </w:rPr>
            </w:pPr>
            <w:r>
              <w:rPr>
                <w:rFonts w:hint="eastAsia" w:ascii="宋体" w:hAnsi="宋体" w:cs="宋体"/>
                <w:sz w:val="24"/>
                <w:lang w:val="en-US" w:eastAsia="zh-CN"/>
              </w:rPr>
              <w:t>4719.97</w:t>
            </w: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4718.37</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宋体" w:hAnsi="宋体" w:eastAsia="宋体" w:cs="宋体"/>
                <w:sz w:val="24"/>
                <w:lang w:val="en-US" w:eastAsia="zh-CN"/>
              </w:rPr>
            </w:pPr>
            <w:r>
              <w:rPr>
                <w:rFonts w:hint="eastAsia" w:ascii="宋体" w:hAnsi="宋体" w:cs="宋体"/>
                <w:sz w:val="24"/>
                <w:lang w:val="en-US" w:eastAsia="zh-CN"/>
              </w:rPr>
              <w:t>4719.97</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hint="eastAsia" w:ascii="宋体" w:hAnsi="宋体" w:cs="宋体"/>
                <w:sz w:val="24"/>
              </w:rPr>
            </w:pPr>
          </w:p>
          <w:p>
            <w:pPr>
              <w:widowControl/>
              <w:spacing w:line="320" w:lineRule="exact"/>
              <w:jc w:val="left"/>
              <w:textAlignment w:val="top"/>
              <w:rPr>
                <w:rFonts w:ascii="宋体" w:hAnsi="宋体" w:cs="宋体"/>
                <w:sz w:val="24"/>
              </w:rPr>
            </w:pPr>
            <w:r>
              <w:rPr>
                <w:rFonts w:hint="eastAsia" w:ascii="宋体" w:hAnsi="宋体" w:cs="宋体"/>
                <w:sz w:val="24"/>
              </w:rPr>
              <w:t>1、加强和规范收支预算管理、合理控制成本、提高管理水平、提升资源使用效益、促进持续健康发展；2、实行全面预算管理制度、强化预算约束、保障正常运转。</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按时上缴事业收入纳入财政预算管理，资金上缴率100%。强化预算约束，增加财政收入，提升资金管理水平；财政及时拨付，确保正常运转，资金规范使用率100%。</w:t>
            </w: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gridAfter w:val="1"/>
          <w:wAfter w:w="236" w:type="dxa"/>
          <w:trHeight w:val="1083"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中医院</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1家</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项目完成时间</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年度内</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上缴时间</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适时</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205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经费总额</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4718.37万元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效益</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提升医疗服务能力</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不断提升</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满意</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群众满意</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≥90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bl>
    <w:p>
      <w:pPr>
        <w:pStyle w:val="12"/>
        <w:adjustRightInd w:val="0"/>
        <w:snapToGrid w:val="0"/>
        <w:spacing w:before="0" w:line="440" w:lineRule="exact"/>
        <w:jc w:val="left"/>
        <w:rPr>
          <w:rFonts w:hint="eastAsia"/>
          <w:sz w:val="30"/>
          <w:szCs w:val="30"/>
        </w:rPr>
      </w:pPr>
    </w:p>
    <w:tbl>
      <w:tblPr>
        <w:tblStyle w:val="14"/>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865" w:hRule="atLeast"/>
        </w:trPr>
        <w:tc>
          <w:tcPr>
            <w:tcW w:w="9575" w:type="dxa"/>
            <w:gridSpan w:val="6"/>
            <w:tcBorders>
              <w:top w:val="nil"/>
              <w:left w:val="nil"/>
              <w:bottom w:val="nil"/>
              <w:right w:val="nil"/>
            </w:tcBorders>
            <w:shd w:val="clear" w:color="auto" w:fill="auto"/>
            <w:vAlign w:val="center"/>
          </w:tcPr>
          <w:p>
            <w:pPr>
              <w:pStyle w:val="6"/>
              <w:jc w:val="center"/>
              <w:rPr>
                <w:rFonts w:hint="eastAsia"/>
                <w:b/>
                <w:bCs/>
                <w:sz w:val="32"/>
                <w:szCs w:val="32"/>
              </w:rPr>
            </w:pPr>
            <w:r>
              <w:rPr>
                <w:rFonts w:hint="eastAsia"/>
                <w:b/>
                <w:bCs/>
                <w:sz w:val="32"/>
                <w:szCs w:val="32"/>
              </w:rPr>
              <w:t>2021年度专项（项目）资金绩效自评表</w:t>
            </w:r>
          </w:p>
          <w:p>
            <w:pPr>
              <w:pStyle w:val="6"/>
              <w:jc w:val="center"/>
            </w:pPr>
            <w:r>
              <w:rPr>
                <w:rFonts w:hint="eastAsia"/>
                <w:b/>
                <w:bCs/>
                <w:sz w:val="32"/>
                <w:szCs w:val="32"/>
              </w:rPr>
              <w:t>医疗服务与保障能力提升（公立医院改革）项目</w:t>
            </w:r>
          </w:p>
        </w:tc>
        <w:tc>
          <w:tcPr>
            <w:tcW w:w="236" w:type="dxa"/>
            <w:tcBorders>
              <w:top w:val="nil"/>
              <w:left w:val="nil"/>
              <w:bottom w:val="nil"/>
              <w:right w:val="nil"/>
            </w:tcBorders>
            <w:shd w:val="clear" w:color="auto" w:fill="auto"/>
            <w:vAlign w:val="center"/>
          </w:tcPr>
          <w:p>
            <w:pPr>
              <w:widowControl/>
              <w:jc w:val="center"/>
              <w:textAlignment w:val="center"/>
            </w:pPr>
          </w:p>
          <w:p>
            <w:pPr>
              <w:pStyle w:val="6"/>
              <w:rPr>
                <w:rFonts w:ascii="宋体" w:hAnsi="宋体" w:cs="宋体"/>
                <w:b/>
                <w:kern w:val="0"/>
                <w:sz w:val="32"/>
                <w:szCs w:val="32"/>
              </w:rPr>
            </w:pPr>
          </w:p>
          <w:p>
            <w:pPr>
              <w:pStyle w:val="6"/>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r>
              <w:rPr>
                <w:rFonts w:hint="eastAsia" w:ascii="宋体" w:hAnsi="宋体" w:cs="宋体"/>
                <w:sz w:val="24"/>
              </w:rPr>
              <w:t>盐边县卫生健康局</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sz w:val="24"/>
              </w:rPr>
              <w:t>盐边县中医院</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103</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both"/>
              <w:textAlignment w:val="center"/>
              <w:rPr>
                <w:rFonts w:hint="default" w:ascii="宋体" w:hAnsi="宋体" w:eastAsia="宋体" w:cs="宋体"/>
                <w:sz w:val="24"/>
                <w:lang w:val="en-US" w:eastAsia="zh-CN"/>
              </w:rPr>
            </w:pPr>
            <w:r>
              <w:rPr>
                <w:rFonts w:hint="eastAsia" w:ascii="宋体" w:hAnsi="宋体" w:cs="宋体"/>
                <w:sz w:val="24"/>
                <w:lang w:val="en-US" w:eastAsia="zh-CN"/>
              </w:rPr>
              <w:t>20.48</w:t>
            </w: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103</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宋体" w:hAnsi="宋体" w:eastAsia="宋体" w:cs="宋体"/>
                <w:sz w:val="24"/>
                <w:lang w:val="en-US" w:eastAsia="zh-CN"/>
              </w:rPr>
            </w:pPr>
            <w:r>
              <w:rPr>
                <w:rFonts w:hint="eastAsia" w:ascii="宋体" w:hAnsi="宋体" w:cs="宋体"/>
                <w:sz w:val="24"/>
                <w:lang w:val="en-US" w:eastAsia="zh-CN"/>
              </w:rPr>
              <w:t>20.48</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深化公立医院综合改革，建立健全现代医院管理制度，协调推进医疗价格、人事薪酬、药品流通、医保支付改革，提高医疗卫生服务质量。</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2021年，药占比为28%；出院病人临床路径管理为31.5% ；公立医院百元医疗收入的医疗支出（不含药品收入）中消耗卫生材料费用控制在20元以内，基本达到预期目标。</w:t>
            </w: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gridAfter w:val="1"/>
          <w:wAfter w:w="236" w:type="dxa"/>
          <w:trHeight w:val="1083"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医疗服务收入（不含药品、 耗材、 检查、化验收入）占公立医院医疗收入的比例</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高于35%</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85%</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建设项目完成率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大于30%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31.5%</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项目资金按要求及时拨付</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拨付进度达到100%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公立医院百元医疗收入的医疗支出（不含药品收入）中消耗卫生材料费用控制</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20%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17.64%</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效益</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医疗卫生服务行业在未来相当长的时间内能够获得稳定的增长</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建立长效管理机制，在现有的市场环境下医疗服务严重供给不足的局面，为市场发展提供了广阔而持续的成长空间</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95%</w:t>
            </w: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满意</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群众满意</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社会效益显著</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98%</w:t>
            </w:r>
          </w:p>
        </w:tc>
      </w:tr>
    </w:tbl>
    <w:p>
      <w:pPr>
        <w:pStyle w:val="6"/>
        <w:rPr>
          <w:rFonts w:hint="eastAsia" w:ascii="仿宋" w:hAnsi="仿宋" w:eastAsia="仿宋" w:cs="仿宋"/>
          <w:b/>
          <w:sz w:val="32"/>
          <w:szCs w:val="32"/>
        </w:rPr>
      </w:pPr>
    </w:p>
    <w:p>
      <w:pPr>
        <w:pStyle w:val="6"/>
        <w:rPr>
          <w:rFonts w:hint="eastAsia" w:ascii="仿宋" w:hAnsi="仿宋" w:eastAsia="仿宋" w:cs="仿宋"/>
          <w:b/>
          <w:sz w:val="32"/>
          <w:szCs w:val="32"/>
        </w:rPr>
      </w:pPr>
    </w:p>
    <w:p>
      <w:pPr>
        <w:pStyle w:val="12"/>
        <w:adjustRightInd w:val="0"/>
        <w:snapToGrid w:val="0"/>
        <w:spacing w:before="0" w:line="440" w:lineRule="exact"/>
        <w:jc w:val="both"/>
        <w:rPr>
          <w:rFonts w:hint="eastAsia"/>
          <w:b/>
          <w:bCs/>
          <w:sz w:val="44"/>
          <w:szCs w:val="44"/>
        </w:rPr>
      </w:pPr>
      <w:r>
        <w:rPr>
          <w:rFonts w:hint="eastAsia"/>
          <w:b/>
          <w:bCs/>
          <w:sz w:val="44"/>
          <w:szCs w:val="44"/>
        </w:rPr>
        <w:t>第五部分附表</w:t>
      </w:r>
    </w:p>
    <w:p>
      <w:pPr>
        <w:jc w:val="center"/>
        <w:rPr>
          <w:sz w:val="44"/>
          <w:szCs w:val="44"/>
        </w:rPr>
      </w:pPr>
    </w:p>
    <w:p>
      <w:pPr>
        <w:pStyle w:val="13"/>
        <w:adjustRightInd w:val="0"/>
        <w:snapToGrid w:val="0"/>
        <w:spacing w:line="440" w:lineRule="exact"/>
        <w:jc w:val="left"/>
        <w:rPr>
          <w:sz w:val="32"/>
          <w:szCs w:val="32"/>
        </w:rPr>
      </w:pPr>
      <w:r>
        <w:rPr>
          <w:rFonts w:hint="eastAsia"/>
          <w:sz w:val="32"/>
          <w:szCs w:val="32"/>
        </w:rPr>
        <w:t>一、收入支出决算总表</w:t>
      </w:r>
    </w:p>
    <w:p>
      <w:pPr>
        <w:pStyle w:val="13"/>
        <w:adjustRightInd w:val="0"/>
        <w:snapToGrid w:val="0"/>
        <w:spacing w:line="440" w:lineRule="exact"/>
        <w:jc w:val="left"/>
        <w:rPr>
          <w:sz w:val="32"/>
          <w:szCs w:val="32"/>
        </w:rPr>
      </w:pPr>
      <w:r>
        <w:rPr>
          <w:rFonts w:hint="eastAsia"/>
          <w:sz w:val="32"/>
          <w:szCs w:val="32"/>
        </w:rPr>
        <w:t>二、收入决算表</w:t>
      </w:r>
    </w:p>
    <w:p>
      <w:pPr>
        <w:pStyle w:val="13"/>
        <w:adjustRightInd w:val="0"/>
        <w:snapToGrid w:val="0"/>
        <w:spacing w:line="440" w:lineRule="exact"/>
        <w:jc w:val="left"/>
        <w:rPr>
          <w:sz w:val="32"/>
          <w:szCs w:val="32"/>
        </w:rPr>
      </w:pPr>
      <w:r>
        <w:rPr>
          <w:rFonts w:hint="eastAsia"/>
          <w:sz w:val="32"/>
          <w:szCs w:val="32"/>
        </w:rPr>
        <w:t>三、支出决算表</w:t>
      </w:r>
    </w:p>
    <w:p>
      <w:pPr>
        <w:pStyle w:val="13"/>
        <w:adjustRightInd w:val="0"/>
        <w:snapToGrid w:val="0"/>
        <w:spacing w:line="440" w:lineRule="exact"/>
        <w:jc w:val="left"/>
        <w:rPr>
          <w:sz w:val="32"/>
          <w:szCs w:val="32"/>
        </w:rPr>
      </w:pPr>
      <w:r>
        <w:rPr>
          <w:rFonts w:hint="eastAsia"/>
          <w:sz w:val="32"/>
          <w:szCs w:val="32"/>
        </w:rPr>
        <w:t>四、财政拨款收入支出决算总表</w:t>
      </w:r>
    </w:p>
    <w:p>
      <w:pPr>
        <w:pStyle w:val="13"/>
        <w:adjustRightInd w:val="0"/>
        <w:snapToGrid w:val="0"/>
        <w:spacing w:line="440" w:lineRule="exact"/>
        <w:jc w:val="left"/>
        <w:rPr>
          <w:sz w:val="32"/>
          <w:szCs w:val="32"/>
        </w:rPr>
      </w:pPr>
      <w:r>
        <w:rPr>
          <w:rFonts w:hint="eastAsia"/>
          <w:sz w:val="32"/>
          <w:szCs w:val="32"/>
        </w:rPr>
        <w:t>五、财政拨款支出决算明细表</w:t>
      </w:r>
    </w:p>
    <w:p>
      <w:pPr>
        <w:pStyle w:val="13"/>
        <w:adjustRightInd w:val="0"/>
        <w:snapToGrid w:val="0"/>
        <w:spacing w:line="440" w:lineRule="exact"/>
        <w:jc w:val="left"/>
        <w:rPr>
          <w:sz w:val="32"/>
          <w:szCs w:val="32"/>
        </w:rPr>
      </w:pPr>
      <w:r>
        <w:rPr>
          <w:rFonts w:hint="eastAsia"/>
          <w:sz w:val="32"/>
          <w:szCs w:val="32"/>
        </w:rPr>
        <w:t>六、一般公共预算财政拨款支出决算表</w:t>
      </w:r>
    </w:p>
    <w:p>
      <w:pPr>
        <w:pStyle w:val="13"/>
        <w:adjustRightInd w:val="0"/>
        <w:snapToGrid w:val="0"/>
        <w:spacing w:line="440" w:lineRule="exact"/>
        <w:jc w:val="left"/>
        <w:rPr>
          <w:sz w:val="32"/>
          <w:szCs w:val="32"/>
        </w:rPr>
      </w:pPr>
      <w:r>
        <w:rPr>
          <w:rFonts w:hint="eastAsia"/>
          <w:sz w:val="32"/>
          <w:szCs w:val="32"/>
        </w:rPr>
        <w:t>七、一般公共预算财政拨款支出决算明细表</w:t>
      </w:r>
    </w:p>
    <w:p>
      <w:pPr>
        <w:pStyle w:val="13"/>
        <w:adjustRightInd w:val="0"/>
        <w:snapToGrid w:val="0"/>
        <w:spacing w:line="440" w:lineRule="exact"/>
        <w:jc w:val="left"/>
        <w:rPr>
          <w:sz w:val="32"/>
          <w:szCs w:val="32"/>
        </w:rPr>
      </w:pPr>
      <w:r>
        <w:rPr>
          <w:rFonts w:hint="eastAsia"/>
          <w:sz w:val="32"/>
          <w:szCs w:val="32"/>
        </w:rPr>
        <w:t>八、一般公共预算财政拨款基本支出决算表</w:t>
      </w:r>
    </w:p>
    <w:p>
      <w:pPr>
        <w:pStyle w:val="13"/>
        <w:adjustRightInd w:val="0"/>
        <w:snapToGrid w:val="0"/>
        <w:spacing w:line="440" w:lineRule="exact"/>
        <w:jc w:val="left"/>
        <w:rPr>
          <w:sz w:val="32"/>
          <w:szCs w:val="32"/>
        </w:rPr>
      </w:pPr>
      <w:r>
        <w:rPr>
          <w:rFonts w:hint="eastAsia"/>
          <w:sz w:val="32"/>
          <w:szCs w:val="32"/>
        </w:rPr>
        <w:t>九、一般公共预算财政拨款项目支出决算表</w:t>
      </w:r>
    </w:p>
    <w:p>
      <w:pPr>
        <w:pStyle w:val="13"/>
        <w:adjustRightInd w:val="0"/>
        <w:snapToGrid w:val="0"/>
        <w:spacing w:line="440" w:lineRule="exact"/>
        <w:jc w:val="left"/>
        <w:rPr>
          <w:sz w:val="32"/>
          <w:szCs w:val="32"/>
        </w:rPr>
      </w:pPr>
      <w:r>
        <w:rPr>
          <w:rFonts w:hint="eastAsia"/>
          <w:sz w:val="32"/>
          <w:szCs w:val="32"/>
        </w:rPr>
        <w:t>十、一般公共预算财政拨款“三公”经费支出决算表</w:t>
      </w:r>
    </w:p>
    <w:p>
      <w:pPr>
        <w:pStyle w:val="13"/>
        <w:adjustRightInd w:val="0"/>
        <w:snapToGrid w:val="0"/>
        <w:spacing w:line="440" w:lineRule="exact"/>
        <w:jc w:val="left"/>
        <w:rPr>
          <w:sz w:val="32"/>
          <w:szCs w:val="32"/>
        </w:rPr>
      </w:pPr>
      <w:r>
        <w:rPr>
          <w:rFonts w:hint="eastAsia"/>
          <w:sz w:val="32"/>
          <w:szCs w:val="32"/>
        </w:rPr>
        <w:t>十一、政府性基金预算财政拨款收入支出决算表</w:t>
      </w:r>
    </w:p>
    <w:p>
      <w:pPr>
        <w:pStyle w:val="13"/>
        <w:adjustRightInd w:val="0"/>
        <w:snapToGrid w:val="0"/>
        <w:spacing w:line="440" w:lineRule="exact"/>
        <w:jc w:val="left"/>
        <w:rPr>
          <w:sz w:val="32"/>
          <w:szCs w:val="32"/>
        </w:rPr>
      </w:pPr>
      <w:r>
        <w:rPr>
          <w:rFonts w:hint="eastAsia"/>
          <w:sz w:val="32"/>
          <w:szCs w:val="32"/>
        </w:rPr>
        <w:t>十二、政府性基金预算财政拨款“三公”经费支出决算表</w:t>
      </w:r>
    </w:p>
    <w:p>
      <w:pPr>
        <w:pStyle w:val="13"/>
        <w:adjustRightInd w:val="0"/>
        <w:snapToGrid w:val="0"/>
        <w:spacing w:line="440" w:lineRule="exact"/>
        <w:jc w:val="left"/>
        <w:rPr>
          <w:sz w:val="32"/>
          <w:szCs w:val="32"/>
        </w:rPr>
      </w:pPr>
      <w:r>
        <w:rPr>
          <w:rFonts w:hint="eastAsia"/>
          <w:sz w:val="32"/>
          <w:szCs w:val="32"/>
        </w:rPr>
        <w:t>十三、国有资本经营预算财政拨款收入支出决算表</w:t>
      </w:r>
    </w:p>
    <w:p>
      <w:pPr>
        <w:pStyle w:val="13"/>
        <w:adjustRightInd w:val="0"/>
        <w:snapToGrid w:val="0"/>
        <w:spacing w:line="440" w:lineRule="exact"/>
        <w:jc w:val="left"/>
        <w:rPr>
          <w:sz w:val="32"/>
          <w:szCs w:val="32"/>
        </w:rPr>
      </w:pPr>
      <w:r>
        <w:rPr>
          <w:rFonts w:hint="eastAsia"/>
          <w:sz w:val="32"/>
          <w:szCs w:val="32"/>
        </w:rPr>
        <w:t>十四、国有资本经营预算财政拨款支出决算表</w:t>
      </w:r>
    </w:p>
    <w:p>
      <w:pPr>
        <w:widowControl/>
        <w:adjustRightInd w:val="0"/>
        <w:snapToGrid w:val="0"/>
        <w:spacing w:line="440" w:lineRule="exact"/>
        <w:ind w:firstLine="1760" w:firstLineChars="550"/>
        <w:jc w:val="left"/>
        <w:rPr>
          <w:rFonts w:ascii="仿宋" w:hAnsi="仿宋" w:eastAsia="仿宋"/>
          <w:sz w:val="32"/>
          <w:szCs w:val="32"/>
        </w:rPr>
      </w:pPr>
      <w:r>
        <w:rPr>
          <w:rFonts w:ascii="仿宋" w:hAnsi="仿宋" w:eastAsia="仿宋"/>
          <w:sz w:val="32"/>
          <w:szCs w:val="32"/>
        </w:rPr>
        <w:t>(注：</w:t>
      </w:r>
      <w:r>
        <w:rPr>
          <w:rFonts w:hint="eastAsia" w:ascii="仿宋" w:hAnsi="仿宋" w:eastAsia="仿宋"/>
          <w:sz w:val="32"/>
          <w:szCs w:val="32"/>
        </w:rPr>
        <w:t>请单位根据实际注明页码</w:t>
      </w:r>
      <w:r>
        <w:rPr>
          <w:rFonts w:ascii="仿宋" w:hAnsi="仿宋" w:eastAsia="仿宋"/>
          <w:sz w:val="32"/>
          <w:szCs w:val="32"/>
        </w:rPr>
        <w:t>)</w:t>
      </w:r>
    </w:p>
    <w:p>
      <w:pPr>
        <w:widowControl/>
        <w:spacing w:line="440" w:lineRule="exact"/>
        <w:jc w:val="left"/>
        <w:rPr>
          <w:rFonts w:ascii="仿宋" w:hAnsi="仿宋" w:eastAsia="仿宋"/>
          <w:bCs/>
          <w:kern w:val="44"/>
          <w:sz w:val="32"/>
          <w:szCs w:val="32"/>
        </w:rPr>
      </w:pPr>
      <w:bookmarkStart w:id="18" w:name="_Toc15377196"/>
      <w:bookmarkStart w:id="19" w:name="_Toc15396599"/>
      <w:r>
        <w:rPr>
          <w:rFonts w:ascii="仿宋" w:hAnsi="仿宋" w:eastAsia="仿宋"/>
          <w:b/>
          <w:sz w:val="32"/>
          <w:szCs w:val="32"/>
        </w:rPr>
        <w:br w:type="page"/>
      </w:r>
    </w:p>
    <w:bookmarkEnd w:id="18"/>
    <w:bookmarkEnd w:id="19"/>
    <w:p>
      <w:pPr>
        <w:rPr>
          <w:rFonts w:eastAsia="仿宋"/>
        </w:rPr>
      </w:pP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黑体_GBK">
    <w:panose1 w:val="02000000000000000000"/>
    <w:charset w:val="86"/>
    <w:family w:val="auto"/>
    <w:pitch w:val="default"/>
    <w:sig w:usb0="A00002BF" w:usb1="38CF7CFA" w:usb2="00082016" w:usb3="00000000" w:csb0="00040001" w:csb1="00000000"/>
  </w:font>
  <w:font w:name="方正仿宋_GBK-WinCharSetFFFF-H">
    <w:altName w:val="方正仿宋_GBK"/>
    <w:panose1 w:val="00000000000000000000"/>
    <w:charset w:val="86"/>
    <w:family w:val="auto"/>
    <w:pitch w:val="default"/>
    <w:sig w:usb0="00000000" w:usb1="00000000" w:usb2="00000010" w:usb3="00000000" w:csb0="00040000" w:csb1="00000000"/>
  </w:font>
  <w:font w:name="华文仿宋">
    <w:altName w:val="方正仿宋_GBK"/>
    <w:panose1 w:val="02010600040101010101"/>
    <w:charset w:val="86"/>
    <w:family w:val="auto"/>
    <w:pitch w:val="default"/>
    <w:sig w:usb0="00000000" w:usb1="00000000" w:usb2="00000000" w:usb3="00000000" w:csb0="0004009F" w:csb1="DFD7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Noto Sans CJK JP Bold">
    <w:panose1 w:val="020B0800000000000000"/>
    <w:charset w:val="86"/>
    <w:family w:val="auto"/>
    <w:pitch w:val="default"/>
    <w:sig w:usb0="30000003" w:usb1="2BDF3C10" w:usb2="00000016" w:usb3="00000000" w:csb0="602E0107" w:csb1="0000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10"/>
          <w:jc w:val="center"/>
        </w:pPr>
        <w:r>
          <w:fldChar w:fldCharType="begin"/>
        </w:r>
        <w:r>
          <w:instrText xml:space="preserve">PAGE   \* MERGEFORMAT</w:instrText>
        </w:r>
        <w:r>
          <w:fldChar w:fldCharType="separate"/>
        </w:r>
        <w:r>
          <w:rPr>
            <w:lang w:val="zh-CN"/>
          </w:rPr>
          <w:t>17</w:t>
        </w:r>
        <w: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219DD7"/>
    <w:multiLevelType w:val="singleLevel"/>
    <w:tmpl w:val="BD219DD7"/>
    <w:lvl w:ilvl="0" w:tentative="0">
      <w:start w:val="7"/>
      <w:numFmt w:val="chineseCounting"/>
      <w:suff w:val="nothing"/>
      <w:lvlText w:val="%1、"/>
      <w:lvlJc w:val="left"/>
      <w:rPr>
        <w:rFonts w:hint="eastAsia"/>
      </w:rPr>
    </w:lvl>
  </w:abstractNum>
  <w:abstractNum w:abstractNumId="1">
    <w:nsid w:val="F40336B6"/>
    <w:multiLevelType w:val="singleLevel"/>
    <w:tmpl w:val="F40336B6"/>
    <w:lvl w:ilvl="0" w:tentative="0">
      <w:start w:val="2"/>
      <w:numFmt w:val="chineseCounting"/>
      <w:suff w:val="space"/>
      <w:lvlText w:val="第%1部分"/>
      <w:lvlJc w:val="left"/>
      <w:rPr>
        <w:rFonts w:hint="eastAsia"/>
      </w:rPr>
    </w:lvl>
  </w:abstractNum>
  <w:abstractNum w:abstractNumId="2">
    <w:nsid w:val="19C23A18"/>
    <w:multiLevelType w:val="singleLevel"/>
    <w:tmpl w:val="19C23A1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mExMjk5MjFkYWE0ZjRjZTYwZjJhNmJjNjI4YTM0ZGM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0F08"/>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266C"/>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863"/>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41E1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50BB"/>
    <w:rsid w:val="00F36D8F"/>
    <w:rsid w:val="00F417B1"/>
    <w:rsid w:val="00F45853"/>
    <w:rsid w:val="00F602DF"/>
    <w:rsid w:val="00F754A1"/>
    <w:rsid w:val="00F81FD9"/>
    <w:rsid w:val="00F841AA"/>
    <w:rsid w:val="00F84A94"/>
    <w:rsid w:val="00F87E96"/>
    <w:rsid w:val="00FA23E8"/>
    <w:rsid w:val="00FC22E2"/>
    <w:rsid w:val="00FD3CC1"/>
    <w:rsid w:val="00FF1E02"/>
    <w:rsid w:val="00FF30B4"/>
    <w:rsid w:val="011C44BE"/>
    <w:rsid w:val="018C1895"/>
    <w:rsid w:val="023B22E7"/>
    <w:rsid w:val="02A03AFF"/>
    <w:rsid w:val="037D3EC6"/>
    <w:rsid w:val="038F0DD1"/>
    <w:rsid w:val="03A66872"/>
    <w:rsid w:val="04132119"/>
    <w:rsid w:val="043A2CB6"/>
    <w:rsid w:val="049A1E38"/>
    <w:rsid w:val="049A5E25"/>
    <w:rsid w:val="04EE2450"/>
    <w:rsid w:val="0544004B"/>
    <w:rsid w:val="05567F30"/>
    <w:rsid w:val="056D131F"/>
    <w:rsid w:val="05E767F6"/>
    <w:rsid w:val="065D407D"/>
    <w:rsid w:val="0728596A"/>
    <w:rsid w:val="07B7228D"/>
    <w:rsid w:val="07F92E63"/>
    <w:rsid w:val="08596943"/>
    <w:rsid w:val="08CD56A4"/>
    <w:rsid w:val="098C2FDB"/>
    <w:rsid w:val="09D824F9"/>
    <w:rsid w:val="0A2032A3"/>
    <w:rsid w:val="0A2A2299"/>
    <w:rsid w:val="0A341F7E"/>
    <w:rsid w:val="0B64718D"/>
    <w:rsid w:val="0B7C6AEC"/>
    <w:rsid w:val="0B8A37D8"/>
    <w:rsid w:val="0BAD0082"/>
    <w:rsid w:val="0BC47C2C"/>
    <w:rsid w:val="0BC814CA"/>
    <w:rsid w:val="0C79460C"/>
    <w:rsid w:val="0F4A6629"/>
    <w:rsid w:val="0FFC1BB5"/>
    <w:rsid w:val="100625C1"/>
    <w:rsid w:val="10306CF5"/>
    <w:rsid w:val="10C055FF"/>
    <w:rsid w:val="113A4461"/>
    <w:rsid w:val="118107EC"/>
    <w:rsid w:val="11DD6519"/>
    <w:rsid w:val="1432607A"/>
    <w:rsid w:val="14DA53FF"/>
    <w:rsid w:val="159F38BD"/>
    <w:rsid w:val="15E06ED4"/>
    <w:rsid w:val="16BB723D"/>
    <w:rsid w:val="16BD32A1"/>
    <w:rsid w:val="17065BA4"/>
    <w:rsid w:val="174340FA"/>
    <w:rsid w:val="175C7431"/>
    <w:rsid w:val="17E56D62"/>
    <w:rsid w:val="18015F3F"/>
    <w:rsid w:val="18810280"/>
    <w:rsid w:val="19AC22AE"/>
    <w:rsid w:val="1A154411"/>
    <w:rsid w:val="1A7A42D7"/>
    <w:rsid w:val="1A8A1487"/>
    <w:rsid w:val="1A9609E5"/>
    <w:rsid w:val="1AE43EB9"/>
    <w:rsid w:val="1AE83E2B"/>
    <w:rsid w:val="1BE8440E"/>
    <w:rsid w:val="1C775201"/>
    <w:rsid w:val="1D155CEE"/>
    <w:rsid w:val="1DB401C9"/>
    <w:rsid w:val="1E632EDD"/>
    <w:rsid w:val="1E761259"/>
    <w:rsid w:val="1F242A63"/>
    <w:rsid w:val="20337402"/>
    <w:rsid w:val="20C559A4"/>
    <w:rsid w:val="20F57F95"/>
    <w:rsid w:val="227D2BB6"/>
    <w:rsid w:val="23482370"/>
    <w:rsid w:val="23985FD7"/>
    <w:rsid w:val="240371BF"/>
    <w:rsid w:val="24B535A2"/>
    <w:rsid w:val="25A55F80"/>
    <w:rsid w:val="25AC71FB"/>
    <w:rsid w:val="25C741E6"/>
    <w:rsid w:val="27366D7E"/>
    <w:rsid w:val="27842671"/>
    <w:rsid w:val="278C49B9"/>
    <w:rsid w:val="28B05368"/>
    <w:rsid w:val="29D86924"/>
    <w:rsid w:val="29FD04D3"/>
    <w:rsid w:val="2AA9206F"/>
    <w:rsid w:val="2ABE7A3E"/>
    <w:rsid w:val="2CD0422B"/>
    <w:rsid w:val="2CD747A1"/>
    <w:rsid w:val="2EFA178C"/>
    <w:rsid w:val="2F7313B2"/>
    <w:rsid w:val="2FDA13C6"/>
    <w:rsid w:val="30B46D73"/>
    <w:rsid w:val="31512B75"/>
    <w:rsid w:val="319F7F4E"/>
    <w:rsid w:val="324F491A"/>
    <w:rsid w:val="33395491"/>
    <w:rsid w:val="34700385"/>
    <w:rsid w:val="34C603ED"/>
    <w:rsid w:val="351D23D4"/>
    <w:rsid w:val="353565AA"/>
    <w:rsid w:val="357A4E6B"/>
    <w:rsid w:val="36026BA7"/>
    <w:rsid w:val="369541FD"/>
    <w:rsid w:val="38AF1198"/>
    <w:rsid w:val="38DA0A8A"/>
    <w:rsid w:val="399A1E48"/>
    <w:rsid w:val="39AE70AB"/>
    <w:rsid w:val="3B581673"/>
    <w:rsid w:val="3C0C0783"/>
    <w:rsid w:val="3DAF07F5"/>
    <w:rsid w:val="3DBD1BA1"/>
    <w:rsid w:val="3E740419"/>
    <w:rsid w:val="3ED2798E"/>
    <w:rsid w:val="3F9F3A96"/>
    <w:rsid w:val="4071772A"/>
    <w:rsid w:val="40F22897"/>
    <w:rsid w:val="41285F8B"/>
    <w:rsid w:val="418D4436"/>
    <w:rsid w:val="420D37F9"/>
    <w:rsid w:val="428B6983"/>
    <w:rsid w:val="42A83A37"/>
    <w:rsid w:val="42FE07A3"/>
    <w:rsid w:val="43426765"/>
    <w:rsid w:val="44676118"/>
    <w:rsid w:val="45C65F44"/>
    <w:rsid w:val="46410F8D"/>
    <w:rsid w:val="46445615"/>
    <w:rsid w:val="476A2E5A"/>
    <w:rsid w:val="47D42A7D"/>
    <w:rsid w:val="47F92430"/>
    <w:rsid w:val="484E4529"/>
    <w:rsid w:val="493C27E9"/>
    <w:rsid w:val="495711BC"/>
    <w:rsid w:val="496F39ED"/>
    <w:rsid w:val="49964B67"/>
    <w:rsid w:val="49E859DE"/>
    <w:rsid w:val="49FF41D3"/>
    <w:rsid w:val="4A791A90"/>
    <w:rsid w:val="4A871F75"/>
    <w:rsid w:val="4AD11DB9"/>
    <w:rsid w:val="4BE068DB"/>
    <w:rsid w:val="4BF6002B"/>
    <w:rsid w:val="4C716F21"/>
    <w:rsid w:val="4CE16B2E"/>
    <w:rsid w:val="4E4D5283"/>
    <w:rsid w:val="4ECE2238"/>
    <w:rsid w:val="50000CFA"/>
    <w:rsid w:val="50276818"/>
    <w:rsid w:val="51D75590"/>
    <w:rsid w:val="51DB4B86"/>
    <w:rsid w:val="51FF1164"/>
    <w:rsid w:val="5233498A"/>
    <w:rsid w:val="52DD70D6"/>
    <w:rsid w:val="53376EF0"/>
    <w:rsid w:val="538870BB"/>
    <w:rsid w:val="53A2397B"/>
    <w:rsid w:val="54147E55"/>
    <w:rsid w:val="54247EF2"/>
    <w:rsid w:val="54AC39A0"/>
    <w:rsid w:val="55333C3E"/>
    <w:rsid w:val="5627287C"/>
    <w:rsid w:val="577A3729"/>
    <w:rsid w:val="586A4374"/>
    <w:rsid w:val="58CB23F0"/>
    <w:rsid w:val="59FE51CE"/>
    <w:rsid w:val="5A0E5487"/>
    <w:rsid w:val="5A7B7F0D"/>
    <w:rsid w:val="5AD16A2B"/>
    <w:rsid w:val="5B727A28"/>
    <w:rsid w:val="5BF96B1A"/>
    <w:rsid w:val="5D204941"/>
    <w:rsid w:val="5DDA0407"/>
    <w:rsid w:val="5DE352BC"/>
    <w:rsid w:val="5E6F4DA2"/>
    <w:rsid w:val="5EFB0EFD"/>
    <w:rsid w:val="60486FFC"/>
    <w:rsid w:val="605F0B09"/>
    <w:rsid w:val="60F8107F"/>
    <w:rsid w:val="6116474A"/>
    <w:rsid w:val="612C2B7B"/>
    <w:rsid w:val="6156582E"/>
    <w:rsid w:val="6241266D"/>
    <w:rsid w:val="624C1682"/>
    <w:rsid w:val="628A34BD"/>
    <w:rsid w:val="6370314E"/>
    <w:rsid w:val="63C45248"/>
    <w:rsid w:val="64CA39A1"/>
    <w:rsid w:val="651A5E66"/>
    <w:rsid w:val="696C424B"/>
    <w:rsid w:val="69DD46D8"/>
    <w:rsid w:val="6BD8236E"/>
    <w:rsid w:val="6C3234B3"/>
    <w:rsid w:val="6C4A05C8"/>
    <w:rsid w:val="6CAE5423"/>
    <w:rsid w:val="6EA3125C"/>
    <w:rsid w:val="6F082DD5"/>
    <w:rsid w:val="6F72024E"/>
    <w:rsid w:val="6F736443"/>
    <w:rsid w:val="6F7728B0"/>
    <w:rsid w:val="6FF0434C"/>
    <w:rsid w:val="70790109"/>
    <w:rsid w:val="708C17E3"/>
    <w:rsid w:val="70D10E81"/>
    <w:rsid w:val="72734D90"/>
    <w:rsid w:val="72AF0710"/>
    <w:rsid w:val="73C35B74"/>
    <w:rsid w:val="73DB0A8B"/>
    <w:rsid w:val="74BA4646"/>
    <w:rsid w:val="75CF63FA"/>
    <w:rsid w:val="774B5B87"/>
    <w:rsid w:val="77891156"/>
    <w:rsid w:val="77A952F9"/>
    <w:rsid w:val="782C5C43"/>
    <w:rsid w:val="794835E0"/>
    <w:rsid w:val="79823784"/>
    <w:rsid w:val="79E7B28D"/>
    <w:rsid w:val="7BB93C20"/>
    <w:rsid w:val="7C63789C"/>
    <w:rsid w:val="7C725D31"/>
    <w:rsid w:val="7CB75FE0"/>
    <w:rsid w:val="7CEB7024"/>
    <w:rsid w:val="7CF63C70"/>
    <w:rsid w:val="7DF5228E"/>
    <w:rsid w:val="7E0B3D48"/>
    <w:rsid w:val="7E4522AA"/>
    <w:rsid w:val="7F62208D"/>
    <w:rsid w:val="7F9F20EE"/>
    <w:rsid w:val="7FE900B8"/>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unhideWhenUsed/>
    <w:qFormat/>
    <w:uiPriority w:val="99"/>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toc 3"/>
    <w:basedOn w:val="1"/>
    <w:next w:val="1"/>
    <w:unhideWhenUsed/>
    <w:qFormat/>
    <w:uiPriority w:val="39"/>
    <w:pPr>
      <w:tabs>
        <w:tab w:val="right" w:leader="dot" w:pos="8296"/>
      </w:tabs>
      <w:ind w:left="840" w:leftChars="400"/>
    </w:pPr>
  </w:style>
  <w:style w:type="paragraph" w:styleId="8">
    <w:name w:val="Plain Text"/>
    <w:basedOn w:val="1"/>
    <w:qFormat/>
    <w:uiPriority w:val="0"/>
    <w:rPr>
      <w:rFonts w:ascii="宋体" w:hAnsi="Courier New"/>
    </w:r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99"/>
    <w:rPr>
      <w:b/>
    </w:rPr>
  </w:style>
  <w:style w:type="character" w:styleId="18">
    <w:name w:val="page number"/>
    <w:basedOn w:val="16"/>
    <w:qFormat/>
    <w:uiPriority w:val="0"/>
  </w:style>
  <w:style w:type="character" w:styleId="19">
    <w:name w:val="Hyperlink"/>
    <w:basedOn w:val="16"/>
    <w:unhideWhenUsed/>
    <w:qFormat/>
    <w:uiPriority w:val="99"/>
    <w:rPr>
      <w:color w:val="0000FF" w:themeColor="hyperlink"/>
      <w:u w:val="single"/>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Char"/>
    <w:link w:val="11"/>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Char"/>
    <w:link w:val="10"/>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Char"/>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6"/>
    <w:link w:val="3"/>
    <w:qFormat/>
    <w:uiPriority w:val="9"/>
    <w:rPr>
      <w:rFonts w:ascii="Times New Roman" w:hAnsi="Times New Roman"/>
      <w:b/>
      <w:bCs/>
      <w:kern w:val="44"/>
      <w:sz w:val="44"/>
      <w:szCs w:val="44"/>
    </w:rPr>
  </w:style>
  <w:style w:type="character" w:customStyle="1" w:styleId="29">
    <w:name w:val="标题 2 Char"/>
    <w:basedOn w:val="16"/>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1">
    <w:name w:val="批注框文本 Char"/>
    <w:basedOn w:val="16"/>
    <w:link w:val="9"/>
    <w:semiHidden/>
    <w:qFormat/>
    <w:uiPriority w:val="99"/>
    <w:rPr>
      <w:rFonts w:ascii="Times New Roman" w:hAnsi="Times New Roman"/>
      <w:kern w:val="2"/>
      <w:sz w:val="18"/>
      <w:szCs w:val="18"/>
    </w:rPr>
  </w:style>
  <w:style w:type="character" w:customStyle="1" w:styleId="32">
    <w:name w:val="标题 3 Char"/>
    <w:basedOn w:val="16"/>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30416;&#36793;&#21439;&#31532;&#20108;&#20154;&#27665;&#21307;&#38498;2021&#24180;&#21333;&#20301;&#20915;&#31639;&#20844;&#24320;&#32534;&#21046;&#35828;&#26126;.et"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22270;&#34920;%20&#22312;%20&#30416;&#36793;&#21439;&#31532;&#20108;&#20154;&#27665;&#21307;&#38498;2021&#24180;&#21333;&#20301;&#20915;&#31639;&#20844;&#24320;&#32534;&#21046;&#35828;&#26126;.docx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22270;&#34920;%20&#22312;%20&#30416;&#36793;&#21439;&#31532;&#20108;&#20154;&#27665;&#21307;&#38498;2021&#24180;&#21333;&#20301;&#20915;&#31639;&#20844;&#24320;&#32534;&#21046;&#35828;&#26126;.docx2"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22270;&#34920;%20&#22312;%20&#30416;&#36793;&#21439;&#31532;&#20108;&#20154;&#27665;&#21307;&#38498;2021&#24180;&#21333;&#20301;&#20915;&#31639;&#20844;&#24320;&#32534;&#21046;&#35828;&#26126;.doc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istrator\Desktop\&#24120;&#29992;\&#21508;&#21307;&#30103;&#26426;&#26500;&#30340;2021&#24180;&#20915;&#31639;&#20844;&#24320;&#36164;&#26009;\&#22270;&#34920;&#20998;&#26512;\6.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istrator\Desktop\&#24120;&#29992;\&#21508;&#21307;&#30103;&#26426;&#26500;&#30340;2021&#24180;&#20915;&#31639;&#20844;&#24320;&#36164;&#26009;\&#22270;&#34920;&#20998;&#26512;\8.et"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Administrator\Desktop\9.et"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[盐边县第二人民医院2021年单位决算公开编制说明.et]Sheet1!$B$3</c:f>
              <c:strCache>
                <c:ptCount val="1"/>
                <c:pt idx="0">
                  <c:v>2021年</c:v>
                </c:pt>
              </c:strCache>
            </c:strRef>
          </c:tx>
          <c:spPr>
            <a:solidFill>
              <a:srgbClr val="9999FF">
                <a:alpha val="100000"/>
              </a:srgbClr>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95" b="0" i="0" u="none" strike="noStrike" kern="1200" baseline="0">
                      <a:solidFill>
                        <a:srgbClr val="000000">
                          <a:alpha val="100000"/>
                        </a:srgbClr>
                      </a:solidFill>
                      <a:latin typeface="宋体" charset="-122"/>
                      <a:ea typeface="宋体" charset="-122"/>
                      <a:cs typeface="宋体"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dLbl>
              <c:idx val="1"/>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95" b="0" i="0" u="none" strike="noStrike" kern="1200" baseline="0">
                      <a:solidFill>
                        <a:srgbClr val="000000">
                          <a:alpha val="100000"/>
                        </a:srgbClr>
                      </a:solidFill>
                      <a:latin typeface="宋体" charset="-122"/>
                      <a:ea typeface="宋体" charset="-122"/>
                      <a:cs typeface="宋体"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95" b="0" i="0" u="none" strike="noStrike" kern="1200" baseline="0">
                    <a:solidFill>
                      <a:srgbClr val="000000">
                        <a:alpha val="100000"/>
                      </a:srgbClr>
                    </a:solidFill>
                    <a:latin typeface="宋体" charset="-122"/>
                    <a:ea typeface="宋体" charset="-122"/>
                    <a:cs typeface="宋体"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[盐边县第二人民医院2021年单位决算公开编制说明.et]Sheet1!$C$2:$D$2</c:f>
              <c:strCache>
                <c:ptCount val="2"/>
                <c:pt idx="0">
                  <c:v>总收入</c:v>
                </c:pt>
                <c:pt idx="1">
                  <c:v>总支出</c:v>
                </c:pt>
              </c:strCache>
            </c:strRef>
          </c:cat>
          <c:val>
            <c:numRef>
              <c:f>[盐边县第二人民医院2021年单位决算公开编制说明.et]Sheet1!$C$3:$D$3</c:f>
              <c:numCache>
                <c:formatCode>General</c:formatCode>
                <c:ptCount val="2"/>
                <c:pt idx="0">
                  <c:v>9017.44</c:v>
                </c:pt>
                <c:pt idx="1">
                  <c:v>8905.64</c:v>
                </c:pt>
              </c:numCache>
            </c:numRef>
          </c:val>
        </c:ser>
        <c:ser>
          <c:idx val="1"/>
          <c:order val="1"/>
          <c:tx>
            <c:strRef>
              <c:f>[盐边县第二人民医院2021年单位决算公开编制说明.et]Sheet1!$B$4</c:f>
              <c:strCache>
                <c:ptCount val="1"/>
                <c:pt idx="0">
                  <c:v>2020年</c:v>
                </c:pt>
              </c:strCache>
            </c:strRef>
          </c:tx>
          <c:spPr>
            <a:solidFill>
              <a:srgbClr val="993366">
                <a:alpha val="100000"/>
              </a:srgbClr>
            </a:solidFill>
            <a:ln w="12700">
              <a:solidFill>
                <a:srgbClr val="000000">
                  <a:alpha val="100000"/>
                </a:srgbClr>
              </a:solidFill>
              <a:prstDash val="solid"/>
            </a:ln>
          </c:spPr>
          <c:invertIfNegative val="0"/>
          <c:dLbls>
            <c:dLbl>
              <c:idx val="0"/>
              <c:layout>
                <c:manualLayout>
                  <c:x val="0.0160454492753623"/>
                  <c:y val="-0.00870032756632067"/>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95" b="0" i="0" u="none" strike="noStrike" kern="1200" baseline="0">
                      <a:solidFill>
                        <a:srgbClr val="000000">
                          <a:alpha val="100000"/>
                        </a:srgbClr>
                      </a:solidFill>
                      <a:latin typeface="宋体" charset="-122"/>
                      <a:ea typeface="宋体" charset="-122"/>
                      <a:cs typeface="宋体" charset="-122"/>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93882512077295"/>
                  <c:y val="-0.00237281660899656"/>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95" b="0" i="0" u="none" strike="noStrike" kern="1200" baseline="0">
                      <a:solidFill>
                        <a:srgbClr val="000000">
                          <a:alpha val="100000"/>
                        </a:srgbClr>
                      </a:solidFill>
                      <a:latin typeface="宋体" charset="-122"/>
                      <a:ea typeface="宋体" charset="-122"/>
                      <a:cs typeface="宋体" charset="-122"/>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95" b="0" i="0" u="none" strike="noStrike" kern="1200" baseline="0">
                    <a:solidFill>
                      <a:srgbClr val="000000">
                        <a:alpha val="100000"/>
                      </a:srgbClr>
                    </a:solidFill>
                    <a:latin typeface="宋体" charset="-122"/>
                    <a:ea typeface="宋体" charset="-122"/>
                    <a:cs typeface="宋体"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[盐边县第二人民医院2021年单位决算公开编制说明.et]Sheet1!$C$2:$D$2</c:f>
              <c:strCache>
                <c:ptCount val="2"/>
                <c:pt idx="0">
                  <c:v>总收入</c:v>
                </c:pt>
                <c:pt idx="1">
                  <c:v>总支出</c:v>
                </c:pt>
              </c:strCache>
            </c:strRef>
          </c:cat>
          <c:val>
            <c:numRef>
              <c:f>[盐边县第二人民医院2021年单位决算公开编制说明.et]Sheet1!$C$4:$D$4</c:f>
              <c:numCache>
                <c:formatCode>General</c:formatCode>
                <c:ptCount val="2"/>
                <c:pt idx="0">
                  <c:v>6585.42</c:v>
                </c:pt>
                <c:pt idx="1">
                  <c:v>6391.84</c:v>
                </c:pt>
              </c:numCache>
            </c:numRef>
          </c:val>
        </c:ser>
        <c:dLbls>
          <c:showLegendKey val="0"/>
          <c:showVal val="0"/>
          <c:showCatName val="0"/>
          <c:showSerName val="0"/>
          <c:showPercent val="0"/>
          <c:showBubbleSize val="0"/>
        </c:dLbls>
        <c:gapWidth val="150"/>
        <c:overlap val="0"/>
        <c:axId val="800794173"/>
        <c:axId val="719202653"/>
      </c:barChart>
      <c:catAx>
        <c:axId val="800794173"/>
        <c:scaling>
          <c:orientation val="minMax"/>
        </c:scaling>
        <c:delete val="0"/>
        <c:axPos val="b"/>
        <c:majorTickMark val="in"/>
        <c:minorTickMark val="none"/>
        <c:tickLblPos val="nextTo"/>
        <c:spPr>
          <a:ln w="25400" cap="flat" cmpd="sng" algn="ctr">
            <a:solidFill>
              <a:srgbClr val="000000">
                <a:alpha val="100000"/>
              </a:srgbClr>
            </a:solidFill>
            <a:prstDash val="solid"/>
            <a:round/>
          </a:ln>
        </c:spPr>
        <c:txPr>
          <a:bodyPr rot="-60000000" spcFirstLastPara="0" vertOverflow="ellipsis" vert="horz" wrap="square" anchor="ctr" anchorCtr="1"/>
          <a:lstStyle/>
          <a:p>
            <a:pPr>
              <a:defRPr lang="zh-CN" sz="1295" b="0" i="0" u="none" strike="noStrike" kern="1200" baseline="0">
                <a:solidFill>
                  <a:srgbClr val="000000">
                    <a:alpha val="100000"/>
                  </a:srgbClr>
                </a:solidFill>
                <a:latin typeface="宋体" charset="-122"/>
                <a:ea typeface="宋体" charset="-122"/>
                <a:cs typeface="宋体" charset="-122"/>
              </a:defRPr>
            </a:pPr>
          </a:p>
        </c:txPr>
        <c:crossAx val="719202653"/>
        <c:crosses val="autoZero"/>
        <c:auto val="1"/>
        <c:lblAlgn val="ctr"/>
        <c:lblOffset val="100"/>
        <c:tickLblSkip val="1"/>
        <c:noMultiLvlLbl val="0"/>
      </c:catAx>
      <c:valAx>
        <c:axId val="719202653"/>
        <c:scaling>
          <c:orientation val="minMax"/>
        </c:scaling>
        <c:delete val="0"/>
        <c:axPos val="l"/>
        <c:numFmt formatCode="General" sourceLinked="1"/>
        <c:majorTickMark val="in"/>
        <c:minorTickMark val="none"/>
        <c:tickLblPos val="nextTo"/>
        <c:spPr>
          <a:ln w="25400" cap="flat" cmpd="sng" algn="ctr">
            <a:solidFill>
              <a:srgbClr val="000000">
                <a:alpha val="100000"/>
              </a:srgbClr>
            </a:solidFill>
            <a:prstDash val="solid"/>
            <a:round/>
          </a:ln>
        </c:spPr>
        <c:txPr>
          <a:bodyPr rot="0" spcFirstLastPara="0" vertOverflow="ellipsis" vert="horz" wrap="square" anchor="ctr" anchorCtr="1"/>
          <a:lstStyle/>
          <a:p>
            <a:pPr>
              <a:defRPr lang="zh-CN" sz="1295" b="0" i="0" u="none" strike="noStrike" kern="1200" baseline="0">
                <a:solidFill>
                  <a:srgbClr val="000000">
                    <a:alpha val="100000"/>
                  </a:srgbClr>
                </a:solidFill>
                <a:latin typeface="宋体" charset="-122"/>
                <a:ea typeface="宋体" charset="-122"/>
                <a:cs typeface="宋体" charset="-122"/>
              </a:defRPr>
            </a:pPr>
          </a:p>
        </c:txPr>
        <c:crossAx val="800794173"/>
        <c:crosses val="autoZero"/>
        <c:crossBetween val="between"/>
      </c:valAx>
      <c:spPr>
        <a:noFill/>
        <a:ln w="3175">
          <a:noFill/>
        </a:ln>
      </c:spPr>
    </c:plotArea>
    <c:legend>
      <c:legendPos val="r"/>
      <c:layout>
        <c:manualLayout>
          <c:xMode val="edge"/>
          <c:yMode val="edge"/>
          <c:x val="0.814"/>
          <c:y val="0.38525"/>
          <c:w val="0.17725"/>
          <c:h val="0.16275"/>
        </c:manualLayout>
      </c:layout>
      <c:overlay val="0"/>
      <c:spPr>
        <a:noFill/>
        <a:ln w="3175">
          <a:noFill/>
        </a:ln>
      </c:spPr>
      <c:txPr>
        <a:bodyPr rot="0" spcFirstLastPara="0" vertOverflow="ellipsis" vert="horz" wrap="square" anchor="ctr" anchorCtr="1"/>
        <a:lstStyle/>
        <a:p>
          <a:pPr>
            <a:defRPr lang="zh-CN" sz="1295" b="0" i="0" u="none" strike="noStrike" kern="1200" baseline="0">
              <a:solidFill>
                <a:srgbClr val="000000">
                  <a:alpha val="100000"/>
                </a:srgbClr>
              </a:solidFill>
              <a:latin typeface="宋体" charset="-122"/>
              <a:ea typeface="宋体" charset="-122"/>
              <a:cs typeface="宋体" charset="-122"/>
            </a:defRPr>
          </a:pPr>
        </a:p>
      </c:txPr>
    </c:legend>
    <c:plotVisOnly val="1"/>
    <c:dispBlanksAs val="gap"/>
    <c:showDLblsOverMax val="0"/>
  </c:chart>
  <c:spPr>
    <a:solidFill>
      <a:srgbClr val="FFFFFF">
        <a:alpha val="100000"/>
      </a:srgbClr>
    </a:solidFill>
    <a:ln w="3175" cap="flat" cmpd="sng" algn="ctr">
      <a:solidFill>
        <a:srgbClr val="993300">
          <a:alpha val="100000"/>
        </a:srgbClr>
      </a:solidFill>
      <a:prstDash val="solid"/>
      <a:round/>
    </a:ln>
  </c:spPr>
  <c:txPr>
    <a:bodyPr rot="0" wrap="square" anchor="ctr" anchorCtr="1"/>
    <a:lstStyle/>
    <a:p>
      <a:pPr>
        <a:defRPr lang="zh-CN" sz="1295" b="0" i="0" u="none" strike="noStrike" baseline="0">
          <a:solidFill>
            <a:srgbClr val="000000"/>
          </a:solidFill>
          <a:latin typeface="宋体" charset="-122"/>
          <a:ea typeface="宋体" charset="-122"/>
          <a:cs typeface="宋体"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0414307416102748"/>
          <c:y val="0.309689570063694"/>
          <c:w val="0.44175"/>
          <c:h val="0.68875"/>
        </c:manualLayout>
      </c:layout>
      <c:pieChart>
        <c:varyColors val="1"/>
        <c:ser>
          <c:idx val="0"/>
          <c:order val="0"/>
          <c:tx>
            <c:strRef>
              <c:f>'[图表 在 盐边县第二人民医院2021年单位决算公开编制说明.docx1]Sheet1'!$B$3</c:f>
              <c:strCache>
                <c:ptCount val="1"/>
                <c:pt idx="0">
                  <c:v>2021年收入结构</c:v>
                </c:pt>
              </c:strCache>
            </c:strRef>
          </c:tx>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Lbls>
            <c:dLbl>
              <c:idx val="0"/>
              <c:layout>
                <c:manualLayout>
                  <c:x val="-0.934188089312008"/>
                  <c:y val="-0.761223137950801"/>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405" b="0" i="0" u="none" strike="noStrike" kern="1200" baseline="0">
                      <a:solidFill>
                        <a:srgbClr val="000000">
                          <a:alpha val="100000"/>
                        </a:srgbClr>
                      </a:solidFill>
                      <a:latin typeface="宋体" charset="-122"/>
                      <a:ea typeface="宋体" charset="-122"/>
                      <a:cs typeface="宋体" charset="-122"/>
                    </a:defRPr>
                  </a:pPr>
                </a:p>
              </c:txPr>
              <c:dLblPos val="outEnd"/>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0310730562077061"/>
                  <c:y val="0.192239737028132"/>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405" b="0" i="0" u="none" strike="noStrike" kern="1200" baseline="0">
                      <a:solidFill>
                        <a:srgbClr val="000000">
                          <a:alpha val="100000"/>
                        </a:srgbClr>
                      </a:solidFill>
                      <a:latin typeface="宋体" charset="-122"/>
                      <a:ea typeface="宋体" charset="-122"/>
                      <a:cs typeface="宋体" charset="-122"/>
                    </a:defRPr>
                  </a:pPr>
                </a:p>
              </c:txPr>
              <c:dLblPos val="bestFit"/>
              <c:showLegendKey val="0"/>
              <c:showVal val="1"/>
              <c:showCatName val="1"/>
              <c:showSerName val="0"/>
              <c:showPercent val="0"/>
              <c:showBubbleSize val="0"/>
              <c:extLst>
                <c:ext xmlns:c15="http://schemas.microsoft.com/office/drawing/2012/chart" uri="{CE6537A1-D6FC-4f65-9D91-7224C49458BB}">
                  <c15:layout/>
                </c:ext>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405" b="0" i="0" u="none" strike="noStrike" kern="1200" baseline="0">
                    <a:solidFill>
                      <a:srgbClr val="000000">
                        <a:alpha val="100000"/>
                      </a:srgbClr>
                    </a:solidFill>
                    <a:latin typeface="宋体" charset="-122"/>
                    <a:ea typeface="宋体" charset="-122"/>
                    <a:cs typeface="宋体" charset="-122"/>
                  </a:defRPr>
                </a:pPr>
              </a:p>
            </c:txPr>
            <c:dLblPos val="outEnd"/>
            <c:showLegendKey val="0"/>
            <c:showVal val="1"/>
            <c:showCatName val="1"/>
            <c:showSerName val="0"/>
            <c:showPercent val="0"/>
            <c:showBubbleSize val="0"/>
            <c:showLeaderLines val="0"/>
            <c:extLst>
              <c:ext xmlns:c15="http://schemas.microsoft.com/office/drawing/2012/chart" uri="{CE6537A1-D6FC-4f65-9D91-7224C49458BB}">
                <c15:layout/>
                <c15:showLeaderLines val="0"/>
                <c15:leaderLines/>
              </c:ext>
            </c:extLst>
          </c:dLbls>
          <c:cat>
            <c:strRef>
              <c:f>'[图表 在 盐边县第二人民医院2021年单位决算公开编制说明.docx1]Sheet1'!$C$2:$D$2</c:f>
              <c:strCache>
                <c:ptCount val="2"/>
                <c:pt idx="0">
                  <c:v>一般公共预算财政拨款</c:v>
                </c:pt>
                <c:pt idx="1">
                  <c:v>其他收入</c:v>
                </c:pt>
              </c:strCache>
            </c:strRef>
          </c:cat>
          <c:val>
            <c:numRef>
              <c:f>'[图表 在 盐边县第二人民医院2021年单位决算公开编制说明.docx1]Sheet1'!$C$3:$D$3</c:f>
              <c:numCache>
                <c:formatCode>General</c:formatCode>
                <c:ptCount val="2"/>
                <c:pt idx="0">
                  <c:v>9017.44</c:v>
                </c:pt>
                <c:pt idx="1">
                  <c:v>3096.22</c:v>
                </c:pt>
              </c:numCache>
            </c:numRef>
          </c:val>
        </c:ser>
        <c:dLbls>
          <c:showLegendKey val="0"/>
          <c:showVal val="0"/>
          <c:showCatName val="0"/>
          <c:showSerName val="0"/>
          <c:showPercent val="0"/>
          <c:showBubbleSize val="0"/>
          <c:showLeaderLines val="0"/>
        </c:dLbls>
        <c:firstSliceAng val="0"/>
      </c:pieChart>
      <c:spPr>
        <a:noFill/>
        <a:ln w="3175">
          <a:noFill/>
        </a:ln>
      </c:spPr>
    </c:plotArea>
    <c:legend>
      <c:legendPos val="r"/>
      <c:layout>
        <c:manualLayout>
          <c:xMode val="edge"/>
          <c:yMode val="edge"/>
          <c:x val="0.67575"/>
          <c:y val="0.39925"/>
          <c:w val="0.30075"/>
          <c:h val="0.28775"/>
        </c:manualLayout>
      </c:layout>
      <c:overlay val="0"/>
      <c:spPr>
        <a:noFill/>
        <a:ln w="3175">
          <a:noFill/>
        </a:ln>
      </c:spPr>
      <c:txPr>
        <a:bodyPr rot="0" spcFirstLastPara="0" vertOverflow="ellipsis" vert="horz" wrap="square" anchor="ctr" anchorCtr="1"/>
        <a:lstStyle/>
        <a:p>
          <a:pPr>
            <a:defRPr lang="zh-CN" sz="1405" b="0" i="0" u="none" strike="noStrike" kern="1200" baseline="0">
              <a:solidFill>
                <a:srgbClr val="000000">
                  <a:alpha val="100000"/>
                </a:srgbClr>
              </a:solidFill>
              <a:latin typeface="宋体" charset="-122"/>
              <a:ea typeface="宋体" charset="-122"/>
              <a:cs typeface="宋体" charset="-122"/>
            </a:defRPr>
          </a:pPr>
        </a:p>
      </c:txPr>
    </c:legend>
    <c:plotVisOnly val="1"/>
    <c:dispBlanksAs val="gap"/>
    <c:showDLblsOverMax val="0"/>
  </c:chart>
  <c:spPr>
    <a:solidFill>
      <a:srgbClr val="FFFFFF">
        <a:alpha val="100000"/>
      </a:srgbClr>
    </a:solidFill>
    <a:ln w="3175" cap="flat" cmpd="sng" algn="ctr">
      <a:solidFill>
        <a:srgbClr val="993300">
          <a:alpha val="100000"/>
        </a:srgbClr>
      </a:solidFill>
      <a:prstDash val="solid"/>
      <a:round/>
    </a:ln>
  </c:spPr>
  <c:txPr>
    <a:bodyPr rot="0" wrap="square" anchor="ctr" anchorCtr="1"/>
    <a:lstStyle/>
    <a:p>
      <a:pPr>
        <a:defRPr lang="zh-CN" sz="1405" b="0" i="0" u="none" strike="noStrike" baseline="0">
          <a:solidFill>
            <a:srgbClr val="000000"/>
          </a:solidFill>
          <a:latin typeface="宋体" charset="-122"/>
          <a:ea typeface="宋体" charset="-122"/>
          <a:cs typeface="宋体"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1" i="0" u="none" strike="noStrike" kern="1200" baseline="0">
                <a:solidFill>
                  <a:srgbClr val="993300">
                    <a:alpha val="100000"/>
                  </a:srgbClr>
                </a:solidFill>
                <a:latin typeface="宋体" charset="-122"/>
                <a:ea typeface="宋体" charset="-122"/>
                <a:cs typeface="宋体" charset="-122"/>
              </a:defRPr>
            </a:pPr>
            <a:r>
              <a:t>2021年</a:t>
            </a:r>
            <a:endParaRPr sz="1200" b="1" i="0" u="none" strike="noStrike" baseline="0">
              <a:solidFill>
                <a:srgbClr val="993300">
                  <a:alpha val="100000"/>
                </a:srgbClr>
              </a:solidFill>
              <a:latin typeface="宋体" charset="-122"/>
              <a:ea typeface="宋体" charset="-122"/>
              <a:cs typeface="宋体" charset="-122"/>
            </a:endParaRPr>
          </a:p>
        </c:rich>
      </c:tx>
      <c:layout/>
      <c:overlay val="0"/>
    </c:title>
    <c:autoTitleDeleted val="0"/>
    <c:plotArea>
      <c:layout/>
      <c:pieChart>
        <c:varyColors val="1"/>
        <c:ser>
          <c:idx val="0"/>
          <c:order val="0"/>
          <c:tx>
            <c:strRef>
              <c:f>'[图表 在 盐边县第二人民医院2021年单位决算公开编制说明.docx2]Sheet1'!$B$3</c:f>
              <c:strCache>
                <c:ptCount val="1"/>
                <c:pt idx="0">
                  <c:v>2021年</c:v>
                </c:pt>
              </c:strCache>
            </c:strRef>
          </c:tx>
          <c:spPr>
            <a:solidFill>
              <a:srgbClr val="9999FF"/>
            </a:solidFill>
            <a:ln w="12700">
              <a:solidFill>
                <a:srgbClr val="000000">
                  <a:alpha val="100000"/>
                </a:srgbClr>
              </a:solidFill>
              <a:prstDash val="solid"/>
            </a:ln>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993300">
                          <a:alpha val="100000"/>
                        </a:srgbClr>
                      </a:solidFill>
                      <a:latin typeface="宋体" charset="-122"/>
                      <a:ea typeface="宋体" charset="-122"/>
                      <a:cs typeface="宋体" charset="-122"/>
                    </a:defRPr>
                  </a:pPr>
                </a:p>
              </c:txPr>
              <c:dLblPos val="bestFit"/>
              <c:showLegendKey val="0"/>
              <c:showVal val="1"/>
              <c:showCatName val="1"/>
              <c:showSerName val="0"/>
              <c:showPercent val="0"/>
              <c:showBubbleSize val="0"/>
              <c:extLst>
                <c:ext xmlns:c15="http://schemas.microsoft.com/office/drawing/2012/chart" uri="{CE6537A1-D6FC-4f65-9D91-7224C49458BB}"/>
              </c:extLst>
            </c:dLbl>
            <c:dLbl>
              <c:idx val="1"/>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993300">
                          <a:alpha val="100000"/>
                        </a:srgbClr>
                      </a:solidFill>
                      <a:latin typeface="宋体" charset="-122"/>
                      <a:ea typeface="宋体" charset="-122"/>
                      <a:cs typeface="宋体" charset="-122"/>
                    </a:defRPr>
                  </a:pPr>
                </a:p>
              </c:txPr>
              <c:dLblPos val="bestFit"/>
              <c:showLegendKey val="0"/>
              <c:showVal val="1"/>
              <c:showCatName val="1"/>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993300">
                        <a:alpha val="100000"/>
                      </a:srgbClr>
                    </a:solidFill>
                    <a:latin typeface="宋体" charset="-122"/>
                    <a:ea typeface="宋体" charset="-122"/>
                    <a:cs typeface="宋体" charset="-122"/>
                  </a:defRPr>
                </a:pPr>
              </a:p>
            </c:txPr>
            <c:dLblPos val="bestFit"/>
            <c:showLegendKey val="0"/>
            <c:showVal val="1"/>
            <c:showCatName val="1"/>
            <c:showSerName val="0"/>
            <c:showPercent val="0"/>
            <c:showBubbleSize val="0"/>
            <c:showLeaderLines val="0"/>
            <c:extLst>
              <c:ext xmlns:c15="http://schemas.microsoft.com/office/drawing/2012/chart" uri="{CE6537A1-D6FC-4f65-9D91-7224C49458BB}">
                <c15:layout/>
                <c15:showLeaderLines val="0"/>
                <c15:leaderLines/>
              </c:ext>
            </c:extLst>
          </c:dLbls>
          <c:cat>
            <c:strRef>
              <c:f>'[图表 在 盐边县第二人民医院2021年单位决算公开编制说明.docx2]Sheet1'!$C$2:$D$2</c:f>
              <c:strCache>
                <c:ptCount val="2"/>
                <c:pt idx="0">
                  <c:v>基本支出</c:v>
                </c:pt>
                <c:pt idx="1">
                  <c:v>项目支出</c:v>
                </c:pt>
              </c:strCache>
            </c:strRef>
          </c:cat>
          <c:val>
            <c:numRef>
              <c:f>'[图表 在 盐边县第二人民医院2021年单位决算公开编制说明.docx2]Sheet1'!$C$3:$D$3</c:f>
              <c:numCache>
                <c:formatCode>General</c:formatCode>
                <c:ptCount val="2"/>
                <c:pt idx="0">
                  <c:v>6727.44</c:v>
                </c:pt>
                <c:pt idx="1">
                  <c:v>2178.2</c:v>
                </c:pt>
              </c:numCache>
            </c:numRef>
          </c:val>
        </c:ser>
        <c:dLbls>
          <c:showLegendKey val="0"/>
          <c:showVal val="0"/>
          <c:showCatName val="0"/>
          <c:showSerName val="0"/>
          <c:showPercent val="0"/>
          <c:showBubbleSize val="0"/>
          <c:showLeaderLines val="0"/>
        </c:dLbls>
        <c:firstSliceAng val="0"/>
      </c:pieChart>
      <c:spPr>
        <a:noFill/>
        <a:ln w="3175">
          <a:noFill/>
        </a:ln>
      </c:spPr>
    </c:plotArea>
    <c:legend>
      <c:legendPos val="r"/>
      <c:layout>
        <c:manualLayout>
          <c:xMode val="edge"/>
          <c:yMode val="edge"/>
          <c:x val="0.793"/>
          <c:y val="0.476"/>
          <c:w val="0.19825"/>
          <c:h val="0.16275"/>
        </c:manualLayout>
      </c:layout>
      <c:overlay val="0"/>
      <c:spPr>
        <a:noFill/>
        <a:ln w="3175">
          <a:noFill/>
        </a:ln>
      </c:spPr>
      <c:txPr>
        <a:bodyPr rot="0" spcFirstLastPara="0" vertOverflow="ellipsis" vert="horz" wrap="square" anchor="ctr" anchorCtr="1"/>
        <a:lstStyle/>
        <a:p>
          <a:pPr>
            <a:defRPr lang="zh-CN" sz="1200" b="0" i="0" u="none" strike="noStrike" kern="1200" baseline="0">
              <a:solidFill>
                <a:srgbClr val="993300">
                  <a:alpha val="100000"/>
                </a:srgbClr>
              </a:solidFill>
              <a:latin typeface="宋体" charset="-122"/>
              <a:ea typeface="宋体" charset="-122"/>
              <a:cs typeface="宋体" charset="-122"/>
            </a:defRPr>
          </a:pPr>
        </a:p>
      </c:txPr>
    </c:legend>
    <c:plotVisOnly val="1"/>
    <c:dispBlanksAs val="gap"/>
    <c:showDLblsOverMax val="0"/>
  </c:chart>
  <c:spPr>
    <a:solidFill>
      <a:srgbClr val="FFFFFF"/>
    </a:solidFill>
    <a:ln w="3175" cap="flat" cmpd="sng" algn="ctr">
      <a:solidFill>
        <a:srgbClr val="993300">
          <a:alpha val="100000"/>
        </a:srgbClr>
      </a:solidFill>
      <a:prstDash val="solid"/>
      <a:round/>
    </a:ln>
  </c:spPr>
  <c:txPr>
    <a:bodyPr rot="0" wrap="square" anchor="ctr" anchorCtr="1"/>
    <a:lstStyle/>
    <a:p>
      <a:pPr>
        <a:defRPr lang="zh-CN" sz="1200" b="0" i="0" u="none" strike="noStrike" baseline="0">
          <a:solidFill>
            <a:srgbClr val="993300">
              <a:alpha val="100000"/>
            </a:srgbClr>
          </a:solidFill>
          <a:latin typeface="宋体" charset="-122"/>
          <a:ea typeface="宋体" charset="-122"/>
          <a:cs typeface="宋体"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'[图表 在 盐边县第二人民医院2021年单位决算公开编制说明.docx]Sheet1'!$B$3</c:f>
              <c:strCache>
                <c:ptCount val="1"/>
                <c:pt idx="0">
                  <c:v>2021年</c:v>
                </c:pt>
              </c:strCache>
            </c:strRef>
          </c:tx>
          <c:spPr>
            <a:solidFill>
              <a:srgbClr val="9999FF"/>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993300">
                          <a:alpha val="100000"/>
                        </a:srgbClr>
                      </a:solidFill>
                      <a:latin typeface="宋体" charset="-122"/>
                      <a:ea typeface="宋体" charset="-122"/>
                      <a:cs typeface="宋体"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dLbl>
              <c:idx val="1"/>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993300">
                          <a:alpha val="100000"/>
                        </a:srgbClr>
                      </a:solidFill>
                      <a:latin typeface="宋体" charset="-122"/>
                      <a:ea typeface="宋体" charset="-122"/>
                      <a:cs typeface="宋体"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993300">
                        <a:alpha val="100000"/>
                      </a:srgbClr>
                    </a:solidFill>
                    <a:latin typeface="宋体" charset="-122"/>
                    <a:ea typeface="宋体" charset="-122"/>
                    <a:cs typeface="宋体"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'[图表 在 盐边县第二人民医院2021年单位决算公开编制说明.docx]Sheet1'!$C$2:$D$2</c:f>
              <c:strCache>
                <c:ptCount val="2"/>
                <c:pt idx="0">
                  <c:v>财政拨款收入</c:v>
                </c:pt>
                <c:pt idx="1">
                  <c:v>财政拨款支出</c:v>
                </c:pt>
              </c:strCache>
            </c:strRef>
          </c:cat>
          <c:val>
            <c:numRef>
              <c:f>'[图表 在 盐边县第二人民医院2021年单位决算公开编制说明.docx]Sheet1'!$C$3:$D$3</c:f>
              <c:numCache>
                <c:formatCode>General</c:formatCode>
                <c:ptCount val="2"/>
                <c:pt idx="0">
                  <c:v>5921.22</c:v>
                </c:pt>
                <c:pt idx="1">
                  <c:v>6609.51</c:v>
                </c:pt>
              </c:numCache>
            </c:numRef>
          </c:val>
        </c:ser>
        <c:ser>
          <c:idx val="1"/>
          <c:order val="1"/>
          <c:tx>
            <c:strRef>
              <c:f>'[图表 在 盐边县第二人民医院2021年单位决算公开编制说明.docx]Sheet1'!$B$4</c:f>
              <c:strCache>
                <c:ptCount val="1"/>
                <c:pt idx="0">
                  <c:v>2020年</c:v>
                </c:pt>
              </c:strCache>
            </c:strRef>
          </c:tx>
          <c:spPr>
            <a:solidFill>
              <a:srgbClr val="993366"/>
            </a:solidFill>
            <a:ln w="12700">
              <a:solidFill>
                <a:srgbClr val="000000">
                  <a:alpha val="100000"/>
                </a:srgbClr>
              </a:solidFill>
              <a:prstDash val="solid"/>
            </a:ln>
          </c:spPr>
          <c:invertIfNegative val="0"/>
          <c:dLbls>
            <c:dLbl>
              <c:idx val="0"/>
              <c:layout>
                <c:manualLayout>
                  <c:x val="0.016543258891646"/>
                  <c:y val="0.00677129142289822"/>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993300">
                          <a:alpha val="100000"/>
                        </a:srgbClr>
                      </a:solidFill>
                      <a:latin typeface="宋体" charset="-122"/>
                      <a:ea typeface="宋体" charset="-122"/>
                      <a:cs typeface="宋体" charset="-122"/>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206790736145573"/>
                  <c:y val="0"/>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993300">
                          <a:alpha val="100000"/>
                        </a:srgbClr>
                      </a:solidFill>
                      <a:latin typeface="宋体" charset="-122"/>
                      <a:ea typeface="宋体" charset="-122"/>
                      <a:cs typeface="宋体" charset="-122"/>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993300">
                        <a:alpha val="100000"/>
                      </a:srgbClr>
                    </a:solidFill>
                    <a:latin typeface="宋体" charset="-122"/>
                    <a:ea typeface="宋体" charset="-122"/>
                    <a:cs typeface="宋体"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'[图表 在 盐边县第二人民医院2021年单位决算公开编制说明.docx]Sheet1'!$C$2:$D$2</c:f>
              <c:strCache>
                <c:ptCount val="2"/>
                <c:pt idx="0">
                  <c:v>财政拨款收入</c:v>
                </c:pt>
                <c:pt idx="1">
                  <c:v>财政拨款支出</c:v>
                </c:pt>
              </c:strCache>
            </c:strRef>
          </c:cat>
          <c:val>
            <c:numRef>
              <c:f>'[图表 在 盐边县第二人民医院2021年单位决算公开编制说明.docx]Sheet1'!$C$4:$D$4</c:f>
              <c:numCache>
                <c:formatCode>General</c:formatCode>
                <c:ptCount val="2"/>
                <c:pt idx="0">
                  <c:v>6116.86</c:v>
                </c:pt>
                <c:pt idx="1">
                  <c:v>5512.5</c:v>
                </c:pt>
              </c:numCache>
            </c:numRef>
          </c:val>
        </c:ser>
        <c:dLbls>
          <c:showLegendKey val="0"/>
          <c:showVal val="1"/>
          <c:showCatName val="0"/>
          <c:showSerName val="0"/>
          <c:showPercent val="0"/>
          <c:showBubbleSize val="0"/>
        </c:dLbls>
        <c:gapWidth val="150"/>
        <c:overlap val="0"/>
        <c:axId val="572664433"/>
        <c:axId val="629890873"/>
      </c:barChart>
      <c:catAx>
        <c:axId val="572664433"/>
        <c:scaling>
          <c:orientation val="minMax"/>
        </c:scaling>
        <c:delete val="0"/>
        <c:axPos val="b"/>
        <c:majorTickMark val="in"/>
        <c:minorTickMark val="none"/>
        <c:tickLblPos val="nextTo"/>
        <c:spPr>
          <a:ln w="12700"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993300">
                    <a:alpha val="100000"/>
                  </a:srgbClr>
                </a:solidFill>
                <a:latin typeface="宋体" charset="-122"/>
                <a:ea typeface="宋体" charset="-122"/>
                <a:cs typeface="宋体" charset="-122"/>
              </a:defRPr>
            </a:pPr>
          </a:p>
        </c:txPr>
        <c:crossAx val="629890873"/>
        <c:crosses val="autoZero"/>
        <c:auto val="1"/>
        <c:lblAlgn val="ctr"/>
        <c:lblOffset val="100"/>
        <c:tickLblSkip val="1"/>
        <c:noMultiLvlLbl val="0"/>
      </c:catAx>
      <c:valAx>
        <c:axId val="629890873"/>
        <c:scaling>
          <c:orientation val="minMax"/>
        </c:scaling>
        <c:delete val="0"/>
        <c:axPos val="l"/>
        <c:numFmt formatCode="General" sourceLinked="1"/>
        <c:majorTickMark val="in"/>
        <c:minorTickMark val="none"/>
        <c:tickLblPos val="nextTo"/>
        <c:spPr>
          <a:ln w="12700"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993300">
                    <a:alpha val="100000"/>
                  </a:srgbClr>
                </a:solidFill>
                <a:latin typeface="宋体" charset="-122"/>
                <a:ea typeface="宋体" charset="-122"/>
                <a:cs typeface="宋体" charset="-122"/>
              </a:defRPr>
            </a:pPr>
          </a:p>
        </c:txPr>
        <c:crossAx val="572664433"/>
        <c:crosses val="autoZero"/>
        <c:crossBetween val="between"/>
      </c:valAx>
      <c:spPr>
        <a:noFill/>
        <a:ln w="3175">
          <a:noFill/>
        </a:ln>
      </c:spPr>
    </c:plotArea>
    <c:legend>
      <c:legendPos val="r"/>
      <c:layout>
        <c:manualLayout>
          <c:xMode val="edge"/>
          <c:yMode val="edge"/>
          <c:x val="0.827"/>
          <c:y val="0.38525"/>
          <c:w val="0.16425"/>
          <c:h val="0.16275"/>
        </c:manualLayout>
      </c:layout>
      <c:overlay val="0"/>
      <c:spPr>
        <a:noFill/>
        <a:ln w="3175">
          <a:noFill/>
        </a:ln>
      </c:spPr>
      <c:txPr>
        <a:bodyPr rot="0" spcFirstLastPara="0" vertOverflow="ellipsis" vert="horz" wrap="square" anchor="ctr" anchorCtr="1"/>
        <a:lstStyle/>
        <a:p>
          <a:pPr>
            <a:defRPr lang="zh-CN" sz="1200" b="0" i="0" u="none" strike="noStrike" kern="1200" baseline="0">
              <a:solidFill>
                <a:srgbClr val="993300">
                  <a:alpha val="100000"/>
                </a:srgbClr>
              </a:solidFill>
              <a:latin typeface="宋体" charset="-122"/>
              <a:ea typeface="宋体" charset="-122"/>
              <a:cs typeface="宋体" charset="-122"/>
            </a:defRPr>
          </a:pPr>
        </a:p>
      </c:txPr>
    </c:legend>
    <c:plotVisOnly val="1"/>
    <c:dispBlanksAs val="gap"/>
    <c:showDLblsOverMax val="0"/>
  </c:chart>
  <c:spPr>
    <a:solidFill>
      <a:srgbClr val="FFFFFF"/>
    </a:solidFill>
    <a:ln w="3175" cap="flat" cmpd="sng" algn="ctr">
      <a:solidFill>
        <a:srgbClr val="993300">
          <a:alpha val="100000"/>
        </a:srgbClr>
      </a:solidFill>
      <a:prstDash val="solid"/>
      <a:round/>
    </a:ln>
  </c:spPr>
  <c:txPr>
    <a:bodyPr rot="0" wrap="square" anchor="ctr" anchorCtr="1"/>
    <a:lstStyle/>
    <a:p>
      <a:pPr>
        <a:defRPr lang="zh-CN" sz="1200" b="0" i="0" u="none" strike="noStrike" baseline="0">
          <a:solidFill>
            <a:srgbClr val="993300">
              <a:alpha val="100000"/>
            </a:srgbClr>
          </a:solidFill>
          <a:latin typeface="宋体" charset="-122"/>
          <a:ea typeface="宋体" charset="-122"/>
          <a:cs typeface="宋体"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025"/>
          <c:y val="0.07075"/>
          <c:w val="0.71025"/>
          <c:h val="0.7875"/>
        </c:manualLayout>
      </c:layout>
      <c:barChart>
        <c:barDir val="col"/>
        <c:grouping val="clustered"/>
        <c:varyColors val="0"/>
        <c:ser>
          <c:idx val="0"/>
          <c:order val="0"/>
          <c:tx>
            <c:strRef>
              <c:f>[6.xls]Sheet1!$B$3</c:f>
              <c:strCache>
                <c:ptCount val="1"/>
                <c:pt idx="0">
                  <c:v>2021年</c:v>
                </c:pt>
              </c:strCache>
            </c:strRef>
          </c:tx>
          <c:spPr>
            <a:solidFill>
              <a:srgbClr val="9999FF">
                <a:alpha val="100000"/>
              </a:srgbClr>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charset="-122"/>
                      <a:ea typeface="宋体" charset="-122"/>
                      <a:cs typeface="宋体"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charset="-122"/>
                    <a:ea typeface="宋体" charset="-122"/>
                    <a:cs typeface="宋体"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[6.xls]Sheet1!$C$2</c:f>
              <c:strCache>
                <c:ptCount val="1"/>
                <c:pt idx="0">
                  <c:v>一般公共预算财政拨款支出</c:v>
                </c:pt>
              </c:strCache>
            </c:strRef>
          </c:cat>
          <c:val>
            <c:numRef>
              <c:f>[6.xls]Sheet1!$C$3</c:f>
              <c:numCache>
                <c:formatCode>General</c:formatCode>
                <c:ptCount val="1"/>
                <c:pt idx="0">
                  <c:v>6606.04</c:v>
                </c:pt>
              </c:numCache>
            </c:numRef>
          </c:val>
        </c:ser>
        <c:ser>
          <c:idx val="1"/>
          <c:order val="1"/>
          <c:tx>
            <c:strRef>
              <c:f>[6.xls]Sheet1!$B$4</c:f>
              <c:strCache>
                <c:ptCount val="1"/>
                <c:pt idx="0">
                  <c:v>2020年</c:v>
                </c:pt>
              </c:strCache>
            </c:strRef>
          </c:tx>
          <c:spPr>
            <a:solidFill>
              <a:srgbClr val="993366">
                <a:alpha val="100000"/>
              </a:srgbClr>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charset="-122"/>
                      <a:ea typeface="宋体" charset="-122"/>
                      <a:cs typeface="宋体"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charset="-122"/>
                    <a:ea typeface="宋体" charset="-122"/>
                    <a:cs typeface="宋体"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[6.xls]Sheet1!$C$2</c:f>
              <c:strCache>
                <c:ptCount val="1"/>
                <c:pt idx="0">
                  <c:v>一般公共预算财政拨款支出</c:v>
                </c:pt>
              </c:strCache>
            </c:strRef>
          </c:cat>
          <c:val>
            <c:numRef>
              <c:f>[6.xls]Sheet1!$C$4</c:f>
              <c:numCache>
                <c:formatCode>General</c:formatCode>
                <c:ptCount val="1"/>
                <c:pt idx="0">
                  <c:v>4952.28</c:v>
                </c:pt>
              </c:numCache>
            </c:numRef>
          </c:val>
        </c:ser>
        <c:dLbls>
          <c:showLegendKey val="0"/>
          <c:showVal val="0"/>
          <c:showCatName val="0"/>
          <c:showSerName val="0"/>
          <c:showPercent val="0"/>
          <c:showBubbleSize val="0"/>
        </c:dLbls>
        <c:gapWidth val="150"/>
        <c:overlap val="0"/>
        <c:axId val="314215561"/>
        <c:axId val="347108087"/>
      </c:barChart>
      <c:catAx>
        <c:axId val="314215561"/>
        <c:scaling>
          <c:orientation val="minMax"/>
        </c:scaling>
        <c:delete val="0"/>
        <c:axPos val="b"/>
        <c:majorTickMark val="in"/>
        <c:minorTickMark val="none"/>
        <c:tickLblPos val="nextTo"/>
        <c:spPr>
          <a:ln w="12700" cap="flat" cmpd="sng" algn="ctr">
            <a:solidFill>
              <a:srgbClr val="8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charset="-122"/>
                <a:ea typeface="宋体" charset="-122"/>
                <a:cs typeface="宋体" charset="-122"/>
              </a:defRPr>
            </a:pPr>
          </a:p>
        </c:txPr>
        <c:crossAx val="347108087"/>
        <c:crosses val="autoZero"/>
        <c:auto val="1"/>
        <c:lblAlgn val="ctr"/>
        <c:lblOffset val="100"/>
        <c:tickLblSkip val="1"/>
        <c:noMultiLvlLbl val="0"/>
      </c:catAx>
      <c:valAx>
        <c:axId val="347108087"/>
        <c:scaling>
          <c:orientation val="minMax"/>
        </c:scaling>
        <c:delete val="0"/>
        <c:axPos val="l"/>
        <c:numFmt formatCode="General" sourceLinked="1"/>
        <c:majorTickMark val="in"/>
        <c:minorTickMark val="none"/>
        <c:tickLblPos val="nextTo"/>
        <c:spPr>
          <a:ln w="12700" cap="flat" cmpd="sng" algn="ctr">
            <a:solidFill>
              <a:srgbClr val="8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charset="-122"/>
                <a:ea typeface="宋体" charset="-122"/>
                <a:cs typeface="宋体" charset="-122"/>
              </a:defRPr>
            </a:pPr>
          </a:p>
        </c:txPr>
        <c:crossAx val="314215561"/>
        <c:crosses val="autoZero"/>
        <c:crossBetween val="between"/>
      </c:valAx>
      <c:spPr>
        <a:noFill/>
        <a:ln w="3175">
          <a:noFill/>
        </a:ln>
      </c:spPr>
    </c:plotArea>
    <c:legend>
      <c:legendPos val="r"/>
      <c:layout>
        <c:manualLayout>
          <c:xMode val="edge"/>
          <c:yMode val="edge"/>
          <c:x val="0.8355"/>
          <c:y val="0.38325"/>
          <c:w val="0.157"/>
          <c:h val="0.153"/>
        </c:manualLayout>
      </c:layout>
      <c:overlay val="0"/>
      <c:spPr>
        <a:noFill/>
        <a:ln w="3175">
          <a:noFill/>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charset="-122"/>
              <a:ea typeface="宋体" charset="-122"/>
              <a:cs typeface="宋体"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charset="-122"/>
          <a:ea typeface="宋体" charset="-122"/>
          <a:cs typeface="宋体"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[8.et]Sheet1!$B$3</c:f>
              <c:strCache>
                <c:ptCount val="1"/>
                <c:pt idx="0">
                  <c:v>2021年</c:v>
                </c:pt>
              </c:strCache>
            </c:strRef>
          </c:tx>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3175">
                <a:solidFill>
                  <a:srgbClr val="000000">
                    <a:alpha val="100000"/>
                  </a:srgbClr>
                </a:solidFill>
                <a:prstDash val="solid"/>
              </a:ln>
            </c:spPr>
          </c:dPt>
          <c:dPt>
            <c:idx val="1"/>
            <c:bubble3D val="0"/>
            <c:explosion val="0"/>
            <c:spPr>
              <a:solidFill>
                <a:srgbClr val="993366">
                  <a:alpha val="100000"/>
                </a:srgbClr>
              </a:solidFill>
              <a:ln w="3175">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Lbls>
            <c:dLbl>
              <c:idx val="0"/>
              <c:layout>
                <c:manualLayout>
                  <c:x val="-0.12291181156463"/>
                  <c:y val="0.343480937599785"/>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charset="-122"/>
                      <a:ea typeface="宋体" charset="-122"/>
                      <a:cs typeface="宋体" charset="-122"/>
                    </a:defRPr>
                  </a:pPr>
                </a:p>
              </c:txPr>
              <c:dLblPos val="bestFit"/>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00713614913540668"/>
                  <c:y val="-0.194065896153183"/>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charset="-122"/>
                      <a:ea typeface="宋体" charset="-122"/>
                      <a:cs typeface="宋体" charset="-122"/>
                    </a:defRPr>
                  </a:pPr>
                </a:p>
              </c:txPr>
              <c:dLblPos val="bestFit"/>
              <c:showLegendKey val="0"/>
              <c:showVal val="1"/>
              <c:showCatName val="1"/>
              <c:showSerName val="0"/>
              <c:showPercent val="0"/>
              <c:showBubbleSize val="0"/>
              <c:extLst>
                <c:ext xmlns:c15="http://schemas.microsoft.com/office/drawing/2012/chart" uri="{CE6537A1-D6FC-4f65-9D91-7224C49458BB}">
                  <c15:layout>
                    <c:manualLayout>
                      <c:w val="0.122474226804124"/>
                      <c:h val="0.186303260307055"/>
                    </c:manualLayout>
                  </c15:layout>
                </c:ext>
              </c:extLst>
            </c:dLbl>
            <c:dLbl>
              <c:idx val="2"/>
              <c:layout>
                <c:manualLayout>
                  <c:x val="0.141245077453818"/>
                  <c:y val="0.39521512779976"/>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charset="-122"/>
                      <a:ea typeface="宋体" charset="-122"/>
                      <a:cs typeface="宋体" charset="-122"/>
                    </a:defRPr>
                  </a:pPr>
                </a:p>
              </c:txPr>
              <c:dLblPos val="bestFit"/>
              <c:showLegendKey val="0"/>
              <c:showVal val="1"/>
              <c:showCatName val="1"/>
              <c:showSerName val="0"/>
              <c:showPercent val="0"/>
              <c:showBubbleSize val="0"/>
              <c:extLst>
                <c:ext xmlns:c15="http://schemas.microsoft.com/office/drawing/2012/chart" uri="{CE6537A1-D6FC-4f65-9D91-7224C49458BB}">
                  <c15:layout>
                    <c:manualLayout>
                      <c:w val="0.210474226804124"/>
                      <c:h val="0.0172503018802829"/>
                    </c:manualLayout>
                  </c15:layout>
                </c:ext>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charset="-122"/>
                    <a:ea typeface="宋体" charset="-122"/>
                    <a:cs typeface="宋体" charset="-122"/>
                  </a:defRPr>
                </a:pPr>
              </a:p>
            </c:txPr>
            <c:dLblPos val="outEnd"/>
            <c:showLegendKey val="0"/>
            <c:showVal val="1"/>
            <c:showCatName val="1"/>
            <c:showSerName val="0"/>
            <c:showPercent val="0"/>
            <c:showBubbleSize val="0"/>
            <c:showLeaderLines val="0"/>
            <c:extLst>
              <c:ext xmlns:c15="http://schemas.microsoft.com/office/drawing/2012/chart" uri="{CE6537A1-D6FC-4f65-9D91-7224C49458BB}">
                <c15:layout/>
                <c15:showLeaderLines val="0"/>
                <c15:leaderLines/>
              </c:ext>
            </c:extLst>
          </c:dLbls>
          <c:cat>
            <c:strRef>
              <c:f>[8.et]Sheet1!$C$2:$E$2</c:f>
              <c:strCache>
                <c:ptCount val="3"/>
                <c:pt idx="0">
                  <c:v>社会保障和就业</c:v>
                </c:pt>
                <c:pt idx="1">
                  <c:v>卫生健康支出</c:v>
                </c:pt>
                <c:pt idx="2">
                  <c:v>住房保障</c:v>
                </c:pt>
              </c:strCache>
            </c:strRef>
          </c:cat>
          <c:val>
            <c:numRef>
              <c:f>[8.et]Sheet1!$C$3:$E$3</c:f>
              <c:numCache>
                <c:formatCode>General</c:formatCode>
                <c:ptCount val="3"/>
                <c:pt idx="0">
                  <c:v>148.1</c:v>
                </c:pt>
                <c:pt idx="1">
                  <c:v>6347.53</c:v>
                </c:pt>
                <c:pt idx="2">
                  <c:v>110.41</c:v>
                </c:pt>
              </c:numCache>
            </c:numRef>
          </c:val>
        </c:ser>
        <c:dLbls>
          <c:showLegendKey val="0"/>
          <c:showVal val="0"/>
          <c:showCatName val="0"/>
          <c:showSerName val="0"/>
          <c:showPercent val="0"/>
          <c:showBubbleSize val="0"/>
          <c:showLeaderLines val="0"/>
        </c:dLbls>
        <c:firstSliceAng val="0"/>
      </c:pieChart>
      <c:spPr>
        <a:noFill/>
        <a:ln w="3175">
          <a:noFill/>
        </a:ln>
      </c:spPr>
    </c:plotArea>
    <c:legend>
      <c:legendPos val="r"/>
      <c:layout>
        <c:manualLayout>
          <c:xMode val="edge"/>
          <c:yMode val="edge"/>
          <c:x val="0.727081741787624"/>
          <c:y val="0.426698049764627"/>
          <c:w val="0.187643239113827"/>
          <c:h val="0.238399462004035"/>
        </c:manualLayout>
      </c:layout>
      <c:overlay val="0"/>
      <c:spPr>
        <a:noFill/>
        <a:ln w="3175">
          <a:noFill/>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charset="-122"/>
              <a:ea typeface="宋体" charset="-122"/>
              <a:cs typeface="宋体" charset="-122"/>
            </a:defRPr>
          </a:pPr>
        </a:p>
      </c:txPr>
    </c:legend>
    <c:plotVisOnly val="1"/>
    <c:dispBlanksAs val="gap"/>
    <c:showDLblsOverMax val="0"/>
  </c:chart>
  <c:spPr>
    <a:solidFill>
      <a:srgbClr val="FFFFFF">
        <a:alpha val="100000"/>
      </a:srgbClr>
    </a:solidFill>
    <a:ln w="3175" cap="flat" cmpd="sng" algn="ctr">
      <a:solidFill>
        <a:srgbClr val="993300">
          <a:alpha val="100000"/>
        </a:srgbClr>
      </a:solidFill>
      <a:prstDash val="solid"/>
      <a:round/>
    </a:ln>
  </c:spPr>
  <c:txPr>
    <a:bodyPr rot="0" wrap="square" anchor="ctr" anchorCtr="1"/>
    <a:lstStyle/>
    <a:p>
      <a:pPr>
        <a:defRPr lang="zh-CN" sz="1200" b="0" i="0" u="none" strike="noStrike" baseline="0">
          <a:solidFill>
            <a:srgbClr val="000000"/>
          </a:solidFill>
          <a:latin typeface="宋体" charset="-122"/>
          <a:ea typeface="宋体" charset="-122"/>
          <a:cs typeface="宋体"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charset="-122"/>
                <a:ea typeface="宋体" charset="-122"/>
                <a:cs typeface="宋体" charset="-122"/>
              </a:defRPr>
            </a:pPr>
            <a:r>
              <a:t>三公经费情况</a:t>
            </a:r>
            <a:endParaRPr sz="1200" b="0" i="0" u="none" strike="noStrike" baseline="0">
              <a:solidFill>
                <a:srgbClr val="000000">
                  <a:alpha val="100000"/>
                </a:srgbClr>
              </a:solidFill>
              <a:latin typeface="宋体" charset="-122"/>
              <a:ea typeface="宋体" charset="-122"/>
              <a:cs typeface="宋体" charset="-122"/>
            </a:endParaRPr>
          </a:p>
        </c:rich>
      </c:tx>
      <c:layout/>
      <c:overlay val="0"/>
      <c:spPr>
        <a:noFill/>
        <a:ln w="3175">
          <a:noFill/>
        </a:ln>
      </c:spPr>
    </c:title>
    <c:autoTitleDeleted val="0"/>
    <c:plotArea>
      <c:layout/>
      <c:pieChart>
        <c:varyColors val="1"/>
        <c:ser>
          <c:idx val="0"/>
          <c:order val="0"/>
          <c:tx>
            <c:strRef>
              <c:f>[9.et]Sheet1!$B$3</c:f>
              <c:strCache>
                <c:ptCount val="1"/>
                <c:pt idx="0">
                  <c:v>三公经费情况</c:v>
                </c:pt>
              </c:strCache>
            </c:strRef>
          </c:tx>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Lbls>
            <c:dLbl>
              <c:idx val="0"/>
              <c:layout>
                <c:manualLayout>
                  <c:x val="0.164570058107666"/>
                  <c:y val="0.439559437961686"/>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charset="-122"/>
                      <a:ea typeface="宋体" charset="-122"/>
                      <a:cs typeface="宋体" charset="-122"/>
                    </a:defRPr>
                  </a:pPr>
                </a:p>
              </c:txPr>
              <c:dLblPos val="outEnd"/>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04726365021138"/>
                  <c:y val="-0.179040681692332"/>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charset="-122"/>
                      <a:ea typeface="宋体" charset="-122"/>
                      <a:cs typeface="宋体" charset="-122"/>
                    </a:defRPr>
                  </a:pPr>
                </a:p>
              </c:txPr>
              <c:dLblPos val="outEnd"/>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146439481875351"/>
                  <c:y val="0.295676562460983"/>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charset="-122"/>
                      <a:ea typeface="宋体" charset="-122"/>
                      <a:cs typeface="宋体" charset="-122"/>
                    </a:defRPr>
                  </a:pPr>
                </a:p>
              </c:txPr>
              <c:dLblPos val="outEnd"/>
              <c:showLegendKey val="0"/>
              <c:showVal val="1"/>
              <c:showCatName val="1"/>
              <c:showSerName val="0"/>
              <c:showPercent val="0"/>
              <c:showBubbleSize val="0"/>
              <c:extLst>
                <c:ext xmlns:c15="http://schemas.microsoft.com/office/drawing/2012/chart" uri="{CE6537A1-D6FC-4f65-9D91-7224C49458BB}">
                  <c15:layout/>
                </c:ext>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charset="-122"/>
                    <a:ea typeface="宋体" charset="-122"/>
                    <a:cs typeface="宋体" charset="-122"/>
                  </a:defRPr>
                </a:pPr>
              </a:p>
            </c:txPr>
            <c:dLblPos val="outEnd"/>
            <c:showLegendKey val="0"/>
            <c:showVal val="1"/>
            <c:showCatName val="1"/>
            <c:showSerName val="0"/>
            <c:showPercent val="0"/>
            <c:showBubbleSize val="0"/>
            <c:showLeaderLines val="0"/>
            <c:extLst>
              <c:ext xmlns:c15="http://schemas.microsoft.com/office/drawing/2012/chart" uri="{CE6537A1-D6FC-4f65-9D91-7224C49458BB}">
                <c15:layout/>
                <c15:showLeaderLines val="0"/>
                <c15:leaderLines/>
              </c:ext>
            </c:extLst>
          </c:dLbls>
          <c:cat>
            <c:strRef>
              <c:f>[9.et]Sheet1!$C$2:$E$2</c:f>
              <c:strCache>
                <c:ptCount val="3"/>
                <c:pt idx="0">
                  <c:v>因公出境费</c:v>
                </c:pt>
                <c:pt idx="1">
                  <c:v>公务用车运行维护费</c:v>
                </c:pt>
                <c:pt idx="2">
                  <c:v>公务接待费</c:v>
                </c:pt>
              </c:strCache>
            </c:strRef>
          </c:cat>
          <c:val>
            <c:numRef>
              <c:f>[9.et]Sheet1!$C$3:$E$3</c:f>
              <c:numCache>
                <c:formatCode>General</c:formatCode>
                <c:ptCount val="3"/>
                <c:pt idx="0">
                  <c:v>0</c:v>
                </c:pt>
                <c:pt idx="1">
                  <c:v>16.8</c:v>
                </c:pt>
                <c:pt idx="2">
                  <c:v>0</c:v>
                </c:pt>
              </c:numCache>
            </c:numRef>
          </c:val>
        </c:ser>
        <c:dLbls>
          <c:showLegendKey val="0"/>
          <c:showVal val="0"/>
          <c:showCatName val="0"/>
          <c:showSerName val="0"/>
          <c:showPercent val="0"/>
          <c:showBubbleSize val="0"/>
          <c:showLeaderLines val="0"/>
        </c:dLbls>
        <c:firstSliceAng val="0"/>
      </c:pieChart>
      <c:spPr>
        <a:noFill/>
        <a:ln w="3175">
          <a:noFill/>
        </a:ln>
      </c:spPr>
    </c:plotArea>
    <c:legend>
      <c:legendPos val="r"/>
      <c:layout>
        <c:manualLayout>
          <c:xMode val="edge"/>
          <c:yMode val="edge"/>
          <c:x val="0.658"/>
          <c:y val="0.33125"/>
          <c:w val="0.33325"/>
          <c:h val="0.452"/>
        </c:manualLayout>
      </c:layout>
      <c:overlay val="0"/>
      <c:spPr>
        <a:noFill/>
        <a:ln w="3175">
          <a:noFill/>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charset="-122"/>
              <a:ea typeface="宋体" charset="-122"/>
              <a:cs typeface="宋体" charset="-122"/>
            </a:defRPr>
          </a:pPr>
        </a:p>
      </c:txPr>
    </c:legend>
    <c:plotVisOnly val="1"/>
    <c:dispBlanksAs val="gap"/>
    <c:showDLblsOverMax val="0"/>
  </c:chart>
  <c:spPr>
    <a:solidFill>
      <a:srgbClr val="FFFFFF">
        <a:alpha val="100000"/>
      </a:srgbClr>
    </a:solidFill>
    <a:ln w="3175" cap="flat" cmpd="sng" algn="ctr">
      <a:solidFill>
        <a:srgbClr val="993300">
          <a:alpha val="100000"/>
        </a:srgbClr>
      </a:solidFill>
      <a:prstDash val="solid"/>
      <a:round/>
    </a:ln>
  </c:spPr>
  <c:txPr>
    <a:bodyPr rot="0" wrap="square" anchor="ctr" anchorCtr="1"/>
    <a:lstStyle/>
    <a:p>
      <a:pPr>
        <a:defRPr lang="zh-CN" sz="1200" b="0" i="0" u="none" strike="noStrike" baseline="0">
          <a:solidFill>
            <a:srgbClr val="000000"/>
          </a:solidFill>
          <a:latin typeface="宋体" charset="-122"/>
          <a:ea typeface="宋体" charset="-122"/>
          <a:cs typeface="宋体"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27</Pages>
  <Words>8535</Words>
  <Characters>9759</Characters>
  <Lines>44</Lines>
  <Paragraphs>12</Paragraphs>
  <TotalTime>10</TotalTime>
  <ScaleCrop>false</ScaleCrop>
  <LinksUpToDate>false</LinksUpToDate>
  <CharactersWithSpaces>9850</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2022-10-07T17:09:00Z</dcterms:created>
  <dc:creator>曹颖</dc:creator>
  <cp:lastModifiedBy>ybxwsjkj</cp:lastModifiedBy>
  <cp:lastPrinted>2023-04-11T18:47:00Z</cp:lastPrinted>
  <dcterms:modified xsi:type="dcterms:W3CDTF">2024-12-19T15:23:05Z</dcterms:modified>
  <dc:title>四川省***</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473CF02148CF4040BC80AD3D17F7EE7D</vt:lpwstr>
  </property>
</Properties>
</file>