
<file path=[Content_Types].xml><?xml version="1.0" encoding="utf-8"?>
<Types xmlns="http://schemas.openxmlformats.org/package/2006/content-types">
  <Default Extension="xlsx" ContentType="application/vnd.openxmlformats-officedocument.spreadsheetml.shee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sz w:val="72"/>
          <w:szCs w:val="72"/>
        </w:rPr>
      </w:pPr>
      <w:bookmarkStart w:id="0" w:name="_Toc15306267"/>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5377193"/>
      <w:bookmarkStart w:id="2" w:name="_Toc15396597"/>
      <w:bookmarkStart w:id="3" w:name="_Toc15378441"/>
      <w:bookmarkStart w:id="4" w:name="_Toc15377425"/>
      <w:bookmarkStart w:id="5" w:name="_Toc15396475"/>
      <w:r>
        <w:rPr>
          <w:rFonts w:hint="eastAsia" w:ascii="方正小标宋简体" w:hAnsi="方正小标宋简体" w:eastAsia="方正小标宋简体" w:cs="方正小标宋简体"/>
          <w:sz w:val="72"/>
          <w:szCs w:val="72"/>
        </w:rPr>
        <w:t>2021年度</w:t>
      </w:r>
      <w:bookmarkEnd w:id="1"/>
      <w:bookmarkEnd w:id="2"/>
      <w:bookmarkEnd w:id="3"/>
      <w:bookmarkEnd w:id="4"/>
      <w:bookmarkEnd w:id="5"/>
    </w:p>
    <w:p>
      <w:pPr>
        <w:adjustRightInd w:val="0"/>
        <w:snapToGrid w:val="0"/>
        <w:spacing w:line="360" w:lineRule="auto"/>
        <w:jc w:val="center"/>
        <w:outlineLvl w:val="0"/>
        <w:rPr>
          <w:rFonts w:hint="eastAsia" w:ascii="方正小标宋简体" w:hAnsi="方正小标宋简体" w:eastAsia="方正小标宋简体" w:cs="方正小标宋简体"/>
          <w:sz w:val="72"/>
          <w:szCs w:val="72"/>
          <w:lang w:eastAsia="zh-CN"/>
        </w:rPr>
      </w:pPr>
      <w:bookmarkStart w:id="6" w:name="_Toc15377426"/>
      <w:bookmarkStart w:id="7" w:name="_Toc15396476"/>
      <w:bookmarkStart w:id="8" w:name="_Toc15377194"/>
      <w:bookmarkStart w:id="9" w:name="_Toc15378442"/>
      <w:bookmarkStart w:id="10" w:name="_Toc15396598"/>
      <w:r>
        <w:rPr>
          <w:rFonts w:hint="eastAsia" w:ascii="方正小标宋简体" w:hAnsi="方正小标宋简体" w:eastAsia="方正小标宋简体" w:cs="方正小标宋简体"/>
          <w:sz w:val="72"/>
          <w:szCs w:val="72"/>
        </w:rPr>
        <w:t>盐边县</w:t>
      </w:r>
      <w:bookmarkEnd w:id="0"/>
      <w:bookmarkStart w:id="11" w:name="_Toc15306268"/>
      <w:r>
        <w:rPr>
          <w:rFonts w:hint="eastAsia" w:ascii="方正小标宋简体" w:hAnsi="方正小标宋简体" w:eastAsia="方正小标宋简体" w:cs="方正小标宋简体"/>
          <w:sz w:val="72"/>
          <w:szCs w:val="72"/>
          <w:lang w:eastAsia="zh-CN"/>
        </w:rPr>
        <w:t>妇幼保健服务中心部门</w:t>
      </w:r>
      <w:r>
        <w:rPr>
          <w:rFonts w:hint="eastAsia" w:ascii="方正小标宋简体" w:hAnsi="方正小标宋简体" w:eastAsia="方正小标宋简体" w:cs="方正小标宋简体"/>
          <w:sz w:val="72"/>
          <w:szCs w:val="72"/>
        </w:rPr>
        <w:t>决算</w:t>
      </w:r>
      <w:bookmarkEnd w:id="6"/>
      <w:bookmarkEnd w:id="7"/>
      <w:bookmarkEnd w:id="8"/>
      <w:bookmarkEnd w:id="9"/>
      <w:bookmarkEnd w:id="10"/>
      <w:bookmarkEnd w:id="11"/>
      <w:r>
        <w:rPr>
          <w:rFonts w:hint="eastAsia" w:ascii="方正小标宋简体" w:hAnsi="方正小标宋简体" w:eastAsia="方正小标宋简体" w:cs="方正小标宋简体"/>
          <w:sz w:val="72"/>
          <w:szCs w:val="72"/>
          <w:lang w:eastAsia="zh-CN"/>
        </w:rPr>
        <w:t>编制说明</w:t>
      </w:r>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1"/>
      </w:pPr>
      <w:r>
        <w:rPr>
          <w:rFonts w:hint="eastAsia"/>
        </w:rPr>
        <w:t>公开时间：2022年</w:t>
      </w:r>
      <w:r>
        <w:rPr>
          <w:rFonts w:hint="eastAsia"/>
          <w:lang w:val="en-US" w:eastAsia="zh-CN"/>
        </w:rPr>
        <w:t>11</w:t>
      </w:r>
      <w:r>
        <w:rPr>
          <w:rFonts w:hint="eastAsia"/>
        </w:rPr>
        <w:t>月</w:t>
      </w:r>
      <w:r>
        <w:rPr>
          <w:rFonts w:hint="eastAsia"/>
          <w:lang w:val="en-US" w:eastAsia="zh-CN"/>
        </w:rPr>
        <w:t>01</w:t>
      </w:r>
      <w:r>
        <w:rPr>
          <w:rFonts w:hint="eastAsia"/>
        </w:rPr>
        <w:t>日</w:t>
      </w:r>
    </w:p>
    <w:p/>
    <w:p>
      <w:pPr>
        <w:pStyle w:val="11"/>
        <w:adjustRightInd w:val="0"/>
        <w:snapToGrid w:val="0"/>
        <w:spacing w:before="0" w:line="440" w:lineRule="exact"/>
        <w:jc w:val="left"/>
        <w:rPr>
          <w:rFonts w:cstheme="minorBidi"/>
          <w:sz w:val="24"/>
          <w:szCs w:val="24"/>
        </w:rPr>
      </w:pPr>
      <w:r>
        <w:rPr>
          <w:rFonts w:hint="eastAsia"/>
          <w:sz w:val="24"/>
        </w:rPr>
        <w:t>第一部分单位概况</w:t>
      </w:r>
    </w:p>
    <w:p>
      <w:pPr>
        <w:pStyle w:val="12"/>
        <w:adjustRightInd w:val="0"/>
        <w:snapToGrid w:val="0"/>
        <w:spacing w:line="440" w:lineRule="exact"/>
        <w:jc w:val="left"/>
        <w:rPr>
          <w:rFonts w:hint="default" w:eastAsia="宋体"/>
          <w:sz w:val="24"/>
          <w:lang w:val="en-US" w:eastAsia="zh-CN"/>
        </w:rPr>
      </w:pPr>
      <w:r>
        <w:rPr>
          <w:rFonts w:hint="eastAsia"/>
          <w:sz w:val="24"/>
        </w:rPr>
        <w:t>一、职能简介</w:t>
      </w:r>
      <w:r>
        <w:rPr>
          <w:rFonts w:hint="eastAsia"/>
          <w:sz w:val="24"/>
          <w:lang w:val="en-US" w:eastAsia="zh-CN"/>
        </w:rPr>
        <w:t>........................................................................................................4</w:t>
      </w:r>
    </w:p>
    <w:p>
      <w:pPr>
        <w:pStyle w:val="12"/>
        <w:adjustRightInd w:val="0"/>
        <w:snapToGrid w:val="0"/>
        <w:spacing w:line="440" w:lineRule="exact"/>
        <w:jc w:val="left"/>
        <w:rPr>
          <w:rFonts w:hint="default" w:asciiTheme="minorEastAsia" w:hAnsiTheme="minorEastAsia" w:eastAsiaTheme="minorEastAsia" w:cstheme="minorEastAsia"/>
          <w:sz w:val="24"/>
          <w:lang w:val="en-US" w:eastAsia="zh-CN"/>
        </w:rPr>
      </w:pPr>
      <w:r>
        <w:rPr>
          <w:rFonts w:hint="eastAsia" w:asciiTheme="minorEastAsia" w:hAnsiTheme="minorEastAsia" w:eastAsiaTheme="minorEastAsia" w:cstheme="minorEastAsia"/>
          <w:sz w:val="24"/>
        </w:rPr>
        <w:t>二、2021年重点工作完成情况</w:t>
      </w:r>
      <w:r>
        <w:rPr>
          <w:rFonts w:hint="eastAsia"/>
          <w:sz w:val="24"/>
          <w:lang w:val="en-US" w:eastAsia="zh-CN"/>
        </w:rPr>
        <w:t>...........................................................................</w:t>
      </w:r>
      <w:r>
        <w:rPr>
          <w:rFonts w:hint="eastAsia" w:asciiTheme="minorEastAsia" w:hAnsiTheme="minorEastAsia" w:eastAsiaTheme="minorEastAsia" w:cstheme="minorEastAsia"/>
          <w:sz w:val="24"/>
          <w:lang w:val="en-US" w:eastAsia="zh-CN"/>
        </w:rPr>
        <w:t>4</w:t>
      </w:r>
    </w:p>
    <w:p>
      <w:pPr>
        <w:pStyle w:val="11"/>
        <w:adjustRightInd w:val="0"/>
        <w:snapToGrid w:val="0"/>
        <w:spacing w:before="0" w:line="440" w:lineRule="exact"/>
        <w:jc w:val="left"/>
        <w:rPr>
          <w:rFonts w:hint="default" w:eastAsia="仿宋"/>
          <w:sz w:val="24"/>
          <w:szCs w:val="24"/>
          <w:lang w:val="en-US" w:eastAsia="zh-CN"/>
        </w:rPr>
      </w:pPr>
      <w:r>
        <w:rPr>
          <w:rFonts w:hint="eastAsia"/>
          <w:sz w:val="24"/>
        </w:rPr>
        <w:t>第二部分 2021年度单位决算情况说明</w:t>
      </w:r>
      <w:r>
        <w:rPr>
          <w:rFonts w:hint="eastAsia"/>
          <w:sz w:val="24"/>
          <w:lang w:val="en-US" w:eastAsia="zh-CN"/>
        </w:rPr>
        <w:t>..................................5</w:t>
      </w:r>
    </w:p>
    <w:p>
      <w:pPr>
        <w:pStyle w:val="12"/>
        <w:adjustRightInd w:val="0"/>
        <w:snapToGrid w:val="0"/>
        <w:spacing w:line="440" w:lineRule="exact"/>
        <w:jc w:val="left"/>
        <w:rPr>
          <w:rFonts w:hint="default" w:ascii="仿宋" w:hAnsi="仿宋" w:eastAsia="宋体" w:cstheme="minorBidi"/>
          <w:sz w:val="24"/>
          <w:lang w:val="en-US" w:eastAsia="zh-CN"/>
        </w:rPr>
      </w:pPr>
      <w:r>
        <w:rPr>
          <w:rFonts w:hint="eastAsia"/>
          <w:sz w:val="24"/>
        </w:rPr>
        <w:t>一、收入支出决算总体情况说明</w:t>
      </w:r>
      <w:r>
        <w:rPr>
          <w:rFonts w:hint="eastAsia"/>
          <w:sz w:val="24"/>
          <w:lang w:val="en-US" w:eastAsia="zh-CN"/>
        </w:rPr>
        <w:t>........................................................................5</w:t>
      </w:r>
    </w:p>
    <w:p>
      <w:pPr>
        <w:pStyle w:val="12"/>
        <w:adjustRightInd w:val="0"/>
        <w:snapToGrid w:val="0"/>
        <w:spacing w:line="440" w:lineRule="exact"/>
        <w:jc w:val="left"/>
        <w:rPr>
          <w:rFonts w:hint="default" w:ascii="仿宋" w:hAnsi="仿宋" w:eastAsia="仿宋" w:cstheme="minorBidi"/>
          <w:sz w:val="24"/>
          <w:lang w:val="en-US"/>
        </w:rPr>
      </w:pPr>
      <w:r>
        <w:rPr>
          <w:rFonts w:hint="eastAsia"/>
          <w:sz w:val="24"/>
        </w:rPr>
        <w:t>二、收入决算情况说明</w:t>
      </w:r>
      <w:r>
        <w:rPr>
          <w:rFonts w:hint="eastAsia"/>
          <w:sz w:val="24"/>
          <w:lang w:val="en-US" w:eastAsia="zh-CN"/>
        </w:rPr>
        <w:t>........................................................................................6</w:t>
      </w:r>
    </w:p>
    <w:p>
      <w:pPr>
        <w:pStyle w:val="12"/>
        <w:adjustRightInd w:val="0"/>
        <w:snapToGrid w:val="0"/>
        <w:spacing w:line="440" w:lineRule="exact"/>
        <w:jc w:val="left"/>
        <w:rPr>
          <w:rFonts w:hint="default" w:ascii="仿宋" w:hAnsi="仿宋" w:eastAsia="宋体" w:cstheme="minorBidi"/>
          <w:sz w:val="24"/>
          <w:lang w:val="en-US" w:eastAsia="zh-CN"/>
        </w:rPr>
      </w:pPr>
      <w:r>
        <w:rPr>
          <w:rFonts w:hint="eastAsia"/>
          <w:sz w:val="24"/>
        </w:rPr>
        <w:t>三、支出决算情况说明</w:t>
      </w:r>
      <w:r>
        <w:rPr>
          <w:rFonts w:hint="eastAsia"/>
          <w:sz w:val="24"/>
          <w:lang w:val="en-US" w:eastAsia="zh-CN"/>
        </w:rPr>
        <w:t>........................................................................................7</w:t>
      </w:r>
    </w:p>
    <w:p>
      <w:pPr>
        <w:pStyle w:val="12"/>
        <w:adjustRightInd w:val="0"/>
        <w:snapToGrid w:val="0"/>
        <w:spacing w:line="440" w:lineRule="exact"/>
        <w:jc w:val="left"/>
        <w:rPr>
          <w:rFonts w:hint="default" w:ascii="仿宋" w:hAnsi="仿宋" w:eastAsia="宋体" w:cstheme="minorBidi"/>
          <w:sz w:val="24"/>
          <w:lang w:val="en-US" w:eastAsia="zh-CN"/>
        </w:rPr>
      </w:pPr>
      <w:r>
        <w:rPr>
          <w:rFonts w:hint="eastAsia"/>
          <w:sz w:val="24"/>
        </w:rPr>
        <w:t>四、财政拨款收入支出决算总体情况说明</w:t>
      </w:r>
      <w:r>
        <w:rPr>
          <w:rFonts w:hint="eastAsia"/>
          <w:sz w:val="24"/>
          <w:lang w:val="en-US" w:eastAsia="zh-CN"/>
        </w:rPr>
        <w:t>........................................................8</w:t>
      </w:r>
    </w:p>
    <w:p>
      <w:pPr>
        <w:pStyle w:val="12"/>
        <w:adjustRightInd w:val="0"/>
        <w:snapToGrid w:val="0"/>
        <w:spacing w:line="440" w:lineRule="exact"/>
        <w:jc w:val="left"/>
        <w:rPr>
          <w:rFonts w:hint="default" w:ascii="仿宋" w:hAnsi="仿宋" w:eastAsia="宋体" w:cstheme="minorBidi"/>
          <w:sz w:val="24"/>
          <w:lang w:val="en-US" w:eastAsia="zh-CN"/>
        </w:rPr>
      </w:pPr>
      <w:r>
        <w:rPr>
          <w:rFonts w:hint="eastAsia"/>
          <w:sz w:val="24"/>
        </w:rPr>
        <w:t>五、一般公共预算财政拨款支出决算情况说明</w:t>
      </w:r>
      <w:r>
        <w:rPr>
          <w:rFonts w:hint="eastAsia"/>
          <w:sz w:val="24"/>
          <w:lang w:val="en-US" w:eastAsia="zh-CN"/>
        </w:rPr>
        <w:t>..............................................9-11</w:t>
      </w:r>
    </w:p>
    <w:p>
      <w:pPr>
        <w:pStyle w:val="12"/>
        <w:adjustRightInd w:val="0"/>
        <w:snapToGrid w:val="0"/>
        <w:spacing w:line="440" w:lineRule="exact"/>
        <w:jc w:val="left"/>
        <w:rPr>
          <w:rFonts w:hint="default" w:ascii="仿宋" w:hAnsi="仿宋" w:eastAsia="宋体" w:cstheme="minorBidi"/>
          <w:sz w:val="24"/>
          <w:lang w:val="en-US" w:eastAsia="zh-CN"/>
        </w:rPr>
      </w:pPr>
      <w:r>
        <w:rPr>
          <w:rFonts w:hint="eastAsia"/>
          <w:sz w:val="24"/>
        </w:rPr>
        <w:t>六、一般公共预算财政拨款基本支出决算情况说明</w:t>
      </w:r>
      <w:r>
        <w:rPr>
          <w:rFonts w:hint="eastAsia"/>
          <w:sz w:val="24"/>
          <w:lang w:val="en-US" w:eastAsia="zh-CN"/>
        </w:rPr>
        <w:t>........................................12</w:t>
      </w:r>
    </w:p>
    <w:p>
      <w:pPr>
        <w:pStyle w:val="12"/>
        <w:adjustRightInd w:val="0"/>
        <w:snapToGrid w:val="0"/>
        <w:spacing w:line="440" w:lineRule="exact"/>
        <w:jc w:val="left"/>
        <w:rPr>
          <w:rFonts w:hint="default" w:ascii="仿宋" w:hAnsi="仿宋" w:eastAsia="宋体" w:cstheme="minorBidi"/>
          <w:sz w:val="24"/>
          <w:lang w:val="en-US" w:eastAsia="zh-CN"/>
        </w:rPr>
      </w:pPr>
      <w:r>
        <w:rPr>
          <w:rFonts w:hint="eastAsia"/>
          <w:sz w:val="24"/>
        </w:rPr>
        <w:t>七、“三公”经费财政拨款支出决算情况说明</w:t>
      </w:r>
      <w:r>
        <w:rPr>
          <w:rFonts w:hint="eastAsia"/>
          <w:sz w:val="24"/>
          <w:lang w:val="en-US" w:eastAsia="zh-CN"/>
        </w:rPr>
        <w:t>...............................................12-14</w:t>
      </w:r>
    </w:p>
    <w:p>
      <w:pPr>
        <w:pStyle w:val="12"/>
        <w:adjustRightInd w:val="0"/>
        <w:snapToGrid w:val="0"/>
        <w:spacing w:line="440" w:lineRule="exact"/>
        <w:jc w:val="left"/>
        <w:rPr>
          <w:rFonts w:hint="default" w:ascii="仿宋" w:hAnsi="仿宋" w:eastAsia="宋体" w:cstheme="minorBidi"/>
          <w:sz w:val="24"/>
          <w:lang w:val="en-US" w:eastAsia="zh-CN"/>
        </w:rPr>
      </w:pPr>
      <w:r>
        <w:rPr>
          <w:rFonts w:hint="eastAsia"/>
          <w:sz w:val="24"/>
        </w:rPr>
        <w:t>八、政府性基金预算支出决算情况说明</w:t>
      </w:r>
      <w:r>
        <w:rPr>
          <w:rFonts w:hint="eastAsia"/>
          <w:sz w:val="24"/>
          <w:lang w:val="en-US" w:eastAsia="zh-CN"/>
        </w:rPr>
        <w:t>.............................................................14</w:t>
      </w:r>
    </w:p>
    <w:p>
      <w:pPr>
        <w:pStyle w:val="12"/>
        <w:adjustRightInd w:val="0"/>
        <w:snapToGrid w:val="0"/>
        <w:spacing w:line="440" w:lineRule="exact"/>
        <w:jc w:val="left"/>
        <w:rPr>
          <w:rFonts w:hint="default" w:eastAsia="宋体"/>
          <w:sz w:val="24"/>
          <w:lang w:val="en-US" w:eastAsia="zh-CN"/>
        </w:rPr>
      </w:pPr>
      <w:r>
        <w:rPr>
          <w:rFonts w:hint="eastAsia"/>
          <w:sz w:val="24"/>
        </w:rPr>
        <w:t>九、国有资本经营预算支出决算情况说明</w:t>
      </w:r>
      <w:r>
        <w:rPr>
          <w:rFonts w:hint="eastAsia"/>
          <w:sz w:val="24"/>
          <w:lang w:val="en-US" w:eastAsia="zh-CN"/>
        </w:rPr>
        <w:t>........................................................14</w:t>
      </w:r>
    </w:p>
    <w:p>
      <w:pPr>
        <w:pStyle w:val="12"/>
        <w:adjustRightInd w:val="0"/>
        <w:snapToGrid w:val="0"/>
        <w:spacing w:line="440" w:lineRule="exact"/>
        <w:jc w:val="left"/>
        <w:rPr>
          <w:rFonts w:hint="default" w:eastAsia="宋体"/>
          <w:sz w:val="24"/>
          <w:lang w:val="en-US" w:eastAsia="zh-CN"/>
        </w:rPr>
      </w:pPr>
      <w:r>
        <w:rPr>
          <w:rFonts w:hint="eastAsia"/>
          <w:sz w:val="24"/>
        </w:rPr>
        <w:t>十、其他重要事项的情况说明</w:t>
      </w:r>
      <w:r>
        <w:rPr>
          <w:rFonts w:hint="eastAsia"/>
          <w:sz w:val="24"/>
          <w:lang w:val="en-US" w:eastAsia="zh-CN"/>
        </w:rPr>
        <w:t>.......................................................................14-15</w:t>
      </w:r>
    </w:p>
    <w:p>
      <w:pPr>
        <w:pStyle w:val="11"/>
        <w:adjustRightInd w:val="0"/>
        <w:snapToGrid w:val="0"/>
        <w:spacing w:before="0" w:line="440" w:lineRule="exact"/>
        <w:jc w:val="left"/>
        <w:rPr>
          <w:rFonts w:hint="default" w:eastAsia="仿宋" w:cstheme="minorBidi"/>
          <w:sz w:val="24"/>
          <w:szCs w:val="24"/>
          <w:lang w:val="en-US" w:eastAsia="zh-CN"/>
        </w:rPr>
      </w:pPr>
      <w:r>
        <w:rPr>
          <w:rFonts w:hint="eastAsia"/>
          <w:sz w:val="24"/>
        </w:rPr>
        <w:t>第三部分名词解释</w:t>
      </w:r>
      <w:r>
        <w:rPr>
          <w:rFonts w:hint="eastAsia"/>
          <w:sz w:val="24"/>
          <w:lang w:val="en-US" w:eastAsia="zh-CN"/>
        </w:rPr>
        <w:t>................................................16-17</w:t>
      </w:r>
    </w:p>
    <w:p>
      <w:pPr>
        <w:pStyle w:val="11"/>
        <w:adjustRightInd w:val="0"/>
        <w:snapToGrid w:val="0"/>
        <w:spacing w:before="0" w:line="440" w:lineRule="exact"/>
        <w:jc w:val="left"/>
        <w:rPr>
          <w:rFonts w:hint="default" w:eastAsia="仿宋" w:cstheme="minorBidi"/>
          <w:sz w:val="24"/>
          <w:szCs w:val="24"/>
          <w:lang w:val="en-US" w:eastAsia="zh-CN"/>
        </w:rPr>
      </w:pPr>
      <w:r>
        <w:rPr>
          <w:rFonts w:hint="eastAsia"/>
          <w:sz w:val="24"/>
        </w:rPr>
        <w:t>第四部分附件</w:t>
      </w:r>
      <w:r>
        <w:rPr>
          <w:rFonts w:hint="eastAsia"/>
          <w:sz w:val="24"/>
          <w:lang w:val="en-US" w:eastAsia="zh-CN"/>
        </w:rPr>
        <w:t>....................................................18-69</w:t>
      </w:r>
      <w:r>
        <w:rPr>
          <w:rFonts w:hint="eastAsia"/>
          <w:sz w:val="24"/>
        </w:rPr>
        <w:t>第五部分附表</w:t>
      </w:r>
      <w:r>
        <w:rPr>
          <w:rFonts w:hint="eastAsia"/>
          <w:sz w:val="24"/>
          <w:lang w:val="en-US" w:eastAsia="zh-CN"/>
        </w:rPr>
        <w:t>.......................................................70</w:t>
      </w:r>
    </w:p>
    <w:p>
      <w:pPr>
        <w:pStyle w:val="12"/>
        <w:adjustRightInd w:val="0"/>
        <w:snapToGrid w:val="0"/>
        <w:spacing w:line="440" w:lineRule="exact"/>
        <w:jc w:val="left"/>
        <w:rPr>
          <w:sz w:val="24"/>
        </w:rPr>
      </w:pPr>
      <w:r>
        <w:rPr>
          <w:rFonts w:hint="eastAsia"/>
          <w:sz w:val="24"/>
        </w:rPr>
        <w:t>一、收入支出决算总表</w:t>
      </w:r>
    </w:p>
    <w:p>
      <w:pPr>
        <w:pStyle w:val="12"/>
        <w:adjustRightInd w:val="0"/>
        <w:snapToGrid w:val="0"/>
        <w:spacing w:line="440" w:lineRule="exact"/>
        <w:jc w:val="left"/>
        <w:rPr>
          <w:sz w:val="24"/>
        </w:rPr>
      </w:pPr>
      <w:r>
        <w:rPr>
          <w:rFonts w:hint="eastAsia"/>
          <w:sz w:val="24"/>
        </w:rPr>
        <w:t>二、收入决算表</w:t>
      </w:r>
    </w:p>
    <w:p>
      <w:pPr>
        <w:pStyle w:val="12"/>
        <w:adjustRightInd w:val="0"/>
        <w:snapToGrid w:val="0"/>
        <w:spacing w:line="440" w:lineRule="exact"/>
        <w:jc w:val="left"/>
        <w:rPr>
          <w:sz w:val="24"/>
        </w:rPr>
      </w:pPr>
      <w:r>
        <w:rPr>
          <w:rFonts w:hint="eastAsia"/>
          <w:sz w:val="24"/>
        </w:rPr>
        <w:t>三、支出决算表</w:t>
      </w:r>
    </w:p>
    <w:p>
      <w:pPr>
        <w:pStyle w:val="12"/>
        <w:adjustRightInd w:val="0"/>
        <w:snapToGrid w:val="0"/>
        <w:spacing w:line="440" w:lineRule="exact"/>
        <w:jc w:val="left"/>
        <w:rPr>
          <w:sz w:val="24"/>
        </w:rPr>
      </w:pPr>
      <w:r>
        <w:rPr>
          <w:rFonts w:hint="eastAsia"/>
          <w:sz w:val="24"/>
        </w:rPr>
        <w:t>四、财政拨款收入支出决算总表</w:t>
      </w:r>
    </w:p>
    <w:p>
      <w:pPr>
        <w:pStyle w:val="12"/>
        <w:adjustRightInd w:val="0"/>
        <w:snapToGrid w:val="0"/>
        <w:spacing w:line="440" w:lineRule="exact"/>
        <w:jc w:val="left"/>
        <w:rPr>
          <w:sz w:val="24"/>
        </w:rPr>
      </w:pPr>
      <w:r>
        <w:rPr>
          <w:rFonts w:hint="eastAsia"/>
          <w:sz w:val="24"/>
        </w:rPr>
        <w:t>五、财政拨款支出决算明细表</w:t>
      </w:r>
    </w:p>
    <w:p>
      <w:pPr>
        <w:pStyle w:val="12"/>
        <w:adjustRightInd w:val="0"/>
        <w:snapToGrid w:val="0"/>
        <w:spacing w:line="440" w:lineRule="exact"/>
        <w:jc w:val="left"/>
        <w:rPr>
          <w:sz w:val="24"/>
        </w:rPr>
      </w:pPr>
      <w:r>
        <w:rPr>
          <w:rFonts w:hint="eastAsia"/>
          <w:sz w:val="24"/>
        </w:rPr>
        <w:t>六、一般公共预算财政拨款支出决算表</w:t>
      </w:r>
    </w:p>
    <w:p>
      <w:pPr>
        <w:pStyle w:val="12"/>
        <w:adjustRightInd w:val="0"/>
        <w:snapToGrid w:val="0"/>
        <w:spacing w:line="440" w:lineRule="exact"/>
        <w:jc w:val="left"/>
        <w:rPr>
          <w:sz w:val="24"/>
        </w:rPr>
      </w:pPr>
      <w:r>
        <w:rPr>
          <w:rFonts w:hint="eastAsia"/>
          <w:sz w:val="24"/>
        </w:rPr>
        <w:t>七、一般公共预算财政拨款支出决算明细表</w:t>
      </w:r>
    </w:p>
    <w:p>
      <w:pPr>
        <w:pStyle w:val="12"/>
        <w:adjustRightInd w:val="0"/>
        <w:snapToGrid w:val="0"/>
        <w:spacing w:line="440" w:lineRule="exact"/>
        <w:jc w:val="left"/>
        <w:rPr>
          <w:sz w:val="24"/>
        </w:rPr>
      </w:pPr>
      <w:r>
        <w:rPr>
          <w:rFonts w:hint="eastAsia"/>
          <w:sz w:val="24"/>
        </w:rPr>
        <w:t>八、一般公共预算财政拨款基本支出决算表</w:t>
      </w:r>
    </w:p>
    <w:p>
      <w:pPr>
        <w:pStyle w:val="12"/>
        <w:adjustRightInd w:val="0"/>
        <w:snapToGrid w:val="0"/>
        <w:spacing w:line="440" w:lineRule="exact"/>
        <w:jc w:val="left"/>
        <w:rPr>
          <w:sz w:val="24"/>
        </w:rPr>
      </w:pPr>
      <w:r>
        <w:rPr>
          <w:rFonts w:hint="eastAsia"/>
          <w:sz w:val="24"/>
        </w:rPr>
        <w:t>九、一般公共预算财政拨款项目支出决算表</w:t>
      </w:r>
    </w:p>
    <w:p>
      <w:pPr>
        <w:pStyle w:val="12"/>
        <w:adjustRightInd w:val="0"/>
        <w:snapToGrid w:val="0"/>
        <w:spacing w:line="440" w:lineRule="exact"/>
        <w:jc w:val="left"/>
        <w:rPr>
          <w:sz w:val="24"/>
        </w:rPr>
      </w:pPr>
      <w:r>
        <w:rPr>
          <w:rFonts w:hint="eastAsia"/>
          <w:sz w:val="24"/>
        </w:rPr>
        <w:t>十、一般公共预算财政拨款“三公”经费支出决算表</w:t>
      </w:r>
    </w:p>
    <w:p>
      <w:pPr>
        <w:pStyle w:val="12"/>
        <w:adjustRightInd w:val="0"/>
        <w:snapToGrid w:val="0"/>
        <w:spacing w:line="440" w:lineRule="exact"/>
        <w:jc w:val="left"/>
        <w:rPr>
          <w:sz w:val="24"/>
        </w:rPr>
      </w:pPr>
      <w:r>
        <w:rPr>
          <w:rFonts w:hint="eastAsia"/>
          <w:sz w:val="24"/>
        </w:rPr>
        <w:t>十一、政府性基金预算财政拨款收入支出决算表</w:t>
      </w:r>
    </w:p>
    <w:p>
      <w:pPr>
        <w:pStyle w:val="12"/>
        <w:adjustRightInd w:val="0"/>
        <w:snapToGrid w:val="0"/>
        <w:spacing w:line="440" w:lineRule="exact"/>
        <w:jc w:val="left"/>
        <w:rPr>
          <w:sz w:val="24"/>
        </w:rPr>
      </w:pPr>
      <w:r>
        <w:rPr>
          <w:rFonts w:hint="eastAsia"/>
          <w:sz w:val="24"/>
        </w:rPr>
        <w:t>十二、政府性基金预算财政拨款“三公”经费支出决算表</w:t>
      </w:r>
    </w:p>
    <w:p>
      <w:pPr>
        <w:pStyle w:val="12"/>
        <w:adjustRightInd w:val="0"/>
        <w:snapToGrid w:val="0"/>
        <w:spacing w:line="440" w:lineRule="exact"/>
        <w:jc w:val="left"/>
        <w:rPr>
          <w:sz w:val="24"/>
        </w:rPr>
      </w:pPr>
      <w:r>
        <w:rPr>
          <w:rFonts w:hint="eastAsia"/>
          <w:sz w:val="24"/>
        </w:rPr>
        <w:t>十三、国有资本经营预算财政拨款收入支出决算表</w:t>
      </w:r>
    </w:p>
    <w:p>
      <w:pPr>
        <w:pStyle w:val="12"/>
        <w:adjustRightInd w:val="0"/>
        <w:snapToGrid w:val="0"/>
        <w:spacing w:line="440" w:lineRule="exact"/>
        <w:jc w:val="left"/>
        <w:rPr>
          <w:sz w:val="24"/>
        </w:rPr>
      </w:pPr>
      <w:r>
        <w:rPr>
          <w:rFonts w:hint="eastAsia"/>
          <w:sz w:val="24"/>
        </w:rPr>
        <w:t>十四、国有资本经营预算财政拨款支出决算表</w:t>
      </w:r>
    </w:p>
    <w:p>
      <w:pPr>
        <w:widowControl/>
        <w:spacing w:line="440" w:lineRule="exact"/>
        <w:jc w:val="left"/>
        <w:rPr>
          <w:rFonts w:ascii="仿宋" w:hAnsi="仿宋" w:eastAsia="仿宋"/>
          <w:bCs/>
          <w:kern w:val="44"/>
          <w:sz w:val="24"/>
        </w:rPr>
      </w:pPr>
      <w:bookmarkStart w:id="12" w:name="_Toc15396599"/>
      <w:bookmarkStart w:id="13" w:name="_Toc15377196"/>
      <w:r>
        <w:rPr>
          <w:rFonts w:ascii="仿宋" w:hAnsi="仿宋" w:eastAsia="仿宋"/>
          <w:b/>
          <w:sz w:val="24"/>
        </w:rPr>
        <w:br w:type="page"/>
      </w:r>
    </w:p>
    <w:p>
      <w:pPr>
        <w:pStyle w:val="3"/>
        <w:jc w:val="center"/>
        <w:rPr>
          <w:rStyle w:val="25"/>
          <w:rFonts w:ascii="黑体" w:hAnsi="黑体" w:eastAsia="黑体"/>
          <w:b/>
          <w:bCs w:val="0"/>
        </w:rPr>
      </w:pPr>
      <w:r>
        <w:rPr>
          <w:rFonts w:hint="eastAsia" w:ascii="黑体" w:hAnsi="黑体" w:eastAsia="黑体"/>
          <w:b w:val="0"/>
        </w:rPr>
        <w:t>第一部分 单位</w:t>
      </w:r>
      <w:r>
        <w:rPr>
          <w:rStyle w:val="25"/>
          <w:rFonts w:hint="eastAsia" w:ascii="黑体" w:hAnsi="黑体" w:eastAsia="黑体"/>
          <w:b w:val="0"/>
          <w:bCs w:val="0"/>
        </w:rPr>
        <w:t>概况</w:t>
      </w:r>
      <w:bookmarkEnd w:id="12"/>
      <w:bookmarkEnd w:id="13"/>
    </w:p>
    <w:p>
      <w:pPr>
        <w:widowControl/>
        <w:jc w:val="left"/>
        <w:rPr>
          <w:rFonts w:ascii="黑体" w:eastAsia="黑体"/>
          <w:sz w:val="32"/>
          <w:szCs w:val="32"/>
        </w:rPr>
      </w:pPr>
    </w:p>
    <w:p>
      <w:pPr>
        <w:pStyle w:val="4"/>
        <w:numPr>
          <w:ilvl w:val="0"/>
          <w:numId w:val="1"/>
        </w:numPr>
        <w:rPr>
          <w:rStyle w:val="26"/>
          <w:rFonts w:hint="eastAsia" w:ascii="黑体" w:hAnsi="黑体" w:eastAsia="黑体"/>
          <w:b w:val="0"/>
          <w:bCs w:val="0"/>
        </w:rPr>
      </w:pPr>
      <w:bookmarkStart w:id="14" w:name="_Toc15396600"/>
      <w:bookmarkStart w:id="15" w:name="_Toc15377197"/>
      <w:r>
        <w:rPr>
          <w:rStyle w:val="26"/>
          <w:rFonts w:hint="eastAsia" w:ascii="黑体" w:hAnsi="黑体" w:eastAsia="黑体"/>
          <w:b w:val="0"/>
          <w:bCs w:val="0"/>
        </w:rPr>
        <w:t>职能简介</w:t>
      </w:r>
    </w:p>
    <w:p>
      <w:pPr>
        <w:rPr>
          <w:rFonts w:hint="eastAsia" w:eastAsia="黑体"/>
          <w:lang w:eastAsia="zh-CN"/>
        </w:rPr>
      </w:pPr>
      <w:r>
        <w:rPr>
          <w:rStyle w:val="26"/>
          <w:rFonts w:hint="eastAsia" w:ascii="黑体" w:hAnsi="黑体" w:eastAsia="黑体"/>
          <w:b w:val="0"/>
          <w:bCs w:val="0"/>
          <w:lang w:eastAsia="zh-CN"/>
        </w:rPr>
        <w:t>（一）机构职能</w:t>
      </w:r>
    </w:p>
    <w:p>
      <w:pPr>
        <w:pageBreakBefore w:val="0"/>
        <w:widowControl w:val="0"/>
        <w:numPr>
          <w:ilvl w:val="0"/>
          <w:numId w:val="0"/>
        </w:numPr>
        <w:kinsoku/>
        <w:wordWrap/>
        <w:overflowPunct/>
        <w:topLinePunct w:val="0"/>
        <w:autoSpaceDE/>
        <w:autoSpaceDN/>
        <w:bidi w:val="0"/>
        <w:adjustRightInd/>
        <w:spacing w:line="360" w:lineRule="auto"/>
        <w:ind w:firstLine="640" w:firstLineChars="200"/>
        <w:textAlignment w:val="auto"/>
        <w:rPr>
          <w:rFonts w:hint="eastAsia"/>
          <w:sz w:val="32"/>
          <w:szCs w:val="32"/>
        </w:rPr>
      </w:pPr>
      <w:r>
        <w:rPr>
          <w:rFonts w:hint="eastAsia" w:ascii="宋体" w:hAnsi="宋体" w:eastAsia="宋体" w:cs="宋体"/>
          <w:color w:val="333333"/>
          <w:sz w:val="32"/>
          <w:szCs w:val="32"/>
        </w:rPr>
        <w:t>我中心以群体保健工作为基础，面向基层、预防为主，主要以</w:t>
      </w:r>
      <w:r>
        <w:rPr>
          <w:rFonts w:hint="eastAsia" w:ascii="宋体" w:hAnsi="宋体" w:eastAsia="宋体" w:cs="宋体"/>
          <w:color w:val="3D3D3D"/>
          <w:sz w:val="32"/>
          <w:szCs w:val="32"/>
        </w:rPr>
        <w:t>妇女保健、儿童保健、妇产科医疗、儿科医疗、妇幼卫生监测与信息管理、妇幼卫生保健人员培训与技术支持、妇幼保健科学研究、妇幼保健咨询、计划生育技术服务、生育指导与避孕咨询、婚前保健和医学检查、婚前咨询与新婚保健、避孕方法使用和知情选择、计划生育技术和婚前保健服务人员培训与技术支持、计划生育科学研究一系列业务</w:t>
      </w:r>
      <w:r>
        <w:rPr>
          <w:rFonts w:hint="eastAsia" w:ascii="宋体" w:hAnsi="宋体" w:eastAsia="宋体" w:cs="宋体"/>
          <w:color w:val="333333"/>
          <w:sz w:val="32"/>
          <w:szCs w:val="32"/>
        </w:rPr>
        <w:t>。在切实履行公共卫生职责的同时，开展与妇女儿童健康密切相关的基本医疗服务。</w:t>
      </w:r>
    </w:p>
    <w:p>
      <w:pPr>
        <w:pStyle w:val="2"/>
        <w:pageBreakBefore w:val="0"/>
        <w:widowControl w:val="0"/>
        <w:numPr>
          <w:ilvl w:val="0"/>
          <w:numId w:val="0"/>
        </w:numPr>
        <w:kinsoku/>
        <w:wordWrap/>
        <w:overflowPunct/>
        <w:topLinePunct w:val="0"/>
        <w:autoSpaceDE/>
        <w:autoSpaceDN/>
        <w:bidi w:val="0"/>
        <w:adjustRightInd/>
        <w:spacing w:line="360" w:lineRule="auto"/>
        <w:textAlignment w:val="auto"/>
        <w:rPr>
          <w:rFonts w:hint="eastAsia" w:ascii="黑体" w:hAnsi="黑体" w:eastAsia="黑体" w:cs="黑体"/>
          <w:color w:val="333333"/>
          <w:sz w:val="30"/>
          <w:szCs w:val="30"/>
          <w:lang w:eastAsia="zh-CN"/>
        </w:rPr>
      </w:pPr>
      <w:r>
        <w:rPr>
          <w:rFonts w:hint="eastAsia" w:ascii="黑体" w:hAnsi="黑体" w:eastAsia="黑体" w:cs="黑体"/>
          <w:color w:val="333333"/>
          <w:sz w:val="30"/>
          <w:szCs w:val="30"/>
          <w:lang w:eastAsia="zh-CN"/>
        </w:rPr>
        <w:t>（二）人员概况</w:t>
      </w:r>
    </w:p>
    <w:p>
      <w:pPr>
        <w:pStyle w:val="2"/>
        <w:pageBreakBefore w:val="0"/>
        <w:widowControl w:val="0"/>
        <w:numPr>
          <w:ilvl w:val="0"/>
          <w:numId w:val="0"/>
        </w:numPr>
        <w:kinsoku/>
        <w:wordWrap/>
        <w:overflowPunct/>
        <w:topLinePunct w:val="0"/>
        <w:autoSpaceDE/>
        <w:autoSpaceDN/>
        <w:bidi w:val="0"/>
        <w:adjustRightInd/>
        <w:spacing w:line="360" w:lineRule="auto"/>
        <w:ind w:firstLine="640" w:firstLineChars="200"/>
        <w:textAlignment w:val="auto"/>
        <w:rPr>
          <w:rFonts w:hint="eastAsia" w:ascii="宋体" w:hAnsi="宋体" w:eastAsia="宋体" w:cs="宋体"/>
          <w:color w:val="333333"/>
          <w:sz w:val="32"/>
          <w:szCs w:val="32"/>
          <w:lang w:eastAsia="zh-CN"/>
        </w:rPr>
      </w:pPr>
      <w:r>
        <w:rPr>
          <w:rFonts w:hint="eastAsia" w:ascii="宋体" w:hAnsi="宋体" w:eastAsia="宋体" w:cs="宋体"/>
          <w:sz w:val="32"/>
          <w:szCs w:val="32"/>
          <w:lang w:eastAsia="zh-CN"/>
        </w:rPr>
        <w:t>本中心年末</w:t>
      </w:r>
      <w:r>
        <w:rPr>
          <w:rFonts w:hint="eastAsia" w:ascii="宋体" w:hAnsi="宋体" w:eastAsia="宋体" w:cs="宋体"/>
          <w:sz w:val="32"/>
          <w:szCs w:val="32"/>
          <w:lang w:val="en-US" w:eastAsia="zh-CN"/>
        </w:rPr>
        <w:t>在编人员33人。</w:t>
      </w:r>
      <w:r>
        <w:rPr>
          <w:rFonts w:hint="eastAsia" w:ascii="宋体" w:hAnsi="宋体" w:eastAsia="宋体" w:cs="宋体"/>
          <w:sz w:val="32"/>
          <w:szCs w:val="32"/>
          <w:lang w:eastAsia="zh-CN"/>
        </w:rPr>
        <w:t>退休人员</w:t>
      </w:r>
      <w:r>
        <w:rPr>
          <w:rFonts w:hint="eastAsia" w:ascii="宋体" w:hAnsi="宋体" w:eastAsia="宋体" w:cs="宋体"/>
          <w:sz w:val="32"/>
          <w:szCs w:val="32"/>
          <w:lang w:val="en-US" w:eastAsia="zh-CN"/>
        </w:rPr>
        <w:t>20人。</w:t>
      </w:r>
    </w:p>
    <w:p>
      <w:pPr>
        <w:pStyle w:val="4"/>
        <w:pageBreakBefore w:val="0"/>
        <w:widowControl w:val="0"/>
        <w:kinsoku/>
        <w:wordWrap/>
        <w:overflowPunct/>
        <w:topLinePunct w:val="0"/>
        <w:autoSpaceDE/>
        <w:autoSpaceDN/>
        <w:bidi w:val="0"/>
        <w:adjustRightInd/>
        <w:spacing w:line="360" w:lineRule="auto"/>
        <w:textAlignment w:val="auto"/>
        <w:rPr>
          <w:rFonts w:hint="eastAsia" w:ascii="黑体" w:hAnsi="黑体" w:eastAsia="黑体"/>
          <w:b w:val="0"/>
        </w:rPr>
      </w:pPr>
      <w:r>
        <w:rPr>
          <w:rFonts w:hint="eastAsia" w:ascii="黑体" w:hAnsi="黑体" w:eastAsia="黑体"/>
          <w:b w:val="0"/>
        </w:rPr>
        <w:t>二、2021年重点工作</w:t>
      </w:r>
      <w:bookmarkEnd w:id="14"/>
      <w:bookmarkEnd w:id="15"/>
      <w:r>
        <w:rPr>
          <w:rFonts w:hint="eastAsia" w:ascii="黑体" w:hAnsi="黑体" w:eastAsia="黑体"/>
          <w:b w:val="0"/>
        </w:rPr>
        <w:t>完成情况</w:t>
      </w:r>
    </w:p>
    <w:p>
      <w:pPr>
        <w:pageBreakBefore w:val="0"/>
        <w:widowControl w:val="0"/>
        <w:kinsoku/>
        <w:wordWrap/>
        <w:overflowPunct/>
        <w:topLinePunct w:val="0"/>
        <w:autoSpaceDE/>
        <w:autoSpaceDN/>
        <w:bidi w:val="0"/>
        <w:adjustRightInd/>
        <w:snapToGrid w:val="0"/>
        <w:spacing w:line="360" w:lineRule="auto"/>
        <w:ind w:firstLine="640" w:firstLineChars="200"/>
        <w:textAlignment w:val="auto"/>
        <w:rPr>
          <w:rFonts w:hint="eastAsia" w:ascii="宋体" w:hAnsi="宋体" w:eastAsia="宋体" w:cs="宋体"/>
          <w:sz w:val="32"/>
          <w:szCs w:val="32"/>
          <w:lang w:eastAsia="zh-CN"/>
        </w:rPr>
      </w:pPr>
      <w:r>
        <w:rPr>
          <w:rFonts w:hint="eastAsia" w:ascii="宋体" w:hAnsi="宋体" w:eastAsia="宋体" w:cs="宋体"/>
          <w:sz w:val="32"/>
          <w:szCs w:val="32"/>
        </w:rPr>
        <w:t>在本中心职工的共同努力下，计生免费技术服务的手术例数</w:t>
      </w:r>
      <w:r>
        <w:rPr>
          <w:rFonts w:hint="eastAsia" w:ascii="宋体" w:hAnsi="宋体" w:eastAsia="宋体" w:cs="宋体"/>
          <w:sz w:val="32"/>
          <w:szCs w:val="32"/>
          <w:lang w:eastAsia="zh-CN"/>
        </w:rPr>
        <w:t>、婚检对数、孕前优生优育检查对数持平</w:t>
      </w:r>
      <w:r>
        <w:rPr>
          <w:rFonts w:hint="eastAsia" w:ascii="宋体" w:hAnsi="宋体" w:cs="宋体"/>
          <w:sz w:val="32"/>
          <w:szCs w:val="32"/>
          <w:lang w:val="en-US" w:eastAsia="zh-CN"/>
        </w:rPr>
        <w:t>,</w:t>
      </w:r>
      <w:r>
        <w:rPr>
          <w:rFonts w:hint="eastAsia" w:ascii="宋体" w:hAnsi="宋体" w:eastAsia="宋体" w:cs="宋体"/>
          <w:sz w:val="32"/>
          <w:szCs w:val="32"/>
        </w:rPr>
        <w:t>坚持稳中求进，突破创新，基本完成全年的目标任务，全年总诊疗人次数</w:t>
      </w:r>
      <w:r>
        <w:rPr>
          <w:rFonts w:hint="eastAsia" w:ascii="宋体" w:hAnsi="宋体" w:eastAsia="宋体" w:cs="宋体"/>
          <w:color w:val="0000FF"/>
          <w:sz w:val="32"/>
          <w:szCs w:val="32"/>
          <w:lang w:val="en-US" w:eastAsia="zh-CN"/>
        </w:rPr>
        <w:t>11058</w:t>
      </w:r>
      <w:r>
        <w:rPr>
          <w:rFonts w:hint="eastAsia" w:ascii="宋体" w:hAnsi="宋体" w:eastAsia="宋体" w:cs="宋体"/>
          <w:sz w:val="32"/>
          <w:szCs w:val="32"/>
        </w:rPr>
        <w:t>人，婚前检查</w:t>
      </w:r>
      <w:r>
        <w:rPr>
          <w:rFonts w:hint="eastAsia" w:ascii="宋体" w:hAnsi="宋体" w:cs="宋体"/>
          <w:sz w:val="32"/>
          <w:szCs w:val="32"/>
          <w:lang w:val="en-US" w:eastAsia="zh-CN"/>
        </w:rPr>
        <w:t>1247</w:t>
      </w:r>
      <w:r>
        <w:rPr>
          <w:rFonts w:hint="eastAsia" w:ascii="宋体" w:hAnsi="宋体" w:eastAsia="宋体" w:cs="宋体"/>
          <w:sz w:val="32"/>
          <w:szCs w:val="32"/>
        </w:rPr>
        <w:t>对，孕前优生优育检测数</w:t>
      </w:r>
      <w:r>
        <w:rPr>
          <w:rFonts w:hint="eastAsia" w:ascii="宋体" w:hAnsi="宋体" w:cs="宋体"/>
          <w:sz w:val="32"/>
          <w:szCs w:val="32"/>
          <w:lang w:val="en-US" w:eastAsia="zh-CN"/>
        </w:rPr>
        <w:t>618</w:t>
      </w:r>
      <w:r>
        <w:rPr>
          <w:rFonts w:hint="eastAsia" w:ascii="宋体" w:hAnsi="宋体" w:eastAsia="宋体" w:cs="宋体"/>
          <w:sz w:val="32"/>
          <w:szCs w:val="32"/>
          <w:lang w:val="en-US" w:eastAsia="zh-CN"/>
        </w:rPr>
        <w:t>对</w:t>
      </w:r>
      <w:r>
        <w:rPr>
          <w:rFonts w:hint="eastAsia" w:ascii="宋体" w:hAnsi="宋体" w:eastAsia="宋体" w:cs="宋体"/>
          <w:sz w:val="32"/>
          <w:szCs w:val="32"/>
        </w:rPr>
        <w:t>。</w:t>
      </w:r>
      <w:r>
        <w:rPr>
          <w:rFonts w:hint="eastAsia" w:ascii="宋体" w:hAnsi="宋体" w:cs="宋体"/>
          <w:sz w:val="32"/>
          <w:szCs w:val="32"/>
          <w:lang w:eastAsia="zh-CN"/>
        </w:rPr>
        <w:t>同时</w:t>
      </w:r>
      <w:r>
        <w:rPr>
          <w:rFonts w:hint="eastAsia" w:ascii="宋体" w:hAnsi="宋体" w:eastAsia="宋体" w:cs="宋体"/>
          <w:sz w:val="32"/>
          <w:szCs w:val="32"/>
          <w:lang w:eastAsia="zh-CN"/>
        </w:rPr>
        <w:t>从新冠</w:t>
      </w:r>
      <w:r>
        <w:rPr>
          <w:rFonts w:hint="eastAsia" w:ascii="宋体" w:hAnsi="宋体" w:cs="宋体"/>
          <w:sz w:val="32"/>
          <w:szCs w:val="32"/>
          <w:lang w:eastAsia="zh-CN"/>
        </w:rPr>
        <w:t>肺炎</w:t>
      </w:r>
      <w:r>
        <w:rPr>
          <w:rFonts w:hint="eastAsia" w:ascii="宋体" w:hAnsi="宋体" w:eastAsia="宋体" w:cs="宋体"/>
          <w:sz w:val="32"/>
          <w:szCs w:val="32"/>
          <w:lang w:eastAsia="zh-CN"/>
        </w:rPr>
        <w:t>爆发后我中心承担着全县的新冠疫苗接种工作，从不拖拉。</w:t>
      </w:r>
    </w:p>
    <w:p>
      <w:pPr>
        <w:pStyle w:val="3"/>
        <w:ind w:right="440"/>
        <w:jc w:val="both"/>
        <w:rPr>
          <w:rStyle w:val="25"/>
          <w:rFonts w:ascii="黑体" w:hAnsi="黑体" w:eastAsia="黑体"/>
          <w:b w:val="0"/>
          <w:bCs/>
        </w:rPr>
      </w:pPr>
      <w:bookmarkStart w:id="16" w:name="_Toc15377204"/>
      <w:bookmarkStart w:id="17" w:name="_Toc15396602"/>
      <w:r>
        <w:rPr>
          <w:rFonts w:hint="eastAsia" w:ascii="黑体" w:hAnsi="黑体" w:eastAsia="黑体"/>
          <w:b w:val="0"/>
        </w:rPr>
        <w:t>第二部分 2021年度</w:t>
      </w:r>
      <w:r>
        <w:rPr>
          <w:rStyle w:val="25"/>
          <w:rFonts w:hint="eastAsia" w:ascii="黑体" w:hAnsi="黑体" w:eastAsia="黑体"/>
          <w:b w:val="0"/>
          <w:bCs/>
        </w:rPr>
        <w:t>单位决算情况说明</w:t>
      </w:r>
      <w:bookmarkEnd w:id="16"/>
      <w:bookmarkEnd w:id="17"/>
    </w:p>
    <w:p>
      <w:pPr>
        <w:widowControl/>
        <w:jc w:val="left"/>
      </w:pPr>
    </w:p>
    <w:p>
      <w:pPr>
        <w:pStyle w:val="24"/>
        <w:numPr>
          <w:ilvl w:val="0"/>
          <w:numId w:val="2"/>
        </w:numPr>
        <w:spacing w:line="600" w:lineRule="exact"/>
        <w:ind w:firstLineChars="0"/>
        <w:outlineLvl w:val="1"/>
        <w:rPr>
          <w:rStyle w:val="26"/>
          <w:rFonts w:ascii="黑体" w:hAnsi="黑体" w:eastAsia="黑体"/>
          <w:b w:val="0"/>
        </w:rPr>
      </w:pPr>
      <w:bookmarkStart w:id="18" w:name="_Toc15377205"/>
      <w:bookmarkStart w:id="19" w:name="_Toc15396603"/>
      <w:r>
        <w:rPr>
          <w:rFonts w:hint="eastAsia" w:ascii="黑体" w:hAnsi="黑体" w:eastAsia="黑体"/>
          <w:sz w:val="32"/>
          <w:szCs w:val="32"/>
        </w:rPr>
        <w:t>收</w:t>
      </w:r>
      <w:r>
        <w:rPr>
          <w:rStyle w:val="26"/>
          <w:rFonts w:hint="eastAsia" w:ascii="黑体" w:hAnsi="黑体" w:eastAsia="黑体"/>
          <w:b w:val="0"/>
        </w:rPr>
        <w:t>入支出决算总体情况说明</w:t>
      </w:r>
      <w:bookmarkEnd w:id="18"/>
      <w:bookmarkEnd w:id="19"/>
    </w:p>
    <w:p>
      <w:pPr>
        <w:spacing w:line="600" w:lineRule="exact"/>
        <w:ind w:firstLine="960" w:firstLineChars="300"/>
        <w:rPr>
          <w:rFonts w:hint="eastAsia" w:ascii="宋体" w:hAnsi="宋体" w:eastAsia="宋体" w:cs="宋体"/>
          <w:color w:val="0C0C0C"/>
          <w:sz w:val="32"/>
          <w:szCs w:val="32"/>
          <w:lang w:val="en-US" w:eastAsia="zh-CN"/>
        </w:rPr>
      </w:pPr>
      <w:r>
        <w:rPr>
          <w:rFonts w:hint="eastAsia" w:ascii="宋体" w:hAnsi="宋体" w:eastAsia="宋体" w:cs="宋体"/>
          <w:sz w:val="32"/>
          <w:szCs w:val="32"/>
          <w:lang w:eastAsia="zh-CN"/>
        </w:rPr>
        <w:t>本中心</w:t>
      </w:r>
      <w:r>
        <w:rPr>
          <w:rFonts w:hint="eastAsia" w:ascii="宋体" w:hAnsi="宋体" w:eastAsia="宋体" w:cs="宋体"/>
          <w:sz w:val="32"/>
          <w:szCs w:val="32"/>
        </w:rPr>
        <w:t>2021年度收</w:t>
      </w:r>
      <w:r>
        <w:rPr>
          <w:rFonts w:hint="eastAsia" w:ascii="宋体" w:hAnsi="宋体" w:eastAsia="宋体" w:cs="宋体"/>
          <w:sz w:val="32"/>
          <w:szCs w:val="32"/>
          <w:lang w:eastAsia="zh-CN"/>
        </w:rPr>
        <w:t>入总计</w:t>
      </w:r>
      <w:r>
        <w:rPr>
          <w:rFonts w:hint="eastAsia" w:ascii="宋体" w:hAnsi="宋体" w:eastAsia="宋体" w:cs="宋体"/>
          <w:sz w:val="32"/>
          <w:szCs w:val="32"/>
          <w:lang w:val="en-US" w:eastAsia="zh-CN"/>
        </w:rPr>
        <w:t>667.34万元</w:t>
      </w:r>
      <w:r>
        <w:rPr>
          <w:rFonts w:hint="eastAsia" w:ascii="宋体" w:hAnsi="宋体" w:eastAsia="宋体" w:cs="宋体"/>
          <w:sz w:val="32"/>
          <w:szCs w:val="32"/>
          <w:lang w:eastAsia="zh-CN"/>
        </w:rPr>
        <w:t>，其中：一般公共预算财政拨款收入</w:t>
      </w:r>
      <w:r>
        <w:rPr>
          <w:rFonts w:hint="eastAsia" w:ascii="宋体" w:hAnsi="宋体" w:eastAsia="宋体" w:cs="宋体"/>
          <w:sz w:val="32"/>
          <w:szCs w:val="32"/>
          <w:lang w:val="en-US" w:eastAsia="zh-CN"/>
        </w:rPr>
        <w:t>667.34万元，占总收入100%。而</w:t>
      </w:r>
      <w:r>
        <w:rPr>
          <w:rFonts w:hint="eastAsia" w:ascii="宋体" w:hAnsi="宋体" w:eastAsia="宋体" w:cs="宋体"/>
          <w:color w:val="0C0C0C"/>
          <w:sz w:val="32"/>
          <w:szCs w:val="32"/>
          <w:lang w:val="en-US" w:eastAsia="zh-CN"/>
        </w:rPr>
        <w:t>2020</w:t>
      </w:r>
      <w:r>
        <w:rPr>
          <w:rFonts w:hint="eastAsia" w:ascii="宋体" w:hAnsi="宋体" w:eastAsia="宋体" w:cs="宋体"/>
          <w:color w:val="0C0C0C"/>
          <w:sz w:val="32"/>
          <w:szCs w:val="32"/>
        </w:rPr>
        <w:t>年</w:t>
      </w:r>
      <w:r>
        <w:rPr>
          <w:rFonts w:hint="eastAsia" w:ascii="宋体" w:hAnsi="宋体" w:eastAsia="宋体" w:cs="宋体"/>
          <w:color w:val="0C0C0C"/>
          <w:sz w:val="32"/>
          <w:szCs w:val="32"/>
          <w:lang w:eastAsia="zh-CN"/>
        </w:rPr>
        <w:t>度</w:t>
      </w:r>
      <w:r>
        <w:rPr>
          <w:rFonts w:hint="eastAsia" w:ascii="宋体" w:hAnsi="宋体" w:eastAsia="宋体" w:cs="宋体"/>
          <w:color w:val="0C0C0C"/>
          <w:sz w:val="32"/>
          <w:szCs w:val="32"/>
        </w:rPr>
        <w:t>收入</w:t>
      </w:r>
      <w:r>
        <w:rPr>
          <w:rFonts w:hint="eastAsia" w:ascii="宋体" w:hAnsi="宋体" w:eastAsia="宋体" w:cs="宋体"/>
          <w:color w:val="0C0C0C"/>
          <w:sz w:val="32"/>
          <w:szCs w:val="32"/>
          <w:lang w:eastAsia="zh-CN"/>
        </w:rPr>
        <w:t>总</w:t>
      </w:r>
      <w:r>
        <w:rPr>
          <w:rFonts w:hint="eastAsia" w:ascii="宋体" w:hAnsi="宋体" w:eastAsia="宋体" w:cs="宋体"/>
          <w:color w:val="0C0C0C"/>
          <w:sz w:val="32"/>
          <w:szCs w:val="32"/>
        </w:rPr>
        <w:t>计</w:t>
      </w:r>
      <w:r>
        <w:rPr>
          <w:rFonts w:hint="eastAsia" w:ascii="宋体" w:hAnsi="宋体" w:eastAsia="宋体" w:cs="宋体"/>
          <w:color w:val="0C0C0C"/>
          <w:sz w:val="32"/>
          <w:szCs w:val="32"/>
          <w:lang w:val="en-US" w:eastAsia="zh-CN"/>
        </w:rPr>
        <w:t>631.00</w:t>
      </w:r>
      <w:r>
        <w:rPr>
          <w:rFonts w:hint="eastAsia" w:ascii="宋体" w:hAnsi="宋体" w:eastAsia="宋体" w:cs="宋体"/>
          <w:color w:val="0C0C0C"/>
          <w:sz w:val="32"/>
          <w:szCs w:val="32"/>
        </w:rPr>
        <w:t>万元，</w:t>
      </w:r>
      <w:r>
        <w:rPr>
          <w:rFonts w:hint="eastAsia" w:ascii="宋体" w:hAnsi="宋体" w:eastAsia="宋体" w:cs="宋体"/>
          <w:color w:val="0C0C0C"/>
          <w:sz w:val="32"/>
          <w:szCs w:val="32"/>
          <w:lang w:val="en-US" w:eastAsia="zh-CN"/>
        </w:rPr>
        <w:t>2021年收入增加36.34万元，增加5.76%，主要变动原因是2021年有新进人员，增加人员经费，同时项目经费也增加。</w:t>
      </w:r>
    </w:p>
    <w:p>
      <w:pPr>
        <w:spacing w:line="600" w:lineRule="exact"/>
        <w:ind w:firstLine="960" w:firstLineChars="300"/>
        <w:rPr>
          <w:rFonts w:hint="eastAsia" w:ascii="宋体" w:hAnsi="宋体" w:eastAsia="宋体" w:cs="宋体"/>
          <w:color w:val="0C0C0C"/>
          <w:sz w:val="32"/>
          <w:szCs w:val="32"/>
          <w:lang w:val="en-US" w:eastAsia="zh-CN"/>
        </w:rPr>
      </w:pPr>
      <w:r>
        <w:rPr>
          <w:rFonts w:hint="eastAsia" w:ascii="宋体" w:hAnsi="宋体" w:eastAsia="宋体" w:cs="宋体"/>
          <w:color w:val="0C0C0C"/>
          <w:sz w:val="32"/>
          <w:szCs w:val="32"/>
          <w:lang w:val="en-US" w:eastAsia="zh-CN"/>
        </w:rPr>
        <w:t>本中心</w:t>
      </w:r>
      <w:r>
        <w:rPr>
          <w:rFonts w:hint="eastAsia" w:ascii="宋体" w:hAnsi="宋体" w:eastAsia="宋体" w:cs="宋体"/>
          <w:sz w:val="32"/>
          <w:szCs w:val="32"/>
          <w:lang w:val="en-US" w:eastAsia="zh-CN"/>
        </w:rPr>
        <w:t>2021年</w:t>
      </w:r>
      <w:r>
        <w:rPr>
          <w:rFonts w:hint="eastAsia" w:ascii="宋体" w:hAnsi="宋体" w:eastAsia="宋体" w:cs="宋体"/>
          <w:sz w:val="32"/>
          <w:szCs w:val="32"/>
        </w:rPr>
        <w:t>支</w:t>
      </w:r>
      <w:r>
        <w:rPr>
          <w:rFonts w:hint="eastAsia" w:ascii="宋体" w:hAnsi="宋体" w:eastAsia="宋体" w:cs="宋体"/>
          <w:sz w:val="32"/>
          <w:szCs w:val="32"/>
          <w:lang w:eastAsia="zh-CN"/>
        </w:rPr>
        <w:t>出</w:t>
      </w:r>
      <w:r>
        <w:rPr>
          <w:rFonts w:hint="eastAsia" w:ascii="宋体" w:hAnsi="宋体" w:eastAsia="宋体" w:cs="宋体"/>
          <w:sz w:val="32"/>
          <w:szCs w:val="32"/>
        </w:rPr>
        <w:t>总计</w:t>
      </w:r>
      <w:r>
        <w:rPr>
          <w:rFonts w:hint="eastAsia" w:ascii="宋体" w:hAnsi="宋体" w:eastAsia="宋体" w:cs="宋体"/>
          <w:sz w:val="32"/>
          <w:szCs w:val="32"/>
          <w:lang w:val="en-US" w:eastAsia="zh-CN"/>
        </w:rPr>
        <w:t>731.06</w:t>
      </w:r>
      <w:r>
        <w:rPr>
          <w:rFonts w:hint="eastAsia" w:ascii="宋体" w:hAnsi="宋体" w:eastAsia="宋体" w:cs="宋体"/>
          <w:sz w:val="32"/>
          <w:szCs w:val="32"/>
        </w:rPr>
        <w:t>万元</w:t>
      </w:r>
      <w:r>
        <w:rPr>
          <w:rFonts w:hint="eastAsia" w:ascii="宋体" w:hAnsi="宋体" w:eastAsia="宋体" w:cs="宋体"/>
          <w:sz w:val="32"/>
          <w:szCs w:val="32"/>
          <w:lang w:eastAsia="zh-CN"/>
        </w:rPr>
        <w:t>，其中：社会保障和就业支出</w:t>
      </w:r>
      <w:r>
        <w:rPr>
          <w:rFonts w:hint="eastAsia" w:ascii="宋体" w:hAnsi="宋体" w:eastAsia="宋体" w:cs="宋体"/>
          <w:sz w:val="32"/>
          <w:szCs w:val="32"/>
          <w:lang w:val="en-US" w:eastAsia="zh-CN"/>
        </w:rPr>
        <w:t>59.25万元，占总支出8.10%，卫生健康支出629.10万元，占总支出86.05%，住房保障支出42.71万元，占总支出5.85%</w:t>
      </w:r>
      <w:r>
        <w:rPr>
          <w:rFonts w:hint="eastAsia" w:ascii="宋体" w:hAnsi="宋体" w:eastAsia="宋体" w:cs="宋体"/>
          <w:sz w:val="32"/>
          <w:szCs w:val="32"/>
        </w:rPr>
        <w:t>。</w:t>
      </w:r>
      <w:r>
        <w:rPr>
          <w:rFonts w:hint="eastAsia" w:ascii="宋体" w:hAnsi="宋体" w:eastAsia="宋体" w:cs="宋体"/>
          <w:sz w:val="32"/>
          <w:szCs w:val="32"/>
          <w:lang w:eastAsia="zh-CN"/>
        </w:rPr>
        <w:t>而</w:t>
      </w:r>
      <w:r>
        <w:rPr>
          <w:rFonts w:hint="eastAsia" w:ascii="宋体" w:hAnsi="宋体" w:eastAsia="宋体" w:cs="宋体"/>
          <w:sz w:val="32"/>
          <w:szCs w:val="32"/>
          <w:lang w:val="en-US" w:eastAsia="zh-CN"/>
        </w:rPr>
        <w:t>2020年本年支出584.77万元，2021年支出增加146.29万元，增加25.02%，主要变动原因是</w:t>
      </w:r>
      <w:r>
        <w:rPr>
          <w:rFonts w:hint="eastAsia" w:ascii="宋体" w:hAnsi="宋体" w:eastAsia="宋体" w:cs="宋体"/>
          <w:color w:val="0C0C0C"/>
          <w:sz w:val="32"/>
          <w:szCs w:val="32"/>
          <w:lang w:val="en-US" w:eastAsia="zh-CN"/>
        </w:rPr>
        <w:t>2021年有新进人员，增加人员经费，同时项目经费也增加。</w:t>
      </w:r>
    </w:p>
    <w:p>
      <w:pPr>
        <w:pStyle w:val="2"/>
        <w:rPr>
          <w:rFonts w:hint="default"/>
          <w:lang w:val="en-US" w:eastAsia="zh-CN"/>
        </w:rPr>
      </w:pPr>
      <w:r>
        <w:rPr>
          <w:rFonts w:hint="default"/>
          <w:lang w:val="en-US" w:eastAsia="zh-CN"/>
        </w:rPr>
        <w:drawing>
          <wp:inline distT="0" distB="0" distL="114300" distR="114300">
            <wp:extent cx="5080000" cy="3810000"/>
            <wp:effectExtent l="4445" t="4445" r="20955" b="14605"/>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：收、支决算总计变动情况图）（柱状图）</w:t>
      </w:r>
    </w:p>
    <w:p>
      <w:pPr>
        <w:spacing w:line="600" w:lineRule="exact"/>
        <w:ind w:firstLine="640" w:firstLineChars="200"/>
        <w:jc w:val="left"/>
        <w:rPr>
          <w:rFonts w:ascii="仿宋_GB2312" w:eastAsia="仿宋_GB2312"/>
          <w:sz w:val="32"/>
          <w:szCs w:val="32"/>
        </w:rPr>
      </w:pPr>
    </w:p>
    <w:p>
      <w:pPr>
        <w:pStyle w:val="24"/>
        <w:numPr>
          <w:ilvl w:val="0"/>
          <w:numId w:val="2"/>
        </w:numPr>
        <w:spacing w:line="600" w:lineRule="exact"/>
        <w:ind w:firstLineChars="0"/>
        <w:outlineLvl w:val="1"/>
        <w:rPr>
          <w:rStyle w:val="26"/>
          <w:rFonts w:ascii="黑体" w:hAnsi="黑体" w:eastAsia="黑体"/>
          <w:b w:val="0"/>
        </w:rPr>
      </w:pPr>
      <w:bookmarkStart w:id="20" w:name="_Toc15377206"/>
      <w:bookmarkStart w:id="21" w:name="_Toc15396604"/>
      <w:r>
        <w:rPr>
          <w:rFonts w:hint="eastAsia" w:ascii="黑体" w:hAnsi="黑体" w:eastAsia="黑体"/>
          <w:sz w:val="32"/>
          <w:szCs w:val="32"/>
        </w:rPr>
        <w:t>收</w:t>
      </w:r>
      <w:r>
        <w:rPr>
          <w:rStyle w:val="26"/>
          <w:rFonts w:hint="eastAsia" w:ascii="黑体" w:hAnsi="黑体" w:eastAsia="黑体"/>
          <w:b w:val="0"/>
        </w:rPr>
        <w:t>入决算情况说明</w:t>
      </w:r>
      <w:bookmarkEnd w:id="20"/>
      <w:bookmarkEnd w:id="21"/>
    </w:p>
    <w:p>
      <w:pPr>
        <w:spacing w:line="600" w:lineRule="exact"/>
        <w:ind w:firstLine="640" w:firstLineChars="200"/>
        <w:outlineLvl w:val="1"/>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21年本年收入合计</w:t>
      </w:r>
      <w:r>
        <w:rPr>
          <w:rFonts w:hint="eastAsia" w:ascii="仿宋" w:hAnsi="仿宋" w:eastAsia="仿宋"/>
          <w:sz w:val="32"/>
          <w:szCs w:val="32"/>
          <w:lang w:val="en-US" w:eastAsia="zh-CN"/>
        </w:rPr>
        <w:t>667.34</w:t>
      </w:r>
      <w:r>
        <w:rPr>
          <w:rFonts w:hint="eastAsia" w:ascii="仿宋" w:hAnsi="仿宋" w:eastAsia="仿宋"/>
          <w:sz w:val="32"/>
          <w:szCs w:val="32"/>
        </w:rPr>
        <w:t>万元，其中：一般公共预算财政拨款收入</w:t>
      </w:r>
      <w:r>
        <w:rPr>
          <w:rFonts w:hint="eastAsia" w:ascii="仿宋" w:hAnsi="仿宋" w:eastAsia="仿宋"/>
          <w:sz w:val="32"/>
          <w:szCs w:val="32"/>
          <w:lang w:val="en-US" w:eastAsia="zh-CN"/>
        </w:rPr>
        <w:t>667.34</w:t>
      </w:r>
      <w:r>
        <w:rPr>
          <w:rFonts w:hint="eastAsia" w:ascii="仿宋" w:hAnsi="仿宋" w:eastAsia="仿宋"/>
          <w:sz w:val="32"/>
          <w:szCs w:val="32"/>
        </w:rPr>
        <w:t>万元，占</w:t>
      </w:r>
      <w:r>
        <w:rPr>
          <w:rFonts w:hint="eastAsia" w:ascii="仿宋" w:hAnsi="仿宋" w:eastAsia="仿宋"/>
          <w:sz w:val="32"/>
          <w:szCs w:val="32"/>
          <w:lang w:val="en-US" w:eastAsia="zh-CN"/>
        </w:rPr>
        <w:t>100</w:t>
      </w:r>
      <w:r>
        <w:rPr>
          <w:rFonts w:ascii="仿宋" w:hAnsi="仿宋" w:eastAsia="仿宋"/>
          <w:sz w:val="32"/>
          <w:szCs w:val="32"/>
        </w:rPr>
        <w:t>%</w:t>
      </w:r>
      <w:r>
        <w:rPr>
          <w:rFonts w:hint="eastAsia" w:ascii="仿宋" w:hAnsi="仿宋" w:eastAsia="仿宋"/>
          <w:sz w:val="32"/>
          <w:szCs w:val="32"/>
        </w:rPr>
        <w:t>；政府性基金预算财政拨款收入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；国有资本经营预算财政拨款收入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；上级补助收入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；事业收入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；经营收入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；附属单位上缴收入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；其他收入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p>
    <w:p>
      <w:pPr>
        <w:spacing w:line="600" w:lineRule="exact"/>
        <w:ind w:firstLine="640" w:firstLineChars="200"/>
        <w:outlineLvl w:val="1"/>
        <w:rPr>
          <w:rFonts w:hint="eastAsia" w:ascii="仿宋" w:hAnsi="仿宋" w:eastAsia="仿宋"/>
          <w:sz w:val="32"/>
          <w:szCs w:val="32"/>
          <w:lang w:eastAsia="zh-CN"/>
        </w:rPr>
      </w:pPr>
    </w:p>
    <w:p>
      <w:pPr>
        <w:spacing w:line="600" w:lineRule="exact"/>
        <w:ind w:firstLine="640" w:firstLineChars="200"/>
        <w:rPr>
          <w:rFonts w:hint="eastAsia" w:ascii="仿宋" w:hAnsi="仿宋" w:eastAsia="仿宋"/>
          <w:sz w:val="32"/>
          <w:szCs w:val="32"/>
        </w:rPr>
      </w:pPr>
    </w:p>
    <w:p>
      <w:pPr>
        <w:pStyle w:val="2"/>
        <w:rPr>
          <w:rFonts w:hint="eastAsia" w:ascii="仿宋" w:hAnsi="仿宋" w:eastAsia="仿宋"/>
          <w:sz w:val="32"/>
          <w:szCs w:val="32"/>
        </w:rPr>
      </w:pPr>
    </w:p>
    <w:p>
      <w:pPr>
        <w:pStyle w:val="2"/>
        <w:rPr>
          <w:rFonts w:hint="eastAsia" w:ascii="仿宋" w:hAnsi="仿宋" w:eastAsia="仿宋"/>
          <w:sz w:val="32"/>
          <w:szCs w:val="32"/>
        </w:rPr>
      </w:pPr>
      <w:r>
        <w:rPr>
          <w:rFonts w:hint="eastAsia" w:ascii="仿宋" w:hAnsi="仿宋" w:eastAsia="仿宋"/>
          <w:sz w:val="32"/>
          <w:szCs w:val="32"/>
          <w:lang w:eastAsia="zh-CN"/>
        </w:rPr>
        <w:drawing>
          <wp:inline distT="0" distB="0" distL="114300" distR="114300">
            <wp:extent cx="5080000" cy="3810000"/>
            <wp:effectExtent l="4445" t="4445" r="20955" b="1460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spacing w:line="600" w:lineRule="exact"/>
        <w:rPr>
          <w:rFonts w:ascii="仿宋" w:hAnsi="仿宋" w:eastAsia="仿宋"/>
          <w:sz w:val="32"/>
          <w:szCs w:val="32"/>
        </w:rPr>
      </w:pPr>
      <w:r>
        <w:rPr>
          <w:rFonts w:hint="eastAsia" w:ascii="仿宋" w:hAnsi="仿宋" w:eastAsia="仿宋"/>
          <w:sz w:val="32"/>
          <w:szCs w:val="32"/>
        </w:rPr>
        <w:t>（图2：收入决算结构图）（饼状图）</w:t>
      </w:r>
    </w:p>
    <w:p>
      <w:pPr>
        <w:spacing w:line="600" w:lineRule="exact"/>
        <w:ind w:firstLine="640" w:firstLineChars="200"/>
        <w:rPr>
          <w:rFonts w:ascii="仿宋_GB2312" w:eastAsia="仿宋_GB2312"/>
          <w:sz w:val="32"/>
          <w:szCs w:val="32"/>
        </w:rPr>
      </w:pPr>
    </w:p>
    <w:p>
      <w:pPr>
        <w:pStyle w:val="24"/>
        <w:numPr>
          <w:ilvl w:val="0"/>
          <w:numId w:val="2"/>
        </w:numPr>
        <w:spacing w:line="600" w:lineRule="exact"/>
        <w:ind w:firstLineChars="0"/>
        <w:outlineLvl w:val="1"/>
        <w:rPr>
          <w:rStyle w:val="26"/>
          <w:rFonts w:ascii="黑体" w:hAnsi="黑体" w:eastAsia="黑体"/>
          <w:b w:val="0"/>
        </w:rPr>
      </w:pPr>
      <w:bookmarkStart w:id="22" w:name="_Toc15377207"/>
      <w:bookmarkStart w:id="23" w:name="_Toc15396605"/>
      <w:r>
        <w:rPr>
          <w:rFonts w:hint="eastAsia" w:ascii="黑体" w:hAnsi="黑体" w:eastAsia="黑体"/>
          <w:sz w:val="32"/>
          <w:szCs w:val="32"/>
        </w:rPr>
        <w:t>支</w:t>
      </w:r>
      <w:r>
        <w:rPr>
          <w:rStyle w:val="26"/>
          <w:rFonts w:hint="eastAsia" w:ascii="黑体" w:hAnsi="黑体" w:eastAsia="黑体"/>
          <w:b w:val="0"/>
        </w:rPr>
        <w:t>出决算情况说明</w:t>
      </w:r>
      <w:bookmarkEnd w:id="22"/>
      <w:bookmarkEnd w:id="23"/>
    </w:p>
    <w:p>
      <w:pPr>
        <w:spacing w:line="600" w:lineRule="exact"/>
        <w:ind w:firstLine="640" w:firstLineChars="200"/>
        <w:outlineLvl w:val="1"/>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21年本年支出合计</w:t>
      </w:r>
      <w:r>
        <w:rPr>
          <w:rFonts w:hint="eastAsia" w:ascii="仿宋" w:hAnsi="仿宋" w:eastAsia="仿宋"/>
          <w:sz w:val="32"/>
          <w:szCs w:val="32"/>
          <w:lang w:val="en-US" w:eastAsia="zh-CN"/>
        </w:rPr>
        <w:t>731.06</w:t>
      </w:r>
      <w:r>
        <w:rPr>
          <w:rFonts w:hint="eastAsia" w:ascii="仿宋" w:hAnsi="仿宋" w:eastAsia="仿宋"/>
          <w:sz w:val="32"/>
          <w:szCs w:val="32"/>
        </w:rPr>
        <w:t>万元，其中：基本支出</w:t>
      </w:r>
      <w:r>
        <w:rPr>
          <w:rFonts w:hint="eastAsia" w:ascii="仿宋" w:hAnsi="仿宋" w:eastAsia="仿宋"/>
          <w:sz w:val="32"/>
          <w:szCs w:val="32"/>
          <w:lang w:val="en-US" w:eastAsia="zh-CN"/>
        </w:rPr>
        <w:t>511.96</w:t>
      </w:r>
      <w:r>
        <w:rPr>
          <w:rFonts w:hint="eastAsia" w:ascii="仿宋" w:hAnsi="仿宋" w:eastAsia="仿宋"/>
          <w:sz w:val="32"/>
          <w:szCs w:val="32"/>
        </w:rPr>
        <w:t>万元，占</w:t>
      </w:r>
      <w:r>
        <w:rPr>
          <w:rFonts w:hint="eastAsia" w:ascii="仿宋" w:hAnsi="仿宋" w:eastAsia="仿宋"/>
          <w:sz w:val="32"/>
          <w:szCs w:val="32"/>
          <w:lang w:val="en-US" w:eastAsia="zh-CN"/>
        </w:rPr>
        <w:t>70.03</w:t>
      </w:r>
      <w:r>
        <w:rPr>
          <w:rFonts w:ascii="仿宋" w:hAnsi="仿宋" w:eastAsia="仿宋"/>
          <w:sz w:val="32"/>
          <w:szCs w:val="32"/>
        </w:rPr>
        <w:t>%</w:t>
      </w:r>
      <w:r>
        <w:rPr>
          <w:rFonts w:hint="eastAsia" w:ascii="仿宋" w:hAnsi="仿宋" w:eastAsia="仿宋"/>
          <w:sz w:val="32"/>
          <w:szCs w:val="32"/>
        </w:rPr>
        <w:t>；项目支出</w:t>
      </w:r>
      <w:r>
        <w:rPr>
          <w:rFonts w:hint="eastAsia" w:ascii="仿宋" w:hAnsi="仿宋" w:eastAsia="仿宋"/>
          <w:sz w:val="32"/>
          <w:szCs w:val="32"/>
          <w:lang w:val="en-US" w:eastAsia="zh-CN"/>
        </w:rPr>
        <w:t>219.10</w:t>
      </w:r>
      <w:r>
        <w:rPr>
          <w:rFonts w:hint="eastAsia" w:ascii="仿宋" w:hAnsi="仿宋" w:eastAsia="仿宋"/>
          <w:sz w:val="32"/>
          <w:szCs w:val="32"/>
        </w:rPr>
        <w:t>万元，占</w:t>
      </w:r>
      <w:r>
        <w:rPr>
          <w:rFonts w:hint="eastAsia" w:ascii="仿宋" w:hAnsi="仿宋" w:eastAsia="仿宋"/>
          <w:sz w:val="32"/>
          <w:szCs w:val="32"/>
          <w:lang w:val="en-US" w:eastAsia="zh-CN"/>
        </w:rPr>
        <w:t>29.97</w:t>
      </w:r>
      <w:r>
        <w:rPr>
          <w:rFonts w:ascii="仿宋" w:hAnsi="仿宋" w:eastAsia="仿宋"/>
          <w:sz w:val="32"/>
          <w:szCs w:val="32"/>
        </w:rPr>
        <w:t>%</w:t>
      </w:r>
      <w:r>
        <w:rPr>
          <w:rFonts w:hint="eastAsia" w:ascii="仿宋" w:hAnsi="仿宋" w:eastAsia="仿宋"/>
          <w:sz w:val="32"/>
          <w:szCs w:val="32"/>
        </w:rPr>
        <w:t>；上缴上级支出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；经营支出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；对附属单位补助支出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p>
    <w:p>
      <w:pPr>
        <w:spacing w:line="600" w:lineRule="exact"/>
        <w:ind w:firstLine="642" w:firstLineChars="200"/>
        <w:outlineLvl w:val="1"/>
        <w:rPr>
          <w:rFonts w:hint="eastAsia" w:ascii="仿宋" w:hAnsi="仿宋" w:eastAsia="仿宋"/>
          <w:b/>
          <w:sz w:val="32"/>
          <w:szCs w:val="32"/>
        </w:rPr>
      </w:pPr>
    </w:p>
    <w:p>
      <w:pPr>
        <w:spacing w:line="600" w:lineRule="exact"/>
        <w:ind w:firstLine="642" w:firstLineChars="200"/>
        <w:outlineLvl w:val="1"/>
        <w:rPr>
          <w:rFonts w:hint="eastAsia" w:ascii="仿宋" w:hAnsi="仿宋" w:eastAsia="仿宋"/>
          <w:b/>
          <w:sz w:val="32"/>
          <w:szCs w:val="32"/>
        </w:rPr>
      </w:pPr>
    </w:p>
    <w:p>
      <w:pPr>
        <w:spacing w:line="600" w:lineRule="exact"/>
        <w:ind w:firstLine="642" w:firstLineChars="200"/>
        <w:outlineLvl w:val="1"/>
        <w:rPr>
          <w:rFonts w:hint="eastAsia" w:ascii="仿宋" w:hAnsi="仿宋" w:eastAsia="仿宋"/>
          <w:b/>
          <w:sz w:val="32"/>
          <w:szCs w:val="32"/>
        </w:rPr>
      </w:pPr>
    </w:p>
    <w:p>
      <w:pPr>
        <w:spacing w:line="600" w:lineRule="exact"/>
        <w:ind w:firstLine="642" w:firstLineChars="200"/>
        <w:outlineLvl w:val="1"/>
        <w:rPr>
          <w:rFonts w:hint="eastAsia" w:ascii="仿宋" w:hAnsi="仿宋" w:eastAsia="仿宋"/>
          <w:b/>
          <w:sz w:val="32"/>
          <w:szCs w:val="32"/>
        </w:rPr>
      </w:pPr>
    </w:p>
    <w:p>
      <w:pPr>
        <w:spacing w:line="600" w:lineRule="exact"/>
        <w:ind w:firstLine="642" w:firstLineChars="200"/>
        <w:outlineLvl w:val="1"/>
        <w:rPr>
          <w:rFonts w:hint="eastAsia" w:ascii="仿宋" w:hAnsi="仿宋" w:eastAsia="仿宋"/>
          <w:b/>
          <w:sz w:val="32"/>
          <w:szCs w:val="32"/>
        </w:rPr>
      </w:pPr>
    </w:p>
    <w:p>
      <w:pPr>
        <w:pStyle w:val="2"/>
        <w:rPr>
          <w:rFonts w:hint="eastAsia" w:ascii="仿宋" w:hAnsi="仿宋" w:eastAsia="仿宋"/>
          <w:b/>
          <w:sz w:val="32"/>
          <w:szCs w:val="32"/>
          <w:lang w:eastAsia="zh-CN"/>
        </w:rPr>
      </w:pPr>
      <w:r>
        <w:rPr>
          <w:rFonts w:hint="eastAsia" w:ascii="仿宋" w:hAnsi="仿宋" w:eastAsia="仿宋"/>
          <w:b/>
          <w:sz w:val="32"/>
          <w:szCs w:val="32"/>
          <w:lang w:eastAsia="zh-CN"/>
        </w:rPr>
        <w:drawing>
          <wp:inline distT="0" distB="0" distL="114300" distR="114300">
            <wp:extent cx="5080000" cy="3810000"/>
            <wp:effectExtent l="4445" t="4445" r="20955" b="1460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spacing w:line="600" w:lineRule="exact"/>
        <w:rPr>
          <w:rFonts w:ascii="仿宋" w:hAnsi="仿宋" w:eastAsia="仿宋"/>
          <w:sz w:val="32"/>
          <w:szCs w:val="32"/>
        </w:rPr>
      </w:pPr>
      <w:r>
        <w:rPr>
          <w:rFonts w:hint="eastAsia" w:ascii="仿宋" w:hAnsi="仿宋" w:eastAsia="仿宋"/>
          <w:sz w:val="32"/>
          <w:szCs w:val="32"/>
        </w:rPr>
        <w:t>（图3：支出决算结构图）（饼状图）</w:t>
      </w:r>
    </w:p>
    <w:p>
      <w:pPr>
        <w:spacing w:line="600" w:lineRule="exact"/>
        <w:ind w:firstLine="640" w:firstLineChars="200"/>
        <w:rPr>
          <w:rFonts w:ascii="仿宋_GB2312" w:eastAsia="仿宋_GB2312"/>
          <w:sz w:val="32"/>
          <w:szCs w:val="32"/>
        </w:rPr>
      </w:pPr>
    </w:p>
    <w:p>
      <w:pPr>
        <w:spacing w:line="600" w:lineRule="exact"/>
        <w:ind w:firstLine="640" w:firstLineChars="200"/>
        <w:outlineLvl w:val="1"/>
        <w:rPr>
          <w:rStyle w:val="26"/>
          <w:rFonts w:ascii="黑体" w:hAnsi="黑体" w:eastAsia="黑体"/>
          <w:b w:val="0"/>
        </w:rPr>
      </w:pPr>
      <w:bookmarkStart w:id="24" w:name="_Toc15377208"/>
      <w:bookmarkStart w:id="25" w:name="_Toc15396606"/>
      <w:r>
        <w:rPr>
          <w:rFonts w:hint="eastAsia" w:ascii="黑体" w:hAnsi="黑体" w:eastAsia="黑体"/>
          <w:sz w:val="32"/>
          <w:szCs w:val="32"/>
        </w:rPr>
        <w:t>四、财</w:t>
      </w:r>
      <w:r>
        <w:rPr>
          <w:rStyle w:val="26"/>
          <w:rFonts w:hint="eastAsia" w:ascii="黑体" w:hAnsi="黑体" w:eastAsia="黑体"/>
          <w:b w:val="0"/>
        </w:rPr>
        <w:t>政拨款收入支出决算总体情况说明</w:t>
      </w:r>
      <w:bookmarkEnd w:id="24"/>
      <w:bookmarkEnd w:id="25"/>
    </w:p>
    <w:p>
      <w:pPr>
        <w:spacing w:line="600" w:lineRule="exact"/>
        <w:ind w:firstLine="960" w:firstLineChars="300"/>
        <w:rPr>
          <w:rFonts w:hint="eastAsia" w:ascii="宋体" w:hAnsi="宋体" w:eastAsia="宋体" w:cs="宋体"/>
          <w:color w:val="0C0C0C"/>
          <w:sz w:val="32"/>
          <w:szCs w:val="32"/>
          <w:lang w:val="en-US" w:eastAsia="zh-CN"/>
        </w:rPr>
      </w:pPr>
      <w:r>
        <w:rPr>
          <w:rFonts w:hint="eastAsia" w:ascii="宋体" w:hAnsi="宋体" w:eastAsia="宋体" w:cs="宋体"/>
          <w:sz w:val="32"/>
          <w:szCs w:val="32"/>
          <w:lang w:eastAsia="zh-CN"/>
        </w:rPr>
        <w:t>本中心</w:t>
      </w:r>
      <w:r>
        <w:rPr>
          <w:rFonts w:hint="eastAsia" w:ascii="宋体" w:hAnsi="宋体" w:eastAsia="宋体" w:cs="宋体"/>
          <w:sz w:val="32"/>
          <w:szCs w:val="32"/>
        </w:rPr>
        <w:t>2021年度收</w:t>
      </w:r>
      <w:r>
        <w:rPr>
          <w:rFonts w:hint="eastAsia" w:ascii="宋体" w:hAnsi="宋体" w:eastAsia="宋体" w:cs="宋体"/>
          <w:sz w:val="32"/>
          <w:szCs w:val="32"/>
          <w:lang w:eastAsia="zh-CN"/>
        </w:rPr>
        <w:t>入总计</w:t>
      </w:r>
      <w:r>
        <w:rPr>
          <w:rFonts w:hint="eastAsia" w:ascii="宋体" w:hAnsi="宋体" w:eastAsia="宋体" w:cs="宋体"/>
          <w:sz w:val="32"/>
          <w:szCs w:val="32"/>
          <w:lang w:val="en-US" w:eastAsia="zh-CN"/>
        </w:rPr>
        <w:t>667.34万元</w:t>
      </w:r>
      <w:r>
        <w:rPr>
          <w:rFonts w:hint="eastAsia" w:ascii="宋体" w:hAnsi="宋体" w:eastAsia="宋体" w:cs="宋体"/>
          <w:sz w:val="32"/>
          <w:szCs w:val="32"/>
          <w:lang w:eastAsia="zh-CN"/>
        </w:rPr>
        <w:t>，其中：一般公共预算财政拨款收入</w:t>
      </w:r>
      <w:r>
        <w:rPr>
          <w:rFonts w:hint="eastAsia" w:ascii="宋体" w:hAnsi="宋体" w:eastAsia="宋体" w:cs="宋体"/>
          <w:sz w:val="32"/>
          <w:szCs w:val="32"/>
          <w:lang w:val="en-US" w:eastAsia="zh-CN"/>
        </w:rPr>
        <w:t>667.34万元，占总收入100%。而</w:t>
      </w:r>
      <w:r>
        <w:rPr>
          <w:rFonts w:hint="eastAsia" w:ascii="宋体" w:hAnsi="宋体" w:eastAsia="宋体" w:cs="宋体"/>
          <w:color w:val="0C0C0C"/>
          <w:sz w:val="32"/>
          <w:szCs w:val="32"/>
          <w:lang w:val="en-US" w:eastAsia="zh-CN"/>
        </w:rPr>
        <w:t>2020</w:t>
      </w:r>
      <w:r>
        <w:rPr>
          <w:rFonts w:hint="eastAsia" w:ascii="宋体" w:hAnsi="宋体" w:eastAsia="宋体" w:cs="宋体"/>
          <w:color w:val="0C0C0C"/>
          <w:sz w:val="32"/>
          <w:szCs w:val="32"/>
        </w:rPr>
        <w:t>年</w:t>
      </w:r>
      <w:r>
        <w:rPr>
          <w:rFonts w:hint="eastAsia" w:ascii="宋体" w:hAnsi="宋体" w:eastAsia="宋体" w:cs="宋体"/>
          <w:color w:val="0C0C0C"/>
          <w:sz w:val="32"/>
          <w:szCs w:val="32"/>
          <w:lang w:eastAsia="zh-CN"/>
        </w:rPr>
        <w:t>度</w:t>
      </w:r>
      <w:r>
        <w:rPr>
          <w:rFonts w:hint="eastAsia" w:ascii="宋体" w:hAnsi="宋体" w:eastAsia="宋体" w:cs="宋体"/>
          <w:color w:val="0C0C0C"/>
          <w:sz w:val="32"/>
          <w:szCs w:val="32"/>
        </w:rPr>
        <w:t>收入</w:t>
      </w:r>
      <w:r>
        <w:rPr>
          <w:rFonts w:hint="eastAsia" w:ascii="宋体" w:hAnsi="宋体" w:eastAsia="宋体" w:cs="宋体"/>
          <w:color w:val="0C0C0C"/>
          <w:sz w:val="32"/>
          <w:szCs w:val="32"/>
          <w:lang w:eastAsia="zh-CN"/>
        </w:rPr>
        <w:t>总</w:t>
      </w:r>
      <w:r>
        <w:rPr>
          <w:rFonts w:hint="eastAsia" w:ascii="宋体" w:hAnsi="宋体" w:eastAsia="宋体" w:cs="宋体"/>
          <w:color w:val="0C0C0C"/>
          <w:sz w:val="32"/>
          <w:szCs w:val="32"/>
        </w:rPr>
        <w:t>计</w:t>
      </w:r>
      <w:r>
        <w:rPr>
          <w:rFonts w:hint="eastAsia" w:ascii="宋体" w:hAnsi="宋体" w:eastAsia="宋体" w:cs="宋体"/>
          <w:color w:val="0C0C0C"/>
          <w:sz w:val="32"/>
          <w:szCs w:val="32"/>
          <w:lang w:val="en-US" w:eastAsia="zh-CN"/>
        </w:rPr>
        <w:t>631.00</w:t>
      </w:r>
      <w:r>
        <w:rPr>
          <w:rFonts w:hint="eastAsia" w:ascii="宋体" w:hAnsi="宋体" w:eastAsia="宋体" w:cs="宋体"/>
          <w:color w:val="0C0C0C"/>
          <w:sz w:val="32"/>
          <w:szCs w:val="32"/>
        </w:rPr>
        <w:t>万元，</w:t>
      </w:r>
      <w:r>
        <w:rPr>
          <w:rFonts w:hint="eastAsia" w:ascii="宋体" w:hAnsi="宋体" w:eastAsia="宋体" w:cs="宋体"/>
          <w:color w:val="0C0C0C"/>
          <w:sz w:val="32"/>
          <w:szCs w:val="32"/>
          <w:lang w:val="en-US" w:eastAsia="zh-CN"/>
        </w:rPr>
        <w:t>2021年收入增加36.34万元，增加5.76%，主要变动原因是2021年有新进人员，增加人员经费，同时项目经费也增加。</w:t>
      </w:r>
    </w:p>
    <w:p>
      <w:pPr>
        <w:spacing w:line="600" w:lineRule="exact"/>
        <w:ind w:firstLine="960" w:firstLineChars="300"/>
        <w:rPr>
          <w:rFonts w:hint="eastAsia" w:ascii="仿宋" w:hAnsi="仿宋" w:eastAsia="仿宋"/>
          <w:b/>
          <w:sz w:val="32"/>
          <w:szCs w:val="32"/>
        </w:rPr>
      </w:pPr>
      <w:r>
        <w:rPr>
          <w:rFonts w:hint="eastAsia" w:ascii="宋体" w:hAnsi="宋体" w:eastAsia="宋体" w:cs="宋体"/>
          <w:color w:val="0C0C0C"/>
          <w:sz w:val="32"/>
          <w:szCs w:val="32"/>
          <w:lang w:val="en-US" w:eastAsia="zh-CN"/>
        </w:rPr>
        <w:t>本中心</w:t>
      </w:r>
      <w:r>
        <w:rPr>
          <w:rFonts w:hint="eastAsia" w:ascii="宋体" w:hAnsi="宋体" w:eastAsia="宋体" w:cs="宋体"/>
          <w:sz w:val="32"/>
          <w:szCs w:val="32"/>
          <w:lang w:val="en-US" w:eastAsia="zh-CN"/>
        </w:rPr>
        <w:t>2021年</w:t>
      </w:r>
      <w:r>
        <w:rPr>
          <w:rFonts w:hint="eastAsia" w:ascii="宋体" w:hAnsi="宋体" w:eastAsia="宋体" w:cs="宋体"/>
          <w:sz w:val="32"/>
          <w:szCs w:val="32"/>
        </w:rPr>
        <w:t>支</w:t>
      </w:r>
      <w:r>
        <w:rPr>
          <w:rFonts w:hint="eastAsia" w:ascii="宋体" w:hAnsi="宋体" w:eastAsia="宋体" w:cs="宋体"/>
          <w:sz w:val="32"/>
          <w:szCs w:val="32"/>
          <w:lang w:eastAsia="zh-CN"/>
        </w:rPr>
        <w:t>出</w:t>
      </w:r>
      <w:r>
        <w:rPr>
          <w:rFonts w:hint="eastAsia" w:ascii="宋体" w:hAnsi="宋体" w:eastAsia="宋体" w:cs="宋体"/>
          <w:sz w:val="32"/>
          <w:szCs w:val="32"/>
        </w:rPr>
        <w:t>总计</w:t>
      </w:r>
      <w:r>
        <w:rPr>
          <w:rFonts w:hint="eastAsia" w:ascii="宋体" w:hAnsi="宋体" w:eastAsia="宋体" w:cs="宋体"/>
          <w:sz w:val="32"/>
          <w:szCs w:val="32"/>
          <w:lang w:val="en-US" w:eastAsia="zh-CN"/>
        </w:rPr>
        <w:t>731.06</w:t>
      </w:r>
      <w:r>
        <w:rPr>
          <w:rFonts w:hint="eastAsia" w:ascii="宋体" w:hAnsi="宋体" w:eastAsia="宋体" w:cs="宋体"/>
          <w:sz w:val="32"/>
          <w:szCs w:val="32"/>
        </w:rPr>
        <w:t>万元</w:t>
      </w:r>
      <w:r>
        <w:rPr>
          <w:rFonts w:hint="eastAsia" w:ascii="宋体" w:hAnsi="宋体" w:eastAsia="宋体" w:cs="宋体"/>
          <w:sz w:val="32"/>
          <w:szCs w:val="32"/>
          <w:lang w:eastAsia="zh-CN"/>
        </w:rPr>
        <w:t>，其中：社会保障和就业支出</w:t>
      </w:r>
      <w:r>
        <w:rPr>
          <w:rFonts w:hint="eastAsia" w:ascii="宋体" w:hAnsi="宋体" w:eastAsia="宋体" w:cs="宋体"/>
          <w:sz w:val="32"/>
          <w:szCs w:val="32"/>
          <w:lang w:val="en-US" w:eastAsia="zh-CN"/>
        </w:rPr>
        <w:t>59.25万元，占总支出8.10%，卫生健康支出629.10万元，占总支出86.05%，住房保障支出42.71万元，占总支出5.85%</w:t>
      </w:r>
      <w:r>
        <w:rPr>
          <w:rFonts w:hint="eastAsia" w:ascii="宋体" w:hAnsi="宋体" w:eastAsia="宋体" w:cs="宋体"/>
          <w:sz w:val="32"/>
          <w:szCs w:val="32"/>
        </w:rPr>
        <w:t>。</w:t>
      </w:r>
      <w:r>
        <w:rPr>
          <w:rFonts w:hint="eastAsia" w:ascii="宋体" w:hAnsi="宋体" w:eastAsia="宋体" w:cs="宋体"/>
          <w:sz w:val="32"/>
          <w:szCs w:val="32"/>
          <w:lang w:eastAsia="zh-CN"/>
        </w:rPr>
        <w:t>而</w:t>
      </w:r>
      <w:r>
        <w:rPr>
          <w:rFonts w:hint="eastAsia" w:ascii="宋体" w:hAnsi="宋体" w:eastAsia="宋体" w:cs="宋体"/>
          <w:sz w:val="32"/>
          <w:szCs w:val="32"/>
          <w:lang w:val="en-US" w:eastAsia="zh-CN"/>
        </w:rPr>
        <w:t>2020年本年支出584.77万元，2021年支出增加146.29万元，增加25.02%，主要变动原因是</w:t>
      </w:r>
      <w:r>
        <w:rPr>
          <w:rFonts w:hint="eastAsia" w:ascii="宋体" w:hAnsi="宋体" w:eastAsia="宋体" w:cs="宋体"/>
          <w:color w:val="0C0C0C"/>
          <w:sz w:val="32"/>
          <w:szCs w:val="32"/>
          <w:lang w:val="en-US" w:eastAsia="zh-CN"/>
        </w:rPr>
        <w:t>2021年有新进人员，增加人员经费，同时项目经费也增加。</w:t>
      </w:r>
    </w:p>
    <w:p>
      <w:pPr>
        <w:pStyle w:val="2"/>
        <w:rPr>
          <w:rFonts w:hint="eastAsia" w:ascii="仿宋" w:hAnsi="仿宋" w:eastAsia="仿宋"/>
          <w:b/>
          <w:sz w:val="32"/>
          <w:szCs w:val="32"/>
        </w:rPr>
      </w:pPr>
      <w:r>
        <w:rPr>
          <w:rFonts w:hint="eastAsia" w:ascii="仿宋" w:hAnsi="仿宋" w:eastAsia="仿宋"/>
          <w:b/>
          <w:sz w:val="32"/>
          <w:szCs w:val="32"/>
          <w:lang w:eastAsia="zh-CN"/>
        </w:rPr>
        <w:drawing>
          <wp:inline distT="0" distB="0" distL="114300" distR="114300">
            <wp:extent cx="5080000" cy="3810000"/>
            <wp:effectExtent l="4445" t="4445" r="20955" b="14605"/>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spacing w:line="600" w:lineRule="exact"/>
        <w:rPr>
          <w:rFonts w:ascii="仿宋" w:hAnsi="仿宋" w:eastAsia="仿宋"/>
          <w:sz w:val="32"/>
          <w:szCs w:val="32"/>
        </w:rPr>
      </w:pPr>
      <w:r>
        <w:rPr>
          <w:rFonts w:hint="eastAsia" w:ascii="仿宋" w:hAnsi="仿宋" w:eastAsia="仿宋"/>
          <w:sz w:val="32"/>
          <w:szCs w:val="32"/>
        </w:rPr>
        <w:t>（图4：财政拨款收、支决算总计变动情况）（柱状图）</w:t>
      </w:r>
    </w:p>
    <w:p>
      <w:pPr>
        <w:spacing w:line="600" w:lineRule="exact"/>
        <w:ind w:firstLine="640"/>
        <w:rPr>
          <w:rFonts w:ascii="仿宋" w:hAnsi="仿宋" w:eastAsia="仿宋"/>
          <w:b/>
          <w:sz w:val="32"/>
          <w:szCs w:val="32"/>
        </w:rPr>
      </w:pPr>
    </w:p>
    <w:p>
      <w:pPr>
        <w:spacing w:line="600" w:lineRule="exact"/>
        <w:ind w:firstLine="640" w:firstLineChars="200"/>
        <w:outlineLvl w:val="1"/>
        <w:rPr>
          <w:rStyle w:val="26"/>
          <w:rFonts w:ascii="黑体" w:hAnsi="黑体" w:eastAsia="黑体"/>
          <w:b w:val="0"/>
        </w:rPr>
      </w:pPr>
      <w:bookmarkStart w:id="26" w:name="_Toc15396607"/>
      <w:bookmarkStart w:id="27" w:name="_Toc15377209"/>
      <w:r>
        <w:rPr>
          <w:rFonts w:hint="eastAsia" w:ascii="黑体" w:hAnsi="黑体" w:eastAsia="黑体"/>
          <w:sz w:val="32"/>
          <w:szCs w:val="32"/>
        </w:rPr>
        <w:t>五、</w:t>
      </w:r>
      <w:r>
        <w:rPr>
          <w:rFonts w:hint="eastAsia" w:ascii="黑体" w:hAnsi="黑体" w:eastAsia="黑体"/>
          <w:b/>
          <w:sz w:val="32"/>
          <w:szCs w:val="32"/>
        </w:rPr>
        <w:t>一</w:t>
      </w:r>
      <w:r>
        <w:rPr>
          <w:rStyle w:val="26"/>
          <w:rFonts w:hint="eastAsia" w:ascii="黑体" w:hAnsi="黑体" w:eastAsia="黑体"/>
          <w:b w:val="0"/>
        </w:rPr>
        <w:t>般公共预算财政拨款支出决算情况说明</w:t>
      </w:r>
      <w:bookmarkEnd w:id="26"/>
      <w:bookmarkEnd w:id="27"/>
    </w:p>
    <w:p>
      <w:pPr>
        <w:spacing w:line="600" w:lineRule="exact"/>
        <w:ind w:firstLine="642" w:firstLineChars="200"/>
        <w:outlineLvl w:val="2"/>
        <w:rPr>
          <w:rFonts w:ascii="仿宋" w:hAnsi="仿宋" w:eastAsia="仿宋"/>
          <w:b/>
          <w:sz w:val="32"/>
          <w:szCs w:val="32"/>
        </w:rPr>
      </w:pPr>
      <w:bookmarkStart w:id="28" w:name="_Toc15377210"/>
      <w:r>
        <w:rPr>
          <w:rFonts w:hint="eastAsia" w:ascii="仿宋" w:hAnsi="仿宋" w:eastAsia="仿宋"/>
          <w:b/>
          <w:sz w:val="32"/>
          <w:szCs w:val="32"/>
        </w:rPr>
        <w:t>（一）一般公共预算财政拨款支出决算总体情况</w:t>
      </w:r>
      <w:bookmarkEnd w:id="28"/>
    </w:p>
    <w:p>
      <w:pPr>
        <w:spacing w:line="600" w:lineRule="exact"/>
        <w:ind w:firstLine="640" w:firstLineChars="200"/>
        <w:rPr>
          <w:rFonts w:hint="default" w:ascii="仿宋" w:hAnsi="仿宋" w:eastAsia="仿宋"/>
          <w:sz w:val="32"/>
          <w:szCs w:val="32"/>
          <w:lang w:val="en-US" w:eastAsia="zh-CN"/>
        </w:rPr>
      </w:pPr>
      <w:r>
        <w:rPr>
          <w:rFonts w:ascii="仿宋" w:hAnsi="仿宋" w:eastAsia="仿宋"/>
          <w:sz w:val="32"/>
          <w:szCs w:val="32"/>
        </w:rPr>
        <w:t>20</w:t>
      </w:r>
      <w:r>
        <w:rPr>
          <w:rFonts w:hint="eastAsia" w:ascii="仿宋" w:hAnsi="仿宋" w:eastAsia="仿宋"/>
          <w:sz w:val="32"/>
          <w:szCs w:val="32"/>
        </w:rPr>
        <w:t>21年一般公共预算财政拨款支出</w:t>
      </w:r>
      <w:r>
        <w:rPr>
          <w:rFonts w:hint="eastAsia" w:ascii="仿宋" w:hAnsi="仿宋" w:eastAsia="仿宋"/>
          <w:sz w:val="32"/>
          <w:szCs w:val="32"/>
          <w:lang w:val="en-US" w:eastAsia="zh-CN"/>
        </w:rPr>
        <w:t>731.06</w:t>
      </w:r>
      <w:r>
        <w:rPr>
          <w:rFonts w:hint="eastAsia" w:ascii="仿宋" w:hAnsi="仿宋" w:eastAsia="仿宋"/>
          <w:sz w:val="32"/>
          <w:szCs w:val="32"/>
        </w:rPr>
        <w:t>万元，占本年支出合计的</w:t>
      </w:r>
      <w:r>
        <w:rPr>
          <w:rFonts w:hint="eastAsia" w:ascii="仿宋" w:hAnsi="仿宋" w:eastAsia="仿宋"/>
          <w:sz w:val="32"/>
          <w:szCs w:val="32"/>
          <w:lang w:val="en-US" w:eastAsia="zh-CN"/>
        </w:rPr>
        <w:t>100</w:t>
      </w:r>
      <w:r>
        <w:rPr>
          <w:rFonts w:ascii="仿宋" w:hAnsi="仿宋" w:eastAsia="仿宋"/>
          <w:sz w:val="32"/>
          <w:szCs w:val="32"/>
        </w:rPr>
        <w:t>%</w:t>
      </w:r>
      <w:r>
        <w:rPr>
          <w:rFonts w:hint="eastAsia" w:ascii="仿宋" w:hAnsi="仿宋" w:eastAsia="仿宋"/>
          <w:sz w:val="32"/>
          <w:szCs w:val="32"/>
        </w:rPr>
        <w:t>。</w:t>
      </w:r>
      <w:r>
        <w:rPr>
          <w:rFonts w:eastAsia="仿宋_GB2312"/>
          <w:sz w:val="32"/>
          <w:szCs w:val="32"/>
        </w:rPr>
        <w:t>2020年一般公共预算财政拨款支出</w:t>
      </w:r>
      <w:r>
        <w:rPr>
          <w:rFonts w:hint="eastAsia" w:eastAsia="仿宋_GB2312"/>
          <w:sz w:val="32"/>
          <w:szCs w:val="32"/>
          <w:lang w:val="en-US" w:eastAsia="zh-CN"/>
        </w:rPr>
        <w:t>569.33</w:t>
      </w:r>
      <w:r>
        <w:rPr>
          <w:rFonts w:eastAsia="仿宋_GB2312"/>
          <w:sz w:val="32"/>
          <w:szCs w:val="32"/>
        </w:rPr>
        <w:t>万元</w:t>
      </w:r>
      <w:r>
        <w:rPr>
          <w:rFonts w:hint="eastAsia" w:eastAsia="仿宋_GB2312"/>
          <w:sz w:val="32"/>
          <w:szCs w:val="32"/>
          <w:lang w:eastAsia="zh-CN"/>
        </w:rPr>
        <w:t>，</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20年相比，一般公共预算财政拨款支出增加</w:t>
      </w:r>
      <w:r>
        <w:rPr>
          <w:rFonts w:hint="eastAsia" w:ascii="仿宋" w:hAnsi="仿宋" w:eastAsia="仿宋"/>
          <w:sz w:val="32"/>
          <w:szCs w:val="32"/>
          <w:lang w:val="en-US" w:eastAsia="zh-CN"/>
        </w:rPr>
        <w:t>161.73</w:t>
      </w:r>
      <w:r>
        <w:rPr>
          <w:rFonts w:hint="eastAsia" w:ascii="仿宋" w:hAnsi="仿宋" w:eastAsia="仿宋"/>
          <w:sz w:val="32"/>
          <w:szCs w:val="32"/>
        </w:rPr>
        <w:t>万元，主要变动原因是</w:t>
      </w:r>
      <w:r>
        <w:rPr>
          <w:rFonts w:hint="eastAsia" w:ascii="仿宋" w:hAnsi="仿宋" w:eastAsia="仿宋"/>
          <w:sz w:val="32"/>
          <w:szCs w:val="32"/>
          <w:lang w:val="en-US" w:eastAsia="zh-CN"/>
        </w:rPr>
        <w:t>2021年新进人员3人，人员经费增加，还有上年结转结余。</w:t>
      </w:r>
    </w:p>
    <w:p>
      <w:pPr>
        <w:spacing w:line="600" w:lineRule="exact"/>
        <w:rPr>
          <w:rFonts w:hint="eastAsia" w:ascii="仿宋" w:hAnsi="仿宋" w:eastAsia="仿宋"/>
          <w:sz w:val="32"/>
          <w:szCs w:val="32"/>
        </w:rPr>
      </w:pPr>
    </w:p>
    <w:p>
      <w:pPr>
        <w:spacing w:line="600" w:lineRule="exact"/>
        <w:ind w:firstLine="640" w:firstLineChars="200"/>
        <w:rPr>
          <w:rFonts w:hint="eastAsia" w:ascii="仿宋" w:hAnsi="仿宋" w:eastAsia="仿宋"/>
          <w:sz w:val="32"/>
          <w:szCs w:val="32"/>
        </w:rPr>
      </w:pPr>
    </w:p>
    <w:p>
      <w:pPr>
        <w:spacing w:line="600" w:lineRule="exact"/>
        <w:ind w:firstLine="640" w:firstLineChars="200"/>
        <w:rPr>
          <w:rFonts w:hint="eastAsia" w:ascii="仿宋" w:hAnsi="仿宋" w:eastAsia="仿宋"/>
          <w:sz w:val="32"/>
          <w:szCs w:val="32"/>
        </w:rPr>
      </w:pPr>
    </w:p>
    <w:p>
      <w:pPr>
        <w:spacing w:line="600" w:lineRule="exact"/>
        <w:ind w:firstLine="640" w:firstLineChars="200"/>
        <w:rPr>
          <w:rFonts w:hint="eastAsia" w:ascii="仿宋" w:hAnsi="仿宋" w:eastAsia="仿宋"/>
          <w:sz w:val="32"/>
          <w:szCs w:val="32"/>
        </w:rPr>
      </w:pPr>
    </w:p>
    <w:p>
      <w:pPr>
        <w:spacing w:line="600" w:lineRule="exact"/>
        <w:ind w:firstLine="640" w:firstLineChars="200"/>
        <w:rPr>
          <w:rFonts w:hint="eastAsia" w:ascii="仿宋" w:hAnsi="仿宋" w:eastAsia="仿宋"/>
          <w:sz w:val="32"/>
          <w:szCs w:val="32"/>
        </w:rPr>
      </w:pPr>
    </w:p>
    <w:p>
      <w:pPr>
        <w:spacing w:line="600" w:lineRule="exact"/>
        <w:ind w:firstLine="640" w:firstLineChars="200"/>
        <w:rPr>
          <w:rFonts w:hint="eastAsia" w:ascii="仿宋" w:hAnsi="仿宋" w:eastAsia="仿宋"/>
          <w:sz w:val="32"/>
          <w:szCs w:val="32"/>
        </w:rPr>
      </w:pPr>
    </w:p>
    <w:p>
      <w:pPr>
        <w:spacing w:line="600" w:lineRule="exact"/>
        <w:ind w:firstLine="640" w:firstLineChars="200"/>
        <w:rPr>
          <w:rFonts w:hint="eastAsia" w:ascii="仿宋" w:hAnsi="仿宋" w:eastAsia="仿宋"/>
          <w:sz w:val="32"/>
          <w:szCs w:val="32"/>
          <w:lang w:eastAsia="zh-CN"/>
        </w:rPr>
      </w:pPr>
    </w:p>
    <w:p>
      <w:pPr>
        <w:spacing w:line="600" w:lineRule="exact"/>
        <w:ind w:firstLine="640" w:firstLineChars="200"/>
        <w:rPr>
          <w:rFonts w:hint="eastAsia" w:ascii="仿宋" w:hAnsi="仿宋" w:eastAsia="仿宋"/>
          <w:sz w:val="32"/>
          <w:szCs w:val="32"/>
        </w:rPr>
      </w:pPr>
    </w:p>
    <w:p>
      <w:pPr>
        <w:spacing w:line="600" w:lineRule="exact"/>
        <w:ind w:firstLine="640" w:firstLineChars="200"/>
        <w:rPr>
          <w:rFonts w:hint="eastAsia" w:ascii="仿宋" w:hAnsi="仿宋" w:eastAsia="仿宋"/>
          <w:sz w:val="32"/>
          <w:szCs w:val="32"/>
        </w:rPr>
      </w:pPr>
    </w:p>
    <w:p>
      <w:pPr>
        <w:spacing w:line="600" w:lineRule="exact"/>
        <w:ind w:firstLine="640" w:firstLineChars="200"/>
        <w:rPr>
          <w:rFonts w:hint="eastAsia" w:ascii="仿宋" w:hAnsi="仿宋" w:eastAsia="仿宋"/>
          <w:sz w:val="32"/>
          <w:szCs w:val="32"/>
        </w:rPr>
      </w:pPr>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lang w:eastAsia="zh-CN"/>
        </w:rPr>
        <w:drawing>
          <wp:anchor distT="0" distB="0" distL="114300" distR="114300" simplePos="0" relativeHeight="251659264" behindDoc="0" locked="0" layoutInCell="1" allowOverlap="1">
            <wp:simplePos x="0" y="0"/>
            <wp:positionH relativeFrom="column">
              <wp:posOffset>410845</wp:posOffset>
            </wp:positionH>
            <wp:positionV relativeFrom="paragraph">
              <wp:posOffset>-3519805</wp:posOffset>
            </wp:positionV>
            <wp:extent cx="5080000" cy="3810000"/>
            <wp:effectExtent l="4445" t="4445" r="20955" b="14605"/>
            <wp:wrapSquare wrapText="bothSides"/>
            <wp:docPr id="13"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pPr>
        <w:spacing w:line="600" w:lineRule="exact"/>
        <w:ind w:firstLine="320" w:firstLineChars="100"/>
        <w:rPr>
          <w:rFonts w:ascii="仿宋" w:hAnsi="仿宋" w:eastAsia="仿宋"/>
          <w:sz w:val="32"/>
          <w:szCs w:val="32"/>
        </w:rPr>
      </w:pPr>
      <w:r>
        <w:rPr>
          <w:rFonts w:hint="eastAsia" w:ascii="仿宋" w:hAnsi="仿宋" w:eastAsia="仿宋"/>
          <w:sz w:val="32"/>
          <w:szCs w:val="32"/>
        </w:rPr>
        <w:t>（图5：一般公共预算财政拨款支出决算变动情况）（柱状图）</w:t>
      </w:r>
    </w:p>
    <w:p>
      <w:pPr>
        <w:spacing w:line="600" w:lineRule="exact"/>
        <w:outlineLvl w:val="2"/>
        <w:rPr>
          <w:rFonts w:ascii="仿宋" w:hAnsi="仿宋" w:eastAsia="仿宋"/>
          <w:b/>
          <w:sz w:val="32"/>
          <w:szCs w:val="32"/>
        </w:rPr>
      </w:pPr>
      <w:bookmarkStart w:id="29" w:name="_Toc15377211"/>
      <w:r>
        <w:rPr>
          <w:rFonts w:hint="eastAsia" w:ascii="仿宋" w:hAnsi="仿宋" w:eastAsia="仿宋"/>
          <w:b/>
          <w:sz w:val="32"/>
          <w:szCs w:val="32"/>
        </w:rPr>
        <w:t>（二）一般公共预算财政拨款支出决算结构情况</w:t>
      </w:r>
      <w:bookmarkEnd w:id="29"/>
    </w:p>
    <w:p>
      <w:pPr>
        <w:spacing w:line="600" w:lineRule="exact"/>
        <w:ind w:firstLine="640"/>
        <w:rPr>
          <w:rFonts w:hint="eastAsia" w:ascii="宋体" w:hAnsi="宋体" w:eastAsia="宋体" w:cs="宋体"/>
          <w:b w:val="0"/>
          <w:bCs w:val="0"/>
          <w:sz w:val="32"/>
          <w:szCs w:val="32"/>
        </w:rPr>
      </w:pPr>
      <w:r>
        <w:rPr>
          <w:rFonts w:hint="eastAsia" w:ascii="宋体" w:hAnsi="宋体" w:eastAsia="宋体" w:cs="宋体"/>
          <w:b w:val="0"/>
          <w:bCs w:val="0"/>
          <w:sz w:val="32"/>
          <w:szCs w:val="32"/>
        </w:rPr>
        <w:t>2021年一般公共预算财政拨款支出</w:t>
      </w:r>
      <w:r>
        <w:rPr>
          <w:rFonts w:hint="eastAsia" w:ascii="宋体" w:hAnsi="宋体" w:eastAsia="宋体" w:cs="宋体"/>
          <w:b w:val="0"/>
          <w:bCs w:val="0"/>
          <w:sz w:val="32"/>
          <w:szCs w:val="32"/>
          <w:lang w:val="en-US" w:eastAsia="zh-CN"/>
        </w:rPr>
        <w:t>731.06</w:t>
      </w:r>
      <w:r>
        <w:rPr>
          <w:rFonts w:hint="eastAsia" w:ascii="宋体" w:hAnsi="宋体" w:eastAsia="宋体" w:cs="宋体"/>
          <w:b w:val="0"/>
          <w:bCs w:val="0"/>
          <w:sz w:val="32"/>
          <w:szCs w:val="32"/>
        </w:rPr>
        <w:t>万元，主要用于以下方面:一般公共服务（类）支出</w:t>
      </w:r>
      <w:r>
        <w:rPr>
          <w:rFonts w:hint="eastAsia" w:ascii="宋体" w:hAnsi="宋体" w:eastAsia="宋体" w:cs="宋体"/>
          <w:b w:val="0"/>
          <w:bCs w:val="0"/>
          <w:sz w:val="32"/>
          <w:szCs w:val="32"/>
          <w:lang w:val="en-US" w:eastAsia="zh-CN"/>
        </w:rPr>
        <w:t>0</w:t>
      </w:r>
      <w:r>
        <w:rPr>
          <w:rFonts w:hint="eastAsia" w:ascii="宋体" w:hAnsi="宋体" w:eastAsia="宋体" w:cs="宋体"/>
          <w:b w:val="0"/>
          <w:bCs w:val="0"/>
          <w:sz w:val="32"/>
          <w:szCs w:val="32"/>
        </w:rPr>
        <w:t>万元，占</w:t>
      </w:r>
      <w:r>
        <w:rPr>
          <w:rFonts w:hint="eastAsia" w:ascii="宋体" w:hAnsi="宋体" w:eastAsia="宋体" w:cs="宋体"/>
          <w:b w:val="0"/>
          <w:bCs w:val="0"/>
          <w:sz w:val="32"/>
          <w:szCs w:val="32"/>
          <w:lang w:val="en-US" w:eastAsia="zh-CN"/>
        </w:rPr>
        <w:t>0</w:t>
      </w:r>
      <w:r>
        <w:rPr>
          <w:rFonts w:hint="eastAsia" w:ascii="宋体" w:hAnsi="宋体" w:eastAsia="宋体" w:cs="宋体"/>
          <w:b w:val="0"/>
          <w:bCs w:val="0"/>
          <w:sz w:val="32"/>
          <w:szCs w:val="32"/>
        </w:rPr>
        <w:t>%；教育支出（类）</w:t>
      </w:r>
      <w:r>
        <w:rPr>
          <w:rFonts w:hint="eastAsia" w:ascii="宋体" w:hAnsi="宋体" w:eastAsia="宋体" w:cs="宋体"/>
          <w:b w:val="0"/>
          <w:bCs w:val="0"/>
          <w:sz w:val="32"/>
          <w:szCs w:val="32"/>
          <w:lang w:val="en-US" w:eastAsia="zh-CN"/>
        </w:rPr>
        <w:t>0</w:t>
      </w:r>
      <w:r>
        <w:rPr>
          <w:rFonts w:hint="eastAsia" w:ascii="宋体" w:hAnsi="宋体" w:eastAsia="宋体" w:cs="宋体"/>
          <w:b w:val="0"/>
          <w:bCs w:val="0"/>
          <w:sz w:val="32"/>
          <w:szCs w:val="32"/>
        </w:rPr>
        <w:t>万元，占</w:t>
      </w:r>
      <w:r>
        <w:rPr>
          <w:rFonts w:hint="eastAsia" w:ascii="宋体" w:hAnsi="宋体" w:eastAsia="宋体" w:cs="宋体"/>
          <w:b w:val="0"/>
          <w:bCs w:val="0"/>
          <w:sz w:val="32"/>
          <w:szCs w:val="32"/>
          <w:lang w:val="en-US" w:eastAsia="zh-CN"/>
        </w:rPr>
        <w:t>0</w:t>
      </w:r>
      <w:r>
        <w:rPr>
          <w:rFonts w:hint="eastAsia" w:ascii="宋体" w:hAnsi="宋体" w:eastAsia="宋体" w:cs="宋体"/>
          <w:b w:val="0"/>
          <w:bCs w:val="0"/>
          <w:sz w:val="32"/>
          <w:szCs w:val="32"/>
        </w:rPr>
        <w:t>%；科学技术（类）支出</w:t>
      </w:r>
      <w:r>
        <w:rPr>
          <w:rFonts w:hint="eastAsia" w:ascii="宋体" w:hAnsi="宋体" w:eastAsia="宋体" w:cs="宋体"/>
          <w:b w:val="0"/>
          <w:bCs w:val="0"/>
          <w:sz w:val="32"/>
          <w:szCs w:val="32"/>
          <w:lang w:val="en-US" w:eastAsia="zh-CN"/>
        </w:rPr>
        <w:t>0</w:t>
      </w:r>
      <w:r>
        <w:rPr>
          <w:rFonts w:hint="eastAsia" w:ascii="宋体" w:hAnsi="宋体" w:eastAsia="宋体" w:cs="宋体"/>
          <w:b w:val="0"/>
          <w:bCs w:val="0"/>
          <w:sz w:val="32"/>
          <w:szCs w:val="32"/>
        </w:rPr>
        <w:t>万元，占</w:t>
      </w:r>
      <w:r>
        <w:rPr>
          <w:rFonts w:hint="eastAsia" w:ascii="宋体" w:hAnsi="宋体" w:eastAsia="宋体" w:cs="宋体"/>
          <w:b w:val="0"/>
          <w:bCs w:val="0"/>
          <w:sz w:val="32"/>
          <w:szCs w:val="32"/>
          <w:lang w:val="en-US" w:eastAsia="zh-CN"/>
        </w:rPr>
        <w:t>0</w:t>
      </w:r>
      <w:r>
        <w:rPr>
          <w:rFonts w:hint="eastAsia" w:ascii="宋体" w:hAnsi="宋体" w:eastAsia="宋体" w:cs="宋体"/>
          <w:b w:val="0"/>
          <w:bCs w:val="0"/>
          <w:sz w:val="32"/>
          <w:szCs w:val="32"/>
        </w:rPr>
        <w:t>%；文化旅游体育与传媒（类）支出</w:t>
      </w:r>
      <w:r>
        <w:rPr>
          <w:rFonts w:hint="eastAsia" w:ascii="宋体" w:hAnsi="宋体" w:eastAsia="宋体" w:cs="宋体"/>
          <w:b w:val="0"/>
          <w:bCs w:val="0"/>
          <w:sz w:val="32"/>
          <w:szCs w:val="32"/>
          <w:lang w:val="en-US" w:eastAsia="zh-CN"/>
        </w:rPr>
        <w:t>0</w:t>
      </w:r>
      <w:r>
        <w:rPr>
          <w:rFonts w:hint="eastAsia" w:ascii="宋体" w:hAnsi="宋体" w:eastAsia="宋体" w:cs="宋体"/>
          <w:b w:val="0"/>
          <w:bCs w:val="0"/>
          <w:sz w:val="32"/>
          <w:szCs w:val="32"/>
        </w:rPr>
        <w:t>万元，占</w:t>
      </w:r>
      <w:r>
        <w:rPr>
          <w:rFonts w:hint="eastAsia" w:ascii="宋体" w:hAnsi="宋体" w:eastAsia="宋体" w:cs="宋体"/>
          <w:b w:val="0"/>
          <w:bCs w:val="0"/>
          <w:sz w:val="32"/>
          <w:szCs w:val="32"/>
          <w:lang w:val="en-US" w:eastAsia="zh-CN"/>
        </w:rPr>
        <w:t>0</w:t>
      </w:r>
      <w:r>
        <w:rPr>
          <w:rFonts w:hint="eastAsia" w:ascii="宋体" w:hAnsi="宋体" w:eastAsia="宋体" w:cs="宋体"/>
          <w:b w:val="0"/>
          <w:bCs w:val="0"/>
          <w:sz w:val="32"/>
          <w:szCs w:val="32"/>
        </w:rPr>
        <w:t>%；社会保障和就业（类）支出</w:t>
      </w:r>
      <w:r>
        <w:rPr>
          <w:rFonts w:hint="eastAsia" w:ascii="宋体" w:hAnsi="宋体" w:eastAsia="宋体" w:cs="宋体"/>
          <w:b w:val="0"/>
          <w:bCs w:val="0"/>
          <w:sz w:val="32"/>
          <w:szCs w:val="32"/>
          <w:lang w:val="en-US" w:eastAsia="zh-CN"/>
        </w:rPr>
        <w:t>59.25</w:t>
      </w:r>
      <w:r>
        <w:rPr>
          <w:rFonts w:hint="eastAsia" w:ascii="宋体" w:hAnsi="宋体" w:eastAsia="宋体" w:cs="宋体"/>
          <w:b w:val="0"/>
          <w:bCs w:val="0"/>
          <w:sz w:val="32"/>
          <w:szCs w:val="32"/>
        </w:rPr>
        <w:t>万元，占</w:t>
      </w:r>
      <w:r>
        <w:rPr>
          <w:rFonts w:hint="eastAsia" w:ascii="宋体" w:hAnsi="宋体" w:eastAsia="宋体" w:cs="宋体"/>
          <w:b w:val="0"/>
          <w:bCs w:val="0"/>
          <w:sz w:val="32"/>
          <w:szCs w:val="32"/>
          <w:lang w:val="en-US" w:eastAsia="zh-CN"/>
        </w:rPr>
        <w:t>8.10</w:t>
      </w:r>
      <w:r>
        <w:rPr>
          <w:rFonts w:hint="eastAsia" w:ascii="宋体" w:hAnsi="宋体" w:eastAsia="宋体" w:cs="宋体"/>
          <w:b w:val="0"/>
          <w:bCs w:val="0"/>
          <w:sz w:val="32"/>
          <w:szCs w:val="32"/>
        </w:rPr>
        <w:t>%；卫生健康支出</w:t>
      </w:r>
      <w:r>
        <w:rPr>
          <w:rFonts w:hint="eastAsia" w:ascii="宋体" w:hAnsi="宋体" w:eastAsia="宋体" w:cs="宋体"/>
          <w:b w:val="0"/>
          <w:bCs w:val="0"/>
          <w:sz w:val="32"/>
          <w:szCs w:val="32"/>
          <w:lang w:val="en-US" w:eastAsia="zh-CN"/>
        </w:rPr>
        <w:t>629.10</w:t>
      </w:r>
      <w:r>
        <w:rPr>
          <w:rFonts w:hint="eastAsia" w:ascii="宋体" w:hAnsi="宋体" w:eastAsia="宋体" w:cs="宋体"/>
          <w:b w:val="0"/>
          <w:bCs w:val="0"/>
          <w:sz w:val="32"/>
          <w:szCs w:val="32"/>
        </w:rPr>
        <w:t>万元，占</w:t>
      </w:r>
      <w:r>
        <w:rPr>
          <w:rFonts w:hint="eastAsia" w:ascii="宋体" w:hAnsi="宋体" w:eastAsia="宋体" w:cs="宋体"/>
          <w:b w:val="0"/>
          <w:bCs w:val="0"/>
          <w:sz w:val="32"/>
          <w:szCs w:val="32"/>
          <w:lang w:val="en-US" w:eastAsia="zh-CN"/>
        </w:rPr>
        <w:t>86.05</w:t>
      </w:r>
      <w:r>
        <w:rPr>
          <w:rFonts w:hint="eastAsia" w:ascii="宋体" w:hAnsi="宋体" w:eastAsia="宋体" w:cs="宋体"/>
          <w:b w:val="0"/>
          <w:bCs w:val="0"/>
          <w:sz w:val="32"/>
          <w:szCs w:val="32"/>
        </w:rPr>
        <w:t>%；住房保障支出</w:t>
      </w:r>
      <w:r>
        <w:rPr>
          <w:rFonts w:hint="eastAsia" w:ascii="宋体" w:hAnsi="宋体" w:eastAsia="宋体" w:cs="宋体"/>
          <w:b w:val="0"/>
          <w:bCs w:val="0"/>
          <w:sz w:val="32"/>
          <w:szCs w:val="32"/>
          <w:lang w:val="en-US" w:eastAsia="zh-CN"/>
        </w:rPr>
        <w:t>42.71</w:t>
      </w:r>
      <w:r>
        <w:rPr>
          <w:rFonts w:hint="eastAsia" w:ascii="宋体" w:hAnsi="宋体" w:eastAsia="宋体" w:cs="宋体"/>
          <w:b w:val="0"/>
          <w:bCs w:val="0"/>
          <w:sz w:val="32"/>
          <w:szCs w:val="32"/>
        </w:rPr>
        <w:t>万元，占</w:t>
      </w:r>
      <w:r>
        <w:rPr>
          <w:rFonts w:hint="eastAsia" w:ascii="宋体" w:hAnsi="宋体" w:eastAsia="宋体" w:cs="宋体"/>
          <w:b w:val="0"/>
          <w:bCs w:val="0"/>
          <w:sz w:val="32"/>
          <w:szCs w:val="32"/>
          <w:lang w:val="en-US" w:eastAsia="zh-CN"/>
        </w:rPr>
        <w:t>5.85</w:t>
      </w:r>
      <w:r>
        <w:rPr>
          <w:rFonts w:hint="eastAsia" w:ascii="宋体" w:hAnsi="宋体" w:eastAsia="宋体" w:cs="宋体"/>
          <w:b w:val="0"/>
          <w:bCs w:val="0"/>
          <w:sz w:val="32"/>
          <w:szCs w:val="32"/>
        </w:rPr>
        <w:t>%；。</w:t>
      </w:r>
    </w:p>
    <w:p>
      <w:pPr>
        <w:spacing w:line="600" w:lineRule="exact"/>
        <w:ind w:firstLine="640"/>
        <w:rPr>
          <w:rFonts w:ascii="仿宋" w:hAnsi="仿宋" w:eastAsia="仿宋"/>
          <w:sz w:val="32"/>
          <w:szCs w:val="32"/>
        </w:rPr>
      </w:pPr>
      <w:r>
        <w:rPr>
          <w:rFonts w:hint="eastAsia" w:ascii="仿宋" w:hAnsi="仿宋" w:eastAsia="仿宋"/>
          <w:sz w:val="32"/>
          <w:szCs w:val="32"/>
          <w:lang w:eastAsia="zh-CN"/>
        </w:rPr>
        <w:drawing>
          <wp:anchor distT="0" distB="0" distL="114300" distR="114300" simplePos="0" relativeHeight="251660288" behindDoc="0" locked="0" layoutInCell="1" allowOverlap="1">
            <wp:simplePos x="0" y="0"/>
            <wp:positionH relativeFrom="column">
              <wp:posOffset>290195</wp:posOffset>
            </wp:positionH>
            <wp:positionV relativeFrom="paragraph">
              <wp:posOffset>255905</wp:posOffset>
            </wp:positionV>
            <wp:extent cx="5080000" cy="3810000"/>
            <wp:effectExtent l="4445" t="4445" r="20955" b="14605"/>
            <wp:wrapSquare wrapText="bothSides"/>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Pr>
          <w:rFonts w:hint="eastAsia" w:ascii="仿宋_GB2312" w:eastAsia="仿宋_GB2312"/>
          <w:kern w:val="0"/>
          <w:sz w:val="32"/>
          <w:szCs w:val="32"/>
        </w:rPr>
        <w:t>（图6：一般公共预算财政拨款支出决算结构）（饼状图）</w:t>
      </w:r>
    </w:p>
    <w:p>
      <w:pPr>
        <w:spacing w:line="600" w:lineRule="exact"/>
        <w:ind w:firstLine="642" w:firstLineChars="200"/>
        <w:outlineLvl w:val="2"/>
        <w:rPr>
          <w:rFonts w:ascii="仿宋" w:hAnsi="仿宋" w:eastAsia="仿宋"/>
          <w:b/>
          <w:sz w:val="32"/>
          <w:szCs w:val="32"/>
        </w:rPr>
      </w:pPr>
      <w:bookmarkStart w:id="30" w:name="_Toc15377212"/>
      <w:r>
        <w:rPr>
          <w:rFonts w:hint="eastAsia" w:ascii="仿宋" w:hAnsi="仿宋" w:eastAsia="仿宋"/>
          <w:b/>
          <w:sz w:val="32"/>
          <w:szCs w:val="32"/>
        </w:rPr>
        <w:t>（三）一般公共预算财政拨款支出决算具体情况</w:t>
      </w:r>
      <w:bookmarkEnd w:id="30"/>
    </w:p>
    <w:p>
      <w:pPr>
        <w:spacing w:line="600" w:lineRule="exact"/>
        <w:ind w:firstLine="640" w:firstLineChars="200"/>
        <w:outlineLvl w:val="2"/>
        <w:rPr>
          <w:rFonts w:hint="eastAsia" w:ascii="宋体" w:hAnsi="宋体" w:eastAsia="宋体" w:cs="宋体"/>
          <w:b w:val="0"/>
          <w:bCs/>
          <w:sz w:val="32"/>
          <w:szCs w:val="32"/>
        </w:rPr>
      </w:pPr>
      <w:bookmarkStart w:id="31" w:name="_Toc15378460"/>
      <w:bookmarkStart w:id="32" w:name="_Toc15377444"/>
      <w:bookmarkStart w:id="33" w:name="_Toc15377213"/>
      <w:r>
        <w:rPr>
          <w:rFonts w:hint="eastAsia" w:ascii="宋体" w:hAnsi="宋体" w:eastAsia="宋体" w:cs="宋体"/>
          <w:b w:val="0"/>
          <w:bCs/>
          <w:sz w:val="32"/>
          <w:szCs w:val="32"/>
        </w:rPr>
        <w:t>2021年一般公共预算支出决算数为</w:t>
      </w:r>
      <w:r>
        <w:rPr>
          <w:rFonts w:hint="eastAsia" w:ascii="宋体" w:hAnsi="宋体" w:eastAsia="宋体" w:cs="宋体"/>
          <w:b w:val="0"/>
          <w:bCs/>
          <w:sz w:val="32"/>
          <w:szCs w:val="32"/>
          <w:lang w:val="en-US" w:eastAsia="zh-CN"/>
        </w:rPr>
        <w:t>731.06万元</w:t>
      </w:r>
      <w:r>
        <w:rPr>
          <w:rFonts w:hint="eastAsia" w:ascii="宋体" w:hAnsi="宋体" w:eastAsia="宋体" w:cs="宋体"/>
          <w:b w:val="0"/>
          <w:bCs/>
          <w:sz w:val="32"/>
          <w:szCs w:val="32"/>
        </w:rPr>
        <w:t>，</w:t>
      </w:r>
      <w:r>
        <w:rPr>
          <w:rFonts w:hint="eastAsia" w:ascii="宋体" w:hAnsi="宋体" w:eastAsia="宋体" w:cs="宋体"/>
          <w:b w:val="0"/>
          <w:bCs/>
          <w:sz w:val="32"/>
          <w:szCs w:val="32"/>
          <w:lang w:eastAsia="zh-CN"/>
        </w:rPr>
        <w:t>预算数</w:t>
      </w:r>
      <w:r>
        <w:rPr>
          <w:rFonts w:hint="eastAsia" w:ascii="宋体" w:hAnsi="宋体" w:eastAsia="宋体" w:cs="宋体"/>
          <w:b w:val="0"/>
          <w:bCs/>
          <w:sz w:val="32"/>
          <w:szCs w:val="32"/>
          <w:lang w:val="en-US" w:eastAsia="zh-CN"/>
        </w:rPr>
        <w:t>731.06万元，</w:t>
      </w:r>
      <w:r>
        <w:rPr>
          <w:rStyle w:val="15"/>
          <w:rFonts w:hint="eastAsia" w:ascii="宋体" w:hAnsi="宋体" w:eastAsia="宋体" w:cs="宋体"/>
          <w:b w:val="0"/>
          <w:bCs/>
          <w:sz w:val="32"/>
          <w:szCs w:val="32"/>
        </w:rPr>
        <w:t>完成预算</w:t>
      </w:r>
      <w:r>
        <w:rPr>
          <w:rStyle w:val="15"/>
          <w:rFonts w:hint="eastAsia" w:ascii="宋体" w:hAnsi="宋体" w:eastAsia="宋体" w:cs="宋体"/>
          <w:b w:val="0"/>
          <w:bCs/>
          <w:sz w:val="32"/>
          <w:szCs w:val="32"/>
          <w:lang w:val="en-US" w:eastAsia="zh-CN"/>
        </w:rPr>
        <w:t>100</w:t>
      </w:r>
      <w:r>
        <w:rPr>
          <w:rStyle w:val="15"/>
          <w:rFonts w:hint="eastAsia" w:ascii="宋体" w:hAnsi="宋体" w:eastAsia="宋体" w:cs="宋体"/>
          <w:b w:val="0"/>
          <w:bCs/>
          <w:sz w:val="32"/>
          <w:szCs w:val="32"/>
        </w:rPr>
        <w:t>%。其中：</w:t>
      </w:r>
      <w:bookmarkEnd w:id="31"/>
      <w:bookmarkEnd w:id="32"/>
      <w:bookmarkEnd w:id="33"/>
    </w:p>
    <w:p>
      <w:pPr>
        <w:numPr>
          <w:ilvl w:val="0"/>
          <w:numId w:val="3"/>
        </w:numPr>
        <w:spacing w:line="600" w:lineRule="exact"/>
        <w:ind w:firstLine="640" w:firstLineChars="200"/>
        <w:rPr>
          <w:rStyle w:val="15"/>
          <w:rFonts w:hint="eastAsia" w:ascii="宋体" w:hAnsi="宋体" w:eastAsia="宋体" w:cs="宋体"/>
          <w:b w:val="0"/>
          <w:bCs/>
          <w:color w:val="000000"/>
          <w:sz w:val="32"/>
          <w:szCs w:val="32"/>
          <w:lang w:eastAsia="zh-CN"/>
        </w:rPr>
      </w:pPr>
      <w:r>
        <w:rPr>
          <w:rFonts w:hint="eastAsia" w:ascii="宋体" w:hAnsi="宋体" w:eastAsia="宋体" w:cs="宋体"/>
          <w:b w:val="0"/>
          <w:bCs/>
          <w:color w:val="000000"/>
          <w:sz w:val="32"/>
          <w:szCs w:val="32"/>
          <w:lang w:val="en-US" w:eastAsia="zh-CN"/>
        </w:rPr>
        <w:t>社会保障和就业支出</w:t>
      </w:r>
      <w:r>
        <w:rPr>
          <w:rStyle w:val="15"/>
          <w:rFonts w:hint="eastAsia" w:ascii="宋体" w:hAnsi="宋体" w:eastAsia="宋体" w:cs="宋体"/>
          <w:b w:val="0"/>
          <w:bCs/>
          <w:color w:val="000000"/>
          <w:sz w:val="32"/>
          <w:szCs w:val="32"/>
        </w:rPr>
        <w:t>: 支出决算为</w:t>
      </w:r>
      <w:r>
        <w:rPr>
          <w:rStyle w:val="15"/>
          <w:rFonts w:hint="eastAsia" w:ascii="宋体" w:hAnsi="宋体" w:eastAsia="宋体" w:cs="宋体"/>
          <w:b w:val="0"/>
          <w:bCs/>
          <w:color w:val="000000"/>
          <w:sz w:val="32"/>
          <w:szCs w:val="32"/>
          <w:lang w:val="en-US" w:eastAsia="zh-CN"/>
        </w:rPr>
        <w:t>59.25</w:t>
      </w:r>
      <w:r>
        <w:rPr>
          <w:rStyle w:val="15"/>
          <w:rFonts w:hint="eastAsia" w:ascii="宋体" w:hAnsi="宋体" w:eastAsia="宋体" w:cs="宋体"/>
          <w:b w:val="0"/>
          <w:bCs/>
          <w:color w:val="000000"/>
          <w:sz w:val="32"/>
          <w:szCs w:val="32"/>
        </w:rPr>
        <w:t>万元，完成预算</w:t>
      </w:r>
      <w:r>
        <w:rPr>
          <w:rStyle w:val="15"/>
          <w:rFonts w:hint="eastAsia" w:ascii="宋体" w:hAnsi="宋体" w:eastAsia="宋体" w:cs="宋体"/>
          <w:b w:val="0"/>
          <w:bCs/>
          <w:color w:val="000000"/>
          <w:sz w:val="32"/>
          <w:szCs w:val="32"/>
          <w:lang w:val="en-US" w:eastAsia="zh-CN"/>
        </w:rPr>
        <w:t>100</w:t>
      </w:r>
      <w:r>
        <w:rPr>
          <w:rStyle w:val="15"/>
          <w:rFonts w:hint="eastAsia" w:ascii="宋体" w:hAnsi="宋体" w:eastAsia="宋体" w:cs="宋体"/>
          <w:b w:val="0"/>
          <w:bCs/>
          <w:color w:val="000000"/>
          <w:sz w:val="32"/>
          <w:szCs w:val="32"/>
        </w:rPr>
        <w:t>%，</w:t>
      </w:r>
      <w:r>
        <w:rPr>
          <w:rStyle w:val="15"/>
          <w:rFonts w:hint="eastAsia" w:ascii="宋体" w:hAnsi="宋体" w:eastAsia="宋体" w:cs="宋体"/>
          <w:b w:val="0"/>
          <w:bCs/>
          <w:color w:val="000000"/>
          <w:sz w:val="32"/>
          <w:szCs w:val="32"/>
          <w:lang w:eastAsia="zh-CN"/>
        </w:rPr>
        <w:t>主要用于</w:t>
      </w:r>
      <w:r>
        <w:rPr>
          <w:rFonts w:hint="eastAsia" w:ascii="宋体" w:hAnsi="宋体" w:eastAsia="宋体" w:cs="宋体"/>
          <w:b w:val="0"/>
          <w:bCs/>
          <w:kern w:val="0"/>
          <w:sz w:val="32"/>
          <w:szCs w:val="32"/>
        </w:rPr>
        <w:t>缴纳职工2021年度基本养老保险缴费单位负担部分</w:t>
      </w:r>
      <w:r>
        <w:rPr>
          <w:rFonts w:hint="eastAsia" w:ascii="宋体" w:hAnsi="宋体" w:eastAsia="宋体" w:cs="宋体"/>
          <w:b w:val="0"/>
          <w:bCs/>
          <w:kern w:val="0"/>
          <w:sz w:val="32"/>
          <w:szCs w:val="32"/>
          <w:lang w:eastAsia="zh-CN"/>
        </w:rPr>
        <w:t>，及退休人员年金纪实。</w:t>
      </w:r>
    </w:p>
    <w:p>
      <w:pPr>
        <w:numPr>
          <w:ilvl w:val="0"/>
          <w:numId w:val="0"/>
        </w:numPr>
        <w:spacing w:line="600" w:lineRule="exact"/>
        <w:ind w:firstLine="640" w:firstLineChars="200"/>
        <w:rPr>
          <w:rFonts w:hint="eastAsia" w:ascii="宋体" w:hAnsi="宋体" w:eastAsia="宋体" w:cs="宋体"/>
          <w:b w:val="0"/>
          <w:bCs/>
          <w:color w:val="000000"/>
          <w:sz w:val="32"/>
          <w:szCs w:val="32"/>
          <w:lang w:eastAsia="zh-CN"/>
        </w:rPr>
      </w:pPr>
      <w:r>
        <w:rPr>
          <w:rStyle w:val="15"/>
          <w:rFonts w:hint="eastAsia" w:ascii="宋体" w:hAnsi="宋体" w:eastAsia="宋体" w:cs="宋体"/>
          <w:b w:val="0"/>
          <w:bCs/>
          <w:color w:val="000000"/>
          <w:sz w:val="32"/>
          <w:szCs w:val="32"/>
        </w:rPr>
        <w:t>2.</w:t>
      </w:r>
      <w:r>
        <w:rPr>
          <w:rFonts w:hint="eastAsia" w:ascii="宋体" w:hAnsi="宋体" w:eastAsia="宋体" w:cs="宋体"/>
          <w:b w:val="0"/>
          <w:bCs/>
          <w:color w:val="000000"/>
          <w:sz w:val="32"/>
          <w:szCs w:val="32"/>
          <w:lang w:val="en-US" w:eastAsia="zh-CN"/>
        </w:rPr>
        <w:t>卫生健康支出</w:t>
      </w:r>
      <w:r>
        <w:rPr>
          <w:rStyle w:val="15"/>
          <w:rFonts w:hint="eastAsia" w:ascii="宋体" w:hAnsi="宋体" w:eastAsia="宋体" w:cs="宋体"/>
          <w:b w:val="0"/>
          <w:bCs/>
          <w:color w:val="000000"/>
          <w:sz w:val="32"/>
          <w:szCs w:val="32"/>
        </w:rPr>
        <w:t>: 支出决算为</w:t>
      </w:r>
      <w:r>
        <w:rPr>
          <w:rStyle w:val="15"/>
          <w:rFonts w:hint="eastAsia" w:ascii="宋体" w:hAnsi="宋体" w:eastAsia="宋体" w:cs="宋体"/>
          <w:b w:val="0"/>
          <w:bCs/>
          <w:color w:val="000000"/>
          <w:sz w:val="32"/>
          <w:szCs w:val="32"/>
          <w:lang w:val="en-US" w:eastAsia="zh-CN"/>
        </w:rPr>
        <w:t>629.10</w:t>
      </w:r>
      <w:r>
        <w:rPr>
          <w:rStyle w:val="15"/>
          <w:rFonts w:hint="eastAsia" w:ascii="宋体" w:hAnsi="宋体" w:eastAsia="宋体" w:cs="宋体"/>
          <w:b w:val="0"/>
          <w:bCs/>
          <w:color w:val="000000"/>
          <w:sz w:val="32"/>
          <w:szCs w:val="32"/>
        </w:rPr>
        <w:t>万元，完成预算</w:t>
      </w:r>
      <w:r>
        <w:rPr>
          <w:rStyle w:val="15"/>
          <w:rFonts w:hint="eastAsia" w:ascii="宋体" w:hAnsi="宋体" w:eastAsia="宋体" w:cs="宋体"/>
          <w:b w:val="0"/>
          <w:bCs/>
          <w:color w:val="000000"/>
          <w:sz w:val="32"/>
          <w:szCs w:val="32"/>
          <w:lang w:val="en-US" w:eastAsia="zh-CN"/>
        </w:rPr>
        <w:t>100</w:t>
      </w:r>
      <w:r>
        <w:rPr>
          <w:rStyle w:val="15"/>
          <w:rFonts w:hint="eastAsia" w:ascii="宋体" w:hAnsi="宋体" w:eastAsia="宋体" w:cs="宋体"/>
          <w:b w:val="0"/>
          <w:bCs/>
          <w:color w:val="000000"/>
          <w:sz w:val="32"/>
          <w:szCs w:val="32"/>
        </w:rPr>
        <w:t>%。</w:t>
      </w:r>
    </w:p>
    <w:p>
      <w:pPr>
        <w:spacing w:line="600" w:lineRule="exact"/>
        <w:ind w:firstLine="640" w:firstLineChars="200"/>
        <w:rPr>
          <w:rFonts w:hint="eastAsia" w:ascii="宋体" w:hAnsi="宋体" w:eastAsia="宋体" w:cs="宋体"/>
          <w:b w:val="0"/>
          <w:bCs/>
          <w:sz w:val="32"/>
          <w:szCs w:val="32"/>
          <w:lang w:eastAsia="zh-CN"/>
        </w:rPr>
      </w:pPr>
      <w:r>
        <w:rPr>
          <w:rStyle w:val="15"/>
          <w:rFonts w:hint="eastAsia" w:ascii="宋体" w:hAnsi="宋体" w:eastAsia="宋体" w:cs="宋体"/>
          <w:b w:val="0"/>
          <w:bCs/>
          <w:color w:val="000000"/>
          <w:sz w:val="32"/>
          <w:szCs w:val="32"/>
          <w:lang w:val="en-US" w:eastAsia="zh-CN"/>
        </w:rPr>
        <w:t>4</w:t>
      </w:r>
      <w:r>
        <w:rPr>
          <w:rStyle w:val="15"/>
          <w:rFonts w:hint="eastAsia" w:ascii="宋体" w:hAnsi="宋体" w:eastAsia="宋体" w:cs="宋体"/>
          <w:b w:val="0"/>
          <w:bCs/>
          <w:color w:val="000000"/>
          <w:sz w:val="32"/>
          <w:szCs w:val="32"/>
        </w:rPr>
        <w:t>.</w:t>
      </w:r>
      <w:r>
        <w:rPr>
          <w:rFonts w:hint="eastAsia" w:ascii="宋体" w:hAnsi="宋体" w:eastAsia="宋体" w:cs="宋体"/>
          <w:b w:val="0"/>
          <w:bCs/>
          <w:color w:val="000000"/>
          <w:sz w:val="32"/>
          <w:szCs w:val="32"/>
          <w:lang w:val="en-US" w:eastAsia="zh-CN"/>
        </w:rPr>
        <w:t>住房保障支出</w:t>
      </w:r>
      <w:r>
        <w:rPr>
          <w:rStyle w:val="15"/>
          <w:rFonts w:hint="eastAsia" w:ascii="宋体" w:hAnsi="宋体" w:eastAsia="宋体" w:cs="宋体"/>
          <w:b w:val="0"/>
          <w:bCs/>
          <w:color w:val="000000"/>
          <w:sz w:val="32"/>
          <w:szCs w:val="32"/>
        </w:rPr>
        <w:t>: 支出决算为</w:t>
      </w:r>
      <w:r>
        <w:rPr>
          <w:rStyle w:val="15"/>
          <w:rFonts w:hint="eastAsia" w:ascii="宋体" w:hAnsi="宋体" w:eastAsia="宋体" w:cs="宋体"/>
          <w:b w:val="0"/>
          <w:bCs/>
          <w:color w:val="000000"/>
          <w:sz w:val="32"/>
          <w:szCs w:val="32"/>
          <w:lang w:val="en-US" w:eastAsia="zh-CN"/>
        </w:rPr>
        <w:t>42.71</w:t>
      </w:r>
      <w:r>
        <w:rPr>
          <w:rStyle w:val="15"/>
          <w:rFonts w:hint="eastAsia" w:ascii="宋体" w:hAnsi="宋体" w:eastAsia="宋体" w:cs="宋体"/>
          <w:b w:val="0"/>
          <w:bCs/>
          <w:color w:val="000000"/>
          <w:sz w:val="32"/>
          <w:szCs w:val="32"/>
        </w:rPr>
        <w:t>万元，完成预算</w:t>
      </w:r>
      <w:r>
        <w:rPr>
          <w:rStyle w:val="15"/>
          <w:rFonts w:hint="eastAsia" w:ascii="宋体" w:hAnsi="宋体" w:eastAsia="宋体" w:cs="宋体"/>
          <w:b w:val="0"/>
          <w:bCs/>
          <w:color w:val="000000"/>
          <w:sz w:val="32"/>
          <w:szCs w:val="32"/>
          <w:lang w:val="en-US" w:eastAsia="zh-CN"/>
        </w:rPr>
        <w:t>100</w:t>
      </w:r>
      <w:r>
        <w:rPr>
          <w:rStyle w:val="15"/>
          <w:rFonts w:hint="eastAsia" w:ascii="宋体" w:hAnsi="宋体" w:eastAsia="宋体" w:cs="宋体"/>
          <w:b w:val="0"/>
          <w:bCs/>
          <w:color w:val="000000"/>
          <w:sz w:val="32"/>
          <w:szCs w:val="32"/>
        </w:rPr>
        <w:t>%</w:t>
      </w:r>
      <w:r>
        <w:rPr>
          <w:rStyle w:val="15"/>
          <w:rFonts w:hint="eastAsia" w:ascii="宋体" w:hAnsi="宋体" w:eastAsia="宋体" w:cs="宋体"/>
          <w:b w:val="0"/>
          <w:bCs/>
          <w:color w:val="000000"/>
          <w:sz w:val="32"/>
          <w:szCs w:val="32"/>
          <w:lang w:eastAsia="zh-CN"/>
        </w:rPr>
        <w:t>，主要用于</w:t>
      </w:r>
      <w:r>
        <w:rPr>
          <w:rFonts w:hint="eastAsia" w:ascii="宋体" w:hAnsi="宋体" w:eastAsia="宋体" w:cs="宋体"/>
          <w:b w:val="0"/>
          <w:bCs/>
          <w:kern w:val="0"/>
          <w:sz w:val="32"/>
          <w:szCs w:val="32"/>
        </w:rPr>
        <w:t>缴纳职工2021年度</w:t>
      </w:r>
      <w:r>
        <w:rPr>
          <w:rFonts w:hint="eastAsia" w:ascii="宋体" w:hAnsi="宋体" w:eastAsia="宋体" w:cs="宋体"/>
          <w:b w:val="0"/>
          <w:bCs/>
          <w:kern w:val="0"/>
          <w:sz w:val="32"/>
          <w:szCs w:val="32"/>
          <w:lang w:eastAsia="zh-CN"/>
        </w:rPr>
        <w:t>住房公积金</w:t>
      </w:r>
      <w:r>
        <w:rPr>
          <w:rFonts w:hint="eastAsia" w:ascii="宋体" w:hAnsi="宋体" w:eastAsia="宋体" w:cs="宋体"/>
          <w:b w:val="0"/>
          <w:bCs/>
          <w:kern w:val="0"/>
          <w:sz w:val="32"/>
          <w:szCs w:val="32"/>
        </w:rPr>
        <w:t>单位负担部分</w:t>
      </w:r>
      <w:r>
        <w:rPr>
          <w:rFonts w:hint="eastAsia" w:ascii="宋体" w:hAnsi="宋体" w:eastAsia="宋体" w:cs="宋体"/>
          <w:b w:val="0"/>
          <w:bCs/>
          <w:kern w:val="0"/>
          <w:sz w:val="32"/>
          <w:szCs w:val="32"/>
          <w:lang w:eastAsia="zh-CN"/>
        </w:rPr>
        <w:t>。</w:t>
      </w:r>
    </w:p>
    <w:p>
      <w:pPr>
        <w:tabs>
          <w:tab w:val="right" w:pos="8306"/>
        </w:tabs>
        <w:spacing w:line="600" w:lineRule="exact"/>
        <w:ind w:firstLine="640"/>
        <w:outlineLvl w:val="1"/>
        <w:rPr>
          <w:rStyle w:val="26"/>
        </w:rPr>
      </w:pPr>
      <w:bookmarkStart w:id="34" w:name="_Toc15396608"/>
      <w:bookmarkStart w:id="35" w:name="_Toc153772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6"/>
          <w:rFonts w:hint="eastAsia" w:ascii="黑体" w:hAnsi="黑体" w:eastAsia="黑体"/>
          <w:b w:val="0"/>
        </w:rPr>
        <w:t>般公共预算财政拨款基本支出决算情况说明</w:t>
      </w:r>
      <w:bookmarkEnd w:id="34"/>
      <w:bookmarkEnd w:id="35"/>
      <w:r>
        <w:rPr>
          <w:rStyle w:val="26"/>
          <w:rFonts w:ascii="黑体" w:hAnsi="黑体" w:eastAsia="黑体"/>
          <w:b w:val="0"/>
        </w:rPr>
        <w:tab/>
      </w:r>
    </w:p>
    <w:p>
      <w:pPr>
        <w:spacing w:line="600" w:lineRule="exact"/>
        <w:ind w:firstLine="645"/>
        <w:rPr>
          <w:rFonts w:hint="eastAsia" w:ascii="宋体" w:hAnsi="宋体" w:eastAsia="宋体" w:cs="宋体"/>
          <w:sz w:val="32"/>
          <w:szCs w:val="32"/>
        </w:rPr>
      </w:pPr>
      <w:r>
        <w:rPr>
          <w:rFonts w:hint="eastAsia" w:ascii="宋体" w:hAnsi="宋体" w:eastAsia="宋体" w:cs="宋体"/>
          <w:sz w:val="32"/>
          <w:szCs w:val="32"/>
        </w:rPr>
        <w:t>2021年一般公共预算财政拨款基本支出</w:t>
      </w:r>
      <w:r>
        <w:rPr>
          <w:rFonts w:hint="eastAsia" w:ascii="宋体" w:hAnsi="宋体" w:eastAsia="宋体" w:cs="宋体"/>
          <w:sz w:val="32"/>
          <w:szCs w:val="32"/>
          <w:lang w:val="en-US" w:eastAsia="zh-CN"/>
        </w:rPr>
        <w:t>511.96</w:t>
      </w:r>
      <w:r>
        <w:rPr>
          <w:rFonts w:hint="eastAsia" w:ascii="宋体" w:hAnsi="宋体" w:eastAsia="宋体" w:cs="宋体"/>
          <w:sz w:val="32"/>
          <w:szCs w:val="32"/>
        </w:rPr>
        <w:t>万元，其中：</w:t>
      </w:r>
    </w:p>
    <w:p>
      <w:pPr>
        <w:spacing w:line="600" w:lineRule="exact"/>
        <w:ind w:firstLine="645"/>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rPr>
        <w:t>人员经费</w:t>
      </w:r>
      <w:r>
        <w:rPr>
          <w:rFonts w:hint="eastAsia" w:ascii="宋体" w:hAnsi="宋体" w:eastAsia="宋体" w:cs="宋体"/>
          <w:b w:val="0"/>
          <w:bCs w:val="0"/>
          <w:sz w:val="32"/>
          <w:szCs w:val="32"/>
          <w:lang w:val="en-US" w:eastAsia="zh-CN"/>
        </w:rPr>
        <w:t>509.96</w:t>
      </w:r>
      <w:r>
        <w:rPr>
          <w:rFonts w:hint="eastAsia" w:ascii="宋体" w:hAnsi="宋体" w:eastAsia="宋体" w:cs="宋体"/>
          <w:b w:val="0"/>
          <w:bCs w:val="0"/>
          <w:sz w:val="32"/>
          <w:szCs w:val="32"/>
        </w:rPr>
        <w:t>万元，主要包括：基本工资、津贴补贴、绩效工资、机关事业单位基本养老保险缴费、职业年金缴费、其他社会保障缴费、其他工资福利支出、生活补助、医疗费补助、住房公积金、其他对个人和家庭的补助支出等。</w:t>
      </w:r>
    </w:p>
    <w:p>
      <w:pPr>
        <w:spacing w:line="600" w:lineRule="exact"/>
        <w:ind w:firstLine="645"/>
        <w:rPr>
          <w:rFonts w:ascii="仿宋" w:hAnsi="仿宋" w:eastAsia="仿宋"/>
          <w:b/>
          <w:sz w:val="32"/>
          <w:szCs w:val="32"/>
        </w:rPr>
      </w:pPr>
      <w:r>
        <w:rPr>
          <w:rFonts w:hint="eastAsia" w:ascii="宋体" w:hAnsi="宋体" w:eastAsia="宋体" w:cs="宋体"/>
          <w:b w:val="0"/>
          <w:bCs w:val="0"/>
          <w:sz w:val="32"/>
          <w:szCs w:val="32"/>
        </w:rPr>
        <w:t>公用经费</w:t>
      </w:r>
      <w:r>
        <w:rPr>
          <w:rFonts w:hint="eastAsia" w:ascii="宋体" w:hAnsi="宋体" w:eastAsia="宋体" w:cs="宋体"/>
          <w:b w:val="0"/>
          <w:bCs w:val="0"/>
          <w:sz w:val="32"/>
          <w:szCs w:val="32"/>
          <w:lang w:val="en-US" w:eastAsia="zh-CN"/>
        </w:rPr>
        <w:t>2</w:t>
      </w:r>
      <w:r>
        <w:rPr>
          <w:rFonts w:hint="eastAsia" w:ascii="宋体" w:hAnsi="宋体" w:eastAsia="宋体" w:cs="宋体"/>
          <w:b w:val="0"/>
          <w:bCs w:val="0"/>
          <w:sz w:val="32"/>
          <w:szCs w:val="32"/>
        </w:rPr>
        <w:t>万元，主要包括：其他商品和服务支出。</w:t>
      </w:r>
    </w:p>
    <w:p>
      <w:pPr>
        <w:spacing w:line="600" w:lineRule="exact"/>
        <w:ind w:firstLine="640"/>
        <w:outlineLvl w:val="1"/>
        <w:rPr>
          <w:rStyle w:val="26"/>
          <w:rFonts w:ascii="黑体" w:hAnsi="黑体" w:eastAsia="黑体"/>
          <w:b w:val="0"/>
        </w:rPr>
      </w:pPr>
      <w:bookmarkStart w:id="36" w:name="_Toc15377215"/>
      <w:bookmarkStart w:id="37" w:name="_Toc15396609"/>
      <w:r>
        <w:rPr>
          <w:rFonts w:hint="eastAsia" w:ascii="黑体" w:eastAsia="黑体"/>
          <w:sz w:val="32"/>
          <w:szCs w:val="32"/>
        </w:rPr>
        <w:t>七、</w:t>
      </w:r>
      <w:r>
        <w:rPr>
          <w:rStyle w:val="26"/>
          <w:rFonts w:hint="eastAsia" w:ascii="黑体" w:hAnsi="黑体" w:eastAsia="黑体"/>
        </w:rPr>
        <w:t>“</w:t>
      </w:r>
      <w:r>
        <w:rPr>
          <w:rStyle w:val="26"/>
          <w:rFonts w:hint="eastAsia" w:ascii="黑体" w:hAnsi="黑体" w:eastAsia="黑体"/>
          <w:b w:val="0"/>
        </w:rPr>
        <w:t>三公”经费财政拨款支出决算情况说明</w:t>
      </w:r>
      <w:bookmarkEnd w:id="36"/>
      <w:bookmarkEnd w:id="37"/>
    </w:p>
    <w:p>
      <w:pPr>
        <w:spacing w:line="600" w:lineRule="exact"/>
        <w:ind w:firstLine="640"/>
        <w:outlineLvl w:val="2"/>
        <w:rPr>
          <w:rFonts w:ascii="仿宋" w:hAnsi="仿宋" w:eastAsia="仿宋"/>
          <w:b/>
          <w:sz w:val="32"/>
          <w:szCs w:val="32"/>
        </w:rPr>
      </w:pPr>
      <w:bookmarkStart w:id="38" w:name="_Toc15377216"/>
      <w:r>
        <w:rPr>
          <w:rFonts w:hint="eastAsia" w:ascii="仿宋" w:hAnsi="仿宋" w:eastAsia="仿宋"/>
          <w:b/>
          <w:sz w:val="32"/>
          <w:szCs w:val="32"/>
        </w:rPr>
        <w:t>（一）“三公”经费财政拨款支出决算总体情况说明</w:t>
      </w:r>
      <w:bookmarkEnd w:id="38"/>
    </w:p>
    <w:p>
      <w:pPr>
        <w:spacing w:line="600" w:lineRule="exact"/>
        <w:ind w:firstLine="640"/>
        <w:rPr>
          <w:rFonts w:hint="eastAsia" w:ascii="宋体" w:hAnsi="宋体" w:eastAsia="宋体" w:cs="宋体"/>
          <w:b w:val="0"/>
          <w:bCs w:val="0"/>
          <w:sz w:val="32"/>
          <w:szCs w:val="32"/>
        </w:rPr>
      </w:pPr>
      <w:r>
        <w:rPr>
          <w:rFonts w:hint="eastAsia" w:ascii="宋体" w:hAnsi="宋体" w:eastAsia="宋体" w:cs="宋体"/>
          <w:b w:val="0"/>
          <w:bCs w:val="0"/>
          <w:sz w:val="32"/>
          <w:szCs w:val="32"/>
        </w:rPr>
        <w:t>2021年“三公”经费财政拨款支出决算为</w:t>
      </w:r>
      <w:r>
        <w:rPr>
          <w:rFonts w:hint="eastAsia" w:ascii="宋体" w:hAnsi="宋体" w:eastAsia="宋体" w:cs="宋体"/>
          <w:b w:val="0"/>
          <w:bCs w:val="0"/>
          <w:sz w:val="32"/>
          <w:szCs w:val="32"/>
          <w:lang w:val="en-US" w:eastAsia="zh-CN"/>
        </w:rPr>
        <w:t>3.32</w:t>
      </w:r>
      <w:r>
        <w:rPr>
          <w:rFonts w:hint="eastAsia" w:ascii="宋体" w:hAnsi="宋体" w:eastAsia="宋体" w:cs="宋体"/>
          <w:b w:val="0"/>
          <w:bCs w:val="0"/>
          <w:sz w:val="32"/>
          <w:szCs w:val="32"/>
        </w:rPr>
        <w:t>万元，完成预算</w:t>
      </w:r>
      <w:r>
        <w:rPr>
          <w:rFonts w:hint="eastAsia" w:ascii="宋体" w:hAnsi="宋体" w:eastAsia="宋体" w:cs="宋体"/>
          <w:b w:val="0"/>
          <w:bCs w:val="0"/>
          <w:sz w:val="32"/>
          <w:szCs w:val="32"/>
          <w:lang w:val="en-US" w:eastAsia="zh-CN"/>
        </w:rPr>
        <w:t>100</w:t>
      </w:r>
      <w:r>
        <w:rPr>
          <w:rFonts w:hint="eastAsia" w:ascii="宋体" w:hAnsi="宋体" w:eastAsia="宋体" w:cs="宋体"/>
          <w:b w:val="0"/>
          <w:bCs w:val="0"/>
          <w:sz w:val="32"/>
          <w:szCs w:val="32"/>
        </w:rPr>
        <w:t>%，决算数与预算数</w:t>
      </w:r>
      <w:r>
        <w:rPr>
          <w:rFonts w:hint="eastAsia" w:ascii="宋体" w:hAnsi="宋体" w:eastAsia="宋体" w:cs="宋体"/>
          <w:b w:val="0"/>
          <w:bCs w:val="0"/>
          <w:sz w:val="32"/>
          <w:szCs w:val="32"/>
          <w:lang w:eastAsia="zh-CN"/>
        </w:rPr>
        <w:t>相等，</w:t>
      </w:r>
      <w:r>
        <w:rPr>
          <w:rFonts w:hint="eastAsia" w:ascii="宋体" w:hAnsi="宋体" w:eastAsia="宋体" w:cs="宋体"/>
          <w:b w:val="0"/>
          <w:bCs w:val="0"/>
          <w:sz w:val="32"/>
          <w:szCs w:val="32"/>
        </w:rPr>
        <w:t>主要原因是</w:t>
      </w:r>
      <w:r>
        <w:rPr>
          <w:rFonts w:hint="eastAsia" w:ascii="宋体" w:hAnsi="宋体" w:eastAsia="宋体" w:cs="宋体"/>
          <w:b w:val="0"/>
          <w:bCs w:val="0"/>
          <w:sz w:val="32"/>
          <w:szCs w:val="32"/>
          <w:lang w:eastAsia="zh-CN"/>
        </w:rPr>
        <w:t>尽量压缩三公经费</w:t>
      </w:r>
      <w:r>
        <w:rPr>
          <w:rFonts w:hint="eastAsia" w:ascii="宋体" w:hAnsi="宋体" w:eastAsia="宋体" w:cs="宋体"/>
          <w:b w:val="0"/>
          <w:bCs w:val="0"/>
          <w:sz w:val="32"/>
          <w:szCs w:val="32"/>
        </w:rPr>
        <w:t>。</w:t>
      </w:r>
    </w:p>
    <w:p>
      <w:pPr>
        <w:spacing w:line="600" w:lineRule="exact"/>
        <w:ind w:firstLine="640"/>
        <w:outlineLvl w:val="2"/>
        <w:rPr>
          <w:rFonts w:ascii="仿宋" w:hAnsi="仿宋" w:eastAsia="仿宋"/>
          <w:b/>
          <w:sz w:val="32"/>
          <w:szCs w:val="32"/>
        </w:rPr>
      </w:pPr>
      <w:bookmarkStart w:id="39" w:name="_Toc15377217"/>
      <w:r>
        <w:rPr>
          <w:rFonts w:hint="eastAsia" w:ascii="仿宋" w:hAnsi="仿宋" w:eastAsia="仿宋"/>
          <w:b/>
          <w:sz w:val="32"/>
          <w:szCs w:val="32"/>
        </w:rPr>
        <w:t>（二）“三公”经费财政拨款支出决算具体情况说明</w:t>
      </w:r>
      <w:bookmarkEnd w:id="39"/>
    </w:p>
    <w:p>
      <w:pPr>
        <w:spacing w:line="600" w:lineRule="exact"/>
        <w:ind w:firstLine="640"/>
        <w:rPr>
          <w:rFonts w:hint="eastAsia"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21年“三公”经费财政拨款支出决算中，因公出国（境）费支出决算</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；公务用车购置及运行维护费支出决算</w:t>
      </w:r>
      <w:r>
        <w:rPr>
          <w:rFonts w:hint="eastAsia" w:ascii="仿宋" w:hAnsi="仿宋" w:eastAsia="仿宋"/>
          <w:sz w:val="32"/>
          <w:szCs w:val="32"/>
          <w:lang w:val="en-US" w:eastAsia="zh-CN"/>
        </w:rPr>
        <w:t>3.32</w:t>
      </w:r>
      <w:r>
        <w:rPr>
          <w:rFonts w:hint="eastAsia" w:ascii="仿宋" w:hAnsi="仿宋" w:eastAsia="仿宋"/>
          <w:sz w:val="32"/>
          <w:szCs w:val="32"/>
        </w:rPr>
        <w:t>万元，占</w:t>
      </w:r>
      <w:r>
        <w:rPr>
          <w:rFonts w:hint="eastAsia" w:ascii="仿宋" w:hAnsi="仿宋" w:eastAsia="仿宋"/>
          <w:sz w:val="32"/>
          <w:szCs w:val="32"/>
          <w:lang w:val="en-US" w:eastAsia="zh-CN"/>
        </w:rPr>
        <w:t>100</w:t>
      </w:r>
      <w:r>
        <w:rPr>
          <w:rFonts w:ascii="仿宋" w:hAnsi="仿宋" w:eastAsia="仿宋"/>
          <w:sz w:val="32"/>
          <w:szCs w:val="32"/>
        </w:rPr>
        <w:t>%</w:t>
      </w:r>
      <w:r>
        <w:rPr>
          <w:rFonts w:hint="eastAsia" w:ascii="仿宋" w:hAnsi="仿宋" w:eastAsia="仿宋"/>
          <w:sz w:val="32"/>
          <w:szCs w:val="32"/>
        </w:rPr>
        <w:t>；公务接待费支出决算</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。具体情况如下：</w:t>
      </w:r>
    </w:p>
    <w:p>
      <w:pPr>
        <w:pStyle w:val="2"/>
        <w:rPr>
          <w:rFonts w:hint="eastAsia" w:ascii="仿宋" w:hAnsi="仿宋" w:eastAsia="仿宋"/>
          <w:sz w:val="32"/>
          <w:szCs w:val="32"/>
          <w:lang w:eastAsia="zh-CN"/>
        </w:rPr>
      </w:pPr>
      <w:r>
        <w:rPr>
          <w:rFonts w:hint="eastAsia" w:ascii="仿宋" w:hAnsi="仿宋" w:eastAsia="仿宋"/>
          <w:sz w:val="32"/>
          <w:szCs w:val="32"/>
          <w:lang w:eastAsia="zh-CN"/>
        </w:rPr>
        <w:drawing>
          <wp:inline distT="0" distB="0" distL="114300" distR="114300">
            <wp:extent cx="5080000" cy="3810000"/>
            <wp:effectExtent l="4445" t="4445" r="20955" b="14605"/>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spacing w:line="600" w:lineRule="exact"/>
        <w:rPr>
          <w:rFonts w:ascii="仿宋" w:hAnsi="仿宋" w:eastAsia="仿宋"/>
          <w:sz w:val="32"/>
          <w:szCs w:val="32"/>
        </w:rPr>
      </w:pPr>
      <w:r>
        <w:rPr>
          <w:rFonts w:hint="eastAsia" w:ascii="仿宋" w:hAnsi="仿宋" w:eastAsia="仿宋"/>
          <w:sz w:val="32"/>
          <w:szCs w:val="32"/>
        </w:rPr>
        <w:t>（图7：“三公”经费财政拨款支出结构）（饼状图）</w:t>
      </w:r>
    </w:p>
    <w:p>
      <w:pPr>
        <w:numPr>
          <w:ilvl w:val="0"/>
          <w:numId w:val="0"/>
        </w:numPr>
        <w:spacing w:line="600" w:lineRule="exact"/>
        <w:ind w:firstLine="642" w:firstLineChars="200"/>
        <w:rPr>
          <w:rFonts w:hint="eastAsia" w:ascii="仿宋_GB2312" w:eastAsia="仿宋_GB2312"/>
          <w:sz w:val="32"/>
          <w:szCs w:val="32"/>
        </w:rPr>
      </w:pPr>
      <w:r>
        <w:rPr>
          <w:rFonts w:hint="eastAsia" w:ascii="仿宋_GB2312" w:eastAsia="仿宋_GB2312"/>
          <w:b/>
          <w:sz w:val="32"/>
          <w:szCs w:val="32"/>
          <w:lang w:val="en-US" w:eastAsia="zh-CN"/>
        </w:rPr>
        <w:t>1.</w:t>
      </w:r>
      <w:r>
        <w:rPr>
          <w:rFonts w:hint="eastAsia" w:ascii="仿宋_GB2312" w:eastAsia="仿宋_GB2312"/>
          <w:b/>
          <w:sz w:val="32"/>
          <w:szCs w:val="32"/>
        </w:rPr>
        <w:t>因公出国（境）经费支出</w:t>
      </w:r>
      <w:r>
        <w:rPr>
          <w:rFonts w:hint="eastAsia" w:ascii="仿宋_GB2312" w:eastAsia="仿宋_GB2312"/>
          <w:sz w:val="32"/>
          <w:szCs w:val="32"/>
          <w:lang w:val="en-US" w:eastAsia="zh-CN"/>
        </w:rPr>
        <w:t>0</w:t>
      </w:r>
      <w:r>
        <w:rPr>
          <w:rFonts w:hint="eastAsia" w:ascii="仿宋_GB2312" w:eastAsia="仿宋_GB2312"/>
          <w:sz w:val="32"/>
          <w:szCs w:val="32"/>
        </w:rPr>
        <w:t>万元，</w:t>
      </w:r>
      <w:r>
        <w:rPr>
          <w:rStyle w:val="15"/>
          <w:rFonts w:hint="eastAsia" w:ascii="仿宋" w:hAnsi="仿宋" w:eastAsia="仿宋"/>
          <w:b w:val="0"/>
          <w:bCs/>
          <w:sz w:val="32"/>
          <w:szCs w:val="32"/>
        </w:rPr>
        <w:t>完成预算</w:t>
      </w:r>
      <w:r>
        <w:rPr>
          <w:rStyle w:val="15"/>
          <w:rFonts w:hint="eastAsia" w:ascii="仿宋" w:hAnsi="仿宋" w:eastAsia="仿宋"/>
          <w:b w:val="0"/>
          <w:bCs/>
          <w:sz w:val="32"/>
          <w:szCs w:val="32"/>
          <w:lang w:val="en-US" w:eastAsia="zh-CN"/>
        </w:rPr>
        <w:t>0</w:t>
      </w:r>
      <w:r>
        <w:rPr>
          <w:rStyle w:val="15"/>
          <w:rFonts w:ascii="仿宋" w:hAnsi="仿宋" w:eastAsia="仿宋"/>
          <w:b w:val="0"/>
          <w:bCs/>
          <w:sz w:val="32"/>
          <w:szCs w:val="32"/>
        </w:rPr>
        <w:t>%</w:t>
      </w:r>
      <w:r>
        <w:rPr>
          <w:rStyle w:val="15"/>
          <w:rFonts w:hint="eastAsia" w:ascii="仿宋" w:hAnsi="仿宋" w:eastAsia="仿宋"/>
          <w:b w:val="0"/>
          <w:bCs/>
          <w:sz w:val="32"/>
          <w:szCs w:val="32"/>
        </w:rPr>
        <w:t>。</w:t>
      </w:r>
      <w:r>
        <w:rPr>
          <w:rFonts w:hint="eastAsia" w:ascii="仿宋_GB2312" w:eastAsia="仿宋_GB2312"/>
          <w:sz w:val="32"/>
          <w:szCs w:val="32"/>
        </w:rPr>
        <w:t>全年安排因公出国（境）团组</w:t>
      </w:r>
      <w:r>
        <w:rPr>
          <w:rFonts w:hint="eastAsia" w:ascii="仿宋_GB2312" w:eastAsia="仿宋_GB2312"/>
          <w:sz w:val="32"/>
          <w:szCs w:val="32"/>
          <w:lang w:val="en-US" w:eastAsia="zh-CN"/>
        </w:rPr>
        <w:t>0</w:t>
      </w:r>
      <w:r>
        <w:rPr>
          <w:rFonts w:hint="eastAsia" w:ascii="仿宋_GB2312" w:eastAsia="仿宋_GB2312"/>
          <w:sz w:val="32"/>
          <w:szCs w:val="32"/>
        </w:rPr>
        <w:t>次，出国（境）</w:t>
      </w:r>
      <w:r>
        <w:rPr>
          <w:rFonts w:hint="eastAsia" w:ascii="仿宋_GB2312" w:eastAsia="仿宋_GB2312"/>
          <w:sz w:val="32"/>
          <w:szCs w:val="32"/>
          <w:lang w:val="en-US" w:eastAsia="zh-CN"/>
        </w:rPr>
        <w:t>0</w:t>
      </w:r>
      <w:r>
        <w:rPr>
          <w:rFonts w:hint="eastAsia" w:ascii="仿宋_GB2312" w:eastAsia="仿宋_GB2312"/>
          <w:sz w:val="32"/>
          <w:szCs w:val="32"/>
        </w:rPr>
        <w:t>人。</w:t>
      </w:r>
    </w:p>
    <w:p>
      <w:pPr>
        <w:numPr>
          <w:ilvl w:val="0"/>
          <w:numId w:val="0"/>
        </w:numPr>
        <w:spacing w:line="600" w:lineRule="exact"/>
        <w:ind w:firstLine="642" w:firstLineChars="200"/>
        <w:rPr>
          <w:rFonts w:ascii="仿宋_GB2312" w:eastAsia="仿宋_GB2312"/>
          <w:b/>
          <w:sz w:val="32"/>
          <w:szCs w:val="32"/>
        </w:rPr>
      </w:pPr>
      <w:r>
        <w:rPr>
          <w:rFonts w:hint="eastAsia" w:ascii="仿宋_GB2312" w:eastAsia="仿宋_GB2312"/>
          <w:b/>
          <w:sz w:val="32"/>
          <w:szCs w:val="32"/>
          <w:lang w:val="en-US" w:eastAsia="zh-CN"/>
        </w:rPr>
        <w:t>2.</w:t>
      </w:r>
      <w:r>
        <w:rPr>
          <w:rFonts w:hint="eastAsia" w:ascii="仿宋_GB2312" w:eastAsia="仿宋_GB2312"/>
          <w:b/>
          <w:sz w:val="32"/>
          <w:szCs w:val="32"/>
        </w:rPr>
        <w:t>公务用车购置及运行维护费支出</w:t>
      </w:r>
      <w:r>
        <w:rPr>
          <w:rFonts w:hint="eastAsia" w:ascii="仿宋_GB2312" w:eastAsia="仿宋_GB2312"/>
          <w:sz w:val="32"/>
          <w:szCs w:val="32"/>
          <w:lang w:val="en-US" w:eastAsia="zh-CN"/>
        </w:rPr>
        <w:t>3.32</w:t>
      </w:r>
      <w:r>
        <w:rPr>
          <w:rFonts w:hint="eastAsia" w:ascii="仿宋_GB2312" w:eastAsia="仿宋_GB2312"/>
          <w:sz w:val="32"/>
          <w:szCs w:val="32"/>
        </w:rPr>
        <w:t>万元,</w:t>
      </w:r>
      <w:r>
        <w:rPr>
          <w:rStyle w:val="15"/>
          <w:rFonts w:hint="eastAsia" w:ascii="仿宋" w:hAnsi="仿宋" w:eastAsia="仿宋"/>
          <w:b w:val="0"/>
          <w:bCs/>
          <w:sz w:val="32"/>
          <w:szCs w:val="32"/>
        </w:rPr>
        <w:t>完成预算</w:t>
      </w:r>
      <w:r>
        <w:rPr>
          <w:rStyle w:val="15"/>
          <w:rFonts w:hint="eastAsia" w:ascii="仿宋" w:hAnsi="仿宋" w:eastAsia="仿宋"/>
          <w:b w:val="0"/>
          <w:bCs/>
          <w:sz w:val="32"/>
          <w:szCs w:val="32"/>
          <w:lang w:val="en-US" w:eastAsia="zh-CN"/>
        </w:rPr>
        <w:t>100</w:t>
      </w:r>
      <w:r>
        <w:rPr>
          <w:rStyle w:val="15"/>
          <w:rFonts w:ascii="仿宋" w:hAnsi="仿宋" w:eastAsia="仿宋"/>
          <w:b w:val="0"/>
          <w:bCs/>
          <w:sz w:val="32"/>
          <w:szCs w:val="32"/>
        </w:rPr>
        <w:t>%</w:t>
      </w:r>
      <w:r>
        <w:rPr>
          <w:rStyle w:val="15"/>
          <w:rFonts w:hint="eastAsia" w:ascii="仿宋" w:hAnsi="仿宋" w:eastAsia="仿宋"/>
          <w:b w:val="0"/>
          <w:bCs/>
          <w:sz w:val="32"/>
          <w:szCs w:val="32"/>
        </w:rPr>
        <w:t>。</w:t>
      </w:r>
      <w:r>
        <w:rPr>
          <w:rFonts w:hint="eastAsia" w:ascii="仿宋_GB2312" w:eastAsia="仿宋_GB2312"/>
          <w:sz w:val="32"/>
          <w:szCs w:val="32"/>
        </w:rPr>
        <w:t>公务用车购置及运行维护费支出决算比</w:t>
      </w:r>
      <w:r>
        <w:rPr>
          <w:rFonts w:ascii="仿宋_GB2312" w:eastAsia="仿宋_GB2312"/>
          <w:sz w:val="32"/>
          <w:szCs w:val="32"/>
        </w:rPr>
        <w:t>20</w:t>
      </w:r>
      <w:r>
        <w:rPr>
          <w:rFonts w:hint="eastAsia" w:ascii="仿宋_GB2312" w:eastAsia="仿宋_GB2312"/>
          <w:sz w:val="32"/>
          <w:szCs w:val="32"/>
        </w:rPr>
        <w:t>20年增加</w:t>
      </w:r>
      <w:r>
        <w:rPr>
          <w:rFonts w:hint="eastAsia" w:ascii="仿宋_GB2312" w:eastAsia="仿宋_GB2312"/>
          <w:sz w:val="32"/>
          <w:szCs w:val="32"/>
          <w:lang w:val="en-US" w:eastAsia="zh-CN"/>
        </w:rPr>
        <w:t>3.32</w:t>
      </w:r>
      <w:r>
        <w:rPr>
          <w:rFonts w:hint="eastAsia" w:ascii="仿宋_GB2312" w:eastAsia="仿宋_GB2312"/>
          <w:sz w:val="32"/>
          <w:szCs w:val="32"/>
        </w:rPr>
        <w:t>万元，增长</w:t>
      </w:r>
      <w:r>
        <w:rPr>
          <w:rFonts w:hint="eastAsia" w:ascii="仿宋_GB2312" w:eastAsia="仿宋_GB2312"/>
          <w:sz w:val="32"/>
          <w:szCs w:val="32"/>
          <w:lang w:val="en-US" w:eastAsia="zh-CN"/>
        </w:rPr>
        <w:t>100</w:t>
      </w:r>
      <w:r>
        <w:rPr>
          <w:rFonts w:ascii="仿宋_GB2312" w:eastAsia="仿宋_GB2312"/>
          <w:sz w:val="32"/>
          <w:szCs w:val="32"/>
        </w:rPr>
        <w:t>%</w:t>
      </w:r>
      <w:r>
        <w:rPr>
          <w:rFonts w:hint="eastAsia" w:ascii="仿宋_GB2312" w:eastAsia="仿宋_GB2312"/>
          <w:sz w:val="32"/>
          <w:szCs w:val="32"/>
        </w:rPr>
        <w:t>。主要原因是</w:t>
      </w:r>
      <w:r>
        <w:rPr>
          <w:rFonts w:hint="eastAsia" w:ascii="仿宋_GB2312" w:eastAsia="仿宋_GB2312"/>
          <w:sz w:val="32"/>
          <w:szCs w:val="32"/>
          <w:lang w:eastAsia="zh-CN"/>
        </w:rPr>
        <w:t>疫情防控项目、艾滋病项目、妇幼卫生综合项目下乡燃料费</w:t>
      </w:r>
      <w:r>
        <w:rPr>
          <w:rFonts w:hint="eastAsia" w:ascii="仿宋_GB2312" w:eastAsia="仿宋_GB2312"/>
          <w:sz w:val="32"/>
          <w:szCs w:val="32"/>
        </w:rPr>
        <w:t>。</w:t>
      </w:r>
    </w:p>
    <w:p>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hint="eastAsia" w:ascii="仿宋_GB2312" w:eastAsia="仿宋_GB2312"/>
          <w:sz w:val="32"/>
          <w:szCs w:val="32"/>
          <w:lang w:val="en-US" w:eastAsia="zh-CN"/>
        </w:rPr>
        <w:t>0</w:t>
      </w:r>
      <w:r>
        <w:rPr>
          <w:rFonts w:hint="eastAsia" w:ascii="仿宋_GB2312" w:eastAsia="仿宋_GB2312"/>
          <w:sz w:val="32"/>
          <w:szCs w:val="32"/>
        </w:rPr>
        <w:t>万元。全年按规定更新购置公务用车</w:t>
      </w:r>
      <w:r>
        <w:rPr>
          <w:rFonts w:hint="eastAsia" w:ascii="仿宋_GB2312" w:eastAsia="仿宋_GB2312"/>
          <w:sz w:val="32"/>
          <w:szCs w:val="32"/>
          <w:lang w:val="en-US" w:eastAsia="zh-CN"/>
        </w:rPr>
        <w:t>0</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万元，越野车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万元，载客汽车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月底，单位共有公务用车</w:t>
      </w:r>
      <w:r>
        <w:rPr>
          <w:rFonts w:hint="eastAsia" w:ascii="仿宋_GB2312" w:eastAsia="仿宋_GB2312"/>
          <w:sz w:val="32"/>
          <w:szCs w:val="32"/>
          <w:lang w:val="en-US" w:eastAsia="zh-CN"/>
        </w:rPr>
        <w:t>0</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辆、越野车</w:t>
      </w:r>
      <w:r>
        <w:rPr>
          <w:rFonts w:hint="eastAsia" w:ascii="仿宋_GB2312" w:eastAsia="仿宋_GB2312"/>
          <w:sz w:val="32"/>
          <w:szCs w:val="32"/>
          <w:lang w:val="en-US" w:eastAsia="zh-CN"/>
        </w:rPr>
        <w:t>0</w:t>
      </w:r>
      <w:r>
        <w:rPr>
          <w:rFonts w:hint="eastAsia" w:ascii="仿宋_GB2312" w:eastAsia="仿宋_GB2312"/>
          <w:sz w:val="32"/>
          <w:szCs w:val="32"/>
        </w:rPr>
        <w:t>辆、载客汽车</w:t>
      </w:r>
      <w:r>
        <w:rPr>
          <w:rFonts w:hint="eastAsia" w:ascii="仿宋_GB2312" w:eastAsia="仿宋_GB2312"/>
          <w:sz w:val="32"/>
          <w:szCs w:val="32"/>
          <w:lang w:val="en-US" w:eastAsia="zh-CN"/>
        </w:rPr>
        <w:t>0</w:t>
      </w:r>
      <w:r>
        <w:rPr>
          <w:rFonts w:hint="eastAsia" w:ascii="仿宋_GB2312" w:eastAsia="仿宋_GB2312"/>
          <w:sz w:val="32"/>
          <w:szCs w:val="32"/>
        </w:rPr>
        <w:t>辆</w:t>
      </w:r>
      <w:r>
        <w:rPr>
          <w:rFonts w:hint="eastAsia" w:ascii="仿宋_GB2312" w:eastAsia="仿宋_GB2312"/>
          <w:sz w:val="32"/>
          <w:szCs w:val="32"/>
          <w:lang w:eastAsia="zh-CN"/>
        </w:rPr>
        <w:t>、特种专业技术用车</w:t>
      </w:r>
      <w:r>
        <w:rPr>
          <w:rFonts w:hint="eastAsia" w:ascii="仿宋_GB2312" w:eastAsia="仿宋_GB2312"/>
          <w:sz w:val="32"/>
          <w:szCs w:val="32"/>
          <w:lang w:val="en-US" w:eastAsia="zh-CN"/>
        </w:rPr>
        <w:t>1辆</w:t>
      </w:r>
      <w:r>
        <w:rPr>
          <w:rFonts w:hint="eastAsia" w:ascii="仿宋_GB2312" w:eastAsia="仿宋_GB2312"/>
          <w:sz w:val="32"/>
          <w:szCs w:val="32"/>
        </w:rPr>
        <w:t>。</w:t>
      </w:r>
    </w:p>
    <w:p>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rFonts w:hint="eastAsia" w:ascii="仿宋_GB2312" w:eastAsia="仿宋_GB2312"/>
          <w:sz w:val="32"/>
          <w:szCs w:val="32"/>
          <w:lang w:val="en-US" w:eastAsia="zh-CN"/>
        </w:rPr>
        <w:t>3.32</w:t>
      </w:r>
      <w:r>
        <w:rPr>
          <w:rFonts w:hint="eastAsia" w:ascii="仿宋_GB2312" w:eastAsia="仿宋_GB2312"/>
          <w:sz w:val="32"/>
          <w:szCs w:val="32"/>
        </w:rPr>
        <w:t>万元。主要用于</w:t>
      </w:r>
      <w:r>
        <w:rPr>
          <w:rFonts w:hint="eastAsia" w:ascii="仿宋_GB2312" w:eastAsia="仿宋_GB2312"/>
          <w:sz w:val="32"/>
          <w:szCs w:val="32"/>
          <w:lang w:eastAsia="zh-CN"/>
        </w:rPr>
        <w:t>下乡</w:t>
      </w:r>
      <w:r>
        <w:rPr>
          <w:rFonts w:hint="eastAsia" w:ascii="仿宋_GB2312" w:eastAsia="仿宋_GB2312"/>
          <w:sz w:val="32"/>
          <w:szCs w:val="32"/>
        </w:rPr>
        <w:t>所需的公务用车燃料费、维修费、过路过桥费、保险费等支出。</w:t>
      </w:r>
    </w:p>
    <w:p>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sz w:val="32"/>
          <w:szCs w:val="32"/>
          <w:lang w:val="en-US" w:eastAsia="zh-CN"/>
        </w:rPr>
        <w:t>0</w:t>
      </w:r>
      <w:r>
        <w:rPr>
          <w:rFonts w:hint="eastAsia" w:ascii="仿宋_GB2312" w:eastAsia="仿宋_GB2312"/>
          <w:sz w:val="32"/>
          <w:szCs w:val="32"/>
        </w:rPr>
        <w:t>万元，</w:t>
      </w:r>
      <w:r>
        <w:rPr>
          <w:rStyle w:val="15"/>
          <w:rFonts w:hint="eastAsia" w:ascii="仿宋" w:hAnsi="仿宋" w:eastAsia="仿宋"/>
          <w:b w:val="0"/>
          <w:bCs/>
          <w:sz w:val="32"/>
          <w:szCs w:val="32"/>
        </w:rPr>
        <w:t>完成预算</w:t>
      </w:r>
      <w:r>
        <w:rPr>
          <w:rStyle w:val="15"/>
          <w:rFonts w:hint="eastAsia" w:ascii="仿宋" w:hAnsi="仿宋" w:eastAsia="仿宋"/>
          <w:b w:val="0"/>
          <w:bCs/>
          <w:sz w:val="32"/>
          <w:szCs w:val="32"/>
          <w:lang w:val="en-US" w:eastAsia="zh-CN"/>
        </w:rPr>
        <w:t>0</w:t>
      </w:r>
      <w:r>
        <w:rPr>
          <w:rStyle w:val="15"/>
          <w:rFonts w:ascii="仿宋" w:hAnsi="仿宋" w:eastAsia="仿宋"/>
          <w:b w:val="0"/>
          <w:bCs/>
          <w:sz w:val="32"/>
          <w:szCs w:val="32"/>
        </w:rPr>
        <w:t>%</w:t>
      </w:r>
      <w:r>
        <w:rPr>
          <w:rStyle w:val="15"/>
          <w:rFonts w:hint="eastAsia" w:ascii="仿宋" w:hAnsi="仿宋" w:eastAsia="仿宋"/>
          <w:b w:val="0"/>
          <w:bCs/>
          <w:sz w:val="32"/>
          <w:szCs w:val="32"/>
        </w:rPr>
        <w:t>。</w:t>
      </w:r>
      <w:r>
        <w:rPr>
          <w:rFonts w:hint="eastAsia" w:ascii="仿宋_GB2312" w:eastAsia="仿宋_GB2312"/>
          <w:sz w:val="32"/>
          <w:szCs w:val="32"/>
        </w:rPr>
        <w:t>其中：</w:t>
      </w:r>
    </w:p>
    <w:p>
      <w:pPr>
        <w:spacing w:line="600" w:lineRule="exact"/>
        <w:ind w:firstLine="640"/>
        <w:rPr>
          <w:rFonts w:ascii="仿宋_GB2312" w:eastAsia="仿宋_GB2312"/>
          <w:sz w:val="32"/>
          <w:szCs w:val="32"/>
        </w:rPr>
      </w:pPr>
      <w:r>
        <w:rPr>
          <w:rFonts w:hint="eastAsia" w:ascii="仿宋" w:hAnsi="仿宋" w:eastAsia="仿宋"/>
          <w:b/>
          <w:sz w:val="32"/>
          <w:szCs w:val="32"/>
        </w:rPr>
        <w:t>国内公务接待支出</w:t>
      </w:r>
      <w:r>
        <w:rPr>
          <w:rFonts w:hint="eastAsia" w:ascii="仿宋" w:hAnsi="仿宋" w:eastAsia="仿宋"/>
          <w:sz w:val="32"/>
          <w:szCs w:val="32"/>
          <w:lang w:val="en-US" w:eastAsia="zh-CN"/>
        </w:rPr>
        <w:t>0</w:t>
      </w:r>
      <w:r>
        <w:rPr>
          <w:rFonts w:hint="eastAsia" w:ascii="仿宋_GB2312" w:eastAsia="仿宋_GB2312"/>
          <w:sz w:val="32"/>
          <w:szCs w:val="32"/>
        </w:rPr>
        <w:t>万元。</w:t>
      </w:r>
    </w:p>
    <w:p>
      <w:pPr>
        <w:spacing w:line="600" w:lineRule="exact"/>
        <w:ind w:firstLine="642" w:firstLineChars="200"/>
        <w:rPr>
          <w:rFonts w:ascii="黑体" w:eastAsia="黑体"/>
          <w:sz w:val="32"/>
          <w:szCs w:val="32"/>
        </w:rPr>
      </w:pPr>
      <w:r>
        <w:rPr>
          <w:rFonts w:hint="eastAsia" w:ascii="仿宋" w:hAnsi="仿宋" w:eastAsia="仿宋"/>
          <w:b/>
          <w:sz w:val="32"/>
          <w:szCs w:val="32"/>
        </w:rPr>
        <w:t>外事接待支出</w:t>
      </w:r>
      <w:r>
        <w:rPr>
          <w:rFonts w:hint="eastAsia" w:ascii="仿宋" w:hAnsi="仿宋" w:eastAsia="仿宋"/>
          <w:sz w:val="32"/>
          <w:szCs w:val="32"/>
          <w:lang w:val="en-US" w:eastAsia="zh-CN"/>
        </w:rPr>
        <w:t>0</w:t>
      </w:r>
      <w:r>
        <w:rPr>
          <w:rFonts w:hint="eastAsia" w:ascii="仿宋_GB2312" w:eastAsia="仿宋_GB2312"/>
          <w:sz w:val="32"/>
          <w:szCs w:val="32"/>
        </w:rPr>
        <w:t>万元。</w:t>
      </w:r>
      <w:bookmarkStart w:id="40" w:name="_Toc15396610"/>
      <w:bookmarkStart w:id="41" w:name="_Toc15377218"/>
    </w:p>
    <w:p>
      <w:pPr>
        <w:spacing w:line="600" w:lineRule="exact"/>
        <w:ind w:firstLine="640"/>
        <w:outlineLvl w:val="1"/>
        <w:rPr>
          <w:rStyle w:val="26"/>
          <w:rFonts w:ascii="黑体" w:hAnsi="黑体" w:eastAsia="黑体"/>
        </w:rPr>
      </w:pPr>
      <w:r>
        <w:rPr>
          <w:rFonts w:hint="eastAsia" w:ascii="黑体" w:eastAsia="黑体"/>
          <w:sz w:val="32"/>
          <w:szCs w:val="32"/>
        </w:rPr>
        <w:t>八、</w:t>
      </w:r>
      <w:r>
        <w:rPr>
          <w:rStyle w:val="26"/>
          <w:rFonts w:hint="eastAsia" w:ascii="黑体" w:hAnsi="黑体" w:eastAsia="黑体"/>
          <w:b w:val="0"/>
        </w:rPr>
        <w:t>政府性基金预算支出决算情况说明</w:t>
      </w:r>
      <w:bookmarkEnd w:id="40"/>
      <w:bookmarkEnd w:id="41"/>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21年政府性基金预算财政拨款支出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numPr>
          <w:ilvl w:val="0"/>
          <w:numId w:val="4"/>
        </w:numPr>
        <w:spacing w:line="600" w:lineRule="exact"/>
        <w:ind w:firstLine="640"/>
        <w:outlineLvl w:val="1"/>
        <w:rPr>
          <w:rStyle w:val="26"/>
          <w:rFonts w:ascii="黑体" w:hAnsi="黑体" w:eastAsia="黑体"/>
          <w:b w:val="0"/>
        </w:rPr>
      </w:pPr>
      <w:bookmarkStart w:id="42" w:name="_Toc15396611"/>
      <w:bookmarkStart w:id="43" w:name="_Toc15377219"/>
      <w:r>
        <w:rPr>
          <w:rStyle w:val="26"/>
          <w:rFonts w:hint="eastAsia" w:ascii="黑体" w:hAnsi="黑体" w:eastAsia="黑体"/>
          <w:b w:val="0"/>
        </w:rPr>
        <w:t>国有资本经营预算支出决算情况说明</w:t>
      </w:r>
      <w:bookmarkEnd w:id="42"/>
      <w:bookmarkEnd w:id="43"/>
    </w:p>
    <w:p>
      <w:pPr>
        <w:spacing w:line="600" w:lineRule="exact"/>
        <w:ind w:firstLine="640"/>
        <w:rPr>
          <w:rFonts w:ascii="方正小标宋简体" w:hAnsi="方正小标宋简体" w:eastAsia="方正小标宋简体" w:cs="方正小标宋简体"/>
          <w:sz w:val="44"/>
          <w:szCs w:val="44"/>
        </w:rPr>
      </w:pPr>
      <w:r>
        <w:rPr>
          <w:rFonts w:ascii="仿宋_GB2312" w:eastAsia="仿宋_GB2312"/>
          <w:sz w:val="32"/>
          <w:szCs w:val="32"/>
        </w:rPr>
        <w:t>20</w:t>
      </w:r>
      <w:r>
        <w:rPr>
          <w:rFonts w:hint="eastAsia" w:ascii="仿宋_GB2312" w:eastAsia="仿宋_GB2312"/>
          <w:sz w:val="32"/>
          <w:szCs w:val="32"/>
        </w:rPr>
        <w:t>21年国有资本经营预算财政拨款支出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numPr>
          <w:ilvl w:val="0"/>
          <w:numId w:val="4"/>
        </w:numPr>
        <w:spacing w:line="600" w:lineRule="exact"/>
        <w:ind w:firstLine="640"/>
        <w:outlineLvl w:val="1"/>
        <w:rPr>
          <w:rStyle w:val="26"/>
          <w:rFonts w:ascii="黑体" w:hAnsi="黑体" w:eastAsia="黑体"/>
          <w:b w:val="0"/>
        </w:rPr>
      </w:pPr>
      <w:bookmarkStart w:id="44" w:name="_Toc15396612"/>
      <w:bookmarkStart w:id="45" w:name="_Toc15377221"/>
      <w:r>
        <w:rPr>
          <w:rStyle w:val="26"/>
          <w:rFonts w:hint="eastAsia" w:ascii="黑体" w:hAnsi="黑体" w:eastAsia="黑体"/>
          <w:b w:val="0"/>
        </w:rPr>
        <w:t>其他重要事项的情况说明</w:t>
      </w:r>
      <w:bookmarkEnd w:id="44"/>
      <w:bookmarkEnd w:id="45"/>
    </w:p>
    <w:p>
      <w:pPr>
        <w:spacing w:line="600" w:lineRule="exact"/>
        <w:ind w:firstLine="642" w:firstLineChars="200"/>
        <w:outlineLvl w:val="2"/>
        <w:rPr>
          <w:rFonts w:ascii="仿宋" w:hAnsi="仿宋" w:eastAsia="仿宋"/>
          <w:sz w:val="32"/>
          <w:szCs w:val="32"/>
        </w:rPr>
      </w:pPr>
      <w:bookmarkStart w:id="46" w:name="_Toc15377222"/>
      <w:r>
        <w:rPr>
          <w:rFonts w:hint="eastAsia" w:ascii="仿宋" w:hAnsi="仿宋" w:eastAsia="仿宋"/>
          <w:b/>
          <w:sz w:val="32"/>
          <w:szCs w:val="32"/>
        </w:rPr>
        <w:t>（一）机关运行经费支出情况</w:t>
      </w:r>
      <w:bookmarkEnd w:id="46"/>
    </w:p>
    <w:p>
      <w:pPr>
        <w:spacing w:line="600" w:lineRule="exact"/>
        <w:ind w:firstLine="640" w:firstLineChars="200"/>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rPr>
        <w:t>2021年，</w:t>
      </w:r>
      <w:r>
        <w:rPr>
          <w:rFonts w:hint="eastAsia" w:ascii="宋体" w:hAnsi="宋体" w:eastAsia="宋体" w:cs="宋体"/>
          <w:b w:val="0"/>
          <w:bCs w:val="0"/>
          <w:sz w:val="32"/>
          <w:szCs w:val="32"/>
          <w:lang w:eastAsia="zh-CN"/>
        </w:rPr>
        <w:t>盐边县妇幼保健服务中心</w:t>
      </w:r>
      <w:r>
        <w:rPr>
          <w:rFonts w:hint="eastAsia" w:ascii="宋体" w:hAnsi="宋体" w:eastAsia="宋体" w:cs="宋体"/>
          <w:b w:val="0"/>
          <w:bCs w:val="0"/>
          <w:sz w:val="32"/>
          <w:szCs w:val="32"/>
        </w:rPr>
        <w:t>机关运行经费支出</w:t>
      </w:r>
      <w:r>
        <w:rPr>
          <w:rFonts w:hint="eastAsia" w:ascii="宋体" w:hAnsi="宋体" w:eastAsia="宋体" w:cs="宋体"/>
          <w:b w:val="0"/>
          <w:bCs w:val="0"/>
          <w:sz w:val="32"/>
          <w:szCs w:val="32"/>
          <w:lang w:val="en-US" w:eastAsia="zh-CN"/>
        </w:rPr>
        <w:t>0</w:t>
      </w:r>
      <w:r>
        <w:rPr>
          <w:rFonts w:hint="eastAsia" w:ascii="宋体" w:hAnsi="宋体" w:eastAsia="宋体" w:cs="宋体"/>
          <w:b w:val="0"/>
          <w:bCs w:val="0"/>
          <w:sz w:val="32"/>
          <w:szCs w:val="32"/>
        </w:rPr>
        <w:t>万元。</w:t>
      </w:r>
    </w:p>
    <w:p>
      <w:pPr>
        <w:autoSpaceDE w:val="0"/>
        <w:autoSpaceDN w:val="0"/>
        <w:adjustRightInd w:val="0"/>
        <w:spacing w:line="600" w:lineRule="exact"/>
        <w:ind w:firstLine="642" w:firstLineChars="200"/>
        <w:jc w:val="left"/>
        <w:outlineLvl w:val="2"/>
        <w:rPr>
          <w:rFonts w:ascii="仿宋" w:hAnsi="仿宋" w:eastAsia="仿宋"/>
          <w:b/>
          <w:sz w:val="32"/>
          <w:szCs w:val="32"/>
        </w:rPr>
      </w:pPr>
      <w:bookmarkStart w:id="47" w:name="_Toc15377223"/>
      <w:r>
        <w:rPr>
          <w:rFonts w:hint="eastAsia" w:ascii="仿宋" w:hAnsi="仿宋" w:eastAsia="仿宋"/>
          <w:b/>
          <w:sz w:val="32"/>
          <w:szCs w:val="32"/>
        </w:rPr>
        <w:t>（二）政府采购支出情况</w:t>
      </w:r>
      <w:bookmarkEnd w:id="47"/>
    </w:p>
    <w:p>
      <w:pPr>
        <w:spacing w:line="60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2021年，</w:t>
      </w:r>
      <w:r>
        <w:rPr>
          <w:rFonts w:hint="eastAsia" w:ascii="宋体" w:hAnsi="宋体" w:eastAsia="宋体" w:cs="宋体"/>
          <w:sz w:val="32"/>
          <w:szCs w:val="32"/>
          <w:lang w:eastAsia="zh-CN"/>
        </w:rPr>
        <w:t>盐边县妇幼保健服务中心</w:t>
      </w:r>
      <w:r>
        <w:rPr>
          <w:rFonts w:hint="eastAsia" w:ascii="宋体" w:hAnsi="宋体" w:eastAsia="宋体" w:cs="宋体"/>
          <w:sz w:val="32"/>
          <w:szCs w:val="32"/>
        </w:rPr>
        <w:t>政府采购支出总额</w:t>
      </w:r>
      <w:r>
        <w:rPr>
          <w:rFonts w:hint="eastAsia" w:ascii="宋体" w:hAnsi="宋体" w:eastAsia="宋体" w:cs="宋体"/>
          <w:sz w:val="32"/>
          <w:szCs w:val="32"/>
          <w:lang w:val="en-US" w:eastAsia="zh-CN"/>
        </w:rPr>
        <w:t>0</w:t>
      </w:r>
      <w:r>
        <w:rPr>
          <w:rFonts w:hint="eastAsia" w:ascii="宋体" w:hAnsi="宋体" w:eastAsia="宋体" w:cs="宋体"/>
          <w:sz w:val="32"/>
          <w:szCs w:val="32"/>
        </w:rPr>
        <w:t>万元，其中：政府采购货物支出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万元、政府采购工程支出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万元、政府采购服务支出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万元。授予中小企业合同金额</w:t>
      </w:r>
      <w:r>
        <w:rPr>
          <w:rFonts w:hint="eastAsia" w:ascii="宋体" w:hAnsi="宋体" w:eastAsia="宋体" w:cs="宋体"/>
          <w:sz w:val="32"/>
          <w:szCs w:val="32"/>
          <w:lang w:val="en-US" w:eastAsia="zh-CN"/>
        </w:rPr>
        <w:t>0</w:t>
      </w:r>
      <w:r>
        <w:rPr>
          <w:rFonts w:hint="eastAsia" w:ascii="宋体" w:hAnsi="宋体" w:eastAsia="宋体" w:cs="宋体"/>
          <w:sz w:val="32"/>
          <w:szCs w:val="32"/>
        </w:rPr>
        <w:t>万元，占政府采购支出总额的</w:t>
      </w:r>
      <w:r>
        <w:rPr>
          <w:rFonts w:hint="eastAsia" w:ascii="宋体" w:hAnsi="宋体" w:eastAsia="宋体" w:cs="宋体"/>
          <w:sz w:val="32"/>
          <w:szCs w:val="32"/>
          <w:lang w:val="en-US" w:eastAsia="zh-CN"/>
        </w:rPr>
        <w:t>0</w:t>
      </w:r>
      <w:r>
        <w:rPr>
          <w:rFonts w:hint="eastAsia" w:ascii="宋体" w:hAnsi="宋体" w:eastAsia="宋体" w:cs="宋体"/>
          <w:sz w:val="32"/>
          <w:szCs w:val="32"/>
        </w:rPr>
        <w:t>%，其中：授予小微企业合同金额</w:t>
      </w:r>
      <w:r>
        <w:rPr>
          <w:rFonts w:hint="eastAsia" w:ascii="宋体" w:hAnsi="宋体" w:eastAsia="宋体" w:cs="宋体"/>
          <w:sz w:val="32"/>
          <w:szCs w:val="32"/>
          <w:lang w:val="en-US" w:eastAsia="zh-CN"/>
        </w:rPr>
        <w:t>0</w:t>
      </w:r>
      <w:r>
        <w:rPr>
          <w:rFonts w:hint="eastAsia" w:ascii="宋体" w:hAnsi="宋体" w:eastAsia="宋体" w:cs="宋体"/>
          <w:sz w:val="32"/>
          <w:szCs w:val="32"/>
        </w:rPr>
        <w:t>万元，占政府采购支出总额的</w:t>
      </w:r>
      <w:r>
        <w:rPr>
          <w:rFonts w:hint="eastAsia" w:ascii="宋体" w:hAnsi="宋体" w:eastAsia="宋体" w:cs="宋体"/>
          <w:sz w:val="32"/>
          <w:szCs w:val="32"/>
          <w:lang w:val="en-US" w:eastAsia="zh-CN"/>
        </w:rPr>
        <w:t>0</w:t>
      </w:r>
      <w:r>
        <w:rPr>
          <w:rFonts w:hint="eastAsia" w:ascii="宋体" w:hAnsi="宋体" w:eastAsia="宋体" w:cs="宋体"/>
          <w:sz w:val="32"/>
          <w:szCs w:val="32"/>
        </w:rPr>
        <w:t>%。</w:t>
      </w:r>
    </w:p>
    <w:p>
      <w:pPr>
        <w:autoSpaceDE w:val="0"/>
        <w:autoSpaceDN w:val="0"/>
        <w:adjustRightInd w:val="0"/>
        <w:spacing w:line="600" w:lineRule="exact"/>
        <w:ind w:firstLine="642" w:firstLineChars="200"/>
        <w:jc w:val="left"/>
        <w:outlineLvl w:val="2"/>
        <w:rPr>
          <w:rFonts w:ascii="仿宋" w:hAnsi="仿宋" w:eastAsia="仿宋"/>
          <w:b/>
          <w:sz w:val="32"/>
          <w:szCs w:val="32"/>
        </w:rPr>
      </w:pPr>
      <w:bookmarkStart w:id="48" w:name="_Toc15377224"/>
      <w:r>
        <w:rPr>
          <w:rFonts w:hint="eastAsia" w:ascii="仿宋" w:hAnsi="仿宋" w:eastAsia="仿宋"/>
          <w:b/>
          <w:sz w:val="32"/>
          <w:szCs w:val="32"/>
        </w:rPr>
        <w:t>（三）国有资产占有使用情况</w:t>
      </w:r>
      <w:bookmarkEnd w:id="48"/>
    </w:p>
    <w:p>
      <w:pPr>
        <w:autoSpaceDE w:val="0"/>
        <w:autoSpaceDN w:val="0"/>
        <w:adjustRightInd w:val="0"/>
        <w:spacing w:line="600" w:lineRule="exact"/>
        <w:ind w:firstLine="640" w:firstLineChars="200"/>
        <w:jc w:val="left"/>
        <w:rPr>
          <w:rFonts w:hint="eastAsia" w:ascii="宋体" w:hAnsi="宋体" w:eastAsia="宋体" w:cs="宋体"/>
          <w:sz w:val="32"/>
          <w:szCs w:val="32"/>
        </w:rPr>
      </w:pPr>
      <w:r>
        <w:rPr>
          <w:rFonts w:hint="eastAsia" w:ascii="宋体" w:hAnsi="宋体" w:eastAsia="宋体" w:cs="宋体"/>
          <w:sz w:val="32"/>
          <w:szCs w:val="32"/>
        </w:rPr>
        <w:t>截至2021年12月31日，</w:t>
      </w:r>
      <w:r>
        <w:rPr>
          <w:rFonts w:hint="eastAsia" w:ascii="宋体" w:hAnsi="宋体" w:eastAsia="宋体" w:cs="宋体"/>
          <w:sz w:val="32"/>
          <w:szCs w:val="32"/>
          <w:lang w:eastAsia="zh-CN"/>
        </w:rPr>
        <w:t>盐边县妇幼保健服务中心</w:t>
      </w:r>
      <w:r>
        <w:rPr>
          <w:rFonts w:hint="eastAsia" w:ascii="宋体" w:hAnsi="宋体" w:eastAsia="宋体" w:cs="宋体"/>
          <w:sz w:val="32"/>
          <w:szCs w:val="32"/>
        </w:rPr>
        <w:t>共有车辆</w:t>
      </w:r>
      <w:r>
        <w:rPr>
          <w:rFonts w:hint="eastAsia" w:ascii="宋体" w:hAnsi="宋体" w:eastAsia="宋体" w:cs="宋体"/>
          <w:sz w:val="32"/>
          <w:szCs w:val="32"/>
          <w:lang w:val="en-US" w:eastAsia="zh-CN"/>
        </w:rPr>
        <w:t>1</w:t>
      </w:r>
      <w:r>
        <w:rPr>
          <w:rFonts w:hint="eastAsia" w:ascii="宋体" w:hAnsi="宋体" w:eastAsia="宋体" w:cs="宋体"/>
          <w:sz w:val="32"/>
          <w:szCs w:val="32"/>
        </w:rPr>
        <w:t>辆，其中：主要领导干部用车</w:t>
      </w:r>
      <w:r>
        <w:rPr>
          <w:rFonts w:hint="eastAsia" w:ascii="宋体" w:hAnsi="宋体" w:eastAsia="宋体" w:cs="宋体"/>
          <w:sz w:val="32"/>
          <w:szCs w:val="32"/>
          <w:lang w:val="en-US" w:eastAsia="zh-CN"/>
        </w:rPr>
        <w:t>0</w:t>
      </w:r>
      <w:r>
        <w:rPr>
          <w:rFonts w:hint="eastAsia" w:ascii="宋体" w:hAnsi="宋体" w:eastAsia="宋体" w:cs="宋体"/>
          <w:sz w:val="32"/>
          <w:szCs w:val="32"/>
        </w:rPr>
        <w:t>辆、机要通信用车</w:t>
      </w:r>
      <w:r>
        <w:rPr>
          <w:rFonts w:hint="eastAsia" w:ascii="宋体" w:hAnsi="宋体" w:eastAsia="宋体" w:cs="宋体"/>
          <w:sz w:val="32"/>
          <w:szCs w:val="32"/>
          <w:lang w:val="en-US" w:eastAsia="zh-CN"/>
        </w:rPr>
        <w:t>0</w:t>
      </w:r>
      <w:r>
        <w:rPr>
          <w:rFonts w:hint="eastAsia" w:ascii="宋体" w:hAnsi="宋体" w:eastAsia="宋体" w:cs="宋体"/>
          <w:sz w:val="32"/>
          <w:szCs w:val="32"/>
        </w:rPr>
        <w:t>辆、应急保障用车</w:t>
      </w:r>
      <w:r>
        <w:rPr>
          <w:rFonts w:hint="eastAsia" w:ascii="宋体" w:hAnsi="宋体" w:eastAsia="宋体" w:cs="宋体"/>
          <w:sz w:val="32"/>
          <w:szCs w:val="32"/>
          <w:lang w:val="en-US" w:eastAsia="zh-CN"/>
        </w:rPr>
        <w:t>0</w:t>
      </w:r>
      <w:r>
        <w:rPr>
          <w:rFonts w:hint="eastAsia" w:ascii="宋体" w:hAnsi="宋体" w:eastAsia="宋体" w:cs="宋体"/>
          <w:sz w:val="32"/>
          <w:szCs w:val="32"/>
        </w:rPr>
        <w:t>辆、其他用车</w:t>
      </w:r>
      <w:r>
        <w:rPr>
          <w:rFonts w:hint="eastAsia" w:ascii="宋体" w:hAnsi="宋体" w:eastAsia="宋体" w:cs="宋体"/>
          <w:sz w:val="32"/>
          <w:szCs w:val="32"/>
          <w:lang w:val="en-US" w:eastAsia="zh-CN"/>
        </w:rPr>
        <w:t>0</w:t>
      </w:r>
      <w:r>
        <w:rPr>
          <w:rFonts w:hint="eastAsia" w:ascii="宋体" w:hAnsi="宋体" w:eastAsia="宋体" w:cs="宋体"/>
          <w:sz w:val="32"/>
          <w:szCs w:val="32"/>
        </w:rPr>
        <w:t>辆</w:t>
      </w:r>
      <w:r>
        <w:rPr>
          <w:rFonts w:hint="eastAsia" w:ascii="宋体" w:hAnsi="宋体" w:eastAsia="宋体" w:cs="宋体"/>
          <w:sz w:val="32"/>
          <w:szCs w:val="32"/>
          <w:lang w:eastAsia="zh-CN"/>
        </w:rPr>
        <w:t>，特种专业技术用车</w:t>
      </w:r>
      <w:r>
        <w:rPr>
          <w:rFonts w:hint="eastAsia" w:ascii="宋体" w:hAnsi="宋体" w:eastAsia="宋体" w:cs="宋体"/>
          <w:sz w:val="32"/>
          <w:szCs w:val="32"/>
          <w:lang w:val="en-US" w:eastAsia="zh-CN"/>
        </w:rPr>
        <w:t>1辆</w:t>
      </w:r>
      <w:r>
        <w:rPr>
          <w:rFonts w:hint="eastAsia" w:ascii="宋体" w:hAnsi="宋体" w:cs="宋体"/>
          <w:sz w:val="32"/>
          <w:szCs w:val="32"/>
          <w:lang w:val="en-US" w:eastAsia="zh-CN"/>
        </w:rPr>
        <w:t>、</w:t>
      </w:r>
      <w:r>
        <w:rPr>
          <w:rFonts w:hint="eastAsia" w:ascii="宋体" w:hAnsi="宋体" w:eastAsia="宋体" w:cs="宋体"/>
          <w:sz w:val="32"/>
          <w:szCs w:val="32"/>
        </w:rPr>
        <w:t>其他用车</w:t>
      </w:r>
      <w:r>
        <w:rPr>
          <w:rFonts w:hint="eastAsia" w:ascii="宋体" w:hAnsi="宋体" w:cs="宋体"/>
          <w:sz w:val="32"/>
          <w:szCs w:val="32"/>
          <w:lang w:eastAsia="zh-CN"/>
        </w:rPr>
        <w:t>，</w:t>
      </w:r>
      <w:r>
        <w:rPr>
          <w:rFonts w:hint="eastAsia" w:ascii="宋体" w:hAnsi="宋体" w:eastAsia="宋体" w:cs="宋体"/>
          <w:sz w:val="32"/>
          <w:szCs w:val="32"/>
        </w:rPr>
        <w:t>单价50万元以上通用设备</w:t>
      </w:r>
      <w:r>
        <w:rPr>
          <w:rFonts w:hint="eastAsia" w:ascii="宋体" w:hAnsi="宋体" w:eastAsia="宋体" w:cs="宋体"/>
          <w:sz w:val="32"/>
          <w:szCs w:val="32"/>
          <w:lang w:val="en-US" w:eastAsia="zh-CN"/>
        </w:rPr>
        <w:t>0</w:t>
      </w:r>
      <w:r>
        <w:rPr>
          <w:rFonts w:hint="eastAsia" w:ascii="宋体" w:hAnsi="宋体" w:eastAsia="宋体" w:cs="宋体"/>
          <w:sz w:val="32"/>
          <w:szCs w:val="32"/>
        </w:rPr>
        <w:t>台（套），单价100万元以上专用设备</w:t>
      </w:r>
      <w:r>
        <w:rPr>
          <w:rFonts w:hint="eastAsia" w:ascii="宋体" w:hAnsi="宋体" w:eastAsia="宋体" w:cs="宋体"/>
          <w:sz w:val="32"/>
          <w:szCs w:val="32"/>
          <w:lang w:val="en-US" w:eastAsia="zh-CN"/>
        </w:rPr>
        <w:t>0</w:t>
      </w:r>
      <w:r>
        <w:rPr>
          <w:rFonts w:hint="eastAsia" w:ascii="宋体" w:hAnsi="宋体" w:eastAsia="宋体" w:cs="宋体"/>
          <w:sz w:val="32"/>
          <w:szCs w:val="32"/>
        </w:rPr>
        <w:t>台（套）。</w:t>
      </w:r>
    </w:p>
    <w:p>
      <w:pPr>
        <w:autoSpaceDE w:val="0"/>
        <w:autoSpaceDN w:val="0"/>
        <w:adjustRightInd w:val="0"/>
        <w:spacing w:line="600" w:lineRule="exact"/>
        <w:ind w:firstLine="642"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根据预算绩效管理要求，本单位在2021年度预算编制阶段，组织对项目（</w:t>
      </w:r>
      <w:r>
        <w:rPr>
          <w:rFonts w:hint="eastAsia" w:ascii="仿宋_GB2312" w:hAnsi="仿宋_GB2312" w:eastAsia="仿宋_GB2312" w:cs="仿宋_GB2312"/>
          <w:sz w:val="32"/>
          <w:szCs w:val="32"/>
          <w:lang w:eastAsia="zh-CN"/>
        </w:rPr>
        <w:t>妇幼卫生综合、婚检、孕前优生优育、两癌、重大传染病、医疗事业收入</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个项目开展了预算事前绩效评估，对</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个项目编制了绩效目标，预算执行过程中，选取</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个项目开展绩效监控，年终执行完毕后，对</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个项目开展了绩效自评，2021年特定目标类部门预算项目绩效目标自评表见附件（第四部分）。</w:t>
      </w:r>
    </w:p>
    <w:p>
      <w:pPr>
        <w:widowControl/>
        <w:jc w:val="left"/>
        <w:rPr>
          <w:rFonts w:ascii="仿宋_GB2312" w:eastAsia="仿宋_GB2312"/>
          <w:b/>
          <w:sz w:val="32"/>
          <w:szCs w:val="32"/>
        </w:rPr>
      </w:pPr>
      <w:r>
        <w:rPr>
          <w:rFonts w:ascii="仿宋_GB2312" w:eastAsia="仿宋_GB2312"/>
          <w:b/>
          <w:sz w:val="32"/>
          <w:szCs w:val="32"/>
        </w:rPr>
        <w:br w:type="page"/>
      </w:r>
    </w:p>
    <w:p>
      <w:pPr>
        <w:numPr>
          <w:ilvl w:val="0"/>
          <w:numId w:val="5"/>
        </w:numPr>
        <w:spacing w:line="600" w:lineRule="exact"/>
        <w:ind w:firstLine="660" w:firstLineChars="150"/>
        <w:jc w:val="center"/>
        <w:outlineLvl w:val="0"/>
        <w:rPr>
          <w:rStyle w:val="25"/>
          <w:rFonts w:ascii="黑体" w:hAnsi="黑体" w:eastAsia="黑体"/>
          <w:b w:val="0"/>
        </w:rPr>
      </w:pPr>
      <w:bookmarkStart w:id="49" w:name="_Toc15396613"/>
      <w:bookmarkStart w:id="50" w:name="_Toc15377225"/>
      <w:r>
        <w:rPr>
          <w:rFonts w:hint="eastAsia" w:ascii="黑体" w:hAnsi="黑体" w:eastAsia="黑体"/>
          <w:sz w:val="44"/>
          <w:szCs w:val="44"/>
        </w:rPr>
        <w:t>名</w:t>
      </w:r>
      <w:r>
        <w:rPr>
          <w:rStyle w:val="25"/>
          <w:rFonts w:hint="eastAsia" w:ascii="黑体" w:hAnsi="黑体" w:eastAsia="黑体"/>
          <w:b w:val="0"/>
        </w:rPr>
        <w:t>词解释</w:t>
      </w:r>
      <w:bookmarkEnd w:id="49"/>
      <w:bookmarkEnd w:id="50"/>
    </w:p>
    <w:p>
      <w:pPr>
        <w:spacing w:line="600" w:lineRule="exact"/>
        <w:jc w:val="left"/>
        <w:rPr>
          <w:rFonts w:ascii="宋体"/>
          <w:b/>
          <w:sz w:val="44"/>
          <w:szCs w:val="44"/>
        </w:rPr>
      </w:pPr>
    </w:p>
    <w:p>
      <w:pPr>
        <w:pStyle w:val="23"/>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1.财政拨款收入：指单位从同级财政部门取得的财政预算资金。</w:t>
      </w:r>
    </w:p>
    <w:p>
      <w:pPr>
        <w:pStyle w:val="23"/>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2.事业收入：指事业单位开展专业业务活动及辅助活动取得的收入。</w:t>
      </w:r>
    </w:p>
    <w:p>
      <w:pPr>
        <w:pStyle w:val="23"/>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.年初结转和结余：指以前年度尚未完成、结转到本年按有关规定继续使用的资金。</w:t>
      </w:r>
    </w:p>
    <w:p>
      <w:pPr>
        <w:spacing w:line="560" w:lineRule="exact"/>
        <w:ind w:firstLine="640" w:firstLineChars="200"/>
        <w:rPr>
          <w:rFonts w:hint="eastAsia" w:ascii="仿宋" w:hAnsi="仿宋" w:eastAsia="仿宋" w:cs="仿宋"/>
          <w:b w:val="0"/>
          <w:bCs/>
          <w:sz w:val="32"/>
          <w:szCs w:val="32"/>
          <w:lang w:eastAsia="zh-CN"/>
        </w:rPr>
      </w:pPr>
      <w:r>
        <w:rPr>
          <w:rFonts w:hint="eastAsia" w:ascii="仿宋" w:hAnsi="仿宋" w:eastAsia="仿宋" w:cs="仿宋"/>
          <w:b w:val="0"/>
          <w:bCs/>
          <w:sz w:val="32"/>
          <w:szCs w:val="32"/>
          <w:lang w:val="en-US" w:eastAsia="zh-CN"/>
        </w:rPr>
        <w:t>4</w:t>
      </w:r>
      <w:r>
        <w:rPr>
          <w:rFonts w:hint="eastAsia" w:ascii="仿宋" w:hAnsi="仿宋" w:eastAsia="仿宋" w:cs="仿宋"/>
          <w:b w:val="0"/>
          <w:bCs/>
          <w:sz w:val="32"/>
          <w:szCs w:val="32"/>
        </w:rPr>
        <w:t>.社会保障和就业</w:t>
      </w:r>
      <w:r>
        <w:rPr>
          <w:rFonts w:hint="eastAsia" w:ascii="仿宋" w:hAnsi="仿宋" w:eastAsia="仿宋" w:cs="仿宋"/>
          <w:b w:val="0"/>
          <w:bCs/>
          <w:sz w:val="32"/>
          <w:szCs w:val="32"/>
          <w:lang w:val="en-US" w:eastAsia="zh-CN"/>
        </w:rPr>
        <w:t>2080505机关事业单位养老保险缴费支出，</w:t>
      </w:r>
      <w:r>
        <w:rPr>
          <w:rFonts w:hint="eastAsia" w:ascii="仿宋" w:hAnsi="仿宋" w:eastAsia="仿宋" w:cs="仿宋"/>
          <w:b w:val="0"/>
          <w:bCs/>
          <w:sz w:val="32"/>
          <w:szCs w:val="32"/>
        </w:rPr>
        <w:t>指</w:t>
      </w:r>
      <w:r>
        <w:rPr>
          <w:rFonts w:hint="eastAsia" w:ascii="仿宋" w:hAnsi="仿宋" w:eastAsia="仿宋" w:cs="仿宋"/>
          <w:b w:val="0"/>
          <w:bCs/>
          <w:sz w:val="32"/>
          <w:szCs w:val="32"/>
          <w:lang w:eastAsia="zh-CN"/>
        </w:rPr>
        <w:t>单位正式人员单位部分的机关养老保险缴费支出。</w:t>
      </w:r>
    </w:p>
    <w:p>
      <w:pPr>
        <w:spacing w:line="560" w:lineRule="exact"/>
        <w:ind w:firstLine="640" w:firstLineChars="200"/>
        <w:rPr>
          <w:rFonts w:hint="eastAsia" w:ascii="仿宋" w:hAnsi="仿宋" w:eastAsia="仿宋" w:cs="仿宋"/>
          <w:b w:val="0"/>
          <w:bCs/>
          <w:sz w:val="32"/>
          <w:szCs w:val="32"/>
        </w:rPr>
      </w:pPr>
      <w:r>
        <w:rPr>
          <w:rFonts w:hint="eastAsia" w:ascii="仿宋" w:hAnsi="仿宋" w:eastAsia="仿宋" w:cs="仿宋"/>
          <w:b w:val="0"/>
          <w:bCs/>
          <w:sz w:val="32"/>
          <w:szCs w:val="32"/>
          <w:lang w:val="en-US" w:eastAsia="zh-CN"/>
        </w:rPr>
        <w:t>5</w:t>
      </w:r>
      <w:r>
        <w:rPr>
          <w:rFonts w:hint="eastAsia" w:ascii="仿宋" w:hAnsi="仿宋" w:eastAsia="仿宋" w:cs="仿宋"/>
          <w:b w:val="0"/>
          <w:bCs/>
          <w:sz w:val="32"/>
          <w:szCs w:val="32"/>
        </w:rPr>
        <w:t>.</w:t>
      </w:r>
      <w:r>
        <w:rPr>
          <w:rFonts w:hint="eastAsia" w:ascii="仿宋" w:hAnsi="仿宋" w:eastAsia="仿宋" w:cs="仿宋"/>
          <w:b w:val="0"/>
          <w:bCs/>
          <w:sz w:val="32"/>
          <w:szCs w:val="32"/>
          <w:lang w:eastAsia="zh-CN"/>
        </w:rPr>
        <w:t>公共卫生</w:t>
      </w:r>
      <w:r>
        <w:rPr>
          <w:rFonts w:hint="eastAsia" w:ascii="仿宋" w:hAnsi="仿宋" w:eastAsia="仿宋" w:cs="仿宋"/>
          <w:b w:val="0"/>
          <w:bCs/>
          <w:sz w:val="32"/>
          <w:szCs w:val="32"/>
          <w:lang w:val="en-US" w:eastAsia="zh-CN"/>
        </w:rPr>
        <w:t>2100403妇幼保健机构</w:t>
      </w:r>
      <w:r>
        <w:rPr>
          <w:rFonts w:hint="eastAsia" w:ascii="仿宋" w:hAnsi="仿宋" w:eastAsia="仿宋" w:cs="仿宋"/>
          <w:b w:val="0"/>
          <w:bCs/>
          <w:sz w:val="32"/>
          <w:szCs w:val="32"/>
        </w:rPr>
        <w:t>：</w:t>
      </w:r>
      <w:r>
        <w:rPr>
          <w:rFonts w:hint="eastAsia" w:ascii="仿宋" w:hAnsi="仿宋" w:eastAsia="仿宋" w:cs="仿宋"/>
          <w:b w:val="0"/>
          <w:bCs/>
          <w:sz w:val="32"/>
          <w:szCs w:val="32"/>
          <w:lang w:eastAsia="zh-CN"/>
        </w:rPr>
        <w:t>工资、社保、单位的公用经费</w:t>
      </w:r>
      <w:r>
        <w:rPr>
          <w:rFonts w:hint="eastAsia" w:ascii="仿宋" w:hAnsi="仿宋" w:eastAsia="仿宋" w:cs="仿宋"/>
          <w:b w:val="0"/>
          <w:bCs/>
          <w:sz w:val="32"/>
          <w:szCs w:val="32"/>
        </w:rPr>
        <w:t>。</w:t>
      </w:r>
    </w:p>
    <w:p>
      <w:pPr>
        <w:spacing w:line="560" w:lineRule="exact"/>
        <w:ind w:firstLine="640" w:firstLineChars="200"/>
        <w:rPr>
          <w:rFonts w:hint="eastAsia" w:ascii="仿宋" w:hAnsi="仿宋" w:eastAsia="仿宋" w:cs="仿宋"/>
          <w:b w:val="0"/>
          <w:bCs/>
          <w:sz w:val="32"/>
          <w:szCs w:val="32"/>
          <w:lang w:eastAsia="zh-CN"/>
        </w:rPr>
      </w:pPr>
      <w:r>
        <w:rPr>
          <w:rFonts w:hint="eastAsia" w:ascii="仿宋" w:hAnsi="仿宋" w:eastAsia="仿宋" w:cs="仿宋"/>
          <w:b w:val="0"/>
          <w:bCs/>
          <w:sz w:val="32"/>
          <w:szCs w:val="32"/>
          <w:lang w:val="en-US" w:eastAsia="zh-CN"/>
        </w:rPr>
        <w:t>6.</w:t>
      </w:r>
      <w:r>
        <w:rPr>
          <w:rFonts w:hint="eastAsia" w:ascii="仿宋" w:hAnsi="仿宋" w:eastAsia="仿宋" w:cs="仿宋"/>
          <w:b w:val="0"/>
          <w:bCs/>
          <w:sz w:val="32"/>
          <w:szCs w:val="32"/>
          <w:lang w:eastAsia="zh-CN"/>
        </w:rPr>
        <w:t>公共卫生</w:t>
      </w:r>
      <w:r>
        <w:rPr>
          <w:rFonts w:hint="eastAsia" w:ascii="仿宋" w:hAnsi="仿宋" w:eastAsia="仿宋" w:cs="仿宋"/>
          <w:b w:val="0"/>
          <w:bCs/>
          <w:sz w:val="32"/>
          <w:szCs w:val="32"/>
          <w:lang w:val="en-US" w:eastAsia="zh-CN"/>
        </w:rPr>
        <w:t>2100409重大公共卫生：</w:t>
      </w:r>
      <w:r>
        <w:rPr>
          <w:rFonts w:hint="eastAsia" w:ascii="仿宋" w:hAnsi="仿宋" w:eastAsia="仿宋" w:cs="仿宋"/>
          <w:b w:val="0"/>
          <w:bCs/>
          <w:sz w:val="32"/>
          <w:szCs w:val="32"/>
        </w:rPr>
        <w:t>指</w:t>
      </w:r>
      <w:r>
        <w:rPr>
          <w:rFonts w:hint="eastAsia" w:ascii="仿宋" w:hAnsi="仿宋" w:eastAsia="仿宋" w:cs="仿宋"/>
          <w:b w:val="0"/>
          <w:bCs/>
          <w:sz w:val="32"/>
          <w:szCs w:val="32"/>
          <w:lang w:eastAsia="zh-CN"/>
        </w:rPr>
        <w:t>艾滋病、乙肝、梅毒的项目经费用于购买项目试剂、耗材，还有做宣传册</w:t>
      </w:r>
    </w:p>
    <w:p>
      <w:pPr>
        <w:spacing w:line="560" w:lineRule="exact"/>
        <w:ind w:firstLine="640" w:firstLineChars="200"/>
        <w:rPr>
          <w:rFonts w:hint="eastAsia" w:ascii="仿宋" w:hAnsi="仿宋" w:eastAsia="仿宋" w:cs="仿宋"/>
          <w:b w:val="0"/>
          <w:bCs/>
          <w:sz w:val="32"/>
          <w:szCs w:val="32"/>
        </w:rPr>
      </w:pPr>
      <w:r>
        <w:rPr>
          <w:rFonts w:hint="eastAsia" w:ascii="仿宋" w:hAnsi="仿宋" w:eastAsia="仿宋" w:cs="仿宋"/>
          <w:b w:val="0"/>
          <w:bCs/>
          <w:sz w:val="32"/>
          <w:szCs w:val="32"/>
          <w:lang w:val="en-US" w:eastAsia="zh-CN"/>
        </w:rPr>
        <w:t>7.其他卫生健康支出2109901其他卫生健康支出：婚前医学检查经费、孕前优生优育检查经费主要用于试剂的购买、化验室设备的维修等</w:t>
      </w:r>
    </w:p>
    <w:p>
      <w:pPr>
        <w:spacing w:line="560" w:lineRule="exact"/>
        <w:ind w:firstLine="640" w:firstLineChars="200"/>
        <w:rPr>
          <w:rFonts w:hint="eastAsia" w:ascii="仿宋" w:hAnsi="仿宋" w:eastAsia="仿宋" w:cs="仿宋"/>
          <w:b w:val="0"/>
          <w:bCs/>
          <w:sz w:val="32"/>
          <w:szCs w:val="32"/>
        </w:rPr>
      </w:pPr>
      <w:r>
        <w:rPr>
          <w:rFonts w:hint="eastAsia" w:ascii="仿宋" w:hAnsi="仿宋" w:eastAsia="仿宋" w:cs="仿宋"/>
          <w:b w:val="0"/>
          <w:bCs/>
          <w:sz w:val="32"/>
          <w:szCs w:val="32"/>
          <w:lang w:val="en-US" w:eastAsia="zh-CN"/>
        </w:rPr>
        <w:t>8</w:t>
      </w:r>
      <w:r>
        <w:rPr>
          <w:rFonts w:hint="eastAsia" w:ascii="仿宋" w:hAnsi="仿宋" w:eastAsia="仿宋" w:cs="仿宋"/>
          <w:b w:val="0"/>
          <w:bCs/>
          <w:sz w:val="32"/>
          <w:szCs w:val="32"/>
        </w:rPr>
        <w:t>.住房保障</w:t>
      </w:r>
      <w:r>
        <w:rPr>
          <w:rFonts w:hint="eastAsia" w:ascii="仿宋" w:hAnsi="仿宋" w:eastAsia="仿宋" w:cs="仿宋"/>
          <w:b w:val="0"/>
          <w:bCs/>
          <w:sz w:val="32"/>
          <w:szCs w:val="32"/>
          <w:lang w:val="en-US" w:eastAsia="zh-CN"/>
        </w:rPr>
        <w:t>2210201住房公积金</w:t>
      </w:r>
      <w:r>
        <w:rPr>
          <w:rFonts w:hint="eastAsia" w:ascii="仿宋" w:hAnsi="仿宋" w:eastAsia="仿宋" w:cs="仿宋"/>
          <w:b w:val="0"/>
          <w:bCs/>
          <w:sz w:val="32"/>
          <w:szCs w:val="32"/>
        </w:rPr>
        <w:t>：指</w:t>
      </w:r>
      <w:r>
        <w:rPr>
          <w:rFonts w:hint="eastAsia" w:ascii="仿宋" w:hAnsi="仿宋" w:eastAsia="仿宋" w:cs="仿宋"/>
          <w:b w:val="0"/>
          <w:bCs/>
          <w:sz w:val="32"/>
          <w:szCs w:val="32"/>
          <w:lang w:eastAsia="zh-CN"/>
        </w:rPr>
        <w:t>单位正式人员单位部分的公积金支出</w:t>
      </w:r>
      <w:r>
        <w:rPr>
          <w:rFonts w:hint="eastAsia" w:ascii="仿宋" w:hAnsi="仿宋" w:eastAsia="仿宋" w:cs="仿宋"/>
          <w:b w:val="0"/>
          <w:bCs/>
          <w:sz w:val="32"/>
          <w:szCs w:val="32"/>
        </w:rPr>
        <w:t>。</w:t>
      </w:r>
    </w:p>
    <w:p>
      <w:pPr>
        <w:spacing w:line="560" w:lineRule="exact"/>
        <w:ind w:firstLine="640" w:firstLineChars="200"/>
        <w:rPr>
          <w:rFonts w:hint="eastAsia" w:ascii="仿宋" w:hAnsi="仿宋" w:eastAsia="仿宋" w:cs="仿宋"/>
          <w:b w:val="0"/>
          <w:bCs/>
          <w:sz w:val="32"/>
          <w:szCs w:val="32"/>
        </w:rPr>
      </w:pPr>
      <w:r>
        <w:rPr>
          <w:rFonts w:hint="eastAsia" w:ascii="仿宋" w:hAnsi="仿宋" w:eastAsia="仿宋" w:cs="仿宋"/>
          <w:b w:val="0"/>
          <w:bCs/>
          <w:sz w:val="32"/>
          <w:szCs w:val="32"/>
          <w:lang w:val="en-US" w:eastAsia="zh-CN"/>
        </w:rPr>
        <w:t>9</w:t>
      </w:r>
      <w:r>
        <w:rPr>
          <w:rFonts w:hint="eastAsia" w:ascii="仿宋" w:hAnsi="仿宋" w:eastAsia="仿宋" w:cs="仿宋"/>
          <w:b w:val="0"/>
          <w:bCs/>
          <w:sz w:val="32"/>
          <w:szCs w:val="32"/>
        </w:rPr>
        <w:t>.基本支出：指为保障机构正常运转、完成日常工作任务而发生的人员支出和公用支出。</w:t>
      </w:r>
    </w:p>
    <w:p>
      <w:pPr>
        <w:spacing w:line="560" w:lineRule="exact"/>
        <w:ind w:firstLine="640" w:firstLineChars="200"/>
        <w:rPr>
          <w:rFonts w:eastAsia="仿宋_GB2312"/>
          <w:sz w:val="32"/>
          <w:szCs w:val="32"/>
        </w:rPr>
      </w:pPr>
      <w:r>
        <w:rPr>
          <w:rFonts w:hint="eastAsia" w:ascii="仿宋" w:hAnsi="仿宋" w:eastAsia="仿宋" w:cs="仿宋"/>
          <w:b w:val="0"/>
          <w:bCs/>
          <w:sz w:val="32"/>
          <w:szCs w:val="32"/>
          <w:lang w:val="en-US" w:eastAsia="zh-CN"/>
        </w:rPr>
        <w:t>10</w:t>
      </w:r>
      <w:r>
        <w:rPr>
          <w:rFonts w:hint="eastAsia" w:ascii="仿宋" w:hAnsi="仿宋" w:eastAsia="仿宋" w:cs="仿宋"/>
          <w:b w:val="0"/>
          <w:bCs/>
          <w:sz w:val="32"/>
          <w:szCs w:val="32"/>
        </w:rPr>
        <w:t>.项目支出：指在基本支出之外为</w:t>
      </w:r>
      <w:r>
        <w:rPr>
          <w:rFonts w:hint="eastAsia" w:ascii="仿宋" w:hAnsi="仿宋" w:eastAsia="仿宋" w:cs="仿宋"/>
          <w:sz w:val="32"/>
          <w:szCs w:val="32"/>
          <w:lang w:eastAsia="zh-CN"/>
        </w:rPr>
        <w:t>项目支出的费用</w:t>
      </w:r>
      <w:r>
        <w:rPr>
          <w:rFonts w:hint="eastAsia" w:ascii="仿宋" w:hAnsi="仿宋" w:eastAsia="仿宋" w:cs="仿宋"/>
          <w:sz w:val="32"/>
          <w:szCs w:val="32"/>
        </w:rPr>
        <w:t>和事业发展目标所发生的支出。</w:t>
      </w:r>
      <w:r>
        <w:rPr>
          <w:rFonts w:eastAsia="仿宋_GB2312"/>
          <w:sz w:val="32"/>
          <w:szCs w:val="32"/>
        </w:rPr>
        <w:t xml:space="preserve"> </w:t>
      </w:r>
    </w:p>
    <w:p>
      <w:pPr>
        <w:spacing w:line="560" w:lineRule="exact"/>
        <w:ind w:firstLine="640" w:firstLineChars="200"/>
        <w:rPr>
          <w:rFonts w:eastAsia="仿宋_GB2312"/>
          <w:sz w:val="32"/>
          <w:szCs w:val="32"/>
        </w:rPr>
      </w:pPr>
      <w:r>
        <w:rPr>
          <w:rFonts w:hint="eastAsia" w:eastAsia="仿宋_GB2312"/>
          <w:b w:val="0"/>
          <w:bCs/>
          <w:sz w:val="32"/>
          <w:szCs w:val="32"/>
          <w:lang w:val="en-US" w:eastAsia="zh-CN"/>
        </w:rPr>
        <w:t>11</w:t>
      </w:r>
      <w:r>
        <w:rPr>
          <w:rFonts w:eastAsia="仿宋_GB2312"/>
          <w:b w:val="0"/>
          <w:bCs/>
          <w:sz w:val="32"/>
          <w:szCs w:val="32"/>
        </w:rPr>
        <w:t>.“三公”经费：</w:t>
      </w:r>
      <w:r>
        <w:rPr>
          <w:rFonts w:eastAsia="仿宋_GB2312"/>
          <w:sz w:val="32"/>
          <w:szCs w:val="32"/>
        </w:rPr>
        <w:t>指部门用财政拨款安排的因公出国（境）费、公务用车购置及运行费和公务接待费。</w:t>
      </w:r>
    </w:p>
    <w:p>
      <w:pPr>
        <w:spacing w:line="600" w:lineRule="exact"/>
        <w:jc w:val="center"/>
        <w:outlineLvl w:val="0"/>
        <w:rPr>
          <w:rFonts w:hint="eastAsia" w:ascii="黑体" w:hAnsi="黑体" w:eastAsia="黑体"/>
          <w:sz w:val="44"/>
          <w:szCs w:val="44"/>
        </w:rPr>
      </w:pPr>
      <w:bookmarkStart w:id="51" w:name="_Toc15396614"/>
      <w:bookmarkStart w:id="52" w:name="_Toc15377226"/>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ind w:firstLine="1760" w:firstLineChars="400"/>
        <w:jc w:val="both"/>
        <w:outlineLvl w:val="0"/>
        <w:rPr>
          <w:rStyle w:val="25"/>
          <w:rFonts w:ascii="黑体" w:hAnsi="黑体" w:eastAsia="黑体"/>
          <w:b w:val="0"/>
        </w:rPr>
      </w:pPr>
      <w:r>
        <w:rPr>
          <w:rFonts w:hint="eastAsia" w:ascii="黑体" w:hAnsi="黑体" w:eastAsia="黑体"/>
          <w:sz w:val="44"/>
          <w:szCs w:val="44"/>
        </w:rPr>
        <w:t>第</w:t>
      </w:r>
      <w:r>
        <w:rPr>
          <w:rStyle w:val="25"/>
          <w:rFonts w:hint="eastAsia" w:ascii="黑体" w:hAnsi="黑体" w:eastAsia="黑体"/>
          <w:b w:val="0"/>
        </w:rPr>
        <w:t>四部分 附件</w:t>
      </w:r>
      <w:bookmarkEnd w:id="51"/>
    </w:p>
    <w:p>
      <w:pPr>
        <w:spacing w:line="572" w:lineRule="exact"/>
        <w:jc w:val="left"/>
        <w:outlineLvl w:val="0"/>
        <w:rPr>
          <w:rFonts w:hint="eastAsia" w:ascii="黑体" w:hAnsi="黑体" w:eastAsia="黑体" w:cs="黑体"/>
          <w:sz w:val="32"/>
          <w:szCs w:val="32"/>
        </w:rPr>
      </w:pPr>
      <w:r>
        <w:rPr>
          <w:rFonts w:hint="eastAsia" w:ascii="黑体" w:hAnsi="黑体" w:eastAsia="黑体" w:cs="黑体"/>
          <w:sz w:val="32"/>
          <w:szCs w:val="32"/>
        </w:rPr>
        <w:t>附件</w:t>
      </w:r>
    </w:p>
    <w:p>
      <w:pPr>
        <w:pStyle w:val="2"/>
        <w:rPr>
          <w:rFonts w:hint="eastAsia" w:ascii="黑体" w:hAnsi="黑体" w:eastAsia="黑体" w:cs="黑体"/>
          <w:sz w:val="32"/>
          <w:szCs w:val="32"/>
        </w:rPr>
      </w:pPr>
    </w:p>
    <w:p>
      <w:pPr>
        <w:jc w:val="center"/>
        <w:rPr>
          <w:rFonts w:hint="eastAsia" w:ascii="宋体" w:hAnsi="宋体" w:eastAsia="宋体" w:cs="宋体"/>
          <w:b/>
          <w:bCs/>
          <w:sz w:val="52"/>
          <w:szCs w:val="52"/>
        </w:rPr>
      </w:pPr>
      <w:r>
        <w:rPr>
          <w:rFonts w:hint="eastAsia" w:ascii="宋体" w:hAnsi="宋体" w:eastAsia="宋体" w:cs="宋体"/>
          <w:b/>
          <w:bCs/>
          <w:sz w:val="52"/>
          <w:szCs w:val="52"/>
          <w:lang w:eastAsia="zh-CN"/>
        </w:rPr>
        <w:t>盐边县妇幼保健服务中心</w:t>
      </w:r>
    </w:p>
    <w:p>
      <w:pPr>
        <w:pStyle w:val="7"/>
        <w:spacing w:line="600" w:lineRule="exact"/>
        <w:jc w:val="center"/>
        <w:rPr>
          <w:rFonts w:hint="eastAsia" w:ascii="宋体" w:hAnsi="宋体" w:eastAsia="宋体" w:cs="宋体"/>
          <w:b/>
          <w:bCs/>
          <w:sz w:val="52"/>
          <w:szCs w:val="52"/>
        </w:rPr>
      </w:pPr>
      <w:r>
        <w:rPr>
          <w:rFonts w:hint="eastAsia" w:ascii="宋体" w:hAnsi="宋体" w:eastAsia="宋体" w:cs="宋体"/>
          <w:b/>
          <w:bCs/>
          <w:sz w:val="52"/>
          <w:szCs w:val="52"/>
        </w:rPr>
        <w:t>部门预算整体绩效自评报告</w:t>
      </w:r>
    </w:p>
    <w:p>
      <w:pPr>
        <w:pStyle w:val="7"/>
        <w:spacing w:line="600" w:lineRule="exact"/>
        <w:ind w:firstLine="640" w:firstLineChars="200"/>
        <w:jc w:val="left"/>
        <w:rPr>
          <w:rFonts w:ascii="Times New Roman" w:hAnsi="Times New Roman" w:eastAsia="仿宋_GB2312"/>
          <w:sz w:val="32"/>
          <w:szCs w:val="32"/>
        </w:rPr>
      </w:pPr>
    </w:p>
    <w:p>
      <w:pPr>
        <w:widowControl/>
        <w:numPr>
          <w:ilvl w:val="0"/>
          <w:numId w:val="0"/>
        </w:numPr>
        <w:adjustRightInd w:val="0"/>
        <w:snapToGrid w:val="0"/>
        <w:spacing w:line="580" w:lineRule="exact"/>
        <w:contextualSpacing/>
        <w:jc w:val="left"/>
        <w:rPr>
          <w:rFonts w:ascii="Times New Roman" w:hAnsi="Times New Roman" w:eastAsia="黑体"/>
          <w:sz w:val="32"/>
          <w:szCs w:val="32"/>
        </w:rPr>
      </w:pPr>
      <w:r>
        <w:rPr>
          <w:rFonts w:hint="eastAsia" w:ascii="Times New Roman" w:hAnsi="Times New Roman" w:eastAsia="黑体"/>
          <w:sz w:val="32"/>
          <w:szCs w:val="32"/>
          <w:lang w:eastAsia="zh-CN"/>
        </w:rPr>
        <w:t>一、</w:t>
      </w:r>
      <w:r>
        <w:rPr>
          <w:rFonts w:ascii="Times New Roman" w:hAnsi="Times New Roman" w:eastAsia="黑体"/>
          <w:sz w:val="32"/>
          <w:szCs w:val="32"/>
        </w:rPr>
        <w:t>部门概况</w:t>
      </w:r>
    </w:p>
    <w:p>
      <w:pPr>
        <w:widowControl/>
        <w:numPr>
          <w:ilvl w:val="0"/>
          <w:numId w:val="0"/>
        </w:numPr>
        <w:adjustRightInd w:val="0"/>
        <w:snapToGrid w:val="0"/>
        <w:spacing w:line="580" w:lineRule="exact"/>
        <w:ind w:firstLine="0" w:firstLineChars="0"/>
        <w:contextualSpacing/>
        <w:jc w:val="left"/>
        <w:rPr>
          <w:rFonts w:hint="eastAsia" w:ascii="宋体" w:hAnsi="宋体" w:eastAsia="宋体" w:cs="宋体"/>
          <w:b/>
          <w:bCs/>
          <w:sz w:val="32"/>
          <w:szCs w:val="32"/>
          <w:lang w:eastAsia="zh-CN"/>
        </w:rPr>
      </w:pPr>
      <w:r>
        <w:rPr>
          <w:rFonts w:hint="eastAsia" w:ascii="Times New Roman" w:hAnsi="Times New Roman" w:eastAsia="仿宋_GB2312"/>
          <w:b/>
          <w:bCs/>
          <w:sz w:val="28"/>
          <w:szCs w:val="28"/>
          <w:lang w:eastAsia="zh-CN"/>
        </w:rPr>
        <w:t>（</w:t>
      </w:r>
      <w:r>
        <w:rPr>
          <w:rFonts w:hint="eastAsia" w:ascii="宋体" w:hAnsi="宋体" w:eastAsia="宋体" w:cs="宋体"/>
          <w:b/>
          <w:bCs/>
          <w:sz w:val="32"/>
          <w:szCs w:val="32"/>
          <w:lang w:eastAsia="zh-CN"/>
        </w:rPr>
        <w:t>一）</w:t>
      </w:r>
      <w:r>
        <w:rPr>
          <w:rFonts w:hint="eastAsia" w:ascii="宋体" w:hAnsi="宋体" w:eastAsia="宋体" w:cs="宋体"/>
          <w:b/>
          <w:bCs/>
          <w:color w:val="000000"/>
          <w:sz w:val="32"/>
          <w:szCs w:val="32"/>
        </w:rPr>
        <w:t>机构组成。</w:t>
      </w:r>
    </w:p>
    <w:p>
      <w:pPr>
        <w:widowControl/>
        <w:numPr>
          <w:ilvl w:val="0"/>
          <w:numId w:val="0"/>
        </w:numPr>
        <w:adjustRightInd w:val="0"/>
        <w:snapToGrid w:val="0"/>
        <w:spacing w:line="580" w:lineRule="exact"/>
        <w:ind w:firstLine="960" w:firstLineChars="300"/>
        <w:contextualSpacing/>
        <w:jc w:val="left"/>
        <w:rPr>
          <w:rFonts w:hint="eastAsia" w:ascii="宋体" w:hAnsi="宋体" w:eastAsia="宋体" w:cs="宋体"/>
          <w:sz w:val="32"/>
          <w:szCs w:val="32"/>
          <w:lang w:eastAsia="zh-CN"/>
        </w:rPr>
      </w:pPr>
      <w:r>
        <w:rPr>
          <w:rFonts w:hint="eastAsia" w:ascii="宋体" w:hAnsi="宋体" w:eastAsia="宋体" w:cs="宋体"/>
          <w:color w:val="3D3D3D"/>
          <w:sz w:val="32"/>
          <w:szCs w:val="32"/>
        </w:rPr>
        <w:t>我中心为独立核算单位，财政预算为一级预算</w:t>
      </w:r>
      <w:r>
        <w:rPr>
          <w:rFonts w:hint="eastAsia" w:ascii="宋体" w:hAnsi="宋体" w:eastAsia="宋体" w:cs="宋体"/>
          <w:color w:val="3D3D3D"/>
          <w:sz w:val="32"/>
          <w:szCs w:val="32"/>
          <w:lang w:eastAsia="zh-CN"/>
        </w:rPr>
        <w:t>公益一类</w:t>
      </w:r>
      <w:r>
        <w:rPr>
          <w:rFonts w:hint="eastAsia" w:ascii="宋体" w:hAnsi="宋体" w:eastAsia="宋体" w:cs="宋体"/>
          <w:color w:val="3D3D3D"/>
          <w:sz w:val="32"/>
          <w:szCs w:val="32"/>
        </w:rPr>
        <w:t>全额拨款事业单位。</w:t>
      </w:r>
    </w:p>
    <w:p>
      <w:pPr>
        <w:numPr>
          <w:ilvl w:val="0"/>
          <w:numId w:val="6"/>
        </w:numPr>
        <w:spacing w:line="560" w:lineRule="exact"/>
        <w:rPr>
          <w:rFonts w:hint="eastAsia" w:ascii="宋体" w:hAnsi="宋体" w:eastAsia="宋体" w:cs="宋体"/>
          <w:b/>
          <w:bCs/>
          <w:sz w:val="32"/>
          <w:szCs w:val="32"/>
          <w:lang w:eastAsia="zh-CN"/>
        </w:rPr>
      </w:pPr>
      <w:r>
        <w:rPr>
          <w:rFonts w:hint="eastAsia" w:ascii="宋体" w:hAnsi="宋体" w:eastAsia="宋体" w:cs="宋体"/>
          <w:b/>
          <w:bCs/>
          <w:sz w:val="32"/>
          <w:szCs w:val="32"/>
          <w:lang w:eastAsia="zh-CN"/>
        </w:rPr>
        <w:t>机构</w:t>
      </w:r>
      <w:r>
        <w:rPr>
          <w:rFonts w:hint="eastAsia" w:ascii="宋体" w:hAnsi="宋体" w:eastAsia="宋体" w:cs="宋体"/>
          <w:b/>
          <w:bCs/>
          <w:sz w:val="32"/>
          <w:szCs w:val="32"/>
        </w:rPr>
        <w:t>职能</w:t>
      </w:r>
      <w:r>
        <w:rPr>
          <w:rFonts w:hint="eastAsia" w:ascii="宋体" w:hAnsi="宋体" w:eastAsia="宋体" w:cs="宋体"/>
          <w:b/>
          <w:bCs/>
          <w:sz w:val="32"/>
          <w:szCs w:val="32"/>
          <w:lang w:eastAsia="zh-CN"/>
        </w:rPr>
        <w:t>。</w:t>
      </w:r>
    </w:p>
    <w:p>
      <w:pPr>
        <w:keepNext w:val="0"/>
        <w:keepLines w:val="0"/>
        <w:pageBreakBefore w:val="0"/>
        <w:widowControl/>
        <w:numPr>
          <w:ilvl w:val="-1"/>
          <w:numId w:val="0"/>
        </w:numPr>
        <w:kinsoku/>
        <w:wordWrap/>
        <w:overflowPunct/>
        <w:topLinePunct w:val="0"/>
        <w:autoSpaceDE/>
        <w:autoSpaceDN/>
        <w:bidi w:val="0"/>
        <w:adjustRightInd w:val="0"/>
        <w:snapToGrid w:val="0"/>
        <w:spacing w:line="360" w:lineRule="auto"/>
        <w:ind w:left="630" w:leftChars="0" w:right="105" w:rightChars="50" w:firstLine="0" w:firstLineChars="0"/>
        <w:jc w:val="left"/>
        <w:textAlignment w:val="auto"/>
        <w:rPr>
          <w:rFonts w:hint="eastAsia" w:ascii="宋体" w:hAnsi="宋体" w:eastAsia="宋体" w:cs="宋体"/>
          <w:i w:val="0"/>
          <w:caps w:val="0"/>
          <w:color w:val="333333"/>
          <w:spacing w:val="0"/>
          <w:sz w:val="32"/>
          <w:szCs w:val="32"/>
          <w:shd w:val="clear" w:color="auto" w:fill="FFFFFF"/>
        </w:rPr>
      </w:pPr>
      <w:r>
        <w:rPr>
          <w:rFonts w:hint="eastAsia" w:ascii="宋体" w:hAnsi="宋体" w:eastAsia="宋体" w:cs="宋体"/>
          <w:i w:val="0"/>
          <w:caps w:val="0"/>
          <w:color w:val="333333"/>
          <w:spacing w:val="0"/>
          <w:sz w:val="32"/>
          <w:szCs w:val="32"/>
          <w:shd w:val="clear" w:color="auto" w:fill="FFFFFF"/>
          <w:lang w:val="en-US" w:eastAsia="zh-CN"/>
        </w:rPr>
        <w:t>1、</w:t>
      </w:r>
      <w:r>
        <w:rPr>
          <w:rFonts w:hint="eastAsia" w:ascii="宋体" w:hAnsi="宋体" w:eastAsia="宋体" w:cs="宋体"/>
          <w:i w:val="0"/>
          <w:caps w:val="0"/>
          <w:color w:val="333333"/>
          <w:spacing w:val="0"/>
          <w:sz w:val="32"/>
          <w:szCs w:val="32"/>
          <w:shd w:val="clear" w:color="auto" w:fill="FFFFFF"/>
        </w:rPr>
        <w:t>为</w:t>
      </w:r>
      <w:r>
        <w:rPr>
          <w:rFonts w:hint="eastAsia" w:ascii="宋体" w:hAnsi="宋体" w:eastAsia="宋体" w:cs="宋体"/>
          <w:i w:val="0"/>
          <w:caps w:val="0"/>
          <w:color w:val="333333"/>
          <w:spacing w:val="0"/>
          <w:sz w:val="32"/>
          <w:szCs w:val="32"/>
          <w:shd w:val="clear" w:color="auto" w:fill="FFFFFF"/>
          <w:lang w:eastAsia="zh-CN"/>
        </w:rPr>
        <w:t>县</w:t>
      </w:r>
      <w:r>
        <w:rPr>
          <w:rFonts w:hint="eastAsia" w:ascii="宋体" w:hAnsi="宋体" w:eastAsia="宋体" w:cs="宋体"/>
          <w:i w:val="0"/>
          <w:caps w:val="0"/>
          <w:color w:val="333333"/>
          <w:spacing w:val="0"/>
          <w:sz w:val="32"/>
          <w:szCs w:val="32"/>
          <w:shd w:val="clear" w:color="auto" w:fill="FFFFFF"/>
        </w:rPr>
        <w:t>内妇女儿童提供妇女保健、儿童保健、围产保健等妇幼保健服务和妇女常见病防治、助产技术服务、出生缺陷综合防治等医疗保健服务；</w:t>
      </w: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630" w:leftChars="0" w:right="105" w:rightChars="50"/>
        <w:jc w:val="left"/>
        <w:textAlignment w:val="auto"/>
        <w:rPr>
          <w:rFonts w:hint="eastAsia" w:ascii="宋体" w:hAnsi="宋体" w:eastAsia="宋体" w:cs="宋体"/>
          <w:i w:val="0"/>
          <w:caps w:val="0"/>
          <w:color w:val="333333"/>
          <w:spacing w:val="0"/>
          <w:sz w:val="32"/>
          <w:szCs w:val="32"/>
          <w:shd w:val="clear" w:color="auto" w:fill="FFFFFF"/>
        </w:rPr>
      </w:pPr>
      <w:r>
        <w:rPr>
          <w:rFonts w:hint="eastAsia" w:ascii="宋体" w:hAnsi="宋体" w:eastAsia="宋体" w:cs="宋体"/>
          <w:i w:val="0"/>
          <w:caps w:val="0"/>
          <w:color w:val="333333"/>
          <w:spacing w:val="0"/>
          <w:sz w:val="32"/>
          <w:szCs w:val="32"/>
          <w:shd w:val="clear" w:color="auto" w:fill="FFFFFF"/>
        </w:rPr>
        <w:t>2、承担计划生育宣传教育、技术服务、优生指导、药具发放、信息咨询、随访服务、生殖保健、人员培训等任务；</w:t>
      </w: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630" w:leftChars="0" w:right="105" w:rightChars="50"/>
        <w:jc w:val="left"/>
        <w:textAlignment w:val="auto"/>
        <w:rPr>
          <w:rFonts w:hint="eastAsia" w:ascii="宋体" w:hAnsi="宋体" w:eastAsia="宋体" w:cs="宋体"/>
          <w:i w:val="0"/>
          <w:caps w:val="0"/>
          <w:color w:val="333333"/>
          <w:spacing w:val="0"/>
          <w:sz w:val="32"/>
          <w:szCs w:val="32"/>
          <w:shd w:val="clear" w:color="auto" w:fill="FFFFFF"/>
        </w:rPr>
      </w:pPr>
      <w:r>
        <w:rPr>
          <w:rFonts w:hint="eastAsia" w:ascii="宋体" w:hAnsi="宋体" w:eastAsia="宋体" w:cs="宋体"/>
          <w:i w:val="0"/>
          <w:caps w:val="0"/>
          <w:color w:val="333333"/>
          <w:spacing w:val="0"/>
          <w:sz w:val="32"/>
          <w:szCs w:val="32"/>
          <w:shd w:val="clear" w:color="auto" w:fill="FFFFFF"/>
        </w:rPr>
        <w:t>3、开展婚前医学检查、孕前优生健康检查等工作</w:t>
      </w: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630" w:leftChars="0" w:right="105" w:rightChars="50"/>
        <w:jc w:val="left"/>
        <w:textAlignment w:val="auto"/>
        <w:rPr>
          <w:rFonts w:hint="eastAsia" w:ascii="宋体" w:hAnsi="宋体" w:eastAsia="宋体" w:cs="宋体"/>
          <w:i w:val="0"/>
          <w:caps w:val="0"/>
          <w:color w:val="333333"/>
          <w:spacing w:val="0"/>
          <w:sz w:val="32"/>
          <w:szCs w:val="32"/>
          <w:shd w:val="clear" w:color="auto" w:fill="FFFFFF"/>
        </w:rPr>
      </w:pPr>
      <w:r>
        <w:rPr>
          <w:rFonts w:hint="eastAsia" w:ascii="宋体" w:hAnsi="宋体" w:eastAsia="宋体" w:cs="宋体"/>
          <w:i w:val="0"/>
          <w:caps w:val="0"/>
          <w:color w:val="333333"/>
          <w:spacing w:val="0"/>
          <w:sz w:val="32"/>
          <w:szCs w:val="32"/>
          <w:shd w:val="clear" w:color="auto" w:fill="FFFFFF"/>
        </w:rPr>
        <w:t>4、承担</w:t>
      </w:r>
      <w:r>
        <w:rPr>
          <w:rFonts w:hint="eastAsia" w:ascii="宋体" w:hAnsi="宋体" w:eastAsia="宋体" w:cs="宋体"/>
          <w:i w:val="0"/>
          <w:caps w:val="0"/>
          <w:color w:val="333333"/>
          <w:spacing w:val="0"/>
          <w:sz w:val="32"/>
          <w:szCs w:val="32"/>
          <w:shd w:val="clear" w:color="auto" w:fill="FFFFFF"/>
          <w:lang w:eastAsia="zh-CN"/>
        </w:rPr>
        <w:t>县</w:t>
      </w:r>
      <w:r>
        <w:rPr>
          <w:rFonts w:hint="eastAsia" w:ascii="宋体" w:hAnsi="宋体" w:eastAsia="宋体" w:cs="宋体"/>
          <w:i w:val="0"/>
          <w:caps w:val="0"/>
          <w:color w:val="333333"/>
          <w:spacing w:val="0"/>
          <w:sz w:val="32"/>
          <w:szCs w:val="32"/>
          <w:shd w:val="clear" w:color="auto" w:fill="FFFFFF"/>
        </w:rPr>
        <w:t>内妇幼保健和计划生育技术服务业务管理、项目管理、培训和技术支持工作。</w:t>
      </w: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right="105" w:rightChars="50" w:firstLine="640" w:firstLineChars="200"/>
        <w:jc w:val="left"/>
        <w:textAlignment w:val="auto"/>
        <w:rPr>
          <w:rFonts w:hint="eastAsia" w:ascii="宋体" w:hAnsi="宋体" w:eastAsia="宋体" w:cs="宋体"/>
          <w:i w:val="0"/>
          <w:caps w:val="0"/>
          <w:color w:val="333333"/>
          <w:spacing w:val="0"/>
          <w:sz w:val="32"/>
          <w:szCs w:val="32"/>
          <w:shd w:val="clear" w:color="auto" w:fill="FFFFFF"/>
          <w:lang w:val="en-US" w:eastAsia="zh-CN"/>
        </w:rPr>
      </w:pPr>
      <w:r>
        <w:rPr>
          <w:rFonts w:hint="eastAsia" w:ascii="宋体" w:hAnsi="宋体" w:eastAsia="宋体" w:cs="宋体"/>
          <w:i w:val="0"/>
          <w:caps w:val="0"/>
          <w:color w:val="333333"/>
          <w:spacing w:val="0"/>
          <w:sz w:val="32"/>
          <w:szCs w:val="32"/>
          <w:shd w:val="clear" w:color="auto" w:fill="FFFFFF"/>
          <w:lang w:val="en-US" w:eastAsia="zh-CN"/>
        </w:rPr>
        <w:t>5、基本公共卫生服务（艾滋病、乙肝、梅毒）的开展，例如：下乡督导，例会培训。</w:t>
      </w:r>
    </w:p>
    <w:p>
      <w:pPr>
        <w:numPr>
          <w:ilvl w:val="0"/>
          <w:numId w:val="6"/>
        </w:numPr>
        <w:spacing w:line="560" w:lineRule="exact"/>
        <w:rPr>
          <w:rFonts w:hint="eastAsia" w:ascii="宋体" w:hAnsi="宋体" w:eastAsia="宋体" w:cs="宋体"/>
          <w:sz w:val="32"/>
          <w:szCs w:val="32"/>
        </w:rPr>
      </w:pPr>
      <w:r>
        <w:rPr>
          <w:rFonts w:hint="eastAsia" w:ascii="宋体" w:hAnsi="宋体" w:eastAsia="宋体" w:cs="宋体"/>
          <w:b/>
          <w:bCs/>
          <w:sz w:val="32"/>
          <w:szCs w:val="32"/>
        </w:rPr>
        <w:t>人员概况</w:t>
      </w:r>
      <w:r>
        <w:rPr>
          <w:rFonts w:hint="eastAsia" w:ascii="宋体" w:hAnsi="宋体" w:eastAsia="宋体" w:cs="宋体"/>
          <w:sz w:val="32"/>
          <w:szCs w:val="32"/>
        </w:rPr>
        <w:t>。</w:t>
      </w:r>
    </w:p>
    <w:p>
      <w:pPr>
        <w:keepNext w:val="0"/>
        <w:keepLines w:val="0"/>
        <w:pageBreakBefore w:val="0"/>
        <w:kinsoku/>
        <w:wordWrap/>
        <w:overflowPunct/>
        <w:topLinePunct w:val="0"/>
        <w:autoSpaceDE/>
        <w:autoSpaceDN/>
        <w:bidi w:val="0"/>
        <w:spacing w:line="360" w:lineRule="auto"/>
        <w:ind w:left="105" w:leftChars="50" w:right="105" w:rightChars="50" w:firstLine="640" w:firstLineChars="200"/>
        <w:textAlignment w:val="auto"/>
        <w:rPr>
          <w:rFonts w:ascii="Times New Roman" w:hAnsi="Times New Roman" w:eastAsia="仿宋_GB2312"/>
          <w:color w:val="000000"/>
          <w:sz w:val="32"/>
          <w:szCs w:val="32"/>
        </w:rPr>
      </w:pPr>
      <w:r>
        <w:rPr>
          <w:rFonts w:hint="eastAsia" w:ascii="宋体" w:hAnsi="宋体" w:eastAsia="宋体" w:cs="宋体"/>
          <w:color w:val="333333"/>
          <w:kern w:val="0"/>
          <w:sz w:val="32"/>
          <w:szCs w:val="32"/>
          <w:lang w:val="en-US" w:eastAsia="zh-CN"/>
        </w:rPr>
        <w:t>2021</w:t>
      </w:r>
      <w:r>
        <w:rPr>
          <w:rFonts w:hint="eastAsia" w:ascii="宋体" w:hAnsi="宋体" w:eastAsia="宋体" w:cs="宋体"/>
          <w:color w:val="333333"/>
          <w:kern w:val="0"/>
          <w:sz w:val="32"/>
          <w:szCs w:val="32"/>
        </w:rPr>
        <w:t>年</w:t>
      </w:r>
      <w:r>
        <w:rPr>
          <w:rFonts w:hint="eastAsia" w:ascii="宋体" w:hAnsi="宋体" w:eastAsia="宋体" w:cs="宋体"/>
          <w:color w:val="333333"/>
          <w:kern w:val="0"/>
          <w:sz w:val="32"/>
          <w:szCs w:val="32"/>
          <w:lang w:eastAsia="zh-CN"/>
        </w:rPr>
        <w:t>末</w:t>
      </w:r>
      <w:r>
        <w:rPr>
          <w:rFonts w:hint="eastAsia" w:ascii="宋体" w:hAnsi="宋体" w:eastAsia="宋体" w:cs="宋体"/>
          <w:color w:val="333333"/>
          <w:kern w:val="0"/>
          <w:sz w:val="32"/>
          <w:szCs w:val="32"/>
        </w:rPr>
        <w:t>我中心在县委编制部门的实际编制人数为</w:t>
      </w:r>
      <w:r>
        <w:rPr>
          <w:rFonts w:hint="eastAsia" w:ascii="宋体" w:hAnsi="宋体" w:eastAsia="宋体" w:cs="宋体"/>
          <w:color w:val="333333"/>
          <w:kern w:val="0"/>
          <w:sz w:val="32"/>
          <w:szCs w:val="32"/>
          <w:lang w:val="en-US" w:eastAsia="zh-CN"/>
        </w:rPr>
        <w:t>39</w:t>
      </w:r>
      <w:r>
        <w:rPr>
          <w:rFonts w:hint="eastAsia" w:ascii="宋体" w:hAnsi="宋体" w:eastAsia="宋体" w:cs="宋体"/>
          <w:color w:val="333333"/>
          <w:kern w:val="0"/>
          <w:sz w:val="32"/>
          <w:szCs w:val="32"/>
        </w:rPr>
        <w:t>人，但我中心年末在编在岗的人员</w:t>
      </w:r>
      <w:r>
        <w:rPr>
          <w:rFonts w:hint="eastAsia" w:ascii="宋体" w:hAnsi="宋体" w:eastAsia="宋体" w:cs="宋体"/>
          <w:color w:val="333333"/>
          <w:kern w:val="0"/>
          <w:sz w:val="32"/>
          <w:szCs w:val="32"/>
          <w:lang w:val="en-US" w:eastAsia="zh-CN"/>
        </w:rPr>
        <w:t>33</w:t>
      </w:r>
      <w:r>
        <w:rPr>
          <w:rFonts w:hint="eastAsia" w:ascii="宋体" w:hAnsi="宋体" w:eastAsia="宋体" w:cs="宋体"/>
          <w:color w:val="333333"/>
          <w:kern w:val="0"/>
          <w:sz w:val="32"/>
          <w:szCs w:val="32"/>
        </w:rPr>
        <w:t>人，退休人员2</w:t>
      </w:r>
      <w:r>
        <w:rPr>
          <w:rFonts w:hint="eastAsia" w:ascii="宋体" w:hAnsi="宋体" w:eastAsia="宋体" w:cs="宋体"/>
          <w:color w:val="333333"/>
          <w:kern w:val="0"/>
          <w:sz w:val="32"/>
          <w:szCs w:val="32"/>
          <w:lang w:val="en-US" w:eastAsia="zh-CN"/>
        </w:rPr>
        <w:t>0</w:t>
      </w:r>
      <w:r>
        <w:rPr>
          <w:rFonts w:hint="eastAsia" w:ascii="宋体" w:hAnsi="宋体" w:eastAsia="宋体" w:cs="宋体"/>
          <w:color w:val="333333"/>
          <w:kern w:val="0"/>
          <w:sz w:val="32"/>
          <w:szCs w:val="32"/>
        </w:rPr>
        <w:t>人。</w:t>
      </w:r>
    </w:p>
    <w:p>
      <w:pPr>
        <w:pStyle w:val="7"/>
        <w:spacing w:line="600" w:lineRule="exact"/>
        <w:ind w:firstLine="640" w:firstLineChars="200"/>
        <w:jc w:val="left"/>
        <w:rPr>
          <w:rFonts w:ascii="Times New Roman" w:hAnsi="Times New Roman" w:eastAsia="仿宋_GB2312"/>
          <w:sz w:val="32"/>
          <w:szCs w:val="32"/>
        </w:rPr>
      </w:pPr>
      <w:r>
        <w:rPr>
          <w:rFonts w:ascii="Times New Roman" w:hAnsi="Times New Roman" w:eastAsia="黑体"/>
          <w:sz w:val="32"/>
          <w:szCs w:val="32"/>
        </w:rPr>
        <w:t>二、部门</w:t>
      </w:r>
      <w:r>
        <w:rPr>
          <w:rFonts w:hint="eastAsia" w:ascii="Times New Roman" w:hAnsi="Times New Roman" w:eastAsia="黑体"/>
          <w:sz w:val="32"/>
          <w:szCs w:val="32"/>
        </w:rPr>
        <w:t>财政</w:t>
      </w:r>
      <w:r>
        <w:rPr>
          <w:rFonts w:ascii="Times New Roman" w:hAnsi="Times New Roman" w:eastAsia="黑体"/>
          <w:sz w:val="32"/>
          <w:szCs w:val="32"/>
        </w:rPr>
        <w:t>资金基本情况</w:t>
      </w:r>
    </w:p>
    <w:p>
      <w:pPr>
        <w:widowControl/>
        <w:adjustRightInd w:val="0"/>
        <w:snapToGrid w:val="0"/>
        <w:spacing w:line="580" w:lineRule="exact"/>
        <w:ind w:firstLine="640" w:firstLineChars="200"/>
        <w:contextualSpacing/>
        <w:jc w:val="left"/>
        <w:rPr>
          <w:rFonts w:hint="eastAsia" w:ascii="宋体" w:hAnsi="宋体" w:eastAsia="宋体" w:cs="宋体"/>
          <w:color w:val="000000"/>
          <w:sz w:val="32"/>
          <w:szCs w:val="32"/>
        </w:rPr>
      </w:pPr>
      <w:r>
        <w:rPr>
          <w:rFonts w:hint="eastAsia" w:ascii="宋体" w:hAnsi="宋体" w:eastAsia="宋体" w:cs="宋体"/>
          <w:color w:val="000000"/>
          <w:sz w:val="32"/>
          <w:szCs w:val="32"/>
        </w:rPr>
        <w:t>（一</w:t>
      </w:r>
      <w:r>
        <w:rPr>
          <w:rFonts w:hint="eastAsia" w:ascii="宋体" w:hAnsi="宋体" w:eastAsia="宋体" w:cs="宋体"/>
          <w:b/>
          <w:bCs/>
          <w:color w:val="000000"/>
          <w:sz w:val="32"/>
          <w:szCs w:val="32"/>
        </w:rPr>
        <w:t>）财政资金收入情况。</w:t>
      </w:r>
    </w:p>
    <w:p>
      <w:pPr>
        <w:widowControl/>
        <w:adjustRightInd/>
        <w:snapToGrid/>
        <w:spacing w:line="560" w:lineRule="exact"/>
        <w:ind w:firstLine="960" w:firstLineChars="300"/>
        <w:contextualSpacing/>
        <w:jc w:val="left"/>
        <w:rPr>
          <w:rFonts w:hint="eastAsia" w:ascii="宋体" w:hAnsi="宋体" w:eastAsia="宋体" w:cs="宋体"/>
          <w:color w:val="000000"/>
          <w:sz w:val="32"/>
          <w:szCs w:val="32"/>
          <w:lang w:val="en-US" w:eastAsia="zh-CN"/>
        </w:rPr>
      </w:pPr>
      <w:r>
        <w:rPr>
          <w:rFonts w:hint="eastAsia" w:ascii="宋体" w:hAnsi="宋体" w:eastAsia="宋体" w:cs="宋体"/>
          <w:i w:val="0"/>
          <w:caps w:val="0"/>
          <w:color w:val="333333"/>
          <w:spacing w:val="0"/>
          <w:sz w:val="32"/>
          <w:szCs w:val="32"/>
          <w:shd w:val="clear" w:color="auto" w:fill="FFFFFF"/>
          <w:lang w:val="en-US" w:eastAsia="zh-CN"/>
        </w:rPr>
        <w:t>2021</w:t>
      </w:r>
      <w:r>
        <w:rPr>
          <w:rFonts w:hint="eastAsia" w:ascii="宋体" w:hAnsi="宋体" w:eastAsia="宋体" w:cs="宋体"/>
          <w:i w:val="0"/>
          <w:caps w:val="0"/>
          <w:color w:val="333333"/>
          <w:spacing w:val="0"/>
          <w:sz w:val="32"/>
          <w:szCs w:val="32"/>
          <w:shd w:val="clear" w:color="auto" w:fill="FFFFFF"/>
        </w:rPr>
        <w:t>年我</w:t>
      </w:r>
      <w:r>
        <w:rPr>
          <w:rFonts w:hint="eastAsia" w:ascii="宋体" w:hAnsi="宋体" w:eastAsia="宋体" w:cs="宋体"/>
          <w:i w:val="0"/>
          <w:caps w:val="0"/>
          <w:color w:val="333333"/>
          <w:spacing w:val="0"/>
          <w:sz w:val="32"/>
          <w:szCs w:val="32"/>
          <w:shd w:val="clear" w:color="auto" w:fill="FFFFFF"/>
          <w:lang w:eastAsia="zh-CN"/>
        </w:rPr>
        <w:t>中心本年财政补助</w:t>
      </w:r>
      <w:r>
        <w:rPr>
          <w:rFonts w:hint="eastAsia" w:ascii="宋体" w:hAnsi="宋体" w:eastAsia="宋体" w:cs="宋体"/>
          <w:i w:val="0"/>
          <w:caps w:val="0"/>
          <w:color w:val="333333"/>
          <w:spacing w:val="0"/>
          <w:sz w:val="32"/>
          <w:szCs w:val="32"/>
          <w:shd w:val="clear" w:color="auto" w:fill="FFFFFF"/>
        </w:rPr>
        <w:t>收入决算</w:t>
      </w:r>
      <w:r>
        <w:rPr>
          <w:rFonts w:hint="eastAsia" w:ascii="宋体" w:hAnsi="宋体" w:eastAsia="宋体" w:cs="宋体"/>
          <w:i w:val="0"/>
          <w:caps w:val="0"/>
          <w:color w:val="333333"/>
          <w:spacing w:val="0"/>
          <w:sz w:val="32"/>
          <w:szCs w:val="32"/>
          <w:shd w:val="clear" w:color="auto" w:fill="FFFFFF"/>
          <w:lang w:eastAsia="zh-CN"/>
        </w:rPr>
        <w:t>数</w:t>
      </w:r>
      <w:r>
        <w:rPr>
          <w:rFonts w:hint="eastAsia" w:ascii="宋体" w:hAnsi="宋体" w:eastAsia="宋体" w:cs="宋体"/>
          <w:i w:val="0"/>
          <w:caps w:val="0"/>
          <w:color w:val="333333"/>
          <w:spacing w:val="0"/>
          <w:sz w:val="32"/>
          <w:szCs w:val="32"/>
          <w:shd w:val="clear" w:color="auto" w:fill="FFFFFF"/>
        </w:rPr>
        <w:t>为</w:t>
      </w:r>
      <w:r>
        <w:rPr>
          <w:rFonts w:hint="eastAsia" w:ascii="宋体" w:hAnsi="宋体" w:eastAsia="宋体" w:cs="宋体"/>
          <w:i w:val="0"/>
          <w:caps w:val="0"/>
          <w:color w:val="333333"/>
          <w:spacing w:val="0"/>
          <w:sz w:val="32"/>
          <w:szCs w:val="32"/>
          <w:shd w:val="clear" w:color="auto" w:fill="FFFFFF"/>
          <w:lang w:val="en-US" w:eastAsia="zh-CN"/>
        </w:rPr>
        <w:t>667.34</w:t>
      </w:r>
      <w:r>
        <w:rPr>
          <w:rFonts w:hint="eastAsia" w:ascii="宋体" w:hAnsi="宋体" w:eastAsia="宋体" w:cs="宋体"/>
          <w:i w:val="0"/>
          <w:caps w:val="0"/>
          <w:color w:val="333333"/>
          <w:spacing w:val="0"/>
          <w:sz w:val="32"/>
          <w:szCs w:val="32"/>
          <w:shd w:val="clear" w:color="auto" w:fill="FFFFFF"/>
        </w:rPr>
        <w:t>万元</w:t>
      </w:r>
      <w:r>
        <w:rPr>
          <w:rFonts w:hint="eastAsia" w:ascii="宋体" w:hAnsi="宋体" w:eastAsia="宋体" w:cs="宋体"/>
          <w:i w:val="0"/>
          <w:caps w:val="0"/>
          <w:color w:val="333333"/>
          <w:spacing w:val="0"/>
          <w:sz w:val="32"/>
          <w:szCs w:val="32"/>
          <w:shd w:val="clear" w:color="auto" w:fill="FFFFFF"/>
          <w:lang w:val="en-US" w:eastAsia="zh-CN"/>
        </w:rPr>
        <w:t>.</w:t>
      </w:r>
    </w:p>
    <w:p>
      <w:pPr>
        <w:widowControl/>
        <w:numPr>
          <w:ilvl w:val="0"/>
          <w:numId w:val="7"/>
        </w:numPr>
        <w:adjustRightInd w:val="0"/>
        <w:snapToGrid w:val="0"/>
        <w:spacing w:line="580" w:lineRule="exact"/>
        <w:ind w:firstLine="642" w:firstLineChars="200"/>
        <w:contextualSpacing/>
        <w:jc w:val="left"/>
        <w:rPr>
          <w:rFonts w:hint="eastAsia" w:ascii="宋体" w:hAnsi="宋体" w:eastAsia="宋体" w:cs="宋体"/>
          <w:b/>
          <w:bCs/>
          <w:color w:val="000000"/>
          <w:sz w:val="32"/>
          <w:szCs w:val="32"/>
        </w:rPr>
      </w:pPr>
      <w:r>
        <w:rPr>
          <w:rFonts w:hint="eastAsia" w:ascii="宋体" w:hAnsi="宋体" w:eastAsia="宋体" w:cs="宋体"/>
          <w:b/>
          <w:bCs/>
          <w:color w:val="000000"/>
          <w:sz w:val="32"/>
          <w:szCs w:val="32"/>
        </w:rPr>
        <w:t>财政资金支出情况。</w:t>
      </w:r>
    </w:p>
    <w:p>
      <w:pPr>
        <w:widowControl/>
        <w:numPr>
          <w:ilvl w:val="0"/>
          <w:numId w:val="0"/>
        </w:numPr>
        <w:adjustRightInd/>
        <w:snapToGrid/>
        <w:spacing w:line="560" w:lineRule="exact"/>
        <w:ind w:firstLine="640" w:firstLineChars="200"/>
        <w:contextualSpacing/>
        <w:jc w:val="left"/>
        <w:rPr>
          <w:rFonts w:hint="eastAsia" w:ascii="宋体" w:hAnsi="宋体" w:eastAsia="宋体" w:cs="宋体"/>
          <w:color w:val="000000"/>
          <w:sz w:val="32"/>
          <w:szCs w:val="32"/>
          <w:lang w:val="en-US" w:eastAsia="zh-CN"/>
        </w:rPr>
      </w:pPr>
      <w:r>
        <w:rPr>
          <w:rFonts w:hint="eastAsia" w:ascii="宋体" w:hAnsi="宋体" w:eastAsia="宋体" w:cs="宋体"/>
          <w:color w:val="000000"/>
          <w:sz w:val="32"/>
          <w:szCs w:val="32"/>
          <w:lang w:val="en-US" w:eastAsia="zh-CN"/>
        </w:rPr>
        <w:t xml:space="preserve">    </w:t>
      </w:r>
      <w:r>
        <w:rPr>
          <w:rFonts w:hint="eastAsia" w:ascii="宋体" w:hAnsi="宋体" w:eastAsia="宋体" w:cs="宋体"/>
          <w:sz w:val="32"/>
          <w:szCs w:val="32"/>
          <w:lang w:val="en-US" w:eastAsia="zh-CN"/>
        </w:rPr>
        <w:t>2021</w:t>
      </w:r>
      <w:r>
        <w:rPr>
          <w:rFonts w:hint="eastAsia" w:ascii="宋体" w:hAnsi="宋体" w:eastAsia="宋体" w:cs="宋体"/>
          <w:i w:val="0"/>
          <w:caps w:val="0"/>
          <w:color w:val="333333"/>
          <w:spacing w:val="0"/>
          <w:sz w:val="32"/>
          <w:szCs w:val="32"/>
          <w:shd w:val="clear" w:color="auto" w:fill="FFFFFF"/>
        </w:rPr>
        <w:t>年我</w:t>
      </w:r>
      <w:r>
        <w:rPr>
          <w:rFonts w:hint="eastAsia" w:ascii="宋体" w:hAnsi="宋体" w:eastAsia="宋体" w:cs="宋体"/>
          <w:i w:val="0"/>
          <w:caps w:val="0"/>
          <w:color w:val="333333"/>
          <w:spacing w:val="0"/>
          <w:sz w:val="32"/>
          <w:szCs w:val="32"/>
          <w:shd w:val="clear" w:color="auto" w:fill="FFFFFF"/>
          <w:lang w:eastAsia="zh-CN"/>
        </w:rPr>
        <w:t>中心</w:t>
      </w:r>
      <w:r>
        <w:rPr>
          <w:rFonts w:hint="eastAsia" w:ascii="宋体" w:hAnsi="宋体" w:eastAsia="宋体" w:cs="宋体"/>
          <w:i w:val="0"/>
          <w:caps w:val="0"/>
          <w:color w:val="333333"/>
          <w:spacing w:val="0"/>
          <w:sz w:val="32"/>
          <w:szCs w:val="32"/>
          <w:shd w:val="clear" w:color="auto" w:fill="FFFFFF"/>
        </w:rPr>
        <w:t>财政拨款支出决算</w:t>
      </w:r>
      <w:r>
        <w:rPr>
          <w:rFonts w:hint="eastAsia" w:ascii="宋体" w:hAnsi="宋体" w:eastAsia="宋体" w:cs="宋体"/>
          <w:i w:val="0"/>
          <w:caps w:val="0"/>
          <w:color w:val="333333"/>
          <w:spacing w:val="0"/>
          <w:sz w:val="32"/>
          <w:szCs w:val="32"/>
          <w:shd w:val="clear" w:color="auto" w:fill="FFFFFF"/>
          <w:lang w:eastAsia="zh-CN"/>
        </w:rPr>
        <w:t>数</w:t>
      </w:r>
      <w:r>
        <w:rPr>
          <w:rFonts w:hint="eastAsia" w:ascii="宋体" w:hAnsi="宋体" w:eastAsia="宋体" w:cs="宋体"/>
          <w:i w:val="0"/>
          <w:caps w:val="0"/>
          <w:color w:val="333333"/>
          <w:spacing w:val="0"/>
          <w:sz w:val="32"/>
          <w:szCs w:val="32"/>
          <w:shd w:val="clear" w:color="auto" w:fill="FFFFFF"/>
          <w:lang w:val="en-US" w:eastAsia="zh-CN"/>
        </w:rPr>
        <w:t>731.06</w:t>
      </w:r>
      <w:r>
        <w:rPr>
          <w:rFonts w:hint="eastAsia" w:ascii="宋体" w:hAnsi="宋体" w:eastAsia="宋体" w:cs="宋体"/>
          <w:i w:val="0"/>
          <w:caps w:val="0"/>
          <w:color w:val="333333"/>
          <w:spacing w:val="0"/>
          <w:sz w:val="32"/>
          <w:szCs w:val="32"/>
          <w:shd w:val="clear" w:color="auto" w:fill="FFFFFF"/>
        </w:rPr>
        <w:t>万元，其中：</w:t>
      </w:r>
      <w:r>
        <w:rPr>
          <w:rFonts w:hint="eastAsia" w:ascii="宋体" w:hAnsi="宋体" w:eastAsia="宋体" w:cs="宋体"/>
          <w:i w:val="0"/>
          <w:caps w:val="0"/>
          <w:color w:val="333333"/>
          <w:spacing w:val="0"/>
          <w:sz w:val="32"/>
          <w:szCs w:val="32"/>
          <w:shd w:val="clear" w:color="auto" w:fill="FFFFFF"/>
          <w:lang w:eastAsia="zh-CN"/>
        </w:rPr>
        <w:t>基本支出</w:t>
      </w:r>
      <w:r>
        <w:rPr>
          <w:rFonts w:hint="eastAsia" w:ascii="宋体" w:hAnsi="宋体" w:eastAsia="宋体" w:cs="宋体"/>
          <w:i w:val="0"/>
          <w:caps w:val="0"/>
          <w:color w:val="333333"/>
          <w:spacing w:val="0"/>
          <w:sz w:val="32"/>
          <w:szCs w:val="32"/>
          <w:shd w:val="clear" w:color="auto" w:fill="FFFFFF"/>
          <w:lang w:val="en-US" w:eastAsia="zh-CN"/>
        </w:rPr>
        <w:t>511.98万元（其中：人员经费509.98万元，公用经费2万元），</w:t>
      </w:r>
      <w:r>
        <w:rPr>
          <w:rFonts w:hint="eastAsia" w:ascii="宋体" w:hAnsi="宋体" w:eastAsia="宋体" w:cs="宋体"/>
          <w:i w:val="0"/>
          <w:caps w:val="0"/>
          <w:color w:val="333333"/>
          <w:spacing w:val="0"/>
          <w:sz w:val="32"/>
          <w:szCs w:val="32"/>
          <w:shd w:val="clear" w:color="auto" w:fill="FFFFFF"/>
        </w:rPr>
        <w:t>项目支出</w:t>
      </w:r>
      <w:r>
        <w:rPr>
          <w:rFonts w:hint="eastAsia" w:ascii="宋体" w:hAnsi="宋体" w:eastAsia="宋体" w:cs="宋体"/>
          <w:i w:val="0"/>
          <w:caps w:val="0"/>
          <w:color w:val="333333"/>
          <w:spacing w:val="0"/>
          <w:sz w:val="32"/>
          <w:szCs w:val="32"/>
          <w:shd w:val="clear" w:color="auto" w:fill="FFFFFF"/>
          <w:lang w:val="en-US" w:eastAsia="zh-CN"/>
        </w:rPr>
        <w:t>219.08</w:t>
      </w:r>
      <w:r>
        <w:rPr>
          <w:rFonts w:hint="eastAsia" w:ascii="宋体" w:hAnsi="宋体" w:eastAsia="宋体" w:cs="宋体"/>
          <w:i w:val="0"/>
          <w:caps w:val="0"/>
          <w:color w:val="333333"/>
          <w:spacing w:val="0"/>
          <w:sz w:val="32"/>
          <w:szCs w:val="32"/>
          <w:shd w:val="clear" w:color="auto" w:fill="FFFFFF"/>
        </w:rPr>
        <w:t>万元。</w:t>
      </w:r>
    </w:p>
    <w:p>
      <w:pPr>
        <w:widowControl/>
        <w:numPr>
          <w:ilvl w:val="0"/>
          <w:numId w:val="7"/>
        </w:numPr>
        <w:adjustRightInd w:val="0"/>
        <w:snapToGrid w:val="0"/>
        <w:spacing w:line="580" w:lineRule="exact"/>
        <w:ind w:firstLine="642" w:firstLineChars="200"/>
        <w:contextualSpacing/>
        <w:jc w:val="left"/>
        <w:rPr>
          <w:rFonts w:hint="eastAsia" w:ascii="宋体" w:hAnsi="宋体" w:eastAsia="宋体" w:cs="宋体"/>
          <w:b/>
          <w:bCs/>
          <w:sz w:val="32"/>
          <w:szCs w:val="32"/>
        </w:rPr>
      </w:pPr>
      <w:r>
        <w:rPr>
          <w:rFonts w:hint="eastAsia" w:ascii="宋体" w:hAnsi="宋体" w:eastAsia="宋体" w:cs="宋体"/>
          <w:b/>
          <w:bCs/>
          <w:sz w:val="32"/>
          <w:szCs w:val="32"/>
        </w:rPr>
        <w:t>财政资金结转结余情况。</w:t>
      </w:r>
    </w:p>
    <w:p>
      <w:pPr>
        <w:widowControl/>
        <w:numPr>
          <w:ilvl w:val="0"/>
          <w:numId w:val="0"/>
        </w:numPr>
        <w:adjustRightInd/>
        <w:snapToGrid/>
        <w:spacing w:line="560" w:lineRule="exact"/>
        <w:ind w:leftChars="200" w:firstLine="640" w:firstLineChars="200"/>
        <w:contextualSpacing/>
        <w:jc w:val="left"/>
        <w:rPr>
          <w:rFonts w:hint="eastAsia" w:ascii="宋体" w:hAnsi="宋体" w:eastAsia="宋体" w:cs="宋体"/>
          <w:sz w:val="32"/>
          <w:szCs w:val="32"/>
          <w:lang w:val="en-US"/>
        </w:rPr>
      </w:pPr>
      <w:r>
        <w:rPr>
          <w:rFonts w:hint="eastAsia" w:ascii="宋体" w:hAnsi="宋体" w:eastAsia="宋体" w:cs="宋体"/>
          <w:sz w:val="32"/>
          <w:szCs w:val="32"/>
          <w:lang w:val="en-US" w:eastAsia="zh-CN"/>
        </w:rPr>
        <w:t>2020年年底结转数33.38万元，其中重大传染病防控中央补助资金22.26万元，医疗机构发展资金11.12万元。而2021年年末无项目结转。</w:t>
      </w:r>
    </w:p>
    <w:p>
      <w:pPr>
        <w:widowControl/>
        <w:numPr>
          <w:ilvl w:val="0"/>
          <w:numId w:val="8"/>
        </w:numPr>
        <w:adjustRightInd w:val="0"/>
        <w:snapToGrid w:val="0"/>
        <w:spacing w:line="580" w:lineRule="exact"/>
        <w:ind w:firstLine="640" w:firstLineChars="200"/>
        <w:contextualSpacing/>
        <w:jc w:val="left"/>
        <w:rPr>
          <w:rFonts w:ascii="Times New Roman" w:hAnsi="Times New Roman" w:eastAsia="黑体"/>
          <w:color w:val="000000"/>
          <w:sz w:val="32"/>
          <w:szCs w:val="32"/>
        </w:rPr>
      </w:pPr>
      <w:r>
        <w:rPr>
          <w:rFonts w:ascii="Times New Roman" w:hAnsi="Times New Roman" w:eastAsia="黑体"/>
          <w:color w:val="000000"/>
          <w:sz w:val="32"/>
          <w:szCs w:val="32"/>
        </w:rPr>
        <w:t>部门预算绩效管理情况</w:t>
      </w:r>
      <w:r>
        <w:rPr>
          <w:rFonts w:hint="eastAsia" w:ascii="Times New Roman" w:hAnsi="Times New Roman" w:eastAsia="黑体"/>
          <w:color w:val="000000"/>
          <w:sz w:val="32"/>
          <w:szCs w:val="32"/>
          <w:lang w:eastAsia="zh-CN"/>
        </w:rPr>
        <w:t>。</w:t>
      </w:r>
    </w:p>
    <w:p>
      <w:pPr>
        <w:widowControl/>
        <w:adjustRightInd w:val="0"/>
        <w:snapToGrid w:val="0"/>
        <w:spacing w:line="580" w:lineRule="exact"/>
        <w:ind w:firstLine="640" w:firstLineChars="200"/>
        <w:contextualSpacing/>
        <w:jc w:val="left"/>
        <w:rPr>
          <w:rFonts w:ascii="Times New Roman" w:hAnsi="Times New Roman" w:eastAsia="仿宋_GB2312"/>
          <w:color w:val="000000"/>
          <w:sz w:val="32"/>
          <w:szCs w:val="32"/>
        </w:rPr>
      </w:pPr>
      <w:r>
        <w:rPr>
          <w:rFonts w:ascii="Times New Roman" w:hAnsi="Times New Roman" w:eastAsia="仿宋_GB2312"/>
          <w:color w:val="000000"/>
          <w:sz w:val="32"/>
          <w:szCs w:val="32"/>
        </w:rPr>
        <w:t>（一</w:t>
      </w:r>
      <w:r>
        <w:rPr>
          <w:rFonts w:ascii="Times New Roman" w:hAnsi="Times New Roman" w:eastAsia="仿宋_GB2312"/>
          <w:b/>
          <w:bCs/>
          <w:color w:val="000000"/>
          <w:sz w:val="32"/>
          <w:szCs w:val="32"/>
        </w:rPr>
        <w:t>）部门预算绩效管理。</w:t>
      </w:r>
    </w:p>
    <w:p>
      <w:pPr>
        <w:spacing w:line="560" w:lineRule="exact"/>
        <w:ind w:firstLine="840" w:firstLineChars="300"/>
        <w:rPr>
          <w:rFonts w:hint="eastAsia" w:ascii="宋体" w:hAnsi="宋体" w:eastAsia="宋体" w:cs="宋体"/>
          <w:sz w:val="32"/>
          <w:szCs w:val="32"/>
        </w:rPr>
      </w:pPr>
      <w:r>
        <w:rPr>
          <w:rFonts w:hint="eastAsia" w:ascii="宋体" w:hAnsi="宋体" w:eastAsia="宋体" w:cs="宋体"/>
          <w:i w:val="0"/>
          <w:caps w:val="0"/>
          <w:color w:val="333333"/>
          <w:spacing w:val="0"/>
          <w:sz w:val="28"/>
          <w:szCs w:val="28"/>
          <w:shd w:val="clear" w:color="auto" w:fill="FFFFFF"/>
          <w:lang w:val="en-US" w:eastAsia="zh-CN"/>
        </w:rPr>
        <w:t>2</w:t>
      </w:r>
      <w:r>
        <w:rPr>
          <w:rFonts w:hint="eastAsia" w:ascii="宋体" w:hAnsi="宋体" w:eastAsia="宋体" w:cs="宋体"/>
          <w:i w:val="0"/>
          <w:caps w:val="0"/>
          <w:color w:val="333333"/>
          <w:spacing w:val="0"/>
          <w:sz w:val="32"/>
          <w:szCs w:val="32"/>
          <w:shd w:val="clear" w:color="auto" w:fill="FFFFFF"/>
          <w:lang w:val="en-US" w:eastAsia="zh-CN"/>
        </w:rPr>
        <w:t>021</w:t>
      </w:r>
      <w:r>
        <w:rPr>
          <w:rFonts w:hint="eastAsia" w:ascii="宋体" w:hAnsi="宋体" w:eastAsia="宋体" w:cs="宋体"/>
          <w:i w:val="0"/>
          <w:caps w:val="0"/>
          <w:color w:val="333333"/>
          <w:spacing w:val="0"/>
          <w:sz w:val="32"/>
          <w:szCs w:val="32"/>
          <w:shd w:val="clear" w:color="auto" w:fill="FFFFFF"/>
        </w:rPr>
        <w:t>年，在县委、县政府和卫</w:t>
      </w:r>
      <w:r>
        <w:rPr>
          <w:rFonts w:hint="eastAsia" w:ascii="宋体" w:hAnsi="宋体" w:eastAsia="宋体" w:cs="宋体"/>
          <w:i w:val="0"/>
          <w:caps w:val="0"/>
          <w:color w:val="333333"/>
          <w:spacing w:val="0"/>
          <w:sz w:val="32"/>
          <w:szCs w:val="32"/>
          <w:shd w:val="clear" w:color="auto" w:fill="FFFFFF"/>
          <w:lang w:eastAsia="zh-CN"/>
        </w:rPr>
        <w:t>健</w:t>
      </w:r>
      <w:r>
        <w:rPr>
          <w:rFonts w:hint="eastAsia" w:ascii="宋体" w:hAnsi="宋体" w:eastAsia="宋体" w:cs="宋体"/>
          <w:i w:val="0"/>
          <w:caps w:val="0"/>
          <w:color w:val="333333"/>
          <w:spacing w:val="0"/>
          <w:sz w:val="32"/>
          <w:szCs w:val="32"/>
          <w:shd w:val="clear" w:color="auto" w:fill="FFFFFF"/>
        </w:rPr>
        <w:t>局的正确领导下，我</w:t>
      </w:r>
      <w:r>
        <w:rPr>
          <w:rFonts w:hint="eastAsia" w:ascii="宋体" w:hAnsi="宋体" w:eastAsia="宋体" w:cs="宋体"/>
          <w:i w:val="0"/>
          <w:caps w:val="0"/>
          <w:color w:val="333333"/>
          <w:spacing w:val="0"/>
          <w:sz w:val="32"/>
          <w:szCs w:val="32"/>
          <w:shd w:val="clear" w:color="auto" w:fill="FFFFFF"/>
          <w:lang w:eastAsia="zh-CN"/>
        </w:rPr>
        <w:t>中心</w:t>
      </w:r>
      <w:r>
        <w:rPr>
          <w:rFonts w:hint="eastAsia" w:ascii="宋体" w:hAnsi="宋体" w:eastAsia="宋体" w:cs="宋体"/>
          <w:i w:val="0"/>
          <w:caps w:val="0"/>
          <w:color w:val="333333"/>
          <w:spacing w:val="0"/>
          <w:sz w:val="32"/>
          <w:szCs w:val="32"/>
          <w:shd w:val="clear" w:color="auto" w:fill="FFFFFF"/>
        </w:rPr>
        <w:t>牢牢把握发展大势，认真落实积极财政政策，狠抓增收节支，优化支出结构，深化管理改革，经受住了各方面严峻考验，为促进经济转型升级、社会事业发展、人民生活改善、社会治理进步提供了坚强保障。圆满完成收支预算任务，财政管理更加科学规范。通过认真组织人员培训，借助滚动宣传板报等形式，大力开展宣传活动，营造了良好的社会氛围，人民群众对儿童保健管理、孕产妇保健管理，各项项目工作得到较稳步推进。根据</w:t>
      </w:r>
      <w:r>
        <w:rPr>
          <w:rFonts w:hint="eastAsia" w:ascii="宋体" w:hAnsi="宋体" w:eastAsia="宋体" w:cs="宋体"/>
          <w:i w:val="0"/>
          <w:caps w:val="0"/>
          <w:color w:val="333333"/>
          <w:spacing w:val="0"/>
          <w:sz w:val="32"/>
          <w:szCs w:val="32"/>
          <w:shd w:val="clear" w:color="auto" w:fill="FFFFFF"/>
          <w:lang w:eastAsia="zh-CN"/>
        </w:rPr>
        <w:t>盐边委办【</w:t>
      </w:r>
      <w:r>
        <w:rPr>
          <w:rFonts w:hint="eastAsia" w:ascii="宋体" w:hAnsi="宋体" w:eastAsia="宋体" w:cs="宋体"/>
          <w:i w:val="0"/>
          <w:caps w:val="0"/>
          <w:color w:val="333333"/>
          <w:spacing w:val="0"/>
          <w:sz w:val="32"/>
          <w:szCs w:val="32"/>
          <w:shd w:val="clear" w:color="auto" w:fill="FFFFFF"/>
          <w:lang w:val="en-US" w:eastAsia="zh-CN"/>
        </w:rPr>
        <w:t>2022</w:t>
      </w:r>
      <w:r>
        <w:rPr>
          <w:rFonts w:hint="eastAsia" w:ascii="宋体" w:hAnsi="宋体" w:eastAsia="宋体" w:cs="宋体"/>
          <w:i w:val="0"/>
          <w:caps w:val="0"/>
          <w:color w:val="333333"/>
          <w:spacing w:val="0"/>
          <w:sz w:val="32"/>
          <w:szCs w:val="32"/>
          <w:shd w:val="clear" w:color="auto" w:fill="FFFFFF"/>
          <w:lang w:eastAsia="zh-CN"/>
        </w:rPr>
        <w:t>】</w:t>
      </w:r>
      <w:r>
        <w:rPr>
          <w:rFonts w:hint="eastAsia" w:ascii="宋体" w:hAnsi="宋体" w:eastAsia="宋体" w:cs="宋体"/>
          <w:i w:val="0"/>
          <w:caps w:val="0"/>
          <w:color w:val="333333"/>
          <w:spacing w:val="0"/>
          <w:sz w:val="32"/>
          <w:szCs w:val="32"/>
          <w:shd w:val="clear" w:color="auto" w:fill="FFFFFF"/>
          <w:lang w:val="en-US" w:eastAsia="zh-CN"/>
        </w:rPr>
        <w:t>03</w:t>
      </w:r>
      <w:r>
        <w:rPr>
          <w:rFonts w:hint="eastAsia" w:ascii="宋体" w:hAnsi="宋体" w:eastAsia="宋体" w:cs="宋体"/>
          <w:i w:val="0"/>
          <w:caps w:val="0"/>
          <w:color w:val="333333"/>
          <w:spacing w:val="0"/>
          <w:sz w:val="32"/>
          <w:szCs w:val="32"/>
          <w:shd w:val="clear" w:color="auto" w:fill="FFFFFF"/>
        </w:rPr>
        <w:t>号文件精神要求</w:t>
      </w:r>
      <w:r>
        <w:rPr>
          <w:rFonts w:hint="eastAsia" w:ascii="宋体" w:hAnsi="宋体" w:eastAsia="宋体" w:cs="宋体"/>
          <w:i w:val="0"/>
          <w:caps w:val="0"/>
          <w:color w:val="333333"/>
          <w:spacing w:val="0"/>
          <w:sz w:val="32"/>
          <w:szCs w:val="32"/>
          <w:shd w:val="clear" w:color="auto" w:fill="FFFFFF"/>
          <w:lang w:eastAsia="zh-CN"/>
        </w:rPr>
        <w:t>自行评价</w:t>
      </w:r>
      <w:r>
        <w:rPr>
          <w:rFonts w:hint="eastAsia" w:ascii="宋体" w:hAnsi="宋体" w:eastAsia="宋体" w:cs="宋体"/>
          <w:i w:val="0"/>
          <w:caps w:val="0"/>
          <w:color w:val="333333"/>
          <w:spacing w:val="0"/>
          <w:sz w:val="32"/>
          <w:szCs w:val="32"/>
          <w:shd w:val="clear" w:color="auto" w:fill="FFFFFF"/>
        </w:rPr>
        <w:t>。</w:t>
      </w:r>
    </w:p>
    <w:p>
      <w:pPr>
        <w:numPr>
          <w:ilvl w:val="0"/>
          <w:numId w:val="9"/>
        </w:numPr>
        <w:spacing w:line="56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主要目标绩效完成情况</w:t>
      </w:r>
    </w:p>
    <w:p>
      <w:pPr>
        <w:widowControl/>
        <w:numPr>
          <w:ilvl w:val="0"/>
          <w:numId w:val="0"/>
        </w:numPr>
        <w:adjustRightInd/>
        <w:snapToGrid/>
        <w:spacing w:line="560" w:lineRule="exact"/>
        <w:ind w:firstLine="640" w:firstLineChars="200"/>
        <w:contextualSpacing/>
        <w:jc w:val="left"/>
        <w:rPr>
          <w:rFonts w:hint="eastAsia" w:ascii="宋体" w:hAnsi="宋体" w:eastAsia="宋体" w:cs="宋体"/>
          <w:color w:val="000000"/>
          <w:sz w:val="32"/>
          <w:szCs w:val="32"/>
        </w:rPr>
      </w:pPr>
      <w:r>
        <w:rPr>
          <w:rFonts w:hint="eastAsia" w:ascii="宋体" w:hAnsi="宋体" w:eastAsia="宋体" w:cs="宋体"/>
          <w:sz w:val="32"/>
          <w:szCs w:val="32"/>
          <w:lang w:val="en-US" w:eastAsia="zh-CN"/>
        </w:rPr>
        <w:t>2021年的免费婚前检查、孕前了优生优育检查、重大传染病、0-6岁儿童、孕产妇死亡管理工作，各项目标均完成得好。</w:t>
      </w:r>
    </w:p>
    <w:p>
      <w:pPr>
        <w:widowControl/>
        <w:adjustRightInd w:val="0"/>
        <w:snapToGrid w:val="0"/>
        <w:spacing w:line="580" w:lineRule="exact"/>
        <w:ind w:firstLine="642" w:firstLineChars="200"/>
        <w:contextualSpacing/>
        <w:jc w:val="left"/>
        <w:rPr>
          <w:rFonts w:hint="eastAsia" w:ascii="宋体" w:hAnsi="宋体" w:eastAsia="宋体" w:cs="宋体"/>
          <w:b/>
          <w:bCs/>
          <w:color w:val="000000"/>
          <w:sz w:val="32"/>
          <w:szCs w:val="32"/>
        </w:rPr>
      </w:pPr>
      <w:r>
        <w:rPr>
          <w:rFonts w:hint="eastAsia" w:ascii="宋体" w:hAnsi="宋体" w:eastAsia="宋体" w:cs="宋体"/>
          <w:b/>
          <w:bCs/>
          <w:color w:val="000000"/>
          <w:sz w:val="32"/>
          <w:szCs w:val="32"/>
        </w:rPr>
        <w:t>（二）结果应用情况。</w:t>
      </w:r>
    </w:p>
    <w:p>
      <w:pPr>
        <w:spacing w:line="560" w:lineRule="exact"/>
        <w:ind w:firstLine="640" w:firstLineChars="200"/>
        <w:rPr>
          <w:rFonts w:hint="eastAsia" w:ascii="宋体" w:hAnsi="宋体" w:eastAsia="宋体" w:cs="宋体"/>
          <w:i w:val="0"/>
          <w:caps w:val="0"/>
          <w:color w:val="333333"/>
          <w:spacing w:val="0"/>
          <w:sz w:val="32"/>
          <w:szCs w:val="32"/>
          <w:shd w:val="clear" w:color="auto" w:fill="FFFFFF"/>
          <w:lang w:eastAsia="zh-CN"/>
        </w:rPr>
      </w:pPr>
      <w:r>
        <w:rPr>
          <w:rFonts w:hint="eastAsia" w:ascii="宋体" w:hAnsi="宋体" w:eastAsia="宋体" w:cs="宋体"/>
          <w:i w:val="0"/>
          <w:caps w:val="0"/>
          <w:color w:val="333333"/>
          <w:spacing w:val="0"/>
          <w:sz w:val="32"/>
          <w:szCs w:val="32"/>
          <w:shd w:val="clear" w:color="auto" w:fill="FFFFFF"/>
        </w:rPr>
        <w:t>按照</w:t>
      </w:r>
      <w:r>
        <w:rPr>
          <w:rFonts w:hint="eastAsia" w:ascii="宋体" w:hAnsi="宋体" w:eastAsia="宋体" w:cs="宋体"/>
          <w:i w:val="0"/>
          <w:caps w:val="0"/>
          <w:color w:val="333333"/>
          <w:spacing w:val="0"/>
          <w:sz w:val="32"/>
          <w:szCs w:val="32"/>
          <w:shd w:val="clear" w:color="auto" w:fill="FFFFFF"/>
          <w:lang w:eastAsia="zh-CN"/>
        </w:rPr>
        <w:t>财政局</w:t>
      </w:r>
      <w:r>
        <w:rPr>
          <w:rFonts w:hint="eastAsia" w:ascii="宋体" w:hAnsi="宋体" w:eastAsia="宋体" w:cs="宋体"/>
          <w:i w:val="0"/>
          <w:caps w:val="0"/>
          <w:color w:val="333333"/>
          <w:spacing w:val="0"/>
          <w:sz w:val="32"/>
          <w:szCs w:val="32"/>
          <w:shd w:val="clear" w:color="auto" w:fill="FFFFFF"/>
        </w:rPr>
        <w:t>统一部署和具体要求，在财政部门预算批复20日内，</w:t>
      </w:r>
      <w:r>
        <w:rPr>
          <w:rFonts w:hint="eastAsia" w:ascii="宋体" w:hAnsi="宋体" w:eastAsia="宋体" w:cs="宋体"/>
          <w:i w:val="0"/>
          <w:caps w:val="0"/>
          <w:color w:val="333333"/>
          <w:spacing w:val="0"/>
          <w:sz w:val="32"/>
          <w:szCs w:val="32"/>
          <w:shd w:val="clear" w:color="auto" w:fill="FFFFFF"/>
          <w:lang w:eastAsia="zh-CN"/>
        </w:rPr>
        <w:t>在盐边县公众信息网</w:t>
      </w:r>
      <w:r>
        <w:rPr>
          <w:rFonts w:hint="eastAsia" w:ascii="宋体" w:hAnsi="宋体" w:eastAsia="宋体" w:cs="宋体"/>
          <w:i w:val="0"/>
          <w:caps w:val="0"/>
          <w:color w:val="333333"/>
          <w:spacing w:val="0"/>
          <w:sz w:val="32"/>
          <w:szCs w:val="32"/>
          <w:shd w:val="clear" w:color="auto" w:fill="FFFFFF"/>
        </w:rPr>
        <w:t>主动公开了</w:t>
      </w:r>
      <w:r>
        <w:rPr>
          <w:rFonts w:hint="eastAsia" w:ascii="宋体" w:hAnsi="宋体" w:eastAsia="宋体" w:cs="宋体"/>
          <w:i w:val="0"/>
          <w:caps w:val="0"/>
          <w:color w:val="333333"/>
          <w:spacing w:val="0"/>
          <w:sz w:val="32"/>
          <w:szCs w:val="32"/>
          <w:shd w:val="clear" w:color="auto" w:fill="FFFFFF"/>
          <w:lang w:val="en-US" w:eastAsia="zh-CN"/>
        </w:rPr>
        <w:t>2021</w:t>
      </w:r>
      <w:r>
        <w:rPr>
          <w:rFonts w:hint="eastAsia" w:ascii="宋体" w:hAnsi="宋体" w:eastAsia="宋体" w:cs="宋体"/>
          <w:i w:val="0"/>
          <w:caps w:val="0"/>
          <w:color w:val="333333"/>
          <w:spacing w:val="0"/>
          <w:sz w:val="32"/>
          <w:szCs w:val="32"/>
          <w:shd w:val="clear" w:color="auto" w:fill="FFFFFF"/>
        </w:rPr>
        <w:t>年部门预算编制说明；在财政部门决算批复20日内，</w:t>
      </w:r>
      <w:r>
        <w:rPr>
          <w:rFonts w:hint="eastAsia" w:ascii="宋体" w:hAnsi="宋体" w:eastAsia="宋体" w:cs="宋体"/>
          <w:i w:val="0"/>
          <w:caps w:val="0"/>
          <w:color w:val="333333"/>
          <w:spacing w:val="0"/>
          <w:sz w:val="32"/>
          <w:szCs w:val="32"/>
          <w:shd w:val="clear" w:color="auto" w:fill="FFFFFF"/>
          <w:lang w:eastAsia="zh-CN"/>
        </w:rPr>
        <w:t>在盐边县公众信息网</w:t>
      </w:r>
      <w:r>
        <w:rPr>
          <w:rFonts w:hint="eastAsia" w:ascii="宋体" w:hAnsi="宋体" w:eastAsia="宋体" w:cs="宋体"/>
          <w:i w:val="0"/>
          <w:caps w:val="0"/>
          <w:color w:val="333333"/>
          <w:spacing w:val="0"/>
          <w:sz w:val="32"/>
          <w:szCs w:val="32"/>
          <w:shd w:val="clear" w:color="auto" w:fill="FFFFFF"/>
        </w:rPr>
        <w:t>主动公开了</w:t>
      </w:r>
      <w:r>
        <w:rPr>
          <w:rFonts w:hint="eastAsia" w:ascii="宋体" w:hAnsi="宋体" w:eastAsia="宋体" w:cs="宋体"/>
          <w:i w:val="0"/>
          <w:caps w:val="0"/>
          <w:color w:val="333333"/>
          <w:spacing w:val="0"/>
          <w:sz w:val="32"/>
          <w:szCs w:val="32"/>
          <w:shd w:val="clear" w:color="auto" w:fill="FFFFFF"/>
          <w:lang w:val="en-US" w:eastAsia="zh-CN"/>
        </w:rPr>
        <w:t>2021</w:t>
      </w:r>
      <w:r>
        <w:rPr>
          <w:rFonts w:hint="eastAsia" w:ascii="宋体" w:hAnsi="宋体" w:eastAsia="宋体" w:cs="宋体"/>
          <w:i w:val="0"/>
          <w:caps w:val="0"/>
          <w:color w:val="333333"/>
          <w:spacing w:val="0"/>
          <w:sz w:val="32"/>
          <w:szCs w:val="32"/>
          <w:shd w:val="clear" w:color="auto" w:fill="FFFFFF"/>
        </w:rPr>
        <w:t>年部门决算编制说明。</w:t>
      </w:r>
    </w:p>
    <w:p>
      <w:pPr>
        <w:spacing w:line="560" w:lineRule="exact"/>
        <w:ind w:firstLine="640" w:firstLineChars="200"/>
        <w:rPr>
          <w:rFonts w:hint="eastAsia" w:ascii="宋体" w:hAnsi="宋体" w:eastAsia="宋体" w:cs="宋体"/>
          <w:sz w:val="32"/>
          <w:szCs w:val="32"/>
          <w:lang w:eastAsia="zh-CN"/>
        </w:rPr>
      </w:pPr>
      <w:r>
        <w:rPr>
          <w:rFonts w:hint="eastAsia" w:ascii="宋体" w:hAnsi="宋体" w:eastAsia="宋体" w:cs="宋体"/>
          <w:i w:val="0"/>
          <w:caps w:val="0"/>
          <w:color w:val="333333"/>
          <w:spacing w:val="0"/>
          <w:sz w:val="32"/>
          <w:szCs w:val="32"/>
          <w:shd w:val="clear" w:color="auto" w:fill="FFFFFF"/>
        </w:rPr>
        <w:t>按照县财政局要求，对预决算编制情况、执行管理情况、支出绩效情况、财务管理情况、绩效管理工作开展情况认真进行了检查自评，并按要求在</w:t>
      </w:r>
      <w:r>
        <w:rPr>
          <w:rFonts w:hint="eastAsia" w:ascii="宋体" w:hAnsi="宋体" w:eastAsia="宋体" w:cs="宋体"/>
          <w:i w:val="0"/>
          <w:caps w:val="0"/>
          <w:color w:val="333333"/>
          <w:spacing w:val="0"/>
          <w:sz w:val="32"/>
          <w:szCs w:val="32"/>
          <w:shd w:val="clear" w:color="auto" w:fill="FFFFFF"/>
          <w:lang w:eastAsia="zh-CN"/>
        </w:rPr>
        <w:t>盐边县公众信息网</w:t>
      </w:r>
      <w:r>
        <w:rPr>
          <w:rFonts w:hint="eastAsia" w:ascii="宋体" w:hAnsi="宋体" w:eastAsia="宋体" w:cs="宋体"/>
          <w:i w:val="0"/>
          <w:caps w:val="0"/>
          <w:color w:val="333333"/>
          <w:spacing w:val="0"/>
          <w:sz w:val="32"/>
          <w:szCs w:val="32"/>
          <w:shd w:val="clear" w:color="auto" w:fill="FFFFFF"/>
        </w:rPr>
        <w:t>上公开了我</w:t>
      </w:r>
      <w:r>
        <w:rPr>
          <w:rFonts w:hint="eastAsia" w:ascii="宋体" w:hAnsi="宋体" w:eastAsia="宋体" w:cs="宋体"/>
          <w:i w:val="0"/>
          <w:caps w:val="0"/>
          <w:color w:val="333333"/>
          <w:spacing w:val="0"/>
          <w:sz w:val="32"/>
          <w:szCs w:val="32"/>
          <w:shd w:val="clear" w:color="auto" w:fill="FFFFFF"/>
          <w:lang w:eastAsia="zh-CN"/>
        </w:rPr>
        <w:t>中心</w:t>
      </w:r>
      <w:r>
        <w:rPr>
          <w:rFonts w:hint="eastAsia" w:ascii="宋体" w:hAnsi="宋体" w:eastAsia="宋体" w:cs="宋体"/>
          <w:i w:val="0"/>
          <w:caps w:val="0"/>
          <w:color w:val="333333"/>
          <w:spacing w:val="0"/>
          <w:sz w:val="32"/>
          <w:szCs w:val="32"/>
          <w:shd w:val="clear" w:color="auto" w:fill="FFFFFF"/>
        </w:rPr>
        <w:t>部门预算支出绩效自评报告，接受公众监督</w:t>
      </w:r>
      <w:r>
        <w:rPr>
          <w:rFonts w:hint="eastAsia" w:ascii="宋体" w:hAnsi="宋体" w:eastAsia="宋体" w:cs="宋体"/>
          <w:i w:val="0"/>
          <w:caps w:val="0"/>
          <w:color w:val="333333"/>
          <w:spacing w:val="0"/>
          <w:sz w:val="32"/>
          <w:szCs w:val="32"/>
          <w:shd w:val="clear" w:color="auto" w:fill="FFFFFF"/>
          <w:lang w:eastAsia="zh-CN"/>
        </w:rPr>
        <w:t>。</w:t>
      </w:r>
    </w:p>
    <w:p>
      <w:pPr>
        <w:widowControl/>
        <w:adjustRightInd w:val="0"/>
        <w:snapToGrid w:val="0"/>
        <w:spacing w:line="580" w:lineRule="exact"/>
        <w:ind w:firstLine="642" w:firstLineChars="200"/>
        <w:contextualSpacing/>
        <w:jc w:val="left"/>
        <w:rPr>
          <w:rFonts w:hint="eastAsia" w:ascii="宋体" w:hAnsi="宋体" w:eastAsia="宋体" w:cs="宋体"/>
          <w:b/>
          <w:bCs/>
          <w:color w:val="000000"/>
          <w:sz w:val="32"/>
          <w:szCs w:val="32"/>
        </w:rPr>
      </w:pPr>
      <w:r>
        <w:rPr>
          <w:rFonts w:hint="eastAsia" w:ascii="宋体" w:hAnsi="宋体" w:eastAsia="宋体" w:cs="宋体"/>
          <w:b/>
          <w:bCs/>
          <w:color w:val="000000"/>
          <w:sz w:val="32"/>
          <w:szCs w:val="32"/>
        </w:rPr>
        <w:t>四、评价结论及建议</w:t>
      </w:r>
    </w:p>
    <w:p>
      <w:pPr>
        <w:widowControl/>
        <w:adjustRightInd w:val="0"/>
        <w:snapToGrid w:val="0"/>
        <w:spacing w:line="580" w:lineRule="exact"/>
        <w:ind w:firstLine="642" w:firstLineChars="200"/>
        <w:contextualSpacing/>
        <w:jc w:val="left"/>
        <w:rPr>
          <w:rFonts w:hint="eastAsia" w:ascii="宋体" w:hAnsi="宋体" w:eastAsia="宋体" w:cs="宋体"/>
          <w:color w:val="000000"/>
          <w:sz w:val="32"/>
          <w:szCs w:val="32"/>
        </w:rPr>
      </w:pPr>
      <w:r>
        <w:rPr>
          <w:rFonts w:hint="eastAsia" w:ascii="宋体" w:hAnsi="宋体" w:eastAsia="宋体" w:cs="宋体"/>
          <w:b/>
          <w:bCs/>
          <w:color w:val="000000"/>
          <w:sz w:val="32"/>
          <w:szCs w:val="32"/>
        </w:rPr>
        <w:t>（一）评价结论。</w:t>
      </w:r>
    </w:p>
    <w:p>
      <w:pPr>
        <w:spacing w:line="560" w:lineRule="exact"/>
        <w:ind w:firstLine="960" w:firstLineChars="300"/>
        <w:rPr>
          <w:rFonts w:hint="eastAsia" w:ascii="宋体" w:hAnsi="宋体" w:eastAsia="宋体" w:cs="宋体"/>
          <w:i w:val="0"/>
          <w:caps w:val="0"/>
          <w:color w:val="333333"/>
          <w:spacing w:val="0"/>
          <w:sz w:val="32"/>
          <w:szCs w:val="32"/>
          <w:shd w:val="clear" w:color="auto" w:fill="FFFFFF"/>
        </w:rPr>
      </w:pPr>
      <w:r>
        <w:rPr>
          <w:rFonts w:hint="eastAsia" w:ascii="宋体" w:hAnsi="宋体" w:eastAsia="宋体" w:cs="宋体"/>
          <w:i w:val="0"/>
          <w:caps w:val="0"/>
          <w:color w:val="333333"/>
          <w:spacing w:val="0"/>
          <w:sz w:val="32"/>
          <w:szCs w:val="32"/>
          <w:shd w:val="clear" w:color="auto" w:fill="FFFFFF"/>
          <w:lang w:val="en-US" w:eastAsia="zh-CN"/>
        </w:rPr>
        <w:t>1、2021</w:t>
      </w:r>
      <w:r>
        <w:rPr>
          <w:rFonts w:hint="eastAsia" w:ascii="宋体" w:hAnsi="宋体" w:eastAsia="宋体" w:cs="宋体"/>
          <w:i w:val="0"/>
          <w:caps w:val="0"/>
          <w:color w:val="333333"/>
          <w:spacing w:val="0"/>
          <w:sz w:val="32"/>
          <w:szCs w:val="32"/>
          <w:shd w:val="clear" w:color="auto" w:fill="FFFFFF"/>
        </w:rPr>
        <w:t>年，认真做好年度财政资金的预算编制工作，按照政府采购目录及采购限额标准编制政府采购预算，做到应编尽编。在资金使用和管理方面，进一步强化资金统筹，优化资金结构，明确开支范围，细化资金用途，确保部门职责任务顺利完成。资金收支管理及会计核算较规范，能够按照相关会计制度和财务管理办法进行核算。</w:t>
      </w:r>
    </w:p>
    <w:p>
      <w:pPr>
        <w:widowControl/>
        <w:adjustRightInd/>
        <w:snapToGrid/>
        <w:spacing w:line="560" w:lineRule="exact"/>
        <w:ind w:firstLine="960" w:firstLineChars="300"/>
        <w:contextualSpacing/>
        <w:jc w:val="left"/>
        <w:rPr>
          <w:rFonts w:hint="eastAsia" w:ascii="宋体" w:hAnsi="宋体" w:eastAsia="宋体" w:cs="宋体"/>
          <w:color w:val="000000"/>
          <w:sz w:val="32"/>
          <w:szCs w:val="32"/>
        </w:rPr>
      </w:pPr>
      <w:r>
        <w:rPr>
          <w:rFonts w:hint="eastAsia" w:ascii="宋体" w:hAnsi="宋体" w:eastAsia="宋体" w:cs="宋体"/>
          <w:i w:val="0"/>
          <w:caps w:val="0"/>
          <w:color w:val="333333"/>
          <w:spacing w:val="0"/>
          <w:sz w:val="32"/>
          <w:szCs w:val="32"/>
          <w:shd w:val="clear" w:color="auto" w:fill="FFFFFF"/>
          <w:lang w:val="en-US" w:eastAsia="zh-CN"/>
        </w:rPr>
        <w:t>2、</w:t>
      </w:r>
      <w:r>
        <w:rPr>
          <w:rFonts w:hint="eastAsia" w:ascii="宋体" w:hAnsi="宋体" w:eastAsia="宋体" w:cs="宋体"/>
          <w:i w:val="0"/>
          <w:caps w:val="0"/>
          <w:color w:val="333333"/>
          <w:spacing w:val="0"/>
          <w:sz w:val="32"/>
          <w:szCs w:val="32"/>
          <w:shd w:val="clear" w:color="auto" w:fill="FFFFFF"/>
        </w:rPr>
        <w:t>全年项目支出达到预期绩效目标</w:t>
      </w:r>
      <w:r>
        <w:rPr>
          <w:rFonts w:hint="eastAsia" w:ascii="宋体" w:hAnsi="宋体" w:eastAsia="宋体" w:cs="宋体"/>
          <w:i w:val="0"/>
          <w:caps w:val="0"/>
          <w:color w:val="333333"/>
          <w:spacing w:val="0"/>
          <w:sz w:val="32"/>
          <w:szCs w:val="32"/>
          <w:shd w:val="clear" w:color="auto" w:fill="FFFFFF"/>
          <w:lang w:eastAsia="zh-CN"/>
        </w:rPr>
        <w:t>、基本支出保证了正式人员的人员经费。</w:t>
      </w:r>
    </w:p>
    <w:p>
      <w:pPr>
        <w:widowControl/>
        <w:adjustRightInd w:val="0"/>
        <w:snapToGrid w:val="0"/>
        <w:spacing w:line="580" w:lineRule="exact"/>
        <w:ind w:firstLine="642" w:firstLineChars="200"/>
        <w:contextualSpacing/>
        <w:jc w:val="left"/>
        <w:rPr>
          <w:rFonts w:hint="eastAsia" w:ascii="宋体" w:hAnsi="宋体" w:eastAsia="宋体" w:cs="宋体"/>
          <w:b/>
          <w:bCs/>
          <w:color w:val="000000"/>
          <w:sz w:val="32"/>
          <w:szCs w:val="32"/>
        </w:rPr>
      </w:pPr>
      <w:r>
        <w:rPr>
          <w:rFonts w:hint="eastAsia" w:ascii="宋体" w:hAnsi="宋体" w:eastAsia="宋体" w:cs="宋体"/>
          <w:b/>
          <w:bCs/>
          <w:color w:val="000000"/>
          <w:sz w:val="32"/>
          <w:szCs w:val="32"/>
        </w:rPr>
        <w:t>（二）存在问题。</w:t>
      </w:r>
    </w:p>
    <w:p>
      <w:pPr>
        <w:spacing w:line="560" w:lineRule="exact"/>
        <w:ind w:firstLine="640" w:firstLineChars="200"/>
        <w:jc w:val="left"/>
        <w:rPr>
          <w:rFonts w:hint="eastAsia" w:ascii="宋体" w:hAnsi="宋体" w:eastAsia="宋体" w:cs="宋体"/>
          <w:i w:val="0"/>
          <w:caps w:val="0"/>
          <w:color w:val="333333"/>
          <w:spacing w:val="0"/>
          <w:sz w:val="32"/>
          <w:szCs w:val="32"/>
          <w:shd w:val="clear" w:color="auto" w:fill="FFFFFF"/>
          <w:lang w:eastAsia="zh-CN"/>
        </w:rPr>
      </w:pPr>
      <w:r>
        <w:rPr>
          <w:rFonts w:hint="eastAsia" w:ascii="宋体" w:hAnsi="宋体" w:eastAsia="宋体" w:cs="宋体"/>
          <w:i w:val="0"/>
          <w:caps w:val="0"/>
          <w:color w:val="333333"/>
          <w:spacing w:val="0"/>
          <w:sz w:val="32"/>
          <w:szCs w:val="32"/>
          <w:shd w:val="clear" w:color="auto" w:fill="FFFFFF"/>
        </w:rPr>
        <w:t>1、未严格执行年初预算的基本支出和项目支出进行经济科目分类列支。</w:t>
      </w:r>
    </w:p>
    <w:p>
      <w:pPr>
        <w:spacing w:line="560" w:lineRule="exact"/>
        <w:ind w:firstLine="640" w:firstLineChars="200"/>
        <w:jc w:val="left"/>
        <w:rPr>
          <w:rFonts w:hint="eastAsia" w:ascii="宋体" w:hAnsi="宋体" w:eastAsia="宋体" w:cs="宋体"/>
          <w:i w:val="0"/>
          <w:caps w:val="0"/>
          <w:color w:val="333333"/>
          <w:spacing w:val="0"/>
          <w:sz w:val="32"/>
          <w:szCs w:val="32"/>
          <w:shd w:val="clear" w:color="auto" w:fill="FFFFFF"/>
          <w:lang w:eastAsia="zh-CN"/>
        </w:rPr>
      </w:pPr>
      <w:r>
        <w:rPr>
          <w:rFonts w:hint="eastAsia" w:ascii="宋体" w:hAnsi="宋体" w:eastAsia="宋体" w:cs="宋体"/>
          <w:i w:val="0"/>
          <w:caps w:val="0"/>
          <w:color w:val="333333"/>
          <w:spacing w:val="0"/>
          <w:sz w:val="32"/>
          <w:szCs w:val="32"/>
          <w:shd w:val="clear" w:color="auto" w:fill="FFFFFF"/>
        </w:rPr>
        <w:t>2、在编制部门整体绩效评价时，单位相关的职责部门配合不够。</w:t>
      </w:r>
    </w:p>
    <w:p>
      <w:pPr>
        <w:spacing w:line="560" w:lineRule="exact"/>
        <w:ind w:firstLine="640" w:firstLineChars="200"/>
        <w:jc w:val="left"/>
        <w:rPr>
          <w:rFonts w:hint="eastAsia" w:ascii="宋体" w:hAnsi="宋体" w:eastAsia="宋体" w:cs="宋体"/>
          <w:i w:val="0"/>
          <w:caps w:val="0"/>
          <w:color w:val="333333"/>
          <w:spacing w:val="0"/>
          <w:sz w:val="32"/>
          <w:szCs w:val="32"/>
          <w:shd w:val="clear" w:color="auto" w:fill="FFFFFF"/>
          <w:lang w:eastAsia="zh-CN"/>
        </w:rPr>
      </w:pPr>
      <w:r>
        <w:rPr>
          <w:rFonts w:hint="eastAsia" w:ascii="宋体" w:hAnsi="宋体" w:eastAsia="宋体" w:cs="宋体"/>
          <w:i w:val="0"/>
          <w:caps w:val="0"/>
          <w:color w:val="333333"/>
          <w:spacing w:val="0"/>
          <w:sz w:val="32"/>
          <w:szCs w:val="32"/>
          <w:shd w:val="clear" w:color="auto" w:fill="FFFFFF"/>
        </w:rPr>
        <w:t>3、在预算紧围绕人员支出，应加强基本支出预算。</w:t>
      </w:r>
    </w:p>
    <w:p>
      <w:pPr>
        <w:spacing w:line="560" w:lineRule="exact"/>
        <w:ind w:firstLine="640" w:firstLineChars="200"/>
        <w:jc w:val="left"/>
        <w:rPr>
          <w:rFonts w:hint="eastAsia" w:ascii="宋体" w:hAnsi="宋体" w:eastAsia="宋体" w:cs="宋体"/>
          <w:i w:val="0"/>
          <w:caps w:val="0"/>
          <w:color w:val="333333"/>
          <w:spacing w:val="0"/>
          <w:sz w:val="32"/>
          <w:szCs w:val="32"/>
          <w:shd w:val="clear" w:color="auto" w:fill="FFFFFF"/>
        </w:rPr>
      </w:pPr>
      <w:r>
        <w:rPr>
          <w:rFonts w:hint="eastAsia" w:ascii="宋体" w:hAnsi="宋体" w:eastAsia="宋体" w:cs="宋体"/>
          <w:i w:val="0"/>
          <w:caps w:val="0"/>
          <w:color w:val="333333"/>
          <w:spacing w:val="0"/>
          <w:sz w:val="32"/>
          <w:szCs w:val="32"/>
          <w:shd w:val="clear" w:color="auto" w:fill="FFFFFF"/>
        </w:rPr>
        <w:t>4、结转指标较大，需进一步加大执行力度，减少年末结转资金数。</w:t>
      </w:r>
    </w:p>
    <w:p>
      <w:pPr>
        <w:widowControl/>
        <w:adjustRightInd w:val="0"/>
        <w:snapToGrid w:val="0"/>
        <w:spacing w:line="580" w:lineRule="exact"/>
        <w:ind w:firstLine="640" w:firstLineChars="200"/>
        <w:contextualSpacing/>
        <w:jc w:val="left"/>
        <w:rPr>
          <w:rFonts w:hint="eastAsia" w:ascii="宋体" w:hAnsi="宋体" w:eastAsia="宋体" w:cs="宋体"/>
          <w:color w:val="000000"/>
          <w:sz w:val="32"/>
          <w:szCs w:val="32"/>
        </w:rPr>
      </w:pPr>
      <w:r>
        <w:rPr>
          <w:rFonts w:hint="eastAsia" w:ascii="宋体" w:hAnsi="宋体" w:eastAsia="宋体" w:cs="宋体"/>
          <w:i w:val="0"/>
          <w:caps w:val="0"/>
          <w:color w:val="333333"/>
          <w:spacing w:val="0"/>
          <w:sz w:val="32"/>
          <w:szCs w:val="32"/>
          <w:shd w:val="clear" w:color="auto" w:fill="FFFFFF"/>
          <w:lang w:val="en-US" w:eastAsia="zh-CN"/>
        </w:rPr>
        <w:t>5、财政应该承担临时人员的人员经费</w:t>
      </w:r>
      <w:r>
        <w:rPr>
          <w:rFonts w:hint="eastAsia" w:ascii="宋体" w:hAnsi="宋体" w:cs="宋体"/>
          <w:i w:val="0"/>
          <w:caps w:val="0"/>
          <w:color w:val="333333"/>
          <w:spacing w:val="0"/>
          <w:sz w:val="32"/>
          <w:szCs w:val="32"/>
          <w:shd w:val="clear" w:color="auto" w:fill="FFFFFF"/>
          <w:lang w:val="en-US" w:eastAsia="zh-CN"/>
        </w:rPr>
        <w:t>，还有</w:t>
      </w:r>
      <w:r>
        <w:rPr>
          <w:rFonts w:hint="eastAsia" w:ascii="宋体" w:hAnsi="宋体" w:eastAsia="宋体" w:cs="宋体"/>
          <w:i w:val="0"/>
          <w:caps w:val="0"/>
          <w:color w:val="333333"/>
          <w:spacing w:val="0"/>
          <w:sz w:val="32"/>
          <w:szCs w:val="32"/>
          <w:shd w:val="clear" w:color="auto" w:fill="FFFFFF"/>
          <w:lang w:val="en-US" w:eastAsia="zh-CN"/>
        </w:rPr>
        <w:t>单位的公用经费。</w:t>
      </w:r>
    </w:p>
    <w:p>
      <w:pPr>
        <w:widowControl/>
        <w:adjustRightInd w:val="0"/>
        <w:snapToGrid w:val="0"/>
        <w:spacing w:line="580" w:lineRule="exact"/>
        <w:ind w:firstLine="642" w:firstLineChars="200"/>
        <w:contextualSpacing/>
        <w:jc w:val="left"/>
        <w:rPr>
          <w:rFonts w:hint="eastAsia" w:ascii="宋体" w:hAnsi="宋体" w:eastAsia="宋体" w:cs="宋体"/>
          <w:b/>
          <w:bCs/>
          <w:color w:val="000000"/>
          <w:sz w:val="32"/>
          <w:szCs w:val="32"/>
        </w:rPr>
      </w:pPr>
      <w:r>
        <w:rPr>
          <w:rFonts w:hint="eastAsia" w:ascii="宋体" w:hAnsi="宋体" w:eastAsia="宋体" w:cs="宋体"/>
          <w:b/>
          <w:bCs/>
          <w:color w:val="000000"/>
          <w:sz w:val="32"/>
          <w:szCs w:val="32"/>
        </w:rPr>
        <w:t>（三）改进建议。</w:t>
      </w:r>
    </w:p>
    <w:p>
      <w:pPr>
        <w:spacing w:line="560" w:lineRule="exact"/>
        <w:ind w:firstLine="640" w:firstLineChars="200"/>
        <w:jc w:val="left"/>
        <w:rPr>
          <w:rFonts w:hint="eastAsia" w:ascii="宋体" w:hAnsi="宋体" w:eastAsia="宋体" w:cs="宋体"/>
          <w:i w:val="0"/>
          <w:caps w:val="0"/>
          <w:color w:val="333333"/>
          <w:spacing w:val="0"/>
          <w:sz w:val="32"/>
          <w:szCs w:val="32"/>
          <w:shd w:val="clear" w:color="auto" w:fill="FFFFFF"/>
          <w:lang w:eastAsia="zh-CN"/>
        </w:rPr>
      </w:pPr>
      <w:r>
        <w:rPr>
          <w:rFonts w:hint="eastAsia" w:ascii="宋体" w:hAnsi="宋体" w:eastAsia="宋体" w:cs="宋体"/>
          <w:i w:val="0"/>
          <w:caps w:val="0"/>
          <w:color w:val="333333"/>
          <w:spacing w:val="0"/>
          <w:sz w:val="32"/>
          <w:szCs w:val="32"/>
          <w:shd w:val="clear" w:color="auto" w:fill="FFFFFF"/>
        </w:rPr>
        <w:t>1、建议财政部门加强对县级部门财务人员业务培训，促进部门财务工作的相互交流学习。</w:t>
      </w:r>
    </w:p>
    <w:p>
      <w:pPr>
        <w:spacing w:line="560" w:lineRule="exact"/>
        <w:ind w:firstLine="640" w:firstLineChars="200"/>
        <w:jc w:val="left"/>
        <w:rPr>
          <w:rFonts w:hint="eastAsia" w:ascii="宋体" w:hAnsi="宋体" w:eastAsia="宋体" w:cs="宋体"/>
          <w:i w:val="0"/>
          <w:caps w:val="0"/>
          <w:color w:val="333333"/>
          <w:spacing w:val="0"/>
          <w:sz w:val="32"/>
          <w:szCs w:val="32"/>
          <w:shd w:val="clear" w:color="auto" w:fill="FFFFFF"/>
          <w:lang w:eastAsia="zh-CN"/>
        </w:rPr>
      </w:pPr>
      <w:r>
        <w:rPr>
          <w:rFonts w:hint="eastAsia" w:ascii="宋体" w:hAnsi="宋体" w:eastAsia="宋体" w:cs="宋体"/>
          <w:i w:val="0"/>
          <w:caps w:val="0"/>
          <w:color w:val="333333"/>
          <w:spacing w:val="0"/>
          <w:sz w:val="32"/>
          <w:szCs w:val="32"/>
          <w:shd w:val="clear" w:color="auto" w:fill="FFFFFF"/>
        </w:rPr>
        <w:t>2、督促单位财务人员加强自身业务学习，提高责任意识和服务意识，进一步提升财务管理水平。</w:t>
      </w:r>
    </w:p>
    <w:p>
      <w:pPr>
        <w:pStyle w:val="2"/>
        <w:rPr>
          <w:rFonts w:hint="eastAsia" w:ascii="黑体" w:hAnsi="黑体" w:eastAsia="黑体" w:cs="黑体"/>
          <w:sz w:val="32"/>
          <w:szCs w:val="32"/>
        </w:rPr>
      </w:pPr>
      <w:r>
        <w:rPr>
          <w:rFonts w:hint="eastAsia" w:ascii="宋体" w:hAnsi="宋体" w:eastAsia="宋体" w:cs="宋体"/>
          <w:i w:val="0"/>
          <w:caps w:val="0"/>
          <w:color w:val="333333"/>
          <w:spacing w:val="0"/>
          <w:sz w:val="32"/>
          <w:szCs w:val="32"/>
          <w:shd w:val="clear" w:color="auto" w:fill="FFFFFF"/>
        </w:rPr>
        <w:t>　　3、加强项目资金管理，充分发挥项目的社会效益。</w:t>
      </w:r>
    </w:p>
    <w:tbl>
      <w:tblPr>
        <w:tblStyle w:val="13"/>
        <w:tblpPr w:leftFromText="180" w:rightFromText="180" w:vertAnchor="text" w:horzAnchor="page" w:tblpX="1765" w:tblpY="4452"/>
        <w:tblOverlap w:val="never"/>
        <w:tblW w:w="9990" w:type="dxa"/>
        <w:tblInd w:w="0" w:type="dxa"/>
        <w:tblLayout w:type="autofit"/>
        <w:tblCellMar>
          <w:top w:w="0" w:type="dxa"/>
          <w:left w:w="108" w:type="dxa"/>
          <w:bottom w:w="0" w:type="dxa"/>
          <w:right w:w="108" w:type="dxa"/>
        </w:tblCellMar>
      </w:tblPr>
      <w:tblGrid>
        <w:gridCol w:w="740"/>
        <w:gridCol w:w="734"/>
        <w:gridCol w:w="988"/>
        <w:gridCol w:w="1972"/>
        <w:gridCol w:w="1527"/>
        <w:gridCol w:w="1468"/>
        <w:gridCol w:w="1074"/>
        <w:gridCol w:w="1487"/>
      </w:tblGrid>
      <w:tr>
        <w:tblPrEx>
          <w:tblCellMar>
            <w:top w:w="0" w:type="dxa"/>
            <w:left w:w="108" w:type="dxa"/>
            <w:bottom w:w="0" w:type="dxa"/>
            <w:right w:w="108" w:type="dxa"/>
          </w:tblCellMar>
        </w:tblPrEx>
        <w:trPr>
          <w:trHeight w:val="405" w:hRule="atLeast"/>
        </w:trPr>
        <w:tc>
          <w:tcPr>
            <w:tcW w:w="9990" w:type="dxa"/>
            <w:gridSpan w:val="8"/>
            <w:tcBorders>
              <w:top w:val="nil"/>
              <w:left w:val="nil"/>
              <w:bottom w:val="nil"/>
              <w:right w:val="nil"/>
            </w:tcBorders>
            <w:shd w:val="clear" w:color="auto" w:fill="auto"/>
            <w:vAlign w:val="center"/>
          </w:tcPr>
          <w:p>
            <w:pPr>
              <w:widowControl/>
              <w:jc w:val="both"/>
              <w:rPr>
                <w:rFonts w:ascii="宋体" w:hAnsi="宋体" w:cs="宋体"/>
                <w:b/>
                <w:bCs/>
                <w:kern w:val="0"/>
                <w:sz w:val="32"/>
                <w:szCs w:val="32"/>
              </w:rPr>
            </w:pPr>
            <w:bookmarkStart w:id="53" w:name="_Toc15396618"/>
          </w:p>
        </w:tc>
      </w:tr>
      <w:tr>
        <w:tblPrEx>
          <w:tblCellMar>
            <w:top w:w="0" w:type="dxa"/>
            <w:left w:w="108" w:type="dxa"/>
            <w:bottom w:w="0" w:type="dxa"/>
            <w:right w:w="108" w:type="dxa"/>
          </w:tblCellMar>
        </w:tblPrEx>
        <w:trPr>
          <w:trHeight w:val="285" w:hRule="atLeast"/>
        </w:trPr>
        <w:tc>
          <w:tcPr>
            <w:tcW w:w="9990" w:type="dxa"/>
            <w:gridSpan w:val="8"/>
            <w:tcBorders>
              <w:top w:val="nil"/>
              <w:left w:val="nil"/>
              <w:bottom w:val="nil"/>
              <w:right w:val="nil"/>
            </w:tcBorders>
            <w:shd w:val="clear" w:color="auto" w:fill="auto"/>
            <w:vAlign w:val="center"/>
          </w:tcPr>
          <w:p>
            <w:pPr>
              <w:widowControl/>
              <w:jc w:val="center"/>
              <w:rPr>
                <w:rFonts w:hint="eastAsia" w:ascii="宋体" w:hAnsi="宋体" w:eastAsia="宋体" w:cs="宋体"/>
                <w:b/>
                <w:bCs/>
                <w:kern w:val="0"/>
                <w:sz w:val="44"/>
                <w:szCs w:val="44"/>
                <w:lang w:eastAsia="zh-CN"/>
              </w:rPr>
            </w:pPr>
            <w:r>
              <w:rPr>
                <w:rFonts w:hint="eastAsia" w:ascii="宋体" w:hAnsi="宋体" w:cs="宋体"/>
                <w:b/>
                <w:bCs/>
                <w:kern w:val="0"/>
                <w:sz w:val="44"/>
                <w:szCs w:val="44"/>
                <w:lang w:eastAsia="zh-CN"/>
              </w:rPr>
              <w:t>盐边县妇幼保健服务中心</w:t>
            </w:r>
          </w:p>
          <w:p>
            <w:pPr>
              <w:widowControl/>
              <w:jc w:val="center"/>
              <w:rPr>
                <w:rFonts w:hint="eastAsia" w:ascii="宋体" w:hAnsi="宋体" w:cs="宋体"/>
                <w:b/>
                <w:bCs/>
                <w:kern w:val="0"/>
                <w:sz w:val="44"/>
                <w:szCs w:val="44"/>
              </w:rPr>
            </w:pPr>
            <w:r>
              <w:rPr>
                <w:rFonts w:hint="eastAsia" w:ascii="宋体" w:hAnsi="宋体" w:cs="宋体"/>
                <w:b/>
                <w:bCs/>
                <w:kern w:val="0"/>
                <w:sz w:val="44"/>
                <w:szCs w:val="44"/>
              </w:rPr>
              <w:t>部门预算整体绩效自评表</w:t>
            </w:r>
          </w:p>
          <w:p>
            <w:pPr>
              <w:widowControl/>
              <w:jc w:val="center"/>
              <w:rPr>
                <w:rFonts w:ascii="宋体" w:hAnsi="宋体" w:cs="宋体"/>
                <w:kern w:val="0"/>
                <w:sz w:val="24"/>
              </w:rPr>
            </w:pPr>
            <w:r>
              <w:rPr>
                <w:rFonts w:hint="eastAsia" w:ascii="宋体" w:hAnsi="宋体" w:cs="宋体"/>
                <w:kern w:val="0"/>
                <w:sz w:val="24"/>
              </w:rPr>
              <w:t>（</w:t>
            </w:r>
            <w:r>
              <w:rPr>
                <w:kern w:val="0"/>
                <w:sz w:val="24"/>
              </w:rPr>
              <w:t>2021</w:t>
            </w:r>
            <w:r>
              <w:rPr>
                <w:rFonts w:hint="eastAsia" w:ascii="宋体" w:hAnsi="宋体" w:cs="宋体"/>
                <w:kern w:val="0"/>
                <w:sz w:val="24"/>
              </w:rPr>
              <w:t>年度）</w:t>
            </w:r>
          </w:p>
        </w:tc>
      </w:tr>
      <w:tr>
        <w:tblPrEx>
          <w:tblCellMar>
            <w:top w:w="0" w:type="dxa"/>
            <w:left w:w="108" w:type="dxa"/>
            <w:bottom w:w="0" w:type="dxa"/>
            <w:right w:w="108" w:type="dxa"/>
          </w:tblCellMar>
        </w:tblPrEx>
        <w:trPr>
          <w:trHeight w:val="285" w:hRule="atLeast"/>
        </w:trPr>
        <w:tc>
          <w:tcPr>
            <w:tcW w:w="740" w:type="dxa"/>
            <w:tcBorders>
              <w:top w:val="nil"/>
              <w:left w:val="nil"/>
              <w:bottom w:val="single" w:color="auto" w:sz="4" w:space="0"/>
              <w:right w:val="nil"/>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734" w:type="dxa"/>
            <w:tcBorders>
              <w:top w:val="nil"/>
              <w:left w:val="nil"/>
              <w:bottom w:val="single" w:color="auto" w:sz="4" w:space="0"/>
              <w:right w:val="nil"/>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w:t>
            </w:r>
          </w:p>
        </w:tc>
        <w:tc>
          <w:tcPr>
            <w:tcW w:w="988" w:type="dxa"/>
            <w:tcBorders>
              <w:top w:val="nil"/>
              <w:left w:val="nil"/>
              <w:bottom w:val="nil"/>
              <w:right w:val="nil"/>
            </w:tcBorders>
            <w:shd w:val="clear" w:color="auto" w:fill="auto"/>
            <w:vAlign w:val="center"/>
          </w:tcPr>
          <w:p>
            <w:pPr>
              <w:widowControl/>
              <w:jc w:val="left"/>
              <w:rPr>
                <w:rFonts w:ascii="宋体" w:hAnsi="宋体" w:cs="宋体"/>
                <w:kern w:val="0"/>
                <w:sz w:val="24"/>
              </w:rPr>
            </w:pPr>
          </w:p>
        </w:tc>
        <w:tc>
          <w:tcPr>
            <w:tcW w:w="1972" w:type="dxa"/>
            <w:tcBorders>
              <w:top w:val="nil"/>
              <w:left w:val="nil"/>
              <w:bottom w:val="nil"/>
              <w:right w:val="nil"/>
            </w:tcBorders>
            <w:shd w:val="clear" w:color="auto" w:fill="auto"/>
            <w:vAlign w:val="center"/>
          </w:tcPr>
          <w:p>
            <w:pPr>
              <w:widowControl/>
              <w:jc w:val="left"/>
              <w:rPr>
                <w:rFonts w:ascii="宋体" w:hAnsi="宋体" w:cs="宋体"/>
                <w:kern w:val="0"/>
                <w:sz w:val="24"/>
              </w:rPr>
            </w:pPr>
          </w:p>
        </w:tc>
        <w:tc>
          <w:tcPr>
            <w:tcW w:w="1527" w:type="dxa"/>
            <w:tcBorders>
              <w:top w:val="nil"/>
              <w:left w:val="nil"/>
              <w:bottom w:val="nil"/>
              <w:right w:val="nil"/>
            </w:tcBorders>
            <w:shd w:val="clear" w:color="auto" w:fill="auto"/>
            <w:vAlign w:val="center"/>
          </w:tcPr>
          <w:p>
            <w:pPr>
              <w:widowControl/>
              <w:jc w:val="left"/>
              <w:rPr>
                <w:rFonts w:ascii="宋体" w:hAnsi="宋体" w:cs="宋体"/>
                <w:kern w:val="0"/>
                <w:sz w:val="24"/>
              </w:rPr>
            </w:pPr>
          </w:p>
        </w:tc>
        <w:tc>
          <w:tcPr>
            <w:tcW w:w="1468" w:type="dxa"/>
            <w:tcBorders>
              <w:top w:val="nil"/>
              <w:left w:val="nil"/>
              <w:bottom w:val="nil"/>
              <w:right w:val="nil"/>
            </w:tcBorders>
            <w:shd w:val="clear" w:color="auto" w:fill="auto"/>
            <w:vAlign w:val="center"/>
          </w:tcPr>
          <w:p>
            <w:pPr>
              <w:widowControl/>
              <w:jc w:val="left"/>
              <w:rPr>
                <w:rFonts w:ascii="宋体" w:hAnsi="宋体" w:cs="宋体"/>
                <w:kern w:val="0"/>
                <w:sz w:val="24"/>
              </w:rPr>
            </w:pPr>
          </w:p>
        </w:tc>
        <w:tc>
          <w:tcPr>
            <w:tcW w:w="1074" w:type="dxa"/>
            <w:tcBorders>
              <w:top w:val="nil"/>
              <w:left w:val="nil"/>
              <w:bottom w:val="nil"/>
              <w:right w:val="nil"/>
            </w:tcBorders>
            <w:shd w:val="clear" w:color="auto" w:fill="auto"/>
            <w:vAlign w:val="center"/>
          </w:tcPr>
          <w:p>
            <w:pPr>
              <w:widowControl/>
              <w:jc w:val="left"/>
              <w:rPr>
                <w:rFonts w:ascii="宋体" w:hAnsi="宋体" w:cs="宋体"/>
                <w:kern w:val="0"/>
                <w:sz w:val="24"/>
              </w:rPr>
            </w:pPr>
          </w:p>
        </w:tc>
        <w:tc>
          <w:tcPr>
            <w:tcW w:w="1487" w:type="dxa"/>
            <w:tcBorders>
              <w:top w:val="nil"/>
              <w:left w:val="nil"/>
              <w:bottom w:val="nil"/>
              <w:right w:val="nil"/>
            </w:tcBorders>
            <w:shd w:val="clear" w:color="auto" w:fill="auto"/>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285" w:hRule="atLeast"/>
        </w:trPr>
        <w:tc>
          <w:tcPr>
            <w:tcW w:w="2462" w:type="dxa"/>
            <w:gridSpan w:val="3"/>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单位名称</w:t>
            </w:r>
          </w:p>
        </w:tc>
        <w:tc>
          <w:tcPr>
            <w:tcW w:w="7528" w:type="dxa"/>
            <w:gridSpan w:val="5"/>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盐边县妇幼保健服务中心</w:t>
            </w:r>
          </w:p>
        </w:tc>
      </w:tr>
      <w:tr>
        <w:tblPrEx>
          <w:tblCellMar>
            <w:top w:w="0" w:type="dxa"/>
            <w:left w:w="108" w:type="dxa"/>
            <w:bottom w:w="0" w:type="dxa"/>
            <w:right w:w="108" w:type="dxa"/>
          </w:tblCellMar>
        </w:tblPrEx>
        <w:trPr>
          <w:trHeight w:val="285" w:hRule="atLeast"/>
        </w:trPr>
        <w:tc>
          <w:tcPr>
            <w:tcW w:w="2462"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项目资金</w:t>
            </w:r>
          </w:p>
          <w:p>
            <w:pPr>
              <w:widowControl/>
              <w:jc w:val="center"/>
              <w:rPr>
                <w:rFonts w:ascii="宋体" w:hAnsi="宋体" w:cs="宋体"/>
                <w:kern w:val="0"/>
                <w:sz w:val="24"/>
              </w:rPr>
            </w:pPr>
            <w:r>
              <w:rPr>
                <w:rFonts w:hint="eastAsia" w:ascii="宋体" w:hAnsi="宋体" w:cs="宋体"/>
                <w:kern w:val="0"/>
                <w:sz w:val="24"/>
              </w:rPr>
              <w:t>（万元）</w:t>
            </w:r>
          </w:p>
        </w:tc>
        <w:tc>
          <w:tcPr>
            <w:tcW w:w="197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c>
          <w:tcPr>
            <w:tcW w:w="15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全年预算数</w:t>
            </w:r>
          </w:p>
        </w:tc>
        <w:tc>
          <w:tcPr>
            <w:tcW w:w="14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实际完成数</w:t>
            </w:r>
          </w:p>
        </w:tc>
        <w:tc>
          <w:tcPr>
            <w:tcW w:w="2561"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执行率（%）</w:t>
            </w:r>
          </w:p>
        </w:tc>
      </w:tr>
      <w:tr>
        <w:tblPrEx>
          <w:tblCellMar>
            <w:top w:w="0" w:type="dxa"/>
            <w:left w:w="108" w:type="dxa"/>
            <w:bottom w:w="0" w:type="dxa"/>
            <w:right w:w="108" w:type="dxa"/>
          </w:tblCellMar>
        </w:tblPrEx>
        <w:trPr>
          <w:trHeight w:val="285" w:hRule="atLeast"/>
        </w:trPr>
        <w:tc>
          <w:tcPr>
            <w:tcW w:w="246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xml:space="preserve"> 年度资金总额：</w:t>
            </w:r>
          </w:p>
        </w:tc>
        <w:tc>
          <w:tcPr>
            <w:tcW w:w="15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731.06</w:t>
            </w:r>
          </w:p>
        </w:tc>
        <w:tc>
          <w:tcPr>
            <w:tcW w:w="14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731.06</w:t>
            </w:r>
          </w:p>
        </w:tc>
        <w:tc>
          <w:tcPr>
            <w:tcW w:w="2561"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100%</w:t>
            </w:r>
          </w:p>
        </w:tc>
      </w:tr>
      <w:tr>
        <w:tblPrEx>
          <w:tblCellMar>
            <w:top w:w="0" w:type="dxa"/>
            <w:left w:w="108" w:type="dxa"/>
            <w:bottom w:w="0" w:type="dxa"/>
            <w:right w:w="108" w:type="dxa"/>
          </w:tblCellMar>
        </w:tblPrEx>
        <w:trPr>
          <w:trHeight w:val="285" w:hRule="atLeast"/>
        </w:trPr>
        <w:tc>
          <w:tcPr>
            <w:tcW w:w="246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xml:space="preserve"> 其中：财政拨款</w:t>
            </w:r>
          </w:p>
        </w:tc>
        <w:tc>
          <w:tcPr>
            <w:tcW w:w="15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731.06</w:t>
            </w:r>
          </w:p>
        </w:tc>
        <w:tc>
          <w:tcPr>
            <w:tcW w:w="14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731.06</w:t>
            </w:r>
          </w:p>
        </w:tc>
        <w:tc>
          <w:tcPr>
            <w:tcW w:w="2561"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100%</w:t>
            </w:r>
          </w:p>
        </w:tc>
      </w:tr>
      <w:tr>
        <w:tblPrEx>
          <w:tblCellMar>
            <w:top w:w="0" w:type="dxa"/>
            <w:left w:w="108" w:type="dxa"/>
            <w:bottom w:w="0" w:type="dxa"/>
            <w:right w:w="108" w:type="dxa"/>
          </w:tblCellMar>
        </w:tblPrEx>
        <w:trPr>
          <w:trHeight w:val="285" w:hRule="atLeast"/>
        </w:trPr>
        <w:tc>
          <w:tcPr>
            <w:tcW w:w="246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xml:space="preserve">             其他资金</w:t>
            </w:r>
          </w:p>
        </w:tc>
        <w:tc>
          <w:tcPr>
            <w:tcW w:w="15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w:t>
            </w:r>
          </w:p>
        </w:tc>
        <w:tc>
          <w:tcPr>
            <w:tcW w:w="14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w:t>
            </w:r>
          </w:p>
        </w:tc>
        <w:tc>
          <w:tcPr>
            <w:tcW w:w="2561"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65" w:hRule="atLeast"/>
        </w:trPr>
        <w:tc>
          <w:tcPr>
            <w:tcW w:w="74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总</w:t>
            </w:r>
          </w:p>
          <w:p>
            <w:pPr>
              <w:widowControl/>
              <w:jc w:val="center"/>
              <w:rPr>
                <w:rFonts w:ascii="宋体" w:hAnsi="宋体" w:cs="宋体"/>
                <w:kern w:val="0"/>
                <w:sz w:val="24"/>
              </w:rPr>
            </w:pPr>
            <w:r>
              <w:rPr>
                <w:rFonts w:hint="eastAsia" w:ascii="宋体" w:hAnsi="宋体" w:cs="宋体"/>
                <w:kern w:val="0"/>
                <w:sz w:val="24"/>
              </w:rPr>
              <w:t>体</w:t>
            </w:r>
          </w:p>
          <w:p>
            <w:pPr>
              <w:widowControl/>
              <w:jc w:val="center"/>
              <w:rPr>
                <w:rFonts w:ascii="宋体" w:hAnsi="宋体" w:cs="宋体"/>
                <w:kern w:val="0"/>
                <w:sz w:val="24"/>
              </w:rPr>
            </w:pPr>
            <w:r>
              <w:rPr>
                <w:rFonts w:hint="eastAsia" w:ascii="宋体" w:hAnsi="宋体" w:cs="宋体"/>
                <w:kern w:val="0"/>
                <w:sz w:val="24"/>
              </w:rPr>
              <w:t>目</w:t>
            </w:r>
          </w:p>
          <w:p>
            <w:pPr>
              <w:widowControl/>
              <w:jc w:val="center"/>
              <w:rPr>
                <w:rFonts w:ascii="宋体" w:hAnsi="宋体" w:cs="宋体"/>
                <w:kern w:val="0"/>
                <w:sz w:val="24"/>
              </w:rPr>
            </w:pPr>
            <w:r>
              <w:rPr>
                <w:rFonts w:hint="eastAsia" w:ascii="宋体" w:hAnsi="宋体" w:cs="宋体"/>
                <w:kern w:val="0"/>
                <w:sz w:val="24"/>
              </w:rPr>
              <w:t>标</w:t>
            </w:r>
          </w:p>
        </w:tc>
        <w:tc>
          <w:tcPr>
            <w:tcW w:w="3694"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年度设定目标</w:t>
            </w:r>
          </w:p>
        </w:tc>
        <w:tc>
          <w:tcPr>
            <w:tcW w:w="5556" w:type="dxa"/>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实际完成情况</w:t>
            </w:r>
          </w:p>
        </w:tc>
      </w:tr>
      <w:tr>
        <w:tblPrEx>
          <w:tblCellMar>
            <w:top w:w="0" w:type="dxa"/>
            <w:left w:w="108" w:type="dxa"/>
            <w:bottom w:w="0" w:type="dxa"/>
            <w:right w:w="108" w:type="dxa"/>
          </w:tblCellMar>
        </w:tblPrEx>
        <w:trPr>
          <w:trHeight w:val="4695"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3694" w:type="dxa"/>
            <w:gridSpan w:val="3"/>
            <w:tcBorders>
              <w:top w:val="single" w:color="auto" w:sz="4" w:space="0"/>
              <w:left w:val="nil"/>
              <w:bottom w:val="single" w:color="auto" w:sz="4" w:space="0"/>
              <w:right w:val="single" w:color="000000" w:sz="4" w:space="0"/>
            </w:tcBorders>
            <w:shd w:val="clear" w:color="auto" w:fill="auto"/>
          </w:tcPr>
          <w:p>
            <w:pPr>
              <w:widowControl/>
              <w:jc w:val="left"/>
              <w:rPr>
                <w:rFonts w:ascii="宋体" w:hAnsi="宋体" w:cs="宋体"/>
                <w:kern w:val="0"/>
                <w:sz w:val="24"/>
                <w:szCs w:val="24"/>
              </w:rPr>
            </w:pPr>
          </w:p>
          <w:p>
            <w:pPr>
              <w:widowControl/>
              <w:jc w:val="left"/>
              <w:rPr>
                <w:rFonts w:ascii="宋体" w:hAnsi="宋体" w:cs="宋体"/>
                <w:kern w:val="0"/>
                <w:sz w:val="24"/>
                <w:szCs w:val="24"/>
              </w:rPr>
            </w:pPr>
            <w:r>
              <w:rPr>
                <w:rFonts w:hint="eastAsia" w:ascii="宋体" w:hAnsi="宋体" w:cs="宋体"/>
                <w:kern w:val="0"/>
                <w:sz w:val="24"/>
                <w:szCs w:val="24"/>
              </w:rPr>
              <w:t xml:space="preserve">   保障了中心全年的人员经费、日常经费、专项经费。人员经费包括基本医疗保险、综合社保、工资、奖励性绩效、机关养老保险缴费、人员变动和退休人员的职业年金缴费等，日常经费是包括退休人员每人1000元的福利费，专项经费包括重大传染病、婚前医学检查、我中心主要承担0-6岁儿童、孕产妇管理工作，进一步清理各科室职责，规范资金管理，强化资金使用效益意识，提升资金管理水平和工作质量、孕前优生优育等，</w:t>
            </w:r>
          </w:p>
        </w:tc>
        <w:tc>
          <w:tcPr>
            <w:tcW w:w="5556" w:type="dxa"/>
            <w:gridSpan w:val="4"/>
            <w:tcBorders>
              <w:top w:val="single" w:color="auto" w:sz="4" w:space="0"/>
              <w:left w:val="nil"/>
              <w:bottom w:val="single" w:color="auto" w:sz="4" w:space="0"/>
              <w:right w:val="single" w:color="000000" w:sz="4" w:space="0"/>
            </w:tcBorders>
            <w:shd w:val="clear" w:color="auto" w:fill="auto"/>
          </w:tcPr>
          <w:p>
            <w:pPr>
              <w:widowControl/>
              <w:jc w:val="left"/>
              <w:rPr>
                <w:rFonts w:ascii="宋体" w:hAnsi="宋体" w:cs="宋体"/>
                <w:kern w:val="0"/>
                <w:sz w:val="24"/>
                <w:szCs w:val="24"/>
              </w:rPr>
            </w:pPr>
            <w:r>
              <w:rPr>
                <w:rFonts w:hint="eastAsia" w:ascii="宋体" w:hAnsi="宋体" w:cs="宋体"/>
                <w:kern w:val="0"/>
                <w:sz w:val="24"/>
                <w:szCs w:val="24"/>
              </w:rPr>
              <w:t xml:space="preserve">   开展免费婚检、孕前优生检查及两癌的咨询和指导评估工作，并按时上报婚检、孕优和两癌的相关信息资料；2021年完成免费婚前医学检查1247对，民政部门提供的结婚登记人数1065对，免费婚前医学检查率94.18%。检出疾病人数61人，疾病检出率3.04%。2021年我县孕前优生医学检查的任务数为700对，截止2021年12月31日孕前优生医学检查共计完成638对，目标完成率100.36%，目标人群覆盖率100%。2021年完成两癌筛查2399人，宫颈癌人群筛查率6.88%。</w:t>
            </w:r>
          </w:p>
        </w:tc>
      </w:tr>
      <w:tr>
        <w:tblPrEx>
          <w:tblCellMar>
            <w:top w:w="0" w:type="dxa"/>
            <w:left w:w="108" w:type="dxa"/>
            <w:bottom w:w="0" w:type="dxa"/>
            <w:right w:w="108" w:type="dxa"/>
          </w:tblCellMar>
        </w:tblPrEx>
        <w:trPr>
          <w:trHeight w:val="450" w:hRule="atLeast"/>
        </w:trPr>
        <w:tc>
          <w:tcPr>
            <w:tcW w:w="740" w:type="dxa"/>
            <w:vMerge w:val="restart"/>
            <w:tcBorders>
              <w:top w:val="nil"/>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绩</w:t>
            </w:r>
          </w:p>
          <w:p>
            <w:pPr>
              <w:widowControl/>
              <w:jc w:val="center"/>
              <w:rPr>
                <w:rFonts w:ascii="宋体" w:hAnsi="宋体" w:cs="宋体"/>
                <w:kern w:val="0"/>
                <w:sz w:val="24"/>
              </w:rPr>
            </w:pPr>
            <w:r>
              <w:rPr>
                <w:rFonts w:hint="eastAsia" w:ascii="宋体" w:hAnsi="宋体" w:cs="宋体"/>
                <w:kern w:val="0"/>
                <w:sz w:val="24"/>
              </w:rPr>
              <w:t>效</w:t>
            </w:r>
          </w:p>
          <w:p>
            <w:pPr>
              <w:widowControl/>
              <w:jc w:val="center"/>
              <w:rPr>
                <w:rFonts w:ascii="宋体" w:hAnsi="宋体" w:cs="宋体"/>
                <w:kern w:val="0"/>
                <w:sz w:val="24"/>
              </w:rPr>
            </w:pPr>
            <w:r>
              <w:rPr>
                <w:rFonts w:hint="eastAsia" w:ascii="宋体" w:hAnsi="宋体" w:cs="宋体"/>
                <w:kern w:val="0"/>
                <w:sz w:val="24"/>
              </w:rPr>
              <w:t>指</w:t>
            </w:r>
          </w:p>
          <w:p>
            <w:pPr>
              <w:widowControl/>
              <w:jc w:val="center"/>
              <w:rPr>
                <w:rFonts w:ascii="宋体" w:hAnsi="宋体" w:cs="宋体"/>
                <w:kern w:val="0"/>
                <w:sz w:val="24"/>
              </w:rPr>
            </w:pPr>
            <w:r>
              <w:rPr>
                <w:rFonts w:hint="eastAsia" w:ascii="宋体" w:hAnsi="宋体" w:cs="宋体"/>
                <w:kern w:val="0"/>
                <w:sz w:val="24"/>
              </w:rPr>
              <w:t>标</w:t>
            </w:r>
          </w:p>
        </w:tc>
        <w:tc>
          <w:tcPr>
            <w:tcW w:w="734" w:type="dxa"/>
            <w:tcBorders>
              <w:top w:val="nil"/>
              <w:left w:val="nil"/>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一级</w:t>
            </w:r>
          </w:p>
          <w:p>
            <w:pPr>
              <w:widowControl/>
              <w:jc w:val="center"/>
              <w:rPr>
                <w:rFonts w:ascii="宋体" w:hAnsi="宋体" w:cs="宋体"/>
                <w:kern w:val="0"/>
                <w:sz w:val="24"/>
              </w:rPr>
            </w:pPr>
            <w:r>
              <w:rPr>
                <w:rFonts w:hint="eastAsia" w:ascii="宋体" w:hAnsi="宋体" w:cs="宋体"/>
                <w:kern w:val="0"/>
                <w:sz w:val="24"/>
              </w:rPr>
              <w:t>指标</w:t>
            </w:r>
          </w:p>
        </w:tc>
        <w:tc>
          <w:tcPr>
            <w:tcW w:w="9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二级指标</w:t>
            </w:r>
          </w:p>
        </w:tc>
        <w:tc>
          <w:tcPr>
            <w:tcW w:w="197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三级指标</w:t>
            </w:r>
          </w:p>
        </w:tc>
        <w:tc>
          <w:tcPr>
            <w:tcW w:w="15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年度指标值</w:t>
            </w:r>
          </w:p>
        </w:tc>
        <w:tc>
          <w:tcPr>
            <w:tcW w:w="14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实际完成数</w:t>
            </w:r>
          </w:p>
        </w:tc>
        <w:tc>
          <w:tcPr>
            <w:tcW w:w="107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完成率（%）</w:t>
            </w:r>
          </w:p>
        </w:tc>
        <w:tc>
          <w:tcPr>
            <w:tcW w:w="148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未完成原因和改进措施</w:t>
            </w:r>
          </w:p>
        </w:tc>
      </w:tr>
      <w:tr>
        <w:tblPrEx>
          <w:tblCellMar>
            <w:top w:w="0" w:type="dxa"/>
            <w:left w:w="108" w:type="dxa"/>
            <w:bottom w:w="0" w:type="dxa"/>
            <w:right w:w="108" w:type="dxa"/>
          </w:tblCellMar>
        </w:tblPrEx>
        <w:trPr>
          <w:trHeight w:val="85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项目完成</w:t>
            </w:r>
          </w:p>
        </w:tc>
        <w:tc>
          <w:tcPr>
            <w:tcW w:w="988" w:type="dxa"/>
            <w:vMerge w:val="restart"/>
            <w:tcBorders>
              <w:top w:val="nil"/>
              <w:left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数量指标</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szCs w:val="24"/>
              </w:rPr>
            </w:pPr>
            <w:r>
              <w:rPr>
                <w:rFonts w:hint="eastAsia" w:ascii="宋体" w:hAnsi="宋体" w:cs="宋体"/>
                <w:kern w:val="0"/>
                <w:sz w:val="24"/>
                <w:szCs w:val="24"/>
              </w:rPr>
              <w:t xml:space="preserve"> 指标1：完成免费婚前医学检查数</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≧90%</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1247对</w:t>
            </w:r>
          </w:p>
        </w:tc>
        <w:tc>
          <w:tcPr>
            <w:tcW w:w="1074" w:type="dxa"/>
            <w:tcBorders>
              <w:top w:val="nil"/>
              <w:left w:val="nil"/>
              <w:bottom w:val="single" w:color="auto" w:sz="4" w:space="0"/>
              <w:right w:val="single" w:color="auto" w:sz="4" w:space="0"/>
            </w:tcBorders>
            <w:shd w:val="clear" w:color="auto" w:fill="auto"/>
            <w:vAlign w:val="center"/>
          </w:tcPr>
          <w:p>
            <w:pPr>
              <w:widowControl/>
              <w:jc w:val="right"/>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100%</w:t>
            </w: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71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shd w:val="clear" w:color="auto" w:fill="auto"/>
            <w:vAlign w:val="center"/>
          </w:tcPr>
          <w:p>
            <w:pPr>
              <w:widowControl/>
              <w:jc w:val="center"/>
              <w:rPr>
                <w:rFonts w:hint="eastAsia" w:ascii="宋体" w:hAnsi="宋体" w:cs="宋体"/>
                <w:kern w:val="0"/>
                <w:sz w:val="24"/>
              </w:rPr>
            </w:pPr>
          </w:p>
        </w:tc>
        <w:tc>
          <w:tcPr>
            <w:tcW w:w="988" w:type="dxa"/>
            <w:vMerge w:val="continue"/>
            <w:tcBorders>
              <w:left w:val="nil"/>
              <w:right w:val="single" w:color="auto" w:sz="4" w:space="0"/>
            </w:tcBorders>
            <w:shd w:val="clear" w:color="auto" w:fill="auto"/>
            <w:vAlign w:val="center"/>
          </w:tcPr>
          <w:p>
            <w:pPr>
              <w:widowControl/>
              <w:jc w:val="center"/>
              <w:rPr>
                <w:rFonts w:hint="eastAsia"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cs="宋体"/>
                <w:kern w:val="0"/>
                <w:sz w:val="24"/>
                <w:szCs w:val="24"/>
              </w:rPr>
            </w:pPr>
            <w:r>
              <w:rPr>
                <w:rFonts w:hint="eastAsia" w:ascii="宋体" w:hAnsi="宋体" w:cs="宋体"/>
                <w:kern w:val="0"/>
                <w:sz w:val="24"/>
                <w:szCs w:val="24"/>
              </w:rPr>
              <w:t>指标2：孕前优生医学检查数</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≧90%</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638对</w:t>
            </w:r>
          </w:p>
        </w:tc>
        <w:tc>
          <w:tcPr>
            <w:tcW w:w="1074" w:type="dxa"/>
            <w:tcBorders>
              <w:top w:val="nil"/>
              <w:left w:val="nil"/>
              <w:bottom w:val="single" w:color="auto" w:sz="4" w:space="0"/>
              <w:right w:val="single" w:color="auto" w:sz="4" w:space="0"/>
            </w:tcBorders>
            <w:shd w:val="clear" w:color="auto" w:fill="auto"/>
            <w:vAlign w:val="center"/>
          </w:tcPr>
          <w:p>
            <w:pPr>
              <w:widowControl/>
              <w:jc w:val="right"/>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100%</w:t>
            </w: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cs="宋体"/>
                <w:kern w:val="0"/>
                <w:sz w:val="20"/>
                <w:szCs w:val="20"/>
              </w:rPr>
            </w:pPr>
          </w:p>
        </w:tc>
      </w:tr>
      <w:tr>
        <w:tblPrEx>
          <w:tblCellMar>
            <w:top w:w="0" w:type="dxa"/>
            <w:left w:w="108" w:type="dxa"/>
            <w:bottom w:w="0" w:type="dxa"/>
            <w:right w:w="108" w:type="dxa"/>
          </w:tblCellMar>
        </w:tblPrEx>
        <w:trPr>
          <w:trHeight w:val="92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shd w:val="clear" w:color="auto" w:fill="auto"/>
            <w:vAlign w:val="center"/>
          </w:tcPr>
          <w:p>
            <w:pPr>
              <w:widowControl/>
              <w:jc w:val="center"/>
              <w:rPr>
                <w:rFonts w:hint="eastAsia" w:ascii="宋体" w:hAnsi="宋体" w:cs="宋体"/>
                <w:kern w:val="0"/>
                <w:sz w:val="24"/>
              </w:rPr>
            </w:pPr>
          </w:p>
        </w:tc>
        <w:tc>
          <w:tcPr>
            <w:tcW w:w="988" w:type="dxa"/>
            <w:vMerge w:val="continue"/>
            <w:tcBorders>
              <w:left w:val="nil"/>
              <w:bottom w:val="nil"/>
              <w:right w:val="single" w:color="auto" w:sz="4" w:space="0"/>
            </w:tcBorders>
            <w:shd w:val="clear" w:color="auto" w:fill="auto"/>
            <w:vAlign w:val="center"/>
          </w:tcPr>
          <w:p>
            <w:pPr>
              <w:widowControl/>
              <w:jc w:val="center"/>
              <w:rPr>
                <w:rFonts w:hint="eastAsia"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cs="宋体"/>
                <w:kern w:val="0"/>
                <w:sz w:val="24"/>
                <w:szCs w:val="24"/>
              </w:rPr>
            </w:pPr>
            <w:r>
              <w:rPr>
                <w:rFonts w:hint="eastAsia" w:ascii="宋体" w:hAnsi="宋体" w:cs="宋体"/>
                <w:kern w:val="0"/>
                <w:sz w:val="24"/>
                <w:szCs w:val="24"/>
              </w:rPr>
              <w:t>指标3：两癌筛查数</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≧90%</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1299人</w:t>
            </w:r>
          </w:p>
        </w:tc>
        <w:tc>
          <w:tcPr>
            <w:tcW w:w="1074" w:type="dxa"/>
            <w:tcBorders>
              <w:top w:val="nil"/>
              <w:left w:val="nil"/>
              <w:bottom w:val="single" w:color="auto" w:sz="4" w:space="0"/>
              <w:right w:val="single" w:color="auto" w:sz="4" w:space="0"/>
            </w:tcBorders>
            <w:shd w:val="clear" w:color="auto" w:fill="auto"/>
            <w:vAlign w:val="center"/>
          </w:tcPr>
          <w:p>
            <w:pPr>
              <w:widowControl/>
              <w:jc w:val="right"/>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100%</w:t>
            </w: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cs="宋体"/>
                <w:kern w:val="0"/>
                <w:sz w:val="20"/>
                <w:szCs w:val="20"/>
              </w:rPr>
            </w:pPr>
          </w:p>
        </w:tc>
      </w:tr>
      <w:tr>
        <w:tblPrEx>
          <w:tblCellMar>
            <w:top w:w="0" w:type="dxa"/>
            <w:left w:w="108" w:type="dxa"/>
            <w:bottom w:w="0" w:type="dxa"/>
            <w:right w:w="108" w:type="dxa"/>
          </w:tblCellMar>
        </w:tblPrEx>
        <w:trPr>
          <w:trHeight w:val="131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质量指标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指标1：宫颈癌人群筛查率</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ascii="宋体" w:hAnsi="宋体" w:eastAsia="宋体" w:cs="宋体"/>
                <w:i w:val="0"/>
                <w:iCs w:val="0"/>
                <w:color w:val="000000"/>
                <w:kern w:val="0"/>
                <w:sz w:val="24"/>
                <w:szCs w:val="24"/>
                <w:u w:val="none"/>
                <w:lang w:val="en-US" w:eastAsia="zh-CN" w:bidi="ar"/>
              </w:rPr>
              <w:t>≦</w:t>
            </w:r>
            <w:r>
              <w:rPr>
                <w:rStyle w:val="31"/>
                <w:lang w:val="en-US" w:eastAsia="zh-CN" w:bidi="ar"/>
              </w:rPr>
              <w:t>7%</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6.88%</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100%</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105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指标2：免费婚前医学检查率</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ascii="宋体" w:hAnsi="宋体" w:eastAsia="宋体" w:cs="宋体"/>
                <w:i w:val="0"/>
                <w:iCs w:val="0"/>
                <w:color w:val="000000"/>
                <w:kern w:val="0"/>
                <w:sz w:val="24"/>
                <w:szCs w:val="24"/>
                <w:u w:val="none"/>
                <w:lang w:val="en-US" w:eastAsia="zh-CN" w:bidi="ar"/>
              </w:rPr>
              <w:t>≧</w:t>
            </w:r>
            <w:r>
              <w:rPr>
                <w:rStyle w:val="31"/>
                <w:lang w:val="en-US" w:eastAsia="zh-CN" w:bidi="ar"/>
              </w:rPr>
              <w:t>90%</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94.18%</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100%</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95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指标3：日常工作运转率</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100%</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100%</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100%</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58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restart"/>
            <w:tcBorders>
              <w:top w:val="nil"/>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时效指标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指标1：本年度内</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2021年1-12月</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年度内</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100%</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562"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69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成本指标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指标1：中心2021年总支出</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731.06万元</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731.06万元</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100%</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28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28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项目效益</w:t>
            </w:r>
          </w:p>
        </w:tc>
        <w:tc>
          <w:tcPr>
            <w:tcW w:w="988"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经济效益</w:t>
            </w:r>
          </w:p>
          <w:p>
            <w:pPr>
              <w:widowControl/>
              <w:jc w:val="center"/>
              <w:rPr>
                <w:rFonts w:ascii="宋体" w:hAnsi="宋体" w:cs="宋体"/>
                <w:kern w:val="0"/>
                <w:sz w:val="24"/>
              </w:rPr>
            </w:pPr>
            <w:r>
              <w:rPr>
                <w:rFonts w:hint="eastAsia" w:ascii="宋体" w:hAnsi="宋体" w:cs="宋体"/>
                <w:kern w:val="0"/>
                <w:sz w:val="24"/>
              </w:rPr>
              <w:t>指标</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42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247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社会效益</w:t>
            </w:r>
          </w:p>
          <w:p>
            <w:pPr>
              <w:widowControl/>
              <w:jc w:val="center"/>
              <w:rPr>
                <w:rFonts w:ascii="宋体" w:hAnsi="宋体" w:cs="宋体"/>
                <w:kern w:val="0"/>
                <w:sz w:val="24"/>
              </w:rPr>
            </w:pPr>
            <w:r>
              <w:rPr>
                <w:rFonts w:hint="eastAsia" w:ascii="宋体" w:hAnsi="宋体" w:cs="宋体"/>
                <w:kern w:val="0"/>
                <w:sz w:val="24"/>
              </w:rPr>
              <w:t>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指标1：7岁以下儿童进行眼保健和视力检查，其中6岁儿童视力检查人数</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2021年</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已完成</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100%</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190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指标2：县2021年初筛0-6岁儿童19775人，初筛疑似残疾类型29人，确诊残疾类型2人，其中肢体残疾2人（1例脑瘫）</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2021年</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已完成</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100%</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190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continue"/>
            <w:tcBorders>
              <w:left w:val="single" w:color="auto" w:sz="4" w:space="0"/>
              <w:bottom w:val="nil"/>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指标1：7岁以下儿童进行眼保健和视力检查，其中6岁儿童视力检查人数</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2021年</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已完成</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100%</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cs="宋体"/>
                <w:kern w:val="0"/>
                <w:sz w:val="20"/>
                <w:szCs w:val="20"/>
              </w:rPr>
            </w:pPr>
          </w:p>
        </w:tc>
      </w:tr>
      <w:tr>
        <w:tblPrEx>
          <w:tblCellMar>
            <w:top w:w="0" w:type="dxa"/>
            <w:left w:w="108" w:type="dxa"/>
            <w:bottom w:w="0" w:type="dxa"/>
            <w:right w:w="108" w:type="dxa"/>
          </w:tblCellMar>
        </w:tblPrEx>
        <w:trPr>
          <w:trHeight w:val="52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生态效益</w:t>
            </w:r>
          </w:p>
          <w:p>
            <w:pPr>
              <w:widowControl/>
              <w:jc w:val="center"/>
              <w:rPr>
                <w:rFonts w:ascii="宋体" w:hAnsi="宋体" w:cs="宋体"/>
                <w:kern w:val="0"/>
                <w:sz w:val="24"/>
              </w:rPr>
            </w:pPr>
            <w:r>
              <w:rPr>
                <w:rFonts w:hint="eastAsia" w:ascii="宋体" w:hAnsi="宋体" w:cs="宋体"/>
                <w:kern w:val="0"/>
                <w:sz w:val="24"/>
              </w:rPr>
              <w:t>指标</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51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99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restart"/>
            <w:tcBorders>
              <w:top w:val="single" w:color="auto" w:sz="4" w:space="0"/>
              <w:left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可持续影响</w:t>
            </w:r>
          </w:p>
          <w:p>
            <w:pPr>
              <w:widowControl/>
              <w:jc w:val="center"/>
              <w:rPr>
                <w:rFonts w:ascii="宋体" w:hAnsi="宋体" w:cs="宋体"/>
                <w:kern w:val="0"/>
                <w:sz w:val="24"/>
              </w:rPr>
            </w:pPr>
            <w:r>
              <w:rPr>
                <w:rFonts w:hint="eastAsia" w:ascii="宋体" w:hAnsi="宋体" w:cs="宋体"/>
                <w:kern w:val="0"/>
                <w:sz w:val="24"/>
              </w:rPr>
              <w:t>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 xml:space="preserve"> 指标1：婚前医学检查服务水平</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不断提高</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不断提高</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100%</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99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continue"/>
            <w:tcBorders>
              <w:left w:val="nil"/>
              <w:bottom w:val="nil"/>
              <w:right w:val="single" w:color="auto" w:sz="4" w:space="0"/>
            </w:tcBorders>
            <w:shd w:val="clear" w:color="auto" w:fill="auto"/>
            <w:vAlign w:val="center"/>
          </w:tcPr>
          <w:p>
            <w:pPr>
              <w:widowControl/>
              <w:jc w:val="center"/>
              <w:rPr>
                <w:rFonts w:hint="eastAsia"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 xml:space="preserve"> 指标2：孕前优生优育检查服务水平</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不断提高</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不断提高</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100%</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cs="宋体"/>
                <w:kern w:val="0"/>
                <w:sz w:val="20"/>
                <w:szCs w:val="20"/>
              </w:rPr>
            </w:pPr>
          </w:p>
        </w:tc>
      </w:tr>
      <w:tr>
        <w:tblPrEx>
          <w:tblCellMar>
            <w:top w:w="0" w:type="dxa"/>
            <w:left w:w="108" w:type="dxa"/>
            <w:bottom w:w="0" w:type="dxa"/>
            <w:right w:w="108" w:type="dxa"/>
          </w:tblCellMar>
        </w:tblPrEx>
        <w:trPr>
          <w:trHeight w:val="103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restart"/>
            <w:tcBorders>
              <w:top w:val="single" w:color="auto" w:sz="4" w:space="0"/>
              <w:left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满意度指标</w:t>
            </w:r>
          </w:p>
        </w:tc>
        <w:tc>
          <w:tcPr>
            <w:tcW w:w="988" w:type="dxa"/>
            <w:vMerge w:val="restart"/>
            <w:tcBorders>
              <w:top w:val="single" w:color="auto" w:sz="4" w:space="0"/>
              <w:left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满意度指标</w:t>
            </w:r>
          </w:p>
        </w:tc>
        <w:tc>
          <w:tcPr>
            <w:tcW w:w="19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 xml:space="preserve"> 指标1：服务对象满意率</w:t>
            </w: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大于9</w:t>
            </w:r>
            <w:r>
              <w:rPr>
                <w:rStyle w:val="32"/>
                <w:lang w:val="en-US" w:eastAsia="zh-CN" w:bidi="ar"/>
              </w:rPr>
              <w:t>0%</w:t>
            </w:r>
          </w:p>
        </w:tc>
        <w:tc>
          <w:tcPr>
            <w:tcW w:w="14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93.36%</w:t>
            </w:r>
          </w:p>
        </w:tc>
        <w:tc>
          <w:tcPr>
            <w:tcW w:w="107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100%</w:t>
            </w:r>
          </w:p>
        </w:tc>
        <w:tc>
          <w:tcPr>
            <w:tcW w:w="14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1035" w:hRule="atLeast"/>
        </w:trPr>
        <w:tc>
          <w:tcPr>
            <w:tcW w:w="740" w:type="dxa"/>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nil"/>
              <w:bottom w:val="single" w:color="auto" w:sz="4" w:space="0"/>
              <w:right w:val="single" w:color="auto" w:sz="4" w:space="0"/>
            </w:tcBorders>
            <w:shd w:val="clear" w:color="auto" w:fill="auto"/>
            <w:vAlign w:val="center"/>
          </w:tcPr>
          <w:p>
            <w:pPr>
              <w:widowControl/>
              <w:jc w:val="center"/>
              <w:rPr>
                <w:rFonts w:hint="eastAsia" w:ascii="宋体" w:hAnsi="宋体" w:cs="宋体"/>
                <w:kern w:val="0"/>
                <w:sz w:val="24"/>
              </w:rPr>
            </w:pPr>
          </w:p>
        </w:tc>
        <w:tc>
          <w:tcPr>
            <w:tcW w:w="988" w:type="dxa"/>
            <w:vMerge w:val="continue"/>
            <w:tcBorders>
              <w:left w:val="nil"/>
              <w:bottom w:val="single" w:color="auto" w:sz="4" w:space="0"/>
              <w:right w:val="single" w:color="auto" w:sz="4" w:space="0"/>
            </w:tcBorders>
            <w:shd w:val="clear" w:color="auto" w:fill="auto"/>
            <w:vAlign w:val="center"/>
          </w:tcPr>
          <w:p>
            <w:pPr>
              <w:widowControl/>
              <w:jc w:val="center"/>
              <w:rPr>
                <w:rFonts w:hint="eastAsia" w:ascii="宋体" w:hAnsi="宋体" w:cs="宋体"/>
                <w:kern w:val="0"/>
                <w:sz w:val="24"/>
              </w:rPr>
            </w:pPr>
          </w:p>
        </w:tc>
        <w:tc>
          <w:tcPr>
            <w:tcW w:w="19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 xml:space="preserve"> 指标2：职工满意率</w:t>
            </w: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大于8</w:t>
            </w:r>
            <w:r>
              <w:rPr>
                <w:rStyle w:val="32"/>
                <w:lang w:val="en-US" w:eastAsia="zh-CN" w:bidi="ar"/>
              </w:rPr>
              <w:t>5%</w:t>
            </w:r>
          </w:p>
        </w:tc>
        <w:tc>
          <w:tcPr>
            <w:tcW w:w="14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89%</w:t>
            </w:r>
          </w:p>
        </w:tc>
        <w:tc>
          <w:tcPr>
            <w:tcW w:w="107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100%</w:t>
            </w:r>
          </w:p>
        </w:tc>
        <w:tc>
          <w:tcPr>
            <w:tcW w:w="14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cs="宋体"/>
                <w:kern w:val="0"/>
                <w:sz w:val="20"/>
                <w:szCs w:val="20"/>
              </w:rPr>
            </w:pPr>
          </w:p>
        </w:tc>
      </w:tr>
    </w:tbl>
    <w:p>
      <w:pPr>
        <w:spacing w:line="600" w:lineRule="exact"/>
        <w:jc w:val="both"/>
        <w:outlineLvl w:val="0"/>
        <w:rPr>
          <w:rFonts w:hint="eastAsia" w:ascii="黑体" w:hAnsi="黑体" w:eastAsia="黑体"/>
          <w:sz w:val="44"/>
          <w:szCs w:val="44"/>
        </w:rPr>
      </w:pPr>
    </w:p>
    <w:p>
      <w:pPr>
        <w:pStyle w:val="7"/>
        <w:spacing w:line="600" w:lineRule="exact"/>
        <w:ind w:firstLine="960" w:firstLineChars="200"/>
        <w:jc w:val="center"/>
        <w:rPr>
          <w:rFonts w:hint="eastAsia" w:ascii="方正小标宋_GBK" w:hAnsi="黑体" w:eastAsia="方正小标宋_GBK" w:cs="黑体"/>
          <w:sz w:val="48"/>
          <w:szCs w:val="48"/>
          <w:lang w:eastAsia="zh-CN"/>
        </w:rPr>
      </w:pPr>
    </w:p>
    <w:p>
      <w:pPr>
        <w:pStyle w:val="7"/>
        <w:spacing w:line="600" w:lineRule="exact"/>
        <w:ind w:firstLine="960" w:firstLineChars="200"/>
        <w:jc w:val="center"/>
        <w:rPr>
          <w:rFonts w:hint="eastAsia" w:ascii="方正小标宋_GBK" w:hAnsi="黑体" w:eastAsia="方正小标宋_GBK" w:cs="黑体"/>
          <w:sz w:val="48"/>
          <w:szCs w:val="48"/>
          <w:lang w:eastAsia="zh-CN"/>
        </w:rPr>
      </w:pPr>
    </w:p>
    <w:p>
      <w:pPr>
        <w:pStyle w:val="7"/>
        <w:spacing w:line="600" w:lineRule="exact"/>
        <w:ind w:firstLine="960" w:firstLineChars="200"/>
        <w:jc w:val="center"/>
        <w:rPr>
          <w:rFonts w:hint="eastAsia" w:ascii="方正小标宋_GBK" w:hAnsi="黑体" w:eastAsia="方正小标宋_GBK" w:cs="黑体"/>
          <w:sz w:val="48"/>
          <w:szCs w:val="48"/>
          <w:lang w:eastAsia="zh-CN"/>
        </w:rPr>
      </w:pPr>
      <w:r>
        <w:rPr>
          <w:rFonts w:hint="eastAsia" w:ascii="方正小标宋_GBK" w:hAnsi="黑体" w:eastAsia="方正小标宋_GBK" w:cs="黑体"/>
          <w:sz w:val="48"/>
          <w:szCs w:val="48"/>
          <w:lang w:eastAsia="zh-CN"/>
        </w:rPr>
        <w:t>盐边县妇幼保健服务中心</w:t>
      </w:r>
    </w:p>
    <w:p>
      <w:pPr>
        <w:pStyle w:val="7"/>
        <w:spacing w:line="600" w:lineRule="exact"/>
        <w:ind w:left="3360" w:hanging="3360" w:hangingChars="700"/>
        <w:jc w:val="both"/>
        <w:rPr>
          <w:rFonts w:hint="eastAsia" w:ascii="方正小标宋_GBK" w:hAnsi="黑体" w:eastAsia="方正小标宋_GBK" w:cs="黑体"/>
          <w:sz w:val="48"/>
          <w:szCs w:val="48"/>
        </w:rPr>
      </w:pPr>
      <w:r>
        <w:rPr>
          <w:rFonts w:hint="eastAsia" w:ascii="方正小标宋_GBK" w:hAnsi="黑体" w:eastAsia="方正小标宋_GBK" w:cs="黑体"/>
          <w:sz w:val="48"/>
          <w:szCs w:val="48"/>
          <w:lang w:val="en-US" w:eastAsia="zh-CN"/>
        </w:rPr>
        <w:t>2021年</w:t>
      </w:r>
      <w:r>
        <w:rPr>
          <w:rFonts w:hint="eastAsia" w:ascii="方正小标宋_GBK" w:hAnsi="黑体" w:eastAsia="方正小标宋_GBK" w:cs="黑体"/>
          <w:sz w:val="48"/>
          <w:szCs w:val="48"/>
        </w:rPr>
        <w:t>专项（</w:t>
      </w:r>
      <w:r>
        <w:rPr>
          <w:rFonts w:hint="eastAsia" w:ascii="方正小标宋_GBK" w:hAnsi="黑体" w:eastAsia="方正小标宋_GBK" w:cs="黑体"/>
          <w:sz w:val="48"/>
          <w:szCs w:val="48"/>
          <w:lang w:eastAsia="zh-CN"/>
        </w:rPr>
        <w:t>妇幼卫生监测</w:t>
      </w:r>
      <w:r>
        <w:rPr>
          <w:rFonts w:hint="eastAsia" w:ascii="方正小标宋_GBK" w:hAnsi="黑体" w:eastAsia="方正小标宋_GBK" w:cs="黑体"/>
          <w:sz w:val="48"/>
          <w:szCs w:val="48"/>
        </w:rPr>
        <w:t>）资金绩效自评报告</w:t>
      </w:r>
    </w:p>
    <w:p>
      <w:pPr>
        <w:pStyle w:val="7"/>
        <w:spacing w:line="600" w:lineRule="exact"/>
        <w:ind w:firstLine="0" w:firstLineChars="0"/>
        <w:jc w:val="center"/>
        <w:rPr>
          <w:rFonts w:ascii="仿宋_GB2312" w:hAnsi="仿宋_GB2312" w:eastAsia="仿宋_GB2312" w:cs="仿宋_GB2312"/>
          <w:sz w:val="32"/>
          <w:szCs w:val="32"/>
        </w:rPr>
      </w:pP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一、项目概况</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（一）项目基本情况。</w:t>
      </w:r>
    </w:p>
    <w:p>
      <w:pPr>
        <w:spacing w:line="600" w:lineRule="exact"/>
        <w:ind w:firstLine="640" w:firstLineChars="200"/>
        <w:rPr>
          <w:rFonts w:hint="eastAsia" w:ascii="仿宋_GB2312" w:hAnsi="仿宋_GB2312" w:eastAsia="仿宋_GB2312" w:cs="仿宋_GB2312"/>
          <w:sz w:val="32"/>
          <w:szCs w:val="30"/>
        </w:rPr>
      </w:pPr>
      <w:r>
        <w:rPr>
          <w:rFonts w:hint="eastAsia" w:ascii="仿宋_GB2312" w:hAnsi="仿宋_GB2312" w:eastAsia="仿宋_GB2312" w:cs="仿宋_GB2312"/>
          <w:sz w:val="32"/>
          <w:szCs w:val="30"/>
        </w:rPr>
        <w:t>20</w:t>
      </w:r>
      <w:r>
        <w:rPr>
          <w:rFonts w:hint="eastAsia" w:ascii="仿宋_GB2312" w:hAnsi="仿宋_GB2312" w:eastAsia="仿宋_GB2312" w:cs="仿宋_GB2312"/>
          <w:sz w:val="32"/>
          <w:szCs w:val="30"/>
          <w:lang w:val="en-US" w:eastAsia="zh-CN"/>
        </w:rPr>
        <w:t>21</w:t>
      </w:r>
      <w:r>
        <w:rPr>
          <w:rFonts w:hint="eastAsia" w:ascii="仿宋_GB2312" w:hAnsi="仿宋_GB2312" w:eastAsia="仿宋_GB2312" w:cs="仿宋_GB2312"/>
          <w:sz w:val="32"/>
          <w:szCs w:val="30"/>
        </w:rPr>
        <w:t>年</w:t>
      </w:r>
      <w:r>
        <w:rPr>
          <w:rFonts w:hint="eastAsia" w:ascii="仿宋_GB2312" w:hAnsi="仿宋_GB2312" w:eastAsia="仿宋_GB2312" w:cs="仿宋_GB2312"/>
          <w:sz w:val="32"/>
          <w:szCs w:val="30"/>
          <w:lang w:eastAsia="zh-CN"/>
        </w:rPr>
        <w:t>盐边县</w:t>
      </w:r>
      <w:r>
        <w:rPr>
          <w:rFonts w:hint="eastAsia" w:ascii="仿宋_GB2312" w:hAnsi="仿宋_GB2312" w:eastAsia="仿宋_GB2312" w:cs="仿宋_GB2312"/>
          <w:sz w:val="32"/>
          <w:szCs w:val="30"/>
        </w:rPr>
        <w:t>妇幼</w:t>
      </w:r>
      <w:r>
        <w:rPr>
          <w:rFonts w:hint="eastAsia" w:ascii="仿宋_GB2312" w:hAnsi="仿宋_GB2312" w:eastAsia="仿宋_GB2312" w:cs="仿宋_GB2312"/>
          <w:sz w:val="32"/>
          <w:szCs w:val="30"/>
          <w:lang w:eastAsia="zh-CN"/>
        </w:rPr>
        <w:t>健康</w:t>
      </w:r>
      <w:r>
        <w:rPr>
          <w:rFonts w:hint="eastAsia" w:ascii="仿宋_GB2312" w:hAnsi="仿宋_GB2312" w:eastAsia="仿宋_GB2312" w:cs="仿宋_GB2312"/>
          <w:sz w:val="32"/>
          <w:szCs w:val="30"/>
        </w:rPr>
        <w:t>工作在县委、县政府及上级</w:t>
      </w:r>
      <w:r>
        <w:rPr>
          <w:rFonts w:hint="eastAsia" w:ascii="仿宋_GB2312" w:hAnsi="仿宋_GB2312" w:eastAsia="仿宋_GB2312" w:cs="仿宋_GB2312"/>
          <w:sz w:val="32"/>
          <w:szCs w:val="30"/>
          <w:lang w:eastAsia="zh-CN"/>
        </w:rPr>
        <w:t>业务</w:t>
      </w:r>
      <w:r>
        <w:rPr>
          <w:rFonts w:hint="eastAsia" w:ascii="仿宋_GB2312" w:hAnsi="仿宋_GB2312" w:eastAsia="仿宋_GB2312" w:cs="仿宋_GB2312"/>
          <w:sz w:val="32"/>
          <w:szCs w:val="30"/>
        </w:rPr>
        <w:t>主管部门的领导下，在乡镇党委</w:t>
      </w:r>
      <w:r>
        <w:rPr>
          <w:rFonts w:hint="eastAsia" w:ascii="仿宋_GB2312" w:hAnsi="仿宋_GB2312" w:eastAsia="仿宋_GB2312" w:cs="仿宋_GB2312"/>
          <w:sz w:val="32"/>
          <w:szCs w:val="30"/>
          <w:lang w:eastAsia="zh-CN"/>
        </w:rPr>
        <w:t>、</w:t>
      </w:r>
      <w:r>
        <w:rPr>
          <w:rFonts w:hint="eastAsia" w:ascii="仿宋_GB2312" w:hAnsi="仿宋_GB2312" w:eastAsia="仿宋_GB2312" w:cs="仿宋_GB2312"/>
          <w:sz w:val="32"/>
          <w:szCs w:val="30"/>
        </w:rPr>
        <w:t>政府的关心支持下，</w:t>
      </w:r>
      <w:r>
        <w:rPr>
          <w:rFonts w:hint="eastAsia" w:ascii="仿宋_GB2312" w:hAnsi="仿宋_GB2312" w:eastAsia="仿宋_GB2312" w:cs="仿宋_GB2312"/>
          <w:color w:val="000000"/>
          <w:sz w:val="32"/>
          <w:szCs w:val="32"/>
        </w:rPr>
        <w:t>以</w:t>
      </w:r>
      <w:r>
        <w:rPr>
          <w:rFonts w:hint="eastAsia" w:ascii="仿宋_GB2312" w:eastAsia="仿宋_GB2312"/>
          <w:sz w:val="32"/>
          <w:szCs w:val="32"/>
        </w:rPr>
        <w:t>党的十九大及省、市、县委重要会议精神为指导，认真</w:t>
      </w:r>
      <w:r>
        <w:rPr>
          <w:rFonts w:hint="eastAsia" w:ascii="仿宋_GB2312" w:hAnsi="仿宋_GB2312" w:eastAsia="仿宋_GB2312" w:cs="仿宋_GB2312"/>
          <w:color w:val="000000"/>
          <w:sz w:val="32"/>
          <w:szCs w:val="32"/>
        </w:rPr>
        <w:t>贯彻《中华人民共和国母婴保健法》等有关法律法规，依法规范开展母婴保健各项服务，努力完成妇幼</w:t>
      </w:r>
      <w:r>
        <w:rPr>
          <w:rFonts w:hint="eastAsia" w:ascii="仿宋_GB2312" w:hAnsi="仿宋_GB2312" w:eastAsia="仿宋_GB2312" w:cs="仿宋_GB2312"/>
          <w:color w:val="000000"/>
          <w:sz w:val="32"/>
          <w:szCs w:val="32"/>
          <w:lang w:eastAsia="zh-CN"/>
        </w:rPr>
        <w:t>健康</w:t>
      </w:r>
      <w:r>
        <w:rPr>
          <w:rFonts w:hint="eastAsia" w:ascii="仿宋_GB2312" w:hAnsi="仿宋_GB2312" w:eastAsia="仿宋_GB2312" w:cs="仿宋_GB2312"/>
          <w:color w:val="000000"/>
          <w:sz w:val="32"/>
          <w:szCs w:val="32"/>
        </w:rPr>
        <w:t>工作各项指标，为降低孕产妇死亡、儿童死亡，提高出生人口素质做出积极贡献。通过各医疗</w:t>
      </w:r>
      <w:r>
        <w:rPr>
          <w:rFonts w:hint="eastAsia" w:ascii="仿宋_GB2312" w:hAnsi="仿宋_GB2312" w:eastAsia="仿宋_GB2312" w:cs="仿宋_GB2312"/>
          <w:color w:val="000000"/>
          <w:sz w:val="32"/>
          <w:szCs w:val="32"/>
          <w:lang w:eastAsia="zh-CN"/>
        </w:rPr>
        <w:t>卫生</w:t>
      </w:r>
      <w:r>
        <w:rPr>
          <w:rFonts w:hint="eastAsia" w:ascii="仿宋_GB2312" w:hAnsi="仿宋_GB2312" w:eastAsia="仿宋_GB2312" w:cs="仿宋_GB2312"/>
          <w:color w:val="000000"/>
          <w:sz w:val="32"/>
          <w:szCs w:val="32"/>
        </w:rPr>
        <w:t>机构共同参与、积极配合，顺利完成各项工作任务，现将工作开展情况总结如下：</w:t>
      </w:r>
    </w:p>
    <w:p>
      <w:pPr>
        <w:spacing w:line="600" w:lineRule="exact"/>
        <w:ind w:firstLine="642" w:firstLineChars="200"/>
        <w:rPr>
          <w:rFonts w:hint="eastAsia" w:ascii="黑体" w:eastAsia="仿宋_GB2312"/>
          <w:b/>
          <w:sz w:val="32"/>
          <w:szCs w:val="32"/>
        </w:rPr>
      </w:pPr>
      <w:r>
        <w:rPr>
          <w:rFonts w:hint="eastAsia" w:ascii="黑体" w:eastAsia="仿宋_GB2312"/>
          <w:b/>
          <w:sz w:val="32"/>
          <w:szCs w:val="32"/>
        </w:rPr>
        <w:t>一、工作开展情况</w:t>
      </w:r>
    </w:p>
    <w:p>
      <w:pPr>
        <w:spacing w:line="600" w:lineRule="exact"/>
        <w:ind w:firstLine="642" w:firstLineChars="200"/>
        <w:rPr>
          <w:rFonts w:hint="eastAsia" w:ascii="黑体" w:eastAsia="仿宋_GB2312"/>
          <w:b/>
          <w:sz w:val="32"/>
          <w:szCs w:val="32"/>
        </w:rPr>
      </w:pPr>
      <w:r>
        <w:rPr>
          <w:rFonts w:hint="eastAsia" w:ascii="黑体" w:eastAsia="仿宋_GB2312"/>
          <w:b/>
          <w:sz w:val="32"/>
          <w:szCs w:val="32"/>
        </w:rPr>
        <w:t>（一）加强管理、规范服务</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1.提高认识，加强管理，认真落实“两纲”目标</w:t>
      </w:r>
      <w:r>
        <w:rPr>
          <w:rFonts w:hint="eastAsia" w:ascii="仿宋_GB2312" w:eastAsia="仿宋_GB2312"/>
          <w:sz w:val="32"/>
          <w:szCs w:val="32"/>
          <w:lang w:eastAsia="zh-CN"/>
        </w:rPr>
        <w:t>工作，顺利完成</w:t>
      </w:r>
      <w:r>
        <w:rPr>
          <w:rFonts w:hint="eastAsia" w:ascii="仿宋_GB2312" w:eastAsia="仿宋_GB2312"/>
          <w:sz w:val="32"/>
          <w:szCs w:val="32"/>
        </w:rPr>
        <w:t>“两纲”目标任务</w:t>
      </w:r>
      <w:r>
        <w:rPr>
          <w:rFonts w:hint="eastAsia" w:ascii="仿宋_GB2312" w:eastAsia="仿宋_GB2312"/>
          <w:sz w:val="32"/>
          <w:szCs w:val="32"/>
          <w:lang w:eastAsia="zh-CN"/>
        </w:rPr>
        <w:t>。</w:t>
      </w:r>
      <w:r>
        <w:rPr>
          <w:rFonts w:hint="eastAsia" w:ascii="仿宋_GB2312" w:eastAsia="仿宋_GB2312"/>
          <w:sz w:val="32"/>
          <w:szCs w:val="32"/>
        </w:rPr>
        <w:t>搞好母婴保健，保障母婴安全是提高人口素质的基础，各医疗卫生单位制定了切实可行的年度妇幼</w:t>
      </w:r>
      <w:r>
        <w:rPr>
          <w:rFonts w:hint="eastAsia" w:ascii="仿宋_GB2312" w:eastAsia="仿宋_GB2312"/>
          <w:sz w:val="32"/>
          <w:szCs w:val="32"/>
          <w:lang w:eastAsia="zh-CN"/>
        </w:rPr>
        <w:t>健康</w:t>
      </w:r>
      <w:r>
        <w:rPr>
          <w:rFonts w:hint="eastAsia" w:ascii="仿宋_GB2312" w:eastAsia="仿宋_GB2312"/>
          <w:sz w:val="32"/>
          <w:szCs w:val="32"/>
        </w:rPr>
        <w:t>工作计划及妇幼</w:t>
      </w:r>
      <w:r>
        <w:rPr>
          <w:rFonts w:hint="eastAsia" w:ascii="仿宋_GB2312" w:eastAsia="仿宋_GB2312"/>
          <w:sz w:val="32"/>
          <w:szCs w:val="32"/>
          <w:lang w:eastAsia="zh-CN"/>
        </w:rPr>
        <w:t>健康</w:t>
      </w:r>
      <w:r>
        <w:rPr>
          <w:rFonts w:hint="eastAsia" w:ascii="仿宋_GB2312" w:eastAsia="仿宋_GB2312"/>
          <w:sz w:val="32"/>
          <w:szCs w:val="32"/>
        </w:rPr>
        <w:t>项目实施方案，细化纲要目标和项目指标，进一步建立完善管理制度，明确岗位工作人员职责，责任到人。</w:t>
      </w:r>
    </w:p>
    <w:p>
      <w:pPr>
        <w:spacing w:line="600" w:lineRule="exact"/>
        <w:ind w:firstLine="640" w:firstLineChars="200"/>
        <w:rPr>
          <w:rFonts w:hint="eastAsia" w:ascii="仿宋_GB2312" w:eastAsia="仿宋_GB2312"/>
          <w:color w:val="auto"/>
          <w:sz w:val="32"/>
          <w:szCs w:val="32"/>
          <w:lang w:eastAsia="zh-CN"/>
        </w:rPr>
      </w:pPr>
      <w:r>
        <w:rPr>
          <w:rFonts w:hint="eastAsia" w:ascii="仿宋_GB2312" w:eastAsia="仿宋_GB2312"/>
          <w:sz w:val="32"/>
          <w:szCs w:val="32"/>
        </w:rPr>
        <w:t>2.加强“出生医学证明”的发放管理。各医疗助产机构严格按照《出生医学证明管理办法》规定，规范完成了出生医学证明领取、发放、登记、填写等工作，与卫生</w:t>
      </w:r>
      <w:r>
        <w:rPr>
          <w:rFonts w:hint="eastAsia" w:ascii="仿宋_GB2312" w:eastAsia="仿宋_GB2312"/>
          <w:sz w:val="32"/>
          <w:szCs w:val="32"/>
          <w:lang w:eastAsia="zh-CN"/>
        </w:rPr>
        <w:t>健康</w:t>
      </w:r>
      <w:r>
        <w:rPr>
          <w:rFonts w:hint="eastAsia" w:ascii="仿宋_GB2312" w:eastAsia="仿宋_GB2312"/>
          <w:sz w:val="32"/>
          <w:szCs w:val="32"/>
        </w:rPr>
        <w:t>行政部门签订授权委托书，与各签发机构管理人员及签发人员签订终身责任书，</w:t>
      </w:r>
      <w:r>
        <w:rPr>
          <w:rFonts w:hint="eastAsia" w:ascii="仿宋_GB2312" w:eastAsia="仿宋_GB2312"/>
          <w:color w:val="auto"/>
          <w:sz w:val="32"/>
          <w:szCs w:val="32"/>
          <w:lang w:val="en-US" w:eastAsia="zh-CN"/>
        </w:rPr>
        <w:t>2021年</w:t>
      </w:r>
      <w:r>
        <w:rPr>
          <w:rFonts w:hint="eastAsia" w:ascii="仿宋_GB2312" w:eastAsia="仿宋_GB2312"/>
          <w:color w:val="auto"/>
          <w:sz w:val="32"/>
          <w:szCs w:val="32"/>
        </w:rPr>
        <w:t>出生医学证明签发共计</w:t>
      </w:r>
      <w:r>
        <w:rPr>
          <w:rFonts w:hint="eastAsia" w:ascii="仿宋_GB2312" w:eastAsia="仿宋_GB2312"/>
          <w:color w:val="auto"/>
          <w:sz w:val="32"/>
          <w:szCs w:val="32"/>
          <w:lang w:val="en-US" w:eastAsia="zh-CN"/>
        </w:rPr>
        <w:t>656</w:t>
      </w:r>
      <w:r>
        <w:rPr>
          <w:rFonts w:hint="eastAsia" w:ascii="仿宋_GB2312" w:eastAsia="仿宋_GB2312"/>
          <w:color w:val="auto"/>
          <w:sz w:val="32"/>
          <w:szCs w:val="32"/>
        </w:rPr>
        <w:t>人，其中首次签发</w:t>
      </w:r>
      <w:r>
        <w:rPr>
          <w:rFonts w:hint="eastAsia" w:ascii="仿宋_GB2312" w:eastAsia="仿宋_GB2312"/>
          <w:color w:val="auto"/>
          <w:sz w:val="32"/>
          <w:szCs w:val="32"/>
          <w:lang w:val="en-US" w:eastAsia="zh-CN"/>
        </w:rPr>
        <w:t>628</w:t>
      </w:r>
      <w:r>
        <w:rPr>
          <w:rFonts w:hint="eastAsia" w:ascii="仿宋_GB2312" w:eastAsia="仿宋_GB2312"/>
          <w:color w:val="auto"/>
          <w:sz w:val="32"/>
          <w:szCs w:val="32"/>
        </w:rPr>
        <w:t>人</w:t>
      </w:r>
      <w:r>
        <w:rPr>
          <w:rFonts w:hint="eastAsia" w:ascii="仿宋_GB2312" w:eastAsia="仿宋_GB2312"/>
          <w:color w:val="auto"/>
          <w:sz w:val="32"/>
          <w:szCs w:val="32"/>
          <w:lang w:eastAsia="zh-CN"/>
        </w:rPr>
        <w:t>，</w:t>
      </w:r>
      <w:r>
        <w:rPr>
          <w:rFonts w:hint="eastAsia" w:ascii="仿宋_GB2312" w:eastAsia="仿宋_GB2312"/>
          <w:color w:val="auto"/>
          <w:sz w:val="32"/>
          <w:szCs w:val="32"/>
        </w:rPr>
        <w:t>补发</w:t>
      </w:r>
      <w:r>
        <w:rPr>
          <w:rFonts w:hint="eastAsia" w:ascii="仿宋_GB2312" w:eastAsia="仿宋_GB2312"/>
          <w:color w:val="auto"/>
          <w:sz w:val="32"/>
          <w:szCs w:val="32"/>
          <w:lang w:val="en-US" w:eastAsia="zh-CN"/>
        </w:rPr>
        <w:t>17</w:t>
      </w:r>
      <w:r>
        <w:rPr>
          <w:rFonts w:hint="eastAsia" w:ascii="仿宋_GB2312" w:eastAsia="仿宋_GB2312"/>
          <w:color w:val="auto"/>
          <w:sz w:val="32"/>
          <w:szCs w:val="32"/>
        </w:rPr>
        <w:t>人</w:t>
      </w:r>
      <w:r>
        <w:rPr>
          <w:rFonts w:hint="eastAsia" w:ascii="仿宋_GB2312" w:eastAsia="仿宋_GB2312"/>
          <w:color w:val="auto"/>
          <w:sz w:val="32"/>
          <w:szCs w:val="32"/>
          <w:lang w:eastAsia="zh-CN"/>
        </w:rPr>
        <w:t>，</w:t>
      </w:r>
      <w:r>
        <w:rPr>
          <w:rFonts w:hint="eastAsia" w:ascii="仿宋_GB2312" w:eastAsia="仿宋_GB2312"/>
          <w:color w:val="auto"/>
          <w:sz w:val="32"/>
          <w:szCs w:val="32"/>
        </w:rPr>
        <w:t>换发</w:t>
      </w:r>
      <w:r>
        <w:rPr>
          <w:rFonts w:hint="eastAsia" w:ascii="仿宋_GB2312" w:eastAsia="仿宋_GB2312"/>
          <w:color w:val="auto"/>
          <w:sz w:val="32"/>
          <w:szCs w:val="32"/>
          <w:lang w:val="en-US" w:eastAsia="zh-CN"/>
        </w:rPr>
        <w:t>11</w:t>
      </w:r>
      <w:r>
        <w:rPr>
          <w:rFonts w:hint="eastAsia" w:ascii="仿宋_GB2312" w:eastAsia="仿宋_GB2312"/>
          <w:color w:val="auto"/>
          <w:sz w:val="32"/>
          <w:szCs w:val="32"/>
        </w:rPr>
        <w:t>人</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2021年无</w:t>
      </w:r>
      <w:r>
        <w:rPr>
          <w:rFonts w:hint="eastAsia" w:ascii="仿宋_GB2312" w:eastAsia="仿宋_GB2312"/>
          <w:color w:val="auto"/>
          <w:sz w:val="32"/>
          <w:szCs w:val="32"/>
        </w:rPr>
        <w:t>废证</w:t>
      </w:r>
      <w:r>
        <w:rPr>
          <w:rFonts w:hint="eastAsia" w:ascii="仿宋_GB2312" w:eastAsia="仿宋_GB2312"/>
          <w:color w:val="auto"/>
          <w:sz w:val="32"/>
          <w:szCs w:val="32"/>
          <w:lang w:eastAsia="zh-CN"/>
        </w:rPr>
        <w:t>、</w:t>
      </w:r>
      <w:r>
        <w:rPr>
          <w:rFonts w:hint="eastAsia" w:ascii="仿宋_GB2312" w:eastAsia="仿宋_GB2312"/>
          <w:color w:val="auto"/>
          <w:sz w:val="32"/>
          <w:szCs w:val="32"/>
        </w:rPr>
        <w:t>无违规办理情况发生</w:t>
      </w:r>
      <w:r>
        <w:rPr>
          <w:rFonts w:hint="eastAsia" w:ascii="仿宋_GB2312" w:eastAsia="仿宋_GB2312"/>
          <w:color w:val="auto"/>
          <w:sz w:val="32"/>
          <w:szCs w:val="32"/>
          <w:lang w:eastAsia="zh-CN"/>
        </w:rPr>
        <w:t>。</w:t>
      </w:r>
    </w:p>
    <w:p>
      <w:pPr>
        <w:spacing w:line="600" w:lineRule="exact"/>
        <w:ind w:firstLine="640" w:firstLineChars="200"/>
        <w:rPr>
          <w:rFonts w:hint="default" w:ascii="仿宋_GB2312" w:eastAsia="仿宋_GB2312"/>
          <w:color w:val="auto"/>
          <w:sz w:val="32"/>
          <w:szCs w:val="32"/>
          <w:lang w:val="en-US" w:eastAsia="zh-CN"/>
        </w:rPr>
      </w:pPr>
      <w:r>
        <w:rPr>
          <w:rFonts w:hint="eastAsia" w:ascii="仿宋_GB2312" w:eastAsia="仿宋_GB2312"/>
          <w:sz w:val="32"/>
          <w:szCs w:val="32"/>
        </w:rPr>
        <w:t>3.</w:t>
      </w:r>
      <w:r>
        <w:rPr>
          <w:rFonts w:hint="eastAsia" w:ascii="仿宋_GB2312" w:eastAsia="仿宋_GB2312"/>
          <w:color w:val="auto"/>
          <w:sz w:val="32"/>
          <w:szCs w:val="32"/>
        </w:rPr>
        <w:t>县妇</w:t>
      </w:r>
      <w:r>
        <w:rPr>
          <w:rFonts w:hint="eastAsia" w:ascii="仿宋_GB2312" w:eastAsia="仿宋_GB2312"/>
          <w:color w:val="auto"/>
          <w:sz w:val="32"/>
          <w:szCs w:val="32"/>
          <w:lang w:eastAsia="zh-CN"/>
        </w:rPr>
        <w:t>保中心</w:t>
      </w:r>
      <w:r>
        <w:rPr>
          <w:rFonts w:hint="eastAsia" w:ascii="仿宋_GB2312" w:eastAsia="仿宋_GB2312"/>
          <w:color w:val="auto"/>
          <w:sz w:val="32"/>
          <w:szCs w:val="32"/>
        </w:rPr>
        <w:t>、</w:t>
      </w:r>
      <w:r>
        <w:rPr>
          <w:rFonts w:hint="eastAsia" w:ascii="仿宋_GB2312" w:eastAsia="仿宋_GB2312"/>
          <w:color w:val="auto"/>
          <w:sz w:val="32"/>
          <w:szCs w:val="32"/>
          <w:lang w:eastAsia="zh-CN"/>
        </w:rPr>
        <w:t>县</w:t>
      </w:r>
      <w:r>
        <w:rPr>
          <w:rFonts w:hint="eastAsia" w:ascii="仿宋_GB2312" w:eastAsia="仿宋_GB2312"/>
          <w:color w:val="auto"/>
          <w:sz w:val="32"/>
          <w:szCs w:val="32"/>
        </w:rPr>
        <w:t>中医院</w:t>
      </w:r>
      <w:r>
        <w:rPr>
          <w:rFonts w:hint="eastAsia" w:ascii="仿宋_GB2312" w:eastAsia="仿宋_GB2312"/>
          <w:color w:val="auto"/>
          <w:sz w:val="32"/>
          <w:szCs w:val="32"/>
          <w:lang w:eastAsia="zh-CN"/>
        </w:rPr>
        <w:t>是我县定点婚前医学检查、孕前优生医学检查和两癌筛查医疗机构，严格</w:t>
      </w:r>
      <w:r>
        <w:rPr>
          <w:rFonts w:hint="eastAsia" w:ascii="仿宋_GB2312" w:eastAsia="仿宋_GB2312"/>
          <w:color w:val="auto"/>
          <w:sz w:val="32"/>
          <w:szCs w:val="32"/>
        </w:rPr>
        <w:t>按照《卫生部关于免费开展婚前保健咨询和指导的通知》</w:t>
      </w:r>
      <w:r>
        <w:rPr>
          <w:rFonts w:hint="eastAsia" w:ascii="仿宋_GB2312" w:eastAsia="仿宋_GB2312"/>
          <w:color w:val="auto"/>
          <w:sz w:val="32"/>
          <w:szCs w:val="32"/>
          <w:lang w:eastAsia="zh-CN"/>
        </w:rPr>
        <w:t>、</w:t>
      </w:r>
      <w:r>
        <w:rPr>
          <w:rFonts w:hint="eastAsia" w:ascii="仿宋_GB2312" w:eastAsia="仿宋_GB2312"/>
          <w:color w:val="auto"/>
          <w:sz w:val="32"/>
          <w:szCs w:val="32"/>
        </w:rPr>
        <w:t>《婚前医学检查管理办法》</w:t>
      </w:r>
      <w:r>
        <w:rPr>
          <w:rFonts w:hint="eastAsia" w:ascii="仿宋_GB2312" w:eastAsia="仿宋_GB2312"/>
          <w:color w:val="auto"/>
          <w:sz w:val="32"/>
          <w:szCs w:val="32"/>
          <w:lang w:eastAsia="zh-CN"/>
        </w:rPr>
        <w:t>及《国家卫生计生委妇幼司关于印发农村妇女两癌检查项目管理方案（</w:t>
      </w:r>
      <w:r>
        <w:rPr>
          <w:rFonts w:hint="eastAsia" w:ascii="仿宋_GB2312" w:eastAsia="仿宋_GB2312"/>
          <w:color w:val="auto"/>
          <w:sz w:val="32"/>
          <w:szCs w:val="32"/>
          <w:lang w:val="en-US" w:eastAsia="zh-CN"/>
        </w:rPr>
        <w:t>2015年版</w:t>
      </w:r>
      <w:r>
        <w:rPr>
          <w:rFonts w:hint="eastAsia" w:ascii="仿宋_GB2312" w:eastAsia="仿宋_GB2312"/>
          <w:color w:val="auto"/>
          <w:sz w:val="32"/>
          <w:szCs w:val="32"/>
          <w:lang w:eastAsia="zh-CN"/>
        </w:rPr>
        <w:t>）的通知》</w:t>
      </w:r>
      <w:r>
        <w:rPr>
          <w:rFonts w:hint="eastAsia" w:ascii="仿宋_GB2312" w:eastAsia="仿宋_GB2312"/>
          <w:color w:val="auto"/>
          <w:sz w:val="32"/>
          <w:szCs w:val="32"/>
        </w:rPr>
        <w:t>开展免费婚检、</w:t>
      </w:r>
      <w:r>
        <w:rPr>
          <w:rFonts w:hint="eastAsia" w:ascii="仿宋_GB2312" w:eastAsia="仿宋_GB2312"/>
          <w:color w:val="auto"/>
          <w:sz w:val="32"/>
          <w:szCs w:val="32"/>
          <w:lang w:eastAsia="zh-CN"/>
        </w:rPr>
        <w:t>孕前优生检查及两癌的</w:t>
      </w:r>
      <w:r>
        <w:rPr>
          <w:rFonts w:hint="eastAsia" w:ascii="仿宋_GB2312" w:eastAsia="仿宋_GB2312"/>
          <w:color w:val="auto"/>
          <w:sz w:val="32"/>
          <w:szCs w:val="32"/>
        </w:rPr>
        <w:t>咨询和指导评估工作，并按时上报婚检</w:t>
      </w:r>
      <w:r>
        <w:rPr>
          <w:rFonts w:hint="eastAsia" w:ascii="仿宋_GB2312" w:eastAsia="仿宋_GB2312"/>
          <w:color w:val="auto"/>
          <w:sz w:val="32"/>
          <w:szCs w:val="32"/>
          <w:lang w:eastAsia="zh-CN"/>
        </w:rPr>
        <w:t>、孕优和两癌的相关</w:t>
      </w:r>
      <w:r>
        <w:rPr>
          <w:rFonts w:hint="eastAsia" w:ascii="仿宋_GB2312" w:eastAsia="仿宋_GB2312"/>
          <w:color w:val="auto"/>
          <w:sz w:val="32"/>
          <w:szCs w:val="32"/>
        </w:rPr>
        <w:t>信息资料；</w:t>
      </w:r>
      <w:r>
        <w:rPr>
          <w:rFonts w:hint="eastAsia" w:ascii="仿宋_GB2312" w:eastAsia="仿宋_GB2312"/>
          <w:sz w:val="32"/>
          <w:szCs w:val="32"/>
        </w:rPr>
        <w:t>20</w:t>
      </w:r>
      <w:r>
        <w:rPr>
          <w:rFonts w:hint="eastAsia" w:ascii="仿宋_GB2312" w:eastAsia="仿宋_GB2312"/>
          <w:color w:val="auto"/>
          <w:sz w:val="32"/>
          <w:szCs w:val="32"/>
          <w:lang w:val="en-US" w:eastAsia="zh-CN"/>
        </w:rPr>
        <w:t>21</w:t>
      </w:r>
      <w:r>
        <w:rPr>
          <w:rFonts w:hint="eastAsia" w:ascii="仿宋_GB2312" w:eastAsia="仿宋_GB2312"/>
          <w:color w:val="auto"/>
          <w:sz w:val="32"/>
          <w:szCs w:val="32"/>
        </w:rPr>
        <w:t>年</w:t>
      </w:r>
      <w:r>
        <w:rPr>
          <w:rFonts w:hint="eastAsia" w:ascii="仿宋_GB2312" w:hAnsi="仿宋" w:eastAsia="仿宋_GB2312"/>
          <w:color w:val="auto"/>
          <w:sz w:val="32"/>
          <w:szCs w:val="36"/>
        </w:rPr>
        <w:t>完成免费婚前医学检查</w:t>
      </w:r>
      <w:r>
        <w:rPr>
          <w:rFonts w:hint="eastAsia" w:ascii="仿宋_GB2312" w:hAnsi="仿宋" w:eastAsia="仿宋_GB2312"/>
          <w:color w:val="auto"/>
          <w:sz w:val="32"/>
          <w:szCs w:val="36"/>
          <w:lang w:val="en-US" w:eastAsia="zh-CN"/>
        </w:rPr>
        <w:t>1003</w:t>
      </w:r>
      <w:r>
        <w:rPr>
          <w:rFonts w:hint="eastAsia" w:ascii="仿宋_GB2312" w:hAnsi="仿宋" w:eastAsia="仿宋_GB2312"/>
          <w:color w:val="auto"/>
          <w:sz w:val="32"/>
          <w:szCs w:val="36"/>
        </w:rPr>
        <w:t>对，民政部门提供的结婚登记人数</w:t>
      </w:r>
      <w:r>
        <w:rPr>
          <w:rFonts w:hint="eastAsia" w:ascii="仿宋_GB2312" w:hAnsi="仿宋" w:eastAsia="仿宋_GB2312"/>
          <w:color w:val="auto"/>
          <w:sz w:val="32"/>
          <w:szCs w:val="36"/>
          <w:lang w:val="en-US" w:eastAsia="zh-CN"/>
        </w:rPr>
        <w:t>1065</w:t>
      </w:r>
      <w:r>
        <w:rPr>
          <w:rFonts w:hint="eastAsia" w:ascii="仿宋_GB2312" w:hAnsi="仿宋" w:eastAsia="仿宋_GB2312"/>
          <w:color w:val="auto"/>
          <w:sz w:val="32"/>
          <w:szCs w:val="36"/>
        </w:rPr>
        <w:t>对，免费婚前医学检查率9</w:t>
      </w:r>
      <w:r>
        <w:rPr>
          <w:rFonts w:hint="eastAsia" w:ascii="仿宋_GB2312" w:hAnsi="仿宋" w:eastAsia="仿宋_GB2312"/>
          <w:color w:val="auto"/>
          <w:sz w:val="32"/>
          <w:szCs w:val="36"/>
          <w:lang w:val="en-US" w:eastAsia="zh-CN"/>
        </w:rPr>
        <w:t>4.18</w:t>
      </w:r>
      <w:r>
        <w:rPr>
          <w:rFonts w:hint="eastAsia" w:ascii="仿宋_GB2312" w:hAnsi="仿宋" w:eastAsia="仿宋_GB2312"/>
          <w:color w:val="auto"/>
          <w:sz w:val="32"/>
          <w:szCs w:val="36"/>
        </w:rPr>
        <w:t>%</w:t>
      </w:r>
      <w:r>
        <w:rPr>
          <w:rFonts w:hint="eastAsia" w:ascii="仿宋_GB2312" w:eastAsia="仿宋_GB2312"/>
          <w:color w:val="auto"/>
          <w:sz w:val="32"/>
          <w:szCs w:val="32"/>
        </w:rPr>
        <w:t>。检出疾病人数</w:t>
      </w:r>
      <w:r>
        <w:rPr>
          <w:rFonts w:hint="eastAsia" w:ascii="仿宋_GB2312" w:eastAsia="仿宋_GB2312"/>
          <w:color w:val="auto"/>
          <w:sz w:val="32"/>
          <w:szCs w:val="32"/>
          <w:lang w:val="en-US" w:eastAsia="zh-CN"/>
        </w:rPr>
        <w:t>61</w:t>
      </w:r>
      <w:r>
        <w:rPr>
          <w:rFonts w:hint="eastAsia" w:ascii="仿宋_GB2312" w:eastAsia="仿宋_GB2312"/>
          <w:color w:val="auto"/>
          <w:sz w:val="32"/>
          <w:szCs w:val="32"/>
        </w:rPr>
        <w:t>人，疾病检出率</w:t>
      </w:r>
      <w:r>
        <w:rPr>
          <w:rFonts w:hint="eastAsia" w:ascii="仿宋_GB2312" w:eastAsia="仿宋_GB2312"/>
          <w:color w:val="auto"/>
          <w:sz w:val="32"/>
          <w:szCs w:val="32"/>
          <w:lang w:val="en-US" w:eastAsia="zh-CN"/>
        </w:rPr>
        <w:t>3.04</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2021年我县孕前优生医学检查的任务数为700对，</w:t>
      </w:r>
      <w:r>
        <w:rPr>
          <w:rFonts w:hint="eastAsia" w:ascii="仿宋_GB2312" w:eastAsia="仿宋_GB2312"/>
          <w:color w:val="auto"/>
          <w:sz w:val="32"/>
          <w:szCs w:val="32"/>
          <w:lang w:eastAsia="zh-CN"/>
        </w:rPr>
        <w:t>截止</w:t>
      </w:r>
      <w:r>
        <w:rPr>
          <w:rFonts w:hint="eastAsia" w:ascii="仿宋_GB2312" w:eastAsia="仿宋_GB2312"/>
          <w:color w:val="auto"/>
          <w:sz w:val="32"/>
          <w:szCs w:val="32"/>
          <w:lang w:val="en-US" w:eastAsia="zh-CN"/>
        </w:rPr>
        <w:t>2021年12月31日</w:t>
      </w:r>
      <w:r>
        <w:rPr>
          <w:rFonts w:hint="eastAsia" w:ascii="仿宋_GB2312" w:eastAsia="仿宋_GB2312"/>
          <w:color w:val="auto"/>
          <w:sz w:val="32"/>
          <w:szCs w:val="32"/>
          <w:lang w:eastAsia="zh-CN"/>
        </w:rPr>
        <w:t>孕前优生医学检查共计完成</w:t>
      </w:r>
      <w:r>
        <w:rPr>
          <w:rFonts w:hint="eastAsia" w:ascii="仿宋_GB2312" w:eastAsia="仿宋_GB2312"/>
          <w:color w:val="auto"/>
          <w:sz w:val="32"/>
          <w:szCs w:val="32"/>
          <w:lang w:val="en-US" w:eastAsia="zh-CN"/>
        </w:rPr>
        <w:t xml:space="preserve"> 703对，目标完成率100.36%，目标人群覆盖率100%。2021年完成两癌筛查2399人，宫颈癌人群筛查率6.88%。</w:t>
      </w:r>
    </w:p>
    <w:p>
      <w:pPr>
        <w:spacing w:line="360" w:lineRule="auto"/>
        <w:ind w:firstLine="642" w:firstLineChars="200"/>
        <w:rPr>
          <w:rFonts w:hint="eastAsia" w:ascii="仿宋_GB2312" w:hAnsi="仿宋_GB2312" w:eastAsia="仿宋_GB2312" w:cs="仿宋_GB2312"/>
          <w:b/>
          <w:sz w:val="32"/>
          <w:szCs w:val="30"/>
          <w:lang w:eastAsia="zh-CN"/>
        </w:rPr>
      </w:pPr>
      <w:r>
        <w:rPr>
          <w:rFonts w:hint="eastAsia" w:ascii="仿宋_GB2312" w:hAnsi="仿宋_GB2312" w:eastAsia="仿宋_GB2312" w:cs="仿宋_GB2312"/>
          <w:b/>
          <w:sz w:val="32"/>
          <w:szCs w:val="30"/>
        </w:rPr>
        <w:t>（二）孕产妇保健</w:t>
      </w:r>
      <w:r>
        <w:rPr>
          <w:rFonts w:hint="eastAsia" w:ascii="仿宋_GB2312" w:hAnsi="仿宋_GB2312" w:eastAsia="仿宋_GB2312" w:cs="仿宋_GB2312"/>
          <w:b/>
          <w:sz w:val="32"/>
          <w:szCs w:val="30"/>
          <w:lang w:eastAsia="zh-CN"/>
        </w:rPr>
        <w:t>管理情况</w:t>
      </w:r>
    </w:p>
    <w:p>
      <w:pPr>
        <w:spacing w:line="360" w:lineRule="auto"/>
        <w:ind w:firstLine="640" w:firstLineChars="200"/>
        <w:rPr>
          <w:rFonts w:hint="eastAsia" w:ascii="仿宋_GB2312" w:hAnsi="仿宋_GB2312" w:eastAsia="仿宋_GB2312" w:cs="仿宋_GB2312"/>
          <w:sz w:val="32"/>
          <w:szCs w:val="30"/>
        </w:rPr>
      </w:pPr>
      <w:r>
        <w:rPr>
          <w:rFonts w:hint="eastAsia" w:ascii="仿宋_GB2312" w:eastAsia="仿宋_GB2312"/>
          <w:sz w:val="32"/>
          <w:szCs w:val="32"/>
        </w:rPr>
        <w:t>各医疗</w:t>
      </w:r>
      <w:r>
        <w:rPr>
          <w:rFonts w:hint="eastAsia" w:ascii="仿宋_GB2312" w:eastAsia="仿宋_GB2312"/>
          <w:sz w:val="32"/>
          <w:szCs w:val="32"/>
          <w:lang w:eastAsia="zh-CN"/>
        </w:rPr>
        <w:t>卫生</w:t>
      </w:r>
      <w:r>
        <w:rPr>
          <w:rFonts w:hint="eastAsia" w:ascii="仿宋_GB2312" w:eastAsia="仿宋_GB2312"/>
          <w:sz w:val="32"/>
          <w:szCs w:val="32"/>
        </w:rPr>
        <w:t>机构结合自愿免费婚检、免费孕前优生健康检查、孕产妇健康管理、生育登记等工作建立孕情摸查，对辖区内妇女的生育意愿、孕妇人数、分布状况、高危妊娠做到“四清楚”，及时建立孕期保健卡及电子健康档案，并做好孕妇建卡信息登记，定期进行产前检查。全面落实孕产妇妊娠风险评估与管理要求，对孕产妇实行5种颜色分级管理。启动实施母婴安全行动计划，通过开展妊娠风险防范、危急重症救治、质量安全提升、专科能力建设、便民优质服务行动，提升妇幼健康服务水平。在20</w:t>
      </w:r>
      <w:r>
        <w:rPr>
          <w:rFonts w:hint="eastAsia" w:ascii="仿宋_GB2312" w:eastAsia="仿宋_GB2312"/>
          <w:sz w:val="32"/>
          <w:szCs w:val="32"/>
          <w:lang w:val="en-US" w:eastAsia="zh-CN"/>
        </w:rPr>
        <w:t>21</w:t>
      </w:r>
      <w:r>
        <w:rPr>
          <w:rFonts w:hint="eastAsia" w:ascii="仿宋_GB2312" w:eastAsia="仿宋_GB2312"/>
          <w:sz w:val="32"/>
          <w:szCs w:val="32"/>
        </w:rPr>
        <w:t>年的基础上进一步规范和完善</w:t>
      </w:r>
      <w:r>
        <w:rPr>
          <w:rFonts w:hint="eastAsia" w:ascii="仿宋_GB2312" w:eastAsia="仿宋_GB2312"/>
          <w:sz w:val="32"/>
          <w:szCs w:val="32"/>
          <w:lang w:eastAsia="zh-CN"/>
        </w:rPr>
        <w:t>了</w:t>
      </w:r>
      <w:r>
        <w:rPr>
          <w:rFonts w:hint="eastAsia" w:ascii="仿宋_GB2312" w:eastAsia="仿宋_GB2312"/>
          <w:sz w:val="32"/>
          <w:szCs w:val="32"/>
        </w:rPr>
        <w:t>辖区产儿科急救指挥体系和救治体系，进一步加强</w:t>
      </w:r>
      <w:r>
        <w:rPr>
          <w:rFonts w:hint="eastAsia" w:ascii="仿宋_GB2312" w:eastAsia="仿宋_GB2312"/>
          <w:sz w:val="32"/>
          <w:szCs w:val="32"/>
          <w:lang w:eastAsia="zh-CN"/>
        </w:rPr>
        <w:t>了</w:t>
      </w:r>
      <w:r>
        <w:rPr>
          <w:rFonts w:hint="eastAsia" w:ascii="仿宋_GB2312" w:eastAsia="仿宋_GB2312"/>
          <w:sz w:val="32"/>
          <w:szCs w:val="32"/>
        </w:rPr>
        <w:t>产儿科急救中心的能力建设，有效发挥急救转诊网络作用</w:t>
      </w:r>
      <w:r>
        <w:rPr>
          <w:rFonts w:hint="eastAsia" w:ascii="仿宋_GB2312" w:hAnsi="仿宋_GB2312" w:eastAsia="仿宋_GB2312" w:cs="仿宋_GB2312"/>
          <w:sz w:val="32"/>
          <w:szCs w:val="30"/>
        </w:rPr>
        <w:t>。</w:t>
      </w:r>
    </w:p>
    <w:p>
      <w:pPr>
        <w:spacing w:line="360" w:lineRule="auto"/>
        <w:ind w:firstLine="640" w:firstLineChars="200"/>
        <w:rPr>
          <w:rFonts w:hint="eastAsia" w:ascii="仿宋_GB2312" w:hAnsi="仿宋_GB2312" w:eastAsia="仿宋_GB2312" w:cs="仿宋_GB2312"/>
          <w:sz w:val="32"/>
          <w:szCs w:val="30"/>
        </w:rPr>
      </w:pPr>
      <w:r>
        <w:rPr>
          <w:rFonts w:hint="eastAsia" w:ascii="仿宋_GB2312" w:hAnsi="仿宋_GB2312" w:eastAsia="仿宋_GB2312" w:cs="仿宋_GB2312"/>
          <w:sz w:val="32"/>
          <w:szCs w:val="30"/>
        </w:rPr>
        <w:t>1.</w:t>
      </w:r>
      <w:r>
        <w:rPr>
          <w:rFonts w:hint="eastAsia" w:ascii="仿宋_GB2312" w:eastAsia="仿宋_GB2312"/>
          <w:sz w:val="32"/>
          <w:szCs w:val="32"/>
        </w:rPr>
        <w:t>20</w:t>
      </w:r>
      <w:r>
        <w:rPr>
          <w:rFonts w:hint="eastAsia" w:ascii="仿宋_GB2312" w:eastAsia="仿宋_GB2312"/>
          <w:sz w:val="32"/>
          <w:szCs w:val="32"/>
          <w:lang w:val="en-US" w:eastAsia="zh-CN"/>
        </w:rPr>
        <w:t>21</w:t>
      </w:r>
      <w:r>
        <w:rPr>
          <w:rFonts w:hint="eastAsia" w:ascii="仿宋_GB2312" w:eastAsia="仿宋_GB2312"/>
          <w:sz w:val="32"/>
          <w:szCs w:val="32"/>
        </w:rPr>
        <w:t>年</w:t>
      </w:r>
      <w:r>
        <w:rPr>
          <w:rFonts w:hint="eastAsia" w:ascii="仿宋_GB2312" w:hAnsi="宋体" w:eastAsia="仿宋_GB2312"/>
          <w:sz w:val="32"/>
          <w:szCs w:val="32"/>
        </w:rPr>
        <w:t>全县本地户籍活产数</w:t>
      </w:r>
      <w:r>
        <w:rPr>
          <w:rFonts w:hint="eastAsia" w:ascii="仿宋_GB2312" w:hAnsi="宋体" w:eastAsia="仿宋_GB2312"/>
          <w:sz w:val="32"/>
          <w:szCs w:val="32"/>
          <w:lang w:val="en-US" w:eastAsia="zh-CN"/>
        </w:rPr>
        <w:t>1596</w:t>
      </w:r>
      <w:r>
        <w:rPr>
          <w:rFonts w:hint="eastAsia" w:ascii="仿宋_GB2312" w:hAnsi="宋体" w:eastAsia="仿宋_GB2312"/>
          <w:sz w:val="32"/>
          <w:szCs w:val="32"/>
          <w:lang w:eastAsia="zh-CN"/>
        </w:rPr>
        <w:t>人</w:t>
      </w:r>
      <w:r>
        <w:rPr>
          <w:rFonts w:hint="eastAsia" w:ascii="仿宋_GB2312" w:hAnsi="宋体" w:eastAsia="仿宋_GB2312"/>
          <w:sz w:val="32"/>
          <w:szCs w:val="32"/>
          <w:lang w:val="en-US" w:eastAsia="zh-CN"/>
        </w:rPr>
        <w:t>,</w:t>
      </w:r>
      <w:r>
        <w:rPr>
          <w:rFonts w:hint="eastAsia" w:ascii="仿宋_GB2312" w:hAnsi="仿宋_GB2312" w:eastAsia="仿宋_GB2312" w:cs="仿宋_GB2312"/>
          <w:sz w:val="32"/>
          <w:szCs w:val="30"/>
        </w:rPr>
        <w:t>男孩</w:t>
      </w:r>
      <w:r>
        <w:rPr>
          <w:rFonts w:hint="eastAsia" w:ascii="仿宋_GB2312" w:hAnsi="仿宋_GB2312" w:eastAsia="仿宋_GB2312" w:cs="仿宋_GB2312"/>
          <w:sz w:val="32"/>
          <w:szCs w:val="30"/>
          <w:lang w:val="en-US" w:eastAsia="zh-CN"/>
        </w:rPr>
        <w:t>890</w:t>
      </w:r>
      <w:r>
        <w:rPr>
          <w:rFonts w:hint="eastAsia" w:ascii="仿宋_GB2312" w:hAnsi="仿宋_GB2312" w:eastAsia="仿宋_GB2312" w:cs="仿宋_GB2312"/>
          <w:sz w:val="32"/>
          <w:szCs w:val="30"/>
        </w:rPr>
        <w:t>人，女孩</w:t>
      </w:r>
      <w:r>
        <w:rPr>
          <w:rFonts w:hint="eastAsia" w:ascii="仿宋_GB2312" w:hAnsi="仿宋_GB2312" w:eastAsia="仿宋_GB2312" w:cs="仿宋_GB2312"/>
          <w:sz w:val="32"/>
          <w:szCs w:val="30"/>
          <w:lang w:val="en-US" w:eastAsia="zh-CN"/>
        </w:rPr>
        <w:t>706人，</w:t>
      </w:r>
      <w:r>
        <w:rPr>
          <w:rFonts w:hint="eastAsia" w:ascii="仿宋_GB2312" w:hAnsi="宋体" w:eastAsia="仿宋_GB2312"/>
          <w:sz w:val="32"/>
          <w:szCs w:val="32"/>
          <w:lang w:val="en-US" w:eastAsia="zh-CN"/>
        </w:rPr>
        <w:t>双胎10例，死胎死产数8例</w:t>
      </w:r>
      <w:r>
        <w:rPr>
          <w:rFonts w:hint="eastAsia" w:ascii="仿宋_GB2312" w:hAnsi="仿宋_GB2312" w:eastAsia="仿宋_GB2312" w:cs="仿宋_GB2312"/>
          <w:sz w:val="32"/>
          <w:szCs w:val="30"/>
        </w:rPr>
        <w:t>。</w:t>
      </w:r>
    </w:p>
    <w:p>
      <w:pPr>
        <w:spacing w:line="360" w:lineRule="auto"/>
        <w:ind w:firstLine="640" w:firstLineChars="200"/>
        <w:rPr>
          <w:rFonts w:hint="eastAsia" w:ascii="仿宋_GB2312" w:hAnsi="仿宋_GB2312" w:eastAsia="仿宋_GB2312" w:cs="仿宋_GB2312"/>
          <w:sz w:val="32"/>
          <w:szCs w:val="30"/>
        </w:rPr>
      </w:pPr>
      <w:r>
        <w:rPr>
          <w:rFonts w:hint="eastAsia" w:ascii="仿宋_GB2312" w:hAnsi="仿宋_GB2312" w:eastAsia="仿宋_GB2312" w:cs="仿宋_GB2312"/>
          <w:sz w:val="32"/>
          <w:szCs w:val="30"/>
        </w:rPr>
        <w:t>2.</w:t>
      </w:r>
      <w:r>
        <w:rPr>
          <w:rFonts w:hint="eastAsia" w:ascii="仿宋_GB2312" w:eastAsia="仿宋_GB2312"/>
          <w:sz w:val="32"/>
          <w:szCs w:val="32"/>
        </w:rPr>
        <w:t>20</w:t>
      </w:r>
      <w:r>
        <w:rPr>
          <w:rFonts w:hint="eastAsia" w:ascii="仿宋_GB2312" w:eastAsia="仿宋_GB2312"/>
          <w:sz w:val="32"/>
          <w:szCs w:val="32"/>
          <w:lang w:val="en-US" w:eastAsia="zh-CN"/>
        </w:rPr>
        <w:t>21</w:t>
      </w:r>
      <w:r>
        <w:rPr>
          <w:rFonts w:hint="eastAsia" w:ascii="仿宋_GB2312" w:eastAsia="仿宋_GB2312"/>
          <w:sz w:val="32"/>
          <w:szCs w:val="32"/>
        </w:rPr>
        <w:t>年</w:t>
      </w:r>
      <w:r>
        <w:rPr>
          <w:rFonts w:hint="eastAsia" w:ascii="仿宋_GB2312" w:eastAsia="仿宋_GB2312"/>
          <w:sz w:val="32"/>
          <w:szCs w:val="32"/>
          <w:lang w:eastAsia="zh-CN"/>
        </w:rPr>
        <w:t>全县</w:t>
      </w:r>
      <w:r>
        <w:rPr>
          <w:rFonts w:hint="eastAsia" w:ascii="仿宋_GB2312" w:hAnsi="仿宋_GB2312" w:eastAsia="仿宋_GB2312" w:cs="仿宋_GB2312"/>
          <w:sz w:val="32"/>
          <w:szCs w:val="30"/>
        </w:rPr>
        <w:t>产妇总数</w:t>
      </w:r>
      <w:r>
        <w:rPr>
          <w:rFonts w:hint="eastAsia" w:ascii="仿宋_GB2312" w:hAnsi="仿宋_GB2312" w:eastAsia="仿宋_GB2312" w:cs="仿宋_GB2312"/>
          <w:sz w:val="32"/>
          <w:szCs w:val="30"/>
          <w:lang w:val="en-US" w:eastAsia="zh-CN"/>
        </w:rPr>
        <w:t>1592</w:t>
      </w:r>
      <w:r>
        <w:rPr>
          <w:rFonts w:hint="eastAsia" w:ascii="仿宋_GB2312" w:hAnsi="仿宋_GB2312" w:eastAsia="仿宋_GB2312" w:cs="仿宋_GB2312"/>
          <w:sz w:val="32"/>
          <w:szCs w:val="30"/>
        </w:rPr>
        <w:t>人，孕产妇系统管理数</w:t>
      </w:r>
      <w:r>
        <w:rPr>
          <w:rFonts w:hint="eastAsia" w:ascii="仿宋_GB2312" w:hAnsi="仿宋_GB2312" w:eastAsia="仿宋_GB2312" w:cs="仿宋_GB2312"/>
          <w:color w:val="auto"/>
          <w:sz w:val="32"/>
          <w:szCs w:val="30"/>
          <w:lang w:val="en-US" w:eastAsia="zh-CN"/>
        </w:rPr>
        <w:t>1494</w:t>
      </w:r>
      <w:r>
        <w:rPr>
          <w:rFonts w:hint="eastAsia" w:ascii="仿宋_GB2312" w:hAnsi="仿宋_GB2312" w:eastAsia="仿宋_GB2312" w:cs="仿宋_GB2312"/>
          <w:sz w:val="32"/>
          <w:szCs w:val="30"/>
        </w:rPr>
        <w:t>人，孕产妇系统管理率</w:t>
      </w:r>
      <w:r>
        <w:rPr>
          <w:rFonts w:hint="eastAsia" w:ascii="仿宋_GB2312" w:hAnsi="仿宋_GB2312" w:eastAsia="仿宋_GB2312" w:cs="仿宋_GB2312"/>
          <w:sz w:val="32"/>
          <w:szCs w:val="30"/>
          <w:lang w:val="en-US" w:eastAsia="zh-CN"/>
        </w:rPr>
        <w:t>93.61</w:t>
      </w:r>
      <w:r>
        <w:rPr>
          <w:rFonts w:hint="eastAsia" w:ascii="仿宋_GB2312" w:hAnsi="仿宋_GB2312" w:eastAsia="仿宋_GB2312" w:cs="仿宋_GB2312"/>
          <w:sz w:val="32"/>
          <w:szCs w:val="30"/>
        </w:rPr>
        <w:t>%</w:t>
      </w:r>
      <w:r>
        <w:rPr>
          <w:rFonts w:hint="eastAsia" w:ascii="仿宋_GB2312" w:hAnsi="仿宋_GB2312" w:eastAsia="仿宋_GB2312" w:cs="仿宋_GB2312"/>
          <w:sz w:val="32"/>
          <w:szCs w:val="30"/>
          <w:lang w:val="en-US" w:eastAsia="zh-CN"/>
        </w:rPr>
        <w:t>；在12+6周前建卡产妇数1494人，早孕建卡率93.84%；产后访视人数1564人，产后访视率97.99%，达到95%的访视率</w:t>
      </w:r>
      <w:r>
        <w:rPr>
          <w:rFonts w:hint="eastAsia" w:ascii="仿宋_GB2312" w:hAnsi="仿宋_GB2312" w:eastAsia="仿宋_GB2312" w:cs="仿宋_GB2312"/>
          <w:sz w:val="32"/>
          <w:szCs w:val="30"/>
        </w:rPr>
        <w:t>。</w:t>
      </w:r>
    </w:p>
    <w:p>
      <w:pPr>
        <w:numPr>
          <w:ilvl w:val="0"/>
          <w:numId w:val="0"/>
        </w:numPr>
        <w:spacing w:line="360" w:lineRule="auto"/>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color w:val="000000"/>
          <w:sz w:val="32"/>
          <w:szCs w:val="32"/>
        </w:rPr>
        <w:t>产妇</w:t>
      </w:r>
      <w:r>
        <w:rPr>
          <w:rFonts w:hint="eastAsia" w:ascii="仿宋_GB2312" w:hAnsi="仿宋_GB2312" w:eastAsia="仿宋_GB2312" w:cs="仿宋_GB2312"/>
          <w:color w:val="000000"/>
          <w:sz w:val="32"/>
          <w:szCs w:val="32"/>
          <w:lang w:eastAsia="zh-CN"/>
        </w:rPr>
        <w:t>检查情况</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产妇产前检查</w:t>
      </w:r>
      <w:r>
        <w:rPr>
          <w:rFonts w:hint="eastAsia" w:ascii="仿宋_GB2312" w:hAnsi="仿宋_GB2312" w:eastAsia="仿宋_GB2312" w:cs="仿宋_GB2312"/>
          <w:sz w:val="32"/>
          <w:szCs w:val="32"/>
          <w:lang w:val="en-US" w:eastAsia="zh-CN"/>
        </w:rPr>
        <w:t>5次以上人数1408人，产孕早期检查人数1494人，孕早期检查率93.84%；产妇孕产期HB检测人数1592人，筛查出孕产期贫血人数59人，产妇孕产期贫血率3.71%</w:t>
      </w:r>
      <w:r>
        <w:rPr>
          <w:rFonts w:hint="eastAsia" w:ascii="仿宋_GB2312" w:hAnsi="仿宋_GB2312" w:eastAsia="仿宋_GB2312" w:cs="仿宋_GB2312"/>
          <w:sz w:val="32"/>
          <w:szCs w:val="32"/>
          <w:lang w:eastAsia="zh-CN"/>
        </w:rPr>
        <w:t>。</w:t>
      </w:r>
    </w:p>
    <w:p>
      <w:pPr>
        <w:numPr>
          <w:ilvl w:val="0"/>
          <w:numId w:val="0"/>
        </w:numPr>
        <w:spacing w:line="360" w:lineRule="auto"/>
        <w:ind w:firstLine="640" w:firstLineChars="200"/>
        <w:rPr>
          <w:rFonts w:hint="eastAsia" w:ascii="仿宋_GB2312" w:hAnsi="仿宋_GB2312" w:eastAsia="仿宋_GB2312" w:cs="仿宋_GB2312"/>
          <w:sz w:val="32"/>
          <w:szCs w:val="30"/>
        </w:rPr>
      </w:pPr>
      <w:r>
        <w:rPr>
          <w:rFonts w:hint="eastAsia" w:ascii="仿宋_GB2312" w:hAnsi="仿宋_GB2312" w:eastAsia="仿宋_GB2312" w:cs="仿宋_GB2312"/>
          <w:sz w:val="32"/>
          <w:szCs w:val="30"/>
          <w:lang w:val="en-US" w:eastAsia="zh-CN"/>
        </w:rPr>
        <w:t>4.</w:t>
      </w:r>
      <w:r>
        <w:rPr>
          <w:rFonts w:hint="eastAsia" w:ascii="仿宋_GB2312" w:hAnsi="仿宋_GB2312" w:eastAsia="仿宋_GB2312" w:cs="仿宋_GB2312"/>
          <w:sz w:val="32"/>
          <w:szCs w:val="30"/>
        </w:rPr>
        <w:t>住院分娩：</w:t>
      </w:r>
      <w:r>
        <w:rPr>
          <w:rFonts w:hint="eastAsia" w:ascii="仿宋_GB2312" w:hAnsi="仿宋_GB2312" w:eastAsia="仿宋_GB2312" w:cs="仿宋_GB2312"/>
          <w:sz w:val="32"/>
          <w:szCs w:val="32"/>
        </w:rPr>
        <w:t>全年活产总数</w:t>
      </w:r>
      <w:r>
        <w:rPr>
          <w:rFonts w:hint="eastAsia" w:ascii="仿宋_GB2312" w:hAnsi="仿宋_GB2312" w:eastAsia="仿宋_GB2312" w:cs="仿宋_GB2312"/>
          <w:sz w:val="32"/>
          <w:szCs w:val="32"/>
          <w:lang w:val="en-US" w:eastAsia="zh-CN"/>
        </w:rPr>
        <w:t>1596</w:t>
      </w:r>
      <w:r>
        <w:rPr>
          <w:rFonts w:hint="eastAsia" w:ascii="仿宋_GB2312" w:hAnsi="仿宋_GB2312" w:eastAsia="仿宋_GB2312" w:cs="仿宋_GB2312"/>
          <w:sz w:val="32"/>
          <w:szCs w:val="32"/>
        </w:rPr>
        <w:t>人，住院分娩活产</w:t>
      </w:r>
      <w:r>
        <w:rPr>
          <w:rFonts w:hint="eastAsia" w:ascii="仿宋_GB2312" w:hAnsi="仿宋_GB2312" w:eastAsia="仿宋_GB2312" w:cs="仿宋_GB2312"/>
          <w:sz w:val="32"/>
          <w:szCs w:val="32"/>
          <w:lang w:val="en-US" w:eastAsia="zh-CN"/>
        </w:rPr>
        <w:t>1595</w:t>
      </w:r>
      <w:r>
        <w:rPr>
          <w:rFonts w:hint="eastAsia" w:ascii="仿宋_GB2312" w:hAnsi="仿宋_GB2312" w:eastAsia="仿宋_GB2312" w:cs="仿宋_GB2312"/>
          <w:sz w:val="32"/>
          <w:szCs w:val="32"/>
        </w:rPr>
        <w:t>人，住院分娩率为99.</w:t>
      </w:r>
      <w:r>
        <w:rPr>
          <w:rFonts w:hint="eastAsia" w:ascii="仿宋_GB2312" w:hAnsi="仿宋_GB2312" w:eastAsia="仿宋_GB2312" w:cs="仿宋_GB2312"/>
          <w:sz w:val="32"/>
          <w:szCs w:val="32"/>
          <w:lang w:val="en-US" w:eastAsia="zh-CN"/>
        </w:rPr>
        <w:t>94</w:t>
      </w:r>
      <w:r>
        <w:rPr>
          <w:rFonts w:hint="eastAsia" w:ascii="仿宋_GB2312" w:hAnsi="仿宋_GB2312" w:eastAsia="仿宋_GB2312" w:cs="仿宋_GB2312"/>
          <w:sz w:val="32"/>
          <w:szCs w:val="32"/>
        </w:rPr>
        <w:t xml:space="preserve"> %，其中县域内助产机构住院分娩</w:t>
      </w:r>
      <w:r>
        <w:rPr>
          <w:rFonts w:hint="eastAsia" w:ascii="仿宋_GB2312" w:hAnsi="仿宋_GB2312" w:eastAsia="仿宋_GB2312" w:cs="仿宋_GB2312"/>
          <w:sz w:val="32"/>
          <w:szCs w:val="32"/>
          <w:lang w:val="en-US" w:eastAsia="zh-CN"/>
        </w:rPr>
        <w:t>650</w:t>
      </w:r>
      <w:r>
        <w:rPr>
          <w:rFonts w:hint="eastAsia" w:ascii="仿宋_GB2312" w:hAnsi="仿宋_GB2312" w:eastAsia="仿宋_GB2312" w:cs="仿宋_GB2312"/>
          <w:sz w:val="32"/>
          <w:szCs w:val="32"/>
        </w:rPr>
        <w:t>人，占住院分娩总数</w:t>
      </w:r>
      <w:r>
        <w:rPr>
          <w:rFonts w:hint="eastAsia" w:ascii="仿宋_GB2312" w:hAnsi="仿宋_GB2312" w:eastAsia="仿宋_GB2312" w:cs="仿宋_GB2312"/>
          <w:sz w:val="32"/>
          <w:szCs w:val="32"/>
          <w:lang w:val="en-US" w:eastAsia="zh-CN"/>
        </w:rPr>
        <w:t>40.73</w:t>
      </w:r>
      <w:r>
        <w:rPr>
          <w:rFonts w:hint="eastAsia" w:ascii="仿宋_GB2312" w:hAnsi="仿宋_GB2312" w:eastAsia="仿宋_GB2312" w:cs="仿宋_GB2312"/>
          <w:sz w:val="32"/>
          <w:szCs w:val="32"/>
        </w:rPr>
        <w:t xml:space="preserve"> %，市级以上助产机构住院分娩的</w:t>
      </w:r>
      <w:r>
        <w:rPr>
          <w:rFonts w:hint="eastAsia" w:ascii="仿宋_GB2312" w:hAnsi="仿宋_GB2312" w:eastAsia="仿宋_GB2312" w:cs="仿宋_GB2312"/>
          <w:sz w:val="32"/>
          <w:szCs w:val="32"/>
          <w:lang w:val="en-US" w:eastAsia="zh-CN"/>
        </w:rPr>
        <w:t>945</w:t>
      </w:r>
      <w:r>
        <w:rPr>
          <w:rFonts w:hint="eastAsia" w:ascii="仿宋_GB2312" w:hAnsi="仿宋_GB2312" w:eastAsia="仿宋_GB2312" w:cs="仿宋_GB2312"/>
          <w:sz w:val="32"/>
          <w:szCs w:val="32"/>
        </w:rPr>
        <w:t>人，占住院分娩总数</w:t>
      </w:r>
      <w:r>
        <w:rPr>
          <w:rFonts w:hint="eastAsia" w:ascii="仿宋_GB2312" w:hAnsi="仿宋_GB2312" w:eastAsia="仿宋_GB2312" w:cs="仿宋_GB2312"/>
          <w:sz w:val="32"/>
          <w:szCs w:val="32"/>
          <w:lang w:val="en-US" w:eastAsia="zh-CN"/>
        </w:rPr>
        <w:t>59.25</w:t>
      </w:r>
      <w:r>
        <w:rPr>
          <w:rFonts w:hint="eastAsia" w:ascii="仿宋_GB2312" w:hAnsi="仿宋_GB2312" w:eastAsia="仿宋_GB2312" w:cs="仿宋_GB2312"/>
          <w:sz w:val="32"/>
          <w:szCs w:val="32"/>
        </w:rPr>
        <w:t>%。</w:t>
      </w:r>
    </w:p>
    <w:p>
      <w:pPr>
        <w:spacing w:line="360" w:lineRule="auto"/>
        <w:ind w:firstLine="640" w:firstLineChars="200"/>
        <w:rPr>
          <w:rFonts w:hint="eastAsia" w:ascii="仿宋_GB2312" w:hAnsi="仿宋_GB2312" w:eastAsia="仿宋_GB2312" w:cs="仿宋_GB2312"/>
          <w:sz w:val="32"/>
          <w:szCs w:val="30"/>
          <w:lang w:val="en-US" w:eastAsia="zh-CN"/>
        </w:rPr>
      </w:pPr>
      <w:r>
        <w:rPr>
          <w:rFonts w:hint="eastAsia" w:ascii="仿宋_GB2312" w:hAnsi="仿宋_GB2312" w:eastAsia="仿宋_GB2312" w:cs="仿宋_GB2312"/>
          <w:color w:val="auto"/>
          <w:sz w:val="32"/>
          <w:szCs w:val="30"/>
        </w:rPr>
        <w:t>5.分娩方式：</w:t>
      </w:r>
      <w:r>
        <w:rPr>
          <w:rFonts w:hint="eastAsia" w:ascii="仿宋_GB2312" w:hAnsi="仿宋_GB2312" w:eastAsia="仿宋_GB2312" w:cs="仿宋_GB2312"/>
          <w:color w:val="auto"/>
          <w:sz w:val="32"/>
          <w:szCs w:val="30"/>
          <w:lang w:eastAsia="zh-CN"/>
        </w:rPr>
        <w:t>辖区内住院分娩活产总数</w:t>
      </w:r>
      <w:r>
        <w:rPr>
          <w:rFonts w:hint="eastAsia" w:ascii="仿宋_GB2312" w:hAnsi="仿宋_GB2312" w:eastAsia="仿宋_GB2312" w:cs="仿宋_GB2312"/>
          <w:color w:val="auto"/>
          <w:sz w:val="32"/>
          <w:szCs w:val="30"/>
          <w:lang w:val="en-US" w:eastAsia="zh-CN"/>
        </w:rPr>
        <w:t>1595人，</w:t>
      </w:r>
      <w:r>
        <w:rPr>
          <w:rFonts w:hint="eastAsia" w:ascii="仿宋_GB2312" w:hAnsi="仿宋_GB2312" w:eastAsia="仿宋_GB2312" w:cs="仿宋_GB2312"/>
          <w:color w:val="auto"/>
          <w:sz w:val="32"/>
          <w:szCs w:val="32"/>
        </w:rPr>
        <w:t>自然分娩</w:t>
      </w:r>
      <w:r>
        <w:rPr>
          <w:rFonts w:hint="eastAsia" w:ascii="仿宋_GB2312" w:hAnsi="仿宋_GB2312" w:eastAsia="仿宋_GB2312" w:cs="仿宋_GB2312"/>
          <w:sz w:val="32"/>
          <w:szCs w:val="32"/>
        </w:rPr>
        <w:t>活产</w:t>
      </w:r>
      <w:r>
        <w:rPr>
          <w:rFonts w:hint="eastAsia" w:ascii="仿宋_GB2312" w:hAnsi="仿宋_GB2312" w:eastAsia="仿宋_GB2312" w:cs="仿宋_GB2312"/>
          <w:sz w:val="32"/>
          <w:szCs w:val="32"/>
          <w:lang w:val="en-US" w:eastAsia="zh-CN"/>
        </w:rPr>
        <w:t>767</w:t>
      </w:r>
      <w:r>
        <w:rPr>
          <w:rFonts w:hint="eastAsia" w:ascii="仿宋_GB2312" w:hAnsi="仿宋_GB2312" w:eastAsia="仿宋_GB2312" w:cs="仿宋_GB2312"/>
          <w:sz w:val="32"/>
          <w:szCs w:val="32"/>
        </w:rPr>
        <w:t>人，剖宫产</w:t>
      </w:r>
      <w:r>
        <w:rPr>
          <w:rFonts w:hint="eastAsia" w:ascii="仿宋_GB2312" w:hAnsi="仿宋_GB2312" w:eastAsia="仿宋_GB2312" w:cs="仿宋_GB2312"/>
          <w:sz w:val="32"/>
          <w:szCs w:val="32"/>
          <w:lang w:val="en-US" w:eastAsia="zh-CN"/>
        </w:rPr>
        <w:t>828</w:t>
      </w:r>
      <w:r>
        <w:rPr>
          <w:rFonts w:hint="eastAsia" w:ascii="仿宋_GB2312" w:hAnsi="仿宋_GB2312" w:eastAsia="仿宋_GB2312" w:cs="仿宋_GB2312"/>
          <w:sz w:val="32"/>
          <w:szCs w:val="32"/>
        </w:rPr>
        <w:t>人，剖宫产率</w:t>
      </w:r>
      <w:r>
        <w:rPr>
          <w:rFonts w:hint="eastAsia" w:ascii="仿宋_GB2312" w:hAnsi="仿宋_GB2312" w:eastAsia="仿宋_GB2312" w:cs="仿宋_GB2312"/>
          <w:sz w:val="32"/>
          <w:szCs w:val="32"/>
          <w:lang w:val="en-US" w:eastAsia="zh-CN"/>
        </w:rPr>
        <w:t>51.91</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,与2020年相比上升4.77%</w:t>
      </w:r>
      <w:r>
        <w:rPr>
          <w:rFonts w:hint="eastAsia" w:ascii="仿宋_GB2312" w:hAnsi="仿宋_GB2312" w:eastAsia="仿宋_GB2312" w:cs="仿宋_GB2312"/>
          <w:sz w:val="32"/>
          <w:szCs w:val="30"/>
          <w:lang w:eastAsia="zh-CN"/>
        </w:rPr>
        <w:t>。</w:t>
      </w:r>
      <w:r>
        <w:rPr>
          <w:rFonts w:hint="eastAsia" w:ascii="仿宋_GB2312" w:hAnsi="仿宋_GB2312" w:eastAsia="仿宋_GB2312" w:cs="仿宋_GB2312"/>
          <w:sz w:val="32"/>
          <w:szCs w:val="32"/>
        </w:rPr>
        <w:t>县域内住院分娩活产总</w:t>
      </w:r>
      <w:r>
        <w:rPr>
          <w:rFonts w:hint="eastAsia" w:ascii="仿宋_GB2312" w:hAnsi="仿宋_GB2312" w:eastAsia="仿宋_GB2312" w:cs="仿宋_GB2312"/>
          <w:sz w:val="32"/>
          <w:szCs w:val="32"/>
          <w:lang w:eastAsia="zh-CN"/>
        </w:rPr>
        <w:t>数</w:t>
      </w:r>
      <w:r>
        <w:rPr>
          <w:rFonts w:hint="eastAsia" w:ascii="仿宋_GB2312" w:hAnsi="仿宋_GB2312" w:eastAsia="仿宋_GB2312" w:cs="仿宋_GB2312"/>
          <w:sz w:val="32"/>
          <w:szCs w:val="32"/>
          <w:lang w:val="en-US" w:eastAsia="zh-CN"/>
        </w:rPr>
        <w:t>650</w:t>
      </w:r>
      <w:r>
        <w:rPr>
          <w:rFonts w:hint="eastAsia" w:ascii="仿宋_GB2312" w:hAnsi="仿宋_GB2312" w:eastAsia="仿宋_GB2312" w:cs="仿宋_GB2312"/>
          <w:sz w:val="32"/>
          <w:szCs w:val="32"/>
        </w:rPr>
        <w:t>人，自然分娩活产</w:t>
      </w:r>
      <w:r>
        <w:rPr>
          <w:rFonts w:hint="eastAsia" w:ascii="仿宋_GB2312" w:hAnsi="仿宋_GB2312" w:eastAsia="仿宋_GB2312" w:cs="仿宋_GB2312"/>
          <w:sz w:val="32"/>
          <w:szCs w:val="32"/>
          <w:lang w:val="en-US" w:eastAsia="zh-CN"/>
        </w:rPr>
        <w:t>367</w:t>
      </w:r>
      <w:r>
        <w:rPr>
          <w:rFonts w:hint="eastAsia" w:ascii="仿宋_GB2312" w:hAnsi="仿宋_GB2312" w:eastAsia="仿宋_GB2312" w:cs="仿宋_GB2312"/>
          <w:sz w:val="32"/>
          <w:szCs w:val="32"/>
        </w:rPr>
        <w:t>人，剖宫产</w:t>
      </w:r>
      <w:r>
        <w:rPr>
          <w:rFonts w:hint="eastAsia" w:ascii="仿宋_GB2312" w:hAnsi="仿宋_GB2312" w:eastAsia="仿宋_GB2312" w:cs="仿宋_GB2312"/>
          <w:sz w:val="32"/>
          <w:szCs w:val="32"/>
          <w:lang w:val="en-US" w:eastAsia="zh-CN"/>
        </w:rPr>
        <w:t>283</w:t>
      </w:r>
      <w:r>
        <w:rPr>
          <w:rFonts w:hint="eastAsia" w:ascii="仿宋_GB2312" w:hAnsi="仿宋_GB2312" w:eastAsia="仿宋_GB2312" w:cs="仿宋_GB2312"/>
          <w:sz w:val="32"/>
          <w:szCs w:val="32"/>
        </w:rPr>
        <w:t xml:space="preserve">人，剖宫产率 </w:t>
      </w:r>
      <w:r>
        <w:rPr>
          <w:rFonts w:hint="eastAsia" w:ascii="仿宋_GB2312" w:hAnsi="仿宋_GB2312" w:eastAsia="仿宋_GB2312" w:cs="仿宋_GB2312"/>
          <w:sz w:val="32"/>
          <w:szCs w:val="32"/>
          <w:lang w:val="en-US" w:eastAsia="zh-CN"/>
        </w:rPr>
        <w:t>43.54</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,与2020年相比上升了14.94%</w:t>
      </w:r>
      <w:r>
        <w:rPr>
          <w:rFonts w:hint="eastAsia" w:ascii="仿宋_GB2312" w:hAnsi="仿宋_GB2312" w:eastAsia="仿宋_GB2312" w:cs="仿宋_GB2312"/>
          <w:sz w:val="32"/>
          <w:szCs w:val="30"/>
          <w:lang w:eastAsia="zh-CN"/>
        </w:rPr>
        <w:t>。</w:t>
      </w:r>
    </w:p>
    <w:p>
      <w:pPr>
        <w:spacing w:line="36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0"/>
        </w:rPr>
        <w:t>6.孕产妇死亡情况：</w:t>
      </w:r>
      <w:r>
        <w:rPr>
          <w:rFonts w:hint="eastAsia" w:ascii="仿宋_GB2312" w:hAnsi="仿宋_GB2312" w:eastAsia="仿宋_GB2312" w:cs="仿宋_GB2312"/>
          <w:color w:val="000000"/>
          <w:sz w:val="32"/>
          <w:szCs w:val="32"/>
        </w:rPr>
        <w:t>全年活产数为</w:t>
      </w:r>
      <w:r>
        <w:rPr>
          <w:rFonts w:hint="eastAsia" w:ascii="仿宋_GB2312" w:hAnsi="仿宋_GB2312" w:eastAsia="仿宋_GB2312" w:cs="仿宋_GB2312"/>
          <w:color w:val="000000"/>
          <w:sz w:val="32"/>
          <w:szCs w:val="32"/>
          <w:lang w:val="en-US" w:eastAsia="zh-CN"/>
        </w:rPr>
        <w:t>1596</w:t>
      </w:r>
      <w:r>
        <w:rPr>
          <w:rFonts w:hint="eastAsia" w:ascii="仿宋_GB2312" w:hAnsi="仿宋_GB2312" w:eastAsia="仿宋_GB2312" w:cs="仿宋_GB2312"/>
          <w:color w:val="000000"/>
          <w:sz w:val="32"/>
          <w:szCs w:val="32"/>
        </w:rPr>
        <w:t>人，20</w:t>
      </w:r>
      <w:r>
        <w:rPr>
          <w:rFonts w:hint="eastAsia" w:ascii="仿宋_GB2312" w:hAnsi="仿宋_GB2312" w:eastAsia="仿宋_GB2312" w:cs="仿宋_GB2312"/>
          <w:color w:val="000000"/>
          <w:sz w:val="32"/>
          <w:szCs w:val="32"/>
          <w:lang w:val="en-US" w:eastAsia="zh-CN"/>
        </w:rPr>
        <w:t>21</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eastAsia="zh-CN"/>
        </w:rPr>
        <w:t>无</w:t>
      </w:r>
      <w:r>
        <w:rPr>
          <w:rFonts w:hint="eastAsia" w:ascii="仿宋_GB2312" w:hAnsi="仿宋_GB2312" w:eastAsia="仿宋_GB2312" w:cs="仿宋_GB2312"/>
          <w:color w:val="000000"/>
          <w:sz w:val="32"/>
          <w:szCs w:val="32"/>
        </w:rPr>
        <w:t>孕产妇死亡。</w:t>
      </w:r>
    </w:p>
    <w:p>
      <w:pPr>
        <w:spacing w:line="360" w:lineRule="auto"/>
        <w:ind w:left="600"/>
        <w:rPr>
          <w:rFonts w:hint="eastAsia" w:ascii="仿宋_GB2312" w:hAnsi="仿宋_GB2312" w:eastAsia="仿宋_GB2312" w:cs="仿宋_GB2312"/>
          <w:b/>
          <w:color w:val="auto"/>
          <w:sz w:val="32"/>
          <w:szCs w:val="30"/>
          <w:lang w:eastAsia="zh-CN"/>
        </w:rPr>
      </w:pPr>
      <w:r>
        <w:rPr>
          <w:rFonts w:hint="eastAsia" w:ascii="仿宋_GB2312" w:hAnsi="仿宋_GB2312" w:eastAsia="仿宋_GB2312" w:cs="仿宋_GB2312"/>
          <w:b/>
          <w:color w:val="auto"/>
          <w:sz w:val="32"/>
          <w:szCs w:val="30"/>
        </w:rPr>
        <w:t>（三）0-6岁儿童保健</w:t>
      </w:r>
      <w:r>
        <w:rPr>
          <w:rFonts w:hint="eastAsia" w:ascii="仿宋_GB2312" w:hAnsi="仿宋_GB2312" w:eastAsia="仿宋_GB2312" w:cs="仿宋_GB2312"/>
          <w:b/>
          <w:color w:val="auto"/>
          <w:sz w:val="32"/>
          <w:szCs w:val="30"/>
          <w:lang w:eastAsia="zh-CN"/>
        </w:rPr>
        <w:t>管理情况</w:t>
      </w:r>
    </w:p>
    <w:p>
      <w:pPr>
        <w:spacing w:line="600" w:lineRule="exact"/>
        <w:ind w:firstLine="640" w:firstLineChars="200"/>
        <w:rPr>
          <w:rFonts w:hint="default" w:ascii="仿宋_GB2312" w:hAnsi="仿宋_GB2312" w:eastAsia="仿宋_GB2312" w:cs="仿宋_GB2312"/>
          <w:sz w:val="32"/>
          <w:szCs w:val="30"/>
          <w:lang w:val="en-US" w:eastAsia="zh-CN"/>
        </w:rPr>
      </w:pPr>
      <w:r>
        <w:rPr>
          <w:rFonts w:hint="eastAsia" w:ascii="仿宋_GB2312" w:eastAsia="仿宋_GB2312"/>
          <w:sz w:val="32"/>
          <w:szCs w:val="32"/>
        </w:rPr>
        <w:t>儿童系统管理启动健康儿童行动计划，通过开展儿童健康促进、新生儿安全、儿童早期发展等行动，抓好儿童健康全方位、全过程管理，以三岁以下儿童生长发育监测作为重点，及时建立儿童保健手册及电子健康档案。按照4：2：2：1的保健要求定期进行健康检查，根据儿童生长发育特点，积极应用中医药</w:t>
      </w:r>
      <w:r>
        <w:rPr>
          <w:rFonts w:hint="eastAsia" w:ascii="仿宋_GB2312" w:eastAsia="仿宋_GB2312"/>
          <w:sz w:val="32"/>
          <w:szCs w:val="32"/>
          <w:lang w:eastAsia="zh-CN"/>
        </w:rPr>
        <w:t>健康管理</w:t>
      </w:r>
      <w:r>
        <w:rPr>
          <w:rFonts w:hint="eastAsia" w:ascii="仿宋_GB2312" w:eastAsia="仿宋_GB2312"/>
          <w:sz w:val="32"/>
          <w:szCs w:val="32"/>
        </w:rPr>
        <w:t>方法</w:t>
      </w:r>
      <w:r>
        <w:rPr>
          <w:rFonts w:hint="eastAsia" w:ascii="仿宋_GB2312" w:eastAsia="仿宋_GB2312"/>
          <w:sz w:val="32"/>
          <w:szCs w:val="32"/>
          <w:lang w:eastAsia="zh-CN"/>
        </w:rPr>
        <w:t>，</w:t>
      </w:r>
      <w:r>
        <w:rPr>
          <w:rFonts w:hint="eastAsia" w:ascii="仿宋_GB2312" w:eastAsia="仿宋_GB2312"/>
          <w:sz w:val="32"/>
          <w:szCs w:val="32"/>
        </w:rPr>
        <w:t>为儿童提供生长发育与疾病预防等健康指导。20</w:t>
      </w:r>
      <w:r>
        <w:rPr>
          <w:rFonts w:hint="eastAsia" w:ascii="仿宋_GB2312" w:eastAsia="仿宋_GB2312"/>
          <w:sz w:val="32"/>
          <w:szCs w:val="32"/>
          <w:lang w:val="en-US" w:eastAsia="zh-CN"/>
        </w:rPr>
        <w:t>21</w:t>
      </w:r>
      <w:r>
        <w:rPr>
          <w:rFonts w:hint="eastAsia" w:ascii="仿宋_GB2312" w:eastAsia="仿宋_GB2312"/>
          <w:sz w:val="32"/>
          <w:szCs w:val="32"/>
        </w:rPr>
        <w:t>年</w:t>
      </w:r>
      <w:r>
        <w:rPr>
          <w:rFonts w:hint="eastAsia" w:ascii="仿宋_GB2312" w:hAnsi="宋体" w:eastAsia="仿宋_GB2312"/>
          <w:sz w:val="32"/>
          <w:szCs w:val="32"/>
        </w:rPr>
        <w:t>全县3岁以下儿童数</w:t>
      </w:r>
      <w:r>
        <w:rPr>
          <w:rFonts w:hint="eastAsia" w:ascii="仿宋_GB2312" w:hAnsi="宋体" w:eastAsia="仿宋_GB2312"/>
          <w:sz w:val="32"/>
          <w:szCs w:val="32"/>
          <w:lang w:val="en-US" w:eastAsia="zh-CN"/>
        </w:rPr>
        <w:t>6537</w:t>
      </w:r>
      <w:r>
        <w:rPr>
          <w:rFonts w:hint="eastAsia" w:ascii="仿宋_GB2312" w:hAnsi="宋体" w:eastAsia="仿宋_GB2312"/>
          <w:sz w:val="32"/>
          <w:szCs w:val="32"/>
          <w:lang w:eastAsia="zh-CN"/>
        </w:rPr>
        <w:t>人</w:t>
      </w:r>
      <w:r>
        <w:rPr>
          <w:rFonts w:hint="eastAsia" w:ascii="仿宋_GB2312" w:hAnsi="宋体" w:eastAsia="仿宋_GB2312"/>
          <w:sz w:val="32"/>
          <w:szCs w:val="32"/>
        </w:rPr>
        <w:t>,3岁以下儿童系统管理数</w:t>
      </w:r>
      <w:r>
        <w:rPr>
          <w:rFonts w:hint="eastAsia" w:ascii="仿宋_GB2312" w:hAnsi="宋体" w:eastAsia="仿宋_GB2312"/>
          <w:sz w:val="32"/>
          <w:szCs w:val="32"/>
          <w:lang w:val="en-US" w:eastAsia="zh-CN"/>
        </w:rPr>
        <w:t>6215</w:t>
      </w:r>
      <w:r>
        <w:rPr>
          <w:rFonts w:hint="eastAsia" w:ascii="仿宋_GB2312" w:hAnsi="宋体" w:eastAsia="仿宋_GB2312"/>
          <w:sz w:val="32"/>
          <w:szCs w:val="32"/>
        </w:rPr>
        <w:t>例，系统管理率9</w:t>
      </w:r>
      <w:r>
        <w:rPr>
          <w:rFonts w:hint="eastAsia" w:ascii="仿宋_GB2312" w:hAnsi="宋体" w:eastAsia="仿宋_GB2312"/>
          <w:sz w:val="32"/>
          <w:szCs w:val="32"/>
          <w:lang w:val="en-US" w:eastAsia="zh-CN"/>
        </w:rPr>
        <w:t>5.07</w:t>
      </w:r>
      <w:r>
        <w:rPr>
          <w:rFonts w:hint="eastAsia" w:ascii="仿宋_GB2312" w:hAnsi="宋体" w:eastAsia="仿宋_GB2312"/>
          <w:sz w:val="32"/>
          <w:szCs w:val="32"/>
        </w:rPr>
        <w:t>%</w:t>
      </w:r>
      <w:r>
        <w:rPr>
          <w:rFonts w:hint="eastAsia" w:ascii="仿宋_GB2312" w:hAnsi="宋体" w:eastAsia="仿宋_GB2312"/>
          <w:sz w:val="32"/>
          <w:szCs w:val="32"/>
          <w:lang w:eastAsia="zh-CN"/>
        </w:rPr>
        <w:t>，达到年初计划目标值</w:t>
      </w:r>
      <w:r>
        <w:rPr>
          <w:rFonts w:hint="default" w:ascii="Arial" w:hAnsi="Arial" w:eastAsia="仿宋_GB2312" w:cs="Arial"/>
          <w:sz w:val="32"/>
          <w:szCs w:val="32"/>
          <w:lang w:eastAsia="zh-CN"/>
        </w:rPr>
        <w:t>≥</w:t>
      </w:r>
      <w:r>
        <w:rPr>
          <w:rFonts w:hint="eastAsia" w:ascii="仿宋_GB2312" w:hAnsi="宋体" w:eastAsia="仿宋_GB2312"/>
          <w:sz w:val="32"/>
          <w:szCs w:val="32"/>
          <w:lang w:val="en-US" w:eastAsia="zh-CN"/>
        </w:rPr>
        <w:t>85%</w:t>
      </w:r>
      <w:r>
        <w:rPr>
          <w:rFonts w:hint="eastAsia" w:ascii="仿宋_GB2312" w:hAnsi="宋体" w:eastAsia="仿宋_GB2312"/>
          <w:sz w:val="32"/>
          <w:szCs w:val="32"/>
        </w:rPr>
        <w:t>。</w:t>
      </w:r>
      <w:r>
        <w:rPr>
          <w:rFonts w:hint="eastAsia" w:ascii="仿宋_GB2312" w:hAnsi="宋体" w:eastAsia="仿宋_GB2312"/>
          <w:sz w:val="32"/>
          <w:szCs w:val="32"/>
          <w:lang w:eastAsia="zh-CN"/>
        </w:rPr>
        <w:t>盐边县在2016年2月启动0-6岁儿童残疾筛查工作，我县20</w:t>
      </w:r>
      <w:r>
        <w:rPr>
          <w:rFonts w:hint="eastAsia" w:ascii="仿宋_GB2312" w:hAnsi="宋体" w:eastAsia="仿宋_GB2312"/>
          <w:sz w:val="32"/>
          <w:szCs w:val="32"/>
          <w:lang w:val="en-US" w:eastAsia="zh-CN"/>
        </w:rPr>
        <w:t>21</w:t>
      </w:r>
      <w:r>
        <w:rPr>
          <w:rFonts w:hint="eastAsia" w:ascii="仿宋_GB2312" w:hAnsi="宋体" w:eastAsia="仿宋_GB2312"/>
          <w:sz w:val="32"/>
          <w:szCs w:val="32"/>
          <w:lang w:eastAsia="zh-CN"/>
        </w:rPr>
        <w:t>年初筛0-6岁儿童</w:t>
      </w:r>
      <w:r>
        <w:rPr>
          <w:rFonts w:hint="eastAsia" w:ascii="仿宋_GB2312" w:hAnsi="宋体" w:eastAsia="仿宋_GB2312"/>
          <w:sz w:val="32"/>
          <w:szCs w:val="32"/>
          <w:lang w:val="en-US" w:eastAsia="zh-CN"/>
        </w:rPr>
        <w:t>19775</w:t>
      </w:r>
      <w:r>
        <w:rPr>
          <w:rFonts w:hint="eastAsia" w:ascii="仿宋_GB2312" w:hAnsi="宋体" w:eastAsia="仿宋_GB2312"/>
          <w:sz w:val="32"/>
          <w:szCs w:val="32"/>
          <w:lang w:eastAsia="zh-CN"/>
        </w:rPr>
        <w:t>人，初筛疑似残疾类型</w:t>
      </w:r>
      <w:r>
        <w:rPr>
          <w:rFonts w:hint="eastAsia" w:ascii="仿宋_GB2312" w:hAnsi="宋体" w:eastAsia="仿宋_GB2312"/>
          <w:sz w:val="32"/>
          <w:szCs w:val="32"/>
          <w:lang w:val="en-US" w:eastAsia="zh-CN"/>
        </w:rPr>
        <w:t>29</w:t>
      </w:r>
      <w:r>
        <w:rPr>
          <w:rFonts w:hint="eastAsia" w:ascii="仿宋_GB2312" w:hAnsi="宋体" w:eastAsia="仿宋_GB2312"/>
          <w:sz w:val="32"/>
          <w:szCs w:val="32"/>
          <w:lang w:eastAsia="zh-CN"/>
        </w:rPr>
        <w:t>人，确诊残疾类型</w:t>
      </w:r>
      <w:r>
        <w:rPr>
          <w:rFonts w:hint="eastAsia" w:ascii="仿宋_GB2312" w:hAnsi="宋体" w:eastAsia="仿宋_GB2312"/>
          <w:sz w:val="32"/>
          <w:szCs w:val="32"/>
          <w:lang w:val="en-US" w:eastAsia="zh-CN"/>
        </w:rPr>
        <w:t>2</w:t>
      </w:r>
      <w:r>
        <w:rPr>
          <w:rFonts w:hint="eastAsia" w:ascii="仿宋_GB2312" w:hAnsi="宋体" w:eastAsia="仿宋_GB2312"/>
          <w:sz w:val="32"/>
          <w:szCs w:val="32"/>
          <w:lang w:eastAsia="zh-CN"/>
        </w:rPr>
        <w:t>人，其中肢体残疾</w:t>
      </w:r>
      <w:r>
        <w:rPr>
          <w:rFonts w:hint="eastAsia" w:ascii="仿宋_GB2312" w:hAnsi="宋体" w:eastAsia="仿宋_GB2312"/>
          <w:sz w:val="32"/>
          <w:szCs w:val="32"/>
          <w:lang w:val="en-US" w:eastAsia="zh-CN"/>
        </w:rPr>
        <w:t>2</w:t>
      </w:r>
      <w:r>
        <w:rPr>
          <w:rFonts w:hint="eastAsia" w:ascii="仿宋_GB2312" w:hAnsi="宋体" w:eastAsia="仿宋_GB2312"/>
          <w:sz w:val="32"/>
          <w:szCs w:val="32"/>
          <w:lang w:eastAsia="zh-CN"/>
        </w:rPr>
        <w:t>人（</w:t>
      </w:r>
      <w:r>
        <w:rPr>
          <w:rFonts w:hint="eastAsia" w:ascii="仿宋_GB2312" w:hAnsi="宋体" w:eastAsia="仿宋_GB2312"/>
          <w:sz w:val="32"/>
          <w:szCs w:val="32"/>
          <w:lang w:val="en-US" w:eastAsia="zh-CN"/>
        </w:rPr>
        <w:t>1例脑瘫</w:t>
      </w:r>
      <w:r>
        <w:rPr>
          <w:rFonts w:hint="eastAsia" w:ascii="仿宋_GB2312" w:hAnsi="宋体" w:eastAsia="仿宋_GB2312"/>
          <w:sz w:val="32"/>
          <w:szCs w:val="32"/>
          <w:lang w:eastAsia="zh-CN"/>
        </w:rPr>
        <w:t>）。</w:t>
      </w:r>
      <w:r>
        <w:rPr>
          <w:rFonts w:hint="eastAsia" w:ascii="仿宋_GB2312" w:hAnsi="宋体" w:eastAsia="仿宋_GB2312"/>
          <w:sz w:val="32"/>
          <w:szCs w:val="32"/>
          <w:lang w:val="en-US" w:eastAsia="zh-CN"/>
        </w:rPr>
        <w:t>2019年4月开始，根据国家卫健委《关于做好0-6岁儿童眼保健和视力检查有关工作的通知》要求，全县共计为10972名7岁以下儿童进行眼保健和视力检查，其中6岁儿童视力检查人数1537人，6岁儿童视力不良检出人数22人，6岁儿童视力不良检出率1.43%。</w:t>
      </w:r>
      <w:r>
        <w:rPr>
          <w:rFonts w:hint="eastAsia" w:ascii="仿宋_GB2312" w:hAnsi="宋体" w:eastAsia="仿宋_GB2312"/>
          <w:sz w:val="32"/>
          <w:szCs w:val="32"/>
        </w:rPr>
        <w:t>20</w:t>
      </w:r>
      <w:r>
        <w:rPr>
          <w:rFonts w:hint="eastAsia" w:ascii="仿宋_GB2312" w:hAnsi="宋体" w:eastAsia="仿宋_GB2312"/>
          <w:sz w:val="32"/>
          <w:szCs w:val="32"/>
          <w:lang w:val="en-US" w:eastAsia="zh-CN"/>
        </w:rPr>
        <w:t>21</w:t>
      </w:r>
      <w:r>
        <w:rPr>
          <w:rFonts w:hint="eastAsia" w:ascii="仿宋_GB2312" w:hAnsi="宋体" w:eastAsia="仿宋_GB2312"/>
          <w:sz w:val="32"/>
          <w:szCs w:val="32"/>
        </w:rPr>
        <w:t>年全县活产数</w:t>
      </w:r>
      <w:r>
        <w:rPr>
          <w:rFonts w:hint="eastAsia" w:ascii="仿宋_GB2312" w:hAnsi="宋体" w:eastAsia="仿宋_GB2312"/>
          <w:sz w:val="32"/>
          <w:szCs w:val="32"/>
          <w:lang w:val="en-US" w:eastAsia="zh-CN"/>
        </w:rPr>
        <w:t>1596</w:t>
      </w:r>
      <w:r>
        <w:rPr>
          <w:rFonts w:hint="eastAsia" w:ascii="仿宋_GB2312" w:hAnsi="宋体" w:eastAsia="仿宋_GB2312"/>
          <w:sz w:val="32"/>
          <w:szCs w:val="32"/>
        </w:rPr>
        <w:t>例,5岁以下儿童死亡</w:t>
      </w:r>
      <w:r>
        <w:rPr>
          <w:rFonts w:hint="eastAsia" w:ascii="仿宋_GB2312" w:hAnsi="宋体" w:eastAsia="仿宋_GB2312"/>
          <w:sz w:val="32"/>
          <w:szCs w:val="32"/>
          <w:lang w:val="en-US" w:eastAsia="zh-CN"/>
        </w:rPr>
        <w:t>9</w:t>
      </w:r>
      <w:r>
        <w:rPr>
          <w:rFonts w:hint="eastAsia" w:ascii="仿宋_GB2312" w:hAnsi="宋体" w:eastAsia="仿宋_GB2312"/>
          <w:sz w:val="32"/>
          <w:szCs w:val="32"/>
        </w:rPr>
        <w:t>例，5岁以下儿童死亡率</w:t>
      </w:r>
      <w:r>
        <w:rPr>
          <w:rFonts w:hint="eastAsia" w:ascii="仿宋_GB2312" w:hAnsi="宋体" w:eastAsia="仿宋_GB2312"/>
          <w:sz w:val="32"/>
          <w:szCs w:val="32"/>
          <w:lang w:val="en-US" w:eastAsia="zh-CN"/>
        </w:rPr>
        <w:t>5.64</w:t>
      </w:r>
      <w:r>
        <w:rPr>
          <w:rFonts w:hint="eastAsia" w:ascii="仿宋_GB2312" w:hAnsi="宋体" w:eastAsia="仿宋_GB2312"/>
          <w:sz w:val="32"/>
          <w:szCs w:val="32"/>
        </w:rPr>
        <w:t>‰，</w:t>
      </w:r>
      <w:r>
        <w:rPr>
          <w:rFonts w:hint="eastAsia" w:ascii="仿宋_GB2312" w:hAnsi="宋体" w:eastAsia="仿宋_GB2312"/>
          <w:sz w:val="32"/>
          <w:szCs w:val="32"/>
          <w:lang w:eastAsia="zh-CN"/>
        </w:rPr>
        <w:t>达到低于</w:t>
      </w:r>
      <w:r>
        <w:rPr>
          <w:rFonts w:hint="eastAsia" w:ascii="仿宋_GB2312" w:hAnsi="宋体" w:eastAsia="仿宋_GB2312"/>
          <w:sz w:val="32"/>
          <w:szCs w:val="32"/>
          <w:lang w:val="en-US" w:eastAsia="zh-CN"/>
        </w:rPr>
        <w:t>7.5</w:t>
      </w:r>
      <w:r>
        <w:rPr>
          <w:rFonts w:hint="eastAsia" w:ascii="仿宋_GB2312" w:hAnsi="宋体" w:eastAsia="仿宋_GB2312"/>
          <w:sz w:val="32"/>
          <w:szCs w:val="32"/>
        </w:rPr>
        <w:t>‰</w:t>
      </w:r>
      <w:r>
        <w:rPr>
          <w:rFonts w:hint="eastAsia" w:ascii="仿宋_GB2312" w:hAnsi="宋体" w:eastAsia="仿宋_GB2312"/>
          <w:sz w:val="32"/>
          <w:szCs w:val="32"/>
          <w:lang w:eastAsia="zh-CN"/>
        </w:rPr>
        <w:t>的目标控制值，</w:t>
      </w:r>
      <w:r>
        <w:rPr>
          <w:rFonts w:hint="eastAsia" w:ascii="仿宋_GB2312" w:hAnsi="宋体" w:eastAsia="仿宋_GB2312"/>
          <w:sz w:val="32"/>
          <w:szCs w:val="32"/>
        </w:rPr>
        <w:t>其中</w:t>
      </w:r>
      <w:r>
        <w:rPr>
          <w:rFonts w:hint="eastAsia" w:ascii="仿宋_GB2312" w:hAnsi="宋体" w:eastAsia="仿宋_GB2312"/>
          <w:sz w:val="32"/>
          <w:szCs w:val="32"/>
          <w:lang w:eastAsia="zh-CN"/>
        </w:rPr>
        <w:t>：婴儿</w:t>
      </w:r>
      <w:r>
        <w:rPr>
          <w:rFonts w:hint="eastAsia" w:ascii="仿宋_GB2312" w:hAnsi="宋体" w:eastAsia="仿宋_GB2312"/>
          <w:sz w:val="32"/>
          <w:szCs w:val="32"/>
        </w:rPr>
        <w:t>死亡</w:t>
      </w:r>
      <w:r>
        <w:rPr>
          <w:rFonts w:hint="eastAsia" w:ascii="仿宋_GB2312" w:hAnsi="宋体" w:eastAsia="仿宋_GB2312"/>
          <w:sz w:val="32"/>
          <w:szCs w:val="32"/>
          <w:lang w:val="en-US" w:eastAsia="zh-CN"/>
        </w:rPr>
        <w:t>6</w:t>
      </w:r>
      <w:r>
        <w:rPr>
          <w:rFonts w:hint="eastAsia" w:ascii="仿宋_GB2312" w:hAnsi="宋体" w:eastAsia="仿宋_GB2312"/>
          <w:sz w:val="32"/>
          <w:szCs w:val="32"/>
        </w:rPr>
        <w:t>例，</w:t>
      </w:r>
      <w:r>
        <w:rPr>
          <w:rFonts w:hint="eastAsia" w:ascii="仿宋_GB2312" w:hAnsi="宋体" w:eastAsia="仿宋_GB2312"/>
          <w:sz w:val="32"/>
          <w:szCs w:val="32"/>
          <w:lang w:eastAsia="zh-CN"/>
        </w:rPr>
        <w:t>婴儿</w:t>
      </w:r>
      <w:r>
        <w:rPr>
          <w:rFonts w:hint="eastAsia" w:ascii="仿宋_GB2312" w:hAnsi="宋体" w:eastAsia="仿宋_GB2312"/>
          <w:sz w:val="32"/>
          <w:szCs w:val="32"/>
        </w:rPr>
        <w:t>死亡率</w:t>
      </w:r>
      <w:r>
        <w:rPr>
          <w:rFonts w:hint="eastAsia" w:ascii="仿宋_GB2312" w:hAnsi="宋体" w:eastAsia="仿宋_GB2312"/>
          <w:sz w:val="32"/>
          <w:szCs w:val="32"/>
          <w:lang w:val="en-US" w:eastAsia="zh-CN"/>
        </w:rPr>
        <w:t>3.76</w:t>
      </w:r>
      <w:r>
        <w:rPr>
          <w:rFonts w:hint="eastAsia" w:ascii="仿宋_GB2312" w:hAnsi="宋体" w:eastAsia="仿宋_GB2312"/>
          <w:sz w:val="32"/>
          <w:szCs w:val="32"/>
        </w:rPr>
        <w:t>‰</w:t>
      </w:r>
      <w:r>
        <w:rPr>
          <w:rFonts w:hint="eastAsia" w:ascii="仿宋_GB2312" w:hAnsi="宋体" w:eastAsia="仿宋_GB2312"/>
          <w:sz w:val="32"/>
          <w:szCs w:val="32"/>
          <w:lang w:eastAsia="zh-CN"/>
        </w:rPr>
        <w:t>，达到低于</w:t>
      </w:r>
      <w:r>
        <w:rPr>
          <w:rFonts w:hint="eastAsia" w:ascii="仿宋_GB2312" w:hAnsi="宋体" w:eastAsia="仿宋_GB2312"/>
          <w:sz w:val="32"/>
          <w:szCs w:val="32"/>
          <w:lang w:val="en-US" w:eastAsia="zh-CN"/>
        </w:rPr>
        <w:t>5.4</w:t>
      </w:r>
      <w:r>
        <w:rPr>
          <w:rFonts w:hint="eastAsia" w:ascii="仿宋_GB2312" w:hAnsi="宋体" w:eastAsia="仿宋_GB2312"/>
          <w:sz w:val="32"/>
          <w:szCs w:val="32"/>
        </w:rPr>
        <w:t>‰</w:t>
      </w:r>
      <w:r>
        <w:rPr>
          <w:rFonts w:hint="eastAsia" w:ascii="仿宋_GB2312" w:hAnsi="宋体" w:eastAsia="仿宋_GB2312"/>
          <w:sz w:val="32"/>
          <w:szCs w:val="32"/>
          <w:lang w:eastAsia="zh-CN"/>
        </w:rPr>
        <w:t>的目标控制值</w:t>
      </w:r>
      <w:r>
        <w:rPr>
          <w:rFonts w:hint="eastAsia" w:ascii="仿宋_GB2312" w:hAnsi="宋体" w:eastAsia="仿宋_GB2312"/>
          <w:sz w:val="32"/>
          <w:szCs w:val="32"/>
        </w:rPr>
        <w:t>。</w:t>
      </w:r>
      <w:r>
        <w:rPr>
          <w:rFonts w:hint="eastAsia" w:ascii="仿宋_GB2312" w:hAnsi="仿宋_GB2312" w:eastAsia="仿宋_GB2312" w:cs="仿宋_GB2312"/>
          <w:sz w:val="32"/>
          <w:szCs w:val="32"/>
        </w:rPr>
        <w:t>新生儿</w:t>
      </w:r>
      <w:r>
        <w:rPr>
          <w:rFonts w:hint="eastAsia" w:ascii="仿宋_GB2312" w:hAnsi="仿宋_GB2312" w:eastAsia="仿宋_GB2312" w:cs="仿宋_GB2312"/>
          <w:sz w:val="32"/>
          <w:szCs w:val="32"/>
          <w:lang w:eastAsia="zh-CN"/>
        </w:rPr>
        <w:t>遗传代谢</w:t>
      </w:r>
      <w:r>
        <w:rPr>
          <w:rFonts w:hint="eastAsia" w:ascii="仿宋_GB2312" w:hAnsi="仿宋_GB2312" w:eastAsia="仿宋_GB2312" w:cs="仿宋_GB2312"/>
          <w:sz w:val="32"/>
          <w:szCs w:val="32"/>
        </w:rPr>
        <w:t>病筛查：县域内助产机构分娩活产婴儿为</w:t>
      </w:r>
      <w:r>
        <w:rPr>
          <w:rFonts w:hint="eastAsia" w:ascii="仿宋_GB2312" w:hAnsi="仿宋_GB2312" w:eastAsia="仿宋_GB2312" w:cs="仿宋_GB2312"/>
          <w:sz w:val="32"/>
          <w:szCs w:val="32"/>
          <w:lang w:val="en-US" w:eastAsia="zh-CN"/>
        </w:rPr>
        <w:t>650</w:t>
      </w:r>
      <w:r>
        <w:rPr>
          <w:rFonts w:hint="eastAsia" w:ascii="仿宋_GB2312" w:hAnsi="仿宋_GB2312" w:eastAsia="仿宋_GB2312" w:cs="仿宋_GB2312"/>
          <w:sz w:val="32"/>
          <w:szCs w:val="32"/>
        </w:rPr>
        <w:t>人，进行了新生儿</w:t>
      </w:r>
      <w:r>
        <w:rPr>
          <w:rFonts w:hint="eastAsia" w:ascii="仿宋_GB2312" w:hAnsi="仿宋_GB2312" w:eastAsia="仿宋_GB2312" w:cs="仿宋_GB2312"/>
          <w:sz w:val="32"/>
          <w:szCs w:val="32"/>
          <w:lang w:eastAsia="zh-CN"/>
        </w:rPr>
        <w:t>遗传代谢</w:t>
      </w:r>
      <w:r>
        <w:rPr>
          <w:rFonts w:hint="eastAsia" w:ascii="仿宋_GB2312" w:hAnsi="仿宋_GB2312" w:eastAsia="仿宋_GB2312" w:cs="仿宋_GB2312"/>
          <w:sz w:val="32"/>
          <w:szCs w:val="32"/>
        </w:rPr>
        <w:t>病筛查人数</w:t>
      </w:r>
      <w:r>
        <w:rPr>
          <w:rFonts w:hint="eastAsia" w:ascii="仿宋_GB2312" w:hAnsi="仿宋_GB2312" w:eastAsia="仿宋_GB2312" w:cs="仿宋_GB2312"/>
          <w:sz w:val="32"/>
          <w:szCs w:val="32"/>
          <w:lang w:val="en-US" w:eastAsia="zh-CN"/>
        </w:rPr>
        <w:t>632</w:t>
      </w:r>
      <w:r>
        <w:rPr>
          <w:rFonts w:hint="eastAsia" w:ascii="仿宋_GB2312" w:hAnsi="仿宋_GB2312" w:eastAsia="仿宋_GB2312" w:cs="仿宋_GB2312"/>
          <w:sz w:val="32"/>
          <w:szCs w:val="32"/>
        </w:rPr>
        <w:t>人，筛查率9</w:t>
      </w:r>
      <w:r>
        <w:rPr>
          <w:rFonts w:hint="eastAsia" w:ascii="仿宋_GB2312" w:hAnsi="仿宋_GB2312" w:eastAsia="仿宋_GB2312" w:cs="仿宋_GB2312"/>
          <w:sz w:val="32"/>
          <w:szCs w:val="32"/>
          <w:lang w:val="en-US" w:eastAsia="zh-CN"/>
        </w:rPr>
        <w:t>7.48</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达到</w:t>
      </w:r>
      <w:r>
        <w:rPr>
          <w:rFonts w:hint="eastAsia" w:ascii="仿宋_GB2312" w:hAnsi="仿宋_GB2312" w:eastAsia="仿宋_GB2312" w:cs="仿宋_GB2312"/>
          <w:sz w:val="32"/>
          <w:szCs w:val="32"/>
          <w:lang w:val="en-US" w:eastAsia="zh-CN"/>
        </w:rPr>
        <w:t>90%的筛查率，</w:t>
      </w:r>
      <w:r>
        <w:rPr>
          <w:rFonts w:hint="eastAsia" w:ascii="仿宋_GB2312" w:hAnsi="仿宋_GB2312" w:eastAsia="仿宋_GB2312" w:cs="仿宋_GB2312"/>
          <w:sz w:val="32"/>
          <w:szCs w:val="32"/>
        </w:rPr>
        <w:t>筛查出可疑阳性儿</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例，召回复采</w:t>
      </w:r>
      <w:r>
        <w:rPr>
          <w:rFonts w:hint="eastAsia" w:ascii="仿宋_GB2312" w:hAnsi="仿宋_GB2312" w:eastAsia="仿宋_GB2312" w:cs="仿宋_GB2312"/>
          <w:sz w:val="32"/>
          <w:szCs w:val="32"/>
          <w:lang w:val="en-US" w:eastAsia="zh-CN"/>
        </w:rPr>
        <w:t>18例，召回率90%；需确诊检查6例，排除1例，确诊4例</w:t>
      </w:r>
      <w:r>
        <w:rPr>
          <w:rFonts w:hint="eastAsia" w:ascii="仿宋_GB2312" w:hAnsi="仿宋_GB2312" w:eastAsia="仿宋_GB2312" w:cs="仿宋_GB2312"/>
          <w:sz w:val="32"/>
          <w:szCs w:val="32"/>
        </w:rPr>
        <w:t>；今年我县中医院、县人民医院为</w:t>
      </w:r>
      <w:r>
        <w:rPr>
          <w:rFonts w:hint="eastAsia" w:ascii="仿宋_GB2312" w:hAnsi="仿宋_GB2312" w:eastAsia="仿宋_GB2312" w:cs="仿宋_GB2312"/>
          <w:sz w:val="32"/>
          <w:szCs w:val="32"/>
          <w:lang w:val="en-US" w:eastAsia="zh-CN"/>
        </w:rPr>
        <w:t>538</w:t>
      </w:r>
      <w:r>
        <w:rPr>
          <w:rFonts w:hint="eastAsia" w:ascii="仿宋_GB2312" w:hAnsi="仿宋_GB2312" w:eastAsia="仿宋_GB2312" w:cs="仿宋_GB2312"/>
          <w:sz w:val="32"/>
          <w:szCs w:val="32"/>
        </w:rPr>
        <w:t>例新生儿进行了听力筛查，听力筛查率为</w:t>
      </w:r>
      <w:r>
        <w:rPr>
          <w:rFonts w:hint="eastAsia" w:ascii="仿宋_GB2312" w:hAnsi="仿宋_GB2312" w:eastAsia="仿宋_GB2312" w:cs="仿宋_GB2312"/>
          <w:sz w:val="32"/>
          <w:szCs w:val="32"/>
          <w:lang w:val="en-US" w:eastAsia="zh-CN"/>
        </w:rPr>
        <w:t>82.77</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已达到</w:t>
      </w:r>
      <w:r>
        <w:rPr>
          <w:rFonts w:hint="eastAsia" w:ascii="仿宋_GB2312" w:hAnsi="仿宋_GB2312" w:eastAsia="仿宋_GB2312" w:cs="仿宋_GB2312"/>
          <w:sz w:val="32"/>
          <w:szCs w:val="32"/>
          <w:lang w:val="en-US" w:eastAsia="zh-CN"/>
        </w:rPr>
        <w:t>80%的目标值，</w:t>
      </w:r>
      <w:r>
        <w:rPr>
          <w:rFonts w:hint="eastAsia" w:ascii="仿宋_GB2312" w:hAnsi="仿宋_GB2312" w:eastAsia="仿宋_GB2312" w:cs="仿宋_GB2312"/>
          <w:sz w:val="32"/>
          <w:szCs w:val="32"/>
        </w:rPr>
        <w:t>筛查出可疑阳性儿</w:t>
      </w:r>
      <w:r>
        <w:rPr>
          <w:rFonts w:hint="eastAsia" w:ascii="仿宋_GB2312" w:hAnsi="仿宋_GB2312" w:eastAsia="仿宋_GB2312" w:cs="仿宋_GB2312"/>
          <w:sz w:val="32"/>
          <w:szCs w:val="32"/>
          <w:lang w:val="en-US" w:eastAsia="zh-CN"/>
        </w:rPr>
        <w:t>37</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eastAsia="zh-CN"/>
        </w:rPr>
        <w:t>，召回复筛</w:t>
      </w:r>
      <w:r>
        <w:rPr>
          <w:rFonts w:hint="eastAsia" w:ascii="仿宋_GB2312" w:hAnsi="仿宋_GB2312" w:eastAsia="仿宋_GB2312" w:cs="仿宋_GB2312"/>
          <w:sz w:val="32"/>
          <w:szCs w:val="32"/>
          <w:lang w:val="en-US" w:eastAsia="zh-CN"/>
        </w:rPr>
        <w:t>22人，均已通过</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2021年</w:t>
      </w:r>
      <w:r>
        <w:rPr>
          <w:rFonts w:hint="eastAsia" w:ascii="仿宋_GB2312" w:hAnsi="仿宋_GB2312" w:eastAsia="仿宋_GB2312" w:cs="仿宋_GB2312"/>
          <w:sz w:val="32"/>
          <w:szCs w:val="32"/>
          <w:lang w:eastAsia="zh-CN"/>
        </w:rPr>
        <w:t>全县各医疗卫生机构针对孕妇和儿童共计发放母子健康手册</w:t>
      </w:r>
      <w:r>
        <w:rPr>
          <w:rFonts w:hint="eastAsia" w:ascii="仿宋_GB2312" w:hAnsi="仿宋_GB2312" w:eastAsia="仿宋_GB2312" w:cs="仿宋_GB2312"/>
          <w:sz w:val="32"/>
          <w:szCs w:val="32"/>
          <w:lang w:val="en-US" w:eastAsia="zh-CN"/>
        </w:rPr>
        <w:t>124本</w:t>
      </w:r>
      <w:r>
        <w:rPr>
          <w:rFonts w:hint="eastAsia" w:ascii="仿宋_GB2312" w:hAnsi="仿宋_GB2312" w:eastAsia="仿宋_GB2312" w:cs="仿宋_GB2312"/>
          <w:sz w:val="32"/>
          <w:szCs w:val="32"/>
          <w:lang w:eastAsia="zh-CN"/>
        </w:rPr>
        <w:t>，其中基层医疗卫生机构发放</w:t>
      </w:r>
      <w:r>
        <w:rPr>
          <w:rFonts w:hint="eastAsia" w:ascii="仿宋_GB2312" w:hAnsi="仿宋_GB2312" w:eastAsia="仿宋_GB2312" w:cs="仿宋_GB2312"/>
          <w:sz w:val="32"/>
          <w:szCs w:val="32"/>
          <w:lang w:val="en-US" w:eastAsia="zh-CN"/>
        </w:rPr>
        <w:t>936本，助产机构发放308本。</w:t>
      </w:r>
    </w:p>
    <w:p>
      <w:pPr>
        <w:spacing w:line="600" w:lineRule="exact"/>
        <w:ind w:firstLine="321" w:firstLineChars="100"/>
        <w:rPr>
          <w:rFonts w:hint="eastAsia" w:ascii="黑体" w:eastAsia="仿宋_GB2312"/>
          <w:b/>
          <w:sz w:val="32"/>
          <w:szCs w:val="32"/>
        </w:rPr>
      </w:pPr>
      <w:r>
        <w:rPr>
          <w:rFonts w:hint="eastAsia" w:ascii="黑体" w:eastAsia="仿宋_GB2312"/>
          <w:b/>
          <w:sz w:val="32"/>
          <w:szCs w:val="32"/>
        </w:rPr>
        <w:t xml:space="preserve">（四)加强农村育龄妇女增补叶酸预防神经管缺陷项目工作 </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val="en-US" w:eastAsia="zh-CN"/>
        </w:rPr>
        <w:t>.</w:t>
      </w:r>
      <w:r>
        <w:rPr>
          <w:rFonts w:hint="eastAsia" w:ascii="仿宋_GB2312" w:eastAsia="仿宋_GB2312"/>
          <w:sz w:val="32"/>
          <w:szCs w:val="32"/>
        </w:rPr>
        <w:t>各乡（镇）卫生院在认真制定叶酸项目实施方案的同时，加强宣传、搞好发放人员的培训，及时将叶酸分发到各村卫生室，指导村卫生室规范科学发放，认真做好叶酸发放的监督管理，并负责辖区内高危孕妇的叶酸发放工作。</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2</w:t>
      </w:r>
      <w:r>
        <w:rPr>
          <w:rFonts w:hint="eastAsia" w:ascii="仿宋_GB2312" w:eastAsia="仿宋_GB2312"/>
          <w:sz w:val="32"/>
          <w:szCs w:val="32"/>
          <w:lang w:val="en-US" w:eastAsia="zh-CN"/>
        </w:rPr>
        <w:t>.</w:t>
      </w:r>
      <w:r>
        <w:rPr>
          <w:rFonts w:hint="eastAsia" w:ascii="仿宋_GB2312" w:eastAsia="仿宋_GB2312"/>
          <w:sz w:val="32"/>
          <w:szCs w:val="32"/>
        </w:rPr>
        <w:t>严格执行在孕前3个月及孕早期3个月服用要求。发放应遵循知情同意的原则签定知情同意书，并做好叶酸服用指导、完善叶酸服用人员的随访实施记录。</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3</w:t>
      </w:r>
      <w:r>
        <w:rPr>
          <w:rFonts w:hint="eastAsia" w:ascii="仿宋_GB2312" w:eastAsia="仿宋_GB2312"/>
          <w:sz w:val="32"/>
          <w:szCs w:val="32"/>
          <w:lang w:val="en-US" w:eastAsia="zh-CN"/>
        </w:rPr>
        <w:t>.</w:t>
      </w:r>
      <w:r>
        <w:rPr>
          <w:rFonts w:hint="eastAsia" w:ascii="仿宋_GB2312" w:eastAsia="仿宋_GB2312"/>
          <w:sz w:val="32"/>
          <w:szCs w:val="32"/>
        </w:rPr>
        <w:t>卫生院定期对各卫生站进行检查指导，按月收集上报叶酸项目工作信息。我县20</w:t>
      </w:r>
      <w:r>
        <w:rPr>
          <w:rFonts w:hint="eastAsia" w:ascii="仿宋_GB2312" w:eastAsia="仿宋_GB2312"/>
          <w:sz w:val="32"/>
          <w:szCs w:val="32"/>
          <w:lang w:val="en-US" w:eastAsia="zh-CN"/>
        </w:rPr>
        <w:t>21</w:t>
      </w:r>
      <w:r>
        <w:rPr>
          <w:rFonts w:hint="eastAsia" w:ascii="仿宋_GB2312" w:eastAsia="仿宋_GB2312"/>
          <w:sz w:val="32"/>
          <w:szCs w:val="32"/>
        </w:rPr>
        <w:t>年发放叶酸</w:t>
      </w:r>
      <w:r>
        <w:rPr>
          <w:rFonts w:hint="eastAsia" w:ascii="仿宋_GB2312" w:eastAsia="仿宋_GB2312"/>
          <w:sz w:val="32"/>
          <w:szCs w:val="32"/>
          <w:lang w:val="en-US" w:eastAsia="zh-CN"/>
        </w:rPr>
        <w:t>6185</w:t>
      </w:r>
      <w:r>
        <w:rPr>
          <w:rFonts w:hint="eastAsia" w:ascii="仿宋_GB2312" w:eastAsia="仿宋_GB2312"/>
          <w:sz w:val="32"/>
          <w:szCs w:val="32"/>
        </w:rPr>
        <w:t>瓶</w:t>
      </w:r>
      <w:r>
        <w:rPr>
          <w:rFonts w:hint="eastAsia" w:ascii="仿宋_GB2312" w:eastAsia="仿宋_GB2312"/>
          <w:sz w:val="32"/>
          <w:szCs w:val="32"/>
          <w:lang w:val="en-US" w:eastAsia="zh-CN"/>
        </w:rPr>
        <w:t>,</w:t>
      </w:r>
      <w:r>
        <w:rPr>
          <w:rFonts w:hint="eastAsia" w:ascii="仿宋_GB2312" w:eastAsia="仿宋_GB2312"/>
          <w:sz w:val="32"/>
          <w:szCs w:val="32"/>
        </w:rPr>
        <w:t>叶酸服用率9</w:t>
      </w:r>
      <w:r>
        <w:rPr>
          <w:rFonts w:hint="eastAsia" w:ascii="仿宋_GB2312" w:eastAsia="仿宋_GB2312"/>
          <w:sz w:val="32"/>
          <w:szCs w:val="32"/>
          <w:lang w:val="en-US" w:eastAsia="zh-CN"/>
        </w:rPr>
        <w:t>9.18</w:t>
      </w:r>
      <w:r>
        <w:rPr>
          <w:rFonts w:hint="eastAsia" w:ascii="仿宋_GB2312" w:eastAsia="仿宋_GB2312"/>
          <w:sz w:val="32"/>
          <w:szCs w:val="32"/>
        </w:rPr>
        <w:t>%</w:t>
      </w:r>
      <w:r>
        <w:rPr>
          <w:rFonts w:hint="eastAsia" w:ascii="仿宋_GB2312" w:eastAsia="仿宋_GB2312"/>
          <w:sz w:val="32"/>
          <w:szCs w:val="32"/>
          <w:lang w:eastAsia="zh-CN"/>
        </w:rPr>
        <w:t>，</w:t>
      </w:r>
      <w:r>
        <w:rPr>
          <w:rFonts w:hint="eastAsia" w:ascii="仿宋_GB2312" w:eastAsia="仿宋_GB2312"/>
          <w:sz w:val="32"/>
          <w:szCs w:val="32"/>
        </w:rPr>
        <w:t>叶酸服用依从率</w:t>
      </w:r>
      <w:r>
        <w:rPr>
          <w:rFonts w:hint="eastAsia" w:ascii="仿宋_GB2312" w:eastAsia="仿宋_GB2312"/>
          <w:sz w:val="32"/>
          <w:szCs w:val="32"/>
          <w:lang w:val="en-US" w:eastAsia="zh-CN"/>
        </w:rPr>
        <w:t>83.69</w:t>
      </w:r>
      <w:r>
        <w:rPr>
          <w:rFonts w:hint="eastAsia" w:ascii="仿宋_GB2312" w:eastAsia="仿宋_GB2312"/>
          <w:sz w:val="32"/>
          <w:szCs w:val="32"/>
        </w:rPr>
        <w:t>%</w:t>
      </w:r>
      <w:r>
        <w:rPr>
          <w:rFonts w:hint="eastAsia" w:ascii="仿宋_GB2312" w:eastAsia="仿宋_GB2312"/>
          <w:sz w:val="32"/>
          <w:szCs w:val="32"/>
          <w:lang w:eastAsia="zh-CN"/>
        </w:rPr>
        <w:t>，叶酸知晓率</w:t>
      </w:r>
      <w:r>
        <w:rPr>
          <w:rFonts w:hint="eastAsia" w:ascii="仿宋_GB2312" w:eastAsia="仿宋_GB2312"/>
          <w:sz w:val="32"/>
          <w:szCs w:val="32"/>
          <w:lang w:val="en-US" w:eastAsia="zh-CN"/>
        </w:rPr>
        <w:t>95.78%</w:t>
      </w:r>
      <w:r>
        <w:rPr>
          <w:rFonts w:hint="eastAsia" w:ascii="仿宋_GB2312" w:eastAsia="仿宋_GB2312"/>
          <w:sz w:val="32"/>
          <w:szCs w:val="32"/>
        </w:rPr>
        <w:t>。</w:t>
      </w:r>
    </w:p>
    <w:p>
      <w:pPr>
        <w:spacing w:line="360" w:lineRule="auto"/>
        <w:ind w:firstLine="321" w:firstLineChars="100"/>
        <w:rPr>
          <w:rFonts w:hint="eastAsia" w:ascii="仿宋_GB2312" w:hAnsi="仿宋_GB2312" w:eastAsia="仿宋_GB2312" w:cs="仿宋_GB2312"/>
          <w:b/>
          <w:sz w:val="32"/>
          <w:szCs w:val="30"/>
        </w:rPr>
      </w:pPr>
      <w:r>
        <w:rPr>
          <w:rFonts w:hint="eastAsia" w:ascii="仿宋_GB2312" w:hAnsi="仿宋_GB2312" w:eastAsia="仿宋_GB2312" w:cs="仿宋_GB2312"/>
          <w:b/>
          <w:sz w:val="32"/>
          <w:szCs w:val="30"/>
        </w:rPr>
        <w:t>（</w:t>
      </w:r>
      <w:r>
        <w:rPr>
          <w:rFonts w:hint="eastAsia" w:ascii="仿宋_GB2312" w:hAnsi="仿宋_GB2312" w:eastAsia="仿宋_GB2312" w:cs="仿宋_GB2312"/>
          <w:b/>
          <w:sz w:val="32"/>
          <w:szCs w:val="30"/>
          <w:lang w:eastAsia="zh-CN"/>
        </w:rPr>
        <w:t>五</w:t>
      </w:r>
      <w:r>
        <w:rPr>
          <w:rFonts w:hint="eastAsia" w:ascii="仿宋_GB2312" w:hAnsi="仿宋_GB2312" w:eastAsia="仿宋_GB2312" w:cs="仿宋_GB2312"/>
          <w:b/>
          <w:sz w:val="32"/>
          <w:szCs w:val="30"/>
        </w:rPr>
        <w:t>）健康教育工作</w:t>
      </w:r>
    </w:p>
    <w:p>
      <w:pPr>
        <w:spacing w:line="600" w:lineRule="exact"/>
        <w:ind w:firstLine="640" w:firstLineChars="200"/>
        <w:rPr>
          <w:rFonts w:hint="eastAsia" w:ascii="黑体" w:eastAsia="仿宋_GB2312"/>
          <w:b/>
          <w:color w:val="000000"/>
          <w:sz w:val="32"/>
          <w:szCs w:val="32"/>
        </w:rPr>
      </w:pPr>
      <w:r>
        <w:rPr>
          <w:rFonts w:hint="eastAsia" w:ascii="仿宋_GB2312" w:hAnsi="仿宋_GB2312" w:eastAsia="仿宋_GB2312" w:cs="仿宋_GB2312"/>
          <w:sz w:val="32"/>
          <w:szCs w:val="30"/>
        </w:rPr>
        <w:t>年初结合我县的实际制定健康教育工作计划，成立了健康教育工作领导小组，加大经费的投入印刷了孕产妇保健，儿童保健，婚前保健，孕前优生优育，叶酸补服及艾滋病母婴阻断的宣传资料共</w:t>
      </w:r>
      <w:r>
        <w:rPr>
          <w:rFonts w:hint="eastAsia" w:ascii="仿宋_GB2312" w:hAnsi="仿宋_GB2312" w:eastAsia="仿宋_GB2312" w:cs="仿宋_GB2312"/>
          <w:sz w:val="32"/>
          <w:szCs w:val="30"/>
          <w:lang w:val="en-US" w:eastAsia="zh-CN"/>
        </w:rPr>
        <w:t>18</w:t>
      </w:r>
      <w:r>
        <w:rPr>
          <w:rFonts w:hint="eastAsia" w:ascii="仿宋_GB2312" w:hAnsi="仿宋_GB2312" w:eastAsia="仿宋_GB2312" w:cs="仿宋_GB2312"/>
          <w:sz w:val="32"/>
          <w:szCs w:val="30"/>
        </w:rPr>
        <w:t>0000余份，发放到乡、村，再送发到服务对象家庭；各医疗</w:t>
      </w:r>
      <w:r>
        <w:rPr>
          <w:rFonts w:hint="eastAsia" w:ascii="仿宋_GB2312" w:hAnsi="仿宋_GB2312" w:eastAsia="仿宋_GB2312" w:cs="仿宋_GB2312"/>
          <w:sz w:val="32"/>
          <w:szCs w:val="30"/>
          <w:lang w:eastAsia="zh-CN"/>
        </w:rPr>
        <w:t>卫生</w:t>
      </w:r>
      <w:r>
        <w:rPr>
          <w:rFonts w:hint="eastAsia" w:ascii="仿宋_GB2312" w:hAnsi="仿宋_GB2312" w:eastAsia="仿宋_GB2312" w:cs="仿宋_GB2312"/>
          <w:sz w:val="32"/>
          <w:szCs w:val="30"/>
        </w:rPr>
        <w:t>机构</w:t>
      </w:r>
      <w:r>
        <w:rPr>
          <w:rFonts w:hint="eastAsia" w:ascii="仿宋_GB2312" w:eastAsia="仿宋_GB2312"/>
          <w:sz w:val="32"/>
          <w:szCs w:val="32"/>
        </w:rPr>
        <w:t>结合各个公共卫生项目要求，采取面对面宣传，通过村干部会议，孕妇学校、板报、标语、典型事例等灵活多样的形式，分类进行宣传教育，对接受健康教育能力差的人群（残疾人、文盲、少数民族等）采取有针对性的措施重点加强宣传。通过健康宣传月、世界母乳喂养周、</w:t>
      </w:r>
      <w:r>
        <w:rPr>
          <w:rFonts w:hint="eastAsia" w:ascii="仿宋_GB2312" w:eastAsia="仿宋_GB2312"/>
          <w:sz w:val="32"/>
          <w:szCs w:val="32"/>
          <w:lang w:eastAsia="zh-CN"/>
        </w:rPr>
        <w:t>世界预防出生缺陷日、</w:t>
      </w:r>
      <w:r>
        <w:rPr>
          <w:rFonts w:hint="eastAsia" w:ascii="仿宋_GB2312" w:eastAsia="仿宋_GB2312"/>
          <w:sz w:val="32"/>
          <w:szCs w:val="32"/>
        </w:rPr>
        <w:t>世界艾滋病宣传日等活动努力提高了农村群众自我保健知识,营造关爱生命和尊重母亲、爱护儿童的良好社会氛围。</w:t>
      </w:r>
    </w:p>
    <w:p>
      <w:pPr>
        <w:spacing w:line="600" w:lineRule="exact"/>
        <w:ind w:firstLine="321" w:firstLineChars="100"/>
        <w:rPr>
          <w:rFonts w:hint="eastAsia" w:ascii="黑体" w:eastAsia="仿宋_GB2312"/>
          <w:b/>
          <w:color w:val="000000"/>
          <w:sz w:val="32"/>
          <w:szCs w:val="32"/>
        </w:rPr>
      </w:pPr>
      <w:r>
        <w:rPr>
          <w:rFonts w:hint="eastAsia" w:ascii="黑体" w:eastAsia="仿宋_GB2312"/>
          <w:b/>
          <w:color w:val="000000"/>
          <w:sz w:val="32"/>
          <w:szCs w:val="32"/>
        </w:rPr>
        <w:t>（</w:t>
      </w:r>
      <w:r>
        <w:rPr>
          <w:rFonts w:hint="eastAsia" w:ascii="黑体" w:eastAsia="仿宋_GB2312"/>
          <w:b/>
          <w:color w:val="000000"/>
          <w:sz w:val="32"/>
          <w:szCs w:val="32"/>
          <w:lang w:eastAsia="zh-CN"/>
        </w:rPr>
        <w:t>六</w:t>
      </w:r>
      <w:r>
        <w:rPr>
          <w:rFonts w:hint="eastAsia" w:ascii="黑体" w:eastAsia="仿宋_GB2312"/>
          <w:b/>
          <w:color w:val="000000"/>
          <w:sz w:val="32"/>
          <w:szCs w:val="32"/>
        </w:rPr>
        <w:t>）继续做好“三网”监测工作</w:t>
      </w:r>
    </w:p>
    <w:p>
      <w:pPr>
        <w:spacing w:line="580" w:lineRule="exact"/>
        <w:ind w:firstLine="320" w:firstLineChars="100"/>
        <w:rPr>
          <w:rFonts w:hint="eastAsia" w:ascii="仿宋_GB2312" w:eastAsia="仿宋_GB2312"/>
          <w:color w:val="auto"/>
          <w:sz w:val="32"/>
          <w:szCs w:val="32"/>
        </w:rPr>
      </w:pPr>
      <w:r>
        <w:rPr>
          <w:rFonts w:hint="eastAsia" w:ascii="仿宋_GB2312" w:eastAsia="仿宋_GB2312"/>
          <w:color w:val="auto"/>
          <w:sz w:val="32"/>
          <w:szCs w:val="32"/>
        </w:rPr>
        <w:t>1.各乡镇妇幼卫生监测人员的“三基”（基础理论、基本知识、基本技能）考核合格率≥90％。</w:t>
      </w:r>
    </w:p>
    <w:p>
      <w:pPr>
        <w:spacing w:line="580" w:lineRule="exact"/>
        <w:ind w:firstLine="480" w:firstLineChars="150"/>
        <w:rPr>
          <w:rFonts w:hint="eastAsia" w:ascii="仿宋_GB2312" w:eastAsia="仿宋_GB2312"/>
          <w:color w:val="auto"/>
          <w:sz w:val="32"/>
          <w:szCs w:val="32"/>
        </w:rPr>
      </w:pPr>
      <w:r>
        <w:rPr>
          <w:rFonts w:hint="eastAsia" w:ascii="仿宋_GB2312" w:eastAsia="仿宋_GB2312"/>
          <w:color w:val="auto"/>
          <w:sz w:val="32"/>
          <w:szCs w:val="32"/>
          <w:lang w:val="en-US" w:eastAsia="zh-CN"/>
        </w:rPr>
        <w:t>2</w:t>
      </w:r>
      <w:r>
        <w:rPr>
          <w:rFonts w:hint="eastAsia" w:ascii="仿宋_GB2312" w:eastAsia="仿宋_GB2312"/>
          <w:color w:val="auto"/>
          <w:sz w:val="32"/>
          <w:szCs w:val="32"/>
        </w:rPr>
        <w:t xml:space="preserve">.推广应用规范、统一的妇幼卫生监测工作监督指导指南，及电子台账。 </w:t>
      </w:r>
    </w:p>
    <w:p>
      <w:pPr>
        <w:spacing w:line="58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lang w:val="en-US" w:eastAsia="zh-CN"/>
        </w:rPr>
        <w:t>3</w:t>
      </w:r>
      <w:r>
        <w:rPr>
          <w:rFonts w:hint="eastAsia" w:ascii="仿宋_GB2312" w:eastAsia="仿宋_GB2312"/>
          <w:color w:val="auto"/>
          <w:sz w:val="32"/>
          <w:szCs w:val="32"/>
        </w:rPr>
        <w:t>.以高危孕产妇的筛查评估管理工作方案作为危重孕产妇监测工具，在监测医院规范数据采集流程和报告，实现数据网络报告。</w:t>
      </w:r>
    </w:p>
    <w:p>
      <w:pPr>
        <w:spacing w:line="58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lang w:val="en-US" w:eastAsia="zh-CN"/>
        </w:rPr>
        <w:t>4.</w:t>
      </w:r>
      <w:r>
        <w:rPr>
          <w:rFonts w:hint="eastAsia" w:ascii="仿宋_GB2312" w:eastAsia="仿宋_GB2312"/>
          <w:color w:val="auto"/>
          <w:sz w:val="32"/>
          <w:szCs w:val="32"/>
        </w:rPr>
        <w:t>各监测点认真收集20</w:t>
      </w:r>
      <w:r>
        <w:rPr>
          <w:rFonts w:hint="eastAsia" w:ascii="仿宋_GB2312" w:eastAsia="仿宋_GB2312"/>
          <w:color w:val="auto"/>
          <w:sz w:val="32"/>
          <w:szCs w:val="32"/>
          <w:lang w:val="en-US" w:eastAsia="zh-CN"/>
        </w:rPr>
        <w:t>21</w:t>
      </w:r>
      <w:r>
        <w:rPr>
          <w:rFonts w:hint="eastAsia" w:ascii="仿宋_GB2312" w:eastAsia="仿宋_GB2312"/>
          <w:color w:val="auto"/>
          <w:sz w:val="32"/>
          <w:szCs w:val="32"/>
        </w:rPr>
        <w:t>年以来的活产数和死亡数，并上报儿童死亡季报表、年报和儿童死亡报告卡，各乡（镇）每季度报表前自我核查，提高上报的及时性和准确性</w:t>
      </w:r>
    </w:p>
    <w:p>
      <w:pPr>
        <w:spacing w:line="600" w:lineRule="exact"/>
        <w:ind w:firstLine="640" w:firstLineChars="200"/>
        <w:rPr>
          <w:rFonts w:ascii="仿宋_GB2312" w:eastAsia="仿宋_GB2312"/>
          <w:sz w:val="32"/>
          <w:szCs w:val="32"/>
        </w:rPr>
      </w:pPr>
      <w:r>
        <w:rPr>
          <w:rFonts w:hint="eastAsia" w:ascii="仿宋_GB2312" w:eastAsia="仿宋_GB2312"/>
          <w:sz w:val="32"/>
          <w:szCs w:val="32"/>
          <w:lang w:val="en-US" w:eastAsia="zh-CN"/>
        </w:rPr>
        <w:t>5.</w:t>
      </w:r>
      <w:r>
        <w:rPr>
          <w:rFonts w:hint="eastAsia" w:ascii="仿宋_GB2312" w:eastAsia="仿宋_GB2312"/>
          <w:sz w:val="32"/>
          <w:szCs w:val="32"/>
        </w:rPr>
        <w:t>根据孕产妇及新生儿死亡评审方案要求及评审工作规范</w:t>
      </w:r>
      <w:r>
        <w:rPr>
          <w:rFonts w:hint="eastAsia" w:ascii="仿宋_GB2312" w:eastAsia="仿宋_GB2312"/>
          <w:sz w:val="32"/>
          <w:szCs w:val="32"/>
          <w:lang w:eastAsia="zh-CN"/>
        </w:rPr>
        <w:t>，</w:t>
      </w:r>
      <w:r>
        <w:rPr>
          <w:rFonts w:hint="eastAsia" w:ascii="仿宋_GB2312" w:eastAsia="仿宋_GB2312"/>
          <w:sz w:val="32"/>
          <w:szCs w:val="32"/>
        </w:rPr>
        <w:t>顺利完成20</w:t>
      </w:r>
      <w:r>
        <w:rPr>
          <w:rFonts w:hint="eastAsia" w:ascii="仿宋_GB2312" w:eastAsia="仿宋_GB2312"/>
          <w:sz w:val="32"/>
          <w:szCs w:val="32"/>
          <w:lang w:val="en-US" w:eastAsia="zh-CN"/>
        </w:rPr>
        <w:t>21</w:t>
      </w:r>
      <w:r>
        <w:rPr>
          <w:rFonts w:hint="eastAsia" w:ascii="仿宋_GB2312" w:eastAsia="仿宋_GB2312"/>
          <w:sz w:val="32"/>
          <w:szCs w:val="32"/>
        </w:rPr>
        <w:t xml:space="preserve">年新生儿死亡评审工作。 </w:t>
      </w:r>
    </w:p>
    <w:p>
      <w:pPr>
        <w:spacing w:line="600" w:lineRule="exact"/>
        <w:ind w:firstLine="481" w:firstLineChars="150"/>
        <w:rPr>
          <w:rFonts w:hint="eastAsia" w:ascii="黑体" w:eastAsia="仿宋_GB2312"/>
          <w:b/>
          <w:sz w:val="32"/>
          <w:szCs w:val="32"/>
        </w:rPr>
      </w:pPr>
      <w:r>
        <w:rPr>
          <w:rFonts w:hint="eastAsia" w:ascii="黑体" w:eastAsia="仿宋_GB2312"/>
          <w:b/>
          <w:sz w:val="32"/>
          <w:szCs w:val="32"/>
        </w:rPr>
        <w:t>（</w:t>
      </w:r>
      <w:r>
        <w:rPr>
          <w:rFonts w:hint="eastAsia" w:ascii="黑体" w:eastAsia="仿宋_GB2312"/>
          <w:b/>
          <w:sz w:val="32"/>
          <w:szCs w:val="32"/>
          <w:lang w:eastAsia="zh-CN"/>
        </w:rPr>
        <w:t>七</w:t>
      </w:r>
      <w:r>
        <w:rPr>
          <w:rFonts w:hint="eastAsia" w:ascii="黑体" w:eastAsia="仿宋_GB2312"/>
          <w:b/>
          <w:sz w:val="32"/>
          <w:szCs w:val="32"/>
        </w:rPr>
        <w:t>）加强各助产机构产儿科能力建设</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产、儿科质量直接关系到母婴安全，是有效降低“两个死亡”的关键。各单位把提高产儿科人员技术服务质量作为重点，加强人员培训，严格各项技术规范、不断完善各项制度，进一步提高服务能力。</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val="en-US" w:eastAsia="zh-CN"/>
        </w:rPr>
        <w:t>.</w:t>
      </w:r>
      <w:r>
        <w:rPr>
          <w:rFonts w:hint="eastAsia" w:ascii="仿宋_GB2312" w:eastAsia="仿宋_GB2312"/>
          <w:sz w:val="32"/>
          <w:szCs w:val="32"/>
        </w:rPr>
        <w:t>加强产儿科人员、妇幼保健人员基本知识、基本理论和基本技能“三基”培训。</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2</w:t>
      </w:r>
      <w:r>
        <w:rPr>
          <w:rFonts w:hint="eastAsia" w:ascii="仿宋_GB2312" w:eastAsia="仿宋_GB2312"/>
          <w:sz w:val="32"/>
          <w:szCs w:val="32"/>
          <w:lang w:val="en-US" w:eastAsia="zh-CN"/>
        </w:rPr>
        <w:t>.</w:t>
      </w:r>
      <w:r>
        <w:rPr>
          <w:rFonts w:hint="eastAsia" w:ascii="仿宋_GB2312" w:eastAsia="仿宋_GB2312"/>
          <w:sz w:val="32"/>
          <w:szCs w:val="32"/>
        </w:rPr>
        <w:t>年初举办了产儿科适宜技术培训，高危孕产妇筛查评估及转诊流程，产后出血的诊断处理及新生儿窒息复苏等基本技能培训。</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3</w:t>
      </w:r>
      <w:r>
        <w:rPr>
          <w:rFonts w:hint="eastAsia" w:ascii="仿宋_GB2312" w:eastAsia="仿宋_GB2312"/>
          <w:sz w:val="32"/>
          <w:szCs w:val="32"/>
          <w:lang w:val="en-US" w:eastAsia="zh-CN"/>
        </w:rPr>
        <w:t>.</w:t>
      </w:r>
      <w:r>
        <w:rPr>
          <w:rFonts w:hint="eastAsia" w:ascii="仿宋_GB2312" w:eastAsia="仿宋_GB2312"/>
          <w:sz w:val="32"/>
          <w:szCs w:val="32"/>
        </w:rPr>
        <w:t>认真搞好专业技术人员的进修培训，努力增强产儿科服务能力建设。</w:t>
      </w:r>
    </w:p>
    <w:p>
      <w:pPr>
        <w:numPr>
          <w:ilvl w:val="0"/>
          <w:numId w:val="0"/>
        </w:numPr>
        <w:spacing w:line="60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4.</w:t>
      </w:r>
      <w:r>
        <w:rPr>
          <w:rFonts w:hint="eastAsia" w:ascii="仿宋_GB2312" w:eastAsia="仿宋_GB2312"/>
          <w:sz w:val="32"/>
          <w:szCs w:val="32"/>
        </w:rPr>
        <w:t>按照省市相关文件要求制定下发了《盐边县危重孕产妇和新生儿转运与急救管理实施方案》，建立了盐边县危急重症孕产妇和新生儿急救中心，以县卫</w:t>
      </w:r>
      <w:r>
        <w:rPr>
          <w:rFonts w:hint="eastAsia" w:ascii="仿宋_GB2312" w:eastAsia="仿宋_GB2312"/>
          <w:sz w:val="32"/>
          <w:szCs w:val="32"/>
          <w:lang w:eastAsia="zh-CN"/>
        </w:rPr>
        <w:t>健</w:t>
      </w:r>
      <w:r>
        <w:rPr>
          <w:rFonts w:hint="eastAsia" w:ascii="仿宋_GB2312" w:eastAsia="仿宋_GB2312"/>
          <w:sz w:val="32"/>
          <w:szCs w:val="32"/>
        </w:rPr>
        <w:t>局局长为组长，副局长为副组长及公共卫生股长、各医疗机构负责人为成员的产科急救领导小组，以各助产机构负责人及医务科科长、妇产科主任为成员的产儿科急救领导小组办公室。制定并下发了《盐边县孕产妇风险评估与管理工作方案》，召开了专题会议，安排部署了我县母婴安全保障工作。</w:t>
      </w:r>
    </w:p>
    <w:p>
      <w:pPr>
        <w:ind w:firstLine="640" w:firstLineChars="200"/>
        <w:rPr>
          <w:rFonts w:hint="eastAsia" w:ascii="仿宋_GB2312" w:eastAsia="仿宋_GB2312"/>
          <w:sz w:val="32"/>
          <w:szCs w:val="32"/>
        </w:rPr>
      </w:pPr>
      <w:r>
        <w:rPr>
          <w:rFonts w:hint="eastAsia" w:ascii="仿宋_GB2312" w:hAnsi="仿宋" w:eastAsia="仿宋_GB2312" w:cs="Arial"/>
          <w:color w:val="191919"/>
          <w:sz w:val="32"/>
          <w:szCs w:val="32"/>
          <w:shd w:val="clear" w:color="auto" w:fill="FFFFFF"/>
          <w:lang w:val="en-US" w:eastAsia="zh-CN"/>
        </w:rPr>
        <w:t>5.为</w:t>
      </w:r>
      <w:r>
        <w:rPr>
          <w:rFonts w:hint="eastAsia" w:ascii="仿宋_GB2312" w:hAnsi="仿宋" w:eastAsia="仿宋_GB2312" w:cs="Arial"/>
          <w:color w:val="191919"/>
          <w:sz w:val="32"/>
          <w:szCs w:val="32"/>
          <w:shd w:val="clear" w:color="auto" w:fill="FFFFFF"/>
        </w:rPr>
        <w:t>强化医护人员急救意识，规范救治流程，进一步保障母婴安全</w:t>
      </w:r>
      <w:r>
        <w:rPr>
          <w:rFonts w:hint="eastAsia" w:ascii="仿宋_GB2312" w:hAnsi="仿宋" w:eastAsia="仿宋_GB2312" w:cs="Arial"/>
          <w:color w:val="191919"/>
          <w:sz w:val="32"/>
          <w:szCs w:val="32"/>
          <w:shd w:val="clear" w:color="auto" w:fill="FFFFFF"/>
          <w:lang w:eastAsia="zh-CN"/>
        </w:rPr>
        <w:t>，于</w:t>
      </w:r>
      <w:r>
        <w:rPr>
          <w:rFonts w:hint="eastAsia" w:ascii="仿宋_GB2312" w:hAnsi="仿宋" w:eastAsia="仿宋_GB2312" w:cs="Arial"/>
          <w:color w:val="191919"/>
          <w:sz w:val="32"/>
          <w:szCs w:val="32"/>
          <w:shd w:val="clear" w:color="auto" w:fill="FFFFFF"/>
          <w:lang w:val="en-US" w:eastAsia="zh-CN"/>
        </w:rPr>
        <w:t>2021年12</w:t>
      </w:r>
      <w:r>
        <w:rPr>
          <w:rFonts w:hint="eastAsia" w:ascii="仿宋_GB2312" w:hAnsi="仿宋" w:eastAsia="仿宋_GB2312" w:cs="Arial"/>
          <w:color w:val="191919"/>
          <w:sz w:val="32"/>
          <w:szCs w:val="32"/>
          <w:shd w:val="clear" w:color="auto" w:fill="FFFFFF"/>
        </w:rPr>
        <w:t>月</w:t>
      </w:r>
      <w:r>
        <w:rPr>
          <w:rFonts w:hint="eastAsia" w:ascii="仿宋_GB2312" w:hAnsi="仿宋" w:eastAsia="仿宋_GB2312" w:cs="Arial"/>
          <w:color w:val="191919"/>
          <w:sz w:val="32"/>
          <w:szCs w:val="32"/>
          <w:shd w:val="clear" w:color="auto" w:fill="FFFFFF"/>
          <w:lang w:val="en-US" w:eastAsia="zh-CN"/>
        </w:rPr>
        <w:t>20</w:t>
      </w:r>
      <w:r>
        <w:rPr>
          <w:rFonts w:hint="eastAsia" w:ascii="仿宋_GB2312" w:hAnsi="仿宋" w:eastAsia="仿宋_GB2312" w:cs="Arial"/>
          <w:color w:val="191919"/>
          <w:sz w:val="32"/>
          <w:szCs w:val="32"/>
          <w:shd w:val="clear" w:color="auto" w:fill="FFFFFF"/>
        </w:rPr>
        <w:t>日</w:t>
      </w:r>
      <w:r>
        <w:rPr>
          <w:rFonts w:hint="eastAsia" w:ascii="仿宋_GB2312" w:hAnsi="仿宋" w:eastAsia="仿宋_GB2312" w:cs="Arial"/>
          <w:color w:val="191919"/>
          <w:sz w:val="32"/>
          <w:szCs w:val="32"/>
          <w:shd w:val="clear" w:color="auto" w:fill="FFFFFF"/>
          <w:lang w:eastAsia="zh-CN"/>
        </w:rPr>
        <w:t>联合</w:t>
      </w:r>
      <w:r>
        <w:rPr>
          <w:rFonts w:hint="eastAsia" w:ascii="仿宋_GB2312" w:hAnsi="仿宋" w:eastAsia="仿宋_GB2312" w:cs="Arial"/>
          <w:color w:val="191919"/>
          <w:sz w:val="32"/>
          <w:szCs w:val="32"/>
          <w:shd w:val="clear" w:color="auto" w:fill="FFFFFF"/>
        </w:rPr>
        <w:t>盐边县人民医院</w:t>
      </w:r>
      <w:r>
        <w:rPr>
          <w:rFonts w:hint="eastAsia" w:ascii="仿宋_GB2312" w:hAnsi="仿宋" w:eastAsia="仿宋_GB2312" w:cs="Arial"/>
          <w:color w:val="191919"/>
          <w:sz w:val="32"/>
          <w:szCs w:val="32"/>
          <w:shd w:val="clear" w:color="auto" w:fill="FFFFFF"/>
          <w:lang w:eastAsia="zh-CN"/>
        </w:rPr>
        <w:t>多科室协作，</w:t>
      </w:r>
      <w:r>
        <w:rPr>
          <w:rFonts w:hint="eastAsia" w:ascii="仿宋_GB2312" w:hAnsi="仿宋" w:eastAsia="仿宋_GB2312" w:cs="Arial"/>
          <w:color w:val="191919"/>
          <w:sz w:val="32"/>
          <w:szCs w:val="32"/>
          <w:shd w:val="clear" w:color="auto" w:fill="FFFFFF"/>
        </w:rPr>
        <w:t>开展了</w:t>
      </w:r>
      <w:r>
        <w:rPr>
          <w:rFonts w:hint="eastAsia" w:ascii="仿宋_GB2312" w:hAnsi="仿宋" w:eastAsia="仿宋_GB2312" w:cs="Arial"/>
          <w:color w:val="191919"/>
          <w:sz w:val="32"/>
          <w:szCs w:val="32"/>
          <w:shd w:val="clear" w:color="auto" w:fill="FFFFFF"/>
          <w:lang w:eastAsia="zh-CN"/>
        </w:rPr>
        <w:t>疑似艾滋病感染孕产妇转诊</w:t>
      </w:r>
      <w:r>
        <w:rPr>
          <w:rFonts w:hint="eastAsia" w:ascii="仿宋_GB2312" w:hAnsi="仿宋" w:eastAsia="仿宋_GB2312" w:cs="Arial"/>
          <w:color w:val="191919"/>
          <w:sz w:val="32"/>
          <w:szCs w:val="32"/>
          <w:shd w:val="clear" w:color="auto" w:fill="FFFFFF"/>
        </w:rPr>
        <w:t>应急演练活动,</w:t>
      </w:r>
      <w:r>
        <w:rPr>
          <w:rFonts w:hint="eastAsia" w:ascii="仿宋_GB2312" w:eastAsia="仿宋_GB2312"/>
          <w:color w:val="000000"/>
          <w:sz w:val="32"/>
          <w:szCs w:val="32"/>
        </w:rPr>
        <w:t>使参加演练医务人员的理论和实操水平得到进一步提高，为</w:t>
      </w:r>
      <w:r>
        <w:rPr>
          <w:rFonts w:hint="eastAsia" w:ascii="仿宋_GB2312" w:eastAsia="仿宋_GB2312"/>
          <w:color w:val="000000"/>
          <w:sz w:val="32"/>
          <w:szCs w:val="32"/>
          <w:lang w:eastAsia="zh-CN"/>
        </w:rPr>
        <w:t>紧急情况下的</w:t>
      </w:r>
      <w:r>
        <w:rPr>
          <w:rFonts w:hint="eastAsia" w:ascii="仿宋_GB2312" w:eastAsia="仿宋_GB2312"/>
          <w:color w:val="000000"/>
          <w:sz w:val="32"/>
          <w:szCs w:val="32"/>
        </w:rPr>
        <w:t>临床救治工作打下了更加坚实的基础，同时也提高了医务人员的急救技术、应急反应能力和操作技能。</w:t>
      </w:r>
    </w:p>
    <w:p>
      <w:pPr>
        <w:spacing w:line="600" w:lineRule="exact"/>
        <w:ind w:firstLine="642" w:firstLineChars="200"/>
        <w:rPr>
          <w:rFonts w:hint="eastAsia" w:ascii="黑体" w:eastAsia="仿宋_GB2312"/>
          <w:b/>
          <w:sz w:val="32"/>
          <w:szCs w:val="32"/>
        </w:rPr>
      </w:pPr>
      <w:r>
        <w:rPr>
          <w:rFonts w:hint="eastAsia" w:ascii="黑体" w:eastAsia="仿宋_GB2312"/>
          <w:b/>
          <w:sz w:val="32"/>
          <w:szCs w:val="32"/>
        </w:rPr>
        <w:t>（</w:t>
      </w:r>
      <w:r>
        <w:rPr>
          <w:rFonts w:hint="eastAsia" w:ascii="黑体" w:eastAsia="仿宋_GB2312"/>
          <w:b/>
          <w:sz w:val="32"/>
          <w:szCs w:val="32"/>
          <w:lang w:eastAsia="zh-CN"/>
        </w:rPr>
        <w:t>八</w:t>
      </w:r>
      <w:r>
        <w:rPr>
          <w:rFonts w:hint="eastAsia" w:ascii="黑体" w:eastAsia="仿宋_GB2312"/>
          <w:b/>
          <w:sz w:val="32"/>
          <w:szCs w:val="32"/>
        </w:rPr>
        <w:t>）进一步加强乡村两级妇幼卫生管理</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乡村两级是妇幼卫生网络重要组成部分，是妇幼卫生健康教育、信息资料来源的基础环节。我院坚持每</w:t>
      </w:r>
      <w:r>
        <w:rPr>
          <w:rFonts w:hint="eastAsia" w:ascii="仿宋_GB2312" w:eastAsia="仿宋_GB2312"/>
          <w:sz w:val="32"/>
          <w:szCs w:val="32"/>
          <w:lang w:eastAsia="zh-CN"/>
        </w:rPr>
        <w:t>季度</w:t>
      </w:r>
      <w:r>
        <w:rPr>
          <w:rFonts w:hint="eastAsia" w:ascii="仿宋_GB2312" w:eastAsia="仿宋_GB2312"/>
          <w:sz w:val="32"/>
          <w:szCs w:val="32"/>
        </w:rPr>
        <w:t>妇幼例会制度，采取以会代训、聘请市级专家讲课、发放资科</w:t>
      </w:r>
      <w:r>
        <w:rPr>
          <w:rFonts w:hint="eastAsia" w:ascii="仿宋_GB2312" w:eastAsia="仿宋_GB2312"/>
          <w:sz w:val="32"/>
          <w:szCs w:val="32"/>
          <w:lang w:eastAsia="zh-CN"/>
        </w:rPr>
        <w:t>，培训后现场测试</w:t>
      </w:r>
      <w:r>
        <w:rPr>
          <w:rFonts w:hint="eastAsia" w:ascii="仿宋_GB2312" w:eastAsia="仿宋_GB2312"/>
          <w:sz w:val="32"/>
          <w:szCs w:val="32"/>
        </w:rPr>
        <w:t>等形式，加强对基层妇幼人员的</w:t>
      </w:r>
      <w:r>
        <w:rPr>
          <w:rFonts w:hint="eastAsia" w:ascii="仿宋_GB2312" w:eastAsia="仿宋_GB2312"/>
          <w:sz w:val="32"/>
          <w:szCs w:val="32"/>
          <w:lang w:eastAsia="zh-CN"/>
        </w:rPr>
        <w:t>技能</w:t>
      </w:r>
      <w:r>
        <w:rPr>
          <w:rFonts w:hint="eastAsia" w:ascii="仿宋_GB2312" w:eastAsia="仿宋_GB2312"/>
          <w:sz w:val="32"/>
          <w:szCs w:val="32"/>
        </w:rPr>
        <w:t>培训。每季度下乡加强对乡村两级的监督、指导工作</w:t>
      </w:r>
      <w:r>
        <w:rPr>
          <w:rFonts w:hint="eastAsia" w:ascii="仿宋_GB2312" w:eastAsia="仿宋_GB2312"/>
          <w:sz w:val="32"/>
          <w:szCs w:val="32"/>
          <w:lang w:eastAsia="zh-CN"/>
        </w:rPr>
        <w:t>，</w:t>
      </w:r>
      <w:r>
        <w:rPr>
          <w:rFonts w:hint="eastAsia" w:ascii="仿宋_GB2312" w:eastAsia="仿宋_GB2312"/>
          <w:sz w:val="32"/>
          <w:szCs w:val="32"/>
        </w:rPr>
        <w:t>将村级妇幼各项工作任务纳入目标管理。制定、落实村医例会制度，明确培训计划，注重例会重点，力求取得实效。完善村级各项工作的实施记录，规范信息资料。</w:t>
      </w:r>
    </w:p>
    <w:p>
      <w:pPr>
        <w:numPr>
          <w:ilvl w:val="0"/>
          <w:numId w:val="10"/>
        </w:numPr>
        <w:spacing w:line="600" w:lineRule="exact"/>
        <w:ind w:firstLine="642" w:firstLineChars="200"/>
        <w:rPr>
          <w:rFonts w:hint="eastAsia" w:ascii="黑体" w:eastAsia="黑体"/>
          <w:b/>
          <w:sz w:val="32"/>
          <w:szCs w:val="32"/>
        </w:rPr>
      </w:pPr>
      <w:r>
        <w:rPr>
          <w:rFonts w:hint="eastAsia" w:ascii="黑体" w:eastAsia="黑体"/>
          <w:b/>
          <w:sz w:val="32"/>
          <w:szCs w:val="32"/>
        </w:rPr>
        <w:t>托幼机构卫生保健管理工作</w:t>
      </w:r>
    </w:p>
    <w:p>
      <w:pPr>
        <w:spacing w:line="60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lang w:eastAsia="zh-CN"/>
        </w:rPr>
        <w:t>根据国家卫健委、教卫颁发的《托儿所、幼儿园卫生保健管理办法》，</w:t>
      </w:r>
      <w:r>
        <w:rPr>
          <w:rFonts w:hint="eastAsia" w:ascii="仿宋_GB2312" w:eastAsia="仿宋_GB2312"/>
          <w:sz w:val="32"/>
          <w:szCs w:val="32"/>
          <w:lang w:val="en-US" w:eastAsia="zh-CN"/>
        </w:rPr>
        <w:t>于春、秋两季组织辖区托幼机构儿童开展健康检查，共计 2688人次，龋齿儿童599 人，贫血儿童 25人，消瘦儿童6人，肥胖儿童6  人，建议视力诊治8人，生长迟缓3人，偏胖45人，生长过快1人。并将体检结果及时反馈给托幼机构和家长，针对检出的疾病和生长发育情况给予了健康保健指导和进一步诊治意见。</w:t>
      </w:r>
    </w:p>
    <w:p>
      <w:pPr>
        <w:numPr>
          <w:ilvl w:val="0"/>
          <w:numId w:val="11"/>
        </w:numPr>
        <w:ind w:left="320" w:leftChars="0" w:firstLine="0" w:firstLineChars="0"/>
        <w:rPr>
          <w:rFonts w:hint="eastAsia" w:ascii="仿宋_GB2312" w:eastAsia="仿宋_GB2312"/>
          <w:b/>
          <w:sz w:val="32"/>
          <w:szCs w:val="32"/>
        </w:rPr>
      </w:pPr>
      <w:r>
        <w:rPr>
          <w:rFonts w:hint="eastAsia" w:ascii="仿宋_GB2312" w:eastAsia="仿宋_GB2312"/>
          <w:b/>
          <w:bCs/>
          <w:sz w:val="32"/>
          <w:szCs w:val="32"/>
        </w:rPr>
        <w:t>存在</w:t>
      </w:r>
      <w:r>
        <w:rPr>
          <w:rFonts w:hint="eastAsia" w:ascii="仿宋_GB2312" w:eastAsia="仿宋_GB2312"/>
          <w:b/>
          <w:sz w:val="32"/>
          <w:szCs w:val="32"/>
        </w:rPr>
        <w:t>问题</w:t>
      </w:r>
    </w:p>
    <w:p>
      <w:pPr>
        <w:spacing w:line="353" w:lineRule="auto"/>
        <w:ind w:firstLine="640" w:firstLineChars="200"/>
        <w:rPr>
          <w:rFonts w:hint="eastAsia" w:ascii="仿宋_GB2312" w:eastAsia="仿宋_GB2312"/>
          <w:color w:val="auto"/>
          <w:sz w:val="32"/>
          <w:szCs w:val="32"/>
        </w:rPr>
      </w:pPr>
      <w:r>
        <w:rPr>
          <w:rFonts w:hint="eastAsia" w:ascii="仿宋_GB2312" w:hAnsi="宋体" w:eastAsia="仿宋_GB2312"/>
          <w:color w:val="auto"/>
          <w:sz w:val="32"/>
          <w:szCs w:val="32"/>
        </w:rPr>
        <w:t>1.</w:t>
      </w:r>
      <w:r>
        <w:rPr>
          <w:rFonts w:hint="eastAsia" w:ascii="仿宋_GB2312" w:eastAsia="仿宋_GB2312"/>
          <w:sz w:val="32"/>
          <w:szCs w:val="32"/>
        </w:rPr>
        <w:t>婴儿死亡率、5岁以下儿童死亡率和孕产妇死亡率形势依然严峻</w:t>
      </w:r>
      <w:r>
        <w:rPr>
          <w:rFonts w:hint="eastAsia" w:ascii="仿宋_GB2312" w:eastAsia="仿宋_GB2312"/>
          <w:sz w:val="32"/>
          <w:szCs w:val="32"/>
          <w:lang w:eastAsia="zh-CN"/>
        </w:rPr>
        <w:t>，随着国家三胎政策及一系列育儿政策发布，</w:t>
      </w:r>
      <w:r>
        <w:rPr>
          <w:rFonts w:hint="eastAsia" w:ascii="仿宋_GB2312" w:eastAsia="仿宋_GB2312"/>
          <w:sz w:val="32"/>
          <w:szCs w:val="32"/>
        </w:rPr>
        <w:t>高危孕产妇呈增多态势。我县幅</w:t>
      </w:r>
      <w:r>
        <w:rPr>
          <w:rFonts w:hint="eastAsia" w:ascii="仿宋_GB2312" w:eastAsia="仿宋_GB2312"/>
          <w:sz w:val="32"/>
          <w:szCs w:val="32"/>
          <w:lang w:eastAsia="zh-CN"/>
        </w:rPr>
        <w:t>源</w:t>
      </w:r>
      <w:r>
        <w:rPr>
          <w:rFonts w:hint="eastAsia" w:ascii="仿宋_GB2312" w:eastAsia="仿宋_GB2312"/>
          <w:sz w:val="32"/>
          <w:szCs w:val="32"/>
        </w:rPr>
        <w:t>面积广，交通不便，经济落后，医疗机构医疗设备陈旧</w:t>
      </w:r>
      <w:r>
        <w:rPr>
          <w:rFonts w:hint="eastAsia" w:ascii="仿宋_GB2312" w:eastAsia="仿宋_GB2312"/>
          <w:sz w:val="32"/>
          <w:szCs w:val="32"/>
          <w:lang w:eastAsia="zh-CN"/>
        </w:rPr>
        <w:t>，医务人员严重不足</w:t>
      </w:r>
      <w:r>
        <w:rPr>
          <w:rFonts w:hint="eastAsia" w:ascii="仿宋_GB2312" w:eastAsia="仿宋_GB2312"/>
          <w:sz w:val="32"/>
          <w:szCs w:val="32"/>
        </w:rPr>
        <w:t>，</w:t>
      </w:r>
      <w:r>
        <w:rPr>
          <w:rFonts w:hint="eastAsia" w:ascii="仿宋_GB2312" w:eastAsia="仿宋_GB2312"/>
          <w:sz w:val="32"/>
          <w:szCs w:val="32"/>
          <w:lang w:eastAsia="zh-CN"/>
        </w:rPr>
        <w:t>产儿科</w:t>
      </w:r>
      <w:r>
        <w:rPr>
          <w:rFonts w:hint="eastAsia" w:ascii="仿宋_GB2312" w:eastAsia="仿宋_GB2312"/>
          <w:sz w:val="32"/>
          <w:szCs w:val="32"/>
        </w:rPr>
        <w:t>服务能力不高等因素给我县</w:t>
      </w:r>
      <w:r>
        <w:rPr>
          <w:rFonts w:hint="eastAsia" w:ascii="仿宋_GB2312" w:eastAsia="仿宋_GB2312"/>
          <w:sz w:val="32"/>
          <w:szCs w:val="32"/>
          <w:lang w:eastAsia="zh-CN"/>
        </w:rPr>
        <w:t>孕产妇及儿童健康管理工作</w:t>
      </w:r>
      <w:r>
        <w:rPr>
          <w:rFonts w:hint="eastAsia" w:ascii="仿宋_GB2312" w:eastAsia="仿宋_GB2312"/>
          <w:sz w:val="32"/>
          <w:szCs w:val="32"/>
        </w:rPr>
        <w:t>带来了巨大的挑战，虽然20</w:t>
      </w:r>
      <w:r>
        <w:rPr>
          <w:rFonts w:hint="eastAsia" w:ascii="仿宋_GB2312" w:eastAsia="仿宋_GB2312"/>
          <w:sz w:val="32"/>
          <w:szCs w:val="32"/>
          <w:lang w:val="en-US" w:eastAsia="zh-CN"/>
        </w:rPr>
        <w:t>21</w:t>
      </w:r>
      <w:r>
        <w:rPr>
          <w:rFonts w:hint="eastAsia" w:ascii="仿宋_GB2312" w:eastAsia="仿宋_GB2312"/>
          <w:sz w:val="32"/>
          <w:szCs w:val="32"/>
        </w:rPr>
        <w:t>年孕产妇死亡0例，婴儿及5岁以下儿童死亡人数</w:t>
      </w:r>
      <w:r>
        <w:rPr>
          <w:rFonts w:hint="eastAsia" w:ascii="仿宋_GB2312" w:eastAsia="仿宋_GB2312"/>
          <w:sz w:val="32"/>
          <w:szCs w:val="32"/>
          <w:lang w:eastAsia="zh-CN"/>
        </w:rPr>
        <w:t>较</w:t>
      </w:r>
      <w:r>
        <w:rPr>
          <w:rFonts w:hint="eastAsia" w:ascii="仿宋_GB2312" w:eastAsia="仿宋_GB2312"/>
          <w:sz w:val="32"/>
          <w:szCs w:val="32"/>
          <w:lang w:val="en-US" w:eastAsia="zh-CN"/>
        </w:rPr>
        <w:t>2020年有</w:t>
      </w:r>
      <w:r>
        <w:rPr>
          <w:rFonts w:hint="eastAsia" w:ascii="仿宋_GB2312" w:hAnsi="宋体" w:eastAsia="仿宋_GB2312"/>
          <w:color w:val="auto"/>
          <w:sz w:val="32"/>
          <w:szCs w:val="32"/>
          <w:lang w:val="en-US" w:eastAsia="zh-CN"/>
        </w:rPr>
        <w:t>所下降，但</w:t>
      </w:r>
      <w:r>
        <w:rPr>
          <w:rFonts w:hint="eastAsia" w:ascii="仿宋_GB2312" w:hAnsi="宋体" w:eastAsia="仿宋_GB2312"/>
          <w:color w:val="auto"/>
          <w:sz w:val="32"/>
          <w:szCs w:val="32"/>
        </w:rPr>
        <w:t>形势依然严峻，不容乐观。</w:t>
      </w:r>
    </w:p>
    <w:p>
      <w:pPr>
        <w:ind w:firstLine="800" w:firstLineChars="250"/>
        <w:rPr>
          <w:rFonts w:hint="eastAsia" w:ascii="仿宋_GB2312" w:eastAsia="仿宋_GB2312"/>
          <w:color w:val="auto"/>
          <w:sz w:val="32"/>
          <w:szCs w:val="32"/>
        </w:rPr>
      </w:pPr>
      <w:r>
        <w:rPr>
          <w:rFonts w:hint="eastAsia" w:ascii="仿宋_GB2312" w:eastAsia="仿宋_GB2312"/>
          <w:color w:val="auto"/>
          <w:sz w:val="32"/>
          <w:szCs w:val="32"/>
        </w:rPr>
        <w:t>2.</w:t>
      </w:r>
      <w:r>
        <w:rPr>
          <w:rFonts w:hint="eastAsia" w:ascii="仿宋_GB2312" w:eastAsia="仿宋_GB2312"/>
          <w:sz w:val="32"/>
          <w:szCs w:val="32"/>
        </w:rPr>
        <w:t>目标人群流动性大，管理难度大</w:t>
      </w:r>
      <w:r>
        <w:rPr>
          <w:rFonts w:hint="eastAsia" w:ascii="仿宋_GB2312" w:eastAsia="仿宋_GB2312"/>
          <w:sz w:val="32"/>
          <w:szCs w:val="32"/>
          <w:lang w:eastAsia="zh-CN"/>
        </w:rPr>
        <w:t>，</w:t>
      </w:r>
      <w:r>
        <w:rPr>
          <w:rFonts w:hint="eastAsia" w:ascii="仿宋_GB2312" w:eastAsia="仿宋_GB2312"/>
          <w:sz w:val="32"/>
          <w:szCs w:val="32"/>
        </w:rPr>
        <w:t>特别是少数民族地区接受健康教育程度不</w:t>
      </w:r>
      <w:r>
        <w:rPr>
          <w:rFonts w:hint="eastAsia" w:ascii="仿宋_GB2312" w:eastAsia="仿宋_GB2312"/>
          <w:sz w:val="32"/>
          <w:szCs w:val="32"/>
          <w:lang w:eastAsia="zh-CN"/>
        </w:rPr>
        <w:t>均衡，</w:t>
      </w:r>
      <w:r>
        <w:rPr>
          <w:rFonts w:hint="eastAsia" w:ascii="仿宋_GB2312" w:eastAsia="仿宋_GB2312"/>
          <w:sz w:val="32"/>
          <w:szCs w:val="32"/>
        </w:rPr>
        <w:t>部分地区文化程度较低，自我保健意识不足</w:t>
      </w:r>
      <w:r>
        <w:rPr>
          <w:rFonts w:hint="eastAsia" w:ascii="仿宋_GB2312" w:eastAsia="仿宋_GB2312"/>
          <w:color w:val="auto"/>
          <w:sz w:val="32"/>
          <w:szCs w:val="32"/>
        </w:rPr>
        <w:t>。</w:t>
      </w:r>
    </w:p>
    <w:p>
      <w:pPr>
        <w:ind w:firstLine="640" w:firstLineChars="200"/>
        <w:rPr>
          <w:rFonts w:hint="eastAsia" w:ascii="仿宋_GB2312" w:eastAsia="仿宋_GB2312"/>
          <w:sz w:val="32"/>
          <w:szCs w:val="32"/>
          <w:lang w:eastAsia="zh-CN"/>
        </w:rPr>
      </w:pPr>
      <w:r>
        <w:rPr>
          <w:rFonts w:hint="eastAsia" w:ascii="仿宋_GB2312" w:eastAsia="仿宋_GB2312"/>
          <w:color w:val="auto"/>
          <w:sz w:val="32"/>
          <w:szCs w:val="32"/>
        </w:rPr>
        <w:t>3.</w:t>
      </w:r>
      <w:r>
        <w:rPr>
          <w:rFonts w:hint="eastAsia" w:ascii="仿宋_GB2312" w:hAnsi="宋体" w:eastAsia="仿宋_GB2312" w:cs="Arial"/>
          <w:color w:val="auto"/>
          <w:sz w:val="32"/>
          <w:szCs w:val="32"/>
          <w:shd w:val="clear" w:color="auto" w:fill="FFFFFF"/>
        </w:rPr>
        <w:t xml:space="preserve">基层保健队伍不稳定 </w:t>
      </w:r>
      <w:r>
        <w:rPr>
          <w:rFonts w:hint="eastAsia" w:ascii="仿宋_GB2312" w:hAnsi="宋体" w:eastAsia="仿宋_GB2312" w:cs="Arial"/>
          <w:color w:val="auto"/>
          <w:sz w:val="32"/>
          <w:szCs w:val="32"/>
          <w:shd w:val="clear" w:color="auto" w:fill="FFFFFF"/>
          <w:lang w:eastAsia="zh-CN"/>
        </w:rPr>
        <w:t>，</w:t>
      </w:r>
      <w:r>
        <w:rPr>
          <w:rFonts w:hint="eastAsia" w:ascii="仿宋_GB2312" w:hAnsi="宋体" w:eastAsia="仿宋_GB2312" w:cs="Arial"/>
          <w:color w:val="auto"/>
          <w:sz w:val="32"/>
          <w:szCs w:val="32"/>
          <w:shd w:val="clear" w:color="auto" w:fill="FFFFFF"/>
        </w:rPr>
        <w:t>保健人员更换频繁，</w:t>
      </w:r>
      <w:r>
        <w:rPr>
          <w:rFonts w:hint="eastAsia" w:ascii="仿宋_GB2312" w:eastAsia="仿宋_GB2312"/>
          <w:sz w:val="32"/>
          <w:szCs w:val="32"/>
        </w:rPr>
        <w:t>部份工作人员业务能力不高</w:t>
      </w:r>
      <w:r>
        <w:rPr>
          <w:rFonts w:hint="eastAsia" w:ascii="仿宋_GB2312" w:eastAsia="仿宋_GB2312"/>
          <w:sz w:val="32"/>
          <w:szCs w:val="32"/>
          <w:lang w:eastAsia="zh-CN"/>
        </w:rPr>
        <w:t>，</w:t>
      </w:r>
      <w:r>
        <w:rPr>
          <w:rFonts w:hint="eastAsia" w:ascii="仿宋_GB2312" w:hAnsi="宋体" w:eastAsia="仿宋_GB2312" w:cs="Arial"/>
          <w:color w:val="auto"/>
          <w:sz w:val="32"/>
          <w:szCs w:val="32"/>
          <w:shd w:val="clear" w:color="auto" w:fill="FFFFFF"/>
        </w:rPr>
        <w:t>保健质量难以保证</w:t>
      </w:r>
      <w:r>
        <w:rPr>
          <w:rFonts w:hint="eastAsia" w:ascii="仿宋_GB2312" w:hAnsi="宋体" w:eastAsia="仿宋_GB2312" w:cs="Arial"/>
          <w:color w:val="auto"/>
          <w:sz w:val="32"/>
          <w:szCs w:val="32"/>
          <w:shd w:val="clear" w:color="auto" w:fill="FFFFFF"/>
          <w:lang w:eastAsia="zh-CN"/>
        </w:rPr>
        <w:t>，</w:t>
      </w:r>
      <w:r>
        <w:rPr>
          <w:rFonts w:hint="eastAsia" w:ascii="仿宋_GB2312" w:eastAsia="仿宋_GB2312"/>
          <w:sz w:val="32"/>
          <w:szCs w:val="32"/>
        </w:rPr>
        <w:t>各医疗</w:t>
      </w:r>
      <w:r>
        <w:rPr>
          <w:rFonts w:hint="eastAsia" w:ascii="仿宋_GB2312" w:eastAsia="仿宋_GB2312"/>
          <w:sz w:val="32"/>
          <w:szCs w:val="32"/>
          <w:lang w:eastAsia="zh-CN"/>
        </w:rPr>
        <w:t>卫生</w:t>
      </w:r>
      <w:r>
        <w:rPr>
          <w:rFonts w:hint="eastAsia" w:ascii="仿宋_GB2312" w:eastAsia="仿宋_GB2312"/>
          <w:sz w:val="32"/>
          <w:szCs w:val="32"/>
        </w:rPr>
        <w:t>机构服务能力参差不齐，</w:t>
      </w:r>
      <w:r>
        <w:rPr>
          <w:rFonts w:hint="eastAsia" w:ascii="仿宋_GB2312" w:eastAsia="仿宋_GB2312"/>
          <w:sz w:val="32"/>
          <w:szCs w:val="32"/>
          <w:lang w:eastAsia="zh-CN"/>
        </w:rPr>
        <w:t>保健工作缺乏创新，</w:t>
      </w:r>
      <w:r>
        <w:rPr>
          <w:rFonts w:hint="eastAsia" w:ascii="仿宋_GB2312" w:eastAsia="仿宋_GB2312"/>
          <w:sz w:val="32"/>
          <w:szCs w:val="32"/>
        </w:rPr>
        <w:t>健康教育工作质量有待提高</w:t>
      </w:r>
      <w:r>
        <w:rPr>
          <w:rFonts w:hint="eastAsia" w:ascii="仿宋_GB2312" w:eastAsia="仿宋_GB2312"/>
          <w:sz w:val="32"/>
          <w:szCs w:val="32"/>
          <w:lang w:eastAsia="zh-CN"/>
        </w:rPr>
        <w:t>。</w:t>
      </w:r>
    </w:p>
    <w:p>
      <w:pPr>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4.部分乡镇村医管理、培训不到位，业务知识欠缺，基层保健工作不规范，考核机制落实不到位。</w:t>
      </w:r>
    </w:p>
    <w:p>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5.部分乡镇领导对</w:t>
      </w:r>
      <w:r>
        <w:rPr>
          <w:rFonts w:hint="eastAsia" w:ascii="仿宋_GB2312" w:eastAsia="仿宋_GB2312"/>
          <w:sz w:val="32"/>
          <w:szCs w:val="32"/>
        </w:rPr>
        <w:t>妇幼</w:t>
      </w:r>
      <w:r>
        <w:rPr>
          <w:rFonts w:hint="eastAsia" w:ascii="仿宋_GB2312" w:eastAsia="仿宋_GB2312"/>
          <w:sz w:val="32"/>
          <w:szCs w:val="32"/>
          <w:lang w:eastAsia="zh-CN"/>
        </w:rPr>
        <w:t>健康</w:t>
      </w:r>
      <w:r>
        <w:rPr>
          <w:rFonts w:hint="eastAsia" w:ascii="仿宋_GB2312" w:eastAsia="仿宋_GB2312"/>
          <w:sz w:val="32"/>
          <w:szCs w:val="32"/>
        </w:rPr>
        <w:t>保健工作的重要性认识不</w:t>
      </w:r>
      <w:r>
        <w:rPr>
          <w:rFonts w:hint="eastAsia" w:ascii="仿宋_GB2312" w:eastAsia="仿宋_GB2312"/>
          <w:sz w:val="32"/>
          <w:szCs w:val="32"/>
          <w:lang w:eastAsia="zh-CN"/>
        </w:rPr>
        <w:t>足</w:t>
      </w:r>
      <w:r>
        <w:rPr>
          <w:rFonts w:hint="eastAsia" w:ascii="仿宋_GB2312" w:eastAsia="仿宋_GB2312"/>
          <w:sz w:val="32"/>
          <w:szCs w:val="32"/>
        </w:rPr>
        <w:t>，研究解决问题较少</w:t>
      </w:r>
      <w:r>
        <w:rPr>
          <w:rFonts w:hint="eastAsia" w:ascii="仿宋_GB2312" w:eastAsia="仿宋_GB2312"/>
          <w:sz w:val="32"/>
          <w:szCs w:val="32"/>
          <w:lang w:eastAsia="zh-CN"/>
        </w:rPr>
        <w:t>，具体经办人员责任心不强，职责履行不到位。</w:t>
      </w:r>
    </w:p>
    <w:p>
      <w:pPr>
        <w:ind w:firstLine="642" w:firstLineChars="200"/>
        <w:rPr>
          <w:rFonts w:hint="eastAsia" w:ascii="仿宋_GB2312" w:eastAsia="仿宋_GB2312"/>
          <w:b/>
          <w:sz w:val="32"/>
          <w:szCs w:val="32"/>
        </w:rPr>
      </w:pPr>
      <w:r>
        <w:rPr>
          <w:rFonts w:hint="eastAsia" w:ascii="仿宋_GB2312" w:eastAsia="仿宋_GB2312"/>
          <w:b/>
          <w:sz w:val="32"/>
          <w:szCs w:val="32"/>
        </w:rPr>
        <w:t xml:space="preserve">三、下一步工作措施                             </w:t>
      </w:r>
    </w:p>
    <w:p>
      <w:pPr>
        <w:ind w:firstLine="640" w:firstLineChars="200"/>
        <w:rPr>
          <w:rFonts w:hint="eastAsia" w:ascii="仿宋_GB2312" w:eastAsia="仿宋_GB2312"/>
          <w:sz w:val="32"/>
          <w:szCs w:val="32"/>
        </w:rPr>
      </w:pPr>
      <w:r>
        <w:rPr>
          <w:rFonts w:hint="eastAsia" w:ascii="仿宋_GB2312" w:eastAsia="仿宋_GB2312"/>
          <w:sz w:val="32"/>
          <w:szCs w:val="32"/>
        </w:rPr>
        <w:t>1.加强妇幼健康管理工作人员培训，建立人员定期考核制度和工作交流学习机制，</w:t>
      </w:r>
      <w:r>
        <w:rPr>
          <w:rFonts w:hint="eastAsia" w:ascii="仿宋_GB2312" w:eastAsia="仿宋_GB2312"/>
          <w:sz w:val="32"/>
          <w:szCs w:val="32"/>
          <w:lang w:eastAsia="zh-CN"/>
        </w:rPr>
        <w:t>不断提高</w:t>
      </w:r>
      <w:r>
        <w:rPr>
          <w:rFonts w:hint="eastAsia" w:ascii="仿宋_GB2312" w:eastAsia="仿宋_GB2312"/>
          <w:sz w:val="32"/>
          <w:szCs w:val="32"/>
        </w:rPr>
        <w:t>服务能力和工作质量.</w:t>
      </w:r>
    </w:p>
    <w:p>
      <w:pPr>
        <w:ind w:firstLine="640" w:firstLineChars="200"/>
        <w:rPr>
          <w:rFonts w:hint="eastAsia" w:ascii="仿宋_GB2312" w:eastAsia="仿宋_GB2312"/>
          <w:sz w:val="32"/>
          <w:szCs w:val="32"/>
        </w:rPr>
      </w:pPr>
      <w:r>
        <w:rPr>
          <w:rFonts w:hint="eastAsia" w:ascii="仿宋_GB2312" w:eastAsia="仿宋_GB2312"/>
          <w:sz w:val="32"/>
          <w:szCs w:val="32"/>
        </w:rPr>
        <w:t>2.确保</w:t>
      </w:r>
      <w:r>
        <w:rPr>
          <w:rFonts w:hint="eastAsia" w:ascii="仿宋_GB2312" w:eastAsia="仿宋_GB2312"/>
          <w:sz w:val="32"/>
          <w:szCs w:val="32"/>
          <w:lang w:eastAsia="zh-CN"/>
        </w:rPr>
        <w:t>保健</w:t>
      </w:r>
      <w:r>
        <w:rPr>
          <w:rFonts w:hint="eastAsia" w:ascii="仿宋_GB2312" w:eastAsia="仿宋_GB2312"/>
          <w:sz w:val="32"/>
          <w:szCs w:val="32"/>
        </w:rPr>
        <w:t>队伍的稳定，加强责任心。</w:t>
      </w:r>
    </w:p>
    <w:p>
      <w:pPr>
        <w:ind w:firstLine="640" w:firstLineChars="200"/>
        <w:rPr>
          <w:rFonts w:hint="eastAsia" w:ascii="仿宋_GB2312" w:eastAsia="仿宋_GB2312"/>
          <w:sz w:val="32"/>
          <w:szCs w:val="32"/>
        </w:rPr>
      </w:pPr>
      <w:r>
        <w:rPr>
          <w:rFonts w:hint="eastAsia" w:ascii="仿宋_GB2312" w:eastAsia="仿宋_GB2312"/>
          <w:sz w:val="32"/>
          <w:szCs w:val="32"/>
        </w:rPr>
        <w:t>3.定期督导检查，及时发现问题，及时落实整改。对重点乡镇</w:t>
      </w:r>
      <w:r>
        <w:rPr>
          <w:rFonts w:hint="eastAsia" w:ascii="仿宋_GB2312" w:eastAsia="仿宋_GB2312"/>
          <w:sz w:val="32"/>
          <w:szCs w:val="32"/>
          <w:lang w:eastAsia="zh-CN"/>
        </w:rPr>
        <w:t>进行</w:t>
      </w:r>
      <w:r>
        <w:rPr>
          <w:rFonts w:hint="eastAsia" w:ascii="仿宋_GB2312" w:eastAsia="仿宋_GB2312"/>
          <w:sz w:val="32"/>
          <w:szCs w:val="32"/>
        </w:rPr>
        <w:t>住乡帮扶</w:t>
      </w:r>
      <w:r>
        <w:rPr>
          <w:rFonts w:hint="eastAsia" w:ascii="仿宋_GB2312" w:eastAsia="仿宋_GB2312"/>
          <w:sz w:val="32"/>
          <w:szCs w:val="32"/>
          <w:lang w:eastAsia="zh-CN"/>
        </w:rPr>
        <w:t>，</w:t>
      </w:r>
      <w:r>
        <w:rPr>
          <w:rFonts w:hint="eastAsia" w:ascii="仿宋_GB2312" w:eastAsia="仿宋_GB2312"/>
          <w:sz w:val="32"/>
          <w:szCs w:val="32"/>
        </w:rPr>
        <w:t>缩小</w:t>
      </w:r>
      <w:r>
        <w:rPr>
          <w:rFonts w:hint="eastAsia" w:ascii="仿宋_GB2312" w:eastAsia="仿宋_GB2312"/>
          <w:sz w:val="32"/>
          <w:szCs w:val="32"/>
          <w:lang w:eastAsia="zh-CN"/>
        </w:rPr>
        <w:t>服务</w:t>
      </w:r>
      <w:r>
        <w:rPr>
          <w:rFonts w:hint="eastAsia" w:ascii="仿宋_GB2312" w:eastAsia="仿宋_GB2312"/>
          <w:sz w:val="32"/>
          <w:szCs w:val="32"/>
        </w:rPr>
        <w:t>差距。</w:t>
      </w:r>
    </w:p>
    <w:p>
      <w:pPr>
        <w:ind w:firstLine="640" w:firstLineChars="200"/>
        <w:rPr>
          <w:rFonts w:hint="eastAsia" w:ascii="仿宋_GB2312" w:eastAsia="仿宋_GB2312"/>
          <w:sz w:val="32"/>
          <w:szCs w:val="32"/>
        </w:rPr>
      </w:pPr>
      <w:r>
        <w:rPr>
          <w:rFonts w:hint="eastAsia" w:ascii="仿宋_GB2312" w:eastAsia="仿宋_GB2312"/>
          <w:sz w:val="32"/>
          <w:szCs w:val="32"/>
        </w:rPr>
        <w:t>4.各乡镇努力争取乡党委政府支持，加强对重点人群的管理。</w:t>
      </w:r>
    </w:p>
    <w:p>
      <w:pPr>
        <w:ind w:firstLine="640" w:firstLineChars="200"/>
        <w:rPr>
          <w:rFonts w:hint="eastAsia" w:ascii="仿宋_GB2312" w:eastAsia="仿宋_GB2312"/>
          <w:sz w:val="32"/>
          <w:szCs w:val="32"/>
        </w:rPr>
      </w:pPr>
      <w:r>
        <w:rPr>
          <w:rFonts w:hint="eastAsia" w:ascii="仿宋_GB2312" w:eastAsia="仿宋_GB2312"/>
          <w:sz w:val="32"/>
          <w:szCs w:val="32"/>
        </w:rPr>
        <w:t>5.努力提高全县新生儿听力筛查率。</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6.进一步加大妇幼健康教育物力、人力和财力的投入，保障工作的顺利、深入、全面推进，重点加强低文化水平目标人群的健康教育工作，力争最大限度提高这</w:t>
      </w:r>
      <w:r>
        <w:rPr>
          <w:rFonts w:hint="eastAsia" w:eastAsia="仿宋_GB2312"/>
          <w:sz w:val="32"/>
        </w:rPr>
        <w:t>部分目标人群的知晓率，增强其自我保健意识</w:t>
      </w:r>
      <w:r>
        <w:rPr>
          <w:rFonts w:hint="eastAsia" w:eastAsia="仿宋_GB2312"/>
          <w:sz w:val="32"/>
          <w:lang w:eastAsia="zh-CN"/>
        </w:rPr>
        <w:t>。</w:t>
      </w:r>
    </w:p>
    <w:tbl>
      <w:tblPr>
        <w:tblStyle w:val="13"/>
        <w:tblpPr w:leftFromText="180" w:rightFromText="180" w:vertAnchor="text" w:horzAnchor="page" w:tblpX="1690" w:tblpY="3111"/>
        <w:tblOverlap w:val="never"/>
        <w:tblW w:w="9990" w:type="dxa"/>
        <w:tblInd w:w="0" w:type="dxa"/>
        <w:tblLayout w:type="autofit"/>
        <w:tblCellMar>
          <w:top w:w="0" w:type="dxa"/>
          <w:left w:w="108" w:type="dxa"/>
          <w:bottom w:w="0" w:type="dxa"/>
          <w:right w:w="108" w:type="dxa"/>
        </w:tblCellMar>
      </w:tblPr>
      <w:tblGrid>
        <w:gridCol w:w="740"/>
        <w:gridCol w:w="734"/>
        <w:gridCol w:w="988"/>
        <w:gridCol w:w="1972"/>
        <w:gridCol w:w="1527"/>
        <w:gridCol w:w="1468"/>
        <w:gridCol w:w="1074"/>
        <w:gridCol w:w="1487"/>
      </w:tblGrid>
      <w:tr>
        <w:tblPrEx>
          <w:tblCellMar>
            <w:top w:w="0" w:type="dxa"/>
            <w:left w:w="108" w:type="dxa"/>
            <w:bottom w:w="0" w:type="dxa"/>
            <w:right w:w="108" w:type="dxa"/>
          </w:tblCellMar>
        </w:tblPrEx>
        <w:trPr>
          <w:trHeight w:val="285" w:hRule="atLeast"/>
        </w:trPr>
        <w:tc>
          <w:tcPr>
            <w:tcW w:w="9990" w:type="dxa"/>
            <w:gridSpan w:val="8"/>
            <w:tcBorders>
              <w:top w:val="nil"/>
              <w:left w:val="nil"/>
              <w:bottom w:val="nil"/>
              <w:right w:val="nil"/>
            </w:tcBorders>
            <w:shd w:val="clear" w:color="auto" w:fill="auto"/>
            <w:vAlign w:val="center"/>
          </w:tcPr>
          <w:p>
            <w:pPr>
              <w:widowControl/>
              <w:jc w:val="center"/>
              <w:rPr>
                <w:rFonts w:hint="eastAsia" w:ascii="宋体" w:hAnsi="宋体" w:cs="宋体"/>
                <w:b/>
                <w:bCs/>
                <w:kern w:val="0"/>
                <w:sz w:val="44"/>
                <w:szCs w:val="44"/>
                <w:lang w:eastAsia="zh-CN"/>
              </w:rPr>
            </w:pPr>
            <w:r>
              <w:rPr>
                <w:rFonts w:hint="eastAsia" w:ascii="宋体" w:hAnsi="宋体" w:cs="宋体"/>
                <w:b/>
                <w:bCs/>
                <w:kern w:val="0"/>
                <w:sz w:val="44"/>
                <w:szCs w:val="44"/>
                <w:lang w:eastAsia="zh-CN"/>
              </w:rPr>
              <w:t>专项（项目）资金绩效自评表</w:t>
            </w:r>
          </w:p>
          <w:p>
            <w:pPr>
              <w:widowControl/>
              <w:jc w:val="center"/>
              <w:rPr>
                <w:rFonts w:ascii="宋体" w:hAnsi="宋体" w:cs="宋体"/>
                <w:kern w:val="0"/>
                <w:sz w:val="24"/>
              </w:rPr>
            </w:pPr>
            <w:r>
              <w:rPr>
                <w:rFonts w:hint="eastAsia" w:ascii="宋体" w:hAnsi="宋体" w:cs="宋体"/>
                <w:kern w:val="0"/>
                <w:sz w:val="24"/>
              </w:rPr>
              <w:t>（</w:t>
            </w:r>
            <w:r>
              <w:rPr>
                <w:kern w:val="0"/>
                <w:sz w:val="24"/>
              </w:rPr>
              <w:t>2021</w:t>
            </w:r>
            <w:r>
              <w:rPr>
                <w:rFonts w:hint="eastAsia" w:ascii="宋体" w:hAnsi="宋体" w:cs="宋体"/>
                <w:kern w:val="0"/>
                <w:sz w:val="24"/>
              </w:rPr>
              <w:t>年度）</w:t>
            </w:r>
          </w:p>
        </w:tc>
      </w:tr>
      <w:tr>
        <w:tblPrEx>
          <w:tblCellMar>
            <w:top w:w="0" w:type="dxa"/>
            <w:left w:w="108" w:type="dxa"/>
            <w:bottom w:w="0" w:type="dxa"/>
            <w:right w:w="108" w:type="dxa"/>
          </w:tblCellMar>
        </w:tblPrEx>
        <w:trPr>
          <w:trHeight w:val="285" w:hRule="atLeast"/>
        </w:trPr>
        <w:tc>
          <w:tcPr>
            <w:tcW w:w="740" w:type="dxa"/>
            <w:tcBorders>
              <w:top w:val="nil"/>
              <w:left w:val="nil"/>
              <w:bottom w:val="single" w:color="auto" w:sz="4" w:space="0"/>
              <w:right w:val="nil"/>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734" w:type="dxa"/>
            <w:tcBorders>
              <w:top w:val="nil"/>
              <w:left w:val="nil"/>
              <w:bottom w:val="single" w:color="auto" w:sz="4" w:space="0"/>
              <w:right w:val="nil"/>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w:t>
            </w:r>
          </w:p>
        </w:tc>
        <w:tc>
          <w:tcPr>
            <w:tcW w:w="988" w:type="dxa"/>
            <w:tcBorders>
              <w:top w:val="nil"/>
              <w:left w:val="nil"/>
              <w:bottom w:val="nil"/>
              <w:right w:val="nil"/>
            </w:tcBorders>
            <w:shd w:val="clear" w:color="auto" w:fill="auto"/>
            <w:vAlign w:val="center"/>
          </w:tcPr>
          <w:p>
            <w:pPr>
              <w:widowControl/>
              <w:jc w:val="left"/>
              <w:rPr>
                <w:rFonts w:ascii="宋体" w:hAnsi="宋体" w:cs="宋体"/>
                <w:kern w:val="0"/>
                <w:sz w:val="24"/>
              </w:rPr>
            </w:pPr>
          </w:p>
        </w:tc>
        <w:tc>
          <w:tcPr>
            <w:tcW w:w="1972" w:type="dxa"/>
            <w:tcBorders>
              <w:top w:val="nil"/>
              <w:left w:val="nil"/>
              <w:bottom w:val="nil"/>
              <w:right w:val="nil"/>
            </w:tcBorders>
            <w:shd w:val="clear" w:color="auto" w:fill="auto"/>
            <w:vAlign w:val="center"/>
          </w:tcPr>
          <w:p>
            <w:pPr>
              <w:widowControl/>
              <w:jc w:val="left"/>
              <w:rPr>
                <w:rFonts w:ascii="宋体" w:hAnsi="宋体" w:cs="宋体"/>
                <w:kern w:val="0"/>
                <w:sz w:val="24"/>
              </w:rPr>
            </w:pPr>
          </w:p>
        </w:tc>
        <w:tc>
          <w:tcPr>
            <w:tcW w:w="1527" w:type="dxa"/>
            <w:tcBorders>
              <w:top w:val="nil"/>
              <w:left w:val="nil"/>
              <w:bottom w:val="nil"/>
              <w:right w:val="nil"/>
            </w:tcBorders>
            <w:shd w:val="clear" w:color="auto" w:fill="auto"/>
            <w:vAlign w:val="center"/>
          </w:tcPr>
          <w:p>
            <w:pPr>
              <w:widowControl/>
              <w:jc w:val="left"/>
              <w:rPr>
                <w:rFonts w:ascii="宋体" w:hAnsi="宋体" w:cs="宋体"/>
                <w:kern w:val="0"/>
                <w:sz w:val="24"/>
              </w:rPr>
            </w:pPr>
          </w:p>
        </w:tc>
        <w:tc>
          <w:tcPr>
            <w:tcW w:w="1468" w:type="dxa"/>
            <w:tcBorders>
              <w:top w:val="nil"/>
              <w:left w:val="nil"/>
              <w:bottom w:val="nil"/>
              <w:right w:val="nil"/>
            </w:tcBorders>
            <w:shd w:val="clear" w:color="auto" w:fill="auto"/>
            <w:vAlign w:val="center"/>
          </w:tcPr>
          <w:p>
            <w:pPr>
              <w:widowControl/>
              <w:jc w:val="left"/>
              <w:rPr>
                <w:rFonts w:ascii="宋体" w:hAnsi="宋体" w:cs="宋体"/>
                <w:kern w:val="0"/>
                <w:sz w:val="24"/>
              </w:rPr>
            </w:pPr>
          </w:p>
        </w:tc>
        <w:tc>
          <w:tcPr>
            <w:tcW w:w="1074" w:type="dxa"/>
            <w:tcBorders>
              <w:top w:val="nil"/>
              <w:left w:val="nil"/>
              <w:bottom w:val="nil"/>
              <w:right w:val="nil"/>
            </w:tcBorders>
            <w:shd w:val="clear" w:color="auto" w:fill="auto"/>
            <w:vAlign w:val="center"/>
          </w:tcPr>
          <w:p>
            <w:pPr>
              <w:widowControl/>
              <w:jc w:val="left"/>
              <w:rPr>
                <w:rFonts w:ascii="宋体" w:hAnsi="宋体" w:cs="宋体"/>
                <w:kern w:val="0"/>
                <w:sz w:val="24"/>
              </w:rPr>
            </w:pPr>
          </w:p>
        </w:tc>
        <w:tc>
          <w:tcPr>
            <w:tcW w:w="1487" w:type="dxa"/>
            <w:tcBorders>
              <w:top w:val="nil"/>
              <w:left w:val="nil"/>
              <w:bottom w:val="nil"/>
              <w:right w:val="nil"/>
            </w:tcBorders>
            <w:shd w:val="clear" w:color="auto" w:fill="auto"/>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285" w:hRule="atLeast"/>
        </w:trPr>
        <w:tc>
          <w:tcPr>
            <w:tcW w:w="2462" w:type="dxa"/>
            <w:gridSpan w:val="3"/>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专项（项目）名称</w:t>
            </w:r>
          </w:p>
        </w:tc>
        <w:tc>
          <w:tcPr>
            <w:tcW w:w="7528" w:type="dxa"/>
            <w:gridSpan w:val="5"/>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妇幼卫生监测</w:t>
            </w:r>
          </w:p>
        </w:tc>
      </w:tr>
      <w:tr>
        <w:tblPrEx>
          <w:tblCellMar>
            <w:top w:w="0" w:type="dxa"/>
            <w:left w:w="108" w:type="dxa"/>
            <w:bottom w:w="0" w:type="dxa"/>
            <w:right w:w="108" w:type="dxa"/>
          </w:tblCellMar>
        </w:tblPrEx>
        <w:trPr>
          <w:trHeight w:val="363" w:hRule="atLeast"/>
        </w:trPr>
        <w:tc>
          <w:tcPr>
            <w:tcW w:w="2462" w:type="dxa"/>
            <w:gridSpan w:val="3"/>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4"/>
                <w:szCs w:val="24"/>
                <w:u w:val="none"/>
                <w:lang w:val="en-US" w:eastAsia="zh-CN" w:bidi="ar"/>
              </w:rPr>
              <w:t>项目主管单位</w:t>
            </w:r>
          </w:p>
        </w:tc>
        <w:tc>
          <w:tcPr>
            <w:tcW w:w="7528" w:type="dxa"/>
            <w:gridSpan w:val="5"/>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盐边县卫生健康局</w:t>
            </w:r>
          </w:p>
        </w:tc>
      </w:tr>
      <w:tr>
        <w:tblPrEx>
          <w:tblCellMar>
            <w:top w:w="0" w:type="dxa"/>
            <w:left w:w="108" w:type="dxa"/>
            <w:bottom w:w="0" w:type="dxa"/>
            <w:right w:w="108" w:type="dxa"/>
          </w:tblCellMar>
        </w:tblPrEx>
        <w:trPr>
          <w:trHeight w:val="285" w:hRule="atLeast"/>
        </w:trPr>
        <w:tc>
          <w:tcPr>
            <w:tcW w:w="2462" w:type="dxa"/>
            <w:gridSpan w:val="3"/>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4"/>
                <w:szCs w:val="24"/>
                <w:u w:val="none"/>
                <w:lang w:val="en-US" w:eastAsia="zh-CN" w:bidi="ar"/>
              </w:rPr>
              <w:t>项目实施单位</w:t>
            </w:r>
          </w:p>
        </w:tc>
        <w:tc>
          <w:tcPr>
            <w:tcW w:w="7528" w:type="dxa"/>
            <w:gridSpan w:val="5"/>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盐边县妇幼保健服务中心</w:t>
            </w:r>
          </w:p>
        </w:tc>
      </w:tr>
      <w:tr>
        <w:tblPrEx>
          <w:tblCellMar>
            <w:top w:w="0" w:type="dxa"/>
            <w:left w:w="108" w:type="dxa"/>
            <w:bottom w:w="0" w:type="dxa"/>
            <w:right w:w="108" w:type="dxa"/>
          </w:tblCellMar>
        </w:tblPrEx>
        <w:trPr>
          <w:trHeight w:val="285" w:hRule="atLeast"/>
        </w:trPr>
        <w:tc>
          <w:tcPr>
            <w:tcW w:w="2462"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项目资金</w:t>
            </w:r>
          </w:p>
          <w:p>
            <w:pPr>
              <w:widowControl/>
              <w:jc w:val="center"/>
              <w:rPr>
                <w:rFonts w:ascii="宋体" w:hAnsi="宋体" w:cs="宋体"/>
                <w:kern w:val="0"/>
                <w:sz w:val="24"/>
              </w:rPr>
            </w:pPr>
            <w:r>
              <w:rPr>
                <w:rFonts w:hint="eastAsia" w:ascii="宋体" w:hAnsi="宋体" w:cs="宋体"/>
                <w:kern w:val="0"/>
                <w:sz w:val="24"/>
              </w:rPr>
              <w:t>（万元）</w:t>
            </w:r>
          </w:p>
        </w:tc>
        <w:tc>
          <w:tcPr>
            <w:tcW w:w="197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c>
          <w:tcPr>
            <w:tcW w:w="15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全年预算数</w:t>
            </w:r>
          </w:p>
        </w:tc>
        <w:tc>
          <w:tcPr>
            <w:tcW w:w="14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实际完成数</w:t>
            </w:r>
          </w:p>
        </w:tc>
        <w:tc>
          <w:tcPr>
            <w:tcW w:w="2561"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执行率（%）</w:t>
            </w:r>
          </w:p>
        </w:tc>
      </w:tr>
      <w:tr>
        <w:tblPrEx>
          <w:tblCellMar>
            <w:top w:w="0" w:type="dxa"/>
            <w:left w:w="108" w:type="dxa"/>
            <w:bottom w:w="0" w:type="dxa"/>
            <w:right w:w="108" w:type="dxa"/>
          </w:tblCellMar>
        </w:tblPrEx>
        <w:trPr>
          <w:trHeight w:val="285" w:hRule="atLeast"/>
        </w:trPr>
        <w:tc>
          <w:tcPr>
            <w:tcW w:w="246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xml:space="preserve"> 年度资金总额：</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6.42</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6.42</w:t>
            </w:r>
          </w:p>
        </w:tc>
        <w:tc>
          <w:tcPr>
            <w:tcW w:w="2561" w:type="dxa"/>
            <w:gridSpan w:val="2"/>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kern w:val="0"/>
                <w:sz w:val="24"/>
                <w:lang w:val="en-US"/>
              </w:rPr>
            </w:pPr>
            <w:r>
              <w:rPr>
                <w:rFonts w:hint="eastAsia" w:ascii="宋体" w:hAnsi="宋体" w:eastAsia="宋体" w:cs="宋体"/>
                <w:i w:val="0"/>
                <w:iCs w:val="0"/>
                <w:color w:val="000000"/>
                <w:kern w:val="0"/>
                <w:sz w:val="24"/>
                <w:szCs w:val="24"/>
                <w:u w:val="none"/>
                <w:lang w:val="en-US" w:eastAsia="zh-CN" w:bidi="ar"/>
              </w:rPr>
              <w:t>100</w:t>
            </w:r>
            <w:r>
              <w:rPr>
                <w:rFonts w:hint="eastAsia" w:ascii="宋体" w:hAnsi="宋体" w:cs="宋体"/>
                <w:i w:val="0"/>
                <w:iCs w:val="0"/>
                <w:color w:val="000000"/>
                <w:kern w:val="0"/>
                <w:sz w:val="24"/>
                <w:szCs w:val="24"/>
                <w:u w:val="none"/>
                <w:lang w:val="en-US" w:eastAsia="zh-CN" w:bidi="ar"/>
              </w:rPr>
              <w:t>%</w:t>
            </w:r>
          </w:p>
        </w:tc>
      </w:tr>
      <w:tr>
        <w:tblPrEx>
          <w:tblCellMar>
            <w:top w:w="0" w:type="dxa"/>
            <w:left w:w="108" w:type="dxa"/>
            <w:bottom w:w="0" w:type="dxa"/>
            <w:right w:w="108" w:type="dxa"/>
          </w:tblCellMar>
        </w:tblPrEx>
        <w:trPr>
          <w:trHeight w:val="285" w:hRule="atLeast"/>
        </w:trPr>
        <w:tc>
          <w:tcPr>
            <w:tcW w:w="246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xml:space="preserve"> 其中：财政拨款</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6.42</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6.42</w:t>
            </w:r>
          </w:p>
        </w:tc>
        <w:tc>
          <w:tcPr>
            <w:tcW w:w="2561" w:type="dxa"/>
            <w:gridSpan w:val="2"/>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kern w:val="0"/>
                <w:sz w:val="24"/>
                <w:lang w:val="en-US"/>
              </w:rPr>
            </w:pPr>
            <w:r>
              <w:rPr>
                <w:rFonts w:hint="eastAsia" w:ascii="宋体" w:hAnsi="宋体" w:eastAsia="宋体" w:cs="宋体"/>
                <w:i w:val="0"/>
                <w:iCs w:val="0"/>
                <w:color w:val="000000"/>
                <w:kern w:val="0"/>
                <w:sz w:val="24"/>
                <w:szCs w:val="24"/>
                <w:u w:val="none"/>
                <w:lang w:val="en-US" w:eastAsia="zh-CN" w:bidi="ar"/>
              </w:rPr>
              <w:t>100</w:t>
            </w:r>
            <w:r>
              <w:rPr>
                <w:rFonts w:hint="eastAsia" w:ascii="宋体" w:hAnsi="宋体" w:cs="宋体"/>
                <w:i w:val="0"/>
                <w:iCs w:val="0"/>
                <w:color w:val="000000"/>
                <w:kern w:val="0"/>
                <w:sz w:val="24"/>
                <w:szCs w:val="24"/>
                <w:u w:val="none"/>
                <w:lang w:val="en-US" w:eastAsia="zh-CN" w:bidi="ar"/>
              </w:rPr>
              <w:t>%</w:t>
            </w:r>
          </w:p>
        </w:tc>
      </w:tr>
      <w:tr>
        <w:tblPrEx>
          <w:tblCellMar>
            <w:top w:w="0" w:type="dxa"/>
            <w:left w:w="108" w:type="dxa"/>
            <w:bottom w:w="0" w:type="dxa"/>
            <w:right w:w="108" w:type="dxa"/>
          </w:tblCellMar>
        </w:tblPrEx>
        <w:trPr>
          <w:trHeight w:val="285" w:hRule="atLeast"/>
        </w:trPr>
        <w:tc>
          <w:tcPr>
            <w:tcW w:w="246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xml:space="preserve">             其他资金</w:t>
            </w:r>
          </w:p>
        </w:tc>
        <w:tc>
          <w:tcPr>
            <w:tcW w:w="15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w:t>
            </w:r>
          </w:p>
        </w:tc>
        <w:tc>
          <w:tcPr>
            <w:tcW w:w="14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w:t>
            </w:r>
          </w:p>
        </w:tc>
        <w:tc>
          <w:tcPr>
            <w:tcW w:w="2561"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65" w:hRule="atLeast"/>
        </w:trPr>
        <w:tc>
          <w:tcPr>
            <w:tcW w:w="74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总</w:t>
            </w:r>
          </w:p>
          <w:p>
            <w:pPr>
              <w:widowControl/>
              <w:jc w:val="center"/>
              <w:rPr>
                <w:rFonts w:ascii="宋体" w:hAnsi="宋体" w:cs="宋体"/>
                <w:kern w:val="0"/>
                <w:sz w:val="24"/>
              </w:rPr>
            </w:pPr>
            <w:r>
              <w:rPr>
                <w:rFonts w:hint="eastAsia" w:ascii="宋体" w:hAnsi="宋体" w:cs="宋体"/>
                <w:kern w:val="0"/>
                <w:sz w:val="24"/>
              </w:rPr>
              <w:t>体</w:t>
            </w:r>
          </w:p>
          <w:p>
            <w:pPr>
              <w:widowControl/>
              <w:jc w:val="center"/>
              <w:rPr>
                <w:rFonts w:ascii="宋体" w:hAnsi="宋体" w:cs="宋体"/>
                <w:kern w:val="0"/>
                <w:sz w:val="24"/>
              </w:rPr>
            </w:pPr>
            <w:r>
              <w:rPr>
                <w:rFonts w:hint="eastAsia" w:ascii="宋体" w:hAnsi="宋体" w:cs="宋体"/>
                <w:kern w:val="0"/>
                <w:sz w:val="24"/>
              </w:rPr>
              <w:t>目</w:t>
            </w:r>
          </w:p>
          <w:p>
            <w:pPr>
              <w:widowControl/>
              <w:jc w:val="center"/>
              <w:rPr>
                <w:rFonts w:ascii="宋体" w:hAnsi="宋体" w:cs="宋体"/>
                <w:kern w:val="0"/>
                <w:sz w:val="24"/>
              </w:rPr>
            </w:pPr>
            <w:r>
              <w:rPr>
                <w:rFonts w:hint="eastAsia" w:ascii="宋体" w:hAnsi="宋体" w:cs="宋体"/>
                <w:kern w:val="0"/>
                <w:sz w:val="24"/>
              </w:rPr>
              <w:t>标</w:t>
            </w:r>
          </w:p>
        </w:tc>
        <w:tc>
          <w:tcPr>
            <w:tcW w:w="3694"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年度设定目标</w:t>
            </w:r>
          </w:p>
        </w:tc>
        <w:tc>
          <w:tcPr>
            <w:tcW w:w="5556" w:type="dxa"/>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实际完成情况</w:t>
            </w:r>
          </w:p>
        </w:tc>
      </w:tr>
      <w:tr>
        <w:tblPrEx>
          <w:tblCellMar>
            <w:top w:w="0" w:type="dxa"/>
            <w:left w:w="108" w:type="dxa"/>
            <w:bottom w:w="0" w:type="dxa"/>
            <w:right w:w="108" w:type="dxa"/>
          </w:tblCellMar>
        </w:tblPrEx>
        <w:trPr>
          <w:trHeight w:val="3030"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3694" w:type="dxa"/>
            <w:gridSpan w:val="3"/>
            <w:tcBorders>
              <w:top w:val="single" w:color="auto" w:sz="4" w:space="0"/>
              <w:left w:val="nil"/>
              <w:bottom w:val="single" w:color="auto"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p>
            <w:pPr>
              <w:keepNext w:val="0"/>
              <w:keepLines w:val="0"/>
              <w:widowControl/>
              <w:suppressLineNumbers w:val="0"/>
              <w:jc w:val="center"/>
              <w:textAlignment w:val="top"/>
              <w:rPr>
                <w:rFonts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依法规范开展母婴保健各项服务，努力完成妇幼健康工作各项指标，为降低孕产妇死亡、儿童死亡，提高出生人口素质做出积极贡献。通过各医疗卫生机构共同参与、积极配合，顺利完成各项工作任务</w:t>
            </w:r>
          </w:p>
        </w:tc>
        <w:tc>
          <w:tcPr>
            <w:tcW w:w="5556" w:type="dxa"/>
            <w:gridSpan w:val="4"/>
            <w:tcBorders>
              <w:top w:val="single" w:color="auto" w:sz="4" w:space="0"/>
              <w:left w:val="nil"/>
              <w:bottom w:val="single" w:color="auto" w:sz="4" w:space="0"/>
              <w:right w:val="single" w:color="000000" w:sz="4" w:space="0"/>
            </w:tcBorders>
            <w:shd w:val="clear" w:color="auto" w:fill="auto"/>
            <w:vAlign w:val="top"/>
          </w:tcPr>
          <w:p>
            <w:pPr>
              <w:keepNext w:val="0"/>
              <w:keepLines w:val="0"/>
              <w:widowControl/>
              <w:suppressLineNumbers w:val="0"/>
              <w:jc w:val="center"/>
              <w:textAlignment w:val="top"/>
              <w:rPr>
                <w:rFonts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规范完成了出生医学证明领取、发放、登记、填写等工作，与卫生健康行政部门签订授权委托书，与各签发机构管理人员及签发人员签订终身责任书，2021年出生医学证明签发共计656人，其中首次签发628人，补发17人，换发11人；2021年无废证、无违规办理情况发生。</w:t>
            </w:r>
          </w:p>
        </w:tc>
      </w:tr>
      <w:tr>
        <w:tblPrEx>
          <w:tblCellMar>
            <w:top w:w="0" w:type="dxa"/>
            <w:left w:w="108" w:type="dxa"/>
            <w:bottom w:w="0" w:type="dxa"/>
            <w:right w:w="108" w:type="dxa"/>
          </w:tblCellMar>
        </w:tblPrEx>
        <w:trPr>
          <w:trHeight w:val="450" w:hRule="atLeast"/>
        </w:trPr>
        <w:tc>
          <w:tcPr>
            <w:tcW w:w="740" w:type="dxa"/>
            <w:vMerge w:val="restart"/>
            <w:tcBorders>
              <w:top w:val="nil"/>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绩</w:t>
            </w:r>
          </w:p>
          <w:p>
            <w:pPr>
              <w:widowControl/>
              <w:jc w:val="center"/>
              <w:rPr>
                <w:rFonts w:ascii="宋体" w:hAnsi="宋体" w:cs="宋体"/>
                <w:kern w:val="0"/>
                <w:sz w:val="24"/>
              </w:rPr>
            </w:pPr>
            <w:r>
              <w:rPr>
                <w:rFonts w:hint="eastAsia" w:ascii="宋体" w:hAnsi="宋体" w:cs="宋体"/>
                <w:kern w:val="0"/>
                <w:sz w:val="24"/>
              </w:rPr>
              <w:t>效</w:t>
            </w:r>
          </w:p>
          <w:p>
            <w:pPr>
              <w:widowControl/>
              <w:jc w:val="center"/>
              <w:rPr>
                <w:rFonts w:ascii="宋体" w:hAnsi="宋体" w:cs="宋体"/>
                <w:kern w:val="0"/>
                <w:sz w:val="24"/>
              </w:rPr>
            </w:pPr>
            <w:r>
              <w:rPr>
                <w:rFonts w:hint="eastAsia" w:ascii="宋体" w:hAnsi="宋体" w:cs="宋体"/>
                <w:kern w:val="0"/>
                <w:sz w:val="24"/>
              </w:rPr>
              <w:t>指</w:t>
            </w:r>
          </w:p>
          <w:p>
            <w:pPr>
              <w:widowControl/>
              <w:jc w:val="center"/>
              <w:rPr>
                <w:rFonts w:ascii="宋体" w:hAnsi="宋体" w:cs="宋体"/>
                <w:kern w:val="0"/>
                <w:sz w:val="24"/>
              </w:rPr>
            </w:pPr>
            <w:r>
              <w:rPr>
                <w:rFonts w:hint="eastAsia" w:ascii="宋体" w:hAnsi="宋体" w:cs="宋体"/>
                <w:kern w:val="0"/>
                <w:sz w:val="24"/>
              </w:rPr>
              <w:t>标</w:t>
            </w:r>
          </w:p>
        </w:tc>
        <w:tc>
          <w:tcPr>
            <w:tcW w:w="734" w:type="dxa"/>
            <w:tcBorders>
              <w:top w:val="nil"/>
              <w:left w:val="nil"/>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一级</w:t>
            </w:r>
          </w:p>
          <w:p>
            <w:pPr>
              <w:widowControl/>
              <w:jc w:val="center"/>
              <w:rPr>
                <w:rFonts w:ascii="宋体" w:hAnsi="宋体" w:cs="宋体"/>
                <w:kern w:val="0"/>
                <w:sz w:val="24"/>
              </w:rPr>
            </w:pPr>
            <w:r>
              <w:rPr>
                <w:rFonts w:hint="eastAsia" w:ascii="宋体" w:hAnsi="宋体" w:cs="宋体"/>
                <w:kern w:val="0"/>
                <w:sz w:val="24"/>
              </w:rPr>
              <w:t>指标</w:t>
            </w:r>
          </w:p>
        </w:tc>
        <w:tc>
          <w:tcPr>
            <w:tcW w:w="9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二级指标</w:t>
            </w:r>
          </w:p>
        </w:tc>
        <w:tc>
          <w:tcPr>
            <w:tcW w:w="197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三级指标</w:t>
            </w:r>
          </w:p>
        </w:tc>
        <w:tc>
          <w:tcPr>
            <w:tcW w:w="15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年度指标值</w:t>
            </w:r>
          </w:p>
        </w:tc>
        <w:tc>
          <w:tcPr>
            <w:tcW w:w="14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实际完成数</w:t>
            </w:r>
          </w:p>
        </w:tc>
        <w:tc>
          <w:tcPr>
            <w:tcW w:w="107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完成率（%）</w:t>
            </w:r>
          </w:p>
        </w:tc>
        <w:tc>
          <w:tcPr>
            <w:tcW w:w="148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未完成原因和改进措施</w:t>
            </w:r>
          </w:p>
        </w:tc>
      </w:tr>
      <w:tr>
        <w:tblPrEx>
          <w:tblCellMar>
            <w:top w:w="0" w:type="dxa"/>
            <w:left w:w="108" w:type="dxa"/>
            <w:bottom w:w="0" w:type="dxa"/>
            <w:right w:w="108" w:type="dxa"/>
          </w:tblCellMar>
        </w:tblPrEx>
        <w:trPr>
          <w:trHeight w:val="85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项目完成</w:t>
            </w:r>
          </w:p>
        </w:tc>
        <w:tc>
          <w:tcPr>
            <w:tcW w:w="988" w:type="dxa"/>
            <w:vMerge w:val="restart"/>
            <w:tcBorders>
              <w:top w:val="nil"/>
              <w:left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数量指标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指标1：出生医学证明签发数</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提高服务对象正确的办证</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628人</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100%</w:t>
            </w: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71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shd w:val="clear" w:color="auto" w:fill="auto"/>
            <w:vAlign w:val="center"/>
          </w:tcPr>
          <w:p>
            <w:pPr>
              <w:widowControl/>
              <w:jc w:val="center"/>
              <w:rPr>
                <w:rFonts w:hint="eastAsia" w:ascii="宋体" w:hAnsi="宋体" w:cs="宋体"/>
                <w:kern w:val="0"/>
                <w:sz w:val="24"/>
              </w:rPr>
            </w:pPr>
          </w:p>
        </w:tc>
        <w:tc>
          <w:tcPr>
            <w:tcW w:w="988" w:type="dxa"/>
            <w:vMerge w:val="continue"/>
            <w:tcBorders>
              <w:left w:val="nil"/>
              <w:right w:val="single" w:color="auto" w:sz="4" w:space="0"/>
            </w:tcBorders>
            <w:shd w:val="clear" w:color="auto" w:fill="auto"/>
            <w:vAlign w:val="center"/>
          </w:tcPr>
          <w:p>
            <w:pPr>
              <w:widowControl/>
              <w:jc w:val="center"/>
              <w:rPr>
                <w:rFonts w:hint="eastAsia"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指标2：全县3岁以下儿童数6537人,3岁以下儿童系统管理数</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进一步保障母婴安全</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6215例</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95.07%</w:t>
            </w: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cs="宋体"/>
                <w:kern w:val="0"/>
                <w:sz w:val="20"/>
                <w:szCs w:val="20"/>
              </w:rPr>
            </w:pPr>
          </w:p>
        </w:tc>
      </w:tr>
      <w:tr>
        <w:tblPrEx>
          <w:tblCellMar>
            <w:top w:w="0" w:type="dxa"/>
            <w:left w:w="108" w:type="dxa"/>
            <w:bottom w:w="0" w:type="dxa"/>
            <w:right w:w="108" w:type="dxa"/>
          </w:tblCellMar>
        </w:tblPrEx>
        <w:trPr>
          <w:trHeight w:val="92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shd w:val="clear" w:color="auto" w:fill="auto"/>
            <w:vAlign w:val="center"/>
          </w:tcPr>
          <w:p>
            <w:pPr>
              <w:widowControl/>
              <w:jc w:val="center"/>
              <w:rPr>
                <w:rFonts w:hint="eastAsia" w:ascii="宋体" w:hAnsi="宋体" w:cs="宋体"/>
                <w:kern w:val="0"/>
                <w:sz w:val="24"/>
              </w:rPr>
            </w:pPr>
          </w:p>
        </w:tc>
        <w:tc>
          <w:tcPr>
            <w:tcW w:w="988" w:type="dxa"/>
            <w:vMerge w:val="continue"/>
            <w:tcBorders>
              <w:left w:val="nil"/>
              <w:bottom w:val="nil"/>
              <w:right w:val="single" w:color="auto" w:sz="4" w:space="0"/>
            </w:tcBorders>
            <w:shd w:val="clear" w:color="auto" w:fill="auto"/>
            <w:vAlign w:val="center"/>
          </w:tcPr>
          <w:p>
            <w:pPr>
              <w:widowControl/>
              <w:jc w:val="center"/>
              <w:rPr>
                <w:rFonts w:hint="eastAsia"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cs="宋体"/>
                <w:kern w:val="0"/>
                <w:sz w:val="24"/>
                <w:szCs w:val="24"/>
              </w:rPr>
            </w:pP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cs="宋体"/>
                <w:kern w:val="0"/>
                <w:sz w:val="24"/>
                <w:szCs w:val="24"/>
              </w:rPr>
            </w:pP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cs="宋体"/>
                <w:kern w:val="0"/>
                <w:sz w:val="24"/>
                <w:szCs w:val="24"/>
              </w:rPr>
            </w:pPr>
          </w:p>
        </w:tc>
        <w:tc>
          <w:tcPr>
            <w:tcW w:w="1074" w:type="dxa"/>
            <w:tcBorders>
              <w:top w:val="nil"/>
              <w:left w:val="nil"/>
              <w:bottom w:val="single" w:color="auto" w:sz="4" w:space="0"/>
              <w:right w:val="single" w:color="auto" w:sz="4" w:space="0"/>
            </w:tcBorders>
            <w:shd w:val="clear" w:color="auto" w:fill="auto"/>
            <w:vAlign w:val="center"/>
          </w:tcPr>
          <w:p>
            <w:pPr>
              <w:widowControl/>
              <w:jc w:val="right"/>
              <w:rPr>
                <w:rFonts w:hint="default" w:ascii="宋体" w:hAnsi="宋体" w:eastAsia="宋体" w:cs="宋体"/>
                <w:kern w:val="0"/>
                <w:sz w:val="24"/>
                <w:szCs w:val="24"/>
                <w:lang w:val="en-US" w:eastAsia="zh-CN"/>
              </w:rPr>
            </w:pP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cs="宋体"/>
                <w:kern w:val="0"/>
                <w:sz w:val="20"/>
                <w:szCs w:val="20"/>
              </w:rPr>
            </w:pPr>
          </w:p>
        </w:tc>
      </w:tr>
      <w:tr>
        <w:tblPrEx>
          <w:tblCellMar>
            <w:top w:w="0" w:type="dxa"/>
            <w:left w:w="108" w:type="dxa"/>
            <w:bottom w:w="0" w:type="dxa"/>
            <w:right w:w="108" w:type="dxa"/>
          </w:tblCellMar>
        </w:tblPrEx>
        <w:trPr>
          <w:trHeight w:val="131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质量指标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 xml:space="preserve"> 指标1：各乡镇妇幼卫生监测人员的“三基”（基础理论、基本知识、基本技能）考核合格率</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≥90％</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≥90％</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90%</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105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95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58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restart"/>
            <w:tcBorders>
              <w:top w:val="nil"/>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时效指标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指标1:2021年全年</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2021年1-12月</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本年度内</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100%</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562"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69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成本指标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 xml:space="preserve"> 指标1：本年预算数</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6.42万元</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6.42万元</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100%</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28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r>
      <w:tr>
        <w:tblPrEx>
          <w:tblCellMar>
            <w:top w:w="0" w:type="dxa"/>
            <w:left w:w="108" w:type="dxa"/>
            <w:bottom w:w="0" w:type="dxa"/>
            <w:right w:w="108" w:type="dxa"/>
          </w:tblCellMar>
        </w:tblPrEx>
        <w:trPr>
          <w:trHeight w:val="28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项目效益</w:t>
            </w:r>
          </w:p>
        </w:tc>
        <w:tc>
          <w:tcPr>
            <w:tcW w:w="988"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经济效益</w:t>
            </w:r>
          </w:p>
          <w:p>
            <w:pPr>
              <w:widowControl/>
              <w:jc w:val="center"/>
              <w:rPr>
                <w:rFonts w:ascii="宋体" w:hAnsi="宋体" w:cs="宋体"/>
                <w:kern w:val="0"/>
                <w:sz w:val="24"/>
              </w:rPr>
            </w:pPr>
            <w:r>
              <w:rPr>
                <w:rFonts w:hint="eastAsia" w:ascii="宋体" w:hAnsi="宋体" w:cs="宋体"/>
                <w:kern w:val="0"/>
                <w:sz w:val="24"/>
              </w:rPr>
              <w:t>指标</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r>
      <w:tr>
        <w:tblPrEx>
          <w:tblCellMar>
            <w:top w:w="0" w:type="dxa"/>
            <w:left w:w="108" w:type="dxa"/>
            <w:bottom w:w="0" w:type="dxa"/>
            <w:right w:w="108" w:type="dxa"/>
          </w:tblCellMar>
        </w:tblPrEx>
        <w:trPr>
          <w:trHeight w:val="42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r>
      <w:tr>
        <w:tblPrEx>
          <w:tblCellMar>
            <w:top w:w="0" w:type="dxa"/>
            <w:left w:w="108" w:type="dxa"/>
            <w:bottom w:w="0" w:type="dxa"/>
            <w:right w:w="108" w:type="dxa"/>
          </w:tblCellMar>
        </w:tblPrEx>
        <w:trPr>
          <w:trHeight w:val="114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社会效益</w:t>
            </w:r>
          </w:p>
          <w:p>
            <w:pPr>
              <w:widowControl/>
              <w:jc w:val="center"/>
              <w:rPr>
                <w:rFonts w:ascii="宋体" w:hAnsi="宋体" w:cs="宋体"/>
                <w:kern w:val="0"/>
                <w:sz w:val="24"/>
              </w:rPr>
            </w:pPr>
            <w:r>
              <w:rPr>
                <w:rFonts w:hint="eastAsia" w:ascii="宋体" w:hAnsi="宋体" w:cs="宋体"/>
                <w:kern w:val="0"/>
                <w:sz w:val="24"/>
              </w:rPr>
              <w:t>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 xml:space="preserve"> 指标1：进一步保障母婴安全</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逐步提高</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逐步提高</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100%</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72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rPr>
          <w:trHeight w:val="59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continue"/>
            <w:tcBorders>
              <w:left w:val="single" w:color="auto" w:sz="4" w:space="0"/>
              <w:bottom w:val="nil"/>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cs="宋体"/>
                <w:kern w:val="0"/>
                <w:sz w:val="20"/>
                <w:szCs w:val="20"/>
              </w:rPr>
            </w:pPr>
          </w:p>
        </w:tc>
      </w:tr>
      <w:tr>
        <w:tblPrEx>
          <w:tblCellMar>
            <w:top w:w="0" w:type="dxa"/>
            <w:left w:w="108" w:type="dxa"/>
            <w:bottom w:w="0" w:type="dxa"/>
            <w:right w:w="108" w:type="dxa"/>
          </w:tblCellMar>
        </w:tblPrEx>
        <w:trPr>
          <w:trHeight w:val="52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生态效益</w:t>
            </w:r>
          </w:p>
          <w:p>
            <w:pPr>
              <w:widowControl/>
              <w:jc w:val="center"/>
              <w:rPr>
                <w:rFonts w:ascii="宋体" w:hAnsi="宋体" w:cs="宋体"/>
                <w:kern w:val="0"/>
                <w:sz w:val="24"/>
              </w:rPr>
            </w:pPr>
            <w:r>
              <w:rPr>
                <w:rFonts w:hint="eastAsia" w:ascii="宋体" w:hAnsi="宋体" w:cs="宋体"/>
                <w:kern w:val="0"/>
                <w:sz w:val="24"/>
              </w:rPr>
              <w:t>指标</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51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99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restart"/>
            <w:tcBorders>
              <w:top w:val="single" w:color="auto" w:sz="4" w:space="0"/>
              <w:left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可持续影响</w:t>
            </w:r>
          </w:p>
          <w:p>
            <w:pPr>
              <w:widowControl/>
              <w:jc w:val="center"/>
              <w:rPr>
                <w:rFonts w:ascii="宋体" w:hAnsi="宋体" w:cs="宋体"/>
                <w:kern w:val="0"/>
                <w:sz w:val="24"/>
              </w:rPr>
            </w:pPr>
            <w:r>
              <w:rPr>
                <w:rFonts w:hint="eastAsia" w:ascii="宋体" w:hAnsi="宋体" w:cs="宋体"/>
                <w:kern w:val="0"/>
                <w:sz w:val="24"/>
              </w:rPr>
              <w:t>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 xml:space="preserve"> 指标1：妇女儿童服务水平</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不断提高</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不断提高</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100%</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99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continue"/>
            <w:tcBorders>
              <w:left w:val="nil"/>
              <w:bottom w:val="nil"/>
              <w:right w:val="single" w:color="auto" w:sz="4" w:space="0"/>
            </w:tcBorders>
            <w:shd w:val="clear" w:color="auto" w:fill="auto"/>
            <w:vAlign w:val="center"/>
          </w:tcPr>
          <w:p>
            <w:pPr>
              <w:widowControl/>
              <w:jc w:val="center"/>
              <w:rPr>
                <w:rFonts w:hint="eastAsia"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cs="宋体"/>
                <w:kern w:val="0"/>
                <w:sz w:val="20"/>
                <w:szCs w:val="20"/>
              </w:rPr>
            </w:pPr>
          </w:p>
        </w:tc>
      </w:tr>
      <w:tr>
        <w:tblPrEx>
          <w:tblCellMar>
            <w:top w:w="0" w:type="dxa"/>
            <w:left w:w="108" w:type="dxa"/>
            <w:bottom w:w="0" w:type="dxa"/>
            <w:right w:w="108" w:type="dxa"/>
          </w:tblCellMar>
        </w:tblPrEx>
        <w:trPr>
          <w:trHeight w:val="103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restart"/>
            <w:tcBorders>
              <w:top w:val="single" w:color="auto" w:sz="4" w:space="0"/>
              <w:left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满意度指标</w:t>
            </w:r>
          </w:p>
        </w:tc>
        <w:tc>
          <w:tcPr>
            <w:tcW w:w="988" w:type="dxa"/>
            <w:vMerge w:val="restart"/>
            <w:tcBorders>
              <w:top w:val="single" w:color="auto" w:sz="4" w:space="0"/>
              <w:left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满意度指标</w:t>
            </w:r>
          </w:p>
        </w:tc>
        <w:tc>
          <w:tcPr>
            <w:tcW w:w="19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 xml:space="preserve"> 指标1：服务对象满意率</w:t>
            </w: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≧90%</w:t>
            </w:r>
          </w:p>
        </w:tc>
        <w:tc>
          <w:tcPr>
            <w:tcW w:w="14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95.20%</w:t>
            </w:r>
          </w:p>
        </w:tc>
        <w:tc>
          <w:tcPr>
            <w:tcW w:w="107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100%</w:t>
            </w:r>
          </w:p>
        </w:tc>
        <w:tc>
          <w:tcPr>
            <w:tcW w:w="14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1035" w:hRule="atLeast"/>
        </w:trPr>
        <w:tc>
          <w:tcPr>
            <w:tcW w:w="740" w:type="dxa"/>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nil"/>
              <w:bottom w:val="single" w:color="auto" w:sz="4" w:space="0"/>
              <w:right w:val="single" w:color="auto" w:sz="4" w:space="0"/>
            </w:tcBorders>
            <w:shd w:val="clear" w:color="auto" w:fill="auto"/>
            <w:vAlign w:val="center"/>
          </w:tcPr>
          <w:p>
            <w:pPr>
              <w:widowControl/>
              <w:jc w:val="center"/>
              <w:rPr>
                <w:rFonts w:hint="eastAsia" w:ascii="宋体" w:hAnsi="宋体" w:cs="宋体"/>
                <w:kern w:val="0"/>
                <w:sz w:val="24"/>
              </w:rPr>
            </w:pPr>
          </w:p>
        </w:tc>
        <w:tc>
          <w:tcPr>
            <w:tcW w:w="988" w:type="dxa"/>
            <w:vMerge w:val="continue"/>
            <w:tcBorders>
              <w:left w:val="nil"/>
              <w:bottom w:val="single" w:color="auto" w:sz="4" w:space="0"/>
              <w:right w:val="single" w:color="auto" w:sz="4" w:space="0"/>
            </w:tcBorders>
            <w:shd w:val="clear" w:color="auto" w:fill="auto"/>
            <w:vAlign w:val="center"/>
          </w:tcPr>
          <w:p>
            <w:pPr>
              <w:widowControl/>
              <w:jc w:val="center"/>
              <w:rPr>
                <w:rFonts w:hint="eastAsia" w:ascii="宋体" w:hAnsi="宋体" w:cs="宋体"/>
                <w:kern w:val="0"/>
                <w:sz w:val="24"/>
              </w:rPr>
            </w:pPr>
          </w:p>
        </w:tc>
        <w:tc>
          <w:tcPr>
            <w:tcW w:w="19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07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cs="宋体"/>
                <w:kern w:val="0"/>
                <w:sz w:val="20"/>
                <w:szCs w:val="20"/>
              </w:rPr>
            </w:pPr>
          </w:p>
        </w:tc>
      </w:tr>
    </w:tbl>
    <w:p>
      <w:pPr>
        <w:spacing w:line="600" w:lineRule="exact"/>
        <w:jc w:val="center"/>
        <w:outlineLvl w:val="0"/>
        <w:rPr>
          <w:rFonts w:hint="eastAsia" w:ascii="黑体" w:hAnsi="黑体" w:eastAsia="黑体"/>
          <w:sz w:val="44"/>
          <w:szCs w:val="44"/>
        </w:rPr>
      </w:pPr>
    </w:p>
    <w:p>
      <w:pPr>
        <w:pStyle w:val="2"/>
        <w:rPr>
          <w:rFonts w:hint="eastAsia"/>
        </w:rPr>
      </w:pPr>
    </w:p>
    <w:p>
      <w:pPr>
        <w:pStyle w:val="7"/>
        <w:spacing w:line="600" w:lineRule="exact"/>
        <w:ind w:firstLine="960" w:firstLineChars="200"/>
        <w:jc w:val="center"/>
        <w:rPr>
          <w:rFonts w:hint="eastAsia" w:ascii="方正小标宋_GBK" w:hAnsi="黑体" w:eastAsia="方正小标宋_GBK" w:cs="黑体"/>
          <w:sz w:val="48"/>
          <w:szCs w:val="48"/>
          <w:lang w:eastAsia="zh-CN"/>
        </w:rPr>
      </w:pPr>
      <w:r>
        <w:rPr>
          <w:rFonts w:hint="eastAsia" w:ascii="方正小标宋_GBK" w:hAnsi="黑体" w:eastAsia="方正小标宋_GBK" w:cs="黑体"/>
          <w:sz w:val="48"/>
          <w:szCs w:val="48"/>
          <w:lang w:eastAsia="zh-CN"/>
        </w:rPr>
        <w:t>盐边县妇幼保健服务中心</w:t>
      </w:r>
    </w:p>
    <w:p>
      <w:pPr>
        <w:pStyle w:val="7"/>
        <w:spacing w:line="600" w:lineRule="exact"/>
        <w:ind w:firstLine="960" w:firstLineChars="200"/>
        <w:jc w:val="center"/>
        <w:rPr>
          <w:rFonts w:hint="eastAsia" w:ascii="方正小标宋_GBK" w:hAnsi="黑体" w:eastAsia="方正小标宋_GBK" w:cs="黑体"/>
          <w:sz w:val="48"/>
          <w:szCs w:val="48"/>
        </w:rPr>
      </w:pPr>
      <w:r>
        <w:rPr>
          <w:rFonts w:hint="eastAsia" w:ascii="方正小标宋_GBK" w:hAnsi="黑体" w:eastAsia="方正小标宋_GBK" w:cs="黑体"/>
          <w:sz w:val="48"/>
          <w:szCs w:val="48"/>
          <w:lang w:val="en-US" w:eastAsia="zh-CN"/>
        </w:rPr>
        <w:t>2021年</w:t>
      </w:r>
      <w:r>
        <w:rPr>
          <w:rFonts w:hint="eastAsia" w:ascii="方正小标宋_GBK" w:hAnsi="黑体" w:eastAsia="方正小标宋_GBK" w:cs="黑体"/>
          <w:sz w:val="48"/>
          <w:szCs w:val="48"/>
        </w:rPr>
        <w:t>专项（</w:t>
      </w:r>
      <w:r>
        <w:rPr>
          <w:rFonts w:hint="eastAsia" w:ascii="方正小标宋_GBK" w:hAnsi="黑体" w:eastAsia="方正小标宋_GBK" w:cs="黑体"/>
          <w:sz w:val="48"/>
          <w:szCs w:val="48"/>
          <w:lang w:eastAsia="zh-CN"/>
        </w:rPr>
        <w:t>免费婚检</w:t>
      </w:r>
      <w:r>
        <w:rPr>
          <w:rFonts w:hint="eastAsia" w:ascii="方正小标宋_GBK" w:hAnsi="黑体" w:eastAsia="方正小标宋_GBK" w:cs="黑体"/>
          <w:sz w:val="48"/>
          <w:szCs w:val="48"/>
        </w:rPr>
        <w:t>）资金绩效自评报告</w:t>
      </w:r>
    </w:p>
    <w:p>
      <w:pPr>
        <w:pStyle w:val="7"/>
        <w:spacing w:line="600" w:lineRule="exact"/>
        <w:ind w:firstLine="640" w:firstLineChars="200"/>
        <w:jc w:val="left"/>
        <w:rPr>
          <w:rFonts w:ascii="仿宋_GB2312" w:hAnsi="仿宋_GB2312" w:eastAsia="仿宋_GB2312" w:cs="仿宋_GB2312"/>
          <w:sz w:val="32"/>
          <w:szCs w:val="32"/>
        </w:rPr>
      </w:pP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一、项目概况</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1.说明项目主管部门（单位）在该项目管理中的职能。</w:t>
      </w:r>
    </w:p>
    <w:p>
      <w:pPr>
        <w:numPr>
          <w:ilvl w:val="0"/>
          <w:numId w:val="0"/>
        </w:numPr>
        <w:spacing w:line="560" w:lineRule="exact"/>
        <w:ind w:firstLine="640" w:firstLineChars="200"/>
        <w:rPr>
          <w:rFonts w:hint="eastAsia" w:eastAsia="仿宋_GB2312"/>
          <w:sz w:val="32"/>
          <w:szCs w:val="32"/>
          <w:lang w:val="en-US" w:eastAsia="zh-CN"/>
        </w:rPr>
      </w:pPr>
      <w:r>
        <w:rPr>
          <w:rFonts w:ascii="仿宋_GB2312" w:hAnsi="宋体" w:eastAsia="仿宋_GB2312" w:cs="仿宋_GB2312"/>
          <w:i w:val="0"/>
          <w:caps w:val="0"/>
          <w:color w:val="000000"/>
          <w:spacing w:val="0"/>
          <w:sz w:val="32"/>
          <w:szCs w:val="32"/>
          <w:shd w:val="clear" w:color="auto" w:fill="FFFFFF"/>
        </w:rPr>
        <w:t>建有规范</w:t>
      </w:r>
      <w:r>
        <w:rPr>
          <w:rFonts w:hint="eastAsia" w:ascii="仿宋_GB2312" w:hAnsi="宋体" w:eastAsia="仿宋_GB2312" w:cs="仿宋_GB2312"/>
          <w:i w:val="0"/>
          <w:caps w:val="0"/>
          <w:color w:val="000000"/>
          <w:spacing w:val="0"/>
          <w:sz w:val="32"/>
          <w:szCs w:val="32"/>
          <w:shd w:val="clear" w:color="auto" w:fill="FFFFFF"/>
          <w:lang w:eastAsia="zh-CN"/>
        </w:rPr>
        <w:t>免费</w:t>
      </w:r>
      <w:r>
        <w:rPr>
          <w:rFonts w:ascii="仿宋_GB2312" w:hAnsi="宋体" w:eastAsia="仿宋_GB2312" w:cs="仿宋_GB2312"/>
          <w:i w:val="0"/>
          <w:caps w:val="0"/>
          <w:color w:val="000000"/>
          <w:spacing w:val="0"/>
          <w:sz w:val="32"/>
          <w:szCs w:val="32"/>
          <w:shd w:val="clear" w:color="auto" w:fill="FFFFFF"/>
        </w:rPr>
        <w:t>婚前医学检查场地，承担</w:t>
      </w:r>
      <w:r>
        <w:rPr>
          <w:rFonts w:hint="eastAsia" w:ascii="仿宋_GB2312" w:hAnsi="宋体" w:eastAsia="仿宋_GB2312" w:cs="仿宋_GB2312"/>
          <w:i w:val="0"/>
          <w:caps w:val="0"/>
          <w:color w:val="000000"/>
          <w:spacing w:val="0"/>
          <w:sz w:val="32"/>
          <w:szCs w:val="32"/>
          <w:shd w:val="clear" w:color="auto" w:fill="FFFFFF"/>
          <w:lang w:eastAsia="zh-CN"/>
        </w:rPr>
        <w:t>盐边县</w:t>
      </w:r>
      <w:r>
        <w:rPr>
          <w:rFonts w:ascii="仿宋_GB2312" w:hAnsi="宋体" w:eastAsia="仿宋_GB2312" w:cs="仿宋_GB2312"/>
          <w:i w:val="0"/>
          <w:caps w:val="0"/>
          <w:color w:val="000000"/>
          <w:spacing w:val="0"/>
          <w:sz w:val="32"/>
          <w:szCs w:val="32"/>
          <w:shd w:val="clear" w:color="auto" w:fill="FFFFFF"/>
        </w:rPr>
        <w:t>的婚前医学检查工作</w:t>
      </w:r>
      <w:r>
        <w:rPr>
          <w:rFonts w:hint="eastAsia" w:ascii="仿宋_GB2312" w:hAnsi="宋体" w:eastAsia="仿宋_GB2312" w:cs="仿宋_GB2312"/>
          <w:i w:val="0"/>
          <w:caps w:val="0"/>
          <w:color w:val="000000"/>
          <w:spacing w:val="0"/>
          <w:sz w:val="32"/>
          <w:szCs w:val="32"/>
          <w:shd w:val="clear" w:color="auto" w:fill="FFFFFF"/>
          <w:lang w:eastAsia="zh-CN"/>
        </w:rPr>
        <w:t>。</w:t>
      </w:r>
    </w:p>
    <w:p>
      <w:pPr>
        <w:numPr>
          <w:ilvl w:val="0"/>
          <w:numId w:val="0"/>
        </w:numPr>
        <w:spacing w:line="560" w:lineRule="exact"/>
        <w:ind w:firstLine="640" w:firstLineChars="200"/>
        <w:rPr>
          <w:rFonts w:eastAsia="仿宋_GB2312"/>
          <w:sz w:val="32"/>
          <w:szCs w:val="32"/>
        </w:rPr>
      </w:pPr>
      <w:r>
        <w:rPr>
          <w:rFonts w:hint="eastAsia" w:eastAsia="仿宋_GB2312"/>
          <w:sz w:val="32"/>
          <w:szCs w:val="32"/>
          <w:lang w:val="en-US" w:eastAsia="zh-CN"/>
        </w:rPr>
        <w:t>2、</w:t>
      </w:r>
      <w:r>
        <w:rPr>
          <w:rFonts w:eastAsia="仿宋_GB2312"/>
          <w:sz w:val="32"/>
          <w:szCs w:val="32"/>
        </w:rPr>
        <w:t>项目立项、资金申报的依据。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lang w:val="en-US" w:eastAsia="zh-CN"/>
        </w:rPr>
      </w:pPr>
      <w:r>
        <w:rPr>
          <w:rFonts w:hint="eastAsia" w:eastAsia="仿宋_GB2312"/>
          <w:sz w:val="32"/>
          <w:szCs w:val="32"/>
          <w:lang w:eastAsia="zh-CN"/>
        </w:rPr>
        <w:t>该资金立项时间为</w:t>
      </w:r>
      <w:r>
        <w:rPr>
          <w:rFonts w:hint="eastAsia" w:eastAsia="仿宋_GB2312"/>
          <w:sz w:val="32"/>
          <w:szCs w:val="32"/>
          <w:lang w:val="en-US" w:eastAsia="zh-CN"/>
        </w:rPr>
        <w:t>2021年，</w:t>
      </w:r>
      <w:r>
        <w:rPr>
          <w:rFonts w:hint="eastAsia" w:eastAsia="仿宋_GB2312"/>
          <w:sz w:val="32"/>
          <w:szCs w:val="32"/>
        </w:rPr>
        <w:t>加强和规范</w:t>
      </w:r>
      <w:r>
        <w:rPr>
          <w:rFonts w:hint="eastAsia" w:eastAsia="仿宋_GB2312"/>
          <w:sz w:val="32"/>
          <w:szCs w:val="32"/>
          <w:lang w:eastAsia="zh-CN"/>
        </w:rPr>
        <w:t>县</w:t>
      </w:r>
      <w:r>
        <w:rPr>
          <w:rFonts w:hint="eastAsia" w:eastAsia="仿宋_GB2312"/>
          <w:sz w:val="32"/>
          <w:szCs w:val="32"/>
        </w:rPr>
        <w:t>财政支持基层医疗卫生机构</w:t>
      </w:r>
      <w:r>
        <w:rPr>
          <w:rFonts w:hint="eastAsia" w:eastAsia="仿宋_GB2312"/>
          <w:sz w:val="32"/>
          <w:szCs w:val="32"/>
          <w:lang w:eastAsia="zh-CN"/>
        </w:rPr>
        <w:t>民生工程项目</w:t>
      </w:r>
      <w:r>
        <w:rPr>
          <w:rFonts w:hint="eastAsia" w:eastAsia="仿宋_GB2312"/>
          <w:sz w:val="32"/>
          <w:szCs w:val="32"/>
        </w:rPr>
        <w:t>资金的分配、使用和管理</w:t>
      </w:r>
      <w:r>
        <w:rPr>
          <w:rFonts w:hint="eastAsia" w:eastAsia="仿宋_GB2312"/>
          <w:sz w:val="32"/>
          <w:szCs w:val="32"/>
          <w:lang w:eastAsia="zh-CN"/>
        </w:rPr>
        <w:t>。</w:t>
      </w:r>
    </w:p>
    <w:p>
      <w:pPr>
        <w:numPr>
          <w:ilvl w:val="0"/>
          <w:numId w:val="12"/>
        </w:numPr>
        <w:spacing w:line="560" w:lineRule="exact"/>
        <w:ind w:left="0" w:leftChars="0" w:firstLine="640" w:firstLineChars="200"/>
        <w:rPr>
          <w:rFonts w:eastAsia="仿宋_GB2312"/>
          <w:sz w:val="32"/>
          <w:szCs w:val="32"/>
        </w:rPr>
      </w:pPr>
      <w:r>
        <w:rPr>
          <w:rFonts w:eastAsia="仿宋_GB2312"/>
          <w:sz w:val="32"/>
          <w:szCs w:val="32"/>
        </w:rPr>
        <w:t>资金管理办法制定情况，资金支持具体项目的条件、范围与支持方式概况。</w:t>
      </w:r>
    </w:p>
    <w:p>
      <w:pPr>
        <w:numPr>
          <w:ilvl w:val="0"/>
          <w:numId w:val="0"/>
        </w:numPr>
        <w:spacing w:line="560" w:lineRule="exact"/>
        <w:ind w:firstLine="640" w:firstLineChars="200"/>
        <w:jc w:val="both"/>
        <w:rPr>
          <w:rFonts w:hint="eastAsia" w:eastAsia="宋体"/>
          <w:sz w:val="32"/>
          <w:szCs w:val="32"/>
          <w:lang w:val="en-US" w:eastAsia="zh-CN"/>
        </w:rPr>
      </w:pPr>
      <w:r>
        <w:rPr>
          <w:rFonts w:hint="eastAsia" w:eastAsia="仿宋_GB2312"/>
          <w:sz w:val="32"/>
          <w:szCs w:val="32"/>
          <w:lang w:eastAsia="zh-CN"/>
        </w:rPr>
        <w:t>根据川财社【</w:t>
      </w:r>
      <w:r>
        <w:rPr>
          <w:rFonts w:hint="eastAsia" w:eastAsia="仿宋_GB2312"/>
          <w:sz w:val="32"/>
          <w:szCs w:val="32"/>
          <w:lang w:val="en-US" w:eastAsia="zh-CN"/>
        </w:rPr>
        <w:t>2021</w:t>
      </w:r>
      <w:r>
        <w:rPr>
          <w:rFonts w:hint="eastAsia" w:eastAsia="仿宋_GB2312"/>
          <w:sz w:val="32"/>
          <w:szCs w:val="32"/>
          <w:lang w:eastAsia="zh-CN"/>
        </w:rPr>
        <w:t>】</w:t>
      </w:r>
      <w:r>
        <w:rPr>
          <w:rFonts w:hint="eastAsia" w:eastAsia="仿宋_GB2312"/>
          <w:sz w:val="32"/>
          <w:szCs w:val="32"/>
          <w:lang w:val="en-US" w:eastAsia="zh-CN"/>
        </w:rPr>
        <w:t>18号下达2021年省级卫生健康专项资金</w:t>
      </w:r>
      <w:r>
        <w:rPr>
          <w:rFonts w:hint="eastAsia" w:eastAsia="仿宋_GB2312"/>
          <w:sz w:val="32"/>
          <w:szCs w:val="32"/>
          <w:lang w:eastAsia="zh-CN"/>
        </w:rPr>
        <w:t>（婚检补助</w:t>
      </w:r>
      <w:r>
        <w:rPr>
          <w:rFonts w:hint="eastAsia" w:eastAsia="仿宋_GB2312"/>
          <w:sz w:val="32"/>
          <w:szCs w:val="32"/>
          <w:lang w:val="en-US" w:eastAsia="zh-CN"/>
        </w:rPr>
        <w:t>17.53万元</w:t>
      </w:r>
      <w:r>
        <w:rPr>
          <w:rFonts w:hint="eastAsia" w:eastAsia="仿宋_GB2312"/>
          <w:sz w:val="32"/>
          <w:szCs w:val="32"/>
          <w:lang w:eastAsia="zh-CN"/>
        </w:rPr>
        <w:t>）</w:t>
      </w:r>
      <w:r>
        <w:rPr>
          <w:rFonts w:hint="eastAsia" w:eastAsia="仿宋_GB2312"/>
          <w:sz w:val="32"/>
          <w:szCs w:val="32"/>
          <w:lang w:val="en-US" w:eastAsia="zh-CN"/>
        </w:rPr>
        <w:t>并结合资金的使用范围，</w:t>
      </w:r>
      <w:r>
        <w:rPr>
          <w:rFonts w:hint="eastAsia" w:ascii="宋体" w:hAnsi="宋体" w:eastAsia="宋体" w:cs="宋体"/>
          <w:i w:val="0"/>
          <w:caps w:val="0"/>
          <w:color w:val="333333"/>
          <w:spacing w:val="0"/>
          <w:sz w:val="28"/>
          <w:szCs w:val="28"/>
          <w:shd w:val="clear" w:color="auto" w:fill="FFFFFF"/>
        </w:rPr>
        <w:t>主要用于：宣传发</w:t>
      </w:r>
      <w:r>
        <w:rPr>
          <w:rFonts w:hint="eastAsia" w:ascii="宋体" w:hAnsi="宋体" w:eastAsia="宋体" w:cs="宋体"/>
          <w:i w:val="0"/>
          <w:caps w:val="0"/>
          <w:color w:val="333333"/>
          <w:spacing w:val="0"/>
          <w:sz w:val="28"/>
          <w:szCs w:val="28"/>
          <w:shd w:val="clear" w:color="auto" w:fill="FFFFFF"/>
          <w:lang w:eastAsia="zh-CN"/>
        </w:rPr>
        <w:t>放</w:t>
      </w:r>
      <w:r>
        <w:rPr>
          <w:rFonts w:hint="eastAsia" w:ascii="宋体" w:hAnsi="宋体" w:eastAsia="宋体" w:cs="宋体"/>
          <w:i w:val="0"/>
          <w:caps w:val="0"/>
          <w:color w:val="333333"/>
          <w:spacing w:val="0"/>
          <w:sz w:val="28"/>
          <w:szCs w:val="28"/>
          <w:shd w:val="clear" w:color="auto" w:fill="FFFFFF"/>
        </w:rPr>
        <w:t>、业务培训、医用耗材、</w:t>
      </w:r>
      <w:r>
        <w:rPr>
          <w:rFonts w:hint="eastAsia" w:ascii="宋体" w:hAnsi="宋体" w:eastAsia="宋体" w:cs="宋体"/>
          <w:i w:val="0"/>
          <w:caps w:val="0"/>
          <w:color w:val="333333"/>
          <w:spacing w:val="0"/>
          <w:sz w:val="28"/>
          <w:szCs w:val="28"/>
          <w:shd w:val="clear" w:color="auto" w:fill="FFFFFF"/>
          <w:lang w:eastAsia="zh-CN"/>
        </w:rPr>
        <w:t>购买试剂、设备、</w:t>
      </w:r>
      <w:r>
        <w:rPr>
          <w:rFonts w:hint="eastAsia" w:ascii="宋体" w:hAnsi="宋体" w:eastAsia="宋体" w:cs="宋体"/>
          <w:i w:val="0"/>
          <w:caps w:val="0"/>
          <w:color w:val="333333"/>
          <w:spacing w:val="0"/>
          <w:sz w:val="28"/>
          <w:szCs w:val="28"/>
          <w:shd w:val="clear" w:color="auto" w:fill="FFFFFF"/>
        </w:rPr>
        <w:t>自收自支人员经费等</w:t>
      </w:r>
      <w:r>
        <w:rPr>
          <w:rFonts w:hint="eastAsia" w:ascii="宋体" w:hAnsi="宋体" w:eastAsia="宋体" w:cs="宋体"/>
          <w:i w:val="0"/>
          <w:caps w:val="0"/>
          <w:color w:val="333333"/>
          <w:spacing w:val="0"/>
          <w:sz w:val="28"/>
          <w:szCs w:val="28"/>
          <w:shd w:val="clear" w:color="auto" w:fill="FFFFFF"/>
          <w:lang w:eastAsia="zh-CN"/>
        </w:rPr>
        <w:t>。</w:t>
      </w:r>
    </w:p>
    <w:p>
      <w:pPr>
        <w:numPr>
          <w:ilvl w:val="0"/>
          <w:numId w:val="12"/>
        </w:numPr>
        <w:spacing w:line="560" w:lineRule="exact"/>
        <w:ind w:left="0" w:leftChars="0" w:firstLine="640" w:firstLineChars="200"/>
        <w:rPr>
          <w:rFonts w:eastAsia="仿宋_GB2312"/>
          <w:sz w:val="32"/>
          <w:szCs w:val="32"/>
        </w:rPr>
      </w:pPr>
      <w:r>
        <w:rPr>
          <w:rFonts w:eastAsia="仿宋_GB2312"/>
          <w:sz w:val="32"/>
          <w:szCs w:val="32"/>
        </w:rPr>
        <w:t>资金分配的原则及考虑因素。</w:t>
      </w:r>
    </w:p>
    <w:p>
      <w:pPr>
        <w:numPr>
          <w:ilvl w:val="0"/>
          <w:numId w:val="0"/>
        </w:num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县卫生健康局根据往年我们中心的免费婚检检查对数作为基础，结合完成的质量、绩效考核结果综合考虑后向财政申请资金，县财政再将预算下拨在我们大平台里。</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（二）项目绩效目标。</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1．项目主要内容。</w:t>
      </w:r>
    </w:p>
    <w:p>
      <w:pPr>
        <w:spacing w:line="560" w:lineRule="exact"/>
        <w:ind w:firstLine="640" w:firstLineChars="200"/>
        <w:rPr>
          <w:rFonts w:hint="eastAsia" w:eastAsia="仿宋_GB2312"/>
          <w:sz w:val="32"/>
          <w:szCs w:val="32"/>
          <w:lang w:eastAsia="zh-CN"/>
        </w:rPr>
      </w:pPr>
      <w:r>
        <w:rPr>
          <w:rFonts w:hint="eastAsia" w:ascii="仿宋_GB2312" w:hAnsi="仿宋_GB2312" w:eastAsia="仿宋_GB2312" w:cs="仿宋_GB2312"/>
          <w:sz w:val="32"/>
          <w:szCs w:val="32"/>
          <w:lang w:eastAsia="zh-CN"/>
        </w:rPr>
        <w:t>免费婚前医学检查是</w:t>
      </w:r>
      <w:r>
        <w:rPr>
          <w:rFonts w:hint="eastAsia" w:ascii="仿宋_GB2312" w:hAnsi="Lucida Sans Unicode" w:eastAsia="仿宋_GB2312" w:cs="Lucida Sans Unicode"/>
          <w:color w:val="000000"/>
          <w:sz w:val="32"/>
          <w:szCs w:val="32"/>
        </w:rPr>
        <w:t>为了进一步提高广大群众对免费婚检政策的知晓率，提高对婚前医学检查重要性的认识，通过义诊、下乡镇督导等方式的方式，面向社会群众发放免费婚检宣传资料</w:t>
      </w:r>
      <w:r>
        <w:rPr>
          <w:rFonts w:hint="eastAsia" w:ascii="仿宋_GB2312" w:hAnsi="Lucida Sans Unicode" w:eastAsia="仿宋_GB2312" w:cs="Lucida Sans Unicode"/>
          <w:color w:val="000000"/>
          <w:sz w:val="32"/>
          <w:szCs w:val="32"/>
          <w:lang w:eastAsia="zh-CN"/>
        </w:rPr>
        <w:t>。</w:t>
      </w:r>
    </w:p>
    <w:p>
      <w:pPr>
        <w:numPr>
          <w:ilvl w:val="0"/>
          <w:numId w:val="13"/>
        </w:numPr>
        <w:spacing w:line="560" w:lineRule="exact"/>
        <w:ind w:firstLine="640" w:firstLineChars="200"/>
        <w:rPr>
          <w:rFonts w:eastAsia="仿宋_GB2312"/>
          <w:sz w:val="32"/>
          <w:szCs w:val="32"/>
        </w:rPr>
      </w:pPr>
      <w:r>
        <w:rPr>
          <w:rFonts w:eastAsia="仿宋_GB2312"/>
          <w:sz w:val="32"/>
          <w:szCs w:val="32"/>
        </w:rPr>
        <w:t>项目应实现的具体绩效目标，包括目标的量化、细化情况以及项目实施进度计划等。</w:t>
      </w:r>
    </w:p>
    <w:p>
      <w:pPr>
        <w:numPr>
          <w:ilvl w:val="0"/>
          <w:numId w:val="0"/>
        </w:numPr>
        <w:spacing w:line="560" w:lineRule="exact"/>
        <w:ind w:firstLine="640" w:firstLineChars="200"/>
        <w:rPr>
          <w:rFonts w:hint="eastAsia" w:eastAsia="仿宋_GB2312"/>
          <w:sz w:val="32"/>
          <w:szCs w:val="32"/>
        </w:rPr>
      </w:pPr>
      <w:r>
        <w:rPr>
          <w:rFonts w:hint="eastAsia" w:eastAsia="仿宋_GB2312"/>
          <w:sz w:val="32"/>
          <w:szCs w:val="32"/>
        </w:rPr>
        <w:t>202</w:t>
      </w:r>
      <w:r>
        <w:rPr>
          <w:rFonts w:hint="eastAsia" w:eastAsia="仿宋_GB2312"/>
          <w:sz w:val="32"/>
          <w:szCs w:val="32"/>
          <w:lang w:val="en-US" w:eastAsia="zh-CN"/>
        </w:rPr>
        <w:t>1</w:t>
      </w:r>
      <w:r>
        <w:rPr>
          <w:rFonts w:hint="eastAsia" w:eastAsia="仿宋_GB2312"/>
          <w:sz w:val="32"/>
          <w:szCs w:val="32"/>
        </w:rPr>
        <w:t>年1-12月免费婚检</w:t>
      </w:r>
      <w:r>
        <w:rPr>
          <w:rFonts w:hint="eastAsia" w:eastAsia="仿宋_GB2312"/>
          <w:sz w:val="32"/>
          <w:szCs w:val="32"/>
          <w:lang w:val="en-US" w:eastAsia="zh-CN"/>
        </w:rPr>
        <w:t>1247</w:t>
      </w:r>
      <w:r>
        <w:rPr>
          <w:rFonts w:hint="eastAsia" w:eastAsia="仿宋_GB2312"/>
          <w:sz w:val="32"/>
          <w:szCs w:val="32"/>
        </w:rPr>
        <w:t>人。</w:t>
      </w:r>
    </w:p>
    <w:p>
      <w:pPr>
        <w:numPr>
          <w:ilvl w:val="0"/>
          <w:numId w:val="13"/>
        </w:numPr>
        <w:spacing w:line="560" w:lineRule="exact"/>
        <w:ind w:left="0" w:leftChars="0" w:firstLine="640" w:firstLineChars="200"/>
        <w:rPr>
          <w:rFonts w:eastAsia="仿宋_GB2312"/>
          <w:sz w:val="32"/>
          <w:szCs w:val="32"/>
        </w:rPr>
      </w:pPr>
      <w:r>
        <w:rPr>
          <w:rFonts w:eastAsia="仿宋_GB2312"/>
          <w:sz w:val="32"/>
          <w:szCs w:val="32"/>
        </w:rPr>
        <w:t>分析评价申报内容是否与实际相符，申报目标是否合理可行。</w:t>
      </w:r>
    </w:p>
    <w:p>
      <w:pPr>
        <w:numPr>
          <w:ilvl w:val="0"/>
          <w:numId w:val="0"/>
        </w:numPr>
        <w:spacing w:line="560" w:lineRule="exact"/>
        <w:ind w:firstLine="660" w:firstLineChars="200"/>
        <w:rPr>
          <w:rFonts w:eastAsia="仿宋_GB2312"/>
          <w:sz w:val="32"/>
          <w:szCs w:val="32"/>
        </w:rPr>
      </w:pPr>
      <w:r>
        <w:rPr>
          <w:rFonts w:hint="default" w:ascii="Times New Roman" w:hAnsi="Times New Roman" w:eastAsia="仿宋_GB2312" w:cs="Times New Roman"/>
          <w:color w:val="000000"/>
          <w:kern w:val="0"/>
          <w:sz w:val="33"/>
          <w:szCs w:val="33"/>
          <w:lang w:eastAsia="zh-CN"/>
        </w:rPr>
        <w:t>按照省、市</w:t>
      </w:r>
      <w:r>
        <w:rPr>
          <w:rFonts w:hint="eastAsia" w:eastAsia="仿宋_GB2312" w:cs="Times New Roman"/>
          <w:color w:val="000000"/>
          <w:kern w:val="0"/>
          <w:sz w:val="33"/>
          <w:szCs w:val="33"/>
          <w:lang w:eastAsia="zh-CN"/>
        </w:rPr>
        <w:t>，县</w:t>
      </w:r>
      <w:r>
        <w:rPr>
          <w:rFonts w:hint="default" w:ascii="Times New Roman" w:hAnsi="Times New Roman" w:eastAsia="仿宋_GB2312" w:cs="Times New Roman"/>
          <w:color w:val="000000"/>
          <w:kern w:val="0"/>
          <w:sz w:val="33"/>
          <w:szCs w:val="33"/>
          <w:lang w:eastAsia="zh-CN"/>
        </w:rPr>
        <w:t>印发的</w:t>
      </w:r>
      <w:r>
        <w:rPr>
          <w:rFonts w:hint="eastAsia" w:eastAsia="仿宋_GB2312" w:cs="Times New Roman"/>
          <w:color w:val="000000"/>
          <w:kern w:val="0"/>
          <w:sz w:val="33"/>
          <w:szCs w:val="33"/>
          <w:lang w:eastAsia="zh-CN"/>
        </w:rPr>
        <w:t>免费婚前医学检查的</w:t>
      </w:r>
      <w:r>
        <w:rPr>
          <w:rFonts w:hint="default" w:ascii="Times New Roman" w:hAnsi="Times New Roman" w:eastAsia="仿宋_GB2312" w:cs="Times New Roman"/>
          <w:color w:val="000000"/>
          <w:kern w:val="0"/>
          <w:sz w:val="33"/>
          <w:szCs w:val="33"/>
          <w:lang w:eastAsia="zh-CN"/>
        </w:rPr>
        <w:t>项目实施方案要求，制定符合我</w:t>
      </w:r>
      <w:r>
        <w:rPr>
          <w:rFonts w:hint="eastAsia" w:eastAsia="仿宋_GB2312" w:cs="Times New Roman"/>
          <w:color w:val="000000"/>
          <w:kern w:val="0"/>
          <w:sz w:val="33"/>
          <w:szCs w:val="33"/>
          <w:lang w:eastAsia="zh-CN"/>
        </w:rPr>
        <w:t>中心</w:t>
      </w:r>
      <w:r>
        <w:rPr>
          <w:rFonts w:hint="default" w:ascii="Times New Roman" w:hAnsi="Times New Roman" w:eastAsia="仿宋_GB2312" w:cs="Times New Roman"/>
          <w:color w:val="000000"/>
          <w:kern w:val="0"/>
          <w:sz w:val="33"/>
          <w:szCs w:val="33"/>
          <w:lang w:eastAsia="zh-CN"/>
        </w:rPr>
        <w:t>的项目实施方案</w:t>
      </w:r>
      <w:r>
        <w:rPr>
          <w:rFonts w:hint="eastAsia" w:ascii="Times New Roman" w:hAnsi="Times New Roman" w:eastAsia="仿宋_GB2312" w:cs="Times New Roman"/>
          <w:color w:val="000000"/>
          <w:kern w:val="0"/>
          <w:sz w:val="33"/>
          <w:szCs w:val="33"/>
          <w:lang w:eastAsia="zh-CN"/>
        </w:rPr>
        <w:t>，分解细化目标任务，确保了目标任务全面完成</w:t>
      </w:r>
      <w:r>
        <w:rPr>
          <w:rFonts w:hint="default" w:ascii="Times New Roman" w:hAnsi="Times New Roman" w:eastAsia="仿宋_GB2312" w:cs="Times New Roman"/>
          <w:color w:val="000000"/>
          <w:kern w:val="0"/>
          <w:sz w:val="33"/>
          <w:szCs w:val="33"/>
          <w:lang w:eastAsia="zh-CN"/>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黑体"/>
          <w:kern w:val="0"/>
          <w:sz w:val="32"/>
          <w:szCs w:val="32"/>
        </w:rPr>
        <w:t>二、项目资金申报及使用情况</w:t>
      </w:r>
    </w:p>
    <w:p>
      <w:pPr>
        <w:spacing w:line="560" w:lineRule="exact"/>
        <w:ind w:firstLine="640" w:firstLineChars="200"/>
        <w:rPr>
          <w:rFonts w:eastAsia="仿宋_GB2312"/>
          <w:sz w:val="32"/>
          <w:szCs w:val="32"/>
        </w:rPr>
      </w:pPr>
      <w:r>
        <w:rPr>
          <w:rFonts w:eastAsia="仿宋_GB2312"/>
          <w:sz w:val="32"/>
          <w:szCs w:val="32"/>
        </w:rPr>
        <w:t>说明项目资金申报、批复及预算调整等程序的相关情况。</w:t>
      </w:r>
    </w:p>
    <w:p>
      <w:pPr>
        <w:spacing w:line="560" w:lineRule="exact"/>
        <w:ind w:firstLine="660" w:firstLineChars="200"/>
        <w:rPr>
          <w:rFonts w:eastAsia="仿宋_GB2312"/>
          <w:sz w:val="32"/>
          <w:szCs w:val="32"/>
        </w:rPr>
      </w:pPr>
      <w:r>
        <w:rPr>
          <w:rFonts w:hint="eastAsia" w:eastAsia="仿宋_GB2312" w:cs="Times New Roman"/>
          <w:color w:val="000000"/>
          <w:kern w:val="0"/>
          <w:sz w:val="33"/>
          <w:szCs w:val="33"/>
          <w:lang w:eastAsia="zh-CN"/>
        </w:rPr>
        <w:t>免费婚前医学检查的项目</w:t>
      </w:r>
      <w:r>
        <w:rPr>
          <w:rFonts w:hint="default" w:ascii="Times New Roman" w:hAnsi="Times New Roman" w:eastAsia="仿宋_GB2312" w:cs="Times New Roman"/>
          <w:color w:val="000000"/>
          <w:kern w:val="0"/>
          <w:sz w:val="33"/>
          <w:szCs w:val="33"/>
        </w:rPr>
        <w:t>资金</w:t>
      </w:r>
      <w:r>
        <w:rPr>
          <w:rFonts w:hint="eastAsia" w:ascii="Times New Roman" w:hAnsi="Times New Roman" w:eastAsia="仿宋_GB2312" w:cs="Times New Roman"/>
          <w:color w:val="000000"/>
          <w:kern w:val="0"/>
          <w:sz w:val="33"/>
          <w:szCs w:val="33"/>
          <w:lang w:eastAsia="zh-CN"/>
        </w:rPr>
        <w:t>由县卫生健康局组织</w:t>
      </w:r>
      <w:r>
        <w:rPr>
          <w:rFonts w:hint="default" w:ascii="Times New Roman" w:hAnsi="Times New Roman" w:eastAsia="仿宋_GB2312" w:cs="Times New Roman"/>
          <w:color w:val="000000"/>
          <w:kern w:val="0"/>
          <w:sz w:val="33"/>
          <w:szCs w:val="33"/>
        </w:rPr>
        <w:t>申报、</w:t>
      </w:r>
      <w:r>
        <w:rPr>
          <w:rFonts w:hint="eastAsia" w:ascii="Times New Roman" w:hAnsi="Times New Roman" w:eastAsia="仿宋_GB2312" w:cs="Times New Roman"/>
          <w:color w:val="000000"/>
          <w:kern w:val="0"/>
          <w:sz w:val="33"/>
          <w:szCs w:val="33"/>
          <w:lang w:eastAsia="zh-CN"/>
        </w:rPr>
        <w:t>县财政根据实际情况予以</w:t>
      </w:r>
      <w:r>
        <w:rPr>
          <w:rFonts w:hint="default" w:ascii="Times New Roman" w:hAnsi="Times New Roman" w:eastAsia="仿宋_GB2312" w:cs="Times New Roman"/>
          <w:color w:val="000000"/>
          <w:kern w:val="0"/>
          <w:sz w:val="33"/>
          <w:szCs w:val="33"/>
        </w:rPr>
        <w:t>批复及</w:t>
      </w:r>
      <w:r>
        <w:rPr>
          <w:rFonts w:hint="eastAsia" w:ascii="Times New Roman" w:hAnsi="Times New Roman" w:eastAsia="仿宋_GB2312" w:cs="Times New Roman"/>
          <w:color w:val="000000"/>
          <w:kern w:val="0"/>
          <w:sz w:val="33"/>
          <w:szCs w:val="33"/>
          <w:lang w:eastAsia="zh-CN"/>
        </w:rPr>
        <w:t>进行下拨</w:t>
      </w:r>
      <w:r>
        <w:rPr>
          <w:rFonts w:hint="default" w:ascii="Times New Roman" w:hAnsi="Times New Roman" w:eastAsia="仿宋_GB2312" w:cs="Times New Roman"/>
          <w:color w:val="000000"/>
          <w:kern w:val="0"/>
          <w:sz w:val="33"/>
          <w:szCs w:val="33"/>
        </w:rPr>
        <w:t>预算</w:t>
      </w:r>
      <w:r>
        <w:rPr>
          <w:rFonts w:hint="eastAsia" w:ascii="Times New Roman" w:hAnsi="Times New Roman" w:eastAsia="仿宋_GB2312" w:cs="Times New Roman"/>
          <w:color w:val="000000"/>
          <w:kern w:val="0"/>
          <w:sz w:val="33"/>
          <w:szCs w:val="33"/>
          <w:lang w:eastAsia="zh-CN"/>
        </w:rPr>
        <w:t>至大平台上</w:t>
      </w:r>
      <w:r>
        <w:rPr>
          <w:rFonts w:hint="default" w:ascii="Times New Roman" w:hAnsi="Times New Roman" w:eastAsia="仿宋_GB2312" w:cs="Times New Roman"/>
          <w:color w:val="000000"/>
          <w:kern w:val="0"/>
          <w:sz w:val="33"/>
          <w:szCs w:val="33"/>
        </w:rPr>
        <w:t>。</w:t>
      </w:r>
    </w:p>
    <w:p>
      <w:pPr>
        <w:spacing w:line="560" w:lineRule="exact"/>
        <w:ind w:firstLine="640" w:firstLineChars="200"/>
        <w:rPr>
          <w:rFonts w:eastAsia="楷体_GB2312"/>
          <w:sz w:val="32"/>
          <w:szCs w:val="32"/>
        </w:rPr>
      </w:pPr>
      <w:r>
        <w:rPr>
          <w:rFonts w:eastAsia="楷体_GB2312"/>
          <w:sz w:val="32"/>
          <w:szCs w:val="32"/>
        </w:rPr>
        <w:t>（二）资金计划、到位及使用情况（可用表格形式反映）。</w:t>
      </w:r>
    </w:p>
    <w:p>
      <w:pPr>
        <w:spacing w:line="560" w:lineRule="exact"/>
        <w:ind w:firstLine="642" w:firstLineChars="200"/>
        <w:rPr>
          <w:rFonts w:eastAsia="仿宋_GB2312"/>
          <w:b/>
          <w:sz w:val="32"/>
          <w:szCs w:val="32"/>
        </w:rPr>
      </w:pPr>
      <w:r>
        <w:rPr>
          <w:rFonts w:eastAsia="仿宋_GB2312"/>
          <w:b/>
          <w:sz w:val="32"/>
          <w:szCs w:val="32"/>
        </w:rPr>
        <w:t>1.资金计划。</w:t>
      </w:r>
    </w:p>
    <w:p>
      <w:pPr>
        <w:spacing w:line="560" w:lineRule="exact"/>
        <w:ind w:firstLine="640" w:firstLineChars="200"/>
        <w:rPr>
          <w:rFonts w:hint="eastAsia" w:ascii="仿宋" w:hAnsi="仿宋" w:eastAsia="仿宋" w:cs="仿宋"/>
          <w:b w:val="0"/>
          <w:bCs w:val="0"/>
          <w:sz w:val="32"/>
          <w:szCs w:val="32"/>
        </w:rPr>
      </w:pPr>
      <w:r>
        <w:rPr>
          <w:rFonts w:hint="eastAsia" w:eastAsia="仿宋_GB2312"/>
          <w:sz w:val="32"/>
          <w:szCs w:val="32"/>
          <w:lang w:eastAsia="zh-CN"/>
        </w:rPr>
        <w:t>根据川财社【</w:t>
      </w:r>
      <w:r>
        <w:rPr>
          <w:rFonts w:hint="eastAsia" w:eastAsia="仿宋_GB2312"/>
          <w:sz w:val="32"/>
          <w:szCs w:val="32"/>
          <w:lang w:val="en-US" w:eastAsia="zh-CN"/>
        </w:rPr>
        <w:t>2021</w:t>
      </w:r>
      <w:r>
        <w:rPr>
          <w:rFonts w:hint="eastAsia" w:eastAsia="仿宋_GB2312"/>
          <w:sz w:val="32"/>
          <w:szCs w:val="32"/>
          <w:lang w:eastAsia="zh-CN"/>
        </w:rPr>
        <w:t>】</w:t>
      </w:r>
      <w:r>
        <w:rPr>
          <w:rFonts w:hint="eastAsia" w:eastAsia="仿宋_GB2312"/>
          <w:sz w:val="32"/>
          <w:szCs w:val="32"/>
          <w:lang w:val="en-US" w:eastAsia="zh-CN"/>
        </w:rPr>
        <w:t>18号下达2021年省级卫生健康专项资金</w:t>
      </w:r>
      <w:r>
        <w:rPr>
          <w:rFonts w:hint="eastAsia" w:eastAsia="仿宋_GB2312"/>
          <w:sz w:val="32"/>
          <w:szCs w:val="32"/>
          <w:lang w:eastAsia="zh-CN"/>
        </w:rPr>
        <w:t>（婚检补助</w:t>
      </w:r>
      <w:r>
        <w:rPr>
          <w:rFonts w:hint="eastAsia" w:eastAsia="仿宋_GB2312"/>
          <w:sz w:val="32"/>
          <w:szCs w:val="32"/>
          <w:lang w:val="en-US" w:eastAsia="zh-CN"/>
        </w:rPr>
        <w:t>17.53万元</w:t>
      </w:r>
      <w:r>
        <w:rPr>
          <w:rFonts w:hint="eastAsia" w:eastAsia="仿宋_GB2312"/>
          <w:sz w:val="32"/>
          <w:szCs w:val="32"/>
          <w:lang w:eastAsia="zh-CN"/>
        </w:rPr>
        <w:t>）</w:t>
      </w:r>
      <w:r>
        <w:rPr>
          <w:rFonts w:hint="eastAsia" w:eastAsia="仿宋_GB2312"/>
          <w:sz w:val="32"/>
          <w:szCs w:val="32"/>
          <w:lang w:val="en-US" w:eastAsia="zh-CN"/>
        </w:rPr>
        <w:t>，我中心在使用过程中</w:t>
      </w:r>
      <w:r>
        <w:rPr>
          <w:rFonts w:hint="eastAsia" w:ascii="仿宋" w:hAnsi="仿宋" w:eastAsia="仿宋" w:cs="仿宋"/>
          <w:b w:val="0"/>
          <w:bCs w:val="0"/>
          <w:color w:val="000000"/>
          <w:sz w:val="32"/>
          <w:szCs w:val="32"/>
          <w:lang w:val="en-US" w:eastAsia="zh-CN"/>
        </w:rPr>
        <w:t>加强对资金监管，确保专款专用，严禁截留和挪用。</w:t>
      </w:r>
    </w:p>
    <w:p>
      <w:pPr>
        <w:numPr>
          <w:ilvl w:val="0"/>
          <w:numId w:val="14"/>
        </w:numPr>
        <w:spacing w:line="560" w:lineRule="exact"/>
        <w:ind w:firstLine="642" w:firstLineChars="200"/>
        <w:rPr>
          <w:rFonts w:eastAsia="仿宋_GB2312"/>
          <w:b/>
          <w:sz w:val="32"/>
          <w:szCs w:val="32"/>
        </w:rPr>
      </w:pPr>
      <w:r>
        <w:rPr>
          <w:rFonts w:eastAsia="仿宋_GB2312"/>
          <w:b/>
          <w:sz w:val="32"/>
          <w:szCs w:val="32"/>
        </w:rPr>
        <w:t>资金到位。</w:t>
      </w:r>
    </w:p>
    <w:p>
      <w:pPr>
        <w:numPr>
          <w:ilvl w:val="0"/>
          <w:numId w:val="0"/>
        </w:numPr>
        <w:spacing w:line="560" w:lineRule="exact"/>
        <w:ind w:left="420" w:leftChars="200" w:firstLine="640" w:firstLineChars="200"/>
        <w:rPr>
          <w:rFonts w:eastAsia="仿宋_GB2312"/>
          <w:b/>
          <w:sz w:val="32"/>
          <w:szCs w:val="32"/>
        </w:rPr>
      </w:pPr>
      <w:r>
        <w:rPr>
          <w:rFonts w:hint="eastAsia" w:eastAsia="仿宋_GB2312"/>
          <w:sz w:val="32"/>
          <w:szCs w:val="32"/>
          <w:lang w:eastAsia="zh-CN"/>
        </w:rPr>
        <w:t>根据川财社【</w:t>
      </w:r>
      <w:r>
        <w:rPr>
          <w:rFonts w:hint="eastAsia" w:eastAsia="仿宋_GB2312"/>
          <w:sz w:val="32"/>
          <w:szCs w:val="32"/>
          <w:lang w:val="en-US" w:eastAsia="zh-CN"/>
        </w:rPr>
        <w:t>2021</w:t>
      </w:r>
      <w:r>
        <w:rPr>
          <w:rFonts w:hint="eastAsia" w:eastAsia="仿宋_GB2312"/>
          <w:sz w:val="32"/>
          <w:szCs w:val="32"/>
          <w:lang w:eastAsia="zh-CN"/>
        </w:rPr>
        <w:t>】</w:t>
      </w:r>
      <w:r>
        <w:rPr>
          <w:rFonts w:hint="eastAsia" w:eastAsia="仿宋_GB2312"/>
          <w:sz w:val="32"/>
          <w:szCs w:val="32"/>
          <w:lang w:val="en-US" w:eastAsia="zh-CN"/>
        </w:rPr>
        <w:t>18号下达2021年省级卫生健康专项资金</w:t>
      </w:r>
      <w:r>
        <w:rPr>
          <w:rFonts w:hint="eastAsia" w:eastAsia="仿宋_GB2312"/>
          <w:sz w:val="32"/>
          <w:szCs w:val="32"/>
          <w:lang w:eastAsia="zh-CN"/>
        </w:rPr>
        <w:t>（婚检补助</w:t>
      </w:r>
      <w:r>
        <w:rPr>
          <w:rFonts w:hint="eastAsia" w:eastAsia="仿宋_GB2312"/>
          <w:sz w:val="32"/>
          <w:szCs w:val="32"/>
          <w:lang w:val="en-US" w:eastAsia="zh-CN"/>
        </w:rPr>
        <w:t>17.53万元</w:t>
      </w:r>
      <w:r>
        <w:rPr>
          <w:rFonts w:hint="eastAsia" w:eastAsia="仿宋_GB2312"/>
          <w:sz w:val="32"/>
          <w:szCs w:val="32"/>
          <w:lang w:eastAsia="zh-CN"/>
        </w:rPr>
        <w:t>）</w:t>
      </w:r>
    </w:p>
    <w:p>
      <w:pPr>
        <w:numPr>
          <w:ilvl w:val="0"/>
          <w:numId w:val="14"/>
        </w:numPr>
        <w:spacing w:line="560" w:lineRule="exact"/>
        <w:ind w:left="0" w:leftChars="0" w:firstLine="642" w:firstLineChars="200"/>
        <w:rPr>
          <w:rFonts w:eastAsia="仿宋_GB2312"/>
          <w:b/>
          <w:sz w:val="32"/>
          <w:szCs w:val="32"/>
        </w:rPr>
      </w:pPr>
      <w:r>
        <w:rPr>
          <w:rFonts w:eastAsia="仿宋_GB2312"/>
          <w:b/>
          <w:sz w:val="32"/>
          <w:szCs w:val="32"/>
        </w:rPr>
        <w:t>资金使用。</w:t>
      </w:r>
    </w:p>
    <w:p>
      <w:pPr>
        <w:numPr>
          <w:ilvl w:val="0"/>
          <w:numId w:val="0"/>
        </w:numPr>
        <w:spacing w:line="560" w:lineRule="exact"/>
        <w:ind w:leftChars="200" w:firstLine="320" w:firstLineChars="100"/>
        <w:rPr>
          <w:rFonts w:hint="default" w:eastAsia="仿宋_GB2312"/>
          <w:sz w:val="32"/>
          <w:szCs w:val="32"/>
          <w:lang w:val="en-US" w:eastAsia="zh-CN"/>
        </w:rPr>
      </w:pPr>
      <w:r>
        <w:rPr>
          <w:rFonts w:hint="eastAsia" w:eastAsia="仿宋_GB2312"/>
          <w:sz w:val="32"/>
          <w:szCs w:val="32"/>
          <w:lang w:val="en-US" w:eastAsia="zh-CN"/>
        </w:rPr>
        <w:t>2020年免费婚前医学检查项目资金到位后统一支付，用于支付试剂及耗材款。</w:t>
      </w:r>
    </w:p>
    <w:p>
      <w:pPr>
        <w:spacing w:line="560" w:lineRule="exact"/>
        <w:ind w:firstLine="640" w:firstLineChars="200"/>
        <w:rPr>
          <w:rFonts w:eastAsia="楷体_GB2312"/>
          <w:sz w:val="32"/>
          <w:szCs w:val="32"/>
        </w:rPr>
      </w:pPr>
      <w:r>
        <w:rPr>
          <w:rFonts w:eastAsia="楷体_GB2312"/>
          <w:sz w:val="32"/>
          <w:szCs w:val="32"/>
        </w:rPr>
        <w:t>（三）项目财务管理情况。</w:t>
      </w:r>
    </w:p>
    <w:p>
      <w:pPr>
        <w:autoSpaceDE/>
        <w:autoSpaceDN/>
        <w:adjustRightInd/>
        <w:spacing w:line="560" w:lineRule="exact"/>
        <w:ind w:firstLine="640" w:firstLineChars="200"/>
        <w:jc w:val="left"/>
        <w:rPr>
          <w:rFonts w:ascii="Times New Roman" w:hAnsi="Times New Roman" w:eastAsia="仿宋_GB2312"/>
          <w:kern w:val="0"/>
          <w:sz w:val="32"/>
          <w:szCs w:val="32"/>
        </w:rPr>
      </w:pPr>
      <w:r>
        <w:rPr>
          <w:rFonts w:hint="eastAsia" w:eastAsia="仿宋_GB2312"/>
          <w:sz w:val="32"/>
          <w:szCs w:val="32"/>
          <w:lang w:eastAsia="zh-CN"/>
        </w:rPr>
        <w:t>我中心有健全的</w:t>
      </w:r>
      <w:r>
        <w:rPr>
          <w:rFonts w:eastAsia="仿宋_GB2312"/>
          <w:sz w:val="32"/>
          <w:szCs w:val="32"/>
        </w:rPr>
        <w:t>单位财务管理制度，严格执行财务管理制度，账务处理</w:t>
      </w:r>
      <w:r>
        <w:rPr>
          <w:rFonts w:hint="eastAsia" w:eastAsia="仿宋_GB2312"/>
          <w:sz w:val="32"/>
          <w:szCs w:val="32"/>
          <w:lang w:eastAsia="zh-CN"/>
        </w:rPr>
        <w:t>都比较</w:t>
      </w:r>
      <w:r>
        <w:rPr>
          <w:rFonts w:eastAsia="仿宋_GB2312"/>
          <w:sz w:val="32"/>
          <w:szCs w:val="32"/>
        </w:rPr>
        <w:t>及时，</w:t>
      </w:r>
      <w:r>
        <w:rPr>
          <w:rFonts w:hint="eastAsia" w:eastAsia="仿宋_GB2312"/>
          <w:sz w:val="32"/>
          <w:szCs w:val="32"/>
          <w:lang w:eastAsia="zh-CN"/>
        </w:rPr>
        <w:t>有规范的会计核算</w:t>
      </w:r>
      <w:r>
        <w:rPr>
          <w:rFonts w:eastAsia="仿宋_GB2312"/>
          <w:sz w:val="32"/>
          <w:szCs w:val="32"/>
        </w:rPr>
        <w:t>。</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三、项目实施及管理情况</w:t>
      </w:r>
    </w:p>
    <w:p>
      <w:pPr>
        <w:autoSpaceDE w:val="0"/>
        <w:autoSpaceDN w:val="0"/>
        <w:adjustRightInd w:val="0"/>
        <w:spacing w:line="600" w:lineRule="exact"/>
        <w:ind w:firstLine="640" w:firstLineChars="200"/>
        <w:jc w:val="left"/>
        <w:rPr>
          <w:rFonts w:eastAsia="仿宋_GB2312"/>
          <w:sz w:val="32"/>
          <w:szCs w:val="32"/>
        </w:rPr>
      </w:pPr>
      <w:r>
        <w:rPr>
          <w:rFonts w:ascii="Times New Roman" w:hAnsi="Times New Roman" w:eastAsia="仿宋_GB2312"/>
          <w:kern w:val="0"/>
          <w:sz w:val="32"/>
          <w:szCs w:val="32"/>
        </w:rPr>
        <w:t>结合项目组织实施管理办法，重点围绕以下内容进行分析评价，并对自评中发现的问题分析说明。</w:t>
      </w:r>
    </w:p>
    <w:p>
      <w:pPr>
        <w:numPr>
          <w:ilvl w:val="0"/>
          <w:numId w:val="15"/>
        </w:numPr>
        <w:spacing w:line="560" w:lineRule="exact"/>
        <w:ind w:firstLine="640" w:firstLineChars="200"/>
        <w:rPr>
          <w:rFonts w:eastAsia="楷体_GB2312"/>
          <w:sz w:val="32"/>
          <w:szCs w:val="32"/>
        </w:rPr>
      </w:pPr>
      <w:r>
        <w:rPr>
          <w:rFonts w:eastAsia="楷体_GB2312"/>
          <w:sz w:val="32"/>
          <w:szCs w:val="32"/>
        </w:rPr>
        <w:t>项目组织架构及实施流程。</w:t>
      </w:r>
    </w:p>
    <w:p>
      <w:pPr>
        <w:numPr>
          <w:ilvl w:val="0"/>
          <w:numId w:val="0"/>
        </w:numPr>
        <w:spacing w:line="560" w:lineRule="exact"/>
        <w:ind w:firstLine="960" w:firstLineChars="300"/>
        <w:rPr>
          <w:rFonts w:hint="eastAsia" w:ascii="仿宋_GB2312" w:hAnsi="Lucida Sans Unicode" w:eastAsia="仿宋_GB2312" w:cs="Lucida Sans Unicode"/>
          <w:color w:val="000000"/>
          <w:sz w:val="32"/>
          <w:szCs w:val="32"/>
          <w:lang w:eastAsia="zh-CN"/>
        </w:rPr>
      </w:pPr>
      <w:r>
        <w:rPr>
          <w:rFonts w:hint="eastAsia" w:ascii="仿宋_GB2312" w:hAnsi="Lucida Sans Unicode" w:eastAsia="仿宋_GB2312" w:cs="Lucida Sans Unicode"/>
          <w:color w:val="000000"/>
          <w:sz w:val="32"/>
          <w:szCs w:val="32"/>
        </w:rPr>
        <w:t>加强多部门合作，婚检率进一步提高积极与县民政、计生等部门协调，利用结婚登记、办理《生育证》等时机向准备结婚的男女青年宣传免费婚检的政策及好处，促使其到妇计中心进行免费婚前检查。通过以上一系列措施和方法，我</w:t>
      </w:r>
      <w:r>
        <w:rPr>
          <w:rFonts w:hint="eastAsia" w:ascii="仿宋_GB2312" w:hAnsi="Lucida Sans Unicode" w:eastAsia="仿宋_GB2312" w:cs="Lucida Sans Unicode"/>
          <w:color w:val="000000"/>
          <w:sz w:val="32"/>
          <w:szCs w:val="32"/>
          <w:lang w:eastAsia="zh-CN"/>
        </w:rPr>
        <w:t>中心</w:t>
      </w:r>
      <w:r>
        <w:rPr>
          <w:rFonts w:hint="eastAsia" w:ascii="仿宋_GB2312" w:hAnsi="Lucida Sans Unicode" w:eastAsia="仿宋_GB2312" w:cs="Lucida Sans Unicode"/>
          <w:color w:val="000000"/>
          <w:sz w:val="32"/>
          <w:szCs w:val="32"/>
        </w:rPr>
        <w:t>20</w:t>
      </w:r>
      <w:r>
        <w:rPr>
          <w:rFonts w:hint="eastAsia" w:ascii="仿宋_GB2312" w:hAnsi="Lucida Sans Unicode" w:eastAsia="仿宋_GB2312" w:cs="Lucida Sans Unicode"/>
          <w:color w:val="000000"/>
          <w:sz w:val="32"/>
          <w:szCs w:val="32"/>
          <w:lang w:val="en-US" w:eastAsia="zh-CN"/>
        </w:rPr>
        <w:t>21</w:t>
      </w:r>
      <w:r>
        <w:rPr>
          <w:rFonts w:hint="eastAsia" w:ascii="仿宋_GB2312" w:hAnsi="Lucida Sans Unicode" w:eastAsia="仿宋_GB2312" w:cs="Lucida Sans Unicode"/>
          <w:color w:val="000000"/>
          <w:sz w:val="32"/>
          <w:szCs w:val="32"/>
        </w:rPr>
        <w:t>年1-12月</w:t>
      </w:r>
      <w:r>
        <w:rPr>
          <w:rFonts w:hint="eastAsia" w:ascii="仿宋_GB2312" w:hAnsi="Lucida Sans Unicode" w:eastAsia="仿宋_GB2312" w:cs="Lucida Sans Unicode"/>
          <w:color w:val="000000"/>
          <w:sz w:val="32"/>
          <w:szCs w:val="32"/>
          <w:lang w:eastAsia="zh-CN"/>
        </w:rPr>
        <w:t>完成</w:t>
      </w:r>
      <w:r>
        <w:rPr>
          <w:rFonts w:hint="eastAsia" w:ascii="仿宋_GB2312" w:hAnsi="Lucida Sans Unicode" w:eastAsia="仿宋_GB2312" w:cs="Lucida Sans Unicode"/>
          <w:color w:val="000000"/>
          <w:sz w:val="32"/>
          <w:szCs w:val="32"/>
        </w:rPr>
        <w:t>免费婚检</w:t>
      </w:r>
      <w:r>
        <w:rPr>
          <w:rFonts w:hint="eastAsia" w:ascii="仿宋_GB2312" w:hAnsi="Lucida Sans Unicode" w:eastAsia="仿宋_GB2312" w:cs="Lucida Sans Unicode"/>
          <w:color w:val="000000"/>
          <w:sz w:val="32"/>
          <w:szCs w:val="32"/>
          <w:lang w:val="en-US" w:eastAsia="zh-CN"/>
        </w:rPr>
        <w:t>1247</w:t>
      </w:r>
      <w:r>
        <w:rPr>
          <w:rFonts w:hint="eastAsia" w:ascii="仿宋_GB2312" w:hAnsi="Lucida Sans Unicode" w:eastAsia="仿宋_GB2312" w:cs="Lucida Sans Unicode"/>
          <w:color w:val="000000"/>
          <w:sz w:val="32"/>
          <w:szCs w:val="32"/>
        </w:rPr>
        <w:t>人</w:t>
      </w:r>
      <w:r>
        <w:rPr>
          <w:rFonts w:hint="eastAsia" w:ascii="仿宋_GB2312" w:hAnsi="Lucida Sans Unicode" w:eastAsia="仿宋_GB2312" w:cs="Lucida Sans Unicode"/>
          <w:color w:val="000000"/>
          <w:sz w:val="32"/>
          <w:szCs w:val="32"/>
          <w:lang w:eastAsia="zh-CN"/>
        </w:rPr>
        <w:t>。</w:t>
      </w:r>
    </w:p>
    <w:p>
      <w:pPr>
        <w:numPr>
          <w:ilvl w:val="0"/>
          <w:numId w:val="15"/>
        </w:numPr>
        <w:spacing w:line="560" w:lineRule="exact"/>
        <w:ind w:left="0" w:leftChars="0" w:firstLine="640" w:firstLineChars="200"/>
        <w:rPr>
          <w:rFonts w:eastAsia="楷体_GB2312"/>
          <w:sz w:val="32"/>
          <w:szCs w:val="32"/>
        </w:rPr>
      </w:pPr>
      <w:r>
        <w:rPr>
          <w:rFonts w:eastAsia="楷体_GB2312"/>
          <w:sz w:val="32"/>
          <w:szCs w:val="32"/>
        </w:rPr>
        <w:t>项目管理情况。</w:t>
      </w:r>
    </w:p>
    <w:p>
      <w:pPr>
        <w:spacing w:line="353" w:lineRule="auto"/>
        <w:ind w:firstLine="640" w:firstLineChars="200"/>
        <w:rPr>
          <w:rFonts w:eastAsia="楷体_GB2312"/>
          <w:sz w:val="32"/>
          <w:szCs w:val="32"/>
        </w:rPr>
      </w:pPr>
      <w:r>
        <w:rPr>
          <w:rFonts w:hint="eastAsia" w:ascii="仿宋_GB2312" w:hAnsi="Lucida Sans Unicode" w:eastAsia="仿宋_GB2312" w:cs="Lucida Sans Unicode"/>
          <w:color w:val="000000"/>
          <w:sz w:val="32"/>
          <w:szCs w:val="32"/>
        </w:rPr>
        <w:t>确保免费婚检工作质量</w:t>
      </w:r>
      <w:r>
        <w:rPr>
          <w:rFonts w:hint="eastAsia" w:ascii="仿宋_GB2312" w:hAnsi="Lucida Sans Unicode" w:eastAsia="仿宋_GB2312" w:cs="Lucida Sans Unicode"/>
          <w:color w:val="000000"/>
          <w:sz w:val="32"/>
          <w:szCs w:val="32"/>
          <w:lang w:eastAsia="zh-CN"/>
        </w:rPr>
        <w:t>我</w:t>
      </w:r>
      <w:r>
        <w:rPr>
          <w:rFonts w:hint="eastAsia" w:ascii="仿宋_GB2312" w:hAnsi="Lucida Sans Unicode" w:eastAsia="仿宋_GB2312" w:cs="Lucida Sans Unicode"/>
          <w:color w:val="000000"/>
          <w:sz w:val="32"/>
          <w:szCs w:val="32"/>
        </w:rPr>
        <w:t>中心按有关标准进行合理布局和装修，努力营造温馨、规范和科学的免费婚检环境，建立和健全了各种规章制度和各类人员操作规范，严格按照规定的免费检查项目和操作规程进行各项检查。安排综合素质高，又有丰富临床经验和婚前保健工作经验的中级人员负责婚检工作，并对婚检人员进行全员培训，增强服务意识，提高服务水平和服务质量。</w:t>
      </w:r>
    </w:p>
    <w:p>
      <w:pPr>
        <w:numPr>
          <w:ilvl w:val="0"/>
          <w:numId w:val="15"/>
        </w:numPr>
        <w:spacing w:line="560" w:lineRule="exact"/>
        <w:ind w:left="0" w:leftChars="0" w:firstLine="640" w:firstLineChars="200"/>
        <w:rPr>
          <w:rFonts w:eastAsia="楷体_GB2312"/>
          <w:sz w:val="32"/>
          <w:szCs w:val="32"/>
        </w:rPr>
      </w:pPr>
      <w:r>
        <w:rPr>
          <w:rFonts w:eastAsia="楷体_GB2312"/>
          <w:sz w:val="32"/>
          <w:szCs w:val="32"/>
        </w:rPr>
        <w:t>项目监管情况。</w:t>
      </w:r>
    </w:p>
    <w:p>
      <w:pPr>
        <w:numPr>
          <w:ilvl w:val="0"/>
          <w:numId w:val="0"/>
        </w:numPr>
        <w:spacing w:line="560" w:lineRule="exact"/>
        <w:ind w:leftChars="200" w:firstLine="640" w:firstLineChars="200"/>
        <w:rPr>
          <w:rFonts w:hint="eastAsia" w:eastAsia="仿宋_GB2312"/>
          <w:sz w:val="32"/>
          <w:szCs w:val="32"/>
          <w:lang w:eastAsia="zh-CN"/>
        </w:rPr>
      </w:pPr>
      <w:r>
        <w:rPr>
          <w:rFonts w:hint="eastAsia" w:eastAsia="仿宋_GB2312"/>
          <w:sz w:val="32"/>
          <w:szCs w:val="32"/>
          <w:lang w:eastAsia="zh-CN"/>
        </w:rPr>
        <w:t>县卫生健康局对</w:t>
      </w:r>
      <w:r>
        <w:rPr>
          <w:rFonts w:hint="eastAsia" w:eastAsia="仿宋_GB2312"/>
          <w:sz w:val="32"/>
          <w:szCs w:val="32"/>
          <w:lang w:val="en-US" w:eastAsia="zh-CN"/>
        </w:rPr>
        <w:t>2021年进行绩效考核</w:t>
      </w:r>
      <w:r>
        <w:rPr>
          <w:rFonts w:hint="eastAsia" w:eastAsia="仿宋_GB2312"/>
          <w:sz w:val="32"/>
          <w:szCs w:val="32"/>
          <w:lang w:eastAsia="zh-CN"/>
        </w:rPr>
        <w:t>，结合考核结果来下拨预算。</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jc w:val="left"/>
        <w:rPr>
          <w:rFonts w:hint="eastAsia" w:eastAsia="仿宋_GB2312"/>
          <w:sz w:val="32"/>
          <w:szCs w:val="32"/>
        </w:rPr>
      </w:pPr>
      <w:r>
        <w:rPr>
          <w:rFonts w:hint="eastAsia" w:eastAsia="仿宋_GB2312"/>
          <w:sz w:val="32"/>
          <w:szCs w:val="32"/>
        </w:rPr>
        <w:t xml:space="preserve"> 1、202</w:t>
      </w:r>
      <w:r>
        <w:rPr>
          <w:rFonts w:hint="eastAsia" w:eastAsia="仿宋_GB2312"/>
          <w:sz w:val="32"/>
          <w:szCs w:val="32"/>
          <w:lang w:val="en-US" w:eastAsia="zh-CN"/>
        </w:rPr>
        <w:t>1</w:t>
      </w:r>
      <w:r>
        <w:rPr>
          <w:rFonts w:hint="eastAsia" w:eastAsia="仿宋_GB2312"/>
          <w:sz w:val="32"/>
          <w:szCs w:val="32"/>
        </w:rPr>
        <w:t>年1-12月免费婚检</w:t>
      </w:r>
      <w:r>
        <w:rPr>
          <w:rFonts w:hint="eastAsia" w:eastAsia="仿宋_GB2312"/>
          <w:sz w:val="32"/>
          <w:szCs w:val="32"/>
          <w:lang w:val="en-US" w:eastAsia="zh-CN"/>
        </w:rPr>
        <w:t>1247</w:t>
      </w:r>
      <w:r>
        <w:rPr>
          <w:rFonts w:hint="eastAsia" w:eastAsia="仿宋_GB2312"/>
          <w:sz w:val="32"/>
          <w:szCs w:val="32"/>
        </w:rPr>
        <w:t>人。</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hint="default" w:eastAsia="仿宋_GB2312"/>
          <w:sz w:val="32"/>
          <w:szCs w:val="32"/>
          <w:lang w:val="en-US" w:eastAsia="zh-CN"/>
        </w:rPr>
      </w:pPr>
      <w:r>
        <w:rPr>
          <w:rFonts w:eastAsia="仿宋_GB2312"/>
          <w:sz w:val="32"/>
          <w:szCs w:val="32"/>
        </w:rPr>
        <w:t>经济效益</w:t>
      </w:r>
      <w:r>
        <w:rPr>
          <w:rFonts w:hint="eastAsia" w:eastAsia="仿宋_GB2312"/>
          <w:sz w:val="32"/>
          <w:szCs w:val="32"/>
          <w:lang w:eastAsia="zh-CN"/>
        </w:rPr>
        <w:t>：</w:t>
      </w:r>
      <w:r>
        <w:rPr>
          <w:rFonts w:hint="eastAsia" w:eastAsia="仿宋_GB2312"/>
          <w:sz w:val="32"/>
          <w:szCs w:val="32"/>
          <w:lang w:val="en-US" w:eastAsia="zh-CN"/>
        </w:rPr>
        <w:t>1、减轻了单位负担。</w:t>
      </w:r>
    </w:p>
    <w:p>
      <w:pPr>
        <w:spacing w:line="560" w:lineRule="exact"/>
        <w:ind w:firstLine="640" w:firstLineChars="200"/>
        <w:rPr>
          <w:rFonts w:hint="eastAsia" w:eastAsia="仿宋_GB2312"/>
          <w:sz w:val="32"/>
          <w:szCs w:val="32"/>
          <w:lang w:val="en-US" w:eastAsia="zh-CN"/>
        </w:rPr>
      </w:pPr>
      <w:r>
        <w:rPr>
          <w:rFonts w:eastAsia="仿宋_GB2312"/>
          <w:sz w:val="32"/>
          <w:szCs w:val="32"/>
        </w:rPr>
        <w:t>社会效益</w:t>
      </w:r>
      <w:r>
        <w:rPr>
          <w:rFonts w:hint="eastAsia" w:eastAsia="仿宋_GB2312"/>
          <w:sz w:val="32"/>
          <w:szCs w:val="32"/>
          <w:lang w:eastAsia="zh-CN"/>
        </w:rPr>
        <w:t>：</w:t>
      </w:r>
      <w:r>
        <w:rPr>
          <w:rFonts w:hint="eastAsia" w:eastAsia="仿宋_GB2312"/>
          <w:sz w:val="32"/>
          <w:szCs w:val="32"/>
          <w:lang w:val="en-US" w:eastAsia="zh-CN"/>
        </w:rPr>
        <w:t>1、加强宣传，大造舆论氛围</w:t>
      </w:r>
      <w:r>
        <w:rPr>
          <w:rFonts w:hint="eastAsia" w:eastAsia="仿宋_GB2312"/>
          <w:sz w:val="32"/>
          <w:szCs w:val="32"/>
          <w:lang w:eastAsia="zh-CN"/>
        </w:rPr>
        <w:t>。</w:t>
      </w:r>
      <w:r>
        <w:rPr>
          <w:rFonts w:hint="eastAsia" w:eastAsia="仿宋_GB2312"/>
          <w:sz w:val="32"/>
          <w:szCs w:val="32"/>
          <w:lang w:val="en-US" w:eastAsia="zh-CN"/>
        </w:rPr>
        <w:t>2、发放免费婚检宣传资料3000余份。</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kern w:val="2"/>
          <w:sz w:val="32"/>
          <w:szCs w:val="32"/>
          <w:lang w:val="en-US" w:eastAsia="zh-CN" w:bidi="ar-SA"/>
        </w:rPr>
        <w:t>项目总体指标完成较好，均能完成评价指标，达到预期值。</w:t>
      </w:r>
    </w:p>
    <w:p>
      <w:pPr>
        <w:numPr>
          <w:ilvl w:val="0"/>
          <w:numId w:val="16"/>
        </w:numPr>
        <w:spacing w:line="560" w:lineRule="exact"/>
        <w:ind w:firstLine="640" w:firstLineChars="200"/>
        <w:rPr>
          <w:rFonts w:eastAsia="楷体_GB2312"/>
          <w:sz w:val="32"/>
          <w:szCs w:val="32"/>
        </w:rPr>
      </w:pPr>
      <w:r>
        <w:rPr>
          <w:rFonts w:eastAsia="楷体_GB2312"/>
          <w:sz w:val="32"/>
          <w:szCs w:val="32"/>
        </w:rPr>
        <w:t>存在的问题。</w:t>
      </w:r>
    </w:p>
    <w:p>
      <w:pPr>
        <w:spacing w:line="560" w:lineRule="exact"/>
        <w:ind w:firstLine="640" w:firstLineChars="200"/>
        <w:rPr>
          <w:rFonts w:hint="eastAsia" w:ascii="宋体" w:hAnsi="宋体" w:eastAsia="宋体" w:cs="宋体"/>
          <w:i w:val="0"/>
          <w:caps w:val="0"/>
          <w:color w:val="333333"/>
          <w:spacing w:val="0"/>
          <w:sz w:val="24"/>
          <w:szCs w:val="24"/>
        </w:rPr>
      </w:pPr>
      <w:r>
        <w:rPr>
          <w:rFonts w:hint="eastAsia" w:ascii="仿宋" w:hAnsi="仿宋" w:eastAsia="仿宋" w:cs="仿宋"/>
          <w:i w:val="0"/>
          <w:caps w:val="0"/>
          <w:color w:val="333333"/>
          <w:spacing w:val="0"/>
          <w:sz w:val="32"/>
          <w:szCs w:val="32"/>
        </w:rPr>
        <w:t>中央</w:t>
      </w:r>
      <w:r>
        <w:rPr>
          <w:rFonts w:hint="eastAsia" w:ascii="仿宋" w:hAnsi="仿宋" w:eastAsia="仿宋" w:cs="仿宋"/>
          <w:i w:val="0"/>
          <w:caps w:val="0"/>
          <w:color w:val="333333"/>
          <w:spacing w:val="0"/>
          <w:sz w:val="32"/>
          <w:szCs w:val="32"/>
          <w:lang w:eastAsia="zh-CN"/>
        </w:rPr>
        <w:t>、省、市级</w:t>
      </w:r>
      <w:r>
        <w:rPr>
          <w:rFonts w:hint="eastAsia" w:ascii="仿宋" w:hAnsi="仿宋" w:eastAsia="仿宋" w:cs="仿宋"/>
          <w:i w:val="0"/>
          <w:caps w:val="0"/>
          <w:color w:val="333333"/>
          <w:spacing w:val="0"/>
          <w:sz w:val="32"/>
          <w:szCs w:val="32"/>
        </w:rPr>
        <w:t>补助资金有限，地方财政困难，经费投入难以满足群众对</w:t>
      </w:r>
      <w:r>
        <w:rPr>
          <w:rFonts w:hint="eastAsia" w:ascii="仿宋" w:hAnsi="仿宋" w:eastAsia="仿宋" w:cs="仿宋"/>
          <w:i w:val="0"/>
          <w:caps w:val="0"/>
          <w:color w:val="333333"/>
          <w:spacing w:val="0"/>
          <w:sz w:val="32"/>
          <w:szCs w:val="32"/>
          <w:lang w:eastAsia="zh-CN"/>
        </w:rPr>
        <w:t>免费婚前医学检查</w:t>
      </w:r>
      <w:r>
        <w:rPr>
          <w:rFonts w:hint="eastAsia" w:ascii="仿宋" w:hAnsi="仿宋" w:eastAsia="仿宋" w:cs="仿宋"/>
          <w:i w:val="0"/>
          <w:caps w:val="0"/>
          <w:color w:val="333333"/>
          <w:spacing w:val="0"/>
          <w:sz w:val="32"/>
          <w:szCs w:val="32"/>
        </w:rPr>
        <w:t>工作的需求。部分</w:t>
      </w:r>
      <w:r>
        <w:rPr>
          <w:rFonts w:hint="eastAsia" w:ascii="仿宋" w:hAnsi="仿宋" w:eastAsia="仿宋" w:cs="仿宋"/>
          <w:i w:val="0"/>
          <w:caps w:val="0"/>
          <w:color w:val="333333"/>
          <w:spacing w:val="0"/>
          <w:sz w:val="32"/>
          <w:szCs w:val="32"/>
          <w:lang w:eastAsia="zh-CN"/>
        </w:rPr>
        <w:t>地区</w:t>
      </w:r>
      <w:r>
        <w:rPr>
          <w:rFonts w:hint="eastAsia" w:ascii="仿宋" w:hAnsi="仿宋" w:eastAsia="仿宋" w:cs="仿宋"/>
          <w:i w:val="0"/>
          <w:caps w:val="0"/>
          <w:color w:val="333333"/>
          <w:spacing w:val="0"/>
          <w:sz w:val="32"/>
          <w:szCs w:val="32"/>
        </w:rPr>
        <w:t>预算执行进度不理想，究其原因既有项目单位报账不及时，未形成有效支出的原因，也有财政调度安排不及时、拨付不到位的问题。下一步我</w:t>
      </w:r>
      <w:r>
        <w:rPr>
          <w:rFonts w:hint="eastAsia" w:ascii="仿宋" w:hAnsi="仿宋" w:eastAsia="仿宋" w:cs="仿宋"/>
          <w:i w:val="0"/>
          <w:caps w:val="0"/>
          <w:color w:val="333333"/>
          <w:spacing w:val="0"/>
          <w:sz w:val="32"/>
          <w:szCs w:val="32"/>
          <w:lang w:eastAsia="zh-CN"/>
        </w:rPr>
        <w:t>中心</w:t>
      </w:r>
      <w:r>
        <w:rPr>
          <w:rFonts w:hint="eastAsia" w:ascii="仿宋" w:hAnsi="仿宋" w:eastAsia="仿宋" w:cs="仿宋"/>
          <w:i w:val="0"/>
          <w:caps w:val="0"/>
          <w:color w:val="333333"/>
          <w:spacing w:val="0"/>
          <w:sz w:val="32"/>
          <w:szCs w:val="32"/>
        </w:rPr>
        <w:t>将加大沟通协调力度，强化督导检查，</w:t>
      </w:r>
      <w:r>
        <w:rPr>
          <w:rFonts w:hint="eastAsia" w:ascii="仿宋" w:hAnsi="仿宋" w:eastAsia="仿宋" w:cs="仿宋"/>
          <w:i w:val="0"/>
          <w:caps w:val="0"/>
          <w:color w:val="333333"/>
          <w:spacing w:val="0"/>
          <w:sz w:val="32"/>
          <w:szCs w:val="32"/>
          <w:lang w:eastAsia="zh-CN"/>
        </w:rPr>
        <w:t>及时支付各项项目经费，</w:t>
      </w:r>
      <w:r>
        <w:rPr>
          <w:rFonts w:hint="eastAsia" w:ascii="仿宋" w:hAnsi="仿宋" w:eastAsia="仿宋" w:cs="仿宋"/>
          <w:i w:val="0"/>
          <w:caps w:val="0"/>
          <w:color w:val="333333"/>
          <w:spacing w:val="0"/>
          <w:sz w:val="32"/>
          <w:szCs w:val="32"/>
        </w:rPr>
        <w:t>提高项目资金执行力度，确保工作有效落实</w:t>
      </w:r>
      <w:r>
        <w:rPr>
          <w:rFonts w:hint="eastAsia" w:ascii="宋体" w:hAnsi="宋体" w:eastAsia="宋体" w:cs="宋体"/>
          <w:i w:val="0"/>
          <w:caps w:val="0"/>
          <w:color w:val="333333"/>
          <w:spacing w:val="0"/>
          <w:sz w:val="24"/>
          <w:szCs w:val="24"/>
        </w:rPr>
        <w:t>。</w:t>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i w:val="0"/>
          <w:caps w:val="0"/>
          <w:color w:val="333333"/>
          <w:spacing w:val="0"/>
          <w:sz w:val="32"/>
          <w:szCs w:val="32"/>
        </w:rPr>
        <w:t>建议</w:t>
      </w:r>
      <w:r>
        <w:rPr>
          <w:rFonts w:hint="eastAsia" w:ascii="仿宋" w:hAnsi="仿宋" w:eastAsia="仿宋" w:cs="仿宋"/>
          <w:i w:val="0"/>
          <w:caps w:val="0"/>
          <w:color w:val="333333"/>
          <w:spacing w:val="0"/>
          <w:sz w:val="32"/>
          <w:szCs w:val="32"/>
          <w:lang w:eastAsia="zh-CN"/>
        </w:rPr>
        <w:t>中央</w:t>
      </w:r>
      <w:r>
        <w:rPr>
          <w:rFonts w:hint="eastAsia" w:ascii="仿宋" w:hAnsi="仿宋" w:eastAsia="仿宋" w:cs="仿宋"/>
          <w:i w:val="0"/>
          <w:caps w:val="0"/>
          <w:color w:val="333333"/>
          <w:spacing w:val="0"/>
          <w:sz w:val="32"/>
          <w:szCs w:val="32"/>
        </w:rPr>
        <w:t>、省</w:t>
      </w:r>
      <w:r>
        <w:rPr>
          <w:rFonts w:hint="eastAsia" w:ascii="仿宋" w:hAnsi="仿宋" w:eastAsia="仿宋" w:cs="仿宋"/>
          <w:i w:val="0"/>
          <w:caps w:val="0"/>
          <w:color w:val="333333"/>
          <w:spacing w:val="0"/>
          <w:sz w:val="32"/>
          <w:szCs w:val="32"/>
          <w:lang w:eastAsia="zh-CN"/>
        </w:rPr>
        <w:t>、市、县</w:t>
      </w:r>
      <w:r>
        <w:rPr>
          <w:rFonts w:hint="eastAsia" w:ascii="仿宋" w:hAnsi="仿宋" w:eastAsia="仿宋" w:cs="仿宋"/>
          <w:i w:val="0"/>
          <w:caps w:val="0"/>
          <w:color w:val="333333"/>
          <w:spacing w:val="0"/>
          <w:sz w:val="32"/>
          <w:szCs w:val="32"/>
        </w:rPr>
        <w:t>增</w:t>
      </w:r>
      <w:r>
        <w:rPr>
          <w:rFonts w:hint="eastAsia" w:ascii="仿宋" w:hAnsi="仿宋" w:eastAsia="仿宋" w:cs="仿宋"/>
          <w:i w:val="0"/>
          <w:caps w:val="0"/>
          <w:color w:val="333333"/>
          <w:spacing w:val="0"/>
          <w:sz w:val="32"/>
          <w:szCs w:val="32"/>
          <w:lang w:eastAsia="zh-CN"/>
        </w:rPr>
        <w:t>加免费婚前医学检查的</w:t>
      </w:r>
      <w:r>
        <w:rPr>
          <w:rFonts w:hint="eastAsia" w:ascii="仿宋" w:hAnsi="仿宋" w:eastAsia="仿宋" w:cs="仿宋"/>
          <w:i w:val="0"/>
          <w:caps w:val="0"/>
          <w:color w:val="333333"/>
          <w:spacing w:val="0"/>
          <w:sz w:val="32"/>
          <w:szCs w:val="32"/>
        </w:rPr>
        <w:t>项目经费，用于当地多部门合作开展</w:t>
      </w:r>
      <w:r>
        <w:rPr>
          <w:rFonts w:hint="eastAsia" w:ascii="仿宋" w:hAnsi="仿宋" w:eastAsia="仿宋" w:cs="仿宋"/>
          <w:i w:val="0"/>
          <w:caps w:val="0"/>
          <w:color w:val="333333"/>
          <w:spacing w:val="0"/>
          <w:sz w:val="32"/>
          <w:szCs w:val="32"/>
          <w:lang w:eastAsia="zh-CN"/>
        </w:rPr>
        <w:t>免费婚前医学检查的</w:t>
      </w:r>
      <w:r>
        <w:rPr>
          <w:rFonts w:hint="eastAsia" w:ascii="仿宋" w:hAnsi="仿宋" w:eastAsia="仿宋" w:cs="仿宋"/>
          <w:i w:val="0"/>
          <w:caps w:val="0"/>
          <w:color w:val="333333"/>
          <w:spacing w:val="0"/>
          <w:sz w:val="32"/>
          <w:szCs w:val="32"/>
        </w:rPr>
        <w:t>项目工作，不断加大</w:t>
      </w:r>
      <w:r>
        <w:rPr>
          <w:rFonts w:hint="eastAsia" w:ascii="仿宋" w:hAnsi="仿宋" w:eastAsia="仿宋" w:cs="仿宋"/>
          <w:i w:val="0"/>
          <w:caps w:val="0"/>
          <w:color w:val="333333"/>
          <w:spacing w:val="0"/>
          <w:sz w:val="32"/>
          <w:szCs w:val="32"/>
          <w:lang w:eastAsia="zh-CN"/>
        </w:rPr>
        <w:t>宣传</w:t>
      </w:r>
      <w:r>
        <w:rPr>
          <w:rFonts w:hint="eastAsia" w:ascii="仿宋" w:hAnsi="仿宋" w:eastAsia="仿宋" w:cs="仿宋"/>
          <w:i w:val="0"/>
          <w:caps w:val="0"/>
          <w:color w:val="333333"/>
          <w:spacing w:val="0"/>
          <w:sz w:val="32"/>
          <w:szCs w:val="32"/>
        </w:rPr>
        <w:t>力度，扩大防治覆盖面和提高有效性，有效控制</w:t>
      </w:r>
      <w:r>
        <w:rPr>
          <w:rFonts w:hint="eastAsia" w:ascii="仿宋" w:hAnsi="仿宋" w:eastAsia="仿宋" w:cs="仿宋"/>
          <w:i w:val="0"/>
          <w:caps w:val="0"/>
          <w:color w:val="333333"/>
          <w:spacing w:val="0"/>
          <w:sz w:val="32"/>
          <w:szCs w:val="32"/>
          <w:lang w:eastAsia="zh-CN"/>
        </w:rPr>
        <w:t>提高</w:t>
      </w:r>
      <w:r>
        <w:rPr>
          <w:rFonts w:hint="eastAsia" w:ascii="仿宋" w:hAnsi="仿宋" w:eastAsia="仿宋" w:cs="仿宋"/>
          <w:i w:val="0"/>
          <w:caps w:val="0"/>
          <w:color w:val="333333"/>
          <w:spacing w:val="0"/>
          <w:sz w:val="32"/>
          <w:szCs w:val="32"/>
        </w:rPr>
        <w:t>。</w:t>
      </w:r>
    </w:p>
    <w:p>
      <w:pPr>
        <w:spacing w:line="560" w:lineRule="exact"/>
        <w:rPr>
          <w:rFonts w:hint="eastAsia" w:ascii="仿宋" w:hAnsi="仿宋" w:eastAsia="仿宋" w:cs="仿宋"/>
          <w:sz w:val="32"/>
          <w:szCs w:val="32"/>
        </w:rPr>
      </w:pPr>
    </w:p>
    <w:p>
      <w:pPr>
        <w:spacing w:line="600" w:lineRule="exact"/>
        <w:jc w:val="center"/>
        <w:outlineLvl w:val="0"/>
        <w:rPr>
          <w:rFonts w:hint="eastAsia" w:ascii="黑体" w:hAnsi="黑体" w:eastAsia="黑体"/>
          <w:sz w:val="44"/>
          <w:szCs w:val="44"/>
        </w:rPr>
      </w:pPr>
      <w:r>
        <w:rPr>
          <w:rFonts w:hint="eastAsia" w:ascii="黑体" w:hAnsi="黑体" w:eastAsia="黑体" w:cs="仿宋_GB2312"/>
          <w:sz w:val="32"/>
          <w:szCs w:val="32"/>
          <w:lang w:val="en-US" w:eastAsia="zh-CN"/>
        </w:rPr>
        <w:t xml:space="preserve">                          </w:t>
      </w:r>
    </w:p>
    <w:tbl>
      <w:tblPr>
        <w:tblStyle w:val="13"/>
        <w:tblpPr w:leftFromText="180" w:rightFromText="180" w:vertAnchor="text" w:horzAnchor="page" w:tblpX="1690" w:tblpY="3111"/>
        <w:tblOverlap w:val="never"/>
        <w:tblW w:w="9990" w:type="dxa"/>
        <w:tblInd w:w="0" w:type="dxa"/>
        <w:tblLayout w:type="autofit"/>
        <w:tblCellMar>
          <w:top w:w="0" w:type="dxa"/>
          <w:left w:w="108" w:type="dxa"/>
          <w:bottom w:w="0" w:type="dxa"/>
          <w:right w:w="108" w:type="dxa"/>
        </w:tblCellMar>
      </w:tblPr>
      <w:tblGrid>
        <w:gridCol w:w="740"/>
        <w:gridCol w:w="733"/>
        <w:gridCol w:w="988"/>
        <w:gridCol w:w="1971"/>
        <w:gridCol w:w="1527"/>
        <w:gridCol w:w="1468"/>
        <w:gridCol w:w="1076"/>
        <w:gridCol w:w="1487"/>
      </w:tblGrid>
      <w:tr>
        <w:tblPrEx>
          <w:tblCellMar>
            <w:top w:w="0" w:type="dxa"/>
            <w:left w:w="108" w:type="dxa"/>
            <w:bottom w:w="0" w:type="dxa"/>
            <w:right w:w="108" w:type="dxa"/>
          </w:tblCellMar>
        </w:tblPrEx>
        <w:trPr>
          <w:trHeight w:val="285" w:hRule="atLeast"/>
        </w:trPr>
        <w:tc>
          <w:tcPr>
            <w:tcW w:w="9990" w:type="dxa"/>
            <w:gridSpan w:val="8"/>
            <w:tcBorders>
              <w:top w:val="nil"/>
              <w:left w:val="nil"/>
              <w:bottom w:val="nil"/>
              <w:right w:val="nil"/>
            </w:tcBorders>
            <w:shd w:val="clear" w:color="auto" w:fill="auto"/>
            <w:vAlign w:val="center"/>
          </w:tcPr>
          <w:p>
            <w:pPr>
              <w:widowControl/>
              <w:jc w:val="center"/>
              <w:rPr>
                <w:rFonts w:hint="eastAsia" w:ascii="宋体" w:hAnsi="宋体" w:cs="宋体"/>
                <w:b/>
                <w:bCs/>
                <w:kern w:val="0"/>
                <w:sz w:val="44"/>
                <w:szCs w:val="44"/>
                <w:lang w:eastAsia="zh-CN"/>
              </w:rPr>
            </w:pPr>
            <w:r>
              <w:rPr>
                <w:rFonts w:hint="eastAsia" w:ascii="宋体" w:hAnsi="宋体" w:cs="宋体"/>
                <w:b/>
                <w:bCs/>
                <w:kern w:val="0"/>
                <w:sz w:val="44"/>
                <w:szCs w:val="44"/>
                <w:lang w:eastAsia="zh-CN"/>
              </w:rPr>
              <w:t>专项（项目）资金绩效自评表</w:t>
            </w:r>
          </w:p>
          <w:p>
            <w:pPr>
              <w:widowControl/>
              <w:jc w:val="center"/>
              <w:rPr>
                <w:rFonts w:ascii="宋体" w:hAnsi="宋体" w:cs="宋体"/>
                <w:kern w:val="0"/>
                <w:sz w:val="24"/>
              </w:rPr>
            </w:pPr>
            <w:r>
              <w:rPr>
                <w:rFonts w:hint="eastAsia" w:ascii="宋体" w:hAnsi="宋体" w:cs="宋体"/>
                <w:kern w:val="0"/>
                <w:sz w:val="24"/>
              </w:rPr>
              <w:t>（</w:t>
            </w:r>
            <w:r>
              <w:rPr>
                <w:kern w:val="0"/>
                <w:sz w:val="24"/>
              </w:rPr>
              <w:t>2021</w:t>
            </w:r>
            <w:r>
              <w:rPr>
                <w:rFonts w:hint="eastAsia" w:ascii="宋体" w:hAnsi="宋体" w:cs="宋体"/>
                <w:kern w:val="0"/>
                <w:sz w:val="24"/>
              </w:rPr>
              <w:t>年度）</w:t>
            </w:r>
          </w:p>
        </w:tc>
      </w:tr>
      <w:tr>
        <w:tblPrEx>
          <w:tblCellMar>
            <w:top w:w="0" w:type="dxa"/>
            <w:left w:w="108" w:type="dxa"/>
            <w:bottom w:w="0" w:type="dxa"/>
            <w:right w:w="108" w:type="dxa"/>
          </w:tblCellMar>
        </w:tblPrEx>
        <w:trPr>
          <w:trHeight w:val="285" w:hRule="atLeast"/>
        </w:trPr>
        <w:tc>
          <w:tcPr>
            <w:tcW w:w="740" w:type="dxa"/>
            <w:tcBorders>
              <w:top w:val="nil"/>
              <w:left w:val="nil"/>
              <w:bottom w:val="single" w:color="auto" w:sz="4" w:space="0"/>
              <w:right w:val="nil"/>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734" w:type="dxa"/>
            <w:tcBorders>
              <w:top w:val="nil"/>
              <w:left w:val="nil"/>
              <w:bottom w:val="single" w:color="auto" w:sz="4" w:space="0"/>
              <w:right w:val="nil"/>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w:t>
            </w:r>
          </w:p>
        </w:tc>
        <w:tc>
          <w:tcPr>
            <w:tcW w:w="988" w:type="dxa"/>
            <w:tcBorders>
              <w:top w:val="nil"/>
              <w:left w:val="nil"/>
              <w:bottom w:val="nil"/>
              <w:right w:val="nil"/>
            </w:tcBorders>
            <w:shd w:val="clear" w:color="auto" w:fill="auto"/>
            <w:vAlign w:val="center"/>
          </w:tcPr>
          <w:p>
            <w:pPr>
              <w:widowControl/>
              <w:jc w:val="left"/>
              <w:rPr>
                <w:rFonts w:ascii="宋体" w:hAnsi="宋体" w:cs="宋体"/>
                <w:kern w:val="0"/>
                <w:sz w:val="24"/>
              </w:rPr>
            </w:pPr>
          </w:p>
        </w:tc>
        <w:tc>
          <w:tcPr>
            <w:tcW w:w="1972" w:type="dxa"/>
            <w:tcBorders>
              <w:top w:val="nil"/>
              <w:left w:val="nil"/>
              <w:bottom w:val="nil"/>
              <w:right w:val="nil"/>
            </w:tcBorders>
            <w:shd w:val="clear" w:color="auto" w:fill="auto"/>
            <w:vAlign w:val="center"/>
          </w:tcPr>
          <w:p>
            <w:pPr>
              <w:widowControl/>
              <w:jc w:val="left"/>
              <w:rPr>
                <w:rFonts w:ascii="宋体" w:hAnsi="宋体" w:cs="宋体"/>
                <w:kern w:val="0"/>
                <w:sz w:val="24"/>
              </w:rPr>
            </w:pPr>
          </w:p>
        </w:tc>
        <w:tc>
          <w:tcPr>
            <w:tcW w:w="1527" w:type="dxa"/>
            <w:tcBorders>
              <w:top w:val="nil"/>
              <w:left w:val="nil"/>
              <w:bottom w:val="nil"/>
              <w:right w:val="nil"/>
            </w:tcBorders>
            <w:shd w:val="clear" w:color="auto" w:fill="auto"/>
            <w:vAlign w:val="center"/>
          </w:tcPr>
          <w:p>
            <w:pPr>
              <w:widowControl/>
              <w:jc w:val="left"/>
              <w:rPr>
                <w:rFonts w:ascii="宋体" w:hAnsi="宋体" w:cs="宋体"/>
                <w:kern w:val="0"/>
                <w:sz w:val="24"/>
              </w:rPr>
            </w:pPr>
          </w:p>
        </w:tc>
        <w:tc>
          <w:tcPr>
            <w:tcW w:w="1468" w:type="dxa"/>
            <w:tcBorders>
              <w:top w:val="nil"/>
              <w:left w:val="nil"/>
              <w:bottom w:val="nil"/>
              <w:right w:val="nil"/>
            </w:tcBorders>
            <w:shd w:val="clear" w:color="auto" w:fill="auto"/>
            <w:vAlign w:val="center"/>
          </w:tcPr>
          <w:p>
            <w:pPr>
              <w:widowControl/>
              <w:jc w:val="left"/>
              <w:rPr>
                <w:rFonts w:ascii="宋体" w:hAnsi="宋体" w:cs="宋体"/>
                <w:kern w:val="0"/>
                <w:sz w:val="24"/>
              </w:rPr>
            </w:pPr>
          </w:p>
        </w:tc>
        <w:tc>
          <w:tcPr>
            <w:tcW w:w="1074" w:type="dxa"/>
            <w:tcBorders>
              <w:top w:val="nil"/>
              <w:left w:val="nil"/>
              <w:bottom w:val="nil"/>
              <w:right w:val="nil"/>
            </w:tcBorders>
            <w:shd w:val="clear" w:color="auto" w:fill="auto"/>
            <w:vAlign w:val="center"/>
          </w:tcPr>
          <w:p>
            <w:pPr>
              <w:widowControl/>
              <w:jc w:val="left"/>
              <w:rPr>
                <w:rFonts w:ascii="宋体" w:hAnsi="宋体" w:cs="宋体"/>
                <w:kern w:val="0"/>
                <w:sz w:val="24"/>
              </w:rPr>
            </w:pPr>
          </w:p>
        </w:tc>
        <w:tc>
          <w:tcPr>
            <w:tcW w:w="1487" w:type="dxa"/>
            <w:tcBorders>
              <w:top w:val="nil"/>
              <w:left w:val="nil"/>
              <w:bottom w:val="nil"/>
              <w:right w:val="nil"/>
            </w:tcBorders>
            <w:shd w:val="clear" w:color="auto" w:fill="auto"/>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285" w:hRule="atLeast"/>
        </w:trPr>
        <w:tc>
          <w:tcPr>
            <w:tcW w:w="2462" w:type="dxa"/>
            <w:gridSpan w:val="3"/>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专项（项目）名称</w:t>
            </w:r>
          </w:p>
        </w:tc>
        <w:tc>
          <w:tcPr>
            <w:tcW w:w="7528" w:type="dxa"/>
            <w:gridSpan w:val="5"/>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婚前医学检查</w:t>
            </w:r>
          </w:p>
        </w:tc>
      </w:tr>
      <w:tr>
        <w:tblPrEx>
          <w:tblCellMar>
            <w:top w:w="0" w:type="dxa"/>
            <w:left w:w="108" w:type="dxa"/>
            <w:bottom w:w="0" w:type="dxa"/>
            <w:right w:w="108" w:type="dxa"/>
          </w:tblCellMar>
        </w:tblPrEx>
        <w:trPr>
          <w:trHeight w:val="363" w:hRule="atLeast"/>
        </w:trPr>
        <w:tc>
          <w:tcPr>
            <w:tcW w:w="2462" w:type="dxa"/>
            <w:gridSpan w:val="3"/>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4"/>
                <w:szCs w:val="24"/>
                <w:u w:val="none"/>
                <w:lang w:val="en-US" w:eastAsia="zh-CN" w:bidi="ar"/>
              </w:rPr>
              <w:t>项目主管单位</w:t>
            </w:r>
          </w:p>
        </w:tc>
        <w:tc>
          <w:tcPr>
            <w:tcW w:w="7528" w:type="dxa"/>
            <w:gridSpan w:val="5"/>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盐边县卫生健康局</w:t>
            </w:r>
          </w:p>
        </w:tc>
      </w:tr>
      <w:tr>
        <w:tblPrEx>
          <w:tblCellMar>
            <w:top w:w="0" w:type="dxa"/>
            <w:left w:w="108" w:type="dxa"/>
            <w:bottom w:w="0" w:type="dxa"/>
            <w:right w:w="108" w:type="dxa"/>
          </w:tblCellMar>
        </w:tblPrEx>
        <w:trPr>
          <w:trHeight w:val="285" w:hRule="atLeast"/>
        </w:trPr>
        <w:tc>
          <w:tcPr>
            <w:tcW w:w="2462" w:type="dxa"/>
            <w:gridSpan w:val="3"/>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4"/>
                <w:szCs w:val="24"/>
                <w:u w:val="none"/>
                <w:lang w:val="en-US" w:eastAsia="zh-CN" w:bidi="ar"/>
              </w:rPr>
              <w:t>项目实施单位</w:t>
            </w:r>
          </w:p>
        </w:tc>
        <w:tc>
          <w:tcPr>
            <w:tcW w:w="7528" w:type="dxa"/>
            <w:gridSpan w:val="5"/>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盐边县妇幼保健服务中心</w:t>
            </w:r>
          </w:p>
        </w:tc>
      </w:tr>
      <w:tr>
        <w:tblPrEx>
          <w:tblCellMar>
            <w:top w:w="0" w:type="dxa"/>
            <w:left w:w="108" w:type="dxa"/>
            <w:bottom w:w="0" w:type="dxa"/>
            <w:right w:w="108" w:type="dxa"/>
          </w:tblCellMar>
        </w:tblPrEx>
        <w:trPr>
          <w:trHeight w:val="285" w:hRule="atLeast"/>
        </w:trPr>
        <w:tc>
          <w:tcPr>
            <w:tcW w:w="2462"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项目资金</w:t>
            </w:r>
          </w:p>
          <w:p>
            <w:pPr>
              <w:widowControl/>
              <w:jc w:val="center"/>
              <w:rPr>
                <w:rFonts w:ascii="宋体" w:hAnsi="宋体" w:cs="宋体"/>
                <w:kern w:val="0"/>
                <w:sz w:val="24"/>
              </w:rPr>
            </w:pPr>
            <w:r>
              <w:rPr>
                <w:rFonts w:hint="eastAsia" w:ascii="宋体" w:hAnsi="宋体" w:cs="宋体"/>
                <w:kern w:val="0"/>
                <w:sz w:val="24"/>
              </w:rPr>
              <w:t>（万元）</w:t>
            </w:r>
          </w:p>
        </w:tc>
        <w:tc>
          <w:tcPr>
            <w:tcW w:w="197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c>
          <w:tcPr>
            <w:tcW w:w="15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全年预算数</w:t>
            </w:r>
          </w:p>
        </w:tc>
        <w:tc>
          <w:tcPr>
            <w:tcW w:w="14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实际完成数</w:t>
            </w:r>
          </w:p>
        </w:tc>
        <w:tc>
          <w:tcPr>
            <w:tcW w:w="2561"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执行率（%）</w:t>
            </w:r>
          </w:p>
        </w:tc>
      </w:tr>
      <w:tr>
        <w:tblPrEx>
          <w:tblCellMar>
            <w:top w:w="0" w:type="dxa"/>
            <w:left w:w="108" w:type="dxa"/>
            <w:bottom w:w="0" w:type="dxa"/>
            <w:right w:w="108" w:type="dxa"/>
          </w:tblCellMar>
        </w:tblPrEx>
        <w:trPr>
          <w:trHeight w:val="285" w:hRule="atLeast"/>
        </w:trPr>
        <w:tc>
          <w:tcPr>
            <w:tcW w:w="246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xml:space="preserve"> 年度资金总额：</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17.53</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17.53</w:t>
            </w:r>
          </w:p>
        </w:tc>
        <w:tc>
          <w:tcPr>
            <w:tcW w:w="2561" w:type="dxa"/>
            <w:gridSpan w:val="2"/>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kern w:val="0"/>
                <w:sz w:val="24"/>
                <w:lang w:val="en-US"/>
              </w:rPr>
            </w:pPr>
            <w:r>
              <w:rPr>
                <w:rFonts w:hint="eastAsia" w:ascii="宋体" w:hAnsi="宋体" w:eastAsia="宋体" w:cs="宋体"/>
                <w:i w:val="0"/>
                <w:iCs w:val="0"/>
                <w:color w:val="000000"/>
                <w:kern w:val="0"/>
                <w:sz w:val="24"/>
                <w:szCs w:val="24"/>
                <w:u w:val="none"/>
                <w:lang w:val="en-US" w:eastAsia="zh-CN" w:bidi="ar"/>
              </w:rPr>
              <w:t>100</w:t>
            </w:r>
            <w:r>
              <w:rPr>
                <w:rFonts w:hint="eastAsia" w:ascii="宋体" w:hAnsi="宋体" w:cs="宋体"/>
                <w:i w:val="0"/>
                <w:iCs w:val="0"/>
                <w:color w:val="000000"/>
                <w:kern w:val="0"/>
                <w:sz w:val="24"/>
                <w:szCs w:val="24"/>
                <w:u w:val="none"/>
                <w:lang w:val="en-US" w:eastAsia="zh-CN" w:bidi="ar"/>
              </w:rPr>
              <w:t>%</w:t>
            </w:r>
          </w:p>
        </w:tc>
      </w:tr>
      <w:tr>
        <w:tblPrEx>
          <w:tblCellMar>
            <w:top w:w="0" w:type="dxa"/>
            <w:left w:w="108" w:type="dxa"/>
            <w:bottom w:w="0" w:type="dxa"/>
            <w:right w:w="108" w:type="dxa"/>
          </w:tblCellMar>
        </w:tblPrEx>
        <w:trPr>
          <w:trHeight w:val="285" w:hRule="atLeast"/>
        </w:trPr>
        <w:tc>
          <w:tcPr>
            <w:tcW w:w="246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xml:space="preserve"> 其中：财政拨款</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17.53</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17.53</w:t>
            </w:r>
          </w:p>
        </w:tc>
        <w:tc>
          <w:tcPr>
            <w:tcW w:w="2561" w:type="dxa"/>
            <w:gridSpan w:val="2"/>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kern w:val="0"/>
                <w:sz w:val="24"/>
                <w:lang w:val="en-US"/>
              </w:rPr>
            </w:pPr>
            <w:r>
              <w:rPr>
                <w:rFonts w:hint="eastAsia" w:ascii="宋体" w:hAnsi="宋体" w:eastAsia="宋体" w:cs="宋体"/>
                <w:i w:val="0"/>
                <w:iCs w:val="0"/>
                <w:color w:val="000000"/>
                <w:kern w:val="0"/>
                <w:sz w:val="24"/>
                <w:szCs w:val="24"/>
                <w:u w:val="none"/>
                <w:lang w:val="en-US" w:eastAsia="zh-CN" w:bidi="ar"/>
              </w:rPr>
              <w:t>100</w:t>
            </w:r>
            <w:r>
              <w:rPr>
                <w:rFonts w:hint="eastAsia" w:ascii="宋体" w:hAnsi="宋体" w:cs="宋体"/>
                <w:i w:val="0"/>
                <w:iCs w:val="0"/>
                <w:color w:val="000000"/>
                <w:kern w:val="0"/>
                <w:sz w:val="24"/>
                <w:szCs w:val="24"/>
                <w:u w:val="none"/>
                <w:lang w:val="en-US" w:eastAsia="zh-CN" w:bidi="ar"/>
              </w:rPr>
              <w:t>%</w:t>
            </w:r>
          </w:p>
        </w:tc>
      </w:tr>
      <w:tr>
        <w:tblPrEx>
          <w:tblCellMar>
            <w:top w:w="0" w:type="dxa"/>
            <w:left w:w="108" w:type="dxa"/>
            <w:bottom w:w="0" w:type="dxa"/>
            <w:right w:w="108" w:type="dxa"/>
          </w:tblCellMar>
        </w:tblPrEx>
        <w:trPr>
          <w:trHeight w:val="285" w:hRule="atLeast"/>
        </w:trPr>
        <w:tc>
          <w:tcPr>
            <w:tcW w:w="246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xml:space="preserve">             其他资金</w:t>
            </w:r>
          </w:p>
        </w:tc>
        <w:tc>
          <w:tcPr>
            <w:tcW w:w="15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w:t>
            </w:r>
          </w:p>
        </w:tc>
        <w:tc>
          <w:tcPr>
            <w:tcW w:w="14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w:t>
            </w:r>
          </w:p>
        </w:tc>
        <w:tc>
          <w:tcPr>
            <w:tcW w:w="2561"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65" w:hRule="atLeast"/>
        </w:trPr>
        <w:tc>
          <w:tcPr>
            <w:tcW w:w="74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总</w:t>
            </w:r>
          </w:p>
          <w:p>
            <w:pPr>
              <w:widowControl/>
              <w:jc w:val="center"/>
              <w:rPr>
                <w:rFonts w:ascii="宋体" w:hAnsi="宋体" w:cs="宋体"/>
                <w:kern w:val="0"/>
                <w:sz w:val="24"/>
              </w:rPr>
            </w:pPr>
            <w:r>
              <w:rPr>
                <w:rFonts w:hint="eastAsia" w:ascii="宋体" w:hAnsi="宋体" w:cs="宋体"/>
                <w:kern w:val="0"/>
                <w:sz w:val="24"/>
              </w:rPr>
              <w:t>体</w:t>
            </w:r>
          </w:p>
          <w:p>
            <w:pPr>
              <w:widowControl/>
              <w:jc w:val="center"/>
              <w:rPr>
                <w:rFonts w:ascii="宋体" w:hAnsi="宋体" w:cs="宋体"/>
                <w:kern w:val="0"/>
                <w:sz w:val="24"/>
              </w:rPr>
            </w:pPr>
            <w:r>
              <w:rPr>
                <w:rFonts w:hint="eastAsia" w:ascii="宋体" w:hAnsi="宋体" w:cs="宋体"/>
                <w:kern w:val="0"/>
                <w:sz w:val="24"/>
              </w:rPr>
              <w:t>目</w:t>
            </w:r>
          </w:p>
          <w:p>
            <w:pPr>
              <w:widowControl/>
              <w:jc w:val="center"/>
              <w:rPr>
                <w:rFonts w:ascii="宋体" w:hAnsi="宋体" w:cs="宋体"/>
                <w:kern w:val="0"/>
                <w:sz w:val="24"/>
              </w:rPr>
            </w:pPr>
            <w:r>
              <w:rPr>
                <w:rFonts w:hint="eastAsia" w:ascii="宋体" w:hAnsi="宋体" w:cs="宋体"/>
                <w:kern w:val="0"/>
                <w:sz w:val="24"/>
              </w:rPr>
              <w:t>标</w:t>
            </w:r>
          </w:p>
        </w:tc>
        <w:tc>
          <w:tcPr>
            <w:tcW w:w="3694"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年度设定目标</w:t>
            </w:r>
          </w:p>
        </w:tc>
        <w:tc>
          <w:tcPr>
            <w:tcW w:w="5556" w:type="dxa"/>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实际完成情况</w:t>
            </w:r>
          </w:p>
        </w:tc>
      </w:tr>
      <w:tr>
        <w:tblPrEx>
          <w:tblCellMar>
            <w:top w:w="0" w:type="dxa"/>
            <w:left w:w="108" w:type="dxa"/>
            <w:bottom w:w="0" w:type="dxa"/>
            <w:right w:w="108" w:type="dxa"/>
          </w:tblCellMar>
        </w:tblPrEx>
        <w:trPr>
          <w:trHeight w:val="2775"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3694" w:type="dxa"/>
            <w:gridSpan w:val="3"/>
            <w:tcBorders>
              <w:top w:val="single" w:color="auto" w:sz="4" w:space="0"/>
              <w:left w:val="nil"/>
              <w:bottom w:val="single" w:color="auto"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p>
            <w:pPr>
              <w:keepNext w:val="0"/>
              <w:keepLines w:val="0"/>
              <w:widowControl/>
              <w:suppressLineNumbers w:val="0"/>
              <w:jc w:val="center"/>
              <w:textAlignment w:val="top"/>
              <w:rPr>
                <w:rFonts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免费婚前医学检查在县委</w:t>
            </w:r>
            <w:r>
              <w:rPr>
                <w:rFonts w:hint="eastAsia" w:ascii="宋体" w:hAnsi="宋体" w:cs="宋体"/>
                <w:i w:val="0"/>
                <w:iCs w:val="0"/>
                <w:color w:val="000000"/>
                <w:kern w:val="0"/>
                <w:sz w:val="24"/>
                <w:szCs w:val="24"/>
                <w:u w:val="none"/>
                <w:lang w:val="en-US" w:eastAsia="zh-CN" w:bidi="ar"/>
              </w:rPr>
              <w:t>、县</w:t>
            </w:r>
            <w:r>
              <w:rPr>
                <w:rFonts w:hint="eastAsia" w:ascii="宋体" w:hAnsi="宋体" w:eastAsia="宋体" w:cs="宋体"/>
                <w:i w:val="0"/>
                <w:iCs w:val="0"/>
                <w:color w:val="000000"/>
                <w:kern w:val="0"/>
                <w:sz w:val="24"/>
                <w:szCs w:val="24"/>
                <w:u w:val="none"/>
                <w:lang w:val="en-US" w:eastAsia="zh-CN" w:bidi="ar"/>
              </w:rPr>
              <w:t>政府的支持下，县卫健局的部署下，各有关职能部门切实提高认识，认真履行职责，协调配合，大力宣传婚检知识，积极推进我县免费婚检工作的开展，免费婚检工作完成目标任务</w:t>
            </w:r>
          </w:p>
        </w:tc>
        <w:tc>
          <w:tcPr>
            <w:tcW w:w="5556" w:type="dxa"/>
            <w:gridSpan w:val="4"/>
            <w:tcBorders>
              <w:top w:val="single" w:color="auto" w:sz="4" w:space="0"/>
              <w:left w:val="nil"/>
              <w:bottom w:val="single" w:color="auto" w:sz="4" w:space="0"/>
              <w:right w:val="single" w:color="000000" w:sz="4" w:space="0"/>
            </w:tcBorders>
            <w:shd w:val="clear" w:color="auto" w:fill="auto"/>
            <w:vAlign w:val="top"/>
          </w:tcPr>
          <w:p>
            <w:pPr>
              <w:keepNext w:val="0"/>
              <w:keepLines w:val="0"/>
              <w:widowControl/>
              <w:suppressLineNumbers w:val="0"/>
              <w:jc w:val="center"/>
              <w:textAlignment w:val="top"/>
              <w:rPr>
                <w:rFonts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1、2021年1-12月免费婚检1247人。</w:t>
            </w:r>
          </w:p>
        </w:tc>
      </w:tr>
      <w:tr>
        <w:tblPrEx>
          <w:tblCellMar>
            <w:top w:w="0" w:type="dxa"/>
            <w:left w:w="108" w:type="dxa"/>
            <w:bottom w:w="0" w:type="dxa"/>
            <w:right w:w="108" w:type="dxa"/>
          </w:tblCellMar>
        </w:tblPrEx>
        <w:trPr>
          <w:trHeight w:val="450" w:hRule="atLeast"/>
        </w:trPr>
        <w:tc>
          <w:tcPr>
            <w:tcW w:w="740" w:type="dxa"/>
            <w:vMerge w:val="restart"/>
            <w:tcBorders>
              <w:top w:val="nil"/>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绩</w:t>
            </w:r>
          </w:p>
          <w:p>
            <w:pPr>
              <w:widowControl/>
              <w:jc w:val="center"/>
              <w:rPr>
                <w:rFonts w:ascii="宋体" w:hAnsi="宋体" w:cs="宋体"/>
                <w:kern w:val="0"/>
                <w:sz w:val="24"/>
              </w:rPr>
            </w:pPr>
            <w:r>
              <w:rPr>
                <w:rFonts w:hint="eastAsia" w:ascii="宋体" w:hAnsi="宋体" w:cs="宋体"/>
                <w:kern w:val="0"/>
                <w:sz w:val="24"/>
              </w:rPr>
              <w:t>效</w:t>
            </w:r>
          </w:p>
          <w:p>
            <w:pPr>
              <w:widowControl/>
              <w:jc w:val="center"/>
              <w:rPr>
                <w:rFonts w:ascii="宋体" w:hAnsi="宋体" w:cs="宋体"/>
                <w:kern w:val="0"/>
                <w:sz w:val="24"/>
              </w:rPr>
            </w:pPr>
            <w:r>
              <w:rPr>
                <w:rFonts w:hint="eastAsia" w:ascii="宋体" w:hAnsi="宋体" w:cs="宋体"/>
                <w:kern w:val="0"/>
                <w:sz w:val="24"/>
              </w:rPr>
              <w:t>指</w:t>
            </w:r>
          </w:p>
          <w:p>
            <w:pPr>
              <w:widowControl/>
              <w:jc w:val="center"/>
              <w:rPr>
                <w:rFonts w:ascii="宋体" w:hAnsi="宋体" w:cs="宋体"/>
                <w:kern w:val="0"/>
                <w:sz w:val="24"/>
              </w:rPr>
            </w:pPr>
            <w:r>
              <w:rPr>
                <w:rFonts w:hint="eastAsia" w:ascii="宋体" w:hAnsi="宋体" w:cs="宋体"/>
                <w:kern w:val="0"/>
                <w:sz w:val="24"/>
              </w:rPr>
              <w:t>标</w:t>
            </w:r>
          </w:p>
        </w:tc>
        <w:tc>
          <w:tcPr>
            <w:tcW w:w="734" w:type="dxa"/>
            <w:tcBorders>
              <w:top w:val="nil"/>
              <w:left w:val="nil"/>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一级</w:t>
            </w:r>
          </w:p>
          <w:p>
            <w:pPr>
              <w:widowControl/>
              <w:jc w:val="center"/>
              <w:rPr>
                <w:rFonts w:ascii="宋体" w:hAnsi="宋体" w:cs="宋体"/>
                <w:kern w:val="0"/>
                <w:sz w:val="24"/>
              </w:rPr>
            </w:pPr>
            <w:r>
              <w:rPr>
                <w:rFonts w:hint="eastAsia" w:ascii="宋体" w:hAnsi="宋体" w:cs="宋体"/>
                <w:kern w:val="0"/>
                <w:sz w:val="24"/>
              </w:rPr>
              <w:t>指标</w:t>
            </w:r>
          </w:p>
        </w:tc>
        <w:tc>
          <w:tcPr>
            <w:tcW w:w="9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二级指标</w:t>
            </w:r>
          </w:p>
        </w:tc>
        <w:tc>
          <w:tcPr>
            <w:tcW w:w="197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三级指标</w:t>
            </w:r>
          </w:p>
        </w:tc>
        <w:tc>
          <w:tcPr>
            <w:tcW w:w="15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年度指标值</w:t>
            </w:r>
          </w:p>
        </w:tc>
        <w:tc>
          <w:tcPr>
            <w:tcW w:w="14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实际完成数</w:t>
            </w:r>
          </w:p>
        </w:tc>
        <w:tc>
          <w:tcPr>
            <w:tcW w:w="107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完成率（%）</w:t>
            </w:r>
          </w:p>
        </w:tc>
        <w:tc>
          <w:tcPr>
            <w:tcW w:w="148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未完成原因和改进措施</w:t>
            </w:r>
          </w:p>
        </w:tc>
      </w:tr>
      <w:tr>
        <w:tblPrEx>
          <w:tblCellMar>
            <w:top w:w="0" w:type="dxa"/>
            <w:left w:w="108" w:type="dxa"/>
            <w:bottom w:w="0" w:type="dxa"/>
            <w:right w:w="108" w:type="dxa"/>
          </w:tblCellMar>
        </w:tblPrEx>
        <w:trPr>
          <w:trHeight w:val="85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项目完成</w:t>
            </w:r>
          </w:p>
        </w:tc>
        <w:tc>
          <w:tcPr>
            <w:tcW w:w="988" w:type="dxa"/>
            <w:vMerge w:val="restart"/>
            <w:tcBorders>
              <w:top w:val="nil"/>
              <w:left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数量指标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 xml:space="preserve"> 指标1：检查人数情况</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1324对</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1247对</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94.18%</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新婚姻登记制度，婚检达标率要求93%。</w:t>
            </w:r>
          </w:p>
        </w:tc>
      </w:tr>
      <w:tr>
        <w:tblPrEx>
          <w:tblCellMar>
            <w:top w:w="0" w:type="dxa"/>
            <w:left w:w="108" w:type="dxa"/>
            <w:bottom w:w="0" w:type="dxa"/>
            <w:right w:w="108" w:type="dxa"/>
          </w:tblCellMar>
        </w:tblPrEx>
        <w:trPr>
          <w:trHeight w:val="71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shd w:val="clear" w:color="auto" w:fill="auto"/>
            <w:vAlign w:val="center"/>
          </w:tcPr>
          <w:p>
            <w:pPr>
              <w:widowControl/>
              <w:jc w:val="center"/>
              <w:rPr>
                <w:rFonts w:hint="eastAsia" w:ascii="宋体" w:hAnsi="宋体" w:cs="宋体"/>
                <w:kern w:val="0"/>
                <w:sz w:val="24"/>
              </w:rPr>
            </w:pPr>
          </w:p>
        </w:tc>
        <w:tc>
          <w:tcPr>
            <w:tcW w:w="988" w:type="dxa"/>
            <w:vMerge w:val="continue"/>
            <w:tcBorders>
              <w:left w:val="nil"/>
              <w:right w:val="single" w:color="auto" w:sz="4" w:space="0"/>
            </w:tcBorders>
            <w:shd w:val="clear" w:color="auto" w:fill="auto"/>
            <w:vAlign w:val="center"/>
          </w:tcPr>
          <w:p>
            <w:pPr>
              <w:widowControl/>
              <w:jc w:val="center"/>
              <w:rPr>
                <w:rFonts w:hint="eastAsia"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cs="宋体"/>
                <w:kern w:val="0"/>
                <w:sz w:val="24"/>
                <w:szCs w:val="24"/>
              </w:rPr>
            </w:pP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cs="宋体"/>
                <w:kern w:val="0"/>
                <w:sz w:val="24"/>
                <w:szCs w:val="24"/>
              </w:rPr>
            </w:pP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cs="宋体"/>
                <w:kern w:val="0"/>
                <w:sz w:val="24"/>
                <w:szCs w:val="24"/>
              </w:rPr>
            </w:pP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kern w:val="0"/>
                <w:sz w:val="24"/>
                <w:szCs w:val="24"/>
                <w:lang w:val="en-US" w:eastAsia="zh-CN"/>
              </w:rPr>
            </w:pP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cs="宋体"/>
                <w:kern w:val="0"/>
                <w:sz w:val="20"/>
                <w:szCs w:val="20"/>
              </w:rPr>
            </w:pPr>
          </w:p>
        </w:tc>
      </w:tr>
      <w:tr>
        <w:tblPrEx>
          <w:tblCellMar>
            <w:top w:w="0" w:type="dxa"/>
            <w:left w:w="108" w:type="dxa"/>
            <w:bottom w:w="0" w:type="dxa"/>
            <w:right w:w="108" w:type="dxa"/>
          </w:tblCellMar>
        </w:tblPrEx>
        <w:trPr>
          <w:trHeight w:val="62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shd w:val="clear" w:color="auto" w:fill="auto"/>
            <w:vAlign w:val="center"/>
          </w:tcPr>
          <w:p>
            <w:pPr>
              <w:widowControl/>
              <w:jc w:val="center"/>
              <w:rPr>
                <w:rFonts w:hint="eastAsia" w:ascii="宋体" w:hAnsi="宋体" w:cs="宋体"/>
                <w:kern w:val="0"/>
                <w:sz w:val="24"/>
              </w:rPr>
            </w:pPr>
          </w:p>
        </w:tc>
        <w:tc>
          <w:tcPr>
            <w:tcW w:w="988" w:type="dxa"/>
            <w:vMerge w:val="continue"/>
            <w:tcBorders>
              <w:left w:val="nil"/>
              <w:bottom w:val="nil"/>
              <w:right w:val="single" w:color="auto" w:sz="4" w:space="0"/>
            </w:tcBorders>
            <w:shd w:val="clear" w:color="auto" w:fill="auto"/>
            <w:vAlign w:val="center"/>
          </w:tcPr>
          <w:p>
            <w:pPr>
              <w:widowControl/>
              <w:jc w:val="center"/>
              <w:rPr>
                <w:rFonts w:hint="eastAsia"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cs="宋体"/>
                <w:kern w:val="0"/>
                <w:sz w:val="24"/>
                <w:szCs w:val="24"/>
              </w:rPr>
            </w:pP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cs="宋体"/>
                <w:kern w:val="0"/>
                <w:sz w:val="24"/>
                <w:szCs w:val="24"/>
              </w:rPr>
            </w:pP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cs="宋体"/>
                <w:kern w:val="0"/>
                <w:sz w:val="24"/>
                <w:szCs w:val="24"/>
              </w:rPr>
            </w:pPr>
          </w:p>
        </w:tc>
        <w:tc>
          <w:tcPr>
            <w:tcW w:w="1074" w:type="dxa"/>
            <w:tcBorders>
              <w:top w:val="nil"/>
              <w:left w:val="nil"/>
              <w:bottom w:val="single" w:color="auto" w:sz="4" w:space="0"/>
              <w:right w:val="single" w:color="auto" w:sz="4" w:space="0"/>
            </w:tcBorders>
            <w:shd w:val="clear" w:color="auto" w:fill="auto"/>
            <w:vAlign w:val="center"/>
          </w:tcPr>
          <w:p>
            <w:pPr>
              <w:widowControl/>
              <w:jc w:val="right"/>
              <w:rPr>
                <w:rFonts w:hint="default" w:ascii="宋体" w:hAnsi="宋体" w:eastAsia="宋体" w:cs="宋体"/>
                <w:kern w:val="0"/>
                <w:sz w:val="24"/>
                <w:szCs w:val="24"/>
                <w:lang w:val="en-US" w:eastAsia="zh-CN"/>
              </w:rPr>
            </w:pP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cs="宋体"/>
                <w:kern w:val="0"/>
                <w:sz w:val="20"/>
                <w:szCs w:val="20"/>
              </w:rPr>
            </w:pPr>
          </w:p>
        </w:tc>
      </w:tr>
      <w:tr>
        <w:tblPrEx>
          <w:tblCellMar>
            <w:top w:w="0" w:type="dxa"/>
            <w:left w:w="108" w:type="dxa"/>
            <w:bottom w:w="0" w:type="dxa"/>
            <w:right w:w="108" w:type="dxa"/>
          </w:tblCellMar>
        </w:tblPrEx>
        <w:trPr>
          <w:trHeight w:val="86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质量指标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 xml:space="preserve"> 指标1：婚检率</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ascii="宋体" w:hAnsi="宋体" w:eastAsia="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90%</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94.18%</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100.00%</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 xml:space="preserve"> </w:t>
            </w:r>
          </w:p>
        </w:tc>
      </w:tr>
      <w:tr>
        <w:tblPrEx>
          <w:tblCellMar>
            <w:top w:w="0" w:type="dxa"/>
            <w:left w:w="108" w:type="dxa"/>
            <w:bottom w:w="0" w:type="dxa"/>
            <w:right w:w="108" w:type="dxa"/>
          </w:tblCellMar>
        </w:tblPrEx>
        <w:trPr>
          <w:trHeight w:val="63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54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58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restart"/>
            <w:tcBorders>
              <w:top w:val="nil"/>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时效指标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 xml:space="preserve"> 指标1：各项指标完成时间为2021年1-12月</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2021年全年</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本年度内</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100%</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562"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69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成本指标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 xml:space="preserve"> 指标1：本年度项目预算数</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17.53万元</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17.53万元</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100%</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28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r>
      <w:tr>
        <w:tblPrEx>
          <w:tblCellMar>
            <w:top w:w="0" w:type="dxa"/>
            <w:left w:w="108" w:type="dxa"/>
            <w:bottom w:w="0" w:type="dxa"/>
            <w:right w:w="108" w:type="dxa"/>
          </w:tblCellMar>
        </w:tblPrEx>
        <w:trPr>
          <w:trHeight w:val="28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项目效益</w:t>
            </w:r>
          </w:p>
        </w:tc>
        <w:tc>
          <w:tcPr>
            <w:tcW w:w="988"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经济效益</w:t>
            </w:r>
          </w:p>
          <w:p>
            <w:pPr>
              <w:widowControl/>
              <w:jc w:val="center"/>
              <w:rPr>
                <w:rFonts w:ascii="宋体" w:hAnsi="宋体" w:cs="宋体"/>
                <w:kern w:val="0"/>
                <w:sz w:val="24"/>
              </w:rPr>
            </w:pPr>
            <w:r>
              <w:rPr>
                <w:rFonts w:hint="eastAsia" w:ascii="宋体" w:hAnsi="宋体" w:cs="宋体"/>
                <w:kern w:val="0"/>
                <w:sz w:val="24"/>
              </w:rPr>
              <w:t>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 xml:space="preserve"> 指标1：减轻了单位负担</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≧90%</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已完成</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100%</w:t>
            </w: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r>
      <w:tr>
        <w:tblPrEx>
          <w:tblCellMar>
            <w:top w:w="0" w:type="dxa"/>
            <w:left w:w="108" w:type="dxa"/>
            <w:bottom w:w="0" w:type="dxa"/>
            <w:right w:w="108" w:type="dxa"/>
          </w:tblCellMar>
        </w:tblPrEx>
        <w:trPr>
          <w:trHeight w:val="42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r>
      <w:tr>
        <w:tblPrEx>
          <w:tblCellMar>
            <w:top w:w="0" w:type="dxa"/>
            <w:left w:w="108" w:type="dxa"/>
            <w:bottom w:w="0" w:type="dxa"/>
            <w:right w:w="108" w:type="dxa"/>
          </w:tblCellMar>
        </w:tblPrEx>
        <w:trPr>
          <w:trHeight w:val="114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社会效益</w:t>
            </w:r>
          </w:p>
          <w:p>
            <w:pPr>
              <w:widowControl/>
              <w:jc w:val="center"/>
              <w:rPr>
                <w:rFonts w:ascii="宋体" w:hAnsi="宋体" w:cs="宋体"/>
                <w:kern w:val="0"/>
                <w:sz w:val="24"/>
              </w:rPr>
            </w:pPr>
            <w:r>
              <w:rPr>
                <w:rFonts w:hint="eastAsia" w:ascii="宋体" w:hAnsi="宋体" w:cs="宋体"/>
                <w:kern w:val="0"/>
                <w:sz w:val="24"/>
              </w:rPr>
              <w:t>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 xml:space="preserve"> 指标1：加强宣传，大造舆论氛围</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2021年全年</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已完成</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100%</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72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59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continue"/>
            <w:tcBorders>
              <w:left w:val="single" w:color="auto" w:sz="4" w:space="0"/>
              <w:bottom w:val="nil"/>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cs="宋体"/>
                <w:kern w:val="0"/>
                <w:sz w:val="20"/>
                <w:szCs w:val="20"/>
              </w:rPr>
            </w:pPr>
          </w:p>
        </w:tc>
      </w:tr>
      <w:tr>
        <w:tblPrEx>
          <w:tblCellMar>
            <w:top w:w="0" w:type="dxa"/>
            <w:left w:w="108" w:type="dxa"/>
            <w:bottom w:w="0" w:type="dxa"/>
            <w:right w:w="108" w:type="dxa"/>
          </w:tblCellMar>
        </w:tblPrEx>
        <w:trPr>
          <w:trHeight w:val="52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生态效益</w:t>
            </w:r>
          </w:p>
          <w:p>
            <w:pPr>
              <w:widowControl/>
              <w:jc w:val="center"/>
              <w:rPr>
                <w:rFonts w:ascii="宋体" w:hAnsi="宋体" w:cs="宋体"/>
                <w:kern w:val="0"/>
                <w:sz w:val="24"/>
              </w:rPr>
            </w:pPr>
            <w:r>
              <w:rPr>
                <w:rFonts w:hint="eastAsia" w:ascii="宋体" w:hAnsi="宋体" w:cs="宋体"/>
                <w:kern w:val="0"/>
                <w:sz w:val="24"/>
              </w:rPr>
              <w:t>指标</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r>
      <w:tr>
        <w:tblPrEx>
          <w:tblCellMar>
            <w:top w:w="0" w:type="dxa"/>
            <w:left w:w="108" w:type="dxa"/>
            <w:bottom w:w="0" w:type="dxa"/>
            <w:right w:w="108" w:type="dxa"/>
          </w:tblCellMar>
        </w:tblPrEx>
        <w:trPr>
          <w:trHeight w:val="51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r>
      <w:tr>
        <w:tblPrEx>
          <w:tblCellMar>
            <w:top w:w="0" w:type="dxa"/>
            <w:left w:w="108" w:type="dxa"/>
            <w:bottom w:w="0" w:type="dxa"/>
            <w:right w:w="108" w:type="dxa"/>
          </w:tblCellMar>
        </w:tblPrEx>
        <w:trPr>
          <w:trHeight w:val="99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restart"/>
            <w:tcBorders>
              <w:top w:val="single" w:color="auto" w:sz="4" w:space="0"/>
              <w:left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可持续影响</w:t>
            </w:r>
          </w:p>
          <w:p>
            <w:pPr>
              <w:widowControl/>
              <w:jc w:val="center"/>
              <w:rPr>
                <w:rFonts w:ascii="宋体" w:hAnsi="宋体" w:cs="宋体"/>
                <w:kern w:val="0"/>
                <w:sz w:val="24"/>
              </w:rPr>
            </w:pPr>
            <w:r>
              <w:rPr>
                <w:rFonts w:hint="eastAsia" w:ascii="宋体" w:hAnsi="宋体" w:cs="宋体"/>
                <w:kern w:val="0"/>
                <w:sz w:val="24"/>
              </w:rPr>
              <w:t>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 xml:space="preserve"> 指标1：婚前医学检查服务水平</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不断提高</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不断提高</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100%</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99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continue"/>
            <w:tcBorders>
              <w:left w:val="nil"/>
              <w:bottom w:val="nil"/>
              <w:right w:val="single" w:color="auto" w:sz="4" w:space="0"/>
            </w:tcBorders>
            <w:shd w:val="clear" w:color="auto" w:fill="auto"/>
            <w:vAlign w:val="center"/>
          </w:tcPr>
          <w:p>
            <w:pPr>
              <w:widowControl/>
              <w:jc w:val="center"/>
              <w:rPr>
                <w:rFonts w:hint="eastAsia"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cs="宋体"/>
                <w:kern w:val="0"/>
                <w:sz w:val="20"/>
                <w:szCs w:val="20"/>
              </w:rPr>
            </w:pPr>
          </w:p>
        </w:tc>
      </w:tr>
      <w:tr>
        <w:tblPrEx>
          <w:tblCellMar>
            <w:top w:w="0" w:type="dxa"/>
            <w:left w:w="108" w:type="dxa"/>
            <w:bottom w:w="0" w:type="dxa"/>
            <w:right w:w="108" w:type="dxa"/>
          </w:tblCellMar>
        </w:tblPrEx>
        <w:trPr>
          <w:trHeight w:val="103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restart"/>
            <w:tcBorders>
              <w:top w:val="single" w:color="auto" w:sz="4" w:space="0"/>
              <w:left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满意度指标</w:t>
            </w:r>
          </w:p>
        </w:tc>
        <w:tc>
          <w:tcPr>
            <w:tcW w:w="988" w:type="dxa"/>
            <w:vMerge w:val="restart"/>
            <w:tcBorders>
              <w:top w:val="single" w:color="auto" w:sz="4" w:space="0"/>
              <w:left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满意度指标</w:t>
            </w:r>
          </w:p>
        </w:tc>
        <w:tc>
          <w:tcPr>
            <w:tcW w:w="19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 xml:space="preserve"> 指标1：服务对象满意率</w:t>
            </w: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≧90%</w:t>
            </w:r>
          </w:p>
        </w:tc>
        <w:tc>
          <w:tcPr>
            <w:tcW w:w="14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95.20%</w:t>
            </w:r>
          </w:p>
        </w:tc>
        <w:tc>
          <w:tcPr>
            <w:tcW w:w="107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100%</w:t>
            </w:r>
          </w:p>
        </w:tc>
        <w:tc>
          <w:tcPr>
            <w:tcW w:w="14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1035" w:hRule="atLeast"/>
        </w:trPr>
        <w:tc>
          <w:tcPr>
            <w:tcW w:w="740" w:type="dxa"/>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nil"/>
              <w:bottom w:val="single" w:color="auto" w:sz="4" w:space="0"/>
              <w:right w:val="single" w:color="auto" w:sz="4" w:space="0"/>
            </w:tcBorders>
            <w:shd w:val="clear" w:color="auto" w:fill="auto"/>
            <w:vAlign w:val="center"/>
          </w:tcPr>
          <w:p>
            <w:pPr>
              <w:widowControl/>
              <w:jc w:val="center"/>
              <w:rPr>
                <w:rFonts w:hint="eastAsia" w:ascii="宋体" w:hAnsi="宋体" w:cs="宋体"/>
                <w:kern w:val="0"/>
                <w:sz w:val="24"/>
              </w:rPr>
            </w:pPr>
          </w:p>
        </w:tc>
        <w:tc>
          <w:tcPr>
            <w:tcW w:w="988" w:type="dxa"/>
            <w:vMerge w:val="continue"/>
            <w:tcBorders>
              <w:left w:val="nil"/>
              <w:bottom w:val="single" w:color="auto" w:sz="4" w:space="0"/>
              <w:right w:val="single" w:color="auto" w:sz="4" w:space="0"/>
            </w:tcBorders>
            <w:shd w:val="clear" w:color="auto" w:fill="auto"/>
            <w:vAlign w:val="center"/>
          </w:tcPr>
          <w:p>
            <w:pPr>
              <w:widowControl/>
              <w:jc w:val="center"/>
              <w:rPr>
                <w:rFonts w:hint="eastAsia" w:ascii="宋体" w:hAnsi="宋体" w:cs="宋体"/>
                <w:kern w:val="0"/>
                <w:sz w:val="24"/>
              </w:rPr>
            </w:pPr>
          </w:p>
        </w:tc>
        <w:tc>
          <w:tcPr>
            <w:tcW w:w="19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07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cs="宋体"/>
                <w:kern w:val="0"/>
                <w:sz w:val="20"/>
                <w:szCs w:val="20"/>
              </w:rPr>
            </w:pPr>
          </w:p>
        </w:tc>
      </w:tr>
    </w:tbl>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pStyle w:val="7"/>
        <w:spacing w:line="600" w:lineRule="exact"/>
        <w:jc w:val="left"/>
        <w:rPr>
          <w:rFonts w:hint="eastAsia" w:ascii="黑体" w:hAnsi="黑体" w:eastAsia="黑体" w:cs="黑体"/>
          <w:sz w:val="32"/>
          <w:szCs w:val="32"/>
        </w:rPr>
      </w:pPr>
    </w:p>
    <w:p>
      <w:pPr>
        <w:pStyle w:val="7"/>
        <w:spacing w:line="600" w:lineRule="exact"/>
        <w:jc w:val="left"/>
        <w:rPr>
          <w:rFonts w:hint="eastAsia" w:ascii="黑体" w:hAnsi="黑体" w:eastAsia="黑体" w:cs="黑体"/>
          <w:sz w:val="32"/>
          <w:szCs w:val="32"/>
        </w:rPr>
      </w:pPr>
    </w:p>
    <w:p>
      <w:pPr>
        <w:pStyle w:val="7"/>
        <w:spacing w:line="600" w:lineRule="exact"/>
        <w:jc w:val="left"/>
        <w:rPr>
          <w:rFonts w:hint="eastAsia" w:ascii="黑体" w:hAnsi="黑体" w:eastAsia="黑体" w:cs="黑体"/>
          <w:sz w:val="32"/>
          <w:szCs w:val="32"/>
        </w:rPr>
      </w:pPr>
    </w:p>
    <w:p>
      <w:pPr>
        <w:pStyle w:val="7"/>
        <w:spacing w:line="600" w:lineRule="exact"/>
        <w:jc w:val="left"/>
        <w:rPr>
          <w:rFonts w:hint="eastAsia" w:ascii="黑体" w:hAnsi="黑体" w:eastAsia="黑体" w:cs="黑体"/>
          <w:sz w:val="32"/>
          <w:szCs w:val="32"/>
        </w:rPr>
      </w:pPr>
    </w:p>
    <w:p>
      <w:pPr>
        <w:pStyle w:val="7"/>
        <w:spacing w:line="600" w:lineRule="exact"/>
        <w:jc w:val="left"/>
        <w:rPr>
          <w:rFonts w:hint="eastAsia" w:ascii="黑体" w:hAnsi="黑体" w:eastAsia="黑体" w:cs="黑体"/>
          <w:sz w:val="32"/>
          <w:szCs w:val="32"/>
        </w:rPr>
      </w:pPr>
    </w:p>
    <w:p>
      <w:pPr>
        <w:pStyle w:val="7"/>
        <w:spacing w:line="600" w:lineRule="exact"/>
        <w:jc w:val="left"/>
        <w:rPr>
          <w:rFonts w:hint="eastAsia" w:ascii="黑体" w:hAnsi="黑体" w:eastAsia="黑体" w:cs="黑体"/>
          <w:sz w:val="32"/>
          <w:szCs w:val="32"/>
        </w:rPr>
      </w:pPr>
      <w:r>
        <w:rPr>
          <w:rFonts w:hint="eastAsia" w:ascii="黑体" w:hAnsi="黑体" w:eastAsia="黑体" w:cs="黑体"/>
          <w:sz w:val="32"/>
          <w:szCs w:val="32"/>
        </w:rPr>
        <w:t>附件4</w:t>
      </w:r>
    </w:p>
    <w:p>
      <w:pPr>
        <w:pStyle w:val="7"/>
        <w:spacing w:line="600" w:lineRule="exact"/>
        <w:ind w:firstLine="640" w:firstLineChars="200"/>
        <w:jc w:val="left"/>
        <w:rPr>
          <w:rFonts w:hint="eastAsia" w:ascii="仿宋_GB2312" w:hAnsi="黑体" w:eastAsia="仿宋_GB2312" w:cs="黑体"/>
          <w:sz w:val="32"/>
          <w:szCs w:val="32"/>
        </w:rPr>
      </w:pPr>
    </w:p>
    <w:p>
      <w:pPr>
        <w:pStyle w:val="7"/>
        <w:spacing w:line="600" w:lineRule="exact"/>
        <w:ind w:firstLine="960" w:firstLineChars="200"/>
        <w:jc w:val="center"/>
        <w:rPr>
          <w:rFonts w:hint="eastAsia" w:ascii="方正小标宋_GBK" w:hAnsi="黑体" w:eastAsia="方正小标宋_GBK" w:cs="黑体"/>
          <w:sz w:val="48"/>
          <w:szCs w:val="48"/>
          <w:lang w:eastAsia="zh-CN"/>
        </w:rPr>
      </w:pPr>
      <w:r>
        <w:rPr>
          <w:rFonts w:hint="eastAsia" w:ascii="方正小标宋_GBK" w:hAnsi="黑体" w:eastAsia="方正小标宋_GBK" w:cs="黑体"/>
          <w:sz w:val="48"/>
          <w:szCs w:val="48"/>
          <w:lang w:eastAsia="zh-CN"/>
        </w:rPr>
        <w:t>盐边县妇幼保健服务中心</w:t>
      </w:r>
    </w:p>
    <w:p>
      <w:pPr>
        <w:pStyle w:val="7"/>
        <w:spacing w:line="600" w:lineRule="exact"/>
        <w:ind w:firstLine="960" w:firstLineChars="200"/>
        <w:jc w:val="center"/>
        <w:rPr>
          <w:rFonts w:hint="eastAsia" w:ascii="方正小标宋_GBK" w:hAnsi="黑体" w:eastAsia="方正小标宋_GBK" w:cs="黑体"/>
          <w:sz w:val="48"/>
          <w:szCs w:val="48"/>
        </w:rPr>
      </w:pPr>
      <w:r>
        <w:rPr>
          <w:rFonts w:hint="eastAsia" w:ascii="方正小标宋_GBK" w:hAnsi="黑体" w:eastAsia="方正小标宋_GBK" w:cs="黑体"/>
          <w:sz w:val="48"/>
          <w:szCs w:val="48"/>
          <w:lang w:val="en-US" w:eastAsia="zh-CN"/>
        </w:rPr>
        <w:t>2021年</w:t>
      </w:r>
      <w:r>
        <w:rPr>
          <w:rFonts w:hint="eastAsia" w:ascii="方正小标宋_GBK" w:hAnsi="黑体" w:eastAsia="方正小标宋_GBK" w:cs="黑体"/>
          <w:sz w:val="48"/>
          <w:szCs w:val="48"/>
        </w:rPr>
        <w:t>专项（</w:t>
      </w:r>
      <w:r>
        <w:rPr>
          <w:rFonts w:hint="eastAsia" w:ascii="方正小标宋_GBK" w:hAnsi="黑体" w:eastAsia="方正小标宋_GBK" w:cs="黑体"/>
          <w:sz w:val="48"/>
          <w:szCs w:val="48"/>
          <w:lang w:eastAsia="zh-CN"/>
        </w:rPr>
        <w:t>两癌筛查</w:t>
      </w:r>
      <w:r>
        <w:rPr>
          <w:rFonts w:hint="eastAsia" w:ascii="方正小标宋_GBK" w:hAnsi="黑体" w:eastAsia="方正小标宋_GBK" w:cs="黑体"/>
          <w:sz w:val="48"/>
          <w:szCs w:val="48"/>
        </w:rPr>
        <w:t>）资金绩效自评报告</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一、项目概况</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（一）项目基本情况。</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1．说明项目主管部门（单位）在该项目管理中的职能。</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ascii="仿宋_GB2312" w:hAnsi="宋体" w:eastAsia="仿宋_GB2312" w:cs="仿宋_GB2312"/>
          <w:i w:val="0"/>
          <w:caps w:val="0"/>
          <w:color w:val="000000"/>
          <w:spacing w:val="0"/>
          <w:sz w:val="32"/>
          <w:szCs w:val="32"/>
          <w:shd w:val="clear" w:color="auto" w:fill="FFFFFF"/>
        </w:rPr>
        <w:t>建有规范</w:t>
      </w:r>
      <w:r>
        <w:rPr>
          <w:rFonts w:hint="eastAsia" w:ascii="仿宋_GB2312" w:hAnsi="宋体" w:eastAsia="仿宋_GB2312" w:cs="仿宋_GB2312"/>
          <w:i w:val="0"/>
          <w:caps w:val="0"/>
          <w:color w:val="000000"/>
          <w:spacing w:val="0"/>
          <w:sz w:val="32"/>
          <w:szCs w:val="32"/>
          <w:shd w:val="clear" w:color="auto" w:fill="FFFFFF"/>
          <w:lang w:eastAsia="zh-CN"/>
        </w:rPr>
        <w:t>两癌筛查检查场地</w:t>
      </w:r>
      <w:r>
        <w:rPr>
          <w:rFonts w:ascii="仿宋_GB2312" w:hAnsi="宋体" w:eastAsia="仿宋_GB2312" w:cs="仿宋_GB2312"/>
          <w:i w:val="0"/>
          <w:caps w:val="0"/>
          <w:color w:val="000000"/>
          <w:spacing w:val="0"/>
          <w:sz w:val="32"/>
          <w:szCs w:val="32"/>
          <w:shd w:val="clear" w:color="auto" w:fill="FFFFFF"/>
        </w:rPr>
        <w:t>，承担</w:t>
      </w:r>
      <w:r>
        <w:rPr>
          <w:rFonts w:hint="eastAsia" w:ascii="仿宋_GB2312" w:hAnsi="宋体" w:eastAsia="仿宋_GB2312" w:cs="仿宋_GB2312"/>
          <w:i w:val="0"/>
          <w:caps w:val="0"/>
          <w:color w:val="000000"/>
          <w:spacing w:val="0"/>
          <w:sz w:val="32"/>
          <w:szCs w:val="32"/>
          <w:shd w:val="clear" w:color="auto" w:fill="FFFFFF"/>
          <w:lang w:eastAsia="zh-CN"/>
        </w:rPr>
        <w:t>盐边县南部的</w:t>
      </w:r>
      <w:r>
        <w:rPr>
          <w:rFonts w:hint="eastAsia" w:ascii="仿宋_GB2312" w:hAnsi="宋体" w:eastAsia="仿宋_GB2312" w:cs="仿宋_GB2312"/>
          <w:i w:val="0"/>
          <w:caps w:val="0"/>
          <w:color w:val="000000"/>
          <w:spacing w:val="0"/>
          <w:sz w:val="32"/>
          <w:szCs w:val="32"/>
          <w:shd w:val="clear" w:color="auto" w:fill="FFFFFF"/>
          <w:lang w:val="en-US" w:eastAsia="zh-CN"/>
        </w:rPr>
        <w:t>35岁以上农村已婚妇女的宫颈癌、乳腺癌的</w:t>
      </w:r>
      <w:r>
        <w:rPr>
          <w:rFonts w:hint="eastAsia" w:ascii="仿宋_GB2312" w:hAnsi="宋体" w:eastAsia="仿宋_GB2312" w:cs="仿宋_GB2312"/>
          <w:i w:val="0"/>
          <w:caps w:val="0"/>
          <w:color w:val="000000"/>
          <w:spacing w:val="0"/>
          <w:sz w:val="32"/>
          <w:szCs w:val="32"/>
          <w:shd w:val="clear" w:color="auto" w:fill="FFFFFF"/>
          <w:lang w:eastAsia="zh-CN"/>
        </w:rPr>
        <w:t>检查</w:t>
      </w:r>
      <w:r>
        <w:rPr>
          <w:rFonts w:ascii="仿宋_GB2312" w:hAnsi="宋体" w:eastAsia="仿宋_GB2312" w:cs="仿宋_GB2312"/>
          <w:i w:val="0"/>
          <w:caps w:val="0"/>
          <w:color w:val="000000"/>
          <w:spacing w:val="0"/>
          <w:sz w:val="32"/>
          <w:szCs w:val="32"/>
          <w:shd w:val="clear" w:color="auto" w:fill="FFFFFF"/>
        </w:rPr>
        <w:t>工作</w:t>
      </w:r>
      <w:r>
        <w:rPr>
          <w:rFonts w:hint="eastAsia" w:ascii="仿宋_GB2312" w:hAnsi="宋体" w:eastAsia="仿宋_GB2312" w:cs="仿宋_GB2312"/>
          <w:i w:val="0"/>
          <w:caps w:val="0"/>
          <w:color w:val="000000"/>
          <w:spacing w:val="0"/>
          <w:sz w:val="32"/>
          <w:szCs w:val="32"/>
          <w:shd w:val="clear" w:color="auto" w:fill="FFFFFF"/>
          <w:lang w:eastAsia="zh-CN"/>
        </w:rPr>
        <w:t>。</w:t>
      </w:r>
    </w:p>
    <w:p>
      <w:pPr>
        <w:numPr>
          <w:ilvl w:val="0"/>
          <w:numId w:val="17"/>
        </w:num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项目立项、资金申报的依据。</w:t>
      </w:r>
    </w:p>
    <w:p>
      <w:pPr>
        <w:autoSpaceDE/>
        <w:autoSpaceDN/>
        <w:adjustRightInd/>
        <w:spacing w:line="540" w:lineRule="exact"/>
        <w:ind w:firstLine="640" w:firstLineChars="200"/>
        <w:jc w:val="left"/>
        <w:rPr>
          <w:rFonts w:ascii="Times New Roman" w:hAnsi="Times New Roman" w:eastAsia="仿宋_GB2312"/>
          <w:kern w:val="0"/>
          <w:sz w:val="32"/>
          <w:szCs w:val="32"/>
        </w:rPr>
      </w:pPr>
      <w:r>
        <w:rPr>
          <w:rFonts w:hint="eastAsia" w:eastAsia="仿宋_GB2312"/>
          <w:sz w:val="32"/>
          <w:szCs w:val="32"/>
          <w:lang w:eastAsia="zh-CN"/>
        </w:rPr>
        <w:t>该资金立项时间为</w:t>
      </w:r>
      <w:r>
        <w:rPr>
          <w:rFonts w:hint="eastAsia" w:eastAsia="仿宋_GB2312"/>
          <w:sz w:val="32"/>
          <w:szCs w:val="32"/>
          <w:lang w:val="en-US" w:eastAsia="zh-CN"/>
        </w:rPr>
        <w:t>2021年，</w:t>
      </w:r>
      <w:r>
        <w:rPr>
          <w:rFonts w:hint="eastAsia" w:eastAsia="仿宋_GB2312"/>
          <w:sz w:val="32"/>
          <w:szCs w:val="32"/>
        </w:rPr>
        <w:t>加强和规范</w:t>
      </w:r>
      <w:r>
        <w:rPr>
          <w:rFonts w:hint="eastAsia" w:eastAsia="仿宋_GB2312"/>
          <w:sz w:val="32"/>
          <w:szCs w:val="32"/>
          <w:lang w:eastAsia="zh-CN"/>
        </w:rPr>
        <w:t>县</w:t>
      </w:r>
      <w:r>
        <w:rPr>
          <w:rFonts w:hint="eastAsia" w:eastAsia="仿宋_GB2312"/>
          <w:sz w:val="32"/>
          <w:szCs w:val="32"/>
        </w:rPr>
        <w:t>财政支持基层医疗卫生机构实施</w:t>
      </w:r>
      <w:r>
        <w:rPr>
          <w:rFonts w:hint="eastAsia" w:eastAsia="仿宋_GB2312"/>
          <w:sz w:val="32"/>
          <w:szCs w:val="32"/>
          <w:lang w:eastAsia="zh-CN"/>
        </w:rPr>
        <w:t>颈癌、乳腺癌的</w:t>
      </w:r>
      <w:r>
        <w:rPr>
          <w:rFonts w:hint="eastAsia" w:eastAsia="仿宋_GB2312"/>
          <w:sz w:val="32"/>
          <w:szCs w:val="32"/>
        </w:rPr>
        <w:t>资金分配、使用和管理</w:t>
      </w:r>
      <w:r>
        <w:rPr>
          <w:rFonts w:hint="eastAsia" w:eastAsia="仿宋_GB2312"/>
          <w:sz w:val="32"/>
          <w:szCs w:val="32"/>
          <w:lang w:eastAsia="zh-CN"/>
        </w:rPr>
        <w:t>。</w:t>
      </w:r>
    </w:p>
    <w:p>
      <w:pPr>
        <w:numPr>
          <w:ilvl w:val="0"/>
          <w:numId w:val="17"/>
        </w:num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资金管理办法制定情况，资金支持具体项目的条件、范围与支持方式概况。</w:t>
      </w:r>
    </w:p>
    <w:p>
      <w:pPr>
        <w:numPr>
          <w:ilvl w:val="0"/>
          <w:numId w:val="0"/>
        </w:numPr>
        <w:autoSpaceDE/>
        <w:autoSpaceDN/>
        <w:adjustRightInd/>
        <w:spacing w:line="560" w:lineRule="exact"/>
        <w:ind w:firstLine="640" w:firstLineChars="200"/>
        <w:jc w:val="left"/>
        <w:rPr>
          <w:rFonts w:ascii="Times New Roman" w:hAnsi="Times New Roman" w:eastAsia="仿宋_GB2312"/>
          <w:kern w:val="0"/>
          <w:sz w:val="32"/>
          <w:szCs w:val="32"/>
        </w:rPr>
      </w:pPr>
      <w:r>
        <w:rPr>
          <w:rFonts w:hint="eastAsia" w:eastAsia="仿宋_GB2312"/>
          <w:sz w:val="32"/>
          <w:szCs w:val="32"/>
          <w:lang w:eastAsia="zh-CN"/>
        </w:rPr>
        <w:t>根据盐财资行【202</w:t>
      </w:r>
      <w:r>
        <w:rPr>
          <w:rFonts w:hint="eastAsia" w:eastAsia="仿宋_GB2312"/>
          <w:sz w:val="32"/>
          <w:szCs w:val="32"/>
          <w:lang w:val="en-US" w:eastAsia="zh-CN"/>
        </w:rPr>
        <w:t>1</w:t>
      </w:r>
      <w:r>
        <w:rPr>
          <w:rFonts w:hint="eastAsia" w:eastAsia="仿宋_GB2312"/>
          <w:sz w:val="32"/>
          <w:szCs w:val="32"/>
          <w:lang w:eastAsia="zh-CN"/>
        </w:rPr>
        <w:t>】</w:t>
      </w:r>
      <w:r>
        <w:rPr>
          <w:rFonts w:hint="eastAsia" w:eastAsia="仿宋_GB2312"/>
          <w:sz w:val="32"/>
          <w:szCs w:val="32"/>
          <w:lang w:val="en-US" w:eastAsia="zh-CN"/>
        </w:rPr>
        <w:t>40</w:t>
      </w:r>
      <w:r>
        <w:rPr>
          <w:rFonts w:hint="eastAsia" w:eastAsia="仿宋_GB2312"/>
          <w:sz w:val="32"/>
          <w:szCs w:val="32"/>
          <w:lang w:eastAsia="zh-CN"/>
        </w:rPr>
        <w:t>号下达202</w:t>
      </w:r>
      <w:r>
        <w:rPr>
          <w:rFonts w:hint="eastAsia" w:eastAsia="仿宋_GB2312"/>
          <w:sz w:val="32"/>
          <w:szCs w:val="32"/>
          <w:lang w:val="en-US" w:eastAsia="zh-CN"/>
        </w:rPr>
        <w:t>1</w:t>
      </w:r>
      <w:r>
        <w:rPr>
          <w:rFonts w:hint="eastAsia" w:eastAsia="仿宋_GB2312"/>
          <w:sz w:val="32"/>
          <w:szCs w:val="32"/>
          <w:lang w:eastAsia="zh-CN"/>
        </w:rPr>
        <w:t>年基本公共卫生服务中央补助资金（两癌</w:t>
      </w:r>
      <w:r>
        <w:rPr>
          <w:rFonts w:hint="eastAsia" w:eastAsia="仿宋_GB2312"/>
          <w:sz w:val="32"/>
          <w:szCs w:val="32"/>
          <w:lang w:val="en-US" w:eastAsia="zh-CN"/>
        </w:rPr>
        <w:t>29.63万元</w:t>
      </w:r>
      <w:r>
        <w:rPr>
          <w:rFonts w:hint="eastAsia" w:eastAsia="仿宋_GB2312"/>
          <w:sz w:val="32"/>
          <w:szCs w:val="32"/>
          <w:lang w:eastAsia="zh-CN"/>
        </w:rPr>
        <w:t>）</w:t>
      </w:r>
      <w:r>
        <w:rPr>
          <w:rFonts w:hint="eastAsia" w:eastAsia="仿宋_GB2312"/>
          <w:sz w:val="32"/>
          <w:szCs w:val="32"/>
          <w:lang w:val="en-US" w:eastAsia="zh-CN"/>
        </w:rPr>
        <w:t>并结合资金的使用范围，</w:t>
      </w:r>
      <w:r>
        <w:rPr>
          <w:rFonts w:hint="eastAsia" w:ascii="宋体" w:hAnsi="宋体" w:eastAsia="宋体" w:cs="宋体"/>
          <w:i w:val="0"/>
          <w:caps w:val="0"/>
          <w:color w:val="333333"/>
          <w:spacing w:val="0"/>
          <w:sz w:val="28"/>
          <w:szCs w:val="28"/>
          <w:shd w:val="clear" w:color="auto" w:fill="FFFFFF"/>
        </w:rPr>
        <w:t>主要用于：宣传发</w:t>
      </w:r>
      <w:r>
        <w:rPr>
          <w:rFonts w:hint="eastAsia" w:ascii="宋体" w:hAnsi="宋体" w:eastAsia="宋体" w:cs="宋体"/>
          <w:i w:val="0"/>
          <w:caps w:val="0"/>
          <w:color w:val="333333"/>
          <w:spacing w:val="0"/>
          <w:sz w:val="28"/>
          <w:szCs w:val="28"/>
          <w:shd w:val="clear" w:color="auto" w:fill="FFFFFF"/>
          <w:lang w:eastAsia="zh-CN"/>
        </w:rPr>
        <w:t>放</w:t>
      </w:r>
      <w:r>
        <w:rPr>
          <w:rFonts w:hint="eastAsia" w:ascii="宋体" w:hAnsi="宋体" w:eastAsia="宋体" w:cs="宋体"/>
          <w:i w:val="0"/>
          <w:caps w:val="0"/>
          <w:color w:val="333333"/>
          <w:spacing w:val="0"/>
          <w:sz w:val="28"/>
          <w:szCs w:val="28"/>
          <w:shd w:val="clear" w:color="auto" w:fill="FFFFFF"/>
        </w:rPr>
        <w:t>、业务培训、医用耗材、</w:t>
      </w:r>
      <w:r>
        <w:rPr>
          <w:rFonts w:hint="eastAsia" w:ascii="宋体" w:hAnsi="宋体" w:eastAsia="宋体" w:cs="宋体"/>
          <w:i w:val="0"/>
          <w:caps w:val="0"/>
          <w:color w:val="333333"/>
          <w:spacing w:val="0"/>
          <w:sz w:val="28"/>
          <w:szCs w:val="28"/>
          <w:shd w:val="clear" w:color="auto" w:fill="FFFFFF"/>
          <w:lang w:eastAsia="zh-CN"/>
        </w:rPr>
        <w:t>购买试剂、设备、</w:t>
      </w:r>
      <w:r>
        <w:rPr>
          <w:rFonts w:hint="eastAsia" w:ascii="宋体" w:hAnsi="宋体" w:eastAsia="宋体" w:cs="宋体"/>
          <w:i w:val="0"/>
          <w:caps w:val="0"/>
          <w:color w:val="333333"/>
          <w:spacing w:val="0"/>
          <w:sz w:val="28"/>
          <w:szCs w:val="28"/>
          <w:shd w:val="clear" w:color="auto" w:fill="FFFFFF"/>
        </w:rPr>
        <w:t>自收自支人员经费等</w:t>
      </w:r>
      <w:r>
        <w:rPr>
          <w:rFonts w:hint="eastAsia" w:ascii="宋体" w:hAnsi="宋体" w:eastAsia="宋体" w:cs="宋体"/>
          <w:i w:val="0"/>
          <w:caps w:val="0"/>
          <w:color w:val="333333"/>
          <w:spacing w:val="0"/>
          <w:sz w:val="28"/>
          <w:szCs w:val="28"/>
          <w:shd w:val="clear" w:color="auto" w:fill="FFFFFF"/>
          <w:lang w:eastAsia="zh-CN"/>
        </w:rPr>
        <w:t>。</w:t>
      </w:r>
    </w:p>
    <w:p>
      <w:pPr>
        <w:numPr>
          <w:ilvl w:val="0"/>
          <w:numId w:val="17"/>
        </w:num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资金分配的原则及考虑因素。</w:t>
      </w:r>
    </w:p>
    <w:p>
      <w:pPr>
        <w:numPr>
          <w:ilvl w:val="0"/>
          <w:numId w:val="0"/>
        </w:numPr>
        <w:autoSpaceDE w:val="0"/>
        <w:autoSpaceDN w:val="0"/>
        <w:adjustRightInd w:val="0"/>
        <w:spacing w:line="600" w:lineRule="exact"/>
        <w:ind w:firstLine="320" w:firstLineChars="100"/>
        <w:jc w:val="left"/>
        <w:rPr>
          <w:rFonts w:ascii="Times New Roman" w:hAnsi="Times New Roman" w:eastAsia="仿宋_GB2312"/>
          <w:kern w:val="0"/>
          <w:sz w:val="32"/>
          <w:szCs w:val="32"/>
        </w:rPr>
      </w:pPr>
      <w:r>
        <w:rPr>
          <w:rFonts w:hint="eastAsia" w:eastAsia="仿宋_GB2312"/>
          <w:sz w:val="32"/>
          <w:szCs w:val="32"/>
          <w:lang w:eastAsia="zh-CN"/>
        </w:rPr>
        <w:t>根据盐财资行【202</w:t>
      </w:r>
      <w:r>
        <w:rPr>
          <w:rFonts w:hint="eastAsia" w:eastAsia="仿宋_GB2312"/>
          <w:sz w:val="32"/>
          <w:szCs w:val="32"/>
          <w:lang w:val="en-US" w:eastAsia="zh-CN"/>
        </w:rPr>
        <w:t>1</w:t>
      </w:r>
      <w:r>
        <w:rPr>
          <w:rFonts w:hint="eastAsia" w:eastAsia="仿宋_GB2312"/>
          <w:sz w:val="32"/>
          <w:szCs w:val="32"/>
          <w:lang w:eastAsia="zh-CN"/>
        </w:rPr>
        <w:t>】</w:t>
      </w:r>
      <w:r>
        <w:rPr>
          <w:rFonts w:hint="eastAsia" w:eastAsia="仿宋_GB2312"/>
          <w:sz w:val="32"/>
          <w:szCs w:val="32"/>
          <w:lang w:val="en-US" w:eastAsia="zh-CN"/>
        </w:rPr>
        <w:t>40</w:t>
      </w:r>
      <w:r>
        <w:rPr>
          <w:rFonts w:hint="eastAsia" w:eastAsia="仿宋_GB2312"/>
          <w:sz w:val="32"/>
          <w:szCs w:val="32"/>
          <w:lang w:eastAsia="zh-CN"/>
        </w:rPr>
        <w:t>号下达202</w:t>
      </w:r>
      <w:r>
        <w:rPr>
          <w:rFonts w:hint="eastAsia" w:eastAsia="仿宋_GB2312"/>
          <w:sz w:val="32"/>
          <w:szCs w:val="32"/>
          <w:lang w:val="en-US" w:eastAsia="zh-CN"/>
        </w:rPr>
        <w:t>1</w:t>
      </w:r>
      <w:r>
        <w:rPr>
          <w:rFonts w:hint="eastAsia" w:eastAsia="仿宋_GB2312"/>
          <w:sz w:val="32"/>
          <w:szCs w:val="32"/>
          <w:lang w:eastAsia="zh-CN"/>
        </w:rPr>
        <w:t>年基本公共卫生服务中央补助资金（两癌</w:t>
      </w:r>
      <w:r>
        <w:rPr>
          <w:rFonts w:hint="eastAsia" w:eastAsia="仿宋_GB2312"/>
          <w:sz w:val="32"/>
          <w:szCs w:val="32"/>
          <w:lang w:val="en-US" w:eastAsia="zh-CN"/>
        </w:rPr>
        <w:t>29.63万元</w:t>
      </w:r>
      <w:r>
        <w:rPr>
          <w:rFonts w:hint="eastAsia" w:eastAsia="仿宋_GB2312"/>
          <w:sz w:val="32"/>
          <w:szCs w:val="32"/>
          <w:lang w:eastAsia="zh-CN"/>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（二）项目绩效目标。</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1．项目主要内容。</w:t>
      </w:r>
    </w:p>
    <w:p>
      <w:pPr>
        <w:autoSpaceDE w:val="0"/>
        <w:autoSpaceDN w:val="0"/>
        <w:adjustRightInd w:val="0"/>
        <w:spacing w:line="600" w:lineRule="exact"/>
        <w:ind w:firstLine="560" w:firstLineChars="200"/>
        <w:jc w:val="left"/>
        <w:rPr>
          <w:rFonts w:hint="eastAsia" w:ascii="Arial" w:hAnsi="Arial" w:eastAsia="Arial" w:cs="Arial"/>
          <w:i w:val="0"/>
          <w:iCs w:val="0"/>
          <w:caps w:val="0"/>
          <w:color w:val="191919"/>
          <w:spacing w:val="0"/>
          <w:sz w:val="28"/>
          <w:szCs w:val="24"/>
          <w:shd w:val="clear" w:color="auto" w:fill="FFFFFF"/>
        </w:rPr>
      </w:pPr>
      <w:r>
        <w:rPr>
          <w:rFonts w:hint="eastAsia" w:ascii="Arial" w:hAnsi="Arial" w:eastAsia="宋体" w:cs="Arial"/>
          <w:i w:val="0"/>
          <w:iCs w:val="0"/>
          <w:caps w:val="0"/>
          <w:color w:val="191919"/>
          <w:spacing w:val="0"/>
          <w:sz w:val="28"/>
          <w:szCs w:val="24"/>
          <w:shd w:val="clear" w:color="auto" w:fill="FFFFFF"/>
          <w:lang w:val="en-US" w:eastAsia="zh-CN"/>
        </w:rPr>
        <w:t>1.</w:t>
      </w:r>
      <w:r>
        <w:rPr>
          <w:rFonts w:hint="eastAsia" w:ascii="Arial" w:hAnsi="Arial" w:eastAsia="Arial" w:cs="Arial"/>
          <w:i w:val="0"/>
          <w:iCs w:val="0"/>
          <w:caps w:val="0"/>
          <w:color w:val="191919"/>
          <w:spacing w:val="0"/>
          <w:sz w:val="28"/>
          <w:szCs w:val="24"/>
          <w:shd w:val="clear" w:color="auto" w:fill="FFFFFF"/>
        </w:rPr>
        <w:t>宫颈癌的发病率在女性生殖系统肿瘤中仅次于乳腺癌，居第二位</w:t>
      </w:r>
    </w:p>
    <w:p>
      <w:pPr>
        <w:autoSpaceDE w:val="0"/>
        <w:autoSpaceDN w:val="0"/>
        <w:adjustRightInd w:val="0"/>
        <w:spacing w:line="600" w:lineRule="exact"/>
        <w:ind w:firstLine="562" w:firstLineChars="200"/>
        <w:jc w:val="left"/>
        <w:rPr>
          <w:rFonts w:hint="eastAsia" w:ascii="Arial" w:hAnsi="Arial" w:eastAsia="Arial" w:cs="Arial"/>
          <w:i w:val="0"/>
          <w:iCs w:val="0"/>
          <w:caps w:val="0"/>
          <w:color w:val="191919"/>
          <w:spacing w:val="0"/>
          <w:sz w:val="28"/>
          <w:szCs w:val="24"/>
          <w:shd w:val="clear" w:color="auto" w:fill="FFFFFF"/>
        </w:rPr>
      </w:pPr>
      <w:r>
        <w:rPr>
          <w:rStyle w:val="15"/>
          <w:rFonts w:hint="eastAsia" w:ascii="Arial" w:hAnsi="Arial" w:eastAsia="宋体" w:cs="Arial"/>
          <w:b/>
          <w:bCs/>
          <w:i w:val="0"/>
          <w:iCs w:val="0"/>
          <w:caps w:val="0"/>
          <w:color w:val="191919"/>
          <w:spacing w:val="0"/>
          <w:sz w:val="28"/>
          <w:szCs w:val="24"/>
          <w:shd w:val="clear" w:color="auto" w:fill="FFFFFF"/>
          <w:lang w:val="en-US" w:eastAsia="zh-CN"/>
        </w:rPr>
        <w:t>2</w:t>
      </w:r>
      <w:r>
        <w:rPr>
          <w:rStyle w:val="15"/>
          <w:rFonts w:hint="eastAsia" w:ascii="Arial" w:hAnsi="Arial" w:eastAsia="Arial" w:cs="Arial"/>
          <w:b/>
          <w:bCs/>
          <w:i w:val="0"/>
          <w:iCs w:val="0"/>
          <w:caps w:val="0"/>
          <w:color w:val="191919"/>
          <w:spacing w:val="0"/>
          <w:sz w:val="28"/>
          <w:szCs w:val="24"/>
          <w:shd w:val="clear" w:color="auto" w:fill="FFFFFF"/>
        </w:rPr>
        <w:t>、乳腺癌发病率位居女性恶性肿瘤第一位</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2．项目应实现的具体绩效目标，包括目标的量化、细化情况以及项目实施进度计划等。</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3．分析评价申报内容是否与实际相符，申报目标是否合理可行。</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黑体"/>
          <w:kern w:val="0"/>
          <w:sz w:val="32"/>
          <w:szCs w:val="32"/>
        </w:rPr>
        <w:t>二、项目资金申报及使用情况</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（一）项目资金申报及批复情况。</w:t>
      </w:r>
    </w:p>
    <w:p>
      <w:pPr>
        <w:autoSpaceDE/>
        <w:autoSpaceDN/>
        <w:adjustRightInd/>
        <w:spacing w:line="560" w:lineRule="exact"/>
        <w:ind w:firstLine="660" w:firstLineChars="200"/>
        <w:jc w:val="left"/>
        <w:rPr>
          <w:rFonts w:ascii="Times New Roman" w:hAnsi="Times New Roman" w:eastAsia="仿宋_GB2312"/>
          <w:kern w:val="0"/>
          <w:sz w:val="32"/>
          <w:szCs w:val="32"/>
        </w:rPr>
      </w:pPr>
      <w:r>
        <w:rPr>
          <w:rFonts w:hint="eastAsia" w:eastAsia="仿宋_GB2312" w:cs="Times New Roman"/>
          <w:color w:val="000000"/>
          <w:kern w:val="0"/>
          <w:sz w:val="33"/>
          <w:szCs w:val="33"/>
          <w:lang w:eastAsia="zh-CN"/>
        </w:rPr>
        <w:t>两癌筛查检查</w:t>
      </w:r>
      <w:r>
        <w:rPr>
          <w:rFonts w:hint="default" w:ascii="Times New Roman" w:hAnsi="Times New Roman" w:eastAsia="仿宋_GB2312" w:cs="Times New Roman"/>
          <w:color w:val="000000"/>
          <w:kern w:val="0"/>
          <w:sz w:val="33"/>
          <w:szCs w:val="33"/>
        </w:rPr>
        <w:t>资金</w:t>
      </w:r>
      <w:r>
        <w:rPr>
          <w:rFonts w:hint="eastAsia" w:ascii="Times New Roman" w:hAnsi="Times New Roman" w:eastAsia="仿宋_GB2312" w:cs="Times New Roman"/>
          <w:color w:val="000000"/>
          <w:kern w:val="0"/>
          <w:sz w:val="33"/>
          <w:szCs w:val="33"/>
          <w:lang w:eastAsia="zh-CN"/>
        </w:rPr>
        <w:t>由县卫生健康局组织</w:t>
      </w:r>
      <w:r>
        <w:rPr>
          <w:rFonts w:hint="default" w:ascii="Times New Roman" w:hAnsi="Times New Roman" w:eastAsia="仿宋_GB2312" w:cs="Times New Roman"/>
          <w:color w:val="000000"/>
          <w:kern w:val="0"/>
          <w:sz w:val="33"/>
          <w:szCs w:val="33"/>
        </w:rPr>
        <w:t>申报、</w:t>
      </w:r>
      <w:r>
        <w:rPr>
          <w:rFonts w:hint="eastAsia" w:ascii="Times New Roman" w:hAnsi="Times New Roman" w:eastAsia="仿宋_GB2312" w:cs="Times New Roman"/>
          <w:color w:val="000000"/>
          <w:kern w:val="0"/>
          <w:sz w:val="33"/>
          <w:szCs w:val="33"/>
          <w:lang w:eastAsia="zh-CN"/>
        </w:rPr>
        <w:t>县财政根据实际情况予以</w:t>
      </w:r>
      <w:r>
        <w:rPr>
          <w:rFonts w:hint="default" w:ascii="Times New Roman" w:hAnsi="Times New Roman" w:eastAsia="仿宋_GB2312" w:cs="Times New Roman"/>
          <w:color w:val="000000"/>
          <w:kern w:val="0"/>
          <w:sz w:val="33"/>
          <w:szCs w:val="33"/>
        </w:rPr>
        <w:t>批复及</w:t>
      </w:r>
      <w:r>
        <w:rPr>
          <w:rFonts w:hint="eastAsia" w:ascii="Times New Roman" w:hAnsi="Times New Roman" w:eastAsia="仿宋_GB2312" w:cs="Times New Roman"/>
          <w:color w:val="000000"/>
          <w:kern w:val="0"/>
          <w:sz w:val="33"/>
          <w:szCs w:val="33"/>
          <w:lang w:eastAsia="zh-CN"/>
        </w:rPr>
        <w:t>进行下拨</w:t>
      </w:r>
      <w:r>
        <w:rPr>
          <w:rFonts w:hint="default" w:ascii="Times New Roman" w:hAnsi="Times New Roman" w:eastAsia="仿宋_GB2312" w:cs="Times New Roman"/>
          <w:color w:val="000000"/>
          <w:kern w:val="0"/>
          <w:sz w:val="33"/>
          <w:szCs w:val="33"/>
        </w:rPr>
        <w:t>预算</w:t>
      </w:r>
      <w:r>
        <w:rPr>
          <w:rFonts w:hint="eastAsia" w:ascii="Times New Roman" w:hAnsi="Times New Roman" w:eastAsia="仿宋_GB2312" w:cs="Times New Roman"/>
          <w:color w:val="000000"/>
          <w:kern w:val="0"/>
          <w:sz w:val="33"/>
          <w:szCs w:val="33"/>
          <w:lang w:eastAsia="zh-CN"/>
        </w:rPr>
        <w:t>至大平台上</w:t>
      </w:r>
      <w:r>
        <w:rPr>
          <w:rFonts w:hint="default" w:ascii="Times New Roman" w:hAnsi="Times New Roman" w:eastAsia="仿宋_GB2312" w:cs="Times New Roman"/>
          <w:color w:val="000000"/>
          <w:kern w:val="0"/>
          <w:sz w:val="33"/>
          <w:szCs w:val="33"/>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（二）资金计划、到位及使用情况（可用表格形式反映）。</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1．资金计划。</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eastAsia" w:eastAsia="仿宋_GB2312"/>
          <w:sz w:val="32"/>
          <w:szCs w:val="32"/>
          <w:lang w:eastAsia="zh-CN"/>
        </w:rPr>
        <w:t>根据盐财资行【202</w:t>
      </w:r>
      <w:r>
        <w:rPr>
          <w:rFonts w:hint="eastAsia" w:eastAsia="仿宋_GB2312"/>
          <w:sz w:val="32"/>
          <w:szCs w:val="32"/>
          <w:lang w:val="en-US" w:eastAsia="zh-CN"/>
        </w:rPr>
        <w:t>1</w:t>
      </w:r>
      <w:r>
        <w:rPr>
          <w:rFonts w:hint="eastAsia" w:eastAsia="仿宋_GB2312"/>
          <w:sz w:val="32"/>
          <w:szCs w:val="32"/>
          <w:lang w:eastAsia="zh-CN"/>
        </w:rPr>
        <w:t>】</w:t>
      </w:r>
      <w:r>
        <w:rPr>
          <w:rFonts w:hint="eastAsia" w:eastAsia="仿宋_GB2312"/>
          <w:sz w:val="32"/>
          <w:szCs w:val="32"/>
          <w:lang w:val="en-US" w:eastAsia="zh-CN"/>
        </w:rPr>
        <w:t>40</w:t>
      </w:r>
      <w:r>
        <w:rPr>
          <w:rFonts w:hint="eastAsia" w:eastAsia="仿宋_GB2312"/>
          <w:sz w:val="32"/>
          <w:szCs w:val="32"/>
          <w:lang w:eastAsia="zh-CN"/>
        </w:rPr>
        <w:t>号下达202</w:t>
      </w:r>
      <w:r>
        <w:rPr>
          <w:rFonts w:hint="eastAsia" w:eastAsia="仿宋_GB2312"/>
          <w:sz w:val="32"/>
          <w:szCs w:val="32"/>
          <w:lang w:val="en-US" w:eastAsia="zh-CN"/>
        </w:rPr>
        <w:t>1</w:t>
      </w:r>
      <w:r>
        <w:rPr>
          <w:rFonts w:hint="eastAsia" w:eastAsia="仿宋_GB2312"/>
          <w:sz w:val="32"/>
          <w:szCs w:val="32"/>
          <w:lang w:eastAsia="zh-CN"/>
        </w:rPr>
        <w:t>年基本公共卫生服务中央补助资金（两癌</w:t>
      </w:r>
      <w:r>
        <w:rPr>
          <w:rFonts w:hint="eastAsia" w:eastAsia="仿宋_GB2312"/>
          <w:sz w:val="32"/>
          <w:szCs w:val="32"/>
          <w:lang w:val="en-US" w:eastAsia="zh-CN"/>
        </w:rPr>
        <w:t>29.63万元</w:t>
      </w:r>
      <w:r>
        <w:rPr>
          <w:rFonts w:hint="eastAsia" w:eastAsia="仿宋_GB2312"/>
          <w:sz w:val="32"/>
          <w:szCs w:val="32"/>
          <w:lang w:eastAsia="zh-CN"/>
        </w:rPr>
        <w:t>）</w:t>
      </w:r>
      <w:r>
        <w:rPr>
          <w:rFonts w:ascii="Times New Roman" w:hAnsi="Times New Roman" w:eastAsia="仿宋_GB2312"/>
          <w:kern w:val="0"/>
          <w:sz w:val="32"/>
          <w:szCs w:val="32"/>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2．资金到位。</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hint="eastAsia" w:eastAsia="仿宋_GB2312"/>
          <w:sz w:val="32"/>
          <w:szCs w:val="32"/>
          <w:lang w:eastAsia="zh-CN"/>
        </w:rPr>
        <w:t>根据盐财资行【202</w:t>
      </w:r>
      <w:r>
        <w:rPr>
          <w:rFonts w:hint="eastAsia" w:eastAsia="仿宋_GB2312"/>
          <w:sz w:val="32"/>
          <w:szCs w:val="32"/>
          <w:lang w:val="en-US" w:eastAsia="zh-CN"/>
        </w:rPr>
        <w:t>1</w:t>
      </w:r>
      <w:r>
        <w:rPr>
          <w:rFonts w:hint="eastAsia" w:eastAsia="仿宋_GB2312"/>
          <w:sz w:val="32"/>
          <w:szCs w:val="32"/>
          <w:lang w:eastAsia="zh-CN"/>
        </w:rPr>
        <w:t>】</w:t>
      </w:r>
      <w:r>
        <w:rPr>
          <w:rFonts w:hint="eastAsia" w:eastAsia="仿宋_GB2312"/>
          <w:sz w:val="32"/>
          <w:szCs w:val="32"/>
          <w:lang w:val="en-US" w:eastAsia="zh-CN"/>
        </w:rPr>
        <w:t>40</w:t>
      </w:r>
      <w:r>
        <w:rPr>
          <w:rFonts w:hint="eastAsia" w:eastAsia="仿宋_GB2312"/>
          <w:sz w:val="32"/>
          <w:szCs w:val="32"/>
          <w:lang w:eastAsia="zh-CN"/>
        </w:rPr>
        <w:t>号下达202</w:t>
      </w:r>
      <w:r>
        <w:rPr>
          <w:rFonts w:hint="eastAsia" w:eastAsia="仿宋_GB2312"/>
          <w:sz w:val="32"/>
          <w:szCs w:val="32"/>
          <w:lang w:val="en-US" w:eastAsia="zh-CN"/>
        </w:rPr>
        <w:t>1</w:t>
      </w:r>
      <w:r>
        <w:rPr>
          <w:rFonts w:hint="eastAsia" w:eastAsia="仿宋_GB2312"/>
          <w:sz w:val="32"/>
          <w:szCs w:val="32"/>
          <w:lang w:eastAsia="zh-CN"/>
        </w:rPr>
        <w:t>年基本公共卫生服务中央补助资金（两癌</w:t>
      </w:r>
      <w:r>
        <w:rPr>
          <w:rFonts w:hint="eastAsia" w:eastAsia="仿宋_GB2312"/>
          <w:sz w:val="32"/>
          <w:szCs w:val="32"/>
          <w:lang w:val="en-US" w:eastAsia="zh-CN"/>
        </w:rPr>
        <w:t>29.63万元</w:t>
      </w:r>
      <w:r>
        <w:rPr>
          <w:rFonts w:hint="eastAsia" w:eastAsia="仿宋_GB2312"/>
          <w:sz w:val="32"/>
          <w:szCs w:val="32"/>
          <w:lang w:eastAsia="zh-CN"/>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3．资金使用。</w:t>
      </w:r>
    </w:p>
    <w:p>
      <w:pPr>
        <w:autoSpaceDE w:val="0"/>
        <w:autoSpaceDN w:val="0"/>
        <w:adjustRightInd w:val="0"/>
        <w:spacing w:line="600" w:lineRule="exact"/>
        <w:ind w:firstLine="640" w:firstLineChars="200"/>
        <w:jc w:val="left"/>
        <w:rPr>
          <w:rFonts w:hint="eastAsia" w:ascii="Times New Roman" w:hAnsi="Times New Roman" w:eastAsia="仿宋_GB2312"/>
          <w:kern w:val="0"/>
          <w:sz w:val="32"/>
          <w:szCs w:val="32"/>
        </w:rPr>
      </w:pPr>
      <w:r>
        <w:rPr>
          <w:rFonts w:hint="eastAsia" w:eastAsia="仿宋_GB2312"/>
          <w:sz w:val="32"/>
          <w:szCs w:val="32"/>
          <w:lang w:eastAsia="zh-CN"/>
        </w:rPr>
        <w:t>根据盐财资行【202</w:t>
      </w:r>
      <w:r>
        <w:rPr>
          <w:rFonts w:hint="eastAsia" w:eastAsia="仿宋_GB2312"/>
          <w:sz w:val="32"/>
          <w:szCs w:val="32"/>
          <w:lang w:val="en-US" w:eastAsia="zh-CN"/>
        </w:rPr>
        <w:t>1</w:t>
      </w:r>
      <w:r>
        <w:rPr>
          <w:rFonts w:hint="eastAsia" w:eastAsia="仿宋_GB2312"/>
          <w:sz w:val="32"/>
          <w:szCs w:val="32"/>
          <w:lang w:eastAsia="zh-CN"/>
        </w:rPr>
        <w:t>】</w:t>
      </w:r>
      <w:r>
        <w:rPr>
          <w:rFonts w:hint="eastAsia" w:eastAsia="仿宋_GB2312"/>
          <w:sz w:val="32"/>
          <w:szCs w:val="32"/>
          <w:lang w:val="en-US" w:eastAsia="zh-CN"/>
        </w:rPr>
        <w:t>40</w:t>
      </w:r>
      <w:r>
        <w:rPr>
          <w:rFonts w:hint="eastAsia" w:eastAsia="仿宋_GB2312"/>
          <w:sz w:val="32"/>
          <w:szCs w:val="32"/>
          <w:lang w:eastAsia="zh-CN"/>
        </w:rPr>
        <w:t>号下达202</w:t>
      </w:r>
      <w:r>
        <w:rPr>
          <w:rFonts w:hint="eastAsia" w:eastAsia="仿宋_GB2312"/>
          <w:sz w:val="32"/>
          <w:szCs w:val="32"/>
          <w:lang w:val="en-US" w:eastAsia="zh-CN"/>
        </w:rPr>
        <w:t>1</w:t>
      </w:r>
      <w:r>
        <w:rPr>
          <w:rFonts w:hint="eastAsia" w:eastAsia="仿宋_GB2312"/>
          <w:sz w:val="32"/>
          <w:szCs w:val="32"/>
          <w:lang w:eastAsia="zh-CN"/>
        </w:rPr>
        <w:t>年基本公共卫生服务中央补助资金（两癌</w:t>
      </w:r>
      <w:r>
        <w:rPr>
          <w:rFonts w:hint="eastAsia" w:eastAsia="仿宋_GB2312"/>
          <w:sz w:val="32"/>
          <w:szCs w:val="32"/>
          <w:lang w:val="en-US" w:eastAsia="zh-CN"/>
        </w:rPr>
        <w:t>29.63万元</w:t>
      </w:r>
      <w:r>
        <w:rPr>
          <w:rFonts w:hint="eastAsia" w:eastAsia="仿宋_GB2312"/>
          <w:sz w:val="32"/>
          <w:szCs w:val="32"/>
          <w:lang w:eastAsia="zh-CN"/>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（三）项目财务管理情况。</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总体评价各项目实施单位财务管理制度是否健全，是否严格执行财务管理制度，账务处理是否及时，会计核算是否规范等。</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三、项目实施及管理情况</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结合项目组织实施管理办法，重点围绕以下内容进行分析评价，并对自评中发现的问题分析说明。</w:t>
      </w:r>
    </w:p>
    <w:p>
      <w:pPr>
        <w:numPr>
          <w:ilvl w:val="0"/>
          <w:numId w:val="18"/>
        </w:num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项目组织架构及实施流程。</w:t>
      </w:r>
    </w:p>
    <w:p>
      <w:pPr>
        <w:numPr>
          <w:ilvl w:val="0"/>
          <w:numId w:val="0"/>
        </w:num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hint="eastAsia" w:ascii="仿宋_GB2312" w:hAnsi="宋体" w:eastAsia="仿宋_GB2312"/>
          <w:sz w:val="32"/>
          <w:szCs w:val="32"/>
          <w:lang w:eastAsia="zh-CN"/>
        </w:rPr>
        <w:t>两癌筛查</w:t>
      </w:r>
      <w:r>
        <w:rPr>
          <w:rFonts w:hint="eastAsia" w:ascii="仿宋_GB2312" w:hAnsi="宋体" w:eastAsia="仿宋_GB2312"/>
          <w:sz w:val="32"/>
          <w:szCs w:val="32"/>
        </w:rPr>
        <w:t>检查工作已在我院</w:t>
      </w:r>
      <w:r>
        <w:rPr>
          <w:rFonts w:hint="eastAsia" w:ascii="仿宋_GB2312" w:hAnsi="宋体" w:eastAsia="仿宋_GB2312"/>
          <w:sz w:val="32"/>
          <w:szCs w:val="32"/>
          <w:lang w:eastAsia="zh-CN"/>
        </w:rPr>
        <w:t>有序</w:t>
      </w:r>
      <w:r>
        <w:rPr>
          <w:rFonts w:hint="eastAsia" w:ascii="仿宋_GB2312" w:hAnsi="宋体" w:eastAsia="仿宋_GB2312"/>
          <w:sz w:val="32"/>
          <w:szCs w:val="32"/>
        </w:rPr>
        <w:t>展开，</w:t>
      </w:r>
      <w:r>
        <w:rPr>
          <w:rFonts w:hint="eastAsia" w:ascii="仿宋_GB2312" w:hAnsi="宋体" w:eastAsia="仿宋_GB2312"/>
          <w:sz w:val="32"/>
          <w:szCs w:val="32"/>
          <w:lang w:eastAsia="zh-CN"/>
        </w:rPr>
        <w:t>截至目前</w:t>
      </w:r>
      <w:r>
        <w:rPr>
          <w:rFonts w:hint="eastAsia" w:ascii="仿宋_GB2312" w:hAnsi="宋体" w:eastAsia="仿宋_GB2312"/>
          <w:sz w:val="32"/>
          <w:szCs w:val="32"/>
        </w:rPr>
        <w:t>，我</w:t>
      </w:r>
      <w:r>
        <w:rPr>
          <w:rFonts w:hint="eastAsia" w:ascii="仿宋_GB2312" w:hAnsi="宋体" w:eastAsia="仿宋_GB2312"/>
          <w:sz w:val="32"/>
          <w:szCs w:val="32"/>
          <w:lang w:eastAsia="zh-CN"/>
        </w:rPr>
        <w:t>中心</w:t>
      </w:r>
      <w:r>
        <w:rPr>
          <w:rFonts w:hint="eastAsia" w:ascii="仿宋_GB2312" w:hAnsi="宋体" w:eastAsia="仿宋_GB2312"/>
          <w:sz w:val="32"/>
          <w:szCs w:val="32"/>
        </w:rPr>
        <w:t>已为</w:t>
      </w:r>
      <w:r>
        <w:rPr>
          <w:rFonts w:hint="eastAsia" w:ascii="仿宋_GB2312" w:hAnsi="宋体" w:eastAsia="仿宋_GB2312"/>
          <w:sz w:val="32"/>
          <w:szCs w:val="32"/>
          <w:lang w:val="en-US" w:eastAsia="zh-CN"/>
        </w:rPr>
        <w:t>1299</w:t>
      </w:r>
      <w:r>
        <w:rPr>
          <w:rFonts w:hint="eastAsia" w:ascii="仿宋_GB2312" w:hAnsi="宋体" w:eastAsia="仿宋_GB2312"/>
          <w:sz w:val="32"/>
          <w:szCs w:val="32"/>
        </w:rPr>
        <w:t>人提供了免费</w:t>
      </w:r>
      <w:r>
        <w:rPr>
          <w:rFonts w:hint="eastAsia" w:ascii="仿宋_GB2312" w:hAnsi="宋体" w:eastAsia="仿宋_GB2312"/>
          <w:sz w:val="32"/>
          <w:szCs w:val="32"/>
          <w:lang w:eastAsia="zh-CN"/>
        </w:rPr>
        <w:t>两癌筛查</w:t>
      </w:r>
      <w:r>
        <w:rPr>
          <w:rFonts w:hint="eastAsia" w:ascii="仿宋_GB2312" w:hAnsi="宋体" w:eastAsia="仿宋_GB2312"/>
          <w:sz w:val="32"/>
          <w:szCs w:val="32"/>
        </w:rPr>
        <w:t>检查，</w:t>
      </w:r>
    </w:p>
    <w:p>
      <w:pPr>
        <w:spacing w:line="353" w:lineRule="auto"/>
        <w:ind w:firstLine="640" w:firstLineChars="200"/>
        <w:rPr>
          <w:rFonts w:eastAsia="楷体_GB2312"/>
          <w:sz w:val="32"/>
          <w:szCs w:val="32"/>
        </w:rPr>
      </w:pPr>
      <w:r>
        <w:rPr>
          <w:rFonts w:ascii="Times New Roman" w:hAnsi="Times New Roman" w:eastAsia="楷体_GB2312"/>
          <w:kern w:val="0"/>
          <w:sz w:val="32"/>
          <w:szCs w:val="32"/>
        </w:rPr>
        <w:t>（二）项目管理情况。</w:t>
      </w:r>
      <w:r>
        <w:rPr>
          <w:rFonts w:hint="eastAsia" w:ascii="仿宋_GB2312" w:hAnsi="Lucida Sans Unicode" w:eastAsia="仿宋_GB2312" w:cs="Lucida Sans Unicode"/>
          <w:kern w:val="0"/>
          <w:sz w:val="32"/>
          <w:szCs w:val="32"/>
        </w:rPr>
        <w:t>加强临床检验质量控制，强化检验环节的室内控制，建立信息及标本采集</w:t>
      </w:r>
      <w:r>
        <w:rPr>
          <w:rFonts w:hint="eastAsia" w:ascii="仿宋_GB2312" w:hAnsi="Lucida Sans Unicode" w:eastAsia="仿宋_GB2312" w:cs="Lucida Sans Unicode"/>
          <w:kern w:val="0"/>
          <w:sz w:val="32"/>
          <w:szCs w:val="32"/>
        </w:rPr>
        <w:fldChar w:fldCharType="begin"/>
      </w:r>
      <w:r>
        <w:rPr>
          <w:rFonts w:hint="eastAsia" w:ascii="仿宋_GB2312" w:hAnsi="Lucida Sans Unicode" w:eastAsia="仿宋_GB2312" w:cs="Lucida Sans Unicode"/>
          <w:kern w:val="0"/>
          <w:sz w:val="32"/>
          <w:szCs w:val="32"/>
        </w:rPr>
        <w:instrText xml:space="preserve"> HYPERLINK "http://www.ttzyw.com/Article/index.html" \t "_blank" </w:instrText>
      </w:r>
      <w:r>
        <w:rPr>
          <w:rFonts w:hint="eastAsia" w:ascii="仿宋_GB2312" w:hAnsi="Lucida Sans Unicode" w:eastAsia="仿宋_GB2312" w:cs="Lucida Sans Unicode"/>
          <w:kern w:val="0"/>
          <w:sz w:val="32"/>
          <w:szCs w:val="32"/>
        </w:rPr>
        <w:fldChar w:fldCharType="separate"/>
      </w:r>
      <w:r>
        <w:rPr>
          <w:rFonts w:hint="eastAsia" w:ascii="仿宋_GB2312" w:hAnsi="Lucida Sans Unicode" w:eastAsia="仿宋_GB2312" w:cs="Lucida Sans Unicode"/>
          <w:kern w:val="0"/>
          <w:sz w:val="32"/>
          <w:szCs w:val="32"/>
        </w:rPr>
        <w:t>制度</w:t>
      </w:r>
      <w:r>
        <w:rPr>
          <w:rFonts w:hint="eastAsia" w:ascii="仿宋_GB2312" w:hAnsi="Lucida Sans Unicode" w:eastAsia="仿宋_GB2312" w:cs="Lucida Sans Unicode"/>
          <w:kern w:val="0"/>
          <w:sz w:val="32"/>
          <w:szCs w:val="32"/>
        </w:rPr>
        <w:fldChar w:fldCharType="end"/>
      </w:r>
      <w:r>
        <w:rPr>
          <w:rFonts w:hint="eastAsia" w:ascii="仿宋_GB2312" w:hAnsi="Lucida Sans Unicode" w:eastAsia="仿宋_GB2312" w:cs="Lucida Sans Unicode"/>
          <w:kern w:val="0"/>
          <w:sz w:val="32"/>
          <w:szCs w:val="32"/>
        </w:rPr>
        <w:t>，规范标本采集时间、操作方法、保存与处置要求，规范检验操作流程，细化服务项目，确保检查结果准确</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（三）项目监管情况。</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eastAsia" w:eastAsia="仿宋_GB2312"/>
          <w:sz w:val="32"/>
          <w:szCs w:val="32"/>
          <w:lang w:eastAsia="zh-CN"/>
        </w:rPr>
        <w:t>县卫生健康局对</w:t>
      </w:r>
      <w:r>
        <w:rPr>
          <w:rFonts w:hint="eastAsia" w:eastAsia="仿宋_GB2312"/>
          <w:sz w:val="32"/>
          <w:szCs w:val="32"/>
          <w:lang w:val="en-US" w:eastAsia="zh-CN"/>
        </w:rPr>
        <w:t>2021年进行绩效考核</w:t>
      </w:r>
      <w:r>
        <w:rPr>
          <w:rFonts w:hint="eastAsia" w:eastAsia="仿宋_GB2312"/>
          <w:sz w:val="32"/>
          <w:szCs w:val="32"/>
          <w:lang w:eastAsia="zh-CN"/>
        </w:rPr>
        <w:t>，结合考核结果来下拨预算。</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四、项目绩效情况</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（一）项目完成情况。</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eastAsia" w:eastAsia="仿宋_GB2312"/>
          <w:sz w:val="32"/>
          <w:szCs w:val="32"/>
        </w:rPr>
        <w:t>1、202</w:t>
      </w:r>
      <w:r>
        <w:rPr>
          <w:rFonts w:hint="eastAsia" w:eastAsia="仿宋_GB2312"/>
          <w:sz w:val="32"/>
          <w:szCs w:val="32"/>
          <w:lang w:val="en-US" w:eastAsia="zh-CN"/>
        </w:rPr>
        <w:t>1</w:t>
      </w:r>
      <w:r>
        <w:rPr>
          <w:rFonts w:hint="eastAsia" w:eastAsia="仿宋_GB2312"/>
          <w:sz w:val="32"/>
          <w:szCs w:val="32"/>
        </w:rPr>
        <w:t>年1月-12月妇幼保健服务中心</w:t>
      </w:r>
      <w:r>
        <w:rPr>
          <w:rFonts w:hint="eastAsia" w:ascii="Times New Roman" w:hAnsi="Times New Roman" w:eastAsia="仿宋_GB2312"/>
          <w:kern w:val="0"/>
          <w:sz w:val="32"/>
          <w:szCs w:val="32"/>
          <w:lang w:eastAsia="zh-CN"/>
        </w:rPr>
        <w:t>两癌筛查</w:t>
      </w:r>
      <w:r>
        <w:rPr>
          <w:rFonts w:hint="eastAsia" w:ascii="Times New Roman" w:hAnsi="Times New Roman" w:eastAsia="仿宋_GB2312"/>
          <w:kern w:val="0"/>
          <w:sz w:val="32"/>
          <w:szCs w:val="32"/>
          <w:lang w:val="en-US" w:eastAsia="zh-CN"/>
        </w:rPr>
        <w:t>1299人。</w:t>
      </w:r>
      <w:r>
        <w:rPr>
          <w:rFonts w:ascii="Times New Roman" w:hAnsi="Times New Roman" w:eastAsia="仿宋_GB2312"/>
          <w:kern w:val="0"/>
          <w:sz w:val="32"/>
          <w:szCs w:val="32"/>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（二）项目效益情况。</w:t>
      </w:r>
    </w:p>
    <w:p>
      <w:pPr>
        <w:autoSpaceDE w:val="0"/>
        <w:autoSpaceDN w:val="0"/>
        <w:adjustRightInd w:val="0"/>
        <w:spacing w:line="600" w:lineRule="exact"/>
        <w:ind w:left="2238" w:leftChars="304" w:hanging="1600" w:hangingChars="500"/>
        <w:jc w:val="left"/>
        <w:rPr>
          <w:rFonts w:ascii="Times New Roman" w:hAnsi="Times New Roman" w:eastAsia="仿宋_GB2312"/>
          <w:kern w:val="0"/>
          <w:sz w:val="32"/>
          <w:szCs w:val="32"/>
        </w:rPr>
      </w:pPr>
      <w:r>
        <w:rPr>
          <w:rFonts w:eastAsia="仿宋_GB2312"/>
          <w:sz w:val="32"/>
          <w:szCs w:val="32"/>
        </w:rPr>
        <w:t>社会效益</w:t>
      </w:r>
      <w:r>
        <w:rPr>
          <w:rFonts w:hint="eastAsia" w:eastAsia="仿宋_GB2312"/>
          <w:sz w:val="32"/>
          <w:szCs w:val="32"/>
          <w:lang w:eastAsia="zh-CN"/>
        </w:rPr>
        <w:t>：</w:t>
      </w:r>
      <w:r>
        <w:rPr>
          <w:rFonts w:hint="eastAsia" w:eastAsia="仿宋_GB2312"/>
          <w:sz w:val="32"/>
          <w:szCs w:val="32"/>
          <w:lang w:val="en-US" w:eastAsia="zh-CN"/>
        </w:rPr>
        <w:t>1、加强协调，广泛宣传，保障目标人群的参与率</w:t>
      </w:r>
      <w:r>
        <w:rPr>
          <w:rFonts w:hint="eastAsia" w:eastAsia="仿宋_GB2312"/>
          <w:sz w:val="32"/>
          <w:szCs w:val="32"/>
          <w:lang w:eastAsia="zh-CN"/>
        </w:rPr>
        <w:t>。</w:t>
      </w:r>
      <w:r>
        <w:rPr>
          <w:rFonts w:hint="eastAsia" w:eastAsia="仿宋_GB2312"/>
          <w:sz w:val="32"/>
          <w:szCs w:val="32"/>
          <w:lang w:val="en-US" w:eastAsia="zh-CN"/>
        </w:rPr>
        <w:t>2、高危人群进行跟踪随访。</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五、评价结论及建议</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（一）评价结论。</w:t>
      </w:r>
    </w:p>
    <w:p>
      <w:pPr>
        <w:autoSpaceDE/>
        <w:autoSpaceDN/>
        <w:adjustRightInd/>
        <w:spacing w:line="560" w:lineRule="exact"/>
        <w:ind w:firstLine="640" w:firstLineChars="200"/>
        <w:jc w:val="left"/>
        <w:rPr>
          <w:rFonts w:ascii="Times New Roman" w:hAnsi="Times New Roman" w:eastAsia="仿宋_GB2312"/>
          <w:kern w:val="0"/>
          <w:sz w:val="32"/>
          <w:szCs w:val="32"/>
        </w:rPr>
      </w:pPr>
      <w:r>
        <w:rPr>
          <w:rFonts w:hint="eastAsia" w:ascii="仿宋" w:hAnsi="仿宋" w:eastAsia="仿宋" w:cs="仿宋"/>
          <w:kern w:val="2"/>
          <w:sz w:val="32"/>
          <w:szCs w:val="32"/>
          <w:lang w:val="en-US" w:eastAsia="zh-CN" w:bidi="ar-SA"/>
        </w:rPr>
        <w:t>项目总体指标完成较好，均能完成评价指标，达到预期值。</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（二）存在的问题。</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eastAsia" w:ascii="仿宋" w:hAnsi="仿宋" w:eastAsia="仿宋" w:cs="仿宋"/>
          <w:i w:val="0"/>
          <w:caps w:val="0"/>
          <w:color w:val="333333"/>
          <w:spacing w:val="0"/>
          <w:sz w:val="32"/>
          <w:szCs w:val="32"/>
        </w:rPr>
        <w:t>中央</w:t>
      </w:r>
      <w:r>
        <w:rPr>
          <w:rFonts w:hint="eastAsia" w:ascii="仿宋" w:hAnsi="仿宋" w:eastAsia="仿宋" w:cs="仿宋"/>
          <w:i w:val="0"/>
          <w:caps w:val="0"/>
          <w:color w:val="333333"/>
          <w:spacing w:val="0"/>
          <w:sz w:val="32"/>
          <w:szCs w:val="32"/>
          <w:lang w:eastAsia="zh-CN"/>
        </w:rPr>
        <w:t>、省、市</w:t>
      </w:r>
      <w:r>
        <w:rPr>
          <w:rFonts w:hint="eastAsia" w:ascii="仿宋" w:hAnsi="仿宋" w:eastAsia="仿宋" w:cs="仿宋"/>
          <w:i w:val="0"/>
          <w:caps w:val="0"/>
          <w:color w:val="333333"/>
          <w:spacing w:val="0"/>
          <w:sz w:val="32"/>
          <w:szCs w:val="32"/>
        </w:rPr>
        <w:t>补助资金有限，地方财政困难，经费投入难以满足群众对</w:t>
      </w:r>
      <w:r>
        <w:rPr>
          <w:rFonts w:hint="eastAsia" w:ascii="仿宋" w:hAnsi="仿宋" w:eastAsia="仿宋" w:cs="仿宋"/>
          <w:i w:val="0"/>
          <w:caps w:val="0"/>
          <w:color w:val="333333"/>
          <w:spacing w:val="0"/>
          <w:sz w:val="32"/>
          <w:szCs w:val="32"/>
          <w:lang w:eastAsia="zh-CN"/>
        </w:rPr>
        <w:t>两癌筛查检查</w:t>
      </w:r>
      <w:r>
        <w:rPr>
          <w:rFonts w:hint="eastAsia" w:ascii="仿宋" w:hAnsi="仿宋" w:eastAsia="仿宋" w:cs="仿宋"/>
          <w:i w:val="0"/>
          <w:caps w:val="0"/>
          <w:color w:val="333333"/>
          <w:spacing w:val="0"/>
          <w:sz w:val="32"/>
          <w:szCs w:val="32"/>
        </w:rPr>
        <w:t>工作的需求。部分</w:t>
      </w:r>
      <w:r>
        <w:rPr>
          <w:rFonts w:hint="eastAsia" w:ascii="仿宋" w:hAnsi="仿宋" w:eastAsia="仿宋" w:cs="仿宋"/>
          <w:i w:val="0"/>
          <w:caps w:val="0"/>
          <w:color w:val="333333"/>
          <w:spacing w:val="0"/>
          <w:sz w:val="32"/>
          <w:szCs w:val="32"/>
          <w:lang w:eastAsia="zh-CN"/>
        </w:rPr>
        <w:t>地区</w:t>
      </w:r>
      <w:r>
        <w:rPr>
          <w:rFonts w:hint="eastAsia" w:ascii="仿宋" w:hAnsi="仿宋" w:eastAsia="仿宋" w:cs="仿宋"/>
          <w:i w:val="0"/>
          <w:caps w:val="0"/>
          <w:color w:val="333333"/>
          <w:spacing w:val="0"/>
          <w:sz w:val="32"/>
          <w:szCs w:val="32"/>
        </w:rPr>
        <w:t>预算执行进度不理想，究其原因既有项目单位报账不及时，未形成有效支出的原因，也有财政调度安排不及时、拨付不到位的问题。下一步我</w:t>
      </w:r>
      <w:r>
        <w:rPr>
          <w:rFonts w:hint="eastAsia" w:ascii="仿宋" w:hAnsi="仿宋" w:eastAsia="仿宋" w:cs="仿宋"/>
          <w:i w:val="0"/>
          <w:caps w:val="0"/>
          <w:color w:val="333333"/>
          <w:spacing w:val="0"/>
          <w:sz w:val="32"/>
          <w:szCs w:val="32"/>
          <w:lang w:eastAsia="zh-CN"/>
        </w:rPr>
        <w:t>中心</w:t>
      </w:r>
      <w:r>
        <w:rPr>
          <w:rFonts w:hint="eastAsia" w:ascii="仿宋" w:hAnsi="仿宋" w:eastAsia="仿宋" w:cs="仿宋"/>
          <w:i w:val="0"/>
          <w:caps w:val="0"/>
          <w:color w:val="333333"/>
          <w:spacing w:val="0"/>
          <w:sz w:val="32"/>
          <w:szCs w:val="32"/>
        </w:rPr>
        <w:t>将加大沟通协调力度，强化督导检查，</w:t>
      </w:r>
      <w:r>
        <w:rPr>
          <w:rFonts w:hint="eastAsia" w:ascii="仿宋" w:hAnsi="仿宋" w:eastAsia="仿宋" w:cs="仿宋"/>
          <w:i w:val="0"/>
          <w:caps w:val="0"/>
          <w:color w:val="333333"/>
          <w:spacing w:val="0"/>
          <w:sz w:val="32"/>
          <w:szCs w:val="32"/>
          <w:lang w:eastAsia="zh-CN"/>
        </w:rPr>
        <w:t>及时划拨给各乡镇卫生院的艾滋病</w:t>
      </w:r>
      <w:r>
        <w:rPr>
          <w:rFonts w:hint="eastAsia" w:ascii="仿宋" w:hAnsi="仿宋" w:eastAsia="仿宋" w:cs="仿宋"/>
          <w:i w:val="0"/>
          <w:caps w:val="0"/>
          <w:color w:val="333333"/>
          <w:spacing w:val="0"/>
          <w:sz w:val="32"/>
          <w:szCs w:val="32"/>
        </w:rPr>
        <w:t>专项补助资金，提高项目资金执行力度，确保工作有效落实</w:t>
      </w:r>
      <w:r>
        <w:rPr>
          <w:rFonts w:hint="eastAsia" w:ascii="宋体" w:hAnsi="宋体" w:eastAsia="宋体" w:cs="宋体"/>
          <w:i w:val="0"/>
          <w:caps w:val="0"/>
          <w:color w:val="333333"/>
          <w:spacing w:val="0"/>
          <w:sz w:val="24"/>
          <w:szCs w:val="24"/>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（三）相关建议。</w:t>
      </w:r>
    </w:p>
    <w:p>
      <w:pPr>
        <w:spacing w:line="560" w:lineRule="exact"/>
        <w:ind w:firstLine="640" w:firstLineChars="200"/>
        <w:rPr>
          <w:rFonts w:hint="eastAsia" w:ascii="仿宋" w:hAnsi="仿宋" w:eastAsia="仿宋" w:cs="仿宋"/>
          <w:i w:val="0"/>
          <w:caps w:val="0"/>
          <w:color w:val="333333"/>
          <w:spacing w:val="0"/>
          <w:sz w:val="32"/>
          <w:szCs w:val="32"/>
          <w:lang w:val="en-US" w:eastAsia="zh-CN"/>
        </w:rPr>
      </w:pPr>
      <w:r>
        <w:rPr>
          <w:rFonts w:hint="eastAsia" w:ascii="仿宋" w:hAnsi="仿宋" w:eastAsia="仿宋" w:cs="仿宋"/>
          <w:i w:val="0"/>
          <w:caps w:val="0"/>
          <w:color w:val="333333"/>
          <w:spacing w:val="0"/>
          <w:sz w:val="32"/>
          <w:szCs w:val="32"/>
        </w:rPr>
        <w:t>建议</w:t>
      </w:r>
      <w:r>
        <w:rPr>
          <w:rFonts w:hint="eastAsia" w:ascii="仿宋" w:hAnsi="仿宋" w:eastAsia="仿宋" w:cs="仿宋"/>
          <w:i w:val="0"/>
          <w:caps w:val="0"/>
          <w:color w:val="333333"/>
          <w:spacing w:val="0"/>
          <w:sz w:val="32"/>
          <w:szCs w:val="32"/>
          <w:lang w:eastAsia="zh-CN"/>
        </w:rPr>
        <w:t>中央</w:t>
      </w:r>
      <w:r>
        <w:rPr>
          <w:rFonts w:hint="eastAsia" w:ascii="仿宋" w:hAnsi="仿宋" w:eastAsia="仿宋" w:cs="仿宋"/>
          <w:i w:val="0"/>
          <w:caps w:val="0"/>
          <w:color w:val="333333"/>
          <w:spacing w:val="0"/>
          <w:sz w:val="32"/>
          <w:szCs w:val="32"/>
        </w:rPr>
        <w:t>、省</w:t>
      </w:r>
      <w:r>
        <w:rPr>
          <w:rFonts w:hint="eastAsia" w:ascii="仿宋" w:hAnsi="仿宋" w:eastAsia="仿宋" w:cs="仿宋"/>
          <w:i w:val="0"/>
          <w:caps w:val="0"/>
          <w:color w:val="333333"/>
          <w:spacing w:val="0"/>
          <w:sz w:val="32"/>
          <w:szCs w:val="32"/>
          <w:lang w:eastAsia="zh-CN"/>
        </w:rPr>
        <w:t>、市、县</w:t>
      </w:r>
      <w:r>
        <w:rPr>
          <w:rFonts w:hint="eastAsia" w:ascii="仿宋" w:hAnsi="仿宋" w:eastAsia="仿宋" w:cs="仿宋"/>
          <w:i w:val="0"/>
          <w:caps w:val="0"/>
          <w:color w:val="333333"/>
          <w:spacing w:val="0"/>
          <w:sz w:val="32"/>
          <w:szCs w:val="32"/>
        </w:rPr>
        <w:t>增加</w:t>
      </w:r>
      <w:r>
        <w:rPr>
          <w:rFonts w:hint="eastAsia" w:ascii="仿宋" w:hAnsi="仿宋" w:eastAsia="仿宋" w:cs="仿宋"/>
          <w:i w:val="0"/>
          <w:caps w:val="0"/>
          <w:color w:val="333333"/>
          <w:spacing w:val="0"/>
          <w:sz w:val="32"/>
          <w:szCs w:val="32"/>
          <w:lang w:eastAsia="zh-CN"/>
        </w:rPr>
        <w:t>两癌筛查检查的</w:t>
      </w:r>
      <w:r>
        <w:rPr>
          <w:rFonts w:hint="eastAsia" w:ascii="仿宋" w:hAnsi="仿宋" w:eastAsia="仿宋" w:cs="仿宋"/>
          <w:i w:val="0"/>
          <w:caps w:val="0"/>
          <w:color w:val="333333"/>
          <w:spacing w:val="0"/>
          <w:sz w:val="32"/>
          <w:szCs w:val="32"/>
        </w:rPr>
        <w:t>项目经费，用于当地多部门合作开展</w:t>
      </w:r>
      <w:r>
        <w:rPr>
          <w:rFonts w:hint="eastAsia" w:ascii="仿宋" w:hAnsi="仿宋" w:eastAsia="仿宋" w:cs="仿宋"/>
          <w:i w:val="0"/>
          <w:caps w:val="0"/>
          <w:color w:val="333333"/>
          <w:spacing w:val="0"/>
          <w:sz w:val="32"/>
          <w:szCs w:val="32"/>
          <w:lang w:eastAsia="zh-CN"/>
        </w:rPr>
        <w:t>两癌筛查检查</w:t>
      </w:r>
      <w:r>
        <w:rPr>
          <w:rFonts w:hint="eastAsia" w:ascii="仿宋" w:hAnsi="仿宋" w:eastAsia="仿宋" w:cs="仿宋"/>
          <w:i w:val="0"/>
          <w:caps w:val="0"/>
          <w:color w:val="333333"/>
          <w:spacing w:val="0"/>
          <w:sz w:val="32"/>
          <w:szCs w:val="32"/>
        </w:rPr>
        <w:t>项目工作，不断加大</w:t>
      </w:r>
      <w:r>
        <w:rPr>
          <w:rFonts w:hint="eastAsia" w:ascii="仿宋" w:hAnsi="仿宋" w:eastAsia="仿宋" w:cs="仿宋"/>
          <w:i w:val="0"/>
          <w:caps w:val="0"/>
          <w:color w:val="333333"/>
          <w:spacing w:val="0"/>
          <w:sz w:val="32"/>
          <w:szCs w:val="32"/>
          <w:lang w:eastAsia="zh-CN"/>
        </w:rPr>
        <w:t>宣传两癌筛查检查</w:t>
      </w:r>
      <w:r>
        <w:rPr>
          <w:rFonts w:hint="eastAsia" w:ascii="仿宋" w:hAnsi="仿宋" w:eastAsia="仿宋" w:cs="仿宋"/>
          <w:i w:val="0"/>
          <w:caps w:val="0"/>
          <w:color w:val="333333"/>
          <w:spacing w:val="0"/>
          <w:sz w:val="32"/>
          <w:szCs w:val="32"/>
        </w:rPr>
        <w:t>力度，扩大防治覆盖面和提高有效性，有效</w:t>
      </w:r>
      <w:r>
        <w:rPr>
          <w:rFonts w:hint="eastAsia" w:ascii="仿宋" w:hAnsi="仿宋" w:eastAsia="仿宋" w:cs="仿宋"/>
          <w:i w:val="0"/>
          <w:caps w:val="0"/>
          <w:color w:val="333333"/>
          <w:spacing w:val="0"/>
          <w:sz w:val="32"/>
          <w:szCs w:val="32"/>
          <w:lang w:eastAsia="zh-CN"/>
        </w:rPr>
        <w:t>提高下一代的身体健康</w:t>
      </w:r>
      <w:r>
        <w:rPr>
          <w:rFonts w:hint="eastAsia" w:ascii="仿宋" w:hAnsi="仿宋" w:eastAsia="仿宋" w:cs="仿宋"/>
          <w:i w:val="0"/>
          <w:caps w:val="0"/>
          <w:color w:val="333333"/>
          <w:spacing w:val="0"/>
          <w:sz w:val="32"/>
          <w:szCs w:val="32"/>
          <w:lang w:val="en-US" w:eastAsia="zh-CN"/>
        </w:rPr>
        <w:t xml:space="preserve">           </w:t>
      </w:r>
    </w:p>
    <w:tbl>
      <w:tblPr>
        <w:tblStyle w:val="13"/>
        <w:tblpPr w:leftFromText="180" w:rightFromText="180" w:vertAnchor="text" w:horzAnchor="page" w:tblpX="1690" w:tblpY="3111"/>
        <w:tblOverlap w:val="never"/>
        <w:tblW w:w="9990" w:type="dxa"/>
        <w:tblInd w:w="0" w:type="dxa"/>
        <w:tblLayout w:type="autofit"/>
        <w:tblCellMar>
          <w:top w:w="0" w:type="dxa"/>
          <w:left w:w="108" w:type="dxa"/>
          <w:bottom w:w="0" w:type="dxa"/>
          <w:right w:w="108" w:type="dxa"/>
        </w:tblCellMar>
      </w:tblPr>
      <w:tblGrid>
        <w:gridCol w:w="740"/>
        <w:gridCol w:w="733"/>
        <w:gridCol w:w="987"/>
        <w:gridCol w:w="1972"/>
        <w:gridCol w:w="1527"/>
        <w:gridCol w:w="1468"/>
        <w:gridCol w:w="1076"/>
        <w:gridCol w:w="1487"/>
      </w:tblGrid>
      <w:tr>
        <w:tblPrEx>
          <w:tblCellMar>
            <w:top w:w="0" w:type="dxa"/>
            <w:left w:w="108" w:type="dxa"/>
            <w:bottom w:w="0" w:type="dxa"/>
            <w:right w:w="108" w:type="dxa"/>
          </w:tblCellMar>
        </w:tblPrEx>
        <w:trPr>
          <w:trHeight w:val="285" w:hRule="atLeast"/>
        </w:trPr>
        <w:tc>
          <w:tcPr>
            <w:tcW w:w="9990" w:type="dxa"/>
            <w:gridSpan w:val="8"/>
            <w:tcBorders>
              <w:top w:val="nil"/>
              <w:left w:val="nil"/>
              <w:bottom w:val="nil"/>
              <w:right w:val="nil"/>
            </w:tcBorders>
            <w:shd w:val="clear" w:color="auto" w:fill="auto"/>
            <w:vAlign w:val="center"/>
          </w:tcPr>
          <w:p>
            <w:pPr>
              <w:widowControl/>
              <w:jc w:val="center"/>
              <w:rPr>
                <w:rFonts w:hint="eastAsia" w:ascii="宋体" w:hAnsi="宋体" w:cs="宋体"/>
                <w:b/>
                <w:bCs/>
                <w:kern w:val="0"/>
                <w:sz w:val="44"/>
                <w:szCs w:val="44"/>
                <w:lang w:eastAsia="zh-CN"/>
              </w:rPr>
            </w:pPr>
            <w:r>
              <w:rPr>
                <w:rFonts w:hint="eastAsia" w:ascii="宋体" w:hAnsi="宋体" w:cs="宋体"/>
                <w:b/>
                <w:bCs/>
                <w:kern w:val="0"/>
                <w:sz w:val="44"/>
                <w:szCs w:val="44"/>
                <w:lang w:eastAsia="zh-CN"/>
              </w:rPr>
              <w:t>专项（项目）资金绩效自评表</w:t>
            </w:r>
          </w:p>
          <w:p>
            <w:pPr>
              <w:widowControl/>
              <w:jc w:val="center"/>
              <w:rPr>
                <w:rFonts w:ascii="宋体" w:hAnsi="宋体" w:cs="宋体"/>
                <w:kern w:val="0"/>
                <w:sz w:val="24"/>
              </w:rPr>
            </w:pPr>
            <w:r>
              <w:rPr>
                <w:rFonts w:hint="eastAsia" w:ascii="宋体" w:hAnsi="宋体" w:cs="宋体"/>
                <w:kern w:val="0"/>
                <w:sz w:val="24"/>
              </w:rPr>
              <w:t>（</w:t>
            </w:r>
            <w:r>
              <w:rPr>
                <w:kern w:val="0"/>
                <w:sz w:val="24"/>
              </w:rPr>
              <w:t>2021</w:t>
            </w:r>
            <w:r>
              <w:rPr>
                <w:rFonts w:hint="eastAsia" w:ascii="宋体" w:hAnsi="宋体" w:cs="宋体"/>
                <w:kern w:val="0"/>
                <w:sz w:val="24"/>
              </w:rPr>
              <w:t>年度）</w:t>
            </w:r>
          </w:p>
        </w:tc>
      </w:tr>
      <w:tr>
        <w:tblPrEx>
          <w:tblCellMar>
            <w:top w:w="0" w:type="dxa"/>
            <w:left w:w="108" w:type="dxa"/>
            <w:bottom w:w="0" w:type="dxa"/>
            <w:right w:w="108" w:type="dxa"/>
          </w:tblCellMar>
        </w:tblPrEx>
        <w:trPr>
          <w:trHeight w:val="285" w:hRule="atLeast"/>
        </w:trPr>
        <w:tc>
          <w:tcPr>
            <w:tcW w:w="740" w:type="dxa"/>
            <w:tcBorders>
              <w:top w:val="nil"/>
              <w:left w:val="nil"/>
              <w:bottom w:val="single" w:color="auto" w:sz="4" w:space="0"/>
              <w:right w:val="nil"/>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734" w:type="dxa"/>
            <w:tcBorders>
              <w:top w:val="nil"/>
              <w:left w:val="nil"/>
              <w:bottom w:val="single" w:color="auto" w:sz="4" w:space="0"/>
              <w:right w:val="nil"/>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w:t>
            </w:r>
          </w:p>
        </w:tc>
        <w:tc>
          <w:tcPr>
            <w:tcW w:w="988" w:type="dxa"/>
            <w:tcBorders>
              <w:top w:val="nil"/>
              <w:left w:val="nil"/>
              <w:bottom w:val="nil"/>
              <w:right w:val="nil"/>
            </w:tcBorders>
            <w:shd w:val="clear" w:color="auto" w:fill="auto"/>
            <w:vAlign w:val="center"/>
          </w:tcPr>
          <w:p>
            <w:pPr>
              <w:widowControl/>
              <w:jc w:val="left"/>
              <w:rPr>
                <w:rFonts w:ascii="宋体" w:hAnsi="宋体" w:cs="宋体"/>
                <w:kern w:val="0"/>
                <w:sz w:val="24"/>
              </w:rPr>
            </w:pPr>
          </w:p>
        </w:tc>
        <w:tc>
          <w:tcPr>
            <w:tcW w:w="1972" w:type="dxa"/>
            <w:tcBorders>
              <w:top w:val="nil"/>
              <w:left w:val="nil"/>
              <w:bottom w:val="nil"/>
              <w:right w:val="nil"/>
            </w:tcBorders>
            <w:shd w:val="clear" w:color="auto" w:fill="auto"/>
            <w:vAlign w:val="center"/>
          </w:tcPr>
          <w:p>
            <w:pPr>
              <w:widowControl/>
              <w:jc w:val="left"/>
              <w:rPr>
                <w:rFonts w:ascii="宋体" w:hAnsi="宋体" w:cs="宋体"/>
                <w:kern w:val="0"/>
                <w:sz w:val="24"/>
              </w:rPr>
            </w:pPr>
          </w:p>
        </w:tc>
        <w:tc>
          <w:tcPr>
            <w:tcW w:w="1527" w:type="dxa"/>
            <w:tcBorders>
              <w:top w:val="nil"/>
              <w:left w:val="nil"/>
              <w:bottom w:val="nil"/>
              <w:right w:val="nil"/>
            </w:tcBorders>
            <w:shd w:val="clear" w:color="auto" w:fill="auto"/>
            <w:vAlign w:val="center"/>
          </w:tcPr>
          <w:p>
            <w:pPr>
              <w:widowControl/>
              <w:jc w:val="left"/>
              <w:rPr>
                <w:rFonts w:ascii="宋体" w:hAnsi="宋体" w:cs="宋体"/>
                <w:kern w:val="0"/>
                <w:sz w:val="24"/>
              </w:rPr>
            </w:pPr>
          </w:p>
        </w:tc>
        <w:tc>
          <w:tcPr>
            <w:tcW w:w="1468" w:type="dxa"/>
            <w:tcBorders>
              <w:top w:val="nil"/>
              <w:left w:val="nil"/>
              <w:bottom w:val="nil"/>
              <w:right w:val="nil"/>
            </w:tcBorders>
            <w:shd w:val="clear" w:color="auto" w:fill="auto"/>
            <w:vAlign w:val="center"/>
          </w:tcPr>
          <w:p>
            <w:pPr>
              <w:widowControl/>
              <w:jc w:val="left"/>
              <w:rPr>
                <w:rFonts w:ascii="宋体" w:hAnsi="宋体" w:cs="宋体"/>
                <w:kern w:val="0"/>
                <w:sz w:val="24"/>
              </w:rPr>
            </w:pPr>
          </w:p>
        </w:tc>
        <w:tc>
          <w:tcPr>
            <w:tcW w:w="1074" w:type="dxa"/>
            <w:tcBorders>
              <w:top w:val="nil"/>
              <w:left w:val="nil"/>
              <w:bottom w:val="nil"/>
              <w:right w:val="nil"/>
            </w:tcBorders>
            <w:shd w:val="clear" w:color="auto" w:fill="auto"/>
            <w:vAlign w:val="center"/>
          </w:tcPr>
          <w:p>
            <w:pPr>
              <w:widowControl/>
              <w:jc w:val="left"/>
              <w:rPr>
                <w:rFonts w:ascii="宋体" w:hAnsi="宋体" w:cs="宋体"/>
                <w:kern w:val="0"/>
                <w:sz w:val="24"/>
              </w:rPr>
            </w:pPr>
          </w:p>
        </w:tc>
        <w:tc>
          <w:tcPr>
            <w:tcW w:w="1487" w:type="dxa"/>
            <w:tcBorders>
              <w:top w:val="nil"/>
              <w:left w:val="nil"/>
              <w:bottom w:val="nil"/>
              <w:right w:val="nil"/>
            </w:tcBorders>
            <w:shd w:val="clear" w:color="auto" w:fill="auto"/>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285" w:hRule="atLeast"/>
        </w:trPr>
        <w:tc>
          <w:tcPr>
            <w:tcW w:w="2462" w:type="dxa"/>
            <w:gridSpan w:val="3"/>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专项（项目）名称</w:t>
            </w:r>
          </w:p>
        </w:tc>
        <w:tc>
          <w:tcPr>
            <w:tcW w:w="7528" w:type="dxa"/>
            <w:gridSpan w:val="5"/>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两癌筛查</w:t>
            </w:r>
          </w:p>
        </w:tc>
      </w:tr>
      <w:tr>
        <w:tblPrEx>
          <w:tblCellMar>
            <w:top w:w="0" w:type="dxa"/>
            <w:left w:w="108" w:type="dxa"/>
            <w:bottom w:w="0" w:type="dxa"/>
            <w:right w:w="108" w:type="dxa"/>
          </w:tblCellMar>
        </w:tblPrEx>
        <w:trPr>
          <w:trHeight w:val="363" w:hRule="atLeast"/>
        </w:trPr>
        <w:tc>
          <w:tcPr>
            <w:tcW w:w="2462" w:type="dxa"/>
            <w:gridSpan w:val="3"/>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4"/>
                <w:szCs w:val="24"/>
                <w:u w:val="none"/>
                <w:lang w:val="en-US" w:eastAsia="zh-CN" w:bidi="ar"/>
              </w:rPr>
              <w:t>项目主管单位</w:t>
            </w:r>
          </w:p>
        </w:tc>
        <w:tc>
          <w:tcPr>
            <w:tcW w:w="7528" w:type="dxa"/>
            <w:gridSpan w:val="5"/>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盐边县卫生健康局</w:t>
            </w:r>
          </w:p>
        </w:tc>
      </w:tr>
      <w:tr>
        <w:tblPrEx>
          <w:tblCellMar>
            <w:top w:w="0" w:type="dxa"/>
            <w:left w:w="108" w:type="dxa"/>
            <w:bottom w:w="0" w:type="dxa"/>
            <w:right w:w="108" w:type="dxa"/>
          </w:tblCellMar>
        </w:tblPrEx>
        <w:trPr>
          <w:trHeight w:val="285" w:hRule="atLeast"/>
        </w:trPr>
        <w:tc>
          <w:tcPr>
            <w:tcW w:w="2462" w:type="dxa"/>
            <w:gridSpan w:val="3"/>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4"/>
                <w:szCs w:val="24"/>
                <w:u w:val="none"/>
                <w:lang w:val="en-US" w:eastAsia="zh-CN" w:bidi="ar"/>
              </w:rPr>
              <w:t>项目实施单位</w:t>
            </w:r>
          </w:p>
        </w:tc>
        <w:tc>
          <w:tcPr>
            <w:tcW w:w="7528" w:type="dxa"/>
            <w:gridSpan w:val="5"/>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盐边县妇幼保健服务中心</w:t>
            </w:r>
          </w:p>
        </w:tc>
      </w:tr>
      <w:tr>
        <w:tblPrEx>
          <w:tblCellMar>
            <w:top w:w="0" w:type="dxa"/>
            <w:left w:w="108" w:type="dxa"/>
            <w:bottom w:w="0" w:type="dxa"/>
            <w:right w:w="108" w:type="dxa"/>
          </w:tblCellMar>
        </w:tblPrEx>
        <w:trPr>
          <w:trHeight w:val="285" w:hRule="atLeast"/>
        </w:trPr>
        <w:tc>
          <w:tcPr>
            <w:tcW w:w="2462"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项目资金</w:t>
            </w:r>
          </w:p>
          <w:p>
            <w:pPr>
              <w:widowControl/>
              <w:jc w:val="center"/>
              <w:rPr>
                <w:rFonts w:ascii="宋体" w:hAnsi="宋体" w:cs="宋体"/>
                <w:kern w:val="0"/>
                <w:sz w:val="24"/>
              </w:rPr>
            </w:pPr>
            <w:r>
              <w:rPr>
                <w:rFonts w:hint="eastAsia" w:ascii="宋体" w:hAnsi="宋体" w:cs="宋体"/>
                <w:kern w:val="0"/>
                <w:sz w:val="24"/>
              </w:rPr>
              <w:t>（万元）</w:t>
            </w:r>
          </w:p>
        </w:tc>
        <w:tc>
          <w:tcPr>
            <w:tcW w:w="197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c>
          <w:tcPr>
            <w:tcW w:w="15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全年预算数</w:t>
            </w:r>
          </w:p>
        </w:tc>
        <w:tc>
          <w:tcPr>
            <w:tcW w:w="14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实际完成数</w:t>
            </w:r>
          </w:p>
        </w:tc>
        <w:tc>
          <w:tcPr>
            <w:tcW w:w="2561"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执行率（%）</w:t>
            </w:r>
          </w:p>
        </w:tc>
      </w:tr>
      <w:tr>
        <w:tblPrEx>
          <w:tblCellMar>
            <w:top w:w="0" w:type="dxa"/>
            <w:left w:w="108" w:type="dxa"/>
            <w:bottom w:w="0" w:type="dxa"/>
            <w:right w:w="108" w:type="dxa"/>
          </w:tblCellMar>
        </w:tblPrEx>
        <w:trPr>
          <w:trHeight w:val="285" w:hRule="atLeast"/>
        </w:trPr>
        <w:tc>
          <w:tcPr>
            <w:tcW w:w="246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xml:space="preserve"> 年度资金总额：</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29.63</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29.63</w:t>
            </w:r>
          </w:p>
        </w:tc>
        <w:tc>
          <w:tcPr>
            <w:tcW w:w="2561" w:type="dxa"/>
            <w:gridSpan w:val="2"/>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kern w:val="0"/>
                <w:sz w:val="24"/>
                <w:lang w:val="en-US"/>
              </w:rPr>
            </w:pPr>
            <w:r>
              <w:rPr>
                <w:rFonts w:hint="eastAsia" w:ascii="宋体" w:hAnsi="宋体" w:eastAsia="宋体" w:cs="宋体"/>
                <w:i w:val="0"/>
                <w:iCs w:val="0"/>
                <w:color w:val="000000"/>
                <w:kern w:val="0"/>
                <w:sz w:val="24"/>
                <w:szCs w:val="24"/>
                <w:u w:val="none"/>
                <w:lang w:val="en-US" w:eastAsia="zh-CN" w:bidi="ar"/>
              </w:rPr>
              <w:t>100</w:t>
            </w:r>
          </w:p>
        </w:tc>
      </w:tr>
      <w:tr>
        <w:tblPrEx>
          <w:tblCellMar>
            <w:top w:w="0" w:type="dxa"/>
            <w:left w:w="108" w:type="dxa"/>
            <w:bottom w:w="0" w:type="dxa"/>
            <w:right w:w="108" w:type="dxa"/>
          </w:tblCellMar>
        </w:tblPrEx>
        <w:trPr>
          <w:trHeight w:val="285" w:hRule="atLeast"/>
        </w:trPr>
        <w:tc>
          <w:tcPr>
            <w:tcW w:w="246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xml:space="preserve"> 其中：财政拨款</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29.63</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29.63</w:t>
            </w:r>
          </w:p>
        </w:tc>
        <w:tc>
          <w:tcPr>
            <w:tcW w:w="2561" w:type="dxa"/>
            <w:gridSpan w:val="2"/>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kern w:val="0"/>
                <w:sz w:val="24"/>
                <w:lang w:val="en-US"/>
              </w:rPr>
            </w:pPr>
            <w:r>
              <w:rPr>
                <w:rFonts w:hint="eastAsia" w:ascii="宋体" w:hAnsi="宋体" w:eastAsia="宋体" w:cs="宋体"/>
                <w:i w:val="0"/>
                <w:iCs w:val="0"/>
                <w:color w:val="000000"/>
                <w:kern w:val="0"/>
                <w:sz w:val="24"/>
                <w:szCs w:val="24"/>
                <w:u w:val="none"/>
                <w:lang w:val="en-US" w:eastAsia="zh-CN" w:bidi="ar"/>
              </w:rPr>
              <w:t>100</w:t>
            </w:r>
          </w:p>
        </w:tc>
      </w:tr>
      <w:tr>
        <w:tblPrEx>
          <w:tblCellMar>
            <w:top w:w="0" w:type="dxa"/>
            <w:left w:w="108" w:type="dxa"/>
            <w:bottom w:w="0" w:type="dxa"/>
            <w:right w:w="108" w:type="dxa"/>
          </w:tblCellMar>
        </w:tblPrEx>
        <w:trPr>
          <w:trHeight w:val="285" w:hRule="atLeast"/>
        </w:trPr>
        <w:tc>
          <w:tcPr>
            <w:tcW w:w="246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xml:space="preserve">             其他资金</w:t>
            </w:r>
          </w:p>
        </w:tc>
        <w:tc>
          <w:tcPr>
            <w:tcW w:w="15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w:t>
            </w:r>
          </w:p>
        </w:tc>
        <w:tc>
          <w:tcPr>
            <w:tcW w:w="14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w:t>
            </w:r>
          </w:p>
        </w:tc>
        <w:tc>
          <w:tcPr>
            <w:tcW w:w="2561"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65" w:hRule="atLeast"/>
        </w:trPr>
        <w:tc>
          <w:tcPr>
            <w:tcW w:w="74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总</w:t>
            </w:r>
          </w:p>
          <w:p>
            <w:pPr>
              <w:widowControl/>
              <w:jc w:val="center"/>
              <w:rPr>
                <w:rFonts w:ascii="宋体" w:hAnsi="宋体" w:cs="宋体"/>
                <w:kern w:val="0"/>
                <w:sz w:val="24"/>
              </w:rPr>
            </w:pPr>
            <w:r>
              <w:rPr>
                <w:rFonts w:hint="eastAsia" w:ascii="宋体" w:hAnsi="宋体" w:cs="宋体"/>
                <w:kern w:val="0"/>
                <w:sz w:val="24"/>
              </w:rPr>
              <w:t>体</w:t>
            </w:r>
          </w:p>
          <w:p>
            <w:pPr>
              <w:widowControl/>
              <w:jc w:val="center"/>
              <w:rPr>
                <w:rFonts w:ascii="宋体" w:hAnsi="宋体" w:cs="宋体"/>
                <w:kern w:val="0"/>
                <w:sz w:val="24"/>
              </w:rPr>
            </w:pPr>
            <w:r>
              <w:rPr>
                <w:rFonts w:hint="eastAsia" w:ascii="宋体" w:hAnsi="宋体" w:cs="宋体"/>
                <w:kern w:val="0"/>
                <w:sz w:val="24"/>
              </w:rPr>
              <w:t>目</w:t>
            </w:r>
          </w:p>
          <w:p>
            <w:pPr>
              <w:widowControl/>
              <w:jc w:val="center"/>
              <w:rPr>
                <w:rFonts w:ascii="宋体" w:hAnsi="宋体" w:cs="宋体"/>
                <w:kern w:val="0"/>
                <w:sz w:val="24"/>
              </w:rPr>
            </w:pPr>
            <w:r>
              <w:rPr>
                <w:rFonts w:hint="eastAsia" w:ascii="宋体" w:hAnsi="宋体" w:cs="宋体"/>
                <w:kern w:val="0"/>
                <w:sz w:val="24"/>
              </w:rPr>
              <w:t>标</w:t>
            </w:r>
          </w:p>
        </w:tc>
        <w:tc>
          <w:tcPr>
            <w:tcW w:w="3694"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年度设定目标</w:t>
            </w:r>
          </w:p>
        </w:tc>
        <w:tc>
          <w:tcPr>
            <w:tcW w:w="5556" w:type="dxa"/>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实际完成情况</w:t>
            </w:r>
          </w:p>
        </w:tc>
      </w:tr>
      <w:tr>
        <w:tblPrEx>
          <w:tblCellMar>
            <w:top w:w="0" w:type="dxa"/>
            <w:left w:w="108" w:type="dxa"/>
            <w:bottom w:w="0" w:type="dxa"/>
            <w:right w:w="108" w:type="dxa"/>
          </w:tblCellMar>
        </w:tblPrEx>
        <w:trPr>
          <w:trHeight w:val="2775"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3694" w:type="dxa"/>
            <w:gridSpan w:val="3"/>
            <w:tcBorders>
              <w:top w:val="single" w:color="auto" w:sz="4" w:space="0"/>
              <w:left w:val="nil"/>
              <w:bottom w:val="single" w:color="auto"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p>
            <w:pPr>
              <w:keepNext w:val="0"/>
              <w:keepLines w:val="0"/>
              <w:widowControl/>
              <w:suppressLineNumbers w:val="0"/>
              <w:jc w:val="center"/>
              <w:textAlignment w:val="top"/>
              <w:rPr>
                <w:rFonts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年初南部片区设定目标1500人，实际完成1299人，全部完成预期指标。</w:t>
            </w:r>
          </w:p>
        </w:tc>
        <w:tc>
          <w:tcPr>
            <w:tcW w:w="5556" w:type="dxa"/>
            <w:gridSpan w:val="4"/>
            <w:tcBorders>
              <w:top w:val="single" w:color="auto" w:sz="4" w:space="0"/>
              <w:left w:val="nil"/>
              <w:bottom w:val="single" w:color="auto" w:sz="4" w:space="0"/>
              <w:right w:val="single" w:color="000000" w:sz="4" w:space="0"/>
            </w:tcBorders>
            <w:shd w:val="clear" w:color="auto" w:fill="auto"/>
            <w:vAlign w:val="top"/>
          </w:tcPr>
          <w:p>
            <w:pPr>
              <w:keepNext w:val="0"/>
              <w:keepLines w:val="0"/>
              <w:widowControl/>
              <w:suppressLineNumbers w:val="0"/>
              <w:jc w:val="center"/>
              <w:textAlignment w:val="top"/>
              <w:rPr>
                <w:rFonts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年初南部片区设定目标1500人，实际完成1299人，全部完成预期指标。质控要求筛查样本合格率95%，实际合格率99%，完成预期指标</w:t>
            </w:r>
          </w:p>
        </w:tc>
      </w:tr>
      <w:tr>
        <w:tblPrEx>
          <w:tblCellMar>
            <w:top w:w="0" w:type="dxa"/>
            <w:left w:w="108" w:type="dxa"/>
            <w:bottom w:w="0" w:type="dxa"/>
            <w:right w:w="108" w:type="dxa"/>
          </w:tblCellMar>
        </w:tblPrEx>
        <w:trPr>
          <w:trHeight w:val="450" w:hRule="atLeast"/>
        </w:trPr>
        <w:tc>
          <w:tcPr>
            <w:tcW w:w="740" w:type="dxa"/>
            <w:vMerge w:val="restart"/>
            <w:tcBorders>
              <w:top w:val="nil"/>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绩</w:t>
            </w:r>
          </w:p>
          <w:p>
            <w:pPr>
              <w:widowControl/>
              <w:jc w:val="center"/>
              <w:rPr>
                <w:rFonts w:ascii="宋体" w:hAnsi="宋体" w:cs="宋体"/>
                <w:kern w:val="0"/>
                <w:sz w:val="24"/>
              </w:rPr>
            </w:pPr>
            <w:r>
              <w:rPr>
                <w:rFonts w:hint="eastAsia" w:ascii="宋体" w:hAnsi="宋体" w:cs="宋体"/>
                <w:kern w:val="0"/>
                <w:sz w:val="24"/>
              </w:rPr>
              <w:t>效</w:t>
            </w:r>
          </w:p>
          <w:p>
            <w:pPr>
              <w:widowControl/>
              <w:jc w:val="center"/>
              <w:rPr>
                <w:rFonts w:ascii="宋体" w:hAnsi="宋体" w:cs="宋体"/>
                <w:kern w:val="0"/>
                <w:sz w:val="24"/>
              </w:rPr>
            </w:pPr>
            <w:r>
              <w:rPr>
                <w:rFonts w:hint="eastAsia" w:ascii="宋体" w:hAnsi="宋体" w:cs="宋体"/>
                <w:kern w:val="0"/>
                <w:sz w:val="24"/>
              </w:rPr>
              <w:t>指</w:t>
            </w:r>
          </w:p>
          <w:p>
            <w:pPr>
              <w:widowControl/>
              <w:jc w:val="center"/>
              <w:rPr>
                <w:rFonts w:ascii="宋体" w:hAnsi="宋体" w:cs="宋体"/>
                <w:kern w:val="0"/>
                <w:sz w:val="24"/>
              </w:rPr>
            </w:pPr>
            <w:r>
              <w:rPr>
                <w:rFonts w:hint="eastAsia" w:ascii="宋体" w:hAnsi="宋体" w:cs="宋体"/>
                <w:kern w:val="0"/>
                <w:sz w:val="24"/>
              </w:rPr>
              <w:t>标</w:t>
            </w:r>
          </w:p>
        </w:tc>
        <w:tc>
          <w:tcPr>
            <w:tcW w:w="734" w:type="dxa"/>
            <w:tcBorders>
              <w:top w:val="nil"/>
              <w:left w:val="nil"/>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一级</w:t>
            </w:r>
          </w:p>
          <w:p>
            <w:pPr>
              <w:widowControl/>
              <w:jc w:val="center"/>
              <w:rPr>
                <w:rFonts w:ascii="宋体" w:hAnsi="宋体" w:cs="宋体"/>
                <w:kern w:val="0"/>
                <w:sz w:val="24"/>
              </w:rPr>
            </w:pPr>
            <w:r>
              <w:rPr>
                <w:rFonts w:hint="eastAsia" w:ascii="宋体" w:hAnsi="宋体" w:cs="宋体"/>
                <w:kern w:val="0"/>
                <w:sz w:val="24"/>
              </w:rPr>
              <w:t>指标</w:t>
            </w:r>
          </w:p>
        </w:tc>
        <w:tc>
          <w:tcPr>
            <w:tcW w:w="9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二级指标</w:t>
            </w:r>
          </w:p>
        </w:tc>
        <w:tc>
          <w:tcPr>
            <w:tcW w:w="197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三级指标</w:t>
            </w:r>
          </w:p>
        </w:tc>
        <w:tc>
          <w:tcPr>
            <w:tcW w:w="15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年度指标值</w:t>
            </w:r>
          </w:p>
        </w:tc>
        <w:tc>
          <w:tcPr>
            <w:tcW w:w="14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实际完成数</w:t>
            </w:r>
          </w:p>
        </w:tc>
        <w:tc>
          <w:tcPr>
            <w:tcW w:w="107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完成率（%）</w:t>
            </w:r>
          </w:p>
        </w:tc>
        <w:tc>
          <w:tcPr>
            <w:tcW w:w="148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未完成原因和改进措施</w:t>
            </w:r>
          </w:p>
        </w:tc>
      </w:tr>
      <w:tr>
        <w:tblPrEx>
          <w:tblCellMar>
            <w:top w:w="0" w:type="dxa"/>
            <w:left w:w="108" w:type="dxa"/>
            <w:bottom w:w="0" w:type="dxa"/>
            <w:right w:w="108" w:type="dxa"/>
          </w:tblCellMar>
        </w:tblPrEx>
        <w:trPr>
          <w:trHeight w:val="85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项目完成</w:t>
            </w:r>
          </w:p>
        </w:tc>
        <w:tc>
          <w:tcPr>
            <w:tcW w:w="988" w:type="dxa"/>
            <w:vMerge w:val="restart"/>
            <w:tcBorders>
              <w:top w:val="nil"/>
              <w:left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数量指标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指标1：检查人数</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1500人</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1299人</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86.60%</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第一年开展此项工作，我中心承担南部片区</w:t>
            </w:r>
          </w:p>
        </w:tc>
      </w:tr>
      <w:tr>
        <w:tblPrEx>
          <w:tblCellMar>
            <w:top w:w="0" w:type="dxa"/>
            <w:left w:w="108" w:type="dxa"/>
            <w:bottom w:w="0" w:type="dxa"/>
            <w:right w:w="108" w:type="dxa"/>
          </w:tblCellMar>
        </w:tblPrEx>
        <w:trPr>
          <w:trHeight w:val="71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shd w:val="clear" w:color="auto" w:fill="auto"/>
            <w:vAlign w:val="center"/>
          </w:tcPr>
          <w:p>
            <w:pPr>
              <w:widowControl/>
              <w:jc w:val="center"/>
              <w:rPr>
                <w:rFonts w:hint="eastAsia" w:ascii="宋体" w:hAnsi="宋体" w:cs="宋体"/>
                <w:kern w:val="0"/>
                <w:sz w:val="24"/>
              </w:rPr>
            </w:pPr>
          </w:p>
        </w:tc>
        <w:tc>
          <w:tcPr>
            <w:tcW w:w="988" w:type="dxa"/>
            <w:vMerge w:val="continue"/>
            <w:tcBorders>
              <w:left w:val="nil"/>
              <w:right w:val="single" w:color="auto" w:sz="4" w:space="0"/>
            </w:tcBorders>
            <w:shd w:val="clear" w:color="auto" w:fill="auto"/>
            <w:vAlign w:val="center"/>
          </w:tcPr>
          <w:p>
            <w:pPr>
              <w:widowControl/>
              <w:jc w:val="center"/>
              <w:rPr>
                <w:rFonts w:hint="eastAsia"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cs="宋体"/>
                <w:kern w:val="0"/>
                <w:sz w:val="24"/>
                <w:szCs w:val="24"/>
              </w:rPr>
            </w:pP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cs="宋体"/>
                <w:kern w:val="0"/>
                <w:sz w:val="24"/>
                <w:szCs w:val="24"/>
              </w:rPr>
            </w:pP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cs="宋体"/>
                <w:kern w:val="0"/>
                <w:sz w:val="24"/>
                <w:szCs w:val="24"/>
              </w:rPr>
            </w:pP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kern w:val="0"/>
                <w:sz w:val="24"/>
                <w:szCs w:val="24"/>
                <w:lang w:val="en-US" w:eastAsia="zh-CN"/>
              </w:rPr>
            </w:pP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cs="宋体"/>
                <w:kern w:val="0"/>
                <w:sz w:val="20"/>
                <w:szCs w:val="20"/>
              </w:rPr>
            </w:pPr>
          </w:p>
        </w:tc>
      </w:tr>
      <w:tr>
        <w:tblPrEx>
          <w:tblCellMar>
            <w:top w:w="0" w:type="dxa"/>
            <w:left w:w="108" w:type="dxa"/>
            <w:bottom w:w="0" w:type="dxa"/>
            <w:right w:w="108" w:type="dxa"/>
          </w:tblCellMar>
        </w:tblPrEx>
        <w:trPr>
          <w:trHeight w:val="62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shd w:val="clear" w:color="auto" w:fill="auto"/>
            <w:vAlign w:val="center"/>
          </w:tcPr>
          <w:p>
            <w:pPr>
              <w:widowControl/>
              <w:jc w:val="center"/>
              <w:rPr>
                <w:rFonts w:hint="eastAsia" w:ascii="宋体" w:hAnsi="宋体" w:cs="宋体"/>
                <w:kern w:val="0"/>
                <w:sz w:val="24"/>
              </w:rPr>
            </w:pPr>
          </w:p>
        </w:tc>
        <w:tc>
          <w:tcPr>
            <w:tcW w:w="988" w:type="dxa"/>
            <w:vMerge w:val="continue"/>
            <w:tcBorders>
              <w:left w:val="nil"/>
              <w:bottom w:val="nil"/>
              <w:right w:val="single" w:color="auto" w:sz="4" w:space="0"/>
            </w:tcBorders>
            <w:shd w:val="clear" w:color="auto" w:fill="auto"/>
            <w:vAlign w:val="center"/>
          </w:tcPr>
          <w:p>
            <w:pPr>
              <w:widowControl/>
              <w:jc w:val="center"/>
              <w:rPr>
                <w:rFonts w:hint="eastAsia"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cs="宋体"/>
                <w:kern w:val="0"/>
                <w:sz w:val="24"/>
                <w:szCs w:val="24"/>
              </w:rPr>
            </w:pP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cs="宋体"/>
                <w:kern w:val="0"/>
                <w:sz w:val="24"/>
                <w:szCs w:val="24"/>
              </w:rPr>
            </w:pP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cs="宋体"/>
                <w:kern w:val="0"/>
                <w:sz w:val="24"/>
                <w:szCs w:val="24"/>
              </w:rPr>
            </w:pPr>
          </w:p>
        </w:tc>
        <w:tc>
          <w:tcPr>
            <w:tcW w:w="1074" w:type="dxa"/>
            <w:tcBorders>
              <w:top w:val="nil"/>
              <w:left w:val="nil"/>
              <w:bottom w:val="single" w:color="auto" w:sz="4" w:space="0"/>
              <w:right w:val="single" w:color="auto" w:sz="4" w:space="0"/>
            </w:tcBorders>
            <w:shd w:val="clear" w:color="auto" w:fill="auto"/>
            <w:vAlign w:val="center"/>
          </w:tcPr>
          <w:p>
            <w:pPr>
              <w:widowControl/>
              <w:jc w:val="right"/>
              <w:rPr>
                <w:rFonts w:hint="default" w:ascii="宋体" w:hAnsi="宋体" w:eastAsia="宋体" w:cs="宋体"/>
                <w:kern w:val="0"/>
                <w:sz w:val="24"/>
                <w:szCs w:val="24"/>
                <w:lang w:val="en-US" w:eastAsia="zh-CN"/>
              </w:rPr>
            </w:pP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cs="宋体"/>
                <w:kern w:val="0"/>
                <w:sz w:val="20"/>
                <w:szCs w:val="20"/>
              </w:rPr>
            </w:pPr>
          </w:p>
        </w:tc>
      </w:tr>
      <w:tr>
        <w:tblPrEx>
          <w:tblCellMar>
            <w:top w:w="0" w:type="dxa"/>
            <w:left w:w="108" w:type="dxa"/>
            <w:bottom w:w="0" w:type="dxa"/>
            <w:right w:w="108" w:type="dxa"/>
          </w:tblCellMar>
        </w:tblPrEx>
        <w:trPr>
          <w:trHeight w:val="86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质量指标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指标1：检查率:</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≧85%</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86.60%</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100.00%</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63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指标2：质控要求筛查样本合格率</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≧90%</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≧90%</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99%</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54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58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restart"/>
            <w:tcBorders>
              <w:top w:val="nil"/>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时效指标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指标1：:2021年全年</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2021年度1-12月</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本年度内</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100%</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562"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69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成本指标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 xml:space="preserve"> 指标1：本年度项目预算数</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29.63万元</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29.63万元</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100%</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28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r>
      <w:tr>
        <w:tblPrEx>
          <w:tblCellMar>
            <w:top w:w="0" w:type="dxa"/>
            <w:left w:w="108" w:type="dxa"/>
            <w:bottom w:w="0" w:type="dxa"/>
            <w:right w:w="108" w:type="dxa"/>
          </w:tblCellMar>
        </w:tblPrEx>
        <w:trPr>
          <w:trHeight w:val="28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项目效益</w:t>
            </w:r>
          </w:p>
        </w:tc>
        <w:tc>
          <w:tcPr>
            <w:tcW w:w="988"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经济效益</w:t>
            </w:r>
          </w:p>
          <w:p>
            <w:pPr>
              <w:widowControl/>
              <w:jc w:val="center"/>
              <w:rPr>
                <w:rFonts w:ascii="宋体" w:hAnsi="宋体" w:cs="宋体"/>
                <w:kern w:val="0"/>
                <w:sz w:val="24"/>
              </w:rPr>
            </w:pPr>
            <w:r>
              <w:rPr>
                <w:rFonts w:hint="eastAsia" w:ascii="宋体" w:hAnsi="宋体" w:cs="宋体"/>
                <w:kern w:val="0"/>
                <w:sz w:val="24"/>
              </w:rPr>
              <w:t>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r>
      <w:tr>
        <w:tblPrEx>
          <w:tblCellMar>
            <w:top w:w="0" w:type="dxa"/>
            <w:left w:w="108" w:type="dxa"/>
            <w:bottom w:w="0" w:type="dxa"/>
            <w:right w:w="108" w:type="dxa"/>
          </w:tblCellMar>
        </w:tblPrEx>
        <w:trPr>
          <w:trHeight w:val="42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r>
      <w:tr>
        <w:tblPrEx>
          <w:tblCellMar>
            <w:top w:w="0" w:type="dxa"/>
            <w:left w:w="108" w:type="dxa"/>
            <w:bottom w:w="0" w:type="dxa"/>
            <w:right w:w="108" w:type="dxa"/>
          </w:tblCellMar>
        </w:tblPrEx>
        <w:trPr>
          <w:trHeight w:val="114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社会效益</w:t>
            </w:r>
          </w:p>
          <w:p>
            <w:pPr>
              <w:widowControl/>
              <w:jc w:val="center"/>
              <w:rPr>
                <w:rFonts w:ascii="宋体" w:hAnsi="宋体" w:cs="宋体"/>
                <w:kern w:val="0"/>
                <w:sz w:val="24"/>
              </w:rPr>
            </w:pPr>
            <w:r>
              <w:rPr>
                <w:rFonts w:hint="eastAsia" w:ascii="宋体" w:hAnsi="宋体" w:cs="宋体"/>
                <w:kern w:val="0"/>
                <w:sz w:val="24"/>
              </w:rPr>
              <w:t>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指标1：加强协调，广泛宣传，保障目标人群的参与</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2021年度</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完成</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100%</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72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指标2：高危人群进行跟踪随访</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2021年度</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完成</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100%</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59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continue"/>
            <w:tcBorders>
              <w:left w:val="single" w:color="auto" w:sz="4" w:space="0"/>
              <w:bottom w:val="nil"/>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cs="宋体"/>
                <w:kern w:val="0"/>
                <w:sz w:val="20"/>
                <w:szCs w:val="20"/>
              </w:rPr>
            </w:pPr>
          </w:p>
        </w:tc>
      </w:tr>
      <w:tr>
        <w:tblPrEx>
          <w:tblCellMar>
            <w:top w:w="0" w:type="dxa"/>
            <w:left w:w="108" w:type="dxa"/>
            <w:bottom w:w="0" w:type="dxa"/>
            <w:right w:w="108" w:type="dxa"/>
          </w:tblCellMar>
        </w:tblPrEx>
        <w:trPr>
          <w:trHeight w:val="52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生态效益</w:t>
            </w:r>
          </w:p>
          <w:p>
            <w:pPr>
              <w:widowControl/>
              <w:jc w:val="center"/>
              <w:rPr>
                <w:rFonts w:ascii="宋体" w:hAnsi="宋体" w:cs="宋体"/>
                <w:kern w:val="0"/>
                <w:sz w:val="24"/>
              </w:rPr>
            </w:pPr>
            <w:r>
              <w:rPr>
                <w:rFonts w:hint="eastAsia" w:ascii="宋体" w:hAnsi="宋体" w:cs="宋体"/>
                <w:kern w:val="0"/>
                <w:sz w:val="24"/>
              </w:rPr>
              <w:t>指标</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r>
      <w:tr>
        <w:tblPrEx>
          <w:tblCellMar>
            <w:top w:w="0" w:type="dxa"/>
            <w:left w:w="108" w:type="dxa"/>
            <w:bottom w:w="0" w:type="dxa"/>
            <w:right w:w="108" w:type="dxa"/>
          </w:tblCellMar>
        </w:tblPrEx>
        <w:trPr>
          <w:trHeight w:val="51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r>
      <w:tr>
        <w:tblPrEx>
          <w:tblCellMar>
            <w:top w:w="0" w:type="dxa"/>
            <w:left w:w="108" w:type="dxa"/>
            <w:bottom w:w="0" w:type="dxa"/>
            <w:right w:w="108" w:type="dxa"/>
          </w:tblCellMar>
        </w:tblPrEx>
        <w:trPr>
          <w:trHeight w:val="99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restart"/>
            <w:tcBorders>
              <w:top w:val="single" w:color="auto" w:sz="4" w:space="0"/>
              <w:left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可持续影响</w:t>
            </w:r>
          </w:p>
          <w:p>
            <w:pPr>
              <w:widowControl/>
              <w:jc w:val="center"/>
              <w:rPr>
                <w:rFonts w:ascii="宋体" w:hAnsi="宋体" w:cs="宋体"/>
                <w:kern w:val="0"/>
                <w:sz w:val="24"/>
              </w:rPr>
            </w:pPr>
            <w:r>
              <w:rPr>
                <w:rFonts w:hint="eastAsia" w:ascii="宋体" w:hAnsi="宋体" w:cs="宋体"/>
                <w:kern w:val="0"/>
                <w:sz w:val="24"/>
              </w:rPr>
              <w:t>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指标1：该项工作为我中心赢得了南部老百姓的认可，从服务、业务方面赢得了老百姓的好评，为我中心以后的进一步发展奠定了群众基础</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不断提高</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不断提高</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100%</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99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continue"/>
            <w:tcBorders>
              <w:left w:val="nil"/>
              <w:bottom w:val="nil"/>
              <w:right w:val="single" w:color="auto" w:sz="4" w:space="0"/>
            </w:tcBorders>
            <w:shd w:val="clear" w:color="auto" w:fill="auto"/>
            <w:vAlign w:val="center"/>
          </w:tcPr>
          <w:p>
            <w:pPr>
              <w:widowControl/>
              <w:jc w:val="center"/>
              <w:rPr>
                <w:rFonts w:hint="eastAsia"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cs="宋体"/>
                <w:kern w:val="0"/>
                <w:sz w:val="20"/>
                <w:szCs w:val="20"/>
              </w:rPr>
            </w:pPr>
          </w:p>
        </w:tc>
      </w:tr>
      <w:tr>
        <w:tblPrEx>
          <w:tblCellMar>
            <w:top w:w="0" w:type="dxa"/>
            <w:left w:w="108" w:type="dxa"/>
            <w:bottom w:w="0" w:type="dxa"/>
            <w:right w:w="108" w:type="dxa"/>
          </w:tblCellMar>
        </w:tblPrEx>
        <w:trPr>
          <w:trHeight w:val="103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restart"/>
            <w:tcBorders>
              <w:top w:val="single" w:color="auto" w:sz="4" w:space="0"/>
              <w:left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满意度指标</w:t>
            </w:r>
          </w:p>
        </w:tc>
        <w:tc>
          <w:tcPr>
            <w:tcW w:w="988" w:type="dxa"/>
            <w:vMerge w:val="restart"/>
            <w:tcBorders>
              <w:top w:val="single" w:color="auto" w:sz="4" w:space="0"/>
              <w:left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满意度指标</w:t>
            </w:r>
          </w:p>
        </w:tc>
        <w:tc>
          <w:tcPr>
            <w:tcW w:w="19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 xml:space="preserve"> 指标1：服务对象满意率</w:t>
            </w: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≧90%</w:t>
            </w:r>
          </w:p>
        </w:tc>
        <w:tc>
          <w:tcPr>
            <w:tcW w:w="14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95.20%</w:t>
            </w:r>
          </w:p>
        </w:tc>
        <w:tc>
          <w:tcPr>
            <w:tcW w:w="107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100%</w:t>
            </w:r>
          </w:p>
        </w:tc>
        <w:tc>
          <w:tcPr>
            <w:tcW w:w="14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1035" w:hRule="atLeast"/>
        </w:trPr>
        <w:tc>
          <w:tcPr>
            <w:tcW w:w="740" w:type="dxa"/>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nil"/>
              <w:bottom w:val="single" w:color="auto" w:sz="4" w:space="0"/>
              <w:right w:val="single" w:color="auto" w:sz="4" w:space="0"/>
            </w:tcBorders>
            <w:shd w:val="clear" w:color="auto" w:fill="auto"/>
            <w:vAlign w:val="center"/>
          </w:tcPr>
          <w:p>
            <w:pPr>
              <w:widowControl/>
              <w:jc w:val="center"/>
              <w:rPr>
                <w:rFonts w:hint="eastAsia" w:ascii="宋体" w:hAnsi="宋体" w:cs="宋体"/>
                <w:kern w:val="0"/>
                <w:sz w:val="24"/>
              </w:rPr>
            </w:pPr>
          </w:p>
        </w:tc>
        <w:tc>
          <w:tcPr>
            <w:tcW w:w="988" w:type="dxa"/>
            <w:vMerge w:val="continue"/>
            <w:tcBorders>
              <w:left w:val="nil"/>
              <w:bottom w:val="single" w:color="auto" w:sz="4" w:space="0"/>
              <w:right w:val="single" w:color="auto" w:sz="4" w:space="0"/>
            </w:tcBorders>
            <w:shd w:val="clear" w:color="auto" w:fill="auto"/>
            <w:vAlign w:val="center"/>
          </w:tcPr>
          <w:p>
            <w:pPr>
              <w:widowControl/>
              <w:jc w:val="center"/>
              <w:rPr>
                <w:rFonts w:hint="eastAsia" w:ascii="宋体" w:hAnsi="宋体" w:cs="宋体"/>
                <w:kern w:val="0"/>
                <w:sz w:val="24"/>
              </w:rPr>
            </w:pPr>
          </w:p>
        </w:tc>
        <w:tc>
          <w:tcPr>
            <w:tcW w:w="19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07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cs="宋体"/>
                <w:kern w:val="0"/>
                <w:sz w:val="20"/>
                <w:szCs w:val="20"/>
              </w:rPr>
            </w:pPr>
          </w:p>
        </w:tc>
      </w:tr>
    </w:tbl>
    <w:p>
      <w:pPr>
        <w:pStyle w:val="7"/>
        <w:spacing w:line="600" w:lineRule="exact"/>
        <w:ind w:firstLine="640" w:firstLineChars="200"/>
        <w:jc w:val="left"/>
        <w:rPr>
          <w:rFonts w:ascii="黑体" w:hAnsi="黑体" w:eastAsia="黑体" w:cs="仿宋_GB2312"/>
          <w:sz w:val="32"/>
          <w:szCs w:val="32"/>
        </w:rPr>
      </w:pPr>
      <w:r>
        <w:rPr>
          <w:rFonts w:hint="eastAsia" w:ascii="仿宋" w:hAnsi="仿宋" w:eastAsia="仿宋" w:cs="仿宋"/>
          <w:i w:val="0"/>
          <w:caps w:val="0"/>
          <w:color w:val="333333"/>
          <w:spacing w:val="0"/>
          <w:sz w:val="32"/>
          <w:szCs w:val="32"/>
          <w:lang w:val="en-US" w:eastAsia="zh-CN"/>
        </w:rPr>
        <w:t xml:space="preserve">             </w:t>
      </w: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pStyle w:val="7"/>
        <w:spacing w:line="60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附件4</w:t>
      </w:r>
    </w:p>
    <w:p>
      <w:pPr>
        <w:pStyle w:val="7"/>
        <w:spacing w:line="600" w:lineRule="exact"/>
        <w:ind w:firstLine="640" w:firstLineChars="200"/>
        <w:jc w:val="left"/>
        <w:rPr>
          <w:rFonts w:hint="eastAsia" w:ascii="仿宋_GB2312" w:hAnsi="黑体" w:eastAsia="仿宋_GB2312" w:cs="黑体"/>
          <w:sz w:val="32"/>
          <w:szCs w:val="32"/>
        </w:rPr>
      </w:pPr>
    </w:p>
    <w:p>
      <w:pPr>
        <w:pStyle w:val="7"/>
        <w:spacing w:line="600" w:lineRule="exact"/>
        <w:ind w:firstLine="720" w:firstLineChars="200"/>
        <w:jc w:val="center"/>
        <w:rPr>
          <w:rFonts w:hint="eastAsia" w:ascii="方正小标宋_GBK" w:hAnsi="黑体" w:eastAsia="方正小标宋_GBK" w:cs="黑体"/>
          <w:sz w:val="36"/>
          <w:szCs w:val="36"/>
          <w:lang w:eastAsia="zh-CN"/>
        </w:rPr>
      </w:pPr>
      <w:r>
        <w:rPr>
          <w:rFonts w:hint="eastAsia" w:ascii="方正小标宋_GBK" w:hAnsi="黑体" w:eastAsia="方正小标宋_GBK" w:cs="黑体"/>
          <w:sz w:val="36"/>
          <w:szCs w:val="36"/>
          <w:lang w:eastAsia="zh-CN"/>
        </w:rPr>
        <w:t>盐边县妇幼保健服务中心</w:t>
      </w:r>
    </w:p>
    <w:p>
      <w:pPr>
        <w:pStyle w:val="7"/>
        <w:spacing w:line="600" w:lineRule="exact"/>
        <w:ind w:firstLine="720" w:firstLineChars="200"/>
        <w:jc w:val="center"/>
        <w:rPr>
          <w:rFonts w:hint="eastAsia" w:ascii="方正小标宋_GBK" w:hAnsi="黑体" w:eastAsia="方正小标宋_GBK" w:cs="黑体"/>
          <w:sz w:val="36"/>
          <w:szCs w:val="36"/>
        </w:rPr>
      </w:pPr>
      <w:r>
        <w:rPr>
          <w:rFonts w:hint="eastAsia" w:ascii="方正小标宋_GBK" w:hAnsi="黑体" w:eastAsia="方正小标宋_GBK" w:cs="黑体"/>
          <w:sz w:val="36"/>
          <w:szCs w:val="36"/>
          <w:lang w:val="en-US" w:eastAsia="zh-CN"/>
        </w:rPr>
        <w:t>2021年</w:t>
      </w:r>
      <w:r>
        <w:rPr>
          <w:rFonts w:hint="eastAsia" w:ascii="方正小标宋_GBK" w:hAnsi="黑体" w:eastAsia="方正小标宋_GBK" w:cs="黑体"/>
          <w:sz w:val="36"/>
          <w:szCs w:val="36"/>
        </w:rPr>
        <w:t>专项（</w:t>
      </w:r>
      <w:r>
        <w:rPr>
          <w:rFonts w:hint="eastAsia" w:ascii="方正小标宋_GBK" w:hAnsi="黑体" w:eastAsia="方正小标宋_GBK" w:cs="黑体"/>
          <w:sz w:val="36"/>
          <w:szCs w:val="36"/>
          <w:lang w:eastAsia="zh-CN"/>
        </w:rPr>
        <w:t>医疗事业收入调入资金</w:t>
      </w:r>
      <w:r>
        <w:rPr>
          <w:rFonts w:hint="eastAsia" w:ascii="方正小标宋_GBK" w:hAnsi="黑体" w:eastAsia="方正小标宋_GBK" w:cs="黑体"/>
          <w:sz w:val="36"/>
          <w:szCs w:val="36"/>
        </w:rPr>
        <w:t>）资金绩效</w:t>
      </w:r>
    </w:p>
    <w:p>
      <w:pPr>
        <w:pStyle w:val="7"/>
        <w:spacing w:line="600" w:lineRule="exact"/>
        <w:ind w:firstLine="720" w:firstLineChars="200"/>
        <w:jc w:val="center"/>
        <w:rPr>
          <w:rFonts w:hint="eastAsia" w:ascii="方正小标宋_GBK" w:hAnsi="黑体" w:eastAsia="方正小标宋_GBK" w:cs="黑体"/>
          <w:sz w:val="36"/>
          <w:szCs w:val="36"/>
        </w:rPr>
      </w:pPr>
      <w:r>
        <w:rPr>
          <w:rFonts w:hint="eastAsia" w:ascii="方正小标宋_GBK" w:hAnsi="黑体" w:eastAsia="方正小标宋_GBK" w:cs="黑体"/>
          <w:sz w:val="36"/>
          <w:szCs w:val="36"/>
        </w:rPr>
        <w:t>自评报告</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一、项目概况</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1.说明项目主管部门（单位）在该项目管理中的职能。</w:t>
      </w:r>
    </w:p>
    <w:p>
      <w:pPr>
        <w:spacing w:line="560" w:lineRule="exact"/>
        <w:ind w:firstLine="640" w:firstLineChars="200"/>
        <w:rPr>
          <w:rFonts w:hint="default" w:eastAsia="仿宋_GB2312"/>
          <w:sz w:val="32"/>
          <w:szCs w:val="32"/>
          <w:lang w:val="en-US" w:eastAsia="zh-CN"/>
        </w:rPr>
      </w:pPr>
      <w:r>
        <w:rPr>
          <w:rFonts w:hint="eastAsia" w:eastAsia="仿宋_GB2312"/>
          <w:sz w:val="32"/>
          <w:szCs w:val="32"/>
          <w:lang w:eastAsia="zh-CN"/>
        </w:rPr>
        <w:t>支付临时人员的工资、购买社保及单位的公用经费。</w:t>
      </w:r>
    </w:p>
    <w:p>
      <w:pPr>
        <w:numPr>
          <w:ilvl w:val="0"/>
          <w:numId w:val="12"/>
        </w:numPr>
        <w:spacing w:line="560" w:lineRule="exact"/>
        <w:ind w:firstLine="640" w:firstLineChars="200"/>
        <w:rPr>
          <w:rFonts w:eastAsia="仿宋_GB2312"/>
          <w:sz w:val="32"/>
          <w:szCs w:val="32"/>
        </w:rPr>
      </w:pPr>
      <w:r>
        <w:rPr>
          <w:rFonts w:eastAsia="仿宋_GB2312"/>
          <w:sz w:val="32"/>
          <w:szCs w:val="32"/>
        </w:rPr>
        <w:t>项目立项、资金申报的依据。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lang w:val="en-US" w:eastAsia="zh-CN"/>
        </w:rPr>
      </w:pPr>
      <w:r>
        <w:rPr>
          <w:rFonts w:hint="eastAsia" w:eastAsia="仿宋_GB2312"/>
          <w:sz w:val="32"/>
          <w:szCs w:val="32"/>
          <w:lang w:eastAsia="zh-CN"/>
        </w:rPr>
        <w:t>该资金立项时间为</w:t>
      </w:r>
      <w:r>
        <w:rPr>
          <w:rFonts w:hint="eastAsia" w:eastAsia="仿宋_GB2312"/>
          <w:sz w:val="32"/>
          <w:szCs w:val="32"/>
          <w:lang w:val="en-US" w:eastAsia="zh-CN"/>
        </w:rPr>
        <w:t>2020年至2021年，</w:t>
      </w:r>
      <w:r>
        <w:rPr>
          <w:rFonts w:hint="eastAsia" w:eastAsia="仿宋_GB2312"/>
          <w:sz w:val="32"/>
          <w:szCs w:val="32"/>
        </w:rPr>
        <w:t>加强和规范</w:t>
      </w:r>
      <w:r>
        <w:rPr>
          <w:rFonts w:hint="eastAsia" w:eastAsia="仿宋_GB2312"/>
          <w:sz w:val="32"/>
          <w:szCs w:val="32"/>
          <w:lang w:eastAsia="zh-CN"/>
        </w:rPr>
        <w:t>县</w:t>
      </w:r>
      <w:r>
        <w:rPr>
          <w:rFonts w:hint="eastAsia" w:eastAsia="仿宋_GB2312"/>
          <w:sz w:val="32"/>
          <w:szCs w:val="32"/>
        </w:rPr>
        <w:t>财政支持基层医疗卫生机构</w:t>
      </w:r>
      <w:r>
        <w:rPr>
          <w:rFonts w:hint="eastAsia" w:eastAsia="仿宋_GB2312"/>
          <w:sz w:val="32"/>
          <w:szCs w:val="32"/>
          <w:lang w:eastAsia="zh-CN"/>
        </w:rPr>
        <w:t>公用经费的</w:t>
      </w:r>
      <w:r>
        <w:rPr>
          <w:rFonts w:hint="eastAsia" w:eastAsia="仿宋_GB2312"/>
          <w:sz w:val="32"/>
          <w:szCs w:val="32"/>
        </w:rPr>
        <w:t>分配、使用和管理</w:t>
      </w:r>
      <w:r>
        <w:rPr>
          <w:rFonts w:hint="eastAsia" w:eastAsia="仿宋_GB2312"/>
          <w:sz w:val="32"/>
          <w:szCs w:val="32"/>
          <w:lang w:eastAsia="zh-CN"/>
        </w:rPr>
        <w:t>，</w:t>
      </w:r>
      <w:r>
        <w:rPr>
          <w:rFonts w:hint="eastAsia" w:eastAsia="仿宋_GB2312"/>
          <w:sz w:val="32"/>
          <w:szCs w:val="32"/>
        </w:rPr>
        <w:t>根据《中华人民共和国预算法》等有关法律法规和政策文件</w:t>
      </w:r>
      <w:r>
        <w:rPr>
          <w:rFonts w:hint="eastAsia" w:eastAsia="仿宋_GB2312"/>
          <w:sz w:val="32"/>
          <w:szCs w:val="32"/>
          <w:lang w:eastAsia="zh-CN"/>
        </w:rPr>
        <w:t>。</w:t>
      </w:r>
    </w:p>
    <w:p>
      <w:pPr>
        <w:numPr>
          <w:ilvl w:val="0"/>
          <w:numId w:val="12"/>
        </w:numPr>
        <w:spacing w:line="560" w:lineRule="exact"/>
        <w:ind w:left="0" w:leftChars="0" w:firstLine="640" w:firstLineChars="200"/>
        <w:rPr>
          <w:rFonts w:eastAsia="仿宋_GB2312"/>
          <w:sz w:val="32"/>
          <w:szCs w:val="32"/>
        </w:rPr>
      </w:pPr>
      <w:r>
        <w:rPr>
          <w:rFonts w:eastAsia="仿宋_GB2312"/>
          <w:sz w:val="32"/>
          <w:szCs w:val="32"/>
        </w:rPr>
        <w:t>资金管理办法制定情况，资金支持具体项目的条件、范围与支持方式概况。</w:t>
      </w:r>
    </w:p>
    <w:p>
      <w:pPr>
        <w:numPr>
          <w:ilvl w:val="0"/>
          <w:numId w:val="0"/>
        </w:numPr>
        <w:spacing w:line="560" w:lineRule="exact"/>
        <w:ind w:firstLine="640" w:firstLineChars="200"/>
        <w:rPr>
          <w:rFonts w:hint="default" w:eastAsia="仿宋_GB2312"/>
          <w:sz w:val="32"/>
          <w:szCs w:val="32"/>
          <w:lang w:val="en-US" w:eastAsia="zh-CN"/>
        </w:rPr>
      </w:pPr>
      <w:r>
        <w:rPr>
          <w:rFonts w:hint="eastAsia" w:eastAsia="仿宋_GB2312"/>
          <w:sz w:val="32"/>
          <w:szCs w:val="32"/>
          <w:lang w:eastAsia="zh-CN"/>
        </w:rPr>
        <w:t>根据盐财资行【2020】351号下达2020年度医疗机构发展资金和盐边财政【</w:t>
      </w:r>
      <w:r>
        <w:rPr>
          <w:rFonts w:hint="eastAsia" w:eastAsia="仿宋_GB2312"/>
          <w:sz w:val="32"/>
          <w:szCs w:val="32"/>
          <w:lang w:val="en-US" w:eastAsia="zh-CN"/>
        </w:rPr>
        <w:t>2021</w:t>
      </w:r>
      <w:r>
        <w:rPr>
          <w:rFonts w:hint="eastAsia" w:eastAsia="仿宋_GB2312"/>
          <w:sz w:val="32"/>
          <w:szCs w:val="32"/>
          <w:lang w:eastAsia="zh-CN"/>
        </w:rPr>
        <w:t>】</w:t>
      </w:r>
      <w:r>
        <w:rPr>
          <w:rFonts w:hint="eastAsia" w:eastAsia="仿宋_GB2312"/>
          <w:sz w:val="32"/>
          <w:szCs w:val="32"/>
          <w:lang w:val="en-US" w:eastAsia="zh-CN"/>
        </w:rPr>
        <w:t>8号下达医疗事业收入调入资金。</w:t>
      </w:r>
    </w:p>
    <w:p>
      <w:pPr>
        <w:numPr>
          <w:ilvl w:val="0"/>
          <w:numId w:val="12"/>
        </w:numPr>
        <w:spacing w:line="560" w:lineRule="exact"/>
        <w:ind w:left="0" w:leftChars="0" w:firstLine="640" w:firstLineChars="200"/>
        <w:rPr>
          <w:rFonts w:eastAsia="仿宋_GB2312"/>
          <w:sz w:val="32"/>
          <w:szCs w:val="32"/>
        </w:rPr>
      </w:pPr>
      <w:r>
        <w:rPr>
          <w:rFonts w:eastAsia="仿宋_GB2312"/>
          <w:sz w:val="32"/>
          <w:szCs w:val="32"/>
        </w:rPr>
        <w:t>资金分配的原则及考虑因素。</w:t>
      </w:r>
    </w:p>
    <w:p>
      <w:pPr>
        <w:autoSpaceDE/>
        <w:autoSpaceDN/>
        <w:adjustRightInd/>
        <w:spacing w:line="560" w:lineRule="exact"/>
        <w:ind w:firstLine="640" w:firstLineChars="200"/>
        <w:jc w:val="left"/>
        <w:rPr>
          <w:rFonts w:ascii="Times New Roman" w:hAnsi="Times New Roman" w:eastAsia="仿宋_GB2312"/>
          <w:kern w:val="0"/>
          <w:sz w:val="32"/>
          <w:szCs w:val="32"/>
        </w:rPr>
      </w:pPr>
      <w:r>
        <w:rPr>
          <w:rFonts w:hint="eastAsia" w:eastAsia="仿宋_GB2312"/>
          <w:sz w:val="32"/>
          <w:szCs w:val="32"/>
          <w:lang w:eastAsia="zh-CN"/>
        </w:rPr>
        <w:t>支付</w:t>
      </w:r>
      <w:r>
        <w:rPr>
          <w:rFonts w:hint="eastAsia" w:eastAsia="仿宋_GB2312"/>
          <w:sz w:val="32"/>
          <w:szCs w:val="32"/>
          <w:lang w:val="en-US" w:eastAsia="zh-CN"/>
        </w:rPr>
        <w:t>2021年1-8月份临时人员工资，1-10月份临时人员社保，1-6月份的办公费、差旅费等公用经费。</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（二）项目绩效目标。</w:t>
      </w:r>
    </w:p>
    <w:p>
      <w:pPr>
        <w:spacing w:line="560" w:lineRule="exact"/>
        <w:ind w:firstLine="640" w:firstLineChars="200"/>
        <w:rPr>
          <w:rFonts w:eastAsia="仿宋_GB2312"/>
          <w:sz w:val="32"/>
          <w:szCs w:val="32"/>
        </w:rPr>
      </w:pPr>
      <w:r>
        <w:rPr>
          <w:rFonts w:ascii="Times New Roman" w:hAnsi="Times New Roman" w:eastAsia="仿宋_GB2312"/>
          <w:kern w:val="0"/>
          <w:sz w:val="32"/>
          <w:szCs w:val="32"/>
        </w:rPr>
        <w:t>1</w:t>
      </w:r>
      <w:r>
        <w:rPr>
          <w:rFonts w:hint="eastAsia" w:ascii="仿宋_GB2312" w:hAnsi="仿宋_GB2312" w:eastAsia="仿宋_GB2312" w:cs="仿宋_GB2312"/>
          <w:sz w:val="32"/>
          <w:szCs w:val="32"/>
          <w:lang w:eastAsia="zh-CN"/>
        </w:rPr>
        <w:t>支付自收自支的临时人员工资、社保</w:t>
      </w:r>
      <w:bookmarkStart w:id="67" w:name="_GoBack"/>
      <w:r>
        <w:rPr>
          <w:rFonts w:hint="eastAsia" w:ascii="仿宋_GB2312" w:hAnsi="仿宋_GB2312" w:eastAsia="仿宋_GB2312" w:cs="仿宋_GB2312"/>
          <w:sz w:val="32"/>
          <w:szCs w:val="32"/>
          <w:lang w:eastAsia="zh-CN"/>
        </w:rPr>
        <w:t>，还有</w:t>
      </w:r>
      <w:bookmarkEnd w:id="67"/>
      <w:r>
        <w:rPr>
          <w:rFonts w:hint="eastAsia" w:ascii="仿宋_GB2312" w:hAnsi="仿宋_GB2312" w:eastAsia="仿宋_GB2312" w:cs="仿宋_GB2312"/>
          <w:sz w:val="32"/>
          <w:szCs w:val="32"/>
          <w:lang w:eastAsia="zh-CN"/>
        </w:rPr>
        <w:t>部分公用经费。</w:t>
      </w:r>
    </w:p>
    <w:p>
      <w:pPr>
        <w:numPr>
          <w:ilvl w:val="0"/>
          <w:numId w:val="0"/>
        </w:numPr>
        <w:tabs>
          <w:tab w:val="left" w:pos="312"/>
        </w:tabs>
        <w:spacing w:line="560" w:lineRule="exact"/>
        <w:ind w:firstLine="640" w:firstLineChars="200"/>
        <w:rPr>
          <w:rFonts w:eastAsia="仿宋_GB2312"/>
          <w:sz w:val="32"/>
          <w:szCs w:val="32"/>
        </w:rPr>
      </w:pPr>
      <w:r>
        <w:rPr>
          <w:rFonts w:hint="eastAsia" w:eastAsia="仿宋_GB2312"/>
          <w:sz w:val="32"/>
          <w:szCs w:val="32"/>
          <w:lang w:val="en-US" w:eastAsia="zh-CN"/>
        </w:rPr>
        <w:t>2.</w:t>
      </w:r>
      <w:r>
        <w:rPr>
          <w:rFonts w:eastAsia="仿宋_GB2312"/>
          <w:sz w:val="32"/>
          <w:szCs w:val="32"/>
        </w:rPr>
        <w:t>项目应实现的具体绩效目标，包括目标的量化、细化情况以及项目实施进度计划等。</w:t>
      </w:r>
    </w:p>
    <w:p>
      <w:pPr>
        <w:spacing w:line="560" w:lineRule="exact"/>
        <w:ind w:firstLine="640" w:firstLineChars="200"/>
        <w:rPr>
          <w:rFonts w:eastAsia="仿宋_GB2312"/>
          <w:sz w:val="32"/>
          <w:szCs w:val="32"/>
        </w:rPr>
      </w:pPr>
      <w:r>
        <w:rPr>
          <w:rFonts w:hint="eastAsia" w:eastAsia="仿宋_GB2312"/>
          <w:sz w:val="32"/>
          <w:szCs w:val="32"/>
          <w:lang w:eastAsia="zh-CN"/>
        </w:rPr>
        <w:t>支付</w:t>
      </w:r>
      <w:r>
        <w:rPr>
          <w:rFonts w:hint="eastAsia" w:eastAsia="仿宋_GB2312"/>
          <w:sz w:val="32"/>
          <w:szCs w:val="32"/>
          <w:lang w:val="en-US" w:eastAsia="zh-CN"/>
        </w:rPr>
        <w:t>2020年1-8月份临时人员工资，1-10月份临时人员社保，1-6月份的办公费、差旅费等公用经费。</w:t>
      </w:r>
    </w:p>
    <w:p>
      <w:pPr>
        <w:numPr>
          <w:ilvl w:val="0"/>
          <w:numId w:val="0"/>
        </w:numPr>
        <w:tabs>
          <w:tab w:val="left" w:pos="312"/>
        </w:tabs>
        <w:spacing w:line="560" w:lineRule="exact"/>
        <w:ind w:left="420" w:leftChars="200" w:firstLine="320" w:firstLineChars="100"/>
        <w:rPr>
          <w:rFonts w:eastAsia="仿宋_GB2312"/>
          <w:sz w:val="32"/>
          <w:szCs w:val="32"/>
        </w:rPr>
      </w:pPr>
      <w:r>
        <w:rPr>
          <w:rFonts w:hint="eastAsia" w:eastAsia="仿宋_GB2312"/>
          <w:sz w:val="32"/>
          <w:szCs w:val="32"/>
          <w:lang w:val="en-US" w:eastAsia="zh-CN"/>
        </w:rPr>
        <w:t>3.</w:t>
      </w:r>
      <w:r>
        <w:rPr>
          <w:rFonts w:eastAsia="仿宋_GB2312"/>
          <w:sz w:val="32"/>
          <w:szCs w:val="32"/>
        </w:rPr>
        <w:t>分析评价申报内容是否与实际相符，申报目标是否合理可行。</w:t>
      </w:r>
    </w:p>
    <w:p>
      <w:pPr>
        <w:numPr>
          <w:ilvl w:val="0"/>
          <w:numId w:val="0"/>
        </w:numPr>
        <w:autoSpaceDE/>
        <w:autoSpaceDN/>
        <w:adjustRightInd/>
        <w:spacing w:line="560" w:lineRule="exact"/>
        <w:ind w:firstLine="660" w:firstLineChars="200"/>
        <w:jc w:val="left"/>
        <w:rPr>
          <w:rFonts w:ascii="Times New Roman" w:hAnsi="Times New Roman" w:eastAsia="仿宋_GB2312"/>
          <w:kern w:val="0"/>
          <w:sz w:val="32"/>
          <w:szCs w:val="32"/>
        </w:rPr>
      </w:pPr>
      <w:r>
        <w:rPr>
          <w:rFonts w:hint="default" w:ascii="Times New Roman" w:hAnsi="Times New Roman" w:eastAsia="仿宋_GB2312" w:cs="Times New Roman"/>
          <w:color w:val="000000"/>
          <w:kern w:val="0"/>
          <w:sz w:val="33"/>
          <w:szCs w:val="33"/>
          <w:lang w:eastAsia="zh-CN"/>
        </w:rPr>
        <w:t>按照省、市</w:t>
      </w:r>
      <w:r>
        <w:rPr>
          <w:rFonts w:hint="eastAsia" w:eastAsia="仿宋_GB2312" w:cs="Times New Roman"/>
          <w:color w:val="000000"/>
          <w:kern w:val="0"/>
          <w:sz w:val="33"/>
          <w:szCs w:val="33"/>
          <w:lang w:eastAsia="zh-CN"/>
        </w:rPr>
        <w:t>、县</w:t>
      </w:r>
      <w:r>
        <w:rPr>
          <w:rFonts w:hint="default" w:ascii="Times New Roman" w:hAnsi="Times New Roman" w:eastAsia="仿宋_GB2312" w:cs="Times New Roman"/>
          <w:color w:val="000000"/>
          <w:kern w:val="0"/>
          <w:sz w:val="33"/>
          <w:szCs w:val="33"/>
          <w:lang w:eastAsia="zh-CN"/>
        </w:rPr>
        <w:t>印发的</w:t>
      </w:r>
      <w:r>
        <w:rPr>
          <w:rFonts w:hint="eastAsia" w:eastAsia="仿宋_GB2312" w:cs="Times New Roman"/>
          <w:color w:val="000000"/>
          <w:kern w:val="0"/>
          <w:sz w:val="33"/>
          <w:szCs w:val="33"/>
          <w:lang w:eastAsia="zh-CN"/>
        </w:rPr>
        <w:t>基层医疗机构发展资金的</w:t>
      </w:r>
      <w:r>
        <w:rPr>
          <w:rFonts w:hint="default" w:ascii="Times New Roman" w:hAnsi="Times New Roman" w:eastAsia="仿宋_GB2312" w:cs="Times New Roman"/>
          <w:color w:val="000000"/>
          <w:kern w:val="0"/>
          <w:sz w:val="33"/>
          <w:szCs w:val="33"/>
          <w:lang w:eastAsia="zh-CN"/>
        </w:rPr>
        <w:t>项目实施方案要求，制定符合我</w:t>
      </w:r>
      <w:r>
        <w:rPr>
          <w:rFonts w:hint="eastAsia" w:eastAsia="仿宋_GB2312" w:cs="Times New Roman"/>
          <w:color w:val="000000"/>
          <w:kern w:val="0"/>
          <w:sz w:val="33"/>
          <w:szCs w:val="33"/>
          <w:lang w:eastAsia="zh-CN"/>
        </w:rPr>
        <w:t>中心</w:t>
      </w:r>
      <w:r>
        <w:rPr>
          <w:rFonts w:hint="default" w:ascii="Times New Roman" w:hAnsi="Times New Roman" w:eastAsia="仿宋_GB2312" w:cs="Times New Roman"/>
          <w:color w:val="000000"/>
          <w:kern w:val="0"/>
          <w:sz w:val="33"/>
          <w:szCs w:val="33"/>
          <w:lang w:eastAsia="zh-CN"/>
        </w:rPr>
        <w:t>的项目实施方案</w:t>
      </w:r>
      <w:r>
        <w:rPr>
          <w:rFonts w:hint="eastAsia" w:ascii="Times New Roman" w:hAnsi="Times New Roman" w:eastAsia="仿宋_GB2312" w:cs="Times New Roman"/>
          <w:color w:val="000000"/>
          <w:kern w:val="0"/>
          <w:sz w:val="33"/>
          <w:szCs w:val="33"/>
          <w:lang w:eastAsia="zh-CN"/>
        </w:rPr>
        <w:t>，分解细化目标任务，确保了目标任务全面完成</w:t>
      </w:r>
      <w:r>
        <w:rPr>
          <w:rFonts w:hint="default" w:ascii="Times New Roman" w:hAnsi="Times New Roman" w:eastAsia="仿宋_GB2312" w:cs="Times New Roman"/>
          <w:color w:val="000000"/>
          <w:kern w:val="0"/>
          <w:sz w:val="33"/>
          <w:szCs w:val="33"/>
          <w:lang w:eastAsia="zh-CN"/>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黑体"/>
          <w:kern w:val="0"/>
          <w:sz w:val="32"/>
          <w:szCs w:val="32"/>
        </w:rPr>
        <w:t>二、项目资金申报及使用情况</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（一）项目资金申报及批复情况。</w:t>
      </w:r>
    </w:p>
    <w:p>
      <w:pPr>
        <w:spacing w:line="560" w:lineRule="exact"/>
        <w:ind w:firstLine="640" w:firstLineChars="200"/>
        <w:rPr>
          <w:rFonts w:eastAsia="仿宋_GB2312"/>
          <w:sz w:val="32"/>
          <w:szCs w:val="32"/>
        </w:rPr>
      </w:pPr>
      <w:r>
        <w:rPr>
          <w:rFonts w:eastAsia="仿宋_GB2312"/>
          <w:sz w:val="32"/>
          <w:szCs w:val="32"/>
        </w:rPr>
        <w:t>说明项目资金申报、批复及预算调整等程序的相关情况。</w:t>
      </w:r>
    </w:p>
    <w:p>
      <w:pPr>
        <w:spacing w:line="560" w:lineRule="exact"/>
        <w:ind w:firstLine="660" w:firstLineChars="200"/>
        <w:rPr>
          <w:rFonts w:eastAsia="仿宋_GB2312"/>
          <w:sz w:val="32"/>
          <w:szCs w:val="32"/>
        </w:rPr>
      </w:pPr>
      <w:r>
        <w:rPr>
          <w:rFonts w:hint="eastAsia" w:eastAsia="仿宋_GB2312" w:cs="Times New Roman"/>
          <w:color w:val="000000"/>
          <w:kern w:val="0"/>
          <w:sz w:val="33"/>
          <w:szCs w:val="33"/>
          <w:lang w:eastAsia="zh-CN"/>
        </w:rPr>
        <w:t>医疗机构发展</w:t>
      </w:r>
      <w:r>
        <w:rPr>
          <w:rFonts w:hint="default" w:ascii="Times New Roman" w:hAnsi="Times New Roman" w:eastAsia="仿宋_GB2312" w:cs="Times New Roman"/>
          <w:color w:val="000000"/>
          <w:kern w:val="0"/>
          <w:sz w:val="33"/>
          <w:szCs w:val="33"/>
        </w:rPr>
        <w:t>资金</w:t>
      </w:r>
      <w:r>
        <w:rPr>
          <w:rFonts w:hint="eastAsia" w:ascii="Times New Roman" w:hAnsi="Times New Roman" w:eastAsia="仿宋_GB2312" w:cs="Times New Roman"/>
          <w:color w:val="000000"/>
          <w:kern w:val="0"/>
          <w:sz w:val="33"/>
          <w:szCs w:val="33"/>
          <w:lang w:eastAsia="zh-CN"/>
        </w:rPr>
        <w:t>由</w:t>
      </w:r>
      <w:r>
        <w:rPr>
          <w:rFonts w:hint="eastAsia" w:eastAsia="仿宋_GB2312" w:cs="Times New Roman"/>
          <w:color w:val="000000"/>
          <w:kern w:val="0"/>
          <w:sz w:val="33"/>
          <w:szCs w:val="33"/>
          <w:lang w:eastAsia="zh-CN"/>
        </w:rPr>
        <w:t>我中心的医疗收入返还财政拨款收入的，我中心统计医疗收入数来置换财政拨款收入数并</w:t>
      </w:r>
      <w:r>
        <w:rPr>
          <w:rFonts w:hint="default" w:ascii="Times New Roman" w:hAnsi="Times New Roman" w:eastAsia="仿宋_GB2312" w:cs="Times New Roman"/>
          <w:color w:val="000000"/>
          <w:kern w:val="0"/>
          <w:sz w:val="33"/>
          <w:szCs w:val="33"/>
        </w:rPr>
        <w:t>申报、</w:t>
      </w:r>
      <w:r>
        <w:rPr>
          <w:rFonts w:hint="eastAsia" w:ascii="Times New Roman" w:hAnsi="Times New Roman" w:eastAsia="仿宋_GB2312" w:cs="Times New Roman"/>
          <w:color w:val="000000"/>
          <w:kern w:val="0"/>
          <w:sz w:val="33"/>
          <w:szCs w:val="33"/>
          <w:lang w:eastAsia="zh-CN"/>
        </w:rPr>
        <w:t>县财政根据</w:t>
      </w:r>
      <w:r>
        <w:rPr>
          <w:rFonts w:hint="eastAsia" w:eastAsia="仿宋_GB2312" w:cs="Times New Roman"/>
          <w:color w:val="000000"/>
          <w:kern w:val="0"/>
          <w:sz w:val="33"/>
          <w:szCs w:val="33"/>
          <w:lang w:eastAsia="zh-CN"/>
        </w:rPr>
        <w:t>申报的数额</w:t>
      </w:r>
      <w:r>
        <w:rPr>
          <w:rFonts w:hint="eastAsia" w:ascii="Times New Roman" w:hAnsi="Times New Roman" w:eastAsia="仿宋_GB2312" w:cs="Times New Roman"/>
          <w:color w:val="000000"/>
          <w:kern w:val="0"/>
          <w:sz w:val="33"/>
          <w:szCs w:val="33"/>
          <w:lang w:eastAsia="zh-CN"/>
        </w:rPr>
        <w:t>予以</w:t>
      </w:r>
      <w:r>
        <w:rPr>
          <w:rFonts w:hint="default" w:ascii="Times New Roman" w:hAnsi="Times New Roman" w:eastAsia="仿宋_GB2312" w:cs="Times New Roman"/>
          <w:color w:val="000000"/>
          <w:kern w:val="0"/>
          <w:sz w:val="33"/>
          <w:szCs w:val="33"/>
        </w:rPr>
        <w:t>批复及</w:t>
      </w:r>
      <w:r>
        <w:rPr>
          <w:rFonts w:hint="eastAsia" w:ascii="Times New Roman" w:hAnsi="Times New Roman" w:eastAsia="仿宋_GB2312" w:cs="Times New Roman"/>
          <w:color w:val="000000"/>
          <w:kern w:val="0"/>
          <w:sz w:val="33"/>
          <w:szCs w:val="33"/>
          <w:lang w:eastAsia="zh-CN"/>
        </w:rPr>
        <w:t>进行下拨</w:t>
      </w:r>
      <w:r>
        <w:rPr>
          <w:rFonts w:hint="default" w:ascii="Times New Roman" w:hAnsi="Times New Roman" w:eastAsia="仿宋_GB2312" w:cs="Times New Roman"/>
          <w:color w:val="000000"/>
          <w:kern w:val="0"/>
          <w:sz w:val="33"/>
          <w:szCs w:val="33"/>
        </w:rPr>
        <w:t>预算</w:t>
      </w:r>
      <w:r>
        <w:rPr>
          <w:rFonts w:hint="eastAsia" w:ascii="Times New Roman" w:hAnsi="Times New Roman" w:eastAsia="仿宋_GB2312" w:cs="Times New Roman"/>
          <w:color w:val="000000"/>
          <w:kern w:val="0"/>
          <w:sz w:val="33"/>
          <w:szCs w:val="33"/>
          <w:lang w:eastAsia="zh-CN"/>
        </w:rPr>
        <w:t>至大平台上</w:t>
      </w:r>
      <w:r>
        <w:rPr>
          <w:rFonts w:hint="default" w:ascii="Times New Roman" w:hAnsi="Times New Roman" w:eastAsia="仿宋_GB2312" w:cs="Times New Roman"/>
          <w:color w:val="000000"/>
          <w:kern w:val="0"/>
          <w:sz w:val="33"/>
          <w:szCs w:val="33"/>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（二）资金计划、到位及使用情况。</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1．资金计划。</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eastAsia" w:eastAsia="仿宋_GB2312"/>
          <w:sz w:val="32"/>
          <w:szCs w:val="32"/>
          <w:lang w:eastAsia="zh-CN"/>
        </w:rPr>
        <w:t>根据盐财资行【2020】351号下达2020年度医疗机构发展资金和盐边财政【</w:t>
      </w:r>
      <w:r>
        <w:rPr>
          <w:rFonts w:hint="eastAsia" w:eastAsia="仿宋_GB2312"/>
          <w:sz w:val="32"/>
          <w:szCs w:val="32"/>
          <w:lang w:val="en-US" w:eastAsia="zh-CN"/>
        </w:rPr>
        <w:t>2021</w:t>
      </w:r>
      <w:r>
        <w:rPr>
          <w:rFonts w:hint="eastAsia" w:eastAsia="仿宋_GB2312"/>
          <w:sz w:val="32"/>
          <w:szCs w:val="32"/>
          <w:lang w:eastAsia="zh-CN"/>
        </w:rPr>
        <w:t>】</w:t>
      </w:r>
      <w:r>
        <w:rPr>
          <w:rFonts w:hint="eastAsia" w:eastAsia="仿宋_GB2312"/>
          <w:sz w:val="32"/>
          <w:szCs w:val="32"/>
          <w:lang w:val="en-US" w:eastAsia="zh-CN"/>
        </w:rPr>
        <w:t>8号下达医疗事业收入调入资金共计52.37万元。我中心在使用过程中</w:t>
      </w:r>
      <w:r>
        <w:rPr>
          <w:rFonts w:hint="eastAsia" w:ascii="仿宋" w:hAnsi="仿宋" w:eastAsia="仿宋" w:cs="仿宋"/>
          <w:b w:val="0"/>
          <w:bCs w:val="0"/>
          <w:color w:val="000000"/>
          <w:sz w:val="32"/>
          <w:szCs w:val="32"/>
          <w:lang w:val="en-US" w:eastAsia="zh-CN"/>
        </w:rPr>
        <w:t>加强对资金监管，确保专款专用，严禁截留和挪用</w:t>
      </w:r>
      <w:r>
        <w:rPr>
          <w:rFonts w:ascii="Times New Roman" w:hAnsi="Times New Roman" w:eastAsia="仿宋_GB2312"/>
          <w:kern w:val="0"/>
          <w:sz w:val="32"/>
          <w:szCs w:val="32"/>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2．资金到位。</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hint="eastAsia" w:eastAsia="仿宋_GB2312"/>
          <w:sz w:val="32"/>
          <w:szCs w:val="32"/>
          <w:lang w:eastAsia="zh-CN"/>
        </w:rPr>
        <w:t>根据盐财资行【2020】351号下达2020年度医疗机构发展资金和盐边财政【</w:t>
      </w:r>
      <w:r>
        <w:rPr>
          <w:rFonts w:hint="eastAsia" w:eastAsia="仿宋_GB2312"/>
          <w:sz w:val="32"/>
          <w:szCs w:val="32"/>
          <w:lang w:val="en-US" w:eastAsia="zh-CN"/>
        </w:rPr>
        <w:t>2021</w:t>
      </w:r>
      <w:r>
        <w:rPr>
          <w:rFonts w:hint="eastAsia" w:eastAsia="仿宋_GB2312"/>
          <w:sz w:val="32"/>
          <w:szCs w:val="32"/>
          <w:lang w:eastAsia="zh-CN"/>
        </w:rPr>
        <w:t>】</w:t>
      </w:r>
      <w:r>
        <w:rPr>
          <w:rFonts w:hint="eastAsia" w:eastAsia="仿宋_GB2312"/>
          <w:sz w:val="32"/>
          <w:szCs w:val="32"/>
          <w:lang w:val="en-US" w:eastAsia="zh-CN"/>
        </w:rPr>
        <w:t>8号下达医疗事业收入调入资金共计52.37万元。</w:t>
      </w:r>
      <w:r>
        <w:rPr>
          <w:rFonts w:ascii="Times New Roman" w:hAnsi="Times New Roman" w:eastAsia="楷体_GB2312"/>
          <w:kern w:val="0"/>
          <w:sz w:val="32"/>
          <w:szCs w:val="32"/>
        </w:rPr>
        <w:t>3．资金使用。</w:t>
      </w:r>
    </w:p>
    <w:p>
      <w:pPr>
        <w:autoSpaceDE w:val="0"/>
        <w:autoSpaceDN w:val="0"/>
        <w:adjustRightInd w:val="0"/>
        <w:spacing w:line="600" w:lineRule="exact"/>
        <w:ind w:firstLine="640" w:firstLineChars="200"/>
        <w:jc w:val="left"/>
        <w:rPr>
          <w:rFonts w:hint="default" w:ascii="Times New Roman" w:hAnsi="Times New Roman" w:eastAsia="仿宋_GB2312"/>
          <w:kern w:val="0"/>
          <w:sz w:val="32"/>
          <w:szCs w:val="32"/>
          <w:lang w:val="en-US" w:eastAsia="zh-CN"/>
        </w:rPr>
      </w:pPr>
      <w:r>
        <w:rPr>
          <w:rFonts w:hint="eastAsia" w:eastAsia="仿宋_GB2312"/>
          <w:sz w:val="32"/>
          <w:szCs w:val="32"/>
          <w:lang w:eastAsia="zh-CN"/>
        </w:rPr>
        <w:t>根据盐财资行【2020】351号下达2020年度医疗机构发展资金（上年结转</w:t>
      </w:r>
      <w:r>
        <w:rPr>
          <w:rFonts w:hint="eastAsia" w:eastAsia="仿宋_GB2312"/>
          <w:sz w:val="32"/>
          <w:szCs w:val="32"/>
          <w:lang w:val="en-US" w:eastAsia="zh-CN"/>
        </w:rPr>
        <w:t>11.12万元</w:t>
      </w:r>
      <w:r>
        <w:rPr>
          <w:rFonts w:hint="eastAsia" w:eastAsia="仿宋_GB2312"/>
          <w:sz w:val="32"/>
          <w:szCs w:val="32"/>
          <w:lang w:eastAsia="zh-CN"/>
        </w:rPr>
        <w:t>）和盐边财政【</w:t>
      </w:r>
      <w:r>
        <w:rPr>
          <w:rFonts w:hint="eastAsia" w:eastAsia="仿宋_GB2312"/>
          <w:sz w:val="32"/>
          <w:szCs w:val="32"/>
          <w:lang w:val="en-US" w:eastAsia="zh-CN"/>
        </w:rPr>
        <w:t>2021</w:t>
      </w:r>
      <w:r>
        <w:rPr>
          <w:rFonts w:hint="eastAsia" w:eastAsia="仿宋_GB2312"/>
          <w:sz w:val="32"/>
          <w:szCs w:val="32"/>
          <w:lang w:eastAsia="zh-CN"/>
        </w:rPr>
        <w:t>】</w:t>
      </w:r>
      <w:r>
        <w:rPr>
          <w:rFonts w:hint="eastAsia" w:eastAsia="仿宋_GB2312"/>
          <w:sz w:val="32"/>
          <w:szCs w:val="32"/>
          <w:lang w:val="en-US" w:eastAsia="zh-CN"/>
        </w:rPr>
        <w:t>8号下达医疗事业收入调入资金41.26万元，共计52.37万元。</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（三）项目财务管理情况。</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eastAsia" w:eastAsia="仿宋_GB2312"/>
          <w:sz w:val="32"/>
          <w:szCs w:val="32"/>
          <w:lang w:eastAsia="zh-CN"/>
        </w:rPr>
        <w:t>我中心有健全的</w:t>
      </w:r>
      <w:r>
        <w:rPr>
          <w:rFonts w:eastAsia="仿宋_GB2312"/>
          <w:sz w:val="32"/>
          <w:szCs w:val="32"/>
        </w:rPr>
        <w:t>单位财务管理制度，严格执行财务管理制度，账务处理</w:t>
      </w:r>
      <w:r>
        <w:rPr>
          <w:rFonts w:hint="eastAsia" w:eastAsia="仿宋_GB2312"/>
          <w:sz w:val="32"/>
          <w:szCs w:val="32"/>
          <w:lang w:eastAsia="zh-CN"/>
        </w:rPr>
        <w:t>都比较</w:t>
      </w:r>
      <w:r>
        <w:rPr>
          <w:rFonts w:eastAsia="仿宋_GB2312"/>
          <w:sz w:val="32"/>
          <w:szCs w:val="32"/>
        </w:rPr>
        <w:t>及时，</w:t>
      </w:r>
      <w:r>
        <w:rPr>
          <w:rFonts w:hint="eastAsia" w:eastAsia="仿宋_GB2312"/>
          <w:sz w:val="32"/>
          <w:szCs w:val="32"/>
          <w:lang w:eastAsia="zh-CN"/>
        </w:rPr>
        <w:t>有规范的会计核算</w:t>
      </w:r>
      <w:r>
        <w:rPr>
          <w:rFonts w:eastAsia="仿宋_GB2312"/>
          <w:sz w:val="32"/>
          <w:szCs w:val="32"/>
        </w:rPr>
        <w:t>。</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三、项目实施及管理情况</w:t>
      </w:r>
    </w:p>
    <w:p>
      <w:pPr>
        <w:spacing w:line="560" w:lineRule="exact"/>
        <w:ind w:firstLine="640" w:firstLineChars="200"/>
        <w:rPr>
          <w:rFonts w:eastAsia="仿宋_GB2312"/>
          <w:sz w:val="32"/>
          <w:szCs w:val="32"/>
        </w:rPr>
      </w:pPr>
      <w:r>
        <w:rPr>
          <w:rFonts w:eastAsia="仿宋_GB2312"/>
          <w:sz w:val="32"/>
          <w:szCs w:val="32"/>
        </w:rPr>
        <w:t>结合项目组织实施管理办法，重点围绕以下内容进行分析评价，并对自评中发现的问题分析说明。</w:t>
      </w:r>
    </w:p>
    <w:p>
      <w:pPr>
        <w:numPr>
          <w:ilvl w:val="0"/>
          <w:numId w:val="15"/>
        </w:numPr>
        <w:spacing w:line="560" w:lineRule="exact"/>
        <w:ind w:firstLine="640" w:firstLineChars="200"/>
        <w:rPr>
          <w:rFonts w:eastAsia="楷体_GB2312"/>
          <w:sz w:val="32"/>
          <w:szCs w:val="32"/>
        </w:rPr>
      </w:pPr>
      <w:r>
        <w:rPr>
          <w:rFonts w:eastAsia="楷体_GB2312"/>
          <w:sz w:val="32"/>
          <w:szCs w:val="32"/>
        </w:rPr>
        <w:t>项目组织架构及实施流程。</w:t>
      </w:r>
    </w:p>
    <w:p>
      <w:pPr>
        <w:numPr>
          <w:ilvl w:val="0"/>
          <w:numId w:val="0"/>
        </w:numPr>
        <w:spacing w:line="560" w:lineRule="exact"/>
        <w:ind w:firstLine="640" w:firstLineChars="200"/>
        <w:rPr>
          <w:rFonts w:hint="eastAsia" w:eastAsia="楷体_GB2312"/>
          <w:sz w:val="32"/>
          <w:szCs w:val="32"/>
          <w:lang w:eastAsia="zh-CN"/>
        </w:rPr>
      </w:pPr>
      <w:r>
        <w:rPr>
          <w:rFonts w:hint="eastAsia" w:eastAsia="楷体_GB2312"/>
          <w:sz w:val="32"/>
          <w:szCs w:val="32"/>
          <w:lang w:eastAsia="zh-CN"/>
        </w:rPr>
        <w:t>既要承担临时人员的人员经费还要保证单位的基本运行。</w:t>
      </w:r>
    </w:p>
    <w:p>
      <w:pPr>
        <w:numPr>
          <w:ilvl w:val="0"/>
          <w:numId w:val="15"/>
        </w:numPr>
        <w:spacing w:line="560" w:lineRule="exact"/>
        <w:ind w:left="0" w:leftChars="0" w:firstLine="640" w:firstLineChars="200"/>
        <w:rPr>
          <w:rFonts w:eastAsia="楷体_GB2312"/>
          <w:sz w:val="32"/>
          <w:szCs w:val="32"/>
        </w:rPr>
      </w:pPr>
      <w:r>
        <w:rPr>
          <w:rFonts w:eastAsia="楷体_GB2312"/>
          <w:sz w:val="32"/>
          <w:szCs w:val="32"/>
        </w:rPr>
        <w:t>项目管理情况。</w:t>
      </w:r>
    </w:p>
    <w:p>
      <w:pPr>
        <w:numPr>
          <w:ilvl w:val="0"/>
          <w:numId w:val="0"/>
        </w:numPr>
        <w:spacing w:line="560" w:lineRule="exact"/>
        <w:ind w:leftChars="200" w:firstLine="320" w:firstLineChars="100"/>
        <w:rPr>
          <w:rFonts w:hint="eastAsia" w:eastAsia="楷体_GB2312"/>
          <w:sz w:val="32"/>
          <w:szCs w:val="32"/>
          <w:lang w:eastAsia="zh-CN"/>
        </w:rPr>
      </w:pPr>
      <w:r>
        <w:rPr>
          <w:rFonts w:hint="eastAsia" w:eastAsia="楷体_GB2312"/>
          <w:sz w:val="32"/>
          <w:szCs w:val="32"/>
          <w:lang w:eastAsia="zh-CN"/>
        </w:rPr>
        <w:t>尽量按时发放临时人员的工资，支付较为着急的公用经费。</w:t>
      </w:r>
    </w:p>
    <w:p>
      <w:pPr>
        <w:numPr>
          <w:ilvl w:val="0"/>
          <w:numId w:val="15"/>
        </w:numPr>
        <w:spacing w:line="560" w:lineRule="exact"/>
        <w:ind w:left="0" w:leftChars="0" w:firstLine="640" w:firstLineChars="200"/>
        <w:rPr>
          <w:rFonts w:eastAsia="楷体_GB2312"/>
          <w:sz w:val="32"/>
          <w:szCs w:val="32"/>
        </w:rPr>
      </w:pPr>
      <w:r>
        <w:rPr>
          <w:rFonts w:eastAsia="楷体_GB2312"/>
          <w:sz w:val="32"/>
          <w:szCs w:val="32"/>
        </w:rPr>
        <w:t>项目监管情况。</w:t>
      </w:r>
    </w:p>
    <w:p>
      <w:pPr>
        <w:spacing w:line="560" w:lineRule="exact"/>
        <w:ind w:firstLine="660" w:firstLineChars="200"/>
        <w:rPr>
          <w:rFonts w:hint="eastAsia" w:eastAsia="仿宋_GB2312"/>
          <w:sz w:val="32"/>
          <w:szCs w:val="32"/>
          <w:lang w:eastAsia="zh-CN"/>
        </w:rPr>
      </w:pPr>
      <w:r>
        <w:rPr>
          <w:rFonts w:hint="eastAsia" w:ascii="Times New Roman" w:hAnsi="Times New Roman" w:eastAsia="仿宋_GB2312" w:cs="Times New Roman"/>
          <w:color w:val="000000"/>
          <w:kern w:val="0"/>
          <w:sz w:val="33"/>
          <w:szCs w:val="33"/>
          <w:lang w:eastAsia="zh-CN"/>
        </w:rPr>
        <w:t>由</w:t>
      </w:r>
      <w:r>
        <w:rPr>
          <w:rFonts w:hint="eastAsia" w:eastAsia="仿宋_GB2312" w:cs="Times New Roman"/>
          <w:color w:val="000000"/>
          <w:kern w:val="0"/>
          <w:sz w:val="33"/>
          <w:szCs w:val="33"/>
          <w:lang w:eastAsia="zh-CN"/>
        </w:rPr>
        <w:t>我中心的医疗收入返还财政拨款收入的，我中心统计医疗收入数来置换财政拨款收入数并</w:t>
      </w:r>
      <w:r>
        <w:rPr>
          <w:rFonts w:hint="default" w:ascii="Times New Roman" w:hAnsi="Times New Roman" w:eastAsia="仿宋_GB2312" w:cs="Times New Roman"/>
          <w:color w:val="000000"/>
          <w:kern w:val="0"/>
          <w:sz w:val="33"/>
          <w:szCs w:val="33"/>
        </w:rPr>
        <w:t>申报、</w:t>
      </w:r>
      <w:r>
        <w:rPr>
          <w:rFonts w:hint="eastAsia" w:ascii="Times New Roman" w:hAnsi="Times New Roman" w:eastAsia="仿宋_GB2312" w:cs="Times New Roman"/>
          <w:color w:val="000000"/>
          <w:kern w:val="0"/>
          <w:sz w:val="33"/>
          <w:szCs w:val="33"/>
          <w:lang w:eastAsia="zh-CN"/>
        </w:rPr>
        <w:t>县财政根据</w:t>
      </w:r>
      <w:r>
        <w:rPr>
          <w:rFonts w:hint="eastAsia" w:eastAsia="仿宋_GB2312" w:cs="Times New Roman"/>
          <w:color w:val="000000"/>
          <w:kern w:val="0"/>
          <w:sz w:val="33"/>
          <w:szCs w:val="33"/>
          <w:lang w:eastAsia="zh-CN"/>
        </w:rPr>
        <w:t>申报的数额</w:t>
      </w:r>
      <w:r>
        <w:rPr>
          <w:rFonts w:hint="eastAsia" w:ascii="Times New Roman" w:hAnsi="Times New Roman" w:eastAsia="仿宋_GB2312" w:cs="Times New Roman"/>
          <w:color w:val="000000"/>
          <w:kern w:val="0"/>
          <w:sz w:val="33"/>
          <w:szCs w:val="33"/>
          <w:lang w:eastAsia="zh-CN"/>
        </w:rPr>
        <w:t>予以</w:t>
      </w:r>
      <w:r>
        <w:rPr>
          <w:rFonts w:hint="default" w:ascii="Times New Roman" w:hAnsi="Times New Roman" w:eastAsia="仿宋_GB2312" w:cs="Times New Roman"/>
          <w:color w:val="000000"/>
          <w:kern w:val="0"/>
          <w:sz w:val="33"/>
          <w:szCs w:val="33"/>
        </w:rPr>
        <w:t>批复及</w:t>
      </w:r>
      <w:r>
        <w:rPr>
          <w:rFonts w:hint="eastAsia" w:ascii="Times New Roman" w:hAnsi="Times New Roman" w:eastAsia="仿宋_GB2312" w:cs="Times New Roman"/>
          <w:color w:val="000000"/>
          <w:kern w:val="0"/>
          <w:sz w:val="33"/>
          <w:szCs w:val="33"/>
          <w:lang w:eastAsia="zh-CN"/>
        </w:rPr>
        <w:t>进行下拨</w:t>
      </w:r>
      <w:r>
        <w:rPr>
          <w:rFonts w:hint="default" w:ascii="Times New Roman" w:hAnsi="Times New Roman" w:eastAsia="仿宋_GB2312" w:cs="Times New Roman"/>
          <w:color w:val="000000"/>
          <w:kern w:val="0"/>
          <w:sz w:val="33"/>
          <w:szCs w:val="33"/>
        </w:rPr>
        <w:t>预算</w:t>
      </w:r>
      <w:r>
        <w:rPr>
          <w:rFonts w:hint="eastAsia" w:ascii="Times New Roman" w:hAnsi="Times New Roman" w:eastAsia="仿宋_GB2312" w:cs="Times New Roman"/>
          <w:color w:val="000000"/>
          <w:kern w:val="0"/>
          <w:sz w:val="33"/>
          <w:szCs w:val="33"/>
          <w:lang w:eastAsia="zh-CN"/>
        </w:rPr>
        <w:t>至大平台上</w:t>
      </w:r>
      <w:r>
        <w:rPr>
          <w:rFonts w:hint="eastAsia" w:eastAsia="仿宋_GB2312"/>
          <w:sz w:val="32"/>
          <w:szCs w:val="32"/>
          <w:lang w:eastAsia="zh-CN"/>
        </w:rPr>
        <w:t>。</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hint="eastAsia" w:eastAsia="仿宋_GB2312"/>
          <w:sz w:val="32"/>
          <w:szCs w:val="32"/>
        </w:rPr>
      </w:pPr>
      <w:r>
        <w:rPr>
          <w:rFonts w:hint="eastAsia" w:eastAsia="仿宋_GB2312"/>
          <w:sz w:val="32"/>
          <w:szCs w:val="32"/>
          <w:lang w:eastAsia="zh-CN"/>
        </w:rPr>
        <w:t>支付</w:t>
      </w:r>
      <w:r>
        <w:rPr>
          <w:rFonts w:hint="eastAsia" w:eastAsia="仿宋_GB2312"/>
          <w:sz w:val="32"/>
          <w:szCs w:val="32"/>
          <w:lang w:val="en-US" w:eastAsia="zh-CN"/>
        </w:rPr>
        <w:t>2021年1-8月份临时人员工资，1-10月份临时人员社保，1-6月份的办公费、差旅费等公用经费。</w:t>
      </w:r>
      <w:r>
        <w:rPr>
          <w:rFonts w:hint="eastAsia" w:eastAsia="仿宋_GB2312"/>
          <w:sz w:val="32"/>
          <w:szCs w:val="32"/>
        </w:rPr>
        <w:t xml:space="preserve"> </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hint="eastAsia" w:eastAsia="仿宋_GB2312"/>
          <w:sz w:val="32"/>
          <w:szCs w:val="32"/>
          <w:lang w:val="en-US" w:eastAsia="zh-CN"/>
        </w:rPr>
      </w:pPr>
      <w:r>
        <w:rPr>
          <w:rFonts w:eastAsia="仿宋_GB2312"/>
          <w:sz w:val="32"/>
          <w:szCs w:val="32"/>
        </w:rPr>
        <w:t>经济效益</w:t>
      </w:r>
      <w:r>
        <w:rPr>
          <w:rFonts w:hint="eastAsia" w:eastAsia="仿宋_GB2312"/>
          <w:sz w:val="32"/>
          <w:szCs w:val="32"/>
          <w:lang w:eastAsia="zh-CN"/>
        </w:rPr>
        <w:t>：</w:t>
      </w:r>
      <w:r>
        <w:rPr>
          <w:rFonts w:hint="eastAsia" w:eastAsia="仿宋_GB2312"/>
          <w:sz w:val="32"/>
          <w:szCs w:val="32"/>
          <w:lang w:val="en-US" w:eastAsia="zh-CN"/>
        </w:rPr>
        <w:t>1、减轻了临时人员的生活压力。</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kern w:val="2"/>
          <w:sz w:val="32"/>
          <w:szCs w:val="32"/>
          <w:lang w:val="en-US" w:eastAsia="zh-CN" w:bidi="ar-SA"/>
        </w:rPr>
        <w:t>项目总体指标完成较好，均能完成评价指标，达到预期值。</w:t>
      </w:r>
    </w:p>
    <w:p>
      <w:pPr>
        <w:numPr>
          <w:ilvl w:val="0"/>
          <w:numId w:val="16"/>
        </w:numPr>
        <w:spacing w:line="560" w:lineRule="exact"/>
        <w:ind w:firstLine="640" w:firstLineChars="200"/>
        <w:rPr>
          <w:rFonts w:eastAsia="楷体_GB2312"/>
          <w:sz w:val="32"/>
          <w:szCs w:val="32"/>
        </w:rPr>
      </w:pPr>
      <w:r>
        <w:rPr>
          <w:rFonts w:eastAsia="楷体_GB2312"/>
          <w:sz w:val="32"/>
          <w:szCs w:val="32"/>
        </w:rPr>
        <w:t>存在的问题。</w:t>
      </w:r>
    </w:p>
    <w:p>
      <w:pPr>
        <w:spacing w:line="560" w:lineRule="exact"/>
        <w:ind w:firstLine="640" w:firstLineChars="200"/>
        <w:rPr>
          <w:rFonts w:hint="eastAsia" w:ascii="宋体" w:hAnsi="宋体" w:eastAsia="仿宋" w:cs="宋体"/>
          <w:i w:val="0"/>
          <w:caps w:val="0"/>
          <w:color w:val="333333"/>
          <w:spacing w:val="0"/>
          <w:sz w:val="24"/>
          <w:szCs w:val="24"/>
          <w:lang w:eastAsia="zh-CN"/>
        </w:rPr>
      </w:pPr>
      <w:r>
        <w:rPr>
          <w:rFonts w:hint="eastAsia" w:ascii="仿宋" w:hAnsi="仿宋" w:eastAsia="仿宋" w:cs="仿宋"/>
          <w:i w:val="0"/>
          <w:caps w:val="0"/>
          <w:color w:val="333333"/>
          <w:spacing w:val="0"/>
          <w:sz w:val="32"/>
          <w:szCs w:val="32"/>
          <w:lang w:eastAsia="zh-CN"/>
        </w:rPr>
        <w:t>由于</w:t>
      </w:r>
      <w:r>
        <w:rPr>
          <w:rFonts w:hint="eastAsia" w:ascii="仿宋" w:hAnsi="仿宋" w:eastAsia="仿宋" w:cs="仿宋"/>
          <w:i w:val="0"/>
          <w:caps w:val="0"/>
          <w:color w:val="333333"/>
          <w:spacing w:val="0"/>
          <w:sz w:val="32"/>
          <w:szCs w:val="32"/>
        </w:rPr>
        <w:t>地方财政困难，</w:t>
      </w:r>
      <w:r>
        <w:rPr>
          <w:rFonts w:hint="eastAsia" w:ascii="仿宋" w:hAnsi="仿宋" w:eastAsia="仿宋" w:cs="仿宋"/>
          <w:i w:val="0"/>
          <w:caps w:val="0"/>
          <w:color w:val="333333"/>
          <w:spacing w:val="0"/>
          <w:sz w:val="32"/>
          <w:szCs w:val="32"/>
          <w:lang w:eastAsia="zh-CN"/>
        </w:rPr>
        <w:t>我中心无公用经费还有临时人员的人员经费，所以以医疗收入置换的方式，置换财政拨款收入，医疗收入少，导致不能保证单位的正常运转和支付临时人员的人员经费。</w:t>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i w:val="0"/>
          <w:caps w:val="0"/>
          <w:color w:val="333333"/>
          <w:spacing w:val="0"/>
          <w:sz w:val="32"/>
          <w:szCs w:val="32"/>
        </w:rPr>
        <w:t>建议</w:t>
      </w:r>
      <w:r>
        <w:rPr>
          <w:rFonts w:hint="eastAsia" w:ascii="仿宋" w:hAnsi="仿宋" w:eastAsia="仿宋" w:cs="仿宋"/>
          <w:i w:val="0"/>
          <w:caps w:val="0"/>
          <w:color w:val="333333"/>
          <w:spacing w:val="0"/>
          <w:sz w:val="32"/>
          <w:szCs w:val="32"/>
          <w:lang w:eastAsia="zh-CN"/>
        </w:rPr>
        <w:t>地方财政大力的扶持基层医疗的医务人员，让医务人员毫无生活压力的</w:t>
      </w:r>
      <w:r>
        <w:rPr>
          <w:rFonts w:hint="eastAsia" w:ascii="仿宋" w:hAnsi="仿宋" w:eastAsia="仿宋" w:cs="仿宋"/>
          <w:i w:val="0"/>
          <w:caps w:val="0"/>
          <w:color w:val="333333"/>
          <w:spacing w:val="0"/>
          <w:sz w:val="32"/>
          <w:szCs w:val="32"/>
        </w:rPr>
        <w:t>工作</w:t>
      </w:r>
      <w:r>
        <w:rPr>
          <w:rFonts w:hint="eastAsia" w:ascii="仿宋" w:hAnsi="仿宋" w:eastAsia="仿宋" w:cs="仿宋"/>
          <w:i w:val="0"/>
          <w:caps w:val="0"/>
          <w:color w:val="333333"/>
          <w:spacing w:val="0"/>
          <w:sz w:val="32"/>
          <w:szCs w:val="32"/>
          <w:lang w:eastAsia="zh-CN"/>
        </w:rPr>
        <w:t>。</w:t>
      </w:r>
    </w:p>
    <w:p>
      <w:pPr>
        <w:spacing w:line="560" w:lineRule="exact"/>
        <w:rPr>
          <w:rFonts w:hint="eastAsia" w:ascii="仿宋" w:hAnsi="仿宋" w:eastAsia="仿宋" w:cs="仿宋"/>
          <w:sz w:val="32"/>
          <w:szCs w:val="32"/>
        </w:rPr>
      </w:pPr>
    </w:p>
    <w:tbl>
      <w:tblPr>
        <w:tblStyle w:val="13"/>
        <w:tblpPr w:leftFromText="180" w:rightFromText="180" w:vertAnchor="text" w:horzAnchor="page" w:tblpX="1690" w:tblpY="3111"/>
        <w:tblOverlap w:val="never"/>
        <w:tblW w:w="9990" w:type="dxa"/>
        <w:tblInd w:w="0" w:type="dxa"/>
        <w:tblLayout w:type="autofit"/>
        <w:tblCellMar>
          <w:top w:w="0" w:type="dxa"/>
          <w:left w:w="108" w:type="dxa"/>
          <w:bottom w:w="0" w:type="dxa"/>
          <w:right w:w="108" w:type="dxa"/>
        </w:tblCellMar>
      </w:tblPr>
      <w:tblGrid>
        <w:gridCol w:w="740"/>
        <w:gridCol w:w="734"/>
        <w:gridCol w:w="988"/>
        <w:gridCol w:w="1972"/>
        <w:gridCol w:w="1527"/>
        <w:gridCol w:w="1468"/>
        <w:gridCol w:w="1074"/>
        <w:gridCol w:w="1487"/>
      </w:tblGrid>
      <w:tr>
        <w:tblPrEx>
          <w:tblCellMar>
            <w:top w:w="0" w:type="dxa"/>
            <w:left w:w="108" w:type="dxa"/>
            <w:bottom w:w="0" w:type="dxa"/>
            <w:right w:w="108" w:type="dxa"/>
          </w:tblCellMar>
        </w:tblPrEx>
        <w:trPr>
          <w:trHeight w:val="285" w:hRule="atLeast"/>
        </w:trPr>
        <w:tc>
          <w:tcPr>
            <w:tcW w:w="9990" w:type="dxa"/>
            <w:gridSpan w:val="8"/>
            <w:tcBorders>
              <w:top w:val="nil"/>
              <w:left w:val="nil"/>
              <w:bottom w:val="nil"/>
              <w:right w:val="nil"/>
            </w:tcBorders>
            <w:shd w:val="clear" w:color="auto" w:fill="auto"/>
            <w:vAlign w:val="center"/>
          </w:tcPr>
          <w:p>
            <w:pPr>
              <w:widowControl/>
              <w:jc w:val="center"/>
              <w:rPr>
                <w:rFonts w:hint="eastAsia" w:ascii="宋体" w:hAnsi="宋体" w:cs="宋体"/>
                <w:b/>
                <w:bCs/>
                <w:kern w:val="0"/>
                <w:sz w:val="44"/>
                <w:szCs w:val="44"/>
                <w:lang w:eastAsia="zh-CN"/>
              </w:rPr>
            </w:pPr>
            <w:r>
              <w:rPr>
                <w:rFonts w:hint="eastAsia" w:ascii="宋体" w:hAnsi="宋体" w:cs="宋体"/>
                <w:b/>
                <w:bCs/>
                <w:kern w:val="0"/>
                <w:sz w:val="44"/>
                <w:szCs w:val="44"/>
                <w:lang w:eastAsia="zh-CN"/>
              </w:rPr>
              <w:t>专项（项目）资金绩效自评表</w:t>
            </w:r>
          </w:p>
          <w:p>
            <w:pPr>
              <w:widowControl/>
              <w:jc w:val="center"/>
              <w:rPr>
                <w:rFonts w:ascii="宋体" w:hAnsi="宋体" w:cs="宋体"/>
                <w:kern w:val="0"/>
                <w:sz w:val="24"/>
              </w:rPr>
            </w:pPr>
            <w:r>
              <w:rPr>
                <w:rFonts w:hint="eastAsia" w:ascii="宋体" w:hAnsi="宋体" w:cs="宋体"/>
                <w:kern w:val="0"/>
                <w:sz w:val="24"/>
              </w:rPr>
              <w:t>（</w:t>
            </w:r>
            <w:r>
              <w:rPr>
                <w:kern w:val="0"/>
                <w:sz w:val="24"/>
              </w:rPr>
              <w:t>2021</w:t>
            </w:r>
            <w:r>
              <w:rPr>
                <w:rFonts w:hint="eastAsia" w:ascii="宋体" w:hAnsi="宋体" w:cs="宋体"/>
                <w:kern w:val="0"/>
                <w:sz w:val="24"/>
              </w:rPr>
              <w:t>年度）</w:t>
            </w:r>
          </w:p>
        </w:tc>
      </w:tr>
      <w:tr>
        <w:tblPrEx>
          <w:tblCellMar>
            <w:top w:w="0" w:type="dxa"/>
            <w:left w:w="108" w:type="dxa"/>
            <w:bottom w:w="0" w:type="dxa"/>
            <w:right w:w="108" w:type="dxa"/>
          </w:tblCellMar>
        </w:tblPrEx>
        <w:trPr>
          <w:trHeight w:val="285" w:hRule="atLeast"/>
        </w:trPr>
        <w:tc>
          <w:tcPr>
            <w:tcW w:w="740" w:type="dxa"/>
            <w:tcBorders>
              <w:top w:val="nil"/>
              <w:left w:val="nil"/>
              <w:bottom w:val="single" w:color="auto" w:sz="4" w:space="0"/>
              <w:right w:val="nil"/>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734" w:type="dxa"/>
            <w:tcBorders>
              <w:top w:val="nil"/>
              <w:left w:val="nil"/>
              <w:bottom w:val="single" w:color="auto" w:sz="4" w:space="0"/>
              <w:right w:val="nil"/>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w:t>
            </w:r>
          </w:p>
        </w:tc>
        <w:tc>
          <w:tcPr>
            <w:tcW w:w="988" w:type="dxa"/>
            <w:tcBorders>
              <w:top w:val="nil"/>
              <w:left w:val="nil"/>
              <w:bottom w:val="nil"/>
              <w:right w:val="nil"/>
            </w:tcBorders>
            <w:shd w:val="clear" w:color="auto" w:fill="auto"/>
            <w:vAlign w:val="center"/>
          </w:tcPr>
          <w:p>
            <w:pPr>
              <w:widowControl/>
              <w:jc w:val="left"/>
              <w:rPr>
                <w:rFonts w:ascii="宋体" w:hAnsi="宋体" w:cs="宋体"/>
                <w:kern w:val="0"/>
                <w:sz w:val="24"/>
              </w:rPr>
            </w:pPr>
          </w:p>
        </w:tc>
        <w:tc>
          <w:tcPr>
            <w:tcW w:w="1972" w:type="dxa"/>
            <w:tcBorders>
              <w:top w:val="nil"/>
              <w:left w:val="nil"/>
              <w:bottom w:val="nil"/>
              <w:right w:val="nil"/>
            </w:tcBorders>
            <w:shd w:val="clear" w:color="auto" w:fill="auto"/>
            <w:vAlign w:val="center"/>
          </w:tcPr>
          <w:p>
            <w:pPr>
              <w:widowControl/>
              <w:jc w:val="left"/>
              <w:rPr>
                <w:rFonts w:ascii="宋体" w:hAnsi="宋体" w:cs="宋体"/>
                <w:kern w:val="0"/>
                <w:sz w:val="24"/>
              </w:rPr>
            </w:pPr>
          </w:p>
        </w:tc>
        <w:tc>
          <w:tcPr>
            <w:tcW w:w="1527" w:type="dxa"/>
            <w:tcBorders>
              <w:top w:val="nil"/>
              <w:left w:val="nil"/>
              <w:bottom w:val="nil"/>
              <w:right w:val="nil"/>
            </w:tcBorders>
            <w:shd w:val="clear" w:color="auto" w:fill="auto"/>
            <w:vAlign w:val="center"/>
          </w:tcPr>
          <w:p>
            <w:pPr>
              <w:widowControl/>
              <w:jc w:val="left"/>
              <w:rPr>
                <w:rFonts w:ascii="宋体" w:hAnsi="宋体" w:cs="宋体"/>
                <w:kern w:val="0"/>
                <w:sz w:val="24"/>
              </w:rPr>
            </w:pPr>
          </w:p>
        </w:tc>
        <w:tc>
          <w:tcPr>
            <w:tcW w:w="1468" w:type="dxa"/>
            <w:tcBorders>
              <w:top w:val="nil"/>
              <w:left w:val="nil"/>
              <w:bottom w:val="nil"/>
              <w:right w:val="nil"/>
            </w:tcBorders>
            <w:shd w:val="clear" w:color="auto" w:fill="auto"/>
            <w:vAlign w:val="center"/>
          </w:tcPr>
          <w:p>
            <w:pPr>
              <w:widowControl/>
              <w:jc w:val="left"/>
              <w:rPr>
                <w:rFonts w:ascii="宋体" w:hAnsi="宋体" w:cs="宋体"/>
                <w:kern w:val="0"/>
                <w:sz w:val="24"/>
              </w:rPr>
            </w:pPr>
          </w:p>
        </w:tc>
        <w:tc>
          <w:tcPr>
            <w:tcW w:w="1074" w:type="dxa"/>
            <w:tcBorders>
              <w:top w:val="nil"/>
              <w:left w:val="nil"/>
              <w:bottom w:val="nil"/>
              <w:right w:val="nil"/>
            </w:tcBorders>
            <w:shd w:val="clear" w:color="auto" w:fill="auto"/>
            <w:vAlign w:val="center"/>
          </w:tcPr>
          <w:p>
            <w:pPr>
              <w:widowControl/>
              <w:jc w:val="left"/>
              <w:rPr>
                <w:rFonts w:ascii="宋体" w:hAnsi="宋体" w:cs="宋体"/>
                <w:kern w:val="0"/>
                <w:sz w:val="24"/>
              </w:rPr>
            </w:pPr>
          </w:p>
        </w:tc>
        <w:tc>
          <w:tcPr>
            <w:tcW w:w="1487" w:type="dxa"/>
            <w:tcBorders>
              <w:top w:val="nil"/>
              <w:left w:val="nil"/>
              <w:bottom w:val="nil"/>
              <w:right w:val="nil"/>
            </w:tcBorders>
            <w:shd w:val="clear" w:color="auto" w:fill="auto"/>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285" w:hRule="atLeast"/>
        </w:trPr>
        <w:tc>
          <w:tcPr>
            <w:tcW w:w="2462" w:type="dxa"/>
            <w:gridSpan w:val="3"/>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专项（项目）名称</w:t>
            </w:r>
          </w:p>
        </w:tc>
        <w:tc>
          <w:tcPr>
            <w:tcW w:w="7528" w:type="dxa"/>
            <w:gridSpan w:val="5"/>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医疗事业收入调入资金</w:t>
            </w:r>
          </w:p>
        </w:tc>
      </w:tr>
      <w:tr>
        <w:tblPrEx>
          <w:tblCellMar>
            <w:top w:w="0" w:type="dxa"/>
            <w:left w:w="108" w:type="dxa"/>
            <w:bottom w:w="0" w:type="dxa"/>
            <w:right w:w="108" w:type="dxa"/>
          </w:tblCellMar>
        </w:tblPrEx>
        <w:trPr>
          <w:trHeight w:val="363" w:hRule="atLeast"/>
        </w:trPr>
        <w:tc>
          <w:tcPr>
            <w:tcW w:w="2462" w:type="dxa"/>
            <w:gridSpan w:val="3"/>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4"/>
                <w:szCs w:val="24"/>
                <w:u w:val="none"/>
                <w:lang w:val="en-US" w:eastAsia="zh-CN" w:bidi="ar"/>
              </w:rPr>
              <w:t>项目主管单位</w:t>
            </w:r>
          </w:p>
        </w:tc>
        <w:tc>
          <w:tcPr>
            <w:tcW w:w="7528" w:type="dxa"/>
            <w:gridSpan w:val="5"/>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盐边县卫生健康局</w:t>
            </w:r>
          </w:p>
        </w:tc>
      </w:tr>
      <w:tr>
        <w:tblPrEx>
          <w:tblCellMar>
            <w:top w:w="0" w:type="dxa"/>
            <w:left w:w="108" w:type="dxa"/>
            <w:bottom w:w="0" w:type="dxa"/>
            <w:right w:w="108" w:type="dxa"/>
          </w:tblCellMar>
        </w:tblPrEx>
        <w:trPr>
          <w:trHeight w:val="285" w:hRule="atLeast"/>
        </w:trPr>
        <w:tc>
          <w:tcPr>
            <w:tcW w:w="2462" w:type="dxa"/>
            <w:gridSpan w:val="3"/>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4"/>
                <w:szCs w:val="24"/>
                <w:u w:val="none"/>
                <w:lang w:val="en-US" w:eastAsia="zh-CN" w:bidi="ar"/>
              </w:rPr>
              <w:t>项目实施单位</w:t>
            </w:r>
          </w:p>
        </w:tc>
        <w:tc>
          <w:tcPr>
            <w:tcW w:w="7528" w:type="dxa"/>
            <w:gridSpan w:val="5"/>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盐边县妇幼保健服务中心</w:t>
            </w:r>
          </w:p>
        </w:tc>
      </w:tr>
      <w:tr>
        <w:tblPrEx>
          <w:tblCellMar>
            <w:top w:w="0" w:type="dxa"/>
            <w:left w:w="108" w:type="dxa"/>
            <w:bottom w:w="0" w:type="dxa"/>
            <w:right w:w="108" w:type="dxa"/>
          </w:tblCellMar>
        </w:tblPrEx>
        <w:trPr>
          <w:trHeight w:val="285" w:hRule="atLeast"/>
        </w:trPr>
        <w:tc>
          <w:tcPr>
            <w:tcW w:w="2462"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项目资金</w:t>
            </w:r>
          </w:p>
          <w:p>
            <w:pPr>
              <w:widowControl/>
              <w:jc w:val="center"/>
              <w:rPr>
                <w:rFonts w:ascii="宋体" w:hAnsi="宋体" w:cs="宋体"/>
                <w:kern w:val="0"/>
                <w:sz w:val="24"/>
              </w:rPr>
            </w:pPr>
            <w:r>
              <w:rPr>
                <w:rFonts w:hint="eastAsia" w:ascii="宋体" w:hAnsi="宋体" w:cs="宋体"/>
                <w:kern w:val="0"/>
                <w:sz w:val="24"/>
              </w:rPr>
              <w:t>（万元）</w:t>
            </w:r>
          </w:p>
        </w:tc>
        <w:tc>
          <w:tcPr>
            <w:tcW w:w="197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c>
          <w:tcPr>
            <w:tcW w:w="15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全年预算数</w:t>
            </w:r>
          </w:p>
        </w:tc>
        <w:tc>
          <w:tcPr>
            <w:tcW w:w="14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实际完成数</w:t>
            </w:r>
          </w:p>
        </w:tc>
        <w:tc>
          <w:tcPr>
            <w:tcW w:w="2561"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执行率（%）</w:t>
            </w:r>
          </w:p>
        </w:tc>
      </w:tr>
      <w:tr>
        <w:tblPrEx>
          <w:tblCellMar>
            <w:top w:w="0" w:type="dxa"/>
            <w:left w:w="108" w:type="dxa"/>
            <w:bottom w:w="0" w:type="dxa"/>
            <w:right w:w="108" w:type="dxa"/>
          </w:tblCellMar>
        </w:tblPrEx>
        <w:trPr>
          <w:trHeight w:val="285" w:hRule="atLeast"/>
        </w:trPr>
        <w:tc>
          <w:tcPr>
            <w:tcW w:w="246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xml:space="preserve"> 年度资金总额：</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52.37</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52.37</w:t>
            </w:r>
          </w:p>
        </w:tc>
        <w:tc>
          <w:tcPr>
            <w:tcW w:w="2561" w:type="dxa"/>
            <w:gridSpan w:val="2"/>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kern w:val="0"/>
                <w:sz w:val="24"/>
                <w:lang w:val="en-US"/>
              </w:rPr>
            </w:pPr>
            <w:r>
              <w:rPr>
                <w:rFonts w:hint="eastAsia" w:ascii="宋体" w:hAnsi="宋体" w:eastAsia="宋体" w:cs="宋体"/>
                <w:i w:val="0"/>
                <w:iCs w:val="0"/>
                <w:color w:val="000000"/>
                <w:kern w:val="0"/>
                <w:sz w:val="24"/>
                <w:szCs w:val="24"/>
                <w:u w:val="none"/>
                <w:lang w:val="en-US" w:eastAsia="zh-CN" w:bidi="ar"/>
              </w:rPr>
              <w:t>100</w:t>
            </w:r>
          </w:p>
        </w:tc>
      </w:tr>
      <w:tr>
        <w:tblPrEx>
          <w:tblCellMar>
            <w:top w:w="0" w:type="dxa"/>
            <w:left w:w="108" w:type="dxa"/>
            <w:bottom w:w="0" w:type="dxa"/>
            <w:right w:w="108" w:type="dxa"/>
          </w:tblCellMar>
        </w:tblPrEx>
        <w:trPr>
          <w:trHeight w:val="285" w:hRule="atLeast"/>
        </w:trPr>
        <w:tc>
          <w:tcPr>
            <w:tcW w:w="246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xml:space="preserve"> 其中：财政拨款</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52.37</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52.37</w:t>
            </w:r>
          </w:p>
        </w:tc>
        <w:tc>
          <w:tcPr>
            <w:tcW w:w="2561" w:type="dxa"/>
            <w:gridSpan w:val="2"/>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kern w:val="0"/>
                <w:sz w:val="24"/>
                <w:lang w:val="en-US"/>
              </w:rPr>
            </w:pPr>
            <w:r>
              <w:rPr>
                <w:rFonts w:hint="eastAsia" w:ascii="宋体" w:hAnsi="宋体" w:eastAsia="宋体" w:cs="宋体"/>
                <w:i w:val="0"/>
                <w:iCs w:val="0"/>
                <w:color w:val="000000"/>
                <w:kern w:val="0"/>
                <w:sz w:val="24"/>
                <w:szCs w:val="24"/>
                <w:u w:val="none"/>
                <w:lang w:val="en-US" w:eastAsia="zh-CN" w:bidi="ar"/>
              </w:rPr>
              <w:t>100</w:t>
            </w:r>
          </w:p>
        </w:tc>
      </w:tr>
      <w:tr>
        <w:tblPrEx>
          <w:tblCellMar>
            <w:top w:w="0" w:type="dxa"/>
            <w:left w:w="108" w:type="dxa"/>
            <w:bottom w:w="0" w:type="dxa"/>
            <w:right w:w="108" w:type="dxa"/>
          </w:tblCellMar>
        </w:tblPrEx>
        <w:trPr>
          <w:trHeight w:val="285" w:hRule="atLeast"/>
        </w:trPr>
        <w:tc>
          <w:tcPr>
            <w:tcW w:w="246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xml:space="preserve">             其他资金</w:t>
            </w:r>
          </w:p>
        </w:tc>
        <w:tc>
          <w:tcPr>
            <w:tcW w:w="15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w:t>
            </w:r>
          </w:p>
        </w:tc>
        <w:tc>
          <w:tcPr>
            <w:tcW w:w="14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w:t>
            </w:r>
          </w:p>
        </w:tc>
        <w:tc>
          <w:tcPr>
            <w:tcW w:w="2561"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65" w:hRule="atLeast"/>
        </w:trPr>
        <w:tc>
          <w:tcPr>
            <w:tcW w:w="74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总</w:t>
            </w:r>
          </w:p>
          <w:p>
            <w:pPr>
              <w:widowControl/>
              <w:jc w:val="center"/>
              <w:rPr>
                <w:rFonts w:ascii="宋体" w:hAnsi="宋体" w:cs="宋体"/>
                <w:kern w:val="0"/>
                <w:sz w:val="24"/>
              </w:rPr>
            </w:pPr>
            <w:r>
              <w:rPr>
                <w:rFonts w:hint="eastAsia" w:ascii="宋体" w:hAnsi="宋体" w:cs="宋体"/>
                <w:kern w:val="0"/>
                <w:sz w:val="24"/>
              </w:rPr>
              <w:t>体</w:t>
            </w:r>
          </w:p>
          <w:p>
            <w:pPr>
              <w:widowControl/>
              <w:jc w:val="center"/>
              <w:rPr>
                <w:rFonts w:ascii="宋体" w:hAnsi="宋体" w:cs="宋体"/>
                <w:kern w:val="0"/>
                <w:sz w:val="24"/>
              </w:rPr>
            </w:pPr>
            <w:r>
              <w:rPr>
                <w:rFonts w:hint="eastAsia" w:ascii="宋体" w:hAnsi="宋体" w:cs="宋体"/>
                <w:kern w:val="0"/>
                <w:sz w:val="24"/>
              </w:rPr>
              <w:t>目</w:t>
            </w:r>
          </w:p>
          <w:p>
            <w:pPr>
              <w:widowControl/>
              <w:jc w:val="center"/>
              <w:rPr>
                <w:rFonts w:ascii="宋体" w:hAnsi="宋体" w:cs="宋体"/>
                <w:kern w:val="0"/>
                <w:sz w:val="24"/>
              </w:rPr>
            </w:pPr>
            <w:r>
              <w:rPr>
                <w:rFonts w:hint="eastAsia" w:ascii="宋体" w:hAnsi="宋体" w:cs="宋体"/>
                <w:kern w:val="0"/>
                <w:sz w:val="24"/>
              </w:rPr>
              <w:t>标</w:t>
            </w:r>
          </w:p>
        </w:tc>
        <w:tc>
          <w:tcPr>
            <w:tcW w:w="3694"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年度设定目标</w:t>
            </w:r>
          </w:p>
        </w:tc>
        <w:tc>
          <w:tcPr>
            <w:tcW w:w="5556" w:type="dxa"/>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实际完成情况</w:t>
            </w:r>
          </w:p>
        </w:tc>
      </w:tr>
      <w:tr>
        <w:tblPrEx>
          <w:tblCellMar>
            <w:top w:w="0" w:type="dxa"/>
            <w:left w:w="108" w:type="dxa"/>
            <w:bottom w:w="0" w:type="dxa"/>
            <w:right w:w="108" w:type="dxa"/>
          </w:tblCellMar>
        </w:tblPrEx>
        <w:trPr>
          <w:trHeight w:val="1305"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3694" w:type="dxa"/>
            <w:gridSpan w:val="3"/>
            <w:tcBorders>
              <w:top w:val="single" w:color="auto" w:sz="4" w:space="0"/>
              <w:left w:val="nil"/>
              <w:bottom w:val="single" w:color="auto"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p>
            <w:pPr>
              <w:keepNext w:val="0"/>
              <w:keepLines w:val="0"/>
              <w:widowControl/>
              <w:suppressLineNumbers w:val="0"/>
              <w:jc w:val="center"/>
              <w:textAlignment w:val="top"/>
              <w:rPr>
                <w:rFonts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1、2021年的公用经费。2、临聘人员的工资、社保。</w:t>
            </w:r>
          </w:p>
        </w:tc>
        <w:tc>
          <w:tcPr>
            <w:tcW w:w="5556" w:type="dxa"/>
            <w:gridSpan w:val="4"/>
            <w:tcBorders>
              <w:top w:val="single" w:color="auto" w:sz="4" w:space="0"/>
              <w:left w:val="nil"/>
              <w:bottom w:val="single" w:color="auto" w:sz="4" w:space="0"/>
              <w:right w:val="single" w:color="000000" w:sz="4" w:space="0"/>
            </w:tcBorders>
            <w:shd w:val="clear" w:color="auto" w:fill="auto"/>
            <w:vAlign w:val="top"/>
          </w:tcPr>
          <w:p>
            <w:pPr>
              <w:keepNext w:val="0"/>
              <w:keepLines w:val="0"/>
              <w:widowControl/>
              <w:suppressLineNumbers w:val="0"/>
              <w:jc w:val="center"/>
              <w:textAlignment w:val="top"/>
              <w:rPr>
                <w:rFonts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发放了临时人员2020年8个月的工资，10个月的社保。还有半年的公用经费。</w:t>
            </w:r>
          </w:p>
        </w:tc>
      </w:tr>
      <w:tr>
        <w:tblPrEx>
          <w:tblCellMar>
            <w:top w:w="0" w:type="dxa"/>
            <w:left w:w="108" w:type="dxa"/>
            <w:bottom w:w="0" w:type="dxa"/>
            <w:right w:w="108" w:type="dxa"/>
          </w:tblCellMar>
        </w:tblPrEx>
        <w:trPr>
          <w:trHeight w:val="450" w:hRule="atLeast"/>
        </w:trPr>
        <w:tc>
          <w:tcPr>
            <w:tcW w:w="740" w:type="dxa"/>
            <w:vMerge w:val="restart"/>
            <w:tcBorders>
              <w:top w:val="nil"/>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绩</w:t>
            </w:r>
          </w:p>
          <w:p>
            <w:pPr>
              <w:widowControl/>
              <w:jc w:val="center"/>
              <w:rPr>
                <w:rFonts w:ascii="宋体" w:hAnsi="宋体" w:cs="宋体"/>
                <w:kern w:val="0"/>
                <w:sz w:val="24"/>
              </w:rPr>
            </w:pPr>
            <w:r>
              <w:rPr>
                <w:rFonts w:hint="eastAsia" w:ascii="宋体" w:hAnsi="宋体" w:cs="宋体"/>
                <w:kern w:val="0"/>
                <w:sz w:val="24"/>
              </w:rPr>
              <w:t>效</w:t>
            </w:r>
          </w:p>
          <w:p>
            <w:pPr>
              <w:widowControl/>
              <w:jc w:val="center"/>
              <w:rPr>
                <w:rFonts w:ascii="宋体" w:hAnsi="宋体" w:cs="宋体"/>
                <w:kern w:val="0"/>
                <w:sz w:val="24"/>
              </w:rPr>
            </w:pPr>
            <w:r>
              <w:rPr>
                <w:rFonts w:hint="eastAsia" w:ascii="宋体" w:hAnsi="宋体" w:cs="宋体"/>
                <w:kern w:val="0"/>
                <w:sz w:val="24"/>
              </w:rPr>
              <w:t>指</w:t>
            </w:r>
          </w:p>
          <w:p>
            <w:pPr>
              <w:widowControl/>
              <w:jc w:val="center"/>
              <w:rPr>
                <w:rFonts w:ascii="宋体" w:hAnsi="宋体" w:cs="宋体"/>
                <w:kern w:val="0"/>
                <w:sz w:val="24"/>
              </w:rPr>
            </w:pPr>
            <w:r>
              <w:rPr>
                <w:rFonts w:hint="eastAsia" w:ascii="宋体" w:hAnsi="宋体" w:cs="宋体"/>
                <w:kern w:val="0"/>
                <w:sz w:val="24"/>
              </w:rPr>
              <w:t>标</w:t>
            </w:r>
          </w:p>
        </w:tc>
        <w:tc>
          <w:tcPr>
            <w:tcW w:w="734" w:type="dxa"/>
            <w:tcBorders>
              <w:top w:val="nil"/>
              <w:left w:val="nil"/>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一级</w:t>
            </w:r>
          </w:p>
          <w:p>
            <w:pPr>
              <w:widowControl/>
              <w:jc w:val="center"/>
              <w:rPr>
                <w:rFonts w:ascii="宋体" w:hAnsi="宋体" w:cs="宋体"/>
                <w:kern w:val="0"/>
                <w:sz w:val="24"/>
              </w:rPr>
            </w:pPr>
            <w:r>
              <w:rPr>
                <w:rFonts w:hint="eastAsia" w:ascii="宋体" w:hAnsi="宋体" w:cs="宋体"/>
                <w:kern w:val="0"/>
                <w:sz w:val="24"/>
              </w:rPr>
              <w:t>指标</w:t>
            </w:r>
          </w:p>
        </w:tc>
        <w:tc>
          <w:tcPr>
            <w:tcW w:w="9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二级指标</w:t>
            </w:r>
          </w:p>
        </w:tc>
        <w:tc>
          <w:tcPr>
            <w:tcW w:w="197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三级指标</w:t>
            </w:r>
          </w:p>
        </w:tc>
        <w:tc>
          <w:tcPr>
            <w:tcW w:w="15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年度指标值</w:t>
            </w:r>
          </w:p>
        </w:tc>
        <w:tc>
          <w:tcPr>
            <w:tcW w:w="14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实际完成数</w:t>
            </w:r>
          </w:p>
        </w:tc>
        <w:tc>
          <w:tcPr>
            <w:tcW w:w="107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完成率（%）</w:t>
            </w:r>
          </w:p>
        </w:tc>
        <w:tc>
          <w:tcPr>
            <w:tcW w:w="148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未完成原因和改进措施</w:t>
            </w:r>
          </w:p>
        </w:tc>
      </w:tr>
      <w:tr>
        <w:tblPrEx>
          <w:tblCellMar>
            <w:top w:w="0" w:type="dxa"/>
            <w:left w:w="108" w:type="dxa"/>
            <w:bottom w:w="0" w:type="dxa"/>
            <w:right w:w="108" w:type="dxa"/>
          </w:tblCellMar>
        </w:tblPrEx>
        <w:trPr>
          <w:trHeight w:val="85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项目完成</w:t>
            </w:r>
          </w:p>
        </w:tc>
        <w:tc>
          <w:tcPr>
            <w:tcW w:w="988" w:type="dxa"/>
            <w:vMerge w:val="restart"/>
            <w:tcBorders>
              <w:top w:val="nil"/>
              <w:left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数量指标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 xml:space="preserve"> 指标1：机构数</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2021年全年1-12月</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1</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100%</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71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shd w:val="clear" w:color="auto" w:fill="auto"/>
            <w:vAlign w:val="center"/>
          </w:tcPr>
          <w:p>
            <w:pPr>
              <w:widowControl/>
              <w:jc w:val="center"/>
              <w:rPr>
                <w:rFonts w:hint="eastAsia" w:ascii="宋体" w:hAnsi="宋体" w:cs="宋体"/>
                <w:kern w:val="0"/>
                <w:sz w:val="24"/>
              </w:rPr>
            </w:pPr>
          </w:p>
        </w:tc>
        <w:tc>
          <w:tcPr>
            <w:tcW w:w="988" w:type="dxa"/>
            <w:vMerge w:val="continue"/>
            <w:tcBorders>
              <w:left w:val="nil"/>
              <w:right w:val="single" w:color="auto" w:sz="4" w:space="0"/>
            </w:tcBorders>
            <w:shd w:val="clear" w:color="auto" w:fill="auto"/>
            <w:vAlign w:val="center"/>
          </w:tcPr>
          <w:p>
            <w:pPr>
              <w:widowControl/>
              <w:jc w:val="center"/>
              <w:rPr>
                <w:rFonts w:hint="eastAsia"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cs="宋体"/>
                <w:kern w:val="0"/>
                <w:sz w:val="24"/>
                <w:szCs w:val="24"/>
              </w:rPr>
            </w:pP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cs="宋体"/>
                <w:kern w:val="0"/>
                <w:sz w:val="24"/>
                <w:szCs w:val="24"/>
              </w:rPr>
            </w:pP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cs="宋体"/>
                <w:kern w:val="0"/>
                <w:sz w:val="24"/>
                <w:szCs w:val="24"/>
              </w:rPr>
            </w:pP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kern w:val="0"/>
                <w:sz w:val="24"/>
                <w:szCs w:val="24"/>
                <w:lang w:val="en-US" w:eastAsia="zh-CN"/>
              </w:rPr>
            </w:pP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cs="宋体"/>
                <w:kern w:val="0"/>
                <w:sz w:val="20"/>
                <w:szCs w:val="20"/>
              </w:rPr>
            </w:pPr>
          </w:p>
        </w:tc>
      </w:tr>
      <w:tr>
        <w:tblPrEx>
          <w:tblCellMar>
            <w:top w:w="0" w:type="dxa"/>
            <w:left w:w="108" w:type="dxa"/>
            <w:bottom w:w="0" w:type="dxa"/>
            <w:right w:w="108" w:type="dxa"/>
          </w:tblCellMar>
        </w:tblPrEx>
        <w:trPr>
          <w:trHeight w:val="62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shd w:val="clear" w:color="auto" w:fill="auto"/>
            <w:vAlign w:val="center"/>
          </w:tcPr>
          <w:p>
            <w:pPr>
              <w:widowControl/>
              <w:jc w:val="center"/>
              <w:rPr>
                <w:rFonts w:hint="eastAsia" w:ascii="宋体" w:hAnsi="宋体" w:cs="宋体"/>
                <w:kern w:val="0"/>
                <w:sz w:val="24"/>
              </w:rPr>
            </w:pPr>
          </w:p>
        </w:tc>
        <w:tc>
          <w:tcPr>
            <w:tcW w:w="988" w:type="dxa"/>
            <w:vMerge w:val="continue"/>
            <w:tcBorders>
              <w:left w:val="nil"/>
              <w:bottom w:val="nil"/>
              <w:right w:val="single" w:color="auto" w:sz="4" w:space="0"/>
            </w:tcBorders>
            <w:shd w:val="clear" w:color="auto" w:fill="auto"/>
            <w:vAlign w:val="center"/>
          </w:tcPr>
          <w:p>
            <w:pPr>
              <w:widowControl/>
              <w:jc w:val="center"/>
              <w:rPr>
                <w:rFonts w:hint="eastAsia"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cs="宋体"/>
                <w:kern w:val="0"/>
                <w:sz w:val="24"/>
                <w:szCs w:val="24"/>
              </w:rPr>
            </w:pP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cs="宋体"/>
                <w:kern w:val="0"/>
                <w:sz w:val="24"/>
                <w:szCs w:val="24"/>
              </w:rPr>
            </w:pP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cs="宋体"/>
                <w:kern w:val="0"/>
                <w:sz w:val="24"/>
                <w:szCs w:val="24"/>
              </w:rPr>
            </w:pPr>
          </w:p>
        </w:tc>
        <w:tc>
          <w:tcPr>
            <w:tcW w:w="1074" w:type="dxa"/>
            <w:tcBorders>
              <w:top w:val="nil"/>
              <w:left w:val="nil"/>
              <w:bottom w:val="single" w:color="auto" w:sz="4" w:space="0"/>
              <w:right w:val="single" w:color="auto" w:sz="4" w:space="0"/>
            </w:tcBorders>
            <w:shd w:val="clear" w:color="auto" w:fill="auto"/>
            <w:vAlign w:val="center"/>
          </w:tcPr>
          <w:p>
            <w:pPr>
              <w:widowControl/>
              <w:jc w:val="right"/>
              <w:rPr>
                <w:rFonts w:hint="default" w:ascii="宋体" w:hAnsi="宋体" w:eastAsia="宋体" w:cs="宋体"/>
                <w:kern w:val="0"/>
                <w:sz w:val="24"/>
                <w:szCs w:val="24"/>
                <w:lang w:val="en-US" w:eastAsia="zh-CN"/>
              </w:rPr>
            </w:pP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cs="宋体"/>
                <w:kern w:val="0"/>
                <w:sz w:val="20"/>
                <w:szCs w:val="20"/>
              </w:rPr>
            </w:pPr>
          </w:p>
        </w:tc>
      </w:tr>
      <w:tr>
        <w:tblPrEx>
          <w:tblCellMar>
            <w:top w:w="0" w:type="dxa"/>
            <w:left w:w="108" w:type="dxa"/>
            <w:bottom w:w="0" w:type="dxa"/>
            <w:right w:w="108" w:type="dxa"/>
          </w:tblCellMar>
        </w:tblPrEx>
        <w:trPr>
          <w:trHeight w:val="86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质量指标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 xml:space="preserve"> 指标1：临时人员的工资</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2021年1-8月</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8个月</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67%</w:t>
            </w:r>
          </w:p>
        </w:tc>
        <w:tc>
          <w:tcPr>
            <w:tcW w:w="1487"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本年度医疗收入较低，财政不承担公用经费，所以不能支付全年的临时人员的社保、工资</w:t>
            </w:r>
          </w:p>
        </w:tc>
      </w:tr>
      <w:tr>
        <w:tblPrEx>
          <w:tblCellMar>
            <w:top w:w="0" w:type="dxa"/>
            <w:left w:w="108" w:type="dxa"/>
            <w:bottom w:w="0" w:type="dxa"/>
            <w:right w:w="108" w:type="dxa"/>
          </w:tblCellMar>
        </w:tblPrEx>
        <w:trPr>
          <w:trHeight w:val="63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 xml:space="preserve"> 指标2：临时人员的社会保险缴费</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2021年1-10月</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10个月</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83%</w:t>
            </w:r>
          </w:p>
        </w:tc>
        <w:tc>
          <w:tcPr>
            <w:tcW w:w="1487" w:type="dxa"/>
            <w:vMerge w:val="continue"/>
            <w:tcBorders>
              <w:top w:val="nil"/>
              <w:left w:val="nil"/>
              <w:bottom w:val="single" w:color="auto" w:sz="4" w:space="0"/>
              <w:right w:val="single" w:color="auto" w:sz="4" w:space="0"/>
            </w:tcBorders>
            <w:shd w:val="clear" w:color="auto" w:fill="auto"/>
            <w:vAlign w:val="center"/>
          </w:tcPr>
          <w:p>
            <w:pPr>
              <w:jc w:val="center"/>
              <w:rPr>
                <w:rFonts w:ascii="宋体" w:hAnsi="宋体" w:cs="宋体"/>
                <w:kern w:val="0"/>
                <w:sz w:val="20"/>
                <w:szCs w:val="20"/>
              </w:rPr>
            </w:pPr>
          </w:p>
        </w:tc>
      </w:tr>
      <w:tr>
        <w:tblPrEx>
          <w:tblCellMar>
            <w:top w:w="0" w:type="dxa"/>
            <w:left w:w="108" w:type="dxa"/>
            <w:bottom w:w="0" w:type="dxa"/>
            <w:right w:w="108" w:type="dxa"/>
          </w:tblCellMar>
        </w:tblPrEx>
        <w:trPr>
          <w:trHeight w:val="54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指标3：公用经费</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2021年1-6月</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6个月</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50%</w:t>
            </w:r>
          </w:p>
        </w:tc>
        <w:tc>
          <w:tcPr>
            <w:tcW w:w="1487" w:type="dxa"/>
            <w:vMerge w:val="continue"/>
            <w:tcBorders>
              <w:top w:val="nil"/>
              <w:left w:val="nil"/>
              <w:bottom w:val="single" w:color="auto" w:sz="4" w:space="0"/>
              <w:right w:val="single" w:color="auto" w:sz="4" w:space="0"/>
            </w:tcBorders>
            <w:shd w:val="clear" w:color="auto" w:fill="auto"/>
            <w:vAlign w:val="center"/>
          </w:tcPr>
          <w:p>
            <w:pPr>
              <w:jc w:val="center"/>
              <w:rPr>
                <w:rFonts w:ascii="宋体" w:hAnsi="宋体" w:cs="宋体"/>
                <w:kern w:val="0"/>
                <w:sz w:val="20"/>
                <w:szCs w:val="20"/>
              </w:rPr>
            </w:pPr>
          </w:p>
        </w:tc>
      </w:tr>
      <w:tr>
        <w:tblPrEx>
          <w:tblCellMar>
            <w:top w:w="0" w:type="dxa"/>
            <w:left w:w="108" w:type="dxa"/>
            <w:bottom w:w="0" w:type="dxa"/>
            <w:right w:w="108" w:type="dxa"/>
          </w:tblCellMar>
        </w:tblPrEx>
        <w:trPr>
          <w:trHeight w:val="58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restart"/>
            <w:tcBorders>
              <w:top w:val="nil"/>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时效指标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 xml:space="preserve"> 指标1：按年度执行</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2021年1-12月</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12个月</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100%</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562"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69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成本指标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 xml:space="preserve"> 指标1：工资、社保缴费</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45.2万元</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45.2万元</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100%</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28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r>
      <w:tr>
        <w:tblPrEx>
          <w:tblCellMar>
            <w:top w:w="0" w:type="dxa"/>
            <w:left w:w="108" w:type="dxa"/>
            <w:bottom w:w="0" w:type="dxa"/>
            <w:right w:w="108" w:type="dxa"/>
          </w:tblCellMar>
        </w:tblPrEx>
        <w:trPr>
          <w:trHeight w:val="28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项目效益</w:t>
            </w:r>
          </w:p>
        </w:tc>
        <w:tc>
          <w:tcPr>
            <w:tcW w:w="988"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经济效益</w:t>
            </w:r>
          </w:p>
          <w:p>
            <w:pPr>
              <w:widowControl/>
              <w:jc w:val="center"/>
              <w:rPr>
                <w:rFonts w:ascii="宋体" w:hAnsi="宋体" w:cs="宋体"/>
                <w:kern w:val="0"/>
                <w:sz w:val="24"/>
              </w:rPr>
            </w:pPr>
            <w:r>
              <w:rPr>
                <w:rFonts w:hint="eastAsia" w:ascii="宋体" w:hAnsi="宋体" w:cs="宋体"/>
                <w:kern w:val="0"/>
                <w:sz w:val="24"/>
              </w:rPr>
              <w:t>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 xml:space="preserve"> 指标1：降低临时人员的生活压力</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2021年</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8个月</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67%</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本年度医疗收入较低，财政不承担公用经费，所以不能支付全年的临时人员的社保、工资</w:t>
            </w:r>
          </w:p>
        </w:tc>
      </w:tr>
      <w:tr>
        <w:tblPrEx>
          <w:tblCellMar>
            <w:top w:w="0" w:type="dxa"/>
            <w:left w:w="108" w:type="dxa"/>
            <w:bottom w:w="0" w:type="dxa"/>
            <w:right w:w="108" w:type="dxa"/>
          </w:tblCellMar>
        </w:tblPrEx>
        <w:trPr>
          <w:trHeight w:val="42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r>
      <w:tr>
        <w:tblPrEx>
          <w:tblCellMar>
            <w:top w:w="0" w:type="dxa"/>
            <w:left w:w="108" w:type="dxa"/>
            <w:bottom w:w="0" w:type="dxa"/>
            <w:right w:w="108" w:type="dxa"/>
          </w:tblCellMar>
        </w:tblPrEx>
        <w:trPr>
          <w:trHeight w:val="114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社会效益</w:t>
            </w:r>
          </w:p>
          <w:p>
            <w:pPr>
              <w:widowControl/>
              <w:jc w:val="center"/>
              <w:rPr>
                <w:rFonts w:ascii="宋体" w:hAnsi="宋体" w:cs="宋体"/>
                <w:kern w:val="0"/>
                <w:sz w:val="24"/>
              </w:rPr>
            </w:pPr>
            <w:r>
              <w:rPr>
                <w:rFonts w:hint="eastAsia" w:ascii="宋体" w:hAnsi="宋体" w:cs="宋体"/>
                <w:kern w:val="0"/>
                <w:sz w:val="24"/>
              </w:rPr>
              <w:t>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72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59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continue"/>
            <w:tcBorders>
              <w:left w:val="single" w:color="auto" w:sz="4" w:space="0"/>
              <w:bottom w:val="nil"/>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cs="宋体"/>
                <w:kern w:val="0"/>
                <w:sz w:val="20"/>
                <w:szCs w:val="20"/>
              </w:rPr>
            </w:pPr>
          </w:p>
        </w:tc>
      </w:tr>
      <w:tr>
        <w:tblPrEx>
          <w:tblCellMar>
            <w:top w:w="0" w:type="dxa"/>
            <w:left w:w="108" w:type="dxa"/>
            <w:bottom w:w="0" w:type="dxa"/>
            <w:right w:w="108" w:type="dxa"/>
          </w:tblCellMar>
        </w:tblPrEx>
        <w:trPr>
          <w:trHeight w:val="52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生态效益</w:t>
            </w:r>
          </w:p>
          <w:p>
            <w:pPr>
              <w:widowControl/>
              <w:jc w:val="center"/>
              <w:rPr>
                <w:rFonts w:ascii="宋体" w:hAnsi="宋体" w:cs="宋体"/>
                <w:kern w:val="0"/>
                <w:sz w:val="24"/>
              </w:rPr>
            </w:pPr>
            <w:r>
              <w:rPr>
                <w:rFonts w:hint="eastAsia" w:ascii="宋体" w:hAnsi="宋体" w:cs="宋体"/>
                <w:kern w:val="0"/>
                <w:sz w:val="24"/>
              </w:rPr>
              <w:t>指标</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r>
      <w:tr>
        <w:tblPrEx>
          <w:tblCellMar>
            <w:top w:w="0" w:type="dxa"/>
            <w:left w:w="108" w:type="dxa"/>
            <w:bottom w:w="0" w:type="dxa"/>
            <w:right w:w="108" w:type="dxa"/>
          </w:tblCellMar>
        </w:tblPrEx>
        <w:trPr>
          <w:trHeight w:val="51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r>
      <w:tr>
        <w:tblPrEx>
          <w:tblCellMar>
            <w:top w:w="0" w:type="dxa"/>
            <w:left w:w="108" w:type="dxa"/>
            <w:bottom w:w="0" w:type="dxa"/>
            <w:right w:w="108" w:type="dxa"/>
          </w:tblCellMar>
        </w:tblPrEx>
        <w:trPr>
          <w:trHeight w:val="99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restart"/>
            <w:tcBorders>
              <w:top w:val="single" w:color="auto" w:sz="4" w:space="0"/>
              <w:left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可持续影响</w:t>
            </w:r>
          </w:p>
          <w:p>
            <w:pPr>
              <w:widowControl/>
              <w:jc w:val="center"/>
              <w:rPr>
                <w:rFonts w:ascii="宋体" w:hAnsi="宋体" w:cs="宋体"/>
                <w:kern w:val="0"/>
                <w:sz w:val="24"/>
              </w:rPr>
            </w:pPr>
            <w:r>
              <w:rPr>
                <w:rFonts w:hint="eastAsia" w:ascii="宋体" w:hAnsi="宋体" w:cs="宋体"/>
                <w:kern w:val="0"/>
                <w:sz w:val="24"/>
              </w:rPr>
              <w:t>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 xml:space="preserve"> 指标1：2021年全年</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2021年1-12月</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本年度内</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100%</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99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continue"/>
            <w:tcBorders>
              <w:left w:val="nil"/>
              <w:bottom w:val="nil"/>
              <w:right w:val="single" w:color="auto" w:sz="4" w:space="0"/>
            </w:tcBorders>
            <w:shd w:val="clear" w:color="auto" w:fill="auto"/>
            <w:vAlign w:val="center"/>
          </w:tcPr>
          <w:p>
            <w:pPr>
              <w:widowControl/>
              <w:jc w:val="center"/>
              <w:rPr>
                <w:rFonts w:hint="eastAsia"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cs="宋体"/>
                <w:kern w:val="0"/>
                <w:sz w:val="20"/>
                <w:szCs w:val="20"/>
              </w:rPr>
            </w:pPr>
          </w:p>
        </w:tc>
      </w:tr>
      <w:tr>
        <w:tblPrEx>
          <w:tblCellMar>
            <w:top w:w="0" w:type="dxa"/>
            <w:left w:w="108" w:type="dxa"/>
            <w:bottom w:w="0" w:type="dxa"/>
            <w:right w:w="108" w:type="dxa"/>
          </w:tblCellMar>
        </w:tblPrEx>
        <w:trPr>
          <w:trHeight w:val="103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restart"/>
            <w:tcBorders>
              <w:top w:val="single" w:color="auto" w:sz="4" w:space="0"/>
              <w:left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满意度指标</w:t>
            </w:r>
          </w:p>
        </w:tc>
        <w:tc>
          <w:tcPr>
            <w:tcW w:w="988" w:type="dxa"/>
            <w:vMerge w:val="restart"/>
            <w:tcBorders>
              <w:top w:val="single" w:color="auto" w:sz="4" w:space="0"/>
              <w:left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满意度指标</w:t>
            </w:r>
          </w:p>
        </w:tc>
        <w:tc>
          <w:tcPr>
            <w:tcW w:w="19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 xml:space="preserve"> 指标1：职工满意度</w:t>
            </w: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100%</w:t>
            </w:r>
          </w:p>
        </w:tc>
        <w:tc>
          <w:tcPr>
            <w:tcW w:w="14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100%</w:t>
            </w:r>
          </w:p>
        </w:tc>
        <w:tc>
          <w:tcPr>
            <w:tcW w:w="107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100%%</w:t>
            </w:r>
          </w:p>
        </w:tc>
        <w:tc>
          <w:tcPr>
            <w:tcW w:w="14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1035" w:hRule="atLeast"/>
        </w:trPr>
        <w:tc>
          <w:tcPr>
            <w:tcW w:w="740" w:type="dxa"/>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nil"/>
              <w:bottom w:val="single" w:color="auto" w:sz="4" w:space="0"/>
              <w:right w:val="single" w:color="auto" w:sz="4" w:space="0"/>
            </w:tcBorders>
            <w:shd w:val="clear" w:color="auto" w:fill="auto"/>
            <w:vAlign w:val="center"/>
          </w:tcPr>
          <w:p>
            <w:pPr>
              <w:widowControl/>
              <w:jc w:val="center"/>
              <w:rPr>
                <w:rFonts w:hint="eastAsia" w:ascii="宋体" w:hAnsi="宋体" w:cs="宋体"/>
                <w:kern w:val="0"/>
                <w:sz w:val="24"/>
              </w:rPr>
            </w:pPr>
          </w:p>
        </w:tc>
        <w:tc>
          <w:tcPr>
            <w:tcW w:w="988" w:type="dxa"/>
            <w:vMerge w:val="continue"/>
            <w:tcBorders>
              <w:left w:val="nil"/>
              <w:bottom w:val="single" w:color="auto" w:sz="4" w:space="0"/>
              <w:right w:val="single" w:color="auto" w:sz="4" w:space="0"/>
            </w:tcBorders>
            <w:shd w:val="clear" w:color="auto" w:fill="auto"/>
            <w:vAlign w:val="center"/>
          </w:tcPr>
          <w:p>
            <w:pPr>
              <w:widowControl/>
              <w:jc w:val="center"/>
              <w:rPr>
                <w:rFonts w:hint="eastAsia" w:ascii="宋体" w:hAnsi="宋体" w:cs="宋体"/>
                <w:kern w:val="0"/>
                <w:sz w:val="24"/>
              </w:rPr>
            </w:pPr>
          </w:p>
        </w:tc>
        <w:tc>
          <w:tcPr>
            <w:tcW w:w="19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 xml:space="preserve"> 指标2：服务对象满意率</w:t>
            </w: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≧90%</w:t>
            </w:r>
          </w:p>
        </w:tc>
        <w:tc>
          <w:tcPr>
            <w:tcW w:w="14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95.20%</w:t>
            </w:r>
          </w:p>
        </w:tc>
        <w:tc>
          <w:tcPr>
            <w:tcW w:w="107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100%</w:t>
            </w:r>
          </w:p>
        </w:tc>
        <w:tc>
          <w:tcPr>
            <w:tcW w:w="14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cs="宋体"/>
                <w:kern w:val="0"/>
                <w:sz w:val="20"/>
                <w:szCs w:val="20"/>
              </w:rPr>
            </w:pPr>
          </w:p>
        </w:tc>
      </w:tr>
    </w:tbl>
    <w:p>
      <w:pPr>
        <w:spacing w:line="560" w:lineRule="exact"/>
        <w:rPr>
          <w:rFonts w:hint="eastAsia" w:ascii="仿宋" w:hAnsi="仿宋" w:eastAsia="仿宋" w:cs="仿宋"/>
          <w:sz w:val="32"/>
          <w:szCs w:val="32"/>
        </w:rPr>
      </w:pPr>
    </w:p>
    <w:p>
      <w:pPr>
        <w:pStyle w:val="7"/>
        <w:spacing w:line="600" w:lineRule="exact"/>
        <w:ind w:firstLine="640" w:firstLineChars="200"/>
        <w:jc w:val="left"/>
        <w:rPr>
          <w:rFonts w:hint="eastAsia" w:ascii="黑体" w:hAnsi="黑体" w:eastAsia="黑体" w:cs="黑体"/>
          <w:sz w:val="32"/>
          <w:szCs w:val="32"/>
        </w:rPr>
      </w:pPr>
    </w:p>
    <w:p>
      <w:pPr>
        <w:pStyle w:val="7"/>
        <w:spacing w:line="600" w:lineRule="exact"/>
        <w:ind w:firstLine="640" w:firstLineChars="200"/>
        <w:jc w:val="left"/>
        <w:rPr>
          <w:rFonts w:hint="eastAsia" w:ascii="黑体" w:hAnsi="黑体" w:eastAsia="黑体" w:cs="黑体"/>
          <w:sz w:val="32"/>
          <w:szCs w:val="32"/>
        </w:rPr>
      </w:pPr>
    </w:p>
    <w:p>
      <w:pPr>
        <w:pStyle w:val="7"/>
        <w:spacing w:line="600" w:lineRule="exact"/>
        <w:ind w:firstLine="640" w:firstLineChars="200"/>
        <w:jc w:val="left"/>
        <w:rPr>
          <w:rFonts w:hint="eastAsia" w:ascii="黑体" w:hAnsi="黑体" w:eastAsia="黑体" w:cs="黑体"/>
          <w:sz w:val="32"/>
          <w:szCs w:val="32"/>
        </w:rPr>
      </w:pPr>
    </w:p>
    <w:p>
      <w:pPr>
        <w:pStyle w:val="7"/>
        <w:spacing w:line="600" w:lineRule="exact"/>
        <w:ind w:firstLine="640" w:firstLineChars="200"/>
        <w:jc w:val="left"/>
        <w:rPr>
          <w:rFonts w:hint="eastAsia" w:ascii="黑体" w:hAnsi="黑体" w:eastAsia="黑体" w:cs="黑体"/>
          <w:sz w:val="32"/>
          <w:szCs w:val="32"/>
        </w:rPr>
      </w:pPr>
    </w:p>
    <w:p>
      <w:pPr>
        <w:pStyle w:val="7"/>
        <w:spacing w:line="600" w:lineRule="exact"/>
        <w:ind w:firstLine="640" w:firstLineChars="200"/>
        <w:jc w:val="left"/>
        <w:rPr>
          <w:rFonts w:hint="eastAsia" w:ascii="黑体" w:hAnsi="黑体" w:eastAsia="黑体" w:cs="黑体"/>
          <w:sz w:val="32"/>
          <w:szCs w:val="32"/>
        </w:rPr>
      </w:pPr>
    </w:p>
    <w:p>
      <w:pPr>
        <w:pStyle w:val="7"/>
        <w:spacing w:line="600" w:lineRule="exact"/>
        <w:ind w:firstLine="640" w:firstLineChars="200"/>
        <w:jc w:val="left"/>
        <w:rPr>
          <w:rFonts w:hint="eastAsia" w:ascii="黑体" w:hAnsi="黑体" w:eastAsia="黑体" w:cs="黑体"/>
          <w:sz w:val="32"/>
          <w:szCs w:val="32"/>
        </w:rPr>
      </w:pPr>
    </w:p>
    <w:p>
      <w:pPr>
        <w:pStyle w:val="7"/>
        <w:spacing w:line="600" w:lineRule="exact"/>
        <w:ind w:firstLine="640" w:firstLineChars="200"/>
        <w:jc w:val="left"/>
        <w:rPr>
          <w:rFonts w:hint="eastAsia" w:ascii="黑体" w:hAnsi="黑体" w:eastAsia="黑体" w:cs="黑体"/>
          <w:sz w:val="32"/>
          <w:szCs w:val="32"/>
        </w:rPr>
      </w:pPr>
    </w:p>
    <w:p>
      <w:pPr>
        <w:pStyle w:val="7"/>
        <w:spacing w:line="600" w:lineRule="exact"/>
        <w:ind w:firstLine="640" w:firstLineChars="200"/>
        <w:jc w:val="left"/>
        <w:rPr>
          <w:rFonts w:hint="eastAsia" w:ascii="黑体" w:hAnsi="黑体" w:eastAsia="黑体" w:cs="黑体"/>
          <w:sz w:val="32"/>
          <w:szCs w:val="32"/>
        </w:rPr>
      </w:pPr>
    </w:p>
    <w:p>
      <w:pPr>
        <w:pStyle w:val="7"/>
        <w:spacing w:line="600" w:lineRule="exact"/>
        <w:ind w:firstLine="640" w:firstLineChars="200"/>
        <w:jc w:val="left"/>
        <w:rPr>
          <w:rFonts w:hint="eastAsia" w:ascii="黑体" w:hAnsi="黑体" w:eastAsia="黑体" w:cs="黑体"/>
          <w:sz w:val="32"/>
          <w:szCs w:val="32"/>
        </w:rPr>
      </w:pPr>
    </w:p>
    <w:p>
      <w:pPr>
        <w:pStyle w:val="7"/>
        <w:spacing w:line="60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附件4</w:t>
      </w:r>
    </w:p>
    <w:p>
      <w:pPr>
        <w:pStyle w:val="7"/>
        <w:spacing w:line="600" w:lineRule="exact"/>
        <w:ind w:firstLine="640" w:firstLineChars="200"/>
        <w:jc w:val="left"/>
        <w:rPr>
          <w:rFonts w:hint="eastAsia" w:ascii="仿宋_GB2312" w:hAnsi="黑体" w:eastAsia="仿宋_GB2312" w:cs="黑体"/>
          <w:sz w:val="32"/>
          <w:szCs w:val="32"/>
        </w:rPr>
      </w:pPr>
    </w:p>
    <w:p>
      <w:pPr>
        <w:pStyle w:val="7"/>
        <w:spacing w:line="600" w:lineRule="exact"/>
        <w:ind w:firstLine="960" w:firstLineChars="200"/>
        <w:jc w:val="center"/>
        <w:rPr>
          <w:rFonts w:hint="eastAsia" w:ascii="方正小标宋_GBK" w:hAnsi="黑体" w:eastAsia="方正小标宋_GBK" w:cs="黑体"/>
          <w:sz w:val="48"/>
          <w:szCs w:val="48"/>
          <w:lang w:eastAsia="zh-CN"/>
        </w:rPr>
      </w:pPr>
      <w:r>
        <w:rPr>
          <w:rFonts w:hint="eastAsia" w:ascii="方正小标宋_GBK" w:hAnsi="黑体" w:eastAsia="方正小标宋_GBK" w:cs="黑体"/>
          <w:sz w:val="48"/>
          <w:szCs w:val="48"/>
          <w:lang w:eastAsia="zh-CN"/>
        </w:rPr>
        <w:t>盐边县妇幼保健服务中心</w:t>
      </w:r>
    </w:p>
    <w:p>
      <w:pPr>
        <w:pStyle w:val="7"/>
        <w:spacing w:line="600" w:lineRule="exact"/>
        <w:ind w:firstLine="960" w:firstLineChars="200"/>
        <w:jc w:val="center"/>
        <w:rPr>
          <w:rFonts w:hint="eastAsia" w:ascii="方正小标宋_GBK" w:hAnsi="黑体" w:eastAsia="方正小标宋_GBK" w:cs="黑体"/>
          <w:sz w:val="48"/>
          <w:szCs w:val="48"/>
        </w:rPr>
      </w:pPr>
      <w:r>
        <w:rPr>
          <w:rFonts w:hint="eastAsia" w:ascii="方正小标宋_GBK" w:hAnsi="黑体" w:eastAsia="方正小标宋_GBK" w:cs="黑体"/>
          <w:sz w:val="48"/>
          <w:szCs w:val="48"/>
          <w:lang w:val="en-US" w:eastAsia="zh-CN"/>
        </w:rPr>
        <w:t>2021年</w:t>
      </w:r>
      <w:r>
        <w:rPr>
          <w:rFonts w:hint="eastAsia" w:ascii="方正小标宋_GBK" w:hAnsi="黑体" w:eastAsia="方正小标宋_GBK" w:cs="黑体"/>
          <w:sz w:val="48"/>
          <w:szCs w:val="48"/>
        </w:rPr>
        <w:t>专项（</w:t>
      </w:r>
      <w:r>
        <w:rPr>
          <w:rFonts w:hint="eastAsia" w:ascii="方正小标宋_GBK" w:hAnsi="黑体" w:eastAsia="方正小标宋_GBK" w:cs="黑体"/>
          <w:sz w:val="48"/>
          <w:szCs w:val="48"/>
          <w:lang w:eastAsia="zh-CN"/>
        </w:rPr>
        <w:t>孕前优生优育</w:t>
      </w:r>
      <w:r>
        <w:rPr>
          <w:rFonts w:hint="eastAsia" w:ascii="方正小标宋_GBK" w:hAnsi="黑体" w:eastAsia="方正小标宋_GBK" w:cs="黑体"/>
          <w:sz w:val="48"/>
          <w:szCs w:val="48"/>
        </w:rPr>
        <w:t>）资金绩效自评报告</w:t>
      </w:r>
    </w:p>
    <w:p>
      <w:pPr>
        <w:pStyle w:val="7"/>
        <w:spacing w:line="600" w:lineRule="exact"/>
        <w:ind w:firstLine="640" w:firstLineChars="200"/>
        <w:jc w:val="left"/>
        <w:rPr>
          <w:rFonts w:ascii="仿宋_GB2312" w:hAnsi="仿宋_GB2312" w:eastAsia="仿宋_GB2312" w:cs="仿宋_GB2312"/>
          <w:sz w:val="32"/>
          <w:szCs w:val="32"/>
        </w:rPr>
      </w:pP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一、项目概况</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（一）项目基本情况。</w:t>
      </w:r>
    </w:p>
    <w:p>
      <w:pPr>
        <w:spacing w:line="560" w:lineRule="exact"/>
        <w:ind w:firstLine="640" w:firstLineChars="200"/>
        <w:rPr>
          <w:rFonts w:hint="eastAsia" w:eastAsia="仿宋_GB2312"/>
          <w:sz w:val="32"/>
          <w:szCs w:val="32"/>
          <w:lang w:eastAsia="zh-CN"/>
        </w:rPr>
      </w:pPr>
      <w:r>
        <w:rPr>
          <w:rFonts w:ascii="仿宋_GB2312" w:hAnsi="宋体" w:eastAsia="仿宋_GB2312" w:cs="仿宋_GB2312"/>
          <w:i w:val="0"/>
          <w:caps w:val="0"/>
          <w:color w:val="000000"/>
          <w:spacing w:val="0"/>
          <w:sz w:val="32"/>
          <w:szCs w:val="32"/>
          <w:shd w:val="clear" w:color="auto" w:fill="FFFFFF"/>
        </w:rPr>
        <w:t>建有规范</w:t>
      </w:r>
      <w:r>
        <w:rPr>
          <w:rFonts w:hint="eastAsia" w:ascii="仿宋_GB2312" w:hAnsi="宋体" w:eastAsia="仿宋_GB2312" w:cs="仿宋_GB2312"/>
          <w:i w:val="0"/>
          <w:caps w:val="0"/>
          <w:color w:val="000000"/>
          <w:spacing w:val="0"/>
          <w:sz w:val="32"/>
          <w:szCs w:val="32"/>
          <w:shd w:val="clear" w:color="auto" w:fill="FFFFFF"/>
          <w:lang w:eastAsia="zh-CN"/>
        </w:rPr>
        <w:t>孕前优生优育健康检查场地</w:t>
      </w:r>
      <w:r>
        <w:rPr>
          <w:rFonts w:ascii="仿宋_GB2312" w:hAnsi="宋体" w:eastAsia="仿宋_GB2312" w:cs="仿宋_GB2312"/>
          <w:i w:val="0"/>
          <w:caps w:val="0"/>
          <w:color w:val="000000"/>
          <w:spacing w:val="0"/>
          <w:sz w:val="32"/>
          <w:szCs w:val="32"/>
          <w:shd w:val="clear" w:color="auto" w:fill="FFFFFF"/>
        </w:rPr>
        <w:t>，承担</w:t>
      </w:r>
      <w:r>
        <w:rPr>
          <w:rFonts w:hint="eastAsia" w:ascii="仿宋_GB2312" w:hAnsi="宋体" w:eastAsia="仿宋_GB2312" w:cs="仿宋_GB2312"/>
          <w:i w:val="0"/>
          <w:caps w:val="0"/>
          <w:color w:val="000000"/>
          <w:spacing w:val="0"/>
          <w:sz w:val="32"/>
          <w:szCs w:val="32"/>
          <w:shd w:val="clear" w:color="auto" w:fill="FFFFFF"/>
          <w:lang w:eastAsia="zh-CN"/>
        </w:rPr>
        <w:t>盐边县</w:t>
      </w:r>
      <w:r>
        <w:rPr>
          <w:rFonts w:ascii="仿宋_GB2312" w:hAnsi="宋体" w:eastAsia="仿宋_GB2312" w:cs="仿宋_GB2312"/>
          <w:i w:val="0"/>
          <w:caps w:val="0"/>
          <w:color w:val="000000"/>
          <w:spacing w:val="0"/>
          <w:sz w:val="32"/>
          <w:szCs w:val="32"/>
          <w:shd w:val="clear" w:color="auto" w:fill="FFFFFF"/>
        </w:rPr>
        <w:t>的</w:t>
      </w:r>
      <w:r>
        <w:rPr>
          <w:rFonts w:hint="eastAsia" w:ascii="仿宋_GB2312" w:hAnsi="宋体" w:eastAsia="仿宋_GB2312" w:cs="仿宋_GB2312"/>
          <w:i w:val="0"/>
          <w:caps w:val="0"/>
          <w:color w:val="000000"/>
          <w:spacing w:val="0"/>
          <w:sz w:val="32"/>
          <w:szCs w:val="32"/>
          <w:shd w:val="clear" w:color="auto" w:fill="FFFFFF"/>
          <w:lang w:eastAsia="zh-CN"/>
        </w:rPr>
        <w:t>孕前优生优育健康检查的</w:t>
      </w:r>
      <w:r>
        <w:rPr>
          <w:rFonts w:ascii="仿宋_GB2312" w:hAnsi="宋体" w:eastAsia="仿宋_GB2312" w:cs="仿宋_GB2312"/>
          <w:i w:val="0"/>
          <w:caps w:val="0"/>
          <w:color w:val="000000"/>
          <w:spacing w:val="0"/>
          <w:sz w:val="32"/>
          <w:szCs w:val="32"/>
          <w:shd w:val="clear" w:color="auto" w:fill="FFFFFF"/>
        </w:rPr>
        <w:t>工作</w:t>
      </w:r>
      <w:r>
        <w:rPr>
          <w:rFonts w:hint="eastAsia" w:ascii="仿宋_GB2312" w:hAnsi="宋体" w:eastAsia="仿宋_GB2312" w:cs="仿宋_GB2312"/>
          <w:i w:val="0"/>
          <w:caps w:val="0"/>
          <w:color w:val="000000"/>
          <w:spacing w:val="0"/>
          <w:sz w:val="32"/>
          <w:szCs w:val="32"/>
          <w:shd w:val="clear" w:color="auto" w:fill="FFFFFF"/>
          <w:lang w:eastAsia="zh-CN"/>
        </w:rPr>
        <w:t>。</w:t>
      </w:r>
    </w:p>
    <w:p>
      <w:pPr>
        <w:numPr>
          <w:ilvl w:val="0"/>
          <w:numId w:val="12"/>
        </w:numPr>
        <w:spacing w:line="560" w:lineRule="exact"/>
        <w:ind w:firstLine="640" w:firstLineChars="200"/>
        <w:rPr>
          <w:rFonts w:eastAsia="仿宋_GB2312"/>
          <w:sz w:val="32"/>
          <w:szCs w:val="32"/>
        </w:rPr>
      </w:pPr>
      <w:r>
        <w:rPr>
          <w:rFonts w:eastAsia="仿宋_GB2312"/>
          <w:sz w:val="32"/>
          <w:szCs w:val="32"/>
        </w:rPr>
        <w:t>项目立项、资金申报的依据。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lang w:val="en-US" w:eastAsia="zh-CN"/>
        </w:rPr>
      </w:pPr>
      <w:r>
        <w:rPr>
          <w:rFonts w:hint="eastAsia" w:eastAsia="仿宋_GB2312"/>
          <w:sz w:val="32"/>
          <w:szCs w:val="32"/>
          <w:lang w:eastAsia="zh-CN"/>
        </w:rPr>
        <w:t>该资金立项时间为</w:t>
      </w:r>
      <w:r>
        <w:rPr>
          <w:rFonts w:hint="eastAsia" w:eastAsia="仿宋_GB2312"/>
          <w:sz w:val="32"/>
          <w:szCs w:val="32"/>
          <w:lang w:val="en-US" w:eastAsia="zh-CN"/>
        </w:rPr>
        <w:t>2021年，</w:t>
      </w:r>
      <w:r>
        <w:rPr>
          <w:rFonts w:hint="eastAsia" w:eastAsia="仿宋_GB2312"/>
          <w:sz w:val="32"/>
          <w:szCs w:val="32"/>
        </w:rPr>
        <w:t>加强和规范</w:t>
      </w:r>
      <w:r>
        <w:rPr>
          <w:rFonts w:hint="eastAsia" w:eastAsia="仿宋_GB2312"/>
          <w:sz w:val="32"/>
          <w:szCs w:val="32"/>
          <w:lang w:eastAsia="zh-CN"/>
        </w:rPr>
        <w:t>县</w:t>
      </w:r>
      <w:r>
        <w:rPr>
          <w:rFonts w:hint="eastAsia" w:eastAsia="仿宋_GB2312"/>
          <w:sz w:val="32"/>
          <w:szCs w:val="32"/>
        </w:rPr>
        <w:t>财政支持基层医疗卫生机构实施</w:t>
      </w:r>
      <w:r>
        <w:rPr>
          <w:rFonts w:hint="eastAsia" w:eastAsia="仿宋_GB2312"/>
          <w:sz w:val="32"/>
          <w:szCs w:val="32"/>
          <w:lang w:eastAsia="zh-CN"/>
        </w:rPr>
        <w:t>孕前优生优育健康检查的</w:t>
      </w:r>
      <w:r>
        <w:rPr>
          <w:rFonts w:hint="eastAsia" w:eastAsia="仿宋_GB2312"/>
          <w:sz w:val="32"/>
          <w:szCs w:val="32"/>
        </w:rPr>
        <w:t>资金分配、使用和管理</w:t>
      </w:r>
      <w:r>
        <w:rPr>
          <w:rFonts w:hint="eastAsia" w:eastAsia="仿宋_GB2312"/>
          <w:sz w:val="32"/>
          <w:szCs w:val="32"/>
          <w:lang w:eastAsia="zh-CN"/>
        </w:rPr>
        <w:t>。</w:t>
      </w:r>
    </w:p>
    <w:p>
      <w:pPr>
        <w:numPr>
          <w:ilvl w:val="0"/>
          <w:numId w:val="12"/>
        </w:numPr>
        <w:spacing w:line="560" w:lineRule="exact"/>
        <w:ind w:left="0" w:leftChars="0" w:firstLine="640" w:firstLineChars="200"/>
        <w:rPr>
          <w:rFonts w:eastAsia="仿宋_GB2312"/>
          <w:sz w:val="32"/>
          <w:szCs w:val="32"/>
        </w:rPr>
      </w:pPr>
      <w:r>
        <w:rPr>
          <w:rFonts w:eastAsia="仿宋_GB2312"/>
          <w:sz w:val="32"/>
          <w:szCs w:val="32"/>
        </w:rPr>
        <w:t>资金管理办法制定情况，资金支持具体项目的条件、范围与支持方式概况。</w:t>
      </w:r>
    </w:p>
    <w:p>
      <w:pPr>
        <w:numPr>
          <w:ilvl w:val="0"/>
          <w:numId w:val="0"/>
        </w:numPr>
        <w:spacing w:line="560" w:lineRule="exact"/>
        <w:ind w:firstLine="640" w:firstLineChars="200"/>
        <w:rPr>
          <w:rFonts w:hint="default" w:eastAsia="仿宋_GB2312"/>
          <w:sz w:val="32"/>
          <w:szCs w:val="32"/>
          <w:lang w:val="en-US" w:eastAsia="zh-CN"/>
        </w:rPr>
      </w:pPr>
      <w:r>
        <w:rPr>
          <w:rFonts w:hint="eastAsia" w:eastAsia="仿宋_GB2312"/>
          <w:sz w:val="32"/>
          <w:szCs w:val="32"/>
          <w:lang w:eastAsia="zh-CN"/>
        </w:rPr>
        <w:t>根据盐财资行【202</w:t>
      </w:r>
      <w:r>
        <w:rPr>
          <w:rFonts w:hint="eastAsia" w:eastAsia="仿宋_GB2312"/>
          <w:sz w:val="32"/>
          <w:szCs w:val="32"/>
          <w:lang w:val="en-US" w:eastAsia="zh-CN"/>
        </w:rPr>
        <w:t>1</w:t>
      </w:r>
      <w:r>
        <w:rPr>
          <w:rFonts w:hint="eastAsia" w:eastAsia="仿宋_GB2312"/>
          <w:sz w:val="32"/>
          <w:szCs w:val="32"/>
          <w:lang w:eastAsia="zh-CN"/>
        </w:rPr>
        <w:t>】</w:t>
      </w:r>
      <w:r>
        <w:rPr>
          <w:rFonts w:hint="eastAsia" w:eastAsia="仿宋_GB2312"/>
          <w:sz w:val="32"/>
          <w:szCs w:val="32"/>
          <w:lang w:val="en-US" w:eastAsia="zh-CN"/>
        </w:rPr>
        <w:t>40</w:t>
      </w:r>
      <w:r>
        <w:rPr>
          <w:rFonts w:hint="eastAsia" w:eastAsia="仿宋_GB2312"/>
          <w:sz w:val="32"/>
          <w:szCs w:val="32"/>
          <w:lang w:eastAsia="zh-CN"/>
        </w:rPr>
        <w:t>号下达202</w:t>
      </w:r>
      <w:r>
        <w:rPr>
          <w:rFonts w:hint="eastAsia" w:eastAsia="仿宋_GB2312"/>
          <w:sz w:val="32"/>
          <w:szCs w:val="32"/>
          <w:lang w:val="en-US" w:eastAsia="zh-CN"/>
        </w:rPr>
        <w:t>1</w:t>
      </w:r>
      <w:r>
        <w:rPr>
          <w:rFonts w:hint="eastAsia" w:eastAsia="仿宋_GB2312"/>
          <w:sz w:val="32"/>
          <w:szCs w:val="32"/>
          <w:lang w:eastAsia="zh-CN"/>
        </w:rPr>
        <w:t>年基本公共卫生服务中央补助资金（孕检补助）</w:t>
      </w:r>
      <w:r>
        <w:rPr>
          <w:rFonts w:hint="eastAsia" w:eastAsia="仿宋_GB2312"/>
          <w:sz w:val="32"/>
          <w:szCs w:val="32"/>
          <w:lang w:val="en-US" w:eastAsia="zh-CN"/>
        </w:rPr>
        <w:t>并结合资金的使用范围，</w:t>
      </w:r>
      <w:r>
        <w:rPr>
          <w:rFonts w:hint="eastAsia" w:ascii="宋体" w:hAnsi="宋体" w:eastAsia="宋体" w:cs="宋体"/>
          <w:i w:val="0"/>
          <w:caps w:val="0"/>
          <w:color w:val="333333"/>
          <w:spacing w:val="0"/>
          <w:sz w:val="28"/>
          <w:szCs w:val="28"/>
          <w:shd w:val="clear" w:color="auto" w:fill="FFFFFF"/>
        </w:rPr>
        <w:t>主要用于：宣传发</w:t>
      </w:r>
      <w:r>
        <w:rPr>
          <w:rFonts w:hint="eastAsia" w:ascii="宋体" w:hAnsi="宋体" w:eastAsia="宋体" w:cs="宋体"/>
          <w:i w:val="0"/>
          <w:caps w:val="0"/>
          <w:color w:val="333333"/>
          <w:spacing w:val="0"/>
          <w:sz w:val="28"/>
          <w:szCs w:val="28"/>
          <w:shd w:val="clear" w:color="auto" w:fill="FFFFFF"/>
          <w:lang w:eastAsia="zh-CN"/>
        </w:rPr>
        <w:t>放</w:t>
      </w:r>
      <w:r>
        <w:rPr>
          <w:rFonts w:hint="eastAsia" w:ascii="宋体" w:hAnsi="宋体" w:eastAsia="宋体" w:cs="宋体"/>
          <w:i w:val="0"/>
          <w:caps w:val="0"/>
          <w:color w:val="333333"/>
          <w:spacing w:val="0"/>
          <w:sz w:val="28"/>
          <w:szCs w:val="28"/>
          <w:shd w:val="clear" w:color="auto" w:fill="FFFFFF"/>
        </w:rPr>
        <w:t>、业务培训、医用耗材、</w:t>
      </w:r>
      <w:r>
        <w:rPr>
          <w:rFonts w:hint="eastAsia" w:ascii="宋体" w:hAnsi="宋体" w:eastAsia="宋体" w:cs="宋体"/>
          <w:i w:val="0"/>
          <w:caps w:val="0"/>
          <w:color w:val="333333"/>
          <w:spacing w:val="0"/>
          <w:sz w:val="28"/>
          <w:szCs w:val="28"/>
          <w:shd w:val="clear" w:color="auto" w:fill="FFFFFF"/>
          <w:lang w:eastAsia="zh-CN"/>
        </w:rPr>
        <w:t>购买试剂、设备、</w:t>
      </w:r>
      <w:r>
        <w:rPr>
          <w:rFonts w:hint="eastAsia" w:ascii="宋体" w:hAnsi="宋体" w:eastAsia="宋体" w:cs="宋体"/>
          <w:i w:val="0"/>
          <w:caps w:val="0"/>
          <w:color w:val="333333"/>
          <w:spacing w:val="0"/>
          <w:sz w:val="28"/>
          <w:szCs w:val="28"/>
          <w:shd w:val="clear" w:color="auto" w:fill="FFFFFF"/>
        </w:rPr>
        <w:t>自收自支人员经费等</w:t>
      </w:r>
      <w:r>
        <w:rPr>
          <w:rFonts w:hint="eastAsia" w:ascii="宋体" w:hAnsi="宋体" w:eastAsia="宋体" w:cs="宋体"/>
          <w:i w:val="0"/>
          <w:caps w:val="0"/>
          <w:color w:val="333333"/>
          <w:spacing w:val="0"/>
          <w:sz w:val="28"/>
          <w:szCs w:val="28"/>
          <w:shd w:val="clear" w:color="auto" w:fill="FFFFFF"/>
          <w:lang w:eastAsia="zh-CN"/>
        </w:rPr>
        <w:t>。</w:t>
      </w:r>
    </w:p>
    <w:p>
      <w:pPr>
        <w:numPr>
          <w:ilvl w:val="0"/>
          <w:numId w:val="12"/>
        </w:numPr>
        <w:spacing w:line="560" w:lineRule="exact"/>
        <w:ind w:left="0" w:leftChars="0" w:firstLine="640" w:firstLineChars="200"/>
        <w:rPr>
          <w:rFonts w:eastAsia="仿宋_GB2312"/>
          <w:sz w:val="32"/>
          <w:szCs w:val="32"/>
        </w:rPr>
      </w:pPr>
      <w:r>
        <w:rPr>
          <w:rFonts w:eastAsia="仿宋_GB2312"/>
          <w:sz w:val="32"/>
          <w:szCs w:val="32"/>
        </w:rPr>
        <w:t>资金分配的原则及考虑因素。</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县卫生健康局根据往年我们中心的孕前优生优育健康检查对数作为基础，结合完成的质量、绩效考核结果综合考虑后向财政申请资金，县财政再将预算下拨在我们大平台里。</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（二）项目绩效目标。</w:t>
      </w:r>
    </w:p>
    <w:p>
      <w:pPr>
        <w:widowControl/>
        <w:spacing w:line="580" w:lineRule="exact"/>
        <w:ind w:firstLine="640" w:firstLineChars="200"/>
        <w:jc w:val="left"/>
        <w:rPr>
          <w:rFonts w:hint="eastAsia" w:ascii="仿宋_GB2312" w:hAnsi="Lucida Sans Unicode" w:eastAsia="仿宋_GB2312" w:cs="Lucida Sans Unicode"/>
          <w:color w:val="000000"/>
          <w:kern w:val="0"/>
          <w:sz w:val="32"/>
          <w:szCs w:val="32"/>
        </w:rPr>
      </w:pPr>
      <w:r>
        <w:rPr>
          <w:rFonts w:hint="eastAsia" w:ascii="仿宋_GB2312" w:hAnsi="Lucida Sans Unicode" w:eastAsia="仿宋_GB2312" w:cs="Lucida Sans Unicode"/>
          <w:color w:val="000000"/>
          <w:kern w:val="0"/>
          <w:sz w:val="32"/>
          <w:szCs w:val="32"/>
        </w:rPr>
        <w:t>孕前优生健康检查目前还是一项新生事物，必须通过宣传沟通让更多的部门，更多的人群了解才能保障目标人群的参与率。因此，一</w:t>
      </w:r>
      <w:r>
        <w:rPr>
          <w:rFonts w:hint="eastAsia" w:ascii="仿宋_GB2312" w:hAnsi="Lucida Sans Unicode" w:eastAsia="仿宋_GB2312" w:cs="Lucida Sans Unicode"/>
          <w:color w:val="000000"/>
          <w:kern w:val="0"/>
          <w:sz w:val="32"/>
          <w:szCs w:val="32"/>
          <w:lang w:eastAsia="zh-CN"/>
        </w:rPr>
        <w:t>、</w:t>
      </w:r>
      <w:r>
        <w:rPr>
          <w:rFonts w:hint="eastAsia" w:ascii="仿宋_GB2312" w:hAnsi="Lucida Sans Unicode" w:eastAsia="仿宋_GB2312" w:cs="Lucida Sans Unicode"/>
          <w:color w:val="000000"/>
          <w:kern w:val="0"/>
          <w:sz w:val="32"/>
          <w:szCs w:val="32"/>
        </w:rPr>
        <w:t>发放孕前医学检查宣传资料，二、利用婚前医学检查平台，广泛宣传目标人群的孕前优生健康检查意义、检查项目、接受检查的方法等进行宣传。三、加强与乡镇计生办的协调依托计划生育服务人员入户宣传教育，能够扩大孕前健康检查服务知晓率。</w:t>
      </w:r>
      <w:r>
        <w:rPr>
          <w:rFonts w:hint="eastAsia" w:ascii="仿宋_GB2312" w:eastAsia="仿宋_GB2312"/>
          <w:sz w:val="32"/>
          <w:szCs w:val="32"/>
        </w:rPr>
        <w:t>四、</w:t>
      </w:r>
      <w:r>
        <w:rPr>
          <w:rFonts w:ascii="仿宋_GB2312" w:eastAsia="仿宋_GB2312"/>
          <w:sz w:val="32"/>
          <w:szCs w:val="32"/>
        </w:rPr>
        <w:t>通过讲座、宣传折页</w:t>
      </w:r>
      <w:r>
        <w:rPr>
          <w:rFonts w:hint="eastAsia" w:ascii="仿宋_GB2312" w:eastAsia="仿宋_GB2312"/>
          <w:sz w:val="32"/>
          <w:szCs w:val="32"/>
        </w:rPr>
        <w:t>面对面</w:t>
      </w:r>
      <w:r>
        <w:rPr>
          <w:rFonts w:ascii="仿宋_GB2312" w:eastAsia="仿宋_GB2312"/>
          <w:sz w:val="32"/>
          <w:szCs w:val="32"/>
        </w:rPr>
        <w:t>等</w:t>
      </w:r>
      <w:r>
        <w:rPr>
          <w:rFonts w:hint="eastAsia" w:ascii="仿宋_GB2312" w:eastAsia="仿宋_GB2312"/>
          <w:sz w:val="32"/>
          <w:szCs w:val="32"/>
        </w:rPr>
        <w:t>多种方式</w:t>
      </w:r>
      <w:r>
        <w:rPr>
          <w:rFonts w:ascii="仿宋_GB2312" w:eastAsia="仿宋_GB2312"/>
          <w:sz w:val="32"/>
          <w:szCs w:val="32"/>
        </w:rPr>
        <w:t>，</w:t>
      </w:r>
      <w:r>
        <w:rPr>
          <w:rFonts w:hint="eastAsia" w:ascii="仿宋_GB2312" w:eastAsia="仿宋_GB2312"/>
          <w:sz w:val="32"/>
          <w:szCs w:val="32"/>
        </w:rPr>
        <w:t>向计划怀孕夫妇宣传优生科学知识及出生缺陷预防意识，引导计划怀孕夫妇树立“健康饮食、健康行为、健康环境、健康父母、健康婴儿”的预防观念，积极引导夫妇接受知识，转变态度，改变行为，共同接受孕前优生检查，做好孕前准备。我院印制了相关宣传资料</w:t>
      </w:r>
      <w:r>
        <w:rPr>
          <w:rFonts w:ascii="仿宋_GB2312" w:eastAsia="仿宋_GB2312"/>
          <w:sz w:val="32"/>
          <w:szCs w:val="32"/>
        </w:rPr>
        <w:t>发放到</w:t>
      </w:r>
      <w:r>
        <w:rPr>
          <w:rFonts w:hint="eastAsia" w:ascii="仿宋_GB2312" w:eastAsia="仿宋_GB2312"/>
          <w:sz w:val="32"/>
          <w:szCs w:val="32"/>
        </w:rPr>
        <w:t>新婚夫妇及</w:t>
      </w:r>
      <w:r>
        <w:rPr>
          <w:rFonts w:ascii="仿宋_GB2312" w:eastAsia="仿宋_GB2312"/>
          <w:sz w:val="32"/>
          <w:szCs w:val="32"/>
        </w:rPr>
        <w:t>每个计划待孕夫妇本人或其亲戚手中</w:t>
      </w:r>
      <w:r>
        <w:rPr>
          <w:rFonts w:hint="eastAsia" w:ascii="仿宋_GB2312" w:eastAsia="仿宋_GB2312"/>
          <w:sz w:val="32"/>
          <w:szCs w:val="32"/>
        </w:rPr>
        <w:t>；共发放各类宣传品3000余册，</w:t>
      </w:r>
      <w:r>
        <w:rPr>
          <w:rFonts w:hint="eastAsia" w:ascii="仿宋_GB2312" w:hAnsi="Lucida Sans Unicode" w:eastAsia="仿宋_GB2312" w:cs="Lucida Sans Unicode"/>
          <w:kern w:val="0"/>
          <w:sz w:val="32"/>
          <w:szCs w:val="32"/>
        </w:rPr>
        <w:t>让</w:t>
      </w:r>
      <w:r>
        <w:rPr>
          <w:rFonts w:hint="eastAsia" w:ascii="仿宋_GB2312" w:hAnsi="Lucida Sans Unicode" w:eastAsia="仿宋_GB2312" w:cs="Lucida Sans Unicode"/>
          <w:kern w:val="0"/>
          <w:sz w:val="32"/>
          <w:szCs w:val="32"/>
        </w:rPr>
        <w:fldChar w:fldCharType="begin"/>
      </w:r>
      <w:r>
        <w:rPr>
          <w:rFonts w:hint="eastAsia" w:ascii="仿宋_GB2312" w:hAnsi="Lucida Sans Unicode" w:eastAsia="仿宋_GB2312" w:cs="Lucida Sans Unicode"/>
          <w:kern w:val="0"/>
          <w:sz w:val="32"/>
          <w:szCs w:val="32"/>
        </w:rPr>
        <w:instrText xml:space="preserve"> HYPERLINK "http://www.ttzyw.com/Article/index.html" \t "_blank" </w:instrText>
      </w:r>
      <w:r>
        <w:rPr>
          <w:rFonts w:hint="eastAsia" w:ascii="仿宋_GB2312" w:hAnsi="Lucida Sans Unicode" w:eastAsia="仿宋_GB2312" w:cs="Lucida Sans Unicode"/>
          <w:kern w:val="0"/>
          <w:sz w:val="32"/>
          <w:szCs w:val="32"/>
        </w:rPr>
        <w:fldChar w:fldCharType="separate"/>
      </w:r>
      <w:r>
        <w:rPr>
          <w:rFonts w:hint="eastAsia" w:ascii="仿宋_GB2312" w:hAnsi="Lucida Sans Unicode" w:eastAsia="仿宋_GB2312" w:cs="Lucida Sans Unicode"/>
          <w:kern w:val="0"/>
          <w:sz w:val="32"/>
          <w:szCs w:val="32"/>
        </w:rPr>
        <w:t>计划</w:t>
      </w:r>
      <w:r>
        <w:rPr>
          <w:rFonts w:hint="eastAsia" w:ascii="仿宋_GB2312" w:hAnsi="Lucida Sans Unicode" w:eastAsia="仿宋_GB2312" w:cs="Lucida Sans Unicode"/>
          <w:kern w:val="0"/>
          <w:sz w:val="32"/>
          <w:szCs w:val="32"/>
        </w:rPr>
        <w:fldChar w:fldCharType="end"/>
      </w:r>
      <w:r>
        <w:rPr>
          <w:rFonts w:hint="eastAsia" w:ascii="仿宋_GB2312" w:hAnsi="Lucida Sans Unicode" w:eastAsia="仿宋_GB2312" w:cs="Lucida Sans Unicode"/>
          <w:kern w:val="0"/>
          <w:sz w:val="32"/>
          <w:szCs w:val="32"/>
        </w:rPr>
        <w:t>怀孕夫妇知晓预防出生缺陷的科学知识，树立优生意识，主动接受孕前优生健康检查。五、开展社会宣传活动，提高社会各界和广大人民群众对国家免费孕前优生健康检查的认知度。</w:t>
      </w:r>
    </w:p>
    <w:p>
      <w:pPr>
        <w:numPr>
          <w:ilvl w:val="0"/>
          <w:numId w:val="13"/>
        </w:numPr>
        <w:spacing w:line="560" w:lineRule="exact"/>
        <w:ind w:firstLine="640" w:firstLineChars="200"/>
        <w:rPr>
          <w:rFonts w:eastAsia="仿宋_GB2312"/>
          <w:sz w:val="32"/>
          <w:szCs w:val="32"/>
        </w:rPr>
      </w:pPr>
      <w:r>
        <w:rPr>
          <w:rFonts w:eastAsia="仿宋_GB2312"/>
          <w:sz w:val="32"/>
          <w:szCs w:val="32"/>
        </w:rPr>
        <w:t>项目应实现的具体绩效目标，包括目标的量化、细化情况以及项目实施进度计划等。</w:t>
      </w:r>
    </w:p>
    <w:p>
      <w:pPr>
        <w:numPr>
          <w:ilvl w:val="0"/>
          <w:numId w:val="0"/>
        </w:numPr>
        <w:spacing w:line="560" w:lineRule="exact"/>
        <w:ind w:firstLine="640" w:firstLineChars="200"/>
        <w:rPr>
          <w:rFonts w:hint="eastAsia" w:eastAsia="仿宋_GB2312"/>
          <w:sz w:val="32"/>
          <w:szCs w:val="32"/>
          <w:lang w:eastAsia="zh-CN"/>
        </w:rPr>
      </w:pPr>
      <w:r>
        <w:rPr>
          <w:rFonts w:hint="eastAsia" w:eastAsia="仿宋_GB2312"/>
          <w:sz w:val="32"/>
          <w:szCs w:val="32"/>
        </w:rPr>
        <w:t>1、202</w:t>
      </w:r>
      <w:r>
        <w:rPr>
          <w:rFonts w:hint="eastAsia" w:eastAsia="仿宋_GB2312"/>
          <w:sz w:val="32"/>
          <w:szCs w:val="32"/>
          <w:lang w:val="en-US" w:eastAsia="zh-CN"/>
        </w:rPr>
        <w:t>1</w:t>
      </w:r>
      <w:r>
        <w:rPr>
          <w:rFonts w:hint="eastAsia" w:eastAsia="仿宋_GB2312"/>
          <w:sz w:val="32"/>
          <w:szCs w:val="32"/>
        </w:rPr>
        <w:t>年1月-12月妇幼保健服务中心免费孕前健康检查筛查出的高风险人群209人</w:t>
      </w:r>
      <w:r>
        <w:rPr>
          <w:rFonts w:hint="eastAsia" w:eastAsia="仿宋_GB2312"/>
          <w:sz w:val="32"/>
          <w:szCs w:val="32"/>
          <w:lang w:eastAsia="zh-CN"/>
        </w:rPr>
        <w:t>。</w:t>
      </w:r>
    </w:p>
    <w:p>
      <w:pPr>
        <w:numPr>
          <w:ilvl w:val="0"/>
          <w:numId w:val="19"/>
        </w:numPr>
        <w:spacing w:line="560" w:lineRule="exact"/>
        <w:ind w:firstLine="640" w:firstLineChars="200"/>
        <w:rPr>
          <w:rFonts w:hint="eastAsia" w:eastAsia="仿宋_GB2312"/>
          <w:sz w:val="32"/>
          <w:szCs w:val="32"/>
        </w:rPr>
      </w:pPr>
      <w:r>
        <w:rPr>
          <w:rFonts w:hint="eastAsia" w:eastAsia="仿宋_GB2312"/>
          <w:sz w:val="32"/>
          <w:szCs w:val="32"/>
        </w:rPr>
        <w:t>三病传染防治：202</w:t>
      </w:r>
      <w:r>
        <w:rPr>
          <w:rFonts w:hint="eastAsia" w:eastAsia="仿宋_GB2312"/>
          <w:sz w:val="32"/>
          <w:szCs w:val="32"/>
          <w:lang w:val="en-US" w:eastAsia="zh-CN"/>
        </w:rPr>
        <w:t>1</w:t>
      </w:r>
      <w:r>
        <w:rPr>
          <w:rFonts w:hint="eastAsia" w:eastAsia="仿宋_GB2312"/>
          <w:sz w:val="32"/>
          <w:szCs w:val="32"/>
        </w:rPr>
        <w:t>年我院查出乙肝病毒携带者33人，初筛查出梅毒阳性5人，复查确诊梅毒感染3人，为已经治疗人员，HIV初筛阳性1人，为疾控中心服药人员，对艾滋病、乙肝、梅毒给予转诊“三病办”随访跟踪治疗阻断，预防母婴传播。</w:t>
      </w:r>
    </w:p>
    <w:p>
      <w:pPr>
        <w:numPr>
          <w:ilvl w:val="0"/>
          <w:numId w:val="0"/>
        </w:numPr>
        <w:spacing w:line="560" w:lineRule="exact"/>
        <w:ind w:firstLine="640" w:firstLineChars="200"/>
        <w:rPr>
          <w:rFonts w:hint="eastAsia" w:eastAsia="仿宋_GB2312"/>
          <w:sz w:val="32"/>
          <w:szCs w:val="32"/>
        </w:rPr>
      </w:pPr>
      <w:r>
        <w:rPr>
          <w:rFonts w:hint="eastAsia" w:eastAsia="仿宋_GB2312"/>
          <w:sz w:val="32"/>
          <w:szCs w:val="32"/>
        </w:rPr>
        <w:t>3、202</w:t>
      </w:r>
      <w:r>
        <w:rPr>
          <w:rFonts w:hint="eastAsia" w:eastAsia="仿宋_GB2312"/>
          <w:sz w:val="32"/>
          <w:szCs w:val="32"/>
          <w:lang w:val="en-US" w:eastAsia="zh-CN"/>
        </w:rPr>
        <w:t>1</w:t>
      </w:r>
      <w:r>
        <w:rPr>
          <w:rFonts w:hint="eastAsia" w:eastAsia="仿宋_GB2312"/>
          <w:sz w:val="32"/>
          <w:szCs w:val="32"/>
        </w:rPr>
        <w:t>年已为</w:t>
      </w:r>
      <w:r>
        <w:rPr>
          <w:rFonts w:hint="eastAsia" w:eastAsia="仿宋_GB2312"/>
          <w:sz w:val="32"/>
          <w:szCs w:val="32"/>
          <w:lang w:val="en-US" w:eastAsia="zh-CN"/>
        </w:rPr>
        <w:t>638</w:t>
      </w:r>
      <w:r>
        <w:rPr>
          <w:rFonts w:hint="eastAsia" w:eastAsia="仿宋_GB2312"/>
          <w:sz w:val="32"/>
          <w:szCs w:val="32"/>
        </w:rPr>
        <w:t>人提供了免费孕前优生健康检查。</w:t>
      </w:r>
    </w:p>
    <w:p>
      <w:pPr>
        <w:numPr>
          <w:ilvl w:val="0"/>
          <w:numId w:val="0"/>
        </w:numPr>
        <w:spacing w:line="560" w:lineRule="exact"/>
        <w:ind w:firstLine="0" w:firstLineChars="0"/>
        <w:rPr>
          <w:rFonts w:eastAsia="仿宋_GB2312"/>
          <w:sz w:val="32"/>
          <w:szCs w:val="32"/>
        </w:rPr>
      </w:pPr>
      <w:r>
        <w:rPr>
          <w:rFonts w:hint="eastAsia" w:eastAsia="仿宋_GB2312"/>
          <w:sz w:val="32"/>
          <w:szCs w:val="32"/>
          <w:lang w:val="en-US" w:eastAsia="zh-CN"/>
        </w:rPr>
        <w:t>3.</w:t>
      </w:r>
      <w:r>
        <w:rPr>
          <w:rFonts w:eastAsia="仿宋_GB2312"/>
          <w:sz w:val="32"/>
          <w:szCs w:val="32"/>
        </w:rPr>
        <w:t>分析评价申报内容是否与实际相符，申报目标是否合理可行。</w:t>
      </w:r>
    </w:p>
    <w:p>
      <w:pPr>
        <w:autoSpaceDE w:val="0"/>
        <w:autoSpaceDN w:val="0"/>
        <w:adjustRightInd w:val="0"/>
        <w:spacing w:line="600" w:lineRule="exact"/>
        <w:ind w:firstLine="660" w:firstLineChars="200"/>
        <w:jc w:val="left"/>
        <w:rPr>
          <w:rFonts w:ascii="Times New Roman" w:hAnsi="Times New Roman" w:eastAsia="仿宋_GB2312"/>
          <w:kern w:val="0"/>
          <w:sz w:val="32"/>
          <w:szCs w:val="32"/>
        </w:rPr>
      </w:pPr>
      <w:r>
        <w:rPr>
          <w:rFonts w:hint="default" w:ascii="Times New Roman" w:hAnsi="Times New Roman" w:eastAsia="仿宋_GB2312" w:cs="Times New Roman"/>
          <w:color w:val="000000"/>
          <w:kern w:val="0"/>
          <w:sz w:val="33"/>
          <w:szCs w:val="33"/>
          <w:lang w:eastAsia="zh-CN"/>
        </w:rPr>
        <w:t>按照省、市</w:t>
      </w:r>
      <w:r>
        <w:rPr>
          <w:rFonts w:hint="eastAsia" w:eastAsia="仿宋_GB2312" w:cs="Times New Roman"/>
          <w:color w:val="000000"/>
          <w:kern w:val="0"/>
          <w:sz w:val="33"/>
          <w:szCs w:val="33"/>
          <w:lang w:eastAsia="zh-CN"/>
        </w:rPr>
        <w:t>、县</w:t>
      </w:r>
      <w:r>
        <w:rPr>
          <w:rFonts w:hint="default" w:ascii="Times New Roman" w:hAnsi="Times New Roman" w:eastAsia="仿宋_GB2312" w:cs="Times New Roman"/>
          <w:color w:val="000000"/>
          <w:kern w:val="0"/>
          <w:sz w:val="33"/>
          <w:szCs w:val="33"/>
          <w:lang w:eastAsia="zh-CN"/>
        </w:rPr>
        <w:t>印发的</w:t>
      </w:r>
      <w:r>
        <w:rPr>
          <w:rFonts w:hint="eastAsia" w:eastAsia="仿宋_GB2312" w:cs="Times New Roman"/>
          <w:color w:val="000000"/>
          <w:kern w:val="0"/>
          <w:sz w:val="33"/>
          <w:szCs w:val="33"/>
          <w:lang w:eastAsia="zh-CN"/>
        </w:rPr>
        <w:t>孕前优生优育健康检查的</w:t>
      </w:r>
      <w:r>
        <w:rPr>
          <w:rFonts w:hint="default" w:ascii="Times New Roman" w:hAnsi="Times New Roman" w:eastAsia="仿宋_GB2312" w:cs="Times New Roman"/>
          <w:color w:val="000000"/>
          <w:kern w:val="0"/>
          <w:sz w:val="33"/>
          <w:szCs w:val="33"/>
          <w:lang w:eastAsia="zh-CN"/>
        </w:rPr>
        <w:t>实施方案要求，制定符合我</w:t>
      </w:r>
      <w:r>
        <w:rPr>
          <w:rFonts w:hint="eastAsia" w:eastAsia="仿宋_GB2312" w:cs="Times New Roman"/>
          <w:color w:val="000000"/>
          <w:kern w:val="0"/>
          <w:sz w:val="33"/>
          <w:szCs w:val="33"/>
          <w:lang w:eastAsia="zh-CN"/>
        </w:rPr>
        <w:t>中心</w:t>
      </w:r>
      <w:r>
        <w:rPr>
          <w:rFonts w:hint="default" w:ascii="Times New Roman" w:hAnsi="Times New Roman" w:eastAsia="仿宋_GB2312" w:cs="Times New Roman"/>
          <w:color w:val="000000"/>
          <w:kern w:val="0"/>
          <w:sz w:val="33"/>
          <w:szCs w:val="33"/>
          <w:lang w:eastAsia="zh-CN"/>
        </w:rPr>
        <w:t>的项目实施方案</w:t>
      </w:r>
      <w:r>
        <w:rPr>
          <w:rFonts w:hint="eastAsia" w:ascii="Times New Roman" w:hAnsi="Times New Roman" w:eastAsia="仿宋_GB2312" w:cs="Times New Roman"/>
          <w:color w:val="000000"/>
          <w:kern w:val="0"/>
          <w:sz w:val="33"/>
          <w:szCs w:val="33"/>
          <w:lang w:eastAsia="zh-CN"/>
        </w:rPr>
        <w:t>，分解细化目标任务，确保了目标任务全面完成</w:t>
      </w:r>
      <w:r>
        <w:rPr>
          <w:rFonts w:hint="default" w:ascii="Times New Roman" w:hAnsi="Times New Roman" w:eastAsia="仿宋_GB2312" w:cs="Times New Roman"/>
          <w:color w:val="000000"/>
          <w:kern w:val="0"/>
          <w:sz w:val="33"/>
          <w:szCs w:val="33"/>
          <w:lang w:eastAsia="zh-CN"/>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黑体"/>
          <w:kern w:val="0"/>
          <w:sz w:val="32"/>
          <w:szCs w:val="32"/>
        </w:rPr>
        <w:t>二、项目资金申报及使用情况</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（一）项目资金申报及批复情况。</w:t>
      </w:r>
    </w:p>
    <w:p>
      <w:pPr>
        <w:spacing w:line="560" w:lineRule="exact"/>
        <w:ind w:firstLine="640" w:firstLineChars="200"/>
        <w:rPr>
          <w:rFonts w:eastAsia="仿宋_GB2312"/>
          <w:sz w:val="32"/>
          <w:szCs w:val="32"/>
        </w:rPr>
      </w:pPr>
      <w:r>
        <w:rPr>
          <w:rFonts w:eastAsia="仿宋_GB2312"/>
          <w:sz w:val="32"/>
          <w:szCs w:val="32"/>
        </w:rPr>
        <w:t>说明项目资金申报、批复及预算调整等程序的相关情况。</w:t>
      </w:r>
    </w:p>
    <w:p>
      <w:pPr>
        <w:spacing w:line="560" w:lineRule="exact"/>
        <w:ind w:firstLine="660" w:firstLineChars="200"/>
        <w:rPr>
          <w:rFonts w:eastAsia="仿宋_GB2312"/>
          <w:sz w:val="32"/>
          <w:szCs w:val="32"/>
        </w:rPr>
      </w:pPr>
      <w:r>
        <w:rPr>
          <w:rFonts w:hint="eastAsia" w:eastAsia="仿宋_GB2312" w:cs="Times New Roman"/>
          <w:color w:val="000000"/>
          <w:kern w:val="0"/>
          <w:sz w:val="33"/>
          <w:szCs w:val="33"/>
          <w:lang w:eastAsia="zh-CN"/>
        </w:rPr>
        <w:t>孕前优生优育健康检查</w:t>
      </w:r>
      <w:r>
        <w:rPr>
          <w:rFonts w:hint="default" w:ascii="Times New Roman" w:hAnsi="Times New Roman" w:eastAsia="仿宋_GB2312" w:cs="Times New Roman"/>
          <w:color w:val="000000"/>
          <w:kern w:val="0"/>
          <w:sz w:val="33"/>
          <w:szCs w:val="33"/>
        </w:rPr>
        <w:t>资金</w:t>
      </w:r>
      <w:r>
        <w:rPr>
          <w:rFonts w:hint="eastAsia" w:ascii="Times New Roman" w:hAnsi="Times New Roman" w:eastAsia="仿宋_GB2312" w:cs="Times New Roman"/>
          <w:color w:val="000000"/>
          <w:kern w:val="0"/>
          <w:sz w:val="33"/>
          <w:szCs w:val="33"/>
          <w:lang w:eastAsia="zh-CN"/>
        </w:rPr>
        <w:t>由县卫生健康局组织</w:t>
      </w:r>
      <w:r>
        <w:rPr>
          <w:rFonts w:hint="default" w:ascii="Times New Roman" w:hAnsi="Times New Roman" w:eastAsia="仿宋_GB2312" w:cs="Times New Roman"/>
          <w:color w:val="000000"/>
          <w:kern w:val="0"/>
          <w:sz w:val="33"/>
          <w:szCs w:val="33"/>
        </w:rPr>
        <w:t>申报、</w:t>
      </w:r>
      <w:r>
        <w:rPr>
          <w:rFonts w:hint="eastAsia" w:ascii="Times New Roman" w:hAnsi="Times New Roman" w:eastAsia="仿宋_GB2312" w:cs="Times New Roman"/>
          <w:color w:val="000000"/>
          <w:kern w:val="0"/>
          <w:sz w:val="33"/>
          <w:szCs w:val="33"/>
          <w:lang w:eastAsia="zh-CN"/>
        </w:rPr>
        <w:t>县财政根据实际情况予以</w:t>
      </w:r>
      <w:r>
        <w:rPr>
          <w:rFonts w:hint="default" w:ascii="Times New Roman" w:hAnsi="Times New Roman" w:eastAsia="仿宋_GB2312" w:cs="Times New Roman"/>
          <w:color w:val="000000"/>
          <w:kern w:val="0"/>
          <w:sz w:val="33"/>
          <w:szCs w:val="33"/>
        </w:rPr>
        <w:t>批复及</w:t>
      </w:r>
      <w:r>
        <w:rPr>
          <w:rFonts w:hint="eastAsia" w:ascii="Times New Roman" w:hAnsi="Times New Roman" w:eastAsia="仿宋_GB2312" w:cs="Times New Roman"/>
          <w:color w:val="000000"/>
          <w:kern w:val="0"/>
          <w:sz w:val="33"/>
          <w:szCs w:val="33"/>
          <w:lang w:eastAsia="zh-CN"/>
        </w:rPr>
        <w:t>进行下拨</w:t>
      </w:r>
      <w:r>
        <w:rPr>
          <w:rFonts w:hint="default" w:ascii="Times New Roman" w:hAnsi="Times New Roman" w:eastAsia="仿宋_GB2312" w:cs="Times New Roman"/>
          <w:color w:val="000000"/>
          <w:kern w:val="0"/>
          <w:sz w:val="33"/>
          <w:szCs w:val="33"/>
        </w:rPr>
        <w:t>预算</w:t>
      </w:r>
      <w:r>
        <w:rPr>
          <w:rFonts w:hint="eastAsia" w:ascii="Times New Roman" w:hAnsi="Times New Roman" w:eastAsia="仿宋_GB2312" w:cs="Times New Roman"/>
          <w:color w:val="000000"/>
          <w:kern w:val="0"/>
          <w:sz w:val="33"/>
          <w:szCs w:val="33"/>
          <w:lang w:eastAsia="zh-CN"/>
        </w:rPr>
        <w:t>至大平台上</w:t>
      </w:r>
      <w:r>
        <w:rPr>
          <w:rFonts w:hint="default" w:ascii="Times New Roman" w:hAnsi="Times New Roman" w:eastAsia="仿宋_GB2312" w:cs="Times New Roman"/>
          <w:color w:val="000000"/>
          <w:kern w:val="0"/>
          <w:sz w:val="33"/>
          <w:szCs w:val="33"/>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（二）资金计划、到位及使用情况。</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1．资金计划。</w:t>
      </w:r>
    </w:p>
    <w:p>
      <w:pPr>
        <w:autoSpaceDE w:val="0"/>
        <w:autoSpaceDN w:val="0"/>
        <w:adjustRightInd w:val="0"/>
        <w:spacing w:line="600" w:lineRule="exact"/>
        <w:ind w:firstLine="640" w:firstLineChars="200"/>
        <w:jc w:val="left"/>
        <w:rPr>
          <w:rFonts w:hint="eastAsia" w:ascii="宋体" w:hAnsi="宋体" w:eastAsia="宋体" w:cs="宋体"/>
          <w:i w:val="0"/>
          <w:caps w:val="0"/>
          <w:color w:val="333333"/>
          <w:spacing w:val="0"/>
          <w:sz w:val="28"/>
          <w:szCs w:val="28"/>
          <w:shd w:val="clear" w:color="auto" w:fill="FFFFFF"/>
          <w:lang w:eastAsia="zh-CN"/>
        </w:rPr>
      </w:pPr>
      <w:r>
        <w:rPr>
          <w:rFonts w:hint="eastAsia" w:eastAsia="仿宋_GB2312"/>
          <w:sz w:val="32"/>
          <w:szCs w:val="32"/>
          <w:lang w:eastAsia="zh-CN"/>
        </w:rPr>
        <w:t>根据盐财资行【202</w:t>
      </w:r>
      <w:r>
        <w:rPr>
          <w:rFonts w:hint="eastAsia" w:eastAsia="仿宋_GB2312"/>
          <w:sz w:val="32"/>
          <w:szCs w:val="32"/>
          <w:lang w:val="en-US" w:eastAsia="zh-CN"/>
        </w:rPr>
        <w:t>1</w:t>
      </w:r>
      <w:r>
        <w:rPr>
          <w:rFonts w:hint="eastAsia" w:eastAsia="仿宋_GB2312"/>
          <w:sz w:val="32"/>
          <w:szCs w:val="32"/>
          <w:lang w:eastAsia="zh-CN"/>
        </w:rPr>
        <w:t>】</w:t>
      </w:r>
      <w:r>
        <w:rPr>
          <w:rFonts w:hint="eastAsia" w:eastAsia="仿宋_GB2312"/>
          <w:sz w:val="32"/>
          <w:szCs w:val="32"/>
          <w:lang w:val="en-US" w:eastAsia="zh-CN"/>
        </w:rPr>
        <w:t>40</w:t>
      </w:r>
      <w:r>
        <w:rPr>
          <w:rFonts w:hint="eastAsia" w:eastAsia="仿宋_GB2312"/>
          <w:sz w:val="32"/>
          <w:szCs w:val="32"/>
          <w:lang w:eastAsia="zh-CN"/>
        </w:rPr>
        <w:t>号下达202</w:t>
      </w:r>
      <w:r>
        <w:rPr>
          <w:rFonts w:hint="eastAsia" w:eastAsia="仿宋_GB2312"/>
          <w:sz w:val="32"/>
          <w:szCs w:val="32"/>
          <w:lang w:val="en-US" w:eastAsia="zh-CN"/>
        </w:rPr>
        <w:t>1</w:t>
      </w:r>
      <w:r>
        <w:rPr>
          <w:rFonts w:hint="eastAsia" w:eastAsia="仿宋_GB2312"/>
          <w:sz w:val="32"/>
          <w:szCs w:val="32"/>
          <w:lang w:eastAsia="zh-CN"/>
        </w:rPr>
        <w:t>年基本公共卫生服务中央补助资金（孕检补助</w:t>
      </w:r>
      <w:r>
        <w:rPr>
          <w:rFonts w:hint="eastAsia" w:eastAsia="仿宋_GB2312"/>
          <w:sz w:val="32"/>
          <w:szCs w:val="32"/>
          <w:lang w:val="en-US" w:eastAsia="zh-CN"/>
        </w:rPr>
        <w:t>14.62万元</w:t>
      </w:r>
      <w:r>
        <w:rPr>
          <w:rFonts w:hint="eastAsia" w:eastAsia="仿宋_GB2312"/>
          <w:sz w:val="32"/>
          <w:szCs w:val="32"/>
          <w:lang w:eastAsia="zh-CN"/>
        </w:rPr>
        <w:t>）</w:t>
      </w:r>
      <w:r>
        <w:rPr>
          <w:rFonts w:hint="eastAsia" w:eastAsia="仿宋_GB2312"/>
          <w:sz w:val="32"/>
          <w:szCs w:val="32"/>
          <w:lang w:val="en-US" w:eastAsia="zh-CN"/>
        </w:rPr>
        <w:t>并结合资金的使用范围，</w:t>
      </w:r>
      <w:r>
        <w:rPr>
          <w:rFonts w:hint="eastAsia" w:ascii="宋体" w:hAnsi="宋体" w:eastAsia="宋体" w:cs="宋体"/>
          <w:i w:val="0"/>
          <w:caps w:val="0"/>
          <w:color w:val="333333"/>
          <w:spacing w:val="0"/>
          <w:sz w:val="28"/>
          <w:szCs w:val="28"/>
          <w:shd w:val="clear" w:color="auto" w:fill="FFFFFF"/>
        </w:rPr>
        <w:t>主要用于：宣传发</w:t>
      </w:r>
      <w:r>
        <w:rPr>
          <w:rFonts w:hint="eastAsia" w:ascii="宋体" w:hAnsi="宋体" w:eastAsia="宋体" w:cs="宋体"/>
          <w:i w:val="0"/>
          <w:caps w:val="0"/>
          <w:color w:val="333333"/>
          <w:spacing w:val="0"/>
          <w:sz w:val="28"/>
          <w:szCs w:val="28"/>
          <w:shd w:val="clear" w:color="auto" w:fill="FFFFFF"/>
          <w:lang w:eastAsia="zh-CN"/>
        </w:rPr>
        <w:t>放</w:t>
      </w:r>
      <w:r>
        <w:rPr>
          <w:rFonts w:hint="eastAsia" w:ascii="宋体" w:hAnsi="宋体" w:eastAsia="宋体" w:cs="宋体"/>
          <w:i w:val="0"/>
          <w:caps w:val="0"/>
          <w:color w:val="333333"/>
          <w:spacing w:val="0"/>
          <w:sz w:val="28"/>
          <w:szCs w:val="28"/>
          <w:shd w:val="clear" w:color="auto" w:fill="FFFFFF"/>
        </w:rPr>
        <w:t>、业务培训、医用耗材、</w:t>
      </w:r>
      <w:r>
        <w:rPr>
          <w:rFonts w:hint="eastAsia" w:ascii="宋体" w:hAnsi="宋体" w:eastAsia="宋体" w:cs="宋体"/>
          <w:i w:val="0"/>
          <w:caps w:val="0"/>
          <w:color w:val="333333"/>
          <w:spacing w:val="0"/>
          <w:sz w:val="28"/>
          <w:szCs w:val="28"/>
          <w:shd w:val="clear" w:color="auto" w:fill="FFFFFF"/>
          <w:lang w:eastAsia="zh-CN"/>
        </w:rPr>
        <w:t>购买试剂、设备、</w:t>
      </w:r>
      <w:r>
        <w:rPr>
          <w:rFonts w:hint="eastAsia" w:ascii="宋体" w:hAnsi="宋体" w:eastAsia="宋体" w:cs="宋体"/>
          <w:i w:val="0"/>
          <w:caps w:val="0"/>
          <w:color w:val="333333"/>
          <w:spacing w:val="0"/>
          <w:sz w:val="28"/>
          <w:szCs w:val="28"/>
          <w:shd w:val="clear" w:color="auto" w:fill="FFFFFF"/>
        </w:rPr>
        <w:t>自收自支人员经费等</w:t>
      </w:r>
      <w:r>
        <w:rPr>
          <w:rFonts w:hint="eastAsia" w:ascii="宋体" w:hAnsi="宋体" w:eastAsia="宋体" w:cs="宋体"/>
          <w:i w:val="0"/>
          <w:caps w:val="0"/>
          <w:color w:val="333333"/>
          <w:spacing w:val="0"/>
          <w:sz w:val="28"/>
          <w:szCs w:val="28"/>
          <w:shd w:val="clear" w:color="auto" w:fill="FFFFFF"/>
          <w:lang w:eastAsia="zh-CN"/>
        </w:rPr>
        <w:t>。</w:t>
      </w:r>
    </w:p>
    <w:p>
      <w:pPr>
        <w:numPr>
          <w:ilvl w:val="0"/>
          <w:numId w:val="13"/>
        </w:num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资金到位。</w:t>
      </w:r>
    </w:p>
    <w:p>
      <w:pPr>
        <w:numPr>
          <w:ilvl w:val="0"/>
          <w:numId w:val="0"/>
        </w:num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hint="eastAsia" w:eastAsia="仿宋_GB2312"/>
          <w:sz w:val="32"/>
          <w:szCs w:val="32"/>
          <w:lang w:eastAsia="zh-CN"/>
        </w:rPr>
        <w:t>根据盐财资行【202</w:t>
      </w:r>
      <w:r>
        <w:rPr>
          <w:rFonts w:hint="eastAsia" w:eastAsia="仿宋_GB2312"/>
          <w:sz w:val="32"/>
          <w:szCs w:val="32"/>
          <w:lang w:val="en-US" w:eastAsia="zh-CN"/>
        </w:rPr>
        <w:t>1</w:t>
      </w:r>
      <w:r>
        <w:rPr>
          <w:rFonts w:hint="eastAsia" w:eastAsia="仿宋_GB2312"/>
          <w:sz w:val="32"/>
          <w:szCs w:val="32"/>
          <w:lang w:eastAsia="zh-CN"/>
        </w:rPr>
        <w:t>】</w:t>
      </w:r>
      <w:r>
        <w:rPr>
          <w:rFonts w:hint="eastAsia" w:eastAsia="仿宋_GB2312"/>
          <w:sz w:val="32"/>
          <w:szCs w:val="32"/>
          <w:lang w:val="en-US" w:eastAsia="zh-CN"/>
        </w:rPr>
        <w:t>40</w:t>
      </w:r>
      <w:r>
        <w:rPr>
          <w:rFonts w:hint="eastAsia" w:eastAsia="仿宋_GB2312"/>
          <w:sz w:val="32"/>
          <w:szCs w:val="32"/>
          <w:lang w:eastAsia="zh-CN"/>
        </w:rPr>
        <w:t>号下达202</w:t>
      </w:r>
      <w:r>
        <w:rPr>
          <w:rFonts w:hint="eastAsia" w:eastAsia="仿宋_GB2312"/>
          <w:sz w:val="32"/>
          <w:szCs w:val="32"/>
          <w:lang w:val="en-US" w:eastAsia="zh-CN"/>
        </w:rPr>
        <w:t>1</w:t>
      </w:r>
      <w:r>
        <w:rPr>
          <w:rFonts w:hint="eastAsia" w:eastAsia="仿宋_GB2312"/>
          <w:sz w:val="32"/>
          <w:szCs w:val="32"/>
          <w:lang w:eastAsia="zh-CN"/>
        </w:rPr>
        <w:t>年基本公共卫生服务中央补助资金（孕检补助</w:t>
      </w:r>
      <w:r>
        <w:rPr>
          <w:rFonts w:hint="eastAsia" w:eastAsia="仿宋_GB2312"/>
          <w:sz w:val="32"/>
          <w:szCs w:val="32"/>
          <w:lang w:val="en-US" w:eastAsia="zh-CN"/>
        </w:rPr>
        <w:t>14.62万元</w:t>
      </w:r>
      <w:r>
        <w:rPr>
          <w:rFonts w:hint="eastAsia" w:eastAsia="仿宋_GB2312"/>
          <w:sz w:val="32"/>
          <w:szCs w:val="32"/>
          <w:lang w:eastAsia="zh-CN"/>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3．资金使用。</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hint="eastAsia" w:eastAsia="仿宋_GB2312"/>
          <w:sz w:val="32"/>
          <w:szCs w:val="32"/>
          <w:lang w:eastAsia="zh-CN"/>
        </w:rPr>
        <w:t>根据盐财资行【202</w:t>
      </w:r>
      <w:r>
        <w:rPr>
          <w:rFonts w:hint="eastAsia" w:eastAsia="仿宋_GB2312"/>
          <w:sz w:val="32"/>
          <w:szCs w:val="32"/>
          <w:lang w:val="en-US" w:eastAsia="zh-CN"/>
        </w:rPr>
        <w:t>1</w:t>
      </w:r>
      <w:r>
        <w:rPr>
          <w:rFonts w:hint="eastAsia" w:eastAsia="仿宋_GB2312"/>
          <w:sz w:val="32"/>
          <w:szCs w:val="32"/>
          <w:lang w:eastAsia="zh-CN"/>
        </w:rPr>
        <w:t>】</w:t>
      </w:r>
      <w:r>
        <w:rPr>
          <w:rFonts w:hint="eastAsia" w:eastAsia="仿宋_GB2312"/>
          <w:sz w:val="32"/>
          <w:szCs w:val="32"/>
          <w:lang w:val="en-US" w:eastAsia="zh-CN"/>
        </w:rPr>
        <w:t>40</w:t>
      </w:r>
      <w:r>
        <w:rPr>
          <w:rFonts w:hint="eastAsia" w:eastAsia="仿宋_GB2312"/>
          <w:sz w:val="32"/>
          <w:szCs w:val="32"/>
          <w:lang w:eastAsia="zh-CN"/>
        </w:rPr>
        <w:t>号下达202</w:t>
      </w:r>
      <w:r>
        <w:rPr>
          <w:rFonts w:hint="eastAsia" w:eastAsia="仿宋_GB2312"/>
          <w:sz w:val="32"/>
          <w:szCs w:val="32"/>
          <w:lang w:val="en-US" w:eastAsia="zh-CN"/>
        </w:rPr>
        <w:t>1</w:t>
      </w:r>
      <w:r>
        <w:rPr>
          <w:rFonts w:hint="eastAsia" w:eastAsia="仿宋_GB2312"/>
          <w:sz w:val="32"/>
          <w:szCs w:val="32"/>
          <w:lang w:eastAsia="zh-CN"/>
        </w:rPr>
        <w:t>年基本公共卫生服务中央补助资金（孕检补助）</w:t>
      </w:r>
      <w:r>
        <w:rPr>
          <w:rFonts w:hint="eastAsia" w:eastAsia="仿宋_GB2312"/>
          <w:sz w:val="32"/>
          <w:szCs w:val="32"/>
          <w:lang w:val="en-US" w:eastAsia="zh-CN"/>
        </w:rPr>
        <w:t>并结合资金的使用范围，</w:t>
      </w:r>
      <w:r>
        <w:rPr>
          <w:rFonts w:hint="eastAsia" w:ascii="宋体" w:hAnsi="宋体" w:eastAsia="宋体" w:cs="宋体"/>
          <w:i w:val="0"/>
          <w:caps w:val="0"/>
          <w:color w:val="333333"/>
          <w:spacing w:val="0"/>
          <w:sz w:val="28"/>
          <w:szCs w:val="28"/>
          <w:shd w:val="clear" w:color="auto" w:fill="FFFFFF"/>
        </w:rPr>
        <w:t>主要用于：宣传发</w:t>
      </w:r>
      <w:r>
        <w:rPr>
          <w:rFonts w:hint="eastAsia" w:ascii="宋体" w:hAnsi="宋体" w:eastAsia="宋体" w:cs="宋体"/>
          <w:i w:val="0"/>
          <w:caps w:val="0"/>
          <w:color w:val="333333"/>
          <w:spacing w:val="0"/>
          <w:sz w:val="28"/>
          <w:szCs w:val="28"/>
          <w:shd w:val="clear" w:color="auto" w:fill="FFFFFF"/>
          <w:lang w:eastAsia="zh-CN"/>
        </w:rPr>
        <w:t>放</w:t>
      </w:r>
      <w:r>
        <w:rPr>
          <w:rFonts w:hint="eastAsia" w:ascii="宋体" w:hAnsi="宋体" w:eastAsia="宋体" w:cs="宋体"/>
          <w:i w:val="0"/>
          <w:caps w:val="0"/>
          <w:color w:val="333333"/>
          <w:spacing w:val="0"/>
          <w:sz w:val="28"/>
          <w:szCs w:val="28"/>
          <w:shd w:val="clear" w:color="auto" w:fill="FFFFFF"/>
        </w:rPr>
        <w:t>、业务培训、医用耗材、</w:t>
      </w:r>
      <w:r>
        <w:rPr>
          <w:rFonts w:hint="eastAsia" w:ascii="宋体" w:hAnsi="宋体" w:eastAsia="宋体" w:cs="宋体"/>
          <w:i w:val="0"/>
          <w:caps w:val="0"/>
          <w:color w:val="333333"/>
          <w:spacing w:val="0"/>
          <w:sz w:val="28"/>
          <w:szCs w:val="28"/>
          <w:shd w:val="clear" w:color="auto" w:fill="FFFFFF"/>
          <w:lang w:eastAsia="zh-CN"/>
        </w:rPr>
        <w:t>购买试剂、设备、</w:t>
      </w:r>
      <w:r>
        <w:rPr>
          <w:rFonts w:hint="eastAsia" w:ascii="宋体" w:hAnsi="宋体" w:eastAsia="宋体" w:cs="宋体"/>
          <w:i w:val="0"/>
          <w:caps w:val="0"/>
          <w:color w:val="333333"/>
          <w:spacing w:val="0"/>
          <w:sz w:val="28"/>
          <w:szCs w:val="28"/>
          <w:shd w:val="clear" w:color="auto" w:fill="FFFFFF"/>
        </w:rPr>
        <w:t>自收自支人员经费等</w:t>
      </w:r>
      <w:r>
        <w:rPr>
          <w:rFonts w:hint="eastAsia" w:ascii="宋体" w:hAnsi="宋体" w:eastAsia="宋体" w:cs="宋体"/>
          <w:i w:val="0"/>
          <w:caps w:val="0"/>
          <w:color w:val="333333"/>
          <w:spacing w:val="0"/>
          <w:sz w:val="28"/>
          <w:szCs w:val="28"/>
          <w:shd w:val="clear" w:color="auto" w:fill="FFFFFF"/>
          <w:lang w:eastAsia="zh-CN"/>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（三）项目财务管理情况。</w:t>
      </w:r>
    </w:p>
    <w:p>
      <w:pPr>
        <w:spacing w:line="353" w:lineRule="auto"/>
        <w:ind w:firstLine="640" w:firstLineChars="200"/>
        <w:rPr>
          <w:rFonts w:eastAsia="楷体_GB2312"/>
          <w:sz w:val="32"/>
          <w:szCs w:val="32"/>
        </w:rPr>
      </w:pPr>
      <w:r>
        <w:rPr>
          <w:rFonts w:hint="eastAsia" w:ascii="仿宋_GB2312" w:hAnsi="Lucida Sans Unicode" w:eastAsia="仿宋_GB2312" w:cs="Lucida Sans Unicode"/>
          <w:kern w:val="0"/>
          <w:sz w:val="32"/>
          <w:szCs w:val="32"/>
        </w:rPr>
        <w:t>加强临床检验质量控制，强化检验环节的室内控制，建立信息及标本采集</w:t>
      </w:r>
      <w:r>
        <w:rPr>
          <w:rFonts w:hint="eastAsia" w:ascii="仿宋_GB2312" w:hAnsi="Lucida Sans Unicode" w:eastAsia="仿宋_GB2312" w:cs="Lucida Sans Unicode"/>
          <w:kern w:val="0"/>
          <w:sz w:val="32"/>
          <w:szCs w:val="32"/>
        </w:rPr>
        <w:fldChar w:fldCharType="begin"/>
      </w:r>
      <w:r>
        <w:rPr>
          <w:rFonts w:hint="eastAsia" w:ascii="仿宋_GB2312" w:hAnsi="Lucida Sans Unicode" w:eastAsia="仿宋_GB2312" w:cs="Lucida Sans Unicode"/>
          <w:kern w:val="0"/>
          <w:sz w:val="32"/>
          <w:szCs w:val="32"/>
        </w:rPr>
        <w:instrText xml:space="preserve"> HYPERLINK "http://www.ttzyw.com/Article/index.html" \t "_blank" </w:instrText>
      </w:r>
      <w:r>
        <w:rPr>
          <w:rFonts w:hint="eastAsia" w:ascii="仿宋_GB2312" w:hAnsi="Lucida Sans Unicode" w:eastAsia="仿宋_GB2312" w:cs="Lucida Sans Unicode"/>
          <w:kern w:val="0"/>
          <w:sz w:val="32"/>
          <w:szCs w:val="32"/>
        </w:rPr>
        <w:fldChar w:fldCharType="separate"/>
      </w:r>
      <w:r>
        <w:rPr>
          <w:rFonts w:hint="eastAsia" w:ascii="仿宋_GB2312" w:hAnsi="Lucida Sans Unicode" w:eastAsia="仿宋_GB2312" w:cs="Lucida Sans Unicode"/>
          <w:kern w:val="0"/>
          <w:sz w:val="32"/>
          <w:szCs w:val="32"/>
        </w:rPr>
        <w:t>制度</w:t>
      </w:r>
      <w:r>
        <w:rPr>
          <w:rFonts w:hint="eastAsia" w:ascii="仿宋_GB2312" w:hAnsi="Lucida Sans Unicode" w:eastAsia="仿宋_GB2312" w:cs="Lucida Sans Unicode"/>
          <w:kern w:val="0"/>
          <w:sz w:val="32"/>
          <w:szCs w:val="32"/>
        </w:rPr>
        <w:fldChar w:fldCharType="end"/>
      </w:r>
      <w:r>
        <w:rPr>
          <w:rFonts w:hint="eastAsia" w:ascii="仿宋_GB2312" w:hAnsi="Lucida Sans Unicode" w:eastAsia="仿宋_GB2312" w:cs="Lucida Sans Unicode"/>
          <w:kern w:val="0"/>
          <w:sz w:val="32"/>
          <w:szCs w:val="32"/>
        </w:rPr>
        <w:t>，规范标本采集时间、操作方法、保存与处置要求，规范检验操作流程，细化服务项目，确保检查结果准确</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三、项目实施及管理情况</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ascii="Times New Roman" w:hAnsi="Times New Roman" w:eastAsia="仿宋_GB2312"/>
          <w:kern w:val="0"/>
          <w:sz w:val="32"/>
          <w:szCs w:val="32"/>
        </w:rPr>
        <w:t>结合项目组织实施管理办法，重点围绕以下内容进行分析评价，并对自评中发现的问题分析说明。</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（一）项目组织架构及实施流程。</w:t>
      </w:r>
    </w:p>
    <w:p>
      <w:pPr>
        <w:spacing w:line="500" w:lineRule="exact"/>
        <w:ind w:firstLine="800" w:firstLineChars="250"/>
        <w:rPr>
          <w:rFonts w:hint="eastAsia" w:ascii="仿宋_GB2312" w:hAnsi="宋体" w:eastAsia="仿宋_GB2312"/>
          <w:sz w:val="32"/>
          <w:szCs w:val="32"/>
        </w:rPr>
      </w:pPr>
      <w:r>
        <w:rPr>
          <w:rFonts w:hint="eastAsia" w:ascii="仿宋_GB2312" w:hAnsi="宋体" w:eastAsia="仿宋_GB2312"/>
          <w:sz w:val="32"/>
          <w:szCs w:val="32"/>
        </w:rPr>
        <w:t>免费孕前优生健康检查工作已在我院</w:t>
      </w:r>
      <w:r>
        <w:rPr>
          <w:rFonts w:hint="eastAsia" w:ascii="仿宋_GB2312" w:hAnsi="宋体" w:eastAsia="仿宋_GB2312"/>
          <w:sz w:val="32"/>
          <w:szCs w:val="32"/>
          <w:lang w:eastAsia="zh-CN"/>
        </w:rPr>
        <w:t>有序</w:t>
      </w:r>
      <w:r>
        <w:rPr>
          <w:rFonts w:hint="eastAsia" w:ascii="仿宋_GB2312" w:hAnsi="宋体" w:eastAsia="仿宋_GB2312"/>
          <w:sz w:val="32"/>
          <w:szCs w:val="32"/>
        </w:rPr>
        <w:t>展开，</w:t>
      </w:r>
      <w:r>
        <w:rPr>
          <w:rFonts w:hint="eastAsia" w:ascii="仿宋_GB2312" w:hAnsi="宋体" w:eastAsia="仿宋_GB2312"/>
          <w:sz w:val="32"/>
          <w:szCs w:val="32"/>
          <w:lang w:eastAsia="zh-CN"/>
        </w:rPr>
        <w:t>截至目前</w:t>
      </w:r>
      <w:r>
        <w:rPr>
          <w:rFonts w:hint="eastAsia" w:ascii="仿宋_GB2312" w:hAnsi="宋体" w:eastAsia="仿宋_GB2312"/>
          <w:sz w:val="32"/>
          <w:szCs w:val="32"/>
        </w:rPr>
        <w:t>，我院已为</w:t>
      </w:r>
      <w:r>
        <w:rPr>
          <w:rFonts w:hint="eastAsia" w:ascii="仿宋_GB2312" w:hAnsi="宋体" w:eastAsia="仿宋_GB2312"/>
          <w:sz w:val="32"/>
          <w:szCs w:val="32"/>
          <w:lang w:val="en-US" w:eastAsia="zh-CN"/>
        </w:rPr>
        <w:t>638</w:t>
      </w:r>
      <w:r>
        <w:rPr>
          <w:rFonts w:hint="eastAsia" w:ascii="仿宋_GB2312" w:hAnsi="宋体" w:eastAsia="仿宋_GB2312"/>
          <w:sz w:val="32"/>
          <w:szCs w:val="32"/>
        </w:rPr>
        <w:t>人提供了免费孕前优生健康检查，为</w:t>
      </w:r>
      <w:r>
        <w:rPr>
          <w:rFonts w:hint="eastAsia" w:ascii="仿宋_GB2312" w:hAnsi="宋体" w:eastAsia="仿宋_GB2312"/>
          <w:color w:val="FF0000"/>
          <w:sz w:val="32"/>
          <w:szCs w:val="32"/>
          <w:lang w:val="en-US" w:eastAsia="zh-CN"/>
        </w:rPr>
        <w:t>638</w:t>
      </w:r>
      <w:r>
        <w:rPr>
          <w:rFonts w:hint="eastAsia" w:ascii="仿宋_GB2312" w:hAnsi="宋体" w:eastAsia="仿宋_GB2312"/>
          <w:sz w:val="32"/>
          <w:szCs w:val="32"/>
        </w:rPr>
        <w:t>开展了免费的孕前优生健康评估和指导和建立了优生电子档案，并进行早孕及妊娠结局追踪随访，对所有接受孕前优生指导的妇女，应及时准确了解怀孕信息，在检查后3个月内、7个月后各进行一次随访，并作相应记录指导，在分娩后6周内再做一次随访并做相应记录。</w:t>
      </w:r>
    </w:p>
    <w:p>
      <w:pPr>
        <w:numPr>
          <w:ilvl w:val="0"/>
          <w:numId w:val="15"/>
        </w:numPr>
        <w:spacing w:line="560" w:lineRule="exact"/>
        <w:ind w:left="0" w:leftChars="0" w:firstLine="640" w:firstLineChars="200"/>
        <w:rPr>
          <w:rFonts w:eastAsia="楷体_GB2312"/>
          <w:sz w:val="32"/>
          <w:szCs w:val="32"/>
        </w:rPr>
      </w:pPr>
      <w:r>
        <w:rPr>
          <w:rFonts w:eastAsia="楷体_GB2312"/>
          <w:sz w:val="32"/>
          <w:szCs w:val="32"/>
        </w:rPr>
        <w:t>项目管理情况。</w:t>
      </w:r>
    </w:p>
    <w:p>
      <w:pPr>
        <w:spacing w:line="353" w:lineRule="auto"/>
        <w:ind w:firstLine="640" w:firstLineChars="200"/>
        <w:rPr>
          <w:rFonts w:eastAsia="楷体_GB2312"/>
          <w:sz w:val="32"/>
          <w:szCs w:val="32"/>
        </w:rPr>
      </w:pPr>
      <w:r>
        <w:rPr>
          <w:rFonts w:hint="eastAsia" w:ascii="仿宋_GB2312" w:hAnsi="Lucida Sans Unicode" w:eastAsia="仿宋_GB2312" w:cs="Lucida Sans Unicode"/>
          <w:kern w:val="0"/>
          <w:sz w:val="32"/>
          <w:szCs w:val="32"/>
        </w:rPr>
        <w:t>加强临床检验质量控制，强化检验环节的室内控制，建立信息及标本采集</w:t>
      </w:r>
      <w:r>
        <w:rPr>
          <w:rFonts w:hint="eastAsia" w:ascii="仿宋_GB2312" w:hAnsi="Lucida Sans Unicode" w:eastAsia="仿宋_GB2312" w:cs="Lucida Sans Unicode"/>
          <w:kern w:val="0"/>
          <w:sz w:val="32"/>
          <w:szCs w:val="32"/>
        </w:rPr>
        <w:fldChar w:fldCharType="begin"/>
      </w:r>
      <w:r>
        <w:rPr>
          <w:rFonts w:hint="eastAsia" w:ascii="仿宋_GB2312" w:hAnsi="Lucida Sans Unicode" w:eastAsia="仿宋_GB2312" w:cs="Lucida Sans Unicode"/>
          <w:kern w:val="0"/>
          <w:sz w:val="32"/>
          <w:szCs w:val="32"/>
        </w:rPr>
        <w:instrText xml:space="preserve"> HYPERLINK "http://www.ttzyw.com/Article/index.html" \t "_blank" </w:instrText>
      </w:r>
      <w:r>
        <w:rPr>
          <w:rFonts w:hint="eastAsia" w:ascii="仿宋_GB2312" w:hAnsi="Lucida Sans Unicode" w:eastAsia="仿宋_GB2312" w:cs="Lucida Sans Unicode"/>
          <w:kern w:val="0"/>
          <w:sz w:val="32"/>
          <w:szCs w:val="32"/>
        </w:rPr>
        <w:fldChar w:fldCharType="separate"/>
      </w:r>
      <w:r>
        <w:rPr>
          <w:rFonts w:hint="eastAsia" w:ascii="仿宋_GB2312" w:hAnsi="Lucida Sans Unicode" w:eastAsia="仿宋_GB2312" w:cs="Lucida Sans Unicode"/>
          <w:kern w:val="0"/>
          <w:sz w:val="32"/>
          <w:szCs w:val="32"/>
        </w:rPr>
        <w:t>制度</w:t>
      </w:r>
      <w:r>
        <w:rPr>
          <w:rFonts w:hint="eastAsia" w:ascii="仿宋_GB2312" w:hAnsi="Lucida Sans Unicode" w:eastAsia="仿宋_GB2312" w:cs="Lucida Sans Unicode"/>
          <w:kern w:val="0"/>
          <w:sz w:val="32"/>
          <w:szCs w:val="32"/>
        </w:rPr>
        <w:fldChar w:fldCharType="end"/>
      </w:r>
      <w:r>
        <w:rPr>
          <w:rFonts w:hint="eastAsia" w:ascii="仿宋_GB2312" w:hAnsi="Lucida Sans Unicode" w:eastAsia="仿宋_GB2312" w:cs="Lucida Sans Unicode"/>
          <w:kern w:val="0"/>
          <w:sz w:val="32"/>
          <w:szCs w:val="32"/>
        </w:rPr>
        <w:t>，规范标本采集时间、操作方法、保存与处置要求，规范检验操作流程，细化服务项目，确保检查结果准确</w:t>
      </w:r>
    </w:p>
    <w:p>
      <w:pPr>
        <w:numPr>
          <w:ilvl w:val="0"/>
          <w:numId w:val="15"/>
        </w:numPr>
        <w:spacing w:line="560" w:lineRule="exact"/>
        <w:ind w:left="0" w:leftChars="0" w:firstLine="640" w:firstLineChars="200"/>
        <w:rPr>
          <w:rFonts w:eastAsia="楷体_GB2312"/>
          <w:sz w:val="32"/>
          <w:szCs w:val="32"/>
        </w:rPr>
      </w:pPr>
      <w:r>
        <w:rPr>
          <w:rFonts w:eastAsia="楷体_GB2312"/>
          <w:sz w:val="32"/>
          <w:szCs w:val="32"/>
        </w:rPr>
        <w:t>项目监管情况。</w:t>
      </w:r>
    </w:p>
    <w:p>
      <w:pPr>
        <w:numPr>
          <w:ilvl w:val="0"/>
          <w:numId w:val="0"/>
        </w:numPr>
        <w:autoSpaceDE/>
        <w:autoSpaceDN/>
        <w:adjustRightInd/>
        <w:spacing w:line="560" w:lineRule="exact"/>
        <w:ind w:leftChars="200" w:firstLine="640" w:firstLineChars="200"/>
        <w:jc w:val="left"/>
        <w:rPr>
          <w:rFonts w:ascii="Times New Roman" w:hAnsi="Times New Roman" w:eastAsia="仿宋_GB2312"/>
          <w:kern w:val="0"/>
          <w:sz w:val="32"/>
          <w:szCs w:val="32"/>
        </w:rPr>
      </w:pPr>
      <w:r>
        <w:rPr>
          <w:rFonts w:hint="eastAsia" w:eastAsia="仿宋_GB2312"/>
          <w:sz w:val="32"/>
          <w:szCs w:val="32"/>
          <w:lang w:eastAsia="zh-CN"/>
        </w:rPr>
        <w:t>县卫生健康局对</w:t>
      </w:r>
      <w:r>
        <w:rPr>
          <w:rFonts w:hint="eastAsia" w:eastAsia="仿宋_GB2312"/>
          <w:sz w:val="32"/>
          <w:szCs w:val="32"/>
          <w:lang w:val="en-US" w:eastAsia="zh-CN"/>
        </w:rPr>
        <w:t>2021年进行绩效考核</w:t>
      </w:r>
      <w:r>
        <w:rPr>
          <w:rFonts w:hint="eastAsia" w:eastAsia="仿宋_GB2312"/>
          <w:sz w:val="32"/>
          <w:szCs w:val="32"/>
          <w:lang w:eastAsia="zh-CN"/>
        </w:rPr>
        <w:t>，结合考核结果来下拨预算。</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四、项目绩效情况</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（一）项目完成情况。</w:t>
      </w:r>
    </w:p>
    <w:p>
      <w:pPr>
        <w:spacing w:line="560" w:lineRule="exact"/>
        <w:ind w:firstLine="640" w:firstLineChars="200"/>
        <w:rPr>
          <w:rFonts w:hint="eastAsia" w:eastAsia="仿宋_GB2312"/>
          <w:sz w:val="32"/>
          <w:szCs w:val="32"/>
        </w:rPr>
      </w:pPr>
      <w:r>
        <w:rPr>
          <w:rFonts w:hint="eastAsia" w:eastAsia="仿宋_GB2312"/>
          <w:sz w:val="32"/>
          <w:szCs w:val="32"/>
        </w:rPr>
        <w:t>1、202</w:t>
      </w:r>
      <w:r>
        <w:rPr>
          <w:rFonts w:hint="eastAsia" w:eastAsia="仿宋_GB2312"/>
          <w:sz w:val="32"/>
          <w:szCs w:val="32"/>
          <w:lang w:val="en-US" w:eastAsia="zh-CN"/>
        </w:rPr>
        <w:t>1</w:t>
      </w:r>
      <w:r>
        <w:rPr>
          <w:rFonts w:hint="eastAsia" w:eastAsia="仿宋_GB2312"/>
          <w:sz w:val="32"/>
          <w:szCs w:val="32"/>
        </w:rPr>
        <w:t>年1月-12月妇幼保健服务中心免费孕前健康检查筛查出的高风险人群209人2、三病传染防治：202</w:t>
      </w:r>
      <w:r>
        <w:rPr>
          <w:rFonts w:hint="eastAsia" w:eastAsia="仿宋_GB2312"/>
          <w:sz w:val="32"/>
          <w:szCs w:val="32"/>
          <w:lang w:val="en-US" w:eastAsia="zh-CN"/>
        </w:rPr>
        <w:t>1</w:t>
      </w:r>
      <w:r>
        <w:rPr>
          <w:rFonts w:hint="eastAsia" w:eastAsia="仿宋_GB2312"/>
          <w:sz w:val="32"/>
          <w:szCs w:val="32"/>
        </w:rPr>
        <w:t>年我院查出乙肝病毒携带者33人，初筛查出梅毒阳性5人，复查确诊梅毒感染3人，为已经治疗人员，HIV初筛阳性1人，为疾控中心服药人员，对艾滋病、乙肝、梅毒给予转诊“三病办”随访跟踪治疗阻断，预防母婴传播。3、202</w:t>
      </w:r>
      <w:r>
        <w:rPr>
          <w:rFonts w:hint="eastAsia" w:eastAsia="仿宋_GB2312"/>
          <w:sz w:val="32"/>
          <w:szCs w:val="32"/>
          <w:lang w:val="en-US" w:eastAsia="zh-CN"/>
        </w:rPr>
        <w:t>1</w:t>
      </w:r>
      <w:r>
        <w:rPr>
          <w:rFonts w:hint="eastAsia" w:eastAsia="仿宋_GB2312"/>
          <w:sz w:val="32"/>
          <w:szCs w:val="32"/>
        </w:rPr>
        <w:t>年已为</w:t>
      </w:r>
      <w:r>
        <w:rPr>
          <w:rFonts w:hint="eastAsia" w:eastAsia="仿宋_GB2312"/>
          <w:sz w:val="32"/>
          <w:szCs w:val="32"/>
          <w:lang w:val="en-US" w:eastAsia="zh-CN"/>
        </w:rPr>
        <w:t>638</w:t>
      </w:r>
      <w:r>
        <w:rPr>
          <w:rFonts w:hint="eastAsia" w:eastAsia="仿宋_GB2312"/>
          <w:sz w:val="32"/>
          <w:szCs w:val="32"/>
        </w:rPr>
        <w:t xml:space="preserve">人提供了免费孕前优生健康检查。 </w:t>
      </w:r>
    </w:p>
    <w:p>
      <w:pPr>
        <w:spacing w:line="560" w:lineRule="exact"/>
        <w:ind w:firstLine="640" w:firstLineChars="200"/>
        <w:rPr>
          <w:rFonts w:eastAsia="楷体_GB2312"/>
          <w:sz w:val="32"/>
          <w:szCs w:val="32"/>
        </w:rPr>
      </w:pPr>
      <w:r>
        <w:rPr>
          <w:rFonts w:eastAsia="楷体_GB2312"/>
          <w:sz w:val="32"/>
          <w:szCs w:val="32"/>
        </w:rPr>
        <w:t>（二）项目效益情况。</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eastAsia="仿宋_GB2312"/>
          <w:sz w:val="32"/>
          <w:szCs w:val="32"/>
        </w:rPr>
        <w:t>社会效益</w:t>
      </w:r>
      <w:r>
        <w:rPr>
          <w:rFonts w:hint="eastAsia" w:eastAsia="仿宋_GB2312"/>
          <w:sz w:val="32"/>
          <w:szCs w:val="32"/>
          <w:lang w:eastAsia="zh-CN"/>
        </w:rPr>
        <w:t>：</w:t>
      </w:r>
      <w:r>
        <w:rPr>
          <w:rFonts w:hint="eastAsia" w:eastAsia="仿宋_GB2312"/>
          <w:sz w:val="32"/>
          <w:szCs w:val="32"/>
          <w:lang w:val="en-US" w:eastAsia="zh-CN"/>
        </w:rPr>
        <w:t>1、加强协调，广泛宣传，保障目标人群的参与率</w:t>
      </w:r>
      <w:r>
        <w:rPr>
          <w:rFonts w:hint="eastAsia" w:eastAsia="仿宋_GB2312"/>
          <w:sz w:val="32"/>
          <w:szCs w:val="32"/>
          <w:lang w:eastAsia="zh-CN"/>
        </w:rPr>
        <w:t>。</w:t>
      </w:r>
      <w:r>
        <w:rPr>
          <w:rFonts w:hint="eastAsia" w:eastAsia="仿宋_GB2312"/>
          <w:sz w:val="32"/>
          <w:szCs w:val="32"/>
          <w:lang w:val="en-US" w:eastAsia="zh-CN"/>
        </w:rPr>
        <w:t>2、高危人群进行跟踪随访。</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五、评价结论及建议</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（一）评价结论。</w:t>
      </w:r>
    </w:p>
    <w:p>
      <w:pPr>
        <w:autoSpaceDE/>
        <w:autoSpaceDN/>
        <w:adjustRightInd/>
        <w:spacing w:line="560" w:lineRule="exact"/>
        <w:ind w:firstLine="640" w:firstLineChars="200"/>
        <w:jc w:val="left"/>
        <w:rPr>
          <w:rFonts w:ascii="Times New Roman" w:hAnsi="Times New Roman" w:eastAsia="仿宋_GB2312"/>
          <w:kern w:val="0"/>
          <w:sz w:val="32"/>
          <w:szCs w:val="32"/>
        </w:rPr>
      </w:pPr>
      <w:r>
        <w:rPr>
          <w:rFonts w:hint="eastAsia" w:ascii="仿宋" w:hAnsi="仿宋" w:eastAsia="仿宋" w:cs="仿宋"/>
          <w:kern w:val="2"/>
          <w:sz w:val="32"/>
          <w:szCs w:val="32"/>
          <w:lang w:val="en-US" w:eastAsia="zh-CN" w:bidi="ar-SA"/>
        </w:rPr>
        <w:t>项目总体指标完成较好，均能完成评价指标，达到预期值。</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（二）存在的问题。</w:t>
      </w:r>
    </w:p>
    <w:p>
      <w:pPr>
        <w:autoSpaceDE w:val="0"/>
        <w:autoSpaceDN w:val="0"/>
        <w:adjustRightInd w:val="0"/>
        <w:spacing w:line="600" w:lineRule="exact"/>
        <w:ind w:firstLine="640" w:firstLineChars="200"/>
        <w:jc w:val="left"/>
        <w:rPr>
          <w:rFonts w:ascii="Times New Roman" w:hAnsi="Times New Roman" w:eastAsia="仿宋_GB2312"/>
          <w:kern w:val="0"/>
          <w:sz w:val="32"/>
          <w:szCs w:val="32"/>
        </w:rPr>
      </w:pPr>
      <w:r>
        <w:rPr>
          <w:rFonts w:hint="eastAsia" w:ascii="仿宋" w:hAnsi="仿宋" w:eastAsia="仿宋" w:cs="仿宋"/>
          <w:i w:val="0"/>
          <w:caps w:val="0"/>
          <w:color w:val="333333"/>
          <w:spacing w:val="0"/>
          <w:sz w:val="32"/>
          <w:szCs w:val="32"/>
        </w:rPr>
        <w:t>中央</w:t>
      </w:r>
      <w:r>
        <w:rPr>
          <w:rFonts w:hint="eastAsia" w:ascii="仿宋" w:hAnsi="仿宋" w:eastAsia="仿宋" w:cs="仿宋"/>
          <w:i w:val="0"/>
          <w:caps w:val="0"/>
          <w:color w:val="333333"/>
          <w:spacing w:val="0"/>
          <w:sz w:val="32"/>
          <w:szCs w:val="32"/>
          <w:lang w:eastAsia="zh-CN"/>
        </w:rPr>
        <w:t>、省、市</w:t>
      </w:r>
      <w:r>
        <w:rPr>
          <w:rFonts w:hint="eastAsia" w:ascii="仿宋" w:hAnsi="仿宋" w:eastAsia="仿宋" w:cs="仿宋"/>
          <w:i w:val="0"/>
          <w:caps w:val="0"/>
          <w:color w:val="333333"/>
          <w:spacing w:val="0"/>
          <w:sz w:val="32"/>
          <w:szCs w:val="32"/>
        </w:rPr>
        <w:t>补助资金有限，地方财政困难，经费投入难以满足群众对</w:t>
      </w:r>
      <w:r>
        <w:rPr>
          <w:rFonts w:hint="eastAsia" w:ascii="仿宋" w:hAnsi="仿宋" w:eastAsia="仿宋" w:cs="仿宋"/>
          <w:i w:val="0"/>
          <w:caps w:val="0"/>
          <w:color w:val="333333"/>
          <w:spacing w:val="0"/>
          <w:sz w:val="32"/>
          <w:szCs w:val="32"/>
          <w:lang w:eastAsia="zh-CN"/>
        </w:rPr>
        <w:t>孕前优生优育健康检查</w:t>
      </w:r>
      <w:r>
        <w:rPr>
          <w:rFonts w:hint="eastAsia" w:ascii="仿宋" w:hAnsi="仿宋" w:eastAsia="仿宋" w:cs="仿宋"/>
          <w:i w:val="0"/>
          <w:caps w:val="0"/>
          <w:color w:val="333333"/>
          <w:spacing w:val="0"/>
          <w:sz w:val="32"/>
          <w:szCs w:val="32"/>
        </w:rPr>
        <w:t>工作的需求。部分</w:t>
      </w:r>
      <w:r>
        <w:rPr>
          <w:rFonts w:hint="eastAsia" w:ascii="仿宋" w:hAnsi="仿宋" w:eastAsia="仿宋" w:cs="仿宋"/>
          <w:i w:val="0"/>
          <w:caps w:val="0"/>
          <w:color w:val="333333"/>
          <w:spacing w:val="0"/>
          <w:sz w:val="32"/>
          <w:szCs w:val="32"/>
          <w:lang w:eastAsia="zh-CN"/>
        </w:rPr>
        <w:t>地区</w:t>
      </w:r>
      <w:r>
        <w:rPr>
          <w:rFonts w:hint="eastAsia" w:ascii="仿宋" w:hAnsi="仿宋" w:eastAsia="仿宋" w:cs="仿宋"/>
          <w:i w:val="0"/>
          <w:caps w:val="0"/>
          <w:color w:val="333333"/>
          <w:spacing w:val="0"/>
          <w:sz w:val="32"/>
          <w:szCs w:val="32"/>
        </w:rPr>
        <w:t>预算执行进度不理想，究其原因既有项目单位报账不及时，未形成有效支出的原因，也有财政调度安排不及时、拨付不到位的问题。下一步我</w:t>
      </w:r>
      <w:r>
        <w:rPr>
          <w:rFonts w:hint="eastAsia" w:ascii="仿宋" w:hAnsi="仿宋" w:eastAsia="仿宋" w:cs="仿宋"/>
          <w:i w:val="0"/>
          <w:caps w:val="0"/>
          <w:color w:val="333333"/>
          <w:spacing w:val="0"/>
          <w:sz w:val="32"/>
          <w:szCs w:val="32"/>
          <w:lang w:eastAsia="zh-CN"/>
        </w:rPr>
        <w:t>中心</w:t>
      </w:r>
      <w:r>
        <w:rPr>
          <w:rFonts w:hint="eastAsia" w:ascii="仿宋" w:hAnsi="仿宋" w:eastAsia="仿宋" w:cs="仿宋"/>
          <w:i w:val="0"/>
          <w:caps w:val="0"/>
          <w:color w:val="333333"/>
          <w:spacing w:val="0"/>
          <w:sz w:val="32"/>
          <w:szCs w:val="32"/>
        </w:rPr>
        <w:t>将加大沟通协调力度，强化督导检查，</w:t>
      </w:r>
      <w:r>
        <w:rPr>
          <w:rFonts w:hint="eastAsia" w:ascii="仿宋" w:hAnsi="仿宋" w:eastAsia="仿宋" w:cs="仿宋"/>
          <w:i w:val="0"/>
          <w:caps w:val="0"/>
          <w:color w:val="333333"/>
          <w:spacing w:val="0"/>
          <w:sz w:val="32"/>
          <w:szCs w:val="32"/>
          <w:lang w:eastAsia="zh-CN"/>
        </w:rPr>
        <w:t>及时划拨给各乡镇卫生院的艾滋病</w:t>
      </w:r>
      <w:r>
        <w:rPr>
          <w:rFonts w:hint="eastAsia" w:ascii="仿宋" w:hAnsi="仿宋" w:eastAsia="仿宋" w:cs="仿宋"/>
          <w:i w:val="0"/>
          <w:caps w:val="0"/>
          <w:color w:val="333333"/>
          <w:spacing w:val="0"/>
          <w:sz w:val="32"/>
          <w:szCs w:val="32"/>
        </w:rPr>
        <w:t>专项补助资金，提高项目资金执行力度，确保工作有效落实</w:t>
      </w:r>
      <w:r>
        <w:rPr>
          <w:rFonts w:hint="eastAsia" w:ascii="宋体" w:hAnsi="宋体" w:eastAsia="宋体" w:cs="宋体"/>
          <w:i w:val="0"/>
          <w:caps w:val="0"/>
          <w:color w:val="333333"/>
          <w:spacing w:val="0"/>
          <w:sz w:val="24"/>
          <w:szCs w:val="24"/>
        </w:rPr>
        <w:t>。</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楷体_GB2312"/>
          <w:kern w:val="0"/>
          <w:sz w:val="32"/>
          <w:szCs w:val="32"/>
        </w:rPr>
        <w:t>（三）相关建议。</w:t>
      </w:r>
    </w:p>
    <w:p>
      <w:pPr>
        <w:spacing w:line="560" w:lineRule="exact"/>
        <w:ind w:firstLine="640" w:firstLineChars="200"/>
        <w:rPr>
          <w:rFonts w:hint="eastAsia" w:ascii="仿宋" w:hAnsi="仿宋" w:eastAsia="仿宋" w:cs="仿宋"/>
          <w:i w:val="0"/>
          <w:caps w:val="0"/>
          <w:color w:val="333333"/>
          <w:spacing w:val="0"/>
          <w:sz w:val="32"/>
          <w:szCs w:val="32"/>
          <w:lang w:eastAsia="zh-CN"/>
        </w:rPr>
      </w:pPr>
      <w:r>
        <w:rPr>
          <w:rFonts w:hint="eastAsia" w:ascii="仿宋" w:hAnsi="仿宋" w:eastAsia="仿宋" w:cs="仿宋"/>
          <w:i w:val="0"/>
          <w:caps w:val="0"/>
          <w:color w:val="333333"/>
          <w:spacing w:val="0"/>
          <w:sz w:val="32"/>
          <w:szCs w:val="32"/>
        </w:rPr>
        <w:t>建议</w:t>
      </w:r>
      <w:r>
        <w:rPr>
          <w:rFonts w:hint="eastAsia" w:ascii="仿宋" w:hAnsi="仿宋" w:eastAsia="仿宋" w:cs="仿宋"/>
          <w:i w:val="0"/>
          <w:caps w:val="0"/>
          <w:color w:val="333333"/>
          <w:spacing w:val="0"/>
          <w:sz w:val="32"/>
          <w:szCs w:val="32"/>
          <w:lang w:eastAsia="zh-CN"/>
        </w:rPr>
        <w:t>中央</w:t>
      </w:r>
      <w:r>
        <w:rPr>
          <w:rFonts w:hint="eastAsia" w:ascii="仿宋" w:hAnsi="仿宋" w:eastAsia="仿宋" w:cs="仿宋"/>
          <w:i w:val="0"/>
          <w:caps w:val="0"/>
          <w:color w:val="333333"/>
          <w:spacing w:val="0"/>
          <w:sz w:val="32"/>
          <w:szCs w:val="32"/>
        </w:rPr>
        <w:t>、省</w:t>
      </w:r>
      <w:r>
        <w:rPr>
          <w:rFonts w:hint="eastAsia" w:ascii="仿宋" w:hAnsi="仿宋" w:eastAsia="仿宋" w:cs="仿宋"/>
          <w:i w:val="0"/>
          <w:caps w:val="0"/>
          <w:color w:val="333333"/>
          <w:spacing w:val="0"/>
          <w:sz w:val="32"/>
          <w:szCs w:val="32"/>
          <w:lang w:eastAsia="zh-CN"/>
        </w:rPr>
        <w:t>、市、县</w:t>
      </w:r>
      <w:r>
        <w:rPr>
          <w:rFonts w:hint="eastAsia" w:ascii="仿宋" w:hAnsi="仿宋" w:eastAsia="仿宋" w:cs="仿宋"/>
          <w:i w:val="0"/>
          <w:caps w:val="0"/>
          <w:color w:val="333333"/>
          <w:spacing w:val="0"/>
          <w:sz w:val="32"/>
          <w:szCs w:val="32"/>
        </w:rPr>
        <w:t>增加</w:t>
      </w:r>
      <w:r>
        <w:rPr>
          <w:rFonts w:hint="eastAsia" w:ascii="仿宋" w:hAnsi="仿宋" w:eastAsia="仿宋" w:cs="仿宋"/>
          <w:i w:val="0"/>
          <w:caps w:val="0"/>
          <w:color w:val="333333"/>
          <w:spacing w:val="0"/>
          <w:sz w:val="32"/>
          <w:szCs w:val="32"/>
          <w:lang w:eastAsia="zh-CN"/>
        </w:rPr>
        <w:t>孕前优生优育健康检查的</w:t>
      </w:r>
      <w:r>
        <w:rPr>
          <w:rFonts w:hint="eastAsia" w:ascii="仿宋" w:hAnsi="仿宋" w:eastAsia="仿宋" w:cs="仿宋"/>
          <w:i w:val="0"/>
          <w:caps w:val="0"/>
          <w:color w:val="333333"/>
          <w:spacing w:val="0"/>
          <w:sz w:val="32"/>
          <w:szCs w:val="32"/>
        </w:rPr>
        <w:t>项目经费，用于当地多部门合作开展</w:t>
      </w:r>
      <w:r>
        <w:rPr>
          <w:rFonts w:hint="eastAsia" w:ascii="仿宋" w:hAnsi="仿宋" w:eastAsia="仿宋" w:cs="仿宋"/>
          <w:i w:val="0"/>
          <w:caps w:val="0"/>
          <w:color w:val="333333"/>
          <w:spacing w:val="0"/>
          <w:sz w:val="32"/>
          <w:szCs w:val="32"/>
          <w:lang w:eastAsia="zh-CN"/>
        </w:rPr>
        <w:t>孕前优生优育健康检查</w:t>
      </w:r>
      <w:r>
        <w:rPr>
          <w:rFonts w:hint="eastAsia" w:ascii="仿宋" w:hAnsi="仿宋" w:eastAsia="仿宋" w:cs="仿宋"/>
          <w:i w:val="0"/>
          <w:caps w:val="0"/>
          <w:color w:val="333333"/>
          <w:spacing w:val="0"/>
          <w:sz w:val="32"/>
          <w:szCs w:val="32"/>
        </w:rPr>
        <w:t>项目工作，不断加大</w:t>
      </w:r>
      <w:r>
        <w:rPr>
          <w:rFonts w:hint="eastAsia" w:ascii="仿宋" w:hAnsi="仿宋" w:eastAsia="仿宋" w:cs="仿宋"/>
          <w:i w:val="0"/>
          <w:caps w:val="0"/>
          <w:color w:val="333333"/>
          <w:spacing w:val="0"/>
          <w:sz w:val="32"/>
          <w:szCs w:val="32"/>
          <w:lang w:eastAsia="zh-CN"/>
        </w:rPr>
        <w:t>宣传孕前优生优育健康检查</w:t>
      </w:r>
      <w:r>
        <w:rPr>
          <w:rFonts w:hint="eastAsia" w:ascii="仿宋" w:hAnsi="仿宋" w:eastAsia="仿宋" w:cs="仿宋"/>
          <w:i w:val="0"/>
          <w:caps w:val="0"/>
          <w:color w:val="333333"/>
          <w:spacing w:val="0"/>
          <w:sz w:val="32"/>
          <w:szCs w:val="32"/>
        </w:rPr>
        <w:t>力度，扩大防治覆盖面和提高有效性，有效</w:t>
      </w:r>
      <w:r>
        <w:rPr>
          <w:rFonts w:hint="eastAsia" w:ascii="仿宋" w:hAnsi="仿宋" w:eastAsia="仿宋" w:cs="仿宋"/>
          <w:i w:val="0"/>
          <w:caps w:val="0"/>
          <w:color w:val="333333"/>
          <w:spacing w:val="0"/>
          <w:sz w:val="32"/>
          <w:szCs w:val="32"/>
          <w:lang w:eastAsia="zh-CN"/>
        </w:rPr>
        <w:t>提高下一代的身体健康。</w:t>
      </w:r>
    </w:p>
    <w:p>
      <w:pPr>
        <w:spacing w:line="560" w:lineRule="exact"/>
        <w:ind w:firstLine="640" w:firstLineChars="200"/>
        <w:rPr>
          <w:rFonts w:hint="eastAsia" w:ascii="仿宋" w:hAnsi="仿宋" w:eastAsia="仿宋" w:cs="仿宋"/>
          <w:i w:val="0"/>
          <w:caps w:val="0"/>
          <w:color w:val="333333"/>
          <w:spacing w:val="0"/>
          <w:sz w:val="32"/>
          <w:szCs w:val="32"/>
          <w:lang w:eastAsia="zh-CN"/>
        </w:rPr>
      </w:pPr>
    </w:p>
    <w:p>
      <w:pPr>
        <w:spacing w:line="560" w:lineRule="exact"/>
        <w:ind w:firstLine="640" w:firstLineChars="200"/>
        <w:rPr>
          <w:rFonts w:hint="default" w:ascii="仿宋" w:hAnsi="仿宋" w:eastAsia="仿宋" w:cs="仿宋"/>
          <w:i w:val="0"/>
          <w:caps w:val="0"/>
          <w:color w:val="333333"/>
          <w:spacing w:val="0"/>
          <w:sz w:val="32"/>
          <w:szCs w:val="32"/>
          <w:lang w:val="en-US" w:eastAsia="zh-CN"/>
        </w:rPr>
      </w:pPr>
      <w:r>
        <w:rPr>
          <w:rFonts w:hint="eastAsia" w:ascii="仿宋" w:hAnsi="仿宋" w:eastAsia="仿宋" w:cs="仿宋"/>
          <w:i w:val="0"/>
          <w:caps w:val="0"/>
          <w:color w:val="333333"/>
          <w:spacing w:val="0"/>
          <w:sz w:val="32"/>
          <w:szCs w:val="32"/>
          <w:lang w:val="en-US" w:eastAsia="zh-CN"/>
        </w:rPr>
        <w:t xml:space="preserve">                          </w:t>
      </w:r>
    </w:p>
    <w:tbl>
      <w:tblPr>
        <w:tblStyle w:val="13"/>
        <w:tblpPr w:leftFromText="180" w:rightFromText="180" w:vertAnchor="text" w:horzAnchor="page" w:tblpX="1690" w:tblpY="3111"/>
        <w:tblOverlap w:val="never"/>
        <w:tblW w:w="9990" w:type="dxa"/>
        <w:tblInd w:w="0" w:type="dxa"/>
        <w:tblLayout w:type="autofit"/>
        <w:tblCellMar>
          <w:top w:w="0" w:type="dxa"/>
          <w:left w:w="108" w:type="dxa"/>
          <w:bottom w:w="0" w:type="dxa"/>
          <w:right w:w="108" w:type="dxa"/>
        </w:tblCellMar>
      </w:tblPr>
      <w:tblGrid>
        <w:gridCol w:w="740"/>
        <w:gridCol w:w="734"/>
        <w:gridCol w:w="988"/>
        <w:gridCol w:w="1972"/>
        <w:gridCol w:w="1527"/>
        <w:gridCol w:w="1468"/>
        <w:gridCol w:w="1074"/>
        <w:gridCol w:w="1487"/>
      </w:tblGrid>
      <w:tr>
        <w:tblPrEx>
          <w:tblCellMar>
            <w:top w:w="0" w:type="dxa"/>
            <w:left w:w="108" w:type="dxa"/>
            <w:bottom w:w="0" w:type="dxa"/>
            <w:right w:w="108" w:type="dxa"/>
          </w:tblCellMar>
        </w:tblPrEx>
        <w:trPr>
          <w:trHeight w:val="285" w:hRule="atLeast"/>
        </w:trPr>
        <w:tc>
          <w:tcPr>
            <w:tcW w:w="9990" w:type="dxa"/>
            <w:gridSpan w:val="8"/>
            <w:tcBorders>
              <w:top w:val="nil"/>
              <w:left w:val="nil"/>
              <w:bottom w:val="nil"/>
              <w:right w:val="nil"/>
            </w:tcBorders>
            <w:shd w:val="clear" w:color="auto" w:fill="auto"/>
            <w:vAlign w:val="center"/>
          </w:tcPr>
          <w:p>
            <w:pPr>
              <w:widowControl/>
              <w:jc w:val="center"/>
              <w:rPr>
                <w:rFonts w:hint="eastAsia" w:ascii="宋体" w:hAnsi="宋体" w:cs="宋体"/>
                <w:b/>
                <w:bCs/>
                <w:kern w:val="0"/>
                <w:sz w:val="44"/>
                <w:szCs w:val="44"/>
                <w:lang w:eastAsia="zh-CN"/>
              </w:rPr>
            </w:pPr>
            <w:r>
              <w:rPr>
                <w:rFonts w:hint="eastAsia" w:ascii="宋体" w:hAnsi="宋体" w:cs="宋体"/>
                <w:b/>
                <w:bCs/>
                <w:kern w:val="0"/>
                <w:sz w:val="44"/>
                <w:szCs w:val="44"/>
                <w:lang w:eastAsia="zh-CN"/>
              </w:rPr>
              <w:t>专项（项目）资金绩效自评表</w:t>
            </w:r>
          </w:p>
          <w:p>
            <w:pPr>
              <w:widowControl/>
              <w:jc w:val="center"/>
              <w:rPr>
                <w:rFonts w:ascii="宋体" w:hAnsi="宋体" w:cs="宋体"/>
                <w:kern w:val="0"/>
                <w:sz w:val="24"/>
              </w:rPr>
            </w:pPr>
            <w:r>
              <w:rPr>
                <w:rFonts w:hint="eastAsia" w:ascii="宋体" w:hAnsi="宋体" w:cs="宋体"/>
                <w:kern w:val="0"/>
                <w:sz w:val="24"/>
              </w:rPr>
              <w:t>（</w:t>
            </w:r>
            <w:r>
              <w:rPr>
                <w:kern w:val="0"/>
                <w:sz w:val="24"/>
              </w:rPr>
              <w:t>2021</w:t>
            </w:r>
            <w:r>
              <w:rPr>
                <w:rFonts w:hint="eastAsia" w:ascii="宋体" w:hAnsi="宋体" w:cs="宋体"/>
                <w:kern w:val="0"/>
                <w:sz w:val="24"/>
              </w:rPr>
              <w:t>年度）</w:t>
            </w:r>
          </w:p>
        </w:tc>
      </w:tr>
      <w:tr>
        <w:tblPrEx>
          <w:tblCellMar>
            <w:top w:w="0" w:type="dxa"/>
            <w:left w:w="108" w:type="dxa"/>
            <w:bottom w:w="0" w:type="dxa"/>
            <w:right w:w="108" w:type="dxa"/>
          </w:tblCellMar>
        </w:tblPrEx>
        <w:trPr>
          <w:trHeight w:val="285" w:hRule="atLeast"/>
        </w:trPr>
        <w:tc>
          <w:tcPr>
            <w:tcW w:w="740" w:type="dxa"/>
            <w:tcBorders>
              <w:top w:val="nil"/>
              <w:left w:val="nil"/>
              <w:bottom w:val="single" w:color="auto" w:sz="4" w:space="0"/>
              <w:right w:val="nil"/>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734" w:type="dxa"/>
            <w:tcBorders>
              <w:top w:val="nil"/>
              <w:left w:val="nil"/>
              <w:bottom w:val="single" w:color="auto" w:sz="4" w:space="0"/>
              <w:right w:val="nil"/>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w:t>
            </w:r>
          </w:p>
        </w:tc>
        <w:tc>
          <w:tcPr>
            <w:tcW w:w="988" w:type="dxa"/>
            <w:tcBorders>
              <w:top w:val="nil"/>
              <w:left w:val="nil"/>
              <w:bottom w:val="nil"/>
              <w:right w:val="nil"/>
            </w:tcBorders>
            <w:shd w:val="clear" w:color="auto" w:fill="auto"/>
            <w:vAlign w:val="center"/>
          </w:tcPr>
          <w:p>
            <w:pPr>
              <w:widowControl/>
              <w:jc w:val="left"/>
              <w:rPr>
                <w:rFonts w:ascii="宋体" w:hAnsi="宋体" w:cs="宋体"/>
                <w:kern w:val="0"/>
                <w:sz w:val="24"/>
              </w:rPr>
            </w:pPr>
          </w:p>
        </w:tc>
        <w:tc>
          <w:tcPr>
            <w:tcW w:w="1972" w:type="dxa"/>
            <w:tcBorders>
              <w:top w:val="nil"/>
              <w:left w:val="nil"/>
              <w:bottom w:val="nil"/>
              <w:right w:val="nil"/>
            </w:tcBorders>
            <w:shd w:val="clear" w:color="auto" w:fill="auto"/>
            <w:vAlign w:val="center"/>
          </w:tcPr>
          <w:p>
            <w:pPr>
              <w:widowControl/>
              <w:jc w:val="left"/>
              <w:rPr>
                <w:rFonts w:ascii="宋体" w:hAnsi="宋体" w:cs="宋体"/>
                <w:kern w:val="0"/>
                <w:sz w:val="24"/>
              </w:rPr>
            </w:pPr>
          </w:p>
        </w:tc>
        <w:tc>
          <w:tcPr>
            <w:tcW w:w="1527" w:type="dxa"/>
            <w:tcBorders>
              <w:top w:val="nil"/>
              <w:left w:val="nil"/>
              <w:bottom w:val="nil"/>
              <w:right w:val="nil"/>
            </w:tcBorders>
            <w:shd w:val="clear" w:color="auto" w:fill="auto"/>
            <w:vAlign w:val="center"/>
          </w:tcPr>
          <w:p>
            <w:pPr>
              <w:widowControl/>
              <w:jc w:val="left"/>
              <w:rPr>
                <w:rFonts w:ascii="宋体" w:hAnsi="宋体" w:cs="宋体"/>
                <w:kern w:val="0"/>
                <w:sz w:val="24"/>
              </w:rPr>
            </w:pPr>
          </w:p>
        </w:tc>
        <w:tc>
          <w:tcPr>
            <w:tcW w:w="1468" w:type="dxa"/>
            <w:tcBorders>
              <w:top w:val="nil"/>
              <w:left w:val="nil"/>
              <w:bottom w:val="nil"/>
              <w:right w:val="nil"/>
            </w:tcBorders>
            <w:shd w:val="clear" w:color="auto" w:fill="auto"/>
            <w:vAlign w:val="center"/>
          </w:tcPr>
          <w:p>
            <w:pPr>
              <w:widowControl/>
              <w:jc w:val="left"/>
              <w:rPr>
                <w:rFonts w:ascii="宋体" w:hAnsi="宋体" w:cs="宋体"/>
                <w:kern w:val="0"/>
                <w:sz w:val="24"/>
              </w:rPr>
            </w:pPr>
          </w:p>
        </w:tc>
        <w:tc>
          <w:tcPr>
            <w:tcW w:w="1074" w:type="dxa"/>
            <w:tcBorders>
              <w:top w:val="nil"/>
              <w:left w:val="nil"/>
              <w:bottom w:val="nil"/>
              <w:right w:val="nil"/>
            </w:tcBorders>
            <w:shd w:val="clear" w:color="auto" w:fill="auto"/>
            <w:vAlign w:val="center"/>
          </w:tcPr>
          <w:p>
            <w:pPr>
              <w:widowControl/>
              <w:jc w:val="left"/>
              <w:rPr>
                <w:rFonts w:ascii="宋体" w:hAnsi="宋体" w:cs="宋体"/>
                <w:kern w:val="0"/>
                <w:sz w:val="24"/>
              </w:rPr>
            </w:pPr>
          </w:p>
        </w:tc>
        <w:tc>
          <w:tcPr>
            <w:tcW w:w="1487" w:type="dxa"/>
            <w:tcBorders>
              <w:top w:val="nil"/>
              <w:left w:val="nil"/>
              <w:bottom w:val="nil"/>
              <w:right w:val="nil"/>
            </w:tcBorders>
            <w:shd w:val="clear" w:color="auto" w:fill="auto"/>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285" w:hRule="atLeast"/>
        </w:trPr>
        <w:tc>
          <w:tcPr>
            <w:tcW w:w="2462" w:type="dxa"/>
            <w:gridSpan w:val="3"/>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专项（项目）名称</w:t>
            </w:r>
          </w:p>
        </w:tc>
        <w:tc>
          <w:tcPr>
            <w:tcW w:w="7528" w:type="dxa"/>
            <w:gridSpan w:val="5"/>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孕前优生优育</w:t>
            </w:r>
          </w:p>
        </w:tc>
      </w:tr>
      <w:tr>
        <w:tblPrEx>
          <w:tblCellMar>
            <w:top w:w="0" w:type="dxa"/>
            <w:left w:w="108" w:type="dxa"/>
            <w:bottom w:w="0" w:type="dxa"/>
            <w:right w:w="108" w:type="dxa"/>
          </w:tblCellMar>
        </w:tblPrEx>
        <w:trPr>
          <w:trHeight w:val="363" w:hRule="atLeast"/>
        </w:trPr>
        <w:tc>
          <w:tcPr>
            <w:tcW w:w="2462" w:type="dxa"/>
            <w:gridSpan w:val="3"/>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4"/>
                <w:szCs w:val="24"/>
                <w:u w:val="none"/>
                <w:lang w:val="en-US" w:eastAsia="zh-CN" w:bidi="ar"/>
              </w:rPr>
              <w:t>项目主管单位</w:t>
            </w:r>
          </w:p>
        </w:tc>
        <w:tc>
          <w:tcPr>
            <w:tcW w:w="7528" w:type="dxa"/>
            <w:gridSpan w:val="5"/>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盐边县卫生健康局</w:t>
            </w:r>
          </w:p>
        </w:tc>
      </w:tr>
      <w:tr>
        <w:tblPrEx>
          <w:tblCellMar>
            <w:top w:w="0" w:type="dxa"/>
            <w:left w:w="108" w:type="dxa"/>
            <w:bottom w:w="0" w:type="dxa"/>
            <w:right w:w="108" w:type="dxa"/>
          </w:tblCellMar>
        </w:tblPrEx>
        <w:trPr>
          <w:trHeight w:val="285" w:hRule="atLeast"/>
        </w:trPr>
        <w:tc>
          <w:tcPr>
            <w:tcW w:w="2462" w:type="dxa"/>
            <w:gridSpan w:val="3"/>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4"/>
                <w:szCs w:val="24"/>
                <w:u w:val="none"/>
                <w:lang w:val="en-US" w:eastAsia="zh-CN" w:bidi="ar"/>
              </w:rPr>
              <w:t>项目实施单位</w:t>
            </w:r>
          </w:p>
        </w:tc>
        <w:tc>
          <w:tcPr>
            <w:tcW w:w="7528" w:type="dxa"/>
            <w:gridSpan w:val="5"/>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盐边县妇幼保健服务中心</w:t>
            </w:r>
          </w:p>
        </w:tc>
      </w:tr>
      <w:tr>
        <w:tblPrEx>
          <w:tblCellMar>
            <w:top w:w="0" w:type="dxa"/>
            <w:left w:w="108" w:type="dxa"/>
            <w:bottom w:w="0" w:type="dxa"/>
            <w:right w:w="108" w:type="dxa"/>
          </w:tblCellMar>
        </w:tblPrEx>
        <w:trPr>
          <w:trHeight w:val="285" w:hRule="atLeast"/>
        </w:trPr>
        <w:tc>
          <w:tcPr>
            <w:tcW w:w="2462"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项目资金</w:t>
            </w:r>
          </w:p>
          <w:p>
            <w:pPr>
              <w:widowControl/>
              <w:jc w:val="center"/>
              <w:rPr>
                <w:rFonts w:ascii="宋体" w:hAnsi="宋体" w:cs="宋体"/>
                <w:kern w:val="0"/>
                <w:sz w:val="24"/>
              </w:rPr>
            </w:pPr>
            <w:r>
              <w:rPr>
                <w:rFonts w:hint="eastAsia" w:ascii="宋体" w:hAnsi="宋体" w:cs="宋体"/>
                <w:kern w:val="0"/>
                <w:sz w:val="24"/>
              </w:rPr>
              <w:t>（万元）</w:t>
            </w:r>
          </w:p>
        </w:tc>
        <w:tc>
          <w:tcPr>
            <w:tcW w:w="197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c>
          <w:tcPr>
            <w:tcW w:w="15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全年预算数</w:t>
            </w:r>
          </w:p>
        </w:tc>
        <w:tc>
          <w:tcPr>
            <w:tcW w:w="14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实际完成数</w:t>
            </w:r>
          </w:p>
        </w:tc>
        <w:tc>
          <w:tcPr>
            <w:tcW w:w="2561"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执行率（%）</w:t>
            </w:r>
          </w:p>
        </w:tc>
      </w:tr>
      <w:tr>
        <w:tblPrEx>
          <w:tblCellMar>
            <w:top w:w="0" w:type="dxa"/>
            <w:left w:w="108" w:type="dxa"/>
            <w:bottom w:w="0" w:type="dxa"/>
            <w:right w:w="108" w:type="dxa"/>
          </w:tblCellMar>
        </w:tblPrEx>
        <w:trPr>
          <w:trHeight w:val="285" w:hRule="atLeast"/>
        </w:trPr>
        <w:tc>
          <w:tcPr>
            <w:tcW w:w="246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xml:space="preserve"> 年度资金总额：</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14.62</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14.62</w:t>
            </w:r>
          </w:p>
        </w:tc>
        <w:tc>
          <w:tcPr>
            <w:tcW w:w="2561" w:type="dxa"/>
            <w:gridSpan w:val="2"/>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kern w:val="0"/>
                <w:sz w:val="24"/>
                <w:lang w:val="en-US"/>
              </w:rPr>
            </w:pPr>
            <w:r>
              <w:rPr>
                <w:rFonts w:hint="eastAsia" w:ascii="宋体" w:hAnsi="宋体" w:eastAsia="宋体" w:cs="宋体"/>
                <w:i w:val="0"/>
                <w:iCs w:val="0"/>
                <w:color w:val="000000"/>
                <w:kern w:val="0"/>
                <w:sz w:val="24"/>
                <w:szCs w:val="24"/>
                <w:u w:val="none"/>
                <w:lang w:val="en-US" w:eastAsia="zh-CN" w:bidi="ar"/>
              </w:rPr>
              <w:t>100</w:t>
            </w:r>
          </w:p>
        </w:tc>
      </w:tr>
      <w:tr>
        <w:tblPrEx>
          <w:tblCellMar>
            <w:top w:w="0" w:type="dxa"/>
            <w:left w:w="108" w:type="dxa"/>
            <w:bottom w:w="0" w:type="dxa"/>
            <w:right w:w="108" w:type="dxa"/>
          </w:tblCellMar>
        </w:tblPrEx>
        <w:trPr>
          <w:trHeight w:val="285" w:hRule="atLeast"/>
        </w:trPr>
        <w:tc>
          <w:tcPr>
            <w:tcW w:w="246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xml:space="preserve"> 其中：财政拨款</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14.62</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14.62</w:t>
            </w:r>
          </w:p>
        </w:tc>
        <w:tc>
          <w:tcPr>
            <w:tcW w:w="2561" w:type="dxa"/>
            <w:gridSpan w:val="2"/>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kern w:val="0"/>
                <w:sz w:val="24"/>
                <w:lang w:val="en-US"/>
              </w:rPr>
            </w:pPr>
            <w:r>
              <w:rPr>
                <w:rFonts w:hint="eastAsia" w:ascii="宋体" w:hAnsi="宋体" w:eastAsia="宋体" w:cs="宋体"/>
                <w:i w:val="0"/>
                <w:iCs w:val="0"/>
                <w:color w:val="000000"/>
                <w:kern w:val="0"/>
                <w:sz w:val="24"/>
                <w:szCs w:val="24"/>
                <w:u w:val="none"/>
                <w:lang w:val="en-US" w:eastAsia="zh-CN" w:bidi="ar"/>
              </w:rPr>
              <w:t>100</w:t>
            </w:r>
          </w:p>
        </w:tc>
      </w:tr>
      <w:tr>
        <w:tblPrEx>
          <w:tblCellMar>
            <w:top w:w="0" w:type="dxa"/>
            <w:left w:w="108" w:type="dxa"/>
            <w:bottom w:w="0" w:type="dxa"/>
            <w:right w:w="108" w:type="dxa"/>
          </w:tblCellMar>
        </w:tblPrEx>
        <w:trPr>
          <w:trHeight w:val="285" w:hRule="atLeast"/>
        </w:trPr>
        <w:tc>
          <w:tcPr>
            <w:tcW w:w="246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xml:space="preserve">             其他资金</w:t>
            </w:r>
          </w:p>
        </w:tc>
        <w:tc>
          <w:tcPr>
            <w:tcW w:w="15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w:t>
            </w:r>
          </w:p>
        </w:tc>
        <w:tc>
          <w:tcPr>
            <w:tcW w:w="14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w:t>
            </w:r>
          </w:p>
        </w:tc>
        <w:tc>
          <w:tcPr>
            <w:tcW w:w="2561"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65" w:hRule="atLeast"/>
        </w:trPr>
        <w:tc>
          <w:tcPr>
            <w:tcW w:w="74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总</w:t>
            </w:r>
          </w:p>
          <w:p>
            <w:pPr>
              <w:widowControl/>
              <w:jc w:val="center"/>
              <w:rPr>
                <w:rFonts w:ascii="宋体" w:hAnsi="宋体" w:cs="宋体"/>
                <w:kern w:val="0"/>
                <w:sz w:val="24"/>
              </w:rPr>
            </w:pPr>
            <w:r>
              <w:rPr>
                <w:rFonts w:hint="eastAsia" w:ascii="宋体" w:hAnsi="宋体" w:cs="宋体"/>
                <w:kern w:val="0"/>
                <w:sz w:val="24"/>
              </w:rPr>
              <w:t>体</w:t>
            </w:r>
          </w:p>
          <w:p>
            <w:pPr>
              <w:widowControl/>
              <w:jc w:val="center"/>
              <w:rPr>
                <w:rFonts w:ascii="宋体" w:hAnsi="宋体" w:cs="宋体"/>
                <w:kern w:val="0"/>
                <w:sz w:val="24"/>
              </w:rPr>
            </w:pPr>
            <w:r>
              <w:rPr>
                <w:rFonts w:hint="eastAsia" w:ascii="宋体" w:hAnsi="宋体" w:cs="宋体"/>
                <w:kern w:val="0"/>
                <w:sz w:val="24"/>
              </w:rPr>
              <w:t>目</w:t>
            </w:r>
          </w:p>
          <w:p>
            <w:pPr>
              <w:widowControl/>
              <w:jc w:val="center"/>
              <w:rPr>
                <w:rFonts w:ascii="宋体" w:hAnsi="宋体" w:cs="宋体"/>
                <w:kern w:val="0"/>
                <w:sz w:val="24"/>
              </w:rPr>
            </w:pPr>
            <w:r>
              <w:rPr>
                <w:rFonts w:hint="eastAsia" w:ascii="宋体" w:hAnsi="宋体" w:cs="宋体"/>
                <w:kern w:val="0"/>
                <w:sz w:val="24"/>
              </w:rPr>
              <w:t>标</w:t>
            </w:r>
          </w:p>
        </w:tc>
        <w:tc>
          <w:tcPr>
            <w:tcW w:w="3694"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年度设定目标</w:t>
            </w:r>
          </w:p>
        </w:tc>
        <w:tc>
          <w:tcPr>
            <w:tcW w:w="5556" w:type="dxa"/>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实际完成情况</w:t>
            </w:r>
          </w:p>
        </w:tc>
      </w:tr>
      <w:tr>
        <w:tblPrEx>
          <w:tblCellMar>
            <w:top w:w="0" w:type="dxa"/>
            <w:left w:w="108" w:type="dxa"/>
            <w:bottom w:w="0" w:type="dxa"/>
            <w:right w:w="108" w:type="dxa"/>
          </w:tblCellMar>
        </w:tblPrEx>
        <w:trPr>
          <w:trHeight w:val="1305"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3694" w:type="dxa"/>
            <w:gridSpan w:val="3"/>
            <w:tcBorders>
              <w:top w:val="single" w:color="auto" w:sz="4" w:space="0"/>
              <w:left w:val="nil"/>
              <w:bottom w:val="single" w:color="auto"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000000"/>
                <w:kern w:val="0"/>
                <w:sz w:val="24"/>
                <w:szCs w:val="24"/>
                <w:u w:val="none"/>
                <w:lang w:val="en-US" w:eastAsia="zh-CN" w:bidi="ar"/>
              </w:rPr>
            </w:pPr>
          </w:p>
          <w:p>
            <w:pPr>
              <w:keepNext w:val="0"/>
              <w:keepLines w:val="0"/>
              <w:widowControl/>
              <w:suppressLineNumbers w:val="0"/>
              <w:jc w:val="center"/>
              <w:textAlignment w:val="top"/>
              <w:rPr>
                <w:rFonts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一、在卫健局的大力支持下加强与民政部门协调，利用民政部门办理结婚登记证的有利条件发放孕前医学检查宣传资料，二、利用婚前医学检查平台，广泛宣传目标人群的孕前优生健康检查意义、检查项目、接受检查的方法等进行宣传</w:t>
            </w:r>
          </w:p>
        </w:tc>
        <w:tc>
          <w:tcPr>
            <w:tcW w:w="5556" w:type="dxa"/>
            <w:gridSpan w:val="4"/>
            <w:tcBorders>
              <w:top w:val="single" w:color="auto" w:sz="4" w:space="0"/>
              <w:left w:val="nil"/>
              <w:bottom w:val="single" w:color="auto" w:sz="4" w:space="0"/>
              <w:right w:val="single" w:color="000000" w:sz="4" w:space="0"/>
            </w:tcBorders>
            <w:shd w:val="clear" w:color="auto" w:fill="auto"/>
            <w:vAlign w:val="top"/>
          </w:tcPr>
          <w:p>
            <w:pPr>
              <w:keepNext w:val="0"/>
              <w:keepLines w:val="0"/>
              <w:widowControl/>
              <w:suppressLineNumbers w:val="0"/>
              <w:jc w:val="center"/>
              <w:textAlignment w:val="top"/>
              <w:rPr>
                <w:rFonts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1、2021年1月-12月妇幼保健服务中心免费孕前健康检查筛查出的高风险人群209人2、三病传染防治：2021年我院查出乙肝病毒携带者33人，初筛查出梅毒阳性5人，复查确诊梅毒感染3人，为已经治疗人员，HIV初筛阳性1人，为疾控中心服药人员，对艾滋病、乙肝、梅毒给予转诊“三病办”随访跟踪治疗阻断，预防母婴传播。3、2021年已为638人提供了免费孕前优生健康检查。</w:t>
            </w:r>
          </w:p>
        </w:tc>
      </w:tr>
      <w:tr>
        <w:tblPrEx>
          <w:tblCellMar>
            <w:top w:w="0" w:type="dxa"/>
            <w:left w:w="108" w:type="dxa"/>
            <w:bottom w:w="0" w:type="dxa"/>
            <w:right w:w="108" w:type="dxa"/>
          </w:tblCellMar>
        </w:tblPrEx>
        <w:trPr>
          <w:trHeight w:val="450" w:hRule="atLeast"/>
        </w:trPr>
        <w:tc>
          <w:tcPr>
            <w:tcW w:w="740" w:type="dxa"/>
            <w:vMerge w:val="restart"/>
            <w:tcBorders>
              <w:top w:val="nil"/>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绩</w:t>
            </w:r>
          </w:p>
          <w:p>
            <w:pPr>
              <w:widowControl/>
              <w:jc w:val="center"/>
              <w:rPr>
                <w:rFonts w:ascii="宋体" w:hAnsi="宋体" w:cs="宋体"/>
                <w:kern w:val="0"/>
                <w:sz w:val="24"/>
              </w:rPr>
            </w:pPr>
            <w:r>
              <w:rPr>
                <w:rFonts w:hint="eastAsia" w:ascii="宋体" w:hAnsi="宋体" w:cs="宋体"/>
                <w:kern w:val="0"/>
                <w:sz w:val="24"/>
              </w:rPr>
              <w:t>效</w:t>
            </w:r>
          </w:p>
          <w:p>
            <w:pPr>
              <w:widowControl/>
              <w:jc w:val="center"/>
              <w:rPr>
                <w:rFonts w:ascii="宋体" w:hAnsi="宋体" w:cs="宋体"/>
                <w:kern w:val="0"/>
                <w:sz w:val="24"/>
              </w:rPr>
            </w:pPr>
            <w:r>
              <w:rPr>
                <w:rFonts w:hint="eastAsia" w:ascii="宋体" w:hAnsi="宋体" w:cs="宋体"/>
                <w:kern w:val="0"/>
                <w:sz w:val="24"/>
              </w:rPr>
              <w:t>指</w:t>
            </w:r>
          </w:p>
          <w:p>
            <w:pPr>
              <w:widowControl/>
              <w:jc w:val="center"/>
              <w:rPr>
                <w:rFonts w:ascii="宋体" w:hAnsi="宋体" w:cs="宋体"/>
                <w:kern w:val="0"/>
                <w:sz w:val="24"/>
              </w:rPr>
            </w:pPr>
            <w:r>
              <w:rPr>
                <w:rFonts w:hint="eastAsia" w:ascii="宋体" w:hAnsi="宋体" w:cs="宋体"/>
                <w:kern w:val="0"/>
                <w:sz w:val="24"/>
              </w:rPr>
              <w:t>标</w:t>
            </w:r>
          </w:p>
        </w:tc>
        <w:tc>
          <w:tcPr>
            <w:tcW w:w="734" w:type="dxa"/>
            <w:tcBorders>
              <w:top w:val="nil"/>
              <w:left w:val="nil"/>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一级</w:t>
            </w:r>
          </w:p>
          <w:p>
            <w:pPr>
              <w:widowControl/>
              <w:jc w:val="center"/>
              <w:rPr>
                <w:rFonts w:ascii="宋体" w:hAnsi="宋体" w:cs="宋体"/>
                <w:kern w:val="0"/>
                <w:sz w:val="24"/>
              </w:rPr>
            </w:pPr>
            <w:r>
              <w:rPr>
                <w:rFonts w:hint="eastAsia" w:ascii="宋体" w:hAnsi="宋体" w:cs="宋体"/>
                <w:kern w:val="0"/>
                <w:sz w:val="24"/>
              </w:rPr>
              <w:t>指标</w:t>
            </w:r>
          </w:p>
        </w:tc>
        <w:tc>
          <w:tcPr>
            <w:tcW w:w="9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二级指标</w:t>
            </w:r>
          </w:p>
        </w:tc>
        <w:tc>
          <w:tcPr>
            <w:tcW w:w="197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三级指标</w:t>
            </w:r>
          </w:p>
        </w:tc>
        <w:tc>
          <w:tcPr>
            <w:tcW w:w="15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年度指标值</w:t>
            </w:r>
          </w:p>
        </w:tc>
        <w:tc>
          <w:tcPr>
            <w:tcW w:w="14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实际完成数</w:t>
            </w:r>
          </w:p>
        </w:tc>
        <w:tc>
          <w:tcPr>
            <w:tcW w:w="107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完成率（%）</w:t>
            </w:r>
          </w:p>
        </w:tc>
        <w:tc>
          <w:tcPr>
            <w:tcW w:w="148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未完成原因和改进措施</w:t>
            </w:r>
          </w:p>
        </w:tc>
      </w:tr>
      <w:tr>
        <w:tblPrEx>
          <w:tblCellMar>
            <w:top w:w="0" w:type="dxa"/>
            <w:left w:w="108" w:type="dxa"/>
            <w:bottom w:w="0" w:type="dxa"/>
            <w:right w:w="108" w:type="dxa"/>
          </w:tblCellMar>
        </w:tblPrEx>
        <w:trPr>
          <w:trHeight w:val="85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项目完成</w:t>
            </w:r>
          </w:p>
        </w:tc>
        <w:tc>
          <w:tcPr>
            <w:tcW w:w="988" w:type="dxa"/>
            <w:vMerge w:val="restart"/>
            <w:tcBorders>
              <w:top w:val="nil"/>
              <w:left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数量指标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 xml:space="preserve">  指标1：孕前优生优育检查对数</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4"/>
                <w:szCs w:val="24"/>
              </w:rPr>
            </w:pPr>
            <w:r>
              <w:rPr>
                <w:rFonts w:ascii="宋体" w:hAnsi="宋体" w:eastAsia="宋体" w:cs="宋体"/>
                <w:i w:val="0"/>
                <w:iCs w:val="0"/>
                <w:color w:val="000000"/>
                <w:kern w:val="0"/>
                <w:sz w:val="24"/>
                <w:szCs w:val="24"/>
                <w:u w:val="none"/>
                <w:lang w:val="en-US" w:eastAsia="zh-CN" w:bidi="ar"/>
              </w:rPr>
              <w:t>638对</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618对</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97%</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18"/>
                <w:szCs w:val="18"/>
                <w:u w:val="none"/>
                <w:lang w:val="en-US" w:eastAsia="zh-CN" w:bidi="ar"/>
              </w:rPr>
              <w:t>有共和有20人在渔门医院检查。全县检查指标完成。我院尽量为检查者提供方便服务。</w:t>
            </w:r>
          </w:p>
        </w:tc>
      </w:tr>
      <w:tr>
        <w:tblPrEx>
          <w:tblCellMar>
            <w:top w:w="0" w:type="dxa"/>
            <w:left w:w="108" w:type="dxa"/>
            <w:bottom w:w="0" w:type="dxa"/>
            <w:right w:w="108" w:type="dxa"/>
          </w:tblCellMar>
        </w:tblPrEx>
        <w:trPr>
          <w:trHeight w:val="71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shd w:val="clear" w:color="auto" w:fill="auto"/>
            <w:vAlign w:val="center"/>
          </w:tcPr>
          <w:p>
            <w:pPr>
              <w:widowControl/>
              <w:jc w:val="center"/>
              <w:rPr>
                <w:rFonts w:hint="eastAsia" w:ascii="宋体" w:hAnsi="宋体" w:cs="宋体"/>
                <w:kern w:val="0"/>
                <w:sz w:val="24"/>
              </w:rPr>
            </w:pPr>
          </w:p>
        </w:tc>
        <w:tc>
          <w:tcPr>
            <w:tcW w:w="988" w:type="dxa"/>
            <w:vMerge w:val="continue"/>
            <w:tcBorders>
              <w:left w:val="nil"/>
              <w:right w:val="single" w:color="auto" w:sz="4" w:space="0"/>
            </w:tcBorders>
            <w:shd w:val="clear" w:color="auto" w:fill="auto"/>
            <w:vAlign w:val="center"/>
          </w:tcPr>
          <w:p>
            <w:pPr>
              <w:widowControl/>
              <w:jc w:val="center"/>
              <w:rPr>
                <w:rFonts w:hint="eastAsia"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 xml:space="preserve"> 指标2：降低出生儿的缺陷</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209</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209</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100%</w:t>
            </w:r>
          </w:p>
        </w:tc>
        <w:tc>
          <w:tcPr>
            <w:tcW w:w="1487" w:type="dxa"/>
            <w:tcBorders>
              <w:top w:val="nil"/>
              <w:left w:val="nil"/>
              <w:bottom w:val="single" w:color="auto" w:sz="4" w:space="0"/>
              <w:right w:val="single" w:color="auto" w:sz="4" w:space="0"/>
            </w:tcBorders>
            <w:shd w:val="clear" w:color="auto" w:fill="auto"/>
            <w:vAlign w:val="center"/>
          </w:tcPr>
          <w:p>
            <w:pPr>
              <w:rPr>
                <w:rFonts w:hint="eastAsia" w:ascii="宋体" w:hAnsi="宋体" w:cs="宋体"/>
                <w:kern w:val="0"/>
                <w:sz w:val="20"/>
                <w:szCs w:val="20"/>
              </w:rPr>
            </w:pPr>
          </w:p>
        </w:tc>
      </w:tr>
      <w:tr>
        <w:tblPrEx>
          <w:tblCellMar>
            <w:top w:w="0" w:type="dxa"/>
            <w:left w:w="108" w:type="dxa"/>
            <w:bottom w:w="0" w:type="dxa"/>
            <w:right w:w="108" w:type="dxa"/>
          </w:tblCellMar>
        </w:tblPrEx>
        <w:trPr>
          <w:trHeight w:val="62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shd w:val="clear" w:color="auto" w:fill="auto"/>
            <w:vAlign w:val="center"/>
          </w:tcPr>
          <w:p>
            <w:pPr>
              <w:widowControl/>
              <w:jc w:val="center"/>
              <w:rPr>
                <w:rFonts w:hint="eastAsia" w:ascii="宋体" w:hAnsi="宋体" w:cs="宋体"/>
                <w:kern w:val="0"/>
                <w:sz w:val="24"/>
              </w:rPr>
            </w:pPr>
          </w:p>
        </w:tc>
        <w:tc>
          <w:tcPr>
            <w:tcW w:w="988" w:type="dxa"/>
            <w:vMerge w:val="continue"/>
            <w:tcBorders>
              <w:left w:val="nil"/>
              <w:bottom w:val="nil"/>
              <w:right w:val="single" w:color="auto" w:sz="4" w:space="0"/>
            </w:tcBorders>
            <w:shd w:val="clear" w:color="auto" w:fill="auto"/>
            <w:vAlign w:val="center"/>
          </w:tcPr>
          <w:p>
            <w:pPr>
              <w:widowControl/>
              <w:jc w:val="center"/>
              <w:rPr>
                <w:rFonts w:hint="eastAsia"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 xml:space="preserve"> 指标3：</w:t>
            </w:r>
          </w:p>
        </w:tc>
        <w:tc>
          <w:tcPr>
            <w:tcW w:w="1527" w:type="dxa"/>
            <w:tcBorders>
              <w:top w:val="nil"/>
              <w:left w:val="nil"/>
              <w:bottom w:val="single" w:color="auto" w:sz="4" w:space="0"/>
              <w:right w:val="single" w:color="auto" w:sz="4" w:space="0"/>
            </w:tcBorders>
            <w:shd w:val="clear" w:color="auto" w:fill="auto"/>
            <w:vAlign w:val="center"/>
          </w:tcPr>
          <w:p>
            <w:pPr>
              <w:rPr>
                <w:rFonts w:hint="eastAsia" w:ascii="宋体" w:hAnsi="宋体" w:cs="宋体"/>
                <w:kern w:val="0"/>
                <w:sz w:val="24"/>
                <w:szCs w:val="24"/>
              </w:rPr>
            </w:pPr>
          </w:p>
        </w:tc>
        <w:tc>
          <w:tcPr>
            <w:tcW w:w="1468" w:type="dxa"/>
            <w:tcBorders>
              <w:top w:val="nil"/>
              <w:left w:val="nil"/>
              <w:bottom w:val="single" w:color="auto" w:sz="4" w:space="0"/>
              <w:right w:val="single" w:color="auto" w:sz="4" w:space="0"/>
            </w:tcBorders>
            <w:shd w:val="clear" w:color="auto" w:fill="auto"/>
            <w:vAlign w:val="center"/>
          </w:tcPr>
          <w:p>
            <w:pPr>
              <w:rPr>
                <w:rFonts w:hint="eastAsia" w:ascii="宋体" w:hAnsi="宋体" w:cs="宋体"/>
                <w:kern w:val="0"/>
                <w:sz w:val="24"/>
                <w:szCs w:val="24"/>
              </w:rPr>
            </w:pPr>
          </w:p>
        </w:tc>
        <w:tc>
          <w:tcPr>
            <w:tcW w:w="1074" w:type="dxa"/>
            <w:tcBorders>
              <w:top w:val="nil"/>
              <w:left w:val="nil"/>
              <w:bottom w:val="single" w:color="auto" w:sz="4" w:space="0"/>
              <w:right w:val="single" w:color="auto" w:sz="4" w:space="0"/>
            </w:tcBorders>
            <w:shd w:val="clear" w:color="auto" w:fill="auto"/>
            <w:vAlign w:val="center"/>
          </w:tcPr>
          <w:p>
            <w:pPr>
              <w:rPr>
                <w:rFonts w:hint="default" w:ascii="宋体" w:hAnsi="宋体" w:eastAsia="宋体" w:cs="宋体"/>
                <w:kern w:val="0"/>
                <w:sz w:val="24"/>
                <w:szCs w:val="24"/>
                <w:lang w:val="en-US" w:eastAsia="zh-CN"/>
              </w:rPr>
            </w:pPr>
          </w:p>
        </w:tc>
        <w:tc>
          <w:tcPr>
            <w:tcW w:w="1487" w:type="dxa"/>
            <w:tcBorders>
              <w:top w:val="nil"/>
              <w:left w:val="nil"/>
              <w:bottom w:val="single" w:color="auto" w:sz="4" w:space="0"/>
              <w:right w:val="single" w:color="auto" w:sz="4" w:space="0"/>
            </w:tcBorders>
            <w:shd w:val="clear" w:color="auto" w:fill="auto"/>
            <w:vAlign w:val="center"/>
          </w:tcPr>
          <w:p>
            <w:pPr>
              <w:rPr>
                <w:rFonts w:hint="eastAsia" w:ascii="宋体" w:hAnsi="宋体" w:cs="宋体"/>
                <w:kern w:val="0"/>
                <w:sz w:val="20"/>
                <w:szCs w:val="20"/>
              </w:rPr>
            </w:pPr>
          </w:p>
        </w:tc>
      </w:tr>
      <w:tr>
        <w:tblPrEx>
          <w:tblCellMar>
            <w:top w:w="0" w:type="dxa"/>
            <w:left w:w="108" w:type="dxa"/>
            <w:bottom w:w="0" w:type="dxa"/>
            <w:right w:w="108" w:type="dxa"/>
          </w:tblCellMar>
        </w:tblPrEx>
        <w:trPr>
          <w:trHeight w:val="86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质量指标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 xml:space="preserve"> 指标1：优生健康教育普及率</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ascii="宋体" w:hAnsi="宋体" w:eastAsia="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90%</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90%</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100%</w:t>
            </w:r>
          </w:p>
        </w:tc>
        <w:tc>
          <w:tcPr>
            <w:tcW w:w="1487"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63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宋体" w:hAnsi="宋体" w:cs="宋体"/>
                <w:kern w:val="0"/>
                <w:sz w:val="20"/>
                <w:szCs w:val="20"/>
              </w:rPr>
            </w:pPr>
          </w:p>
        </w:tc>
        <w:tc>
          <w:tcPr>
            <w:tcW w:w="1487" w:type="dxa"/>
            <w:vMerge w:val="continue"/>
            <w:tcBorders>
              <w:top w:val="nil"/>
              <w:left w:val="nil"/>
              <w:bottom w:val="single" w:color="auto" w:sz="4" w:space="0"/>
              <w:right w:val="single" w:color="auto" w:sz="4" w:space="0"/>
            </w:tcBorders>
            <w:shd w:val="clear" w:color="auto" w:fill="auto"/>
            <w:vAlign w:val="center"/>
          </w:tcPr>
          <w:p>
            <w:pPr>
              <w:jc w:val="center"/>
              <w:rPr>
                <w:rFonts w:ascii="宋体" w:hAnsi="宋体" w:cs="宋体"/>
                <w:kern w:val="0"/>
                <w:sz w:val="20"/>
                <w:szCs w:val="20"/>
              </w:rPr>
            </w:pPr>
          </w:p>
        </w:tc>
      </w:tr>
      <w:tr>
        <w:tblPrEx>
          <w:tblCellMar>
            <w:top w:w="0" w:type="dxa"/>
            <w:left w:w="108" w:type="dxa"/>
            <w:bottom w:w="0" w:type="dxa"/>
            <w:right w:w="108" w:type="dxa"/>
          </w:tblCellMar>
        </w:tblPrEx>
        <w:trPr>
          <w:trHeight w:val="54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宋体" w:hAnsi="宋体" w:cs="宋体"/>
                <w:kern w:val="0"/>
                <w:sz w:val="20"/>
                <w:szCs w:val="20"/>
              </w:rPr>
            </w:pPr>
          </w:p>
        </w:tc>
        <w:tc>
          <w:tcPr>
            <w:tcW w:w="1487" w:type="dxa"/>
            <w:vMerge w:val="continue"/>
            <w:tcBorders>
              <w:top w:val="nil"/>
              <w:left w:val="nil"/>
              <w:bottom w:val="single" w:color="auto" w:sz="4" w:space="0"/>
              <w:right w:val="single" w:color="auto" w:sz="4" w:space="0"/>
            </w:tcBorders>
            <w:shd w:val="clear" w:color="auto" w:fill="auto"/>
            <w:vAlign w:val="center"/>
          </w:tcPr>
          <w:p>
            <w:pPr>
              <w:jc w:val="center"/>
              <w:rPr>
                <w:rFonts w:ascii="宋体" w:hAnsi="宋体" w:cs="宋体"/>
                <w:kern w:val="0"/>
                <w:sz w:val="20"/>
                <w:szCs w:val="20"/>
              </w:rPr>
            </w:pPr>
          </w:p>
        </w:tc>
      </w:tr>
      <w:tr>
        <w:tblPrEx>
          <w:tblCellMar>
            <w:top w:w="0" w:type="dxa"/>
            <w:left w:w="108" w:type="dxa"/>
            <w:bottom w:w="0" w:type="dxa"/>
            <w:right w:w="108" w:type="dxa"/>
          </w:tblCellMar>
        </w:tblPrEx>
        <w:trPr>
          <w:trHeight w:val="58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restart"/>
            <w:tcBorders>
              <w:top w:val="nil"/>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时效指标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 xml:space="preserve"> 指标1：按年度执行</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2021年1-12月</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12个月</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100%</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562"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69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成本指标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 xml:space="preserve"> 指标1：本年度项目预算数</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14.62万元</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14.62万元</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100%</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28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r>
      <w:tr>
        <w:tblPrEx>
          <w:tblCellMar>
            <w:top w:w="0" w:type="dxa"/>
            <w:left w:w="108" w:type="dxa"/>
            <w:bottom w:w="0" w:type="dxa"/>
            <w:right w:w="108" w:type="dxa"/>
          </w:tblCellMar>
        </w:tblPrEx>
        <w:trPr>
          <w:trHeight w:val="28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项目效益</w:t>
            </w:r>
          </w:p>
        </w:tc>
        <w:tc>
          <w:tcPr>
            <w:tcW w:w="988"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经济效益</w:t>
            </w:r>
          </w:p>
          <w:p>
            <w:pPr>
              <w:widowControl/>
              <w:jc w:val="center"/>
              <w:rPr>
                <w:rFonts w:ascii="宋体" w:hAnsi="宋体" w:cs="宋体"/>
                <w:kern w:val="0"/>
                <w:sz w:val="24"/>
              </w:rPr>
            </w:pPr>
            <w:r>
              <w:rPr>
                <w:rFonts w:hint="eastAsia" w:ascii="宋体" w:hAnsi="宋体" w:cs="宋体"/>
                <w:kern w:val="0"/>
                <w:sz w:val="24"/>
              </w:rPr>
              <w:t>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42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r>
      <w:tr>
        <w:tblPrEx>
          <w:tblCellMar>
            <w:top w:w="0" w:type="dxa"/>
            <w:left w:w="108" w:type="dxa"/>
            <w:bottom w:w="0" w:type="dxa"/>
            <w:right w:w="108" w:type="dxa"/>
          </w:tblCellMar>
        </w:tblPrEx>
        <w:trPr>
          <w:trHeight w:val="114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社会效益</w:t>
            </w:r>
          </w:p>
          <w:p>
            <w:pPr>
              <w:widowControl/>
              <w:jc w:val="center"/>
              <w:rPr>
                <w:rFonts w:ascii="宋体" w:hAnsi="宋体" w:cs="宋体"/>
                <w:kern w:val="0"/>
                <w:sz w:val="24"/>
              </w:rPr>
            </w:pPr>
            <w:r>
              <w:rPr>
                <w:rFonts w:hint="eastAsia" w:ascii="宋体" w:hAnsi="宋体" w:cs="宋体"/>
                <w:kern w:val="0"/>
                <w:sz w:val="24"/>
              </w:rPr>
              <w:t>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 xml:space="preserve"> 指标1：服务水平</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ascii="宋体" w:hAnsi="宋体" w:eastAsia="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90%</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ascii="宋体" w:hAnsi="宋体" w:eastAsia="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90%</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100%</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72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59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continue"/>
            <w:tcBorders>
              <w:left w:val="single" w:color="auto" w:sz="4" w:space="0"/>
              <w:bottom w:val="nil"/>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cs="宋体"/>
                <w:kern w:val="0"/>
                <w:sz w:val="20"/>
                <w:szCs w:val="20"/>
              </w:rPr>
            </w:pPr>
          </w:p>
        </w:tc>
      </w:tr>
      <w:tr>
        <w:tblPrEx>
          <w:tblCellMar>
            <w:top w:w="0" w:type="dxa"/>
            <w:left w:w="108" w:type="dxa"/>
            <w:bottom w:w="0" w:type="dxa"/>
            <w:right w:w="108" w:type="dxa"/>
          </w:tblCellMar>
        </w:tblPrEx>
        <w:trPr>
          <w:trHeight w:val="52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生态效益</w:t>
            </w:r>
          </w:p>
          <w:p>
            <w:pPr>
              <w:widowControl/>
              <w:jc w:val="center"/>
              <w:rPr>
                <w:rFonts w:ascii="宋体" w:hAnsi="宋体" w:cs="宋体"/>
                <w:kern w:val="0"/>
                <w:sz w:val="24"/>
              </w:rPr>
            </w:pPr>
            <w:r>
              <w:rPr>
                <w:rFonts w:hint="eastAsia" w:ascii="宋体" w:hAnsi="宋体" w:cs="宋体"/>
                <w:kern w:val="0"/>
                <w:sz w:val="24"/>
              </w:rPr>
              <w:t>指标</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r>
      <w:tr>
        <w:tblPrEx>
          <w:tblCellMar>
            <w:top w:w="0" w:type="dxa"/>
            <w:left w:w="108" w:type="dxa"/>
            <w:bottom w:w="0" w:type="dxa"/>
            <w:right w:w="108" w:type="dxa"/>
          </w:tblCellMar>
        </w:tblPrEx>
        <w:trPr>
          <w:trHeight w:val="51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r>
      <w:tr>
        <w:tblPrEx>
          <w:tblCellMar>
            <w:top w:w="0" w:type="dxa"/>
            <w:left w:w="108" w:type="dxa"/>
            <w:bottom w:w="0" w:type="dxa"/>
            <w:right w:w="108" w:type="dxa"/>
          </w:tblCellMar>
        </w:tblPrEx>
        <w:trPr>
          <w:trHeight w:val="99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restart"/>
            <w:tcBorders>
              <w:top w:val="single" w:color="auto" w:sz="4" w:space="0"/>
              <w:left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可持续影响</w:t>
            </w:r>
          </w:p>
          <w:p>
            <w:pPr>
              <w:widowControl/>
              <w:jc w:val="center"/>
              <w:rPr>
                <w:rFonts w:ascii="宋体" w:hAnsi="宋体" w:cs="宋体"/>
                <w:kern w:val="0"/>
                <w:sz w:val="24"/>
              </w:rPr>
            </w:pPr>
            <w:r>
              <w:rPr>
                <w:rFonts w:hint="eastAsia" w:ascii="宋体" w:hAnsi="宋体" w:cs="宋体"/>
                <w:kern w:val="0"/>
                <w:sz w:val="24"/>
              </w:rPr>
              <w:t>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 xml:space="preserve"> 指标1：孕前优生优育服务水平</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不断提高</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不断提高</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100%</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99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continue"/>
            <w:tcBorders>
              <w:left w:val="nil"/>
              <w:bottom w:val="nil"/>
              <w:right w:val="single" w:color="auto" w:sz="4" w:space="0"/>
            </w:tcBorders>
            <w:shd w:val="clear" w:color="auto" w:fill="auto"/>
            <w:vAlign w:val="center"/>
          </w:tcPr>
          <w:p>
            <w:pPr>
              <w:widowControl/>
              <w:jc w:val="center"/>
              <w:rPr>
                <w:rFonts w:hint="eastAsia"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cs="宋体"/>
                <w:kern w:val="0"/>
                <w:sz w:val="20"/>
                <w:szCs w:val="20"/>
              </w:rPr>
            </w:pPr>
          </w:p>
        </w:tc>
      </w:tr>
      <w:tr>
        <w:tblPrEx>
          <w:tblCellMar>
            <w:top w:w="0" w:type="dxa"/>
            <w:left w:w="108" w:type="dxa"/>
            <w:bottom w:w="0" w:type="dxa"/>
            <w:right w:w="108" w:type="dxa"/>
          </w:tblCellMar>
        </w:tblPrEx>
        <w:trPr>
          <w:trHeight w:val="103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restart"/>
            <w:tcBorders>
              <w:top w:val="single" w:color="auto" w:sz="4" w:space="0"/>
              <w:left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满意度指标</w:t>
            </w:r>
          </w:p>
        </w:tc>
        <w:tc>
          <w:tcPr>
            <w:tcW w:w="988" w:type="dxa"/>
            <w:vMerge w:val="restart"/>
            <w:tcBorders>
              <w:top w:val="single" w:color="auto" w:sz="4" w:space="0"/>
              <w:left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满意度指标</w:t>
            </w:r>
          </w:p>
        </w:tc>
        <w:tc>
          <w:tcPr>
            <w:tcW w:w="19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 xml:space="preserve"> 指标1：服务对象满意率</w:t>
            </w: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≧90%</w:t>
            </w:r>
          </w:p>
        </w:tc>
        <w:tc>
          <w:tcPr>
            <w:tcW w:w="14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95.25%</w:t>
            </w:r>
          </w:p>
        </w:tc>
        <w:tc>
          <w:tcPr>
            <w:tcW w:w="107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100%</w:t>
            </w:r>
          </w:p>
        </w:tc>
        <w:tc>
          <w:tcPr>
            <w:tcW w:w="14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1035" w:hRule="atLeast"/>
        </w:trPr>
        <w:tc>
          <w:tcPr>
            <w:tcW w:w="740" w:type="dxa"/>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nil"/>
              <w:bottom w:val="single" w:color="auto" w:sz="4" w:space="0"/>
              <w:right w:val="single" w:color="auto" w:sz="4" w:space="0"/>
            </w:tcBorders>
            <w:shd w:val="clear" w:color="auto" w:fill="auto"/>
            <w:vAlign w:val="center"/>
          </w:tcPr>
          <w:p>
            <w:pPr>
              <w:widowControl/>
              <w:jc w:val="center"/>
              <w:rPr>
                <w:rFonts w:hint="eastAsia" w:ascii="宋体" w:hAnsi="宋体" w:cs="宋体"/>
                <w:kern w:val="0"/>
                <w:sz w:val="24"/>
              </w:rPr>
            </w:pPr>
          </w:p>
        </w:tc>
        <w:tc>
          <w:tcPr>
            <w:tcW w:w="988" w:type="dxa"/>
            <w:vMerge w:val="continue"/>
            <w:tcBorders>
              <w:left w:val="nil"/>
              <w:bottom w:val="single" w:color="auto" w:sz="4" w:space="0"/>
              <w:right w:val="single" w:color="auto" w:sz="4" w:space="0"/>
            </w:tcBorders>
            <w:shd w:val="clear" w:color="auto" w:fill="auto"/>
            <w:vAlign w:val="center"/>
          </w:tcPr>
          <w:p>
            <w:pPr>
              <w:widowControl/>
              <w:jc w:val="center"/>
              <w:rPr>
                <w:rFonts w:hint="eastAsia" w:ascii="宋体" w:hAnsi="宋体" w:cs="宋体"/>
                <w:kern w:val="0"/>
                <w:sz w:val="24"/>
              </w:rPr>
            </w:pPr>
          </w:p>
        </w:tc>
        <w:tc>
          <w:tcPr>
            <w:tcW w:w="19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07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cs="宋体"/>
                <w:kern w:val="0"/>
                <w:sz w:val="20"/>
                <w:szCs w:val="20"/>
              </w:rPr>
            </w:pPr>
          </w:p>
        </w:tc>
      </w:tr>
    </w:tbl>
    <w:p>
      <w:pPr>
        <w:spacing w:line="560" w:lineRule="exact"/>
        <w:ind w:firstLine="640" w:firstLineChars="200"/>
        <w:rPr>
          <w:rFonts w:hint="eastAsia" w:ascii="仿宋" w:hAnsi="仿宋" w:eastAsia="仿宋" w:cs="仿宋"/>
          <w:i w:val="0"/>
          <w:caps w:val="0"/>
          <w:color w:val="333333"/>
          <w:spacing w:val="0"/>
          <w:sz w:val="32"/>
          <w:szCs w:val="32"/>
          <w:lang w:eastAsia="zh-CN"/>
        </w:rPr>
      </w:pPr>
    </w:p>
    <w:p>
      <w:pPr>
        <w:spacing w:line="560" w:lineRule="exact"/>
        <w:ind w:firstLine="640" w:firstLineChars="200"/>
        <w:rPr>
          <w:rFonts w:hint="eastAsia" w:ascii="仿宋" w:hAnsi="仿宋" w:eastAsia="仿宋" w:cs="仿宋"/>
          <w:i w:val="0"/>
          <w:caps w:val="0"/>
          <w:color w:val="333333"/>
          <w:spacing w:val="0"/>
          <w:sz w:val="32"/>
          <w:szCs w:val="32"/>
          <w:lang w:eastAsia="zh-CN"/>
        </w:rPr>
      </w:pPr>
    </w:p>
    <w:p>
      <w:pPr>
        <w:ind w:firstLine="1260" w:firstLineChars="350"/>
        <w:jc w:val="both"/>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盐边县妇幼保健服务中心</w:t>
      </w:r>
    </w:p>
    <w:p>
      <w:pPr>
        <w:jc w:val="both"/>
        <w:rPr>
          <w:rFonts w:hint="eastAsia" w:ascii="仿宋" w:hAnsi="仿宋" w:eastAsia="仿宋"/>
          <w:sz w:val="36"/>
          <w:szCs w:val="36"/>
        </w:rPr>
      </w:pPr>
      <w:r>
        <w:rPr>
          <w:rFonts w:hint="eastAsia" w:ascii="方正小标宋简体" w:hAnsi="方正小标宋简体" w:eastAsia="方正小标宋简体" w:cs="方正小标宋简体"/>
          <w:sz w:val="36"/>
          <w:szCs w:val="36"/>
          <w:lang w:val="en-US" w:eastAsia="zh-CN"/>
        </w:rPr>
        <w:t>2021年专项</w:t>
      </w:r>
      <w:r>
        <w:rPr>
          <w:rFonts w:hint="eastAsia" w:ascii="方正小标宋简体" w:hAnsi="方正小标宋简体" w:eastAsia="方正小标宋简体" w:cs="方正小标宋简体"/>
          <w:sz w:val="36"/>
          <w:szCs w:val="36"/>
          <w:lang w:eastAsia="zh-CN"/>
        </w:rPr>
        <w:t>（重大传染病）</w:t>
      </w:r>
      <w:r>
        <w:rPr>
          <w:rFonts w:hint="eastAsia" w:ascii="方正小标宋简体" w:hAnsi="方正小标宋简体" w:eastAsia="方正小标宋简体" w:cs="方正小标宋简体"/>
          <w:sz w:val="36"/>
          <w:szCs w:val="36"/>
        </w:rPr>
        <w:t>专项资金</w:t>
      </w:r>
      <w:r>
        <w:rPr>
          <w:rFonts w:hint="eastAsia" w:ascii="方正小标宋简体" w:hAnsi="方正小标宋简体" w:eastAsia="方正小标宋简体" w:cs="方正小标宋简体"/>
          <w:sz w:val="36"/>
          <w:szCs w:val="36"/>
          <w:lang w:eastAsia="zh-CN"/>
        </w:rPr>
        <w:t>绩效</w:t>
      </w:r>
      <w:r>
        <w:rPr>
          <w:rFonts w:hint="eastAsia" w:ascii="方正小标宋简体" w:hAnsi="方正小标宋简体" w:eastAsia="方正小标宋简体" w:cs="方正小标宋简体"/>
          <w:sz w:val="36"/>
          <w:szCs w:val="36"/>
        </w:rPr>
        <w:t>自评报告</w:t>
      </w:r>
    </w:p>
    <w:p>
      <w:pPr>
        <w:rPr>
          <w:rFonts w:hint="eastAsia" w:ascii="仿宋" w:hAnsi="仿宋" w:eastAsia="仿宋"/>
          <w:sz w:val="36"/>
          <w:szCs w:val="36"/>
        </w:rPr>
      </w:pPr>
      <w:r>
        <w:rPr>
          <w:rFonts w:hint="eastAsia" w:ascii="仿宋" w:hAnsi="仿宋" w:eastAsia="仿宋"/>
          <w:sz w:val="36"/>
          <w:szCs w:val="36"/>
        </w:rPr>
        <w:t xml:space="preserve">  </w:t>
      </w:r>
    </w:p>
    <w:p>
      <w:pPr>
        <w:keepNext w:val="0"/>
        <w:keepLines w:val="0"/>
        <w:pageBreakBefore w:val="0"/>
        <w:widowControl w:val="0"/>
        <w:kinsoku/>
        <w:wordWrap/>
        <w:overflowPunct/>
        <w:topLinePunct w:val="0"/>
        <w:autoSpaceDE/>
        <w:autoSpaceDN/>
        <w:bidi w:val="0"/>
        <w:adjustRightInd/>
        <w:snapToGrid/>
        <w:spacing w:line="570" w:lineRule="atLeast"/>
        <w:ind w:firstLine="360" w:firstLineChars="100"/>
        <w:textAlignment w:val="auto"/>
        <w:rPr>
          <w:rFonts w:hint="default" w:ascii="Times New Roman" w:hAnsi="Times New Roman" w:eastAsia="仿宋_GB2312" w:cs="Times New Roman"/>
          <w:sz w:val="32"/>
          <w:szCs w:val="32"/>
        </w:rPr>
      </w:pPr>
      <w:r>
        <w:rPr>
          <w:rFonts w:hint="eastAsia" w:ascii="仿宋" w:hAnsi="仿宋" w:eastAsia="仿宋"/>
          <w:sz w:val="36"/>
          <w:szCs w:val="36"/>
        </w:rPr>
        <w:t xml:space="preserve"> </w:t>
      </w:r>
      <w:r>
        <w:rPr>
          <w:rFonts w:hint="default" w:ascii="Times New Roman" w:hAnsi="Times New Roman" w:eastAsia="仿宋_GB2312" w:cs="Times New Roman"/>
          <w:sz w:val="32"/>
          <w:szCs w:val="32"/>
        </w:rPr>
        <w:t>按照盐边县财政局要求，我院精心组织，安排相关科室，对全县预防艾滋病、梅毒和乙肝专项资金的使用管理情况进行绩效评估，现将情况报告如下：</w:t>
      </w:r>
    </w:p>
    <w:p>
      <w:pPr>
        <w:keepNext w:val="0"/>
        <w:keepLines w:val="0"/>
        <w:pageBreakBefore w:val="0"/>
        <w:widowControl w:val="0"/>
        <w:numPr>
          <w:ilvl w:val="0"/>
          <w:numId w:val="0"/>
        </w:numPr>
        <w:kinsoku/>
        <w:wordWrap/>
        <w:overflowPunct/>
        <w:topLinePunct w:val="0"/>
        <w:autoSpaceDE/>
        <w:autoSpaceDN/>
        <w:bidi w:val="0"/>
        <w:adjustRightInd/>
        <w:snapToGrid/>
        <w:spacing w:line="570" w:lineRule="atLeast"/>
        <w:ind w:firstLine="640" w:firstLineChars="200"/>
        <w:textAlignment w:val="auto"/>
        <w:rPr>
          <w:rFonts w:hint="default" w:ascii="Times New Roman" w:hAnsi="Times New Roman" w:eastAsia="仿宋_GB2312" w:cs="Times New Roman"/>
          <w:b w:val="0"/>
          <w:bCs/>
          <w:sz w:val="32"/>
          <w:szCs w:val="32"/>
        </w:rPr>
      </w:pPr>
      <w:r>
        <w:rPr>
          <w:rFonts w:hint="eastAsia" w:ascii="黑体" w:hAnsi="黑体" w:eastAsia="黑体" w:cs="黑体"/>
          <w:b w:val="0"/>
          <w:bCs/>
          <w:sz w:val="32"/>
          <w:szCs w:val="32"/>
          <w:lang w:eastAsia="zh-CN"/>
        </w:rPr>
        <w:t>一、</w:t>
      </w:r>
      <w:r>
        <w:rPr>
          <w:rFonts w:hint="eastAsia" w:ascii="黑体" w:hAnsi="黑体" w:eastAsia="黑体" w:cs="黑体"/>
          <w:b w:val="0"/>
          <w:bCs/>
          <w:sz w:val="32"/>
          <w:szCs w:val="32"/>
        </w:rPr>
        <w:t>项目概况</w:t>
      </w:r>
    </w:p>
    <w:p>
      <w:pPr>
        <w:keepNext w:val="0"/>
        <w:keepLines w:val="0"/>
        <w:pageBreakBefore w:val="0"/>
        <w:widowControl w:val="0"/>
        <w:numPr>
          <w:ilvl w:val="0"/>
          <w:numId w:val="0"/>
        </w:numPr>
        <w:kinsoku/>
        <w:wordWrap/>
        <w:overflowPunct/>
        <w:topLinePunct w:val="0"/>
        <w:autoSpaceDE/>
        <w:autoSpaceDN/>
        <w:bidi w:val="0"/>
        <w:adjustRightInd/>
        <w:snapToGrid/>
        <w:spacing w:line="570" w:lineRule="atLeas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预防艾滋病、梅毒和乙肝母婴传播项目工作是国家重大公共卫生项目之一，为孕产妇及所生儿童提供预防艾滋病、梅毒和乙肝母婴传播综合干预服务，最大程度减少疾病母婴传播，降低艾滋病、梅毒和乙肝对妇女儿童健康的影响，提高妇女儿童生活质量和健康水平。</w:t>
      </w:r>
    </w:p>
    <w:p>
      <w:pPr>
        <w:keepNext w:val="0"/>
        <w:keepLines w:val="0"/>
        <w:pageBreakBefore w:val="0"/>
        <w:widowControl w:val="0"/>
        <w:kinsoku/>
        <w:wordWrap/>
        <w:overflowPunct/>
        <w:topLinePunct w:val="0"/>
        <w:autoSpaceDE/>
        <w:autoSpaceDN/>
        <w:bidi w:val="0"/>
        <w:adjustRightInd/>
        <w:snapToGrid/>
        <w:spacing w:line="570" w:lineRule="atLeast"/>
        <w:ind w:firstLine="640" w:firstLineChars="200"/>
        <w:textAlignment w:val="auto"/>
        <w:rPr>
          <w:rFonts w:hint="default" w:ascii="黑体" w:hAnsi="黑体" w:eastAsia="黑体" w:cs="黑体"/>
          <w:sz w:val="32"/>
          <w:szCs w:val="32"/>
        </w:rPr>
      </w:pPr>
      <w:r>
        <w:rPr>
          <w:rFonts w:hint="default" w:ascii="黑体" w:hAnsi="黑体" w:eastAsia="黑体" w:cs="黑体"/>
          <w:sz w:val="32"/>
          <w:szCs w:val="32"/>
        </w:rPr>
        <w:t>二、项目绩效目标</w:t>
      </w:r>
    </w:p>
    <w:p>
      <w:pPr>
        <w:keepNext w:val="0"/>
        <w:keepLines w:val="0"/>
        <w:pageBreakBefore w:val="0"/>
        <w:widowControl w:val="0"/>
        <w:kinsoku/>
        <w:wordWrap/>
        <w:overflowPunct/>
        <w:topLinePunct w:val="0"/>
        <w:autoSpaceDE/>
        <w:autoSpaceDN/>
        <w:bidi w:val="0"/>
        <w:adjustRightInd/>
        <w:snapToGrid/>
        <w:spacing w:line="570" w:lineRule="atLeast"/>
        <w:ind w:firstLine="645"/>
        <w:textAlignment w:val="auto"/>
        <w:rPr>
          <w:rFonts w:hint="default" w:ascii="Times New Roman" w:hAnsi="Times New Roman" w:eastAsia="仿宋_GB2312" w:cs="Times New Roman"/>
          <w:sz w:val="32"/>
          <w:szCs w:val="32"/>
        </w:rPr>
      </w:pPr>
      <w:r>
        <w:rPr>
          <w:rFonts w:hint="eastAsia" w:ascii="楷体_GB2312" w:hAnsi="楷体_GB2312" w:eastAsia="楷体_GB2312" w:cs="楷体_GB2312"/>
          <w:b/>
          <w:bCs/>
          <w:sz w:val="32"/>
          <w:szCs w:val="32"/>
        </w:rPr>
        <w:t>（一）总目标。</w:t>
      </w:r>
      <w:r>
        <w:rPr>
          <w:rFonts w:hint="default" w:ascii="Times New Roman" w:hAnsi="Times New Roman" w:eastAsia="仿宋_GB2312" w:cs="Times New Roman"/>
          <w:sz w:val="32"/>
          <w:szCs w:val="32"/>
        </w:rPr>
        <w:t>建立政府主导、部门配合、专家支撑、群众参与的工作机制，严格落实“早发现、早干预、随访到位”综合防治措施，切实降低我县艾滋病、梅毒和乙肝母婴传播率。</w:t>
      </w:r>
    </w:p>
    <w:p>
      <w:pPr>
        <w:keepNext w:val="0"/>
        <w:keepLines w:val="0"/>
        <w:pageBreakBefore w:val="0"/>
        <w:widowControl w:val="0"/>
        <w:kinsoku/>
        <w:wordWrap/>
        <w:overflowPunct/>
        <w:topLinePunct w:val="0"/>
        <w:autoSpaceDE/>
        <w:autoSpaceDN/>
        <w:bidi w:val="0"/>
        <w:adjustRightInd/>
        <w:snapToGrid/>
        <w:spacing w:line="570" w:lineRule="atLeast"/>
        <w:ind w:firstLine="645"/>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b/>
          <w:bCs/>
          <w:sz w:val="32"/>
          <w:szCs w:val="32"/>
        </w:rPr>
        <w:t>（二）具体目标。</w:t>
      </w:r>
      <w:r>
        <w:rPr>
          <w:rFonts w:hint="default" w:ascii="Times New Roman" w:hAnsi="Times New Roman" w:eastAsia="仿宋_GB2312" w:cs="Times New Roman"/>
          <w:sz w:val="32"/>
          <w:szCs w:val="32"/>
        </w:rPr>
        <w:t>至2020年底，实现以下目标：</w:t>
      </w:r>
    </w:p>
    <w:p>
      <w:pPr>
        <w:keepNext w:val="0"/>
        <w:keepLines w:val="0"/>
        <w:pageBreakBefore w:val="0"/>
        <w:widowControl w:val="0"/>
        <w:kinsoku/>
        <w:wordWrap/>
        <w:overflowPunct/>
        <w:topLinePunct w:val="0"/>
        <w:autoSpaceDE/>
        <w:autoSpaceDN/>
        <w:bidi w:val="0"/>
        <w:adjustRightInd/>
        <w:snapToGrid/>
        <w:spacing w:line="570" w:lineRule="atLeast"/>
        <w:ind w:firstLine="642"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1.</w:t>
      </w:r>
      <w:r>
        <w:rPr>
          <w:rFonts w:hint="default" w:ascii="Times New Roman" w:hAnsi="Times New Roman" w:eastAsia="仿宋_GB2312" w:cs="Times New Roman"/>
          <w:sz w:val="32"/>
          <w:szCs w:val="32"/>
        </w:rPr>
        <w:t>HIV感染育龄妇女每季度孕情检测率达95%。</w:t>
      </w:r>
    </w:p>
    <w:p>
      <w:pPr>
        <w:keepNext w:val="0"/>
        <w:keepLines w:val="0"/>
        <w:pageBreakBefore w:val="0"/>
        <w:widowControl w:val="0"/>
        <w:kinsoku/>
        <w:wordWrap/>
        <w:overflowPunct/>
        <w:topLinePunct w:val="0"/>
        <w:autoSpaceDE/>
        <w:autoSpaceDN/>
        <w:bidi w:val="0"/>
        <w:adjustRightInd/>
        <w:snapToGrid/>
        <w:spacing w:line="570" w:lineRule="atLeast"/>
        <w:ind w:firstLine="642"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2.</w:t>
      </w:r>
      <w:r>
        <w:rPr>
          <w:rFonts w:hint="default" w:ascii="Times New Roman" w:hAnsi="Times New Roman" w:eastAsia="仿宋_GB2312" w:cs="Times New Roman"/>
          <w:sz w:val="32"/>
          <w:szCs w:val="32"/>
        </w:rPr>
        <w:t>孕产妇艾滋病、梅毒和乙肝检测率达99%以上，孕期检测率达95%以上，孕早期检测率85%以上。</w:t>
      </w:r>
    </w:p>
    <w:p>
      <w:pPr>
        <w:keepNext w:val="0"/>
        <w:keepLines w:val="0"/>
        <w:pageBreakBefore w:val="0"/>
        <w:widowControl w:val="0"/>
        <w:kinsoku/>
        <w:wordWrap/>
        <w:overflowPunct/>
        <w:topLinePunct w:val="0"/>
        <w:autoSpaceDE/>
        <w:autoSpaceDN/>
        <w:bidi w:val="0"/>
        <w:adjustRightInd/>
        <w:snapToGrid/>
        <w:spacing w:line="570" w:lineRule="atLeast"/>
        <w:ind w:firstLine="642"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3.</w:t>
      </w:r>
      <w:r>
        <w:rPr>
          <w:rFonts w:hint="default" w:ascii="Times New Roman" w:hAnsi="Times New Roman" w:eastAsia="仿宋_GB2312" w:cs="Times New Roman"/>
          <w:sz w:val="32"/>
          <w:szCs w:val="32"/>
        </w:rPr>
        <w:t>艾滋病感染孕产妇抗艾滋病毒用药率达98%以上，孕早期用药率达90%以上。</w:t>
      </w:r>
    </w:p>
    <w:p>
      <w:pPr>
        <w:keepNext w:val="0"/>
        <w:keepLines w:val="0"/>
        <w:pageBreakBefore w:val="0"/>
        <w:widowControl w:val="0"/>
        <w:kinsoku/>
        <w:wordWrap/>
        <w:overflowPunct/>
        <w:topLinePunct w:val="0"/>
        <w:autoSpaceDE/>
        <w:autoSpaceDN/>
        <w:bidi w:val="0"/>
        <w:adjustRightInd/>
        <w:snapToGrid/>
        <w:spacing w:line="570" w:lineRule="atLeast"/>
        <w:ind w:firstLine="642"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4.</w:t>
      </w:r>
      <w:r>
        <w:rPr>
          <w:rFonts w:hint="default" w:ascii="Times New Roman" w:hAnsi="Times New Roman" w:eastAsia="仿宋_GB2312" w:cs="Times New Roman"/>
          <w:sz w:val="32"/>
          <w:szCs w:val="32"/>
        </w:rPr>
        <w:t>艾滋病感染孕产妇所生儿童抗艾滋病毒用药率达98%以上，满3月龄儿童早期诊断率达95%以上，满6月龄完成3次早期诊断检测率90%以上，满18月龄儿童艾滋病抗体检测率达95%以上。</w:t>
      </w:r>
    </w:p>
    <w:p>
      <w:pPr>
        <w:keepNext w:val="0"/>
        <w:keepLines w:val="0"/>
        <w:pageBreakBefore w:val="0"/>
        <w:widowControl w:val="0"/>
        <w:kinsoku/>
        <w:wordWrap/>
        <w:overflowPunct/>
        <w:topLinePunct w:val="0"/>
        <w:autoSpaceDE/>
        <w:autoSpaceDN/>
        <w:bidi w:val="0"/>
        <w:adjustRightInd/>
        <w:snapToGrid/>
        <w:spacing w:line="570" w:lineRule="atLeast"/>
        <w:ind w:firstLine="642"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5.</w:t>
      </w:r>
      <w:r>
        <w:rPr>
          <w:rFonts w:hint="default" w:ascii="Times New Roman" w:hAnsi="Times New Roman" w:eastAsia="仿宋_GB2312" w:cs="Times New Roman"/>
          <w:sz w:val="32"/>
          <w:szCs w:val="32"/>
        </w:rPr>
        <w:t>梅毒感染孕产妇梅毒治疗率达95%以上，梅毒感染孕产妇所生儿童预防性治疗率达95%以上，所生儿童1年随访率90%以上。</w:t>
      </w:r>
    </w:p>
    <w:p>
      <w:pPr>
        <w:keepNext w:val="0"/>
        <w:keepLines w:val="0"/>
        <w:pageBreakBefore w:val="0"/>
        <w:widowControl w:val="0"/>
        <w:kinsoku/>
        <w:wordWrap/>
        <w:overflowPunct/>
        <w:topLinePunct w:val="0"/>
        <w:autoSpaceDE/>
        <w:autoSpaceDN/>
        <w:bidi w:val="0"/>
        <w:adjustRightInd/>
        <w:snapToGrid/>
        <w:spacing w:line="570" w:lineRule="atLeast"/>
        <w:ind w:firstLine="642"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6.</w:t>
      </w:r>
      <w:r>
        <w:rPr>
          <w:rFonts w:hint="default" w:ascii="Times New Roman" w:hAnsi="Times New Roman" w:eastAsia="仿宋_GB2312" w:cs="Times New Roman"/>
          <w:sz w:val="32"/>
          <w:szCs w:val="32"/>
        </w:rPr>
        <w:t>乙肝感染孕产妇所生儿童首剂乙肝疫苗及时接种率达99%以上，乙肝免疫球蛋白及时注射率达99%以上。</w:t>
      </w:r>
    </w:p>
    <w:p>
      <w:pPr>
        <w:keepNext w:val="0"/>
        <w:keepLines w:val="0"/>
        <w:pageBreakBefore w:val="0"/>
        <w:widowControl w:val="0"/>
        <w:kinsoku/>
        <w:wordWrap/>
        <w:overflowPunct/>
        <w:topLinePunct w:val="0"/>
        <w:autoSpaceDE/>
        <w:autoSpaceDN/>
        <w:bidi w:val="0"/>
        <w:adjustRightInd/>
        <w:snapToGrid/>
        <w:spacing w:line="570" w:lineRule="atLeast"/>
        <w:ind w:firstLine="642"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7.</w:t>
      </w:r>
      <w:r>
        <w:rPr>
          <w:rFonts w:hint="default" w:ascii="Times New Roman" w:hAnsi="Times New Roman" w:eastAsia="仿宋_GB2312" w:cs="Times New Roman"/>
          <w:sz w:val="32"/>
          <w:szCs w:val="32"/>
        </w:rPr>
        <w:t xml:space="preserve">全县艾滋病母婴传播率下降至3%以下。 </w:t>
      </w:r>
    </w:p>
    <w:p>
      <w:pPr>
        <w:keepNext w:val="0"/>
        <w:keepLines w:val="0"/>
        <w:pageBreakBefore w:val="0"/>
        <w:widowControl w:val="0"/>
        <w:kinsoku/>
        <w:wordWrap/>
        <w:overflowPunct/>
        <w:topLinePunct w:val="0"/>
        <w:autoSpaceDE/>
        <w:autoSpaceDN/>
        <w:bidi w:val="0"/>
        <w:adjustRightInd/>
        <w:snapToGrid/>
        <w:spacing w:line="570" w:lineRule="atLeast"/>
        <w:ind w:firstLine="642"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8.</w:t>
      </w:r>
      <w:r>
        <w:rPr>
          <w:rFonts w:hint="default" w:ascii="Times New Roman" w:hAnsi="Times New Roman" w:eastAsia="仿宋_GB2312" w:cs="Times New Roman"/>
          <w:sz w:val="32"/>
          <w:szCs w:val="32"/>
        </w:rPr>
        <w:t>先天梅毒报告发病率下降至15/10万以下。</w:t>
      </w:r>
    </w:p>
    <w:p>
      <w:pPr>
        <w:keepNext w:val="0"/>
        <w:keepLines w:val="0"/>
        <w:pageBreakBefore w:val="0"/>
        <w:widowControl w:val="0"/>
        <w:kinsoku/>
        <w:wordWrap/>
        <w:overflowPunct/>
        <w:topLinePunct w:val="0"/>
        <w:autoSpaceDE/>
        <w:autoSpaceDN/>
        <w:bidi w:val="0"/>
        <w:adjustRightInd/>
        <w:snapToGrid/>
        <w:spacing w:line="570" w:lineRule="atLeast"/>
        <w:ind w:firstLine="642"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9.</w:t>
      </w:r>
      <w:r>
        <w:rPr>
          <w:rFonts w:hint="default" w:ascii="Times New Roman" w:hAnsi="Times New Roman" w:eastAsia="仿宋_GB2312" w:cs="Times New Roman"/>
          <w:sz w:val="32"/>
          <w:szCs w:val="32"/>
        </w:rPr>
        <w:t>乙肝病毒表面抗原阳性孕产妇所生儿童12月龄内乙肝表面抗原检测阳性率下降至1%以下。</w:t>
      </w:r>
    </w:p>
    <w:p>
      <w:pPr>
        <w:keepNext w:val="0"/>
        <w:keepLines w:val="0"/>
        <w:pageBreakBefore w:val="0"/>
        <w:widowControl w:val="0"/>
        <w:kinsoku/>
        <w:wordWrap/>
        <w:overflowPunct/>
        <w:topLinePunct w:val="0"/>
        <w:autoSpaceDE/>
        <w:autoSpaceDN/>
        <w:bidi w:val="0"/>
        <w:adjustRightInd/>
        <w:snapToGrid/>
        <w:spacing w:line="570" w:lineRule="atLeast"/>
        <w:ind w:firstLine="640" w:firstLineChars="200"/>
        <w:textAlignment w:val="auto"/>
        <w:rPr>
          <w:rFonts w:hint="default" w:ascii="黑体" w:hAnsi="黑体" w:eastAsia="黑体" w:cs="黑体"/>
          <w:sz w:val="32"/>
          <w:szCs w:val="32"/>
        </w:rPr>
      </w:pPr>
      <w:r>
        <w:rPr>
          <w:rFonts w:hint="default" w:ascii="黑体" w:hAnsi="黑体" w:eastAsia="黑体" w:cs="黑体"/>
          <w:sz w:val="32"/>
          <w:szCs w:val="32"/>
        </w:rPr>
        <w:t>三、项目指标完成情况。</w:t>
      </w:r>
    </w:p>
    <w:p>
      <w:pPr>
        <w:keepNext w:val="0"/>
        <w:keepLines w:val="0"/>
        <w:pageBreakBefore w:val="0"/>
        <w:widowControl w:val="0"/>
        <w:kinsoku/>
        <w:wordWrap/>
        <w:overflowPunct/>
        <w:topLinePunct w:val="0"/>
        <w:autoSpaceDE/>
        <w:autoSpaceDN/>
        <w:bidi w:val="0"/>
        <w:adjustRightInd/>
        <w:snapToGrid/>
        <w:spacing w:line="570" w:lineRule="atLeast"/>
        <w:ind w:firstLine="642" w:firstLineChars="200"/>
        <w:textAlignment w:val="auto"/>
        <w:rPr>
          <w:rFonts w:hint="default" w:ascii="Times New Roman" w:hAnsi="Times New Roman" w:eastAsia="仿宋_GB2312" w:cs="Times New Roman"/>
          <w:sz w:val="32"/>
          <w:szCs w:val="32"/>
        </w:rPr>
      </w:pPr>
      <w:r>
        <w:rPr>
          <w:rFonts w:hint="eastAsia" w:ascii="楷体_GB2312" w:hAnsi="楷体_GB2312" w:eastAsia="楷体_GB2312" w:cs="楷体_GB2312"/>
          <w:b/>
          <w:bCs/>
          <w:sz w:val="32"/>
          <w:szCs w:val="32"/>
        </w:rPr>
        <w:t>（一）</w:t>
      </w:r>
      <w:r>
        <w:rPr>
          <w:rFonts w:hint="default" w:ascii="Times New Roman" w:hAnsi="Times New Roman" w:eastAsia="仿宋_GB2312" w:cs="Times New Roman"/>
          <w:sz w:val="32"/>
          <w:szCs w:val="32"/>
        </w:rPr>
        <w:t>全县2021年婚前医学检查995人、孕前优生医学检查1402人，婚检、孕前优生医学检查艾滋病、梅毒和乙肝检测率均达100%。接受初次产前保健孕妇数1775人，孕期接受艾滋病、梅毒和乙肝检测的孕妇数1775人，我县孕产妇艾滋病、梅毒和乙肝检测率达100%。</w:t>
      </w:r>
    </w:p>
    <w:p>
      <w:pPr>
        <w:keepNext w:val="0"/>
        <w:keepLines w:val="0"/>
        <w:pageBreakBefore w:val="0"/>
        <w:widowControl w:val="0"/>
        <w:kinsoku/>
        <w:wordWrap/>
        <w:overflowPunct/>
        <w:topLinePunct w:val="0"/>
        <w:autoSpaceDE/>
        <w:autoSpaceDN/>
        <w:bidi w:val="0"/>
        <w:adjustRightInd/>
        <w:snapToGrid/>
        <w:spacing w:line="570" w:lineRule="atLeast"/>
        <w:ind w:firstLine="642" w:firstLineChars="200"/>
        <w:textAlignment w:val="auto"/>
        <w:rPr>
          <w:rFonts w:hint="default" w:ascii="Times New Roman" w:hAnsi="Times New Roman" w:eastAsia="仿宋_GB2312" w:cs="Times New Roman"/>
          <w:sz w:val="32"/>
          <w:szCs w:val="32"/>
        </w:rPr>
      </w:pPr>
      <w:r>
        <w:rPr>
          <w:rFonts w:hint="eastAsia" w:ascii="楷体_GB2312" w:hAnsi="楷体_GB2312" w:eastAsia="楷体_GB2312" w:cs="楷体_GB2312"/>
          <w:b/>
          <w:bCs/>
          <w:sz w:val="32"/>
          <w:szCs w:val="32"/>
          <w:lang w:eastAsia="zh-CN"/>
        </w:rPr>
        <w:t>（二）</w:t>
      </w:r>
      <w:r>
        <w:rPr>
          <w:rFonts w:hint="default" w:ascii="Times New Roman" w:hAnsi="Times New Roman" w:eastAsia="仿宋_GB2312" w:cs="Times New Roman"/>
          <w:sz w:val="32"/>
          <w:szCs w:val="32"/>
        </w:rPr>
        <w:t>2021年全县既往感染HIV育龄妇女61人，均按要求每季度进行孕情检测，既往感染HIV育龄妇女每季度孕情检测率100%。</w:t>
      </w:r>
    </w:p>
    <w:p>
      <w:pPr>
        <w:keepNext w:val="0"/>
        <w:keepLines w:val="0"/>
        <w:pageBreakBefore w:val="0"/>
        <w:widowControl w:val="0"/>
        <w:numPr>
          <w:ilvl w:val="0"/>
          <w:numId w:val="0"/>
        </w:numPr>
        <w:kinsoku/>
        <w:wordWrap/>
        <w:overflowPunct/>
        <w:topLinePunct w:val="0"/>
        <w:autoSpaceDE/>
        <w:autoSpaceDN/>
        <w:bidi w:val="0"/>
        <w:adjustRightInd/>
        <w:snapToGrid/>
        <w:spacing w:line="570" w:lineRule="atLeast"/>
        <w:ind w:firstLine="642" w:firstLineChars="200"/>
        <w:textAlignment w:val="auto"/>
        <w:rPr>
          <w:rFonts w:hint="default" w:ascii="Times New Roman" w:hAnsi="Times New Roman" w:eastAsia="仿宋_GB2312" w:cs="Times New Roman"/>
          <w:sz w:val="32"/>
          <w:szCs w:val="32"/>
        </w:rPr>
      </w:pPr>
      <w:r>
        <w:rPr>
          <w:rFonts w:hint="eastAsia" w:ascii="楷体_GB2312" w:hAnsi="楷体_GB2312" w:eastAsia="楷体_GB2312" w:cs="楷体_GB2312"/>
          <w:b/>
          <w:bCs/>
          <w:sz w:val="32"/>
          <w:szCs w:val="32"/>
          <w:lang w:eastAsia="zh-CN"/>
        </w:rPr>
        <w:t>（三）</w:t>
      </w:r>
      <w:r>
        <w:rPr>
          <w:rFonts w:hint="default" w:ascii="Times New Roman" w:hAnsi="Times New Roman" w:eastAsia="仿宋_GB2312" w:cs="Times New Roman"/>
          <w:sz w:val="32"/>
          <w:szCs w:val="32"/>
        </w:rPr>
        <w:t>全县育龄妇女数为46413人，接受孕情监测人数为44711人，监测率为96.33%；全年在辖区住院分娩的产妇数是644人，在孕早期接受检测的有556人，孕产妇孕早期HIV抗体检测率为86.33%。</w:t>
      </w:r>
    </w:p>
    <w:p>
      <w:pPr>
        <w:keepNext w:val="0"/>
        <w:keepLines w:val="0"/>
        <w:pageBreakBefore w:val="0"/>
        <w:widowControl w:val="0"/>
        <w:numPr>
          <w:ilvl w:val="0"/>
          <w:numId w:val="0"/>
        </w:numPr>
        <w:kinsoku/>
        <w:wordWrap/>
        <w:overflowPunct/>
        <w:topLinePunct w:val="0"/>
        <w:autoSpaceDE/>
        <w:autoSpaceDN/>
        <w:bidi w:val="0"/>
        <w:adjustRightInd/>
        <w:snapToGrid/>
        <w:spacing w:line="570" w:lineRule="atLeast"/>
        <w:ind w:firstLine="642" w:firstLineChars="200"/>
        <w:textAlignment w:val="auto"/>
        <w:rPr>
          <w:rFonts w:hint="default" w:ascii="Times New Roman" w:hAnsi="Times New Roman" w:eastAsia="仿宋_GB2312" w:cs="Times New Roman"/>
          <w:sz w:val="32"/>
          <w:szCs w:val="32"/>
        </w:rPr>
      </w:pPr>
      <w:r>
        <w:rPr>
          <w:rFonts w:hint="eastAsia" w:ascii="楷体_GB2312" w:hAnsi="楷体_GB2312" w:eastAsia="楷体_GB2312" w:cs="楷体_GB2312"/>
          <w:b/>
          <w:bCs/>
          <w:sz w:val="32"/>
          <w:szCs w:val="32"/>
          <w:lang w:eastAsia="zh-CN"/>
        </w:rPr>
        <w:t>（四）</w:t>
      </w:r>
      <w:r>
        <w:rPr>
          <w:rFonts w:hint="default" w:ascii="Times New Roman" w:hAnsi="Times New Roman" w:eastAsia="仿宋_GB2312" w:cs="Times New Roman"/>
          <w:sz w:val="32"/>
          <w:szCs w:val="32"/>
        </w:rPr>
        <w:t>2021年孕期发现乙肝表抗阳性孕妇数为73人，均反馈到各乡镇纳入高危孕产妇管理；乙肝表抗阳性孕妇所生儿童56人，免费注射乙肝免疫球蛋白56人，乙肝感染孕产妇所生儿童乙肝免疫球蛋白注射率为100% ，乙肝表面抗原阳性产妇所生儿童满12月龄儿童数67人，规范联合接种乙肝免疫球蛋白和三针乙肝疫苗80人，接受乙肝病毒感染血清标志物检测的儿童数76人。</w:t>
      </w:r>
    </w:p>
    <w:p>
      <w:pPr>
        <w:keepNext w:val="0"/>
        <w:keepLines w:val="0"/>
        <w:pageBreakBefore w:val="0"/>
        <w:widowControl w:val="0"/>
        <w:numPr>
          <w:ilvl w:val="0"/>
          <w:numId w:val="0"/>
        </w:numPr>
        <w:kinsoku/>
        <w:wordWrap/>
        <w:overflowPunct/>
        <w:topLinePunct w:val="0"/>
        <w:autoSpaceDE/>
        <w:autoSpaceDN/>
        <w:bidi w:val="0"/>
        <w:adjustRightInd/>
        <w:snapToGrid/>
        <w:spacing w:line="570" w:lineRule="atLeast"/>
        <w:ind w:firstLine="642" w:firstLineChars="200"/>
        <w:textAlignment w:val="auto"/>
        <w:rPr>
          <w:rFonts w:hint="default" w:ascii="Times New Roman" w:hAnsi="Times New Roman" w:eastAsia="仿宋_GB2312" w:cs="Times New Roman"/>
          <w:sz w:val="32"/>
          <w:szCs w:val="32"/>
        </w:rPr>
      </w:pPr>
      <w:r>
        <w:rPr>
          <w:rFonts w:hint="eastAsia" w:ascii="楷体_GB2312" w:hAnsi="楷体_GB2312" w:eastAsia="楷体_GB2312" w:cs="楷体_GB2312"/>
          <w:b/>
          <w:bCs/>
          <w:sz w:val="32"/>
          <w:szCs w:val="32"/>
          <w:lang w:eastAsia="zh-CN"/>
        </w:rPr>
        <w:t>（五）</w:t>
      </w:r>
      <w:r>
        <w:rPr>
          <w:rFonts w:hint="default" w:ascii="Times New Roman" w:hAnsi="Times New Roman" w:eastAsia="仿宋_GB2312" w:cs="Times New Roman"/>
          <w:sz w:val="32"/>
          <w:szCs w:val="32"/>
        </w:rPr>
        <w:t xml:space="preserve">新增感染梅毒孕妇6例；梅毒感染产妇数9例，梅毒感染产妇治疗数8例，梅毒感染产妇治疗率88.89%；所生儿童预防性治疗9例，梅毒感染产妇所生儿童治疗率100%；全年随访管理梅毒感染孕妇及所生儿童21例。 </w:t>
      </w:r>
    </w:p>
    <w:p>
      <w:pPr>
        <w:keepNext w:val="0"/>
        <w:keepLines w:val="0"/>
        <w:pageBreakBefore w:val="0"/>
        <w:widowControl w:val="0"/>
        <w:numPr>
          <w:ilvl w:val="0"/>
          <w:numId w:val="0"/>
        </w:numPr>
        <w:kinsoku/>
        <w:wordWrap/>
        <w:overflowPunct/>
        <w:topLinePunct w:val="0"/>
        <w:autoSpaceDE/>
        <w:autoSpaceDN/>
        <w:bidi w:val="0"/>
        <w:adjustRightInd/>
        <w:snapToGrid/>
        <w:spacing w:line="570" w:lineRule="atLeast"/>
        <w:ind w:firstLine="642" w:firstLineChars="200"/>
        <w:textAlignment w:val="auto"/>
        <w:rPr>
          <w:rFonts w:hint="default" w:ascii="Times New Roman" w:hAnsi="Times New Roman" w:eastAsia="仿宋_GB2312" w:cs="Times New Roman"/>
          <w:sz w:val="32"/>
          <w:szCs w:val="32"/>
        </w:rPr>
      </w:pPr>
      <w:r>
        <w:rPr>
          <w:rFonts w:hint="eastAsia" w:ascii="楷体_GB2312" w:hAnsi="楷体_GB2312" w:eastAsia="楷体_GB2312" w:cs="楷体_GB2312"/>
          <w:b/>
          <w:bCs/>
          <w:sz w:val="32"/>
          <w:szCs w:val="32"/>
          <w:lang w:eastAsia="zh-CN"/>
        </w:rPr>
        <w:t>（六）</w:t>
      </w:r>
      <w:r>
        <w:rPr>
          <w:rFonts w:hint="default" w:ascii="Times New Roman" w:hAnsi="Times New Roman" w:eastAsia="仿宋_GB2312" w:cs="Times New Roman"/>
          <w:sz w:val="32"/>
          <w:szCs w:val="32"/>
        </w:rPr>
        <w:t>全年新发现感染HIV孕妇8例，有5例已自愿终止妊娠。2例还在孕期随访管理中，有1例已住院分娩，所生儿童实行人工喂养及第一次早诊检测结果为阴性；完成1例凉山转介既往感染孕产妇孕晚期随访管理及所生儿童早诊随访工</w:t>
      </w:r>
    </w:p>
    <w:p>
      <w:pPr>
        <w:keepNext w:val="0"/>
        <w:keepLines w:val="0"/>
        <w:pageBreakBefore w:val="0"/>
        <w:widowControl w:val="0"/>
        <w:kinsoku/>
        <w:wordWrap/>
        <w:overflowPunct/>
        <w:topLinePunct w:val="0"/>
        <w:autoSpaceDE/>
        <w:autoSpaceDN/>
        <w:bidi w:val="0"/>
        <w:adjustRightInd/>
        <w:snapToGrid/>
        <w:spacing w:line="570" w:lineRule="atLeast"/>
        <w:ind w:firstLine="640" w:firstLineChars="200"/>
        <w:textAlignment w:val="auto"/>
        <w:rPr>
          <w:rFonts w:hint="default" w:ascii="黑体" w:hAnsi="黑体" w:eastAsia="黑体" w:cs="黑体"/>
          <w:sz w:val="32"/>
          <w:szCs w:val="32"/>
        </w:rPr>
      </w:pPr>
      <w:r>
        <w:rPr>
          <w:rFonts w:hint="default" w:ascii="黑体" w:hAnsi="黑体" w:eastAsia="黑体" w:cs="黑体"/>
          <w:sz w:val="32"/>
          <w:szCs w:val="32"/>
        </w:rPr>
        <w:t>四、绩效评价工作过程</w:t>
      </w:r>
    </w:p>
    <w:p>
      <w:pPr>
        <w:keepNext w:val="0"/>
        <w:keepLines w:val="0"/>
        <w:pageBreakBefore w:val="0"/>
        <w:widowControl w:val="0"/>
        <w:kinsoku/>
        <w:wordWrap/>
        <w:overflowPunct/>
        <w:topLinePunct w:val="0"/>
        <w:autoSpaceDE/>
        <w:autoSpaceDN/>
        <w:bidi w:val="0"/>
        <w:adjustRightInd/>
        <w:snapToGrid/>
        <w:spacing w:line="570" w:lineRule="atLeast"/>
        <w:ind w:firstLine="642" w:firstLineChars="200"/>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b/>
          <w:bCs/>
          <w:sz w:val="32"/>
          <w:szCs w:val="32"/>
          <w:lang w:eastAsia="zh-CN"/>
        </w:rPr>
        <w:t>（一）</w:t>
      </w:r>
      <w:r>
        <w:rPr>
          <w:rFonts w:hint="default" w:ascii="Times New Roman" w:hAnsi="Times New Roman" w:eastAsia="仿宋_GB2312" w:cs="Times New Roman"/>
          <w:sz w:val="32"/>
          <w:szCs w:val="32"/>
        </w:rPr>
        <w:t>加强组织领导，确保组织到位，制定项目工作领导小组及技术专家组，确保工作顺利实施。</w:t>
      </w:r>
    </w:p>
    <w:p>
      <w:pPr>
        <w:keepNext w:val="0"/>
        <w:keepLines w:val="0"/>
        <w:pageBreakBefore w:val="0"/>
        <w:widowControl w:val="0"/>
        <w:kinsoku/>
        <w:wordWrap/>
        <w:overflowPunct/>
        <w:topLinePunct w:val="0"/>
        <w:autoSpaceDE/>
        <w:autoSpaceDN/>
        <w:bidi w:val="0"/>
        <w:adjustRightInd/>
        <w:snapToGrid/>
        <w:spacing w:line="570" w:lineRule="atLeast"/>
        <w:ind w:firstLine="642" w:firstLineChars="200"/>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b/>
          <w:bCs/>
          <w:sz w:val="32"/>
          <w:szCs w:val="32"/>
          <w:lang w:eastAsia="zh-CN"/>
        </w:rPr>
        <w:t>（二）</w:t>
      </w:r>
      <w:r>
        <w:rPr>
          <w:rFonts w:hint="default" w:ascii="Times New Roman" w:hAnsi="Times New Roman" w:eastAsia="仿宋_GB2312" w:cs="Times New Roman"/>
          <w:sz w:val="32"/>
          <w:szCs w:val="32"/>
        </w:rPr>
        <w:t>加强人员培训，每季度对辖区专（兼职）人员开展培训，定期对全县助产机构开展业务培训。</w:t>
      </w:r>
    </w:p>
    <w:p>
      <w:pPr>
        <w:keepNext w:val="0"/>
        <w:keepLines w:val="0"/>
        <w:pageBreakBefore w:val="0"/>
        <w:widowControl w:val="0"/>
        <w:kinsoku/>
        <w:wordWrap/>
        <w:overflowPunct/>
        <w:topLinePunct w:val="0"/>
        <w:autoSpaceDE/>
        <w:autoSpaceDN/>
        <w:bidi w:val="0"/>
        <w:adjustRightInd/>
        <w:snapToGrid/>
        <w:spacing w:line="570" w:lineRule="atLeast"/>
        <w:ind w:firstLine="642" w:firstLineChars="200"/>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b/>
          <w:bCs/>
          <w:sz w:val="32"/>
          <w:szCs w:val="32"/>
          <w:lang w:eastAsia="zh-CN"/>
        </w:rPr>
        <w:t>（三）</w:t>
      </w:r>
      <w:r>
        <w:rPr>
          <w:rFonts w:hint="default" w:ascii="Times New Roman" w:hAnsi="Times New Roman" w:eastAsia="仿宋_GB2312" w:cs="Times New Roman"/>
          <w:sz w:val="32"/>
          <w:szCs w:val="32"/>
        </w:rPr>
        <w:t>每季度对全乡镇开展督导，及时发现工作中存在问题。每年（三线）联合督导2次，召集乡镇人民政府及时解决工作中遇到的困难，找到解决办法。</w:t>
      </w:r>
    </w:p>
    <w:p>
      <w:pPr>
        <w:keepNext w:val="0"/>
        <w:keepLines w:val="0"/>
        <w:pageBreakBefore w:val="0"/>
        <w:widowControl w:val="0"/>
        <w:kinsoku/>
        <w:wordWrap/>
        <w:overflowPunct/>
        <w:topLinePunct w:val="0"/>
        <w:autoSpaceDE/>
        <w:autoSpaceDN/>
        <w:bidi w:val="0"/>
        <w:adjustRightInd/>
        <w:snapToGrid/>
        <w:spacing w:line="570" w:lineRule="atLeast"/>
        <w:ind w:firstLine="642" w:firstLineChars="200"/>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b/>
          <w:bCs/>
          <w:sz w:val="32"/>
          <w:szCs w:val="32"/>
          <w:lang w:eastAsia="zh-CN"/>
        </w:rPr>
        <w:t>（四）</w:t>
      </w:r>
      <w:r>
        <w:rPr>
          <w:rFonts w:hint="default" w:ascii="Times New Roman" w:hAnsi="Times New Roman" w:eastAsia="仿宋_GB2312" w:cs="Times New Roman"/>
          <w:sz w:val="32"/>
          <w:szCs w:val="32"/>
        </w:rPr>
        <w:t>强化健康教育宣传，购进健康教育宣传手提袋、宣传折页和抽纸。发送到各乡镇。</w:t>
      </w:r>
    </w:p>
    <w:p>
      <w:pPr>
        <w:keepNext w:val="0"/>
        <w:keepLines w:val="0"/>
        <w:pageBreakBefore w:val="0"/>
        <w:widowControl w:val="0"/>
        <w:kinsoku/>
        <w:wordWrap/>
        <w:overflowPunct/>
        <w:topLinePunct w:val="0"/>
        <w:autoSpaceDE/>
        <w:autoSpaceDN/>
        <w:bidi w:val="0"/>
        <w:adjustRightInd/>
        <w:snapToGrid/>
        <w:spacing w:line="570" w:lineRule="atLeast"/>
        <w:ind w:firstLine="642" w:firstLineChars="200"/>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b/>
          <w:bCs/>
          <w:sz w:val="32"/>
          <w:szCs w:val="32"/>
          <w:lang w:eastAsia="zh-CN"/>
        </w:rPr>
        <w:t>（五）</w:t>
      </w:r>
      <w:r>
        <w:rPr>
          <w:rFonts w:hint="default" w:ascii="Times New Roman" w:hAnsi="Times New Roman" w:eastAsia="仿宋_GB2312" w:cs="Times New Roman"/>
          <w:sz w:val="32"/>
          <w:szCs w:val="32"/>
        </w:rPr>
        <w:t>为确保项目工作物资，我院年初根据上年孕产妇及婚前医学检查人数统一采购艾滋病、梅毒和乙肝检测试剂及耗材，按照工作实际下发到各医疗卫生机构。</w:t>
      </w:r>
    </w:p>
    <w:p>
      <w:pPr>
        <w:keepNext w:val="0"/>
        <w:keepLines w:val="0"/>
        <w:pageBreakBefore w:val="0"/>
        <w:widowControl w:val="0"/>
        <w:kinsoku/>
        <w:wordWrap/>
        <w:overflowPunct/>
        <w:topLinePunct w:val="0"/>
        <w:autoSpaceDE/>
        <w:autoSpaceDN/>
        <w:bidi w:val="0"/>
        <w:adjustRightInd/>
        <w:snapToGrid/>
        <w:spacing w:line="570" w:lineRule="atLeast"/>
        <w:ind w:firstLine="640" w:firstLineChars="200"/>
        <w:textAlignment w:val="auto"/>
        <w:rPr>
          <w:rFonts w:hint="default" w:ascii="黑体" w:hAnsi="黑体" w:eastAsia="黑体" w:cs="黑体"/>
          <w:sz w:val="32"/>
          <w:szCs w:val="32"/>
        </w:rPr>
      </w:pPr>
      <w:r>
        <w:rPr>
          <w:rFonts w:hint="default" w:ascii="黑体" w:hAnsi="黑体" w:eastAsia="黑体" w:cs="黑体"/>
          <w:sz w:val="32"/>
          <w:szCs w:val="32"/>
        </w:rPr>
        <w:t>五、综合评价情况及评价结论</w:t>
      </w:r>
    </w:p>
    <w:p>
      <w:pPr>
        <w:keepNext w:val="0"/>
        <w:keepLines w:val="0"/>
        <w:pageBreakBefore w:val="0"/>
        <w:widowControl w:val="0"/>
        <w:kinsoku/>
        <w:wordWrap/>
        <w:overflowPunct/>
        <w:topLinePunct w:val="0"/>
        <w:autoSpaceDE/>
        <w:autoSpaceDN/>
        <w:bidi w:val="0"/>
        <w:adjustRightInd/>
        <w:snapToGrid/>
        <w:spacing w:line="570" w:lineRule="atLeast"/>
        <w:ind w:firstLine="480" w:firstLineChars="15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全面落实了预防艾滋病、梅毒和乙肝母婴传播工作，使国家重大公共卫生工作项目落实到实处，有效避免母婴传播的发生，降低了感染孕产妇家庭经济负担，提高家庭幸福指数。</w:t>
      </w:r>
    </w:p>
    <w:p>
      <w:pPr>
        <w:keepNext w:val="0"/>
        <w:keepLines w:val="0"/>
        <w:pageBreakBefore w:val="0"/>
        <w:widowControl w:val="0"/>
        <w:kinsoku/>
        <w:wordWrap/>
        <w:overflowPunct/>
        <w:topLinePunct w:val="0"/>
        <w:autoSpaceDE/>
        <w:autoSpaceDN/>
        <w:bidi w:val="0"/>
        <w:adjustRightInd/>
        <w:snapToGrid/>
        <w:spacing w:line="570" w:lineRule="atLeast"/>
        <w:ind w:firstLine="640" w:firstLineChars="200"/>
        <w:textAlignment w:val="auto"/>
        <w:rPr>
          <w:rFonts w:hint="default" w:ascii="黑体" w:hAnsi="黑体" w:eastAsia="黑体" w:cs="黑体"/>
          <w:sz w:val="32"/>
          <w:szCs w:val="32"/>
        </w:rPr>
      </w:pPr>
      <w:r>
        <w:rPr>
          <w:rFonts w:hint="default" w:ascii="黑体" w:hAnsi="黑体" w:eastAsia="黑体" w:cs="黑体"/>
          <w:sz w:val="32"/>
          <w:szCs w:val="32"/>
        </w:rPr>
        <w:t>六、存在问题</w:t>
      </w:r>
    </w:p>
    <w:p>
      <w:pPr>
        <w:keepNext w:val="0"/>
        <w:keepLines w:val="0"/>
        <w:pageBreakBefore w:val="0"/>
        <w:widowControl w:val="0"/>
        <w:kinsoku/>
        <w:wordWrap/>
        <w:overflowPunct/>
        <w:topLinePunct w:val="0"/>
        <w:autoSpaceDE/>
        <w:autoSpaceDN/>
        <w:bidi w:val="0"/>
        <w:adjustRightInd/>
        <w:snapToGrid/>
        <w:spacing w:line="570" w:lineRule="atLeast"/>
        <w:ind w:firstLine="481" w:firstLineChars="150"/>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b/>
          <w:bCs/>
          <w:sz w:val="32"/>
          <w:szCs w:val="32"/>
          <w:lang w:eastAsia="zh-CN"/>
        </w:rPr>
        <w:t>（一）</w:t>
      </w:r>
      <w:r>
        <w:rPr>
          <w:rFonts w:hint="default" w:ascii="Times New Roman" w:hAnsi="Times New Roman" w:eastAsia="仿宋_GB2312" w:cs="Times New Roman"/>
          <w:sz w:val="32"/>
          <w:szCs w:val="32"/>
        </w:rPr>
        <w:t>县级财政经费紧张，没有配套资金投入。普通育龄妇女孕情监测没有相应的经费保障，孕情监测难度大。</w:t>
      </w:r>
    </w:p>
    <w:p>
      <w:pPr>
        <w:keepNext w:val="0"/>
        <w:keepLines w:val="0"/>
        <w:pageBreakBefore w:val="0"/>
        <w:widowControl w:val="0"/>
        <w:kinsoku/>
        <w:wordWrap/>
        <w:overflowPunct/>
        <w:topLinePunct w:val="0"/>
        <w:autoSpaceDE/>
        <w:autoSpaceDN/>
        <w:bidi w:val="0"/>
        <w:adjustRightInd/>
        <w:snapToGrid/>
        <w:spacing w:line="570" w:lineRule="atLeast"/>
        <w:ind w:firstLine="481" w:firstLineChars="150"/>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b/>
          <w:bCs/>
          <w:sz w:val="32"/>
          <w:szCs w:val="32"/>
          <w:lang w:eastAsia="zh-CN"/>
        </w:rPr>
        <w:t>（二）</w:t>
      </w:r>
      <w:r>
        <w:rPr>
          <w:rFonts w:hint="default" w:ascii="Times New Roman" w:hAnsi="Times New Roman" w:eastAsia="仿宋_GB2312" w:cs="Times New Roman"/>
          <w:sz w:val="32"/>
          <w:szCs w:val="32"/>
        </w:rPr>
        <w:t>疾病本身特殊性，感染孕产妇依从性差，流动性大，随访工作困难。</w:t>
      </w:r>
    </w:p>
    <w:p>
      <w:pPr>
        <w:keepNext w:val="0"/>
        <w:keepLines w:val="0"/>
        <w:pageBreakBefore w:val="0"/>
        <w:widowControl w:val="0"/>
        <w:kinsoku/>
        <w:wordWrap/>
        <w:overflowPunct/>
        <w:topLinePunct w:val="0"/>
        <w:autoSpaceDE/>
        <w:autoSpaceDN/>
        <w:bidi w:val="0"/>
        <w:adjustRightInd/>
        <w:snapToGrid/>
        <w:spacing w:line="570" w:lineRule="atLeast"/>
        <w:ind w:firstLine="640" w:firstLineChars="200"/>
        <w:textAlignment w:val="auto"/>
        <w:rPr>
          <w:rFonts w:hint="default" w:ascii="黑体" w:hAnsi="黑体" w:eastAsia="黑体" w:cs="黑体"/>
          <w:sz w:val="32"/>
          <w:szCs w:val="32"/>
        </w:rPr>
      </w:pPr>
      <w:r>
        <w:rPr>
          <w:rFonts w:hint="default" w:ascii="黑体" w:hAnsi="黑体" w:eastAsia="黑体" w:cs="黑体"/>
          <w:sz w:val="32"/>
          <w:szCs w:val="32"/>
        </w:rPr>
        <w:t>七、工作建议</w:t>
      </w:r>
    </w:p>
    <w:p>
      <w:pPr>
        <w:keepNext w:val="0"/>
        <w:keepLines w:val="0"/>
        <w:pageBreakBefore w:val="0"/>
        <w:widowControl w:val="0"/>
        <w:kinsoku/>
        <w:wordWrap/>
        <w:overflowPunct/>
        <w:topLinePunct w:val="0"/>
        <w:autoSpaceDE/>
        <w:autoSpaceDN/>
        <w:bidi w:val="0"/>
        <w:adjustRightInd/>
        <w:snapToGrid/>
        <w:spacing w:line="570" w:lineRule="atLeast"/>
        <w:ind w:firstLine="481" w:firstLineChars="150"/>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b/>
          <w:bCs/>
          <w:sz w:val="32"/>
          <w:szCs w:val="32"/>
          <w:lang w:eastAsia="zh-CN"/>
        </w:rPr>
        <w:t>（一）</w:t>
      </w:r>
      <w:r>
        <w:rPr>
          <w:rFonts w:hint="default" w:ascii="Times New Roman" w:hAnsi="Times New Roman" w:eastAsia="仿宋_GB2312" w:cs="Times New Roman"/>
          <w:sz w:val="32"/>
          <w:szCs w:val="32"/>
        </w:rPr>
        <w:t>经费的保障是项目工作运转的基石，在健康教育，随访补助、检测干预、实验室能力建设、人员培训、监督评估等方面还要继续加强力度，加大投入，确保工作做实抓细，促进工作质量进一步提高。</w:t>
      </w:r>
    </w:p>
    <w:p>
      <w:pPr>
        <w:keepNext w:val="0"/>
        <w:keepLines w:val="0"/>
        <w:pageBreakBefore w:val="0"/>
        <w:widowControl w:val="0"/>
        <w:kinsoku/>
        <w:wordWrap/>
        <w:overflowPunct/>
        <w:topLinePunct w:val="0"/>
        <w:autoSpaceDE/>
        <w:autoSpaceDN/>
        <w:bidi w:val="0"/>
        <w:adjustRightInd/>
        <w:snapToGrid/>
        <w:spacing w:line="570" w:lineRule="atLeast"/>
        <w:ind w:firstLine="481" w:firstLineChars="150"/>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b/>
          <w:bCs/>
          <w:sz w:val="32"/>
          <w:szCs w:val="32"/>
          <w:lang w:eastAsia="zh-CN"/>
        </w:rPr>
        <w:t>（二）</w:t>
      </w:r>
      <w:r>
        <w:rPr>
          <w:rFonts w:hint="default" w:ascii="Times New Roman" w:hAnsi="Times New Roman" w:eastAsia="仿宋_GB2312" w:cs="Times New Roman"/>
          <w:sz w:val="32"/>
          <w:szCs w:val="32"/>
        </w:rPr>
        <w:t>加强项目宣传与培训工作，完善监督考核。</w:t>
      </w:r>
    </w:p>
    <w:p>
      <w:pPr>
        <w:keepNext w:val="0"/>
        <w:keepLines w:val="0"/>
        <w:pageBreakBefore w:val="0"/>
        <w:widowControl w:val="0"/>
        <w:kinsoku/>
        <w:wordWrap/>
        <w:overflowPunct/>
        <w:topLinePunct w:val="0"/>
        <w:autoSpaceDE/>
        <w:autoSpaceDN/>
        <w:bidi w:val="0"/>
        <w:adjustRightInd/>
        <w:snapToGrid/>
        <w:spacing w:line="570" w:lineRule="atLeas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p>
    <w:p>
      <w:pPr>
        <w:keepNext w:val="0"/>
        <w:keepLines w:val="0"/>
        <w:pageBreakBefore w:val="0"/>
        <w:widowControl w:val="0"/>
        <w:kinsoku/>
        <w:wordWrap/>
        <w:overflowPunct/>
        <w:topLinePunct w:val="0"/>
        <w:autoSpaceDE/>
        <w:autoSpaceDN/>
        <w:bidi w:val="0"/>
        <w:adjustRightInd/>
        <w:snapToGrid/>
        <w:spacing w:line="570" w:lineRule="atLeast"/>
        <w:ind w:firstLine="3520" w:firstLineChars="1100"/>
        <w:textAlignment w:val="auto"/>
        <w:rPr>
          <w:rFonts w:ascii="仿宋" w:hAnsi="仿宋" w:eastAsia="仿宋"/>
          <w:sz w:val="32"/>
          <w:szCs w:val="32"/>
        </w:rPr>
      </w:pPr>
      <w:r>
        <w:rPr>
          <w:rFonts w:hint="default" w:ascii="Times New Roman" w:hAnsi="Times New Roman" w:eastAsia="仿宋_GB2312" w:cs="Times New Roman"/>
          <w:sz w:val="32"/>
          <w:szCs w:val="32"/>
        </w:rPr>
        <w:t xml:space="preserve"> </w:t>
      </w:r>
    </w:p>
    <w:p>
      <w:pPr>
        <w:spacing w:line="560" w:lineRule="exact"/>
        <w:ind w:firstLine="640" w:firstLineChars="200"/>
        <w:rPr>
          <w:rFonts w:hint="eastAsia" w:ascii="仿宋" w:hAnsi="仿宋" w:eastAsia="仿宋" w:cs="仿宋"/>
          <w:i w:val="0"/>
          <w:caps w:val="0"/>
          <w:color w:val="333333"/>
          <w:spacing w:val="0"/>
          <w:sz w:val="32"/>
          <w:szCs w:val="32"/>
          <w:lang w:eastAsia="zh-CN"/>
        </w:rPr>
      </w:pPr>
    </w:p>
    <w:p>
      <w:pPr>
        <w:spacing w:line="560" w:lineRule="exact"/>
        <w:ind w:firstLine="640" w:firstLineChars="200"/>
        <w:rPr>
          <w:rFonts w:hint="eastAsia" w:ascii="仿宋" w:hAnsi="仿宋" w:eastAsia="仿宋" w:cs="仿宋"/>
          <w:i w:val="0"/>
          <w:caps w:val="0"/>
          <w:color w:val="333333"/>
          <w:spacing w:val="0"/>
          <w:sz w:val="32"/>
          <w:szCs w:val="32"/>
          <w:lang w:eastAsia="zh-CN"/>
        </w:rPr>
      </w:pPr>
    </w:p>
    <w:tbl>
      <w:tblPr>
        <w:tblStyle w:val="13"/>
        <w:tblpPr w:leftFromText="180" w:rightFromText="180" w:vertAnchor="text" w:horzAnchor="page" w:tblpX="1690" w:tblpY="3111"/>
        <w:tblOverlap w:val="never"/>
        <w:tblW w:w="9990" w:type="dxa"/>
        <w:tblInd w:w="0" w:type="dxa"/>
        <w:tblLayout w:type="autofit"/>
        <w:tblCellMar>
          <w:top w:w="0" w:type="dxa"/>
          <w:left w:w="108" w:type="dxa"/>
          <w:bottom w:w="0" w:type="dxa"/>
          <w:right w:w="108" w:type="dxa"/>
        </w:tblCellMar>
      </w:tblPr>
      <w:tblGrid>
        <w:gridCol w:w="740"/>
        <w:gridCol w:w="734"/>
        <w:gridCol w:w="988"/>
        <w:gridCol w:w="1972"/>
        <w:gridCol w:w="1527"/>
        <w:gridCol w:w="1468"/>
        <w:gridCol w:w="1074"/>
        <w:gridCol w:w="1487"/>
      </w:tblGrid>
      <w:tr>
        <w:tblPrEx>
          <w:tblCellMar>
            <w:top w:w="0" w:type="dxa"/>
            <w:left w:w="108" w:type="dxa"/>
            <w:bottom w:w="0" w:type="dxa"/>
            <w:right w:w="108" w:type="dxa"/>
          </w:tblCellMar>
        </w:tblPrEx>
        <w:trPr>
          <w:trHeight w:val="285" w:hRule="atLeast"/>
        </w:trPr>
        <w:tc>
          <w:tcPr>
            <w:tcW w:w="9990" w:type="dxa"/>
            <w:gridSpan w:val="8"/>
            <w:tcBorders>
              <w:top w:val="nil"/>
              <w:left w:val="nil"/>
              <w:bottom w:val="nil"/>
              <w:right w:val="nil"/>
            </w:tcBorders>
            <w:shd w:val="clear" w:color="auto" w:fill="auto"/>
            <w:vAlign w:val="center"/>
          </w:tcPr>
          <w:p>
            <w:pPr>
              <w:widowControl/>
              <w:jc w:val="center"/>
              <w:rPr>
                <w:rFonts w:hint="eastAsia" w:ascii="宋体" w:hAnsi="宋体" w:cs="宋体"/>
                <w:b/>
                <w:bCs/>
                <w:kern w:val="0"/>
                <w:sz w:val="44"/>
                <w:szCs w:val="44"/>
                <w:lang w:eastAsia="zh-CN"/>
              </w:rPr>
            </w:pPr>
            <w:r>
              <w:rPr>
                <w:rFonts w:hint="eastAsia" w:ascii="宋体" w:hAnsi="宋体" w:cs="宋体"/>
                <w:b/>
                <w:bCs/>
                <w:kern w:val="0"/>
                <w:sz w:val="44"/>
                <w:szCs w:val="44"/>
                <w:lang w:eastAsia="zh-CN"/>
              </w:rPr>
              <w:t>专项（项目）资金绩效自评表</w:t>
            </w:r>
          </w:p>
          <w:p>
            <w:pPr>
              <w:widowControl/>
              <w:jc w:val="center"/>
              <w:rPr>
                <w:rFonts w:ascii="宋体" w:hAnsi="宋体" w:cs="宋体"/>
                <w:kern w:val="0"/>
                <w:sz w:val="24"/>
              </w:rPr>
            </w:pPr>
            <w:r>
              <w:rPr>
                <w:rFonts w:hint="eastAsia" w:ascii="宋体" w:hAnsi="宋体" w:cs="宋体"/>
                <w:kern w:val="0"/>
                <w:sz w:val="24"/>
              </w:rPr>
              <w:t>（</w:t>
            </w:r>
            <w:r>
              <w:rPr>
                <w:kern w:val="0"/>
                <w:sz w:val="24"/>
              </w:rPr>
              <w:t>2021</w:t>
            </w:r>
            <w:r>
              <w:rPr>
                <w:rFonts w:hint="eastAsia" w:ascii="宋体" w:hAnsi="宋体" w:cs="宋体"/>
                <w:kern w:val="0"/>
                <w:sz w:val="24"/>
              </w:rPr>
              <w:t>年度）</w:t>
            </w:r>
          </w:p>
        </w:tc>
      </w:tr>
      <w:tr>
        <w:tblPrEx>
          <w:tblCellMar>
            <w:top w:w="0" w:type="dxa"/>
            <w:left w:w="108" w:type="dxa"/>
            <w:bottom w:w="0" w:type="dxa"/>
            <w:right w:w="108" w:type="dxa"/>
          </w:tblCellMar>
        </w:tblPrEx>
        <w:trPr>
          <w:trHeight w:val="285" w:hRule="atLeast"/>
        </w:trPr>
        <w:tc>
          <w:tcPr>
            <w:tcW w:w="740" w:type="dxa"/>
            <w:tcBorders>
              <w:top w:val="nil"/>
              <w:left w:val="nil"/>
              <w:bottom w:val="single" w:color="auto" w:sz="4" w:space="0"/>
              <w:right w:val="nil"/>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734" w:type="dxa"/>
            <w:tcBorders>
              <w:top w:val="nil"/>
              <w:left w:val="nil"/>
              <w:bottom w:val="single" w:color="auto" w:sz="4" w:space="0"/>
              <w:right w:val="nil"/>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w:t>
            </w:r>
          </w:p>
        </w:tc>
        <w:tc>
          <w:tcPr>
            <w:tcW w:w="988" w:type="dxa"/>
            <w:tcBorders>
              <w:top w:val="nil"/>
              <w:left w:val="nil"/>
              <w:bottom w:val="nil"/>
              <w:right w:val="nil"/>
            </w:tcBorders>
            <w:shd w:val="clear" w:color="auto" w:fill="auto"/>
            <w:vAlign w:val="center"/>
          </w:tcPr>
          <w:p>
            <w:pPr>
              <w:widowControl/>
              <w:jc w:val="left"/>
              <w:rPr>
                <w:rFonts w:ascii="宋体" w:hAnsi="宋体" w:cs="宋体"/>
                <w:kern w:val="0"/>
                <w:sz w:val="24"/>
              </w:rPr>
            </w:pPr>
          </w:p>
        </w:tc>
        <w:tc>
          <w:tcPr>
            <w:tcW w:w="1972" w:type="dxa"/>
            <w:tcBorders>
              <w:top w:val="nil"/>
              <w:left w:val="nil"/>
              <w:bottom w:val="nil"/>
              <w:right w:val="nil"/>
            </w:tcBorders>
            <w:shd w:val="clear" w:color="auto" w:fill="auto"/>
            <w:vAlign w:val="center"/>
          </w:tcPr>
          <w:p>
            <w:pPr>
              <w:widowControl/>
              <w:jc w:val="left"/>
              <w:rPr>
                <w:rFonts w:ascii="宋体" w:hAnsi="宋体" w:cs="宋体"/>
                <w:kern w:val="0"/>
                <w:sz w:val="24"/>
              </w:rPr>
            </w:pPr>
          </w:p>
        </w:tc>
        <w:tc>
          <w:tcPr>
            <w:tcW w:w="1527" w:type="dxa"/>
            <w:tcBorders>
              <w:top w:val="nil"/>
              <w:left w:val="nil"/>
              <w:bottom w:val="nil"/>
              <w:right w:val="nil"/>
            </w:tcBorders>
            <w:shd w:val="clear" w:color="auto" w:fill="auto"/>
            <w:vAlign w:val="center"/>
          </w:tcPr>
          <w:p>
            <w:pPr>
              <w:widowControl/>
              <w:jc w:val="left"/>
              <w:rPr>
                <w:rFonts w:ascii="宋体" w:hAnsi="宋体" w:cs="宋体"/>
                <w:kern w:val="0"/>
                <w:sz w:val="24"/>
              </w:rPr>
            </w:pPr>
          </w:p>
        </w:tc>
        <w:tc>
          <w:tcPr>
            <w:tcW w:w="1468" w:type="dxa"/>
            <w:tcBorders>
              <w:top w:val="nil"/>
              <w:left w:val="nil"/>
              <w:bottom w:val="nil"/>
              <w:right w:val="nil"/>
            </w:tcBorders>
            <w:shd w:val="clear" w:color="auto" w:fill="auto"/>
            <w:vAlign w:val="center"/>
          </w:tcPr>
          <w:p>
            <w:pPr>
              <w:widowControl/>
              <w:jc w:val="left"/>
              <w:rPr>
                <w:rFonts w:ascii="宋体" w:hAnsi="宋体" w:cs="宋体"/>
                <w:kern w:val="0"/>
                <w:sz w:val="24"/>
              </w:rPr>
            </w:pPr>
          </w:p>
        </w:tc>
        <w:tc>
          <w:tcPr>
            <w:tcW w:w="1074" w:type="dxa"/>
            <w:tcBorders>
              <w:top w:val="nil"/>
              <w:left w:val="nil"/>
              <w:bottom w:val="nil"/>
              <w:right w:val="nil"/>
            </w:tcBorders>
            <w:shd w:val="clear" w:color="auto" w:fill="auto"/>
            <w:vAlign w:val="center"/>
          </w:tcPr>
          <w:p>
            <w:pPr>
              <w:widowControl/>
              <w:jc w:val="left"/>
              <w:rPr>
                <w:rFonts w:ascii="宋体" w:hAnsi="宋体" w:cs="宋体"/>
                <w:kern w:val="0"/>
                <w:sz w:val="24"/>
              </w:rPr>
            </w:pPr>
          </w:p>
        </w:tc>
        <w:tc>
          <w:tcPr>
            <w:tcW w:w="1487" w:type="dxa"/>
            <w:tcBorders>
              <w:top w:val="nil"/>
              <w:left w:val="nil"/>
              <w:bottom w:val="nil"/>
              <w:right w:val="nil"/>
            </w:tcBorders>
            <w:shd w:val="clear" w:color="auto" w:fill="auto"/>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285" w:hRule="atLeast"/>
        </w:trPr>
        <w:tc>
          <w:tcPr>
            <w:tcW w:w="2462" w:type="dxa"/>
            <w:gridSpan w:val="3"/>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专项（项目）名称</w:t>
            </w:r>
          </w:p>
        </w:tc>
        <w:tc>
          <w:tcPr>
            <w:tcW w:w="7528" w:type="dxa"/>
            <w:gridSpan w:val="5"/>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盐边县预防艾滋病、梅毒和乙肝母婴传播项目</w:t>
            </w:r>
          </w:p>
        </w:tc>
      </w:tr>
      <w:tr>
        <w:tblPrEx>
          <w:tblCellMar>
            <w:top w:w="0" w:type="dxa"/>
            <w:left w:w="108" w:type="dxa"/>
            <w:bottom w:w="0" w:type="dxa"/>
            <w:right w:w="108" w:type="dxa"/>
          </w:tblCellMar>
        </w:tblPrEx>
        <w:trPr>
          <w:trHeight w:val="363" w:hRule="atLeast"/>
        </w:trPr>
        <w:tc>
          <w:tcPr>
            <w:tcW w:w="2462" w:type="dxa"/>
            <w:gridSpan w:val="3"/>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4"/>
                <w:szCs w:val="24"/>
                <w:u w:val="none"/>
                <w:lang w:val="en-US" w:eastAsia="zh-CN" w:bidi="ar"/>
              </w:rPr>
              <w:t>项目主管单位</w:t>
            </w:r>
          </w:p>
        </w:tc>
        <w:tc>
          <w:tcPr>
            <w:tcW w:w="7528" w:type="dxa"/>
            <w:gridSpan w:val="5"/>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盐边县卫生健康局</w:t>
            </w:r>
          </w:p>
        </w:tc>
      </w:tr>
      <w:tr>
        <w:tblPrEx>
          <w:tblCellMar>
            <w:top w:w="0" w:type="dxa"/>
            <w:left w:w="108" w:type="dxa"/>
            <w:bottom w:w="0" w:type="dxa"/>
            <w:right w:w="108" w:type="dxa"/>
          </w:tblCellMar>
        </w:tblPrEx>
        <w:trPr>
          <w:trHeight w:val="285" w:hRule="atLeast"/>
        </w:trPr>
        <w:tc>
          <w:tcPr>
            <w:tcW w:w="2462" w:type="dxa"/>
            <w:gridSpan w:val="3"/>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rPr>
            </w:pPr>
            <w:r>
              <w:rPr>
                <w:rFonts w:hint="eastAsia" w:ascii="宋体" w:hAnsi="宋体" w:eastAsia="宋体" w:cs="宋体"/>
                <w:i w:val="0"/>
                <w:iCs w:val="0"/>
                <w:color w:val="000000"/>
                <w:kern w:val="0"/>
                <w:sz w:val="24"/>
                <w:szCs w:val="24"/>
                <w:u w:val="none"/>
                <w:lang w:val="en-US" w:eastAsia="zh-CN" w:bidi="ar"/>
              </w:rPr>
              <w:t>项目实施单位</w:t>
            </w:r>
          </w:p>
        </w:tc>
        <w:tc>
          <w:tcPr>
            <w:tcW w:w="7528" w:type="dxa"/>
            <w:gridSpan w:val="5"/>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盐边县妇幼保健服务中心</w:t>
            </w:r>
          </w:p>
        </w:tc>
      </w:tr>
      <w:tr>
        <w:tblPrEx>
          <w:tblCellMar>
            <w:top w:w="0" w:type="dxa"/>
            <w:left w:w="108" w:type="dxa"/>
            <w:bottom w:w="0" w:type="dxa"/>
            <w:right w:w="108" w:type="dxa"/>
          </w:tblCellMar>
        </w:tblPrEx>
        <w:trPr>
          <w:trHeight w:val="285" w:hRule="atLeast"/>
        </w:trPr>
        <w:tc>
          <w:tcPr>
            <w:tcW w:w="2462" w:type="dxa"/>
            <w:gridSpan w:val="3"/>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项目资金</w:t>
            </w:r>
          </w:p>
          <w:p>
            <w:pPr>
              <w:widowControl/>
              <w:jc w:val="center"/>
              <w:rPr>
                <w:rFonts w:ascii="宋体" w:hAnsi="宋体" w:cs="宋体"/>
                <w:kern w:val="0"/>
                <w:sz w:val="24"/>
              </w:rPr>
            </w:pPr>
            <w:r>
              <w:rPr>
                <w:rFonts w:hint="eastAsia" w:ascii="宋体" w:hAnsi="宋体" w:cs="宋体"/>
                <w:kern w:val="0"/>
                <w:sz w:val="24"/>
              </w:rPr>
              <w:t>（万元）</w:t>
            </w:r>
          </w:p>
        </w:tc>
        <w:tc>
          <w:tcPr>
            <w:tcW w:w="197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c>
          <w:tcPr>
            <w:tcW w:w="15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全年预算数</w:t>
            </w:r>
          </w:p>
        </w:tc>
        <w:tc>
          <w:tcPr>
            <w:tcW w:w="14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实际完成数</w:t>
            </w:r>
          </w:p>
        </w:tc>
        <w:tc>
          <w:tcPr>
            <w:tcW w:w="2561"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执行率（%）</w:t>
            </w:r>
          </w:p>
        </w:tc>
      </w:tr>
      <w:tr>
        <w:tblPrEx>
          <w:tblCellMar>
            <w:top w:w="0" w:type="dxa"/>
            <w:left w:w="108" w:type="dxa"/>
            <w:bottom w:w="0" w:type="dxa"/>
            <w:right w:w="108" w:type="dxa"/>
          </w:tblCellMar>
        </w:tblPrEx>
        <w:trPr>
          <w:trHeight w:val="285" w:hRule="atLeast"/>
        </w:trPr>
        <w:tc>
          <w:tcPr>
            <w:tcW w:w="246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xml:space="preserve"> 年度资金总额：</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14.62</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14.62</w:t>
            </w:r>
          </w:p>
        </w:tc>
        <w:tc>
          <w:tcPr>
            <w:tcW w:w="2561" w:type="dxa"/>
            <w:gridSpan w:val="2"/>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kern w:val="0"/>
                <w:sz w:val="24"/>
                <w:lang w:val="en-US"/>
              </w:rPr>
            </w:pPr>
            <w:r>
              <w:rPr>
                <w:rFonts w:hint="eastAsia" w:ascii="宋体" w:hAnsi="宋体" w:eastAsia="宋体" w:cs="宋体"/>
                <w:i w:val="0"/>
                <w:iCs w:val="0"/>
                <w:color w:val="000000"/>
                <w:kern w:val="0"/>
                <w:sz w:val="24"/>
                <w:szCs w:val="24"/>
                <w:u w:val="none"/>
                <w:lang w:val="en-US" w:eastAsia="zh-CN" w:bidi="ar"/>
              </w:rPr>
              <w:t>100</w:t>
            </w:r>
          </w:p>
        </w:tc>
      </w:tr>
      <w:tr>
        <w:tblPrEx>
          <w:tblCellMar>
            <w:top w:w="0" w:type="dxa"/>
            <w:left w:w="108" w:type="dxa"/>
            <w:bottom w:w="0" w:type="dxa"/>
            <w:right w:w="108" w:type="dxa"/>
          </w:tblCellMar>
        </w:tblPrEx>
        <w:trPr>
          <w:trHeight w:val="285" w:hRule="atLeast"/>
        </w:trPr>
        <w:tc>
          <w:tcPr>
            <w:tcW w:w="246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xml:space="preserve"> 其中：财政拨款</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14.62</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14.62</w:t>
            </w:r>
          </w:p>
        </w:tc>
        <w:tc>
          <w:tcPr>
            <w:tcW w:w="2561" w:type="dxa"/>
            <w:gridSpan w:val="2"/>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kern w:val="0"/>
                <w:sz w:val="24"/>
                <w:lang w:val="en-US"/>
              </w:rPr>
            </w:pPr>
            <w:r>
              <w:rPr>
                <w:rFonts w:hint="eastAsia" w:ascii="宋体" w:hAnsi="宋体" w:eastAsia="宋体" w:cs="宋体"/>
                <w:i w:val="0"/>
                <w:iCs w:val="0"/>
                <w:color w:val="000000"/>
                <w:kern w:val="0"/>
                <w:sz w:val="24"/>
                <w:szCs w:val="24"/>
                <w:u w:val="none"/>
                <w:lang w:val="en-US" w:eastAsia="zh-CN" w:bidi="ar"/>
              </w:rPr>
              <w:t>100</w:t>
            </w:r>
          </w:p>
        </w:tc>
      </w:tr>
      <w:tr>
        <w:tblPrEx>
          <w:tblCellMar>
            <w:top w:w="0" w:type="dxa"/>
            <w:left w:w="108" w:type="dxa"/>
            <w:bottom w:w="0" w:type="dxa"/>
            <w:right w:w="108" w:type="dxa"/>
          </w:tblCellMar>
        </w:tblPrEx>
        <w:trPr>
          <w:trHeight w:val="285" w:hRule="atLeast"/>
        </w:trPr>
        <w:tc>
          <w:tcPr>
            <w:tcW w:w="2462"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xml:space="preserve">             其他资金</w:t>
            </w:r>
          </w:p>
        </w:tc>
        <w:tc>
          <w:tcPr>
            <w:tcW w:w="15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w:t>
            </w:r>
          </w:p>
        </w:tc>
        <w:tc>
          <w:tcPr>
            <w:tcW w:w="14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4"/>
              </w:rPr>
            </w:pPr>
            <w:r>
              <w:rPr>
                <w:rFonts w:hint="eastAsia" w:ascii="宋体" w:hAnsi="宋体" w:cs="宋体"/>
                <w:kern w:val="0"/>
                <w:sz w:val="24"/>
              </w:rPr>
              <w:t>　</w:t>
            </w:r>
          </w:p>
        </w:tc>
        <w:tc>
          <w:tcPr>
            <w:tcW w:w="2561"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65" w:hRule="atLeast"/>
        </w:trPr>
        <w:tc>
          <w:tcPr>
            <w:tcW w:w="74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总</w:t>
            </w:r>
          </w:p>
          <w:p>
            <w:pPr>
              <w:widowControl/>
              <w:jc w:val="center"/>
              <w:rPr>
                <w:rFonts w:ascii="宋体" w:hAnsi="宋体" w:cs="宋体"/>
                <w:kern w:val="0"/>
                <w:sz w:val="24"/>
              </w:rPr>
            </w:pPr>
            <w:r>
              <w:rPr>
                <w:rFonts w:hint="eastAsia" w:ascii="宋体" w:hAnsi="宋体" w:cs="宋体"/>
                <w:kern w:val="0"/>
                <w:sz w:val="24"/>
              </w:rPr>
              <w:t>体</w:t>
            </w:r>
          </w:p>
          <w:p>
            <w:pPr>
              <w:widowControl/>
              <w:jc w:val="center"/>
              <w:rPr>
                <w:rFonts w:ascii="宋体" w:hAnsi="宋体" w:cs="宋体"/>
                <w:kern w:val="0"/>
                <w:sz w:val="24"/>
              </w:rPr>
            </w:pPr>
            <w:r>
              <w:rPr>
                <w:rFonts w:hint="eastAsia" w:ascii="宋体" w:hAnsi="宋体" w:cs="宋体"/>
                <w:kern w:val="0"/>
                <w:sz w:val="24"/>
              </w:rPr>
              <w:t>目</w:t>
            </w:r>
          </w:p>
          <w:p>
            <w:pPr>
              <w:widowControl/>
              <w:jc w:val="center"/>
              <w:rPr>
                <w:rFonts w:ascii="宋体" w:hAnsi="宋体" w:cs="宋体"/>
                <w:kern w:val="0"/>
                <w:sz w:val="24"/>
              </w:rPr>
            </w:pPr>
            <w:r>
              <w:rPr>
                <w:rFonts w:hint="eastAsia" w:ascii="宋体" w:hAnsi="宋体" w:cs="宋体"/>
                <w:kern w:val="0"/>
                <w:sz w:val="24"/>
              </w:rPr>
              <w:t>标</w:t>
            </w:r>
          </w:p>
        </w:tc>
        <w:tc>
          <w:tcPr>
            <w:tcW w:w="3694"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年度设定目标</w:t>
            </w:r>
          </w:p>
        </w:tc>
        <w:tc>
          <w:tcPr>
            <w:tcW w:w="5556" w:type="dxa"/>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实际完成情况</w:t>
            </w:r>
          </w:p>
        </w:tc>
      </w:tr>
      <w:tr>
        <w:tblPrEx>
          <w:tblCellMar>
            <w:top w:w="0" w:type="dxa"/>
            <w:left w:w="108" w:type="dxa"/>
            <w:bottom w:w="0" w:type="dxa"/>
            <w:right w:w="108" w:type="dxa"/>
          </w:tblCellMar>
        </w:tblPrEx>
        <w:trPr>
          <w:trHeight w:val="1305"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c>
          <w:tcPr>
            <w:tcW w:w="3694" w:type="dxa"/>
            <w:gridSpan w:val="3"/>
            <w:tcBorders>
              <w:top w:val="single" w:color="auto" w:sz="4" w:space="0"/>
              <w:left w:val="nil"/>
              <w:bottom w:val="single" w:color="auto"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iCs w:val="0"/>
                <w:color w:val="000000"/>
                <w:kern w:val="0"/>
                <w:sz w:val="24"/>
                <w:szCs w:val="24"/>
                <w:u w:val="none"/>
                <w:lang w:val="en-US" w:eastAsia="zh-CN" w:bidi="ar"/>
              </w:rPr>
            </w:pPr>
          </w:p>
          <w:p>
            <w:pPr>
              <w:keepNext w:val="0"/>
              <w:keepLines w:val="0"/>
              <w:widowControl/>
              <w:suppressLineNumbers w:val="0"/>
              <w:jc w:val="left"/>
              <w:textAlignment w:val="top"/>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1.加强和规范全县项目工作预算管理、合理控制成本、提高管理水平、提升资源使用效益、促进项目工作顺利实施。</w:t>
            </w:r>
          </w:p>
          <w:p>
            <w:pPr>
              <w:keepNext w:val="0"/>
              <w:keepLines w:val="0"/>
              <w:widowControl/>
              <w:suppressLineNumbers w:val="0"/>
              <w:jc w:val="left"/>
              <w:textAlignment w:val="top"/>
              <w:rPr>
                <w:rFonts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2.实行全面预算管理制度、强化预算约束、保障项目工作正常运转。</w:t>
            </w:r>
          </w:p>
        </w:tc>
        <w:tc>
          <w:tcPr>
            <w:tcW w:w="5556" w:type="dxa"/>
            <w:gridSpan w:val="4"/>
            <w:tcBorders>
              <w:top w:val="single" w:color="auto" w:sz="4" w:space="0"/>
              <w:left w:val="nil"/>
              <w:bottom w:val="single" w:color="auto" w:sz="4" w:space="0"/>
              <w:right w:val="single" w:color="000000" w:sz="4" w:space="0"/>
            </w:tcBorders>
            <w:shd w:val="clear" w:color="auto" w:fill="auto"/>
            <w:vAlign w:val="top"/>
          </w:tcPr>
          <w:p>
            <w:pPr>
              <w:keepNext w:val="0"/>
              <w:keepLines w:val="0"/>
              <w:widowControl/>
              <w:suppressLineNumbers w:val="0"/>
              <w:jc w:val="left"/>
              <w:textAlignment w:val="top"/>
              <w:rPr>
                <w:rFonts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为进一步完善"政府组织领导、部门各负其责，全社会共同参与"的防治机制，结合《四川省遏制艾滋病传播实施方案（2019—2022年））》，制定年度预防艾滋病、梅毒和乙肝母婴传播工作方案，落实部门联动、乡镇履责，优化完善"三线一网底"工作。在全县深入开展预防艾滋病、梅毒和乙肝母婴传播工作，进一步扩大孕产妇及所生儿童筛查、治疗、干预覆盖面。孕产妇艾滋病、梅毒和乙肝检测率达 99%，孕早期检测率达 85%以上。HIV感染孕产妇及所生儿童抗病毒用药率达 98%以上。梅毒感染孕产妇治疗率达 95%以上。乙肝感染孕产妇所生新生儿免疫球蛋白注射比例达 99%以上，艾滋病感染育龄妇女每季度孕情检测率达95%以上。</w:t>
            </w:r>
          </w:p>
        </w:tc>
      </w:tr>
      <w:tr>
        <w:tblPrEx>
          <w:tblCellMar>
            <w:top w:w="0" w:type="dxa"/>
            <w:left w:w="108" w:type="dxa"/>
            <w:bottom w:w="0" w:type="dxa"/>
            <w:right w:w="108" w:type="dxa"/>
          </w:tblCellMar>
        </w:tblPrEx>
        <w:trPr>
          <w:trHeight w:val="450" w:hRule="atLeast"/>
        </w:trPr>
        <w:tc>
          <w:tcPr>
            <w:tcW w:w="740" w:type="dxa"/>
            <w:vMerge w:val="restart"/>
            <w:tcBorders>
              <w:top w:val="nil"/>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绩</w:t>
            </w:r>
          </w:p>
          <w:p>
            <w:pPr>
              <w:widowControl/>
              <w:jc w:val="center"/>
              <w:rPr>
                <w:rFonts w:ascii="宋体" w:hAnsi="宋体" w:cs="宋体"/>
                <w:kern w:val="0"/>
                <w:sz w:val="24"/>
              </w:rPr>
            </w:pPr>
            <w:r>
              <w:rPr>
                <w:rFonts w:hint="eastAsia" w:ascii="宋体" w:hAnsi="宋体" w:cs="宋体"/>
                <w:kern w:val="0"/>
                <w:sz w:val="24"/>
              </w:rPr>
              <w:t>效</w:t>
            </w:r>
          </w:p>
          <w:p>
            <w:pPr>
              <w:widowControl/>
              <w:jc w:val="center"/>
              <w:rPr>
                <w:rFonts w:ascii="宋体" w:hAnsi="宋体" w:cs="宋体"/>
                <w:kern w:val="0"/>
                <w:sz w:val="24"/>
              </w:rPr>
            </w:pPr>
            <w:r>
              <w:rPr>
                <w:rFonts w:hint="eastAsia" w:ascii="宋体" w:hAnsi="宋体" w:cs="宋体"/>
                <w:kern w:val="0"/>
                <w:sz w:val="24"/>
              </w:rPr>
              <w:t>指</w:t>
            </w:r>
          </w:p>
          <w:p>
            <w:pPr>
              <w:widowControl/>
              <w:jc w:val="center"/>
              <w:rPr>
                <w:rFonts w:ascii="宋体" w:hAnsi="宋体" w:cs="宋体"/>
                <w:kern w:val="0"/>
                <w:sz w:val="24"/>
              </w:rPr>
            </w:pPr>
            <w:r>
              <w:rPr>
                <w:rFonts w:hint="eastAsia" w:ascii="宋体" w:hAnsi="宋体" w:cs="宋体"/>
                <w:kern w:val="0"/>
                <w:sz w:val="24"/>
              </w:rPr>
              <w:t>标</w:t>
            </w:r>
          </w:p>
        </w:tc>
        <w:tc>
          <w:tcPr>
            <w:tcW w:w="734" w:type="dxa"/>
            <w:tcBorders>
              <w:top w:val="nil"/>
              <w:left w:val="nil"/>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一级</w:t>
            </w:r>
          </w:p>
          <w:p>
            <w:pPr>
              <w:widowControl/>
              <w:jc w:val="center"/>
              <w:rPr>
                <w:rFonts w:ascii="宋体" w:hAnsi="宋体" w:cs="宋体"/>
                <w:kern w:val="0"/>
                <w:sz w:val="24"/>
              </w:rPr>
            </w:pPr>
            <w:r>
              <w:rPr>
                <w:rFonts w:hint="eastAsia" w:ascii="宋体" w:hAnsi="宋体" w:cs="宋体"/>
                <w:kern w:val="0"/>
                <w:sz w:val="24"/>
              </w:rPr>
              <w:t>指标</w:t>
            </w:r>
          </w:p>
        </w:tc>
        <w:tc>
          <w:tcPr>
            <w:tcW w:w="98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二级指标</w:t>
            </w:r>
          </w:p>
        </w:tc>
        <w:tc>
          <w:tcPr>
            <w:tcW w:w="197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三级指标</w:t>
            </w:r>
          </w:p>
        </w:tc>
        <w:tc>
          <w:tcPr>
            <w:tcW w:w="15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年度指标值</w:t>
            </w:r>
          </w:p>
        </w:tc>
        <w:tc>
          <w:tcPr>
            <w:tcW w:w="146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实际完成数</w:t>
            </w:r>
          </w:p>
        </w:tc>
        <w:tc>
          <w:tcPr>
            <w:tcW w:w="107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完成率（%）</w:t>
            </w:r>
          </w:p>
        </w:tc>
        <w:tc>
          <w:tcPr>
            <w:tcW w:w="148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未完成原因和改进措施</w:t>
            </w:r>
          </w:p>
        </w:tc>
      </w:tr>
      <w:tr>
        <w:tblPrEx>
          <w:tblCellMar>
            <w:top w:w="0" w:type="dxa"/>
            <w:left w:w="108" w:type="dxa"/>
            <w:bottom w:w="0" w:type="dxa"/>
            <w:right w:w="108" w:type="dxa"/>
          </w:tblCellMar>
        </w:tblPrEx>
        <w:trPr>
          <w:trHeight w:val="85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项目完成</w:t>
            </w:r>
          </w:p>
        </w:tc>
        <w:tc>
          <w:tcPr>
            <w:tcW w:w="988" w:type="dxa"/>
            <w:vMerge w:val="restart"/>
            <w:tcBorders>
              <w:top w:val="nil"/>
              <w:left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数量指标</w:t>
            </w:r>
          </w:p>
        </w:tc>
        <w:tc>
          <w:tcPr>
            <w:tcW w:w="197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指标1：HIV感染育龄妇女每季度孕情检测数</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95%</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61</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100%</w:t>
            </w:r>
          </w:p>
        </w:tc>
        <w:tc>
          <w:tcPr>
            <w:tcW w:w="1487" w:type="dxa"/>
            <w:tcBorders>
              <w:top w:val="nil"/>
              <w:left w:val="nil"/>
              <w:bottom w:val="single" w:color="auto" w:sz="4" w:space="0"/>
              <w:right w:val="single" w:color="auto" w:sz="4" w:space="0"/>
            </w:tcBorders>
            <w:shd w:val="clear" w:color="auto" w:fill="auto"/>
            <w:vAlign w:val="center"/>
          </w:tcPr>
          <w:p>
            <w:pPr>
              <w:jc w:val="center"/>
              <w:rPr>
                <w:rFonts w:ascii="宋体" w:hAnsi="宋体" w:cs="宋体"/>
                <w:kern w:val="0"/>
                <w:sz w:val="20"/>
                <w:szCs w:val="20"/>
              </w:rPr>
            </w:pPr>
          </w:p>
        </w:tc>
      </w:tr>
      <w:tr>
        <w:tblPrEx>
          <w:tblCellMar>
            <w:top w:w="0" w:type="dxa"/>
            <w:left w:w="108" w:type="dxa"/>
            <w:bottom w:w="0" w:type="dxa"/>
            <w:right w:w="108" w:type="dxa"/>
          </w:tblCellMar>
        </w:tblPrEx>
        <w:trPr>
          <w:trHeight w:val="71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shd w:val="clear" w:color="auto" w:fill="auto"/>
            <w:vAlign w:val="center"/>
          </w:tcPr>
          <w:p>
            <w:pPr>
              <w:widowControl/>
              <w:jc w:val="center"/>
              <w:rPr>
                <w:rFonts w:hint="eastAsia" w:ascii="宋体" w:hAnsi="宋体" w:cs="宋体"/>
                <w:kern w:val="0"/>
                <w:sz w:val="24"/>
              </w:rPr>
            </w:pPr>
          </w:p>
        </w:tc>
        <w:tc>
          <w:tcPr>
            <w:tcW w:w="988" w:type="dxa"/>
            <w:vMerge w:val="continue"/>
            <w:tcBorders>
              <w:left w:val="nil"/>
              <w:right w:val="single" w:color="auto" w:sz="4" w:space="0"/>
            </w:tcBorders>
            <w:shd w:val="clear" w:color="auto" w:fill="auto"/>
            <w:vAlign w:val="center"/>
          </w:tcPr>
          <w:p>
            <w:pPr>
              <w:widowControl/>
              <w:jc w:val="center"/>
              <w:rPr>
                <w:rFonts w:hint="eastAsia"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指标2：孕产妇HIV抗体孕早期检测数</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85%</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644</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86%</w:t>
            </w:r>
          </w:p>
        </w:tc>
        <w:tc>
          <w:tcPr>
            <w:tcW w:w="1487"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cs="宋体"/>
                <w:kern w:val="0"/>
                <w:sz w:val="20"/>
                <w:szCs w:val="20"/>
              </w:rPr>
            </w:pPr>
          </w:p>
        </w:tc>
      </w:tr>
      <w:tr>
        <w:tblPrEx>
          <w:tblCellMar>
            <w:top w:w="0" w:type="dxa"/>
            <w:left w:w="108" w:type="dxa"/>
            <w:bottom w:w="0" w:type="dxa"/>
            <w:right w:w="108" w:type="dxa"/>
          </w:tblCellMar>
        </w:tblPrEx>
        <w:trPr>
          <w:trHeight w:val="62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shd w:val="clear" w:color="auto" w:fill="auto"/>
            <w:vAlign w:val="center"/>
          </w:tcPr>
          <w:p>
            <w:pPr>
              <w:widowControl/>
              <w:jc w:val="center"/>
              <w:rPr>
                <w:rFonts w:hint="eastAsia" w:ascii="宋体" w:hAnsi="宋体" w:cs="宋体"/>
                <w:kern w:val="0"/>
                <w:sz w:val="24"/>
              </w:rPr>
            </w:pPr>
          </w:p>
        </w:tc>
        <w:tc>
          <w:tcPr>
            <w:tcW w:w="988" w:type="dxa"/>
            <w:vMerge w:val="continue"/>
            <w:tcBorders>
              <w:left w:val="nil"/>
              <w:bottom w:val="nil"/>
              <w:right w:val="single" w:color="auto" w:sz="4" w:space="0"/>
            </w:tcBorders>
            <w:shd w:val="clear" w:color="auto" w:fill="auto"/>
            <w:vAlign w:val="center"/>
          </w:tcPr>
          <w:p>
            <w:pPr>
              <w:widowControl/>
              <w:jc w:val="center"/>
              <w:rPr>
                <w:rFonts w:hint="eastAsia"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指标3：梅毒感染孕产妇梅毒治疗数</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95%</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cs="宋体"/>
                <w:kern w:val="0"/>
                <w:sz w:val="24"/>
                <w:szCs w:val="24"/>
              </w:rPr>
            </w:pPr>
            <w:r>
              <w:rPr>
                <w:rFonts w:hint="eastAsia" w:ascii="宋体" w:hAnsi="宋体" w:eastAsia="宋体" w:cs="宋体"/>
                <w:i w:val="0"/>
                <w:iCs w:val="0"/>
                <w:color w:val="000000"/>
                <w:kern w:val="0"/>
                <w:sz w:val="24"/>
                <w:szCs w:val="24"/>
                <w:u w:val="none"/>
                <w:lang w:val="en-US" w:eastAsia="zh-CN" w:bidi="ar"/>
              </w:rPr>
              <w:t>9</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89%</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常住盐源，路过</w:t>
            </w:r>
          </w:p>
        </w:tc>
      </w:tr>
      <w:tr>
        <w:tblPrEx>
          <w:tblCellMar>
            <w:top w:w="0" w:type="dxa"/>
            <w:left w:w="108" w:type="dxa"/>
            <w:bottom w:w="0" w:type="dxa"/>
            <w:right w:w="108" w:type="dxa"/>
          </w:tblCellMar>
        </w:tblPrEx>
        <w:trPr>
          <w:trHeight w:val="86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质量指标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指标1： 孕产妇艾滋病、梅毒和乙肝检测率</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ascii="宋体" w:hAnsi="宋体" w:eastAsia="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95%</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ascii="宋体" w:hAnsi="宋体" w:eastAsia="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95%</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100%</w:t>
            </w:r>
          </w:p>
        </w:tc>
        <w:tc>
          <w:tcPr>
            <w:tcW w:w="1487" w:type="dxa"/>
            <w:vMerge w:val="restar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63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指标2：艾滋病感染孕产妇抗艾滋病毒用药率</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98%</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2</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100%</w:t>
            </w:r>
          </w:p>
        </w:tc>
        <w:tc>
          <w:tcPr>
            <w:tcW w:w="1487" w:type="dxa"/>
            <w:vMerge w:val="continue"/>
            <w:tcBorders>
              <w:top w:val="nil"/>
              <w:left w:val="nil"/>
              <w:bottom w:val="single" w:color="auto" w:sz="4" w:space="0"/>
              <w:right w:val="single" w:color="auto" w:sz="4" w:space="0"/>
            </w:tcBorders>
            <w:shd w:val="clear" w:color="auto" w:fill="auto"/>
            <w:vAlign w:val="center"/>
          </w:tcPr>
          <w:p>
            <w:pPr>
              <w:jc w:val="center"/>
              <w:rPr>
                <w:rFonts w:ascii="宋体" w:hAnsi="宋体" w:cs="宋体"/>
                <w:kern w:val="0"/>
                <w:sz w:val="20"/>
                <w:szCs w:val="20"/>
              </w:rPr>
            </w:pPr>
          </w:p>
        </w:tc>
      </w:tr>
      <w:tr>
        <w:tblPrEx>
          <w:tblCellMar>
            <w:top w:w="0" w:type="dxa"/>
            <w:left w:w="108" w:type="dxa"/>
            <w:bottom w:w="0" w:type="dxa"/>
            <w:right w:w="108" w:type="dxa"/>
          </w:tblCellMar>
        </w:tblPrEx>
        <w:trPr>
          <w:trHeight w:val="54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指标3：乙肝免疫球蛋白及时注射率</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99%</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56</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100%</w:t>
            </w:r>
          </w:p>
        </w:tc>
        <w:tc>
          <w:tcPr>
            <w:tcW w:w="1487" w:type="dxa"/>
            <w:vMerge w:val="continue"/>
            <w:tcBorders>
              <w:top w:val="nil"/>
              <w:left w:val="nil"/>
              <w:bottom w:val="single" w:color="auto" w:sz="4" w:space="0"/>
              <w:right w:val="single" w:color="auto" w:sz="4" w:space="0"/>
            </w:tcBorders>
            <w:shd w:val="clear" w:color="auto" w:fill="auto"/>
            <w:vAlign w:val="center"/>
          </w:tcPr>
          <w:p>
            <w:pPr>
              <w:jc w:val="center"/>
              <w:rPr>
                <w:rFonts w:ascii="宋体" w:hAnsi="宋体" w:cs="宋体"/>
                <w:kern w:val="0"/>
                <w:sz w:val="20"/>
                <w:szCs w:val="20"/>
              </w:rPr>
            </w:pPr>
          </w:p>
        </w:tc>
      </w:tr>
      <w:tr>
        <w:tblPrEx>
          <w:tblCellMar>
            <w:top w:w="0" w:type="dxa"/>
            <w:left w:w="108" w:type="dxa"/>
            <w:bottom w:w="0" w:type="dxa"/>
            <w:right w:w="108" w:type="dxa"/>
          </w:tblCellMar>
        </w:tblPrEx>
        <w:trPr>
          <w:trHeight w:val="58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restart"/>
            <w:tcBorders>
              <w:top w:val="nil"/>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时效指标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 xml:space="preserve"> 指标1：2021年本年度</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2021年1-12月</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本年度内</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100</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562"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69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成本指标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 xml:space="preserve"> 指标1：项目预算数</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35.23万元</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35.23万元</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100%</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28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r>
      <w:tr>
        <w:tblPrEx>
          <w:tblCellMar>
            <w:top w:w="0" w:type="dxa"/>
            <w:left w:w="108" w:type="dxa"/>
            <w:bottom w:w="0" w:type="dxa"/>
            <w:right w:w="108" w:type="dxa"/>
          </w:tblCellMar>
        </w:tblPrEx>
        <w:trPr>
          <w:trHeight w:val="28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项目效益</w:t>
            </w:r>
          </w:p>
        </w:tc>
        <w:tc>
          <w:tcPr>
            <w:tcW w:w="988"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经济效益</w:t>
            </w:r>
          </w:p>
          <w:p>
            <w:pPr>
              <w:widowControl/>
              <w:jc w:val="center"/>
              <w:rPr>
                <w:rFonts w:ascii="宋体" w:hAnsi="宋体" w:cs="宋体"/>
                <w:kern w:val="0"/>
                <w:sz w:val="24"/>
              </w:rPr>
            </w:pPr>
            <w:r>
              <w:rPr>
                <w:rFonts w:hint="eastAsia" w:ascii="宋体" w:hAnsi="宋体" w:cs="宋体"/>
                <w:kern w:val="0"/>
                <w:sz w:val="24"/>
              </w:rPr>
              <w:t>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42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r>
      <w:tr>
        <w:tblPrEx>
          <w:tblCellMar>
            <w:top w:w="0" w:type="dxa"/>
            <w:left w:w="108" w:type="dxa"/>
            <w:bottom w:w="0" w:type="dxa"/>
            <w:right w:w="108" w:type="dxa"/>
          </w:tblCellMar>
        </w:tblPrEx>
        <w:trPr>
          <w:trHeight w:val="114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社会效益</w:t>
            </w:r>
          </w:p>
          <w:p>
            <w:pPr>
              <w:widowControl/>
              <w:jc w:val="center"/>
              <w:rPr>
                <w:rFonts w:ascii="宋体" w:hAnsi="宋体" w:cs="宋体"/>
                <w:kern w:val="0"/>
                <w:sz w:val="24"/>
              </w:rPr>
            </w:pPr>
            <w:r>
              <w:rPr>
                <w:rFonts w:hint="eastAsia" w:ascii="宋体" w:hAnsi="宋体" w:cs="宋体"/>
                <w:kern w:val="0"/>
                <w:sz w:val="24"/>
              </w:rPr>
              <w:t>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 xml:space="preserve"> 指标1：深入开展预防艾滋病、梅毒和乙肝母婴传播工作</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逐步提高</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逐步提高</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100%</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72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59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continue"/>
            <w:tcBorders>
              <w:left w:val="single" w:color="auto" w:sz="4" w:space="0"/>
              <w:bottom w:val="nil"/>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cs="宋体"/>
                <w:kern w:val="0"/>
                <w:sz w:val="20"/>
                <w:szCs w:val="20"/>
              </w:rPr>
            </w:pPr>
          </w:p>
        </w:tc>
      </w:tr>
      <w:tr>
        <w:tblPrEx>
          <w:tblCellMar>
            <w:top w:w="0" w:type="dxa"/>
            <w:left w:w="108" w:type="dxa"/>
            <w:bottom w:w="0" w:type="dxa"/>
            <w:right w:w="108" w:type="dxa"/>
          </w:tblCellMar>
        </w:tblPrEx>
        <w:trPr>
          <w:trHeight w:val="52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生态效益</w:t>
            </w:r>
          </w:p>
          <w:p>
            <w:pPr>
              <w:widowControl/>
              <w:jc w:val="center"/>
              <w:rPr>
                <w:rFonts w:ascii="宋体" w:hAnsi="宋体" w:cs="宋体"/>
                <w:kern w:val="0"/>
                <w:sz w:val="24"/>
              </w:rPr>
            </w:pPr>
            <w:r>
              <w:rPr>
                <w:rFonts w:hint="eastAsia" w:ascii="宋体" w:hAnsi="宋体" w:cs="宋体"/>
                <w:kern w:val="0"/>
                <w:sz w:val="24"/>
              </w:rPr>
              <w:t>指标</w:t>
            </w: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r>
      <w:tr>
        <w:tblPrEx>
          <w:tblCellMar>
            <w:top w:w="0" w:type="dxa"/>
            <w:left w:w="108" w:type="dxa"/>
            <w:bottom w:w="0" w:type="dxa"/>
            <w:right w:w="108" w:type="dxa"/>
          </w:tblCellMar>
        </w:tblPrEx>
        <w:trPr>
          <w:trHeight w:val="51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continue"/>
            <w:tcBorders>
              <w:top w:val="single" w:color="auto" w:sz="4" w:space="0"/>
              <w:left w:val="single" w:color="auto" w:sz="4" w:space="0"/>
              <w:bottom w:val="nil"/>
              <w:right w:val="single" w:color="auto" w:sz="4" w:space="0"/>
            </w:tcBorders>
            <w:vAlign w:val="center"/>
          </w:tcPr>
          <w:p>
            <w:pPr>
              <w:widowControl/>
              <w:jc w:val="left"/>
              <w:rPr>
                <w:rFonts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p>
        </w:tc>
      </w:tr>
      <w:tr>
        <w:tblPrEx>
          <w:tblCellMar>
            <w:top w:w="0" w:type="dxa"/>
            <w:left w:w="108" w:type="dxa"/>
            <w:bottom w:w="0" w:type="dxa"/>
            <w:right w:w="108" w:type="dxa"/>
          </w:tblCellMar>
        </w:tblPrEx>
        <w:trPr>
          <w:trHeight w:val="99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right w:val="single" w:color="auto" w:sz="4" w:space="0"/>
            </w:tcBorders>
            <w:vAlign w:val="center"/>
          </w:tcPr>
          <w:p>
            <w:pPr>
              <w:widowControl/>
              <w:jc w:val="left"/>
              <w:rPr>
                <w:rFonts w:ascii="宋体" w:hAnsi="宋体" w:cs="宋体"/>
                <w:kern w:val="0"/>
                <w:sz w:val="24"/>
              </w:rPr>
            </w:pPr>
          </w:p>
        </w:tc>
        <w:tc>
          <w:tcPr>
            <w:tcW w:w="988" w:type="dxa"/>
            <w:vMerge w:val="restart"/>
            <w:tcBorders>
              <w:top w:val="single" w:color="auto" w:sz="4" w:space="0"/>
              <w:left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可持续影响</w:t>
            </w:r>
          </w:p>
          <w:p>
            <w:pPr>
              <w:widowControl/>
              <w:jc w:val="center"/>
              <w:rPr>
                <w:rFonts w:ascii="宋体" w:hAnsi="宋体" w:cs="宋体"/>
                <w:kern w:val="0"/>
                <w:sz w:val="24"/>
              </w:rPr>
            </w:pPr>
            <w:r>
              <w:rPr>
                <w:rFonts w:hint="eastAsia" w:ascii="宋体" w:hAnsi="宋体" w:cs="宋体"/>
                <w:kern w:val="0"/>
                <w:sz w:val="24"/>
              </w:rPr>
              <w:t>指标</w:t>
            </w: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4"/>
                <w:szCs w:val="24"/>
                <w:u w:val="none"/>
                <w:lang w:val="en-US" w:eastAsia="zh-CN" w:bidi="ar"/>
              </w:rPr>
              <w:t xml:space="preserve"> 指标1：HIV服务水平</w:t>
            </w: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逐步提高</w:t>
            </w: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逐步提高</w:t>
            </w: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100%</w:t>
            </w: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990"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single" w:color="auto" w:sz="4" w:space="0"/>
              <w:bottom w:val="nil"/>
              <w:right w:val="single" w:color="auto" w:sz="4" w:space="0"/>
            </w:tcBorders>
            <w:vAlign w:val="center"/>
          </w:tcPr>
          <w:p>
            <w:pPr>
              <w:widowControl/>
              <w:jc w:val="left"/>
              <w:rPr>
                <w:rFonts w:ascii="宋体" w:hAnsi="宋体" w:cs="宋体"/>
                <w:kern w:val="0"/>
                <w:sz w:val="24"/>
              </w:rPr>
            </w:pPr>
          </w:p>
        </w:tc>
        <w:tc>
          <w:tcPr>
            <w:tcW w:w="988" w:type="dxa"/>
            <w:vMerge w:val="continue"/>
            <w:tcBorders>
              <w:left w:val="nil"/>
              <w:bottom w:val="nil"/>
              <w:right w:val="single" w:color="auto" w:sz="4" w:space="0"/>
            </w:tcBorders>
            <w:shd w:val="clear" w:color="auto" w:fill="auto"/>
            <w:vAlign w:val="center"/>
          </w:tcPr>
          <w:p>
            <w:pPr>
              <w:widowControl/>
              <w:jc w:val="center"/>
              <w:rPr>
                <w:rFonts w:hint="eastAsia" w:ascii="宋体" w:hAnsi="宋体" w:cs="宋体"/>
                <w:kern w:val="0"/>
                <w:sz w:val="24"/>
              </w:rPr>
            </w:pPr>
          </w:p>
        </w:tc>
        <w:tc>
          <w:tcPr>
            <w:tcW w:w="197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6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07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8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cs="宋体"/>
                <w:kern w:val="0"/>
                <w:sz w:val="20"/>
                <w:szCs w:val="20"/>
              </w:rPr>
            </w:pPr>
          </w:p>
        </w:tc>
      </w:tr>
      <w:tr>
        <w:tblPrEx>
          <w:tblCellMar>
            <w:top w:w="0" w:type="dxa"/>
            <w:left w:w="108" w:type="dxa"/>
            <w:bottom w:w="0" w:type="dxa"/>
            <w:right w:w="108" w:type="dxa"/>
          </w:tblCellMar>
        </w:tblPrEx>
        <w:trPr>
          <w:trHeight w:val="1035" w:hRule="atLeast"/>
        </w:trPr>
        <w:tc>
          <w:tcPr>
            <w:tcW w:w="740" w:type="dxa"/>
            <w:vMerge w:val="continue"/>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restart"/>
            <w:tcBorders>
              <w:top w:val="single" w:color="auto" w:sz="4" w:space="0"/>
              <w:left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满意度指标</w:t>
            </w:r>
          </w:p>
        </w:tc>
        <w:tc>
          <w:tcPr>
            <w:tcW w:w="988" w:type="dxa"/>
            <w:vMerge w:val="restart"/>
            <w:tcBorders>
              <w:top w:val="single" w:color="auto" w:sz="4" w:space="0"/>
              <w:left w:val="nil"/>
              <w:right w:val="single" w:color="auto" w:sz="4" w:space="0"/>
            </w:tcBorders>
            <w:shd w:val="clear" w:color="auto" w:fill="auto"/>
            <w:vAlign w:val="center"/>
          </w:tcPr>
          <w:p>
            <w:pPr>
              <w:widowControl/>
              <w:jc w:val="center"/>
              <w:rPr>
                <w:rFonts w:ascii="宋体" w:hAnsi="宋体" w:cs="宋体"/>
                <w:kern w:val="0"/>
                <w:sz w:val="24"/>
              </w:rPr>
            </w:pPr>
            <w:r>
              <w:rPr>
                <w:rFonts w:hint="eastAsia" w:ascii="宋体" w:hAnsi="宋体" w:cs="宋体"/>
                <w:kern w:val="0"/>
                <w:sz w:val="24"/>
              </w:rPr>
              <w:t>满意度指标</w:t>
            </w:r>
          </w:p>
        </w:tc>
        <w:tc>
          <w:tcPr>
            <w:tcW w:w="19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 xml:space="preserve"> 指标1：服务对象满意率</w:t>
            </w: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ascii="宋体" w:hAnsi="宋体" w:eastAsia="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90%</w:t>
            </w:r>
          </w:p>
        </w:tc>
        <w:tc>
          <w:tcPr>
            <w:tcW w:w="14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95.26%</w:t>
            </w:r>
          </w:p>
        </w:tc>
        <w:tc>
          <w:tcPr>
            <w:tcW w:w="107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100%</w:t>
            </w:r>
          </w:p>
        </w:tc>
        <w:tc>
          <w:tcPr>
            <w:tcW w:w="14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r>
      <w:tr>
        <w:tblPrEx>
          <w:tblCellMar>
            <w:top w:w="0" w:type="dxa"/>
            <w:left w:w="108" w:type="dxa"/>
            <w:bottom w:w="0" w:type="dxa"/>
            <w:right w:w="108" w:type="dxa"/>
          </w:tblCellMar>
        </w:tblPrEx>
        <w:trPr>
          <w:trHeight w:val="1035" w:hRule="atLeast"/>
        </w:trPr>
        <w:tc>
          <w:tcPr>
            <w:tcW w:w="740" w:type="dxa"/>
            <w:tcBorders>
              <w:top w:val="nil"/>
              <w:left w:val="single" w:color="auto" w:sz="4" w:space="0"/>
              <w:bottom w:val="nil"/>
              <w:right w:val="single" w:color="auto" w:sz="4" w:space="0"/>
            </w:tcBorders>
            <w:vAlign w:val="center"/>
          </w:tcPr>
          <w:p>
            <w:pPr>
              <w:widowControl/>
              <w:jc w:val="left"/>
              <w:rPr>
                <w:rFonts w:ascii="宋体" w:hAnsi="宋体" w:cs="宋体"/>
                <w:kern w:val="0"/>
                <w:sz w:val="24"/>
              </w:rPr>
            </w:pPr>
          </w:p>
        </w:tc>
        <w:tc>
          <w:tcPr>
            <w:tcW w:w="734" w:type="dxa"/>
            <w:vMerge w:val="continue"/>
            <w:tcBorders>
              <w:left w:val="nil"/>
              <w:bottom w:val="single" w:color="auto" w:sz="4" w:space="0"/>
              <w:right w:val="single" w:color="auto" w:sz="4" w:space="0"/>
            </w:tcBorders>
            <w:shd w:val="clear" w:color="auto" w:fill="auto"/>
            <w:vAlign w:val="center"/>
          </w:tcPr>
          <w:p>
            <w:pPr>
              <w:widowControl/>
              <w:jc w:val="center"/>
              <w:rPr>
                <w:rFonts w:hint="eastAsia" w:ascii="宋体" w:hAnsi="宋体" w:cs="宋体"/>
                <w:kern w:val="0"/>
                <w:sz w:val="24"/>
              </w:rPr>
            </w:pPr>
          </w:p>
        </w:tc>
        <w:tc>
          <w:tcPr>
            <w:tcW w:w="988" w:type="dxa"/>
            <w:vMerge w:val="continue"/>
            <w:tcBorders>
              <w:left w:val="nil"/>
              <w:bottom w:val="single" w:color="auto" w:sz="4" w:space="0"/>
              <w:right w:val="single" w:color="auto" w:sz="4" w:space="0"/>
            </w:tcBorders>
            <w:shd w:val="clear" w:color="auto" w:fill="auto"/>
            <w:vAlign w:val="center"/>
          </w:tcPr>
          <w:p>
            <w:pPr>
              <w:widowControl/>
              <w:jc w:val="center"/>
              <w:rPr>
                <w:rFonts w:hint="eastAsia" w:ascii="宋体" w:hAnsi="宋体" w:cs="宋体"/>
                <w:kern w:val="0"/>
                <w:sz w:val="24"/>
              </w:rPr>
            </w:pPr>
          </w:p>
        </w:tc>
        <w:tc>
          <w:tcPr>
            <w:tcW w:w="197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 w:val="20"/>
                <w:szCs w:val="20"/>
              </w:rPr>
            </w:pP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07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 w:val="20"/>
                <w:szCs w:val="20"/>
              </w:rPr>
            </w:pPr>
          </w:p>
        </w:tc>
        <w:tc>
          <w:tcPr>
            <w:tcW w:w="14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cs="宋体"/>
                <w:kern w:val="0"/>
                <w:sz w:val="20"/>
                <w:szCs w:val="20"/>
              </w:rPr>
            </w:pPr>
          </w:p>
        </w:tc>
      </w:tr>
    </w:tbl>
    <w:p>
      <w:pPr>
        <w:spacing w:line="560" w:lineRule="exact"/>
        <w:ind w:firstLine="640" w:firstLineChars="200"/>
        <w:rPr>
          <w:rFonts w:hint="eastAsia" w:ascii="仿宋" w:hAnsi="仿宋" w:eastAsia="仿宋" w:cs="仿宋"/>
          <w:i w:val="0"/>
          <w:caps w:val="0"/>
          <w:color w:val="333333"/>
          <w:spacing w:val="0"/>
          <w:sz w:val="32"/>
          <w:szCs w:val="32"/>
          <w:lang w:eastAsia="zh-CN"/>
        </w:rPr>
      </w:pPr>
    </w:p>
    <w:p>
      <w:pPr>
        <w:spacing w:line="560" w:lineRule="exact"/>
        <w:ind w:firstLine="640" w:firstLineChars="200"/>
        <w:rPr>
          <w:rFonts w:hint="eastAsia" w:ascii="仿宋" w:hAnsi="仿宋" w:eastAsia="仿宋" w:cs="仿宋"/>
          <w:i w:val="0"/>
          <w:caps w:val="0"/>
          <w:color w:val="333333"/>
          <w:spacing w:val="0"/>
          <w:sz w:val="32"/>
          <w:szCs w:val="32"/>
          <w:lang w:eastAsia="zh-CN"/>
        </w:rPr>
      </w:pPr>
    </w:p>
    <w:p>
      <w:pPr>
        <w:spacing w:line="560" w:lineRule="exact"/>
        <w:ind w:firstLine="640" w:firstLineChars="200"/>
        <w:rPr>
          <w:rFonts w:hint="eastAsia" w:ascii="仿宋" w:hAnsi="仿宋" w:eastAsia="仿宋" w:cs="仿宋"/>
          <w:i w:val="0"/>
          <w:caps w:val="0"/>
          <w:color w:val="333333"/>
          <w:spacing w:val="0"/>
          <w:sz w:val="32"/>
          <w:szCs w:val="32"/>
          <w:lang w:eastAsia="zh-CN"/>
        </w:rPr>
      </w:pPr>
    </w:p>
    <w:p>
      <w:pPr>
        <w:pStyle w:val="7"/>
        <w:spacing w:line="600" w:lineRule="exact"/>
        <w:ind w:firstLine="640" w:firstLineChars="200"/>
        <w:jc w:val="left"/>
        <w:rPr>
          <w:rFonts w:ascii="黑体" w:hAnsi="黑体" w:eastAsia="黑体" w:cs="仿宋_GB2312"/>
          <w:sz w:val="32"/>
          <w:szCs w:val="32"/>
        </w:rPr>
      </w:pPr>
    </w:p>
    <w:p>
      <w:pPr>
        <w:spacing w:line="560" w:lineRule="exact"/>
        <w:rPr>
          <w:rFonts w:hint="eastAsia" w:ascii="仿宋" w:hAnsi="仿宋" w:eastAsia="仿宋" w:cs="仿宋"/>
          <w:sz w:val="32"/>
          <w:szCs w:val="32"/>
        </w:rPr>
      </w:pPr>
    </w:p>
    <w:p>
      <w:pPr>
        <w:spacing w:line="560" w:lineRule="exact"/>
        <w:rPr>
          <w:rFonts w:hint="eastAsia" w:ascii="仿宋" w:hAnsi="仿宋" w:eastAsia="仿宋" w:cs="仿宋"/>
          <w:sz w:val="32"/>
          <w:szCs w:val="32"/>
        </w:rPr>
      </w:pPr>
    </w:p>
    <w:p>
      <w:pPr>
        <w:spacing w:line="600" w:lineRule="exact"/>
        <w:jc w:val="center"/>
        <w:outlineLvl w:val="0"/>
        <w:rPr>
          <w:rFonts w:hint="eastAsia" w:ascii="仿宋" w:hAnsi="仿宋" w:eastAsia="仿宋" w:cs="仿宋"/>
          <w:sz w:val="32"/>
          <w:szCs w:val="32"/>
          <w:lang w:val="en-US" w:eastAsia="zh-CN"/>
        </w:rPr>
      </w:pPr>
    </w:p>
    <w:p>
      <w:pPr>
        <w:spacing w:line="600" w:lineRule="exact"/>
        <w:jc w:val="center"/>
        <w:outlineLvl w:val="0"/>
        <w:rPr>
          <w:rFonts w:hint="eastAsia" w:ascii="仿宋" w:hAnsi="仿宋" w:eastAsia="仿宋" w:cs="仿宋"/>
          <w:sz w:val="32"/>
          <w:szCs w:val="32"/>
          <w:lang w:val="en-US" w:eastAsia="zh-CN"/>
        </w:rPr>
      </w:pPr>
    </w:p>
    <w:p>
      <w:pPr>
        <w:spacing w:line="600" w:lineRule="exact"/>
        <w:jc w:val="center"/>
        <w:outlineLvl w:val="0"/>
        <w:rPr>
          <w:rFonts w:hint="eastAsia" w:ascii="仿宋" w:hAnsi="仿宋" w:eastAsia="仿宋" w:cs="仿宋"/>
          <w:sz w:val="32"/>
          <w:szCs w:val="32"/>
          <w:lang w:val="en-US" w:eastAsia="zh-CN"/>
        </w:rPr>
      </w:pPr>
    </w:p>
    <w:p>
      <w:pPr>
        <w:spacing w:line="600" w:lineRule="exact"/>
        <w:jc w:val="center"/>
        <w:outlineLvl w:val="0"/>
        <w:rPr>
          <w:rFonts w:hint="eastAsia" w:ascii="仿宋" w:hAnsi="仿宋" w:eastAsia="仿宋" w:cs="仿宋"/>
          <w:sz w:val="32"/>
          <w:szCs w:val="32"/>
          <w:lang w:val="en-US" w:eastAsia="zh-CN"/>
        </w:rPr>
      </w:pPr>
    </w:p>
    <w:p>
      <w:pPr>
        <w:spacing w:line="600" w:lineRule="exact"/>
        <w:jc w:val="center"/>
        <w:outlineLvl w:val="0"/>
        <w:rPr>
          <w:rFonts w:hint="eastAsia" w:ascii="仿宋" w:hAnsi="仿宋" w:eastAsia="仿宋" w:cs="仿宋"/>
          <w:sz w:val="32"/>
          <w:szCs w:val="32"/>
          <w:lang w:val="en-US" w:eastAsia="zh-CN"/>
        </w:rPr>
      </w:pPr>
    </w:p>
    <w:p>
      <w:pPr>
        <w:spacing w:line="600" w:lineRule="exact"/>
        <w:jc w:val="center"/>
        <w:outlineLvl w:val="0"/>
        <w:rPr>
          <w:rFonts w:hint="eastAsia" w:ascii="仿宋" w:hAnsi="仿宋" w:eastAsia="仿宋" w:cs="仿宋"/>
          <w:sz w:val="32"/>
          <w:szCs w:val="32"/>
          <w:lang w:val="en-US" w:eastAsia="zh-CN"/>
        </w:rPr>
      </w:pPr>
    </w:p>
    <w:p>
      <w:pPr>
        <w:spacing w:line="600" w:lineRule="exact"/>
        <w:jc w:val="center"/>
        <w:outlineLvl w:val="0"/>
        <w:rPr>
          <w:rFonts w:hint="eastAsia" w:ascii="仿宋" w:hAnsi="仿宋" w:eastAsia="仿宋" w:cs="仿宋"/>
          <w:sz w:val="32"/>
          <w:szCs w:val="32"/>
          <w:lang w:val="en-US" w:eastAsia="zh-CN"/>
        </w:rPr>
      </w:pPr>
    </w:p>
    <w:p>
      <w:pPr>
        <w:spacing w:line="600" w:lineRule="exact"/>
        <w:jc w:val="center"/>
        <w:outlineLvl w:val="0"/>
        <w:rPr>
          <w:rFonts w:hint="eastAsia" w:ascii="仿宋" w:hAnsi="仿宋" w:eastAsia="仿宋" w:cs="仿宋"/>
          <w:sz w:val="32"/>
          <w:szCs w:val="32"/>
          <w:lang w:val="en-US" w:eastAsia="zh-CN"/>
        </w:rPr>
      </w:pPr>
    </w:p>
    <w:p>
      <w:pPr>
        <w:spacing w:line="600" w:lineRule="exact"/>
        <w:jc w:val="center"/>
        <w:outlineLvl w:val="0"/>
        <w:rPr>
          <w:rFonts w:hint="eastAsia" w:ascii="仿宋" w:hAnsi="仿宋" w:eastAsia="仿宋" w:cs="仿宋"/>
          <w:sz w:val="32"/>
          <w:szCs w:val="32"/>
          <w:lang w:val="en-US" w:eastAsia="zh-CN"/>
        </w:rPr>
      </w:pPr>
    </w:p>
    <w:p>
      <w:pPr>
        <w:spacing w:line="600" w:lineRule="exact"/>
        <w:jc w:val="center"/>
        <w:outlineLvl w:val="0"/>
        <w:rPr>
          <w:rFonts w:hint="eastAsia" w:ascii="仿宋" w:hAnsi="仿宋" w:eastAsia="仿宋" w:cs="仿宋"/>
          <w:sz w:val="32"/>
          <w:szCs w:val="32"/>
          <w:lang w:val="en-US" w:eastAsia="zh-CN"/>
        </w:rPr>
      </w:pPr>
    </w:p>
    <w:p>
      <w:pPr>
        <w:spacing w:line="600" w:lineRule="exact"/>
        <w:jc w:val="center"/>
        <w:outlineLvl w:val="0"/>
        <w:rPr>
          <w:rFonts w:hint="eastAsia" w:ascii="仿宋" w:hAnsi="仿宋" w:eastAsia="仿宋" w:cs="仿宋"/>
          <w:sz w:val="32"/>
          <w:szCs w:val="32"/>
          <w:lang w:val="en-US" w:eastAsia="zh-CN"/>
        </w:rPr>
      </w:pPr>
    </w:p>
    <w:p>
      <w:pPr>
        <w:spacing w:line="600" w:lineRule="exact"/>
        <w:jc w:val="center"/>
        <w:outlineLvl w:val="0"/>
        <w:rPr>
          <w:rFonts w:hint="eastAsia" w:ascii="仿宋" w:hAnsi="仿宋" w:eastAsia="仿宋" w:cs="仿宋"/>
          <w:sz w:val="32"/>
          <w:szCs w:val="32"/>
          <w:lang w:val="en-US" w:eastAsia="zh-CN"/>
        </w:rPr>
      </w:pPr>
    </w:p>
    <w:p>
      <w:pPr>
        <w:spacing w:line="600" w:lineRule="exact"/>
        <w:jc w:val="center"/>
        <w:outlineLvl w:val="0"/>
        <w:rPr>
          <w:rFonts w:hint="eastAsia" w:ascii="仿宋" w:hAnsi="仿宋" w:eastAsia="仿宋" w:cs="仿宋"/>
          <w:sz w:val="32"/>
          <w:szCs w:val="32"/>
          <w:lang w:val="en-US" w:eastAsia="zh-CN"/>
        </w:rPr>
      </w:pPr>
    </w:p>
    <w:p>
      <w:pPr>
        <w:spacing w:line="600" w:lineRule="exact"/>
        <w:jc w:val="center"/>
        <w:outlineLvl w:val="0"/>
        <w:rPr>
          <w:rFonts w:hint="eastAsia" w:ascii="黑体" w:hAnsi="黑体" w:eastAsia="黑体"/>
          <w:sz w:val="44"/>
          <w:szCs w:val="44"/>
        </w:rPr>
      </w:pPr>
      <w:r>
        <w:rPr>
          <w:rFonts w:hint="eastAsia" w:ascii="仿宋" w:hAnsi="仿宋" w:eastAsia="仿宋" w:cs="仿宋"/>
          <w:sz w:val="32"/>
          <w:szCs w:val="32"/>
          <w:lang w:val="en-US" w:eastAsia="zh-CN"/>
        </w:rPr>
        <w:t xml:space="preserve">                                  </w:t>
      </w:r>
    </w:p>
    <w:p>
      <w:pPr>
        <w:spacing w:line="600" w:lineRule="exact"/>
        <w:jc w:val="both"/>
        <w:outlineLvl w:val="0"/>
        <w:rPr>
          <w:rFonts w:ascii="仿宋" w:hAnsi="仿宋" w:eastAsia="仿宋"/>
        </w:rPr>
      </w:pPr>
      <w:r>
        <w:rPr>
          <w:rFonts w:hint="eastAsia" w:ascii="黑体" w:hAnsi="黑体" w:eastAsia="黑体"/>
          <w:sz w:val="44"/>
          <w:szCs w:val="44"/>
        </w:rPr>
        <w:t>第</w:t>
      </w:r>
      <w:r>
        <w:rPr>
          <w:rStyle w:val="25"/>
          <w:rFonts w:hint="eastAsia" w:ascii="黑体" w:hAnsi="黑体" w:eastAsia="黑体"/>
          <w:b w:val="0"/>
        </w:rPr>
        <w:t>五部分 附表</w:t>
      </w:r>
      <w:bookmarkEnd w:id="52"/>
      <w:bookmarkEnd w:id="53"/>
      <w:bookmarkStart w:id="54" w:name="_Toc15396619"/>
    </w:p>
    <w:p>
      <w:pPr>
        <w:pStyle w:val="4"/>
        <w:rPr>
          <w:rFonts w:ascii="仿宋" w:hAnsi="仿宋" w:eastAsia="仿宋"/>
        </w:rPr>
      </w:pPr>
      <w:r>
        <w:rPr>
          <w:rFonts w:hint="eastAsia" w:ascii="仿宋" w:hAnsi="仿宋" w:eastAsia="仿宋"/>
          <w:b w:val="0"/>
        </w:rPr>
        <w:t>一、收</w:t>
      </w:r>
      <w:r>
        <w:rPr>
          <w:rStyle w:val="26"/>
          <w:rFonts w:hint="eastAsia" w:ascii="仿宋" w:hAnsi="仿宋" w:eastAsia="仿宋"/>
          <w:b w:val="0"/>
          <w:bCs w:val="0"/>
        </w:rPr>
        <w:t>入支出决算总表</w:t>
      </w:r>
      <w:bookmarkEnd w:id="54"/>
    </w:p>
    <w:p>
      <w:pPr>
        <w:pStyle w:val="4"/>
        <w:rPr>
          <w:rFonts w:ascii="仿宋" w:hAnsi="仿宋" w:eastAsia="仿宋"/>
        </w:rPr>
      </w:pPr>
      <w:bookmarkStart w:id="55" w:name="_Toc15396620"/>
      <w:r>
        <w:rPr>
          <w:rFonts w:hint="eastAsia" w:ascii="仿宋" w:hAnsi="仿宋" w:eastAsia="仿宋"/>
          <w:b w:val="0"/>
        </w:rPr>
        <w:t>二、收</w:t>
      </w:r>
      <w:r>
        <w:rPr>
          <w:rStyle w:val="26"/>
          <w:rFonts w:hint="eastAsia" w:ascii="仿宋" w:hAnsi="仿宋" w:eastAsia="仿宋"/>
          <w:b w:val="0"/>
          <w:bCs w:val="0"/>
        </w:rPr>
        <w:t>入决算表</w:t>
      </w:r>
      <w:bookmarkEnd w:id="55"/>
    </w:p>
    <w:p>
      <w:pPr>
        <w:pStyle w:val="4"/>
        <w:rPr>
          <w:rFonts w:ascii="仿宋" w:hAnsi="仿宋" w:eastAsia="仿宋"/>
        </w:rPr>
      </w:pPr>
      <w:bookmarkStart w:id="56" w:name="_Toc15396621"/>
      <w:r>
        <w:rPr>
          <w:rStyle w:val="26"/>
          <w:rFonts w:hint="eastAsia" w:ascii="仿宋" w:hAnsi="仿宋" w:eastAsia="仿宋"/>
          <w:b w:val="0"/>
          <w:bCs w:val="0"/>
        </w:rPr>
        <w:t>三、</w:t>
      </w:r>
      <w:r>
        <w:rPr>
          <w:rFonts w:hint="eastAsia" w:ascii="仿宋" w:hAnsi="仿宋" w:eastAsia="仿宋"/>
          <w:b w:val="0"/>
        </w:rPr>
        <w:t>支</w:t>
      </w:r>
      <w:r>
        <w:rPr>
          <w:rStyle w:val="26"/>
          <w:rFonts w:hint="eastAsia" w:ascii="仿宋" w:hAnsi="仿宋" w:eastAsia="仿宋"/>
          <w:b w:val="0"/>
          <w:bCs w:val="0"/>
        </w:rPr>
        <w:t>出决算表</w:t>
      </w:r>
      <w:bookmarkEnd w:id="56"/>
    </w:p>
    <w:p>
      <w:pPr>
        <w:pStyle w:val="4"/>
        <w:rPr>
          <w:rFonts w:ascii="仿宋" w:hAnsi="仿宋" w:eastAsia="仿宋"/>
          <w:b w:val="0"/>
        </w:rPr>
      </w:pPr>
      <w:bookmarkStart w:id="57" w:name="_Toc15396622"/>
      <w:r>
        <w:rPr>
          <w:rStyle w:val="26"/>
          <w:rFonts w:hint="eastAsia" w:ascii="仿宋" w:hAnsi="仿宋" w:eastAsia="仿宋"/>
          <w:b w:val="0"/>
          <w:bCs w:val="0"/>
        </w:rPr>
        <w:t>四、</w:t>
      </w:r>
      <w:r>
        <w:rPr>
          <w:rFonts w:hint="eastAsia" w:ascii="仿宋" w:hAnsi="仿宋" w:eastAsia="仿宋"/>
          <w:b w:val="0"/>
        </w:rPr>
        <w:t>财</w:t>
      </w:r>
      <w:r>
        <w:rPr>
          <w:rStyle w:val="26"/>
          <w:rFonts w:hint="eastAsia" w:ascii="仿宋" w:hAnsi="仿宋" w:eastAsia="仿宋"/>
          <w:b w:val="0"/>
          <w:bCs w:val="0"/>
        </w:rPr>
        <w:t>政拨款收入支出决算总表</w:t>
      </w:r>
      <w:bookmarkEnd w:id="57"/>
    </w:p>
    <w:p>
      <w:pPr>
        <w:pStyle w:val="4"/>
        <w:rPr>
          <w:rStyle w:val="26"/>
          <w:rFonts w:ascii="仿宋" w:hAnsi="仿宋" w:eastAsia="仿宋"/>
          <w:b w:val="0"/>
          <w:bCs w:val="0"/>
        </w:rPr>
      </w:pPr>
      <w:bookmarkStart w:id="58" w:name="_Toc15396623"/>
      <w:r>
        <w:rPr>
          <w:rStyle w:val="26"/>
          <w:rFonts w:hint="eastAsia" w:ascii="仿宋" w:hAnsi="仿宋" w:eastAsia="仿宋"/>
          <w:b w:val="0"/>
          <w:bCs w:val="0"/>
        </w:rPr>
        <w:t>五、</w:t>
      </w:r>
      <w:r>
        <w:rPr>
          <w:rFonts w:hint="eastAsia" w:ascii="仿宋" w:hAnsi="仿宋" w:eastAsia="仿宋"/>
          <w:b w:val="0"/>
        </w:rPr>
        <w:t>财</w:t>
      </w:r>
      <w:r>
        <w:rPr>
          <w:rStyle w:val="26"/>
          <w:rFonts w:hint="eastAsia" w:ascii="仿宋" w:hAnsi="仿宋" w:eastAsia="仿宋"/>
          <w:b w:val="0"/>
          <w:bCs w:val="0"/>
        </w:rPr>
        <w:t>政拨款支出决算明细表</w:t>
      </w:r>
      <w:bookmarkEnd w:id="58"/>
      <w:bookmarkStart w:id="59" w:name="_Toc15396624"/>
    </w:p>
    <w:p>
      <w:pPr>
        <w:pStyle w:val="4"/>
        <w:rPr>
          <w:rFonts w:ascii="仿宋" w:hAnsi="仿宋" w:eastAsia="仿宋"/>
        </w:rPr>
      </w:pPr>
      <w:r>
        <w:rPr>
          <w:rStyle w:val="26"/>
          <w:rFonts w:hint="eastAsia" w:ascii="仿宋" w:hAnsi="仿宋" w:eastAsia="仿宋"/>
          <w:b w:val="0"/>
          <w:bCs w:val="0"/>
        </w:rPr>
        <w:t>六、</w:t>
      </w:r>
      <w:r>
        <w:rPr>
          <w:rFonts w:hint="eastAsia" w:ascii="仿宋" w:hAnsi="仿宋" w:eastAsia="仿宋"/>
          <w:b w:val="0"/>
        </w:rPr>
        <w:t>一</w:t>
      </w:r>
      <w:r>
        <w:rPr>
          <w:rStyle w:val="26"/>
          <w:rFonts w:hint="eastAsia" w:ascii="仿宋" w:hAnsi="仿宋" w:eastAsia="仿宋"/>
          <w:b w:val="0"/>
          <w:bCs w:val="0"/>
        </w:rPr>
        <w:t>般公共预算财政拨款支出决算表</w:t>
      </w:r>
      <w:bookmarkEnd w:id="59"/>
    </w:p>
    <w:p>
      <w:pPr>
        <w:pStyle w:val="4"/>
        <w:rPr>
          <w:rFonts w:ascii="仿宋" w:hAnsi="仿宋" w:eastAsia="仿宋"/>
        </w:rPr>
      </w:pPr>
      <w:bookmarkStart w:id="60" w:name="_Toc15396625"/>
      <w:r>
        <w:rPr>
          <w:rStyle w:val="26"/>
          <w:rFonts w:hint="eastAsia" w:ascii="仿宋" w:hAnsi="仿宋" w:eastAsia="仿宋"/>
          <w:b w:val="0"/>
          <w:bCs w:val="0"/>
        </w:rPr>
        <w:t>七、</w:t>
      </w:r>
      <w:r>
        <w:rPr>
          <w:rFonts w:hint="eastAsia" w:ascii="仿宋" w:hAnsi="仿宋" w:eastAsia="仿宋"/>
          <w:b w:val="0"/>
        </w:rPr>
        <w:t>一</w:t>
      </w:r>
      <w:r>
        <w:rPr>
          <w:rStyle w:val="26"/>
          <w:rFonts w:hint="eastAsia" w:ascii="仿宋" w:hAnsi="仿宋" w:eastAsia="仿宋"/>
          <w:b w:val="0"/>
          <w:bCs w:val="0"/>
        </w:rPr>
        <w:t>般公共预算财政拨款支出决算明细表</w:t>
      </w:r>
      <w:bookmarkEnd w:id="60"/>
    </w:p>
    <w:p>
      <w:pPr>
        <w:pStyle w:val="4"/>
        <w:rPr>
          <w:rFonts w:ascii="仿宋" w:hAnsi="仿宋" w:eastAsia="仿宋"/>
        </w:rPr>
      </w:pPr>
      <w:bookmarkStart w:id="61" w:name="_Toc15396626"/>
      <w:r>
        <w:rPr>
          <w:rStyle w:val="26"/>
          <w:rFonts w:hint="eastAsia" w:ascii="仿宋" w:hAnsi="仿宋" w:eastAsia="仿宋"/>
          <w:b w:val="0"/>
          <w:bCs w:val="0"/>
        </w:rPr>
        <w:t>八、</w:t>
      </w:r>
      <w:r>
        <w:rPr>
          <w:rFonts w:hint="eastAsia" w:ascii="仿宋" w:hAnsi="仿宋" w:eastAsia="仿宋"/>
          <w:b w:val="0"/>
        </w:rPr>
        <w:t>一</w:t>
      </w:r>
      <w:r>
        <w:rPr>
          <w:rStyle w:val="26"/>
          <w:rFonts w:hint="eastAsia" w:ascii="仿宋" w:hAnsi="仿宋" w:eastAsia="仿宋"/>
          <w:b w:val="0"/>
          <w:bCs w:val="0"/>
        </w:rPr>
        <w:t>般公共预算财政拨款基本支出决算表</w:t>
      </w:r>
      <w:bookmarkEnd w:id="61"/>
    </w:p>
    <w:p>
      <w:pPr>
        <w:pStyle w:val="4"/>
        <w:rPr>
          <w:rFonts w:ascii="仿宋" w:hAnsi="仿宋" w:eastAsia="仿宋"/>
        </w:rPr>
      </w:pPr>
      <w:bookmarkStart w:id="62" w:name="_Toc15396627"/>
      <w:r>
        <w:rPr>
          <w:rStyle w:val="26"/>
          <w:rFonts w:hint="eastAsia" w:ascii="仿宋" w:hAnsi="仿宋" w:eastAsia="仿宋"/>
          <w:b w:val="0"/>
          <w:bCs w:val="0"/>
        </w:rPr>
        <w:t>九、</w:t>
      </w:r>
      <w:r>
        <w:rPr>
          <w:rFonts w:hint="eastAsia" w:ascii="仿宋" w:hAnsi="仿宋" w:eastAsia="仿宋"/>
          <w:b w:val="0"/>
        </w:rPr>
        <w:t>一</w:t>
      </w:r>
      <w:r>
        <w:rPr>
          <w:rStyle w:val="26"/>
          <w:rFonts w:hint="eastAsia" w:ascii="仿宋" w:hAnsi="仿宋" w:eastAsia="仿宋"/>
          <w:b w:val="0"/>
          <w:bCs w:val="0"/>
        </w:rPr>
        <w:t>般公共预算财政拨款项目支出决算表</w:t>
      </w:r>
      <w:bookmarkEnd w:id="62"/>
    </w:p>
    <w:p>
      <w:pPr>
        <w:pStyle w:val="4"/>
        <w:rPr>
          <w:rFonts w:ascii="仿宋" w:hAnsi="仿宋" w:eastAsia="仿宋"/>
        </w:rPr>
      </w:pPr>
      <w:bookmarkStart w:id="63" w:name="_Toc15396628"/>
      <w:r>
        <w:rPr>
          <w:rStyle w:val="26"/>
          <w:rFonts w:hint="eastAsia" w:ascii="仿宋" w:hAnsi="仿宋" w:eastAsia="仿宋"/>
          <w:b w:val="0"/>
          <w:bCs w:val="0"/>
        </w:rPr>
        <w:t>十、</w:t>
      </w:r>
      <w:r>
        <w:rPr>
          <w:rFonts w:hint="eastAsia" w:ascii="仿宋" w:hAnsi="仿宋" w:eastAsia="仿宋"/>
          <w:b w:val="0"/>
        </w:rPr>
        <w:t>一</w:t>
      </w:r>
      <w:r>
        <w:rPr>
          <w:rStyle w:val="26"/>
          <w:rFonts w:hint="eastAsia" w:ascii="仿宋" w:hAnsi="仿宋" w:eastAsia="仿宋"/>
          <w:b w:val="0"/>
          <w:bCs w:val="0"/>
        </w:rPr>
        <w:t>般公共预算财政拨款“三公”经费支出决算表</w:t>
      </w:r>
      <w:bookmarkEnd w:id="63"/>
    </w:p>
    <w:p>
      <w:pPr>
        <w:pStyle w:val="4"/>
        <w:rPr>
          <w:rFonts w:ascii="仿宋" w:hAnsi="仿宋" w:eastAsia="仿宋"/>
        </w:rPr>
      </w:pPr>
      <w:bookmarkStart w:id="64" w:name="_Toc15396629"/>
      <w:r>
        <w:rPr>
          <w:rStyle w:val="26"/>
          <w:rFonts w:hint="eastAsia" w:ascii="仿宋" w:hAnsi="仿宋" w:eastAsia="仿宋"/>
          <w:b w:val="0"/>
          <w:bCs w:val="0"/>
        </w:rPr>
        <w:t>十一、</w:t>
      </w:r>
      <w:r>
        <w:rPr>
          <w:rFonts w:hint="eastAsia" w:ascii="仿宋" w:hAnsi="仿宋" w:eastAsia="仿宋"/>
          <w:b w:val="0"/>
        </w:rPr>
        <w:t>政</w:t>
      </w:r>
      <w:r>
        <w:rPr>
          <w:rStyle w:val="26"/>
          <w:rFonts w:hint="eastAsia" w:ascii="仿宋" w:hAnsi="仿宋" w:eastAsia="仿宋"/>
          <w:b w:val="0"/>
          <w:bCs w:val="0"/>
        </w:rPr>
        <w:t>府性基金预算财政拨款收入支出决算表</w:t>
      </w:r>
      <w:bookmarkEnd w:id="64"/>
    </w:p>
    <w:p>
      <w:pPr>
        <w:pStyle w:val="4"/>
        <w:rPr>
          <w:rFonts w:ascii="仿宋" w:hAnsi="仿宋" w:eastAsia="仿宋"/>
        </w:rPr>
      </w:pPr>
      <w:bookmarkStart w:id="65" w:name="_Toc15396630"/>
      <w:r>
        <w:rPr>
          <w:rStyle w:val="26"/>
          <w:rFonts w:hint="eastAsia" w:ascii="仿宋" w:hAnsi="仿宋" w:eastAsia="仿宋"/>
          <w:b w:val="0"/>
          <w:bCs w:val="0"/>
        </w:rPr>
        <w:t>十二、</w:t>
      </w:r>
      <w:r>
        <w:rPr>
          <w:rFonts w:hint="eastAsia" w:ascii="仿宋" w:hAnsi="仿宋" w:eastAsia="仿宋"/>
          <w:b w:val="0"/>
        </w:rPr>
        <w:t>政</w:t>
      </w:r>
      <w:r>
        <w:rPr>
          <w:rStyle w:val="26"/>
          <w:rFonts w:hint="eastAsia" w:ascii="仿宋" w:hAnsi="仿宋" w:eastAsia="仿宋"/>
          <w:b w:val="0"/>
          <w:bCs w:val="0"/>
        </w:rPr>
        <w:t>府性基金预算财政拨款“三公”经费支出决算表</w:t>
      </w:r>
      <w:bookmarkEnd w:id="65"/>
    </w:p>
    <w:p>
      <w:pPr>
        <w:pStyle w:val="4"/>
        <w:rPr>
          <w:rStyle w:val="26"/>
          <w:rFonts w:ascii="仿宋" w:hAnsi="仿宋" w:eastAsia="仿宋"/>
          <w:b w:val="0"/>
          <w:bCs w:val="0"/>
        </w:rPr>
      </w:pPr>
      <w:bookmarkStart w:id="66" w:name="_Toc15396631"/>
      <w:r>
        <w:rPr>
          <w:rStyle w:val="26"/>
          <w:rFonts w:hint="eastAsia" w:ascii="仿宋" w:hAnsi="仿宋" w:eastAsia="仿宋"/>
          <w:b w:val="0"/>
          <w:bCs w:val="0"/>
        </w:rPr>
        <w:t>十三、</w:t>
      </w:r>
      <w:r>
        <w:rPr>
          <w:rFonts w:hint="eastAsia" w:ascii="仿宋" w:hAnsi="仿宋" w:eastAsia="仿宋"/>
          <w:b w:val="0"/>
        </w:rPr>
        <w:t>国</w:t>
      </w:r>
      <w:r>
        <w:rPr>
          <w:rStyle w:val="26"/>
          <w:rFonts w:hint="eastAsia" w:ascii="仿宋" w:hAnsi="仿宋" w:eastAsia="仿宋"/>
          <w:b w:val="0"/>
          <w:bCs w:val="0"/>
        </w:rPr>
        <w:t>有资本经营预算财政拨款收入支出决算表</w:t>
      </w:r>
      <w:bookmarkEnd w:id="66"/>
    </w:p>
    <w:p>
      <w:pPr>
        <w:rPr>
          <w:rFonts w:eastAsia="仿宋"/>
        </w:rPr>
      </w:pPr>
      <w:r>
        <w:rPr>
          <w:rStyle w:val="26"/>
          <w:rFonts w:hint="eastAsia" w:ascii="仿宋" w:hAnsi="仿宋" w:eastAsia="仿宋"/>
          <w:b w:val="0"/>
          <w:bCs w:val="0"/>
        </w:rPr>
        <w:t>十四、国有资本经营预算财政拨款支出决算表</w:t>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Cambria">
    <w:altName w:val="Noto Sans Syriac Eastern"/>
    <w:panose1 w:val="02040503050406030204"/>
    <w:charset w:val="00"/>
    <w:family w:val="roman"/>
    <w:pitch w:val="default"/>
    <w:sig w:usb0="00000000" w:usb1="00000000" w:usb2="00000000" w:usb3="00000000" w:csb0="2000019F" w:csb1="00000000"/>
  </w:font>
  <w:font w:name="Noto Sans Syriac Eastern">
    <w:panose1 w:val="02040503050306020203"/>
    <w:charset w:val="86"/>
    <w:family w:val="auto"/>
    <w:pitch w:val="default"/>
    <w:sig w:usb0="00000000" w:usb1="00000000" w:usb2="00000080" w:usb3="00000000" w:csb0="203E0161" w:csb1="D7FF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方正黑体_GBK">
    <w:panose1 w:val="02000000000000000000"/>
    <w:charset w:val="86"/>
    <w:family w:val="auto"/>
    <w:pitch w:val="default"/>
    <w:sig w:usb0="A00002BF" w:usb1="38CF7CFA" w:usb2="00082016" w:usb3="00000000" w:csb0="00040001" w:csb1="00000000"/>
  </w:font>
  <w:font w:name="方正小标宋_GBK">
    <w:panose1 w:val="02000000000000000000"/>
    <w:charset w:val="86"/>
    <w:family w:val="script"/>
    <w:pitch w:val="default"/>
    <w:sig w:usb0="A00002BF" w:usb1="38CF7CFA" w:usb2="00082016" w:usb3="00000000" w:csb0="00040001" w:csb1="00000000"/>
  </w:font>
  <w:font w:name="楷体_GB2312">
    <w:altName w:val="方正楷体_GBK"/>
    <w:panose1 w:val="02010609030101010101"/>
    <w:charset w:val="86"/>
    <w:family w:val="modern"/>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Lucida Sans Unicode">
    <w:altName w:val="Noto Naskh Arabic"/>
    <w:panose1 w:val="020B0602030504020204"/>
    <w:charset w:val="00"/>
    <w:family w:val="swiss"/>
    <w:pitch w:val="default"/>
    <w:sig w:usb0="00000000" w:usb1="00000000" w:usb2="00000000" w:usb3="00000000" w:csb0="200000BF" w:csb1="D7F70000"/>
  </w:font>
  <w:font w:name="Noto Naskh Arabic">
    <w:panose1 w:val="020B0502040504020204"/>
    <w:charset w:val="00"/>
    <w:family w:val="auto"/>
    <w:pitch w:val="default"/>
    <w:sig w:usb0="80002003" w:usb1="80002000" w:usb2="00000008" w:usb3="00000000" w:csb0="00000041" w:csb1="00080000"/>
  </w:font>
  <w:font w:name="Noto Sans CJK JP Bold">
    <w:panose1 w:val="020B0800000000000000"/>
    <w:charset w:val="86"/>
    <w:family w:val="auto"/>
    <w:pitch w:val="default"/>
    <w:sig w:usb0="30000003" w:usb1="2BDF3C10" w:usb2="00000016" w:usb3="00000000" w:csb0="602E0107" w:csb1="00000000"/>
  </w:font>
  <w:font w:name="方正宋体S-超大字符集(SIP)">
    <w:panose1 w:val="03000509000000000000"/>
    <w:charset w:val="86"/>
    <w:family w:val="auto"/>
    <w:pitch w:val="default"/>
    <w:sig w:usb0="00000003" w:usb1="0A0E08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p>
        <w:pPr>
          <w:pStyle w:val="9"/>
          <w:jc w:val="center"/>
        </w:pPr>
        <w:r>
          <w:fldChar w:fldCharType="begin"/>
        </w:r>
        <w:r>
          <w:instrText xml:space="preserve">PAGE   \* MERGEFORMAT</w:instrText>
        </w:r>
        <w:r>
          <w:fldChar w:fldCharType="separate"/>
        </w:r>
        <w:r>
          <w:rPr>
            <w:lang w:val="zh-CN"/>
          </w:rPr>
          <w:t>17</w:t>
        </w:r>
        <w:r>
          <w:fldChar w:fldCharType="end"/>
        </w:r>
      </w:p>
    </w:sdtContent>
  </w:sdt>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B80021"/>
    <w:multiLevelType w:val="singleLevel"/>
    <w:tmpl w:val="83B80021"/>
    <w:lvl w:ilvl="0" w:tentative="0">
      <w:start w:val="9"/>
      <w:numFmt w:val="chineseCounting"/>
      <w:suff w:val="nothing"/>
      <w:lvlText w:val="（%1）"/>
      <w:lvlJc w:val="left"/>
      <w:rPr>
        <w:rFonts w:hint="eastAsia"/>
      </w:rPr>
    </w:lvl>
  </w:abstractNum>
  <w:abstractNum w:abstractNumId="1">
    <w:nsid w:val="8BE865A2"/>
    <w:multiLevelType w:val="singleLevel"/>
    <w:tmpl w:val="8BE865A2"/>
    <w:lvl w:ilvl="0" w:tentative="0">
      <w:start w:val="2"/>
      <w:numFmt w:val="chineseCounting"/>
      <w:suff w:val="nothing"/>
      <w:lvlText w:val="（%1）"/>
      <w:lvlJc w:val="left"/>
      <w:rPr>
        <w:rFonts w:hint="eastAsia"/>
      </w:rPr>
    </w:lvl>
  </w:abstractNum>
  <w:abstractNum w:abstractNumId="2">
    <w:nsid w:val="8E2BD441"/>
    <w:multiLevelType w:val="singleLevel"/>
    <w:tmpl w:val="8E2BD441"/>
    <w:lvl w:ilvl="0" w:tentative="0">
      <w:start w:val="2"/>
      <w:numFmt w:val="decimal"/>
      <w:lvlText w:val="%1."/>
      <w:lvlJc w:val="left"/>
      <w:pPr>
        <w:tabs>
          <w:tab w:val="left" w:pos="312"/>
        </w:tabs>
      </w:pPr>
    </w:lvl>
  </w:abstractNum>
  <w:abstractNum w:abstractNumId="3">
    <w:nsid w:val="93795568"/>
    <w:multiLevelType w:val="singleLevel"/>
    <w:tmpl w:val="93795568"/>
    <w:lvl w:ilvl="0" w:tentative="0">
      <w:start w:val="2"/>
      <w:numFmt w:val="decimal"/>
      <w:lvlText w:val="%1."/>
      <w:lvlJc w:val="left"/>
      <w:pPr>
        <w:tabs>
          <w:tab w:val="left" w:pos="312"/>
        </w:tabs>
      </w:pPr>
    </w:lvl>
  </w:abstractNum>
  <w:abstractNum w:abstractNumId="4">
    <w:nsid w:val="A89AD108"/>
    <w:multiLevelType w:val="singleLevel"/>
    <w:tmpl w:val="A89AD108"/>
    <w:lvl w:ilvl="0" w:tentative="0">
      <w:start w:val="2"/>
      <w:numFmt w:val="decimal"/>
      <w:lvlText w:val="%1."/>
      <w:lvlJc w:val="left"/>
      <w:pPr>
        <w:tabs>
          <w:tab w:val="left" w:pos="312"/>
        </w:tabs>
      </w:pPr>
    </w:lvl>
  </w:abstractNum>
  <w:abstractNum w:abstractNumId="5">
    <w:nsid w:val="B1C40DE9"/>
    <w:multiLevelType w:val="singleLevel"/>
    <w:tmpl w:val="B1C40DE9"/>
    <w:lvl w:ilvl="0" w:tentative="0">
      <w:start w:val="2"/>
      <w:numFmt w:val="chineseCounting"/>
      <w:suff w:val="nothing"/>
      <w:lvlText w:val="%1、"/>
      <w:lvlJc w:val="left"/>
      <w:pPr>
        <w:ind w:left="320" w:firstLine="0"/>
      </w:pPr>
      <w:rPr>
        <w:rFonts w:hint="eastAsia"/>
      </w:rPr>
    </w:lvl>
  </w:abstractNum>
  <w:abstractNum w:abstractNumId="6">
    <w:nsid w:val="B3694529"/>
    <w:multiLevelType w:val="singleLevel"/>
    <w:tmpl w:val="B3694529"/>
    <w:lvl w:ilvl="0" w:tentative="0">
      <w:start w:val="2"/>
      <w:numFmt w:val="chineseCounting"/>
      <w:suff w:val="nothing"/>
      <w:lvlText w:val="（%1）"/>
      <w:lvlJc w:val="left"/>
      <w:rPr>
        <w:rFonts w:hint="eastAsia"/>
      </w:rPr>
    </w:lvl>
  </w:abstractNum>
  <w:abstractNum w:abstractNumId="7">
    <w:nsid w:val="C225ABF2"/>
    <w:multiLevelType w:val="singleLevel"/>
    <w:tmpl w:val="C225ABF2"/>
    <w:lvl w:ilvl="0" w:tentative="0">
      <w:start w:val="1"/>
      <w:numFmt w:val="chineseCounting"/>
      <w:suff w:val="nothing"/>
      <w:lvlText w:val="（%1）"/>
      <w:lvlJc w:val="left"/>
      <w:rPr>
        <w:rFonts w:hint="eastAsia"/>
      </w:rPr>
    </w:lvl>
  </w:abstractNum>
  <w:abstractNum w:abstractNumId="8">
    <w:nsid w:val="CB2A007F"/>
    <w:multiLevelType w:val="singleLevel"/>
    <w:tmpl w:val="CB2A007F"/>
    <w:lvl w:ilvl="0" w:tentative="0">
      <w:start w:val="2"/>
      <w:numFmt w:val="decimal"/>
      <w:lvlText w:val="%1."/>
      <w:lvlJc w:val="left"/>
      <w:pPr>
        <w:tabs>
          <w:tab w:val="left" w:pos="312"/>
        </w:tabs>
      </w:pPr>
    </w:lvl>
  </w:abstractNum>
  <w:abstractNum w:abstractNumId="9">
    <w:nsid w:val="CF652CEC"/>
    <w:multiLevelType w:val="singleLevel"/>
    <w:tmpl w:val="CF652CEC"/>
    <w:lvl w:ilvl="0" w:tentative="0">
      <w:start w:val="9"/>
      <w:numFmt w:val="chineseCounting"/>
      <w:suff w:val="nothing"/>
      <w:lvlText w:val="%1、"/>
      <w:lvlJc w:val="left"/>
      <w:rPr>
        <w:rFonts w:hint="eastAsia"/>
      </w:rPr>
    </w:lvl>
  </w:abstractNum>
  <w:abstractNum w:abstractNumId="10">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11">
    <w:nsid w:val="00F236C4"/>
    <w:multiLevelType w:val="singleLevel"/>
    <w:tmpl w:val="00F236C4"/>
    <w:lvl w:ilvl="0" w:tentative="0">
      <w:start w:val="1"/>
      <w:numFmt w:val="chineseCounting"/>
      <w:suff w:val="nothing"/>
      <w:lvlText w:val="%1、"/>
      <w:lvlJc w:val="left"/>
      <w:rPr>
        <w:rFonts w:hint="eastAsia"/>
      </w:rPr>
    </w:lvl>
  </w:abstractNum>
  <w:abstractNum w:abstractNumId="12">
    <w:nsid w:val="015F72AF"/>
    <w:multiLevelType w:val="singleLevel"/>
    <w:tmpl w:val="015F72AF"/>
    <w:lvl w:ilvl="0" w:tentative="0">
      <w:start w:val="1"/>
      <w:numFmt w:val="decimal"/>
      <w:lvlText w:val="%1."/>
      <w:lvlJc w:val="left"/>
      <w:pPr>
        <w:tabs>
          <w:tab w:val="left" w:pos="312"/>
        </w:tabs>
      </w:pPr>
    </w:lvl>
  </w:abstractNum>
  <w:abstractNum w:abstractNumId="13">
    <w:nsid w:val="10CA2C93"/>
    <w:multiLevelType w:val="singleLevel"/>
    <w:tmpl w:val="10CA2C93"/>
    <w:lvl w:ilvl="0" w:tentative="0">
      <w:start w:val="2"/>
      <w:numFmt w:val="decimal"/>
      <w:suff w:val="nothing"/>
      <w:lvlText w:val="%1．"/>
      <w:lvlJc w:val="left"/>
    </w:lvl>
  </w:abstractNum>
  <w:abstractNum w:abstractNumId="14">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5">
    <w:nsid w:val="36D2FE44"/>
    <w:multiLevelType w:val="singleLevel"/>
    <w:tmpl w:val="36D2FE44"/>
    <w:lvl w:ilvl="0" w:tentative="0">
      <w:start w:val="1"/>
      <w:numFmt w:val="chineseCounting"/>
      <w:suff w:val="nothing"/>
      <w:lvlText w:val="（%1）"/>
      <w:lvlJc w:val="left"/>
      <w:rPr>
        <w:rFonts w:hint="eastAsia"/>
      </w:rPr>
    </w:lvl>
  </w:abstractNum>
  <w:abstractNum w:abstractNumId="16">
    <w:nsid w:val="3D5C601E"/>
    <w:multiLevelType w:val="singleLevel"/>
    <w:tmpl w:val="3D5C601E"/>
    <w:lvl w:ilvl="0" w:tentative="0">
      <w:start w:val="1"/>
      <w:numFmt w:val="chineseCounting"/>
      <w:suff w:val="nothing"/>
      <w:lvlText w:val="%1、"/>
      <w:lvlJc w:val="left"/>
      <w:rPr>
        <w:rFonts w:hint="eastAsia"/>
      </w:rPr>
    </w:lvl>
  </w:abstractNum>
  <w:abstractNum w:abstractNumId="17">
    <w:nsid w:val="471417CA"/>
    <w:multiLevelType w:val="singleLevel"/>
    <w:tmpl w:val="471417CA"/>
    <w:lvl w:ilvl="0" w:tentative="0">
      <w:start w:val="2"/>
      <w:numFmt w:val="decimal"/>
      <w:suff w:val="nothing"/>
      <w:lvlText w:val="%1、"/>
      <w:lvlJc w:val="left"/>
    </w:lvl>
  </w:abstractNum>
  <w:abstractNum w:abstractNumId="18">
    <w:nsid w:val="725E9AC5"/>
    <w:multiLevelType w:val="singleLevel"/>
    <w:tmpl w:val="725E9AC5"/>
    <w:lvl w:ilvl="0" w:tentative="0">
      <w:start w:val="2"/>
      <w:numFmt w:val="chineseCounting"/>
      <w:suff w:val="nothing"/>
      <w:lvlText w:val="（%1）"/>
      <w:lvlJc w:val="left"/>
      <w:rPr>
        <w:rFonts w:hint="eastAsia"/>
      </w:rPr>
    </w:lvl>
  </w:abstractNum>
  <w:num w:numId="1">
    <w:abstractNumId w:val="11"/>
  </w:num>
  <w:num w:numId="2">
    <w:abstractNumId w:val="14"/>
  </w:num>
  <w:num w:numId="3">
    <w:abstractNumId w:val="12"/>
  </w:num>
  <w:num w:numId="4">
    <w:abstractNumId w:val="9"/>
  </w:num>
  <w:num w:numId="5">
    <w:abstractNumId w:val="10"/>
  </w:num>
  <w:num w:numId="6">
    <w:abstractNumId w:val="6"/>
  </w:num>
  <w:num w:numId="7">
    <w:abstractNumId w:val="18"/>
  </w:num>
  <w:num w:numId="8">
    <w:abstractNumId w:val="16"/>
  </w:num>
  <w:num w:numId="9">
    <w:abstractNumId w:val="4"/>
  </w:num>
  <w:num w:numId="10">
    <w:abstractNumId w:val="0"/>
  </w:num>
  <w:num w:numId="11">
    <w:abstractNumId w:val="5"/>
  </w:num>
  <w:num w:numId="12">
    <w:abstractNumId w:val="2"/>
  </w:num>
  <w:num w:numId="13">
    <w:abstractNumId w:val="3"/>
  </w:num>
  <w:num w:numId="14">
    <w:abstractNumId w:val="8"/>
  </w:num>
  <w:num w:numId="15">
    <w:abstractNumId w:val="15"/>
  </w:num>
  <w:num w:numId="16">
    <w:abstractNumId w:val="1"/>
  </w:num>
  <w:num w:numId="17">
    <w:abstractNumId w:val="13"/>
  </w:num>
  <w:num w:numId="18">
    <w:abstractNumId w:val="7"/>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GFkNmMzYjIzZGUxMWY5ZWNhYjJjMTE1OTQ0MDA2ZmY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0F08"/>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41E1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50BB"/>
    <w:rsid w:val="00F36D8F"/>
    <w:rsid w:val="00F417B1"/>
    <w:rsid w:val="00F45853"/>
    <w:rsid w:val="00F602DF"/>
    <w:rsid w:val="00F754A1"/>
    <w:rsid w:val="00F81FD9"/>
    <w:rsid w:val="00F841AA"/>
    <w:rsid w:val="00F84A94"/>
    <w:rsid w:val="00F87E96"/>
    <w:rsid w:val="00FA23E8"/>
    <w:rsid w:val="00FC22E2"/>
    <w:rsid w:val="00FD3CC1"/>
    <w:rsid w:val="00FF1E02"/>
    <w:rsid w:val="00FF30B4"/>
    <w:rsid w:val="03B925F7"/>
    <w:rsid w:val="0408266B"/>
    <w:rsid w:val="042C0007"/>
    <w:rsid w:val="07DB0352"/>
    <w:rsid w:val="09C153FB"/>
    <w:rsid w:val="0A2032A3"/>
    <w:rsid w:val="0B8A37D8"/>
    <w:rsid w:val="0EAB57C7"/>
    <w:rsid w:val="103010F1"/>
    <w:rsid w:val="10BC3E96"/>
    <w:rsid w:val="10C055FF"/>
    <w:rsid w:val="118107EC"/>
    <w:rsid w:val="11DD6519"/>
    <w:rsid w:val="16BB723D"/>
    <w:rsid w:val="18015F3F"/>
    <w:rsid w:val="18803D95"/>
    <w:rsid w:val="1BE8440E"/>
    <w:rsid w:val="1D155CEE"/>
    <w:rsid w:val="20F57F95"/>
    <w:rsid w:val="23792C1E"/>
    <w:rsid w:val="240371BF"/>
    <w:rsid w:val="25C741E6"/>
    <w:rsid w:val="26106FBE"/>
    <w:rsid w:val="27842671"/>
    <w:rsid w:val="29FD04D3"/>
    <w:rsid w:val="2A1F4BAB"/>
    <w:rsid w:val="2ABE7A3E"/>
    <w:rsid w:val="2EFA178C"/>
    <w:rsid w:val="30B46D73"/>
    <w:rsid w:val="319F7F4E"/>
    <w:rsid w:val="34244EBE"/>
    <w:rsid w:val="348B0CDA"/>
    <w:rsid w:val="35A15942"/>
    <w:rsid w:val="39AE70AB"/>
    <w:rsid w:val="3A402444"/>
    <w:rsid w:val="3C0C0783"/>
    <w:rsid w:val="3F0F0BE2"/>
    <w:rsid w:val="3F9F3A96"/>
    <w:rsid w:val="47E63924"/>
    <w:rsid w:val="493C27E9"/>
    <w:rsid w:val="496F39ED"/>
    <w:rsid w:val="498B4413"/>
    <w:rsid w:val="49FF41D3"/>
    <w:rsid w:val="4BE068DB"/>
    <w:rsid w:val="4BF6002B"/>
    <w:rsid w:val="4D466C81"/>
    <w:rsid w:val="4ECE2238"/>
    <w:rsid w:val="4EE14A56"/>
    <w:rsid w:val="4F0B7C7B"/>
    <w:rsid w:val="51DB4B86"/>
    <w:rsid w:val="5413358B"/>
    <w:rsid w:val="55333C3E"/>
    <w:rsid w:val="5E8E293D"/>
    <w:rsid w:val="613A53FF"/>
    <w:rsid w:val="63E932E4"/>
    <w:rsid w:val="64A34C26"/>
    <w:rsid w:val="64CA39A1"/>
    <w:rsid w:val="6C4A05C8"/>
    <w:rsid w:val="72734D90"/>
    <w:rsid w:val="7535C07E"/>
    <w:rsid w:val="75BB4BE5"/>
    <w:rsid w:val="79E7B28D"/>
    <w:rsid w:val="7F9F20EE"/>
    <w:rsid w:val="9E3A10E2"/>
    <w:rsid w:val="F2E1F9D4"/>
    <w:rsid w:val="F788081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9"/>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2"/>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Plain Text"/>
    <w:basedOn w:val="1"/>
    <w:qFormat/>
    <w:uiPriority w:val="0"/>
    <w:rPr>
      <w:rFonts w:ascii="宋体" w:hAnsi="Courier New"/>
    </w:rPr>
  </w:style>
  <w:style w:type="paragraph" w:styleId="8">
    <w:name w:val="Balloon Text"/>
    <w:basedOn w:val="1"/>
    <w:link w:val="28"/>
    <w:semiHidden/>
    <w:unhideWhenUsed/>
    <w:qFormat/>
    <w:uiPriority w:val="99"/>
    <w:rPr>
      <w:sz w:val="18"/>
      <w:szCs w:val="18"/>
    </w:rPr>
  </w:style>
  <w:style w:type="paragraph" w:styleId="9">
    <w:name w:val="footer"/>
    <w:basedOn w:val="1"/>
    <w:link w:val="20"/>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18"/>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character" w:styleId="15">
    <w:name w:val="Strong"/>
    <w:basedOn w:val="14"/>
    <w:qFormat/>
    <w:uiPriority w:val="99"/>
    <w:rPr>
      <w:b/>
    </w:rPr>
  </w:style>
  <w:style w:type="character" w:styleId="16">
    <w:name w:val="Hyperlink"/>
    <w:basedOn w:val="14"/>
    <w:unhideWhenUsed/>
    <w:qFormat/>
    <w:uiPriority w:val="99"/>
    <w:rPr>
      <w:color w:val="0000FF" w:themeColor="hyperlink"/>
      <w:u w:val="single"/>
    </w:rPr>
  </w:style>
  <w:style w:type="character" w:customStyle="1" w:styleId="17">
    <w:name w:val="Header Char"/>
    <w:basedOn w:val="14"/>
    <w:semiHidden/>
    <w:qFormat/>
    <w:uiPriority w:val="99"/>
    <w:rPr>
      <w:rFonts w:ascii="Times New Roman" w:hAnsi="Times New Roman"/>
      <w:sz w:val="18"/>
      <w:szCs w:val="18"/>
    </w:rPr>
  </w:style>
  <w:style w:type="character" w:customStyle="1" w:styleId="18">
    <w:name w:val="页眉 Char"/>
    <w:link w:val="10"/>
    <w:semiHidden/>
    <w:qFormat/>
    <w:locked/>
    <w:uiPriority w:val="99"/>
    <w:rPr>
      <w:sz w:val="18"/>
    </w:rPr>
  </w:style>
  <w:style w:type="character" w:customStyle="1" w:styleId="19">
    <w:name w:val="Footer Char"/>
    <w:basedOn w:val="14"/>
    <w:semiHidden/>
    <w:qFormat/>
    <w:uiPriority w:val="99"/>
    <w:rPr>
      <w:rFonts w:ascii="Times New Roman" w:hAnsi="Times New Roman"/>
      <w:sz w:val="18"/>
      <w:szCs w:val="18"/>
    </w:rPr>
  </w:style>
  <w:style w:type="character" w:customStyle="1" w:styleId="20">
    <w:name w:val="页脚 Char"/>
    <w:link w:val="9"/>
    <w:qFormat/>
    <w:locked/>
    <w:uiPriority w:val="99"/>
    <w:rPr>
      <w:sz w:val="18"/>
    </w:rPr>
  </w:style>
  <w:style w:type="character" w:customStyle="1" w:styleId="21">
    <w:name w:val="Body Text Char"/>
    <w:basedOn w:val="14"/>
    <w:semiHidden/>
    <w:qFormat/>
    <w:uiPriority w:val="99"/>
    <w:rPr>
      <w:rFonts w:ascii="Times New Roman" w:hAnsi="Times New Roman"/>
      <w:szCs w:val="24"/>
    </w:rPr>
  </w:style>
  <w:style w:type="character" w:customStyle="1" w:styleId="22">
    <w:name w:val="正文文本 Char"/>
    <w:link w:val="2"/>
    <w:qFormat/>
    <w:locked/>
    <w:uiPriority w:val="99"/>
    <w:rPr>
      <w:rFonts w:ascii="仿宋_GB2312" w:hAnsi="Times New Roman" w:eastAsia="仿宋_GB2312"/>
      <w:sz w:val="24"/>
    </w:rPr>
  </w:style>
  <w:style w:type="paragraph" w:customStyle="1" w:styleId="23">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4">
    <w:name w:val="List Paragraph"/>
    <w:basedOn w:val="1"/>
    <w:qFormat/>
    <w:uiPriority w:val="34"/>
    <w:pPr>
      <w:ind w:firstLine="420" w:firstLineChars="200"/>
    </w:pPr>
  </w:style>
  <w:style w:type="character" w:customStyle="1" w:styleId="25">
    <w:name w:val="标题 1 Char"/>
    <w:basedOn w:val="14"/>
    <w:link w:val="3"/>
    <w:qFormat/>
    <w:uiPriority w:val="9"/>
    <w:rPr>
      <w:rFonts w:ascii="Times New Roman" w:hAnsi="Times New Roman"/>
      <w:b/>
      <w:bCs/>
      <w:kern w:val="44"/>
      <w:sz w:val="44"/>
      <w:szCs w:val="44"/>
    </w:rPr>
  </w:style>
  <w:style w:type="character" w:customStyle="1" w:styleId="26">
    <w:name w:val="标题 2 Char"/>
    <w:basedOn w:val="14"/>
    <w:link w:val="4"/>
    <w:qFormat/>
    <w:uiPriority w:val="9"/>
    <w:rPr>
      <w:rFonts w:asciiTheme="majorHAnsi" w:hAnsiTheme="majorHAnsi" w:eastAsiaTheme="majorEastAsia" w:cstheme="majorBidi"/>
      <w:b/>
      <w:bCs/>
      <w:kern w:val="2"/>
      <w:sz w:val="32"/>
      <w:szCs w:val="32"/>
    </w:rPr>
  </w:style>
  <w:style w:type="paragraph" w:customStyle="1" w:styleId="27">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8">
    <w:name w:val="批注框文本 Char"/>
    <w:basedOn w:val="14"/>
    <w:link w:val="8"/>
    <w:semiHidden/>
    <w:qFormat/>
    <w:uiPriority w:val="99"/>
    <w:rPr>
      <w:rFonts w:ascii="Times New Roman" w:hAnsi="Times New Roman"/>
      <w:kern w:val="2"/>
      <w:sz w:val="18"/>
      <w:szCs w:val="18"/>
    </w:rPr>
  </w:style>
  <w:style w:type="character" w:customStyle="1" w:styleId="29">
    <w:name w:val="标题 3 Char"/>
    <w:basedOn w:val="14"/>
    <w:link w:val="5"/>
    <w:qFormat/>
    <w:uiPriority w:val="9"/>
    <w:rPr>
      <w:rFonts w:ascii="Times New Roman" w:hAnsi="Times New Roman"/>
      <w:b/>
      <w:bCs/>
      <w:kern w:val="2"/>
      <w:sz w:val="32"/>
      <w:szCs w:val="32"/>
    </w:rPr>
  </w:style>
  <w:style w:type="paragraph" w:customStyle="1" w:styleId="30">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1">
    <w:name w:val="font11"/>
    <w:basedOn w:val="14"/>
    <w:qFormat/>
    <w:uiPriority w:val="0"/>
    <w:rPr>
      <w:rFonts w:hint="eastAsia" w:ascii="宋体" w:hAnsi="宋体" w:eastAsia="宋体" w:cs="宋体"/>
      <w:color w:val="000000"/>
      <w:sz w:val="24"/>
      <w:szCs w:val="24"/>
      <w:u w:val="none"/>
    </w:rPr>
  </w:style>
  <w:style w:type="character" w:customStyle="1" w:styleId="32">
    <w:name w:val="font21"/>
    <w:basedOn w:val="14"/>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3.xlsx"/></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4.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7.xlsx"/></Relationships>
</file>

<file path=word/charts/_rels/chart6.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5.xlsx"/></Relationships>
</file>

<file path=word/charts/_rels/chart7.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6.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b="1">
                <a:latin typeface="黑体" panose="02010609060101010101" charset="-122"/>
                <a:ea typeface="黑体" panose="02010609060101010101" charset="-122"/>
              </a:rPr>
              <a:t>收入、支出数（万元）</a:t>
            </a:r>
            <a:endParaRPr b="1">
              <a:latin typeface="黑体" panose="02010609060101010101" charset="-122"/>
              <a:ea typeface="黑体" panose="02010609060101010101" charset="-122"/>
            </a:endParaRPr>
          </a:p>
        </c:rich>
      </c:tx>
      <c:layout>
        <c:manualLayout>
          <c:xMode val="edge"/>
          <c:yMode val="edge"/>
          <c:x val="0.423"/>
          <c:y val="0.0175"/>
        </c:manualLayout>
      </c:layout>
      <c:overlay val="0"/>
      <c:spPr>
        <a:noFill/>
        <a:ln>
          <a:noFill/>
        </a:ln>
        <a:effectLst/>
      </c:spPr>
    </c:title>
    <c:autoTitleDeleted val="0"/>
    <c:plotArea>
      <c:layout/>
      <c:barChart>
        <c:barDir val="col"/>
        <c:grouping val="clustered"/>
        <c:varyColors val="0"/>
        <c:ser>
          <c:idx val="0"/>
          <c:order val="0"/>
          <c:tx>
            <c:strRef>
              <c:f>Sheet1!$B$1</c:f>
              <c:strCache>
                <c:ptCount val="1"/>
                <c:pt idx="0">
                  <c:v>总收入</c:v>
                </c:pt>
              </c:strCache>
            </c:strRef>
          </c:tx>
          <c:spPr>
            <a:solidFill>
              <a:schemeClr val="accent1"/>
            </a:solidFill>
            <a:ln>
              <a:noFill/>
            </a:ln>
            <a:effectLst/>
          </c:spPr>
          <c:invertIfNegative val="0"/>
          <c:dLbls>
            <c:delete val="1"/>
          </c:dLbls>
          <c:cat>
            <c:strRef>
              <c:f>Sheet1!$A$2:$A$3</c:f>
              <c:strCache>
                <c:ptCount val="2"/>
                <c:pt idx="0">
                  <c:v>2020年</c:v>
                </c:pt>
                <c:pt idx="1">
                  <c:v>2021年</c:v>
                </c:pt>
              </c:strCache>
            </c:strRef>
          </c:cat>
          <c:val>
            <c:numRef>
              <c:f>Sheet1!$B$2:$B$3</c:f>
              <c:numCache>
                <c:formatCode>General</c:formatCode>
                <c:ptCount val="2"/>
                <c:pt idx="0">
                  <c:v>631</c:v>
                </c:pt>
                <c:pt idx="1">
                  <c:v>731.06</c:v>
                </c:pt>
              </c:numCache>
            </c:numRef>
          </c:val>
        </c:ser>
        <c:ser>
          <c:idx val="1"/>
          <c:order val="1"/>
          <c:tx>
            <c:strRef>
              <c:f>Sheet1!$C$1</c:f>
              <c:strCache>
                <c:ptCount val="1"/>
                <c:pt idx="0">
                  <c:v>总支出</c:v>
                </c:pt>
              </c:strCache>
            </c:strRef>
          </c:tx>
          <c:spPr>
            <a:solidFill>
              <a:schemeClr val="accent2"/>
            </a:solidFill>
            <a:ln>
              <a:noFill/>
            </a:ln>
            <a:effectLst/>
          </c:spPr>
          <c:invertIfNegative val="0"/>
          <c:dLbls>
            <c:delete val="1"/>
          </c:dLbls>
          <c:cat>
            <c:strRef>
              <c:f>Sheet1!$A$2:$A$3</c:f>
              <c:strCache>
                <c:ptCount val="2"/>
                <c:pt idx="0">
                  <c:v>2020年</c:v>
                </c:pt>
                <c:pt idx="1">
                  <c:v>2021年</c:v>
                </c:pt>
              </c:strCache>
            </c:strRef>
          </c:cat>
          <c:val>
            <c:numRef>
              <c:f>Sheet1!$C$2:$C$3</c:f>
              <c:numCache>
                <c:formatCode>General</c:formatCode>
                <c:ptCount val="2"/>
                <c:pt idx="0">
                  <c:v>584.77</c:v>
                </c:pt>
                <c:pt idx="1">
                  <c:v>731.06</c:v>
                </c:pt>
              </c:numCache>
            </c:numRef>
          </c:val>
        </c:ser>
        <c:dLbls>
          <c:showLegendKey val="0"/>
          <c:showVal val="0"/>
          <c:showCatName val="0"/>
          <c:showSerName val="0"/>
          <c:showPercent val="0"/>
          <c:showBubbleSize val="0"/>
        </c:dLbls>
        <c:gapWidth val="219"/>
        <c:overlap val="-27"/>
        <c:axId val="180100363"/>
        <c:axId val="713761779"/>
      </c:barChart>
      <c:catAx>
        <c:axId val="180100363"/>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3761779"/>
        <c:crosses val="autoZero"/>
        <c:auto val="1"/>
        <c:lblAlgn val="ctr"/>
        <c:lblOffset val="100"/>
        <c:noMultiLvlLbl val="0"/>
      </c:catAx>
      <c:valAx>
        <c:axId val="71376177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80100363"/>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收入决算结构图</a:t>
            </a:r>
            <a:endParaRPr lang="en-US" altLang="zh-CN"/>
          </a:p>
        </c:rich>
      </c:tx>
      <c:layout>
        <c:manualLayout>
          <c:xMode val="edge"/>
          <c:yMode val="edge"/>
          <c:x val="0.407375"/>
          <c:y val="0.0175"/>
        </c:manualLayout>
      </c:layout>
      <c:overlay val="0"/>
      <c:spPr>
        <a:noFill/>
        <a:ln>
          <a:noFill/>
        </a:ln>
        <a:effectLst/>
      </c:spPr>
    </c:title>
    <c:autoTitleDeleted val="0"/>
    <c:plotArea>
      <c:layout/>
      <c:pieChart>
        <c:varyColors val="1"/>
        <c:ser>
          <c:idx val="0"/>
          <c:order val="0"/>
          <c:tx>
            <c:strRef>
              <c:f>Sheet1!$B$1</c:f>
              <c:strCache>
                <c:ptCount val="1"/>
                <c:pt idx="0">
                  <c:v>收入决算结构图</c:v>
                </c:pt>
              </c:strCache>
            </c:strRef>
          </c:tx>
          <c:spPr/>
          <c:explosion val="0"/>
          <c:dPt>
            <c:idx val="0"/>
            <c:bubble3D val="0"/>
            <c:spPr>
              <a:solidFill>
                <a:schemeClr val="accent1"/>
              </a:solidFill>
              <a:ln w="19050">
                <a:solidFill>
                  <a:schemeClr val="lt1"/>
                </a:solidFill>
              </a:ln>
              <a:effectLst/>
            </c:spPr>
          </c:dPt>
          <c:dLbls>
            <c:delete val="1"/>
          </c:dLbls>
          <c:cat>
            <c:strRef>
              <c:f>Sheet1!$A$2</c:f>
              <c:strCache>
                <c:ptCount val="1"/>
                <c:pt idx="0">
                  <c:v>2021年一般公共预算财政拨款收入667.34万元（占收入100%）</c:v>
                </c:pt>
              </c:strCache>
            </c:strRef>
          </c:cat>
          <c:val>
            <c:numRef>
              <c:f>Sheet1!$B$2</c:f>
              <c:numCache>
                <c:formatCode>General</c:formatCode>
                <c:ptCount val="1"/>
                <c:pt idx="0">
                  <c:v>667.34</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支出决算结构图</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elete val="1"/>
          </c:dLbls>
          <c:cat>
            <c:strRef>
              <c:f>Sheet1!$A$2:$A$3</c:f>
              <c:strCache>
                <c:ptCount val="2"/>
                <c:pt idx="0">
                  <c:v>2021年基本支出511.96万元（占比70.03%）</c:v>
                </c:pt>
                <c:pt idx="1">
                  <c:v>2021年项目支出219.1万元（占比29.97%）</c:v>
                </c:pt>
              </c:strCache>
            </c:strRef>
          </c:cat>
          <c:val>
            <c:numRef>
              <c:f>Sheet1!$B$2:$B$3</c:f>
              <c:numCache>
                <c:formatCode>General</c:formatCode>
                <c:ptCount val="2"/>
                <c:pt idx="0">
                  <c:v>511.96</c:v>
                </c:pt>
                <c:pt idx="1">
                  <c:v>219.1</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
        <c:rich>
          <a:bodyPr/>
          <a:lstStyle/>
          <a:p>
            <a:pPr>
              <a:defRPr/>
            </a:pPr>
          </a:p>
        </c:rich>
      </c:tx>
    </c:title>
    <c:autoTitleDeleted val="0"/>
    <c:plotArea>
      <c:layout>
        <c:manualLayout>
          <c:layoutTarget val="inner"/>
          <c:xMode val="edge"/>
          <c:yMode val="edge"/>
          <c:x val="0.06045"/>
          <c:y val="0.090166666666667"/>
          <c:w val="0.905175"/>
          <c:h val="0.726233333333333"/>
        </c:manualLayout>
      </c:layout>
      <c:barChart>
        <c:barDir val="col"/>
        <c:grouping val="clustered"/>
        <c:varyColors val="0"/>
        <c:ser>
          <c:idx val="0"/>
          <c:order val="0"/>
          <c:tx>
            <c:strRef>
              <c:f>Sheet1!$B$1</c:f>
              <c:strCache>
                <c:ptCount val="1"/>
                <c:pt idx="0">
                  <c:v>财政拨款收入</c:v>
                </c:pt>
              </c:strCache>
            </c:strRef>
          </c:tx>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c:spPr>
          <c:invertIfNegative val="0"/>
          <c:dLbls>
            <c:delete val="1"/>
          </c:dLbls>
          <c:cat>
            <c:strRef>
              <c:f>Sheet1!$A$2:$A$3</c:f>
              <c:strCache>
                <c:ptCount val="2"/>
                <c:pt idx="0">
                  <c:v>2020年</c:v>
                </c:pt>
                <c:pt idx="1">
                  <c:v>2021年</c:v>
                </c:pt>
              </c:strCache>
            </c:strRef>
          </c:cat>
          <c:val>
            <c:numRef>
              <c:f>Sheet1!$B$2:$B$3</c:f>
              <c:numCache>
                <c:formatCode>General</c:formatCode>
                <c:ptCount val="2"/>
                <c:pt idx="0">
                  <c:v>631</c:v>
                </c:pt>
                <c:pt idx="1">
                  <c:v>667.34</c:v>
                </c:pt>
              </c:numCache>
            </c:numRef>
          </c:val>
        </c:ser>
        <c:ser>
          <c:idx val="1"/>
          <c:order val="1"/>
          <c:tx>
            <c:strRef>
              <c:f>Sheet1!$C$1</c:f>
              <c:strCache>
                <c:ptCount val="1"/>
                <c:pt idx="0">
                  <c:v>财政拨款支出</c:v>
                </c:pt>
              </c:strCache>
            </c:strRef>
          </c:tx>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c:spPr>
          <c:invertIfNegative val="0"/>
          <c:dLbls>
            <c:delete val="1"/>
          </c:dLbls>
          <c:cat>
            <c:strRef>
              <c:f>Sheet1!$A$2:$A$3</c:f>
              <c:strCache>
                <c:ptCount val="2"/>
                <c:pt idx="0">
                  <c:v>2020年</c:v>
                </c:pt>
                <c:pt idx="1">
                  <c:v>2021年</c:v>
                </c:pt>
              </c:strCache>
            </c:strRef>
          </c:cat>
          <c:val>
            <c:numRef>
              <c:f>Sheet1!$C$2:$C$3</c:f>
              <c:numCache>
                <c:formatCode>General</c:formatCode>
                <c:ptCount val="2"/>
                <c:pt idx="0">
                  <c:v>584.77</c:v>
                </c:pt>
                <c:pt idx="1">
                  <c:v>731.06</c:v>
                </c:pt>
              </c:numCache>
            </c:numRef>
          </c:val>
        </c:ser>
        <c:ser>
          <c:idx val="2"/>
          <c:order val="2"/>
          <c:tx>
            <c:strRef>
              <c:f>Sheet1!#REF!</c:f>
              <c:strCache>
                <c:ptCount val="1"/>
                <c:pt idx="0">
                  <c:v/>
                </c:pt>
              </c:strCache>
            </c:strRef>
          </c:tx>
          <c:spPr>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c:spPr>
          <c:invertIfNegative val="0"/>
          <c:dLbls>
            <c:delete val="1"/>
          </c:dLbls>
          <c:cat>
            <c:strRef>
              <c:f>Sheet1!$A$2:$A$3</c:f>
              <c:strCache>
                <c:ptCount val="2"/>
                <c:pt idx="0">
                  <c:v>2020年</c:v>
                </c:pt>
                <c:pt idx="1">
                  <c:v>2021年</c:v>
                </c:pt>
              </c:strCache>
            </c:strRef>
          </c:cat>
          <c:val>
            <c:numRef>
              <c:f>Sheet1!#REF!</c:f>
              <c:numCache>
                <c:formatCode>General</c:formatCode>
                <c:ptCount val="1"/>
                <c:pt idx="0">
                  <c:v>1</c:v>
                </c:pt>
              </c:numCache>
            </c:numRef>
          </c:val>
        </c:ser>
        <c:dLbls>
          <c:showLegendKey val="0"/>
          <c:showVal val="0"/>
          <c:showCatName val="0"/>
          <c:showSerName val="0"/>
          <c:showPercent val="0"/>
          <c:showBubbleSize val="0"/>
        </c:dLbls>
        <c:gapWidth val="100"/>
        <c:overlap val="-24"/>
        <c:axId val="838149434"/>
        <c:axId val="980989798"/>
      </c:barChart>
      <c:catAx>
        <c:axId val="838149434"/>
        <c:scaling>
          <c:orientation val="minMax"/>
        </c:scaling>
        <c:delete val="0"/>
        <c:axPos val="b"/>
        <c:majorTickMark val="none"/>
        <c:minorTickMark val="none"/>
        <c:tickLblPos val="nextTo"/>
        <c:spPr>
          <a:noFill/>
          <a:ln w="9525" cap="flat" cmpd="sng" algn="ctr">
            <a:solidFill>
              <a:schemeClr val="tx2">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2"/>
                </a:solidFill>
                <a:latin typeface="+mn-lt"/>
                <a:ea typeface="+mn-ea"/>
                <a:cs typeface="+mn-cs"/>
              </a:defRPr>
            </a:pPr>
          </a:p>
        </c:txPr>
        <c:crossAx val="980989798"/>
        <c:crosses val="autoZero"/>
        <c:auto val="1"/>
        <c:lblAlgn val="ctr"/>
        <c:lblOffset val="100"/>
        <c:noMultiLvlLbl val="0"/>
      </c:catAx>
      <c:valAx>
        <c:axId val="980989798"/>
        <c:scaling>
          <c:orientation val="minMax"/>
        </c:scaling>
        <c:delete val="0"/>
        <c:axPos val="l"/>
        <c:majorGridlines>
          <c:spPr>
            <a:ln w="9525" cap="flat" cmpd="sng" algn="ctr">
              <a:solidFill>
                <a:schemeClr val="tx2">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2"/>
                </a:solidFill>
                <a:latin typeface="+mn-lt"/>
                <a:ea typeface="+mn-ea"/>
                <a:cs typeface="+mn-cs"/>
              </a:defRPr>
            </a:pPr>
          </a:p>
        </c:txPr>
        <c:crossAx val="838149434"/>
        <c:crosses val="autoZero"/>
        <c:crossBetween val="between"/>
      </c:valAx>
      <c:spPr>
        <a:noFill/>
        <a:ln>
          <a:noFill/>
        </a:ln>
        <a:effectLst/>
      </c:spPr>
    </c:plotArea>
    <c:legend>
      <c:legendPos val="b"/>
      <c:legendEntry>
        <c:idx val="2"/>
        <c:delete val="1"/>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2"/>
              </a:solidFill>
              <a:latin typeface="+mn-lt"/>
              <a:ea typeface="+mn-ea"/>
              <a:cs typeface="+mn-cs"/>
            </a:defRPr>
          </a:pPr>
        </a:p>
      </c:txPr>
    </c:legend>
    <c:plotVisOnly val="1"/>
    <c:dispBlanksAs val="gap"/>
    <c:showDLblsOverMax val="0"/>
  </c:chart>
  <c:spPr>
    <a:solidFill>
      <a:schemeClr val="bg1"/>
    </a:solidFill>
    <a:ln w="9525" cap="flat" cmpd="sng" algn="ctr">
      <a:solidFill>
        <a:schemeClr val="tx2">
          <a:lumMod val="15000"/>
          <a:lumOff val="85000"/>
        </a:schemeClr>
      </a:solidFill>
      <a:prstDash val="solid"/>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
        <c:rich>
          <a:bodyPr/>
          <a:lstStyle/>
          <a:p>
            <a:pPr>
              <a:defRPr/>
            </a:pPr>
          </a:p>
        </c:rich>
      </c:tx>
    </c:title>
    <c:autoTitleDeleted val="0"/>
    <c:plotArea>
      <c:layout/>
      <c:barChart>
        <c:barDir val="col"/>
        <c:grouping val="clustered"/>
        <c:varyColors val="0"/>
        <c:ser>
          <c:idx val="0"/>
          <c:order val="0"/>
          <c:tx>
            <c:strRef>
              <c:f>Sheet1!$B$1</c:f>
              <c:strCache>
                <c:ptCount val="1"/>
                <c:pt idx="0">
                  <c:v>一般公共预算财政拨款支出决算变动情况</c:v>
                </c:pt>
              </c:strCache>
            </c:strRef>
          </c:tx>
          <c:spPr>
            <a:solidFill>
              <a:schemeClr val="accent1"/>
            </a:solidFill>
            <a:ln>
              <a:noFill/>
            </a:ln>
            <a:effectLst/>
          </c:spPr>
          <c:invertIfNegative val="0"/>
          <c:dLbls>
            <c:delete val="1"/>
          </c:dLbls>
          <c:cat>
            <c:strRef>
              <c:f>Sheet1!$A$2:$A$3</c:f>
              <c:strCache>
                <c:ptCount val="2"/>
                <c:pt idx="0">
                  <c:v>2020年</c:v>
                </c:pt>
                <c:pt idx="1">
                  <c:v>2021年</c:v>
                </c:pt>
              </c:strCache>
            </c:strRef>
          </c:cat>
          <c:val>
            <c:numRef>
              <c:f>Sheet1!$B$2:$B$3</c:f>
              <c:numCache>
                <c:formatCode>General</c:formatCode>
                <c:ptCount val="2"/>
                <c:pt idx="0">
                  <c:v>569.33</c:v>
                </c:pt>
                <c:pt idx="1">
                  <c:v>731.06</c:v>
                </c:pt>
              </c:numCache>
            </c:numRef>
          </c:val>
        </c:ser>
        <c:ser>
          <c:idx val="1"/>
          <c:order val="1"/>
          <c:tx>
            <c:strRef>
              <c:f>Sheet1!#REF!</c:f>
              <c:strCache>
                <c:ptCount val="1"/>
                <c:pt idx="0">
                  <c:v/>
                </c:pt>
              </c:strCache>
            </c:strRef>
          </c:tx>
          <c:spPr>
            <a:solidFill>
              <a:schemeClr val="accent2"/>
            </a:solidFill>
            <a:ln>
              <a:noFill/>
            </a:ln>
            <a:effectLst/>
          </c:spPr>
          <c:invertIfNegative val="0"/>
          <c:dLbls>
            <c:delete val="1"/>
          </c:dLbls>
          <c:cat>
            <c:strRef>
              <c:f>Sheet1!$A$2:$A$3</c:f>
              <c:strCache>
                <c:ptCount val="2"/>
                <c:pt idx="0">
                  <c:v>2020年</c:v>
                </c:pt>
                <c:pt idx="1">
                  <c:v>2021年</c:v>
                </c:pt>
              </c:strCache>
            </c:strRef>
          </c:cat>
          <c:val>
            <c:numRef>
              <c:f>Sheet1!#REF!</c:f>
              <c:numCache>
                <c:formatCode>General</c:formatCode>
                <c:ptCount val="1"/>
                <c:pt idx="0">
                  <c:v>1</c:v>
                </c:pt>
              </c:numCache>
            </c:numRef>
          </c:val>
        </c:ser>
        <c:ser>
          <c:idx val="2"/>
          <c:order val="2"/>
          <c:tx>
            <c:strRef>
              <c:f>Sheet1!#REF!</c:f>
              <c:strCache>
                <c:ptCount val="1"/>
                <c:pt idx="0">
                  <c:v/>
                </c:pt>
              </c:strCache>
            </c:strRef>
          </c:tx>
          <c:spPr>
            <a:solidFill>
              <a:schemeClr val="accent3"/>
            </a:solidFill>
            <a:ln>
              <a:noFill/>
            </a:ln>
            <a:effectLst/>
          </c:spPr>
          <c:invertIfNegative val="0"/>
          <c:dLbls>
            <c:delete val="1"/>
          </c:dLbls>
          <c:cat>
            <c:strRef>
              <c:f>Sheet1!$A$2:$A$3</c:f>
              <c:strCache>
                <c:ptCount val="2"/>
                <c:pt idx="0">
                  <c:v>2020年</c:v>
                </c:pt>
                <c:pt idx="1">
                  <c:v>2021年</c:v>
                </c:pt>
              </c:strCache>
            </c:strRef>
          </c:cat>
          <c:val>
            <c:numRef>
              <c:f>Sheet1!#REF!</c:f>
              <c:numCache>
                <c:formatCode>General</c:formatCode>
                <c:ptCount val="1"/>
                <c:pt idx="0">
                  <c:v>1</c:v>
                </c:pt>
              </c:numCache>
            </c:numRef>
          </c:val>
        </c:ser>
        <c:dLbls>
          <c:showLegendKey val="0"/>
          <c:showVal val="0"/>
          <c:showCatName val="0"/>
          <c:showSerName val="0"/>
          <c:showPercent val="0"/>
          <c:showBubbleSize val="0"/>
        </c:dLbls>
        <c:gapWidth val="219"/>
        <c:overlap val="-27"/>
        <c:axId val="136899331"/>
        <c:axId val="105410857"/>
      </c:barChart>
      <c:catAx>
        <c:axId val="136899331"/>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05410857"/>
        <c:crosses val="autoZero"/>
        <c:auto val="1"/>
        <c:lblAlgn val="ctr"/>
        <c:lblOffset val="100"/>
        <c:noMultiLvlLbl val="0"/>
      </c:catAx>
      <c:valAx>
        <c:axId val="105410857"/>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36899331"/>
        <c:crosses val="autoZero"/>
        <c:crossBetween val="between"/>
      </c:valAx>
      <c:spPr>
        <a:noFill/>
        <a:ln>
          <a:noFill/>
        </a:ln>
        <a:effectLst/>
      </c:spPr>
    </c:plotArea>
    <c:legend>
      <c:legendPos val="b"/>
      <c:legendEntry>
        <c:idx val="1"/>
        <c:delete val="1"/>
      </c:legendEntry>
      <c:legendEntry>
        <c:idx val="2"/>
        <c:delete val="1"/>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一般公共预算财政拨款支出决算结构占比</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ctr"/>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社会保障和就业（类）支出59.25万元，占8.10%</c:v>
                </c:pt>
                <c:pt idx="1">
                  <c:v>卫生健康支出629.10万元，占86.05%</c:v>
                </c:pt>
                <c:pt idx="2">
                  <c:v>住房保障支出42.71万元，占5.85%</c:v>
                </c:pt>
              </c:strCache>
            </c:strRef>
          </c:cat>
          <c:val>
            <c:numRef>
              <c:f>Sheet1!$B$2:$B$5</c:f>
              <c:numCache>
                <c:formatCode>0.00%</c:formatCode>
                <c:ptCount val="4"/>
                <c:pt idx="0">
                  <c:v>0.081</c:v>
                </c:pt>
                <c:pt idx="1">
                  <c:v>0.8605</c:v>
                </c:pt>
                <c:pt idx="2">
                  <c:v>0.0585</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b"/>
      <c:legendEntry>
        <c:idx val="3"/>
        <c:delete val="1"/>
      </c:legendEntry>
      <c:layout>
        <c:manualLayout>
          <c:xMode val="edge"/>
          <c:yMode val="edge"/>
          <c:x val="0.24625"/>
          <c:y val="0.780666666666667"/>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“三公”经费财政拨款支出结构图占比</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delete val="1"/>
          </c:dLbls>
          <c:cat>
            <c:strRef>
              <c:f>Sheet1!$A$2:$A$5</c:f>
              <c:strCache>
                <c:ptCount val="4"/>
                <c:pt idx="0">
                  <c:v>因公出国（境）费支出</c:v>
                </c:pt>
                <c:pt idx="1">
                  <c:v>公务用车购置及运行维护费支出3.32万元</c:v>
                </c:pt>
                <c:pt idx="2">
                  <c:v>公务接待费支出</c:v>
                </c:pt>
              </c:strCache>
            </c:strRef>
          </c:cat>
          <c:val>
            <c:numRef>
              <c:f>Sheet1!$B$2:$B$5</c:f>
              <c:numCache>
                <c:formatCode>General</c:formatCode>
                <c:ptCount val="4"/>
                <c:pt idx="0">
                  <c:v>0</c:v>
                </c:pt>
                <c:pt idx="1">
                  <c:v>100</c:v>
                </c:pt>
                <c:pt idx="2">
                  <c:v>0</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四川省财政厅</Company>
  <Pages>78</Pages>
  <Words>23956</Words>
  <Characters>27326</Characters>
  <Lines>44</Lines>
  <Paragraphs>12</Paragraphs>
  <TotalTime>43</TotalTime>
  <ScaleCrop>false</ScaleCrop>
  <LinksUpToDate>false</LinksUpToDate>
  <CharactersWithSpaces>27736</CharactersWithSpaces>
  <Application>WPS Office_12.8.2.1113_F1E327BC-269C-435d-A152-05C5408002CA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2022-10-07T09:09:00Z</dcterms:created>
  <dc:creator>曹颖</dc:creator>
  <cp:lastModifiedBy>ybxwsjkj</cp:lastModifiedBy>
  <cp:lastPrinted>2022-08-06T10:23:00Z</cp:lastPrinted>
  <dcterms:modified xsi:type="dcterms:W3CDTF">2024-12-19T12:00:13Z</dcterms:modified>
  <dc:title>四川省***</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FC5BDBC6B11C40369D6BB80D75D5F6E5</vt:lpwstr>
  </property>
</Properties>
</file>